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AA52" w14:textId="430EAB43" w:rsidR="00E12D57" w:rsidRPr="00614125" w:rsidRDefault="005A13EA" w:rsidP="00562D31">
      <w:pPr>
        <w:spacing w:before="120" w:after="120" w:line="360" w:lineRule="auto"/>
        <w:jc w:val="center"/>
        <w:rPr>
          <w:rFonts w:ascii="Arial" w:hAnsi="Arial"/>
          <w:color w:val="000000" w:themeColor="text1"/>
        </w:rPr>
      </w:pPr>
      <w:bookmarkStart w:id="0" w:name="_GoBack"/>
      <w:bookmarkEnd w:id="0"/>
      <w:r w:rsidRPr="00614125">
        <w:rPr>
          <w:rFonts w:ascii="Arial" w:hAnsi="Arial"/>
          <w:color w:val="000000" w:themeColor="text1"/>
        </w:rPr>
        <w:t>A</w:t>
      </w:r>
      <w:r w:rsidR="00752740" w:rsidRPr="00614125">
        <w:rPr>
          <w:rFonts w:ascii="Arial" w:hAnsi="Arial"/>
          <w:color w:val="000000" w:themeColor="text1"/>
        </w:rPr>
        <w:t xml:space="preserve"> </w:t>
      </w:r>
      <w:r w:rsidR="0096180E" w:rsidRPr="00614125">
        <w:rPr>
          <w:rFonts w:ascii="Arial" w:hAnsi="Arial"/>
          <w:color w:val="000000" w:themeColor="text1"/>
        </w:rPr>
        <w:t xml:space="preserve">Transparent </w:t>
      </w:r>
      <w:r w:rsidR="00517874" w:rsidRPr="00614125">
        <w:rPr>
          <w:rFonts w:ascii="Arial" w:hAnsi="Arial"/>
          <w:color w:val="000000" w:themeColor="text1"/>
        </w:rPr>
        <w:t>Universal Health Coverage</w:t>
      </w:r>
      <w:r w:rsidR="00EF2CD9" w:rsidRPr="00614125">
        <w:rPr>
          <w:rFonts w:ascii="Arial" w:hAnsi="Arial"/>
          <w:color w:val="000000" w:themeColor="text1"/>
        </w:rPr>
        <w:t xml:space="preserve"> </w:t>
      </w:r>
      <w:r w:rsidR="00752740" w:rsidRPr="00614125">
        <w:rPr>
          <w:rFonts w:ascii="Arial" w:hAnsi="Arial"/>
          <w:color w:val="000000" w:themeColor="text1"/>
        </w:rPr>
        <w:t>Index</w:t>
      </w:r>
      <w:r w:rsidR="00F768DF" w:rsidRPr="00614125">
        <w:rPr>
          <w:rFonts w:ascii="Arial" w:hAnsi="Arial"/>
          <w:color w:val="000000" w:themeColor="text1"/>
        </w:rPr>
        <w:t xml:space="preserve"> </w:t>
      </w:r>
      <w:r w:rsidR="00FA4C47" w:rsidRPr="00614125">
        <w:rPr>
          <w:rFonts w:ascii="Arial" w:hAnsi="Arial"/>
          <w:color w:val="000000" w:themeColor="text1"/>
        </w:rPr>
        <w:t xml:space="preserve">with </w:t>
      </w:r>
      <w:r w:rsidR="00F768DF" w:rsidRPr="00614125">
        <w:rPr>
          <w:rFonts w:ascii="Arial" w:hAnsi="Arial"/>
          <w:color w:val="000000" w:themeColor="text1"/>
        </w:rPr>
        <w:t>Decompo</w:t>
      </w:r>
      <w:r w:rsidRPr="00614125">
        <w:rPr>
          <w:rFonts w:ascii="Arial" w:hAnsi="Arial"/>
          <w:color w:val="000000" w:themeColor="text1"/>
        </w:rPr>
        <w:t>sit</w:t>
      </w:r>
      <w:r w:rsidR="00F768DF" w:rsidRPr="00614125">
        <w:rPr>
          <w:rFonts w:ascii="Arial" w:hAnsi="Arial"/>
          <w:color w:val="000000" w:themeColor="text1"/>
        </w:rPr>
        <w:t>i</w:t>
      </w:r>
      <w:r w:rsidRPr="00614125">
        <w:rPr>
          <w:rFonts w:ascii="Arial" w:hAnsi="Arial"/>
          <w:color w:val="000000" w:themeColor="text1"/>
        </w:rPr>
        <w:t>on by Socioeconomic Groups</w:t>
      </w:r>
      <w:r w:rsidR="00752740" w:rsidRPr="00614125">
        <w:rPr>
          <w:rFonts w:ascii="Arial" w:hAnsi="Arial"/>
          <w:color w:val="000000" w:themeColor="text1"/>
        </w:rPr>
        <w:t xml:space="preserve">: </w:t>
      </w:r>
      <w:r w:rsidR="00F768DF" w:rsidRPr="00614125">
        <w:rPr>
          <w:rFonts w:ascii="Arial" w:hAnsi="Arial"/>
          <w:color w:val="000000" w:themeColor="text1"/>
        </w:rPr>
        <w:t xml:space="preserve">Application in </w:t>
      </w:r>
      <w:r w:rsidR="00517874" w:rsidRPr="00614125">
        <w:rPr>
          <w:rFonts w:ascii="Arial" w:hAnsi="Arial"/>
          <w:color w:val="000000" w:themeColor="text1"/>
        </w:rPr>
        <w:t xml:space="preserve">Asian and African </w:t>
      </w:r>
      <w:r w:rsidR="00752740" w:rsidRPr="00614125">
        <w:rPr>
          <w:rFonts w:ascii="Arial" w:hAnsi="Arial"/>
          <w:color w:val="000000" w:themeColor="text1"/>
        </w:rPr>
        <w:t>Settings</w:t>
      </w:r>
    </w:p>
    <w:p w14:paraId="0E94162E" w14:textId="77777777" w:rsidR="00B63313" w:rsidRPr="00614125" w:rsidRDefault="00B63313" w:rsidP="00775B32">
      <w:pPr>
        <w:spacing w:before="120" w:after="120" w:line="360" w:lineRule="auto"/>
        <w:jc w:val="center"/>
        <w:rPr>
          <w:rFonts w:ascii="Arial" w:hAnsi="Arial"/>
          <w:color w:val="000000" w:themeColor="text1"/>
        </w:rPr>
      </w:pPr>
    </w:p>
    <w:p w14:paraId="684DB6B1" w14:textId="385353A8" w:rsidR="00775B32" w:rsidRPr="00614125" w:rsidRDefault="00846DBE" w:rsidP="00775B32">
      <w:pPr>
        <w:spacing w:before="120" w:after="120" w:line="360" w:lineRule="auto"/>
        <w:jc w:val="center"/>
        <w:rPr>
          <w:rFonts w:ascii="Arial" w:hAnsi="Arial"/>
          <w:color w:val="000000" w:themeColor="text1"/>
        </w:rPr>
      </w:pPr>
      <w:r w:rsidRPr="00614125">
        <w:rPr>
          <w:rFonts w:ascii="Arial" w:hAnsi="Arial"/>
          <w:color w:val="000000" w:themeColor="text1"/>
        </w:rPr>
        <w:t xml:space="preserve">Running title: A Transparent Universal Health Coverage Index </w:t>
      </w:r>
      <w:r w:rsidR="00F768DF" w:rsidRPr="00614125">
        <w:rPr>
          <w:rFonts w:ascii="Arial" w:hAnsi="Arial"/>
          <w:color w:val="000000" w:themeColor="text1"/>
        </w:rPr>
        <w:t xml:space="preserve"> </w:t>
      </w:r>
    </w:p>
    <w:p w14:paraId="64997C58" w14:textId="488DDA66" w:rsidR="00775B32" w:rsidRPr="00614125" w:rsidRDefault="00775B32" w:rsidP="00775B32">
      <w:pPr>
        <w:spacing w:before="120" w:after="120" w:line="360" w:lineRule="auto"/>
        <w:rPr>
          <w:rFonts w:ascii="Arial" w:hAnsi="Arial"/>
          <w:color w:val="000000" w:themeColor="text1"/>
        </w:rPr>
      </w:pPr>
    </w:p>
    <w:p w14:paraId="05005F9D" w14:textId="77777777" w:rsidR="00775B32" w:rsidRPr="00614125" w:rsidRDefault="00775B32" w:rsidP="00775B32">
      <w:pPr>
        <w:spacing w:before="120" w:after="120" w:line="360" w:lineRule="auto"/>
        <w:rPr>
          <w:rFonts w:ascii="Arial" w:hAnsi="Arial"/>
          <w:color w:val="000000" w:themeColor="text1"/>
        </w:rPr>
      </w:pPr>
    </w:p>
    <w:p w14:paraId="6F4428B0" w14:textId="77777777" w:rsidR="00775B32" w:rsidRPr="00614125" w:rsidRDefault="00775B32" w:rsidP="00775B32">
      <w:pPr>
        <w:spacing w:before="120" w:after="120" w:line="360" w:lineRule="auto"/>
        <w:rPr>
          <w:rFonts w:ascii="Arial" w:hAnsi="Arial"/>
          <w:color w:val="000000" w:themeColor="text1"/>
        </w:rPr>
      </w:pPr>
    </w:p>
    <w:p w14:paraId="24D9D748" w14:textId="77777777" w:rsidR="00775B32" w:rsidRPr="00614125" w:rsidRDefault="00775B32" w:rsidP="00775B32">
      <w:pPr>
        <w:spacing w:before="120" w:after="120" w:line="360" w:lineRule="auto"/>
        <w:rPr>
          <w:rFonts w:ascii="Arial" w:hAnsi="Arial"/>
          <w:color w:val="000000" w:themeColor="text1"/>
        </w:rPr>
      </w:pPr>
    </w:p>
    <w:p w14:paraId="5424BBFF" w14:textId="3B3AAA46" w:rsidR="00775B32" w:rsidRPr="00614125" w:rsidRDefault="00775B32" w:rsidP="00775B32">
      <w:pPr>
        <w:spacing w:before="120" w:after="120" w:line="360" w:lineRule="auto"/>
        <w:jc w:val="center"/>
        <w:rPr>
          <w:rFonts w:ascii="Arial" w:hAnsi="Arial"/>
          <w:color w:val="000000" w:themeColor="text1"/>
          <w:vertAlign w:val="superscript"/>
        </w:rPr>
      </w:pPr>
      <w:r w:rsidRPr="00614125">
        <w:rPr>
          <w:rFonts w:ascii="Arial" w:hAnsi="Arial"/>
          <w:color w:val="000000" w:themeColor="text1"/>
        </w:rPr>
        <w:t>Jahangir A. M. Khan</w:t>
      </w:r>
      <w:r w:rsidR="00C7293D" w:rsidRPr="00614125">
        <w:rPr>
          <w:rFonts w:ascii="Arial" w:hAnsi="Arial"/>
          <w:color w:val="000000" w:themeColor="text1"/>
          <w:vertAlign w:val="superscript"/>
        </w:rPr>
        <w:t>*,</w:t>
      </w:r>
      <w:r w:rsidRPr="00614125">
        <w:rPr>
          <w:rFonts w:ascii="Arial" w:hAnsi="Arial"/>
          <w:color w:val="000000" w:themeColor="text1"/>
          <w:vertAlign w:val="superscript"/>
        </w:rPr>
        <w:t>1,2</w:t>
      </w:r>
      <w:r w:rsidR="00BE324E" w:rsidRPr="00614125">
        <w:rPr>
          <w:rFonts w:ascii="Arial" w:hAnsi="Arial"/>
          <w:color w:val="000000" w:themeColor="text1"/>
          <w:vertAlign w:val="superscript"/>
        </w:rPr>
        <w:t>,3</w:t>
      </w:r>
    </w:p>
    <w:p w14:paraId="204D137C" w14:textId="1837467B" w:rsidR="00775B32" w:rsidRPr="00614125" w:rsidRDefault="00775B32" w:rsidP="00775B32">
      <w:pPr>
        <w:spacing w:before="120" w:after="120" w:line="360" w:lineRule="auto"/>
        <w:jc w:val="center"/>
        <w:rPr>
          <w:rFonts w:ascii="Arial" w:hAnsi="Arial"/>
          <w:color w:val="000000" w:themeColor="text1"/>
        </w:rPr>
      </w:pPr>
      <w:proofErr w:type="spellStart"/>
      <w:r w:rsidRPr="00614125">
        <w:rPr>
          <w:rFonts w:ascii="Arial" w:hAnsi="Arial"/>
          <w:color w:val="000000" w:themeColor="text1"/>
        </w:rPr>
        <w:t>Sayem</w:t>
      </w:r>
      <w:proofErr w:type="spellEnd"/>
      <w:r w:rsidRPr="00614125">
        <w:rPr>
          <w:rFonts w:ascii="Arial" w:hAnsi="Arial"/>
          <w:color w:val="000000" w:themeColor="text1"/>
        </w:rPr>
        <w:t xml:space="preserve"> Ahmed</w:t>
      </w:r>
      <w:r w:rsidR="00BE324E" w:rsidRPr="00614125">
        <w:rPr>
          <w:rFonts w:ascii="Arial" w:hAnsi="Arial"/>
          <w:color w:val="000000" w:themeColor="text1"/>
          <w:vertAlign w:val="superscript"/>
        </w:rPr>
        <w:t>1</w:t>
      </w:r>
      <w:r w:rsidRPr="00614125">
        <w:rPr>
          <w:rFonts w:ascii="Arial" w:hAnsi="Arial"/>
          <w:color w:val="000000" w:themeColor="text1"/>
          <w:vertAlign w:val="superscript"/>
        </w:rPr>
        <w:t>,</w:t>
      </w:r>
      <w:r w:rsidR="00BE324E" w:rsidRPr="00614125">
        <w:rPr>
          <w:rFonts w:ascii="Arial" w:hAnsi="Arial"/>
          <w:color w:val="000000" w:themeColor="text1"/>
          <w:vertAlign w:val="superscript"/>
        </w:rPr>
        <w:t>2</w:t>
      </w:r>
      <w:r w:rsidR="00B13D71" w:rsidRPr="00614125">
        <w:rPr>
          <w:rFonts w:ascii="Arial" w:hAnsi="Arial"/>
          <w:color w:val="000000" w:themeColor="text1"/>
          <w:vertAlign w:val="superscript"/>
        </w:rPr>
        <w:t>,4</w:t>
      </w:r>
    </w:p>
    <w:p w14:paraId="47F13A76" w14:textId="77777777" w:rsidR="00775B32" w:rsidRPr="00614125" w:rsidRDefault="00775B32" w:rsidP="00775B32">
      <w:pPr>
        <w:spacing w:before="120" w:after="120" w:line="360" w:lineRule="auto"/>
        <w:jc w:val="center"/>
        <w:rPr>
          <w:rFonts w:ascii="Arial" w:hAnsi="Arial"/>
          <w:color w:val="000000" w:themeColor="text1"/>
          <w:vertAlign w:val="superscript"/>
        </w:rPr>
      </w:pPr>
      <w:r w:rsidRPr="00614125">
        <w:rPr>
          <w:rFonts w:ascii="Arial" w:hAnsi="Arial"/>
          <w:color w:val="000000" w:themeColor="text1"/>
        </w:rPr>
        <w:t>Tao Chen</w:t>
      </w:r>
      <w:r w:rsidRPr="00614125">
        <w:rPr>
          <w:rFonts w:ascii="Arial" w:hAnsi="Arial"/>
          <w:color w:val="000000" w:themeColor="text1"/>
          <w:vertAlign w:val="superscript"/>
        </w:rPr>
        <w:t>1</w:t>
      </w:r>
    </w:p>
    <w:p w14:paraId="0C5CA679" w14:textId="77777777" w:rsidR="00775B32" w:rsidRPr="00614125" w:rsidRDefault="00775B32" w:rsidP="00775B32">
      <w:pPr>
        <w:spacing w:before="120" w:after="120" w:line="360" w:lineRule="auto"/>
        <w:jc w:val="center"/>
        <w:rPr>
          <w:rFonts w:ascii="Arial" w:hAnsi="Arial"/>
          <w:color w:val="000000" w:themeColor="text1"/>
          <w:vertAlign w:val="superscript"/>
        </w:rPr>
      </w:pPr>
      <w:r w:rsidRPr="00614125">
        <w:rPr>
          <w:rFonts w:ascii="Arial" w:hAnsi="Arial"/>
          <w:color w:val="000000" w:themeColor="text1"/>
        </w:rPr>
        <w:t>Ewan Tomeny</w:t>
      </w:r>
      <w:r w:rsidRPr="00614125">
        <w:rPr>
          <w:rFonts w:ascii="Arial" w:hAnsi="Arial"/>
          <w:color w:val="000000" w:themeColor="text1"/>
          <w:vertAlign w:val="superscript"/>
        </w:rPr>
        <w:t>1</w:t>
      </w:r>
    </w:p>
    <w:p w14:paraId="596B2F1F" w14:textId="1B97A4B1" w:rsidR="00775B32" w:rsidRPr="00614125" w:rsidRDefault="00775B32" w:rsidP="00775B32">
      <w:pPr>
        <w:spacing w:before="120" w:after="120" w:line="360" w:lineRule="auto"/>
        <w:jc w:val="center"/>
        <w:rPr>
          <w:rFonts w:ascii="Arial" w:hAnsi="Arial"/>
          <w:color w:val="000000" w:themeColor="text1"/>
          <w:vertAlign w:val="superscript"/>
        </w:rPr>
      </w:pPr>
      <w:r w:rsidRPr="00614125">
        <w:rPr>
          <w:rFonts w:ascii="Arial" w:hAnsi="Arial"/>
          <w:color w:val="000000" w:themeColor="text1"/>
        </w:rPr>
        <w:t>Louis W. Niessen</w:t>
      </w:r>
      <w:r w:rsidRPr="00614125">
        <w:rPr>
          <w:rFonts w:ascii="Arial" w:hAnsi="Arial"/>
          <w:color w:val="000000" w:themeColor="text1"/>
          <w:vertAlign w:val="superscript"/>
        </w:rPr>
        <w:t>1,</w:t>
      </w:r>
      <w:r w:rsidR="00BE324E" w:rsidRPr="00614125">
        <w:rPr>
          <w:rFonts w:ascii="Arial" w:hAnsi="Arial"/>
          <w:color w:val="000000" w:themeColor="text1"/>
          <w:vertAlign w:val="superscript"/>
        </w:rPr>
        <w:t>5</w:t>
      </w:r>
    </w:p>
    <w:p w14:paraId="7FFB96D1" w14:textId="77777777" w:rsidR="00775B32" w:rsidRPr="00614125" w:rsidRDefault="00775B32" w:rsidP="00775B32">
      <w:pPr>
        <w:spacing w:before="120" w:after="120" w:line="360" w:lineRule="auto"/>
        <w:jc w:val="center"/>
        <w:rPr>
          <w:rFonts w:ascii="Arial" w:hAnsi="Arial"/>
          <w:color w:val="000000" w:themeColor="text1"/>
        </w:rPr>
      </w:pPr>
    </w:p>
    <w:p w14:paraId="71D5D8F8" w14:textId="77777777" w:rsidR="00775B32" w:rsidRPr="00614125" w:rsidRDefault="00775B32" w:rsidP="00775B32">
      <w:pPr>
        <w:spacing w:before="120" w:after="120" w:line="360" w:lineRule="auto"/>
        <w:jc w:val="center"/>
        <w:rPr>
          <w:rFonts w:ascii="Arial" w:hAnsi="Arial"/>
          <w:color w:val="000000" w:themeColor="text1"/>
        </w:rPr>
      </w:pPr>
    </w:p>
    <w:p w14:paraId="33F1847A" w14:textId="77777777" w:rsidR="00775B32" w:rsidRPr="00614125" w:rsidRDefault="00775B32" w:rsidP="00775B32">
      <w:pPr>
        <w:spacing w:before="120" w:after="120" w:line="360" w:lineRule="auto"/>
        <w:jc w:val="center"/>
        <w:rPr>
          <w:rFonts w:ascii="Arial" w:hAnsi="Arial"/>
          <w:color w:val="000000" w:themeColor="text1"/>
        </w:rPr>
      </w:pPr>
    </w:p>
    <w:p w14:paraId="537402D4" w14:textId="77777777" w:rsidR="00775B32" w:rsidRPr="00614125" w:rsidRDefault="00775B32" w:rsidP="00775B32">
      <w:pPr>
        <w:spacing w:before="120" w:after="120" w:line="360" w:lineRule="auto"/>
        <w:jc w:val="center"/>
        <w:rPr>
          <w:rFonts w:ascii="Arial" w:hAnsi="Arial"/>
          <w:color w:val="000000" w:themeColor="text1"/>
        </w:rPr>
      </w:pPr>
    </w:p>
    <w:p w14:paraId="249D55EF" w14:textId="77777777" w:rsidR="00775B32" w:rsidRPr="00614125" w:rsidRDefault="00775B32" w:rsidP="00775B32">
      <w:pPr>
        <w:spacing w:before="120" w:after="120" w:line="360" w:lineRule="auto"/>
        <w:jc w:val="center"/>
        <w:rPr>
          <w:rFonts w:ascii="Arial" w:hAnsi="Arial"/>
          <w:color w:val="000000" w:themeColor="text1"/>
        </w:rPr>
      </w:pPr>
      <w:r w:rsidRPr="00614125">
        <w:rPr>
          <w:rFonts w:ascii="Arial" w:hAnsi="Arial"/>
          <w:color w:val="000000" w:themeColor="text1"/>
        </w:rPr>
        <w:t>___________________________________________________________________</w:t>
      </w:r>
    </w:p>
    <w:p w14:paraId="54A30689" w14:textId="40734F42" w:rsidR="00C7293D" w:rsidRPr="00614125" w:rsidRDefault="00C7293D" w:rsidP="00723E45">
      <w:pPr>
        <w:pStyle w:val="ListParagraph"/>
        <w:spacing w:before="120" w:after="120" w:line="360" w:lineRule="auto"/>
        <w:ind w:hanging="360"/>
        <w:rPr>
          <w:rFonts w:ascii="Arial" w:hAnsi="Arial"/>
          <w:color w:val="000000" w:themeColor="text1"/>
          <w:vertAlign w:val="superscript"/>
        </w:rPr>
      </w:pPr>
      <w:r w:rsidRPr="00614125">
        <w:rPr>
          <w:rFonts w:ascii="Arial" w:hAnsi="Arial"/>
          <w:color w:val="000000" w:themeColor="text1"/>
          <w:vertAlign w:val="superscript"/>
        </w:rPr>
        <w:t xml:space="preserve">*) </w:t>
      </w:r>
      <w:r w:rsidRPr="00614125">
        <w:rPr>
          <w:rFonts w:ascii="Arial" w:hAnsi="Arial"/>
          <w:color w:val="000000" w:themeColor="text1"/>
          <w:vertAlign w:val="superscript"/>
        </w:rPr>
        <w:tab/>
      </w:r>
      <w:r w:rsidRPr="00614125">
        <w:rPr>
          <w:rFonts w:ascii="Arial" w:hAnsi="Arial"/>
          <w:color w:val="000000" w:themeColor="text1"/>
        </w:rPr>
        <w:t>Corresponding author</w:t>
      </w:r>
    </w:p>
    <w:p w14:paraId="42F68046" w14:textId="6605D5D2" w:rsidR="00775B32" w:rsidRPr="00614125" w:rsidRDefault="00775B32" w:rsidP="00775B32">
      <w:pPr>
        <w:pStyle w:val="ListParagraph"/>
        <w:numPr>
          <w:ilvl w:val="0"/>
          <w:numId w:val="1"/>
        </w:numPr>
        <w:spacing w:before="120" w:after="120" w:line="360" w:lineRule="auto"/>
        <w:rPr>
          <w:rFonts w:ascii="Arial" w:hAnsi="Arial"/>
          <w:color w:val="000000" w:themeColor="text1"/>
          <w:vertAlign w:val="superscript"/>
        </w:rPr>
      </w:pPr>
      <w:r w:rsidRPr="00614125">
        <w:rPr>
          <w:rFonts w:ascii="Arial" w:hAnsi="Arial"/>
          <w:color w:val="000000" w:themeColor="text1"/>
        </w:rPr>
        <w:t>Liverpool School of Tropical Medicine, Pembroke Place, L3 5QA, Liverpool, United Kingdom.</w:t>
      </w:r>
    </w:p>
    <w:p w14:paraId="05A3DE17" w14:textId="745CAA6C" w:rsidR="00775B32" w:rsidRPr="00614125" w:rsidRDefault="00775B32" w:rsidP="00775B32">
      <w:pPr>
        <w:pStyle w:val="ListParagraph"/>
        <w:numPr>
          <w:ilvl w:val="0"/>
          <w:numId w:val="1"/>
        </w:numPr>
        <w:spacing w:before="120" w:after="120" w:line="360" w:lineRule="auto"/>
        <w:rPr>
          <w:rFonts w:ascii="Arial" w:hAnsi="Arial"/>
          <w:color w:val="000000" w:themeColor="text1"/>
          <w:vertAlign w:val="superscript"/>
        </w:rPr>
      </w:pPr>
      <w:r w:rsidRPr="00614125">
        <w:rPr>
          <w:rFonts w:ascii="Arial" w:hAnsi="Arial"/>
          <w:color w:val="000000" w:themeColor="text1"/>
        </w:rPr>
        <w:t xml:space="preserve">Karolinska Institutet, Department of Learning, Informatics, Management and Ethics, </w:t>
      </w:r>
      <w:proofErr w:type="spellStart"/>
      <w:r w:rsidRPr="00614125">
        <w:rPr>
          <w:rFonts w:ascii="Arial" w:hAnsi="Arial"/>
          <w:color w:val="000000" w:themeColor="text1"/>
        </w:rPr>
        <w:t>Solna</w:t>
      </w:r>
      <w:proofErr w:type="spellEnd"/>
      <w:r w:rsidRPr="00614125">
        <w:rPr>
          <w:rFonts w:ascii="Arial" w:hAnsi="Arial"/>
          <w:color w:val="000000" w:themeColor="text1"/>
        </w:rPr>
        <w:t xml:space="preserve"> Campus, S-171 77, Stockholm, Sweden</w:t>
      </w:r>
      <w:r w:rsidR="00A4640D" w:rsidRPr="00614125">
        <w:rPr>
          <w:rFonts w:ascii="Arial" w:hAnsi="Arial"/>
          <w:color w:val="000000" w:themeColor="text1"/>
        </w:rPr>
        <w:t>.</w:t>
      </w:r>
    </w:p>
    <w:p w14:paraId="2277D680" w14:textId="6EE16DCE" w:rsidR="00BE324E" w:rsidRPr="00614125" w:rsidRDefault="00BE324E" w:rsidP="00BE324E">
      <w:pPr>
        <w:pStyle w:val="ListParagraph"/>
        <w:numPr>
          <w:ilvl w:val="0"/>
          <w:numId w:val="1"/>
        </w:numPr>
        <w:spacing w:before="120" w:after="120" w:line="360" w:lineRule="auto"/>
        <w:rPr>
          <w:rFonts w:ascii="Arial" w:hAnsi="Arial"/>
          <w:color w:val="000000" w:themeColor="text1"/>
          <w:vertAlign w:val="superscript"/>
        </w:rPr>
      </w:pPr>
      <w:r w:rsidRPr="00614125">
        <w:rPr>
          <w:rFonts w:ascii="Arial" w:hAnsi="Arial"/>
          <w:color w:val="000000" w:themeColor="text1"/>
        </w:rPr>
        <w:t xml:space="preserve">James P Grant School of Public Health, </w:t>
      </w:r>
      <w:proofErr w:type="spellStart"/>
      <w:r w:rsidRPr="00614125">
        <w:rPr>
          <w:rFonts w:ascii="Arial" w:hAnsi="Arial"/>
          <w:color w:val="000000" w:themeColor="text1"/>
        </w:rPr>
        <w:t>Brac</w:t>
      </w:r>
      <w:proofErr w:type="spellEnd"/>
      <w:r w:rsidRPr="00614125">
        <w:rPr>
          <w:rFonts w:ascii="Arial" w:hAnsi="Arial"/>
          <w:color w:val="000000" w:themeColor="text1"/>
        </w:rPr>
        <w:t xml:space="preserve"> University, 68, Shahid </w:t>
      </w:r>
      <w:proofErr w:type="spellStart"/>
      <w:r w:rsidRPr="00614125">
        <w:rPr>
          <w:rFonts w:ascii="Arial" w:hAnsi="Arial"/>
          <w:color w:val="000000" w:themeColor="text1"/>
        </w:rPr>
        <w:t>Tajuddin</w:t>
      </w:r>
      <w:proofErr w:type="spellEnd"/>
      <w:r w:rsidRPr="00614125">
        <w:rPr>
          <w:rFonts w:ascii="Arial" w:hAnsi="Arial"/>
          <w:color w:val="000000" w:themeColor="text1"/>
        </w:rPr>
        <w:t xml:space="preserve"> Ahmed </w:t>
      </w:r>
      <w:proofErr w:type="spellStart"/>
      <w:r w:rsidRPr="00614125">
        <w:rPr>
          <w:rFonts w:ascii="Arial" w:hAnsi="Arial"/>
          <w:color w:val="000000" w:themeColor="text1"/>
        </w:rPr>
        <w:t>Sharani</w:t>
      </w:r>
      <w:proofErr w:type="spellEnd"/>
      <w:r w:rsidRPr="00614125">
        <w:rPr>
          <w:rFonts w:ascii="Arial" w:hAnsi="Arial"/>
          <w:color w:val="000000" w:themeColor="text1"/>
        </w:rPr>
        <w:t>, Mohakhali, Dhaka-1212, Bangladesh</w:t>
      </w:r>
    </w:p>
    <w:p w14:paraId="7A8BD7F7" w14:textId="77777777" w:rsidR="00775B32" w:rsidRPr="00614125" w:rsidRDefault="00775B32" w:rsidP="00775B32">
      <w:pPr>
        <w:pStyle w:val="ListParagraph"/>
        <w:numPr>
          <w:ilvl w:val="0"/>
          <w:numId w:val="1"/>
        </w:numPr>
        <w:spacing w:before="120" w:after="120" w:line="360" w:lineRule="auto"/>
        <w:rPr>
          <w:rFonts w:ascii="Arial" w:hAnsi="Arial"/>
          <w:color w:val="000000" w:themeColor="text1"/>
          <w:vertAlign w:val="superscript"/>
        </w:rPr>
      </w:pPr>
      <w:proofErr w:type="spellStart"/>
      <w:proofErr w:type="gramStart"/>
      <w:r w:rsidRPr="00614125">
        <w:rPr>
          <w:rFonts w:ascii="Arial" w:hAnsi="Arial"/>
          <w:color w:val="000000" w:themeColor="text1"/>
        </w:rPr>
        <w:t>icddr,b</w:t>
      </w:r>
      <w:proofErr w:type="spellEnd"/>
      <w:proofErr w:type="gramEnd"/>
      <w:r w:rsidRPr="00614125">
        <w:rPr>
          <w:rFonts w:ascii="Arial" w:hAnsi="Arial"/>
          <w:color w:val="000000" w:themeColor="text1"/>
        </w:rPr>
        <w:t xml:space="preserve">, 68, Shahid </w:t>
      </w:r>
      <w:proofErr w:type="spellStart"/>
      <w:r w:rsidRPr="00614125">
        <w:rPr>
          <w:rFonts w:ascii="Arial" w:hAnsi="Arial"/>
          <w:color w:val="000000" w:themeColor="text1"/>
        </w:rPr>
        <w:t>Tajuddin</w:t>
      </w:r>
      <w:proofErr w:type="spellEnd"/>
      <w:r w:rsidRPr="00614125">
        <w:rPr>
          <w:rFonts w:ascii="Arial" w:hAnsi="Arial"/>
          <w:color w:val="000000" w:themeColor="text1"/>
        </w:rPr>
        <w:t xml:space="preserve"> Ahmed </w:t>
      </w:r>
      <w:proofErr w:type="spellStart"/>
      <w:r w:rsidRPr="00614125">
        <w:rPr>
          <w:rFonts w:ascii="Arial" w:hAnsi="Arial"/>
          <w:color w:val="000000" w:themeColor="text1"/>
        </w:rPr>
        <w:t>Sharani</w:t>
      </w:r>
      <w:proofErr w:type="spellEnd"/>
      <w:r w:rsidRPr="00614125">
        <w:rPr>
          <w:rFonts w:ascii="Arial" w:hAnsi="Arial"/>
          <w:color w:val="000000" w:themeColor="text1"/>
        </w:rPr>
        <w:t>, Mohakhali, Dhaka-1212, Bangladesh</w:t>
      </w:r>
    </w:p>
    <w:p w14:paraId="61E92719" w14:textId="77777777" w:rsidR="00775B32" w:rsidRPr="00614125" w:rsidRDefault="00775B32" w:rsidP="00775B32">
      <w:pPr>
        <w:pStyle w:val="ListParagraph"/>
        <w:numPr>
          <w:ilvl w:val="0"/>
          <w:numId w:val="1"/>
        </w:numPr>
        <w:spacing w:before="120" w:after="120" w:line="360" w:lineRule="auto"/>
        <w:rPr>
          <w:rFonts w:ascii="Arial" w:hAnsi="Arial"/>
          <w:color w:val="000000" w:themeColor="text1"/>
          <w:vertAlign w:val="superscript"/>
        </w:rPr>
      </w:pPr>
      <w:r w:rsidRPr="00614125">
        <w:rPr>
          <w:rFonts w:ascii="Arial" w:hAnsi="Arial"/>
          <w:color w:val="000000" w:themeColor="text1"/>
        </w:rPr>
        <w:t>Department of International Health, Johns Hopkins SPH, Baltimore, USA.</w:t>
      </w:r>
    </w:p>
    <w:p w14:paraId="554441DB" w14:textId="77777777" w:rsidR="00F77EB4" w:rsidRPr="00614125" w:rsidRDefault="00F77EB4" w:rsidP="00337D8B">
      <w:pPr>
        <w:spacing w:before="120" w:after="120" w:line="360" w:lineRule="auto"/>
        <w:rPr>
          <w:rFonts w:ascii="Arial" w:hAnsi="Arial"/>
          <w:b/>
          <w:bCs/>
          <w:color w:val="000000" w:themeColor="text1"/>
        </w:rPr>
      </w:pPr>
      <w:r w:rsidRPr="00614125">
        <w:rPr>
          <w:rFonts w:ascii="Arial" w:hAnsi="Arial"/>
          <w:b/>
          <w:bCs/>
          <w:color w:val="000000" w:themeColor="text1"/>
        </w:rPr>
        <w:lastRenderedPageBreak/>
        <w:t>ABSTRACT</w:t>
      </w:r>
    </w:p>
    <w:p w14:paraId="7550C7C2" w14:textId="6FBD2999" w:rsidR="002159FE" w:rsidRPr="00614125" w:rsidRDefault="00846DBE" w:rsidP="002159FE">
      <w:pPr>
        <w:spacing w:before="120" w:after="120" w:line="360" w:lineRule="auto"/>
        <w:jc w:val="both"/>
        <w:rPr>
          <w:rFonts w:ascii="Arial" w:hAnsi="Arial" w:cs="Times New Roman"/>
        </w:rPr>
      </w:pPr>
      <w:r w:rsidRPr="00614125">
        <w:rPr>
          <w:rFonts w:ascii="Arial" w:hAnsi="Arial" w:cs="Times New Roman"/>
        </w:rPr>
        <w:t xml:space="preserve">Background: </w:t>
      </w:r>
      <w:r w:rsidR="002159FE" w:rsidRPr="00614125">
        <w:rPr>
          <w:rFonts w:ascii="Arial" w:hAnsi="Arial" w:cs="Times New Roman"/>
        </w:rPr>
        <w:t xml:space="preserve">Health and Wellbeing as one of the Sustainable Development Goals require all countries to achieve Universal Health Coverage (UHC). That is, all people must have access to healthcare when needed at an affordable price. While several indices were developed recently to assess UHC status, these indices appeared to be difficult for practitioners to apply without statistical knowledge. </w:t>
      </w:r>
    </w:p>
    <w:p w14:paraId="7F11F09C" w14:textId="05288CA5" w:rsidR="00846DBE" w:rsidRPr="00614125" w:rsidRDefault="00846DBE" w:rsidP="002159FE">
      <w:pPr>
        <w:spacing w:before="120" w:after="120" w:line="360" w:lineRule="auto"/>
        <w:jc w:val="both"/>
        <w:rPr>
          <w:rFonts w:ascii="Arial" w:hAnsi="Arial" w:cs="Times New Roman"/>
        </w:rPr>
      </w:pPr>
      <w:r w:rsidRPr="00614125">
        <w:rPr>
          <w:rFonts w:ascii="Arial" w:hAnsi="Arial" w:cs="Times New Roman"/>
        </w:rPr>
        <w:t xml:space="preserve">Objective: </w:t>
      </w:r>
      <w:r w:rsidR="002159FE" w:rsidRPr="00614125">
        <w:rPr>
          <w:rFonts w:ascii="Arial" w:hAnsi="Arial" w:cs="Times New Roman"/>
        </w:rPr>
        <w:t xml:space="preserve">This paper presents a transparent and step-by-step </w:t>
      </w:r>
      <w:r w:rsidR="00ED6D05" w:rsidRPr="00614125">
        <w:rPr>
          <w:rFonts w:ascii="Arial" w:hAnsi="Arial" w:cs="Times New Roman"/>
        </w:rPr>
        <w:t xml:space="preserve">practical </w:t>
      </w:r>
      <w:r w:rsidR="002159FE" w:rsidRPr="00614125">
        <w:rPr>
          <w:rFonts w:ascii="Arial" w:hAnsi="Arial" w:cs="Times New Roman"/>
        </w:rPr>
        <w:t xml:space="preserve">calculation </w:t>
      </w:r>
      <w:r w:rsidR="00ED6D05" w:rsidRPr="00614125">
        <w:rPr>
          <w:rFonts w:ascii="Arial" w:hAnsi="Arial" w:cs="Times New Roman"/>
        </w:rPr>
        <w:t xml:space="preserve">method </w:t>
      </w:r>
      <w:r w:rsidR="002159FE" w:rsidRPr="00614125">
        <w:rPr>
          <w:rFonts w:ascii="Arial" w:hAnsi="Arial" w:cs="Times New Roman"/>
        </w:rPr>
        <w:t xml:space="preserve">of such an index using </w:t>
      </w:r>
      <w:r w:rsidR="008474CB" w:rsidRPr="00614125">
        <w:rPr>
          <w:rFonts w:ascii="Arial" w:hAnsi="Arial" w:cs="Times New Roman"/>
        </w:rPr>
        <w:t>E</w:t>
      </w:r>
      <w:r w:rsidR="002159FE" w:rsidRPr="00614125">
        <w:rPr>
          <w:rFonts w:ascii="Arial" w:hAnsi="Arial" w:cs="Times New Roman"/>
        </w:rPr>
        <w:t>xcel spreadsheets</w:t>
      </w:r>
      <w:r w:rsidRPr="00614125">
        <w:rPr>
          <w:rFonts w:ascii="Arial" w:hAnsi="Arial" w:cs="Times New Roman"/>
        </w:rPr>
        <w:t>, applying in some Asian and African countries</w:t>
      </w:r>
      <w:r w:rsidR="002159FE" w:rsidRPr="00614125">
        <w:rPr>
          <w:rFonts w:ascii="Arial" w:hAnsi="Arial" w:cs="Times New Roman"/>
        </w:rPr>
        <w:t xml:space="preserve">. </w:t>
      </w:r>
      <w:r w:rsidRPr="00614125">
        <w:rPr>
          <w:rFonts w:ascii="Arial" w:hAnsi="Arial" w:cs="Times New Roman"/>
        </w:rPr>
        <w:t xml:space="preserve">We further intend to decompose the contribution of socioeconomic groups to the UHC index values.  </w:t>
      </w:r>
    </w:p>
    <w:p w14:paraId="370C55D0" w14:textId="7FA85C38" w:rsidR="002159FE" w:rsidRPr="00614125" w:rsidRDefault="00846DBE" w:rsidP="002159FE">
      <w:pPr>
        <w:spacing w:before="120" w:after="120" w:line="360" w:lineRule="auto"/>
        <w:jc w:val="both"/>
        <w:rPr>
          <w:rFonts w:ascii="Arial" w:hAnsi="Arial" w:cs="Times New Roman"/>
        </w:rPr>
      </w:pPr>
      <w:r w:rsidRPr="00614125">
        <w:rPr>
          <w:rFonts w:ascii="Arial" w:hAnsi="Arial" w:cs="Times New Roman"/>
        </w:rPr>
        <w:t xml:space="preserve">Methods: </w:t>
      </w:r>
      <w:r w:rsidR="002159FE" w:rsidRPr="00614125">
        <w:rPr>
          <w:rFonts w:ascii="Arial" w:hAnsi="Arial" w:cs="Times New Roman"/>
        </w:rPr>
        <w:t xml:space="preserve">We utilized the well-known UHC illustration (three-dimensional box, showing population coverage, service coverage and financial protection) to calculate </w:t>
      </w:r>
      <w:r w:rsidR="005C3B2F" w:rsidRPr="00614125">
        <w:rPr>
          <w:rFonts w:ascii="Arial" w:hAnsi="Arial" w:cs="Times New Roman"/>
        </w:rPr>
        <w:t xml:space="preserve">the </w:t>
      </w:r>
      <w:r w:rsidR="002159FE" w:rsidRPr="00614125">
        <w:rPr>
          <w:rFonts w:ascii="Arial" w:hAnsi="Arial" w:cs="Times New Roman"/>
        </w:rPr>
        <w:t xml:space="preserve">UHC index. We also decomposed the index into socioeconomic groups. For validation, correlation coefficients between our index and other UHC indices were calculated and the relationship of our index with out-of-pocket payments was estimated.   </w:t>
      </w:r>
    </w:p>
    <w:p w14:paraId="21111E6B" w14:textId="78E6DF14" w:rsidR="00846DBE" w:rsidRPr="00614125" w:rsidRDefault="00846DBE" w:rsidP="002159FE">
      <w:pPr>
        <w:spacing w:before="120" w:after="120" w:line="360" w:lineRule="auto"/>
        <w:jc w:val="both"/>
        <w:rPr>
          <w:rFonts w:ascii="Arial" w:hAnsi="Arial" w:cs="Times New Roman"/>
        </w:rPr>
      </w:pPr>
      <w:r w:rsidRPr="00614125">
        <w:rPr>
          <w:rFonts w:ascii="Arial" w:hAnsi="Arial" w:cs="Times New Roman"/>
        </w:rPr>
        <w:t xml:space="preserve">Results: </w:t>
      </w:r>
      <w:r w:rsidR="002159FE" w:rsidRPr="00614125">
        <w:rPr>
          <w:rFonts w:ascii="Arial" w:hAnsi="Arial" w:cs="Times New Roman"/>
        </w:rPr>
        <w:t xml:space="preserve">World Bank data from 6 Asian and 15 African countries on health service coverage of people in five socioeconomic quintiles with financial protection were used to calculate our UHC index. Among Asian countries, indices ranged between 26.0% (Nepal) and 58.7% (Kazakhstan), while in African countries indices ranged between 8.9% (Chad) and 55.3% (Namibia). Decomposition of </w:t>
      </w:r>
      <w:r w:rsidR="001E4C33" w:rsidRPr="00614125">
        <w:rPr>
          <w:rFonts w:ascii="Arial" w:hAnsi="Arial" w:cs="Times New Roman"/>
        </w:rPr>
        <w:t xml:space="preserve">the </w:t>
      </w:r>
      <w:r w:rsidR="002159FE" w:rsidRPr="00614125">
        <w:rPr>
          <w:rFonts w:ascii="Arial" w:hAnsi="Arial" w:cs="Times New Roman"/>
        </w:rPr>
        <w:t xml:space="preserve">UHC index showed a higher contribution to </w:t>
      </w:r>
      <w:r w:rsidR="00B42B82" w:rsidRPr="00614125">
        <w:rPr>
          <w:rFonts w:ascii="Arial" w:hAnsi="Arial" w:cs="Times New Roman"/>
        </w:rPr>
        <w:t xml:space="preserve">the </w:t>
      </w:r>
      <w:r w:rsidR="002159FE" w:rsidRPr="00614125">
        <w:rPr>
          <w:rFonts w:ascii="Arial" w:hAnsi="Arial" w:cs="Times New Roman"/>
        </w:rPr>
        <w:t xml:space="preserve">index by richer socioeconomic groups. The correlation coefficients between our estimated UHC index values </w:t>
      </w:r>
      <w:r w:rsidR="006C1D9C" w:rsidRPr="00614125">
        <w:rPr>
          <w:rFonts w:ascii="Arial" w:hAnsi="Arial" w:cs="Times New Roman"/>
        </w:rPr>
        <w:t>and those</w:t>
      </w:r>
      <w:r w:rsidR="002159FE" w:rsidRPr="00614125">
        <w:rPr>
          <w:rFonts w:ascii="Arial" w:hAnsi="Arial" w:cs="Times New Roman"/>
        </w:rPr>
        <w:t xml:space="preserve"> of others ranged between 0.774 and 0.900. Our index reduced by 1.4 percent in response to a one percent increase in OOP payments. </w:t>
      </w:r>
    </w:p>
    <w:p w14:paraId="4D1836E6" w14:textId="749699B7" w:rsidR="00D526CC" w:rsidRPr="00614125" w:rsidRDefault="00846DBE" w:rsidP="002159FE">
      <w:pPr>
        <w:spacing w:before="120" w:after="120" w:line="360" w:lineRule="auto"/>
        <w:jc w:val="both"/>
        <w:rPr>
          <w:rFonts w:ascii="Arial" w:hAnsi="Arial" w:cs="Times New Roman"/>
        </w:rPr>
      </w:pPr>
      <w:r w:rsidRPr="00614125">
        <w:rPr>
          <w:rFonts w:ascii="Arial" w:hAnsi="Arial" w:cs="Times New Roman"/>
        </w:rPr>
        <w:t>Conclusions:</w:t>
      </w:r>
      <w:r w:rsidR="003B5D58" w:rsidRPr="00614125">
        <w:rPr>
          <w:rFonts w:ascii="Arial" w:hAnsi="Arial" w:cs="Times New Roman"/>
        </w:rPr>
        <w:t xml:space="preserve"> </w:t>
      </w:r>
      <w:r w:rsidR="002159FE" w:rsidRPr="00614125">
        <w:rPr>
          <w:rFonts w:ascii="Arial" w:hAnsi="Arial" w:cs="Times New Roman"/>
        </w:rPr>
        <w:t>This spreadsheet approach for calculating the UHC index appeared to be useful, where the interrelation of UHC dimensions was easily observed. Decomposition of the index could be useful for policy-makers to identify the sub-populations and health services with need for further interventions towards UHC achievement.</w:t>
      </w:r>
    </w:p>
    <w:p w14:paraId="3BA61957" w14:textId="141D2DFE" w:rsidR="00282A93" w:rsidRPr="00614125" w:rsidRDefault="002557FB" w:rsidP="00337D8B">
      <w:pPr>
        <w:spacing w:before="120" w:after="120" w:line="360" w:lineRule="auto"/>
        <w:rPr>
          <w:rFonts w:ascii="Arial" w:hAnsi="Arial"/>
          <w:color w:val="000000" w:themeColor="text1"/>
        </w:rPr>
      </w:pPr>
      <w:r w:rsidRPr="00614125">
        <w:rPr>
          <w:rFonts w:ascii="Arial" w:hAnsi="Arial"/>
          <w:color w:val="000000" w:themeColor="text1"/>
        </w:rPr>
        <w:t xml:space="preserve">Keywords: </w:t>
      </w:r>
      <w:r w:rsidR="00EE74E3" w:rsidRPr="00614125">
        <w:rPr>
          <w:rFonts w:ascii="Arial" w:hAnsi="Arial"/>
          <w:color w:val="000000" w:themeColor="text1"/>
        </w:rPr>
        <w:t xml:space="preserve">Africa, Asia, </w:t>
      </w:r>
      <w:r w:rsidR="00452691" w:rsidRPr="00614125">
        <w:rPr>
          <w:rFonts w:ascii="Arial" w:hAnsi="Arial"/>
          <w:color w:val="000000" w:themeColor="text1"/>
        </w:rPr>
        <w:t xml:space="preserve">decomposition of UHC index, </w:t>
      </w:r>
      <w:r w:rsidR="007E610B" w:rsidRPr="00614125">
        <w:rPr>
          <w:rFonts w:ascii="Arial" w:hAnsi="Arial"/>
          <w:color w:val="000000" w:themeColor="text1"/>
        </w:rPr>
        <w:t xml:space="preserve">Econometric models, Out-of-pocket payments, </w:t>
      </w:r>
      <w:r w:rsidRPr="00614125">
        <w:rPr>
          <w:rFonts w:ascii="Arial" w:hAnsi="Arial"/>
          <w:color w:val="000000" w:themeColor="text1"/>
        </w:rPr>
        <w:t>Univer</w:t>
      </w:r>
      <w:r w:rsidR="00663235" w:rsidRPr="00614125">
        <w:rPr>
          <w:rFonts w:ascii="Arial" w:hAnsi="Arial"/>
          <w:color w:val="000000" w:themeColor="text1"/>
        </w:rPr>
        <w:t>sal health coverage, UHC index</w:t>
      </w:r>
    </w:p>
    <w:p w14:paraId="6E26E76F" w14:textId="77777777" w:rsidR="00282A93" w:rsidRPr="00614125" w:rsidRDefault="00282A93" w:rsidP="00337D8B">
      <w:pPr>
        <w:spacing w:before="120" w:after="120" w:line="360" w:lineRule="auto"/>
        <w:rPr>
          <w:rFonts w:ascii="Arial" w:hAnsi="Arial"/>
          <w:color w:val="000000" w:themeColor="text1"/>
        </w:rPr>
      </w:pPr>
    </w:p>
    <w:p w14:paraId="65897C71" w14:textId="3BB1067A" w:rsidR="00F77EB4" w:rsidRPr="00614125" w:rsidRDefault="00846DBE" w:rsidP="00337D8B">
      <w:pPr>
        <w:spacing w:before="120" w:after="120" w:line="360" w:lineRule="auto"/>
        <w:rPr>
          <w:rFonts w:ascii="Arial" w:hAnsi="Arial"/>
          <w:color w:val="000000" w:themeColor="text1"/>
        </w:rPr>
      </w:pPr>
      <w:r w:rsidRPr="00614125">
        <w:rPr>
          <w:rFonts w:ascii="Arial" w:hAnsi="Arial"/>
          <w:color w:val="000000" w:themeColor="text1"/>
        </w:rPr>
        <w:t>KEY POINTS FOR POLICY MAKERS</w:t>
      </w:r>
    </w:p>
    <w:p w14:paraId="5AD515C5" w14:textId="4C090384" w:rsidR="00846DBE" w:rsidRPr="00614125" w:rsidRDefault="007F3D00" w:rsidP="004E0F46">
      <w:pPr>
        <w:pStyle w:val="ListParagraph"/>
        <w:numPr>
          <w:ilvl w:val="0"/>
          <w:numId w:val="9"/>
        </w:numPr>
        <w:spacing w:before="120" w:after="120" w:line="360" w:lineRule="auto"/>
        <w:ind w:left="360"/>
        <w:rPr>
          <w:rFonts w:ascii="Arial" w:hAnsi="Arial"/>
          <w:color w:val="000000" w:themeColor="text1"/>
        </w:rPr>
      </w:pPr>
      <w:r w:rsidRPr="00614125">
        <w:rPr>
          <w:rFonts w:ascii="Arial" w:hAnsi="Arial"/>
          <w:color w:val="000000" w:themeColor="text1"/>
        </w:rPr>
        <w:t xml:space="preserve">This transparent Universal Health Coverage index </w:t>
      </w:r>
      <w:r w:rsidR="00864EF2" w:rsidRPr="00614125">
        <w:rPr>
          <w:rFonts w:ascii="Arial" w:hAnsi="Arial"/>
          <w:color w:val="000000" w:themeColor="text1"/>
        </w:rPr>
        <w:t xml:space="preserve">is </w:t>
      </w:r>
      <w:r w:rsidR="004E1752" w:rsidRPr="00614125">
        <w:rPr>
          <w:rFonts w:ascii="Arial" w:hAnsi="Arial"/>
          <w:color w:val="000000" w:themeColor="text1"/>
        </w:rPr>
        <w:t>convenient</w:t>
      </w:r>
      <w:r w:rsidRPr="00614125">
        <w:rPr>
          <w:rFonts w:ascii="Arial" w:hAnsi="Arial"/>
          <w:color w:val="000000" w:themeColor="text1"/>
        </w:rPr>
        <w:t xml:space="preserve"> to calculate using </w:t>
      </w:r>
      <w:r w:rsidR="008474CB" w:rsidRPr="00614125">
        <w:rPr>
          <w:rFonts w:ascii="Arial" w:hAnsi="Arial"/>
          <w:color w:val="000000" w:themeColor="text1"/>
        </w:rPr>
        <w:t>E</w:t>
      </w:r>
      <w:r w:rsidRPr="00614125">
        <w:rPr>
          <w:rFonts w:ascii="Arial" w:hAnsi="Arial"/>
          <w:color w:val="000000" w:themeColor="text1"/>
        </w:rPr>
        <w:t>xcel spreadsheet and without advance statistical knowledge.</w:t>
      </w:r>
      <w:r w:rsidR="00363107" w:rsidRPr="00614125">
        <w:rPr>
          <w:rFonts w:ascii="Arial" w:hAnsi="Arial"/>
          <w:color w:val="000000" w:themeColor="text1"/>
        </w:rPr>
        <w:t xml:space="preserve"> It thus can be useful for Ministry of Health</w:t>
      </w:r>
      <w:r w:rsidR="007B017E" w:rsidRPr="00614125">
        <w:rPr>
          <w:rFonts w:ascii="Arial" w:hAnsi="Arial"/>
          <w:color w:val="000000" w:themeColor="text1"/>
        </w:rPr>
        <w:t xml:space="preserve"> and other relevant stakeholders</w:t>
      </w:r>
      <w:r w:rsidR="00363107" w:rsidRPr="00614125">
        <w:rPr>
          <w:rFonts w:ascii="Arial" w:hAnsi="Arial"/>
          <w:color w:val="000000" w:themeColor="text1"/>
        </w:rPr>
        <w:t xml:space="preserve"> in the respective countries to monitor and assess </w:t>
      </w:r>
      <w:r w:rsidR="00864EF2" w:rsidRPr="00614125">
        <w:rPr>
          <w:rFonts w:ascii="Arial" w:hAnsi="Arial"/>
          <w:color w:val="000000" w:themeColor="text1"/>
        </w:rPr>
        <w:t xml:space="preserve">the status of universal health coverage, which is an important indicator of </w:t>
      </w:r>
      <w:r w:rsidR="004E1752" w:rsidRPr="00614125">
        <w:rPr>
          <w:rFonts w:ascii="Arial" w:hAnsi="Arial"/>
          <w:color w:val="000000" w:themeColor="text1"/>
        </w:rPr>
        <w:t xml:space="preserve">the journey towards </w:t>
      </w:r>
      <w:r w:rsidR="00864EF2" w:rsidRPr="00614125">
        <w:rPr>
          <w:rFonts w:ascii="Arial" w:hAnsi="Arial"/>
          <w:color w:val="000000" w:themeColor="text1"/>
        </w:rPr>
        <w:t xml:space="preserve">sustainable development goals. </w:t>
      </w:r>
      <w:r w:rsidRPr="00614125">
        <w:rPr>
          <w:rFonts w:ascii="Arial" w:hAnsi="Arial"/>
          <w:color w:val="000000" w:themeColor="text1"/>
        </w:rPr>
        <w:t xml:space="preserve">  </w:t>
      </w:r>
    </w:p>
    <w:p w14:paraId="1AFA27AD" w14:textId="1BCD9B96" w:rsidR="00846DBE" w:rsidRPr="00614125" w:rsidRDefault="00864EF2" w:rsidP="004E0F46">
      <w:pPr>
        <w:pStyle w:val="ListParagraph"/>
        <w:numPr>
          <w:ilvl w:val="0"/>
          <w:numId w:val="9"/>
        </w:numPr>
        <w:spacing w:before="120" w:after="120" w:line="360" w:lineRule="auto"/>
        <w:ind w:left="360"/>
        <w:rPr>
          <w:rFonts w:ascii="Arial" w:hAnsi="Arial"/>
          <w:color w:val="000000" w:themeColor="text1"/>
        </w:rPr>
      </w:pPr>
      <w:r w:rsidRPr="00614125">
        <w:rPr>
          <w:rFonts w:ascii="Arial" w:hAnsi="Arial"/>
          <w:color w:val="000000" w:themeColor="text1"/>
        </w:rPr>
        <w:t>The index specifically quantifies the contribution of p</w:t>
      </w:r>
      <w:r w:rsidR="007F3D00" w:rsidRPr="00614125">
        <w:rPr>
          <w:rFonts w:ascii="Arial" w:hAnsi="Arial"/>
          <w:color w:val="000000" w:themeColor="text1"/>
        </w:rPr>
        <w:t xml:space="preserve">opulation coverage, service coverage and financial protection </w:t>
      </w:r>
      <w:r w:rsidRPr="00614125">
        <w:rPr>
          <w:rFonts w:ascii="Arial" w:hAnsi="Arial"/>
          <w:color w:val="000000" w:themeColor="text1"/>
        </w:rPr>
        <w:t>to the</w:t>
      </w:r>
      <w:r w:rsidR="007F3D00" w:rsidRPr="00614125">
        <w:rPr>
          <w:rFonts w:ascii="Arial" w:hAnsi="Arial"/>
          <w:color w:val="000000" w:themeColor="text1"/>
        </w:rPr>
        <w:t xml:space="preserve"> </w:t>
      </w:r>
      <w:r w:rsidRPr="00614125">
        <w:rPr>
          <w:rFonts w:ascii="Arial" w:hAnsi="Arial"/>
          <w:color w:val="000000" w:themeColor="text1"/>
        </w:rPr>
        <w:t xml:space="preserve">achieved </w:t>
      </w:r>
      <w:r w:rsidR="007F3D00" w:rsidRPr="00614125">
        <w:rPr>
          <w:rFonts w:ascii="Arial" w:hAnsi="Arial"/>
          <w:color w:val="000000" w:themeColor="text1"/>
        </w:rPr>
        <w:t>UHC status of a country.</w:t>
      </w:r>
    </w:p>
    <w:p w14:paraId="2CE3A07F" w14:textId="39D6813D" w:rsidR="00846DBE" w:rsidRPr="00614125" w:rsidRDefault="007F3D00" w:rsidP="004E0F46">
      <w:pPr>
        <w:pStyle w:val="ListParagraph"/>
        <w:numPr>
          <w:ilvl w:val="0"/>
          <w:numId w:val="9"/>
        </w:numPr>
        <w:spacing w:before="120" w:after="120" w:line="360" w:lineRule="auto"/>
        <w:ind w:left="360"/>
        <w:rPr>
          <w:rFonts w:ascii="Arial" w:hAnsi="Arial"/>
          <w:color w:val="000000" w:themeColor="text1"/>
        </w:rPr>
      </w:pPr>
      <w:r w:rsidRPr="00614125">
        <w:rPr>
          <w:rFonts w:ascii="Arial" w:hAnsi="Arial"/>
          <w:color w:val="000000" w:themeColor="text1"/>
        </w:rPr>
        <w:t xml:space="preserve">Decomposition of the </w:t>
      </w:r>
      <w:r w:rsidR="00363107" w:rsidRPr="00614125">
        <w:rPr>
          <w:rFonts w:ascii="Arial" w:hAnsi="Arial"/>
          <w:color w:val="000000" w:themeColor="text1"/>
        </w:rPr>
        <w:t xml:space="preserve">UHC </w:t>
      </w:r>
      <w:r w:rsidRPr="00614125">
        <w:rPr>
          <w:rFonts w:ascii="Arial" w:hAnsi="Arial"/>
          <w:color w:val="000000" w:themeColor="text1"/>
        </w:rPr>
        <w:t>index</w:t>
      </w:r>
      <w:r w:rsidR="00363107" w:rsidRPr="00614125">
        <w:rPr>
          <w:rFonts w:ascii="Arial" w:hAnsi="Arial"/>
          <w:color w:val="000000" w:themeColor="text1"/>
        </w:rPr>
        <w:t xml:space="preserve"> shows how each socioeconomic group of populations contribute to the UHC status. Such decomposition is useful to ident</w:t>
      </w:r>
      <w:r w:rsidR="00864EF2" w:rsidRPr="00614125">
        <w:rPr>
          <w:rFonts w:ascii="Arial" w:hAnsi="Arial"/>
          <w:color w:val="000000" w:themeColor="text1"/>
        </w:rPr>
        <w:t>ify the population groups with higher need of</w:t>
      </w:r>
      <w:r w:rsidR="00363107" w:rsidRPr="00614125">
        <w:rPr>
          <w:rFonts w:ascii="Arial" w:hAnsi="Arial"/>
          <w:color w:val="000000" w:themeColor="text1"/>
        </w:rPr>
        <w:t xml:space="preserve"> health intervention</w:t>
      </w:r>
      <w:r w:rsidR="00864EF2" w:rsidRPr="00614125">
        <w:rPr>
          <w:rFonts w:ascii="Arial" w:hAnsi="Arial"/>
          <w:color w:val="000000" w:themeColor="text1"/>
        </w:rPr>
        <w:t>s</w:t>
      </w:r>
      <w:r w:rsidR="00285769" w:rsidRPr="00614125">
        <w:rPr>
          <w:rFonts w:ascii="Arial" w:hAnsi="Arial"/>
          <w:color w:val="000000" w:themeColor="text1"/>
        </w:rPr>
        <w:t xml:space="preserve"> for achieving UHC</w:t>
      </w:r>
      <w:r w:rsidR="00864EF2" w:rsidRPr="00614125">
        <w:rPr>
          <w:rFonts w:ascii="Arial" w:hAnsi="Arial"/>
          <w:color w:val="000000" w:themeColor="text1"/>
        </w:rPr>
        <w:t>.</w:t>
      </w:r>
      <w:r w:rsidR="000A7853" w:rsidRPr="00614125">
        <w:rPr>
          <w:rFonts w:ascii="Arial" w:hAnsi="Arial"/>
          <w:color w:val="000000" w:themeColor="text1"/>
        </w:rPr>
        <w:t xml:space="preserve"> </w:t>
      </w:r>
      <w:r w:rsidR="00363107" w:rsidRPr="00614125">
        <w:rPr>
          <w:rFonts w:ascii="Arial" w:hAnsi="Arial"/>
          <w:color w:val="000000" w:themeColor="text1"/>
        </w:rPr>
        <w:t xml:space="preserve"> </w:t>
      </w:r>
      <w:r w:rsidRPr="00614125">
        <w:rPr>
          <w:rFonts w:ascii="Arial" w:hAnsi="Arial"/>
          <w:color w:val="000000" w:themeColor="text1"/>
        </w:rPr>
        <w:t xml:space="preserve"> </w:t>
      </w:r>
    </w:p>
    <w:p w14:paraId="6677E346" w14:textId="77777777" w:rsidR="00F77EB4" w:rsidRPr="00614125" w:rsidRDefault="00F77EB4" w:rsidP="00337D8B">
      <w:pPr>
        <w:spacing w:before="120" w:after="120" w:line="360" w:lineRule="auto"/>
        <w:rPr>
          <w:rFonts w:ascii="Arial" w:hAnsi="Arial"/>
          <w:color w:val="000000" w:themeColor="text1"/>
        </w:rPr>
      </w:pPr>
    </w:p>
    <w:p w14:paraId="15FEAAFD" w14:textId="7344EEA3" w:rsidR="007E3967" w:rsidRPr="00614125" w:rsidRDefault="00040E26" w:rsidP="002159FE">
      <w:pPr>
        <w:rPr>
          <w:rFonts w:ascii="Arial" w:hAnsi="Arial"/>
          <w:color w:val="000000" w:themeColor="text1"/>
        </w:rPr>
      </w:pPr>
      <w:r w:rsidRPr="00614125">
        <w:rPr>
          <w:rFonts w:ascii="Arial" w:hAnsi="Arial"/>
          <w:color w:val="000000" w:themeColor="text1"/>
        </w:rPr>
        <w:br w:type="page"/>
      </w:r>
      <w:r w:rsidR="007E3967" w:rsidRPr="00614125">
        <w:rPr>
          <w:rFonts w:ascii="Arial" w:hAnsi="Arial"/>
          <w:color w:val="000000" w:themeColor="text1"/>
        </w:rPr>
        <w:lastRenderedPageBreak/>
        <w:t>INTRODUCTION</w:t>
      </w:r>
    </w:p>
    <w:p w14:paraId="6591306E" w14:textId="24CD037B" w:rsidR="00FA23CD" w:rsidRPr="00614125" w:rsidRDefault="00727B74" w:rsidP="00FA23CD">
      <w:pPr>
        <w:widowControl w:val="0"/>
        <w:autoSpaceDE w:val="0"/>
        <w:autoSpaceDN w:val="0"/>
        <w:adjustRightInd w:val="0"/>
        <w:spacing w:before="120" w:after="120" w:line="360" w:lineRule="auto"/>
        <w:jc w:val="both"/>
        <w:rPr>
          <w:rFonts w:ascii="Arial" w:hAnsi="Arial" w:cs="Times New Roman"/>
          <w:color w:val="000000" w:themeColor="text1"/>
        </w:rPr>
      </w:pPr>
      <w:r w:rsidRPr="00614125">
        <w:rPr>
          <w:rFonts w:ascii="Arial" w:hAnsi="Arial" w:cs="Times New Roman"/>
          <w:color w:val="000000" w:themeColor="text1"/>
        </w:rPr>
        <w:t>Health and Wellbeing as one</w:t>
      </w:r>
      <w:r w:rsidR="007B04CA" w:rsidRPr="00614125">
        <w:rPr>
          <w:rFonts w:ascii="Arial" w:hAnsi="Arial" w:cs="Times New Roman"/>
          <w:color w:val="000000" w:themeColor="text1"/>
        </w:rPr>
        <w:t xml:space="preserve"> of</w:t>
      </w:r>
      <w:r w:rsidRPr="00614125">
        <w:rPr>
          <w:rFonts w:ascii="Arial" w:hAnsi="Arial" w:cs="Times New Roman"/>
          <w:color w:val="000000" w:themeColor="text1"/>
        </w:rPr>
        <w:t xml:space="preserve"> the Sustainable Development Goals </w:t>
      </w:r>
      <w:r w:rsidR="00CA0527" w:rsidRPr="00614125">
        <w:rPr>
          <w:rFonts w:ascii="Arial" w:hAnsi="Arial" w:cs="Times New Roman"/>
          <w:color w:val="000000" w:themeColor="text1"/>
        </w:rPr>
        <w:t xml:space="preserve">(SDGs) </w:t>
      </w:r>
      <w:r w:rsidR="00CA0527" w:rsidRPr="00614125">
        <w:rPr>
          <w:rFonts w:ascii="Arial" w:hAnsi="Arial" w:cs="Times New Roman"/>
          <w:noProof/>
          <w:color w:val="000000" w:themeColor="text1"/>
        </w:rPr>
        <w:t>require</w:t>
      </w:r>
      <w:r w:rsidR="00CA0527" w:rsidRPr="00614125">
        <w:rPr>
          <w:rFonts w:ascii="Arial" w:hAnsi="Arial" w:cs="Times New Roman"/>
          <w:color w:val="000000" w:themeColor="text1"/>
        </w:rPr>
        <w:t xml:space="preserve"> </w:t>
      </w:r>
      <w:r w:rsidRPr="00614125">
        <w:rPr>
          <w:rFonts w:ascii="Arial" w:hAnsi="Arial" w:cs="Times New Roman"/>
          <w:color w:val="000000" w:themeColor="text1"/>
        </w:rPr>
        <w:t xml:space="preserve">achieving </w:t>
      </w:r>
      <w:r w:rsidR="00CA0527" w:rsidRPr="00614125">
        <w:rPr>
          <w:rFonts w:ascii="Arial" w:hAnsi="Arial" w:cs="Times New Roman"/>
          <w:color w:val="000000" w:themeColor="text1"/>
        </w:rPr>
        <w:t>U</w:t>
      </w:r>
      <w:r w:rsidRPr="00614125">
        <w:rPr>
          <w:rFonts w:ascii="Arial" w:hAnsi="Arial" w:cs="Times New Roman"/>
          <w:color w:val="000000" w:themeColor="text1"/>
        </w:rPr>
        <w:t xml:space="preserve">niversal </w:t>
      </w:r>
      <w:r w:rsidR="00CA0527" w:rsidRPr="00614125">
        <w:rPr>
          <w:rFonts w:ascii="Arial" w:hAnsi="Arial" w:cs="Times New Roman"/>
          <w:color w:val="000000" w:themeColor="text1"/>
        </w:rPr>
        <w:t>H</w:t>
      </w:r>
      <w:r w:rsidRPr="00614125">
        <w:rPr>
          <w:rFonts w:ascii="Arial" w:hAnsi="Arial" w:cs="Times New Roman"/>
          <w:color w:val="000000" w:themeColor="text1"/>
        </w:rPr>
        <w:t xml:space="preserve">ealth </w:t>
      </w:r>
      <w:r w:rsidR="00CA0527" w:rsidRPr="00614125">
        <w:rPr>
          <w:rFonts w:ascii="Arial" w:hAnsi="Arial" w:cs="Times New Roman"/>
          <w:color w:val="000000" w:themeColor="text1"/>
        </w:rPr>
        <w:t>C</w:t>
      </w:r>
      <w:r w:rsidRPr="00614125">
        <w:rPr>
          <w:rFonts w:ascii="Arial" w:hAnsi="Arial" w:cs="Times New Roman"/>
          <w:color w:val="000000" w:themeColor="text1"/>
        </w:rPr>
        <w:t>overage (UHC), meaning that all people must have access to health care when needed</w:t>
      </w:r>
      <w:r w:rsidR="00CA0527" w:rsidRPr="00614125">
        <w:rPr>
          <w:rFonts w:ascii="Arial" w:hAnsi="Arial" w:cs="Times New Roman"/>
          <w:color w:val="000000" w:themeColor="text1"/>
        </w:rPr>
        <w:t>, and</w:t>
      </w:r>
      <w:r w:rsidRPr="00614125">
        <w:rPr>
          <w:rFonts w:ascii="Arial" w:hAnsi="Arial" w:cs="Times New Roman"/>
          <w:color w:val="000000" w:themeColor="text1"/>
        </w:rPr>
        <w:t xml:space="preserve"> at an affordable price</w:t>
      </w:r>
      <w:r w:rsidR="00604FF7" w:rsidRPr="00614125">
        <w:rPr>
          <w:rFonts w:ascii="Arial" w:hAnsi="Arial" w:cs="Times New Roman"/>
          <w:color w:val="000000" w:themeColor="text1"/>
        </w:rPr>
        <w:t xml:space="preserve"> </w:t>
      </w:r>
      <w:r w:rsidR="00604FF7"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{"citationItems":[{"id":"ITEM-1","itemData":{"DOI":"10.2471/BLT.16.187476","ISSN":"15640604","PMID":"28670019","abstract":"The 2030 agenda for sustainable development is an opportunity for governments and the international community to renew their commitment to improving health as a central component of development. 1 The accompanying 17 sustainable development goals (SDGs) define the priority areas of action. 2 Goal 3 (to ensure healthy lives and promote well-being for all at all ages), with Target 3.8 on universal health coverage (UHC), emphasize the importance of all people and communities having access to quality health services without risking financial hardship. 2 These health services include those targeting individuals, such as curative care and population-based services, such as health promotion. 3 Achieving UHC is an important objective for all countries to attain equitable and sustainable health outcomes and improve the wellbeing of individuals and communities. 4,5 Health system strengthening is a means to progress toward UHC. A functioning health","author":[{"dropping-particle":"","family":"Kieny","given":"Marie Paule","non-dropping-particle":"","parse-names":false,"suffix":""},{"dropping-particle":"","family":"Bekedam","given":"Henk","non-dropping-particle":"","parse-names":false,"suffix":""},{"dropping-particle":"","family":"Dovlo","given":"Delanyo","non-dropping-particle":"","parse-names":false,"suffix":""},{"dropping-particle":"","family":"Fitzgerald","given":"James","non-dropping-particle":"","parse-names":false,"suffix":""},{"dropping-particle":"","family":"Habicht","given":"Jarno","non-dropping-particle":"","parse-names":false,"suffix":""},{"dropping-particle":"","family":"Harrison","given":"Graham","non-dropping-particle":"","parse-names":false,"suffix":""},{"dropping-particle":"","family":"Kluge","given":"Hans","non-dropping-particle":"","parse-names":false,"suffix":""},{"dropping-particle":"","family":"Lin","given":"Vivian","non-dropping-particle":"","parse-names":false,"suffix":""},{"dropping-particle":"","family":"Menabde","given":"Natela","non-dropping-particle":"","parse-names":false,"suffix":""},{"dropping-particle":"","family":"Mirza","given":"Zafar","non-dropping-particle":"","parse-names":false,"suffix":""},{"dropping-particle":"","family":"Siddiqi","given":"Sameen","non-dropping-particle":"","parse-names":false,"suffix":""},{"dropping-particle":"","family":"Travis","given":"Phyllida","non-dropping-particle":"","parse-names":false,"suffix":""}],"container-title":"Bulletin of the World Health Organization","id":"ITEM-1","issue":"7","issued":{"date-parts":[["2017"]]},"page":"537-539","title":"Strengthening health systems for universal health coverage and sustainable development","type":"article-journal","volume":"95"},"uris":["http://www.mendeley.com/documents/?uuid=6992c658-68af-4735-9f9d-abc0fd4af20b"]}],"mendeley":{"formattedCitation":"[1]","plainTextFormattedCitation":"[1]","previouslyFormattedCitation":"[1]"},"properties":{"noteIndex":0},"schema":"https://github.com/citation-style-language/schema/raw/master/csl-citation.json"}</w:instrText>
      </w:r>
      <w:r w:rsidR="00604FF7"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[1]</w:t>
      </w:r>
      <w:r w:rsidR="00604FF7" w:rsidRPr="00614125">
        <w:rPr>
          <w:rFonts w:ascii="Arial" w:hAnsi="Arial" w:cs="Times New Roman"/>
          <w:color w:val="000000" w:themeColor="text1"/>
        </w:rPr>
        <w:fldChar w:fldCharType="end"/>
      </w:r>
      <w:r w:rsidR="00D667B0" w:rsidRPr="00614125">
        <w:rPr>
          <w:rFonts w:ascii="Arial" w:hAnsi="Arial" w:cs="Times New Roman"/>
          <w:color w:val="000000" w:themeColor="text1"/>
        </w:rPr>
        <w:t xml:space="preserve">. </w:t>
      </w:r>
      <w:r w:rsidR="008528D5" w:rsidRPr="00614125">
        <w:rPr>
          <w:rFonts w:ascii="Arial" w:hAnsi="Arial" w:cs="Times New Roman"/>
          <w:color w:val="000000" w:themeColor="text1"/>
        </w:rPr>
        <w:t xml:space="preserve">In response to </w:t>
      </w:r>
      <w:r w:rsidR="00CA0527" w:rsidRPr="00614125">
        <w:rPr>
          <w:rFonts w:ascii="Arial" w:hAnsi="Arial" w:cs="Times New Roman"/>
          <w:color w:val="000000" w:themeColor="text1"/>
        </w:rPr>
        <w:t xml:space="preserve">the </w:t>
      </w:r>
      <w:r w:rsidR="008528D5" w:rsidRPr="00614125">
        <w:rPr>
          <w:rFonts w:ascii="Arial" w:hAnsi="Arial" w:cs="Times New Roman"/>
          <w:color w:val="000000" w:themeColor="text1"/>
        </w:rPr>
        <w:t xml:space="preserve">UHC </w:t>
      </w:r>
      <w:r w:rsidR="00CA0527" w:rsidRPr="00614125">
        <w:rPr>
          <w:rFonts w:ascii="Arial" w:hAnsi="Arial" w:cs="Times New Roman"/>
          <w:color w:val="000000" w:themeColor="text1"/>
        </w:rPr>
        <w:t>objective</w:t>
      </w:r>
      <w:r w:rsidR="008528D5" w:rsidRPr="00614125">
        <w:rPr>
          <w:rFonts w:ascii="Arial" w:hAnsi="Arial" w:cs="Times New Roman"/>
          <w:color w:val="000000" w:themeColor="text1"/>
        </w:rPr>
        <w:t xml:space="preserve">, several countries </w:t>
      </w:r>
      <w:r w:rsidR="00CA0527" w:rsidRPr="00614125">
        <w:rPr>
          <w:rFonts w:ascii="Arial" w:hAnsi="Arial" w:cs="Times New Roman"/>
          <w:color w:val="000000" w:themeColor="text1"/>
        </w:rPr>
        <w:t xml:space="preserve">have </w:t>
      </w:r>
      <w:r w:rsidR="008528D5" w:rsidRPr="00614125">
        <w:rPr>
          <w:rFonts w:ascii="Arial" w:hAnsi="Arial" w:cs="Times New Roman"/>
          <w:color w:val="000000" w:themeColor="text1"/>
        </w:rPr>
        <w:t xml:space="preserve">developed monitoring and evaluation tools to </w:t>
      </w:r>
      <w:r w:rsidR="00CA0527" w:rsidRPr="00614125">
        <w:rPr>
          <w:rFonts w:ascii="Arial" w:hAnsi="Arial" w:cs="Times New Roman"/>
          <w:color w:val="000000" w:themeColor="text1"/>
        </w:rPr>
        <w:t>measure their progress</w:t>
      </w:r>
      <w:r w:rsidR="008528D5" w:rsidRPr="00614125">
        <w:rPr>
          <w:rFonts w:ascii="Arial" w:hAnsi="Arial" w:cs="Times New Roman"/>
          <w:color w:val="000000" w:themeColor="text1"/>
        </w:rPr>
        <w:t xml:space="preserve"> </w:t>
      </w:r>
      <w:r w:rsidR="00CA0527" w:rsidRPr="00614125">
        <w:rPr>
          <w:rFonts w:ascii="Arial" w:hAnsi="Arial" w:cs="Times New Roman"/>
          <w:color w:val="000000" w:themeColor="text1"/>
        </w:rPr>
        <w:t xml:space="preserve">in </w:t>
      </w:r>
      <w:r w:rsidR="008E3CE5" w:rsidRPr="00614125">
        <w:rPr>
          <w:rFonts w:ascii="Arial" w:hAnsi="Arial" w:cs="Times New Roman"/>
          <w:color w:val="000000" w:themeColor="text1"/>
        </w:rPr>
        <w:t xml:space="preserve">achieving </w:t>
      </w:r>
      <w:r w:rsidR="00A66E4E" w:rsidRPr="00614125">
        <w:rPr>
          <w:rFonts w:ascii="Arial" w:hAnsi="Arial" w:cs="Times New Roman"/>
          <w:color w:val="000000" w:themeColor="text1"/>
        </w:rPr>
        <w:t>UHC</w:t>
      </w:r>
      <w:r w:rsidR="00AB37E0" w:rsidRPr="00614125">
        <w:rPr>
          <w:rFonts w:ascii="Arial" w:hAnsi="Arial" w:cs="Times New Roman"/>
          <w:color w:val="000000" w:themeColor="text1"/>
        </w:rPr>
        <w:t xml:space="preserve"> </w:t>
      </w:r>
      <w:r w:rsidR="00AB37E0"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DOI":"10.1371/journal.pmed.1001722","ISSN":"1549-1676","PMID":"25244599","author":[{"dropping-particle":"","family":"Huda","given":"Tanvir","non-dropping-particle":"","parse-names":false,"suffix":""},{"dropping-particle":"","family":"Khan","given":"Jahangir A M","non-dropping-particle":"","parse-names":false,"suffix":""},{"dropping-particle":"","family":"Ahsan","given":"Karar Zunaid","non-dropping-particle":"","parse-names":false,"suffix":""},{"dropping-particle":"","family":"Jamil","given":"Kanta","non-dropping-particle":"","parse-names":false,"suffix":""},{"dropping-particle":"","family":"Arifeen","given":"Shams","non-dropping-particle":"El","parse-names":false,"suffix":""}],"container-title":"PLoS medicine","id":"ITEM-1","issue":"9","issued":{"date-parts":[["2014","9"]]},"page":"e1001722","title":"Monitoring and evaluating progress towards Universal Health Coverage in Bangladesh.","type":"article-journal","volume":"11"},"uris":["http://www.mendeley.com/documents/?uuid=f39ec8c0-517d-4df9-bae5-4797516ecb88"]},{"id":"ITEM-2","itemData":{"DOI":"10.1371/journal.pmed.1001691","ISBN":"1549-1676 (Electronic)\\r1549-1277 (Linking)","ISSN":"1549-1676","PMID":"25243585","abstract":"&lt;sec&gt; &lt;title&gt;&lt;/title&gt; &lt;p&gt;This paper is a country case study for the Universal Health Coverage Collection, organized by WHO. Walaiporn Patcharanarumol and colleagues illustrate progress towards UHC and its monitoring and evaluation in Thailand.&lt;/p&gt; &lt;p&gt;&lt;italic&gt;Please see later in the article for the Editors' Summary&lt;/italic&gt;&lt;/p&gt; &lt;/sec&gt;","author":[{"dropping-particle":"","family":"Nyonator","given":"Frank","non-dropping-particle":"","parse-names":false,"suffix":""},{"dropping-particle":"","family":"Ofosu","given":"Anthony","non-dropping-particle":"","parse-names":false,"suffix":""},{"dropping-particle":"","family":"Segbafah","given":"Mabel","non-dropping-particle":"","parse-names":false,"suffix":""},{"dropping-particle":"","family":"D'Almeida","given":"Selassi","non-dropping-particle":"","parse-names":false,"suffix":""}],"container-title":"PLoS medicine","id":"ITEM-2","issue":"9","issued":{"date-parts":[["2014","9"]]},"page":"e1001691","title":"Monitoring and evaluating progress towards Universal Health Coverage in Ghana.","type":"article-journal","volume":"11"},"uris":["http://www.mendeley.com/documents/?uuid=a030bbd8-a525-44b8-a277-1d41e831345c"]}],"mendeley":{"formattedCitation":"[2,3]","plainTextFormattedCitation":"[2,3]","previouslyFormattedCitation":"[2,3]"},"properties":{"noteIndex":0},"schema":"https://github.com/citation-style-language/schema/raw/master/csl-citation.json"}</w:instrText>
      </w:r>
      <w:r w:rsidR="00AB37E0"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[2,3]</w:t>
      </w:r>
      <w:r w:rsidR="00AB37E0" w:rsidRPr="00614125">
        <w:rPr>
          <w:rFonts w:ascii="Arial" w:hAnsi="Arial" w:cs="Times New Roman"/>
          <w:color w:val="000000" w:themeColor="text1"/>
        </w:rPr>
        <w:fldChar w:fldCharType="end"/>
      </w:r>
      <w:r w:rsidR="00880D90" w:rsidRPr="00614125">
        <w:rPr>
          <w:rFonts w:ascii="Arial" w:hAnsi="Arial" w:cs="Times New Roman"/>
          <w:color w:val="000000" w:themeColor="text1"/>
        </w:rPr>
        <w:t xml:space="preserve"> </w:t>
      </w:r>
      <w:r w:rsidR="008528D5" w:rsidRPr="00614125">
        <w:rPr>
          <w:rFonts w:ascii="Arial" w:hAnsi="Arial" w:cs="Times New Roman"/>
          <w:color w:val="000000" w:themeColor="text1"/>
        </w:rPr>
        <w:t xml:space="preserve">. </w:t>
      </w:r>
      <w:r w:rsidR="00A66E4E" w:rsidRPr="00614125">
        <w:rPr>
          <w:rFonts w:ascii="Arial" w:hAnsi="Arial" w:cs="Times New Roman"/>
          <w:color w:val="000000" w:themeColor="text1"/>
        </w:rPr>
        <w:t xml:space="preserve">Such tools </w:t>
      </w:r>
      <w:r w:rsidR="008E3CE5" w:rsidRPr="00614125">
        <w:rPr>
          <w:rFonts w:ascii="Arial" w:hAnsi="Arial" w:cs="Times New Roman"/>
          <w:color w:val="000000" w:themeColor="text1"/>
        </w:rPr>
        <w:t xml:space="preserve">often </w:t>
      </w:r>
      <w:r w:rsidR="00A66E4E" w:rsidRPr="00614125">
        <w:rPr>
          <w:rFonts w:ascii="Arial" w:hAnsi="Arial" w:cs="Times New Roman"/>
          <w:color w:val="000000" w:themeColor="text1"/>
        </w:rPr>
        <w:t>include</w:t>
      </w:r>
      <w:r w:rsidR="001F317D" w:rsidRPr="00614125">
        <w:rPr>
          <w:rFonts w:ascii="Arial" w:hAnsi="Arial" w:cs="Times New Roman"/>
          <w:color w:val="000000" w:themeColor="text1"/>
        </w:rPr>
        <w:t xml:space="preserve"> a</w:t>
      </w:r>
      <w:r w:rsidR="008528D5" w:rsidRPr="00614125">
        <w:rPr>
          <w:rFonts w:ascii="Arial" w:hAnsi="Arial" w:cs="Times New Roman"/>
          <w:color w:val="000000" w:themeColor="text1"/>
        </w:rPr>
        <w:t xml:space="preserve"> </w:t>
      </w:r>
      <w:r w:rsidR="008E3CE5" w:rsidRPr="00614125">
        <w:rPr>
          <w:rFonts w:ascii="Arial" w:hAnsi="Arial" w:cs="Times New Roman"/>
          <w:color w:val="000000" w:themeColor="text1"/>
        </w:rPr>
        <w:t xml:space="preserve">large number of </w:t>
      </w:r>
      <w:r w:rsidR="00A66E4E" w:rsidRPr="00614125">
        <w:rPr>
          <w:rFonts w:ascii="Arial" w:hAnsi="Arial" w:cs="Times New Roman"/>
          <w:color w:val="000000" w:themeColor="text1"/>
        </w:rPr>
        <w:t>indicators</w:t>
      </w:r>
      <w:r w:rsidR="00CA0527" w:rsidRPr="00614125">
        <w:rPr>
          <w:rFonts w:ascii="Arial" w:hAnsi="Arial" w:cs="Times New Roman"/>
          <w:color w:val="000000" w:themeColor="text1"/>
        </w:rPr>
        <w:t>,</w:t>
      </w:r>
      <w:r w:rsidR="008528D5" w:rsidRPr="00614125">
        <w:rPr>
          <w:rFonts w:ascii="Arial" w:hAnsi="Arial" w:cs="Times New Roman"/>
          <w:color w:val="000000" w:themeColor="text1"/>
        </w:rPr>
        <w:t xml:space="preserve"> </w:t>
      </w:r>
      <w:r w:rsidR="00CA0527" w:rsidRPr="00614125">
        <w:rPr>
          <w:rFonts w:ascii="Arial" w:hAnsi="Arial" w:cs="Times New Roman"/>
          <w:color w:val="000000" w:themeColor="text1"/>
        </w:rPr>
        <w:t xml:space="preserve">causing </w:t>
      </w:r>
      <w:r w:rsidR="008528D5" w:rsidRPr="00614125">
        <w:rPr>
          <w:rFonts w:ascii="Arial" w:hAnsi="Arial" w:cs="Times New Roman"/>
          <w:color w:val="000000" w:themeColor="text1"/>
        </w:rPr>
        <w:t>difficult</w:t>
      </w:r>
      <w:r w:rsidR="00CA0527" w:rsidRPr="00614125">
        <w:rPr>
          <w:rFonts w:ascii="Arial" w:hAnsi="Arial" w:cs="Times New Roman"/>
          <w:color w:val="000000" w:themeColor="text1"/>
        </w:rPr>
        <w:t>y</w:t>
      </w:r>
      <w:r w:rsidR="008528D5" w:rsidRPr="00614125">
        <w:rPr>
          <w:rFonts w:ascii="Arial" w:hAnsi="Arial" w:cs="Times New Roman"/>
          <w:color w:val="000000" w:themeColor="text1"/>
        </w:rPr>
        <w:t xml:space="preserve"> </w:t>
      </w:r>
      <w:r w:rsidR="00CA0527" w:rsidRPr="00614125">
        <w:rPr>
          <w:rFonts w:ascii="Arial" w:hAnsi="Arial" w:cs="Times New Roman"/>
          <w:color w:val="000000" w:themeColor="text1"/>
        </w:rPr>
        <w:t xml:space="preserve">in </w:t>
      </w:r>
      <w:r w:rsidR="00AC1806" w:rsidRPr="00614125">
        <w:rPr>
          <w:rFonts w:ascii="Arial" w:hAnsi="Arial" w:cs="Times New Roman"/>
          <w:color w:val="000000" w:themeColor="text1"/>
        </w:rPr>
        <w:t>compar</w:t>
      </w:r>
      <w:r w:rsidR="00CA0527" w:rsidRPr="00614125">
        <w:rPr>
          <w:rFonts w:ascii="Arial" w:hAnsi="Arial" w:cs="Times New Roman"/>
          <w:color w:val="000000" w:themeColor="text1"/>
        </w:rPr>
        <w:t>ing</w:t>
      </w:r>
      <w:r w:rsidR="00AC1806" w:rsidRPr="00614125">
        <w:rPr>
          <w:rFonts w:ascii="Arial" w:hAnsi="Arial" w:cs="Times New Roman"/>
          <w:color w:val="000000" w:themeColor="text1"/>
        </w:rPr>
        <w:t xml:space="preserve"> </w:t>
      </w:r>
      <w:r w:rsidR="008528D5" w:rsidRPr="00614125">
        <w:rPr>
          <w:rFonts w:ascii="Arial" w:hAnsi="Arial" w:cs="Times New Roman"/>
          <w:color w:val="000000" w:themeColor="text1"/>
        </w:rPr>
        <w:t xml:space="preserve">the </w:t>
      </w:r>
      <w:r w:rsidR="00F12682" w:rsidRPr="00614125">
        <w:rPr>
          <w:rFonts w:ascii="Arial" w:hAnsi="Arial" w:cs="Times New Roman"/>
          <w:color w:val="000000" w:themeColor="text1"/>
        </w:rPr>
        <w:t xml:space="preserve">status of </w:t>
      </w:r>
      <w:r w:rsidR="008528D5" w:rsidRPr="00614125">
        <w:rPr>
          <w:rFonts w:ascii="Arial" w:hAnsi="Arial" w:cs="Times New Roman"/>
          <w:color w:val="000000" w:themeColor="text1"/>
        </w:rPr>
        <w:t xml:space="preserve">UHC </w:t>
      </w:r>
      <w:r w:rsidR="00F12682" w:rsidRPr="00614125">
        <w:rPr>
          <w:rFonts w:ascii="Arial" w:hAnsi="Arial" w:cs="Times New Roman"/>
          <w:color w:val="000000" w:themeColor="text1"/>
        </w:rPr>
        <w:t xml:space="preserve">across countries </w:t>
      </w:r>
      <w:r w:rsidR="00A66E4E" w:rsidRPr="00614125">
        <w:rPr>
          <w:rFonts w:ascii="Arial" w:hAnsi="Arial" w:cs="Times New Roman"/>
          <w:color w:val="000000" w:themeColor="text1"/>
        </w:rPr>
        <w:t xml:space="preserve">over </w:t>
      </w:r>
      <w:r w:rsidR="00CA0527" w:rsidRPr="00614125">
        <w:rPr>
          <w:rFonts w:ascii="Arial" w:hAnsi="Arial" w:cs="Times New Roman"/>
          <w:color w:val="000000" w:themeColor="text1"/>
        </w:rPr>
        <w:t xml:space="preserve">different time </w:t>
      </w:r>
      <w:r w:rsidR="00A66E4E" w:rsidRPr="00614125">
        <w:rPr>
          <w:rFonts w:ascii="Arial" w:hAnsi="Arial" w:cs="Times New Roman"/>
          <w:color w:val="000000" w:themeColor="text1"/>
        </w:rPr>
        <w:t>periods</w:t>
      </w:r>
      <w:r w:rsidR="00AB37E0" w:rsidRPr="00614125">
        <w:rPr>
          <w:rFonts w:ascii="Arial" w:hAnsi="Arial" w:cs="Times New Roman"/>
          <w:color w:val="000000" w:themeColor="text1"/>
        </w:rPr>
        <w:t xml:space="preserve"> </w:t>
      </w:r>
      <w:r w:rsidR="00AB37E0"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DOI":"10.1371/journal.pmed.1001722","ISSN":"1549-1676","PMID":"25244599","author":[{"dropping-particle":"","family":"Huda","given":"Tanvir","non-dropping-particle":"","parse-names":false,"suffix":""},{"dropping-particle":"","family":"Khan","given":"Jahangir A M","non-dropping-particle":"","parse-names":false,"suffix":""},{"dropping-particle":"","family":"Ahsan","given":"Karar Zunaid","non-dropping-particle":"","parse-names":false,"suffix":""},{"dropping-particle":"","family":"Jamil","given":"Kanta","non-dropping-particle":"","parse-names":false,"suffix":""},{"dropping-particle":"","family":"Arifeen","given":"Shams","non-dropping-particle":"El","parse-names":false,"suffix":""}],"container-title":"PLoS medicine","id":"ITEM-1","issue":"9","issued":{"date-parts":[["2014","9"]]},"page":"e1001722","title":"Monitoring and evaluating progress towards Universal Health Coverage in Bangladesh.","type":"article-journal","volume":"11"},"uris":["http://www.mendeley.com/documents/?uuid=f39ec8c0-517d-4df9-bae5-4797516ecb88"]}],"mendeley":{"formattedCitation":"[2]","plainTextFormattedCitation":"[2]","previouslyFormattedCitation":"[2]"},"properties":{"noteIndex":0},"schema":"https://github.com/citation-style-language/schema/raw/master/csl-citation.json"}</w:instrText>
      </w:r>
      <w:r w:rsidR="00AB37E0"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[2]</w:t>
      </w:r>
      <w:r w:rsidR="00AB37E0" w:rsidRPr="00614125">
        <w:rPr>
          <w:rFonts w:ascii="Arial" w:hAnsi="Arial" w:cs="Times New Roman"/>
          <w:color w:val="000000" w:themeColor="text1"/>
        </w:rPr>
        <w:fldChar w:fldCharType="end"/>
      </w:r>
      <w:r w:rsidR="00880D90" w:rsidRPr="00614125">
        <w:rPr>
          <w:rFonts w:ascii="Arial" w:hAnsi="Arial" w:cs="Times New Roman"/>
          <w:color w:val="000000" w:themeColor="text1"/>
        </w:rPr>
        <w:t xml:space="preserve"> </w:t>
      </w:r>
      <w:r w:rsidR="008E3CE5" w:rsidRPr="00614125">
        <w:rPr>
          <w:rFonts w:ascii="Arial" w:hAnsi="Arial" w:cs="Times New Roman"/>
          <w:color w:val="000000" w:themeColor="text1"/>
        </w:rPr>
        <w:t xml:space="preserve">. </w:t>
      </w:r>
      <w:r w:rsidR="002D3F36" w:rsidRPr="00614125">
        <w:rPr>
          <w:rFonts w:ascii="Arial" w:hAnsi="Arial" w:cs="Times New Roman"/>
          <w:color w:val="000000" w:themeColor="text1"/>
        </w:rPr>
        <w:t xml:space="preserve">Furthermore, </w:t>
      </w:r>
      <w:r w:rsidR="00AC1806" w:rsidRPr="00614125">
        <w:rPr>
          <w:rFonts w:ascii="Arial" w:hAnsi="Arial" w:cs="Times New Roman"/>
          <w:color w:val="000000" w:themeColor="text1"/>
        </w:rPr>
        <w:t xml:space="preserve">even </w:t>
      </w:r>
      <w:r w:rsidR="0046140F" w:rsidRPr="00614125">
        <w:rPr>
          <w:rFonts w:ascii="Arial" w:hAnsi="Arial" w:cs="Times New Roman"/>
          <w:color w:val="000000" w:themeColor="text1"/>
        </w:rPr>
        <w:t xml:space="preserve">the </w:t>
      </w:r>
      <w:r w:rsidR="00AC1806" w:rsidRPr="00614125">
        <w:rPr>
          <w:rFonts w:ascii="Arial" w:hAnsi="Arial" w:cs="Times New Roman"/>
          <w:color w:val="000000" w:themeColor="text1"/>
        </w:rPr>
        <w:t xml:space="preserve">same </w:t>
      </w:r>
      <w:r w:rsidR="00523C3C" w:rsidRPr="00614125">
        <w:rPr>
          <w:rFonts w:ascii="Arial" w:hAnsi="Arial" w:cs="Times New Roman"/>
          <w:color w:val="000000" w:themeColor="text1"/>
        </w:rPr>
        <w:t>countr</w:t>
      </w:r>
      <w:r w:rsidR="002D3F36" w:rsidRPr="00614125">
        <w:rPr>
          <w:rFonts w:ascii="Arial" w:hAnsi="Arial" w:cs="Times New Roman"/>
          <w:color w:val="000000" w:themeColor="text1"/>
        </w:rPr>
        <w:t>y</w:t>
      </w:r>
      <w:r w:rsidR="00523C3C" w:rsidRPr="00614125">
        <w:rPr>
          <w:rFonts w:ascii="Arial" w:hAnsi="Arial" w:cs="Times New Roman"/>
          <w:color w:val="000000" w:themeColor="text1"/>
        </w:rPr>
        <w:t xml:space="preserve"> </w:t>
      </w:r>
      <w:r w:rsidR="0046140F" w:rsidRPr="00614125">
        <w:rPr>
          <w:rFonts w:ascii="Arial" w:hAnsi="Arial" w:cs="Times New Roman"/>
          <w:color w:val="000000" w:themeColor="text1"/>
        </w:rPr>
        <w:t xml:space="preserve">can </w:t>
      </w:r>
      <w:r w:rsidR="00523C3C" w:rsidRPr="00614125">
        <w:rPr>
          <w:rFonts w:ascii="Arial" w:hAnsi="Arial" w:cs="Times New Roman"/>
          <w:color w:val="000000" w:themeColor="text1"/>
        </w:rPr>
        <w:t xml:space="preserve">perform differently in different indicators over </w:t>
      </w:r>
      <w:r w:rsidR="002D3F36" w:rsidRPr="00614125">
        <w:rPr>
          <w:rFonts w:ascii="Arial" w:hAnsi="Arial" w:cs="Times New Roman"/>
          <w:color w:val="000000" w:themeColor="text1"/>
        </w:rPr>
        <w:t xml:space="preserve">a given </w:t>
      </w:r>
      <w:r w:rsidR="00523C3C" w:rsidRPr="00614125">
        <w:rPr>
          <w:rFonts w:ascii="Arial" w:hAnsi="Arial" w:cs="Times New Roman"/>
          <w:color w:val="000000" w:themeColor="text1"/>
        </w:rPr>
        <w:t>period</w:t>
      </w:r>
      <w:r w:rsidR="009A1D2B" w:rsidRPr="00614125">
        <w:rPr>
          <w:rFonts w:ascii="Arial" w:hAnsi="Arial" w:cs="Times New Roman"/>
          <w:color w:val="000000" w:themeColor="text1"/>
        </w:rPr>
        <w:t xml:space="preserve">. </w:t>
      </w:r>
      <w:r w:rsidR="002D3F36" w:rsidRPr="00614125">
        <w:rPr>
          <w:rFonts w:ascii="Arial" w:hAnsi="Arial" w:cs="Times New Roman"/>
          <w:color w:val="000000" w:themeColor="text1"/>
        </w:rPr>
        <w:t>The benefit of having</w:t>
      </w:r>
      <w:r w:rsidR="00AC1806" w:rsidRPr="00614125">
        <w:rPr>
          <w:rFonts w:ascii="Arial" w:hAnsi="Arial" w:cs="Times New Roman"/>
          <w:color w:val="000000" w:themeColor="text1"/>
        </w:rPr>
        <w:t xml:space="preserve"> a</w:t>
      </w:r>
      <w:r w:rsidR="008528D5" w:rsidRPr="00614125">
        <w:rPr>
          <w:rFonts w:ascii="Arial" w:hAnsi="Arial" w:cs="Times New Roman"/>
          <w:color w:val="000000" w:themeColor="text1"/>
        </w:rPr>
        <w:t xml:space="preserve"> composite index of UHC</w:t>
      </w:r>
      <w:r w:rsidR="002D3F36" w:rsidRPr="00614125">
        <w:rPr>
          <w:rFonts w:ascii="Arial" w:hAnsi="Arial" w:cs="Times New Roman"/>
          <w:color w:val="000000" w:themeColor="text1"/>
        </w:rPr>
        <w:t xml:space="preserve"> attainment</w:t>
      </w:r>
      <w:r w:rsidR="008528D5" w:rsidRPr="00614125">
        <w:rPr>
          <w:rFonts w:ascii="Arial" w:hAnsi="Arial" w:cs="Times New Roman"/>
          <w:color w:val="000000" w:themeColor="text1"/>
        </w:rPr>
        <w:t xml:space="preserve"> </w:t>
      </w:r>
      <w:r w:rsidR="00AC1806" w:rsidRPr="00614125">
        <w:rPr>
          <w:rFonts w:ascii="Arial" w:hAnsi="Arial" w:cs="Times New Roman"/>
          <w:color w:val="000000" w:themeColor="text1"/>
        </w:rPr>
        <w:t>thus become</w:t>
      </w:r>
      <w:r w:rsidR="0046140F" w:rsidRPr="00614125">
        <w:rPr>
          <w:rFonts w:ascii="Arial" w:hAnsi="Arial" w:cs="Times New Roman"/>
          <w:color w:val="000000" w:themeColor="text1"/>
        </w:rPr>
        <w:t>s</w:t>
      </w:r>
      <w:r w:rsidR="00AC1806" w:rsidRPr="00614125">
        <w:rPr>
          <w:rFonts w:ascii="Arial" w:hAnsi="Arial" w:cs="Times New Roman"/>
          <w:color w:val="000000" w:themeColor="text1"/>
        </w:rPr>
        <w:t xml:space="preserve"> </w:t>
      </w:r>
      <w:r w:rsidR="002D3F36" w:rsidRPr="00614125">
        <w:rPr>
          <w:rFonts w:ascii="Arial" w:hAnsi="Arial" w:cs="Times New Roman"/>
          <w:color w:val="000000" w:themeColor="text1"/>
        </w:rPr>
        <w:t>apparent</w:t>
      </w:r>
      <w:r w:rsidR="008528D5" w:rsidRPr="00614125">
        <w:rPr>
          <w:rFonts w:ascii="Arial" w:hAnsi="Arial" w:cs="Times New Roman"/>
          <w:color w:val="000000" w:themeColor="text1"/>
        </w:rPr>
        <w:t xml:space="preserve">. </w:t>
      </w:r>
      <w:r w:rsidR="00F12682" w:rsidRPr="00614125">
        <w:rPr>
          <w:rFonts w:ascii="Arial" w:hAnsi="Arial" w:cs="Times New Roman"/>
          <w:color w:val="000000" w:themeColor="text1"/>
        </w:rPr>
        <w:t xml:space="preserve">In recent years, several researchers </w:t>
      </w:r>
      <w:r w:rsidR="002D3F36" w:rsidRPr="00614125">
        <w:rPr>
          <w:rFonts w:ascii="Arial" w:hAnsi="Arial" w:cs="Times New Roman"/>
          <w:color w:val="000000" w:themeColor="text1"/>
        </w:rPr>
        <w:t xml:space="preserve">have </w:t>
      </w:r>
      <w:r w:rsidR="00F12682" w:rsidRPr="00614125">
        <w:rPr>
          <w:rFonts w:ascii="Arial" w:hAnsi="Arial" w:cs="Times New Roman"/>
          <w:color w:val="000000" w:themeColor="text1"/>
        </w:rPr>
        <w:t xml:space="preserve">developed </w:t>
      </w:r>
      <w:r w:rsidR="0046140F" w:rsidRPr="00614125">
        <w:rPr>
          <w:rFonts w:ascii="Arial" w:hAnsi="Arial" w:cs="Times New Roman"/>
          <w:color w:val="000000" w:themeColor="text1"/>
        </w:rPr>
        <w:t xml:space="preserve">and validated </w:t>
      </w:r>
      <w:r w:rsidR="002D3F36" w:rsidRPr="00614125">
        <w:rPr>
          <w:rFonts w:ascii="Arial" w:hAnsi="Arial" w:cs="Times New Roman"/>
          <w:color w:val="000000" w:themeColor="text1"/>
        </w:rPr>
        <w:t xml:space="preserve">such </w:t>
      </w:r>
      <w:r w:rsidR="00F12682" w:rsidRPr="00614125">
        <w:rPr>
          <w:rFonts w:ascii="Arial" w:hAnsi="Arial" w:cs="Times New Roman"/>
          <w:color w:val="000000" w:themeColor="text1"/>
        </w:rPr>
        <w:t xml:space="preserve">composite </w:t>
      </w:r>
      <w:r w:rsidR="0046140F" w:rsidRPr="00614125">
        <w:rPr>
          <w:rFonts w:ascii="Arial" w:hAnsi="Arial" w:cs="Times New Roman"/>
          <w:color w:val="000000" w:themeColor="text1"/>
        </w:rPr>
        <w:t>indices</w:t>
      </w:r>
      <w:r w:rsidR="00AB37E0" w:rsidRPr="00614125">
        <w:rPr>
          <w:rFonts w:ascii="Arial" w:hAnsi="Arial" w:cs="Times New Roman"/>
          <w:color w:val="000000" w:themeColor="text1"/>
        </w:rPr>
        <w:t xml:space="preserve"> </w:t>
      </w:r>
      <w:r w:rsidR="00AB37E0"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{"citationItems":[{"id":"ITEM-1","itemData":{"DOI":"10.1093/heapol/czw097","ISSN":"1460-2237 (Electronic)","PMID":"27497138","abstract":"BACKGROUND: There is limited work done on developing methods for measurement of universal health coverage. We undertook a study to develop a methodology and demonstrate the practical application of empirically measuring the extent of universal health coverage at district level. Additionally, we also develop a composite indicator to measure UHC. METHODS: A cross-sectional survey was undertaken among 51 656 households across 21 districts of Haryana state in India. Using the WHO framework for UHC, we identified indicators of service coverage, financial risk protection, equity and quality based on the Government of India and the Haryana Government's proposed UHC benefit package. Geometric mean approach was used to compute a composite UHC index (CUHCI). Various statistical approaches to aggregate input indicators with or without weighting, along with various incremental combinations of input indicators were tested in a comprehensive sensitivity analysis. FINDINGS: The population coverage for preventive and curative services is presented. Adjusting for inequality, the coverage for all the indicators were less than the unadjusted coverage by 0.1-6.7% in absolute term and 0.1-27% in relative term. There was low unmet need for curative care. However, about 11% outpatient consultations were from unqualified providers. About 30% households incurred catastrophic health expenditures, which rose to 38% among the poorest 20% population. Summary index (CUHCI) for UHC varied from 12% in Mewat district to 71% in Kurukshetra district. The inequality unadjusted coverage for UHC correlates highly with adjusted coverage. CONCLUSION: Our paper is an attempt to develop a methodology to measure UHC. However, careful inclusion of others indicators of service coverage is recommended for a comprehensive measurement which captures the spirit of universality. Further, more work needs to be done to incorporate quality in the measurement framework.","author":[{"dropping-particle":"","family":"Prinja","given":"Shankar","non-dropping-particle":"","parse-names":false,"suffix":""},{"dropping-particle":"","family":"Gupta","given":"Rakesh","non-dropping-particle":"","parse-names":false,"suffix":""},{"dropping-particle":"","family":"Bahuguna","given":"Pankaj","non-dropping-particle":"","parse-names":false,"suffix":""},{"dropping-particle":"","family":"Sharma","given":"Atul","non-dropping-particle":"","parse-names":false,"suffix":""},{"dropping-particle":"","family":"Kumar Aggarwal","given":"Arun","non-dropping-particle":"","parse-names":false,"suffix":""},{"dropping-particle":"","family":"Phogat","given":"Amit","non-dropping-particle":"","parse-names":false,"suffix":""},{"dropping-particle":"","family":"Kumar","given":"Rajesh","non-dropping-particle":"","parse-names":false,"suffix":""}],"container-title":"Health policy and planning","id":"ITEM-1","issue":"1","issued":{"date-parts":[["2017","2"]]},"language":"eng","page":"43-56","publisher-place":"England","title":"A composite indicator to measure universal health care coverage in India: way forward for post-2015 health system performance monitoring framework.","type":"article-journal","volume":"32"},"uris":["http://www.mendeley.com/documents/?uuid=f63b55d8-7aa1-4f9b-b88f-aa78f80211ab"]},{"id":"ITEM-2","itemData":{"DOI":"10.1377/hlthaff.2014.1453","ISSN":"0278-2715","author":[{"dropping-particle":"","family":"Wagstaff","given":"a.","non-dropping-particle":"","parse-names":false,"suffix":""},{"dropping-particle":"","family":"Dmytraczenko","given":"T.","non-dropping-particle":"","parse-names":false,"suffix":""},{"dropping-particle":"","family":"Almeida","given":"G.","non-dropping-particle":"","parse-names":false,"suffix":""},{"dropping-particle":"","family":"Buisman","given":"L.","non-dropping-particle":"","parse-names":false,"suffix":""},{"dropping-particle":"","family":"Hoang-Vu Eozenou","given":"P.","non-dropping-particle":"","parse-names":false,"suffix":""},{"dropping-particle":"","family":"Bredenkamp","given":"C.","non-dropping-particle":"","parse-names":false,"suffix":""},{"dropping-particle":"","family":"Cercone","given":"J. a.","non-dropping-particle":"","parse-names":false,"suffix":""},{"dropping-particle":"","family":"Diaz","given":"Y.","non-dropping-particle":"","parse-names":false,"suffix":""},{"dropping-particle":"","family":"Maceira","given":"D.","non-dropping-particle":"","parse-names":false,"suffix":""},{"dropping-particle":"","family":"Molina","given":"S.","non-dropping-particle":"","parse-names":false,"suffix":""},{"dropping-particle":"","family":"Paraje","given":"G.","non-dropping-particle":"","parse-names":false,"suffix":""},{"dropping-particle":"","family":"Ruiz","given":"F.","non-dropping-particle":"","parse-names":false,"suffix":""},{"dropping-particle":"","family":"Sarti","given":"F.","non-dropping-particle":"","parse-names":false,"suffix":""},{"dropping-particle":"","family":"Scott","given":"J.","non-dropping-particle":"","parse-names":false,"suffix":""},{"dropping-particle":"","family":"Valdivia","given":"M.","non-dropping-particle":"","parse-names":false,"suffix":""},{"dropping-particle":"","family":"Werneck","given":"H.","non-dropping-particle":"","parse-names":false,"suffix":""}],"container-title":"Health Affairs","id":"ITEM-2","issue":"10","issued":{"date-parts":[["2015"]]},"page":"1704-1712","title":"Assessing Latin America's Progress Toward Achieving Universal Health Coverage","type":"article-journal","volume":"34"},"uris":["http://www.mendeley.com/documents/?uuid=d1ecfd68-75a0-4b7e-9324-a6f415bb3431"]}],"mendeley":{"formattedCitation":"[4,5]","plainTextFormattedCitation":"[4,5]","previouslyFormattedCitation":"[4,5]"},"properties":{"noteIndex":0},"schema":"https://github.com/citation-style-language/schema/raw/master/csl-citation.json"}</w:instrText>
      </w:r>
      <w:r w:rsidR="00AB37E0"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[4,5]</w:t>
      </w:r>
      <w:r w:rsidR="00AB37E0" w:rsidRPr="00614125">
        <w:rPr>
          <w:rFonts w:ascii="Arial" w:hAnsi="Arial" w:cs="Times New Roman"/>
          <w:color w:val="000000" w:themeColor="text1"/>
        </w:rPr>
        <w:fldChar w:fldCharType="end"/>
      </w:r>
      <w:r w:rsidR="00796AFA" w:rsidRPr="00614125">
        <w:rPr>
          <w:rFonts w:ascii="Arial" w:hAnsi="Arial" w:cs="Times New Roman"/>
          <w:color w:val="000000" w:themeColor="text1"/>
        </w:rPr>
        <w:t xml:space="preserve">. </w:t>
      </w:r>
      <w:r w:rsidR="005305BC" w:rsidRPr="00614125">
        <w:rPr>
          <w:rFonts w:ascii="Arial" w:hAnsi="Arial" w:cs="Times New Roman"/>
          <w:color w:val="000000" w:themeColor="text1"/>
        </w:rPr>
        <w:t>Despite the</w:t>
      </w:r>
      <w:r w:rsidR="00F12682" w:rsidRPr="00614125">
        <w:rPr>
          <w:rFonts w:ascii="Arial" w:hAnsi="Arial" w:cs="Times New Roman"/>
          <w:color w:val="000000" w:themeColor="text1"/>
        </w:rPr>
        <w:t xml:space="preserve"> usefulness of the</w:t>
      </w:r>
      <w:r w:rsidR="002A1937" w:rsidRPr="00614125">
        <w:rPr>
          <w:rFonts w:ascii="Arial" w:hAnsi="Arial" w:cs="Times New Roman"/>
          <w:color w:val="000000" w:themeColor="text1"/>
        </w:rPr>
        <w:t>se</w:t>
      </w:r>
      <w:r w:rsidR="00F12682" w:rsidRPr="00614125">
        <w:rPr>
          <w:rFonts w:ascii="Arial" w:hAnsi="Arial" w:cs="Times New Roman"/>
          <w:color w:val="000000" w:themeColor="text1"/>
        </w:rPr>
        <w:t xml:space="preserve"> indices, they </w:t>
      </w:r>
      <w:r w:rsidR="002D3F36" w:rsidRPr="00614125">
        <w:rPr>
          <w:rFonts w:ascii="Arial" w:hAnsi="Arial" w:cs="Times New Roman"/>
          <w:color w:val="000000" w:themeColor="text1"/>
        </w:rPr>
        <w:t xml:space="preserve">too </w:t>
      </w:r>
      <w:r w:rsidR="002A1937" w:rsidRPr="00614125">
        <w:rPr>
          <w:rFonts w:ascii="Arial" w:hAnsi="Arial" w:cs="Times New Roman"/>
          <w:color w:val="000000" w:themeColor="text1"/>
        </w:rPr>
        <w:t xml:space="preserve">are methodologically </w:t>
      </w:r>
      <w:r w:rsidR="00B1648A" w:rsidRPr="00614125">
        <w:rPr>
          <w:rFonts w:ascii="Arial" w:hAnsi="Arial" w:cs="Times New Roman"/>
          <w:color w:val="000000" w:themeColor="text1"/>
        </w:rPr>
        <w:t>challenging</w:t>
      </w:r>
      <w:r w:rsidR="00796AFA" w:rsidRPr="00614125">
        <w:rPr>
          <w:rFonts w:ascii="Arial" w:hAnsi="Arial" w:cs="Times New Roman"/>
          <w:noProof/>
          <w:color w:val="000000" w:themeColor="text1"/>
        </w:rPr>
        <w:t xml:space="preserve"> </w:t>
      </w:r>
      <w:r w:rsidR="008528D5" w:rsidRPr="00614125">
        <w:rPr>
          <w:rFonts w:ascii="Arial" w:hAnsi="Arial" w:cs="Times New Roman"/>
          <w:color w:val="000000" w:themeColor="text1"/>
        </w:rPr>
        <w:t xml:space="preserve">to </w:t>
      </w:r>
      <w:r w:rsidR="00796AFA" w:rsidRPr="00614125">
        <w:rPr>
          <w:rFonts w:ascii="Arial" w:hAnsi="Arial" w:cs="Times New Roman"/>
          <w:color w:val="000000" w:themeColor="text1"/>
        </w:rPr>
        <w:t xml:space="preserve">apply in </w:t>
      </w:r>
      <w:r w:rsidR="00DA7F67" w:rsidRPr="00614125">
        <w:rPr>
          <w:rFonts w:ascii="Arial" w:hAnsi="Arial" w:cs="Times New Roman"/>
          <w:color w:val="000000" w:themeColor="text1"/>
        </w:rPr>
        <w:t xml:space="preserve">empirical </w:t>
      </w:r>
      <w:r w:rsidR="00796AFA" w:rsidRPr="00614125">
        <w:rPr>
          <w:rFonts w:ascii="Arial" w:hAnsi="Arial" w:cs="Times New Roman"/>
          <w:color w:val="000000" w:themeColor="text1"/>
        </w:rPr>
        <w:t>analyses</w:t>
      </w:r>
      <w:r w:rsidR="009A1D2B" w:rsidRPr="00614125">
        <w:rPr>
          <w:rFonts w:ascii="Arial" w:hAnsi="Arial" w:cs="Times New Roman"/>
          <w:color w:val="000000" w:themeColor="text1"/>
        </w:rPr>
        <w:t xml:space="preserve"> by UHC practitioners</w:t>
      </w:r>
      <w:r w:rsidR="00BA306A" w:rsidRPr="00614125">
        <w:rPr>
          <w:rFonts w:ascii="Arial" w:hAnsi="Arial" w:cs="Times New Roman"/>
          <w:color w:val="000000" w:themeColor="text1"/>
        </w:rPr>
        <w:t xml:space="preserve"> without statistical knowledge</w:t>
      </w:r>
      <w:r w:rsidR="009A1D2B" w:rsidRPr="00614125">
        <w:rPr>
          <w:rFonts w:ascii="Arial" w:hAnsi="Arial" w:cs="Times New Roman"/>
          <w:color w:val="000000" w:themeColor="text1"/>
        </w:rPr>
        <w:t xml:space="preserve">, </w:t>
      </w:r>
      <w:r w:rsidR="002A1937" w:rsidRPr="00614125">
        <w:rPr>
          <w:rFonts w:ascii="Arial" w:hAnsi="Arial" w:cs="Times New Roman"/>
          <w:color w:val="000000" w:themeColor="text1"/>
        </w:rPr>
        <w:t xml:space="preserve">such as </w:t>
      </w:r>
      <w:r w:rsidR="009A1D2B" w:rsidRPr="00614125">
        <w:rPr>
          <w:rFonts w:ascii="Arial" w:hAnsi="Arial" w:cs="Times New Roman"/>
          <w:color w:val="000000" w:themeColor="text1"/>
        </w:rPr>
        <w:t>health service organizers (Government</w:t>
      </w:r>
      <w:r w:rsidR="002A1937" w:rsidRPr="00614125">
        <w:rPr>
          <w:rFonts w:ascii="Arial" w:hAnsi="Arial" w:cs="Times New Roman"/>
          <w:color w:val="000000" w:themeColor="text1"/>
        </w:rPr>
        <w:t>s</w:t>
      </w:r>
      <w:r w:rsidR="009A1D2B" w:rsidRPr="00614125">
        <w:rPr>
          <w:rFonts w:ascii="Arial" w:hAnsi="Arial" w:cs="Times New Roman"/>
          <w:color w:val="000000" w:themeColor="text1"/>
        </w:rPr>
        <w:t>, NGOs)</w:t>
      </w:r>
      <w:r w:rsidR="002A1937" w:rsidRPr="00614125">
        <w:rPr>
          <w:rFonts w:ascii="Arial" w:hAnsi="Arial" w:cs="Times New Roman"/>
          <w:color w:val="000000" w:themeColor="text1"/>
        </w:rPr>
        <w:t>,</w:t>
      </w:r>
      <w:r w:rsidR="001A7A09" w:rsidRPr="00614125">
        <w:rPr>
          <w:rFonts w:ascii="Arial" w:hAnsi="Arial" w:cs="Times New Roman"/>
          <w:color w:val="000000" w:themeColor="text1"/>
        </w:rPr>
        <w:t xml:space="preserve"> </w:t>
      </w:r>
      <w:r w:rsidR="009A1D2B" w:rsidRPr="00614125">
        <w:rPr>
          <w:rFonts w:ascii="Arial" w:hAnsi="Arial" w:cs="Times New Roman"/>
          <w:color w:val="000000" w:themeColor="text1"/>
        </w:rPr>
        <w:t>stakeholders and policy-makers</w:t>
      </w:r>
      <w:r w:rsidR="00F03E26" w:rsidRPr="00614125">
        <w:rPr>
          <w:rFonts w:ascii="Arial" w:hAnsi="Arial" w:cs="Times New Roman"/>
          <w:color w:val="000000" w:themeColor="text1"/>
        </w:rPr>
        <w:t>.</w:t>
      </w:r>
    </w:p>
    <w:p w14:paraId="08B3BA8A" w14:textId="246C810A" w:rsidR="00C214E8" w:rsidRPr="00614125" w:rsidRDefault="009D53B3" w:rsidP="00337D8B">
      <w:pPr>
        <w:spacing w:before="120" w:after="120" w:line="360" w:lineRule="auto"/>
        <w:jc w:val="both"/>
        <w:rPr>
          <w:rFonts w:ascii="Arial" w:hAnsi="Arial" w:cs="Times New Roman"/>
          <w:color w:val="000000" w:themeColor="text1"/>
        </w:rPr>
      </w:pPr>
      <w:r w:rsidRPr="00614125">
        <w:rPr>
          <w:rFonts w:ascii="Arial" w:hAnsi="Arial" w:cs="Times New Roman"/>
          <w:color w:val="000000" w:themeColor="text1"/>
        </w:rPr>
        <w:t>T</w:t>
      </w:r>
      <w:r w:rsidR="00C214E8" w:rsidRPr="00614125">
        <w:rPr>
          <w:rFonts w:ascii="Arial" w:hAnsi="Arial" w:cs="Times New Roman"/>
          <w:color w:val="000000" w:themeColor="text1"/>
        </w:rPr>
        <w:t>his paper has three specific objectives</w:t>
      </w:r>
      <w:r w:rsidR="00DA7F67" w:rsidRPr="00614125">
        <w:rPr>
          <w:rFonts w:ascii="Arial" w:hAnsi="Arial" w:cs="Times New Roman"/>
          <w:color w:val="000000" w:themeColor="text1"/>
        </w:rPr>
        <w:t>:</w:t>
      </w:r>
      <w:r w:rsidR="00C214E8" w:rsidRPr="00614125">
        <w:rPr>
          <w:rFonts w:ascii="Arial" w:hAnsi="Arial" w:cs="Times New Roman"/>
          <w:color w:val="000000" w:themeColor="text1"/>
        </w:rPr>
        <w:t xml:space="preserve"> firstly, to </w:t>
      </w:r>
      <w:r w:rsidRPr="00614125">
        <w:rPr>
          <w:rFonts w:ascii="Arial" w:hAnsi="Arial" w:cs="Times New Roman"/>
          <w:color w:val="000000" w:themeColor="text1"/>
        </w:rPr>
        <w:t xml:space="preserve">develop a methodology for </w:t>
      </w:r>
      <w:r w:rsidR="00D45931" w:rsidRPr="00614125">
        <w:rPr>
          <w:rFonts w:ascii="Arial" w:hAnsi="Arial" w:cs="Times New Roman"/>
          <w:color w:val="000000" w:themeColor="text1"/>
        </w:rPr>
        <w:t xml:space="preserve">the </w:t>
      </w:r>
      <w:r w:rsidRPr="00614125">
        <w:rPr>
          <w:rFonts w:ascii="Arial" w:hAnsi="Arial" w:cs="Times New Roman"/>
          <w:color w:val="000000" w:themeColor="text1"/>
        </w:rPr>
        <w:t xml:space="preserve">calculation of </w:t>
      </w:r>
      <w:r w:rsidR="00C214E8" w:rsidRPr="00614125">
        <w:rPr>
          <w:rFonts w:ascii="Arial" w:hAnsi="Arial" w:cs="Times New Roman"/>
          <w:color w:val="000000" w:themeColor="text1"/>
        </w:rPr>
        <w:t xml:space="preserve">a composite </w:t>
      </w:r>
      <w:r w:rsidR="008072E4" w:rsidRPr="00614125">
        <w:rPr>
          <w:rFonts w:ascii="Arial" w:hAnsi="Arial" w:cs="Times New Roman"/>
          <w:color w:val="000000" w:themeColor="text1"/>
        </w:rPr>
        <w:t>UHC index</w:t>
      </w:r>
      <w:r w:rsidR="00EB5108" w:rsidRPr="00614125">
        <w:rPr>
          <w:rFonts w:ascii="Arial" w:hAnsi="Arial" w:cs="Times New Roman"/>
          <w:color w:val="000000" w:themeColor="text1"/>
        </w:rPr>
        <w:t xml:space="preserve"> </w:t>
      </w:r>
      <w:r w:rsidRPr="00614125">
        <w:rPr>
          <w:rFonts w:ascii="Arial" w:hAnsi="Arial" w:cs="Times New Roman"/>
          <w:color w:val="000000" w:themeColor="text1"/>
        </w:rPr>
        <w:t xml:space="preserve">within </w:t>
      </w:r>
      <w:r w:rsidR="00AA2164" w:rsidRPr="00614125">
        <w:rPr>
          <w:rFonts w:ascii="Arial" w:hAnsi="Arial" w:cs="Times New Roman"/>
          <w:color w:val="000000" w:themeColor="text1"/>
        </w:rPr>
        <w:t>an E</w:t>
      </w:r>
      <w:r w:rsidR="00EB5108" w:rsidRPr="00614125">
        <w:rPr>
          <w:rFonts w:ascii="Arial" w:hAnsi="Arial" w:cs="Times New Roman"/>
          <w:color w:val="000000" w:themeColor="text1"/>
        </w:rPr>
        <w:t>xcel spreadsheet</w:t>
      </w:r>
      <w:r w:rsidR="008072E4" w:rsidRPr="00614125">
        <w:rPr>
          <w:rFonts w:ascii="Arial" w:hAnsi="Arial" w:cs="Times New Roman"/>
          <w:color w:val="000000" w:themeColor="text1"/>
        </w:rPr>
        <w:t>;</w:t>
      </w:r>
      <w:r w:rsidR="00C214E8" w:rsidRPr="00614125">
        <w:rPr>
          <w:rFonts w:ascii="Arial" w:hAnsi="Arial" w:cs="Times New Roman"/>
          <w:color w:val="000000" w:themeColor="text1"/>
        </w:rPr>
        <w:t xml:space="preserve"> secondly</w:t>
      </w:r>
      <w:r w:rsidR="008072E4" w:rsidRPr="00614125">
        <w:rPr>
          <w:rFonts w:ascii="Arial" w:hAnsi="Arial" w:cs="Times New Roman"/>
          <w:color w:val="000000" w:themeColor="text1"/>
        </w:rPr>
        <w:t>,</w:t>
      </w:r>
      <w:r w:rsidR="00C214E8" w:rsidRPr="00614125">
        <w:rPr>
          <w:rFonts w:ascii="Arial" w:hAnsi="Arial" w:cs="Times New Roman"/>
          <w:color w:val="000000" w:themeColor="text1"/>
        </w:rPr>
        <w:t xml:space="preserve"> </w:t>
      </w:r>
      <w:r w:rsidRPr="00614125">
        <w:rPr>
          <w:rFonts w:ascii="Arial" w:hAnsi="Arial" w:cs="Times New Roman"/>
          <w:color w:val="000000" w:themeColor="text1"/>
        </w:rPr>
        <w:t xml:space="preserve">within the same spreadsheet </w:t>
      </w:r>
      <w:r w:rsidR="00C214E8" w:rsidRPr="00614125">
        <w:rPr>
          <w:rFonts w:ascii="Arial" w:hAnsi="Arial" w:cs="Times New Roman"/>
          <w:color w:val="000000" w:themeColor="text1"/>
        </w:rPr>
        <w:t xml:space="preserve">to decompose </w:t>
      </w:r>
      <w:r w:rsidR="00CC7F4A" w:rsidRPr="00614125">
        <w:rPr>
          <w:rFonts w:ascii="Arial" w:hAnsi="Arial" w:cs="Times New Roman"/>
          <w:color w:val="000000" w:themeColor="text1"/>
        </w:rPr>
        <w:t>these</w:t>
      </w:r>
      <w:r w:rsidR="00C214E8" w:rsidRPr="00614125">
        <w:rPr>
          <w:rFonts w:ascii="Arial" w:hAnsi="Arial" w:cs="Times New Roman"/>
          <w:color w:val="000000" w:themeColor="text1"/>
        </w:rPr>
        <w:t xml:space="preserve"> index values into population groups</w:t>
      </w:r>
      <w:r w:rsidR="00D45931" w:rsidRPr="00614125">
        <w:rPr>
          <w:rFonts w:ascii="Arial" w:hAnsi="Arial" w:cs="Times New Roman"/>
          <w:color w:val="000000" w:themeColor="text1"/>
        </w:rPr>
        <w:t>;</w:t>
      </w:r>
      <w:r w:rsidR="00BC7210" w:rsidRPr="00614125">
        <w:rPr>
          <w:rFonts w:ascii="Arial" w:hAnsi="Arial" w:cs="Times New Roman"/>
          <w:color w:val="000000" w:themeColor="text1"/>
        </w:rPr>
        <w:t xml:space="preserve"> </w:t>
      </w:r>
      <w:r w:rsidR="00C214E8" w:rsidRPr="00614125">
        <w:rPr>
          <w:rFonts w:ascii="Arial" w:hAnsi="Arial" w:cs="Times New Roman"/>
          <w:color w:val="000000" w:themeColor="text1"/>
        </w:rPr>
        <w:t xml:space="preserve">and thirdly, </w:t>
      </w:r>
      <w:r w:rsidRPr="00614125">
        <w:rPr>
          <w:rFonts w:ascii="Arial" w:hAnsi="Arial" w:cs="Times New Roman"/>
          <w:color w:val="000000" w:themeColor="text1"/>
        </w:rPr>
        <w:t xml:space="preserve">to </w:t>
      </w:r>
      <w:r w:rsidR="00C214E8" w:rsidRPr="00614125">
        <w:rPr>
          <w:rFonts w:ascii="Arial" w:hAnsi="Arial" w:cs="Times New Roman"/>
          <w:color w:val="000000" w:themeColor="text1"/>
        </w:rPr>
        <w:t>val</w:t>
      </w:r>
      <w:r w:rsidR="008072E4" w:rsidRPr="00614125">
        <w:rPr>
          <w:rFonts w:ascii="Arial" w:hAnsi="Arial" w:cs="Times New Roman"/>
          <w:color w:val="000000" w:themeColor="text1"/>
        </w:rPr>
        <w:t>ida</w:t>
      </w:r>
      <w:r w:rsidRPr="00614125">
        <w:rPr>
          <w:rFonts w:ascii="Arial" w:hAnsi="Arial" w:cs="Times New Roman"/>
          <w:color w:val="000000" w:themeColor="text1"/>
        </w:rPr>
        <w:t>te</w:t>
      </w:r>
      <w:r w:rsidR="00BC7210" w:rsidRPr="00614125">
        <w:rPr>
          <w:rFonts w:ascii="Arial" w:hAnsi="Arial" w:cs="Times New Roman"/>
          <w:color w:val="000000" w:themeColor="text1"/>
        </w:rPr>
        <w:t xml:space="preserve"> </w:t>
      </w:r>
      <w:r w:rsidR="008072E4" w:rsidRPr="00614125">
        <w:rPr>
          <w:rFonts w:ascii="Arial" w:hAnsi="Arial" w:cs="Times New Roman"/>
          <w:color w:val="000000" w:themeColor="text1"/>
        </w:rPr>
        <w:t xml:space="preserve">the index. </w:t>
      </w:r>
      <w:r w:rsidR="00A607BB" w:rsidRPr="00614125">
        <w:rPr>
          <w:rFonts w:ascii="Arial" w:hAnsi="Arial" w:cs="Times New Roman"/>
          <w:color w:val="000000" w:themeColor="text1"/>
        </w:rPr>
        <w:t>The r</w:t>
      </w:r>
      <w:r w:rsidR="008C6D14" w:rsidRPr="00614125">
        <w:rPr>
          <w:rFonts w:ascii="Arial" w:hAnsi="Arial" w:cs="Times New Roman"/>
          <w:color w:val="000000" w:themeColor="text1"/>
        </w:rPr>
        <w:t xml:space="preserve">elative advantage with this spreadsheet approach is that the </w:t>
      </w:r>
      <w:r w:rsidR="00A607BB" w:rsidRPr="00614125">
        <w:rPr>
          <w:rFonts w:ascii="Arial" w:hAnsi="Arial" w:cs="Times New Roman"/>
          <w:color w:val="000000" w:themeColor="text1"/>
        </w:rPr>
        <w:t xml:space="preserve">contributions of UHC dimensions (population coverage, service coverage and financial protection) to the index are directly measurable and transparent to the audiences.  </w:t>
      </w:r>
      <w:r w:rsidR="008C6D14" w:rsidRPr="00614125">
        <w:rPr>
          <w:rFonts w:ascii="Arial" w:hAnsi="Arial" w:cs="Times New Roman"/>
          <w:color w:val="000000" w:themeColor="text1"/>
        </w:rPr>
        <w:t xml:space="preserve"> </w:t>
      </w:r>
    </w:p>
    <w:p w14:paraId="2484302B" w14:textId="77777777" w:rsidR="00F77EB4" w:rsidRPr="00614125" w:rsidRDefault="00F77EB4" w:rsidP="00681C03">
      <w:pPr>
        <w:spacing w:before="120" w:after="120" w:line="360" w:lineRule="auto"/>
        <w:jc w:val="both"/>
        <w:rPr>
          <w:rFonts w:ascii="Arial" w:hAnsi="Arial" w:cs="Times New Roman"/>
          <w:color w:val="000000" w:themeColor="text1"/>
        </w:rPr>
      </w:pPr>
    </w:p>
    <w:p w14:paraId="52AB5AF3" w14:textId="12CD0D59" w:rsidR="000E1273" w:rsidRPr="00614125" w:rsidRDefault="000E1273" w:rsidP="00337D8B">
      <w:pPr>
        <w:spacing w:before="120" w:after="120" w:line="360" w:lineRule="auto"/>
        <w:jc w:val="both"/>
        <w:rPr>
          <w:rFonts w:ascii="Arial" w:hAnsi="Arial" w:cs="Times New Roman"/>
          <w:color w:val="000000" w:themeColor="text1"/>
        </w:rPr>
      </w:pPr>
      <w:r w:rsidRPr="00614125">
        <w:rPr>
          <w:rFonts w:ascii="Arial" w:hAnsi="Arial" w:cs="Times New Roman"/>
          <w:color w:val="000000" w:themeColor="text1"/>
        </w:rPr>
        <w:t>METHODS</w:t>
      </w:r>
    </w:p>
    <w:p w14:paraId="64AFBFB6" w14:textId="77777777" w:rsidR="0049675E" w:rsidRPr="00614125" w:rsidRDefault="0049675E" w:rsidP="00337D8B">
      <w:pPr>
        <w:spacing w:before="120" w:after="120" w:line="360" w:lineRule="auto"/>
        <w:jc w:val="both"/>
        <w:rPr>
          <w:rFonts w:ascii="Arial" w:hAnsi="Arial" w:cs="Times New Roman"/>
          <w:b/>
          <w:bCs/>
          <w:color w:val="000000" w:themeColor="text1"/>
        </w:rPr>
      </w:pPr>
    </w:p>
    <w:p w14:paraId="7E38B157" w14:textId="1D8961CB" w:rsidR="00E84651" w:rsidRPr="00614125" w:rsidRDefault="000E1273" w:rsidP="00337D8B">
      <w:pPr>
        <w:spacing w:before="120" w:after="120" w:line="360" w:lineRule="auto"/>
        <w:jc w:val="both"/>
        <w:rPr>
          <w:rFonts w:ascii="Arial" w:hAnsi="Arial" w:cs="Kohinoor Bangla"/>
          <w:b/>
          <w:bCs/>
          <w:color w:val="000000" w:themeColor="text1"/>
        </w:rPr>
      </w:pPr>
      <w:r w:rsidRPr="00614125">
        <w:rPr>
          <w:rFonts w:ascii="Arial" w:hAnsi="Arial" w:cs="Times New Roman"/>
          <w:b/>
          <w:color w:val="000000" w:themeColor="text1"/>
        </w:rPr>
        <w:t>Concept of Universal Health Coverage</w:t>
      </w:r>
    </w:p>
    <w:p w14:paraId="56AE035B" w14:textId="38C504E0" w:rsidR="001278BC" w:rsidRPr="00614125" w:rsidRDefault="00FA73FE" w:rsidP="00337D8B">
      <w:pPr>
        <w:spacing w:before="120" w:after="120" w:line="360" w:lineRule="auto"/>
        <w:jc w:val="both"/>
        <w:rPr>
          <w:rFonts w:ascii="Arial" w:hAnsi="Arial" w:cs="Times New Roman"/>
          <w:color w:val="000000" w:themeColor="text1"/>
        </w:rPr>
      </w:pPr>
      <w:r w:rsidRPr="00614125">
        <w:rPr>
          <w:rFonts w:ascii="Arial" w:hAnsi="Arial" w:cs="Times New Roman"/>
          <w:color w:val="000000" w:themeColor="text1"/>
        </w:rPr>
        <w:t>A</w:t>
      </w:r>
      <w:r w:rsidR="00E84651" w:rsidRPr="00614125">
        <w:rPr>
          <w:rFonts w:ascii="Arial" w:hAnsi="Arial" w:cs="Times New Roman"/>
          <w:color w:val="000000" w:themeColor="text1"/>
        </w:rPr>
        <w:t xml:space="preserve"> </w:t>
      </w:r>
      <w:r w:rsidR="00CE5492" w:rsidRPr="00614125">
        <w:rPr>
          <w:rFonts w:ascii="Arial" w:hAnsi="Arial" w:cs="Times New Roman"/>
          <w:color w:val="000000" w:themeColor="text1"/>
        </w:rPr>
        <w:t>spreadsheet</w:t>
      </w:r>
      <w:r w:rsidR="00E84651" w:rsidRPr="00614125">
        <w:rPr>
          <w:rFonts w:ascii="Arial" w:hAnsi="Arial" w:cs="Times New Roman"/>
          <w:color w:val="000000" w:themeColor="text1"/>
        </w:rPr>
        <w:t xml:space="preserve"> approach was undertaken to calculate the UHC index of a number of countries in Asia and Africa</w:t>
      </w:r>
      <w:r w:rsidR="009D53B3" w:rsidRPr="00614125">
        <w:rPr>
          <w:rFonts w:ascii="Arial" w:hAnsi="Arial" w:cs="Times New Roman"/>
          <w:color w:val="000000" w:themeColor="text1"/>
        </w:rPr>
        <w:t>, using World Bank data and a formula, based upon</w:t>
      </w:r>
      <w:r w:rsidR="00B3221C" w:rsidRPr="00614125">
        <w:rPr>
          <w:rFonts w:ascii="Arial" w:hAnsi="Arial" w:cs="Times New Roman"/>
          <w:color w:val="000000" w:themeColor="text1"/>
        </w:rPr>
        <w:t xml:space="preserve"> </w:t>
      </w:r>
      <w:r w:rsidR="009D53B3" w:rsidRPr="00614125">
        <w:rPr>
          <w:rFonts w:ascii="Arial" w:hAnsi="Arial" w:cs="Times New Roman"/>
          <w:color w:val="000000" w:themeColor="text1"/>
        </w:rPr>
        <w:t>t</w:t>
      </w:r>
      <w:r w:rsidR="00E84651" w:rsidRPr="00614125">
        <w:rPr>
          <w:rFonts w:ascii="Arial" w:hAnsi="Arial" w:cs="Times New Roman"/>
          <w:color w:val="000000" w:themeColor="text1"/>
        </w:rPr>
        <w:t xml:space="preserve">he well-known </w:t>
      </w:r>
      <w:r w:rsidR="0082197F" w:rsidRPr="00614125">
        <w:rPr>
          <w:rFonts w:ascii="Arial" w:hAnsi="Arial" w:cs="Times New Roman"/>
          <w:color w:val="000000" w:themeColor="text1"/>
        </w:rPr>
        <w:t>illustration</w:t>
      </w:r>
      <w:r w:rsidR="00E84651" w:rsidRPr="00614125">
        <w:rPr>
          <w:rFonts w:ascii="Arial" w:hAnsi="Arial" w:cs="Times New Roman"/>
          <w:color w:val="000000" w:themeColor="text1"/>
        </w:rPr>
        <w:t xml:space="preserve"> </w:t>
      </w:r>
      <w:r w:rsidR="00825149" w:rsidRPr="00614125">
        <w:rPr>
          <w:rFonts w:ascii="Arial" w:hAnsi="Arial" w:cs="Times New Roman"/>
          <w:color w:val="000000" w:themeColor="text1"/>
        </w:rPr>
        <w:t>of UHC (</w:t>
      </w:r>
      <w:r w:rsidR="00C54DCD" w:rsidRPr="00614125">
        <w:rPr>
          <w:rFonts w:ascii="Arial" w:hAnsi="Arial" w:cs="Times New Roman"/>
          <w:color w:val="000000" w:themeColor="text1"/>
        </w:rPr>
        <w:t>F</w:t>
      </w:r>
      <w:r w:rsidR="00825149" w:rsidRPr="00614125">
        <w:rPr>
          <w:rFonts w:ascii="Arial" w:hAnsi="Arial" w:cs="Times New Roman"/>
          <w:color w:val="000000" w:themeColor="text1"/>
        </w:rPr>
        <w:t>igure 1)</w:t>
      </w:r>
      <w:r w:rsidR="00AB37E0" w:rsidRPr="00614125">
        <w:rPr>
          <w:rFonts w:ascii="Arial" w:hAnsi="Arial" w:cs="Times New Roman"/>
          <w:color w:val="000000" w:themeColor="text1"/>
        </w:rPr>
        <w:t xml:space="preserve"> </w:t>
      </w:r>
      <w:r w:rsidR="00AB37E0"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{"citationItems":[{"id":"ITEM-1","itemData":{"author":[{"dropping-particle":"","family":"WHO","given":"","non-dropping-particle":"","parse-names":false,"suffix":""}],"id":"ITEM-1","issued":{"date-parts":[["2010"]]},"publisher":"World Health Organisation","publisher-place":"Geneva","title":"The world health report: health systems financing: the path to universal coverage","type":"report"},"uris":["http://www.mendeley.com/documents/?uuid=6732c683-8f4d-42d0-a3c7-520481cab3ba"]}],"mendeley":{"formattedCitation":"[6]","plainTextFormattedCitation":"[6]","previouslyFormattedCitation":"[6]"},"properties":{"noteIndex":0},"schema":"https://github.com/citation-style-language/schema/raw/master/csl-citation.json"}</w:instrText>
      </w:r>
      <w:r w:rsidR="00AB37E0"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[6]</w:t>
      </w:r>
      <w:r w:rsidR="00AB37E0" w:rsidRPr="00614125">
        <w:rPr>
          <w:rFonts w:ascii="Arial" w:hAnsi="Arial" w:cs="Times New Roman"/>
          <w:color w:val="000000" w:themeColor="text1"/>
        </w:rPr>
        <w:fldChar w:fldCharType="end"/>
      </w:r>
      <w:r w:rsidR="00E84651" w:rsidRPr="00614125">
        <w:rPr>
          <w:rFonts w:ascii="Arial" w:hAnsi="Arial" w:cs="Times New Roman"/>
          <w:color w:val="000000" w:themeColor="text1"/>
        </w:rPr>
        <w:t xml:space="preserve">. The volume of the inner-box (actual health coverage) </w:t>
      </w:r>
      <w:r w:rsidR="00DD4FD6" w:rsidRPr="00614125">
        <w:rPr>
          <w:rFonts w:ascii="Arial" w:hAnsi="Arial" w:cs="Times New Roman"/>
          <w:color w:val="000000" w:themeColor="text1"/>
        </w:rPr>
        <w:t>as a proportion of</w:t>
      </w:r>
      <w:r w:rsidR="00E84651" w:rsidRPr="00614125">
        <w:rPr>
          <w:rFonts w:ascii="Arial" w:hAnsi="Arial" w:cs="Times New Roman"/>
          <w:color w:val="000000" w:themeColor="text1"/>
        </w:rPr>
        <w:t xml:space="preserve"> the outer-box (highest achievable health coverage) was</w:t>
      </w:r>
      <w:r w:rsidR="00825149" w:rsidRPr="00614125">
        <w:rPr>
          <w:rFonts w:ascii="Arial" w:hAnsi="Arial" w:cs="Times New Roman"/>
          <w:color w:val="000000" w:themeColor="text1"/>
        </w:rPr>
        <w:t xml:space="preserve"> </w:t>
      </w:r>
      <w:r w:rsidR="00DD4FD6" w:rsidRPr="00614125">
        <w:rPr>
          <w:rFonts w:ascii="Arial" w:hAnsi="Arial" w:cs="Times New Roman"/>
          <w:color w:val="000000" w:themeColor="text1"/>
        </w:rPr>
        <w:t xml:space="preserve">expressed </w:t>
      </w:r>
      <w:r w:rsidR="00825149" w:rsidRPr="00614125">
        <w:rPr>
          <w:rFonts w:ascii="Arial" w:hAnsi="Arial" w:cs="Times New Roman"/>
          <w:color w:val="000000" w:themeColor="text1"/>
        </w:rPr>
        <w:t>as a percentage</w:t>
      </w:r>
      <w:r w:rsidR="00DD4FD6" w:rsidRPr="00614125">
        <w:rPr>
          <w:rFonts w:ascii="Arial" w:hAnsi="Arial" w:cs="Times New Roman"/>
          <w:color w:val="000000" w:themeColor="text1"/>
        </w:rPr>
        <w:t>, giving</w:t>
      </w:r>
      <w:r w:rsidR="00BC7210" w:rsidRPr="00614125">
        <w:rPr>
          <w:rFonts w:ascii="Arial" w:hAnsi="Arial" w:cs="Times New Roman"/>
          <w:color w:val="000000" w:themeColor="text1"/>
        </w:rPr>
        <w:t xml:space="preserve"> </w:t>
      </w:r>
      <w:r w:rsidR="00DD4FD6" w:rsidRPr="00614125">
        <w:rPr>
          <w:rFonts w:ascii="Arial" w:hAnsi="Arial" w:cs="Times New Roman"/>
          <w:color w:val="000000" w:themeColor="text1"/>
        </w:rPr>
        <w:t>a</w:t>
      </w:r>
      <w:r w:rsidR="006F5387" w:rsidRPr="00614125">
        <w:rPr>
          <w:rFonts w:ascii="Arial" w:hAnsi="Arial" w:cs="Times New Roman"/>
          <w:color w:val="000000" w:themeColor="text1"/>
        </w:rPr>
        <w:t xml:space="preserve"> UHC index rang</w:t>
      </w:r>
      <w:r w:rsidR="00DD4FD6" w:rsidRPr="00614125">
        <w:rPr>
          <w:rFonts w:ascii="Arial" w:hAnsi="Arial" w:cs="Times New Roman"/>
          <w:color w:val="000000" w:themeColor="text1"/>
        </w:rPr>
        <w:t>ing</w:t>
      </w:r>
      <w:r w:rsidR="006F5387" w:rsidRPr="00614125">
        <w:rPr>
          <w:rFonts w:ascii="Arial" w:hAnsi="Arial" w:cs="Times New Roman"/>
          <w:color w:val="000000" w:themeColor="text1"/>
        </w:rPr>
        <w:t xml:space="preserve"> between 0 and 100</w:t>
      </w:r>
      <w:r w:rsidR="00DD4FD6" w:rsidRPr="00614125">
        <w:rPr>
          <w:rFonts w:ascii="Arial" w:hAnsi="Arial" w:cs="Times New Roman"/>
          <w:color w:val="000000" w:themeColor="text1"/>
        </w:rPr>
        <w:t xml:space="preserve"> </w:t>
      </w:r>
      <w:r w:rsidR="00DD4FD6" w:rsidRPr="00614125">
        <w:rPr>
          <w:rFonts w:ascii="Arial" w:hAnsi="Arial" w:cs="Times New Roman"/>
          <w:noProof/>
          <w:color w:val="000000" w:themeColor="text1"/>
        </w:rPr>
        <w:t>percent</w:t>
      </w:r>
      <w:r w:rsidR="006F5387" w:rsidRPr="00614125">
        <w:rPr>
          <w:rFonts w:ascii="Arial" w:hAnsi="Arial" w:cs="Times New Roman"/>
          <w:color w:val="000000" w:themeColor="text1"/>
        </w:rPr>
        <w:t xml:space="preserve"> </w:t>
      </w:r>
      <w:r w:rsidR="00DD4FD6" w:rsidRPr="00614125">
        <w:rPr>
          <w:rFonts w:ascii="Arial" w:hAnsi="Arial" w:cs="Times New Roman"/>
          <w:color w:val="000000" w:themeColor="text1"/>
        </w:rPr>
        <w:t xml:space="preserve">with </w:t>
      </w:r>
      <w:r w:rsidR="006F5387" w:rsidRPr="00614125">
        <w:rPr>
          <w:rFonts w:ascii="Arial" w:hAnsi="Arial" w:cs="Times New Roman"/>
          <w:color w:val="000000" w:themeColor="text1"/>
        </w:rPr>
        <w:t xml:space="preserve">higher index values </w:t>
      </w:r>
      <w:r w:rsidR="00DD4FD6" w:rsidRPr="00614125">
        <w:rPr>
          <w:rFonts w:ascii="Arial" w:hAnsi="Arial" w:cs="Times New Roman"/>
          <w:color w:val="000000" w:themeColor="text1"/>
        </w:rPr>
        <w:t xml:space="preserve">corresponding to </w:t>
      </w:r>
      <w:r w:rsidR="006F5387" w:rsidRPr="00614125">
        <w:rPr>
          <w:rFonts w:ascii="Arial" w:hAnsi="Arial" w:cs="Times New Roman"/>
          <w:color w:val="000000" w:themeColor="text1"/>
        </w:rPr>
        <w:t xml:space="preserve">better UHC achievement. </w:t>
      </w:r>
    </w:p>
    <w:p w14:paraId="384D8C3D" w14:textId="77777777" w:rsidR="00604154" w:rsidRPr="00614125" w:rsidRDefault="00604154" w:rsidP="00EB5108">
      <w:pPr>
        <w:spacing w:before="120" w:after="120" w:line="360" w:lineRule="auto"/>
        <w:jc w:val="center"/>
        <w:rPr>
          <w:rFonts w:ascii="Arial" w:hAnsi="Arial" w:cs="Times New Roman"/>
          <w:color w:val="000000" w:themeColor="text1"/>
        </w:rPr>
      </w:pPr>
    </w:p>
    <w:p w14:paraId="2946AB1D" w14:textId="2059D7DC" w:rsidR="001278BC" w:rsidRPr="00614125" w:rsidRDefault="001278BC" w:rsidP="00EB5108">
      <w:pPr>
        <w:spacing w:before="120" w:after="120" w:line="360" w:lineRule="auto"/>
        <w:jc w:val="center"/>
        <w:rPr>
          <w:rFonts w:ascii="Arial" w:hAnsi="Arial" w:cs="Times New Roman"/>
          <w:color w:val="000000" w:themeColor="text1"/>
        </w:rPr>
      </w:pPr>
      <w:r w:rsidRPr="00614125">
        <w:rPr>
          <w:rFonts w:ascii="Arial" w:hAnsi="Arial" w:cs="Times New Roman"/>
          <w:color w:val="000000" w:themeColor="text1"/>
        </w:rPr>
        <w:lastRenderedPageBreak/>
        <w:t>Figure 1 to be inserted here</w:t>
      </w:r>
    </w:p>
    <w:p w14:paraId="7CE6AB7B" w14:textId="77777777" w:rsidR="00604154" w:rsidRPr="00614125" w:rsidRDefault="00604154" w:rsidP="00337D8B">
      <w:pPr>
        <w:spacing w:before="120" w:after="120" w:line="360" w:lineRule="auto"/>
        <w:jc w:val="both"/>
        <w:rPr>
          <w:rFonts w:ascii="Arial" w:hAnsi="Arial" w:cs="Times New Roman"/>
          <w:color w:val="000000" w:themeColor="text1"/>
        </w:rPr>
      </w:pPr>
    </w:p>
    <w:p w14:paraId="171F3128" w14:textId="24395F1A" w:rsidR="00A60E1A" w:rsidRPr="00614125" w:rsidRDefault="00E84651" w:rsidP="00337D8B">
      <w:pPr>
        <w:spacing w:before="120" w:after="120" w:line="360" w:lineRule="auto"/>
        <w:jc w:val="both"/>
        <w:rPr>
          <w:rFonts w:ascii="Arial" w:hAnsi="Arial" w:cs="Times New Roman"/>
          <w:color w:val="000000" w:themeColor="text1"/>
        </w:rPr>
      </w:pPr>
      <w:r w:rsidRPr="00614125">
        <w:rPr>
          <w:rFonts w:ascii="Arial" w:hAnsi="Arial" w:cs="Times New Roman"/>
          <w:color w:val="000000" w:themeColor="text1"/>
        </w:rPr>
        <w:t>We describe below three dimensions of UHC</w:t>
      </w:r>
      <w:r w:rsidR="00604154" w:rsidRPr="00614125">
        <w:rPr>
          <w:rFonts w:ascii="Arial" w:hAnsi="Arial" w:cs="Times New Roman"/>
          <w:color w:val="000000" w:themeColor="text1"/>
        </w:rPr>
        <w:t xml:space="preserve">, i.e. </w:t>
      </w:r>
      <w:r w:rsidRPr="00614125">
        <w:rPr>
          <w:rFonts w:ascii="Arial" w:hAnsi="Arial" w:cs="Times New Roman"/>
          <w:color w:val="000000" w:themeColor="text1"/>
        </w:rPr>
        <w:t xml:space="preserve">population </w:t>
      </w:r>
      <w:r w:rsidR="00DD4FD6" w:rsidRPr="00614125">
        <w:rPr>
          <w:rFonts w:ascii="Arial" w:hAnsi="Arial" w:cs="Times New Roman"/>
          <w:color w:val="000000" w:themeColor="text1"/>
        </w:rPr>
        <w:t>coverage</w:t>
      </w:r>
      <w:r w:rsidR="00604154" w:rsidRPr="00614125">
        <w:rPr>
          <w:rFonts w:ascii="Arial" w:hAnsi="Arial" w:cs="Times New Roman"/>
          <w:color w:val="000000" w:themeColor="text1"/>
        </w:rPr>
        <w:t xml:space="preserve"> (length), service coverage (depth), </w:t>
      </w:r>
      <w:r w:rsidRPr="00614125">
        <w:rPr>
          <w:rFonts w:ascii="Arial" w:hAnsi="Arial" w:cs="Times New Roman"/>
          <w:color w:val="000000" w:themeColor="text1"/>
        </w:rPr>
        <w:t>and financial protection</w:t>
      </w:r>
      <w:r w:rsidR="00604154" w:rsidRPr="00614125">
        <w:rPr>
          <w:rFonts w:ascii="Arial" w:hAnsi="Arial" w:cs="Times New Roman"/>
          <w:color w:val="000000" w:themeColor="text1"/>
        </w:rPr>
        <w:t xml:space="preserve"> (height) of the UHC illustration</w:t>
      </w:r>
      <w:r w:rsidRPr="00614125">
        <w:rPr>
          <w:rFonts w:ascii="Arial" w:hAnsi="Arial" w:cs="Times New Roman"/>
          <w:color w:val="000000" w:themeColor="text1"/>
        </w:rPr>
        <w:t xml:space="preserve">.    </w:t>
      </w:r>
    </w:p>
    <w:p w14:paraId="1845709D" w14:textId="77777777" w:rsidR="00604154" w:rsidRPr="00614125" w:rsidRDefault="00604154" w:rsidP="00604154">
      <w:pPr>
        <w:spacing w:before="120" w:after="120" w:line="360" w:lineRule="auto"/>
        <w:jc w:val="both"/>
        <w:rPr>
          <w:rFonts w:ascii="Arial" w:hAnsi="Arial" w:cs="Times New Roman"/>
          <w:bCs/>
          <w:i/>
          <w:color w:val="000000" w:themeColor="text1"/>
        </w:rPr>
      </w:pPr>
      <w:r w:rsidRPr="00614125">
        <w:rPr>
          <w:rFonts w:ascii="Arial" w:hAnsi="Arial" w:cs="Times New Roman"/>
          <w:bCs/>
          <w:i/>
          <w:color w:val="000000" w:themeColor="text1"/>
        </w:rPr>
        <w:t xml:space="preserve">Population coverage </w:t>
      </w:r>
    </w:p>
    <w:p w14:paraId="3AFDF347" w14:textId="54328C0D" w:rsidR="00604154" w:rsidRPr="00614125" w:rsidRDefault="00D45931" w:rsidP="00604154">
      <w:pPr>
        <w:spacing w:before="120" w:after="120" w:line="360" w:lineRule="auto"/>
        <w:jc w:val="both"/>
        <w:rPr>
          <w:rFonts w:ascii="Arial" w:hAnsi="Arial" w:cs="Times New Roman"/>
          <w:i/>
          <w:color w:val="000000" w:themeColor="text1"/>
          <w:u w:val="single"/>
        </w:rPr>
      </w:pPr>
      <w:r w:rsidRPr="00614125">
        <w:rPr>
          <w:rFonts w:ascii="Arial" w:hAnsi="Arial" w:cs="Times New Roman"/>
          <w:color w:val="000000" w:themeColor="text1"/>
        </w:rPr>
        <w:t>Striving</w:t>
      </w:r>
      <w:r w:rsidR="00604154" w:rsidRPr="00614125">
        <w:rPr>
          <w:rFonts w:ascii="Arial" w:hAnsi="Arial" w:cs="Times New Roman"/>
          <w:color w:val="000000" w:themeColor="text1"/>
        </w:rPr>
        <w:t xml:space="preserve"> for Universal Health Coverage is tied to the belief that all people in need, irrespective of their socioeconomic position</w:t>
      </w:r>
      <w:r w:rsidRPr="00614125">
        <w:rPr>
          <w:rFonts w:ascii="Arial" w:hAnsi="Arial" w:cs="Times New Roman"/>
          <w:color w:val="000000" w:themeColor="text1"/>
        </w:rPr>
        <w:t>,</w:t>
      </w:r>
      <w:r w:rsidR="00604154" w:rsidRPr="00614125">
        <w:rPr>
          <w:rFonts w:ascii="Arial" w:hAnsi="Arial" w:cs="Times New Roman"/>
          <w:color w:val="000000" w:themeColor="text1"/>
        </w:rPr>
        <w:t xml:space="preserve"> should be covered by all health services, whether they be promotive, preventive, curative, rehabilitative or palliative. The population in a country can be divided into socioeconomic quintiles, based on an asset/wealth index </w:t>
      </w:r>
      <w:r w:rsidR="003D233F"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{"citationItems":[{"id":"ITEM-1","itemData":{"URL":"http://www.worldbank.org/en/topic/health/publication/health-equity-and-financial-protection-datasheets","accessed":{"date-parts":[["2016","4","2"]]},"author":[{"dropping-particle":"","family":"The World Bank","given":"","non-dropping-particle":"","parse-names":false,"suffix":""}],"id":"ITEM-1","issued":{"date-parts":[["2016"]]},"title":"Health Equity and Financial Protection Datasheets","type":"webpage"},"uris":["http://www.mendeley.com/documents/?uuid=dd320523-b7fc-4675-9aad-ea792a9286bd"]}],"mendeley":{"formattedCitation":"[7]","plainTextFormattedCitation":"[7]","previouslyFormattedCitation":"[7]"},"properties":{"noteIndex":0},"schema":"https://github.com/citation-style-language/schema/raw/master/csl-citation.json"}</w:instrText>
      </w:r>
      <w:r w:rsidR="003D233F"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[7]</w:t>
      </w:r>
      <w:r w:rsidR="003D233F" w:rsidRPr="00614125">
        <w:rPr>
          <w:rFonts w:ascii="Arial" w:hAnsi="Arial" w:cs="Times New Roman"/>
          <w:color w:val="000000" w:themeColor="text1"/>
        </w:rPr>
        <w:fldChar w:fldCharType="end"/>
      </w:r>
      <w:r w:rsidR="003D233F" w:rsidRPr="00614125">
        <w:rPr>
          <w:rFonts w:ascii="Arial" w:hAnsi="Arial" w:cs="Times New Roman"/>
          <w:color w:val="000000" w:themeColor="text1"/>
        </w:rPr>
        <w:t>.</w:t>
      </w:r>
      <w:r w:rsidR="00604154" w:rsidRPr="00614125">
        <w:rPr>
          <w:rFonts w:ascii="Arial" w:hAnsi="Arial" w:cs="Times New Roman"/>
          <w:color w:val="000000" w:themeColor="text1"/>
        </w:rPr>
        <w:t xml:space="preserve"> Population</w:t>
      </w:r>
      <w:r w:rsidRPr="00614125">
        <w:rPr>
          <w:rFonts w:ascii="Arial" w:hAnsi="Arial" w:cs="Times New Roman"/>
          <w:color w:val="000000" w:themeColor="text1"/>
        </w:rPr>
        <w:t>s</w:t>
      </w:r>
      <w:r w:rsidR="00604154" w:rsidRPr="00614125">
        <w:rPr>
          <w:rFonts w:ascii="Arial" w:hAnsi="Arial" w:cs="Times New Roman"/>
          <w:color w:val="000000" w:themeColor="text1"/>
        </w:rPr>
        <w:t xml:space="preserve"> can be further classified into sub-groups using other parameters, like geographic locations (urban, rural, suburb, hard-to-reach), gender, age (children, working-age, elderly), and occupational attainment (blue- and white-collar workers)</w:t>
      </w:r>
      <w:r w:rsidR="00B53676" w:rsidRPr="00614125">
        <w:rPr>
          <w:rFonts w:ascii="Arial" w:hAnsi="Arial" w:cs="Times New Roman"/>
          <w:color w:val="000000" w:themeColor="text1"/>
        </w:rPr>
        <w:t xml:space="preserve">. </w:t>
      </w:r>
      <w:r w:rsidR="00604154" w:rsidRPr="00614125">
        <w:rPr>
          <w:rFonts w:ascii="Arial" w:hAnsi="Arial" w:cs="Times New Roman"/>
          <w:color w:val="000000" w:themeColor="text1"/>
        </w:rPr>
        <w:t xml:space="preserve">Since UHC promotes equal health care irrespective of socioeconomic status, in our index we give the same weight to all socioeconomic groups. </w:t>
      </w:r>
    </w:p>
    <w:p w14:paraId="22AD9929" w14:textId="77777777" w:rsidR="00572BCA" w:rsidRPr="00614125" w:rsidRDefault="00572BCA" w:rsidP="00337D8B">
      <w:pPr>
        <w:spacing w:before="120" w:after="120" w:line="360" w:lineRule="auto"/>
        <w:jc w:val="both"/>
        <w:rPr>
          <w:rFonts w:ascii="Arial" w:hAnsi="Arial" w:cs="Times New Roman"/>
          <w:color w:val="000000" w:themeColor="text1"/>
        </w:rPr>
      </w:pPr>
    </w:p>
    <w:p w14:paraId="78D97443" w14:textId="77777777" w:rsidR="00807302" w:rsidRPr="00614125" w:rsidRDefault="00807302" w:rsidP="00337D8B">
      <w:pPr>
        <w:spacing w:before="120" w:after="120" w:line="360" w:lineRule="auto"/>
        <w:jc w:val="both"/>
        <w:rPr>
          <w:rFonts w:ascii="Arial" w:hAnsi="Arial" w:cs="Times New Roman"/>
          <w:bCs/>
          <w:i/>
          <w:color w:val="000000" w:themeColor="text1"/>
        </w:rPr>
      </w:pPr>
      <w:r w:rsidRPr="00614125">
        <w:rPr>
          <w:rFonts w:ascii="Arial" w:hAnsi="Arial" w:cs="Times New Roman"/>
          <w:bCs/>
          <w:i/>
          <w:color w:val="000000" w:themeColor="text1"/>
        </w:rPr>
        <w:t>Service coverage</w:t>
      </w:r>
    </w:p>
    <w:p w14:paraId="54799D8E" w14:textId="4083C0BE" w:rsidR="00807302" w:rsidRPr="00614125" w:rsidRDefault="00807302" w:rsidP="00184E44">
      <w:pPr>
        <w:spacing w:before="120" w:after="120" w:line="360" w:lineRule="auto"/>
        <w:jc w:val="both"/>
        <w:rPr>
          <w:rFonts w:ascii="Arial" w:hAnsi="Arial"/>
          <w:color w:val="000000" w:themeColor="text1"/>
        </w:rPr>
      </w:pPr>
      <w:r w:rsidRPr="00614125">
        <w:rPr>
          <w:rFonts w:ascii="Arial" w:hAnsi="Arial" w:cs="Times New Roman"/>
          <w:color w:val="000000" w:themeColor="text1"/>
        </w:rPr>
        <w:t xml:space="preserve">In principle, promotive, preventive, curative, rehabilitative and palliative health services should be available </w:t>
      </w:r>
      <w:r w:rsidR="00DD4FD6" w:rsidRPr="00614125">
        <w:rPr>
          <w:rFonts w:ascii="Arial" w:hAnsi="Arial" w:cs="Times New Roman"/>
          <w:color w:val="000000" w:themeColor="text1"/>
        </w:rPr>
        <w:t xml:space="preserve">in order to </w:t>
      </w:r>
      <w:r w:rsidRPr="00614125">
        <w:rPr>
          <w:rFonts w:ascii="Arial" w:hAnsi="Arial" w:cs="Times New Roman"/>
          <w:color w:val="000000" w:themeColor="text1"/>
        </w:rPr>
        <w:t>achiev</w:t>
      </w:r>
      <w:r w:rsidR="006743AD" w:rsidRPr="00614125">
        <w:rPr>
          <w:rFonts w:ascii="Arial" w:hAnsi="Arial" w:cs="Times New Roman"/>
          <w:color w:val="000000" w:themeColor="text1"/>
        </w:rPr>
        <w:t>e</w:t>
      </w:r>
      <w:r w:rsidRPr="00614125">
        <w:rPr>
          <w:rFonts w:ascii="Arial" w:hAnsi="Arial" w:cs="Times New Roman"/>
          <w:color w:val="000000" w:themeColor="text1"/>
        </w:rPr>
        <w:t xml:space="preserve"> UHC in </w:t>
      </w:r>
      <w:r w:rsidR="006743AD" w:rsidRPr="00614125">
        <w:rPr>
          <w:rFonts w:ascii="Arial" w:hAnsi="Arial" w:cs="Times New Roman"/>
          <w:color w:val="000000" w:themeColor="text1"/>
        </w:rPr>
        <w:t xml:space="preserve">a given </w:t>
      </w:r>
      <w:r w:rsidRPr="00614125">
        <w:rPr>
          <w:rFonts w:ascii="Arial" w:hAnsi="Arial" w:cs="Times New Roman"/>
          <w:color w:val="000000" w:themeColor="text1"/>
        </w:rPr>
        <w:t xml:space="preserve">country. </w:t>
      </w:r>
      <w:r w:rsidR="006743AD" w:rsidRPr="00614125">
        <w:rPr>
          <w:rFonts w:ascii="Arial" w:hAnsi="Arial" w:cs="Times New Roman"/>
          <w:color w:val="000000" w:themeColor="text1"/>
        </w:rPr>
        <w:t>Practically</w:t>
      </w:r>
      <w:r w:rsidRPr="00614125">
        <w:rPr>
          <w:rFonts w:ascii="Arial" w:hAnsi="Arial" w:cs="Times New Roman"/>
          <w:color w:val="000000" w:themeColor="text1"/>
        </w:rPr>
        <w:t xml:space="preserve">, countries have different </w:t>
      </w:r>
      <w:r w:rsidR="00795188" w:rsidRPr="00614125">
        <w:rPr>
          <w:rFonts w:ascii="Arial" w:hAnsi="Arial" w:cs="Times New Roman"/>
          <w:color w:val="000000" w:themeColor="text1"/>
        </w:rPr>
        <w:t xml:space="preserve">health </w:t>
      </w:r>
      <w:r w:rsidRPr="00614125">
        <w:rPr>
          <w:rFonts w:ascii="Arial" w:hAnsi="Arial" w:cs="Times New Roman"/>
          <w:color w:val="000000" w:themeColor="text1"/>
        </w:rPr>
        <w:t>priorities</w:t>
      </w:r>
      <w:r w:rsidR="000F45C5" w:rsidRPr="00614125">
        <w:rPr>
          <w:rFonts w:ascii="Arial" w:hAnsi="Arial" w:cs="Times New Roman"/>
          <w:color w:val="000000" w:themeColor="text1"/>
        </w:rPr>
        <w:t>; many countries</w:t>
      </w:r>
      <w:r w:rsidR="00DE1D36" w:rsidRPr="00614125">
        <w:rPr>
          <w:rFonts w:ascii="Arial" w:hAnsi="Arial" w:cs="Times New Roman"/>
          <w:color w:val="000000" w:themeColor="text1"/>
        </w:rPr>
        <w:t>, for example,</w:t>
      </w:r>
      <w:r w:rsidR="000F45C5" w:rsidRPr="00614125">
        <w:rPr>
          <w:rFonts w:ascii="Arial" w:hAnsi="Arial" w:cs="Times New Roman"/>
          <w:color w:val="000000" w:themeColor="text1"/>
        </w:rPr>
        <w:t xml:space="preserve"> require</w:t>
      </w:r>
      <w:r w:rsidR="00B3221C" w:rsidRPr="00614125">
        <w:rPr>
          <w:rFonts w:ascii="Arial" w:hAnsi="Arial" w:cs="Times New Roman"/>
          <w:color w:val="000000" w:themeColor="text1"/>
        </w:rPr>
        <w:t xml:space="preserve"> </w:t>
      </w:r>
      <w:r w:rsidR="00FE58FB" w:rsidRPr="00614125">
        <w:rPr>
          <w:rFonts w:ascii="Arial" w:hAnsi="Arial" w:cs="Times New Roman"/>
          <w:color w:val="000000" w:themeColor="text1"/>
        </w:rPr>
        <w:t xml:space="preserve">priority services </w:t>
      </w:r>
      <w:r w:rsidR="000F45C5" w:rsidRPr="00614125">
        <w:rPr>
          <w:rFonts w:ascii="Arial" w:hAnsi="Arial" w:cs="Times New Roman"/>
          <w:color w:val="000000" w:themeColor="text1"/>
        </w:rPr>
        <w:t>for</w:t>
      </w:r>
      <w:r w:rsidR="00BC7210" w:rsidRPr="00614125">
        <w:rPr>
          <w:rFonts w:ascii="Arial" w:hAnsi="Arial" w:cs="Times New Roman"/>
          <w:color w:val="000000" w:themeColor="text1"/>
        </w:rPr>
        <w:t xml:space="preserve"> malaria, HIV/AIDS and</w:t>
      </w:r>
      <w:r w:rsidR="00FE58FB" w:rsidRPr="00614125">
        <w:rPr>
          <w:rFonts w:ascii="Arial" w:hAnsi="Arial" w:cs="Times New Roman"/>
          <w:color w:val="000000" w:themeColor="text1"/>
        </w:rPr>
        <w:t xml:space="preserve"> tuberculosis</w:t>
      </w:r>
      <w:r w:rsidR="00BC7210" w:rsidRPr="00614125">
        <w:rPr>
          <w:rFonts w:ascii="Arial" w:hAnsi="Arial" w:cs="Times New Roman"/>
          <w:color w:val="000000" w:themeColor="text1"/>
        </w:rPr>
        <w:t xml:space="preserve">. </w:t>
      </w:r>
      <w:r w:rsidRPr="00614125">
        <w:rPr>
          <w:rFonts w:ascii="Arial" w:hAnsi="Arial" w:cs="Times New Roman"/>
          <w:color w:val="000000" w:themeColor="text1"/>
        </w:rPr>
        <w:t xml:space="preserve">However, some services are commonly found in </w:t>
      </w:r>
      <w:r w:rsidR="00344296" w:rsidRPr="00614125">
        <w:rPr>
          <w:rFonts w:ascii="Arial" w:hAnsi="Arial" w:cs="Times New Roman"/>
          <w:color w:val="000000" w:themeColor="text1"/>
        </w:rPr>
        <w:t xml:space="preserve">all </w:t>
      </w:r>
      <w:r w:rsidRPr="00614125">
        <w:rPr>
          <w:rFonts w:ascii="Arial" w:hAnsi="Arial" w:cs="Times New Roman"/>
          <w:color w:val="000000" w:themeColor="text1"/>
        </w:rPr>
        <w:t xml:space="preserve">countries, </w:t>
      </w:r>
      <w:r w:rsidR="006743AD" w:rsidRPr="00614125">
        <w:rPr>
          <w:rFonts w:ascii="Arial" w:hAnsi="Arial" w:cs="Times New Roman"/>
          <w:color w:val="000000" w:themeColor="text1"/>
        </w:rPr>
        <w:t>including</w:t>
      </w:r>
      <w:r w:rsidRPr="00614125">
        <w:rPr>
          <w:rFonts w:ascii="Arial" w:hAnsi="Arial" w:cs="Times New Roman"/>
          <w:color w:val="000000" w:themeColor="text1"/>
        </w:rPr>
        <w:t>, out-</w:t>
      </w:r>
      <w:r w:rsidR="006743AD" w:rsidRPr="00614125">
        <w:rPr>
          <w:rFonts w:ascii="Arial" w:hAnsi="Arial" w:cs="Times New Roman"/>
          <w:color w:val="000000" w:themeColor="text1"/>
        </w:rPr>
        <w:t xml:space="preserve">patient </w:t>
      </w:r>
      <w:r w:rsidRPr="00614125">
        <w:rPr>
          <w:rFonts w:ascii="Arial" w:hAnsi="Arial" w:cs="Times New Roman"/>
          <w:color w:val="000000" w:themeColor="text1"/>
        </w:rPr>
        <w:t>and inpatient services</w:t>
      </w:r>
      <w:r w:rsidR="006743AD" w:rsidRPr="00614125">
        <w:rPr>
          <w:rFonts w:ascii="Arial" w:hAnsi="Arial" w:cs="Times New Roman"/>
          <w:color w:val="000000" w:themeColor="text1"/>
        </w:rPr>
        <w:t xml:space="preserve"> and immunization</w:t>
      </w:r>
      <w:r w:rsidRPr="00614125">
        <w:rPr>
          <w:rFonts w:ascii="Arial" w:hAnsi="Arial" w:cs="Times New Roman"/>
          <w:color w:val="000000" w:themeColor="text1"/>
        </w:rPr>
        <w:t xml:space="preserve">. </w:t>
      </w:r>
      <w:r w:rsidR="000F45C5" w:rsidRPr="00614125">
        <w:rPr>
          <w:rFonts w:ascii="Arial" w:hAnsi="Arial" w:cs="Times New Roman"/>
          <w:color w:val="000000" w:themeColor="text1"/>
        </w:rPr>
        <w:t>Despite differences between countries</w:t>
      </w:r>
      <w:r w:rsidR="00184E44" w:rsidRPr="00614125">
        <w:rPr>
          <w:rFonts w:ascii="Arial" w:hAnsi="Arial" w:cs="Times New Roman"/>
          <w:color w:val="000000" w:themeColor="text1"/>
        </w:rPr>
        <w:t xml:space="preserve">, </w:t>
      </w:r>
      <w:r w:rsidR="00C8604F" w:rsidRPr="00614125">
        <w:rPr>
          <w:rFonts w:ascii="Arial" w:hAnsi="Arial" w:cs="Times New Roman"/>
          <w:color w:val="000000" w:themeColor="text1"/>
        </w:rPr>
        <w:t xml:space="preserve">UHC </w:t>
      </w:r>
      <w:r w:rsidR="000F45C5" w:rsidRPr="00614125">
        <w:rPr>
          <w:rFonts w:ascii="Arial" w:hAnsi="Arial" w:cs="Times New Roman"/>
          <w:color w:val="000000" w:themeColor="text1"/>
        </w:rPr>
        <w:t xml:space="preserve">puts </w:t>
      </w:r>
      <w:r w:rsidR="00C8604F" w:rsidRPr="00614125">
        <w:rPr>
          <w:rFonts w:ascii="Arial" w:hAnsi="Arial" w:cs="Times New Roman"/>
          <w:color w:val="000000" w:themeColor="text1"/>
        </w:rPr>
        <w:t>emphasis on</w:t>
      </w:r>
      <w:r w:rsidR="000F45C5" w:rsidRPr="00614125">
        <w:rPr>
          <w:rFonts w:ascii="Arial" w:hAnsi="Arial" w:cs="Times New Roman"/>
          <w:color w:val="000000" w:themeColor="text1"/>
        </w:rPr>
        <w:t xml:space="preserve"> the</w:t>
      </w:r>
      <w:r w:rsidR="00C8604F" w:rsidRPr="00614125">
        <w:rPr>
          <w:rFonts w:ascii="Arial" w:hAnsi="Arial" w:cs="Times New Roman"/>
          <w:color w:val="000000" w:themeColor="text1"/>
        </w:rPr>
        <w:t xml:space="preserve"> utiliz</w:t>
      </w:r>
      <w:r w:rsidR="000F45C5" w:rsidRPr="00614125">
        <w:rPr>
          <w:rFonts w:ascii="Arial" w:hAnsi="Arial" w:cs="Times New Roman"/>
          <w:color w:val="000000" w:themeColor="text1"/>
        </w:rPr>
        <w:t>ation of</w:t>
      </w:r>
      <w:r w:rsidR="00BC7210" w:rsidRPr="00614125">
        <w:rPr>
          <w:rFonts w:ascii="Arial" w:hAnsi="Arial" w:cs="Times New Roman"/>
          <w:color w:val="000000" w:themeColor="text1"/>
        </w:rPr>
        <w:t xml:space="preserve"> </w:t>
      </w:r>
      <w:r w:rsidR="00C8604F" w:rsidRPr="00614125">
        <w:rPr>
          <w:rFonts w:ascii="Arial" w:hAnsi="Arial" w:cs="Times New Roman"/>
          <w:color w:val="000000" w:themeColor="text1"/>
        </w:rPr>
        <w:t>health services</w:t>
      </w:r>
      <w:r w:rsidR="00184E44" w:rsidRPr="00614125">
        <w:rPr>
          <w:rFonts w:ascii="Arial" w:hAnsi="Arial" w:cs="Times New Roman"/>
          <w:color w:val="000000" w:themeColor="text1"/>
        </w:rPr>
        <w:t xml:space="preserve"> by people in need</w:t>
      </w:r>
      <w:r w:rsidR="000F45C5" w:rsidRPr="00614125">
        <w:rPr>
          <w:rFonts w:ascii="Arial" w:hAnsi="Arial" w:cs="Times New Roman"/>
          <w:color w:val="000000" w:themeColor="text1"/>
        </w:rPr>
        <w:t>,</w:t>
      </w:r>
      <w:r w:rsidR="00C8604F" w:rsidRPr="00614125">
        <w:rPr>
          <w:rFonts w:ascii="Arial" w:hAnsi="Arial" w:cs="Times New Roman"/>
          <w:color w:val="000000" w:themeColor="text1"/>
        </w:rPr>
        <w:t xml:space="preserve"> rather than </w:t>
      </w:r>
      <w:r w:rsidR="00DE1D36" w:rsidRPr="00614125">
        <w:rPr>
          <w:rFonts w:ascii="Arial" w:hAnsi="Arial" w:cs="Times New Roman"/>
          <w:color w:val="000000" w:themeColor="text1"/>
        </w:rPr>
        <w:t xml:space="preserve">the </w:t>
      </w:r>
      <w:r w:rsidR="00C8604F" w:rsidRPr="00614125">
        <w:rPr>
          <w:rFonts w:ascii="Arial" w:hAnsi="Arial" w:cs="Times New Roman"/>
          <w:noProof/>
          <w:color w:val="000000" w:themeColor="text1"/>
        </w:rPr>
        <w:t>availability</w:t>
      </w:r>
      <w:r w:rsidR="000F45C5" w:rsidRPr="00614125">
        <w:rPr>
          <w:rFonts w:ascii="Arial" w:hAnsi="Arial" w:cs="Times New Roman"/>
          <w:color w:val="000000" w:themeColor="text1"/>
        </w:rPr>
        <w:t xml:space="preserve"> of different services</w:t>
      </w:r>
      <w:r w:rsidR="003D233F" w:rsidRPr="00614125">
        <w:rPr>
          <w:rFonts w:ascii="Arial" w:hAnsi="Arial" w:cs="Times New Roman"/>
          <w:color w:val="000000" w:themeColor="text1"/>
        </w:rPr>
        <w:t xml:space="preserve"> </w:t>
      </w:r>
      <w:r w:rsidR="00DB0BCD"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DOI":"10.1377/hlthaff.2014.1453","ISSN":"0278-2715","author":[{"dropping-particle":"","family":"Wagstaff","given":"a.","non-dropping-particle":"","parse-names":false,"suffix":""},{"dropping-particle":"","family":"Dmytraczenko","given":"T.","non-dropping-particle":"","parse-names":false,"suffix":""},{"dropping-particle":"","family":"Almeida","given":"G.","non-dropping-particle":"","parse-names":false,"suffix":""},{"dropping-particle":"","family":"Buisman","given":"L.","non-dropping-particle":"","parse-names":false,"suffix":""},{"dropping-particle":"","family":"Hoang-Vu Eozenou","given":"P.","non-dropping-particle":"","parse-names":false,"suffix":""},{"dropping-particle":"","family":"Bredenkamp","given":"C.","non-dropping-particle":"","parse-names":false,"suffix":""},{"dropping-particle":"","family":"Cercone","given":"J. a.","non-dropping-particle":"","parse-names":false,"suffix":""},{"dropping-particle":"","family":"Diaz","given":"Y.","non-dropping-particle":"","parse-names":false,"suffix":""},{"dropping-particle":"","family":"Maceira","given":"D.","non-dropping-particle":"","parse-names":false,"suffix":""},{"dropping-particle":"","family":"Molina","given":"S.","non-dropping-particle":"","parse-names":false,"suffix":""},{"dropping-particle":"","family":"Paraje","given":"G.","non-dropping-particle":"","parse-names":false,"suffix":""},{"dropping-particle":"","family":"Ruiz","given":"F.","non-dropping-particle":"","parse-names":false,"suffix":""},{"dropping-particle":"","family":"Sarti","given":"F.","non-dropping-particle":"","parse-names":false,"suffix":""},{"dropping-particle":"","family":"Scott","given":"J.","non-dropping-particle":"","parse-names":false,"suffix":""},{"dropping-particle":"","family":"Valdivia","given":"M.","non-dropping-particle":"","parse-names":false,"suffix":""},{"dropping-particle":"","family":"Werneck","given":"H.","non-dropping-particle":"","parse-names":false,"suffix":""}],"container-title":"Health Affairs","id":"ITEM-1","issue":"10","issued":{"date-parts":[["2015"]]},"page":"1704-1712","title":"Assessing Latin America's Progress Toward Achieving Universal Health Coverage","type":"article-journal","volume":"34"},"uris":["http://www.mendeley.com/documents/?uuid=d1ecfd68-75a0-4b7e-9324-a6f415bb3431"]},{"id":"ITEM-2","itemData":{"DOI":"10.1093/oxrep/grv019","ISSN":"14602121","abstract":"The last few years have seen a growing commitment worldwide to universal health coverage (UHC). Yet there is a lack of clarity on how to measure progress towards UHC. This paper proposes a ‘mashup’ index that captures both aspects of UHC: that everyone—irrespective of their ability-to- pay—gets the health services they need; and that nobody suffers undue financial hardship as a result of receiving care. Service coverage is broken down into prevention and treat- ment, and financial protection into impoverishment and catastrophic spending; nationally representative household survey data are used to adjust population averages to capture inequalities between the poor and better off; nonlinear tradeoffs are allowed between and within the two dimensions of the UHC index; and all indicators are expressed such that scores run from 0 to 100, and higher scores are better. In a sample of 24 countries for which there are detailed information on UHC-inspired reforms, a cluster of high-performing countries emerges with UHC scores of between 79 and 84 (Brazil, Colombia, Costa Rica, Mexico and South Africa) and a cluster of low-performing countries emerges with UHC scores in the range 35–57 (Ethiopia, Guatemala, India, Indonesia and Vietnam). Countries have mostly improved their UHC scores between the earliest and latest years for which there are data—by about 5 points on average; however, the improvement has come from increases in receipt of key health interventions, not from reductions in the incidence of out-of-pocket payments on welfare","author":[{"dropping-particle":"","family":"Wagstaff","given":"Adam","non-dropping-particle":"","parse-names":false,"suffix":""},{"dropping-particle":"","family":"Cotlear","given":"Daniel","non-dropping-particle":"","parse-names":false,"suffix":""},{"dropping-particle":"","family":"Eozenou","given":"Patrick Hoang Vu","non-dropping-particle":"","parse-names":false,"suffix":""},{"dropping-particle":"","family":"Buisman","given":"Leander R.","non-dropping-particle":"","parse-names":false,"suffix":""}],"container-title":"Oxford Review of Economic Policy","id":"ITEM-2","issue":"1","issued":{"date-parts":[["2016"]]},"page":"147-189","title":"Measuring progress towards universal health coverage: With an application to 24 developing countries","type":"article-journal","volume":"32"},"uris":["http://www.mendeley.com/documents/?uuid=5683d862-8468-4748-9946-69ac1b89320a"]}],"mendeley":{"formattedCitation":"[5,8]","plainTextFormattedCitation":"[5,8]","previouslyFormattedCitation":"[5,8]"},"properties":{"noteIndex":0},"schema":"https://github.com/citation-style-language/schema/raw/master/csl-citation.json"}</w:instrText>
      </w:r>
      <w:r w:rsidR="00DB0BCD"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[5,8]</w:t>
      </w:r>
      <w:r w:rsidR="00DB0BCD" w:rsidRPr="00614125">
        <w:rPr>
          <w:rFonts w:ascii="Arial" w:hAnsi="Arial" w:cs="Times New Roman"/>
          <w:color w:val="000000" w:themeColor="text1"/>
        </w:rPr>
        <w:fldChar w:fldCharType="end"/>
      </w:r>
      <w:r w:rsidR="00C8604F" w:rsidRPr="00614125">
        <w:rPr>
          <w:rFonts w:ascii="Arial" w:hAnsi="Arial" w:cs="Times New Roman"/>
          <w:color w:val="000000" w:themeColor="text1"/>
        </w:rPr>
        <w:t xml:space="preserve">. </w:t>
      </w:r>
    </w:p>
    <w:p w14:paraId="0451783A" w14:textId="77777777" w:rsidR="009106EE" w:rsidRPr="00614125" w:rsidRDefault="009106EE" w:rsidP="00337D8B">
      <w:pPr>
        <w:spacing w:before="120" w:after="120" w:line="360" w:lineRule="auto"/>
        <w:jc w:val="both"/>
        <w:rPr>
          <w:rFonts w:ascii="Arial" w:hAnsi="Arial" w:cs="Times New Roman"/>
          <w:bCs/>
          <w:i/>
          <w:color w:val="000000" w:themeColor="text1"/>
        </w:rPr>
      </w:pPr>
    </w:p>
    <w:p w14:paraId="21A6AAD4" w14:textId="77777777" w:rsidR="00807302" w:rsidRPr="00614125" w:rsidRDefault="00807302" w:rsidP="00337D8B">
      <w:pPr>
        <w:spacing w:before="120" w:after="120" w:line="360" w:lineRule="auto"/>
        <w:jc w:val="both"/>
        <w:rPr>
          <w:rFonts w:ascii="Arial" w:hAnsi="Arial" w:cs="Times New Roman"/>
          <w:bCs/>
          <w:color w:val="000000" w:themeColor="text1"/>
        </w:rPr>
      </w:pPr>
      <w:r w:rsidRPr="00614125">
        <w:rPr>
          <w:rFonts w:ascii="Arial" w:hAnsi="Arial" w:cs="Times New Roman"/>
          <w:bCs/>
          <w:i/>
          <w:color w:val="000000" w:themeColor="text1"/>
        </w:rPr>
        <w:t xml:space="preserve">Financial risk protection </w:t>
      </w:r>
    </w:p>
    <w:p w14:paraId="11F44369" w14:textId="4D31D6EC" w:rsidR="00807302" w:rsidRPr="00614125" w:rsidRDefault="00807302" w:rsidP="00337D8B">
      <w:pPr>
        <w:spacing w:before="120" w:after="120" w:line="360" w:lineRule="auto"/>
        <w:jc w:val="both"/>
        <w:rPr>
          <w:rFonts w:ascii="Arial" w:hAnsi="Arial" w:cs="Times New Roman"/>
          <w:color w:val="000000" w:themeColor="text1"/>
        </w:rPr>
      </w:pPr>
      <w:r w:rsidRPr="00614125">
        <w:rPr>
          <w:rFonts w:ascii="Arial" w:hAnsi="Arial" w:cs="Times New Roman"/>
          <w:color w:val="000000" w:themeColor="text1"/>
        </w:rPr>
        <w:t xml:space="preserve">Financial risk protection </w:t>
      </w:r>
      <w:r w:rsidR="0080082E" w:rsidRPr="00614125">
        <w:rPr>
          <w:rFonts w:ascii="Arial" w:hAnsi="Arial" w:cs="Times New Roman"/>
          <w:color w:val="000000" w:themeColor="text1"/>
        </w:rPr>
        <w:t xml:space="preserve">(FRP) </w:t>
      </w:r>
      <w:r w:rsidR="00B7350F" w:rsidRPr="00614125">
        <w:rPr>
          <w:rFonts w:ascii="Arial" w:hAnsi="Arial" w:cs="Times New Roman"/>
          <w:color w:val="000000" w:themeColor="text1"/>
        </w:rPr>
        <w:t xml:space="preserve">means that payment for healthcare is not a barrier </w:t>
      </w:r>
      <w:r w:rsidR="00DE1D36" w:rsidRPr="00614125">
        <w:rPr>
          <w:rFonts w:ascii="Arial" w:hAnsi="Arial" w:cs="Times New Roman"/>
          <w:noProof/>
          <w:color w:val="000000" w:themeColor="text1"/>
        </w:rPr>
        <w:t>to</w:t>
      </w:r>
      <w:r w:rsidR="00B7350F" w:rsidRPr="00614125">
        <w:rPr>
          <w:rFonts w:ascii="Arial" w:hAnsi="Arial" w:cs="Times New Roman"/>
          <w:color w:val="000000" w:themeColor="text1"/>
        </w:rPr>
        <w:t xml:space="preserve"> utilizing health services and people do not get poorer by paying for healthcare.</w:t>
      </w:r>
      <w:r w:rsidRPr="00614125">
        <w:rPr>
          <w:rFonts w:ascii="Arial" w:hAnsi="Arial" w:cs="Times New Roman"/>
          <w:color w:val="000000" w:themeColor="text1"/>
        </w:rPr>
        <w:t xml:space="preserve"> </w:t>
      </w:r>
      <w:r w:rsidR="00205ADA" w:rsidRPr="00614125">
        <w:rPr>
          <w:rFonts w:ascii="Arial" w:hAnsi="Arial" w:cs="Times New Roman"/>
          <w:color w:val="000000" w:themeColor="text1"/>
        </w:rPr>
        <w:t>An essential componen</w:t>
      </w:r>
      <w:r w:rsidRPr="00614125">
        <w:rPr>
          <w:rFonts w:ascii="Arial" w:hAnsi="Arial" w:cs="Times New Roman"/>
          <w:color w:val="000000" w:themeColor="text1"/>
        </w:rPr>
        <w:t xml:space="preserve">t of </w:t>
      </w:r>
      <w:r w:rsidR="0080082E" w:rsidRPr="00614125">
        <w:rPr>
          <w:rFonts w:ascii="Arial" w:hAnsi="Arial" w:cs="Times New Roman"/>
          <w:color w:val="000000" w:themeColor="text1"/>
        </w:rPr>
        <w:t>UHC</w:t>
      </w:r>
      <w:r w:rsidRPr="00614125">
        <w:rPr>
          <w:rFonts w:ascii="Arial" w:hAnsi="Arial" w:cs="Times New Roman"/>
          <w:color w:val="000000" w:themeColor="text1"/>
        </w:rPr>
        <w:t xml:space="preserve"> is to ensure </w:t>
      </w:r>
      <w:r w:rsidR="0080082E" w:rsidRPr="00614125">
        <w:rPr>
          <w:rFonts w:ascii="Arial" w:hAnsi="Arial" w:cs="Times New Roman"/>
          <w:color w:val="000000" w:themeColor="text1"/>
        </w:rPr>
        <w:t>FRP</w:t>
      </w:r>
      <w:r w:rsidRPr="00614125">
        <w:rPr>
          <w:rFonts w:ascii="Arial" w:hAnsi="Arial" w:cs="Times New Roman"/>
          <w:color w:val="000000" w:themeColor="text1"/>
        </w:rPr>
        <w:t xml:space="preserve"> for all people in need of health services</w:t>
      </w:r>
      <w:r w:rsidR="00BC7210" w:rsidRPr="00614125">
        <w:rPr>
          <w:rFonts w:ascii="Arial" w:hAnsi="Arial" w:cs="Times New Roman"/>
          <w:color w:val="000000" w:themeColor="text1"/>
        </w:rPr>
        <w:t>,</w:t>
      </w:r>
      <w:r w:rsidRPr="00614125">
        <w:rPr>
          <w:rFonts w:ascii="Arial" w:hAnsi="Arial" w:cs="Times New Roman"/>
          <w:color w:val="000000" w:themeColor="text1"/>
        </w:rPr>
        <w:t xml:space="preserve"> </w:t>
      </w:r>
      <w:r w:rsidR="00F57888" w:rsidRPr="00614125">
        <w:rPr>
          <w:rFonts w:ascii="Arial" w:hAnsi="Arial" w:cs="Times New Roman"/>
          <w:color w:val="000000" w:themeColor="text1"/>
        </w:rPr>
        <w:t xml:space="preserve">once again, </w:t>
      </w:r>
      <w:r w:rsidRPr="00614125">
        <w:rPr>
          <w:rFonts w:ascii="Arial" w:hAnsi="Arial" w:cs="Times New Roman"/>
          <w:color w:val="000000" w:themeColor="text1"/>
        </w:rPr>
        <w:t xml:space="preserve">irrespective of </w:t>
      </w:r>
      <w:r w:rsidR="00205ADA" w:rsidRPr="00614125">
        <w:rPr>
          <w:rFonts w:ascii="Arial" w:hAnsi="Arial" w:cs="Times New Roman"/>
          <w:color w:val="000000" w:themeColor="text1"/>
        </w:rPr>
        <w:t xml:space="preserve">socioeconomic status. It </w:t>
      </w:r>
      <w:r w:rsidR="00F57888" w:rsidRPr="00614125">
        <w:rPr>
          <w:rFonts w:ascii="Arial" w:hAnsi="Arial" w:cs="Times New Roman"/>
          <w:color w:val="000000" w:themeColor="text1"/>
        </w:rPr>
        <w:t>is well documented</w:t>
      </w:r>
      <w:r w:rsidRPr="00614125">
        <w:rPr>
          <w:rFonts w:ascii="Arial" w:hAnsi="Arial" w:cs="Times New Roman"/>
          <w:color w:val="000000" w:themeColor="text1"/>
        </w:rPr>
        <w:t xml:space="preserve"> that </w:t>
      </w:r>
      <w:r w:rsidRPr="00614125">
        <w:rPr>
          <w:rFonts w:ascii="Arial" w:hAnsi="Arial" w:cs="Times New Roman"/>
          <w:color w:val="000000" w:themeColor="text1"/>
        </w:rPr>
        <w:lastRenderedPageBreak/>
        <w:t>households</w:t>
      </w:r>
      <w:r w:rsidR="00F57888" w:rsidRPr="00614125">
        <w:rPr>
          <w:rFonts w:ascii="Arial" w:hAnsi="Arial" w:cs="Times New Roman"/>
          <w:color w:val="000000" w:themeColor="text1"/>
        </w:rPr>
        <w:t xml:space="preserve"> </w:t>
      </w:r>
      <w:r w:rsidR="000A2440" w:rsidRPr="00614125">
        <w:rPr>
          <w:rFonts w:ascii="Arial" w:hAnsi="Arial" w:cs="Times New Roman"/>
          <w:color w:val="000000" w:themeColor="text1"/>
        </w:rPr>
        <w:t>affected by disease and illness</w:t>
      </w:r>
      <w:r w:rsidRPr="00614125">
        <w:rPr>
          <w:rFonts w:ascii="Arial" w:hAnsi="Arial" w:cs="Times New Roman"/>
          <w:color w:val="000000" w:themeColor="text1"/>
        </w:rPr>
        <w:t xml:space="preserve"> </w:t>
      </w:r>
      <w:r w:rsidR="00F57888" w:rsidRPr="00614125">
        <w:rPr>
          <w:rFonts w:ascii="Arial" w:hAnsi="Arial" w:cs="Times New Roman"/>
          <w:color w:val="000000" w:themeColor="text1"/>
        </w:rPr>
        <w:t xml:space="preserve">often </w:t>
      </w:r>
      <w:r w:rsidRPr="00614125">
        <w:rPr>
          <w:rFonts w:ascii="Arial" w:hAnsi="Arial" w:cs="Times New Roman"/>
          <w:color w:val="000000" w:themeColor="text1"/>
        </w:rPr>
        <w:t xml:space="preserve">face </w:t>
      </w:r>
      <w:r w:rsidR="00F57888" w:rsidRPr="00614125">
        <w:rPr>
          <w:rFonts w:ascii="Arial" w:hAnsi="Arial" w:cs="Times New Roman"/>
          <w:color w:val="000000" w:themeColor="text1"/>
        </w:rPr>
        <w:t>‘</w:t>
      </w:r>
      <w:r w:rsidRPr="00614125">
        <w:rPr>
          <w:rFonts w:ascii="Arial" w:hAnsi="Arial" w:cs="Times New Roman"/>
          <w:color w:val="000000" w:themeColor="text1"/>
        </w:rPr>
        <w:t>catastrophic</w:t>
      </w:r>
      <w:r w:rsidR="00F57888" w:rsidRPr="00614125">
        <w:rPr>
          <w:rFonts w:ascii="Arial" w:hAnsi="Arial" w:cs="Times New Roman"/>
          <w:color w:val="000000" w:themeColor="text1"/>
        </w:rPr>
        <w:t>’</w:t>
      </w:r>
      <w:r w:rsidRPr="00614125">
        <w:rPr>
          <w:rFonts w:ascii="Arial" w:hAnsi="Arial" w:cs="Times New Roman"/>
          <w:color w:val="000000" w:themeColor="text1"/>
        </w:rPr>
        <w:t xml:space="preserve"> health expenditure</w:t>
      </w:r>
      <w:r w:rsidR="000A2440" w:rsidRPr="00614125">
        <w:rPr>
          <w:rFonts w:ascii="Arial" w:hAnsi="Arial" w:cs="Times New Roman"/>
          <w:color w:val="000000" w:themeColor="text1"/>
        </w:rPr>
        <w:t>, becoming</w:t>
      </w:r>
      <w:r w:rsidR="00446883" w:rsidRPr="00614125">
        <w:rPr>
          <w:rFonts w:ascii="Arial" w:hAnsi="Arial" w:cs="Times New Roman"/>
          <w:color w:val="000000" w:themeColor="text1"/>
        </w:rPr>
        <w:t xml:space="preserve"> </w:t>
      </w:r>
      <w:r w:rsidR="00B301D8" w:rsidRPr="00614125">
        <w:rPr>
          <w:rFonts w:ascii="Arial" w:hAnsi="Arial" w:cs="Times New Roman"/>
          <w:color w:val="000000" w:themeColor="text1"/>
        </w:rPr>
        <w:t>impoverished economically</w:t>
      </w:r>
      <w:r w:rsidR="00DB0BCD" w:rsidRPr="00614125">
        <w:rPr>
          <w:rFonts w:ascii="Arial" w:hAnsi="Arial" w:cs="Times New Roman"/>
          <w:color w:val="000000" w:themeColor="text1"/>
        </w:rPr>
        <w:t xml:space="preserve"> </w:t>
      </w:r>
      <w:r w:rsidR="00DB0BCD"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DOI":"10.1093/heapol/czx048","author":[{"dropping-particle":"","family":"Khan","given":"JAM","non-dropping-particle":"","parse-names":false,"suffix":""},{"dropping-particle":"","family":"Ahmed","given":"S","non-dropping-particle":"","parse-names":false,"suffix":""},{"dropping-particle":"","family":"Evans","given":"TG","non-dropping-particle":"","parse-names":false,"suffix":""}],"container-title":"Health Policy and Planning","id":"ITEM-1","issued":{"date-parts":[["2017"]]},"page":"1-9","title":"Catastrophic Healthcare Expenditure and Poverty Related to Out-of-Pocket Payments for Healthcare in Bangladesh – An Estimation of Financial Risk Protection of Universal Health Coverage","type":"article-journal"},"uris":["http://www.mendeley.com/documents/?uuid=b2745d3b-aee1-4318-8d8d-238c4adc4bd1"]},{"id":"ITEM-2","itemData":{"DOI":"10.1002/hec.1209","ISSN":"1057-9230","PMID":"17311356","abstract":"Out-of-pocket (OOP) payments are the principal means of financing health care throughout much of Asia. We estimate the magnitude and distribution of OOP payments for health care in fourteen countries and territories accounting for 81% of the Asian population. We focus on payments that are catastrophic, in the sense of severely disrupting household living standards, and approximate such payments by those absorbing a large fraction of household resources. Bangladesh, China, India, Nepal and Vietnam rely most heavily on OOP financing and have the highest incidence of catastrophic payments. Sri Lanka, Thailand and Malaysia stand out as low to middle income countries that have constrained both the OOP share of health financing and the catastrophic impact of direct payments. In most low/middle-income countries, the better-off are more likely to spend a large fraction of total household resources on health care. This may reflect the inability of the poorest of the poor to divert resources from other basic needs and possibly the protection of the poor from user charges offered in some countries. But in China, Kyrgyz and Vietnam, where there are no exemptions of the poor from charges, they are as, or even more, likely to incur catastrophic payments.","author":[{"dropping-particle":"","family":"Doorslaer","given":"Eddy","non-dropping-particle":"van","parse-names":false,"suffix":""},{"dropping-particle":"","family":"O'Donnell","given":"Owen","non-dropping-particle":"","parse-names":false,"suffix":""},{"dropping-particle":"","family":"Rannan-Eliya","given":"Ravindra P","non-dropping-particle":"","parse-names":false,"suffix":""},{"dropping-particle":"","family":"Somanathan","given":"Aparnaa","non-dropping-particle":"","parse-names":false,"suffix":""},{"dropping-particle":"","family":"Adhikari","given":"Shiva Raj","non-dropping-particle":"","parse-names":false,"suffix":""},{"dropping-particle":"","family":"Garg","given":"Charu C","non-dropping-particle":"","parse-names":false,"suffix":""},{"dropping-particle":"","family":"Harbianto","given":"Deni","non-dropping-particle":"","parse-names":false,"suffix":""},{"dropping-particle":"","family":"Herrin","given":"Alejandro N","non-dropping-particle":"","parse-names":false,"suffix":""},{"dropping-particle":"","family":"Huq","given":"Mohammed Nazmul","non-dropping-particle":"","parse-names":false,"suffix":""},{"dropping-particle":"","family":"Ibragimova","given":"Shamsia","non-dropping-particle":"","parse-names":false,"suffix":""},{"dropping-particle":"","family":"Karan","given":"Anup","non-dropping-particle":"","parse-names":false,"suffix":""},{"dropping-particle":"","family":"Lee","given":"Tae-Jin","non-dropping-particle":"","parse-names":false,"suffix":""},{"dropping-particle":"","family":"Leung","given":"Gabriel M","non-dropping-particle":"","parse-names":false,"suffix":""},{"dropping-particle":"","family":"Lu","given":"Jui-Fen Rachel","non-dropping-particle":"","parse-names":false,"suffix":""},{"dropping-particle":"","family":"Ng","given":"Chiu Wan","non-dropping-particle":"","parse-names":false,"suffix":""},{"dropping-particle":"","family":"Pande","given":"Badri Raj","non-dropping-particle":"","parse-names":false,"suffix":""},{"dropping-particle":"","family":"Racelis","given":"Rachel","non-dropping-particle":"","parse-names":false,"suffix":""},{"dropping-particle":"","family":"Tao","given":"Sihai","non-dropping-particle":"","parse-names":false,"suffix":""},{"dropping-particle":"","family":"Tin","given":"Keith","non-dropping-particle":"","parse-names":false,"suffix":""},{"dropping-particle":"","family":"Tisayaticom","given":"Kanjana","non-dropping-particle":"","parse-names":false,"suffix":""},{"dropping-particle":"","family":"Trisnantoro","given":"Laksono","non-dropping-particle":"","parse-names":false,"suffix":""},{"dropping-particle":"","family":"Vasavid","given":"Chitpranee","non-dropping-particle":"","parse-names":false,"suffix":""},{"dropping-particle":"","family":"Zhao","given":"Yuxin","non-dropping-particle":"","parse-names":false,"suffix":""}],"container-title":"Health economics","id":"ITEM-2","issue":"11","issued":{"date-parts":[["2007","11"]]},"note":"4","page":"1159-84","title":"Catastrophic payments for health care in Asia.","type":"article-journal","volume":"16"},"uris":["http://www.mendeley.com/documents/?uuid=45779090-220d-4232-9ed1-0c44ec0fda84"]},{"id":"ITEM-3","itemData":{"DOI":"10.1377/hlthaff.26.4.972","ISSN":"1544-5208","PMID":"17630440","abstract":"Many countries rely heavily on patients' out-of-pocket payments to providers to finance their health care systems. This prevents some people from seeking care and results in financial catastrophe and impoverishment for others who do obtain care. Surveys in eighty-nine countries covering 89 percent of the world's population suggest that 150 million people globally suffer financial catastrophe annually because they pay for health services. Prepayment mechanisms protect people from financial catastrophe, but there is no strong evidence that social health insurance systems offer better or worse protection than tax-based systems do.","author":[{"dropping-particle":"","family":"Xu","given":"Ke","non-dropping-particle":"","parse-names":false,"suffix":""},{"dropping-particle":"","family":"Evans","given":"David B","non-dropping-particle":"","parse-names":false,"suffix":""},{"dropping-particle":"","family":"Carrin","given":"Guido","non-dropping-particle":"","parse-names":false,"suffix":""},{"dropping-particle":"","family":"Aguilar-Rivera","given":"Ana Mylena","non-dropping-particle":"","parse-names":false,"suffix":""},{"dropping-particle":"","family":"Musgrove","given":"Philip","non-dropping-particle":"","parse-names":false,"suffix":""},{"dropping-particle":"","family":"Evans","given":"Timothy","non-dropping-particle":"","parse-names":false,"suffix":""}],"container-title":"Health affairs (Project Hope)","id":"ITEM-3","issue":"4","issued":{"date-parts":[["2007"]]},"note":"3","page":"972-83","title":"Protecting households from catastrophic health spending.","type":"article-journal","volume":"26"},"uris":["http://www.mendeley.com/documents/?uuid=df654446-691e-44f2-8c00-8b1847791616"]}],"mendeley":{"formattedCitation":"[9–11]","plainTextFormattedCitation":"[9–11]","previouslyFormattedCitation":"[9–11]"},"properties":{"noteIndex":0},"schema":"https://github.com/citation-style-language/schema/raw/master/csl-citation.json"}</w:instrText>
      </w:r>
      <w:r w:rsidR="00DB0BCD"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[9–11]</w:t>
      </w:r>
      <w:r w:rsidR="00DB0BCD" w:rsidRPr="00614125">
        <w:rPr>
          <w:rFonts w:ascii="Arial" w:hAnsi="Arial" w:cs="Times New Roman"/>
          <w:color w:val="000000" w:themeColor="text1"/>
        </w:rPr>
        <w:fldChar w:fldCharType="end"/>
      </w:r>
      <w:r w:rsidR="004C73CD" w:rsidRPr="00614125">
        <w:rPr>
          <w:rFonts w:ascii="Arial" w:hAnsi="Arial" w:cs="Times New Roman"/>
          <w:color w:val="000000" w:themeColor="text1"/>
        </w:rPr>
        <w:t xml:space="preserve"> </w:t>
      </w:r>
      <w:r w:rsidRPr="00614125">
        <w:rPr>
          <w:rFonts w:ascii="Arial" w:hAnsi="Arial" w:cs="Times New Roman"/>
          <w:color w:val="000000" w:themeColor="text1"/>
        </w:rPr>
        <w:t xml:space="preserve">. We </w:t>
      </w:r>
      <w:r w:rsidR="000A2440" w:rsidRPr="00614125">
        <w:rPr>
          <w:rFonts w:ascii="Arial" w:hAnsi="Arial" w:cs="Times New Roman"/>
          <w:color w:val="000000" w:themeColor="text1"/>
        </w:rPr>
        <w:t>measure</w:t>
      </w:r>
      <w:r w:rsidR="00446883" w:rsidRPr="00614125">
        <w:rPr>
          <w:rFonts w:ascii="Arial" w:hAnsi="Arial" w:cs="Times New Roman"/>
          <w:color w:val="000000" w:themeColor="text1"/>
        </w:rPr>
        <w:t>d</w:t>
      </w:r>
      <w:r w:rsidR="000A2440" w:rsidRPr="00614125">
        <w:rPr>
          <w:rFonts w:ascii="Arial" w:hAnsi="Arial" w:cs="Times New Roman"/>
          <w:color w:val="000000" w:themeColor="text1"/>
        </w:rPr>
        <w:t xml:space="preserve"> the</w:t>
      </w:r>
      <w:r w:rsidRPr="00614125">
        <w:rPr>
          <w:rFonts w:ascii="Arial" w:hAnsi="Arial" w:cs="Times New Roman"/>
          <w:color w:val="000000" w:themeColor="text1"/>
        </w:rPr>
        <w:t xml:space="preserve"> </w:t>
      </w:r>
      <w:r w:rsidR="000A2440" w:rsidRPr="00614125">
        <w:rPr>
          <w:rFonts w:ascii="Arial" w:hAnsi="Arial" w:cs="Times New Roman"/>
          <w:color w:val="000000" w:themeColor="text1"/>
        </w:rPr>
        <w:t>FRP</w:t>
      </w:r>
      <w:r w:rsidRPr="00614125">
        <w:rPr>
          <w:rFonts w:ascii="Arial" w:hAnsi="Arial" w:cs="Times New Roman"/>
          <w:color w:val="000000" w:themeColor="text1"/>
        </w:rPr>
        <w:t xml:space="preserve"> situation in a coun</w:t>
      </w:r>
      <w:r w:rsidR="00205ADA" w:rsidRPr="00614125">
        <w:rPr>
          <w:rFonts w:ascii="Arial" w:hAnsi="Arial" w:cs="Times New Roman"/>
          <w:color w:val="000000" w:themeColor="text1"/>
        </w:rPr>
        <w:t xml:space="preserve">try </w:t>
      </w:r>
      <w:r w:rsidR="000A2440" w:rsidRPr="00614125">
        <w:rPr>
          <w:rFonts w:ascii="Arial" w:hAnsi="Arial" w:cs="Times New Roman"/>
          <w:color w:val="000000" w:themeColor="text1"/>
        </w:rPr>
        <w:t xml:space="preserve">using the proxy </w:t>
      </w:r>
      <w:r w:rsidR="000A2440" w:rsidRPr="00614125">
        <w:rPr>
          <w:rFonts w:ascii="Arial" w:hAnsi="Arial" w:cs="Times New Roman"/>
          <w:noProof/>
          <w:color w:val="000000" w:themeColor="text1"/>
        </w:rPr>
        <w:t>of</w:t>
      </w:r>
      <w:r w:rsidR="00205ADA" w:rsidRPr="00614125">
        <w:rPr>
          <w:rFonts w:ascii="Arial" w:hAnsi="Arial" w:cs="Times New Roman"/>
          <w:noProof/>
          <w:color w:val="000000" w:themeColor="text1"/>
        </w:rPr>
        <w:t xml:space="preserve"> the</w:t>
      </w:r>
      <w:r w:rsidR="00205ADA" w:rsidRPr="00614125">
        <w:rPr>
          <w:rFonts w:ascii="Arial" w:hAnsi="Arial" w:cs="Times New Roman"/>
          <w:color w:val="000000" w:themeColor="text1"/>
        </w:rPr>
        <w:t xml:space="preserve"> proportion of house</w:t>
      </w:r>
      <w:r w:rsidRPr="00614125">
        <w:rPr>
          <w:rFonts w:ascii="Arial" w:hAnsi="Arial" w:cs="Times New Roman"/>
          <w:color w:val="000000" w:themeColor="text1"/>
        </w:rPr>
        <w:t xml:space="preserve">holds that did </w:t>
      </w:r>
      <w:r w:rsidR="00205ADA" w:rsidRPr="00614125">
        <w:rPr>
          <w:rFonts w:ascii="Arial" w:hAnsi="Arial" w:cs="Times New Roman"/>
          <w:color w:val="000000" w:themeColor="text1"/>
        </w:rPr>
        <w:t>not face catastrophic health exp</w:t>
      </w:r>
      <w:r w:rsidRPr="00614125">
        <w:rPr>
          <w:rFonts w:ascii="Arial" w:hAnsi="Arial" w:cs="Times New Roman"/>
          <w:color w:val="000000" w:themeColor="text1"/>
        </w:rPr>
        <w:t>enditure for utilizing health</w:t>
      </w:r>
      <w:r w:rsidR="002C681D" w:rsidRPr="00614125">
        <w:rPr>
          <w:rFonts w:ascii="Arial" w:hAnsi="Arial" w:cs="Times New Roman"/>
          <w:color w:val="000000" w:themeColor="text1"/>
        </w:rPr>
        <w:t xml:space="preserve"> </w:t>
      </w:r>
      <w:r w:rsidRPr="00614125">
        <w:rPr>
          <w:rFonts w:ascii="Arial" w:hAnsi="Arial" w:cs="Times New Roman"/>
          <w:color w:val="000000" w:themeColor="text1"/>
        </w:rPr>
        <w:t>care</w:t>
      </w:r>
      <w:r w:rsidR="0080082E" w:rsidRPr="00614125">
        <w:rPr>
          <w:rFonts w:ascii="Arial" w:hAnsi="Arial" w:cs="Times New Roman"/>
          <w:color w:val="000000" w:themeColor="text1"/>
        </w:rPr>
        <w:t xml:space="preserve">. </w:t>
      </w:r>
      <w:r w:rsidRPr="00614125">
        <w:rPr>
          <w:rFonts w:ascii="Arial" w:hAnsi="Arial" w:cs="Times New Roman"/>
          <w:color w:val="000000" w:themeColor="text1"/>
        </w:rPr>
        <w:t>Like Wagstaff et al., we defin</w:t>
      </w:r>
      <w:r w:rsidR="000A2440" w:rsidRPr="00614125">
        <w:rPr>
          <w:rFonts w:ascii="Arial" w:hAnsi="Arial" w:cs="Times New Roman"/>
          <w:color w:val="000000" w:themeColor="text1"/>
        </w:rPr>
        <w:t>e</w:t>
      </w:r>
      <w:r w:rsidR="007C0B94" w:rsidRPr="00614125">
        <w:rPr>
          <w:rFonts w:ascii="Arial" w:hAnsi="Arial" w:cs="Times New Roman"/>
          <w:color w:val="000000" w:themeColor="text1"/>
        </w:rPr>
        <w:t xml:space="preserve"> a household to have experienced</w:t>
      </w:r>
      <w:r w:rsidR="000A2440" w:rsidRPr="00614125">
        <w:rPr>
          <w:rFonts w:ascii="Arial" w:hAnsi="Arial" w:cs="Times New Roman"/>
          <w:color w:val="000000" w:themeColor="text1"/>
        </w:rPr>
        <w:t xml:space="preserve"> </w:t>
      </w:r>
      <w:r w:rsidR="00905E27" w:rsidRPr="00614125">
        <w:rPr>
          <w:rFonts w:ascii="Arial" w:hAnsi="Arial" w:cs="Times New Roman"/>
          <w:i/>
          <w:color w:val="000000" w:themeColor="text1"/>
        </w:rPr>
        <w:t>c</w:t>
      </w:r>
      <w:r w:rsidR="000A2440" w:rsidRPr="00614125">
        <w:rPr>
          <w:rFonts w:ascii="Arial" w:hAnsi="Arial" w:cs="Times New Roman"/>
          <w:i/>
          <w:color w:val="000000" w:themeColor="text1"/>
        </w:rPr>
        <w:t>atastrophic</w:t>
      </w:r>
      <w:r w:rsidR="000A2440" w:rsidRPr="00614125">
        <w:rPr>
          <w:rFonts w:ascii="Arial" w:hAnsi="Arial" w:cs="Times New Roman"/>
          <w:color w:val="000000" w:themeColor="text1"/>
        </w:rPr>
        <w:t xml:space="preserve"> </w:t>
      </w:r>
      <w:r w:rsidR="00905E27" w:rsidRPr="00614125">
        <w:rPr>
          <w:rFonts w:ascii="Arial" w:hAnsi="Arial" w:cs="Times New Roman"/>
          <w:color w:val="000000" w:themeColor="text1"/>
        </w:rPr>
        <w:t xml:space="preserve">health </w:t>
      </w:r>
      <w:r w:rsidR="000A2440" w:rsidRPr="00614125">
        <w:rPr>
          <w:rFonts w:ascii="Arial" w:hAnsi="Arial" w:cs="Times New Roman"/>
          <w:color w:val="000000" w:themeColor="text1"/>
        </w:rPr>
        <w:t>expenditure</w:t>
      </w:r>
      <w:r w:rsidR="00905E27" w:rsidRPr="00614125">
        <w:rPr>
          <w:rFonts w:ascii="Arial" w:hAnsi="Arial" w:cs="Times New Roman"/>
          <w:color w:val="000000" w:themeColor="text1"/>
        </w:rPr>
        <w:t xml:space="preserve"> (CHE)</w:t>
      </w:r>
      <w:r w:rsidR="000A2440" w:rsidRPr="00614125">
        <w:rPr>
          <w:rFonts w:ascii="Arial" w:hAnsi="Arial" w:cs="Times New Roman"/>
          <w:color w:val="000000" w:themeColor="text1"/>
        </w:rPr>
        <w:t xml:space="preserve"> </w:t>
      </w:r>
      <w:r w:rsidR="007C0B94" w:rsidRPr="00614125">
        <w:rPr>
          <w:rFonts w:ascii="Arial" w:hAnsi="Arial" w:cs="Times New Roman"/>
          <w:color w:val="000000" w:themeColor="text1"/>
        </w:rPr>
        <w:t xml:space="preserve">if their </w:t>
      </w:r>
      <w:r w:rsidRPr="00614125">
        <w:rPr>
          <w:rFonts w:ascii="Arial" w:hAnsi="Arial" w:cs="Times New Roman"/>
          <w:color w:val="000000" w:themeColor="text1"/>
        </w:rPr>
        <w:t xml:space="preserve">health expenditure </w:t>
      </w:r>
      <w:r w:rsidR="007C0B94" w:rsidRPr="00614125">
        <w:rPr>
          <w:rFonts w:ascii="Arial" w:hAnsi="Arial" w:cs="Times New Roman"/>
          <w:color w:val="000000" w:themeColor="text1"/>
        </w:rPr>
        <w:t>in a given year is</w:t>
      </w:r>
      <w:r w:rsidR="00125379" w:rsidRPr="00614125">
        <w:rPr>
          <w:rFonts w:ascii="Arial" w:hAnsi="Arial" w:cs="Times New Roman"/>
          <w:color w:val="000000" w:themeColor="text1"/>
        </w:rPr>
        <w:t xml:space="preserve"> </w:t>
      </w:r>
      <w:r w:rsidRPr="00614125">
        <w:rPr>
          <w:rFonts w:ascii="Arial" w:hAnsi="Arial" w:cs="Times New Roman"/>
          <w:color w:val="000000" w:themeColor="text1"/>
        </w:rPr>
        <w:t>25% or more of their total household consumption ex</w:t>
      </w:r>
      <w:r w:rsidR="00205ADA" w:rsidRPr="00614125">
        <w:rPr>
          <w:rFonts w:ascii="Arial" w:hAnsi="Arial" w:cs="Times New Roman"/>
          <w:color w:val="000000" w:themeColor="text1"/>
        </w:rPr>
        <w:t>penditure</w:t>
      </w:r>
      <w:r w:rsidR="00BC7210" w:rsidRPr="00614125">
        <w:rPr>
          <w:rFonts w:ascii="Arial" w:hAnsi="Arial" w:cs="Times New Roman"/>
          <w:color w:val="000000" w:themeColor="text1"/>
        </w:rPr>
        <w:t xml:space="preserve">. </w:t>
      </w:r>
      <w:r w:rsidR="00DB064B" w:rsidRPr="00614125">
        <w:rPr>
          <w:rFonts w:ascii="Arial" w:hAnsi="Arial" w:cs="Times New Roman"/>
          <w:color w:val="000000" w:themeColor="text1"/>
        </w:rPr>
        <w:t xml:space="preserve">Those with expenditure below 25% </w:t>
      </w:r>
      <w:r w:rsidRPr="00614125">
        <w:rPr>
          <w:rFonts w:ascii="Arial" w:hAnsi="Arial" w:cs="Times New Roman"/>
          <w:color w:val="000000" w:themeColor="text1"/>
        </w:rPr>
        <w:t>are</w:t>
      </w:r>
      <w:r w:rsidR="00DB064B" w:rsidRPr="00614125">
        <w:rPr>
          <w:rFonts w:ascii="Arial" w:hAnsi="Arial" w:cs="Times New Roman"/>
          <w:color w:val="000000" w:themeColor="text1"/>
        </w:rPr>
        <w:t xml:space="preserve"> therefore</w:t>
      </w:r>
      <w:r w:rsidRPr="00614125">
        <w:rPr>
          <w:rFonts w:ascii="Arial" w:hAnsi="Arial" w:cs="Times New Roman"/>
          <w:color w:val="000000" w:themeColor="text1"/>
        </w:rPr>
        <w:t xml:space="preserve"> considered as protected from financial risk </w:t>
      </w:r>
      <w:r w:rsidR="00E84651" w:rsidRPr="00614125">
        <w:rPr>
          <w:rFonts w:ascii="Arial" w:hAnsi="Arial" w:cs="Times New Roman"/>
          <w:color w:val="000000" w:themeColor="text1"/>
        </w:rPr>
        <w:t>while utiliz</w:t>
      </w:r>
      <w:r w:rsidR="00A07EA8" w:rsidRPr="00614125">
        <w:rPr>
          <w:rFonts w:ascii="Arial" w:hAnsi="Arial" w:cs="Times New Roman"/>
          <w:color w:val="000000" w:themeColor="text1"/>
        </w:rPr>
        <w:t>ing</w:t>
      </w:r>
      <w:r w:rsidR="00E84651" w:rsidRPr="00614125">
        <w:rPr>
          <w:rFonts w:ascii="Arial" w:hAnsi="Arial" w:cs="Times New Roman"/>
          <w:color w:val="000000" w:themeColor="text1"/>
        </w:rPr>
        <w:t xml:space="preserve"> health</w:t>
      </w:r>
      <w:r w:rsidR="002C681D" w:rsidRPr="00614125">
        <w:rPr>
          <w:rFonts w:ascii="Arial" w:hAnsi="Arial" w:cs="Times New Roman"/>
          <w:color w:val="000000" w:themeColor="text1"/>
        </w:rPr>
        <w:t xml:space="preserve"> </w:t>
      </w:r>
      <w:r w:rsidR="00E84651" w:rsidRPr="00614125">
        <w:rPr>
          <w:rFonts w:ascii="Arial" w:hAnsi="Arial" w:cs="Times New Roman"/>
          <w:color w:val="000000" w:themeColor="text1"/>
        </w:rPr>
        <w:t>care</w:t>
      </w:r>
      <w:r w:rsidR="00DB0BCD" w:rsidRPr="00614125">
        <w:rPr>
          <w:rFonts w:ascii="Arial" w:hAnsi="Arial" w:cs="Times New Roman"/>
          <w:color w:val="000000" w:themeColor="text1"/>
        </w:rPr>
        <w:t xml:space="preserve">  </w:t>
      </w:r>
      <w:r w:rsidR="00DB0BCD" w:rsidRPr="00614125">
        <w:rPr>
          <w:rFonts w:ascii="Arial" w:hAnsi="Arial" w:cs="Times New Roman"/>
          <w:color w:val="000000" w:themeColor="text1"/>
        </w:rPr>
        <w:fldChar w:fldCharType="begin" w:fldLock="1"/>
      </w:r>
      <w:r w:rsidR="003B3F6D" w:rsidRPr="00614125">
        <w:rPr>
          <w:rFonts w:ascii="Arial" w:hAnsi="Arial" w:cs="Times New Roman"/>
          <w:color w:val="000000" w:themeColor="text1"/>
        </w:rPr>
        <w:instrText>ADDIN CSL_CITATION {"citationItems":[{"id":"ITEM-1","itemData":{"DOI":"10.1377/hlthaff.2014.1453","ISSN":"0278-2715","author":[{"dropping-particle":"","family":"Wagstaff","given":"a.","non-dropping-particle":"","parse-names":false,"suffix":""},{"dropping-particle":"","family":"Dmytraczenko","given":"T.","non-dropping-particle":"","parse-names":false,"suffix":""},{"dropping-particle":"","family":"Almeida","given":"G.","non-dropping-particle":"","parse-names":false,"suffix":""},{"dropping-particle":"","family":"Buisman","given":"L.","non-dropping-particle":"","parse-names":false,"suffix":""},{"dropping-particle":"","family":"Hoang-Vu Eozenou","given":"P.","non-dropping-particle":"","parse-names":false,"suffix":""},{"dropping-particle":"","family":"Bredenkamp","given":"C.","non-dropping-particle":"","parse-names":false,"suffix":""},{"dropping-particle":"","family":"Cercone","given":"J. a.","non-dropping-particle":"","parse-names":false,"suffix":""},{"dropping-particle":"","family":"Diaz","given":"Y.","non-dropping-particle":"","parse-names":false,"suffix":""},{"dropping-particle":"","family":"Maceira","given":"D.","non-dropping-particle":"","parse-names":false,"suffix":""},{"dropping-particle":"","family":"Molina","given":"S.","non-dropping-particle":"","parse-names":false,"suffix":""},{"dropping-particle":"","family":"Paraje","given":"G.","non-dropping-particle":"","parse-names":false,"suffix":""},{"dropping-particle":"","family":"Ruiz","given":"F.","non-dropping-particle":"","parse-names":false,"suffix":""},{"dropping-particle":"","family":"Sarti","given":"F.","non-dropping-particle":"","parse-names":false,"suffix":""},{"dropping-particle":"","family":"Scott","given":"J.","non-dropping-particle":"","parse-names":false,"suffix":""},{"dropping-particle":"","family":"Valdivia","given":"M.","non-dropping-particle":"","parse-names":false,"suffix":""},{"dropping-particle":"","family":"Werneck","given":"H.","non-dropping-particle":"","parse-names":false,"suffix":""}],"container-title":"Health Affairs","id":"ITEM-1","issue":"10","issued":{"date-parts":[["2015"]]},"page":"1704-1712","title":"Assessing Latin America's Progress Toward Achieving Universal Health Coverage","type":"article-journal","volume":"34"},"uris":["http://www.mendeley.com/documents/?uuid=d1ecfd68-75a0-4b7e-9324-a6f415bb3431"]},{"id":"ITEM-2","itemData":{"DOI":"10.1093/oxrep/grv019","ISSN":"14602121","abstract":"The last few years have seen a growing commitment worldwide to universal health coverage (UHC). Yet there is a lack of clarity on how to measure progress towards UHC. This paper proposes a ‘mashup’ index that captures both aspects of UHC: that everyone—irrespective of their ability-to- pay—gets the health services they need; and that nobody suffers undue financial hardship as a result of receiving care. Service coverage is broken down into prevention and treat- ment, and financial protection into impoverishment and catastrophic spending; nationally representative household survey data are used to adjust population averages to capture inequalities between the poor and better off; nonlinear tradeoffs are allowed between and within the two dimensions of the UHC index; and all indicators are expressed such that scores run from 0 to 100, and higher scores are better. In a sample of 24 countries for which there are detailed information on UHC-inspired reforms, a cluster of high-performing countries emerges with UHC scores of between 79 and 84 (Brazil, Colombia, Costa Rica, Mexico and South Africa) and a cluster of low-performing countries emerges with UHC scores in the range 35–57 (Ethiopia, Guatemala, India, Indonesia and Vietnam). Countries have mostly improved their UHC scores between the earliest and latest years for which there are data—by about 5 points on average; however, the improvement has come from increases in receipt of key health interventions, not from reductions in the incidence of out-of-pocket payments on welfare","author":[{"dropping-particle":"","family":"Wagstaff","given":"Adam","non-dropping-particle":"","parse-names":false,"suffix":""},{"dropping-particle":"","family":"Cotlear","given":"Daniel","non-dropping-particle":"","parse-names":false,"suffix":""},{"dropping-particle":"","family":"Eozenou","given":"Patrick Hoang Vu","non-dropping-particle":"","parse-names":false,"suffix":""},{"dropping-particle":"","family":"Buisman","given":"Leander R.","non-dropping-particle":"","parse-names":false,"suffix":""}],"container-title":"Oxford Review of Economic Policy","id":"ITEM-2","issue":"1","issued":{"date-parts":[["2016"]]},"page":"147-189","title":"Measuring progress towards universal health coverage: With an application to 24 developing countries","type":"article-journal","volume":"32"},"uris":["http://www.mendeley.com/documents/?uuid=5683d862-8468-4748-9946-69ac1b89320a"]}],"mendeley":{"formattedCitation":"[5,8]","plainTextFormattedCitation":"[5,8]","previouslyFormattedCitation":"[5,8]"},"properties":{"noteIndex":0},"schema":"https://github.com/citation-style-language/schema/raw/master/csl-citation.json"}</w:instrText>
      </w:r>
      <w:r w:rsidR="00DB0BCD" w:rsidRPr="00614125">
        <w:rPr>
          <w:rFonts w:ascii="Arial" w:hAnsi="Arial" w:cs="Times New Roman"/>
          <w:color w:val="000000" w:themeColor="text1"/>
        </w:rPr>
        <w:fldChar w:fldCharType="separate"/>
      </w:r>
      <w:r w:rsidR="00604FF7" w:rsidRPr="00614125">
        <w:rPr>
          <w:rFonts w:ascii="Arial" w:hAnsi="Arial" w:cs="Times New Roman"/>
          <w:noProof/>
          <w:color w:val="000000" w:themeColor="text1"/>
        </w:rPr>
        <w:t>[5,8]</w:t>
      </w:r>
      <w:r w:rsidR="00DB0BCD" w:rsidRPr="00614125">
        <w:rPr>
          <w:rFonts w:ascii="Arial" w:hAnsi="Arial" w:cs="Times New Roman"/>
          <w:color w:val="000000" w:themeColor="text1"/>
        </w:rPr>
        <w:fldChar w:fldCharType="end"/>
      </w:r>
      <w:r w:rsidR="00DB0BCD" w:rsidRPr="00614125">
        <w:rPr>
          <w:rFonts w:ascii="Arial" w:hAnsi="Arial" w:cs="Times New Roman"/>
          <w:color w:val="000000" w:themeColor="text1"/>
        </w:rPr>
        <w:t>.</w:t>
      </w:r>
      <w:r w:rsidR="004C73CD" w:rsidRPr="00614125">
        <w:rPr>
          <w:rFonts w:ascii="Arial" w:hAnsi="Arial" w:cs="Times New Roman"/>
          <w:color w:val="000000" w:themeColor="text1"/>
        </w:rPr>
        <w:t xml:space="preserve"> </w:t>
      </w:r>
    </w:p>
    <w:p w14:paraId="62CAD60E" w14:textId="77777777" w:rsidR="00C2732F" w:rsidRPr="00614125" w:rsidRDefault="00C2732F" w:rsidP="00337D8B">
      <w:pPr>
        <w:spacing w:before="120" w:after="120" w:line="360" w:lineRule="auto"/>
        <w:rPr>
          <w:rFonts w:ascii="Arial" w:hAnsi="Arial"/>
          <w:color w:val="000000" w:themeColor="text1"/>
        </w:rPr>
      </w:pPr>
    </w:p>
    <w:p w14:paraId="1A82B8CC" w14:textId="61827273" w:rsidR="00807302" w:rsidRPr="00614125" w:rsidRDefault="00A60E1A" w:rsidP="00337D8B">
      <w:pPr>
        <w:spacing w:before="120" w:after="120" w:line="360" w:lineRule="auto"/>
        <w:rPr>
          <w:rFonts w:ascii="Arial" w:hAnsi="Arial"/>
          <w:color w:val="000000" w:themeColor="text1"/>
        </w:rPr>
      </w:pPr>
      <w:r w:rsidRPr="00614125">
        <w:rPr>
          <w:rFonts w:ascii="Arial" w:hAnsi="Arial"/>
          <w:color w:val="000000" w:themeColor="text1"/>
        </w:rPr>
        <w:t xml:space="preserve">DATA AND </w:t>
      </w:r>
      <w:r w:rsidR="000E1273" w:rsidRPr="00614125">
        <w:rPr>
          <w:rFonts w:ascii="Arial" w:hAnsi="Arial"/>
          <w:color w:val="000000" w:themeColor="text1"/>
        </w:rPr>
        <w:t>UHC INDEX ESTIMATION</w:t>
      </w:r>
    </w:p>
    <w:p w14:paraId="23F81831" w14:textId="7B98ED15" w:rsidR="00C2732F" w:rsidRPr="00614125" w:rsidRDefault="00DB064B" w:rsidP="00337D8B">
      <w:pPr>
        <w:spacing w:before="120" w:after="120" w:line="360" w:lineRule="auto"/>
        <w:rPr>
          <w:rFonts w:ascii="Arial" w:hAnsi="Arial"/>
          <w:color w:val="000000" w:themeColor="text1"/>
        </w:rPr>
      </w:pPr>
      <w:r w:rsidRPr="00614125">
        <w:rPr>
          <w:rFonts w:ascii="Arial" w:hAnsi="Arial"/>
          <w:color w:val="000000" w:themeColor="text1"/>
        </w:rPr>
        <w:t>We used d</w:t>
      </w:r>
      <w:r w:rsidR="00A60E1A" w:rsidRPr="00614125">
        <w:rPr>
          <w:rFonts w:ascii="Arial" w:hAnsi="Arial"/>
          <w:color w:val="000000" w:themeColor="text1"/>
        </w:rPr>
        <w:t xml:space="preserve">ata </w:t>
      </w:r>
      <w:r w:rsidRPr="00614125">
        <w:rPr>
          <w:rFonts w:ascii="Arial" w:hAnsi="Arial"/>
          <w:color w:val="000000" w:themeColor="text1"/>
        </w:rPr>
        <w:t xml:space="preserve">from </w:t>
      </w:r>
      <w:r w:rsidR="00B3221C" w:rsidRPr="00614125">
        <w:rPr>
          <w:rFonts w:ascii="Arial" w:hAnsi="Arial"/>
          <w:color w:val="000000" w:themeColor="text1"/>
        </w:rPr>
        <w:t>21 countries t</w:t>
      </w:r>
      <w:r w:rsidRPr="00614125">
        <w:rPr>
          <w:rFonts w:ascii="Arial" w:hAnsi="Arial"/>
          <w:color w:val="000000" w:themeColor="text1"/>
        </w:rPr>
        <w:t xml:space="preserve">o </w:t>
      </w:r>
      <w:r w:rsidR="00BC7210" w:rsidRPr="00614125">
        <w:rPr>
          <w:rFonts w:ascii="Arial" w:hAnsi="Arial"/>
          <w:color w:val="000000" w:themeColor="text1"/>
        </w:rPr>
        <w:t>calculate</w:t>
      </w:r>
      <w:r w:rsidR="00A60E1A" w:rsidRPr="00614125">
        <w:rPr>
          <w:rFonts w:ascii="Arial" w:hAnsi="Arial"/>
          <w:color w:val="000000" w:themeColor="text1"/>
        </w:rPr>
        <w:t xml:space="preserve"> the index of </w:t>
      </w:r>
      <w:r w:rsidR="00BC7210" w:rsidRPr="00614125">
        <w:rPr>
          <w:rFonts w:ascii="Arial" w:hAnsi="Arial"/>
          <w:color w:val="000000" w:themeColor="text1"/>
        </w:rPr>
        <w:t xml:space="preserve">universal </w:t>
      </w:r>
      <w:r w:rsidR="00A60E1A" w:rsidRPr="00614125">
        <w:rPr>
          <w:rFonts w:ascii="Arial" w:hAnsi="Arial"/>
          <w:color w:val="000000" w:themeColor="text1"/>
        </w:rPr>
        <w:t xml:space="preserve">health coverage </w:t>
      </w:r>
      <w:r w:rsidR="00BC7210" w:rsidRPr="00614125">
        <w:rPr>
          <w:rFonts w:ascii="Arial" w:hAnsi="Arial"/>
          <w:color w:val="000000" w:themeColor="text1"/>
        </w:rPr>
        <w:t>(</w:t>
      </w:r>
      <w:r w:rsidR="008E3CE5" w:rsidRPr="00614125">
        <w:rPr>
          <w:rFonts w:ascii="Arial" w:hAnsi="Arial"/>
          <w:color w:val="000000" w:themeColor="text1"/>
        </w:rPr>
        <w:t>UHC</w:t>
      </w:r>
      <w:r w:rsidR="00BC7210" w:rsidRPr="00614125">
        <w:rPr>
          <w:rFonts w:ascii="Arial" w:hAnsi="Arial"/>
          <w:color w:val="000000" w:themeColor="text1"/>
        </w:rPr>
        <w:t>)</w:t>
      </w:r>
      <w:r w:rsidR="008E3CE5" w:rsidRPr="00614125">
        <w:rPr>
          <w:rFonts w:ascii="Arial" w:hAnsi="Arial"/>
          <w:color w:val="000000" w:themeColor="text1"/>
        </w:rPr>
        <w:t xml:space="preserve"> </w:t>
      </w:r>
      <w:r w:rsidR="00A60E1A" w:rsidRPr="00614125">
        <w:rPr>
          <w:rFonts w:ascii="Arial" w:hAnsi="Arial"/>
          <w:color w:val="000000" w:themeColor="text1"/>
        </w:rPr>
        <w:t xml:space="preserve">and the impact of OOP payments on the UHC indices. </w:t>
      </w:r>
    </w:p>
    <w:p w14:paraId="5E4E7101" w14:textId="7110DBB1" w:rsidR="006607C1" w:rsidRPr="00614125" w:rsidRDefault="007E3967" w:rsidP="00F124C6">
      <w:pPr>
        <w:spacing w:before="120" w:after="120" w:line="360" w:lineRule="auto"/>
        <w:rPr>
          <w:rFonts w:ascii="Arial" w:hAnsi="Arial"/>
          <w:color w:val="000000" w:themeColor="text1"/>
        </w:rPr>
      </w:pPr>
      <w:r w:rsidRPr="00614125">
        <w:rPr>
          <w:rFonts w:ascii="Arial" w:hAnsi="Arial"/>
          <w:color w:val="000000" w:themeColor="text1"/>
        </w:rPr>
        <w:t>Calculation of UHC</w:t>
      </w:r>
      <w:r w:rsidR="00827815" w:rsidRPr="00614125">
        <w:rPr>
          <w:rFonts w:ascii="Arial" w:hAnsi="Arial"/>
          <w:color w:val="000000" w:themeColor="text1"/>
        </w:rPr>
        <w:t xml:space="preserve"> index reflected</w:t>
      </w:r>
      <w:r w:rsidR="006607C1" w:rsidRPr="00614125">
        <w:rPr>
          <w:rFonts w:ascii="Arial" w:hAnsi="Arial"/>
          <w:color w:val="000000" w:themeColor="text1"/>
        </w:rPr>
        <w:t xml:space="preserve"> </w:t>
      </w:r>
      <w:r w:rsidR="00827815" w:rsidRPr="00614125">
        <w:rPr>
          <w:rFonts w:ascii="Arial" w:hAnsi="Arial"/>
          <w:color w:val="000000" w:themeColor="text1"/>
        </w:rPr>
        <w:t>“</w:t>
      </w:r>
      <w:r w:rsidR="006607C1" w:rsidRPr="00614125">
        <w:rPr>
          <w:rFonts w:ascii="Arial" w:hAnsi="Arial"/>
          <w:color w:val="000000" w:themeColor="text1"/>
        </w:rPr>
        <w:t xml:space="preserve">the proportion of defined health services actually utilized by people in five socioeconomic quintiles </w:t>
      </w:r>
      <w:r w:rsidR="00827815" w:rsidRPr="00614125">
        <w:rPr>
          <w:rFonts w:ascii="Arial" w:hAnsi="Arial"/>
          <w:color w:val="000000" w:themeColor="text1"/>
        </w:rPr>
        <w:t>in comparison to full utilization of all these services</w:t>
      </w:r>
      <w:r w:rsidR="007D5A1A" w:rsidRPr="00614125">
        <w:rPr>
          <w:rFonts w:ascii="Arial" w:hAnsi="Arial"/>
          <w:color w:val="000000" w:themeColor="text1"/>
        </w:rPr>
        <w:t xml:space="preserve"> by all people”, which </w:t>
      </w:r>
      <w:r w:rsidR="00827815" w:rsidRPr="00614125">
        <w:rPr>
          <w:rFonts w:ascii="Arial" w:hAnsi="Arial"/>
          <w:color w:val="000000" w:themeColor="text1"/>
        </w:rPr>
        <w:t xml:space="preserve">quantified the boxes in </w:t>
      </w:r>
      <w:r w:rsidR="00273DDB" w:rsidRPr="00614125">
        <w:rPr>
          <w:rFonts w:ascii="Arial" w:hAnsi="Arial"/>
          <w:color w:val="000000" w:themeColor="text1"/>
        </w:rPr>
        <w:t>F</w:t>
      </w:r>
      <w:r w:rsidR="00827815" w:rsidRPr="00614125">
        <w:rPr>
          <w:rFonts w:ascii="Arial" w:hAnsi="Arial"/>
          <w:color w:val="000000" w:themeColor="text1"/>
        </w:rPr>
        <w:t xml:space="preserve">igure 1. The following equation </w:t>
      </w:r>
      <w:r w:rsidR="00A024AA" w:rsidRPr="00614125">
        <w:rPr>
          <w:rFonts w:ascii="Arial" w:hAnsi="Arial"/>
          <w:color w:val="000000" w:themeColor="text1"/>
        </w:rPr>
        <w:t>was</w:t>
      </w:r>
      <w:r w:rsidR="00827815" w:rsidRPr="00614125">
        <w:rPr>
          <w:rFonts w:ascii="Arial" w:hAnsi="Arial"/>
          <w:color w:val="000000" w:themeColor="text1"/>
        </w:rPr>
        <w:t xml:space="preserve"> used for calculating UHC indices</w:t>
      </w:r>
      <w:r w:rsidR="00273DDB" w:rsidRPr="00614125">
        <w:rPr>
          <w:rFonts w:ascii="Arial" w:hAnsi="Arial"/>
          <w:color w:val="000000" w:themeColor="text1"/>
        </w:rPr>
        <w:t>:</w:t>
      </w:r>
    </w:p>
    <w:p w14:paraId="02521D77" w14:textId="7922591A" w:rsidR="002808F2" w:rsidRPr="00614125" w:rsidRDefault="00804217" w:rsidP="00337D8B">
      <w:pPr>
        <w:spacing w:before="120" w:after="120" w:line="360" w:lineRule="auto"/>
        <w:jc w:val="both"/>
        <w:rPr>
          <w:rFonts w:ascii="Arial" w:hAnsi="Arial"/>
          <w:color w:val="000000" w:themeColor="text1"/>
        </w:rPr>
      </w:pPr>
      <w:r w:rsidRPr="00614125">
        <w:rPr>
          <w:rFonts w:ascii="Arial" w:hAnsi="Arial"/>
          <w:color w:val="000000" w:themeColor="text1"/>
        </w:rPr>
        <w:t>UHC index = Total volume of actual health service utilization by all people without facing financial hardship</w:t>
      </w:r>
      <w:r w:rsidR="000E1273" w:rsidRPr="00614125">
        <w:rPr>
          <w:rFonts w:ascii="Arial" w:hAnsi="Arial"/>
          <w:color w:val="000000" w:themeColor="text1"/>
        </w:rPr>
        <w:t xml:space="preserve"> ÷</w:t>
      </w:r>
      <w:r w:rsidR="000E1273" w:rsidRPr="00614125" w:rsidDel="000E1273">
        <w:rPr>
          <w:rFonts w:ascii="Arial" w:hAnsi="Arial"/>
          <w:color w:val="000000" w:themeColor="text1"/>
        </w:rPr>
        <w:t xml:space="preserve"> </w:t>
      </w:r>
      <w:r w:rsidRPr="00614125">
        <w:rPr>
          <w:rFonts w:ascii="Arial" w:hAnsi="Arial"/>
          <w:color w:val="000000" w:themeColor="text1"/>
        </w:rPr>
        <w:t>Total volume of potential health service utilization by all people without facing financial hardship</w:t>
      </w:r>
    </w:p>
    <w:p w14:paraId="66EEA1FF" w14:textId="56060AC0" w:rsidR="00804217" w:rsidRPr="00614125" w:rsidRDefault="00804217"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 (Length of service arm indicating actual utilization x Length of population arm who utilized the services x Length of </w:t>
      </w:r>
      <w:r w:rsidR="00CC7F4A" w:rsidRPr="00614125">
        <w:rPr>
          <w:rFonts w:ascii="Arial" w:hAnsi="Arial"/>
          <w:color w:val="000000" w:themeColor="text1"/>
        </w:rPr>
        <w:t>financial</w:t>
      </w:r>
      <w:r w:rsidRPr="00614125">
        <w:rPr>
          <w:rFonts w:ascii="Arial" w:hAnsi="Arial"/>
          <w:color w:val="000000" w:themeColor="text1"/>
        </w:rPr>
        <w:t xml:space="preserve"> risk protection arm indicating user without facing financial hardship) </w:t>
      </w:r>
      <w:r w:rsidRPr="00614125">
        <w:rPr>
          <w:rFonts w:ascii="Arial" w:hAnsi="Arial"/>
          <w:color w:val="000000" w:themeColor="text1"/>
        </w:rPr>
        <w:sym w:font="Symbol" w:char="F0B8"/>
      </w:r>
      <w:r w:rsidRPr="00614125">
        <w:rPr>
          <w:rFonts w:ascii="Arial" w:hAnsi="Arial"/>
          <w:color w:val="000000" w:themeColor="text1"/>
        </w:rPr>
        <w:t xml:space="preserve"> (Maximum achievable length of service arm x Maximum achievable length of population arm x Maximum achievable length of </w:t>
      </w:r>
      <w:r w:rsidR="00CC7F4A" w:rsidRPr="00614125">
        <w:rPr>
          <w:rFonts w:ascii="Arial" w:hAnsi="Arial"/>
          <w:color w:val="000000" w:themeColor="text1"/>
        </w:rPr>
        <w:t>financial</w:t>
      </w:r>
      <w:r w:rsidRPr="00614125">
        <w:rPr>
          <w:rFonts w:ascii="Arial" w:hAnsi="Arial"/>
          <w:color w:val="000000" w:themeColor="text1"/>
        </w:rPr>
        <w:t xml:space="preserve"> risk protection arm indicating no financial hardship) </w:t>
      </w:r>
      <w:r w:rsidR="00E52BC2" w:rsidRPr="00614125">
        <w:rPr>
          <w:rFonts w:ascii="Arial" w:hAnsi="Arial"/>
          <w:color w:val="000000" w:themeColor="text1"/>
        </w:rPr>
        <w:t>… … … (1</w:t>
      </w:r>
      <w:r w:rsidRPr="00614125">
        <w:rPr>
          <w:rFonts w:ascii="Arial" w:hAnsi="Arial"/>
          <w:color w:val="000000" w:themeColor="text1"/>
        </w:rPr>
        <w:t>)</w:t>
      </w:r>
      <w:r w:rsidR="00BC7210" w:rsidRPr="00614125">
        <w:rPr>
          <w:rStyle w:val="EndnoteReference"/>
          <w:rFonts w:ascii="Arial" w:hAnsi="Arial"/>
          <w:color w:val="000000" w:themeColor="text1"/>
        </w:rPr>
        <w:endnoteReference w:id="1"/>
      </w:r>
      <w:r w:rsidRPr="00614125">
        <w:rPr>
          <w:rFonts w:ascii="Arial" w:hAnsi="Arial"/>
          <w:color w:val="000000" w:themeColor="text1"/>
        </w:rPr>
        <w:t xml:space="preserve"> </w:t>
      </w:r>
    </w:p>
    <w:p w14:paraId="7B3DF888" w14:textId="1C366473" w:rsidR="00282A93" w:rsidRPr="00614125" w:rsidRDefault="00282A93"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For calculating the indices, we </w:t>
      </w:r>
      <w:r w:rsidR="004A6E29" w:rsidRPr="00614125">
        <w:rPr>
          <w:rFonts w:ascii="Arial" w:hAnsi="Arial"/>
          <w:color w:val="000000" w:themeColor="text1"/>
        </w:rPr>
        <w:t>used</w:t>
      </w:r>
      <w:r w:rsidRPr="00614125">
        <w:rPr>
          <w:rFonts w:ascii="Arial" w:hAnsi="Arial"/>
          <w:color w:val="000000" w:themeColor="text1"/>
        </w:rPr>
        <w:t xml:space="preserve"> data available from the Health Equity and Financial Protection (HEFP) datasheets provided by The World Bank</w:t>
      </w:r>
      <w:r w:rsidR="00B53676" w:rsidRPr="00614125">
        <w:rPr>
          <w:rFonts w:ascii="Arial" w:hAnsi="Arial"/>
          <w:color w:val="000000" w:themeColor="text1"/>
        </w:rPr>
        <w:t xml:space="preserve"> [7]</w:t>
      </w:r>
      <w:r w:rsidRPr="00614125">
        <w:rPr>
          <w:rFonts w:ascii="Arial" w:hAnsi="Arial"/>
          <w:color w:val="000000" w:themeColor="text1"/>
        </w:rPr>
        <w:t xml:space="preserve">. These </w:t>
      </w:r>
      <w:r w:rsidRPr="00614125">
        <w:rPr>
          <w:rFonts w:ascii="Arial" w:hAnsi="Arial"/>
          <w:noProof/>
          <w:color w:val="000000" w:themeColor="text1"/>
        </w:rPr>
        <w:t>data</w:t>
      </w:r>
      <w:r w:rsidR="00DE1D36" w:rsidRPr="00614125">
        <w:rPr>
          <w:rFonts w:ascii="Arial" w:hAnsi="Arial"/>
          <w:noProof/>
          <w:color w:val="000000" w:themeColor="text1"/>
        </w:rPr>
        <w:t>-</w:t>
      </w:r>
      <w:r w:rsidRPr="00614125">
        <w:rPr>
          <w:rFonts w:ascii="Arial" w:hAnsi="Arial"/>
          <w:noProof/>
          <w:color w:val="000000" w:themeColor="text1"/>
        </w:rPr>
        <w:t>sheets</w:t>
      </w:r>
      <w:r w:rsidRPr="00614125">
        <w:rPr>
          <w:rFonts w:ascii="Arial" w:hAnsi="Arial"/>
          <w:color w:val="000000" w:themeColor="text1"/>
        </w:rPr>
        <w:t xml:space="preserve"> provide information on health</w:t>
      </w:r>
      <w:r w:rsidR="002C681D" w:rsidRPr="00614125">
        <w:rPr>
          <w:rFonts w:ascii="Arial" w:hAnsi="Arial"/>
          <w:color w:val="000000" w:themeColor="text1"/>
        </w:rPr>
        <w:t xml:space="preserve"> </w:t>
      </w:r>
      <w:r w:rsidRPr="00614125">
        <w:rPr>
          <w:rFonts w:ascii="Arial" w:hAnsi="Arial"/>
          <w:color w:val="000000" w:themeColor="text1"/>
        </w:rPr>
        <w:t xml:space="preserve">care service utilization, key health outcome indicators, health financing sources, </w:t>
      </w:r>
      <w:r w:rsidR="00DE1D36" w:rsidRPr="00614125">
        <w:rPr>
          <w:rFonts w:ascii="Arial" w:hAnsi="Arial"/>
          <w:color w:val="000000" w:themeColor="text1"/>
        </w:rPr>
        <w:t xml:space="preserve">the </w:t>
      </w:r>
      <w:r w:rsidRPr="00614125">
        <w:rPr>
          <w:rFonts w:ascii="Arial" w:hAnsi="Arial"/>
          <w:noProof/>
          <w:color w:val="000000" w:themeColor="text1"/>
        </w:rPr>
        <w:t>incidence</w:t>
      </w:r>
      <w:r w:rsidRPr="00614125">
        <w:rPr>
          <w:rFonts w:ascii="Arial" w:hAnsi="Arial"/>
          <w:color w:val="000000" w:themeColor="text1"/>
        </w:rPr>
        <w:t xml:space="preserve"> of catastrophic health expenditure, and impoverishment due to OOP health payments</w:t>
      </w:r>
      <w:r w:rsidR="00BC7210" w:rsidRPr="00614125">
        <w:rPr>
          <w:rFonts w:ascii="Arial" w:hAnsi="Arial"/>
          <w:color w:val="000000" w:themeColor="text1"/>
        </w:rPr>
        <w:t xml:space="preserve">, disaggregated into </w:t>
      </w:r>
      <w:r w:rsidRPr="00614125">
        <w:rPr>
          <w:rFonts w:ascii="Arial" w:hAnsi="Arial"/>
          <w:color w:val="000000" w:themeColor="text1"/>
        </w:rPr>
        <w:t xml:space="preserve">socioeconomic </w:t>
      </w:r>
      <w:r w:rsidR="00BC7210" w:rsidRPr="00614125">
        <w:rPr>
          <w:rFonts w:ascii="Arial" w:hAnsi="Arial"/>
          <w:color w:val="000000" w:themeColor="text1"/>
        </w:rPr>
        <w:t>groups in</w:t>
      </w:r>
      <w:r w:rsidR="00E52BC2" w:rsidRPr="00614125">
        <w:rPr>
          <w:rFonts w:ascii="Arial" w:hAnsi="Arial"/>
          <w:color w:val="000000" w:themeColor="text1"/>
        </w:rPr>
        <w:t xml:space="preserve"> low- and middle-income </w:t>
      </w:r>
      <w:r w:rsidR="00006D60" w:rsidRPr="00614125">
        <w:rPr>
          <w:rFonts w:ascii="Arial" w:hAnsi="Arial"/>
          <w:color w:val="000000" w:themeColor="text1"/>
        </w:rPr>
        <w:t>countries (</w:t>
      </w:r>
      <w:r w:rsidRPr="00614125">
        <w:rPr>
          <w:rFonts w:ascii="Arial" w:hAnsi="Arial"/>
          <w:color w:val="000000" w:themeColor="text1"/>
        </w:rPr>
        <w:t>LMICs</w:t>
      </w:r>
      <w:r w:rsidR="00006D60" w:rsidRPr="00614125">
        <w:rPr>
          <w:rFonts w:ascii="Arial" w:hAnsi="Arial"/>
          <w:color w:val="000000" w:themeColor="text1"/>
        </w:rPr>
        <w:t>)</w:t>
      </w:r>
      <w:r w:rsidRPr="00614125">
        <w:rPr>
          <w:rFonts w:ascii="Arial" w:hAnsi="Arial"/>
          <w:color w:val="000000" w:themeColor="text1"/>
        </w:rPr>
        <w:t>. The World Bank extracted th</w:t>
      </w:r>
      <w:r w:rsidR="00A07EA8" w:rsidRPr="00614125">
        <w:rPr>
          <w:rFonts w:ascii="Arial" w:hAnsi="Arial"/>
          <w:color w:val="000000" w:themeColor="text1"/>
        </w:rPr>
        <w:t>i</w:t>
      </w:r>
      <w:r w:rsidRPr="00614125">
        <w:rPr>
          <w:rFonts w:ascii="Arial" w:hAnsi="Arial"/>
          <w:color w:val="000000" w:themeColor="text1"/>
        </w:rPr>
        <w:t xml:space="preserve">s information from the Demographic and Health Surveys, World </w:t>
      </w:r>
      <w:r w:rsidRPr="00614125">
        <w:rPr>
          <w:rFonts w:ascii="Arial" w:hAnsi="Arial"/>
          <w:color w:val="000000" w:themeColor="text1"/>
        </w:rPr>
        <w:lastRenderedPageBreak/>
        <w:t xml:space="preserve">Health Surveys, Multiple Indicator Cluster Surveys, Living Standards and Measurement Surveys and other available surveys of the LMICs </w:t>
      </w:r>
      <w:r w:rsidR="00C266AB" w:rsidRPr="00614125">
        <w:rPr>
          <w:rFonts w:ascii="Arial" w:hAnsi="Arial"/>
          <w:color w:val="000000" w:themeColor="text1"/>
        </w:rPr>
        <w:t>[1</w:t>
      </w:r>
      <w:r w:rsidR="00292E54" w:rsidRPr="00614125">
        <w:rPr>
          <w:rFonts w:ascii="Arial" w:hAnsi="Arial"/>
          <w:color w:val="000000" w:themeColor="text1"/>
        </w:rPr>
        <w:t>9</w:t>
      </w:r>
      <w:r w:rsidR="00C266AB" w:rsidRPr="00614125">
        <w:rPr>
          <w:rFonts w:ascii="Arial" w:hAnsi="Arial"/>
          <w:color w:val="000000" w:themeColor="text1"/>
        </w:rPr>
        <w:t>]</w:t>
      </w:r>
      <w:r w:rsidRPr="00614125">
        <w:rPr>
          <w:rFonts w:ascii="Arial" w:hAnsi="Arial"/>
          <w:color w:val="000000" w:themeColor="text1"/>
        </w:rPr>
        <w:t xml:space="preserve">.  During extraction, a common set of health indicators were used for all the LMICs. </w:t>
      </w:r>
      <w:r w:rsidR="00E52BC2" w:rsidRPr="00614125">
        <w:rPr>
          <w:rFonts w:ascii="Arial" w:hAnsi="Arial"/>
          <w:color w:val="000000" w:themeColor="text1"/>
        </w:rPr>
        <w:t>We</w:t>
      </w:r>
      <w:r w:rsidR="00DE1D36" w:rsidRPr="00614125">
        <w:rPr>
          <w:rFonts w:ascii="Arial" w:hAnsi="Arial"/>
          <w:color w:val="000000" w:themeColor="text1"/>
        </w:rPr>
        <w:t>, therefore,</w:t>
      </w:r>
      <w:r w:rsidR="00215189" w:rsidRPr="00614125">
        <w:rPr>
          <w:rFonts w:ascii="Arial" w:hAnsi="Arial"/>
          <w:color w:val="000000" w:themeColor="text1"/>
        </w:rPr>
        <w:t xml:space="preserve"> got the opportunity to employ this data for analysing UHC status of 21 countries.</w:t>
      </w:r>
      <w:r w:rsidR="002C6E01" w:rsidRPr="00614125">
        <w:rPr>
          <w:rFonts w:ascii="Arial" w:hAnsi="Arial"/>
          <w:color w:val="000000" w:themeColor="text1"/>
        </w:rPr>
        <w:t xml:space="preserve"> However, </w:t>
      </w:r>
      <w:r w:rsidR="002C6E01" w:rsidRPr="00614125">
        <w:rPr>
          <w:rFonts w:ascii="Arial" w:hAnsi="Arial" w:cs="Times New Roman"/>
          <w:color w:val="000000" w:themeColor="text1"/>
        </w:rPr>
        <w:t>data on service indicators</w:t>
      </w:r>
      <w:r w:rsidR="000E1273" w:rsidRPr="00614125">
        <w:rPr>
          <w:rFonts w:ascii="Arial" w:hAnsi="Arial" w:cs="Times New Roman"/>
          <w:color w:val="000000" w:themeColor="text1"/>
        </w:rPr>
        <w:t xml:space="preserve">, </w:t>
      </w:r>
      <w:r w:rsidR="002C6E01" w:rsidRPr="00614125">
        <w:rPr>
          <w:rFonts w:ascii="Arial" w:hAnsi="Arial" w:cs="Times New Roman"/>
          <w:color w:val="000000" w:themeColor="text1"/>
        </w:rPr>
        <w:t xml:space="preserve">related to rehabilitative and </w:t>
      </w:r>
      <w:r w:rsidR="002C6E01" w:rsidRPr="00614125">
        <w:rPr>
          <w:rFonts w:ascii="Arial" w:hAnsi="Arial" w:cs="Times New Roman"/>
          <w:noProof/>
          <w:color w:val="000000" w:themeColor="text1"/>
        </w:rPr>
        <w:t>palliative</w:t>
      </w:r>
      <w:r w:rsidR="002C6E01" w:rsidRPr="00614125">
        <w:rPr>
          <w:rFonts w:ascii="Arial" w:hAnsi="Arial" w:cs="Times New Roman"/>
          <w:color w:val="000000" w:themeColor="text1"/>
        </w:rPr>
        <w:t xml:space="preserve"> care</w:t>
      </w:r>
      <w:r w:rsidR="000E1273" w:rsidRPr="00614125">
        <w:rPr>
          <w:rFonts w:ascii="Arial" w:hAnsi="Arial" w:cs="Times New Roman"/>
          <w:color w:val="000000" w:themeColor="text1"/>
        </w:rPr>
        <w:t xml:space="preserve"> </w:t>
      </w:r>
      <w:proofErr w:type="gramStart"/>
      <w:r w:rsidR="000E1273" w:rsidRPr="00614125">
        <w:rPr>
          <w:rFonts w:ascii="Arial" w:hAnsi="Arial" w:cs="Times New Roman"/>
          <w:color w:val="000000" w:themeColor="text1"/>
        </w:rPr>
        <w:t>w</w:t>
      </w:r>
      <w:r w:rsidR="00340F21" w:rsidRPr="00614125">
        <w:rPr>
          <w:rFonts w:ascii="Arial" w:hAnsi="Arial" w:cs="Times New Roman"/>
          <w:color w:val="000000" w:themeColor="text1"/>
        </w:rPr>
        <w:t xml:space="preserve">ere </w:t>
      </w:r>
      <w:r w:rsidR="000E1273" w:rsidRPr="00614125">
        <w:rPr>
          <w:rFonts w:ascii="Arial" w:hAnsi="Arial" w:cs="Times New Roman"/>
          <w:color w:val="000000" w:themeColor="text1"/>
        </w:rPr>
        <w:t xml:space="preserve"> unavailable</w:t>
      </w:r>
      <w:proofErr w:type="gramEnd"/>
      <w:r w:rsidR="002C6E01" w:rsidRPr="00614125">
        <w:rPr>
          <w:rFonts w:ascii="Arial" w:hAnsi="Arial" w:cs="Times New Roman"/>
          <w:color w:val="000000" w:themeColor="text1"/>
        </w:rPr>
        <w:t xml:space="preserve"> in </w:t>
      </w:r>
      <w:r w:rsidR="000E1273" w:rsidRPr="00614125">
        <w:rPr>
          <w:rFonts w:ascii="Arial" w:hAnsi="Arial" w:cs="Times New Roman"/>
          <w:color w:val="000000" w:themeColor="text1"/>
        </w:rPr>
        <w:t xml:space="preserve">the </w:t>
      </w:r>
      <w:r w:rsidR="002C6E01" w:rsidRPr="00614125">
        <w:rPr>
          <w:rFonts w:ascii="Arial" w:hAnsi="Arial" w:cs="Times New Roman"/>
          <w:color w:val="000000" w:themeColor="text1"/>
        </w:rPr>
        <w:t>countries</w:t>
      </w:r>
      <w:r w:rsidR="000E1273" w:rsidRPr="00614125">
        <w:rPr>
          <w:rFonts w:ascii="Arial" w:hAnsi="Arial" w:cs="Times New Roman"/>
          <w:color w:val="000000" w:themeColor="text1"/>
        </w:rPr>
        <w:t xml:space="preserve"> under investigation</w:t>
      </w:r>
      <w:r w:rsidR="00B53676" w:rsidRPr="00614125">
        <w:rPr>
          <w:rFonts w:ascii="Arial" w:hAnsi="Arial"/>
          <w:color w:val="000000" w:themeColor="text1"/>
        </w:rPr>
        <w:t xml:space="preserve"> [7]</w:t>
      </w:r>
      <w:r w:rsidR="002C6E01" w:rsidRPr="00614125">
        <w:rPr>
          <w:rFonts w:ascii="Arial" w:hAnsi="Arial" w:cs="Times New Roman"/>
          <w:color w:val="000000" w:themeColor="text1"/>
        </w:rPr>
        <w:t>.</w:t>
      </w:r>
    </w:p>
    <w:p w14:paraId="2EFAA66C" w14:textId="77777777" w:rsidR="00310AAB" w:rsidRPr="00614125" w:rsidRDefault="00310AAB" w:rsidP="00337D8B">
      <w:pPr>
        <w:spacing w:before="120" w:after="120" w:line="360" w:lineRule="auto"/>
        <w:jc w:val="both"/>
        <w:rPr>
          <w:rFonts w:ascii="Arial" w:hAnsi="Arial"/>
          <w:color w:val="000000" w:themeColor="text1"/>
        </w:rPr>
      </w:pPr>
    </w:p>
    <w:p w14:paraId="6FBDCEBC" w14:textId="5583CC08" w:rsidR="00125379" w:rsidRPr="00614125" w:rsidRDefault="00125379" w:rsidP="00337D8B">
      <w:pPr>
        <w:spacing w:before="120" w:after="120" w:line="360" w:lineRule="auto"/>
        <w:jc w:val="both"/>
        <w:rPr>
          <w:rFonts w:ascii="Arial" w:hAnsi="Arial"/>
          <w:b/>
          <w:bCs/>
          <w:color w:val="000000" w:themeColor="text1"/>
        </w:rPr>
      </w:pPr>
      <w:r w:rsidRPr="00614125">
        <w:rPr>
          <w:rFonts w:ascii="Arial" w:hAnsi="Arial"/>
          <w:b/>
          <w:bCs/>
          <w:color w:val="000000" w:themeColor="text1"/>
        </w:rPr>
        <w:t xml:space="preserve">Step-by-step </w:t>
      </w:r>
      <w:r w:rsidR="004651B5" w:rsidRPr="00614125">
        <w:rPr>
          <w:rFonts w:ascii="Arial" w:hAnsi="Arial"/>
          <w:b/>
          <w:bCs/>
          <w:color w:val="000000" w:themeColor="text1"/>
        </w:rPr>
        <w:t xml:space="preserve">calculation of UHC index </w:t>
      </w:r>
    </w:p>
    <w:p w14:paraId="614290B2" w14:textId="23C7246E" w:rsidR="005A3EE3" w:rsidRPr="00614125" w:rsidRDefault="00B44BCC"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We </w:t>
      </w:r>
      <w:r w:rsidR="00310AAB" w:rsidRPr="00614125">
        <w:rPr>
          <w:rFonts w:ascii="Arial" w:hAnsi="Arial"/>
          <w:color w:val="000000" w:themeColor="text1"/>
        </w:rPr>
        <w:t>assess</w:t>
      </w:r>
      <w:r w:rsidRPr="00614125">
        <w:rPr>
          <w:rFonts w:ascii="Arial" w:hAnsi="Arial"/>
          <w:color w:val="000000" w:themeColor="text1"/>
        </w:rPr>
        <w:t>ed</w:t>
      </w:r>
      <w:r w:rsidR="005A3EE3" w:rsidRPr="00614125">
        <w:rPr>
          <w:rFonts w:ascii="Arial" w:hAnsi="Arial"/>
          <w:color w:val="000000" w:themeColor="text1"/>
        </w:rPr>
        <w:t xml:space="preserve"> the volume of inner- and outer-box of UHC illustration (figure 1)</w:t>
      </w:r>
      <w:r w:rsidR="00310AAB" w:rsidRPr="00614125">
        <w:rPr>
          <w:rFonts w:ascii="Arial" w:hAnsi="Arial"/>
          <w:color w:val="000000" w:themeColor="text1"/>
        </w:rPr>
        <w:t xml:space="preserve"> for calculating the UHC index values</w:t>
      </w:r>
      <w:r w:rsidR="00446883" w:rsidRPr="00614125">
        <w:rPr>
          <w:rFonts w:ascii="Arial" w:hAnsi="Arial"/>
          <w:color w:val="000000" w:themeColor="text1"/>
        </w:rPr>
        <w:t xml:space="preserve"> using equation (1)</w:t>
      </w:r>
      <w:r w:rsidR="005A3EE3" w:rsidRPr="00614125">
        <w:rPr>
          <w:rFonts w:ascii="Arial" w:hAnsi="Arial"/>
          <w:color w:val="000000" w:themeColor="text1"/>
        </w:rPr>
        <w:t xml:space="preserve">. The outer-box captured the volume indicated by </w:t>
      </w:r>
      <w:r w:rsidR="00DE1D36" w:rsidRPr="00614125">
        <w:rPr>
          <w:rFonts w:ascii="Arial" w:hAnsi="Arial"/>
          <w:color w:val="000000" w:themeColor="text1"/>
        </w:rPr>
        <w:t xml:space="preserve">the </w:t>
      </w:r>
      <w:r w:rsidR="005A3EE3" w:rsidRPr="00614125">
        <w:rPr>
          <w:rFonts w:ascii="Arial" w:hAnsi="Arial"/>
          <w:noProof/>
          <w:color w:val="000000" w:themeColor="text1"/>
        </w:rPr>
        <w:t>maximum</w:t>
      </w:r>
      <w:r w:rsidR="005A3EE3" w:rsidRPr="00614125">
        <w:rPr>
          <w:rFonts w:ascii="Arial" w:hAnsi="Arial"/>
          <w:color w:val="000000" w:themeColor="text1"/>
        </w:rPr>
        <w:t xml:space="preserve"> possible </w:t>
      </w:r>
      <w:r w:rsidR="00310AAB" w:rsidRPr="00614125">
        <w:rPr>
          <w:rFonts w:ascii="Arial" w:hAnsi="Arial"/>
          <w:color w:val="000000" w:themeColor="text1"/>
        </w:rPr>
        <w:t>achievable volume</w:t>
      </w:r>
      <w:r w:rsidR="005A3EE3" w:rsidRPr="00614125">
        <w:rPr>
          <w:rFonts w:ascii="Arial" w:hAnsi="Arial"/>
          <w:color w:val="000000" w:themeColor="text1"/>
        </w:rPr>
        <w:t xml:space="preserve">, meaning that all </w:t>
      </w:r>
      <w:r w:rsidR="00D45931" w:rsidRPr="00614125">
        <w:rPr>
          <w:rFonts w:ascii="Arial" w:hAnsi="Arial"/>
          <w:color w:val="000000" w:themeColor="text1"/>
        </w:rPr>
        <w:t xml:space="preserve">the </w:t>
      </w:r>
      <w:r w:rsidR="005A3EE3" w:rsidRPr="00614125">
        <w:rPr>
          <w:rFonts w:ascii="Arial" w:hAnsi="Arial"/>
          <w:color w:val="000000" w:themeColor="text1"/>
        </w:rPr>
        <w:t xml:space="preserve">population in all socioeconomic quintiles utilized all health services without any financial hardship. We assumed that </w:t>
      </w:r>
      <w:r w:rsidR="00433181" w:rsidRPr="00614125">
        <w:rPr>
          <w:rFonts w:ascii="Arial" w:hAnsi="Arial"/>
          <w:color w:val="000000" w:themeColor="text1"/>
        </w:rPr>
        <w:t>a</w:t>
      </w:r>
      <w:r w:rsidR="00310AAB" w:rsidRPr="00614125">
        <w:rPr>
          <w:rFonts w:ascii="Arial" w:hAnsi="Arial"/>
          <w:color w:val="000000" w:themeColor="text1"/>
        </w:rPr>
        <w:t xml:space="preserve"> socioeconomic quintile could</w:t>
      </w:r>
      <w:r w:rsidR="00433181" w:rsidRPr="00614125">
        <w:rPr>
          <w:rFonts w:ascii="Arial" w:hAnsi="Arial"/>
          <w:color w:val="000000" w:themeColor="text1"/>
        </w:rPr>
        <w:t xml:space="preserve"> achieve maximum 1.00 cm for 1.00 health service where all people (</w:t>
      </w:r>
      <w:r w:rsidR="00310AAB" w:rsidRPr="00614125">
        <w:rPr>
          <w:rFonts w:ascii="Arial" w:hAnsi="Arial"/>
          <w:color w:val="000000" w:themeColor="text1"/>
        </w:rPr>
        <w:t xml:space="preserve">100% or </w:t>
      </w:r>
      <w:r w:rsidR="00433181" w:rsidRPr="00614125">
        <w:rPr>
          <w:rFonts w:ascii="Arial" w:hAnsi="Arial"/>
          <w:color w:val="000000" w:themeColor="text1"/>
        </w:rPr>
        <w:t xml:space="preserve">1.00) utilized such a service without any financial hardship. It implied that the maximum achievable volume of the outer-box would cover 5 quintiles for 6 health services with full financial protection for all people, i.e. </w:t>
      </w:r>
      <w:r w:rsidR="00D40327" w:rsidRPr="00614125">
        <w:rPr>
          <w:rFonts w:ascii="Arial" w:hAnsi="Arial"/>
          <w:color w:val="000000" w:themeColor="text1"/>
        </w:rPr>
        <w:t xml:space="preserve">length </w:t>
      </w:r>
      <w:r w:rsidR="00433181" w:rsidRPr="00614125">
        <w:rPr>
          <w:rFonts w:ascii="Arial" w:hAnsi="Arial"/>
          <w:color w:val="000000" w:themeColor="text1"/>
        </w:rPr>
        <w:t xml:space="preserve">5.00 cm x </w:t>
      </w:r>
      <w:r w:rsidR="00D40327" w:rsidRPr="00614125">
        <w:rPr>
          <w:rFonts w:ascii="Arial" w:hAnsi="Arial"/>
          <w:color w:val="000000" w:themeColor="text1"/>
        </w:rPr>
        <w:t xml:space="preserve">depth </w:t>
      </w:r>
      <w:r w:rsidR="00433181" w:rsidRPr="00614125">
        <w:rPr>
          <w:rFonts w:ascii="Arial" w:hAnsi="Arial"/>
          <w:color w:val="000000" w:themeColor="text1"/>
        </w:rPr>
        <w:t xml:space="preserve">6.00 cm x </w:t>
      </w:r>
      <w:r w:rsidR="00D40327" w:rsidRPr="00614125">
        <w:rPr>
          <w:rFonts w:ascii="Arial" w:hAnsi="Arial"/>
          <w:color w:val="000000" w:themeColor="text1"/>
        </w:rPr>
        <w:t xml:space="preserve">height </w:t>
      </w:r>
      <w:r w:rsidR="00433181" w:rsidRPr="00614125">
        <w:rPr>
          <w:rFonts w:ascii="Arial" w:hAnsi="Arial"/>
          <w:color w:val="000000" w:themeColor="text1"/>
        </w:rPr>
        <w:t xml:space="preserve">1.00 cm = 30.0 cubic cm. </w:t>
      </w:r>
      <w:r w:rsidR="00D40327" w:rsidRPr="00614125">
        <w:rPr>
          <w:rFonts w:ascii="Arial" w:hAnsi="Arial"/>
          <w:color w:val="000000" w:themeColor="text1"/>
        </w:rPr>
        <w:t>The inner-box</w:t>
      </w:r>
      <w:r w:rsidR="00310AAB" w:rsidRPr="00614125">
        <w:rPr>
          <w:rFonts w:ascii="Arial" w:hAnsi="Arial"/>
          <w:color w:val="000000" w:themeColor="text1"/>
        </w:rPr>
        <w:t>, on the other hand,</w:t>
      </w:r>
      <w:r w:rsidR="00D40327" w:rsidRPr="00614125">
        <w:rPr>
          <w:rFonts w:ascii="Arial" w:hAnsi="Arial"/>
          <w:color w:val="000000" w:themeColor="text1"/>
        </w:rPr>
        <w:t xml:space="preserve"> captured the actually </w:t>
      </w:r>
      <w:r w:rsidR="00CC7F4A" w:rsidRPr="00614125">
        <w:rPr>
          <w:rFonts w:ascii="Arial" w:hAnsi="Arial"/>
          <w:color w:val="000000" w:themeColor="text1"/>
        </w:rPr>
        <w:t>achieved</w:t>
      </w:r>
      <w:r w:rsidR="00D40327" w:rsidRPr="00614125">
        <w:rPr>
          <w:rFonts w:ascii="Arial" w:hAnsi="Arial"/>
          <w:color w:val="000000" w:themeColor="text1"/>
        </w:rPr>
        <w:t xml:space="preserve"> length for all health services </w:t>
      </w:r>
      <w:r w:rsidR="00310AAB" w:rsidRPr="00614125">
        <w:rPr>
          <w:rFonts w:ascii="Arial" w:hAnsi="Arial"/>
          <w:color w:val="000000" w:themeColor="text1"/>
        </w:rPr>
        <w:t xml:space="preserve">by the proportion of </w:t>
      </w:r>
      <w:r w:rsidR="00D45931" w:rsidRPr="00614125">
        <w:rPr>
          <w:rFonts w:ascii="Arial" w:hAnsi="Arial"/>
          <w:color w:val="000000" w:themeColor="text1"/>
        </w:rPr>
        <w:t xml:space="preserve">the </w:t>
      </w:r>
      <w:r w:rsidR="00310AAB" w:rsidRPr="00614125">
        <w:rPr>
          <w:rFonts w:ascii="Arial" w:hAnsi="Arial"/>
          <w:color w:val="000000" w:themeColor="text1"/>
        </w:rPr>
        <w:t>population who had</w:t>
      </w:r>
      <w:r w:rsidR="00D40327" w:rsidRPr="00614125">
        <w:rPr>
          <w:rFonts w:ascii="Arial" w:hAnsi="Arial"/>
          <w:color w:val="000000" w:themeColor="text1"/>
        </w:rPr>
        <w:t xml:space="preserve"> full financial protection. </w:t>
      </w:r>
      <w:r w:rsidR="004C1B47" w:rsidRPr="00614125">
        <w:rPr>
          <w:rFonts w:ascii="Arial" w:hAnsi="Arial"/>
          <w:color w:val="000000" w:themeColor="text1"/>
        </w:rPr>
        <w:t>For instance, i</w:t>
      </w:r>
      <w:r w:rsidR="00D40327" w:rsidRPr="00614125">
        <w:rPr>
          <w:rFonts w:ascii="Arial" w:hAnsi="Arial"/>
          <w:color w:val="000000" w:themeColor="text1"/>
        </w:rPr>
        <w:t xml:space="preserve">f a population actually </w:t>
      </w:r>
      <w:r w:rsidR="00CC7F4A" w:rsidRPr="00614125">
        <w:rPr>
          <w:rFonts w:ascii="Arial" w:hAnsi="Arial"/>
          <w:color w:val="000000" w:themeColor="text1"/>
        </w:rPr>
        <w:t>achieved</w:t>
      </w:r>
      <w:r w:rsidR="00D40327" w:rsidRPr="00614125">
        <w:rPr>
          <w:rFonts w:ascii="Arial" w:hAnsi="Arial"/>
          <w:color w:val="000000" w:themeColor="text1"/>
        </w:rPr>
        <w:t xml:space="preserve"> </w:t>
      </w:r>
      <w:r w:rsidR="00310AAB" w:rsidRPr="00614125">
        <w:rPr>
          <w:rFonts w:ascii="Arial" w:hAnsi="Arial"/>
          <w:color w:val="000000" w:themeColor="text1"/>
        </w:rPr>
        <w:t>3.</w:t>
      </w:r>
      <w:r w:rsidR="00D40327" w:rsidRPr="00614125">
        <w:rPr>
          <w:rFonts w:ascii="Arial" w:hAnsi="Arial"/>
          <w:color w:val="000000" w:themeColor="text1"/>
        </w:rPr>
        <w:t xml:space="preserve">0 </w:t>
      </w:r>
      <w:r w:rsidR="00310AAB" w:rsidRPr="00614125">
        <w:rPr>
          <w:rFonts w:ascii="Arial" w:hAnsi="Arial"/>
          <w:color w:val="000000" w:themeColor="text1"/>
        </w:rPr>
        <w:t xml:space="preserve">cm by all </w:t>
      </w:r>
      <w:r w:rsidR="00D40327" w:rsidRPr="00614125">
        <w:rPr>
          <w:rFonts w:ascii="Arial" w:hAnsi="Arial"/>
          <w:color w:val="000000" w:themeColor="text1"/>
        </w:rPr>
        <w:t>socioeconomic quintile</w:t>
      </w:r>
      <w:r w:rsidR="00310AAB" w:rsidRPr="00614125">
        <w:rPr>
          <w:rFonts w:ascii="Arial" w:hAnsi="Arial"/>
          <w:color w:val="000000" w:themeColor="text1"/>
        </w:rPr>
        <w:t>s</w:t>
      </w:r>
      <w:r w:rsidR="00D40327" w:rsidRPr="00614125">
        <w:rPr>
          <w:rFonts w:ascii="Arial" w:hAnsi="Arial"/>
          <w:color w:val="000000" w:themeColor="text1"/>
        </w:rPr>
        <w:t xml:space="preserve"> for 6.00 health services with </w:t>
      </w:r>
      <w:r w:rsidR="004C1B47" w:rsidRPr="00614125">
        <w:rPr>
          <w:rFonts w:ascii="Arial" w:hAnsi="Arial"/>
          <w:color w:val="000000" w:themeColor="text1"/>
        </w:rPr>
        <w:t xml:space="preserve">full </w:t>
      </w:r>
      <w:r w:rsidR="00D40327" w:rsidRPr="00614125">
        <w:rPr>
          <w:rFonts w:ascii="Arial" w:hAnsi="Arial"/>
          <w:color w:val="000000" w:themeColor="text1"/>
        </w:rPr>
        <w:t>financ</w:t>
      </w:r>
      <w:r w:rsidR="004C1B47" w:rsidRPr="00614125">
        <w:rPr>
          <w:rFonts w:ascii="Arial" w:hAnsi="Arial"/>
          <w:color w:val="000000" w:themeColor="text1"/>
        </w:rPr>
        <w:t>ial protection of</w:t>
      </w:r>
      <w:r w:rsidR="00D40327" w:rsidRPr="00614125">
        <w:rPr>
          <w:rFonts w:ascii="Arial" w:hAnsi="Arial"/>
          <w:color w:val="000000" w:themeColor="text1"/>
        </w:rPr>
        <w:t xml:space="preserve"> 90% people, the inner-box would capture a total volume of </w:t>
      </w:r>
      <w:r w:rsidR="00310AAB" w:rsidRPr="00614125">
        <w:rPr>
          <w:rFonts w:ascii="Arial" w:hAnsi="Arial"/>
          <w:color w:val="000000" w:themeColor="text1"/>
        </w:rPr>
        <w:t>16.2 cubic cm (</w:t>
      </w:r>
      <w:r w:rsidR="00D40327" w:rsidRPr="00614125">
        <w:rPr>
          <w:rFonts w:ascii="Arial" w:hAnsi="Arial"/>
          <w:color w:val="000000" w:themeColor="text1"/>
        </w:rPr>
        <w:t>length 3.00 cm x depth 6.00</w:t>
      </w:r>
      <w:r w:rsidR="000E1273" w:rsidRPr="00614125">
        <w:rPr>
          <w:rFonts w:ascii="Arial" w:hAnsi="Arial"/>
          <w:color w:val="000000" w:themeColor="text1"/>
        </w:rPr>
        <w:t xml:space="preserve"> cm</w:t>
      </w:r>
      <w:r w:rsidR="00D40327" w:rsidRPr="00614125">
        <w:rPr>
          <w:rFonts w:ascii="Arial" w:hAnsi="Arial"/>
          <w:color w:val="000000" w:themeColor="text1"/>
        </w:rPr>
        <w:t xml:space="preserve"> x height 0.90 cm</w:t>
      </w:r>
      <w:r w:rsidR="00310AAB" w:rsidRPr="00614125">
        <w:rPr>
          <w:rFonts w:ascii="Arial" w:hAnsi="Arial"/>
          <w:color w:val="000000" w:themeColor="text1"/>
        </w:rPr>
        <w:t xml:space="preserve">). The UHC index </w:t>
      </w:r>
      <w:r w:rsidR="004C1B47" w:rsidRPr="00614125">
        <w:rPr>
          <w:rFonts w:ascii="Arial" w:hAnsi="Arial"/>
          <w:color w:val="000000" w:themeColor="text1"/>
        </w:rPr>
        <w:t>c</w:t>
      </w:r>
      <w:r w:rsidR="00310AAB" w:rsidRPr="00614125">
        <w:rPr>
          <w:rFonts w:ascii="Arial" w:hAnsi="Arial"/>
          <w:color w:val="000000" w:themeColor="text1"/>
        </w:rPr>
        <w:t xml:space="preserve">ould then capture the share of the inner-box as a percentage of the </w:t>
      </w:r>
      <w:r w:rsidR="00310AAB" w:rsidRPr="00614125">
        <w:rPr>
          <w:rFonts w:ascii="Arial" w:hAnsi="Arial"/>
          <w:noProof/>
          <w:color w:val="000000" w:themeColor="text1"/>
        </w:rPr>
        <w:t>outer-box</w:t>
      </w:r>
      <w:r w:rsidR="000E1273" w:rsidRPr="00614125">
        <w:rPr>
          <w:rFonts w:ascii="Arial" w:hAnsi="Arial"/>
          <w:noProof/>
          <w:color w:val="000000" w:themeColor="text1"/>
        </w:rPr>
        <w:t xml:space="preserve"> (length 5.00 cm x depth 6.00 cm x height 1.00 cm)</w:t>
      </w:r>
      <w:r w:rsidR="00310AAB" w:rsidRPr="00614125">
        <w:rPr>
          <w:rFonts w:ascii="Arial" w:hAnsi="Arial"/>
          <w:color w:val="000000" w:themeColor="text1"/>
        </w:rPr>
        <w:t>. We followed a step-by-step approach for calcula</w:t>
      </w:r>
      <w:r w:rsidR="004C1B47" w:rsidRPr="00614125">
        <w:rPr>
          <w:rFonts w:ascii="Arial" w:hAnsi="Arial"/>
          <w:color w:val="000000" w:themeColor="text1"/>
        </w:rPr>
        <w:t xml:space="preserve">ting the index using </w:t>
      </w:r>
      <w:r w:rsidR="004C1B47" w:rsidRPr="00614125">
        <w:rPr>
          <w:rFonts w:ascii="Arial" w:hAnsi="Arial"/>
          <w:noProof/>
          <w:color w:val="000000" w:themeColor="text1"/>
        </w:rPr>
        <w:t>real</w:t>
      </w:r>
      <w:r w:rsidR="00DE1D36" w:rsidRPr="00614125">
        <w:rPr>
          <w:rFonts w:ascii="Arial" w:hAnsi="Arial"/>
          <w:noProof/>
          <w:color w:val="000000" w:themeColor="text1"/>
        </w:rPr>
        <w:t>-</w:t>
      </w:r>
      <w:r w:rsidR="004C1B47" w:rsidRPr="00614125">
        <w:rPr>
          <w:rFonts w:ascii="Arial" w:hAnsi="Arial"/>
          <w:noProof/>
          <w:color w:val="000000" w:themeColor="text1"/>
        </w:rPr>
        <w:t>life</w:t>
      </w:r>
      <w:r w:rsidR="004C1B47" w:rsidRPr="00614125">
        <w:rPr>
          <w:rFonts w:ascii="Arial" w:hAnsi="Arial"/>
          <w:color w:val="000000" w:themeColor="text1"/>
        </w:rPr>
        <w:t xml:space="preserve"> </w:t>
      </w:r>
      <w:r w:rsidR="00310AAB" w:rsidRPr="00614125">
        <w:rPr>
          <w:rFonts w:ascii="Arial" w:hAnsi="Arial"/>
          <w:color w:val="000000" w:themeColor="text1"/>
        </w:rPr>
        <w:t xml:space="preserve">data from a number of Asian and African low- and middle-income countries. </w:t>
      </w:r>
      <w:r w:rsidR="004C1B47" w:rsidRPr="00614125">
        <w:rPr>
          <w:rFonts w:ascii="Arial" w:hAnsi="Arial"/>
          <w:color w:val="000000" w:themeColor="text1"/>
        </w:rPr>
        <w:t>We described below</w:t>
      </w:r>
      <w:r w:rsidR="00880A1B" w:rsidRPr="00614125">
        <w:rPr>
          <w:rFonts w:ascii="Arial" w:hAnsi="Arial"/>
          <w:color w:val="000000" w:themeColor="text1"/>
        </w:rPr>
        <w:t>, accompanied with Figure 2,</w:t>
      </w:r>
      <w:r w:rsidR="004C1B47" w:rsidRPr="00614125">
        <w:rPr>
          <w:rFonts w:ascii="Arial" w:hAnsi="Arial"/>
          <w:color w:val="000000" w:themeColor="text1"/>
        </w:rPr>
        <w:t xml:space="preserve"> how we calculated </w:t>
      </w:r>
      <w:r w:rsidR="00D45931" w:rsidRPr="00614125">
        <w:rPr>
          <w:rFonts w:ascii="Arial" w:hAnsi="Arial"/>
          <w:color w:val="000000" w:themeColor="text1"/>
        </w:rPr>
        <w:t xml:space="preserve">the </w:t>
      </w:r>
      <w:r w:rsidR="004C1B47" w:rsidRPr="00614125">
        <w:rPr>
          <w:rFonts w:ascii="Arial" w:hAnsi="Arial"/>
          <w:color w:val="000000" w:themeColor="text1"/>
        </w:rPr>
        <w:t xml:space="preserve">UHC index value for Ghana step-by-step.  </w:t>
      </w:r>
      <w:r w:rsidR="00310AAB" w:rsidRPr="00614125">
        <w:rPr>
          <w:rFonts w:ascii="Arial" w:hAnsi="Arial"/>
          <w:color w:val="000000" w:themeColor="text1"/>
        </w:rPr>
        <w:t xml:space="preserve">  </w:t>
      </w:r>
      <w:r w:rsidR="00D40327" w:rsidRPr="00614125">
        <w:rPr>
          <w:rFonts w:ascii="Arial" w:hAnsi="Arial"/>
          <w:color w:val="000000" w:themeColor="text1"/>
        </w:rPr>
        <w:t xml:space="preserve">    </w:t>
      </w:r>
      <w:r w:rsidR="00433181" w:rsidRPr="00614125">
        <w:rPr>
          <w:rFonts w:ascii="Arial" w:hAnsi="Arial"/>
          <w:color w:val="000000" w:themeColor="text1"/>
        </w:rPr>
        <w:t xml:space="preserve">  </w:t>
      </w:r>
      <w:r w:rsidR="005A3EE3" w:rsidRPr="00614125">
        <w:rPr>
          <w:rFonts w:ascii="Arial" w:hAnsi="Arial"/>
          <w:color w:val="000000" w:themeColor="text1"/>
        </w:rPr>
        <w:t xml:space="preserve"> </w:t>
      </w:r>
    </w:p>
    <w:p w14:paraId="3FFAF81B" w14:textId="51B5F2E6" w:rsidR="004651B5" w:rsidRPr="00614125" w:rsidRDefault="005A3EE3"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 </w:t>
      </w:r>
    </w:p>
    <w:p w14:paraId="5FB0F396" w14:textId="6B49AB24" w:rsidR="00125379" w:rsidRPr="00614125" w:rsidRDefault="00125379" w:rsidP="00337D8B">
      <w:pPr>
        <w:spacing w:before="120" w:after="120" w:line="360" w:lineRule="auto"/>
        <w:jc w:val="both"/>
        <w:rPr>
          <w:rFonts w:ascii="Arial" w:hAnsi="Arial"/>
          <w:i/>
          <w:iCs/>
          <w:color w:val="000000" w:themeColor="text1"/>
        </w:rPr>
      </w:pPr>
      <w:r w:rsidRPr="00614125">
        <w:rPr>
          <w:rFonts w:ascii="Arial" w:hAnsi="Arial"/>
          <w:i/>
          <w:iCs/>
          <w:color w:val="000000" w:themeColor="text1"/>
        </w:rPr>
        <w:t xml:space="preserve">Step 1: </w:t>
      </w:r>
      <w:r w:rsidR="004C1B47" w:rsidRPr="00614125">
        <w:rPr>
          <w:rFonts w:ascii="Arial" w:hAnsi="Arial"/>
          <w:i/>
          <w:iCs/>
          <w:color w:val="000000" w:themeColor="text1"/>
        </w:rPr>
        <w:t>Country and v</w:t>
      </w:r>
      <w:r w:rsidRPr="00614125">
        <w:rPr>
          <w:rFonts w:ascii="Arial" w:hAnsi="Arial"/>
          <w:i/>
          <w:iCs/>
          <w:color w:val="000000" w:themeColor="text1"/>
        </w:rPr>
        <w:t>ariable selection</w:t>
      </w:r>
    </w:p>
    <w:p w14:paraId="137469A7" w14:textId="104873AE" w:rsidR="00825149" w:rsidRPr="00614125" w:rsidRDefault="00595215"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We targeted </w:t>
      </w:r>
      <w:r w:rsidR="00C73775" w:rsidRPr="00614125">
        <w:rPr>
          <w:rFonts w:ascii="Arial" w:hAnsi="Arial"/>
          <w:color w:val="000000" w:themeColor="text1"/>
        </w:rPr>
        <w:t xml:space="preserve">countries </w:t>
      </w:r>
      <w:r w:rsidR="001B6CBB" w:rsidRPr="00614125">
        <w:rPr>
          <w:rFonts w:ascii="Arial" w:hAnsi="Arial"/>
          <w:color w:val="000000" w:themeColor="text1"/>
        </w:rPr>
        <w:t xml:space="preserve">in Asia and Africa </w:t>
      </w:r>
      <w:r w:rsidR="00C73775" w:rsidRPr="00614125">
        <w:rPr>
          <w:rFonts w:ascii="Arial" w:hAnsi="Arial"/>
          <w:color w:val="000000" w:themeColor="text1"/>
        </w:rPr>
        <w:t xml:space="preserve">which had data on </w:t>
      </w:r>
      <w:r w:rsidR="00A51028" w:rsidRPr="00614125">
        <w:rPr>
          <w:rFonts w:ascii="Arial" w:hAnsi="Arial"/>
          <w:color w:val="000000" w:themeColor="text1"/>
        </w:rPr>
        <w:t xml:space="preserve">the </w:t>
      </w:r>
      <w:r w:rsidR="00C73775" w:rsidRPr="00614125">
        <w:rPr>
          <w:rFonts w:ascii="Arial" w:hAnsi="Arial"/>
          <w:color w:val="000000" w:themeColor="text1"/>
        </w:rPr>
        <w:t xml:space="preserve">largest </w:t>
      </w:r>
      <w:r w:rsidR="00215189" w:rsidRPr="00614125">
        <w:rPr>
          <w:rFonts w:ascii="Arial" w:hAnsi="Arial"/>
          <w:color w:val="000000" w:themeColor="text1"/>
        </w:rPr>
        <w:t xml:space="preserve">common </w:t>
      </w:r>
      <w:r w:rsidR="00C73775" w:rsidRPr="00614125">
        <w:rPr>
          <w:rFonts w:ascii="Arial" w:hAnsi="Arial"/>
          <w:color w:val="000000" w:themeColor="text1"/>
        </w:rPr>
        <w:t xml:space="preserve">number of health services. We found that 6 Asian and 15 African countries had data </w:t>
      </w:r>
      <w:r w:rsidR="00C73775" w:rsidRPr="00614125">
        <w:rPr>
          <w:rFonts w:ascii="Arial" w:hAnsi="Arial"/>
          <w:color w:val="000000" w:themeColor="text1"/>
        </w:rPr>
        <w:lastRenderedPageBreak/>
        <w:t xml:space="preserve">on </w:t>
      </w:r>
      <w:r w:rsidR="0044734D" w:rsidRPr="00614125">
        <w:rPr>
          <w:rFonts w:ascii="Arial" w:hAnsi="Arial"/>
          <w:color w:val="000000" w:themeColor="text1"/>
        </w:rPr>
        <w:t>6</w:t>
      </w:r>
      <w:r w:rsidR="00C73775" w:rsidRPr="00614125">
        <w:rPr>
          <w:rFonts w:ascii="Arial" w:hAnsi="Arial"/>
          <w:color w:val="000000" w:themeColor="text1"/>
        </w:rPr>
        <w:t xml:space="preserve"> health services (utilization rate by socioeconomic quintiles). The </w:t>
      </w:r>
      <w:r w:rsidR="003205E3" w:rsidRPr="00614125">
        <w:rPr>
          <w:rFonts w:ascii="Arial" w:hAnsi="Arial"/>
          <w:color w:val="000000" w:themeColor="text1"/>
        </w:rPr>
        <w:t>services were I</w:t>
      </w:r>
      <w:r w:rsidR="00C73775" w:rsidRPr="00614125">
        <w:rPr>
          <w:rFonts w:ascii="Arial" w:hAnsi="Arial"/>
          <w:color w:val="000000" w:themeColor="text1"/>
        </w:rPr>
        <w:t xml:space="preserve">mmunization, Skilled antenatal care (4 visits), Treatment of </w:t>
      </w:r>
      <w:r w:rsidR="006F5387" w:rsidRPr="00614125">
        <w:rPr>
          <w:rFonts w:ascii="Arial" w:hAnsi="Arial"/>
          <w:color w:val="000000" w:themeColor="text1"/>
        </w:rPr>
        <w:t>diarrhoea</w:t>
      </w:r>
      <w:r w:rsidR="00C73775" w:rsidRPr="00614125">
        <w:rPr>
          <w:rFonts w:ascii="Arial" w:hAnsi="Arial"/>
          <w:color w:val="000000" w:themeColor="text1"/>
        </w:rPr>
        <w:t>, Medical treatment of</w:t>
      </w:r>
      <w:r w:rsidR="0044734D" w:rsidRPr="00614125">
        <w:rPr>
          <w:rFonts w:ascii="Arial" w:hAnsi="Arial"/>
          <w:color w:val="000000" w:themeColor="text1"/>
        </w:rPr>
        <w:t xml:space="preserve"> Acute Respiratory Infection</w:t>
      </w:r>
      <w:r w:rsidR="00C73775" w:rsidRPr="00614125">
        <w:rPr>
          <w:rFonts w:ascii="Arial" w:hAnsi="Arial"/>
          <w:color w:val="000000" w:themeColor="text1"/>
        </w:rPr>
        <w:t xml:space="preserve"> </w:t>
      </w:r>
      <w:r w:rsidR="0044734D" w:rsidRPr="00614125">
        <w:rPr>
          <w:rFonts w:ascii="Arial" w:hAnsi="Arial"/>
          <w:color w:val="000000" w:themeColor="text1"/>
        </w:rPr>
        <w:t>(</w:t>
      </w:r>
      <w:r w:rsidR="00C73775" w:rsidRPr="00614125">
        <w:rPr>
          <w:rFonts w:ascii="Arial" w:hAnsi="Arial"/>
          <w:color w:val="000000" w:themeColor="text1"/>
        </w:rPr>
        <w:t>ARI</w:t>
      </w:r>
      <w:r w:rsidR="0044734D" w:rsidRPr="00614125">
        <w:rPr>
          <w:rFonts w:ascii="Arial" w:hAnsi="Arial"/>
          <w:color w:val="000000" w:themeColor="text1"/>
        </w:rPr>
        <w:t>)</w:t>
      </w:r>
      <w:r w:rsidR="00C73775" w:rsidRPr="00614125">
        <w:rPr>
          <w:rFonts w:ascii="Arial" w:hAnsi="Arial"/>
          <w:color w:val="000000" w:themeColor="text1"/>
        </w:rPr>
        <w:t>, Skilled birth attendance</w:t>
      </w:r>
      <w:r w:rsidR="009572BF" w:rsidRPr="00614125">
        <w:rPr>
          <w:rFonts w:ascii="Arial" w:hAnsi="Arial"/>
          <w:color w:val="000000" w:themeColor="text1"/>
        </w:rPr>
        <w:t xml:space="preserve"> (SBA)</w:t>
      </w:r>
      <w:r w:rsidR="00C73775" w:rsidRPr="00614125">
        <w:rPr>
          <w:rFonts w:ascii="Arial" w:hAnsi="Arial"/>
          <w:color w:val="000000" w:themeColor="text1"/>
        </w:rPr>
        <w:t xml:space="preserve"> and Inpatient (</w:t>
      </w:r>
      <w:r w:rsidR="00907F44" w:rsidRPr="00614125">
        <w:rPr>
          <w:rFonts w:ascii="Arial" w:hAnsi="Arial"/>
          <w:color w:val="000000" w:themeColor="text1"/>
        </w:rPr>
        <w:t xml:space="preserve">in last </w:t>
      </w:r>
      <w:r w:rsidR="00C73775" w:rsidRPr="00614125">
        <w:rPr>
          <w:rFonts w:ascii="Arial" w:hAnsi="Arial"/>
          <w:color w:val="000000" w:themeColor="text1"/>
        </w:rPr>
        <w:t xml:space="preserve">12 months). These services reflected the status of preventive and curative health services in </w:t>
      </w:r>
      <w:r w:rsidR="00D45931" w:rsidRPr="00614125">
        <w:rPr>
          <w:rFonts w:ascii="Arial" w:hAnsi="Arial"/>
          <w:color w:val="000000" w:themeColor="text1"/>
        </w:rPr>
        <w:t>each country</w:t>
      </w:r>
      <w:r w:rsidR="00C73775" w:rsidRPr="00614125">
        <w:rPr>
          <w:rFonts w:ascii="Arial" w:hAnsi="Arial"/>
          <w:color w:val="000000" w:themeColor="text1"/>
        </w:rPr>
        <w:t xml:space="preserve">. </w:t>
      </w:r>
      <w:r w:rsidR="008407E0" w:rsidRPr="00614125">
        <w:rPr>
          <w:rFonts w:ascii="Arial" w:hAnsi="Arial"/>
          <w:color w:val="000000" w:themeColor="text1"/>
        </w:rPr>
        <w:t xml:space="preserve">In principle, all types of health services (promotive, preventive, curative, rehabilitative and palliative) should be considered in the index </w:t>
      </w:r>
      <w:r w:rsidR="00CC7F4A" w:rsidRPr="00614125">
        <w:rPr>
          <w:rFonts w:ascii="Arial" w:hAnsi="Arial"/>
          <w:color w:val="000000" w:themeColor="text1"/>
        </w:rPr>
        <w:t>calculation</w:t>
      </w:r>
      <w:r w:rsidR="008407E0" w:rsidRPr="00614125">
        <w:rPr>
          <w:rFonts w:ascii="Arial" w:hAnsi="Arial"/>
          <w:color w:val="000000" w:themeColor="text1"/>
        </w:rPr>
        <w:t xml:space="preserve">. </w:t>
      </w:r>
      <w:r w:rsidR="00C73775" w:rsidRPr="00614125">
        <w:rPr>
          <w:rFonts w:ascii="Arial" w:hAnsi="Arial"/>
          <w:color w:val="000000" w:themeColor="text1"/>
        </w:rPr>
        <w:t>Due to data</w:t>
      </w:r>
      <w:r w:rsidR="008407E0" w:rsidRPr="00614125">
        <w:rPr>
          <w:rFonts w:ascii="Arial" w:hAnsi="Arial"/>
          <w:color w:val="000000" w:themeColor="text1"/>
        </w:rPr>
        <w:t xml:space="preserve"> services </w:t>
      </w:r>
      <w:r w:rsidR="00C73775" w:rsidRPr="00614125">
        <w:rPr>
          <w:rFonts w:ascii="Arial" w:hAnsi="Arial"/>
          <w:color w:val="000000" w:themeColor="text1"/>
        </w:rPr>
        <w:t>constrain</w:t>
      </w:r>
      <w:r w:rsidR="00A07EA8" w:rsidRPr="00614125">
        <w:rPr>
          <w:rFonts w:ascii="Arial" w:hAnsi="Arial"/>
          <w:color w:val="000000" w:themeColor="text1"/>
        </w:rPr>
        <w:t>ts</w:t>
      </w:r>
      <w:r w:rsidR="008407E0" w:rsidRPr="00614125">
        <w:rPr>
          <w:rFonts w:ascii="Arial" w:hAnsi="Arial"/>
          <w:color w:val="000000" w:themeColor="text1"/>
        </w:rPr>
        <w:t xml:space="preserve">, like missing data on </w:t>
      </w:r>
      <w:r w:rsidR="001E5288" w:rsidRPr="00614125">
        <w:rPr>
          <w:rFonts w:ascii="Arial" w:hAnsi="Arial"/>
          <w:color w:val="000000" w:themeColor="text1"/>
        </w:rPr>
        <w:t>promotive</w:t>
      </w:r>
      <w:r w:rsidR="008407E0" w:rsidRPr="00614125">
        <w:rPr>
          <w:rFonts w:ascii="Arial" w:hAnsi="Arial"/>
          <w:color w:val="000000" w:themeColor="text1"/>
        </w:rPr>
        <w:t>,</w:t>
      </w:r>
      <w:r w:rsidR="001E5288" w:rsidRPr="00614125">
        <w:rPr>
          <w:rFonts w:ascii="Arial" w:hAnsi="Arial"/>
          <w:color w:val="000000" w:themeColor="text1"/>
        </w:rPr>
        <w:t xml:space="preserve"> rehabilitative</w:t>
      </w:r>
      <w:r w:rsidR="008407E0" w:rsidRPr="00614125">
        <w:rPr>
          <w:rFonts w:ascii="Arial" w:hAnsi="Arial"/>
          <w:color w:val="000000" w:themeColor="text1"/>
        </w:rPr>
        <w:t>, and palliative</w:t>
      </w:r>
      <w:r w:rsidR="001E5288" w:rsidRPr="00614125">
        <w:rPr>
          <w:rFonts w:ascii="Arial" w:hAnsi="Arial"/>
          <w:color w:val="000000" w:themeColor="text1"/>
        </w:rPr>
        <w:t xml:space="preserve"> care</w:t>
      </w:r>
      <w:r w:rsidR="008407E0" w:rsidRPr="00614125">
        <w:rPr>
          <w:rFonts w:ascii="Arial" w:hAnsi="Arial"/>
          <w:color w:val="000000" w:themeColor="text1"/>
        </w:rPr>
        <w:t xml:space="preserve"> as well as unavailability of data on same health services across </w:t>
      </w:r>
      <w:r w:rsidR="00015A3A" w:rsidRPr="00614125">
        <w:rPr>
          <w:rFonts w:ascii="Arial" w:hAnsi="Arial"/>
          <w:color w:val="000000" w:themeColor="text1"/>
        </w:rPr>
        <w:t>countries</w:t>
      </w:r>
      <w:r w:rsidR="001E5288" w:rsidRPr="00614125">
        <w:rPr>
          <w:rFonts w:ascii="Arial" w:hAnsi="Arial"/>
          <w:color w:val="000000" w:themeColor="text1"/>
        </w:rPr>
        <w:t xml:space="preserve">, </w:t>
      </w:r>
      <w:r w:rsidR="008407E0" w:rsidRPr="00614125">
        <w:rPr>
          <w:rFonts w:ascii="Arial" w:hAnsi="Arial"/>
          <w:color w:val="000000" w:themeColor="text1"/>
        </w:rPr>
        <w:t xml:space="preserve">we could not capture the complete scenario of </w:t>
      </w:r>
      <w:r w:rsidR="001E5288" w:rsidRPr="00614125">
        <w:rPr>
          <w:rFonts w:ascii="Arial" w:hAnsi="Arial"/>
          <w:color w:val="000000" w:themeColor="text1"/>
        </w:rPr>
        <w:t>UHC status</w:t>
      </w:r>
      <w:r w:rsidR="003F5887" w:rsidRPr="00614125">
        <w:rPr>
          <w:rFonts w:ascii="Arial" w:hAnsi="Arial"/>
          <w:color w:val="000000" w:themeColor="text1"/>
        </w:rPr>
        <w:t>.</w:t>
      </w:r>
      <w:r w:rsidR="008407E0" w:rsidRPr="00614125">
        <w:rPr>
          <w:rFonts w:ascii="Arial" w:hAnsi="Arial"/>
          <w:color w:val="000000" w:themeColor="text1"/>
        </w:rPr>
        <w:t xml:space="preserve"> Our method, however, allows </w:t>
      </w:r>
      <w:r w:rsidR="00D45931" w:rsidRPr="00614125">
        <w:rPr>
          <w:rFonts w:ascii="Arial" w:hAnsi="Arial"/>
          <w:color w:val="000000" w:themeColor="text1"/>
        </w:rPr>
        <w:t>for the inclusion of</w:t>
      </w:r>
      <w:r w:rsidR="008407E0" w:rsidRPr="00614125">
        <w:rPr>
          <w:rFonts w:ascii="Arial" w:hAnsi="Arial"/>
          <w:color w:val="000000" w:themeColor="text1"/>
        </w:rPr>
        <w:t xml:space="preserve"> as many health services as possible </w:t>
      </w:r>
      <w:r w:rsidR="00153AFA" w:rsidRPr="00614125">
        <w:rPr>
          <w:rFonts w:ascii="Arial" w:hAnsi="Arial"/>
          <w:color w:val="000000" w:themeColor="text1"/>
        </w:rPr>
        <w:t xml:space="preserve">if data </w:t>
      </w:r>
      <w:r w:rsidR="00D45931" w:rsidRPr="00614125">
        <w:rPr>
          <w:rFonts w:ascii="Arial" w:hAnsi="Arial"/>
          <w:color w:val="000000" w:themeColor="text1"/>
        </w:rPr>
        <w:t>are</w:t>
      </w:r>
      <w:r w:rsidR="00153AFA" w:rsidRPr="00614125">
        <w:rPr>
          <w:rFonts w:ascii="Arial" w:hAnsi="Arial"/>
          <w:color w:val="000000" w:themeColor="text1"/>
        </w:rPr>
        <w:t xml:space="preserve"> available.</w:t>
      </w:r>
      <w:r w:rsidR="001E5288" w:rsidRPr="00614125">
        <w:rPr>
          <w:rFonts w:ascii="Arial" w:hAnsi="Arial"/>
          <w:color w:val="000000" w:themeColor="text1"/>
        </w:rPr>
        <w:t xml:space="preserve"> </w:t>
      </w:r>
      <w:r w:rsidR="00F27B3D" w:rsidRPr="00614125">
        <w:rPr>
          <w:rFonts w:ascii="Arial" w:hAnsi="Arial"/>
          <w:color w:val="000000" w:themeColor="text1"/>
        </w:rPr>
        <w:t xml:space="preserve">Additionally, we were aware that there were inpatient services related to the treatment of diarrhoea, ARI, skilled birth attendance etc. But it </w:t>
      </w:r>
      <w:r w:rsidR="00B13D71" w:rsidRPr="00614125">
        <w:rPr>
          <w:rFonts w:ascii="Arial" w:hAnsi="Arial"/>
          <w:color w:val="000000" w:themeColor="text1"/>
        </w:rPr>
        <w:t>wa</w:t>
      </w:r>
      <w:r w:rsidR="00F27B3D" w:rsidRPr="00614125">
        <w:rPr>
          <w:rFonts w:ascii="Arial" w:hAnsi="Arial"/>
          <w:color w:val="000000" w:themeColor="text1"/>
        </w:rPr>
        <w:t>s very likely that inpatient services include</w:t>
      </w:r>
      <w:r w:rsidR="00B13D71" w:rsidRPr="00614125">
        <w:rPr>
          <w:rFonts w:ascii="Arial" w:hAnsi="Arial"/>
          <w:color w:val="000000" w:themeColor="text1"/>
        </w:rPr>
        <w:t>d</w:t>
      </w:r>
      <w:r w:rsidR="00F27B3D" w:rsidRPr="00614125">
        <w:rPr>
          <w:rFonts w:ascii="Arial" w:hAnsi="Arial"/>
          <w:color w:val="000000" w:themeColor="text1"/>
        </w:rPr>
        <w:t xml:space="preserve"> many other health conditions or diseases, for instance cancer, diabetes, cardiovascular diseases, injuries and so forth. Inclusion of inpatient services thus might be justifiable even if it might have overlapped with some service</w:t>
      </w:r>
      <w:r w:rsidR="00B13D71" w:rsidRPr="00614125">
        <w:rPr>
          <w:rFonts w:ascii="Arial" w:hAnsi="Arial"/>
          <w:color w:val="000000" w:themeColor="text1"/>
        </w:rPr>
        <w:t>s,</w:t>
      </w:r>
      <w:r w:rsidR="00F27B3D" w:rsidRPr="00614125">
        <w:rPr>
          <w:rFonts w:ascii="Arial" w:hAnsi="Arial"/>
          <w:color w:val="000000" w:themeColor="text1"/>
        </w:rPr>
        <w:t xml:space="preserve"> like skilled birth attendance. Keeping data limitation in mind, we put the emphasis on utilizing the available and comparable data from Asian and African countries for calculating the UHC index and the validation of the index values. </w:t>
      </w:r>
      <w:r w:rsidR="00282A93" w:rsidRPr="00614125">
        <w:rPr>
          <w:rFonts w:ascii="Arial" w:hAnsi="Arial"/>
          <w:color w:val="000000" w:themeColor="text1"/>
        </w:rPr>
        <w:t xml:space="preserve">The HEFP datasheets </w:t>
      </w:r>
      <w:r w:rsidR="00C84AA4" w:rsidRPr="00614125">
        <w:rPr>
          <w:rFonts w:ascii="Arial" w:hAnsi="Arial"/>
          <w:color w:val="000000" w:themeColor="text1"/>
        </w:rPr>
        <w:t xml:space="preserve">of the World Bank </w:t>
      </w:r>
      <w:r w:rsidR="00282A93" w:rsidRPr="00614125">
        <w:rPr>
          <w:rFonts w:ascii="Arial" w:hAnsi="Arial"/>
          <w:color w:val="000000" w:themeColor="text1"/>
        </w:rPr>
        <w:t xml:space="preserve">provide data for the years 1993 to 2006. We used data </w:t>
      </w:r>
      <w:r w:rsidR="00C91403" w:rsidRPr="00614125">
        <w:rPr>
          <w:rFonts w:ascii="Arial" w:hAnsi="Arial"/>
          <w:color w:val="000000" w:themeColor="text1"/>
        </w:rPr>
        <w:t xml:space="preserve">on any health services available </w:t>
      </w:r>
      <w:r w:rsidR="00282A93" w:rsidRPr="00614125">
        <w:rPr>
          <w:rFonts w:ascii="Arial" w:hAnsi="Arial"/>
          <w:color w:val="000000" w:themeColor="text1"/>
        </w:rPr>
        <w:t xml:space="preserve">between 2002 </w:t>
      </w:r>
      <w:r w:rsidR="00C91403" w:rsidRPr="00614125">
        <w:rPr>
          <w:rFonts w:ascii="Arial" w:hAnsi="Arial"/>
          <w:color w:val="000000" w:themeColor="text1"/>
        </w:rPr>
        <w:t xml:space="preserve">and </w:t>
      </w:r>
      <w:r w:rsidR="00282A93" w:rsidRPr="00614125">
        <w:rPr>
          <w:rFonts w:ascii="Arial" w:hAnsi="Arial"/>
          <w:color w:val="000000" w:themeColor="text1"/>
        </w:rPr>
        <w:t>2006 for this analysis</w:t>
      </w:r>
      <w:r w:rsidR="00C91403" w:rsidRPr="00614125">
        <w:rPr>
          <w:rFonts w:ascii="Arial" w:hAnsi="Arial"/>
          <w:color w:val="000000" w:themeColor="text1"/>
        </w:rPr>
        <w:t>.</w:t>
      </w:r>
      <w:r w:rsidR="00825149" w:rsidRPr="00614125">
        <w:rPr>
          <w:rFonts w:ascii="Arial" w:hAnsi="Arial"/>
          <w:color w:val="000000" w:themeColor="text1"/>
        </w:rPr>
        <w:t xml:space="preserve"> Since data on financial risk related to every single health service was not available, we applied financial risk for </w:t>
      </w:r>
      <w:r w:rsidR="00EE5485" w:rsidRPr="00614125">
        <w:rPr>
          <w:rFonts w:ascii="Arial" w:hAnsi="Arial"/>
          <w:color w:val="000000" w:themeColor="text1"/>
        </w:rPr>
        <w:t xml:space="preserve">countries </w:t>
      </w:r>
      <w:r w:rsidR="00825149" w:rsidRPr="00614125">
        <w:rPr>
          <w:rFonts w:ascii="Arial" w:hAnsi="Arial"/>
          <w:color w:val="000000" w:themeColor="text1"/>
        </w:rPr>
        <w:t>across all services</w:t>
      </w:r>
      <w:r w:rsidR="001937AC" w:rsidRPr="00614125">
        <w:rPr>
          <w:rFonts w:ascii="Arial" w:hAnsi="Arial"/>
          <w:color w:val="000000" w:themeColor="text1"/>
        </w:rPr>
        <w:t xml:space="preserve">, except immunization which often was funded by government and its development partners (like, GAVI </w:t>
      </w:r>
      <w:r w:rsidR="00DE1D36" w:rsidRPr="00614125">
        <w:rPr>
          <w:rFonts w:ascii="Arial" w:hAnsi="Arial"/>
          <w:noProof/>
          <w:color w:val="000000" w:themeColor="text1"/>
        </w:rPr>
        <w:t>A</w:t>
      </w:r>
      <w:r w:rsidR="001937AC" w:rsidRPr="00614125">
        <w:rPr>
          <w:rFonts w:ascii="Arial" w:hAnsi="Arial"/>
          <w:noProof/>
          <w:color w:val="000000" w:themeColor="text1"/>
        </w:rPr>
        <w:t>lliance</w:t>
      </w:r>
      <w:r w:rsidR="001937AC" w:rsidRPr="00614125">
        <w:rPr>
          <w:rFonts w:ascii="Arial" w:hAnsi="Arial"/>
          <w:color w:val="000000" w:themeColor="text1"/>
        </w:rPr>
        <w:t xml:space="preserve">). </w:t>
      </w:r>
    </w:p>
    <w:p w14:paraId="27220423" w14:textId="77777777" w:rsidR="00555B01" w:rsidRPr="00614125" w:rsidRDefault="00555B01" w:rsidP="00E52BC2">
      <w:pPr>
        <w:tabs>
          <w:tab w:val="left" w:pos="90"/>
        </w:tabs>
        <w:spacing w:before="120" w:after="120" w:line="360" w:lineRule="auto"/>
        <w:rPr>
          <w:rFonts w:ascii="Arial" w:hAnsi="Arial"/>
          <w:i/>
          <w:iCs/>
          <w:color w:val="000000" w:themeColor="text1"/>
        </w:rPr>
      </w:pPr>
    </w:p>
    <w:p w14:paraId="20E3D964" w14:textId="4CCA7194" w:rsidR="00C23D5F" w:rsidRPr="00614125" w:rsidRDefault="00125379" w:rsidP="00E52BC2">
      <w:pPr>
        <w:tabs>
          <w:tab w:val="left" w:pos="90"/>
        </w:tabs>
        <w:spacing w:before="120" w:after="120" w:line="360" w:lineRule="auto"/>
        <w:rPr>
          <w:rFonts w:ascii="Arial" w:hAnsi="Arial"/>
          <w:i/>
          <w:iCs/>
          <w:color w:val="000000" w:themeColor="text1"/>
        </w:rPr>
      </w:pPr>
      <w:r w:rsidRPr="00614125">
        <w:rPr>
          <w:rFonts w:ascii="Arial" w:hAnsi="Arial"/>
          <w:i/>
          <w:iCs/>
          <w:color w:val="000000" w:themeColor="text1"/>
        </w:rPr>
        <w:t xml:space="preserve">Step 2: Data compiling </w:t>
      </w:r>
    </w:p>
    <w:p w14:paraId="1735C389" w14:textId="70C97160" w:rsidR="001B240F" w:rsidRPr="00614125" w:rsidRDefault="0059298C" w:rsidP="00C91403">
      <w:pPr>
        <w:spacing w:before="120" w:after="120" w:line="360" w:lineRule="auto"/>
        <w:jc w:val="both"/>
        <w:rPr>
          <w:rFonts w:ascii="Arial" w:hAnsi="Arial"/>
          <w:color w:val="000000" w:themeColor="text1"/>
        </w:rPr>
      </w:pPr>
      <w:r w:rsidRPr="00614125">
        <w:rPr>
          <w:rFonts w:ascii="Arial" w:hAnsi="Arial"/>
          <w:color w:val="000000" w:themeColor="text1"/>
        </w:rPr>
        <w:t xml:space="preserve">In step 2, data </w:t>
      </w:r>
      <w:r w:rsidR="00D45931" w:rsidRPr="00614125">
        <w:rPr>
          <w:rFonts w:ascii="Arial" w:hAnsi="Arial"/>
          <w:color w:val="000000" w:themeColor="text1"/>
        </w:rPr>
        <w:t>were</w:t>
      </w:r>
      <w:r w:rsidRPr="00614125">
        <w:rPr>
          <w:rFonts w:ascii="Arial" w:hAnsi="Arial"/>
          <w:color w:val="000000" w:themeColor="text1"/>
        </w:rPr>
        <w:t xml:space="preserve"> </w:t>
      </w:r>
      <w:r w:rsidR="00CC7F4A" w:rsidRPr="00614125">
        <w:rPr>
          <w:rFonts w:ascii="Arial" w:hAnsi="Arial"/>
          <w:color w:val="000000" w:themeColor="text1"/>
        </w:rPr>
        <w:t>compiled</w:t>
      </w:r>
      <w:r w:rsidRPr="00614125">
        <w:rPr>
          <w:rFonts w:ascii="Arial" w:hAnsi="Arial"/>
          <w:color w:val="000000" w:themeColor="text1"/>
        </w:rPr>
        <w:t xml:space="preserve"> in columns A-D</w:t>
      </w:r>
      <w:r w:rsidR="00F66F7D" w:rsidRPr="00614125">
        <w:rPr>
          <w:rFonts w:ascii="Arial" w:hAnsi="Arial"/>
          <w:color w:val="000000" w:themeColor="text1"/>
        </w:rPr>
        <w:t xml:space="preserve"> which</w:t>
      </w:r>
      <w:r w:rsidR="003812EB" w:rsidRPr="00614125">
        <w:rPr>
          <w:rFonts w:ascii="Arial" w:hAnsi="Arial"/>
          <w:color w:val="000000" w:themeColor="text1"/>
        </w:rPr>
        <w:t xml:space="preserve"> were</w:t>
      </w:r>
      <w:r w:rsidR="00F66F7D" w:rsidRPr="00614125">
        <w:rPr>
          <w:rFonts w:ascii="Arial" w:hAnsi="Arial"/>
          <w:color w:val="000000" w:themeColor="text1"/>
        </w:rPr>
        <w:t xml:space="preserve"> later used for calculating the index</w:t>
      </w:r>
      <w:r w:rsidRPr="00614125">
        <w:rPr>
          <w:rFonts w:ascii="Arial" w:hAnsi="Arial"/>
          <w:color w:val="000000" w:themeColor="text1"/>
        </w:rPr>
        <w:t>.</w:t>
      </w:r>
      <w:r w:rsidR="00F66F7D" w:rsidRPr="00614125">
        <w:rPr>
          <w:rFonts w:ascii="Arial" w:hAnsi="Arial"/>
          <w:color w:val="000000" w:themeColor="text1"/>
        </w:rPr>
        <w:t xml:space="preserve"> These four columns include</w:t>
      </w:r>
      <w:r w:rsidR="00ED6E01" w:rsidRPr="00614125">
        <w:rPr>
          <w:rFonts w:ascii="Arial" w:hAnsi="Arial"/>
          <w:color w:val="000000" w:themeColor="text1"/>
        </w:rPr>
        <w:t xml:space="preserve">d </w:t>
      </w:r>
      <w:r w:rsidR="00F66F7D" w:rsidRPr="00614125">
        <w:rPr>
          <w:rFonts w:ascii="Arial" w:hAnsi="Arial"/>
          <w:color w:val="000000" w:themeColor="text1"/>
        </w:rPr>
        <w:t xml:space="preserve">health service types, population groups (socioeconomic quintiles), utilization rates of services and </w:t>
      </w:r>
      <w:r w:rsidR="00ED6E01" w:rsidRPr="00614125">
        <w:rPr>
          <w:rFonts w:ascii="Arial" w:hAnsi="Arial"/>
          <w:color w:val="000000" w:themeColor="text1"/>
        </w:rPr>
        <w:t xml:space="preserve">proportion population without </w:t>
      </w:r>
      <w:r w:rsidR="00F66F7D" w:rsidRPr="00614125">
        <w:rPr>
          <w:rFonts w:ascii="Arial" w:hAnsi="Arial"/>
          <w:color w:val="000000" w:themeColor="text1"/>
        </w:rPr>
        <w:t xml:space="preserve">financial hardship respectively. </w:t>
      </w:r>
      <w:r w:rsidR="005D7A37" w:rsidRPr="00614125">
        <w:rPr>
          <w:rFonts w:ascii="Arial" w:hAnsi="Arial"/>
          <w:color w:val="000000" w:themeColor="text1"/>
        </w:rPr>
        <w:t xml:space="preserve">Column A indicated 6 types of health services and column B showed classification of the services into five socioeconomic quintiles. Health service utilization rate of all six types across five socioeconomic quintiles </w:t>
      </w:r>
      <w:r w:rsidR="005D7A37" w:rsidRPr="00614125">
        <w:rPr>
          <w:rFonts w:ascii="Arial" w:hAnsi="Arial"/>
          <w:noProof/>
          <w:color w:val="000000" w:themeColor="text1"/>
        </w:rPr>
        <w:t>were</w:t>
      </w:r>
      <w:r w:rsidR="005D7A37" w:rsidRPr="00614125">
        <w:rPr>
          <w:rFonts w:ascii="Arial" w:hAnsi="Arial"/>
          <w:color w:val="000000" w:themeColor="text1"/>
        </w:rPr>
        <w:t xml:space="preserve"> inserted in column C. For instance, 53.9% of </w:t>
      </w:r>
      <w:r w:rsidR="005D7A37" w:rsidRPr="00614125">
        <w:rPr>
          <w:rFonts w:ascii="Arial" w:hAnsi="Arial"/>
          <w:noProof/>
          <w:color w:val="000000" w:themeColor="text1"/>
        </w:rPr>
        <w:t>total</w:t>
      </w:r>
      <w:r w:rsidR="005D7A37" w:rsidRPr="00614125">
        <w:rPr>
          <w:rFonts w:ascii="Arial" w:hAnsi="Arial"/>
          <w:color w:val="000000" w:themeColor="text1"/>
        </w:rPr>
        <w:t xml:space="preserve"> population in the poorest </w:t>
      </w:r>
      <w:r w:rsidR="005D7A37" w:rsidRPr="00614125">
        <w:rPr>
          <w:rFonts w:ascii="Arial" w:hAnsi="Arial"/>
          <w:color w:val="000000" w:themeColor="text1"/>
        </w:rPr>
        <w:lastRenderedPageBreak/>
        <w:t xml:space="preserve">quintile utilized immunization in Ghana. In column D, the proportion of </w:t>
      </w:r>
      <w:r w:rsidR="003812EB" w:rsidRPr="00614125">
        <w:rPr>
          <w:rFonts w:ascii="Arial" w:hAnsi="Arial"/>
          <w:color w:val="000000" w:themeColor="text1"/>
        </w:rPr>
        <w:t xml:space="preserve">the </w:t>
      </w:r>
      <w:r w:rsidR="005D7A37" w:rsidRPr="00614125">
        <w:rPr>
          <w:rFonts w:ascii="Arial" w:hAnsi="Arial"/>
          <w:color w:val="000000" w:themeColor="text1"/>
        </w:rPr>
        <w:t xml:space="preserve">population who did not face any catastrophic expenditure due to the </w:t>
      </w:r>
      <w:r w:rsidR="00CC7F4A" w:rsidRPr="00614125">
        <w:rPr>
          <w:rFonts w:ascii="Arial" w:hAnsi="Arial"/>
          <w:color w:val="000000" w:themeColor="text1"/>
        </w:rPr>
        <w:t>specific</w:t>
      </w:r>
      <w:r w:rsidR="005D7A37" w:rsidRPr="00614125">
        <w:rPr>
          <w:rFonts w:ascii="Arial" w:hAnsi="Arial"/>
          <w:color w:val="000000" w:themeColor="text1"/>
        </w:rPr>
        <w:t xml:space="preserve"> healthcare utilization </w:t>
      </w:r>
      <w:r w:rsidR="003812EB" w:rsidRPr="00614125">
        <w:rPr>
          <w:rFonts w:ascii="Arial" w:hAnsi="Arial"/>
          <w:color w:val="000000" w:themeColor="text1"/>
        </w:rPr>
        <w:t xml:space="preserve">was </w:t>
      </w:r>
      <w:r w:rsidR="005D7A37" w:rsidRPr="00614125">
        <w:rPr>
          <w:rFonts w:ascii="Arial" w:hAnsi="Arial"/>
          <w:color w:val="000000" w:themeColor="text1"/>
        </w:rPr>
        <w:t xml:space="preserve">inserted. For example, </w:t>
      </w:r>
      <w:r w:rsidR="00723010" w:rsidRPr="00614125">
        <w:rPr>
          <w:rFonts w:ascii="Arial" w:hAnsi="Arial"/>
          <w:color w:val="000000" w:themeColor="text1"/>
        </w:rPr>
        <w:t xml:space="preserve">100% of the population who utilized immunization service did not face catastrophic expenditure i.e. had financial protection. We </w:t>
      </w:r>
      <w:r w:rsidR="00723010" w:rsidRPr="00614125">
        <w:rPr>
          <w:rFonts w:ascii="Arial" w:hAnsi="Arial"/>
          <w:noProof/>
          <w:color w:val="000000" w:themeColor="text1"/>
        </w:rPr>
        <w:t>applied</w:t>
      </w:r>
      <w:r w:rsidR="00723010" w:rsidRPr="00614125">
        <w:rPr>
          <w:rFonts w:ascii="Arial" w:hAnsi="Arial"/>
          <w:color w:val="000000" w:themeColor="text1"/>
        </w:rPr>
        <w:t xml:space="preserve"> 100% protection since immunization service in low- and middle-income countries was often funded by the government and international development partner (like, GAVI alliance) and no out-of-pocket payment was required for such a service. For all other health services (like, skilled birth attendant, inpatient care), we applied the proportion of people with financial protection in general in the reported country. For instance, 8</w:t>
      </w:r>
      <w:r w:rsidR="0044734D" w:rsidRPr="00614125">
        <w:rPr>
          <w:rFonts w:ascii="Arial" w:hAnsi="Arial"/>
          <w:color w:val="000000" w:themeColor="text1"/>
        </w:rPr>
        <w:t>.8</w:t>
      </w:r>
      <w:r w:rsidR="00723010" w:rsidRPr="00614125">
        <w:rPr>
          <w:rFonts w:ascii="Arial" w:hAnsi="Arial"/>
          <w:color w:val="000000" w:themeColor="text1"/>
        </w:rPr>
        <w:t xml:space="preserve">% population faced catastrophic expenditure in Ghana for any health services, meaning that 91.2% population had financial protection </w:t>
      </w:r>
      <w:r w:rsidR="00C959A0" w:rsidRPr="00614125">
        <w:rPr>
          <w:rFonts w:ascii="Arial" w:hAnsi="Arial"/>
          <w:color w:val="000000" w:themeColor="text1"/>
        </w:rPr>
        <w:t>[18]</w:t>
      </w:r>
      <w:r w:rsidR="00AA679D" w:rsidRPr="00614125">
        <w:rPr>
          <w:rFonts w:ascii="Arial" w:hAnsi="Arial"/>
          <w:color w:val="000000" w:themeColor="text1"/>
        </w:rPr>
        <w:t xml:space="preserve">, which was inserted in column D. </w:t>
      </w:r>
    </w:p>
    <w:p w14:paraId="4E181F4E" w14:textId="77777777" w:rsidR="00ED6E01" w:rsidRPr="00614125" w:rsidRDefault="00ED6E01" w:rsidP="00C91403">
      <w:pPr>
        <w:spacing w:before="120" w:after="120" w:line="360" w:lineRule="auto"/>
        <w:jc w:val="both"/>
        <w:rPr>
          <w:rFonts w:ascii="Arial" w:hAnsi="Arial"/>
          <w:color w:val="000000" w:themeColor="text1"/>
        </w:rPr>
      </w:pPr>
    </w:p>
    <w:p w14:paraId="5869C7BA" w14:textId="5991BD95" w:rsidR="00ED6E01" w:rsidRPr="00614125" w:rsidRDefault="00ED6E01" w:rsidP="00F124C6">
      <w:pPr>
        <w:spacing w:before="120" w:after="120" w:line="360" w:lineRule="auto"/>
        <w:jc w:val="center"/>
        <w:rPr>
          <w:rFonts w:ascii="Arial" w:hAnsi="Arial"/>
          <w:color w:val="000000" w:themeColor="text1"/>
        </w:rPr>
      </w:pPr>
      <w:r w:rsidRPr="00614125">
        <w:rPr>
          <w:rFonts w:ascii="Arial" w:hAnsi="Arial"/>
          <w:color w:val="000000" w:themeColor="text1"/>
        </w:rPr>
        <w:t>Figure 2 to be inserted here</w:t>
      </w:r>
    </w:p>
    <w:p w14:paraId="4722DEC3" w14:textId="77777777" w:rsidR="001B240F" w:rsidRPr="00614125" w:rsidRDefault="001B240F" w:rsidP="00C91403">
      <w:pPr>
        <w:spacing w:before="120" w:after="120" w:line="360" w:lineRule="auto"/>
        <w:jc w:val="both"/>
        <w:rPr>
          <w:rFonts w:ascii="Arial" w:hAnsi="Arial"/>
          <w:color w:val="000000" w:themeColor="text1"/>
        </w:rPr>
      </w:pPr>
    </w:p>
    <w:p w14:paraId="44A14AD1" w14:textId="758DF30B" w:rsidR="00AA679D" w:rsidRPr="00614125" w:rsidRDefault="00AA679D" w:rsidP="00C91403">
      <w:pPr>
        <w:spacing w:before="120" w:after="120" w:line="360" w:lineRule="auto"/>
        <w:jc w:val="both"/>
        <w:rPr>
          <w:rFonts w:ascii="Arial" w:hAnsi="Arial"/>
          <w:color w:val="000000" w:themeColor="text1"/>
        </w:rPr>
      </w:pPr>
      <w:r w:rsidRPr="00614125">
        <w:rPr>
          <w:rFonts w:ascii="Arial" w:hAnsi="Arial"/>
          <w:color w:val="000000" w:themeColor="text1"/>
        </w:rPr>
        <w:t>Step 3: Data analysis</w:t>
      </w:r>
    </w:p>
    <w:p w14:paraId="2BDDC2FB" w14:textId="07BAC843" w:rsidR="00AA679D" w:rsidRPr="00614125" w:rsidRDefault="00AA679D" w:rsidP="00C91403">
      <w:pPr>
        <w:spacing w:before="120" w:after="120" w:line="360" w:lineRule="auto"/>
        <w:jc w:val="both"/>
        <w:rPr>
          <w:rFonts w:ascii="Arial" w:hAnsi="Arial"/>
          <w:color w:val="000000" w:themeColor="text1"/>
        </w:rPr>
      </w:pPr>
      <w:r w:rsidRPr="00614125">
        <w:rPr>
          <w:rFonts w:ascii="Arial" w:hAnsi="Arial"/>
          <w:color w:val="000000" w:themeColor="text1"/>
        </w:rPr>
        <w:t xml:space="preserve">Columns E-I </w:t>
      </w:r>
      <w:r w:rsidR="009572BF" w:rsidRPr="00614125">
        <w:rPr>
          <w:rFonts w:ascii="Arial" w:hAnsi="Arial"/>
          <w:color w:val="000000" w:themeColor="text1"/>
        </w:rPr>
        <w:t>were</w:t>
      </w:r>
      <w:r w:rsidRPr="00614125">
        <w:rPr>
          <w:rFonts w:ascii="Arial" w:hAnsi="Arial"/>
          <w:color w:val="000000" w:themeColor="text1"/>
        </w:rPr>
        <w:t xml:space="preserve"> calculated in step 3. </w:t>
      </w:r>
      <w:r w:rsidR="008F28AD" w:rsidRPr="00614125">
        <w:rPr>
          <w:rFonts w:ascii="Arial" w:hAnsi="Arial"/>
          <w:color w:val="000000" w:themeColor="text1"/>
        </w:rPr>
        <w:t xml:space="preserve">By multiplying columns C and D, we found the service utilization rate of people with financial protection. While 20.5% of the poorest people in Ghana utilized SBA service (in column C), 18.7% utilized this service without facing any </w:t>
      </w:r>
      <w:r w:rsidR="00CC7F4A" w:rsidRPr="00614125">
        <w:rPr>
          <w:rFonts w:ascii="Arial" w:hAnsi="Arial"/>
          <w:color w:val="000000" w:themeColor="text1"/>
        </w:rPr>
        <w:t>catastrophic</w:t>
      </w:r>
      <w:r w:rsidR="008F28AD" w:rsidRPr="00614125">
        <w:rPr>
          <w:rFonts w:ascii="Arial" w:hAnsi="Arial"/>
          <w:color w:val="000000" w:themeColor="text1"/>
        </w:rPr>
        <w:t xml:space="preserve"> expenditure (column E). Column F summed up the </w:t>
      </w:r>
      <w:r w:rsidR="00306402" w:rsidRPr="00614125">
        <w:rPr>
          <w:rFonts w:ascii="Arial" w:hAnsi="Arial"/>
          <w:color w:val="000000" w:themeColor="text1"/>
        </w:rPr>
        <w:t xml:space="preserve">total arm length for each health service. For instance, the total volume attributable </w:t>
      </w:r>
      <w:r w:rsidR="00306402" w:rsidRPr="00614125">
        <w:rPr>
          <w:rFonts w:ascii="Arial" w:hAnsi="Arial"/>
          <w:noProof/>
          <w:color w:val="000000" w:themeColor="text1"/>
        </w:rPr>
        <w:t>to immunization</w:t>
      </w:r>
      <w:r w:rsidR="00306402" w:rsidRPr="00614125">
        <w:rPr>
          <w:rFonts w:ascii="Arial" w:hAnsi="Arial"/>
          <w:color w:val="000000" w:themeColor="text1"/>
        </w:rPr>
        <w:t xml:space="preserve"> was 3.55 cubic cm out of </w:t>
      </w:r>
      <w:r w:rsidR="003812EB" w:rsidRPr="00614125">
        <w:rPr>
          <w:rFonts w:ascii="Arial" w:hAnsi="Arial"/>
          <w:color w:val="000000" w:themeColor="text1"/>
        </w:rPr>
        <w:t xml:space="preserve">a </w:t>
      </w:r>
      <w:r w:rsidR="00306402" w:rsidRPr="00614125">
        <w:rPr>
          <w:rFonts w:ascii="Arial" w:hAnsi="Arial"/>
          <w:color w:val="000000" w:themeColor="text1"/>
        </w:rPr>
        <w:t xml:space="preserve">maximum possible 5.00 cubic cm. Volumes </w:t>
      </w:r>
      <w:r w:rsidR="003812EB" w:rsidRPr="00614125">
        <w:rPr>
          <w:rFonts w:ascii="Arial" w:hAnsi="Arial"/>
          <w:noProof/>
          <w:color w:val="000000" w:themeColor="text1"/>
        </w:rPr>
        <w:t>for</w:t>
      </w:r>
      <w:r w:rsidR="00306402" w:rsidRPr="00614125">
        <w:rPr>
          <w:rFonts w:ascii="Arial" w:hAnsi="Arial"/>
          <w:noProof/>
          <w:color w:val="000000" w:themeColor="text1"/>
        </w:rPr>
        <w:t xml:space="preserve"> each</w:t>
      </w:r>
      <w:r w:rsidR="00306402" w:rsidRPr="00614125">
        <w:rPr>
          <w:rFonts w:ascii="Arial" w:hAnsi="Arial"/>
          <w:color w:val="000000" w:themeColor="text1"/>
        </w:rPr>
        <w:t xml:space="preserve"> service </w:t>
      </w:r>
      <w:r w:rsidR="003812EB" w:rsidRPr="00614125">
        <w:rPr>
          <w:rFonts w:ascii="Arial" w:hAnsi="Arial"/>
          <w:color w:val="000000" w:themeColor="text1"/>
        </w:rPr>
        <w:t>were</w:t>
      </w:r>
      <w:r w:rsidR="00306402" w:rsidRPr="00614125">
        <w:rPr>
          <w:rFonts w:ascii="Arial" w:hAnsi="Arial"/>
          <w:color w:val="000000" w:themeColor="text1"/>
        </w:rPr>
        <w:t xml:space="preserve"> calculated accordingly. Column G then summed up the total volume of all 6 </w:t>
      </w:r>
      <w:r w:rsidR="00CC7F4A" w:rsidRPr="00614125">
        <w:rPr>
          <w:rFonts w:ascii="Arial" w:hAnsi="Arial"/>
          <w:color w:val="000000" w:themeColor="text1"/>
        </w:rPr>
        <w:t>services</w:t>
      </w:r>
      <w:r w:rsidR="00306402" w:rsidRPr="00614125">
        <w:rPr>
          <w:rFonts w:ascii="Arial" w:hAnsi="Arial"/>
          <w:color w:val="000000" w:themeColor="text1"/>
        </w:rPr>
        <w:t>, accounted for 14.06 cubic cm. Column H showed the maximum possible achievable volume</w:t>
      </w:r>
      <w:r w:rsidR="001937AC" w:rsidRPr="00614125">
        <w:rPr>
          <w:rFonts w:ascii="Arial" w:hAnsi="Arial"/>
          <w:color w:val="000000" w:themeColor="text1"/>
        </w:rPr>
        <w:t xml:space="preserve"> by multiplying</w:t>
      </w:r>
      <w:r w:rsidR="003812EB" w:rsidRPr="00614125">
        <w:rPr>
          <w:rFonts w:ascii="Arial" w:hAnsi="Arial"/>
          <w:color w:val="000000" w:themeColor="text1"/>
        </w:rPr>
        <w:t xml:space="preserve"> the</w:t>
      </w:r>
      <w:r w:rsidR="001937AC" w:rsidRPr="00614125">
        <w:rPr>
          <w:rFonts w:ascii="Arial" w:hAnsi="Arial"/>
          <w:color w:val="000000" w:themeColor="text1"/>
        </w:rPr>
        <w:t xml:space="preserve"> number of services across all socioeconomic quintiles with full financial protection</w:t>
      </w:r>
      <w:r w:rsidR="00604154" w:rsidRPr="00614125">
        <w:rPr>
          <w:rFonts w:ascii="Arial" w:hAnsi="Arial"/>
          <w:color w:val="000000" w:themeColor="text1"/>
        </w:rPr>
        <w:t xml:space="preserve"> of all </w:t>
      </w:r>
      <w:r w:rsidR="003812EB" w:rsidRPr="00614125">
        <w:rPr>
          <w:rFonts w:ascii="Arial" w:hAnsi="Arial"/>
          <w:color w:val="000000" w:themeColor="text1"/>
        </w:rPr>
        <w:t xml:space="preserve">the </w:t>
      </w:r>
      <w:r w:rsidR="00604154" w:rsidRPr="00614125">
        <w:rPr>
          <w:rFonts w:ascii="Arial" w:hAnsi="Arial"/>
          <w:color w:val="000000" w:themeColor="text1"/>
        </w:rPr>
        <w:t>population</w:t>
      </w:r>
      <w:r w:rsidR="001937AC" w:rsidRPr="00614125">
        <w:rPr>
          <w:rFonts w:ascii="Arial" w:hAnsi="Arial"/>
          <w:color w:val="000000" w:themeColor="text1"/>
        </w:rPr>
        <w:t xml:space="preserve">, </w:t>
      </w:r>
      <w:r w:rsidR="00306402" w:rsidRPr="00614125">
        <w:rPr>
          <w:rFonts w:ascii="Arial" w:hAnsi="Arial"/>
          <w:color w:val="000000" w:themeColor="text1"/>
        </w:rPr>
        <w:t>i.e. 6</w:t>
      </w:r>
      <w:r w:rsidR="00604154" w:rsidRPr="00614125">
        <w:rPr>
          <w:rFonts w:ascii="Arial" w:hAnsi="Arial"/>
          <w:color w:val="000000" w:themeColor="text1"/>
        </w:rPr>
        <w:t>.00</w:t>
      </w:r>
      <w:r w:rsidR="00A652D2" w:rsidRPr="00614125">
        <w:rPr>
          <w:rFonts w:ascii="Arial" w:hAnsi="Arial"/>
          <w:color w:val="000000" w:themeColor="text1"/>
        </w:rPr>
        <w:t xml:space="preserve"> cm x </w:t>
      </w:r>
      <w:r w:rsidR="00306402" w:rsidRPr="00614125">
        <w:rPr>
          <w:rFonts w:ascii="Arial" w:hAnsi="Arial"/>
          <w:color w:val="000000" w:themeColor="text1"/>
        </w:rPr>
        <w:t>5</w:t>
      </w:r>
      <w:r w:rsidR="00604154" w:rsidRPr="00614125">
        <w:rPr>
          <w:rFonts w:ascii="Arial" w:hAnsi="Arial"/>
          <w:color w:val="000000" w:themeColor="text1"/>
        </w:rPr>
        <w:t>.00</w:t>
      </w:r>
      <w:r w:rsidR="00A652D2" w:rsidRPr="00614125">
        <w:rPr>
          <w:rFonts w:ascii="Arial" w:hAnsi="Arial"/>
          <w:color w:val="000000" w:themeColor="text1"/>
        </w:rPr>
        <w:t xml:space="preserve"> cm x </w:t>
      </w:r>
      <w:r w:rsidR="00306402" w:rsidRPr="00614125">
        <w:rPr>
          <w:rFonts w:ascii="Arial" w:hAnsi="Arial"/>
          <w:color w:val="000000" w:themeColor="text1"/>
        </w:rPr>
        <w:t>1</w:t>
      </w:r>
      <w:r w:rsidR="00604154" w:rsidRPr="00614125">
        <w:rPr>
          <w:rFonts w:ascii="Arial" w:hAnsi="Arial"/>
          <w:color w:val="000000" w:themeColor="text1"/>
        </w:rPr>
        <w:t>.00</w:t>
      </w:r>
      <w:r w:rsidR="00A652D2" w:rsidRPr="00614125">
        <w:rPr>
          <w:rFonts w:ascii="Arial" w:hAnsi="Arial"/>
          <w:color w:val="000000" w:themeColor="text1"/>
        </w:rPr>
        <w:t xml:space="preserve"> cm </w:t>
      </w:r>
      <w:r w:rsidR="00306402" w:rsidRPr="00614125">
        <w:rPr>
          <w:rFonts w:ascii="Arial" w:hAnsi="Arial"/>
          <w:color w:val="000000" w:themeColor="text1"/>
        </w:rPr>
        <w:t>=30.0</w:t>
      </w:r>
      <w:r w:rsidR="00604154" w:rsidRPr="00614125">
        <w:rPr>
          <w:rFonts w:ascii="Arial" w:hAnsi="Arial"/>
          <w:color w:val="000000" w:themeColor="text1"/>
        </w:rPr>
        <w:t>0</w:t>
      </w:r>
      <w:r w:rsidR="00306402" w:rsidRPr="00614125">
        <w:rPr>
          <w:rFonts w:ascii="Arial" w:hAnsi="Arial"/>
          <w:color w:val="000000" w:themeColor="text1"/>
        </w:rPr>
        <w:t xml:space="preserve"> cubic cm.</w:t>
      </w:r>
      <w:r w:rsidR="001937AC" w:rsidRPr="00614125">
        <w:rPr>
          <w:rFonts w:ascii="Arial" w:hAnsi="Arial"/>
          <w:color w:val="000000" w:themeColor="text1"/>
        </w:rPr>
        <w:t xml:space="preserve"> </w:t>
      </w:r>
      <w:r w:rsidR="00306402" w:rsidRPr="00614125">
        <w:rPr>
          <w:rFonts w:ascii="Arial" w:hAnsi="Arial"/>
          <w:color w:val="000000" w:themeColor="text1"/>
        </w:rPr>
        <w:t xml:space="preserve"> </w:t>
      </w:r>
      <w:r w:rsidR="00CC7F4A" w:rsidRPr="00614125">
        <w:rPr>
          <w:rFonts w:ascii="Arial" w:hAnsi="Arial"/>
          <w:color w:val="000000" w:themeColor="text1"/>
        </w:rPr>
        <w:t>Finally,</w:t>
      </w:r>
      <w:r w:rsidR="001937AC" w:rsidRPr="00614125">
        <w:rPr>
          <w:rFonts w:ascii="Arial" w:hAnsi="Arial"/>
          <w:color w:val="000000" w:themeColor="text1"/>
        </w:rPr>
        <w:t xml:space="preserve"> the UHC index was calculated in column I, applying equation (1), i.e. (G/H)</w:t>
      </w:r>
      <w:r w:rsidR="009572BF" w:rsidRPr="00614125">
        <w:rPr>
          <w:rFonts w:ascii="Arial" w:hAnsi="Arial"/>
          <w:color w:val="000000" w:themeColor="text1"/>
        </w:rPr>
        <w:t xml:space="preserve"> </w:t>
      </w:r>
      <w:r w:rsidR="001937AC" w:rsidRPr="00614125">
        <w:rPr>
          <w:rFonts w:ascii="Arial" w:hAnsi="Arial"/>
          <w:color w:val="000000" w:themeColor="text1"/>
        </w:rPr>
        <w:t>x</w:t>
      </w:r>
      <w:r w:rsidR="009572BF" w:rsidRPr="00614125">
        <w:rPr>
          <w:rFonts w:ascii="Arial" w:hAnsi="Arial"/>
          <w:color w:val="000000" w:themeColor="text1"/>
        </w:rPr>
        <w:t xml:space="preserve"> </w:t>
      </w:r>
      <w:r w:rsidR="001937AC" w:rsidRPr="00614125">
        <w:rPr>
          <w:rFonts w:ascii="Arial" w:hAnsi="Arial"/>
          <w:color w:val="000000" w:themeColor="text1"/>
        </w:rPr>
        <w:t>100 or (14.06</w:t>
      </w:r>
      <w:r w:rsidR="009572BF" w:rsidRPr="00614125">
        <w:t xml:space="preserve"> </w:t>
      </w:r>
      <w:r w:rsidR="009572BF" w:rsidRPr="00614125">
        <w:rPr>
          <w:rFonts w:ascii="Arial" w:hAnsi="Arial"/>
          <w:color w:val="000000" w:themeColor="text1"/>
        </w:rPr>
        <w:t>÷</w:t>
      </w:r>
      <w:r w:rsidR="009572BF" w:rsidRPr="00614125" w:rsidDel="009572BF">
        <w:rPr>
          <w:rFonts w:ascii="Arial" w:hAnsi="Arial"/>
          <w:color w:val="000000" w:themeColor="text1"/>
        </w:rPr>
        <w:t xml:space="preserve"> </w:t>
      </w:r>
      <w:proofErr w:type="gramStart"/>
      <w:r w:rsidR="001937AC" w:rsidRPr="00614125">
        <w:rPr>
          <w:rFonts w:ascii="Arial" w:hAnsi="Arial"/>
          <w:color w:val="000000" w:themeColor="text1"/>
        </w:rPr>
        <w:t>30.00)x</w:t>
      </w:r>
      <w:proofErr w:type="gramEnd"/>
      <w:r w:rsidR="001937AC" w:rsidRPr="00614125">
        <w:rPr>
          <w:rFonts w:ascii="Arial" w:hAnsi="Arial"/>
          <w:color w:val="000000" w:themeColor="text1"/>
        </w:rPr>
        <w:t xml:space="preserve">100 = 46.9%. </w:t>
      </w:r>
      <w:r w:rsidR="0059580B" w:rsidRPr="00614125">
        <w:rPr>
          <w:rFonts w:ascii="Arial" w:hAnsi="Arial"/>
          <w:color w:val="000000" w:themeColor="text1"/>
        </w:rPr>
        <w:t>The step-by-step calculation of UHC index is available in</w:t>
      </w:r>
      <w:r w:rsidR="008E333C" w:rsidRPr="00614125">
        <w:rPr>
          <w:rFonts w:ascii="Arial" w:hAnsi="Arial"/>
          <w:color w:val="000000" w:themeColor="text1"/>
        </w:rPr>
        <w:t xml:space="preserve"> </w:t>
      </w:r>
      <w:r w:rsidR="00DE1D36" w:rsidRPr="00614125">
        <w:rPr>
          <w:rFonts w:ascii="Arial" w:hAnsi="Arial"/>
          <w:color w:val="000000" w:themeColor="text1"/>
        </w:rPr>
        <w:t xml:space="preserve">an </w:t>
      </w:r>
      <w:r w:rsidR="008474CB" w:rsidRPr="00614125">
        <w:rPr>
          <w:rFonts w:ascii="Arial" w:hAnsi="Arial"/>
          <w:noProof/>
          <w:color w:val="000000" w:themeColor="text1"/>
        </w:rPr>
        <w:t>E</w:t>
      </w:r>
      <w:r w:rsidR="008E333C" w:rsidRPr="00614125">
        <w:rPr>
          <w:rFonts w:ascii="Arial" w:hAnsi="Arial"/>
          <w:noProof/>
          <w:color w:val="000000" w:themeColor="text1"/>
        </w:rPr>
        <w:t>xcel</w:t>
      </w:r>
      <w:r w:rsidR="008E333C" w:rsidRPr="00614125">
        <w:rPr>
          <w:rFonts w:ascii="Arial" w:hAnsi="Arial"/>
          <w:color w:val="000000" w:themeColor="text1"/>
        </w:rPr>
        <w:t xml:space="preserve"> spreadsheet (</w:t>
      </w:r>
      <w:r w:rsidR="009572BF" w:rsidRPr="00614125">
        <w:rPr>
          <w:rFonts w:ascii="Arial" w:hAnsi="Arial"/>
          <w:color w:val="000000" w:themeColor="text1"/>
        </w:rPr>
        <w:t>Electronic supplementary material</w:t>
      </w:r>
      <w:r w:rsidR="0059580B" w:rsidRPr="00614125">
        <w:rPr>
          <w:rFonts w:ascii="Arial" w:hAnsi="Arial"/>
          <w:color w:val="000000" w:themeColor="text1"/>
        </w:rPr>
        <w:t xml:space="preserve">, </w:t>
      </w:r>
      <w:r w:rsidR="00005B79" w:rsidRPr="00614125">
        <w:rPr>
          <w:rFonts w:ascii="Arial" w:hAnsi="Arial"/>
          <w:color w:val="000000" w:themeColor="text1"/>
        </w:rPr>
        <w:t>E</w:t>
      </w:r>
      <w:r w:rsidR="0059580B" w:rsidRPr="00614125">
        <w:rPr>
          <w:rFonts w:ascii="Arial" w:hAnsi="Arial"/>
          <w:color w:val="000000" w:themeColor="text1"/>
        </w:rPr>
        <w:t>xcel sheet 1</w:t>
      </w:r>
      <w:r w:rsidR="008E333C" w:rsidRPr="00614125">
        <w:rPr>
          <w:rFonts w:ascii="Arial" w:hAnsi="Arial"/>
          <w:color w:val="000000" w:themeColor="text1"/>
        </w:rPr>
        <w:t>)</w:t>
      </w:r>
      <w:r w:rsidR="0059580B" w:rsidRPr="00614125">
        <w:rPr>
          <w:rFonts w:ascii="Arial" w:hAnsi="Arial"/>
          <w:color w:val="000000" w:themeColor="text1"/>
        </w:rPr>
        <w:t xml:space="preserve">. </w:t>
      </w:r>
      <w:r w:rsidR="00306402" w:rsidRPr="00614125">
        <w:rPr>
          <w:rFonts w:ascii="Arial" w:hAnsi="Arial"/>
          <w:color w:val="000000" w:themeColor="text1"/>
        </w:rPr>
        <w:t xml:space="preserve">  </w:t>
      </w:r>
      <w:r w:rsidR="008F28AD" w:rsidRPr="00614125">
        <w:rPr>
          <w:rFonts w:ascii="Arial" w:hAnsi="Arial"/>
          <w:color w:val="000000" w:themeColor="text1"/>
        </w:rPr>
        <w:t xml:space="preserve">   </w:t>
      </w:r>
    </w:p>
    <w:p w14:paraId="11A3221A" w14:textId="77777777" w:rsidR="009572BF" w:rsidRPr="00614125" w:rsidRDefault="009572BF" w:rsidP="00216ED2">
      <w:pPr>
        <w:tabs>
          <w:tab w:val="left" w:pos="90"/>
        </w:tabs>
        <w:spacing w:before="120" w:after="120" w:line="360" w:lineRule="auto"/>
        <w:rPr>
          <w:rFonts w:ascii="Arial" w:hAnsi="Arial"/>
          <w:b/>
          <w:bCs/>
          <w:color w:val="000000" w:themeColor="text1"/>
        </w:rPr>
      </w:pPr>
    </w:p>
    <w:p w14:paraId="77FFE9B5" w14:textId="1DFCF3F7" w:rsidR="00216ED2" w:rsidRPr="00614125" w:rsidRDefault="00216ED2" w:rsidP="00216ED2">
      <w:pPr>
        <w:tabs>
          <w:tab w:val="left" w:pos="90"/>
        </w:tabs>
        <w:spacing w:before="120" w:after="120" w:line="360" w:lineRule="auto"/>
        <w:rPr>
          <w:rFonts w:ascii="Arial" w:hAnsi="Arial"/>
          <w:b/>
          <w:bCs/>
          <w:color w:val="000000" w:themeColor="text1"/>
        </w:rPr>
      </w:pPr>
      <w:r w:rsidRPr="00614125">
        <w:rPr>
          <w:rFonts w:ascii="Arial" w:hAnsi="Arial"/>
          <w:b/>
          <w:bCs/>
          <w:color w:val="000000" w:themeColor="text1"/>
        </w:rPr>
        <w:t xml:space="preserve">Decomposition of UHC-index by population groups with </w:t>
      </w:r>
      <w:r w:rsidR="00DE1D36" w:rsidRPr="00614125">
        <w:rPr>
          <w:rFonts w:ascii="Arial" w:hAnsi="Arial"/>
          <w:b/>
          <w:bCs/>
          <w:color w:val="000000" w:themeColor="text1"/>
        </w:rPr>
        <w:t xml:space="preserve">an </w:t>
      </w:r>
      <w:r w:rsidRPr="00614125">
        <w:rPr>
          <w:rFonts w:ascii="Arial" w:hAnsi="Arial"/>
          <w:b/>
          <w:bCs/>
          <w:noProof/>
          <w:color w:val="000000" w:themeColor="text1"/>
        </w:rPr>
        <w:t>example</w:t>
      </w:r>
    </w:p>
    <w:p w14:paraId="5E9C3145" w14:textId="23A15CD4" w:rsidR="00216ED2" w:rsidRPr="00614125" w:rsidRDefault="00216ED2" w:rsidP="00216ED2">
      <w:pPr>
        <w:tabs>
          <w:tab w:val="left" w:pos="90"/>
        </w:tabs>
        <w:spacing w:before="120" w:after="120" w:line="360" w:lineRule="auto"/>
        <w:jc w:val="both"/>
        <w:rPr>
          <w:rFonts w:ascii="Arial" w:hAnsi="Arial"/>
          <w:color w:val="000000" w:themeColor="text1"/>
        </w:rPr>
      </w:pPr>
      <w:r w:rsidRPr="00614125">
        <w:rPr>
          <w:rFonts w:ascii="Arial" w:hAnsi="Arial"/>
          <w:color w:val="000000" w:themeColor="text1"/>
        </w:rPr>
        <w:lastRenderedPageBreak/>
        <w:t>In a</w:t>
      </w:r>
      <w:r w:rsidR="003812EB" w:rsidRPr="00614125">
        <w:rPr>
          <w:rFonts w:ascii="Arial" w:hAnsi="Arial"/>
          <w:color w:val="000000" w:themeColor="text1"/>
        </w:rPr>
        <w:t>ny</w:t>
      </w:r>
      <w:r w:rsidRPr="00614125">
        <w:rPr>
          <w:rFonts w:ascii="Arial" w:hAnsi="Arial"/>
          <w:color w:val="000000" w:themeColor="text1"/>
        </w:rPr>
        <w:t xml:space="preserve"> country, each socioeconomic quintile contributes to </w:t>
      </w:r>
      <w:r w:rsidR="003812EB" w:rsidRPr="00614125">
        <w:rPr>
          <w:rFonts w:ascii="Arial" w:hAnsi="Arial"/>
          <w:color w:val="000000" w:themeColor="text1"/>
        </w:rPr>
        <w:t xml:space="preserve">the </w:t>
      </w:r>
      <w:r w:rsidRPr="00614125">
        <w:rPr>
          <w:rFonts w:ascii="Arial" w:hAnsi="Arial"/>
          <w:color w:val="000000" w:themeColor="text1"/>
        </w:rPr>
        <w:t xml:space="preserve">UHC-index values in connection with </w:t>
      </w:r>
      <w:r w:rsidR="00523C3C" w:rsidRPr="00614125">
        <w:rPr>
          <w:rFonts w:ascii="Arial" w:hAnsi="Arial"/>
          <w:color w:val="000000" w:themeColor="text1"/>
        </w:rPr>
        <w:t xml:space="preserve">their </w:t>
      </w:r>
      <w:r w:rsidRPr="00614125">
        <w:rPr>
          <w:rFonts w:ascii="Arial" w:hAnsi="Arial"/>
          <w:color w:val="000000" w:themeColor="text1"/>
        </w:rPr>
        <w:t>healthcare utilization</w:t>
      </w:r>
      <w:r w:rsidR="00920DF6" w:rsidRPr="00614125">
        <w:rPr>
          <w:rFonts w:ascii="Arial" w:hAnsi="Arial"/>
          <w:color w:val="000000" w:themeColor="text1"/>
        </w:rPr>
        <w:t>. Table 1 prese</w:t>
      </w:r>
      <w:r w:rsidR="004D5525" w:rsidRPr="00614125">
        <w:rPr>
          <w:rFonts w:ascii="Arial" w:hAnsi="Arial"/>
          <w:color w:val="000000" w:themeColor="text1"/>
        </w:rPr>
        <w:t>n</w:t>
      </w:r>
      <w:r w:rsidR="00920DF6" w:rsidRPr="00614125">
        <w:rPr>
          <w:rFonts w:ascii="Arial" w:hAnsi="Arial"/>
          <w:color w:val="000000" w:themeColor="text1"/>
        </w:rPr>
        <w:t>t</w:t>
      </w:r>
      <w:r w:rsidR="009572BF" w:rsidRPr="00614125">
        <w:rPr>
          <w:rFonts w:ascii="Arial" w:hAnsi="Arial"/>
          <w:color w:val="000000" w:themeColor="text1"/>
        </w:rPr>
        <w:t>s</w:t>
      </w:r>
      <w:r w:rsidR="00920DF6" w:rsidRPr="00614125">
        <w:rPr>
          <w:rFonts w:ascii="Arial" w:hAnsi="Arial"/>
          <w:color w:val="000000" w:themeColor="text1"/>
        </w:rPr>
        <w:t xml:space="preserve"> the method of decomposition of UHC index using Ghana as a case study. In Ghana, the UHC index</w:t>
      </w:r>
      <w:r w:rsidR="003A7244" w:rsidRPr="00614125">
        <w:rPr>
          <w:rFonts w:ascii="Arial" w:hAnsi="Arial"/>
          <w:color w:val="000000" w:themeColor="text1"/>
        </w:rPr>
        <w:t xml:space="preserve"> was 0.469 (or </w:t>
      </w:r>
      <w:r w:rsidR="00920DF6" w:rsidRPr="00614125">
        <w:rPr>
          <w:rFonts w:ascii="Arial" w:hAnsi="Arial"/>
          <w:color w:val="000000" w:themeColor="text1"/>
        </w:rPr>
        <w:t>46.9%</w:t>
      </w:r>
      <w:r w:rsidR="003A7244" w:rsidRPr="00614125">
        <w:rPr>
          <w:rFonts w:ascii="Arial" w:hAnsi="Arial"/>
          <w:color w:val="000000" w:themeColor="text1"/>
        </w:rPr>
        <w:t>)</w:t>
      </w:r>
      <w:r w:rsidR="001B183B" w:rsidRPr="00614125">
        <w:rPr>
          <w:rFonts w:ascii="Arial" w:hAnsi="Arial"/>
          <w:color w:val="000000" w:themeColor="text1"/>
        </w:rPr>
        <w:t xml:space="preserve"> (column A)</w:t>
      </w:r>
      <w:r w:rsidR="00920DF6" w:rsidRPr="00614125">
        <w:rPr>
          <w:rFonts w:ascii="Arial" w:hAnsi="Arial"/>
          <w:color w:val="000000" w:themeColor="text1"/>
        </w:rPr>
        <w:t xml:space="preserve">.  </w:t>
      </w:r>
      <w:r w:rsidR="001B183B" w:rsidRPr="00614125">
        <w:rPr>
          <w:rFonts w:ascii="Arial" w:hAnsi="Arial"/>
          <w:color w:val="000000" w:themeColor="text1"/>
        </w:rPr>
        <w:t xml:space="preserve">The socioeconomic quintiles were indicated in column B. </w:t>
      </w:r>
      <w:r w:rsidR="00920DF6" w:rsidRPr="00614125">
        <w:rPr>
          <w:rFonts w:ascii="Arial" w:hAnsi="Arial"/>
          <w:color w:val="000000" w:themeColor="text1"/>
        </w:rPr>
        <w:t xml:space="preserve">When we put utilization rate of ‘0’ in the poorest </w:t>
      </w:r>
      <w:r w:rsidR="00920DF6" w:rsidRPr="00614125">
        <w:rPr>
          <w:rFonts w:ascii="Arial" w:hAnsi="Arial"/>
          <w:noProof/>
          <w:color w:val="000000" w:themeColor="text1"/>
        </w:rPr>
        <w:t>quintile across</w:t>
      </w:r>
      <w:r w:rsidR="00920DF6" w:rsidRPr="00614125">
        <w:rPr>
          <w:rFonts w:ascii="Arial" w:hAnsi="Arial"/>
          <w:color w:val="000000" w:themeColor="text1"/>
        </w:rPr>
        <w:t xml:space="preserve"> all </w:t>
      </w:r>
      <w:r w:rsidR="003A7244" w:rsidRPr="00614125">
        <w:rPr>
          <w:rFonts w:ascii="Arial" w:hAnsi="Arial"/>
          <w:color w:val="000000" w:themeColor="text1"/>
        </w:rPr>
        <w:t xml:space="preserve">six </w:t>
      </w:r>
      <w:r w:rsidR="00920DF6" w:rsidRPr="00614125">
        <w:rPr>
          <w:rFonts w:ascii="Arial" w:hAnsi="Arial"/>
          <w:color w:val="000000" w:themeColor="text1"/>
        </w:rPr>
        <w:t>health services, the UHC index reduced to 0.403</w:t>
      </w:r>
      <w:r w:rsidR="001B183B" w:rsidRPr="00614125">
        <w:rPr>
          <w:rFonts w:ascii="Arial" w:hAnsi="Arial"/>
          <w:color w:val="000000" w:themeColor="text1"/>
        </w:rPr>
        <w:t xml:space="preserve"> (column C)</w:t>
      </w:r>
      <w:r w:rsidR="00920DF6" w:rsidRPr="00614125">
        <w:rPr>
          <w:rFonts w:ascii="Arial" w:hAnsi="Arial"/>
          <w:color w:val="000000" w:themeColor="text1"/>
        </w:rPr>
        <w:t>.</w:t>
      </w:r>
      <w:r w:rsidR="003A7244" w:rsidRPr="00614125">
        <w:rPr>
          <w:rFonts w:ascii="Arial" w:hAnsi="Arial"/>
          <w:color w:val="000000" w:themeColor="text1"/>
        </w:rPr>
        <w:t xml:space="preserve"> The absolute contribution of socioeconomic quintile was thus 0.469 - 0.403 or</w:t>
      </w:r>
      <w:r w:rsidR="004D5525" w:rsidRPr="00614125">
        <w:rPr>
          <w:rFonts w:ascii="Arial" w:hAnsi="Arial"/>
          <w:color w:val="000000" w:themeColor="text1"/>
        </w:rPr>
        <w:t xml:space="preserve"> 0.065</w:t>
      </w:r>
      <w:r w:rsidR="001B183B" w:rsidRPr="00614125">
        <w:rPr>
          <w:rFonts w:ascii="Arial" w:hAnsi="Arial"/>
          <w:color w:val="000000" w:themeColor="text1"/>
        </w:rPr>
        <w:t xml:space="preserve"> (column D)</w:t>
      </w:r>
      <w:r w:rsidR="004D5525" w:rsidRPr="00614125">
        <w:rPr>
          <w:rFonts w:ascii="Arial" w:hAnsi="Arial"/>
          <w:color w:val="000000" w:themeColor="text1"/>
        </w:rPr>
        <w:t xml:space="preserve">. In the same way, </w:t>
      </w:r>
      <w:r w:rsidR="003812EB" w:rsidRPr="00614125">
        <w:rPr>
          <w:rFonts w:ascii="Arial" w:hAnsi="Arial"/>
          <w:color w:val="000000" w:themeColor="text1"/>
        </w:rPr>
        <w:t xml:space="preserve">the </w:t>
      </w:r>
      <w:r w:rsidR="004D5525" w:rsidRPr="00614125">
        <w:rPr>
          <w:rFonts w:ascii="Arial" w:hAnsi="Arial"/>
          <w:color w:val="000000" w:themeColor="text1"/>
        </w:rPr>
        <w:t xml:space="preserve">absolute contribution of </w:t>
      </w:r>
      <w:r w:rsidR="003812EB" w:rsidRPr="00614125">
        <w:rPr>
          <w:rFonts w:ascii="Arial" w:hAnsi="Arial"/>
          <w:color w:val="000000" w:themeColor="text1"/>
        </w:rPr>
        <w:t xml:space="preserve">the </w:t>
      </w:r>
      <w:r w:rsidR="004D5525" w:rsidRPr="00614125">
        <w:rPr>
          <w:rFonts w:ascii="Arial" w:hAnsi="Arial"/>
          <w:color w:val="000000" w:themeColor="text1"/>
        </w:rPr>
        <w:t>2</w:t>
      </w:r>
      <w:r w:rsidR="004D5525" w:rsidRPr="00614125">
        <w:rPr>
          <w:rFonts w:ascii="Arial" w:hAnsi="Arial"/>
          <w:color w:val="000000" w:themeColor="text1"/>
          <w:vertAlign w:val="superscript"/>
        </w:rPr>
        <w:t>nd</w:t>
      </w:r>
      <w:r w:rsidR="004D5525" w:rsidRPr="00614125">
        <w:rPr>
          <w:rFonts w:ascii="Arial" w:hAnsi="Arial"/>
          <w:color w:val="000000" w:themeColor="text1"/>
        </w:rPr>
        <w:t>, 3</w:t>
      </w:r>
      <w:r w:rsidR="004D5525" w:rsidRPr="00614125">
        <w:rPr>
          <w:rFonts w:ascii="Arial" w:hAnsi="Arial"/>
          <w:color w:val="000000" w:themeColor="text1"/>
          <w:vertAlign w:val="superscript"/>
        </w:rPr>
        <w:t>rd</w:t>
      </w:r>
      <w:r w:rsidR="004D5525" w:rsidRPr="00614125">
        <w:rPr>
          <w:rFonts w:ascii="Arial" w:hAnsi="Arial"/>
          <w:color w:val="000000" w:themeColor="text1"/>
        </w:rPr>
        <w:t>, 4</w:t>
      </w:r>
      <w:r w:rsidR="004D5525" w:rsidRPr="00614125">
        <w:rPr>
          <w:rFonts w:ascii="Arial" w:hAnsi="Arial"/>
          <w:color w:val="000000" w:themeColor="text1"/>
          <w:vertAlign w:val="superscript"/>
        </w:rPr>
        <w:t>th</w:t>
      </w:r>
      <w:r w:rsidR="004D5525" w:rsidRPr="00614125">
        <w:rPr>
          <w:rFonts w:ascii="Arial" w:hAnsi="Arial"/>
          <w:color w:val="000000" w:themeColor="text1"/>
        </w:rPr>
        <w:t xml:space="preserve"> </w:t>
      </w:r>
      <w:r w:rsidR="00CC7F4A" w:rsidRPr="00614125">
        <w:rPr>
          <w:rFonts w:ascii="Arial" w:hAnsi="Arial"/>
          <w:color w:val="000000" w:themeColor="text1"/>
        </w:rPr>
        <w:t>and</w:t>
      </w:r>
      <w:r w:rsidR="004D5525" w:rsidRPr="00614125">
        <w:rPr>
          <w:rFonts w:ascii="Arial" w:hAnsi="Arial"/>
          <w:color w:val="000000" w:themeColor="text1"/>
        </w:rPr>
        <w:t xml:space="preserve"> 5</w:t>
      </w:r>
      <w:r w:rsidR="004D5525" w:rsidRPr="00614125">
        <w:rPr>
          <w:rFonts w:ascii="Arial" w:hAnsi="Arial"/>
          <w:color w:val="000000" w:themeColor="text1"/>
          <w:vertAlign w:val="superscript"/>
        </w:rPr>
        <w:t>th</w:t>
      </w:r>
      <w:r w:rsidR="004D5525" w:rsidRPr="00614125">
        <w:rPr>
          <w:rFonts w:ascii="Arial" w:hAnsi="Arial"/>
          <w:color w:val="000000" w:themeColor="text1"/>
        </w:rPr>
        <w:t xml:space="preserve"> quintile</w:t>
      </w:r>
      <w:r w:rsidR="003812EB" w:rsidRPr="00614125">
        <w:rPr>
          <w:rFonts w:ascii="Arial" w:hAnsi="Arial"/>
          <w:color w:val="000000" w:themeColor="text1"/>
        </w:rPr>
        <w:t>s</w:t>
      </w:r>
      <w:r w:rsidR="004D5525" w:rsidRPr="00614125">
        <w:rPr>
          <w:rFonts w:ascii="Arial" w:hAnsi="Arial"/>
          <w:color w:val="000000" w:themeColor="text1"/>
        </w:rPr>
        <w:t xml:space="preserve"> </w:t>
      </w:r>
      <w:r w:rsidR="00CC7F4A" w:rsidRPr="00614125">
        <w:rPr>
          <w:rFonts w:ascii="Arial" w:hAnsi="Arial"/>
          <w:color w:val="000000" w:themeColor="text1"/>
        </w:rPr>
        <w:t>w</w:t>
      </w:r>
      <w:r w:rsidR="003812EB" w:rsidRPr="00614125">
        <w:rPr>
          <w:rFonts w:ascii="Arial" w:hAnsi="Arial"/>
          <w:color w:val="000000" w:themeColor="text1"/>
        </w:rPr>
        <w:t>ere</w:t>
      </w:r>
      <w:r w:rsidR="004D5525" w:rsidRPr="00614125">
        <w:rPr>
          <w:rFonts w:ascii="Arial" w:hAnsi="Arial"/>
          <w:color w:val="000000" w:themeColor="text1"/>
        </w:rPr>
        <w:t xml:space="preserve"> calculated to 0.081, 0.090, 0.106 and 0.126 respectively. The relative contribution was calculated by dividing the </w:t>
      </w:r>
      <w:r w:rsidR="00CC7F4A" w:rsidRPr="00614125">
        <w:rPr>
          <w:rFonts w:ascii="Arial" w:hAnsi="Arial"/>
          <w:color w:val="000000" w:themeColor="text1"/>
        </w:rPr>
        <w:t>absolute</w:t>
      </w:r>
      <w:r w:rsidR="004D5525" w:rsidRPr="00614125">
        <w:rPr>
          <w:rFonts w:ascii="Arial" w:hAnsi="Arial"/>
          <w:color w:val="000000" w:themeColor="text1"/>
        </w:rPr>
        <w:t xml:space="preserve"> contribution of each quintile with the total UHC index value multiplied by 100</w:t>
      </w:r>
      <w:r w:rsidR="001B183B" w:rsidRPr="00614125">
        <w:rPr>
          <w:rFonts w:ascii="Arial" w:hAnsi="Arial"/>
          <w:color w:val="000000" w:themeColor="text1"/>
        </w:rPr>
        <w:t xml:space="preserve"> in column E</w:t>
      </w:r>
      <w:r w:rsidR="004D5525" w:rsidRPr="00614125">
        <w:rPr>
          <w:rFonts w:ascii="Arial" w:hAnsi="Arial"/>
          <w:color w:val="000000" w:themeColor="text1"/>
        </w:rPr>
        <w:t>. The poorest quintile’s relative contribution was thus calculated as (0.065/0.469)</w:t>
      </w:r>
      <w:r w:rsidR="00292E54" w:rsidRPr="00614125">
        <w:rPr>
          <w:rFonts w:ascii="Arial" w:hAnsi="Arial"/>
          <w:color w:val="000000" w:themeColor="text1"/>
        </w:rPr>
        <w:t xml:space="preserve"> </w:t>
      </w:r>
      <w:r w:rsidR="004D5525" w:rsidRPr="00614125">
        <w:rPr>
          <w:rFonts w:ascii="Arial" w:hAnsi="Arial"/>
          <w:color w:val="000000" w:themeColor="text1"/>
        </w:rPr>
        <w:t>x</w:t>
      </w:r>
      <w:r w:rsidR="00292E54" w:rsidRPr="00614125">
        <w:rPr>
          <w:rFonts w:ascii="Arial" w:hAnsi="Arial"/>
          <w:color w:val="000000" w:themeColor="text1"/>
        </w:rPr>
        <w:t xml:space="preserve"> </w:t>
      </w:r>
      <w:r w:rsidR="004D5525" w:rsidRPr="00614125">
        <w:rPr>
          <w:rFonts w:ascii="Arial" w:hAnsi="Arial"/>
          <w:color w:val="000000" w:themeColor="text1"/>
        </w:rPr>
        <w:t xml:space="preserve">100 or 14.0%. </w:t>
      </w:r>
      <w:r w:rsidR="008E333C" w:rsidRPr="00614125">
        <w:rPr>
          <w:rFonts w:ascii="Arial" w:hAnsi="Arial"/>
          <w:color w:val="000000" w:themeColor="text1"/>
        </w:rPr>
        <w:t>Similarly, we found the relative contribution of 2</w:t>
      </w:r>
      <w:r w:rsidR="008E333C" w:rsidRPr="00614125">
        <w:rPr>
          <w:rFonts w:ascii="Arial" w:hAnsi="Arial"/>
          <w:color w:val="000000" w:themeColor="text1"/>
          <w:vertAlign w:val="superscript"/>
        </w:rPr>
        <w:t>nd</w:t>
      </w:r>
      <w:r w:rsidR="008E333C" w:rsidRPr="00614125">
        <w:rPr>
          <w:rFonts w:ascii="Arial" w:hAnsi="Arial"/>
          <w:color w:val="000000" w:themeColor="text1"/>
        </w:rPr>
        <w:t>, 3</w:t>
      </w:r>
      <w:r w:rsidR="008E333C" w:rsidRPr="00614125">
        <w:rPr>
          <w:rFonts w:ascii="Arial" w:hAnsi="Arial"/>
          <w:color w:val="000000" w:themeColor="text1"/>
          <w:vertAlign w:val="superscript"/>
        </w:rPr>
        <w:t>rd</w:t>
      </w:r>
      <w:r w:rsidR="008E333C" w:rsidRPr="00614125">
        <w:rPr>
          <w:rFonts w:ascii="Arial" w:hAnsi="Arial"/>
          <w:color w:val="000000" w:themeColor="text1"/>
        </w:rPr>
        <w:t>, 4</w:t>
      </w:r>
      <w:r w:rsidR="008E333C" w:rsidRPr="00614125">
        <w:rPr>
          <w:rFonts w:ascii="Arial" w:hAnsi="Arial"/>
          <w:color w:val="000000" w:themeColor="text1"/>
          <w:vertAlign w:val="superscript"/>
        </w:rPr>
        <w:t>th</w:t>
      </w:r>
      <w:r w:rsidR="008E333C" w:rsidRPr="00614125">
        <w:rPr>
          <w:rFonts w:ascii="Arial" w:hAnsi="Arial"/>
          <w:color w:val="000000" w:themeColor="text1"/>
        </w:rPr>
        <w:t xml:space="preserve"> and 5</w:t>
      </w:r>
      <w:r w:rsidR="008E333C" w:rsidRPr="00614125">
        <w:rPr>
          <w:rFonts w:ascii="Arial" w:hAnsi="Arial"/>
          <w:color w:val="000000" w:themeColor="text1"/>
          <w:vertAlign w:val="superscript"/>
        </w:rPr>
        <w:t>th</w:t>
      </w:r>
      <w:r w:rsidR="008E333C" w:rsidRPr="00614125">
        <w:rPr>
          <w:rFonts w:ascii="Arial" w:hAnsi="Arial"/>
          <w:color w:val="000000" w:themeColor="text1"/>
        </w:rPr>
        <w:t xml:space="preserve"> quintile as 17.3%, 19.3%, 22.6% and 26.9% respectively. </w:t>
      </w:r>
    </w:p>
    <w:p w14:paraId="3C706491" w14:textId="77777777" w:rsidR="005620E9" w:rsidRPr="00614125" w:rsidRDefault="005620E9" w:rsidP="005620E9">
      <w:pPr>
        <w:spacing w:before="120" w:after="120" w:line="360" w:lineRule="auto"/>
        <w:jc w:val="center"/>
        <w:rPr>
          <w:rFonts w:ascii="Arial" w:hAnsi="Arial"/>
          <w:color w:val="000000" w:themeColor="text1"/>
        </w:rPr>
      </w:pPr>
    </w:p>
    <w:p w14:paraId="607D27E5" w14:textId="77777777" w:rsidR="005620E9" w:rsidRPr="00614125" w:rsidRDefault="005620E9" w:rsidP="005620E9">
      <w:pPr>
        <w:spacing w:before="120" w:after="120" w:line="360" w:lineRule="auto"/>
        <w:jc w:val="center"/>
        <w:rPr>
          <w:rFonts w:ascii="Arial" w:hAnsi="Arial"/>
          <w:color w:val="000000" w:themeColor="text1"/>
        </w:rPr>
      </w:pPr>
      <w:r w:rsidRPr="00614125">
        <w:rPr>
          <w:rFonts w:ascii="Arial" w:hAnsi="Arial"/>
          <w:color w:val="000000" w:themeColor="text1"/>
        </w:rPr>
        <w:t>Table 1 to be inserted here</w:t>
      </w:r>
    </w:p>
    <w:p w14:paraId="140BC5B0" w14:textId="77777777" w:rsidR="00605AB2" w:rsidRPr="00614125" w:rsidRDefault="00605AB2" w:rsidP="00216ED2">
      <w:pPr>
        <w:tabs>
          <w:tab w:val="left" w:pos="90"/>
        </w:tabs>
        <w:spacing w:before="120" w:after="120" w:line="360" w:lineRule="auto"/>
        <w:jc w:val="both"/>
        <w:rPr>
          <w:rFonts w:ascii="Arial" w:hAnsi="Arial"/>
          <w:color w:val="000000" w:themeColor="text1"/>
        </w:rPr>
      </w:pPr>
    </w:p>
    <w:p w14:paraId="3D86BEDE" w14:textId="6858B514" w:rsidR="001B183B" w:rsidRPr="00614125" w:rsidRDefault="001B183B" w:rsidP="00216ED2">
      <w:pPr>
        <w:tabs>
          <w:tab w:val="left" w:pos="90"/>
        </w:tabs>
        <w:spacing w:before="120" w:after="120" w:line="360" w:lineRule="auto"/>
        <w:jc w:val="both"/>
        <w:rPr>
          <w:rFonts w:ascii="Arial" w:hAnsi="Arial"/>
          <w:b/>
          <w:bCs/>
          <w:color w:val="000000" w:themeColor="text1"/>
        </w:rPr>
      </w:pPr>
      <w:r w:rsidRPr="00614125">
        <w:rPr>
          <w:rFonts w:ascii="Arial" w:hAnsi="Arial"/>
          <w:b/>
          <w:bCs/>
          <w:color w:val="000000" w:themeColor="text1"/>
        </w:rPr>
        <w:t>Excel spreadsheet with Ghana country case: UHC index calculation and decomposition step by step</w:t>
      </w:r>
    </w:p>
    <w:p w14:paraId="0C8824F4" w14:textId="71400064" w:rsidR="00B973CC" w:rsidRPr="00614125" w:rsidRDefault="009572BF" w:rsidP="00435AC0">
      <w:pPr>
        <w:tabs>
          <w:tab w:val="left" w:pos="90"/>
        </w:tabs>
        <w:spacing w:before="120" w:after="120" w:line="360" w:lineRule="auto"/>
        <w:jc w:val="both"/>
        <w:rPr>
          <w:rFonts w:ascii="Arial" w:hAnsi="Arial"/>
          <w:color w:val="000000" w:themeColor="text1"/>
        </w:rPr>
      </w:pPr>
      <w:r w:rsidRPr="00614125">
        <w:rPr>
          <w:rFonts w:ascii="Arial" w:hAnsi="Arial"/>
          <w:color w:val="000000" w:themeColor="text1"/>
        </w:rPr>
        <w:t>Electronic supplementary material</w:t>
      </w:r>
      <w:r w:rsidRPr="00614125" w:rsidDel="009572BF">
        <w:rPr>
          <w:rFonts w:ascii="Arial" w:hAnsi="Arial"/>
          <w:color w:val="000000" w:themeColor="text1"/>
        </w:rPr>
        <w:t xml:space="preserve"> </w:t>
      </w:r>
      <w:r w:rsidR="00605AB2" w:rsidRPr="00614125">
        <w:rPr>
          <w:rFonts w:ascii="Arial" w:hAnsi="Arial"/>
          <w:color w:val="000000" w:themeColor="text1"/>
        </w:rPr>
        <w:t>(</w:t>
      </w:r>
      <w:r w:rsidR="00005B79" w:rsidRPr="00614125">
        <w:rPr>
          <w:rFonts w:ascii="Arial" w:hAnsi="Arial"/>
          <w:color w:val="000000" w:themeColor="text1"/>
        </w:rPr>
        <w:t>E</w:t>
      </w:r>
      <w:r w:rsidR="00605AB2" w:rsidRPr="00614125">
        <w:rPr>
          <w:rFonts w:ascii="Arial" w:hAnsi="Arial"/>
          <w:color w:val="000000" w:themeColor="text1"/>
        </w:rPr>
        <w:t xml:space="preserve">xcel spreadsheet) contains 7 </w:t>
      </w:r>
      <w:r w:rsidR="008474CB" w:rsidRPr="00614125">
        <w:rPr>
          <w:rFonts w:ascii="Arial" w:hAnsi="Arial"/>
          <w:color w:val="000000" w:themeColor="text1"/>
        </w:rPr>
        <w:t>E</w:t>
      </w:r>
      <w:r w:rsidR="00605AB2" w:rsidRPr="00614125">
        <w:rPr>
          <w:rFonts w:ascii="Arial" w:hAnsi="Arial"/>
          <w:color w:val="000000" w:themeColor="text1"/>
        </w:rPr>
        <w:t>xcel sheets</w:t>
      </w:r>
      <w:r w:rsidR="001B183B" w:rsidRPr="00614125">
        <w:rPr>
          <w:rFonts w:ascii="Arial" w:hAnsi="Arial"/>
          <w:color w:val="000000" w:themeColor="text1"/>
        </w:rPr>
        <w:t>.</w:t>
      </w:r>
      <w:r w:rsidR="00605AB2" w:rsidRPr="00614125">
        <w:rPr>
          <w:rFonts w:ascii="Arial" w:hAnsi="Arial"/>
          <w:color w:val="000000" w:themeColor="text1"/>
        </w:rPr>
        <w:t xml:space="preserve"> Excel sheet 1 shows the calculation of UHC index step by step. For calculating the decomposition of the index, we used </w:t>
      </w:r>
      <w:r w:rsidR="00005B79" w:rsidRPr="00614125">
        <w:rPr>
          <w:rFonts w:ascii="Arial" w:hAnsi="Arial"/>
          <w:color w:val="000000" w:themeColor="text1"/>
        </w:rPr>
        <w:t>E</w:t>
      </w:r>
      <w:r w:rsidR="00605AB2" w:rsidRPr="00614125">
        <w:rPr>
          <w:rFonts w:ascii="Arial" w:hAnsi="Arial"/>
          <w:color w:val="000000" w:themeColor="text1"/>
        </w:rPr>
        <w:t>xcel sheet 2-7. In sheet 2-6, the health service utilization rates in socioeconomic quintiles (Q1-Q5) were assumed to be ‘0’ (one quintile at a time</w:t>
      </w:r>
      <w:r w:rsidR="005620E9" w:rsidRPr="00614125">
        <w:rPr>
          <w:rFonts w:ascii="Arial" w:hAnsi="Arial"/>
          <w:color w:val="000000" w:themeColor="text1"/>
        </w:rPr>
        <w:t xml:space="preserve"> in each sheet</w:t>
      </w:r>
      <w:r w:rsidR="00605AB2" w:rsidRPr="00614125">
        <w:rPr>
          <w:rFonts w:ascii="Arial" w:hAnsi="Arial"/>
          <w:color w:val="000000" w:themeColor="text1"/>
        </w:rPr>
        <w:t xml:space="preserve">).  In sheet 7, </w:t>
      </w:r>
      <w:r w:rsidR="005620E9" w:rsidRPr="00614125">
        <w:rPr>
          <w:rFonts w:ascii="Arial" w:hAnsi="Arial"/>
          <w:color w:val="000000" w:themeColor="text1"/>
        </w:rPr>
        <w:t xml:space="preserve">UHC value in total </w:t>
      </w:r>
      <w:r w:rsidRPr="00614125">
        <w:rPr>
          <w:rFonts w:ascii="Arial" w:hAnsi="Arial"/>
          <w:color w:val="000000" w:themeColor="text1"/>
        </w:rPr>
        <w:t xml:space="preserve">was calculated </w:t>
      </w:r>
      <w:r w:rsidR="005620E9" w:rsidRPr="00614125">
        <w:rPr>
          <w:rFonts w:ascii="Arial" w:hAnsi="Arial"/>
          <w:color w:val="000000" w:themeColor="text1"/>
        </w:rPr>
        <w:t xml:space="preserve">(column A). Column B represented the socioeconomic quintiles and UHC values assuming ‘0’ in each quintile </w:t>
      </w:r>
      <w:r w:rsidR="003812EB" w:rsidRPr="00614125">
        <w:rPr>
          <w:rFonts w:ascii="Arial" w:hAnsi="Arial"/>
          <w:color w:val="000000" w:themeColor="text1"/>
        </w:rPr>
        <w:t>was</w:t>
      </w:r>
      <w:r w:rsidR="005620E9" w:rsidRPr="00614125">
        <w:rPr>
          <w:rFonts w:ascii="Arial" w:hAnsi="Arial"/>
          <w:color w:val="000000" w:themeColor="text1"/>
        </w:rPr>
        <w:t xml:space="preserve"> captured in column C. Column D calculated </w:t>
      </w:r>
      <w:r w:rsidR="003812EB" w:rsidRPr="00614125">
        <w:rPr>
          <w:rFonts w:ascii="Arial" w:hAnsi="Arial"/>
          <w:color w:val="000000" w:themeColor="text1"/>
        </w:rPr>
        <w:t xml:space="preserve">the </w:t>
      </w:r>
      <w:r w:rsidR="00605AB2" w:rsidRPr="00614125">
        <w:rPr>
          <w:rFonts w:ascii="Arial" w:hAnsi="Arial"/>
          <w:color w:val="000000" w:themeColor="text1"/>
        </w:rPr>
        <w:t xml:space="preserve">absolute </w:t>
      </w:r>
      <w:r w:rsidR="005620E9" w:rsidRPr="00614125">
        <w:rPr>
          <w:rFonts w:ascii="Arial" w:hAnsi="Arial"/>
          <w:color w:val="000000" w:themeColor="text1"/>
        </w:rPr>
        <w:t>contribution (A-C) and column E captured</w:t>
      </w:r>
      <w:r w:rsidR="003812EB" w:rsidRPr="00614125">
        <w:rPr>
          <w:rFonts w:ascii="Arial" w:hAnsi="Arial"/>
          <w:color w:val="000000" w:themeColor="text1"/>
        </w:rPr>
        <w:t xml:space="preserve"> the</w:t>
      </w:r>
      <w:r w:rsidR="005620E9" w:rsidRPr="00614125">
        <w:rPr>
          <w:rFonts w:ascii="Arial" w:hAnsi="Arial"/>
          <w:color w:val="000000" w:themeColor="text1"/>
        </w:rPr>
        <w:t xml:space="preserve"> relative contribution (D/A*100) </w:t>
      </w:r>
      <w:r w:rsidR="003812EB" w:rsidRPr="00614125">
        <w:rPr>
          <w:rFonts w:ascii="Arial" w:hAnsi="Arial"/>
          <w:color w:val="000000" w:themeColor="text1"/>
        </w:rPr>
        <w:t xml:space="preserve">of </w:t>
      </w:r>
      <w:r w:rsidR="005620E9" w:rsidRPr="00614125">
        <w:rPr>
          <w:rFonts w:ascii="Arial" w:hAnsi="Arial"/>
          <w:color w:val="000000" w:themeColor="text1"/>
        </w:rPr>
        <w:t>the socioeconomic quintiles</w:t>
      </w:r>
      <w:r w:rsidR="00605AB2" w:rsidRPr="00614125">
        <w:rPr>
          <w:rFonts w:ascii="Arial" w:hAnsi="Arial"/>
          <w:color w:val="000000" w:themeColor="text1"/>
        </w:rPr>
        <w:t xml:space="preserve">.   </w:t>
      </w:r>
    </w:p>
    <w:p w14:paraId="564FA70E" w14:textId="3ECE6BAC" w:rsidR="004D5525" w:rsidRPr="00614125" w:rsidRDefault="004D5525" w:rsidP="00F124C6">
      <w:pPr>
        <w:spacing w:before="120" w:after="120" w:line="360" w:lineRule="auto"/>
        <w:rPr>
          <w:rFonts w:ascii="Arial" w:hAnsi="Arial"/>
          <w:color w:val="000000" w:themeColor="text1"/>
        </w:rPr>
      </w:pPr>
      <w:r w:rsidRPr="00614125">
        <w:rPr>
          <w:rFonts w:ascii="Arial" w:hAnsi="Arial"/>
          <w:color w:val="000000" w:themeColor="text1"/>
        </w:rPr>
        <w:t xml:space="preserve">The absolute contributions of the socioeconomic quintiles </w:t>
      </w:r>
      <w:r w:rsidR="00D219B7" w:rsidRPr="00614125">
        <w:rPr>
          <w:rFonts w:ascii="Arial" w:hAnsi="Arial"/>
          <w:color w:val="000000" w:themeColor="text1"/>
        </w:rPr>
        <w:t xml:space="preserve">to the UHC index </w:t>
      </w:r>
      <w:r w:rsidRPr="00614125">
        <w:rPr>
          <w:rFonts w:ascii="Arial" w:hAnsi="Arial"/>
          <w:color w:val="000000" w:themeColor="text1"/>
        </w:rPr>
        <w:t xml:space="preserve">were </w:t>
      </w:r>
      <w:r w:rsidR="00D219B7" w:rsidRPr="00614125">
        <w:rPr>
          <w:rFonts w:ascii="Arial" w:hAnsi="Arial"/>
          <w:color w:val="000000" w:themeColor="text1"/>
        </w:rPr>
        <w:t xml:space="preserve">later </w:t>
      </w:r>
      <w:r w:rsidRPr="00614125">
        <w:rPr>
          <w:rFonts w:ascii="Arial" w:hAnsi="Arial"/>
          <w:color w:val="000000" w:themeColor="text1"/>
        </w:rPr>
        <w:t>used for calculating</w:t>
      </w:r>
      <w:r w:rsidR="00D219B7" w:rsidRPr="00614125">
        <w:rPr>
          <w:rFonts w:ascii="Arial" w:hAnsi="Arial"/>
          <w:color w:val="000000" w:themeColor="text1"/>
        </w:rPr>
        <w:t xml:space="preserve"> the concentration index</w:t>
      </w:r>
      <w:r w:rsidR="008E333C" w:rsidRPr="00614125">
        <w:rPr>
          <w:rFonts w:ascii="Arial" w:hAnsi="Arial"/>
          <w:color w:val="000000" w:themeColor="text1"/>
        </w:rPr>
        <w:t>, which</w:t>
      </w:r>
      <w:r w:rsidR="00D219B7" w:rsidRPr="00614125">
        <w:rPr>
          <w:rFonts w:ascii="Arial" w:hAnsi="Arial"/>
          <w:color w:val="000000" w:themeColor="text1"/>
        </w:rPr>
        <w:t xml:space="preserve"> </w:t>
      </w:r>
      <w:r w:rsidR="003812EB" w:rsidRPr="00614125">
        <w:rPr>
          <w:rFonts w:ascii="Arial" w:hAnsi="Arial"/>
          <w:color w:val="000000" w:themeColor="text1"/>
        </w:rPr>
        <w:t>was</w:t>
      </w:r>
      <w:r w:rsidR="00D219B7" w:rsidRPr="00614125">
        <w:rPr>
          <w:rFonts w:ascii="Arial" w:hAnsi="Arial"/>
          <w:color w:val="000000" w:themeColor="text1"/>
        </w:rPr>
        <w:t xml:space="preserve"> reported in </w:t>
      </w:r>
      <w:r w:rsidR="003812EB" w:rsidRPr="00614125">
        <w:rPr>
          <w:rFonts w:ascii="Arial" w:hAnsi="Arial"/>
          <w:color w:val="000000" w:themeColor="text1"/>
        </w:rPr>
        <w:t>T</w:t>
      </w:r>
      <w:r w:rsidR="00D219B7" w:rsidRPr="00614125">
        <w:rPr>
          <w:rFonts w:ascii="Arial" w:hAnsi="Arial"/>
          <w:color w:val="000000" w:themeColor="text1"/>
        </w:rPr>
        <w:t xml:space="preserve">able 3 using </w:t>
      </w:r>
      <w:r w:rsidR="008E333C" w:rsidRPr="00614125">
        <w:rPr>
          <w:rFonts w:ascii="Arial" w:hAnsi="Arial"/>
          <w:color w:val="000000" w:themeColor="text1"/>
        </w:rPr>
        <w:t>a method</w:t>
      </w:r>
      <w:r w:rsidR="00D219B7" w:rsidRPr="00614125">
        <w:rPr>
          <w:rFonts w:ascii="Arial" w:hAnsi="Arial"/>
          <w:color w:val="000000" w:themeColor="text1"/>
        </w:rPr>
        <w:t xml:space="preserve"> applied by Yao (1999)</w:t>
      </w:r>
      <w:r w:rsidR="00EE6CC5" w:rsidRPr="00614125">
        <w:rPr>
          <w:rFonts w:ascii="Arial" w:hAnsi="Arial"/>
          <w:color w:val="000000" w:themeColor="text1"/>
        </w:rPr>
        <w:t xml:space="preserve"> </w:t>
      </w:r>
      <w:r w:rsidR="000B544D" w:rsidRPr="00614125">
        <w:rPr>
          <w:rFonts w:ascii="Arial" w:hAnsi="Arial"/>
          <w:color w:val="000000" w:themeColor="text1"/>
        </w:rPr>
        <w:fldChar w:fldCharType="begin" w:fldLock="1"/>
      </w:r>
      <w:r w:rsidR="003B3F6D" w:rsidRPr="00614125">
        <w:rPr>
          <w:rFonts w:ascii="Arial" w:hAnsi="Arial"/>
          <w:color w:val="000000" w:themeColor="text1"/>
        </w:rPr>
        <w:instrText>ADDIN CSL_CITATION {"citationItems":[{"id":"ITEM-1","itemData":{"author":[{"dropping-particle":"","family":"Yao","given":"S.","non-dropping-particle":"","parse-names":false,"suffix":""}],"container-title":"Appl Econ","id":"ITEM-1","issue":"12","issued":{"date-parts":[["1999"]]},"page":"49-64","title":"On the decomposition of Gini coefficients by population class and income source: a spreadsheet approach and application","type":"article-journal","volume":"31"},"uris":["http://www.mendeley.com/documents/?uuid=8119a170-b7f3-4c54-a91f-f8db39ab9959"]}],"mendeley":{"formattedCitation":"[12]","plainTextFormattedCitation":"[12]","previouslyFormattedCitation":"[12]"},"properties":{"noteIndex":0},"schema":"https://github.com/citation-style-language/schema/raw/master/csl-citation.json"}</w:instrText>
      </w:r>
      <w:r w:rsidR="000B544D" w:rsidRPr="00614125">
        <w:rPr>
          <w:rFonts w:ascii="Arial" w:hAnsi="Arial"/>
          <w:color w:val="000000" w:themeColor="text1"/>
        </w:rPr>
        <w:fldChar w:fldCharType="separate"/>
      </w:r>
      <w:r w:rsidR="00604FF7" w:rsidRPr="00614125">
        <w:rPr>
          <w:rFonts w:ascii="Arial" w:hAnsi="Arial"/>
          <w:noProof/>
          <w:color w:val="000000" w:themeColor="text1"/>
        </w:rPr>
        <w:t>[12]</w:t>
      </w:r>
      <w:r w:rsidR="000B544D" w:rsidRPr="00614125">
        <w:rPr>
          <w:rFonts w:ascii="Arial" w:hAnsi="Arial"/>
          <w:color w:val="000000" w:themeColor="text1"/>
        </w:rPr>
        <w:fldChar w:fldCharType="end"/>
      </w:r>
      <w:r w:rsidR="000B544D" w:rsidRPr="00614125">
        <w:rPr>
          <w:rFonts w:ascii="Arial" w:hAnsi="Arial"/>
          <w:color w:val="000000" w:themeColor="text1"/>
        </w:rPr>
        <w:t xml:space="preserve"> </w:t>
      </w:r>
      <w:r w:rsidR="00D219B7" w:rsidRPr="00614125">
        <w:rPr>
          <w:rFonts w:ascii="Arial" w:hAnsi="Arial"/>
          <w:color w:val="000000" w:themeColor="text1"/>
        </w:rPr>
        <w:t xml:space="preserve">. </w:t>
      </w:r>
    </w:p>
    <w:p w14:paraId="419AEC16" w14:textId="77777777" w:rsidR="008407E0" w:rsidRPr="00614125" w:rsidRDefault="008407E0" w:rsidP="00F124C6">
      <w:pPr>
        <w:spacing w:before="120" w:after="120" w:line="360" w:lineRule="auto"/>
        <w:rPr>
          <w:rFonts w:ascii="Arial" w:hAnsi="Arial"/>
          <w:color w:val="000000" w:themeColor="text1"/>
        </w:rPr>
      </w:pPr>
    </w:p>
    <w:p w14:paraId="1B5EBAB3" w14:textId="163DFF28" w:rsidR="007118EC" w:rsidRPr="00614125" w:rsidRDefault="00FD0478" w:rsidP="00E52BC2">
      <w:pPr>
        <w:spacing w:before="120" w:after="120" w:line="360" w:lineRule="auto"/>
        <w:rPr>
          <w:rFonts w:ascii="Arial" w:hAnsi="Arial" w:cs="Kohinoor Bangla"/>
          <w:b/>
          <w:bCs/>
          <w:color w:val="000000" w:themeColor="text1"/>
        </w:rPr>
      </w:pPr>
      <w:r w:rsidRPr="00614125">
        <w:rPr>
          <w:rFonts w:ascii="Arial" w:hAnsi="Arial"/>
          <w:b/>
          <w:bCs/>
          <w:color w:val="000000" w:themeColor="text1"/>
        </w:rPr>
        <w:lastRenderedPageBreak/>
        <w:t>UHC Index Validation</w:t>
      </w:r>
    </w:p>
    <w:p w14:paraId="7504BE46" w14:textId="6EBE52A7" w:rsidR="00EE6CC5" w:rsidRPr="00614125" w:rsidRDefault="00B121C2"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For index </w:t>
      </w:r>
      <w:r w:rsidR="00CC7F4A" w:rsidRPr="00614125">
        <w:rPr>
          <w:rFonts w:ascii="Arial" w:hAnsi="Arial"/>
          <w:color w:val="000000" w:themeColor="text1"/>
        </w:rPr>
        <w:t>validation</w:t>
      </w:r>
      <w:r w:rsidRPr="00614125">
        <w:rPr>
          <w:rFonts w:ascii="Arial" w:hAnsi="Arial"/>
          <w:color w:val="000000" w:themeColor="text1"/>
        </w:rPr>
        <w:t xml:space="preserve">, we calculated the correlation coefficients between our index values </w:t>
      </w:r>
      <w:r w:rsidR="003812EB" w:rsidRPr="00614125">
        <w:rPr>
          <w:rFonts w:ascii="Arial" w:hAnsi="Arial"/>
          <w:color w:val="000000" w:themeColor="text1"/>
        </w:rPr>
        <w:t>and</w:t>
      </w:r>
      <w:r w:rsidRPr="00614125">
        <w:rPr>
          <w:rFonts w:ascii="Arial" w:hAnsi="Arial"/>
          <w:color w:val="000000" w:themeColor="text1"/>
        </w:rPr>
        <w:t xml:space="preserve"> those of other authors’ who estimated the UHC index or index of universal health service coverage. We</w:t>
      </w:r>
      <w:r w:rsidR="00553F59" w:rsidRPr="00614125">
        <w:rPr>
          <w:rFonts w:ascii="Arial" w:hAnsi="Arial"/>
          <w:color w:val="000000" w:themeColor="text1"/>
        </w:rPr>
        <w:t xml:space="preserve"> </w:t>
      </w:r>
      <w:r w:rsidRPr="00614125">
        <w:rPr>
          <w:rFonts w:ascii="Arial" w:hAnsi="Arial"/>
          <w:color w:val="000000" w:themeColor="text1"/>
        </w:rPr>
        <w:t>estimated t</w:t>
      </w:r>
      <w:r w:rsidR="00663F67" w:rsidRPr="00614125">
        <w:rPr>
          <w:rFonts w:ascii="Arial" w:hAnsi="Arial"/>
          <w:color w:val="000000" w:themeColor="text1"/>
        </w:rPr>
        <w:t xml:space="preserve">he </w:t>
      </w:r>
      <w:r w:rsidR="00345651" w:rsidRPr="00614125">
        <w:rPr>
          <w:rFonts w:ascii="Arial" w:hAnsi="Arial"/>
          <w:color w:val="000000" w:themeColor="text1"/>
        </w:rPr>
        <w:t>e</w:t>
      </w:r>
      <w:r w:rsidR="00C64F54" w:rsidRPr="00614125">
        <w:rPr>
          <w:rFonts w:ascii="Arial" w:hAnsi="Arial"/>
          <w:color w:val="000000" w:themeColor="text1"/>
        </w:rPr>
        <w:t>ffects</w:t>
      </w:r>
      <w:r w:rsidR="00C0045E" w:rsidRPr="00614125">
        <w:rPr>
          <w:rFonts w:ascii="Arial" w:hAnsi="Arial"/>
          <w:color w:val="000000" w:themeColor="text1"/>
        </w:rPr>
        <w:t xml:space="preserve"> of OOP </w:t>
      </w:r>
      <w:r w:rsidR="00670E7E" w:rsidRPr="00614125">
        <w:rPr>
          <w:rFonts w:ascii="Arial" w:hAnsi="Arial"/>
          <w:color w:val="000000" w:themeColor="text1"/>
        </w:rPr>
        <w:t xml:space="preserve">payments on UHC achievement </w:t>
      </w:r>
      <w:r w:rsidR="00C64F54" w:rsidRPr="00614125">
        <w:rPr>
          <w:rFonts w:ascii="Arial" w:hAnsi="Arial"/>
          <w:color w:val="000000" w:themeColor="text1"/>
        </w:rPr>
        <w:t xml:space="preserve">for </w:t>
      </w:r>
      <w:r w:rsidR="00663F67" w:rsidRPr="00614125">
        <w:rPr>
          <w:rFonts w:ascii="Arial" w:hAnsi="Arial"/>
          <w:color w:val="000000" w:themeColor="text1"/>
        </w:rPr>
        <w:t xml:space="preserve">further </w:t>
      </w:r>
      <w:r w:rsidR="00C64F54" w:rsidRPr="00614125">
        <w:rPr>
          <w:rFonts w:ascii="Arial" w:hAnsi="Arial"/>
          <w:color w:val="000000" w:themeColor="text1"/>
        </w:rPr>
        <w:t>validation by employing</w:t>
      </w:r>
      <w:r w:rsidR="00670E7E" w:rsidRPr="00614125">
        <w:rPr>
          <w:rFonts w:ascii="Arial" w:hAnsi="Arial"/>
          <w:color w:val="000000" w:themeColor="text1"/>
        </w:rPr>
        <w:t xml:space="preserve"> </w:t>
      </w:r>
      <w:r w:rsidR="005E53E6" w:rsidRPr="00614125">
        <w:rPr>
          <w:rFonts w:ascii="Arial" w:hAnsi="Arial"/>
          <w:color w:val="000000" w:themeColor="text1"/>
        </w:rPr>
        <w:t xml:space="preserve">data from the World </w:t>
      </w:r>
      <w:r w:rsidR="00C64F54" w:rsidRPr="00614125">
        <w:rPr>
          <w:rFonts w:ascii="Arial" w:hAnsi="Arial"/>
          <w:color w:val="000000" w:themeColor="text1"/>
        </w:rPr>
        <w:t>Bank</w:t>
      </w:r>
      <w:r w:rsidR="000B544D" w:rsidRPr="00614125">
        <w:rPr>
          <w:rFonts w:ascii="Arial" w:hAnsi="Arial"/>
          <w:color w:val="000000" w:themeColor="text1"/>
        </w:rPr>
        <w:t xml:space="preserve"> </w:t>
      </w:r>
      <w:r w:rsidR="002533C3" w:rsidRPr="00614125">
        <w:rPr>
          <w:rFonts w:ascii="Arial" w:hAnsi="Arial"/>
          <w:color w:val="000000" w:themeColor="text1"/>
        </w:rPr>
        <w:fldChar w:fldCharType="begin" w:fldLock="1"/>
      </w:r>
      <w:r w:rsidR="003B3F6D" w:rsidRPr="00614125">
        <w:rPr>
          <w:rFonts w:ascii="Arial" w:hAnsi="Arial"/>
          <w:color w:val="000000" w:themeColor="text1"/>
        </w:rPr>
        <w:instrText>ADDIN CSL_CITATION {"citationItems":[{"id":"ITEM-1","itemData":{"URL":"http://databank.worldbank.org/data/reports.aspx?source=world-development-indicators","author":[{"dropping-particle":"","family":"The World Bank","given":"","non-dropping-particle":"","parse-names":false,"suffix":""}],"id":"ITEM-1","issued":{"date-parts":[["2017"]]},"publisher":"The World Bank","publisher-place":"Washington, DC","title":"World Development Indicators","type":"webpage"},"uris":["http://www.mendeley.com/documents/?uuid=137328f0-500c-4037-b415-2eb6188f3da2"]}],"mendeley":{"formattedCitation":"[13]","plainTextFormattedCitation":"[13]","previouslyFormattedCitation":"[13]"},"properties":{"noteIndex":0},"schema":"https://github.com/citation-style-language/schema/raw/master/csl-citation.json"}</w:instrText>
      </w:r>
      <w:r w:rsidR="002533C3" w:rsidRPr="00614125">
        <w:rPr>
          <w:rFonts w:ascii="Arial" w:hAnsi="Arial"/>
          <w:color w:val="000000" w:themeColor="text1"/>
        </w:rPr>
        <w:fldChar w:fldCharType="separate"/>
      </w:r>
      <w:r w:rsidR="00604FF7" w:rsidRPr="00614125">
        <w:rPr>
          <w:rFonts w:ascii="Arial" w:hAnsi="Arial"/>
          <w:noProof/>
          <w:color w:val="000000" w:themeColor="text1"/>
        </w:rPr>
        <w:t>[13]</w:t>
      </w:r>
      <w:r w:rsidR="002533C3" w:rsidRPr="00614125">
        <w:rPr>
          <w:rFonts w:ascii="Arial" w:hAnsi="Arial"/>
          <w:color w:val="000000" w:themeColor="text1"/>
        </w:rPr>
        <w:fldChar w:fldCharType="end"/>
      </w:r>
      <w:r w:rsidR="005E53E6" w:rsidRPr="00614125">
        <w:rPr>
          <w:rFonts w:ascii="Arial" w:hAnsi="Arial"/>
          <w:color w:val="000000" w:themeColor="text1"/>
        </w:rPr>
        <w:t xml:space="preserve">. Data of explanatory variables were </w:t>
      </w:r>
      <w:r w:rsidR="00C64F54" w:rsidRPr="00614125">
        <w:rPr>
          <w:rFonts w:ascii="Arial" w:hAnsi="Arial"/>
          <w:color w:val="000000" w:themeColor="text1"/>
        </w:rPr>
        <w:t xml:space="preserve">OOP payments as a percentage of total health expenditure, </w:t>
      </w:r>
      <w:r w:rsidR="005E53E6" w:rsidRPr="00614125">
        <w:rPr>
          <w:rFonts w:ascii="Arial" w:hAnsi="Arial"/>
          <w:color w:val="000000" w:themeColor="text1"/>
        </w:rPr>
        <w:t xml:space="preserve">GDP per capita, </w:t>
      </w:r>
      <w:r w:rsidR="009B4084" w:rsidRPr="00614125">
        <w:rPr>
          <w:rFonts w:ascii="Arial" w:hAnsi="Arial"/>
          <w:color w:val="000000" w:themeColor="text1"/>
        </w:rPr>
        <w:t>gender (</w:t>
      </w:r>
      <w:r w:rsidR="005E53E6" w:rsidRPr="00614125">
        <w:rPr>
          <w:rFonts w:ascii="Arial" w:hAnsi="Arial"/>
          <w:color w:val="000000" w:themeColor="text1"/>
        </w:rPr>
        <w:t>proportion female</w:t>
      </w:r>
      <w:r w:rsidR="009B4084" w:rsidRPr="00614125">
        <w:rPr>
          <w:rFonts w:ascii="Arial" w:hAnsi="Arial"/>
          <w:color w:val="000000" w:themeColor="text1"/>
        </w:rPr>
        <w:t>),</w:t>
      </w:r>
      <w:r w:rsidR="005E53E6" w:rsidRPr="00614125">
        <w:rPr>
          <w:rFonts w:ascii="Arial" w:hAnsi="Arial"/>
          <w:color w:val="000000" w:themeColor="text1"/>
        </w:rPr>
        <w:t xml:space="preserve"> </w:t>
      </w:r>
      <w:r w:rsidR="009B4084" w:rsidRPr="00614125">
        <w:rPr>
          <w:rFonts w:ascii="Arial" w:hAnsi="Arial"/>
          <w:color w:val="000000" w:themeColor="text1"/>
        </w:rPr>
        <w:t xml:space="preserve">the proportion of the </w:t>
      </w:r>
      <w:r w:rsidR="005E53E6" w:rsidRPr="00614125">
        <w:rPr>
          <w:rFonts w:ascii="Arial" w:hAnsi="Arial"/>
          <w:color w:val="000000" w:themeColor="text1"/>
        </w:rPr>
        <w:t>elderly in</w:t>
      </w:r>
      <w:r w:rsidR="009B4084" w:rsidRPr="00614125">
        <w:rPr>
          <w:rFonts w:ascii="Arial" w:hAnsi="Arial"/>
          <w:color w:val="000000" w:themeColor="text1"/>
        </w:rPr>
        <w:t xml:space="preserve"> the</w:t>
      </w:r>
      <w:r w:rsidR="005E53E6" w:rsidRPr="00614125">
        <w:rPr>
          <w:rFonts w:ascii="Arial" w:hAnsi="Arial"/>
          <w:color w:val="000000" w:themeColor="text1"/>
        </w:rPr>
        <w:t xml:space="preserve"> population</w:t>
      </w:r>
      <w:r w:rsidR="009B4084" w:rsidRPr="00614125">
        <w:rPr>
          <w:rFonts w:ascii="Arial" w:hAnsi="Arial"/>
          <w:color w:val="000000" w:themeColor="text1"/>
        </w:rPr>
        <w:t>,</w:t>
      </w:r>
      <w:r w:rsidR="005E53E6" w:rsidRPr="00614125">
        <w:rPr>
          <w:rFonts w:ascii="Arial" w:hAnsi="Arial"/>
          <w:color w:val="000000" w:themeColor="text1"/>
        </w:rPr>
        <w:t xml:space="preserve"> and </w:t>
      </w:r>
      <w:r w:rsidR="009B4084" w:rsidRPr="00614125">
        <w:rPr>
          <w:rFonts w:ascii="Arial" w:hAnsi="Arial"/>
          <w:color w:val="000000" w:themeColor="text1"/>
        </w:rPr>
        <w:t>the</w:t>
      </w:r>
      <w:r w:rsidR="00E52BC2" w:rsidRPr="00614125">
        <w:rPr>
          <w:rFonts w:ascii="Arial" w:hAnsi="Arial"/>
          <w:color w:val="000000" w:themeColor="text1"/>
        </w:rPr>
        <w:t xml:space="preserve"> </w:t>
      </w:r>
      <w:r w:rsidR="005E53E6" w:rsidRPr="00614125">
        <w:rPr>
          <w:rFonts w:ascii="Arial" w:hAnsi="Arial"/>
          <w:color w:val="000000" w:themeColor="text1"/>
        </w:rPr>
        <w:t xml:space="preserve">population </w:t>
      </w:r>
      <w:r w:rsidR="00F97BE5" w:rsidRPr="00614125">
        <w:rPr>
          <w:rFonts w:ascii="Arial" w:hAnsi="Arial"/>
          <w:color w:val="000000" w:themeColor="text1"/>
        </w:rPr>
        <w:t xml:space="preserve">of </w:t>
      </w:r>
      <w:r w:rsidR="005E53E6" w:rsidRPr="00614125">
        <w:rPr>
          <w:rFonts w:ascii="Arial" w:hAnsi="Arial"/>
          <w:color w:val="000000" w:themeColor="text1"/>
        </w:rPr>
        <w:t>the country</w:t>
      </w:r>
      <w:r w:rsidR="00EE6CC5" w:rsidRPr="00614125">
        <w:rPr>
          <w:rFonts w:ascii="Arial" w:hAnsi="Arial"/>
          <w:color w:val="000000" w:themeColor="text1"/>
        </w:rPr>
        <w:t xml:space="preserve">. </w:t>
      </w:r>
    </w:p>
    <w:p w14:paraId="1C2D1E20" w14:textId="52047C4A" w:rsidR="005E53E6" w:rsidRPr="00614125" w:rsidRDefault="005E53E6"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  </w:t>
      </w:r>
    </w:p>
    <w:p w14:paraId="09E974D7" w14:textId="05C084D5" w:rsidR="00FB3E22" w:rsidRPr="00614125" w:rsidRDefault="006422D2" w:rsidP="00337D8B">
      <w:pPr>
        <w:spacing w:before="120" w:after="120" w:line="360" w:lineRule="auto"/>
        <w:jc w:val="both"/>
        <w:rPr>
          <w:rFonts w:ascii="Arial" w:eastAsia="Times New Roman" w:hAnsi="Arial" w:cs="Times New Roman"/>
          <w:color w:val="000000" w:themeColor="text1"/>
          <w:shd w:val="clear" w:color="auto" w:fill="FFFFFF"/>
          <w:lang w:eastAsia="en-GB"/>
        </w:rPr>
      </w:pPr>
      <w:r w:rsidRPr="00614125">
        <w:rPr>
          <w:rFonts w:ascii="Arial" w:hAnsi="Arial"/>
          <w:color w:val="000000" w:themeColor="text1"/>
        </w:rPr>
        <w:t xml:space="preserve">Since the values of UHC indices ranged between 0% and </w:t>
      </w:r>
      <w:r w:rsidRPr="00614125">
        <w:rPr>
          <w:rFonts w:ascii="Arial" w:eastAsia="Times New Roman" w:hAnsi="Arial" w:cs="Times New Roman"/>
          <w:color w:val="000000" w:themeColor="text1"/>
          <w:shd w:val="clear" w:color="auto" w:fill="FFFFFF"/>
          <w:lang w:eastAsia="en-GB"/>
        </w:rPr>
        <w:t>100%, we tra</w:t>
      </w:r>
      <w:r w:rsidR="00943F03" w:rsidRPr="00614125">
        <w:rPr>
          <w:rFonts w:ascii="Arial" w:eastAsia="Times New Roman" w:hAnsi="Arial" w:cs="Times New Roman"/>
          <w:color w:val="000000" w:themeColor="text1"/>
          <w:shd w:val="clear" w:color="auto" w:fill="FFFFFF"/>
          <w:lang w:eastAsia="en-GB"/>
        </w:rPr>
        <w:t>n</w:t>
      </w:r>
      <w:r w:rsidRPr="00614125">
        <w:rPr>
          <w:rFonts w:ascii="Arial" w:eastAsia="Times New Roman" w:hAnsi="Arial" w:cs="Times New Roman"/>
          <w:color w:val="000000" w:themeColor="text1"/>
          <w:shd w:val="clear" w:color="auto" w:fill="FFFFFF"/>
          <w:lang w:eastAsia="en-GB"/>
        </w:rPr>
        <w:t>sforme</w:t>
      </w:r>
      <w:r w:rsidR="00943F03" w:rsidRPr="00614125">
        <w:rPr>
          <w:rFonts w:ascii="Arial" w:eastAsia="Times New Roman" w:hAnsi="Arial" w:cs="Times New Roman"/>
          <w:color w:val="000000" w:themeColor="text1"/>
          <w:shd w:val="clear" w:color="auto" w:fill="FFFFFF"/>
          <w:lang w:eastAsia="en-GB"/>
        </w:rPr>
        <w:t xml:space="preserve">d them into </w:t>
      </w:r>
      <w:r w:rsidR="00FB3E22" w:rsidRPr="00614125">
        <w:rPr>
          <w:rFonts w:ascii="Arial" w:eastAsia="Times New Roman" w:hAnsi="Arial" w:cs="Times New Roman"/>
          <w:color w:val="000000" w:themeColor="text1"/>
          <w:shd w:val="clear" w:color="auto" w:fill="FFFFFF"/>
          <w:lang w:eastAsia="en-GB"/>
        </w:rPr>
        <w:t xml:space="preserve">the logit function, which is the inverse of </w:t>
      </w:r>
      <w:r w:rsidR="00DE1D36" w:rsidRPr="00614125">
        <w:rPr>
          <w:rFonts w:ascii="Arial" w:eastAsia="Times New Roman" w:hAnsi="Arial" w:cs="Times New Roman"/>
          <w:color w:val="000000" w:themeColor="text1"/>
          <w:shd w:val="clear" w:color="auto" w:fill="FFFFFF"/>
          <w:lang w:eastAsia="en-GB"/>
        </w:rPr>
        <w:t xml:space="preserve">the </w:t>
      </w:r>
      <w:r w:rsidR="00FB3E22" w:rsidRPr="00614125">
        <w:rPr>
          <w:rFonts w:ascii="Arial" w:eastAsia="Times New Roman" w:hAnsi="Arial" w:cs="Times New Roman"/>
          <w:noProof/>
          <w:color w:val="000000" w:themeColor="text1"/>
          <w:shd w:val="clear" w:color="auto" w:fill="FFFFFF"/>
          <w:lang w:eastAsia="en-GB"/>
        </w:rPr>
        <w:t>logistic</w:t>
      </w:r>
      <w:r w:rsidR="00FB3E22" w:rsidRPr="00614125">
        <w:rPr>
          <w:rFonts w:ascii="Arial" w:eastAsia="Times New Roman" w:hAnsi="Arial" w:cs="Times New Roman"/>
          <w:color w:val="000000" w:themeColor="text1"/>
          <w:shd w:val="clear" w:color="auto" w:fill="FFFFFF"/>
          <w:lang w:eastAsia="en-GB"/>
        </w:rPr>
        <w:t xml:space="preserve"> transform.  When the function's variable represents a probability p, the logit function gives the log-odds, </w:t>
      </w:r>
      <w:r w:rsidR="006C2B0C" w:rsidRPr="00614125">
        <w:rPr>
          <w:rFonts w:ascii="Arial" w:eastAsia="Times New Roman" w:hAnsi="Arial" w:cs="Times New Roman"/>
          <w:color w:val="000000" w:themeColor="text1"/>
          <w:shd w:val="clear" w:color="auto" w:fill="FFFFFF"/>
          <w:lang w:eastAsia="en-GB"/>
        </w:rPr>
        <w:t xml:space="preserve">that is, </w:t>
      </w:r>
      <w:r w:rsidR="00FB3E22" w:rsidRPr="00614125">
        <w:rPr>
          <w:rFonts w:ascii="Arial" w:eastAsia="Times New Roman" w:hAnsi="Arial" w:cs="Times New Roman"/>
          <w:color w:val="000000" w:themeColor="text1"/>
          <w:shd w:val="clear" w:color="auto" w:fill="FFFFFF"/>
          <w:lang w:eastAsia="en-GB"/>
        </w:rPr>
        <w:t>the logarithm of the odds p</w:t>
      </w:r>
      <w:proofErr w:type="gramStart"/>
      <w:r w:rsidR="00FB3E22" w:rsidRPr="00614125">
        <w:rPr>
          <w:rFonts w:ascii="Arial" w:eastAsia="Times New Roman" w:hAnsi="Arial" w:cs="Times New Roman"/>
          <w:color w:val="000000" w:themeColor="text1"/>
          <w:shd w:val="clear" w:color="auto" w:fill="FFFFFF"/>
          <w:lang w:eastAsia="en-GB"/>
        </w:rPr>
        <w:t>/(</w:t>
      </w:r>
      <w:proofErr w:type="gramEnd"/>
      <w:r w:rsidR="00FB3E22" w:rsidRPr="00614125">
        <w:rPr>
          <w:rFonts w:ascii="Arial" w:eastAsia="Times New Roman" w:hAnsi="Arial" w:cs="Times New Roman"/>
          <w:color w:val="000000" w:themeColor="text1"/>
          <w:shd w:val="clear" w:color="auto" w:fill="FFFFFF"/>
          <w:lang w:eastAsia="en-GB"/>
        </w:rPr>
        <w:t>1 − p). We predict</w:t>
      </w:r>
      <w:r w:rsidR="006C2B0C" w:rsidRPr="00614125">
        <w:rPr>
          <w:rFonts w:ascii="Arial" w:eastAsia="Times New Roman" w:hAnsi="Arial" w:cs="Times New Roman"/>
          <w:color w:val="000000" w:themeColor="text1"/>
          <w:shd w:val="clear" w:color="auto" w:fill="FFFFFF"/>
          <w:lang w:eastAsia="en-GB"/>
        </w:rPr>
        <w:t>ed</w:t>
      </w:r>
      <w:r w:rsidR="00FB3E22" w:rsidRPr="00614125">
        <w:rPr>
          <w:rFonts w:ascii="Arial" w:eastAsia="Times New Roman" w:hAnsi="Arial" w:cs="Times New Roman"/>
          <w:color w:val="000000" w:themeColor="text1"/>
          <w:shd w:val="clear" w:color="auto" w:fill="FFFFFF"/>
          <w:lang w:eastAsia="en-GB"/>
        </w:rPr>
        <w:t xml:space="preserve"> the log-odds with OOP payments as a share of total health expenditure in </w:t>
      </w:r>
      <w:r w:rsidR="006C2B0C" w:rsidRPr="00614125">
        <w:rPr>
          <w:rFonts w:ascii="Arial" w:eastAsia="Times New Roman" w:hAnsi="Arial" w:cs="Times New Roman"/>
          <w:color w:val="000000" w:themeColor="text1"/>
          <w:shd w:val="clear" w:color="auto" w:fill="FFFFFF"/>
          <w:lang w:eastAsia="en-GB"/>
        </w:rPr>
        <w:t xml:space="preserve">each </w:t>
      </w:r>
      <w:r w:rsidR="00FB3E22" w:rsidRPr="00614125">
        <w:rPr>
          <w:rFonts w:ascii="Arial" w:eastAsia="Times New Roman" w:hAnsi="Arial" w:cs="Times New Roman"/>
          <w:color w:val="000000" w:themeColor="text1"/>
          <w:shd w:val="clear" w:color="auto" w:fill="FFFFFF"/>
          <w:lang w:eastAsia="en-GB"/>
        </w:rPr>
        <w:t>countr</w:t>
      </w:r>
      <w:r w:rsidR="006C2B0C" w:rsidRPr="00614125">
        <w:rPr>
          <w:rFonts w:ascii="Arial" w:eastAsia="Times New Roman" w:hAnsi="Arial" w:cs="Times New Roman"/>
          <w:color w:val="000000" w:themeColor="text1"/>
          <w:shd w:val="clear" w:color="auto" w:fill="FFFFFF"/>
          <w:lang w:eastAsia="en-GB"/>
        </w:rPr>
        <w:t>y</w:t>
      </w:r>
      <w:r w:rsidR="00FB3E22" w:rsidRPr="00614125">
        <w:rPr>
          <w:rFonts w:ascii="Arial" w:eastAsia="Times New Roman" w:hAnsi="Arial" w:cs="Times New Roman"/>
          <w:color w:val="000000" w:themeColor="text1"/>
          <w:shd w:val="clear" w:color="auto" w:fill="FFFFFF"/>
          <w:lang w:eastAsia="en-GB"/>
        </w:rPr>
        <w:t xml:space="preserve">. </w:t>
      </w:r>
      <w:r w:rsidR="00635572" w:rsidRPr="00614125">
        <w:rPr>
          <w:rFonts w:ascii="Arial" w:eastAsia="Times New Roman" w:hAnsi="Arial" w:cs="Times New Roman"/>
          <w:color w:val="000000" w:themeColor="text1"/>
          <w:shd w:val="clear" w:color="auto" w:fill="FFFFFF"/>
          <w:lang w:eastAsia="en-GB"/>
        </w:rPr>
        <w:t>Equation</w:t>
      </w:r>
      <w:r w:rsidR="008C0105" w:rsidRPr="00614125">
        <w:rPr>
          <w:rFonts w:ascii="Arial" w:eastAsia="Times New Roman" w:hAnsi="Arial" w:cs="Times New Roman"/>
          <w:color w:val="000000" w:themeColor="text1"/>
          <w:shd w:val="clear" w:color="auto" w:fill="FFFFFF"/>
          <w:lang w:eastAsia="en-GB"/>
        </w:rPr>
        <w:t xml:space="preserve"> (2)</w:t>
      </w:r>
      <w:r w:rsidR="00635572" w:rsidRPr="00614125">
        <w:rPr>
          <w:rFonts w:ascii="Arial" w:eastAsia="Times New Roman" w:hAnsi="Arial" w:cs="Times New Roman"/>
          <w:color w:val="000000" w:themeColor="text1"/>
          <w:shd w:val="clear" w:color="auto" w:fill="FFFFFF"/>
          <w:lang w:eastAsia="en-GB"/>
        </w:rPr>
        <w:t xml:space="preserve"> below was used in this estimation.</w:t>
      </w:r>
    </w:p>
    <w:p w14:paraId="5C340CF5" w14:textId="77777777" w:rsidR="00FB3E22" w:rsidRPr="00614125" w:rsidRDefault="00FB3E22" w:rsidP="00337D8B">
      <w:pPr>
        <w:spacing w:before="120" w:after="120" w:line="360" w:lineRule="auto"/>
        <w:rPr>
          <w:rFonts w:ascii="Arial" w:eastAsia="Times New Roman" w:hAnsi="Arial" w:cs="Times New Roman"/>
          <w:color w:val="000000" w:themeColor="text1"/>
          <w:shd w:val="clear" w:color="auto" w:fill="FFFFFF"/>
          <w:lang w:eastAsia="en-GB"/>
        </w:rPr>
      </w:pPr>
    </w:p>
    <w:p w14:paraId="53E1FD54" w14:textId="38C7A63A" w:rsidR="00635572" w:rsidRPr="00614125" w:rsidRDefault="00635572" w:rsidP="00337D8B">
      <w:pPr>
        <w:spacing w:before="120" w:after="120" w:line="360" w:lineRule="auto"/>
        <w:jc w:val="center"/>
        <w:rPr>
          <w:rFonts w:ascii="Arial" w:eastAsia="Times New Roman" w:hAnsi="Arial" w:cs="Times New Roman"/>
          <w:color w:val="000000" w:themeColor="text1"/>
          <w:shd w:val="clear" w:color="auto" w:fill="FFFFFF"/>
          <w:lang w:eastAsia="en-GB"/>
        </w:rPr>
      </w:pPr>
      <w:r w:rsidRPr="00614125">
        <w:rPr>
          <w:rFonts w:ascii="Arial" w:eastAsia="Times New Roman" w:hAnsi="Arial" w:cs="Times New Roman"/>
          <w:color w:val="000000" w:themeColor="text1"/>
          <w:shd w:val="clear" w:color="auto" w:fill="FFFFFF"/>
          <w:lang w:eastAsia="en-GB"/>
        </w:rPr>
        <w:t>Logit</w:t>
      </w:r>
      <m:oMath>
        <m:d>
          <m:dPr>
            <m:begChr m:val="{"/>
            <m:endChr m:val="}"/>
            <m:ctrlPr>
              <w:rPr>
                <w:rFonts w:ascii="Cambria Math" w:eastAsia="Times New Roman" w:hAnsi="Cambria Math" w:cs="Times New Roman"/>
                <w:i/>
                <w:color w:val="000000" w:themeColor="text1"/>
                <w:shd w:val="clear" w:color="auto" w:fill="FFFFFF"/>
                <w:lang w:eastAsia="en-GB"/>
              </w:rPr>
            </m:ctrlPr>
          </m:dPr>
          <m:e>
            <m:r>
              <w:rPr>
                <w:rFonts w:ascii="Cambria Math" w:eastAsia="Times New Roman" w:hAnsi="Cambria Math" w:cs="Times New Roman"/>
                <w:color w:val="000000" w:themeColor="text1"/>
                <w:shd w:val="clear" w:color="auto" w:fill="FFFFFF"/>
                <w:lang w:eastAsia="en-GB"/>
              </w:rPr>
              <m:t>p</m:t>
            </m:r>
          </m:e>
          <m:e>
            <m:r>
              <w:rPr>
                <w:rFonts w:ascii="Cambria Math" w:eastAsia="Times New Roman" w:hAnsi="Cambria Math" w:cs="Times New Roman"/>
                <w:color w:val="000000" w:themeColor="text1"/>
                <w:shd w:val="clear" w:color="auto" w:fill="FFFFFF"/>
                <w:lang w:eastAsia="en-GB"/>
              </w:rPr>
              <m:t>(1-p)</m:t>
            </m:r>
          </m:e>
        </m:d>
        <m:r>
          <w:rPr>
            <w:rFonts w:ascii="Cambria Math" w:eastAsia="Times New Roman" w:hAnsi="Cambria Math" w:cs="Times New Roman"/>
            <w:color w:val="000000" w:themeColor="text1"/>
            <w:shd w:val="clear" w:color="auto" w:fill="FFFFFF"/>
            <w:lang w:eastAsia="en-GB"/>
          </w:rPr>
          <m:t xml:space="preserve">= α+ </m:t>
        </m:r>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β</m:t>
            </m:r>
          </m:e>
          <m:sub>
            <m:r>
              <w:rPr>
                <w:rFonts w:ascii="Cambria Math" w:eastAsia="Times New Roman" w:hAnsi="Cambria Math" w:cs="Times New Roman"/>
                <w:color w:val="000000" w:themeColor="text1"/>
                <w:shd w:val="clear" w:color="auto" w:fill="FFFFFF"/>
                <w:lang w:eastAsia="en-GB"/>
              </w:rPr>
              <m:t>1</m:t>
            </m:r>
          </m:sub>
        </m:sSub>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1</m:t>
            </m:r>
          </m:sub>
        </m:sSub>
        <m:r>
          <w:rPr>
            <w:rFonts w:ascii="Cambria Math" w:eastAsia="Times New Roman" w:hAnsi="Cambria Math" w:cs="Times New Roman"/>
            <w:color w:val="000000" w:themeColor="text1"/>
            <w:shd w:val="clear" w:color="auto" w:fill="FFFFFF"/>
            <w:lang w:eastAsia="en-GB"/>
          </w:rPr>
          <m:t xml:space="preserve">+ </m:t>
        </m:r>
        <m:sSub>
          <m:sSubPr>
            <m:ctrlPr>
              <w:rPr>
                <w:rFonts w:ascii="Cambria Math" w:eastAsia="Times New Roman" w:hAnsi="Cambria Math" w:cs="Times New Roman"/>
                <w:i/>
                <w:color w:val="000000" w:themeColor="text1"/>
                <w:shd w:val="clear" w:color="auto" w:fill="FFFFFF"/>
                <w:lang w:eastAsia="en-GB"/>
              </w:rPr>
            </m:ctrlPr>
          </m:sSubPr>
          <m:e>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β</m:t>
                </m:r>
              </m:e>
              <m:sub>
                <m:r>
                  <w:rPr>
                    <w:rFonts w:ascii="Cambria Math" w:eastAsia="Times New Roman" w:hAnsi="Cambria Math" w:cs="Times New Roman"/>
                    <w:color w:val="000000" w:themeColor="text1"/>
                    <w:shd w:val="clear" w:color="auto" w:fill="FFFFFF"/>
                    <w:lang w:eastAsia="en-GB"/>
                  </w:rPr>
                  <m:t>2</m:t>
                </m:r>
              </m:sub>
            </m:sSub>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2</m:t>
            </m:r>
          </m:sub>
        </m:sSub>
        <m:r>
          <w:rPr>
            <w:rFonts w:ascii="Cambria Math" w:eastAsia="Times New Roman" w:hAnsi="Cambria Math" w:cs="Times New Roman"/>
            <w:color w:val="000000" w:themeColor="text1"/>
            <w:shd w:val="clear" w:color="auto" w:fill="FFFFFF"/>
            <w:lang w:eastAsia="en-GB"/>
          </w:rPr>
          <m:t xml:space="preserve">+ </m:t>
        </m:r>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β</m:t>
            </m:r>
          </m:e>
          <m:sub>
            <m:r>
              <w:rPr>
                <w:rFonts w:ascii="Cambria Math" w:eastAsia="Times New Roman" w:hAnsi="Cambria Math" w:cs="Times New Roman"/>
                <w:color w:val="000000" w:themeColor="text1"/>
                <w:shd w:val="clear" w:color="auto" w:fill="FFFFFF"/>
                <w:lang w:eastAsia="en-GB"/>
              </w:rPr>
              <m:t>3</m:t>
            </m:r>
          </m:sub>
        </m:sSub>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 xml:space="preserve">3 </m:t>
            </m:r>
          </m:sub>
        </m:sSub>
        <m:r>
          <w:rPr>
            <w:rFonts w:ascii="Cambria Math" w:eastAsia="Times New Roman" w:hAnsi="Cambria Math" w:cs="Times New Roman"/>
            <w:color w:val="000000" w:themeColor="text1"/>
            <w:shd w:val="clear" w:color="auto" w:fill="FFFFFF"/>
            <w:lang w:eastAsia="en-GB"/>
          </w:rPr>
          <m:t>+</m:t>
        </m:r>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β</m:t>
            </m:r>
          </m:e>
          <m:sub>
            <m:r>
              <w:rPr>
                <w:rFonts w:ascii="Cambria Math" w:eastAsia="Times New Roman" w:hAnsi="Cambria Math" w:cs="Times New Roman"/>
                <w:color w:val="000000" w:themeColor="text1"/>
                <w:shd w:val="clear" w:color="auto" w:fill="FFFFFF"/>
                <w:lang w:eastAsia="en-GB"/>
              </w:rPr>
              <m:t>4</m:t>
            </m:r>
          </m:sub>
        </m:sSub>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4</m:t>
            </m:r>
          </m:sub>
        </m:sSub>
        <m:r>
          <w:rPr>
            <w:rFonts w:ascii="Cambria Math" w:eastAsia="Times New Roman" w:hAnsi="Cambria Math" w:cs="Times New Roman"/>
            <w:color w:val="000000" w:themeColor="text1"/>
            <w:shd w:val="clear" w:color="auto" w:fill="FFFFFF"/>
            <w:lang w:eastAsia="en-GB"/>
          </w:rPr>
          <m:t xml:space="preserve">+ </m:t>
        </m:r>
        <m:sSub>
          <m:sSubPr>
            <m:ctrlPr>
              <w:rPr>
                <w:rFonts w:ascii="Cambria Math" w:eastAsia="Times New Roman" w:hAnsi="Cambria Math" w:cs="Times New Roman"/>
                <w:i/>
                <w:color w:val="000000" w:themeColor="text1"/>
                <w:shd w:val="clear" w:color="auto" w:fill="FFFFFF"/>
                <w:lang w:eastAsia="en-GB"/>
              </w:rPr>
            </m:ctrlPr>
          </m:sSubPr>
          <m:e>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β</m:t>
                </m:r>
              </m:e>
              <m:sub>
                <m:r>
                  <w:rPr>
                    <w:rFonts w:ascii="Cambria Math" w:eastAsia="Times New Roman" w:hAnsi="Cambria Math" w:cs="Times New Roman"/>
                    <w:color w:val="000000" w:themeColor="text1"/>
                    <w:shd w:val="clear" w:color="auto" w:fill="FFFFFF"/>
                    <w:lang w:eastAsia="en-GB"/>
                  </w:rPr>
                  <m:t>5</m:t>
                </m:r>
              </m:sub>
            </m:sSub>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 xml:space="preserve">5 </m:t>
            </m:r>
          </m:sub>
        </m:sSub>
        <m:r>
          <w:rPr>
            <w:rFonts w:ascii="Cambria Math" w:eastAsia="Times New Roman" w:hAnsi="Cambria Math" w:cs="Times New Roman"/>
            <w:color w:val="000000" w:themeColor="text1"/>
            <w:shd w:val="clear" w:color="auto" w:fill="FFFFFF"/>
            <w:lang w:eastAsia="en-GB"/>
          </w:rPr>
          <m:t>+ ε</m:t>
        </m:r>
      </m:oMath>
      <w:r w:rsidR="00824F54" w:rsidRPr="00614125">
        <w:rPr>
          <w:rFonts w:ascii="Arial" w:eastAsia="Times New Roman" w:hAnsi="Arial" w:cs="Times New Roman"/>
          <w:color w:val="000000" w:themeColor="text1"/>
          <w:shd w:val="clear" w:color="auto" w:fill="FFFFFF"/>
          <w:lang w:eastAsia="en-GB"/>
        </w:rPr>
        <w:t xml:space="preserve"> … … </w:t>
      </w:r>
      <w:r w:rsidR="008C0105" w:rsidRPr="00614125">
        <w:rPr>
          <w:rFonts w:ascii="Arial" w:eastAsia="Times New Roman" w:hAnsi="Arial" w:cs="Times New Roman"/>
          <w:color w:val="000000" w:themeColor="text1"/>
          <w:shd w:val="clear" w:color="auto" w:fill="FFFFFF"/>
          <w:lang w:eastAsia="en-GB"/>
        </w:rPr>
        <w:t>(2)</w:t>
      </w:r>
      <w:r w:rsidR="00824F54" w:rsidRPr="00614125">
        <w:rPr>
          <w:rFonts w:ascii="Arial" w:eastAsia="Times New Roman" w:hAnsi="Arial" w:cs="Times New Roman"/>
          <w:color w:val="000000" w:themeColor="text1"/>
          <w:shd w:val="clear" w:color="auto" w:fill="FFFFFF"/>
          <w:lang w:eastAsia="en-GB"/>
        </w:rPr>
        <w:t>]</w:t>
      </w:r>
    </w:p>
    <w:p w14:paraId="1FC04FB1" w14:textId="77777777" w:rsidR="00224343" w:rsidRPr="00614125" w:rsidRDefault="006422D2" w:rsidP="00337D8B">
      <w:pPr>
        <w:spacing w:before="120" w:after="120" w:line="360" w:lineRule="auto"/>
        <w:rPr>
          <w:rFonts w:ascii="Arial" w:hAnsi="Arial"/>
          <w:color w:val="000000" w:themeColor="text1"/>
        </w:rPr>
      </w:pPr>
      <w:r w:rsidRPr="00614125">
        <w:rPr>
          <w:rFonts w:ascii="Arial" w:hAnsi="Arial"/>
          <w:color w:val="000000" w:themeColor="text1"/>
        </w:rPr>
        <w:t xml:space="preserve"> </w:t>
      </w:r>
    </w:p>
    <w:p w14:paraId="2FBDFA6A" w14:textId="3CE0AB15" w:rsidR="007118EC" w:rsidRPr="00614125" w:rsidRDefault="00635572" w:rsidP="00337D8B">
      <w:pPr>
        <w:spacing w:before="120" w:after="120" w:line="360" w:lineRule="auto"/>
        <w:rPr>
          <w:rFonts w:ascii="Arial" w:hAnsi="Arial"/>
          <w:color w:val="000000" w:themeColor="text1"/>
        </w:rPr>
      </w:pPr>
      <w:r w:rsidRPr="00614125">
        <w:rPr>
          <w:rFonts w:ascii="Arial" w:hAnsi="Arial"/>
          <w:color w:val="000000" w:themeColor="text1"/>
        </w:rPr>
        <w:t xml:space="preserve">Where </w:t>
      </w:r>
      <m:oMath>
        <m:r>
          <w:rPr>
            <w:rFonts w:ascii="Cambria Math" w:eastAsia="Times New Roman" w:hAnsi="Cambria Math" w:cs="Times New Roman"/>
            <w:color w:val="000000" w:themeColor="text1"/>
            <w:shd w:val="clear" w:color="auto" w:fill="FFFFFF"/>
            <w:lang w:eastAsia="en-GB"/>
          </w:rPr>
          <m:t>p</m:t>
        </m:r>
      </m:oMath>
      <w:r w:rsidR="00DB192A" w:rsidRPr="00614125" w:rsidDel="00DB192A">
        <w:rPr>
          <w:rFonts w:ascii="Arial" w:hAnsi="Arial"/>
          <w:color w:val="000000" w:themeColor="text1"/>
        </w:rPr>
        <w:t xml:space="preserve"> </w:t>
      </w:r>
      <w:r w:rsidRPr="00614125">
        <w:rPr>
          <w:rFonts w:ascii="Arial" w:hAnsi="Arial"/>
          <w:color w:val="000000" w:themeColor="text1"/>
        </w:rPr>
        <w:t>denotes the probability of incurring a specific UHC index,</w:t>
      </w:r>
      <m:oMath>
        <m:r>
          <w:rPr>
            <w:rFonts w:ascii="Cambria Math" w:eastAsia="Times New Roman" w:hAnsi="Cambria Math" w:cs="Times New Roman"/>
            <w:color w:val="000000" w:themeColor="text1"/>
            <w:shd w:val="clear" w:color="auto" w:fill="FFFFFF"/>
            <w:lang w:eastAsia="en-GB"/>
          </w:rPr>
          <m:t xml:space="preserve"> α</m:t>
        </m:r>
      </m:oMath>
      <w:r w:rsidRPr="00614125">
        <w:rPr>
          <w:rFonts w:ascii="Arial" w:hAnsi="Arial"/>
          <w:color w:val="000000" w:themeColor="text1"/>
        </w:rPr>
        <w:t xml:space="preserve"> </w:t>
      </w:r>
      <w:r w:rsidR="00224343" w:rsidRPr="00614125">
        <w:rPr>
          <w:rFonts w:ascii="Arial" w:hAnsi="Arial"/>
          <w:color w:val="000000" w:themeColor="text1"/>
        </w:rPr>
        <w:t xml:space="preserve">a constant, </w:t>
      </w:r>
      <m:oMath>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1</m:t>
            </m:r>
          </m:sub>
        </m:sSub>
      </m:oMath>
      <w:r w:rsidR="00224343" w:rsidRPr="00614125">
        <w:rPr>
          <w:rFonts w:ascii="Arial" w:eastAsiaTheme="minorEastAsia" w:hAnsi="Arial"/>
          <w:color w:val="000000" w:themeColor="text1"/>
          <w:shd w:val="clear" w:color="auto" w:fill="FFFFFF"/>
          <w:lang w:eastAsia="en-GB"/>
        </w:rPr>
        <w:t xml:space="preserve"> the OOP payments as a percentage of total health expenditure, </w:t>
      </w:r>
      <m:oMath>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 xml:space="preserve">2 </m:t>
            </m:r>
          </m:sub>
        </m:sSub>
      </m:oMath>
      <w:r w:rsidR="00224343" w:rsidRPr="00614125">
        <w:rPr>
          <w:rFonts w:ascii="Arial" w:eastAsiaTheme="minorEastAsia" w:hAnsi="Arial"/>
          <w:color w:val="000000" w:themeColor="text1"/>
          <w:shd w:val="clear" w:color="auto" w:fill="FFFFFF"/>
          <w:lang w:eastAsia="en-GB"/>
        </w:rPr>
        <w:t xml:space="preserve">logged GDP per capita, </w:t>
      </w:r>
      <m:oMath>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3</m:t>
            </m:r>
          </m:sub>
        </m:sSub>
      </m:oMath>
      <w:r w:rsidR="00224343" w:rsidRPr="00614125">
        <w:rPr>
          <w:rFonts w:ascii="Arial" w:eastAsiaTheme="minorEastAsia" w:hAnsi="Arial"/>
          <w:color w:val="000000" w:themeColor="text1"/>
          <w:shd w:val="clear" w:color="auto" w:fill="FFFFFF"/>
          <w:lang w:eastAsia="en-GB"/>
        </w:rPr>
        <w:t xml:space="preserve">, </w:t>
      </w:r>
      <m:oMath>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4</m:t>
            </m:r>
          </m:sub>
        </m:sSub>
      </m:oMath>
      <w:r w:rsidR="00224343" w:rsidRPr="00614125">
        <w:rPr>
          <w:rFonts w:ascii="Arial" w:eastAsiaTheme="minorEastAsia" w:hAnsi="Arial"/>
          <w:color w:val="000000" w:themeColor="text1"/>
          <w:shd w:val="clear" w:color="auto" w:fill="FFFFFF"/>
          <w:lang w:eastAsia="en-GB"/>
        </w:rPr>
        <w:t xml:space="preserve">, </w:t>
      </w:r>
      <m:oMath>
        <m:sSub>
          <m:sSubPr>
            <m:ctrlPr>
              <w:rPr>
                <w:rFonts w:ascii="Cambria Math" w:eastAsia="Times New Roman" w:hAnsi="Cambria Math" w:cs="Times New Roman"/>
                <w:i/>
                <w:color w:val="000000" w:themeColor="text1"/>
                <w:shd w:val="clear" w:color="auto" w:fill="FFFFFF"/>
                <w:lang w:eastAsia="en-GB"/>
              </w:rPr>
            </m:ctrlPr>
          </m:sSubPr>
          <m:e>
            <m:r>
              <w:rPr>
                <w:rFonts w:ascii="Cambria Math" w:eastAsia="Times New Roman" w:hAnsi="Cambria Math" w:cs="Times New Roman"/>
                <w:color w:val="000000" w:themeColor="text1"/>
                <w:shd w:val="clear" w:color="auto" w:fill="FFFFFF"/>
                <w:lang w:eastAsia="en-GB"/>
              </w:rPr>
              <m:t>x</m:t>
            </m:r>
          </m:e>
          <m:sub>
            <m:r>
              <w:rPr>
                <w:rFonts w:ascii="Cambria Math" w:eastAsia="Times New Roman" w:hAnsi="Cambria Math" w:cs="Times New Roman"/>
                <w:color w:val="000000" w:themeColor="text1"/>
                <w:shd w:val="clear" w:color="auto" w:fill="FFFFFF"/>
                <w:lang w:eastAsia="en-GB"/>
              </w:rPr>
              <m:t>5</m:t>
            </m:r>
          </m:sub>
        </m:sSub>
      </m:oMath>
      <w:r w:rsidR="00224343" w:rsidRPr="00614125">
        <w:rPr>
          <w:rFonts w:ascii="Arial" w:eastAsiaTheme="minorEastAsia" w:hAnsi="Arial"/>
          <w:color w:val="000000" w:themeColor="text1"/>
          <w:shd w:val="clear" w:color="auto" w:fill="FFFFFF"/>
          <w:lang w:eastAsia="en-GB"/>
        </w:rPr>
        <w:t xml:space="preserve"> demographic structure and </w:t>
      </w:r>
      <m:oMath>
        <m:r>
          <w:rPr>
            <w:rFonts w:ascii="Cambria Math" w:eastAsia="Times New Roman" w:hAnsi="Cambria Math" w:cs="Times New Roman"/>
            <w:color w:val="000000" w:themeColor="text1"/>
            <w:shd w:val="clear" w:color="auto" w:fill="FFFFFF"/>
            <w:lang w:eastAsia="en-GB"/>
          </w:rPr>
          <m:t xml:space="preserve">ε </m:t>
        </m:r>
      </m:oMath>
      <w:r w:rsidR="00DE1D36" w:rsidRPr="00614125">
        <w:rPr>
          <w:rFonts w:ascii="Arial" w:eastAsiaTheme="minorEastAsia" w:hAnsi="Arial"/>
          <w:color w:val="000000" w:themeColor="text1"/>
          <w:shd w:val="clear" w:color="auto" w:fill="FFFFFF"/>
          <w:lang w:eastAsia="en-GB"/>
        </w:rPr>
        <w:t xml:space="preserve">is the </w:t>
      </w:r>
      <w:r w:rsidR="00224343" w:rsidRPr="00614125">
        <w:rPr>
          <w:rFonts w:ascii="Arial" w:eastAsiaTheme="minorEastAsia" w:hAnsi="Arial"/>
          <w:color w:val="000000" w:themeColor="text1"/>
          <w:shd w:val="clear" w:color="auto" w:fill="FFFFFF"/>
          <w:lang w:eastAsia="en-GB"/>
        </w:rPr>
        <w:t>error</w:t>
      </w:r>
      <w:r w:rsidR="00224343" w:rsidRPr="00614125">
        <w:rPr>
          <w:rFonts w:ascii="Arial" w:eastAsiaTheme="minorEastAsia" w:hAnsi="Arial"/>
          <w:noProof/>
          <w:color w:val="000000" w:themeColor="text1"/>
          <w:shd w:val="clear" w:color="auto" w:fill="FFFFFF"/>
          <w:lang w:eastAsia="en-GB"/>
        </w:rPr>
        <w:t xml:space="preserve"> t</w:t>
      </w:r>
      <w:r w:rsidR="00224343" w:rsidRPr="00614125">
        <w:rPr>
          <w:rFonts w:ascii="Arial" w:eastAsiaTheme="minorEastAsia" w:hAnsi="Arial"/>
          <w:color w:val="000000" w:themeColor="text1"/>
          <w:shd w:val="clear" w:color="auto" w:fill="FFFFFF"/>
          <w:lang w:eastAsia="en-GB"/>
        </w:rPr>
        <w:t xml:space="preserve">erm. </w:t>
      </w:r>
    </w:p>
    <w:p w14:paraId="263C886E" w14:textId="77777777" w:rsidR="007118EC" w:rsidRPr="00614125" w:rsidRDefault="007118EC" w:rsidP="00337D8B">
      <w:pPr>
        <w:spacing w:before="120" w:after="120" w:line="360" w:lineRule="auto"/>
        <w:rPr>
          <w:rFonts w:ascii="Arial" w:hAnsi="Arial"/>
          <w:color w:val="000000" w:themeColor="text1"/>
        </w:rPr>
      </w:pPr>
    </w:p>
    <w:p w14:paraId="7B4AA838" w14:textId="77777777" w:rsidR="002364A0" w:rsidRPr="00614125" w:rsidRDefault="002364A0" w:rsidP="00337D8B">
      <w:pPr>
        <w:spacing w:before="120" w:after="120" w:line="360" w:lineRule="auto"/>
        <w:rPr>
          <w:rFonts w:ascii="Arial" w:hAnsi="Arial"/>
          <w:color w:val="000000" w:themeColor="text1"/>
        </w:rPr>
      </w:pPr>
      <w:r w:rsidRPr="00614125">
        <w:rPr>
          <w:rFonts w:ascii="Arial" w:hAnsi="Arial"/>
          <w:color w:val="000000" w:themeColor="text1"/>
        </w:rPr>
        <w:t>RESULTS</w:t>
      </w:r>
    </w:p>
    <w:p w14:paraId="5F5FCB78" w14:textId="1675BEE4" w:rsidR="002B04D8" w:rsidRPr="00614125" w:rsidRDefault="002364A0" w:rsidP="00337D8B">
      <w:pPr>
        <w:spacing w:before="120" w:after="120" w:line="360" w:lineRule="auto"/>
        <w:jc w:val="both"/>
        <w:rPr>
          <w:rFonts w:ascii="Arial" w:hAnsi="Arial"/>
          <w:color w:val="000000" w:themeColor="text1"/>
        </w:rPr>
      </w:pPr>
      <w:r w:rsidRPr="00614125">
        <w:rPr>
          <w:rFonts w:ascii="Arial" w:hAnsi="Arial"/>
          <w:color w:val="000000" w:themeColor="text1"/>
        </w:rPr>
        <w:t>Based on avai</w:t>
      </w:r>
      <w:r w:rsidR="00C55A37" w:rsidRPr="00614125">
        <w:rPr>
          <w:rFonts w:ascii="Arial" w:hAnsi="Arial"/>
          <w:color w:val="000000" w:themeColor="text1"/>
        </w:rPr>
        <w:t>lable data</w:t>
      </w:r>
      <w:r w:rsidR="00DF475B" w:rsidRPr="00614125">
        <w:rPr>
          <w:rFonts w:ascii="Arial" w:hAnsi="Arial"/>
          <w:color w:val="000000" w:themeColor="text1"/>
        </w:rPr>
        <w:t xml:space="preserve">, we </w:t>
      </w:r>
      <w:r w:rsidRPr="00614125">
        <w:rPr>
          <w:rFonts w:ascii="Arial" w:hAnsi="Arial"/>
          <w:color w:val="000000" w:themeColor="text1"/>
        </w:rPr>
        <w:t>calculate</w:t>
      </w:r>
      <w:r w:rsidR="00DF475B" w:rsidRPr="00614125">
        <w:rPr>
          <w:rFonts w:ascii="Arial" w:hAnsi="Arial"/>
          <w:color w:val="000000" w:themeColor="text1"/>
        </w:rPr>
        <w:t>d</w:t>
      </w:r>
      <w:r w:rsidRPr="00614125">
        <w:rPr>
          <w:rFonts w:ascii="Arial" w:hAnsi="Arial"/>
          <w:color w:val="000000" w:themeColor="text1"/>
        </w:rPr>
        <w:t xml:space="preserve"> the indices of Universal Health Coverage (UHC-Index) for 6 Asian and 15 African countries</w:t>
      </w:r>
      <w:r w:rsidR="009572BF" w:rsidRPr="00614125">
        <w:rPr>
          <w:rFonts w:ascii="Arial" w:hAnsi="Arial"/>
          <w:color w:val="000000" w:themeColor="text1"/>
        </w:rPr>
        <w:t xml:space="preserve"> (</w:t>
      </w:r>
      <w:r w:rsidR="00005B79" w:rsidRPr="00614125">
        <w:rPr>
          <w:rFonts w:ascii="Arial" w:hAnsi="Arial"/>
          <w:color w:val="000000" w:themeColor="text1"/>
        </w:rPr>
        <w:t>T</w:t>
      </w:r>
      <w:r w:rsidR="009572BF" w:rsidRPr="00614125">
        <w:rPr>
          <w:rFonts w:ascii="Arial" w:hAnsi="Arial"/>
          <w:color w:val="000000" w:themeColor="text1"/>
        </w:rPr>
        <w:t>able 2)</w:t>
      </w:r>
      <w:r w:rsidRPr="00614125">
        <w:rPr>
          <w:rFonts w:ascii="Arial" w:hAnsi="Arial"/>
          <w:color w:val="000000" w:themeColor="text1"/>
        </w:rPr>
        <w:t xml:space="preserve">. Among the reported Asian countries, Kazakhstan </w:t>
      </w:r>
      <w:r w:rsidR="00262FA9" w:rsidRPr="00614125">
        <w:rPr>
          <w:rFonts w:ascii="Arial" w:hAnsi="Arial"/>
          <w:color w:val="000000" w:themeColor="text1"/>
        </w:rPr>
        <w:t xml:space="preserve">achieved the largest </w:t>
      </w:r>
      <w:r w:rsidR="00C55A37" w:rsidRPr="00614125">
        <w:rPr>
          <w:rFonts w:ascii="Arial" w:hAnsi="Arial"/>
          <w:color w:val="000000" w:themeColor="text1"/>
        </w:rPr>
        <w:t xml:space="preserve">UHC index </w:t>
      </w:r>
      <w:r w:rsidR="00262FA9" w:rsidRPr="00614125">
        <w:rPr>
          <w:rFonts w:ascii="Arial" w:hAnsi="Arial"/>
          <w:color w:val="000000" w:themeColor="text1"/>
        </w:rPr>
        <w:t>value (5</w:t>
      </w:r>
      <w:r w:rsidR="00B121C2" w:rsidRPr="00614125">
        <w:rPr>
          <w:rFonts w:ascii="Arial" w:hAnsi="Arial"/>
          <w:color w:val="000000" w:themeColor="text1"/>
        </w:rPr>
        <w:t>8</w:t>
      </w:r>
      <w:r w:rsidR="00262FA9" w:rsidRPr="00614125">
        <w:rPr>
          <w:rFonts w:ascii="Arial" w:hAnsi="Arial"/>
          <w:color w:val="000000" w:themeColor="text1"/>
        </w:rPr>
        <w:t>.</w:t>
      </w:r>
      <w:r w:rsidR="00B121C2" w:rsidRPr="00614125">
        <w:rPr>
          <w:rFonts w:ascii="Arial" w:hAnsi="Arial"/>
          <w:color w:val="000000" w:themeColor="text1"/>
        </w:rPr>
        <w:t>7</w:t>
      </w:r>
      <w:r w:rsidRPr="00614125">
        <w:rPr>
          <w:rFonts w:ascii="Arial" w:hAnsi="Arial"/>
          <w:color w:val="000000" w:themeColor="text1"/>
        </w:rPr>
        <w:t xml:space="preserve">%), followed by the </w:t>
      </w:r>
      <w:r w:rsidR="00262FA9" w:rsidRPr="00614125">
        <w:rPr>
          <w:rFonts w:ascii="Arial" w:hAnsi="Arial"/>
          <w:color w:val="000000" w:themeColor="text1"/>
        </w:rPr>
        <w:t>Philippines (</w:t>
      </w:r>
      <w:r w:rsidR="00B121C2" w:rsidRPr="00614125">
        <w:rPr>
          <w:rFonts w:ascii="Arial" w:hAnsi="Arial"/>
          <w:color w:val="000000" w:themeColor="text1"/>
        </w:rPr>
        <w:t>52.2</w:t>
      </w:r>
      <w:r w:rsidRPr="00614125">
        <w:rPr>
          <w:rFonts w:ascii="Arial" w:hAnsi="Arial"/>
          <w:color w:val="000000" w:themeColor="text1"/>
        </w:rPr>
        <w:t xml:space="preserve">%). Nepal achieved the lowest </w:t>
      </w:r>
      <w:r w:rsidR="00262FA9" w:rsidRPr="00614125">
        <w:rPr>
          <w:rFonts w:ascii="Arial" w:hAnsi="Arial"/>
          <w:color w:val="000000" w:themeColor="text1"/>
        </w:rPr>
        <w:t>index value (26</w:t>
      </w:r>
      <w:r w:rsidR="00CB3A6C" w:rsidRPr="00614125">
        <w:rPr>
          <w:rFonts w:ascii="Arial" w:hAnsi="Arial"/>
          <w:color w:val="000000" w:themeColor="text1"/>
        </w:rPr>
        <w:t>.0</w:t>
      </w:r>
      <w:r w:rsidR="00356C16" w:rsidRPr="00614125">
        <w:rPr>
          <w:rFonts w:ascii="Arial" w:hAnsi="Arial"/>
          <w:color w:val="000000" w:themeColor="text1"/>
        </w:rPr>
        <w:t xml:space="preserve">%). </w:t>
      </w:r>
      <w:r w:rsidR="00797CA8" w:rsidRPr="00614125">
        <w:rPr>
          <w:rFonts w:ascii="Arial" w:hAnsi="Arial"/>
          <w:color w:val="000000" w:themeColor="text1"/>
        </w:rPr>
        <w:t>The average UHC index value in Asian countries was 39.</w:t>
      </w:r>
      <w:r w:rsidR="00831CED" w:rsidRPr="00614125">
        <w:rPr>
          <w:rFonts w:ascii="Arial" w:hAnsi="Arial"/>
          <w:color w:val="000000" w:themeColor="text1"/>
        </w:rPr>
        <w:t>9</w:t>
      </w:r>
      <w:r w:rsidR="00797CA8" w:rsidRPr="00614125">
        <w:rPr>
          <w:rFonts w:ascii="Arial" w:hAnsi="Arial"/>
          <w:color w:val="000000" w:themeColor="text1"/>
        </w:rPr>
        <w:t xml:space="preserve">% </w:t>
      </w:r>
      <w:r w:rsidR="006C2B0C" w:rsidRPr="00614125">
        <w:rPr>
          <w:rFonts w:ascii="Arial" w:hAnsi="Arial"/>
          <w:color w:val="000000" w:themeColor="text1"/>
        </w:rPr>
        <w:t xml:space="preserve">with </w:t>
      </w:r>
      <w:r w:rsidR="00797CA8" w:rsidRPr="00614125">
        <w:rPr>
          <w:rFonts w:ascii="Arial" w:hAnsi="Arial"/>
          <w:color w:val="000000" w:themeColor="text1"/>
        </w:rPr>
        <w:t>only Kazakhstan and the Philippines achiev</w:t>
      </w:r>
      <w:r w:rsidR="006C2B0C" w:rsidRPr="00614125">
        <w:rPr>
          <w:rFonts w:ascii="Arial" w:hAnsi="Arial"/>
          <w:color w:val="000000" w:themeColor="text1"/>
        </w:rPr>
        <w:t>ing</w:t>
      </w:r>
      <w:r w:rsidR="00797CA8" w:rsidRPr="00614125">
        <w:rPr>
          <w:rFonts w:ascii="Arial" w:hAnsi="Arial"/>
          <w:color w:val="000000" w:themeColor="text1"/>
        </w:rPr>
        <w:t xml:space="preserve"> a higher value than </w:t>
      </w:r>
      <w:r w:rsidR="006C2B0C" w:rsidRPr="00614125">
        <w:rPr>
          <w:rFonts w:ascii="Arial" w:hAnsi="Arial"/>
          <w:color w:val="000000" w:themeColor="text1"/>
        </w:rPr>
        <w:t xml:space="preserve">this </w:t>
      </w:r>
      <w:r w:rsidR="00797CA8" w:rsidRPr="00614125">
        <w:rPr>
          <w:rFonts w:ascii="Arial" w:hAnsi="Arial"/>
          <w:color w:val="000000" w:themeColor="text1"/>
        </w:rPr>
        <w:t xml:space="preserve">average. </w:t>
      </w:r>
      <w:r w:rsidR="002B04D8" w:rsidRPr="00614125">
        <w:rPr>
          <w:rFonts w:ascii="Arial" w:hAnsi="Arial"/>
          <w:color w:val="000000" w:themeColor="text1"/>
        </w:rPr>
        <w:t xml:space="preserve">In Nepal, </w:t>
      </w:r>
      <w:r w:rsidR="003812EB" w:rsidRPr="00614125">
        <w:rPr>
          <w:rFonts w:ascii="Arial" w:hAnsi="Arial"/>
          <w:color w:val="000000" w:themeColor="text1"/>
        </w:rPr>
        <w:t xml:space="preserve">the </w:t>
      </w:r>
      <w:r w:rsidR="002B04D8" w:rsidRPr="00614125">
        <w:rPr>
          <w:rFonts w:ascii="Arial" w:hAnsi="Arial"/>
          <w:color w:val="000000" w:themeColor="text1"/>
        </w:rPr>
        <w:t>best utilization of health</w:t>
      </w:r>
      <w:r w:rsidR="002C681D" w:rsidRPr="00614125">
        <w:rPr>
          <w:rFonts w:ascii="Arial" w:hAnsi="Arial"/>
          <w:color w:val="000000" w:themeColor="text1"/>
        </w:rPr>
        <w:t xml:space="preserve"> </w:t>
      </w:r>
      <w:r w:rsidR="002B04D8" w:rsidRPr="00614125">
        <w:rPr>
          <w:rFonts w:ascii="Arial" w:hAnsi="Arial"/>
          <w:color w:val="000000" w:themeColor="text1"/>
        </w:rPr>
        <w:t xml:space="preserve">care </w:t>
      </w:r>
      <w:r w:rsidR="008A6F8A" w:rsidRPr="00614125">
        <w:rPr>
          <w:rFonts w:ascii="Arial" w:hAnsi="Arial"/>
          <w:color w:val="000000" w:themeColor="text1"/>
        </w:rPr>
        <w:t xml:space="preserve">was observed for immunization (54.2% and 82.8% in the poorest and richest </w:t>
      </w:r>
      <w:r w:rsidR="007B2B2B" w:rsidRPr="00614125">
        <w:rPr>
          <w:rFonts w:ascii="Arial" w:hAnsi="Arial"/>
          <w:color w:val="000000" w:themeColor="text1"/>
        </w:rPr>
        <w:t xml:space="preserve">quintile) </w:t>
      </w:r>
      <w:r w:rsidR="003812EB" w:rsidRPr="00614125">
        <w:rPr>
          <w:rFonts w:ascii="Arial" w:hAnsi="Arial"/>
          <w:color w:val="000000" w:themeColor="text1"/>
        </w:rPr>
        <w:t xml:space="preserve">while </w:t>
      </w:r>
      <w:r w:rsidR="007B2B2B" w:rsidRPr="00614125">
        <w:rPr>
          <w:rFonts w:ascii="Arial" w:hAnsi="Arial"/>
          <w:color w:val="000000" w:themeColor="text1"/>
        </w:rPr>
        <w:t>a</w:t>
      </w:r>
      <w:r w:rsidR="00BF2863" w:rsidRPr="00614125">
        <w:rPr>
          <w:rFonts w:ascii="Arial" w:hAnsi="Arial"/>
          <w:color w:val="000000" w:themeColor="text1"/>
        </w:rPr>
        <w:t>ll other services were utilized at a low</w:t>
      </w:r>
      <w:r w:rsidR="00831CED" w:rsidRPr="00614125">
        <w:rPr>
          <w:rFonts w:ascii="Arial" w:hAnsi="Arial"/>
          <w:color w:val="000000" w:themeColor="text1"/>
        </w:rPr>
        <w:t>er</w:t>
      </w:r>
      <w:r w:rsidR="00BF2863" w:rsidRPr="00614125">
        <w:rPr>
          <w:rFonts w:ascii="Arial" w:hAnsi="Arial"/>
          <w:color w:val="000000" w:themeColor="text1"/>
        </w:rPr>
        <w:t xml:space="preserve"> rate. For </w:t>
      </w:r>
      <w:r w:rsidR="00BF2863" w:rsidRPr="00614125">
        <w:rPr>
          <w:rFonts w:ascii="Arial" w:hAnsi="Arial"/>
          <w:color w:val="000000" w:themeColor="text1"/>
        </w:rPr>
        <w:lastRenderedPageBreak/>
        <w:t xml:space="preserve">instance, </w:t>
      </w:r>
      <w:r w:rsidR="008208B6" w:rsidRPr="00614125">
        <w:rPr>
          <w:rFonts w:ascii="Arial" w:hAnsi="Arial"/>
          <w:color w:val="000000" w:themeColor="text1"/>
        </w:rPr>
        <w:t xml:space="preserve">Medical treatment of ARI and </w:t>
      </w:r>
      <w:r w:rsidR="00BF2863" w:rsidRPr="00614125">
        <w:rPr>
          <w:rFonts w:ascii="Arial" w:hAnsi="Arial"/>
          <w:color w:val="000000" w:themeColor="text1"/>
        </w:rPr>
        <w:t xml:space="preserve">inpatient care </w:t>
      </w:r>
      <w:r w:rsidR="00CC7F4A" w:rsidRPr="00614125">
        <w:rPr>
          <w:rFonts w:ascii="Arial" w:hAnsi="Arial"/>
          <w:color w:val="000000" w:themeColor="text1"/>
        </w:rPr>
        <w:t>was</w:t>
      </w:r>
      <w:r w:rsidR="00BF2863" w:rsidRPr="00614125">
        <w:rPr>
          <w:rFonts w:ascii="Arial" w:hAnsi="Arial"/>
          <w:color w:val="000000" w:themeColor="text1"/>
        </w:rPr>
        <w:t xml:space="preserve"> utilized by only </w:t>
      </w:r>
      <w:r w:rsidR="008208B6" w:rsidRPr="00614125">
        <w:rPr>
          <w:rFonts w:ascii="Arial" w:hAnsi="Arial"/>
          <w:color w:val="000000" w:themeColor="text1"/>
        </w:rPr>
        <w:t xml:space="preserve">38.0% and </w:t>
      </w:r>
      <w:r w:rsidR="00BF2863" w:rsidRPr="00614125">
        <w:rPr>
          <w:rFonts w:ascii="Arial" w:hAnsi="Arial"/>
          <w:color w:val="000000" w:themeColor="text1"/>
        </w:rPr>
        <w:t xml:space="preserve">7.5% </w:t>
      </w:r>
      <w:r w:rsidR="008208B6" w:rsidRPr="00614125">
        <w:rPr>
          <w:rFonts w:ascii="Arial" w:hAnsi="Arial"/>
          <w:color w:val="000000" w:themeColor="text1"/>
        </w:rPr>
        <w:t xml:space="preserve">respectively </w:t>
      </w:r>
      <w:r w:rsidR="00BF2863" w:rsidRPr="00614125">
        <w:rPr>
          <w:rFonts w:ascii="Arial" w:hAnsi="Arial"/>
          <w:color w:val="000000" w:themeColor="text1"/>
        </w:rPr>
        <w:t xml:space="preserve">of </w:t>
      </w:r>
      <w:r w:rsidR="00DE1D36" w:rsidRPr="00614125">
        <w:rPr>
          <w:rFonts w:ascii="Arial" w:hAnsi="Arial"/>
          <w:color w:val="000000" w:themeColor="text1"/>
        </w:rPr>
        <w:t xml:space="preserve">the </w:t>
      </w:r>
      <w:r w:rsidR="00BF2863" w:rsidRPr="00614125">
        <w:rPr>
          <w:rFonts w:ascii="Arial" w:hAnsi="Arial"/>
          <w:noProof/>
          <w:color w:val="000000" w:themeColor="text1"/>
        </w:rPr>
        <w:t>pop</w:t>
      </w:r>
      <w:r w:rsidR="00616530" w:rsidRPr="00614125">
        <w:rPr>
          <w:rFonts w:ascii="Arial" w:hAnsi="Arial"/>
          <w:noProof/>
          <w:color w:val="000000" w:themeColor="text1"/>
        </w:rPr>
        <w:t>ulation</w:t>
      </w:r>
      <w:r w:rsidR="00616530" w:rsidRPr="00614125">
        <w:rPr>
          <w:rFonts w:ascii="Arial" w:hAnsi="Arial"/>
          <w:color w:val="000000" w:themeColor="text1"/>
        </w:rPr>
        <w:t xml:space="preserve"> in the richest quintile. </w:t>
      </w:r>
      <w:r w:rsidR="002E0E0E" w:rsidRPr="00614125">
        <w:rPr>
          <w:rFonts w:ascii="Arial" w:hAnsi="Arial"/>
          <w:color w:val="000000" w:themeColor="text1"/>
        </w:rPr>
        <w:t xml:space="preserve">  </w:t>
      </w:r>
      <w:r w:rsidR="00DE5EB9" w:rsidRPr="00614125">
        <w:rPr>
          <w:rFonts w:ascii="Arial" w:hAnsi="Arial"/>
          <w:color w:val="000000" w:themeColor="text1"/>
        </w:rPr>
        <w:t xml:space="preserve"> </w:t>
      </w:r>
      <w:r w:rsidR="00BD5F37" w:rsidRPr="00614125">
        <w:rPr>
          <w:rFonts w:ascii="Arial" w:hAnsi="Arial"/>
          <w:color w:val="000000" w:themeColor="text1"/>
        </w:rPr>
        <w:t xml:space="preserve"> </w:t>
      </w:r>
      <w:r w:rsidR="00BF2863" w:rsidRPr="00614125">
        <w:rPr>
          <w:rFonts w:ascii="Arial" w:hAnsi="Arial"/>
          <w:color w:val="000000" w:themeColor="text1"/>
        </w:rPr>
        <w:t xml:space="preserve"> </w:t>
      </w:r>
    </w:p>
    <w:p w14:paraId="790D9E05" w14:textId="77777777" w:rsidR="00082E0B" w:rsidRPr="00614125" w:rsidRDefault="00082E0B" w:rsidP="00337D8B">
      <w:pPr>
        <w:spacing w:before="120" w:after="120" w:line="360" w:lineRule="auto"/>
        <w:jc w:val="both"/>
        <w:rPr>
          <w:rFonts w:ascii="Arial" w:hAnsi="Arial"/>
          <w:color w:val="000000" w:themeColor="text1"/>
        </w:rPr>
      </w:pPr>
    </w:p>
    <w:p w14:paraId="1A742772" w14:textId="4516D282" w:rsidR="00082E0B" w:rsidRPr="00614125" w:rsidRDefault="00EE0ACD" w:rsidP="00337D8B">
      <w:pPr>
        <w:spacing w:before="120" w:after="120" w:line="360" w:lineRule="auto"/>
        <w:jc w:val="center"/>
        <w:rPr>
          <w:rFonts w:ascii="Arial" w:hAnsi="Arial"/>
          <w:color w:val="000000" w:themeColor="text1"/>
        </w:rPr>
      </w:pPr>
      <w:r w:rsidRPr="00614125">
        <w:rPr>
          <w:rFonts w:ascii="Arial" w:hAnsi="Arial"/>
          <w:color w:val="000000" w:themeColor="text1"/>
        </w:rPr>
        <w:t xml:space="preserve">Table </w:t>
      </w:r>
      <w:r w:rsidR="00B973CC" w:rsidRPr="00614125">
        <w:rPr>
          <w:rFonts w:ascii="Arial" w:hAnsi="Arial"/>
          <w:color w:val="000000" w:themeColor="text1"/>
        </w:rPr>
        <w:t>2</w:t>
      </w:r>
      <w:r w:rsidR="00082E0B" w:rsidRPr="00614125">
        <w:rPr>
          <w:rFonts w:ascii="Arial" w:hAnsi="Arial"/>
          <w:color w:val="000000" w:themeColor="text1"/>
        </w:rPr>
        <w:t xml:space="preserve"> to be inserted here</w:t>
      </w:r>
    </w:p>
    <w:p w14:paraId="7519FD2E" w14:textId="77777777" w:rsidR="00082E0B" w:rsidRPr="00614125" w:rsidRDefault="00082E0B" w:rsidP="00337D8B">
      <w:pPr>
        <w:spacing w:before="120" w:after="120" w:line="360" w:lineRule="auto"/>
        <w:jc w:val="center"/>
        <w:rPr>
          <w:rFonts w:ascii="Arial" w:hAnsi="Arial"/>
          <w:color w:val="000000" w:themeColor="text1"/>
        </w:rPr>
      </w:pPr>
    </w:p>
    <w:p w14:paraId="0112B378" w14:textId="2AF12FB7" w:rsidR="00F81287" w:rsidRPr="00614125" w:rsidRDefault="00755F7C"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Among </w:t>
      </w:r>
      <w:r w:rsidR="006C2B0C" w:rsidRPr="00614125">
        <w:rPr>
          <w:rFonts w:ascii="Arial" w:hAnsi="Arial"/>
          <w:color w:val="000000" w:themeColor="text1"/>
        </w:rPr>
        <w:t xml:space="preserve">the 15 </w:t>
      </w:r>
      <w:r w:rsidRPr="00614125">
        <w:rPr>
          <w:rFonts w:ascii="Arial" w:hAnsi="Arial"/>
          <w:color w:val="000000" w:themeColor="text1"/>
        </w:rPr>
        <w:t>African countries</w:t>
      </w:r>
      <w:r w:rsidR="006C2B0C" w:rsidRPr="00614125">
        <w:rPr>
          <w:rFonts w:ascii="Arial" w:hAnsi="Arial"/>
          <w:color w:val="000000" w:themeColor="text1"/>
        </w:rPr>
        <w:t xml:space="preserve"> we considered</w:t>
      </w:r>
      <w:r w:rsidRPr="00614125">
        <w:rPr>
          <w:rFonts w:ascii="Arial" w:hAnsi="Arial"/>
          <w:color w:val="000000" w:themeColor="text1"/>
        </w:rPr>
        <w:t xml:space="preserve">, </w:t>
      </w:r>
      <w:r w:rsidR="00BA06AC" w:rsidRPr="00614125">
        <w:rPr>
          <w:rFonts w:ascii="Arial" w:hAnsi="Arial"/>
          <w:color w:val="000000" w:themeColor="text1"/>
        </w:rPr>
        <w:t xml:space="preserve">the highest UHC-index was observed in </w:t>
      </w:r>
      <w:r w:rsidR="008208B6" w:rsidRPr="00614125">
        <w:rPr>
          <w:rFonts w:ascii="Arial" w:hAnsi="Arial"/>
          <w:color w:val="000000" w:themeColor="text1"/>
        </w:rPr>
        <w:t>Namibia</w:t>
      </w:r>
      <w:r w:rsidR="00A6501F" w:rsidRPr="00614125">
        <w:rPr>
          <w:rFonts w:ascii="Arial" w:hAnsi="Arial"/>
          <w:color w:val="000000" w:themeColor="text1"/>
        </w:rPr>
        <w:t xml:space="preserve"> (5</w:t>
      </w:r>
      <w:r w:rsidR="008208B6" w:rsidRPr="00614125">
        <w:rPr>
          <w:rFonts w:ascii="Arial" w:hAnsi="Arial"/>
          <w:color w:val="000000" w:themeColor="text1"/>
        </w:rPr>
        <w:t>5</w:t>
      </w:r>
      <w:r w:rsidR="00A6501F" w:rsidRPr="00614125">
        <w:rPr>
          <w:rFonts w:ascii="Arial" w:hAnsi="Arial"/>
          <w:color w:val="000000" w:themeColor="text1"/>
        </w:rPr>
        <w:t>.3</w:t>
      </w:r>
      <w:r w:rsidR="00BA06AC" w:rsidRPr="00614125">
        <w:rPr>
          <w:rFonts w:ascii="Arial" w:hAnsi="Arial"/>
          <w:color w:val="000000" w:themeColor="text1"/>
        </w:rPr>
        <w:t xml:space="preserve">%), followed by </w:t>
      </w:r>
      <w:r w:rsidR="00A6501F" w:rsidRPr="00614125">
        <w:rPr>
          <w:rFonts w:ascii="Arial" w:hAnsi="Arial"/>
          <w:color w:val="000000" w:themeColor="text1"/>
        </w:rPr>
        <w:t>Zimbabwe (5</w:t>
      </w:r>
      <w:r w:rsidR="008208B6" w:rsidRPr="00614125">
        <w:rPr>
          <w:rFonts w:ascii="Arial" w:hAnsi="Arial"/>
          <w:color w:val="000000" w:themeColor="text1"/>
        </w:rPr>
        <w:t>4</w:t>
      </w:r>
      <w:r w:rsidR="00A6501F" w:rsidRPr="00614125">
        <w:rPr>
          <w:rFonts w:ascii="Arial" w:hAnsi="Arial"/>
          <w:color w:val="000000" w:themeColor="text1"/>
        </w:rPr>
        <w:t>.</w:t>
      </w:r>
      <w:r w:rsidR="008208B6" w:rsidRPr="00614125">
        <w:rPr>
          <w:rFonts w:ascii="Arial" w:hAnsi="Arial"/>
          <w:color w:val="000000" w:themeColor="text1"/>
        </w:rPr>
        <w:t>0</w:t>
      </w:r>
      <w:r w:rsidR="00BA06AC" w:rsidRPr="00614125">
        <w:rPr>
          <w:rFonts w:ascii="Arial" w:hAnsi="Arial"/>
          <w:color w:val="000000" w:themeColor="text1"/>
        </w:rPr>
        <w:t>%).</w:t>
      </w:r>
      <w:r w:rsidR="00A6501F" w:rsidRPr="00614125">
        <w:rPr>
          <w:rFonts w:ascii="Arial" w:hAnsi="Arial"/>
          <w:color w:val="000000" w:themeColor="text1"/>
        </w:rPr>
        <w:t xml:space="preserve"> The average index value </w:t>
      </w:r>
      <w:r w:rsidR="006C2B0C" w:rsidRPr="00614125">
        <w:rPr>
          <w:rFonts w:ascii="Arial" w:hAnsi="Arial"/>
          <w:color w:val="000000" w:themeColor="text1"/>
        </w:rPr>
        <w:t xml:space="preserve">among the </w:t>
      </w:r>
      <w:r w:rsidR="00797CA8" w:rsidRPr="00614125">
        <w:rPr>
          <w:rFonts w:ascii="Arial" w:hAnsi="Arial"/>
          <w:color w:val="000000" w:themeColor="text1"/>
        </w:rPr>
        <w:t>African countries was 3</w:t>
      </w:r>
      <w:r w:rsidR="00357E45" w:rsidRPr="00614125">
        <w:rPr>
          <w:rFonts w:ascii="Arial" w:hAnsi="Arial"/>
          <w:color w:val="000000" w:themeColor="text1"/>
        </w:rPr>
        <w:t>5</w:t>
      </w:r>
      <w:r w:rsidR="00797CA8" w:rsidRPr="00614125">
        <w:rPr>
          <w:rFonts w:ascii="Arial" w:hAnsi="Arial"/>
          <w:color w:val="000000" w:themeColor="text1"/>
        </w:rPr>
        <w:t>.</w:t>
      </w:r>
      <w:r w:rsidR="00357E45" w:rsidRPr="00614125">
        <w:rPr>
          <w:rFonts w:ascii="Arial" w:hAnsi="Arial"/>
          <w:color w:val="000000" w:themeColor="text1"/>
        </w:rPr>
        <w:t>9</w:t>
      </w:r>
      <w:r w:rsidR="00A6501F" w:rsidRPr="00614125">
        <w:rPr>
          <w:rFonts w:ascii="Arial" w:hAnsi="Arial"/>
          <w:color w:val="000000" w:themeColor="text1"/>
        </w:rPr>
        <w:t>%</w:t>
      </w:r>
      <w:r w:rsidR="006C2B0C" w:rsidRPr="00614125">
        <w:rPr>
          <w:rFonts w:ascii="Arial" w:hAnsi="Arial"/>
          <w:color w:val="000000" w:themeColor="text1"/>
        </w:rPr>
        <w:t>,</w:t>
      </w:r>
      <w:r w:rsidR="00A6501F" w:rsidRPr="00614125">
        <w:rPr>
          <w:rFonts w:ascii="Arial" w:hAnsi="Arial"/>
          <w:color w:val="000000" w:themeColor="text1"/>
        </w:rPr>
        <w:t xml:space="preserve"> </w:t>
      </w:r>
      <w:r w:rsidR="005901B0" w:rsidRPr="00614125">
        <w:rPr>
          <w:rFonts w:ascii="Arial" w:hAnsi="Arial"/>
          <w:color w:val="000000" w:themeColor="text1"/>
        </w:rPr>
        <w:t xml:space="preserve">with </w:t>
      </w:r>
      <w:r w:rsidR="00A6501F" w:rsidRPr="00614125">
        <w:rPr>
          <w:rFonts w:ascii="Arial" w:hAnsi="Arial"/>
          <w:color w:val="000000" w:themeColor="text1"/>
        </w:rPr>
        <w:t xml:space="preserve">seven </w:t>
      </w:r>
      <w:r w:rsidR="006759ED" w:rsidRPr="00614125">
        <w:rPr>
          <w:rFonts w:ascii="Arial" w:hAnsi="Arial"/>
          <w:color w:val="000000" w:themeColor="text1"/>
        </w:rPr>
        <w:t xml:space="preserve">countries </w:t>
      </w:r>
      <w:r w:rsidR="00A6501F" w:rsidRPr="00614125">
        <w:rPr>
          <w:rFonts w:ascii="Arial" w:hAnsi="Arial"/>
          <w:color w:val="000000" w:themeColor="text1"/>
        </w:rPr>
        <w:t>achiev</w:t>
      </w:r>
      <w:r w:rsidR="005901B0" w:rsidRPr="00614125">
        <w:rPr>
          <w:rFonts w:ascii="Arial" w:hAnsi="Arial"/>
          <w:color w:val="000000" w:themeColor="text1"/>
        </w:rPr>
        <w:t>ing</w:t>
      </w:r>
      <w:r w:rsidR="00A6501F" w:rsidRPr="00614125">
        <w:rPr>
          <w:rFonts w:ascii="Arial" w:hAnsi="Arial"/>
          <w:color w:val="000000" w:themeColor="text1"/>
        </w:rPr>
        <w:t xml:space="preserve"> higher than </w:t>
      </w:r>
      <w:r w:rsidR="005901B0" w:rsidRPr="00614125">
        <w:rPr>
          <w:rFonts w:ascii="Arial" w:hAnsi="Arial"/>
          <w:color w:val="000000" w:themeColor="text1"/>
        </w:rPr>
        <w:t>this average</w:t>
      </w:r>
      <w:r w:rsidR="00A6501F" w:rsidRPr="00614125">
        <w:rPr>
          <w:rFonts w:ascii="Arial" w:hAnsi="Arial"/>
          <w:color w:val="000000" w:themeColor="text1"/>
        </w:rPr>
        <w:t>.  The lowest index in Africa was observed in Chad (8.9%)</w:t>
      </w:r>
      <w:r w:rsidR="005901B0" w:rsidRPr="00614125">
        <w:rPr>
          <w:rFonts w:ascii="Arial" w:hAnsi="Arial"/>
          <w:color w:val="000000" w:themeColor="text1"/>
        </w:rPr>
        <w:t>;</w:t>
      </w:r>
      <w:r w:rsidR="00A6501F" w:rsidRPr="00614125">
        <w:rPr>
          <w:rFonts w:ascii="Arial" w:hAnsi="Arial"/>
          <w:color w:val="000000" w:themeColor="text1"/>
        </w:rPr>
        <w:t xml:space="preserve"> other countries with low indices were Ethiopia (1</w:t>
      </w:r>
      <w:r w:rsidR="009E1250" w:rsidRPr="00614125">
        <w:rPr>
          <w:rFonts w:ascii="Arial" w:hAnsi="Arial"/>
          <w:color w:val="000000" w:themeColor="text1"/>
        </w:rPr>
        <w:t>3.2</w:t>
      </w:r>
      <w:r w:rsidR="00A6501F" w:rsidRPr="00614125">
        <w:rPr>
          <w:rFonts w:ascii="Arial" w:hAnsi="Arial"/>
          <w:color w:val="000000" w:themeColor="text1"/>
        </w:rPr>
        <w:t>%), Burkina Faso (2</w:t>
      </w:r>
      <w:r w:rsidR="009E1250" w:rsidRPr="00614125">
        <w:rPr>
          <w:rFonts w:ascii="Arial" w:hAnsi="Arial"/>
          <w:color w:val="000000" w:themeColor="text1"/>
        </w:rPr>
        <w:t>7.0</w:t>
      </w:r>
      <w:r w:rsidR="00A6501F" w:rsidRPr="00614125">
        <w:rPr>
          <w:rFonts w:ascii="Arial" w:hAnsi="Arial"/>
          <w:color w:val="000000" w:themeColor="text1"/>
        </w:rPr>
        <w:t>%)</w:t>
      </w:r>
      <w:r w:rsidR="009E1250" w:rsidRPr="00614125">
        <w:rPr>
          <w:rFonts w:ascii="Arial" w:hAnsi="Arial"/>
          <w:color w:val="000000" w:themeColor="text1"/>
        </w:rPr>
        <w:t xml:space="preserve"> and Mali (27.8%)</w:t>
      </w:r>
      <w:r w:rsidR="00A6501F" w:rsidRPr="00614125">
        <w:rPr>
          <w:rFonts w:ascii="Arial" w:hAnsi="Arial"/>
          <w:color w:val="000000" w:themeColor="text1"/>
        </w:rPr>
        <w:t>.</w:t>
      </w:r>
      <w:r w:rsidR="00DE5EB9" w:rsidRPr="00614125">
        <w:rPr>
          <w:rFonts w:ascii="Arial" w:hAnsi="Arial"/>
          <w:color w:val="000000" w:themeColor="text1"/>
        </w:rPr>
        <w:t xml:space="preserve"> </w:t>
      </w:r>
      <w:r w:rsidR="00A6501F" w:rsidRPr="00614125">
        <w:rPr>
          <w:rFonts w:ascii="Arial" w:hAnsi="Arial"/>
          <w:color w:val="000000" w:themeColor="text1"/>
        </w:rPr>
        <w:t xml:space="preserve"> </w:t>
      </w:r>
    </w:p>
    <w:p w14:paraId="2A5D24AD" w14:textId="502B0D17" w:rsidR="00EC5BBC" w:rsidRPr="00614125" w:rsidRDefault="00BA2D64"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In India, 20.3% </w:t>
      </w:r>
      <w:r w:rsidR="00B84CC1" w:rsidRPr="00614125">
        <w:rPr>
          <w:rFonts w:ascii="Arial" w:hAnsi="Arial"/>
          <w:color w:val="000000" w:themeColor="text1"/>
        </w:rPr>
        <w:t>of people who utilized health</w:t>
      </w:r>
      <w:r w:rsidR="002C681D" w:rsidRPr="00614125">
        <w:rPr>
          <w:rFonts w:ascii="Arial" w:hAnsi="Arial"/>
          <w:color w:val="000000" w:themeColor="text1"/>
        </w:rPr>
        <w:t xml:space="preserve"> </w:t>
      </w:r>
      <w:r w:rsidR="00B84CC1" w:rsidRPr="00614125">
        <w:rPr>
          <w:rFonts w:ascii="Arial" w:hAnsi="Arial"/>
          <w:color w:val="000000" w:themeColor="text1"/>
        </w:rPr>
        <w:t xml:space="preserve">care faced financial hardship in terms of </w:t>
      </w:r>
      <w:r w:rsidR="00CB5410" w:rsidRPr="00614125">
        <w:rPr>
          <w:rFonts w:ascii="Arial" w:hAnsi="Arial"/>
          <w:color w:val="000000" w:themeColor="text1"/>
        </w:rPr>
        <w:t>CHE</w:t>
      </w:r>
      <w:r w:rsidR="00B84CC1" w:rsidRPr="00614125">
        <w:rPr>
          <w:rFonts w:ascii="Arial" w:hAnsi="Arial"/>
          <w:color w:val="000000" w:themeColor="text1"/>
        </w:rPr>
        <w:t xml:space="preserve">. </w:t>
      </w:r>
      <w:r w:rsidR="0061473A" w:rsidRPr="00614125">
        <w:rPr>
          <w:rFonts w:ascii="Arial" w:hAnsi="Arial"/>
          <w:color w:val="000000" w:themeColor="text1"/>
        </w:rPr>
        <w:t xml:space="preserve">It </w:t>
      </w:r>
      <w:r w:rsidR="009E1250" w:rsidRPr="00614125">
        <w:rPr>
          <w:rFonts w:ascii="Arial" w:hAnsi="Arial"/>
          <w:color w:val="000000" w:themeColor="text1"/>
        </w:rPr>
        <w:t>was</w:t>
      </w:r>
      <w:r w:rsidR="0061473A" w:rsidRPr="00614125">
        <w:rPr>
          <w:rFonts w:ascii="Arial" w:hAnsi="Arial"/>
          <w:color w:val="000000" w:themeColor="text1"/>
        </w:rPr>
        <w:t xml:space="preserve"> further</w:t>
      </w:r>
      <w:r w:rsidR="00B84CC1" w:rsidRPr="00614125">
        <w:rPr>
          <w:rFonts w:ascii="Arial" w:hAnsi="Arial"/>
          <w:color w:val="000000" w:themeColor="text1"/>
        </w:rPr>
        <w:t xml:space="preserve"> noticeable that </w:t>
      </w:r>
      <w:r w:rsidR="009E1250" w:rsidRPr="00614125">
        <w:rPr>
          <w:rFonts w:ascii="Arial" w:hAnsi="Arial"/>
          <w:color w:val="000000" w:themeColor="text1"/>
        </w:rPr>
        <w:t>I</w:t>
      </w:r>
      <w:r w:rsidR="00B84CC1" w:rsidRPr="00614125">
        <w:rPr>
          <w:rFonts w:ascii="Arial" w:hAnsi="Arial"/>
          <w:color w:val="000000" w:themeColor="text1"/>
        </w:rPr>
        <w:t xml:space="preserve">ndia had the highest </w:t>
      </w:r>
      <w:r w:rsidR="00345962" w:rsidRPr="00614125">
        <w:rPr>
          <w:rFonts w:ascii="Arial" w:hAnsi="Arial"/>
          <w:color w:val="000000" w:themeColor="text1"/>
        </w:rPr>
        <w:t xml:space="preserve">rate of </w:t>
      </w:r>
      <w:r w:rsidR="00B84CC1" w:rsidRPr="00614125">
        <w:rPr>
          <w:rFonts w:ascii="Arial" w:hAnsi="Arial"/>
          <w:color w:val="000000" w:themeColor="text1"/>
        </w:rPr>
        <w:t>OOP payment</w:t>
      </w:r>
      <w:r w:rsidR="00345962" w:rsidRPr="00614125">
        <w:rPr>
          <w:rFonts w:ascii="Arial" w:hAnsi="Arial"/>
          <w:color w:val="000000" w:themeColor="text1"/>
        </w:rPr>
        <w:t>s</w:t>
      </w:r>
      <w:r w:rsidR="00B84CC1" w:rsidRPr="00614125">
        <w:rPr>
          <w:rFonts w:ascii="Arial" w:hAnsi="Arial"/>
          <w:color w:val="000000" w:themeColor="text1"/>
        </w:rPr>
        <w:t xml:space="preserve"> (68.5%) among all reported co</w:t>
      </w:r>
      <w:r w:rsidR="004133BB" w:rsidRPr="00614125">
        <w:rPr>
          <w:rFonts w:ascii="Arial" w:hAnsi="Arial"/>
          <w:color w:val="000000" w:themeColor="text1"/>
        </w:rPr>
        <w:t>untries in As</w:t>
      </w:r>
      <w:r w:rsidR="00003FA1" w:rsidRPr="00614125">
        <w:rPr>
          <w:rFonts w:ascii="Arial" w:hAnsi="Arial"/>
          <w:color w:val="000000" w:themeColor="text1"/>
        </w:rPr>
        <w:t xml:space="preserve">ia. </w:t>
      </w:r>
      <w:r w:rsidR="00EC5BBC" w:rsidRPr="00614125">
        <w:rPr>
          <w:rFonts w:ascii="Arial" w:hAnsi="Arial"/>
          <w:color w:val="000000" w:themeColor="text1"/>
        </w:rPr>
        <w:t xml:space="preserve">We found that countries with </w:t>
      </w:r>
      <w:r w:rsidR="00345962" w:rsidRPr="00614125">
        <w:rPr>
          <w:rFonts w:ascii="Arial" w:hAnsi="Arial"/>
          <w:color w:val="000000" w:themeColor="text1"/>
        </w:rPr>
        <w:t>higher</w:t>
      </w:r>
      <w:r w:rsidR="00EC5BBC" w:rsidRPr="00614125">
        <w:rPr>
          <w:rFonts w:ascii="Arial" w:hAnsi="Arial"/>
          <w:color w:val="000000" w:themeColor="text1"/>
        </w:rPr>
        <w:t xml:space="preserve"> GDP per capita appeared to be more successful in achieving UHC. For instance, Kazakhstan and the Philippines</w:t>
      </w:r>
      <w:r w:rsidR="00DC5AA0" w:rsidRPr="00614125">
        <w:rPr>
          <w:rFonts w:ascii="Arial" w:hAnsi="Arial"/>
          <w:color w:val="000000" w:themeColor="text1"/>
        </w:rPr>
        <w:t xml:space="preserve"> </w:t>
      </w:r>
      <w:r w:rsidR="009E1250" w:rsidRPr="00614125">
        <w:rPr>
          <w:rFonts w:ascii="Arial" w:hAnsi="Arial"/>
          <w:color w:val="000000" w:themeColor="text1"/>
        </w:rPr>
        <w:t>we</w:t>
      </w:r>
      <w:r w:rsidR="00DC5AA0" w:rsidRPr="00614125">
        <w:rPr>
          <w:rFonts w:ascii="Arial" w:hAnsi="Arial"/>
          <w:color w:val="000000" w:themeColor="text1"/>
        </w:rPr>
        <w:t xml:space="preserve">re at higher economic levels in Asia with 14,259 and 3,770 USD per capita (PPP adjusted). </w:t>
      </w:r>
      <w:r w:rsidR="005C7EB2" w:rsidRPr="00614125">
        <w:rPr>
          <w:rFonts w:ascii="Arial" w:hAnsi="Arial"/>
          <w:color w:val="000000" w:themeColor="text1"/>
        </w:rPr>
        <w:t xml:space="preserve">African countries showed a similar pattern, meaning that the countries with </w:t>
      </w:r>
      <w:r w:rsidR="00CC7F4A" w:rsidRPr="00614125">
        <w:rPr>
          <w:rFonts w:ascii="Arial" w:hAnsi="Arial"/>
          <w:color w:val="000000" w:themeColor="text1"/>
        </w:rPr>
        <w:t>higher</w:t>
      </w:r>
      <w:r w:rsidR="005C7EB2" w:rsidRPr="00614125">
        <w:rPr>
          <w:rFonts w:ascii="Arial" w:hAnsi="Arial"/>
          <w:color w:val="000000" w:themeColor="text1"/>
        </w:rPr>
        <w:t xml:space="preserve"> economic level like Namibia</w:t>
      </w:r>
      <w:r w:rsidR="00B71D8D" w:rsidRPr="00614125">
        <w:rPr>
          <w:rFonts w:ascii="Arial" w:hAnsi="Arial"/>
          <w:color w:val="000000" w:themeColor="text1"/>
        </w:rPr>
        <w:t xml:space="preserve"> (GDP per capita 6,815 USD PPP) and</w:t>
      </w:r>
      <w:r w:rsidR="005C7EB2" w:rsidRPr="00614125">
        <w:rPr>
          <w:rFonts w:ascii="Arial" w:hAnsi="Arial"/>
          <w:color w:val="000000" w:themeColor="text1"/>
        </w:rPr>
        <w:t xml:space="preserve"> Morocco</w:t>
      </w:r>
      <w:r w:rsidR="00B71D8D" w:rsidRPr="00614125">
        <w:rPr>
          <w:rFonts w:ascii="Arial" w:hAnsi="Arial"/>
          <w:color w:val="000000" w:themeColor="text1"/>
        </w:rPr>
        <w:t xml:space="preserve"> (GDP per capita 5,164 USD PPP) had higher UHC indices of 5</w:t>
      </w:r>
      <w:r w:rsidR="009E1250" w:rsidRPr="00614125">
        <w:rPr>
          <w:rFonts w:ascii="Arial" w:hAnsi="Arial"/>
          <w:color w:val="000000" w:themeColor="text1"/>
        </w:rPr>
        <w:t>5</w:t>
      </w:r>
      <w:r w:rsidR="00B71D8D" w:rsidRPr="00614125">
        <w:rPr>
          <w:rFonts w:ascii="Arial" w:hAnsi="Arial"/>
          <w:color w:val="000000" w:themeColor="text1"/>
        </w:rPr>
        <w:t>.</w:t>
      </w:r>
      <w:r w:rsidR="009E1250" w:rsidRPr="00614125">
        <w:rPr>
          <w:rFonts w:ascii="Arial" w:hAnsi="Arial"/>
          <w:color w:val="000000" w:themeColor="text1"/>
        </w:rPr>
        <w:t>3</w:t>
      </w:r>
      <w:r w:rsidR="00B71D8D" w:rsidRPr="00614125">
        <w:rPr>
          <w:rFonts w:ascii="Arial" w:hAnsi="Arial"/>
          <w:color w:val="000000" w:themeColor="text1"/>
        </w:rPr>
        <w:t>% and 4</w:t>
      </w:r>
      <w:r w:rsidR="009E1250" w:rsidRPr="00614125">
        <w:rPr>
          <w:rFonts w:ascii="Arial" w:hAnsi="Arial"/>
          <w:color w:val="000000" w:themeColor="text1"/>
        </w:rPr>
        <w:t>0</w:t>
      </w:r>
      <w:r w:rsidR="00B71D8D" w:rsidRPr="00614125">
        <w:rPr>
          <w:rFonts w:ascii="Arial" w:hAnsi="Arial"/>
          <w:color w:val="000000" w:themeColor="text1"/>
        </w:rPr>
        <w:t xml:space="preserve">.7% </w:t>
      </w:r>
      <w:r w:rsidR="00CC7F4A" w:rsidRPr="00614125">
        <w:rPr>
          <w:rFonts w:ascii="Arial" w:hAnsi="Arial"/>
          <w:color w:val="000000" w:themeColor="text1"/>
        </w:rPr>
        <w:t>respectively</w:t>
      </w:r>
      <w:r w:rsidR="005C7EB2" w:rsidRPr="00614125">
        <w:rPr>
          <w:rFonts w:ascii="Arial" w:hAnsi="Arial"/>
          <w:color w:val="000000" w:themeColor="text1"/>
        </w:rPr>
        <w:t xml:space="preserve">. </w:t>
      </w:r>
      <w:r w:rsidR="00B71D8D" w:rsidRPr="00614125">
        <w:rPr>
          <w:rFonts w:ascii="Arial" w:hAnsi="Arial"/>
          <w:color w:val="000000" w:themeColor="text1"/>
        </w:rPr>
        <w:t>However, we observed exception</w:t>
      </w:r>
      <w:r w:rsidR="004C0308" w:rsidRPr="00614125">
        <w:rPr>
          <w:rFonts w:ascii="Arial" w:hAnsi="Arial"/>
          <w:color w:val="000000" w:themeColor="text1"/>
        </w:rPr>
        <w:t>s</w:t>
      </w:r>
      <w:r w:rsidR="00B71D8D" w:rsidRPr="00614125">
        <w:rPr>
          <w:rFonts w:ascii="Arial" w:hAnsi="Arial"/>
          <w:color w:val="000000" w:themeColor="text1"/>
        </w:rPr>
        <w:t xml:space="preserve"> in some countries, meaning that Zimbabwe (GDP per capita 1,893 USD PPP) achieved </w:t>
      </w:r>
      <w:r w:rsidR="00B71D8D" w:rsidRPr="00614125">
        <w:rPr>
          <w:rFonts w:ascii="Arial" w:hAnsi="Arial"/>
          <w:noProof/>
          <w:color w:val="000000" w:themeColor="text1"/>
        </w:rPr>
        <w:t>a UHC</w:t>
      </w:r>
      <w:r w:rsidR="00B71D8D" w:rsidRPr="00614125">
        <w:rPr>
          <w:rFonts w:ascii="Arial" w:hAnsi="Arial"/>
          <w:color w:val="000000" w:themeColor="text1"/>
        </w:rPr>
        <w:t xml:space="preserve"> index of 5</w:t>
      </w:r>
      <w:r w:rsidR="009E1250" w:rsidRPr="00614125">
        <w:rPr>
          <w:rFonts w:ascii="Arial" w:hAnsi="Arial"/>
          <w:color w:val="000000" w:themeColor="text1"/>
        </w:rPr>
        <w:t>4</w:t>
      </w:r>
      <w:r w:rsidR="00B71D8D" w:rsidRPr="00614125">
        <w:rPr>
          <w:rFonts w:ascii="Arial" w:hAnsi="Arial"/>
          <w:color w:val="000000" w:themeColor="text1"/>
        </w:rPr>
        <w:t>.</w:t>
      </w:r>
      <w:r w:rsidR="009E1250" w:rsidRPr="00614125">
        <w:rPr>
          <w:rFonts w:ascii="Arial" w:hAnsi="Arial"/>
          <w:color w:val="000000" w:themeColor="text1"/>
        </w:rPr>
        <w:t>0</w:t>
      </w:r>
      <w:r w:rsidR="00B71D8D" w:rsidRPr="00614125">
        <w:rPr>
          <w:rFonts w:ascii="Arial" w:hAnsi="Arial"/>
          <w:color w:val="000000" w:themeColor="text1"/>
        </w:rPr>
        <w:t xml:space="preserve">% i.e. the </w:t>
      </w:r>
      <w:r w:rsidR="009572BF" w:rsidRPr="00614125">
        <w:rPr>
          <w:rFonts w:ascii="Arial" w:hAnsi="Arial"/>
          <w:color w:val="000000" w:themeColor="text1"/>
        </w:rPr>
        <w:t xml:space="preserve">second </w:t>
      </w:r>
      <w:r w:rsidR="00B71D8D" w:rsidRPr="00614125">
        <w:rPr>
          <w:rFonts w:ascii="Arial" w:hAnsi="Arial"/>
          <w:color w:val="000000" w:themeColor="text1"/>
        </w:rPr>
        <w:t xml:space="preserve">largest among the African </w:t>
      </w:r>
      <w:r w:rsidR="00CC7F4A" w:rsidRPr="00614125">
        <w:rPr>
          <w:rFonts w:ascii="Arial" w:hAnsi="Arial"/>
          <w:color w:val="000000" w:themeColor="text1"/>
        </w:rPr>
        <w:t>countries</w:t>
      </w:r>
      <w:r w:rsidR="00B71D8D" w:rsidRPr="00614125">
        <w:rPr>
          <w:rFonts w:ascii="Arial" w:hAnsi="Arial"/>
          <w:color w:val="000000" w:themeColor="text1"/>
        </w:rPr>
        <w:t xml:space="preserve">.  </w:t>
      </w:r>
      <w:r w:rsidR="001F5367" w:rsidRPr="00614125">
        <w:rPr>
          <w:rFonts w:ascii="Arial" w:hAnsi="Arial"/>
          <w:color w:val="000000" w:themeColor="text1"/>
        </w:rPr>
        <w:t xml:space="preserve"> </w:t>
      </w:r>
    </w:p>
    <w:p w14:paraId="64552B6D" w14:textId="6BF89FBD" w:rsidR="00B973CC" w:rsidRPr="00614125" w:rsidRDefault="00EB3549"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Decomposition of UHC index generally showed a higher contribution </w:t>
      </w:r>
      <w:r w:rsidR="00345962" w:rsidRPr="00614125">
        <w:rPr>
          <w:rFonts w:ascii="Arial" w:hAnsi="Arial"/>
          <w:color w:val="000000" w:themeColor="text1"/>
        </w:rPr>
        <w:t xml:space="preserve">from </w:t>
      </w:r>
      <w:r w:rsidRPr="00614125">
        <w:rPr>
          <w:rFonts w:ascii="Arial" w:hAnsi="Arial"/>
          <w:color w:val="000000" w:themeColor="text1"/>
        </w:rPr>
        <w:t xml:space="preserve">richer socioeconomic groups than the poorer ones. The richest quintile </w:t>
      </w:r>
      <w:r w:rsidR="00345962" w:rsidRPr="00614125">
        <w:rPr>
          <w:rFonts w:ascii="Arial" w:hAnsi="Arial"/>
          <w:color w:val="000000" w:themeColor="text1"/>
        </w:rPr>
        <w:t xml:space="preserve">(Q5) </w:t>
      </w:r>
      <w:r w:rsidRPr="00614125">
        <w:rPr>
          <w:rFonts w:ascii="Arial" w:hAnsi="Arial"/>
          <w:color w:val="000000" w:themeColor="text1"/>
        </w:rPr>
        <w:t xml:space="preserve">contributed more </w:t>
      </w:r>
      <w:r w:rsidR="00175B90" w:rsidRPr="00614125">
        <w:rPr>
          <w:rFonts w:ascii="Arial" w:hAnsi="Arial"/>
          <w:color w:val="000000" w:themeColor="text1"/>
        </w:rPr>
        <w:t>than</w:t>
      </w:r>
      <w:r w:rsidRPr="00614125">
        <w:rPr>
          <w:rFonts w:ascii="Arial" w:hAnsi="Arial"/>
          <w:color w:val="000000" w:themeColor="text1"/>
        </w:rPr>
        <w:t xml:space="preserve"> 20% </w:t>
      </w:r>
      <w:r w:rsidR="00345962" w:rsidRPr="00614125">
        <w:rPr>
          <w:rFonts w:ascii="Arial" w:hAnsi="Arial"/>
          <w:color w:val="000000" w:themeColor="text1"/>
        </w:rPr>
        <w:t xml:space="preserve">towards </w:t>
      </w:r>
      <w:r w:rsidRPr="00614125">
        <w:rPr>
          <w:rFonts w:ascii="Arial" w:hAnsi="Arial"/>
          <w:color w:val="000000" w:themeColor="text1"/>
        </w:rPr>
        <w:t xml:space="preserve">the index values </w:t>
      </w:r>
      <w:r w:rsidR="00345962" w:rsidRPr="00614125">
        <w:rPr>
          <w:rFonts w:ascii="Arial" w:hAnsi="Arial"/>
          <w:color w:val="000000" w:themeColor="text1"/>
        </w:rPr>
        <w:t xml:space="preserve">across all </w:t>
      </w:r>
      <w:r w:rsidRPr="00614125">
        <w:rPr>
          <w:rFonts w:ascii="Arial" w:hAnsi="Arial"/>
          <w:color w:val="000000" w:themeColor="text1"/>
        </w:rPr>
        <w:t>countr</w:t>
      </w:r>
      <w:r w:rsidR="00345962" w:rsidRPr="00614125">
        <w:rPr>
          <w:rFonts w:ascii="Arial" w:hAnsi="Arial"/>
          <w:color w:val="000000" w:themeColor="text1"/>
        </w:rPr>
        <w:t>ies</w:t>
      </w:r>
      <w:r w:rsidRPr="00614125">
        <w:rPr>
          <w:rFonts w:ascii="Arial" w:hAnsi="Arial"/>
          <w:color w:val="000000" w:themeColor="text1"/>
        </w:rPr>
        <w:t xml:space="preserve"> </w:t>
      </w:r>
      <w:r w:rsidR="003A588C" w:rsidRPr="00614125">
        <w:rPr>
          <w:rFonts w:ascii="Arial" w:hAnsi="Arial"/>
          <w:color w:val="000000" w:themeColor="text1"/>
        </w:rPr>
        <w:t>(T</w:t>
      </w:r>
      <w:r w:rsidR="005A75E5" w:rsidRPr="00614125">
        <w:rPr>
          <w:rFonts w:ascii="Arial" w:hAnsi="Arial"/>
          <w:color w:val="000000" w:themeColor="text1"/>
        </w:rPr>
        <w:t xml:space="preserve">able </w:t>
      </w:r>
      <w:r w:rsidR="00B973CC" w:rsidRPr="00614125">
        <w:rPr>
          <w:rFonts w:ascii="Arial" w:hAnsi="Arial"/>
          <w:color w:val="000000" w:themeColor="text1"/>
        </w:rPr>
        <w:t>3</w:t>
      </w:r>
      <w:r w:rsidR="005A75E5" w:rsidRPr="00614125">
        <w:rPr>
          <w:rFonts w:ascii="Arial" w:hAnsi="Arial"/>
          <w:color w:val="000000" w:themeColor="text1"/>
        </w:rPr>
        <w:t>)</w:t>
      </w:r>
      <w:r w:rsidRPr="00614125">
        <w:rPr>
          <w:rFonts w:ascii="Arial" w:hAnsi="Arial"/>
          <w:color w:val="000000" w:themeColor="text1"/>
        </w:rPr>
        <w:t xml:space="preserve">. </w:t>
      </w:r>
      <w:r w:rsidR="00D96545" w:rsidRPr="00614125">
        <w:rPr>
          <w:rFonts w:ascii="Arial" w:hAnsi="Arial"/>
          <w:color w:val="000000" w:themeColor="text1"/>
        </w:rPr>
        <w:t xml:space="preserve">The highest contributions of the richest </w:t>
      </w:r>
      <w:r w:rsidR="006F5387" w:rsidRPr="00614125">
        <w:rPr>
          <w:rFonts w:ascii="Arial" w:hAnsi="Arial"/>
          <w:color w:val="000000" w:themeColor="text1"/>
        </w:rPr>
        <w:t>quintile</w:t>
      </w:r>
      <w:r w:rsidR="00D96545" w:rsidRPr="00614125">
        <w:rPr>
          <w:rFonts w:ascii="Arial" w:hAnsi="Arial"/>
          <w:color w:val="000000" w:themeColor="text1"/>
        </w:rPr>
        <w:t xml:space="preserve"> to UHC index values were observed in</w:t>
      </w:r>
      <w:r w:rsidR="003912E0" w:rsidRPr="00614125">
        <w:rPr>
          <w:rFonts w:ascii="Arial" w:hAnsi="Arial"/>
          <w:color w:val="000000" w:themeColor="text1"/>
        </w:rPr>
        <w:t xml:space="preserve"> Asia in</w:t>
      </w:r>
      <w:r w:rsidR="00D96545" w:rsidRPr="00614125">
        <w:rPr>
          <w:rFonts w:ascii="Arial" w:hAnsi="Arial"/>
          <w:color w:val="000000" w:themeColor="text1"/>
        </w:rPr>
        <w:t xml:space="preserve"> Nepal (</w:t>
      </w:r>
      <w:r w:rsidR="00F07783" w:rsidRPr="00614125">
        <w:rPr>
          <w:rFonts w:ascii="Arial" w:hAnsi="Arial"/>
          <w:color w:val="000000" w:themeColor="text1"/>
        </w:rPr>
        <w:t>31</w:t>
      </w:r>
      <w:r w:rsidR="00D96545" w:rsidRPr="00614125">
        <w:rPr>
          <w:rFonts w:ascii="Arial" w:hAnsi="Arial"/>
          <w:color w:val="000000" w:themeColor="text1"/>
        </w:rPr>
        <w:t>.</w:t>
      </w:r>
      <w:r w:rsidR="00F07783" w:rsidRPr="00614125">
        <w:rPr>
          <w:rFonts w:ascii="Arial" w:hAnsi="Arial"/>
          <w:color w:val="000000" w:themeColor="text1"/>
        </w:rPr>
        <w:t>9</w:t>
      </w:r>
      <w:r w:rsidR="00D96545" w:rsidRPr="00614125">
        <w:rPr>
          <w:rFonts w:ascii="Arial" w:hAnsi="Arial"/>
          <w:color w:val="000000" w:themeColor="text1"/>
        </w:rPr>
        <w:t xml:space="preserve">%) and in </w:t>
      </w:r>
      <w:r w:rsidR="003912E0" w:rsidRPr="00614125">
        <w:rPr>
          <w:rFonts w:ascii="Arial" w:hAnsi="Arial"/>
          <w:color w:val="000000" w:themeColor="text1"/>
        </w:rPr>
        <w:t xml:space="preserve">Africa in </w:t>
      </w:r>
      <w:r w:rsidR="00D96545" w:rsidRPr="00614125">
        <w:rPr>
          <w:rFonts w:ascii="Arial" w:hAnsi="Arial"/>
          <w:color w:val="000000" w:themeColor="text1"/>
        </w:rPr>
        <w:t>Ethiopia (</w:t>
      </w:r>
      <w:r w:rsidR="00F07783" w:rsidRPr="00614125">
        <w:rPr>
          <w:rFonts w:ascii="Arial" w:hAnsi="Arial"/>
          <w:color w:val="000000" w:themeColor="text1"/>
        </w:rPr>
        <w:t>40</w:t>
      </w:r>
      <w:r w:rsidR="00D96545" w:rsidRPr="00614125">
        <w:rPr>
          <w:rFonts w:ascii="Arial" w:hAnsi="Arial"/>
          <w:color w:val="000000" w:themeColor="text1"/>
        </w:rPr>
        <w:t>.</w:t>
      </w:r>
      <w:r w:rsidR="00F07783" w:rsidRPr="00614125">
        <w:rPr>
          <w:rFonts w:ascii="Arial" w:hAnsi="Arial"/>
          <w:color w:val="000000" w:themeColor="text1"/>
        </w:rPr>
        <w:t>1</w:t>
      </w:r>
      <w:r w:rsidR="00D96545" w:rsidRPr="00614125">
        <w:rPr>
          <w:rFonts w:ascii="Arial" w:hAnsi="Arial"/>
          <w:color w:val="000000" w:themeColor="text1"/>
        </w:rPr>
        <w:t>%)</w:t>
      </w:r>
      <w:r w:rsidR="00F07783" w:rsidRPr="00614125">
        <w:rPr>
          <w:rFonts w:ascii="Arial" w:hAnsi="Arial"/>
          <w:color w:val="000000" w:themeColor="text1"/>
        </w:rPr>
        <w:t xml:space="preserve"> and reached concentration indices of 0.161 and 0.237, showing large inequality across socioeconomic groups. </w:t>
      </w:r>
      <w:r w:rsidR="00D96545" w:rsidRPr="00614125">
        <w:rPr>
          <w:rFonts w:ascii="Arial" w:hAnsi="Arial"/>
          <w:color w:val="000000" w:themeColor="text1"/>
        </w:rPr>
        <w:t xml:space="preserve">Both countries </w:t>
      </w:r>
      <w:r w:rsidR="003912E0" w:rsidRPr="00614125">
        <w:rPr>
          <w:rFonts w:ascii="Arial" w:hAnsi="Arial"/>
          <w:color w:val="000000" w:themeColor="text1"/>
        </w:rPr>
        <w:t>also scored a</w:t>
      </w:r>
      <w:r w:rsidR="00D96545" w:rsidRPr="00614125">
        <w:rPr>
          <w:rFonts w:ascii="Arial" w:hAnsi="Arial"/>
          <w:color w:val="000000" w:themeColor="text1"/>
        </w:rPr>
        <w:t xml:space="preserve"> low UHC index</w:t>
      </w:r>
      <w:r w:rsidR="003912E0" w:rsidRPr="00614125">
        <w:rPr>
          <w:rFonts w:ascii="Arial" w:hAnsi="Arial"/>
          <w:color w:val="000000" w:themeColor="text1"/>
        </w:rPr>
        <w:t>:</w:t>
      </w:r>
      <w:r w:rsidR="003A588C" w:rsidRPr="00614125">
        <w:rPr>
          <w:rFonts w:ascii="Arial" w:hAnsi="Arial"/>
          <w:color w:val="000000" w:themeColor="text1"/>
        </w:rPr>
        <w:t xml:space="preserve"> </w:t>
      </w:r>
      <w:r w:rsidR="00D96545" w:rsidRPr="00614125">
        <w:rPr>
          <w:rFonts w:ascii="Arial" w:hAnsi="Arial"/>
          <w:color w:val="000000" w:themeColor="text1"/>
        </w:rPr>
        <w:t>26</w:t>
      </w:r>
      <w:r w:rsidR="00F07783" w:rsidRPr="00614125">
        <w:rPr>
          <w:rFonts w:ascii="Arial" w:hAnsi="Arial"/>
          <w:color w:val="000000" w:themeColor="text1"/>
        </w:rPr>
        <w:t>.0</w:t>
      </w:r>
      <w:r w:rsidR="00D96545" w:rsidRPr="00614125">
        <w:rPr>
          <w:rFonts w:ascii="Arial" w:hAnsi="Arial"/>
          <w:color w:val="000000" w:themeColor="text1"/>
        </w:rPr>
        <w:t>%</w:t>
      </w:r>
      <w:r w:rsidR="003912E0" w:rsidRPr="00614125">
        <w:rPr>
          <w:rFonts w:ascii="Arial" w:hAnsi="Arial"/>
          <w:color w:val="000000" w:themeColor="text1"/>
        </w:rPr>
        <w:t xml:space="preserve"> in Nepal</w:t>
      </w:r>
      <w:r w:rsidR="00D96545" w:rsidRPr="00614125">
        <w:rPr>
          <w:rFonts w:ascii="Arial" w:hAnsi="Arial"/>
          <w:color w:val="000000" w:themeColor="text1"/>
        </w:rPr>
        <w:t xml:space="preserve"> and 1</w:t>
      </w:r>
      <w:r w:rsidR="00F07783" w:rsidRPr="00614125">
        <w:rPr>
          <w:rFonts w:ascii="Arial" w:hAnsi="Arial"/>
          <w:color w:val="000000" w:themeColor="text1"/>
        </w:rPr>
        <w:t>3.2</w:t>
      </w:r>
      <w:r w:rsidR="00D96545" w:rsidRPr="00614125">
        <w:rPr>
          <w:rFonts w:ascii="Arial" w:hAnsi="Arial"/>
          <w:color w:val="000000" w:themeColor="text1"/>
        </w:rPr>
        <w:t>%</w:t>
      </w:r>
      <w:r w:rsidR="003A588C" w:rsidRPr="00614125">
        <w:rPr>
          <w:rFonts w:ascii="Arial" w:hAnsi="Arial"/>
          <w:color w:val="000000" w:themeColor="text1"/>
        </w:rPr>
        <w:t xml:space="preserve"> in Ethiopia</w:t>
      </w:r>
      <w:r w:rsidR="00D96545" w:rsidRPr="00614125">
        <w:rPr>
          <w:rFonts w:ascii="Arial" w:hAnsi="Arial"/>
          <w:color w:val="000000" w:themeColor="text1"/>
        </w:rPr>
        <w:t xml:space="preserve">. </w:t>
      </w:r>
    </w:p>
    <w:p w14:paraId="734FEC5E" w14:textId="77777777" w:rsidR="00B973CC" w:rsidRPr="00614125" w:rsidRDefault="00B973CC" w:rsidP="00F124C6">
      <w:pPr>
        <w:spacing w:before="120" w:after="120" w:line="360" w:lineRule="auto"/>
        <w:jc w:val="center"/>
        <w:rPr>
          <w:rFonts w:ascii="Arial" w:hAnsi="Arial"/>
          <w:color w:val="000000" w:themeColor="text1"/>
        </w:rPr>
      </w:pPr>
    </w:p>
    <w:p w14:paraId="06CDEAAC" w14:textId="23118CB6" w:rsidR="00B973CC" w:rsidRPr="00614125" w:rsidRDefault="00B973CC" w:rsidP="00F124C6">
      <w:pPr>
        <w:spacing w:before="120" w:after="120" w:line="360" w:lineRule="auto"/>
        <w:jc w:val="center"/>
        <w:rPr>
          <w:rFonts w:ascii="Arial" w:hAnsi="Arial"/>
          <w:color w:val="000000" w:themeColor="text1"/>
        </w:rPr>
      </w:pPr>
      <w:r w:rsidRPr="00614125">
        <w:rPr>
          <w:rFonts w:ascii="Arial" w:hAnsi="Arial"/>
          <w:color w:val="000000" w:themeColor="text1"/>
        </w:rPr>
        <w:lastRenderedPageBreak/>
        <w:t>Table 3 to be inserted here</w:t>
      </w:r>
    </w:p>
    <w:p w14:paraId="24B08601" w14:textId="77777777" w:rsidR="00B973CC" w:rsidRPr="00614125" w:rsidRDefault="00B973CC" w:rsidP="00337D8B">
      <w:pPr>
        <w:spacing w:before="120" w:after="120" w:line="360" w:lineRule="auto"/>
        <w:jc w:val="both"/>
        <w:rPr>
          <w:rFonts w:ascii="Arial" w:hAnsi="Arial"/>
          <w:color w:val="000000" w:themeColor="text1"/>
        </w:rPr>
      </w:pPr>
    </w:p>
    <w:p w14:paraId="2935BBC8" w14:textId="6524BDFC" w:rsidR="003557CA" w:rsidRPr="00614125" w:rsidRDefault="00D96545"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The experience of countries with high UHC values </w:t>
      </w:r>
      <w:r w:rsidR="00DE1D36" w:rsidRPr="00614125">
        <w:rPr>
          <w:rFonts w:ascii="Arial" w:hAnsi="Arial"/>
          <w:noProof/>
          <w:color w:val="000000" w:themeColor="text1"/>
        </w:rPr>
        <w:t>was</w:t>
      </w:r>
      <w:r w:rsidRPr="00614125">
        <w:rPr>
          <w:rFonts w:ascii="Arial" w:hAnsi="Arial"/>
          <w:color w:val="000000" w:themeColor="text1"/>
        </w:rPr>
        <w:t xml:space="preserve"> </w:t>
      </w:r>
      <w:r w:rsidR="00DE1D36" w:rsidRPr="00614125">
        <w:rPr>
          <w:rFonts w:ascii="Arial" w:hAnsi="Arial"/>
          <w:color w:val="000000" w:themeColor="text1"/>
        </w:rPr>
        <w:t xml:space="preserve">the </w:t>
      </w:r>
      <w:r w:rsidRPr="00614125">
        <w:rPr>
          <w:rFonts w:ascii="Arial" w:hAnsi="Arial"/>
          <w:noProof/>
          <w:color w:val="000000" w:themeColor="text1"/>
        </w:rPr>
        <w:t>opposite</w:t>
      </w:r>
      <w:r w:rsidRPr="00614125">
        <w:rPr>
          <w:rFonts w:ascii="Arial" w:hAnsi="Arial"/>
          <w:color w:val="000000" w:themeColor="text1"/>
        </w:rPr>
        <w:t>. Kazakhstan (UHC index 5</w:t>
      </w:r>
      <w:r w:rsidR="00F07783" w:rsidRPr="00614125">
        <w:rPr>
          <w:rFonts w:ascii="Arial" w:hAnsi="Arial"/>
          <w:color w:val="000000" w:themeColor="text1"/>
        </w:rPr>
        <w:t>8</w:t>
      </w:r>
      <w:r w:rsidRPr="00614125">
        <w:rPr>
          <w:rFonts w:ascii="Arial" w:hAnsi="Arial"/>
          <w:color w:val="000000" w:themeColor="text1"/>
        </w:rPr>
        <w:t>.</w:t>
      </w:r>
      <w:r w:rsidR="00F07783" w:rsidRPr="00614125">
        <w:rPr>
          <w:rFonts w:ascii="Arial" w:hAnsi="Arial"/>
          <w:color w:val="000000" w:themeColor="text1"/>
        </w:rPr>
        <w:t>7</w:t>
      </w:r>
      <w:r w:rsidRPr="00614125">
        <w:rPr>
          <w:rFonts w:ascii="Arial" w:hAnsi="Arial"/>
          <w:color w:val="000000" w:themeColor="text1"/>
        </w:rPr>
        <w:t xml:space="preserve">%) and </w:t>
      </w:r>
      <w:r w:rsidR="00F07783" w:rsidRPr="00614125">
        <w:rPr>
          <w:rFonts w:ascii="Arial" w:hAnsi="Arial"/>
          <w:color w:val="000000" w:themeColor="text1"/>
        </w:rPr>
        <w:t>Namibia</w:t>
      </w:r>
      <w:r w:rsidR="00500455" w:rsidRPr="00614125">
        <w:rPr>
          <w:rFonts w:ascii="Arial" w:hAnsi="Arial"/>
          <w:color w:val="000000" w:themeColor="text1"/>
        </w:rPr>
        <w:t xml:space="preserve"> (UHC index </w:t>
      </w:r>
      <w:r w:rsidR="00F07783" w:rsidRPr="00614125">
        <w:rPr>
          <w:rFonts w:ascii="Arial" w:hAnsi="Arial"/>
          <w:color w:val="000000" w:themeColor="text1"/>
        </w:rPr>
        <w:t>55.3</w:t>
      </w:r>
      <w:r w:rsidR="00500455" w:rsidRPr="00614125">
        <w:rPr>
          <w:rFonts w:ascii="Arial" w:hAnsi="Arial"/>
          <w:color w:val="000000" w:themeColor="text1"/>
        </w:rPr>
        <w:t xml:space="preserve">%) with largest </w:t>
      </w:r>
      <w:r w:rsidR="004C0308" w:rsidRPr="00614125">
        <w:rPr>
          <w:rFonts w:ascii="Arial" w:hAnsi="Arial"/>
          <w:color w:val="000000" w:themeColor="text1"/>
        </w:rPr>
        <w:t xml:space="preserve">of </w:t>
      </w:r>
      <w:r w:rsidR="003912E0" w:rsidRPr="00614125">
        <w:rPr>
          <w:rFonts w:ascii="Arial" w:hAnsi="Arial"/>
          <w:color w:val="000000" w:themeColor="text1"/>
        </w:rPr>
        <w:t xml:space="preserve">the </w:t>
      </w:r>
      <w:r w:rsidR="00500455" w:rsidRPr="00614125">
        <w:rPr>
          <w:rFonts w:ascii="Arial" w:hAnsi="Arial"/>
          <w:color w:val="000000" w:themeColor="text1"/>
        </w:rPr>
        <w:t xml:space="preserve">UHC indices in Asia and Africa respectively had </w:t>
      </w:r>
      <w:r w:rsidR="003912E0" w:rsidRPr="00614125">
        <w:rPr>
          <w:rFonts w:ascii="Arial" w:hAnsi="Arial"/>
          <w:color w:val="000000" w:themeColor="text1"/>
        </w:rPr>
        <w:t xml:space="preserve">a </w:t>
      </w:r>
      <w:r w:rsidR="00500455" w:rsidRPr="00614125">
        <w:rPr>
          <w:rFonts w:ascii="Arial" w:hAnsi="Arial"/>
          <w:color w:val="000000" w:themeColor="text1"/>
        </w:rPr>
        <w:t xml:space="preserve">much </w:t>
      </w:r>
      <w:r w:rsidR="003912E0" w:rsidRPr="00614125">
        <w:rPr>
          <w:rFonts w:ascii="Arial" w:hAnsi="Arial"/>
          <w:color w:val="000000" w:themeColor="text1"/>
        </w:rPr>
        <w:t xml:space="preserve">more </w:t>
      </w:r>
      <w:r w:rsidR="00500455" w:rsidRPr="00614125">
        <w:rPr>
          <w:rFonts w:ascii="Arial" w:hAnsi="Arial"/>
          <w:color w:val="000000" w:themeColor="text1"/>
        </w:rPr>
        <w:t xml:space="preserve">equitable distribution of contribution to </w:t>
      </w:r>
      <w:r w:rsidR="003912E0" w:rsidRPr="00614125">
        <w:rPr>
          <w:rFonts w:ascii="Arial" w:hAnsi="Arial"/>
          <w:color w:val="000000" w:themeColor="text1"/>
        </w:rPr>
        <w:t xml:space="preserve">their </w:t>
      </w:r>
      <w:r w:rsidR="00500455" w:rsidRPr="00614125">
        <w:rPr>
          <w:rFonts w:ascii="Arial" w:hAnsi="Arial"/>
          <w:color w:val="000000" w:themeColor="text1"/>
        </w:rPr>
        <w:t xml:space="preserve">UHC index across socioeconomic groups. The richest </w:t>
      </w:r>
      <w:r w:rsidR="00DE26CD" w:rsidRPr="00614125">
        <w:rPr>
          <w:rFonts w:ascii="Arial" w:hAnsi="Arial"/>
          <w:color w:val="000000" w:themeColor="text1"/>
        </w:rPr>
        <w:t>group in</w:t>
      </w:r>
      <w:r w:rsidR="00500455" w:rsidRPr="00614125">
        <w:rPr>
          <w:rFonts w:ascii="Arial" w:hAnsi="Arial"/>
          <w:color w:val="000000" w:themeColor="text1"/>
        </w:rPr>
        <w:t xml:space="preserve"> Kazakhstan </w:t>
      </w:r>
      <w:r w:rsidR="00DE26CD" w:rsidRPr="00614125">
        <w:rPr>
          <w:rFonts w:ascii="Arial" w:hAnsi="Arial"/>
          <w:color w:val="000000" w:themeColor="text1"/>
        </w:rPr>
        <w:t>contributed with 20.</w:t>
      </w:r>
      <w:r w:rsidR="00F07783" w:rsidRPr="00614125">
        <w:rPr>
          <w:rFonts w:ascii="Arial" w:hAnsi="Arial"/>
          <w:color w:val="000000" w:themeColor="text1"/>
        </w:rPr>
        <w:t>6</w:t>
      </w:r>
      <w:r w:rsidR="00DE26CD" w:rsidRPr="00614125">
        <w:rPr>
          <w:rFonts w:ascii="Arial" w:hAnsi="Arial"/>
          <w:color w:val="000000" w:themeColor="text1"/>
        </w:rPr>
        <w:t>% and the poorest with 18.</w:t>
      </w:r>
      <w:r w:rsidR="00F07783" w:rsidRPr="00614125">
        <w:rPr>
          <w:rFonts w:ascii="Arial" w:hAnsi="Arial"/>
          <w:color w:val="000000" w:themeColor="text1"/>
        </w:rPr>
        <w:t>5</w:t>
      </w:r>
      <w:r w:rsidR="00DE26CD" w:rsidRPr="00614125">
        <w:rPr>
          <w:rFonts w:ascii="Arial" w:hAnsi="Arial"/>
          <w:color w:val="000000" w:themeColor="text1"/>
        </w:rPr>
        <w:t xml:space="preserve">% to UHC index, </w:t>
      </w:r>
      <w:r w:rsidR="003912E0" w:rsidRPr="00614125">
        <w:rPr>
          <w:rFonts w:ascii="Arial" w:hAnsi="Arial"/>
          <w:color w:val="000000" w:themeColor="text1"/>
        </w:rPr>
        <w:t>giving a</w:t>
      </w:r>
      <w:r w:rsidR="00DE26CD" w:rsidRPr="00614125">
        <w:rPr>
          <w:rFonts w:ascii="Arial" w:hAnsi="Arial"/>
          <w:color w:val="000000" w:themeColor="text1"/>
        </w:rPr>
        <w:t xml:space="preserve"> concentration index of 0.0</w:t>
      </w:r>
      <w:r w:rsidR="00F07783" w:rsidRPr="00614125">
        <w:rPr>
          <w:rFonts w:ascii="Arial" w:hAnsi="Arial"/>
          <w:color w:val="000000" w:themeColor="text1"/>
        </w:rPr>
        <w:t>21</w:t>
      </w:r>
      <w:r w:rsidR="003A588C" w:rsidRPr="00614125">
        <w:rPr>
          <w:rFonts w:ascii="Arial" w:hAnsi="Arial"/>
          <w:color w:val="000000" w:themeColor="text1"/>
        </w:rPr>
        <w:t>, which showed much more equality in healthcare utilization across socioeconomic groups</w:t>
      </w:r>
      <w:r w:rsidR="00F8120A" w:rsidRPr="00614125">
        <w:rPr>
          <w:rFonts w:ascii="Arial" w:hAnsi="Arial"/>
          <w:color w:val="000000" w:themeColor="text1"/>
        </w:rPr>
        <w:t xml:space="preserve">. </w:t>
      </w:r>
      <w:r w:rsidR="006C3F7A" w:rsidRPr="00614125">
        <w:rPr>
          <w:rFonts w:ascii="Arial" w:hAnsi="Arial"/>
          <w:color w:val="000000" w:themeColor="text1"/>
        </w:rPr>
        <w:t xml:space="preserve">Similar experience was observed in </w:t>
      </w:r>
      <w:r w:rsidR="00F07783" w:rsidRPr="00614125">
        <w:rPr>
          <w:rFonts w:ascii="Arial" w:hAnsi="Arial"/>
          <w:color w:val="000000" w:themeColor="text1"/>
        </w:rPr>
        <w:t xml:space="preserve">Namibia (concentration index = 0.066) and </w:t>
      </w:r>
      <w:r w:rsidR="006C3F7A" w:rsidRPr="00614125">
        <w:rPr>
          <w:rFonts w:ascii="Arial" w:hAnsi="Arial"/>
          <w:color w:val="000000" w:themeColor="text1"/>
        </w:rPr>
        <w:t xml:space="preserve">Zambia </w:t>
      </w:r>
      <w:r w:rsidR="00F07783" w:rsidRPr="00614125">
        <w:rPr>
          <w:rFonts w:ascii="Arial" w:hAnsi="Arial"/>
          <w:color w:val="000000" w:themeColor="text1"/>
        </w:rPr>
        <w:t>(concentration index = 0.089)</w:t>
      </w:r>
      <w:r w:rsidR="006C3F7A" w:rsidRPr="00614125">
        <w:rPr>
          <w:rFonts w:ascii="Arial" w:hAnsi="Arial"/>
          <w:color w:val="000000" w:themeColor="text1"/>
        </w:rPr>
        <w:t xml:space="preserve">. </w:t>
      </w:r>
      <w:r w:rsidR="00391618" w:rsidRPr="00614125">
        <w:rPr>
          <w:rFonts w:ascii="Arial" w:hAnsi="Arial"/>
          <w:color w:val="000000" w:themeColor="text1"/>
        </w:rPr>
        <w:t>Nevertheless</w:t>
      </w:r>
      <w:r w:rsidR="003557CA" w:rsidRPr="00614125">
        <w:rPr>
          <w:rFonts w:ascii="Arial" w:hAnsi="Arial"/>
          <w:color w:val="000000" w:themeColor="text1"/>
        </w:rPr>
        <w:t xml:space="preserve">, some countries with </w:t>
      </w:r>
      <w:r w:rsidR="003912E0" w:rsidRPr="00614125">
        <w:rPr>
          <w:rFonts w:ascii="Arial" w:hAnsi="Arial"/>
          <w:color w:val="000000" w:themeColor="text1"/>
        </w:rPr>
        <w:t xml:space="preserve">a </w:t>
      </w:r>
      <w:r w:rsidR="003557CA" w:rsidRPr="00614125">
        <w:rPr>
          <w:rFonts w:ascii="Arial" w:hAnsi="Arial"/>
          <w:color w:val="000000" w:themeColor="text1"/>
        </w:rPr>
        <w:t xml:space="preserve">high UHC index </w:t>
      </w:r>
      <w:r w:rsidR="00391618" w:rsidRPr="00614125">
        <w:rPr>
          <w:rFonts w:ascii="Arial" w:hAnsi="Arial"/>
          <w:color w:val="000000" w:themeColor="text1"/>
        </w:rPr>
        <w:t xml:space="preserve">did also </w:t>
      </w:r>
      <w:r w:rsidR="003557CA" w:rsidRPr="00614125">
        <w:rPr>
          <w:rFonts w:ascii="Arial" w:hAnsi="Arial"/>
          <w:color w:val="000000" w:themeColor="text1"/>
        </w:rPr>
        <w:t xml:space="preserve">show </w:t>
      </w:r>
      <w:r w:rsidR="005A75E5" w:rsidRPr="00614125">
        <w:rPr>
          <w:rFonts w:ascii="Arial" w:hAnsi="Arial"/>
          <w:color w:val="000000" w:themeColor="text1"/>
        </w:rPr>
        <w:t>high</w:t>
      </w:r>
      <w:r w:rsidR="003557CA" w:rsidRPr="00614125">
        <w:rPr>
          <w:rFonts w:ascii="Arial" w:hAnsi="Arial"/>
          <w:color w:val="000000" w:themeColor="text1"/>
        </w:rPr>
        <w:t xml:space="preserve"> </w:t>
      </w:r>
      <w:r w:rsidR="005A75E5" w:rsidRPr="00614125">
        <w:rPr>
          <w:rFonts w:ascii="Arial" w:hAnsi="Arial"/>
          <w:color w:val="000000" w:themeColor="text1"/>
        </w:rPr>
        <w:t>inequality</w:t>
      </w:r>
      <w:r w:rsidR="003557CA" w:rsidRPr="00614125">
        <w:rPr>
          <w:rFonts w:ascii="Arial" w:hAnsi="Arial"/>
          <w:color w:val="000000" w:themeColor="text1"/>
        </w:rPr>
        <w:t xml:space="preserve">. For instance, the </w:t>
      </w:r>
      <w:r w:rsidR="006F5387" w:rsidRPr="00614125">
        <w:rPr>
          <w:rFonts w:ascii="Arial" w:hAnsi="Arial"/>
          <w:color w:val="000000" w:themeColor="text1"/>
        </w:rPr>
        <w:t>Philippines</w:t>
      </w:r>
      <w:r w:rsidR="003557CA" w:rsidRPr="00614125">
        <w:rPr>
          <w:rFonts w:ascii="Arial" w:hAnsi="Arial"/>
          <w:color w:val="000000" w:themeColor="text1"/>
        </w:rPr>
        <w:t xml:space="preserve"> </w:t>
      </w:r>
      <w:r w:rsidR="0035048D" w:rsidRPr="00614125">
        <w:rPr>
          <w:rFonts w:ascii="Arial" w:hAnsi="Arial"/>
          <w:color w:val="000000" w:themeColor="text1"/>
        </w:rPr>
        <w:t xml:space="preserve">and Ghana </w:t>
      </w:r>
      <w:r w:rsidR="00305DB5" w:rsidRPr="00614125">
        <w:rPr>
          <w:rFonts w:ascii="Arial" w:hAnsi="Arial"/>
          <w:color w:val="000000" w:themeColor="text1"/>
        </w:rPr>
        <w:t xml:space="preserve">had </w:t>
      </w:r>
      <w:r w:rsidR="003557CA" w:rsidRPr="00614125">
        <w:rPr>
          <w:rFonts w:ascii="Arial" w:hAnsi="Arial"/>
          <w:color w:val="000000" w:themeColor="text1"/>
        </w:rPr>
        <w:t xml:space="preserve">UHC </w:t>
      </w:r>
      <w:r w:rsidR="00CC7F4A" w:rsidRPr="00614125">
        <w:rPr>
          <w:rFonts w:ascii="Arial" w:hAnsi="Arial"/>
          <w:color w:val="000000" w:themeColor="text1"/>
        </w:rPr>
        <w:t>indices</w:t>
      </w:r>
      <w:r w:rsidR="003557CA" w:rsidRPr="00614125">
        <w:rPr>
          <w:rFonts w:ascii="Arial" w:hAnsi="Arial"/>
          <w:color w:val="000000" w:themeColor="text1"/>
        </w:rPr>
        <w:t xml:space="preserve"> of </w:t>
      </w:r>
      <w:r w:rsidR="00341B31" w:rsidRPr="00614125">
        <w:rPr>
          <w:rFonts w:ascii="Arial" w:hAnsi="Arial"/>
          <w:color w:val="000000" w:themeColor="text1"/>
        </w:rPr>
        <w:t>52.2</w:t>
      </w:r>
      <w:r w:rsidR="009572BF" w:rsidRPr="00614125">
        <w:rPr>
          <w:rFonts w:ascii="Arial" w:hAnsi="Arial"/>
          <w:color w:val="000000" w:themeColor="text1"/>
        </w:rPr>
        <w:t>%</w:t>
      </w:r>
      <w:r w:rsidR="0035048D" w:rsidRPr="00614125">
        <w:rPr>
          <w:rFonts w:ascii="Arial" w:hAnsi="Arial"/>
          <w:color w:val="000000" w:themeColor="text1"/>
        </w:rPr>
        <w:t xml:space="preserve"> and 4</w:t>
      </w:r>
      <w:r w:rsidR="00341B31" w:rsidRPr="00614125">
        <w:rPr>
          <w:rFonts w:ascii="Arial" w:hAnsi="Arial"/>
          <w:color w:val="000000" w:themeColor="text1"/>
        </w:rPr>
        <w:t>6</w:t>
      </w:r>
      <w:r w:rsidR="0035048D" w:rsidRPr="00614125">
        <w:rPr>
          <w:rFonts w:ascii="Arial" w:hAnsi="Arial"/>
          <w:color w:val="000000" w:themeColor="text1"/>
        </w:rPr>
        <w:t>.</w:t>
      </w:r>
      <w:r w:rsidR="00341B31" w:rsidRPr="00614125">
        <w:rPr>
          <w:rFonts w:ascii="Arial" w:hAnsi="Arial"/>
          <w:color w:val="000000" w:themeColor="text1"/>
        </w:rPr>
        <w:t>9</w:t>
      </w:r>
      <w:r w:rsidR="009572BF" w:rsidRPr="00614125">
        <w:rPr>
          <w:rFonts w:ascii="Arial" w:hAnsi="Arial"/>
          <w:color w:val="000000" w:themeColor="text1"/>
        </w:rPr>
        <w:t>%</w:t>
      </w:r>
      <w:r w:rsidR="0035048D" w:rsidRPr="00614125">
        <w:rPr>
          <w:rFonts w:ascii="Arial" w:hAnsi="Arial"/>
          <w:color w:val="000000" w:themeColor="text1"/>
        </w:rPr>
        <w:t>,</w:t>
      </w:r>
      <w:r w:rsidR="003557CA" w:rsidRPr="00614125">
        <w:rPr>
          <w:rFonts w:ascii="Arial" w:hAnsi="Arial"/>
          <w:color w:val="000000" w:themeColor="text1"/>
        </w:rPr>
        <w:t xml:space="preserve"> but </w:t>
      </w:r>
      <w:r w:rsidR="00391618" w:rsidRPr="00614125">
        <w:rPr>
          <w:rFonts w:ascii="Arial" w:hAnsi="Arial"/>
          <w:color w:val="000000" w:themeColor="text1"/>
        </w:rPr>
        <w:t xml:space="preserve">also </w:t>
      </w:r>
      <w:r w:rsidR="0035048D" w:rsidRPr="00614125">
        <w:rPr>
          <w:rFonts w:ascii="Arial" w:hAnsi="Arial"/>
          <w:color w:val="000000" w:themeColor="text1"/>
        </w:rPr>
        <w:t>experienced high concentration indices</w:t>
      </w:r>
      <w:r w:rsidR="003557CA" w:rsidRPr="00614125">
        <w:rPr>
          <w:rFonts w:ascii="Arial" w:hAnsi="Arial"/>
          <w:color w:val="000000" w:themeColor="text1"/>
        </w:rPr>
        <w:t xml:space="preserve"> of 0.10</w:t>
      </w:r>
      <w:r w:rsidR="00341B31" w:rsidRPr="00614125">
        <w:rPr>
          <w:rFonts w:ascii="Arial" w:hAnsi="Arial"/>
          <w:color w:val="000000" w:themeColor="text1"/>
        </w:rPr>
        <w:t>6</w:t>
      </w:r>
      <w:r w:rsidR="003557CA" w:rsidRPr="00614125">
        <w:rPr>
          <w:rFonts w:ascii="Arial" w:hAnsi="Arial"/>
          <w:color w:val="000000" w:themeColor="text1"/>
        </w:rPr>
        <w:t xml:space="preserve"> and </w:t>
      </w:r>
      <w:r w:rsidR="0035048D" w:rsidRPr="00614125">
        <w:rPr>
          <w:rFonts w:ascii="Arial" w:hAnsi="Arial"/>
          <w:color w:val="000000" w:themeColor="text1"/>
        </w:rPr>
        <w:t>0.1</w:t>
      </w:r>
      <w:r w:rsidR="00341B31" w:rsidRPr="00614125">
        <w:rPr>
          <w:rFonts w:ascii="Arial" w:hAnsi="Arial"/>
          <w:color w:val="000000" w:themeColor="text1"/>
        </w:rPr>
        <w:t>25</w:t>
      </w:r>
      <w:r w:rsidR="0035048D" w:rsidRPr="00614125">
        <w:rPr>
          <w:rFonts w:ascii="Arial" w:hAnsi="Arial"/>
          <w:color w:val="000000" w:themeColor="text1"/>
        </w:rPr>
        <w:t xml:space="preserve"> respectively. </w:t>
      </w:r>
      <w:r w:rsidR="00391618" w:rsidRPr="00614125">
        <w:rPr>
          <w:rFonts w:ascii="Arial" w:hAnsi="Arial"/>
          <w:color w:val="000000" w:themeColor="text1"/>
        </w:rPr>
        <w:t>Overall</w:t>
      </w:r>
      <w:r w:rsidR="00DE1D36" w:rsidRPr="00614125">
        <w:rPr>
          <w:rFonts w:ascii="Arial" w:hAnsi="Arial"/>
          <w:color w:val="000000" w:themeColor="text1"/>
        </w:rPr>
        <w:t>,</w:t>
      </w:r>
      <w:r w:rsidR="00391618" w:rsidRPr="00614125">
        <w:rPr>
          <w:rFonts w:ascii="Arial" w:hAnsi="Arial"/>
          <w:color w:val="000000" w:themeColor="text1"/>
        </w:rPr>
        <w:t xml:space="preserve"> </w:t>
      </w:r>
      <w:r w:rsidR="00391618" w:rsidRPr="00614125">
        <w:rPr>
          <w:rFonts w:ascii="Arial" w:hAnsi="Arial"/>
          <w:noProof/>
          <w:color w:val="000000" w:themeColor="text1"/>
        </w:rPr>
        <w:t>h</w:t>
      </w:r>
      <w:r w:rsidR="00F8120A" w:rsidRPr="00614125">
        <w:rPr>
          <w:rFonts w:ascii="Arial" w:hAnsi="Arial"/>
          <w:noProof/>
          <w:color w:val="000000" w:themeColor="text1"/>
        </w:rPr>
        <w:t>owever</w:t>
      </w:r>
      <w:r w:rsidR="00F8120A" w:rsidRPr="00614125">
        <w:rPr>
          <w:rFonts w:ascii="Arial" w:hAnsi="Arial"/>
          <w:color w:val="000000" w:themeColor="text1"/>
        </w:rPr>
        <w:t xml:space="preserve">, there is a strong and significant correlation </w:t>
      </w:r>
      <w:r w:rsidR="005A75E5" w:rsidRPr="00614125">
        <w:rPr>
          <w:rFonts w:ascii="Arial" w:hAnsi="Arial"/>
          <w:color w:val="000000" w:themeColor="text1"/>
        </w:rPr>
        <w:t>(</w:t>
      </w:r>
      <w:r w:rsidR="00243A09" w:rsidRPr="00614125">
        <w:rPr>
          <w:rFonts w:ascii="Arial" w:hAnsi="Arial"/>
          <w:color w:val="000000" w:themeColor="text1"/>
        </w:rPr>
        <w:t>-0.7519</w:t>
      </w:r>
      <w:r w:rsidR="005A75E5" w:rsidRPr="00614125">
        <w:rPr>
          <w:rFonts w:ascii="Arial" w:hAnsi="Arial"/>
          <w:color w:val="000000" w:themeColor="text1"/>
        </w:rPr>
        <w:t>, p = 0.000</w:t>
      </w:r>
      <w:r w:rsidR="00882D9C" w:rsidRPr="00614125">
        <w:rPr>
          <w:rFonts w:ascii="Arial" w:hAnsi="Arial"/>
          <w:color w:val="000000" w:themeColor="text1"/>
        </w:rPr>
        <w:t>1</w:t>
      </w:r>
      <w:r w:rsidR="005A75E5" w:rsidRPr="00614125">
        <w:rPr>
          <w:rFonts w:ascii="Arial" w:hAnsi="Arial"/>
          <w:color w:val="000000" w:themeColor="text1"/>
        </w:rPr>
        <w:t xml:space="preserve">) </w:t>
      </w:r>
      <w:r w:rsidR="00F8120A" w:rsidRPr="00614125">
        <w:rPr>
          <w:rFonts w:ascii="Arial" w:hAnsi="Arial"/>
          <w:color w:val="000000" w:themeColor="text1"/>
        </w:rPr>
        <w:t>between</w:t>
      </w:r>
      <w:r w:rsidR="003A588C" w:rsidRPr="00614125">
        <w:rPr>
          <w:rFonts w:ascii="Arial" w:hAnsi="Arial"/>
          <w:color w:val="000000" w:themeColor="text1"/>
        </w:rPr>
        <w:t xml:space="preserve"> a country’s</w:t>
      </w:r>
      <w:r w:rsidR="00F8120A" w:rsidRPr="00614125">
        <w:rPr>
          <w:rFonts w:ascii="Arial" w:hAnsi="Arial"/>
          <w:color w:val="000000" w:themeColor="text1"/>
        </w:rPr>
        <w:t xml:space="preserve"> UHC index and </w:t>
      </w:r>
      <w:r w:rsidR="00391618" w:rsidRPr="00614125">
        <w:rPr>
          <w:rFonts w:ascii="Arial" w:hAnsi="Arial"/>
          <w:color w:val="000000" w:themeColor="text1"/>
        </w:rPr>
        <w:t xml:space="preserve">their </w:t>
      </w:r>
      <w:r w:rsidR="00F8120A" w:rsidRPr="00614125">
        <w:rPr>
          <w:rFonts w:ascii="Arial" w:hAnsi="Arial"/>
          <w:color w:val="000000" w:themeColor="text1"/>
        </w:rPr>
        <w:t xml:space="preserve">concentration index.  </w:t>
      </w:r>
    </w:p>
    <w:p w14:paraId="460714D5" w14:textId="42EAC913" w:rsidR="00D11C6A" w:rsidRPr="00614125" w:rsidRDefault="00B121C2" w:rsidP="00337D8B">
      <w:pPr>
        <w:spacing w:before="120" w:after="120" w:line="360" w:lineRule="auto"/>
        <w:jc w:val="both"/>
        <w:rPr>
          <w:rFonts w:ascii="Arial" w:hAnsi="Arial"/>
          <w:color w:val="000000" w:themeColor="text1"/>
        </w:rPr>
      </w:pPr>
      <w:r w:rsidRPr="00614125">
        <w:rPr>
          <w:rFonts w:ascii="Arial" w:hAnsi="Arial"/>
          <w:color w:val="000000" w:themeColor="text1"/>
        </w:rPr>
        <w:t>For validation</w:t>
      </w:r>
      <w:r w:rsidR="005A2C39" w:rsidRPr="00614125">
        <w:rPr>
          <w:rFonts w:ascii="Arial" w:hAnsi="Arial"/>
          <w:color w:val="000000" w:themeColor="text1"/>
        </w:rPr>
        <w:t xml:space="preserve"> of our UHC index, we estimated</w:t>
      </w:r>
      <w:r w:rsidRPr="00614125">
        <w:rPr>
          <w:rFonts w:ascii="Arial" w:hAnsi="Arial"/>
          <w:color w:val="000000" w:themeColor="text1"/>
        </w:rPr>
        <w:t xml:space="preserve"> correlation</w:t>
      </w:r>
      <w:r w:rsidR="005A2C39" w:rsidRPr="00614125">
        <w:rPr>
          <w:rFonts w:ascii="Arial" w:hAnsi="Arial"/>
          <w:color w:val="000000" w:themeColor="text1"/>
        </w:rPr>
        <w:t xml:space="preserve"> coefficients</w:t>
      </w:r>
      <w:r w:rsidRPr="00614125">
        <w:rPr>
          <w:rFonts w:ascii="Arial" w:hAnsi="Arial"/>
          <w:color w:val="000000" w:themeColor="text1"/>
        </w:rPr>
        <w:t xml:space="preserve"> between our index values with the index values estimated by other researchers </w:t>
      </w:r>
      <w:r w:rsidR="00EE5D44" w:rsidRPr="00614125">
        <w:rPr>
          <w:rFonts w:ascii="Arial" w:hAnsi="Arial"/>
          <w:color w:val="000000" w:themeColor="text1"/>
        </w:rPr>
        <w:t>[5,6]</w:t>
      </w:r>
      <w:r w:rsidRPr="00614125">
        <w:rPr>
          <w:rFonts w:ascii="Arial" w:hAnsi="Arial"/>
          <w:color w:val="000000" w:themeColor="text1"/>
        </w:rPr>
        <w:t xml:space="preserve">. The correlation coefficients between our estimated UHC index values and Wagstaff’s and Hogan’s were 0.900 (p-value 0.037) and 0.774 (p-value 0.000) respectively. It should be noted here that we found 5 common countries with Wagstaff and all 21 countries with Hogan. It implied that our spreadsheet approach </w:t>
      </w:r>
      <w:r w:rsidR="004C0308" w:rsidRPr="00614125">
        <w:rPr>
          <w:rFonts w:ascii="Arial" w:hAnsi="Arial"/>
          <w:color w:val="000000" w:themeColor="text1"/>
        </w:rPr>
        <w:t>to</w:t>
      </w:r>
      <w:r w:rsidRPr="00614125">
        <w:rPr>
          <w:rFonts w:ascii="Arial" w:hAnsi="Arial"/>
          <w:color w:val="000000" w:themeColor="text1"/>
        </w:rPr>
        <w:t xml:space="preserve"> UHC index calculation reflected the UHC status of the reported countries similarly.  </w:t>
      </w:r>
      <w:r w:rsidR="00CC7F4A" w:rsidRPr="00614125">
        <w:rPr>
          <w:rFonts w:ascii="Arial" w:hAnsi="Arial"/>
          <w:color w:val="000000" w:themeColor="text1"/>
        </w:rPr>
        <w:t xml:space="preserve">Further, we fitted two models for explaining UHC indices by the level of out-of-pocket payments (Table 4). </w:t>
      </w:r>
      <w:r w:rsidR="00137B90" w:rsidRPr="00614125">
        <w:rPr>
          <w:rFonts w:ascii="Arial" w:hAnsi="Arial"/>
          <w:color w:val="000000" w:themeColor="text1"/>
        </w:rPr>
        <w:t xml:space="preserve">In </w:t>
      </w:r>
      <w:r w:rsidR="00316087" w:rsidRPr="00614125">
        <w:rPr>
          <w:rFonts w:ascii="Arial" w:hAnsi="Arial"/>
          <w:color w:val="000000" w:themeColor="text1"/>
        </w:rPr>
        <w:t>M</w:t>
      </w:r>
      <w:r w:rsidR="00137B90" w:rsidRPr="00614125">
        <w:rPr>
          <w:rFonts w:ascii="Arial" w:hAnsi="Arial"/>
          <w:color w:val="000000" w:themeColor="text1"/>
        </w:rPr>
        <w:t>odel 1</w:t>
      </w:r>
      <w:r w:rsidR="00CC4911" w:rsidRPr="00614125">
        <w:rPr>
          <w:rFonts w:ascii="Arial" w:hAnsi="Arial"/>
          <w:color w:val="000000" w:themeColor="text1"/>
        </w:rPr>
        <w:t>,</w:t>
      </w:r>
      <w:r w:rsidR="00137B90" w:rsidRPr="00614125">
        <w:rPr>
          <w:rFonts w:ascii="Arial" w:hAnsi="Arial"/>
          <w:color w:val="000000" w:themeColor="text1"/>
        </w:rPr>
        <w:t xml:space="preserve"> we controlled for </w:t>
      </w:r>
      <w:r w:rsidR="00391618" w:rsidRPr="00614125">
        <w:rPr>
          <w:rFonts w:ascii="Arial" w:hAnsi="Arial"/>
          <w:color w:val="000000" w:themeColor="text1"/>
        </w:rPr>
        <w:t xml:space="preserve">both </w:t>
      </w:r>
      <w:r w:rsidR="00137B90" w:rsidRPr="00614125">
        <w:rPr>
          <w:rFonts w:ascii="Arial" w:hAnsi="Arial"/>
          <w:color w:val="000000" w:themeColor="text1"/>
        </w:rPr>
        <w:t>economic level (GDP per capita) and population size of the countries</w:t>
      </w:r>
      <w:r w:rsidR="00391618" w:rsidRPr="00614125">
        <w:rPr>
          <w:rFonts w:ascii="Arial" w:hAnsi="Arial"/>
          <w:color w:val="000000" w:themeColor="text1"/>
        </w:rPr>
        <w:t>,</w:t>
      </w:r>
      <w:r w:rsidR="00137B90" w:rsidRPr="00614125">
        <w:rPr>
          <w:rFonts w:ascii="Arial" w:hAnsi="Arial"/>
          <w:color w:val="000000" w:themeColor="text1"/>
        </w:rPr>
        <w:t xml:space="preserve"> while </w:t>
      </w:r>
      <w:r w:rsidR="00316087" w:rsidRPr="00614125">
        <w:rPr>
          <w:rFonts w:ascii="Arial" w:hAnsi="Arial"/>
          <w:color w:val="000000" w:themeColor="text1"/>
        </w:rPr>
        <w:t>M</w:t>
      </w:r>
      <w:r w:rsidR="00137B90" w:rsidRPr="00614125">
        <w:rPr>
          <w:rFonts w:ascii="Arial" w:hAnsi="Arial"/>
          <w:color w:val="000000" w:themeColor="text1"/>
        </w:rPr>
        <w:t xml:space="preserve">odel 2 additionally controlled for variations in demographic structure </w:t>
      </w:r>
      <w:r w:rsidR="00382BE0" w:rsidRPr="00614125">
        <w:rPr>
          <w:rFonts w:ascii="Arial" w:hAnsi="Arial"/>
          <w:color w:val="000000" w:themeColor="text1"/>
        </w:rPr>
        <w:t>i.e.</w:t>
      </w:r>
      <w:r w:rsidR="00137B90" w:rsidRPr="00614125">
        <w:rPr>
          <w:rFonts w:ascii="Arial" w:hAnsi="Arial"/>
          <w:color w:val="000000" w:themeColor="text1"/>
        </w:rPr>
        <w:t xml:space="preserve"> </w:t>
      </w:r>
      <w:r w:rsidR="004C0308" w:rsidRPr="00614125">
        <w:rPr>
          <w:rFonts w:ascii="Arial" w:hAnsi="Arial"/>
          <w:color w:val="000000" w:themeColor="text1"/>
        </w:rPr>
        <w:t xml:space="preserve">the </w:t>
      </w:r>
      <w:r w:rsidR="00137B90" w:rsidRPr="00614125">
        <w:rPr>
          <w:rFonts w:ascii="Arial" w:hAnsi="Arial"/>
          <w:color w:val="000000" w:themeColor="text1"/>
        </w:rPr>
        <w:t xml:space="preserve">proportion of female and elderly in </w:t>
      </w:r>
      <w:r w:rsidR="004C0308" w:rsidRPr="00614125">
        <w:rPr>
          <w:rFonts w:ascii="Arial" w:hAnsi="Arial"/>
          <w:color w:val="000000" w:themeColor="text1"/>
        </w:rPr>
        <w:t xml:space="preserve">the </w:t>
      </w:r>
      <w:r w:rsidR="00137B90" w:rsidRPr="00614125">
        <w:rPr>
          <w:rFonts w:ascii="Arial" w:hAnsi="Arial"/>
          <w:color w:val="000000" w:themeColor="text1"/>
        </w:rPr>
        <w:t>total population. Both regression equations explained the models well</w:t>
      </w:r>
      <w:r w:rsidR="0003108D" w:rsidRPr="00614125">
        <w:rPr>
          <w:rFonts w:ascii="Arial" w:hAnsi="Arial"/>
          <w:color w:val="000000" w:themeColor="text1"/>
        </w:rPr>
        <w:t>, i.e. by</w:t>
      </w:r>
      <w:r w:rsidR="00391618" w:rsidRPr="00614125">
        <w:rPr>
          <w:rFonts w:ascii="Arial" w:hAnsi="Arial"/>
          <w:color w:val="000000" w:themeColor="text1"/>
        </w:rPr>
        <w:t xml:space="preserve"> </w:t>
      </w:r>
      <w:r w:rsidR="005A2C39" w:rsidRPr="00614125">
        <w:rPr>
          <w:rFonts w:ascii="Arial" w:hAnsi="Arial"/>
          <w:color w:val="000000" w:themeColor="text1"/>
        </w:rPr>
        <w:t>70.7</w:t>
      </w:r>
      <w:r w:rsidR="00137B90" w:rsidRPr="00614125">
        <w:rPr>
          <w:rFonts w:ascii="Arial" w:hAnsi="Arial"/>
          <w:color w:val="000000" w:themeColor="text1"/>
        </w:rPr>
        <w:t xml:space="preserve">% </w:t>
      </w:r>
      <w:r w:rsidR="0003108D" w:rsidRPr="00614125">
        <w:rPr>
          <w:rFonts w:ascii="Arial" w:hAnsi="Arial"/>
          <w:color w:val="000000" w:themeColor="text1"/>
        </w:rPr>
        <w:t xml:space="preserve">(Model 1) </w:t>
      </w:r>
      <w:r w:rsidR="00137B90" w:rsidRPr="00614125">
        <w:rPr>
          <w:rFonts w:ascii="Arial" w:hAnsi="Arial"/>
          <w:color w:val="000000" w:themeColor="text1"/>
        </w:rPr>
        <w:t xml:space="preserve">and </w:t>
      </w:r>
      <w:r w:rsidR="005A2C39" w:rsidRPr="00614125">
        <w:rPr>
          <w:rFonts w:ascii="Arial" w:hAnsi="Arial"/>
          <w:color w:val="000000" w:themeColor="text1"/>
        </w:rPr>
        <w:t>69.2</w:t>
      </w:r>
      <w:r w:rsidR="00137B90" w:rsidRPr="00614125">
        <w:rPr>
          <w:rFonts w:ascii="Arial" w:hAnsi="Arial"/>
          <w:color w:val="000000" w:themeColor="text1"/>
        </w:rPr>
        <w:t>%</w:t>
      </w:r>
      <w:r w:rsidR="0003108D" w:rsidRPr="00614125">
        <w:rPr>
          <w:rFonts w:ascii="Arial" w:hAnsi="Arial"/>
          <w:color w:val="000000" w:themeColor="text1"/>
        </w:rPr>
        <w:t xml:space="preserve"> (Model 2)</w:t>
      </w:r>
      <w:r w:rsidR="00391618" w:rsidRPr="00614125">
        <w:rPr>
          <w:rFonts w:ascii="Arial" w:hAnsi="Arial"/>
          <w:color w:val="000000" w:themeColor="text1"/>
        </w:rPr>
        <w:t>.</w:t>
      </w:r>
      <w:r w:rsidR="0003108D" w:rsidRPr="00614125">
        <w:rPr>
          <w:rFonts w:ascii="Arial" w:hAnsi="Arial"/>
          <w:color w:val="000000" w:themeColor="text1"/>
        </w:rPr>
        <w:t xml:space="preserve"> </w:t>
      </w:r>
      <w:r w:rsidR="006F5387" w:rsidRPr="00614125">
        <w:rPr>
          <w:rFonts w:ascii="Arial" w:hAnsi="Arial"/>
          <w:color w:val="000000" w:themeColor="text1"/>
        </w:rPr>
        <w:t>Neither</w:t>
      </w:r>
      <w:r w:rsidR="00382BE0" w:rsidRPr="00614125">
        <w:rPr>
          <w:rFonts w:ascii="Arial" w:hAnsi="Arial"/>
          <w:color w:val="000000" w:themeColor="text1"/>
        </w:rPr>
        <w:t xml:space="preserve"> </w:t>
      </w:r>
      <w:r w:rsidR="00137B90" w:rsidRPr="00614125">
        <w:rPr>
          <w:rFonts w:ascii="Arial" w:hAnsi="Arial"/>
          <w:color w:val="000000" w:themeColor="text1"/>
        </w:rPr>
        <w:t xml:space="preserve">significant multicollinearity </w:t>
      </w:r>
      <w:r w:rsidR="00D11C6A" w:rsidRPr="00614125">
        <w:rPr>
          <w:rFonts w:ascii="Arial" w:hAnsi="Arial"/>
          <w:color w:val="000000" w:themeColor="text1"/>
        </w:rPr>
        <w:t>no</w:t>
      </w:r>
      <w:r w:rsidR="00382BE0" w:rsidRPr="00614125">
        <w:rPr>
          <w:rFonts w:ascii="Arial" w:hAnsi="Arial"/>
          <w:color w:val="000000" w:themeColor="text1"/>
        </w:rPr>
        <w:t>r</w:t>
      </w:r>
      <w:r w:rsidR="00D11C6A" w:rsidRPr="00614125">
        <w:rPr>
          <w:rFonts w:ascii="Arial" w:hAnsi="Arial"/>
          <w:color w:val="000000" w:themeColor="text1"/>
        </w:rPr>
        <w:t xml:space="preserve"> misspecification was found in the estimation</w:t>
      </w:r>
      <w:r w:rsidR="00382BE0" w:rsidRPr="00614125">
        <w:rPr>
          <w:rFonts w:ascii="Arial" w:hAnsi="Arial"/>
          <w:color w:val="000000" w:themeColor="text1"/>
        </w:rPr>
        <w:t>s.</w:t>
      </w:r>
    </w:p>
    <w:p w14:paraId="18B6FC42" w14:textId="77777777" w:rsidR="00082E0B" w:rsidRPr="00614125" w:rsidRDefault="00082E0B" w:rsidP="00337D8B">
      <w:pPr>
        <w:spacing w:before="120" w:after="120" w:line="360" w:lineRule="auto"/>
        <w:jc w:val="both"/>
        <w:rPr>
          <w:rFonts w:ascii="Arial" w:hAnsi="Arial"/>
          <w:color w:val="000000" w:themeColor="text1"/>
        </w:rPr>
      </w:pPr>
    </w:p>
    <w:p w14:paraId="3EF83164" w14:textId="7A733698" w:rsidR="00082E0B" w:rsidRPr="00614125" w:rsidRDefault="00082E0B" w:rsidP="00337D8B">
      <w:pPr>
        <w:spacing w:before="120" w:after="120" w:line="360" w:lineRule="auto"/>
        <w:jc w:val="center"/>
        <w:rPr>
          <w:rFonts w:ascii="Arial" w:hAnsi="Arial"/>
          <w:color w:val="000000" w:themeColor="text1"/>
        </w:rPr>
      </w:pPr>
      <w:r w:rsidRPr="00614125">
        <w:rPr>
          <w:rFonts w:ascii="Arial" w:hAnsi="Arial"/>
          <w:color w:val="000000" w:themeColor="text1"/>
        </w:rPr>
        <w:t>Table</w:t>
      </w:r>
      <w:r w:rsidR="00DB78E8" w:rsidRPr="00614125">
        <w:rPr>
          <w:rFonts w:ascii="Arial" w:hAnsi="Arial"/>
          <w:color w:val="000000" w:themeColor="text1"/>
        </w:rPr>
        <w:t xml:space="preserve"> </w:t>
      </w:r>
      <w:r w:rsidR="00B973CC" w:rsidRPr="00614125">
        <w:rPr>
          <w:rFonts w:ascii="Arial" w:hAnsi="Arial"/>
          <w:color w:val="000000" w:themeColor="text1"/>
        </w:rPr>
        <w:t>4</w:t>
      </w:r>
      <w:r w:rsidRPr="00614125">
        <w:rPr>
          <w:rFonts w:ascii="Arial" w:hAnsi="Arial"/>
          <w:color w:val="000000" w:themeColor="text1"/>
        </w:rPr>
        <w:t xml:space="preserve"> to be inserted here</w:t>
      </w:r>
    </w:p>
    <w:p w14:paraId="528B92C2" w14:textId="77777777" w:rsidR="00082E0B" w:rsidRPr="00614125" w:rsidRDefault="00082E0B" w:rsidP="00337D8B">
      <w:pPr>
        <w:spacing w:before="120" w:after="120" w:line="360" w:lineRule="auto"/>
        <w:jc w:val="center"/>
        <w:rPr>
          <w:rFonts w:ascii="Arial" w:hAnsi="Arial"/>
          <w:color w:val="000000" w:themeColor="text1"/>
        </w:rPr>
      </w:pPr>
    </w:p>
    <w:p w14:paraId="4F89F69D" w14:textId="31026C8A" w:rsidR="0020516B" w:rsidRPr="00614125" w:rsidRDefault="00391618" w:rsidP="00337D8B">
      <w:pPr>
        <w:spacing w:before="120" w:after="120" w:line="360" w:lineRule="auto"/>
        <w:jc w:val="both"/>
        <w:rPr>
          <w:rFonts w:ascii="Arial" w:hAnsi="Arial"/>
          <w:color w:val="000000" w:themeColor="text1"/>
        </w:rPr>
      </w:pPr>
      <w:r w:rsidRPr="00614125">
        <w:rPr>
          <w:rFonts w:ascii="Arial" w:hAnsi="Arial"/>
          <w:color w:val="000000" w:themeColor="text1"/>
        </w:rPr>
        <w:lastRenderedPageBreak/>
        <w:t>Both models showed a</w:t>
      </w:r>
      <w:r w:rsidR="00D11C6A" w:rsidRPr="00614125">
        <w:rPr>
          <w:rFonts w:ascii="Arial" w:hAnsi="Arial"/>
          <w:color w:val="000000" w:themeColor="text1"/>
        </w:rPr>
        <w:t xml:space="preserve"> negative</w:t>
      </w:r>
      <w:r w:rsidR="00AF6FB5" w:rsidRPr="00614125">
        <w:rPr>
          <w:rFonts w:ascii="Arial" w:hAnsi="Arial"/>
          <w:color w:val="000000" w:themeColor="text1"/>
        </w:rPr>
        <w:t xml:space="preserve"> significant relationship </w:t>
      </w:r>
      <w:r w:rsidR="00B7239C" w:rsidRPr="00614125">
        <w:rPr>
          <w:rFonts w:ascii="Arial" w:hAnsi="Arial"/>
          <w:color w:val="000000" w:themeColor="text1"/>
        </w:rPr>
        <w:t xml:space="preserve">between </w:t>
      </w:r>
      <w:r w:rsidRPr="00614125">
        <w:rPr>
          <w:rFonts w:ascii="Arial" w:hAnsi="Arial"/>
          <w:color w:val="000000" w:themeColor="text1"/>
        </w:rPr>
        <w:t xml:space="preserve">the </w:t>
      </w:r>
      <w:r w:rsidR="00B7239C" w:rsidRPr="00614125">
        <w:rPr>
          <w:rFonts w:ascii="Arial" w:hAnsi="Arial"/>
          <w:color w:val="000000" w:themeColor="text1"/>
        </w:rPr>
        <w:t>share of out-of-pocket payment and</w:t>
      </w:r>
      <w:r w:rsidRPr="00614125">
        <w:rPr>
          <w:rFonts w:ascii="Arial" w:hAnsi="Arial"/>
          <w:color w:val="000000" w:themeColor="text1"/>
        </w:rPr>
        <w:t xml:space="preserve"> the</w:t>
      </w:r>
      <w:r w:rsidR="00B7239C" w:rsidRPr="00614125">
        <w:rPr>
          <w:rFonts w:ascii="Arial" w:hAnsi="Arial"/>
          <w:color w:val="000000" w:themeColor="text1"/>
        </w:rPr>
        <w:t xml:space="preserve"> UHC index</w:t>
      </w:r>
      <w:r w:rsidR="003A588C" w:rsidRPr="00614125">
        <w:rPr>
          <w:rFonts w:ascii="Arial" w:hAnsi="Arial"/>
          <w:color w:val="000000" w:themeColor="text1"/>
        </w:rPr>
        <w:t xml:space="preserve">. </w:t>
      </w:r>
      <w:r w:rsidR="00BF4EE6" w:rsidRPr="00614125">
        <w:rPr>
          <w:rFonts w:ascii="Arial" w:hAnsi="Arial"/>
          <w:color w:val="000000" w:themeColor="text1"/>
        </w:rPr>
        <w:t>Our estimation of the recommended model (</w:t>
      </w:r>
      <w:r w:rsidR="00316087" w:rsidRPr="00614125">
        <w:rPr>
          <w:rFonts w:ascii="Arial" w:hAnsi="Arial"/>
          <w:color w:val="000000" w:themeColor="text1"/>
        </w:rPr>
        <w:t>M</w:t>
      </w:r>
      <w:r w:rsidR="00BF4EE6" w:rsidRPr="00614125">
        <w:rPr>
          <w:rFonts w:ascii="Arial" w:hAnsi="Arial"/>
          <w:color w:val="000000" w:themeColor="text1"/>
        </w:rPr>
        <w:t>odel 2), which controlled for both economic level and demographic variations</w:t>
      </w:r>
      <w:r w:rsidRPr="00614125">
        <w:rPr>
          <w:rFonts w:ascii="Arial" w:hAnsi="Arial"/>
          <w:color w:val="000000" w:themeColor="text1"/>
        </w:rPr>
        <w:t>,</w:t>
      </w:r>
      <w:r w:rsidR="005071CE" w:rsidRPr="00614125">
        <w:rPr>
          <w:rFonts w:ascii="Arial" w:hAnsi="Arial"/>
          <w:color w:val="000000" w:themeColor="text1"/>
        </w:rPr>
        <w:t xml:space="preserve"> showed that </w:t>
      </w:r>
      <w:r w:rsidR="00DB43A3" w:rsidRPr="00614125">
        <w:rPr>
          <w:rFonts w:ascii="Arial" w:hAnsi="Arial"/>
          <w:color w:val="000000" w:themeColor="text1"/>
        </w:rPr>
        <w:t xml:space="preserve">a </w:t>
      </w:r>
      <w:r w:rsidR="005071CE" w:rsidRPr="00614125">
        <w:rPr>
          <w:rFonts w:ascii="Arial" w:hAnsi="Arial"/>
          <w:color w:val="000000" w:themeColor="text1"/>
        </w:rPr>
        <w:t>1</w:t>
      </w:r>
      <w:r w:rsidR="00316087" w:rsidRPr="00614125">
        <w:rPr>
          <w:rFonts w:ascii="Arial" w:hAnsi="Arial"/>
          <w:color w:val="000000" w:themeColor="text1"/>
        </w:rPr>
        <w:t xml:space="preserve"> </w:t>
      </w:r>
      <w:r w:rsidR="005071CE" w:rsidRPr="00614125">
        <w:rPr>
          <w:rFonts w:ascii="Arial" w:hAnsi="Arial"/>
          <w:noProof/>
          <w:color w:val="000000" w:themeColor="text1"/>
        </w:rPr>
        <w:t>percent</w:t>
      </w:r>
      <w:r w:rsidR="00BF4EE6" w:rsidRPr="00614125">
        <w:rPr>
          <w:rFonts w:ascii="Arial" w:hAnsi="Arial"/>
          <w:color w:val="000000" w:themeColor="text1"/>
        </w:rPr>
        <w:t xml:space="preserve"> increase in OOP</w:t>
      </w:r>
      <w:r w:rsidR="00E65B83" w:rsidRPr="00614125">
        <w:rPr>
          <w:rFonts w:ascii="Arial" w:hAnsi="Arial"/>
          <w:color w:val="000000" w:themeColor="text1"/>
        </w:rPr>
        <w:t xml:space="preserve"> </w:t>
      </w:r>
      <w:r w:rsidRPr="00614125">
        <w:rPr>
          <w:rFonts w:ascii="Arial" w:hAnsi="Arial"/>
          <w:color w:val="000000" w:themeColor="text1"/>
        </w:rPr>
        <w:t xml:space="preserve">health care payments </w:t>
      </w:r>
      <w:r w:rsidR="00E65B83" w:rsidRPr="00614125">
        <w:rPr>
          <w:rFonts w:ascii="Arial" w:hAnsi="Arial"/>
          <w:color w:val="000000" w:themeColor="text1"/>
        </w:rPr>
        <w:t>reduce</w:t>
      </w:r>
      <w:r w:rsidRPr="00614125">
        <w:rPr>
          <w:rFonts w:ascii="Arial" w:hAnsi="Arial"/>
          <w:color w:val="000000" w:themeColor="text1"/>
        </w:rPr>
        <w:t>d</w:t>
      </w:r>
      <w:r w:rsidR="00E65B83" w:rsidRPr="00614125">
        <w:rPr>
          <w:rFonts w:ascii="Arial" w:hAnsi="Arial"/>
          <w:color w:val="000000" w:themeColor="text1"/>
        </w:rPr>
        <w:t xml:space="preserve"> </w:t>
      </w:r>
      <w:r w:rsidR="004C0308" w:rsidRPr="00614125">
        <w:rPr>
          <w:rFonts w:ascii="Arial" w:hAnsi="Arial"/>
          <w:color w:val="000000" w:themeColor="text1"/>
        </w:rPr>
        <w:t xml:space="preserve">the </w:t>
      </w:r>
      <w:r w:rsidR="00E65B83" w:rsidRPr="00614125">
        <w:rPr>
          <w:rFonts w:ascii="Arial" w:hAnsi="Arial"/>
          <w:color w:val="000000" w:themeColor="text1"/>
        </w:rPr>
        <w:t>UHC index values</w:t>
      </w:r>
      <w:r w:rsidR="005071CE" w:rsidRPr="00614125">
        <w:rPr>
          <w:rFonts w:ascii="Arial" w:hAnsi="Arial"/>
          <w:color w:val="000000" w:themeColor="text1"/>
        </w:rPr>
        <w:t xml:space="preserve"> by </w:t>
      </w:r>
      <w:r w:rsidR="005A2C39" w:rsidRPr="00614125">
        <w:rPr>
          <w:rFonts w:ascii="Arial" w:hAnsi="Arial"/>
          <w:color w:val="000000" w:themeColor="text1"/>
        </w:rPr>
        <w:t>1.4</w:t>
      </w:r>
      <w:r w:rsidR="005071CE" w:rsidRPr="00614125">
        <w:rPr>
          <w:rFonts w:ascii="Arial" w:hAnsi="Arial"/>
          <w:color w:val="000000" w:themeColor="text1"/>
        </w:rPr>
        <w:t xml:space="preserve"> percent</w:t>
      </w:r>
      <w:r w:rsidR="00DB43A3" w:rsidRPr="00614125">
        <w:rPr>
          <w:rFonts w:ascii="Arial" w:hAnsi="Arial"/>
          <w:color w:val="000000" w:themeColor="text1"/>
        </w:rPr>
        <w:t>age</w:t>
      </w:r>
      <w:r w:rsidR="005071CE" w:rsidRPr="00614125">
        <w:rPr>
          <w:rFonts w:ascii="Arial" w:hAnsi="Arial"/>
          <w:color w:val="000000" w:themeColor="text1"/>
        </w:rPr>
        <w:t xml:space="preserve"> point</w:t>
      </w:r>
      <w:r w:rsidR="00DB43A3" w:rsidRPr="00614125">
        <w:rPr>
          <w:rFonts w:ascii="Arial" w:hAnsi="Arial"/>
          <w:color w:val="000000" w:themeColor="text1"/>
        </w:rPr>
        <w:t>s</w:t>
      </w:r>
      <w:r w:rsidR="005071CE" w:rsidRPr="00614125">
        <w:rPr>
          <w:rFonts w:ascii="Arial" w:hAnsi="Arial"/>
          <w:color w:val="000000" w:themeColor="text1"/>
        </w:rPr>
        <w:t>.</w:t>
      </w:r>
      <w:r w:rsidR="008D0113" w:rsidRPr="00614125">
        <w:rPr>
          <w:rFonts w:ascii="Arial" w:hAnsi="Arial"/>
          <w:color w:val="000000" w:themeColor="text1"/>
        </w:rPr>
        <w:t xml:space="preserve"> The</w:t>
      </w:r>
      <w:r w:rsidR="00CF2B48" w:rsidRPr="00614125">
        <w:rPr>
          <w:rFonts w:ascii="Arial" w:hAnsi="Arial"/>
          <w:color w:val="000000" w:themeColor="text1"/>
        </w:rPr>
        <w:t>se</w:t>
      </w:r>
      <w:r w:rsidR="008D0113" w:rsidRPr="00614125">
        <w:rPr>
          <w:rFonts w:ascii="Arial" w:hAnsi="Arial"/>
          <w:color w:val="000000" w:themeColor="text1"/>
        </w:rPr>
        <w:t xml:space="preserve"> estimations supported our hypothesis that reliance on out-of-pocket payments for health</w:t>
      </w:r>
      <w:r w:rsidR="002C681D" w:rsidRPr="00614125">
        <w:rPr>
          <w:rFonts w:ascii="Arial" w:hAnsi="Arial"/>
          <w:color w:val="000000" w:themeColor="text1"/>
        </w:rPr>
        <w:t xml:space="preserve"> </w:t>
      </w:r>
      <w:r w:rsidR="008D0113" w:rsidRPr="00614125">
        <w:rPr>
          <w:rFonts w:ascii="Arial" w:hAnsi="Arial"/>
          <w:color w:val="000000" w:themeColor="text1"/>
        </w:rPr>
        <w:t>care</w:t>
      </w:r>
      <w:r w:rsidR="003A588C" w:rsidRPr="00614125">
        <w:rPr>
          <w:rFonts w:ascii="Arial" w:hAnsi="Arial"/>
          <w:color w:val="000000" w:themeColor="text1"/>
        </w:rPr>
        <w:t xml:space="preserve"> reduces the probability of</w:t>
      </w:r>
      <w:r w:rsidR="00DB4722" w:rsidRPr="00614125">
        <w:rPr>
          <w:rFonts w:ascii="Arial" w:hAnsi="Arial"/>
          <w:color w:val="000000" w:themeColor="text1"/>
        </w:rPr>
        <w:t xml:space="preserve"> achieving </w:t>
      </w:r>
      <w:r w:rsidR="00DB192A" w:rsidRPr="00614125">
        <w:rPr>
          <w:rFonts w:ascii="Arial" w:hAnsi="Arial"/>
          <w:color w:val="000000" w:themeColor="text1"/>
        </w:rPr>
        <w:t>U</w:t>
      </w:r>
      <w:r w:rsidR="00DB4722" w:rsidRPr="00614125">
        <w:rPr>
          <w:rFonts w:ascii="Arial" w:hAnsi="Arial"/>
          <w:color w:val="000000" w:themeColor="text1"/>
        </w:rPr>
        <w:t xml:space="preserve">niversal </w:t>
      </w:r>
      <w:r w:rsidR="00DB192A" w:rsidRPr="00614125">
        <w:rPr>
          <w:rFonts w:ascii="Arial" w:hAnsi="Arial"/>
          <w:color w:val="000000" w:themeColor="text1"/>
        </w:rPr>
        <w:t>H</w:t>
      </w:r>
      <w:r w:rsidR="00DB4722" w:rsidRPr="00614125">
        <w:rPr>
          <w:rFonts w:ascii="Arial" w:hAnsi="Arial"/>
          <w:color w:val="000000" w:themeColor="text1"/>
        </w:rPr>
        <w:t xml:space="preserve">ealth </w:t>
      </w:r>
      <w:r w:rsidR="00DB192A" w:rsidRPr="00614125">
        <w:rPr>
          <w:rFonts w:ascii="Arial" w:hAnsi="Arial"/>
          <w:color w:val="000000" w:themeColor="text1"/>
        </w:rPr>
        <w:t>C</w:t>
      </w:r>
      <w:r w:rsidR="00DB4722" w:rsidRPr="00614125">
        <w:rPr>
          <w:rFonts w:ascii="Arial" w:hAnsi="Arial"/>
          <w:color w:val="000000" w:themeColor="text1"/>
        </w:rPr>
        <w:t xml:space="preserve">overage. </w:t>
      </w:r>
    </w:p>
    <w:p w14:paraId="7AC6D294" w14:textId="77777777" w:rsidR="0020516B" w:rsidRPr="00614125" w:rsidRDefault="0020516B" w:rsidP="00337D8B">
      <w:pPr>
        <w:spacing w:before="120" w:after="120" w:line="360" w:lineRule="auto"/>
        <w:jc w:val="both"/>
        <w:rPr>
          <w:rFonts w:ascii="Arial" w:hAnsi="Arial"/>
          <w:color w:val="000000" w:themeColor="text1"/>
        </w:rPr>
      </w:pPr>
    </w:p>
    <w:p w14:paraId="38896709" w14:textId="77777777" w:rsidR="006A0A9A" w:rsidRPr="00614125" w:rsidRDefault="0020516B" w:rsidP="00337D8B">
      <w:pPr>
        <w:spacing w:before="120" w:after="120" w:line="360" w:lineRule="auto"/>
        <w:jc w:val="both"/>
        <w:rPr>
          <w:rFonts w:ascii="Arial" w:hAnsi="Arial"/>
          <w:color w:val="000000" w:themeColor="text1"/>
        </w:rPr>
      </w:pPr>
      <w:r w:rsidRPr="00614125">
        <w:rPr>
          <w:rFonts w:ascii="Arial" w:hAnsi="Arial"/>
          <w:color w:val="000000" w:themeColor="text1"/>
        </w:rPr>
        <w:t>DISCUSSION</w:t>
      </w:r>
    </w:p>
    <w:p w14:paraId="39851D59" w14:textId="7CC4F809" w:rsidR="006E1D6E" w:rsidRPr="00614125" w:rsidRDefault="00DC19EA" w:rsidP="00337D8B">
      <w:pPr>
        <w:spacing w:before="120" w:after="120" w:line="360" w:lineRule="auto"/>
        <w:jc w:val="both"/>
        <w:rPr>
          <w:rFonts w:ascii="Arial" w:hAnsi="Arial"/>
          <w:color w:val="000000" w:themeColor="text1"/>
        </w:rPr>
      </w:pPr>
      <w:r w:rsidRPr="00614125">
        <w:rPr>
          <w:rFonts w:ascii="Arial" w:hAnsi="Arial"/>
          <w:color w:val="000000" w:themeColor="text1"/>
        </w:rPr>
        <w:t>The composite index of UH</w:t>
      </w:r>
      <w:r w:rsidR="005E101F" w:rsidRPr="00614125">
        <w:rPr>
          <w:rFonts w:ascii="Arial" w:hAnsi="Arial"/>
          <w:color w:val="000000" w:themeColor="text1"/>
        </w:rPr>
        <w:t xml:space="preserve">C presented here </w:t>
      </w:r>
      <w:r w:rsidR="00A2038E" w:rsidRPr="00614125">
        <w:rPr>
          <w:rFonts w:ascii="Arial" w:hAnsi="Arial"/>
          <w:color w:val="000000" w:themeColor="text1"/>
        </w:rPr>
        <w:t>has</w:t>
      </w:r>
      <w:r w:rsidR="005E101F" w:rsidRPr="00614125">
        <w:rPr>
          <w:rFonts w:ascii="Arial" w:hAnsi="Arial"/>
          <w:color w:val="000000" w:themeColor="text1"/>
        </w:rPr>
        <w:t xml:space="preserve"> quantified three dimensions of UHC </w:t>
      </w:r>
      <w:r w:rsidR="005A381A" w:rsidRPr="00614125">
        <w:rPr>
          <w:rFonts w:ascii="Arial" w:hAnsi="Arial"/>
          <w:color w:val="000000" w:themeColor="text1"/>
        </w:rPr>
        <w:t xml:space="preserve">as </w:t>
      </w:r>
      <w:r w:rsidR="005E101F" w:rsidRPr="00614125">
        <w:rPr>
          <w:rFonts w:ascii="Arial" w:hAnsi="Arial"/>
          <w:color w:val="000000" w:themeColor="text1"/>
        </w:rPr>
        <w:t xml:space="preserve">other developed </w:t>
      </w:r>
      <w:r w:rsidR="00A2038E" w:rsidRPr="00614125">
        <w:rPr>
          <w:rFonts w:ascii="Arial" w:hAnsi="Arial"/>
          <w:color w:val="000000" w:themeColor="text1"/>
        </w:rPr>
        <w:t>indices</w:t>
      </w:r>
      <w:r w:rsidR="005A381A" w:rsidRPr="00614125">
        <w:rPr>
          <w:rFonts w:ascii="Arial" w:hAnsi="Arial"/>
          <w:color w:val="000000" w:themeColor="text1"/>
        </w:rPr>
        <w:t xml:space="preserve"> have</w:t>
      </w:r>
      <w:r w:rsidR="006216F3" w:rsidRPr="00614125">
        <w:rPr>
          <w:rFonts w:ascii="Arial" w:hAnsi="Arial"/>
          <w:color w:val="000000" w:themeColor="text1"/>
        </w:rPr>
        <w:t xml:space="preserve"> </w:t>
      </w:r>
      <w:r w:rsidR="008B4336" w:rsidRPr="00614125">
        <w:rPr>
          <w:rFonts w:ascii="Arial" w:hAnsi="Arial"/>
          <w:color w:val="000000" w:themeColor="text1"/>
        </w:rPr>
        <w:fldChar w:fldCharType="begin" w:fldLock="1"/>
      </w:r>
      <w:r w:rsidR="003B3F6D" w:rsidRPr="00614125">
        <w:rPr>
          <w:rFonts w:ascii="Arial" w:hAnsi="Arial"/>
          <w:color w:val="000000" w:themeColor="text1"/>
        </w:rPr>
        <w:instrText>ADDIN CSL_CITATION {"citationItems":[{"id":"ITEM-1","itemData":{"DOI":"10.1093/heapol/czw097","ISSN":"1460-2237 (Electronic)","PMID":"27497138","abstract":"BACKGROUND: There is limited work done on developing methods for measurement of universal health coverage. We undertook a study to develop a methodology and demonstrate the practical application of empirically measuring the extent of universal health coverage at district level. Additionally, we also develop a composite indicator to measure UHC. METHODS: A cross-sectional survey was undertaken among 51 656 households across 21 districts of Haryana state in India. Using the WHO framework for UHC, we identified indicators of service coverage, financial risk protection, equity and quality based on the Government of India and the Haryana Government's proposed UHC benefit package. Geometric mean approach was used to compute a composite UHC index (CUHCI). Various statistical approaches to aggregate input indicators with or without weighting, along with various incremental combinations of input indicators were tested in a comprehensive sensitivity analysis. FINDINGS: The population coverage for preventive and curative services is presented. Adjusting for inequality, the coverage for all the indicators were less than the unadjusted coverage by 0.1-6.7% in absolute term and 0.1-27% in relative term. There was low unmet need for curative care. However, about 11% outpatient consultations were from unqualified providers. About 30% households incurred catastrophic health expenditures, which rose to 38% among the poorest 20% population. Summary index (CUHCI) for UHC varied from 12% in Mewat district to 71% in Kurukshetra district. The inequality unadjusted coverage for UHC correlates highly with adjusted coverage. CONCLUSION: Our paper is an attempt to develop a methodology to measure UHC. However, careful inclusion of others indicators of service coverage is recommended for a comprehensive measurement which captures the spirit of universality. Further, more work needs to be done to incorporate quality in the measurement framework.","author":[{"dropping-particle":"","family":"Prinja","given":"Shankar","non-dropping-particle":"","parse-names":false,"suffix":""},{"dropping-particle":"","family":"Gupta","given":"Rakesh","non-dropping-particle":"","parse-names":false,"suffix":""},{"dropping-particle":"","family":"Bahuguna","given":"Pankaj","non-dropping-particle":"","parse-names":false,"suffix":""},{"dropping-particle":"","family":"Sharma","given":"Atul","non-dropping-particle":"","parse-names":false,"suffix":""},{"dropping-particle":"","family":"Kumar Aggarwal","given":"Arun","non-dropping-particle":"","parse-names":false,"suffix":""},{"dropping-particle":"","family":"Phogat","given":"Amit","non-dropping-particle":"","parse-names":false,"suffix":""},{"dropping-particle":"","family":"Kumar","given":"Rajesh","non-dropping-particle":"","parse-names":false,"suffix":""}],"container-title":"Health policy and planning","id":"ITEM-1","issue":"1","issued":{"date-parts":[["2017","2"]]},"language":"eng","page":"43-56","publisher-place":"England","title":"A composite indicator to measure universal health care coverage in India: way forward for post-2015 health system performance monitoring framework.","type":"article-journal","volume":"32"},"uris":["http://www.mendeley.com/documents/?uuid=f63b55d8-7aa1-4f9b-b88f-aa78f80211ab"]},{"id":"ITEM-2","itemData":{"DOI":"10.1377/hlthaff.2014.1453","ISSN":"0278-2715","author":[{"dropping-particle":"","family":"Wagstaff","given":"a.","non-dropping-particle":"","parse-names":false,"suffix":""},{"dropping-particle":"","family":"Dmytraczenko","given":"T.","non-dropping-particle":"","parse-names":false,"suffix":""},{"dropping-particle":"","family":"Almeida","given":"G.","non-dropping-particle":"","parse-names":false,"suffix":""},{"dropping-particle":"","family":"Buisman","given":"L.","non-dropping-particle":"","parse-names":false,"suffix":""},{"dropping-particle":"","family":"Hoang-Vu Eozenou","given":"P.","non-dropping-particle":"","parse-names":false,"suffix":""},{"dropping-particle":"","family":"Bredenkamp","given":"C.","non-dropping-particle":"","parse-names":false,"suffix":""},{"dropping-particle":"","family":"Cercone","given":"J. a.","non-dropping-particle":"","parse-names":false,"suffix":""},{"dropping-particle":"","family":"Diaz","given":"Y.","non-dropping-particle":"","parse-names":false,"suffix":""},{"dropping-particle":"","family":"Maceira","given":"D.","non-dropping-particle":"","parse-names":false,"suffix":""},{"dropping-particle":"","family":"Molina","given":"S.","non-dropping-particle":"","parse-names":false,"suffix":""},{"dropping-particle":"","family":"Paraje","given":"G.","non-dropping-particle":"","parse-names":false,"suffix":""},{"dropping-particle":"","family":"Ruiz","given":"F.","non-dropping-particle":"","parse-names":false,"suffix":""},{"dropping-particle":"","family":"Sarti","given":"F.","non-dropping-particle":"","parse-names":false,"suffix":""},{"dropping-particle":"","family":"Scott","given":"J.","non-dropping-particle":"","parse-names":false,"suffix":""},{"dropping-particle":"","family":"Valdivia","given":"M.","non-dropping-particle":"","parse-names":false,"suffix":""},{"dropping-particle":"","family":"Werneck","given":"H.","non-dropping-particle":"","parse-names":false,"suffix":""}],"container-title":"Health Affairs","id":"ITEM-2","issue":"10","issued":{"date-parts":[["2015"]]},"page":"1704-1712","title":"Assessing Latin America's Progress Toward Achieving Universal Health Coverage","type":"article-journal","volume":"34"},"uris":["http://www.mendeley.com/documents/?uuid=d1ecfd68-75a0-4b7e-9324-a6f415bb3431"]}],"mendeley":{"formattedCitation":"[4,5]","plainTextFormattedCitation":"[4,5]","previouslyFormattedCitation":"[4,5]"},"properties":{"noteIndex":0},"schema":"https://github.com/citation-style-language/schema/raw/master/csl-citation.json"}</w:instrText>
      </w:r>
      <w:r w:rsidR="008B4336" w:rsidRPr="00614125">
        <w:rPr>
          <w:rFonts w:ascii="Arial" w:hAnsi="Arial"/>
          <w:color w:val="000000" w:themeColor="text1"/>
        </w:rPr>
        <w:fldChar w:fldCharType="separate"/>
      </w:r>
      <w:r w:rsidR="00604FF7" w:rsidRPr="00614125">
        <w:rPr>
          <w:rFonts w:ascii="Arial" w:hAnsi="Arial"/>
          <w:noProof/>
          <w:color w:val="000000" w:themeColor="text1"/>
        </w:rPr>
        <w:t>[4,5]</w:t>
      </w:r>
      <w:r w:rsidR="008B4336" w:rsidRPr="00614125">
        <w:rPr>
          <w:rFonts w:ascii="Arial" w:hAnsi="Arial"/>
          <w:color w:val="000000" w:themeColor="text1"/>
        </w:rPr>
        <w:fldChar w:fldCharType="end"/>
      </w:r>
      <w:r w:rsidR="002D1E1A" w:rsidRPr="00614125">
        <w:rPr>
          <w:rFonts w:ascii="Arial" w:hAnsi="Arial"/>
          <w:color w:val="000000" w:themeColor="text1"/>
        </w:rPr>
        <w:t xml:space="preserve"> </w:t>
      </w:r>
      <w:r w:rsidR="00C64F54" w:rsidRPr="00614125">
        <w:rPr>
          <w:rFonts w:ascii="Arial" w:hAnsi="Arial"/>
          <w:color w:val="000000" w:themeColor="text1"/>
        </w:rPr>
        <w:t xml:space="preserve">, </w:t>
      </w:r>
      <w:r w:rsidR="002534B8" w:rsidRPr="00614125">
        <w:rPr>
          <w:rFonts w:ascii="Arial" w:hAnsi="Arial"/>
          <w:color w:val="000000" w:themeColor="text1"/>
        </w:rPr>
        <w:t>T</w:t>
      </w:r>
      <w:r w:rsidR="005E101F" w:rsidRPr="00614125">
        <w:rPr>
          <w:rFonts w:ascii="Arial" w:hAnsi="Arial"/>
          <w:color w:val="000000" w:themeColor="text1"/>
        </w:rPr>
        <w:t xml:space="preserve">he presentation of the index in this paper </w:t>
      </w:r>
      <w:r w:rsidR="00005B79" w:rsidRPr="00614125">
        <w:rPr>
          <w:rFonts w:ascii="Arial" w:hAnsi="Arial"/>
          <w:color w:val="000000" w:themeColor="text1"/>
        </w:rPr>
        <w:t xml:space="preserve">has </w:t>
      </w:r>
      <w:r w:rsidR="00C64F54" w:rsidRPr="00614125">
        <w:rPr>
          <w:rFonts w:ascii="Arial" w:hAnsi="Arial"/>
          <w:color w:val="000000" w:themeColor="text1"/>
        </w:rPr>
        <w:t>provide</w:t>
      </w:r>
      <w:r w:rsidR="00336EE5" w:rsidRPr="00614125">
        <w:rPr>
          <w:rFonts w:ascii="Arial" w:hAnsi="Arial"/>
          <w:color w:val="000000" w:themeColor="text1"/>
        </w:rPr>
        <w:t>d</w:t>
      </w:r>
      <w:r w:rsidR="00C64F54" w:rsidRPr="00614125">
        <w:rPr>
          <w:rFonts w:ascii="Arial" w:hAnsi="Arial"/>
          <w:color w:val="000000" w:themeColor="text1"/>
        </w:rPr>
        <w:t xml:space="preserve"> </w:t>
      </w:r>
      <w:r w:rsidR="005E101F" w:rsidRPr="00614125">
        <w:rPr>
          <w:rFonts w:ascii="Arial" w:hAnsi="Arial"/>
          <w:color w:val="000000" w:themeColor="text1"/>
        </w:rPr>
        <w:t>a</w:t>
      </w:r>
      <w:r w:rsidR="00C64F54" w:rsidRPr="00614125">
        <w:rPr>
          <w:rFonts w:ascii="Arial" w:hAnsi="Arial"/>
          <w:color w:val="000000" w:themeColor="text1"/>
        </w:rPr>
        <w:t xml:space="preserve"> transparent </w:t>
      </w:r>
      <w:r w:rsidR="005E101F" w:rsidRPr="00614125">
        <w:rPr>
          <w:rFonts w:ascii="Arial" w:hAnsi="Arial"/>
          <w:color w:val="000000" w:themeColor="text1"/>
        </w:rPr>
        <w:t xml:space="preserve">relationship among </w:t>
      </w:r>
      <w:r w:rsidR="00C64F54" w:rsidRPr="00614125">
        <w:rPr>
          <w:rFonts w:ascii="Arial" w:hAnsi="Arial"/>
          <w:color w:val="000000" w:themeColor="text1"/>
        </w:rPr>
        <w:t>the dimensions</w:t>
      </w:r>
      <w:r w:rsidR="005E101F" w:rsidRPr="00614125">
        <w:rPr>
          <w:rFonts w:ascii="Arial" w:hAnsi="Arial"/>
          <w:color w:val="000000" w:themeColor="text1"/>
        </w:rPr>
        <w:t xml:space="preserve"> and their </w:t>
      </w:r>
      <w:r w:rsidR="00C64F54" w:rsidRPr="00614125">
        <w:rPr>
          <w:rFonts w:ascii="Arial" w:hAnsi="Arial"/>
          <w:color w:val="000000" w:themeColor="text1"/>
        </w:rPr>
        <w:t xml:space="preserve">contribution to the </w:t>
      </w:r>
      <w:r w:rsidR="005E101F" w:rsidRPr="00614125">
        <w:rPr>
          <w:rFonts w:ascii="Arial" w:hAnsi="Arial"/>
          <w:color w:val="000000" w:themeColor="text1"/>
        </w:rPr>
        <w:t xml:space="preserve">index. </w:t>
      </w:r>
      <w:r w:rsidR="00336EE5" w:rsidRPr="00614125">
        <w:rPr>
          <w:rFonts w:ascii="Arial" w:hAnsi="Arial"/>
          <w:color w:val="000000" w:themeColor="text1"/>
        </w:rPr>
        <w:t>We</w:t>
      </w:r>
      <w:r w:rsidR="002534B8" w:rsidRPr="00614125">
        <w:rPr>
          <w:rFonts w:ascii="Arial" w:hAnsi="Arial"/>
          <w:color w:val="000000" w:themeColor="text1"/>
        </w:rPr>
        <w:t xml:space="preserve"> further</w:t>
      </w:r>
      <w:r w:rsidR="00336EE5" w:rsidRPr="00614125">
        <w:rPr>
          <w:rFonts w:ascii="Arial" w:hAnsi="Arial"/>
          <w:color w:val="000000" w:themeColor="text1"/>
        </w:rPr>
        <w:t xml:space="preserve"> decomposed the index into sub-populations</w:t>
      </w:r>
      <w:r w:rsidR="00F27B3D" w:rsidRPr="00614125">
        <w:rPr>
          <w:rFonts w:ascii="Arial" w:hAnsi="Arial"/>
          <w:color w:val="000000" w:themeColor="text1"/>
        </w:rPr>
        <w:t xml:space="preserve"> (socioeconomic groups) </w:t>
      </w:r>
      <w:r w:rsidR="002534B8" w:rsidRPr="00614125">
        <w:rPr>
          <w:rFonts w:ascii="Arial" w:hAnsi="Arial"/>
          <w:color w:val="000000" w:themeColor="text1"/>
        </w:rPr>
        <w:t xml:space="preserve">by calculating </w:t>
      </w:r>
      <w:r w:rsidR="00336EE5" w:rsidRPr="00614125">
        <w:rPr>
          <w:rFonts w:ascii="Arial" w:hAnsi="Arial"/>
          <w:color w:val="000000" w:themeColor="text1"/>
        </w:rPr>
        <w:t>the absolute and relative contribution of each socioeconomic group to the index value</w:t>
      </w:r>
      <w:r w:rsidR="002534B8" w:rsidRPr="00614125">
        <w:rPr>
          <w:rFonts w:ascii="Arial" w:hAnsi="Arial"/>
          <w:color w:val="000000" w:themeColor="text1"/>
        </w:rPr>
        <w:t xml:space="preserve"> of each country under investigation</w:t>
      </w:r>
      <w:r w:rsidR="00336EE5" w:rsidRPr="00614125">
        <w:rPr>
          <w:rFonts w:ascii="Arial" w:hAnsi="Arial"/>
          <w:color w:val="000000" w:themeColor="text1"/>
        </w:rPr>
        <w:t xml:space="preserve">. </w:t>
      </w:r>
      <w:r w:rsidR="005E101F" w:rsidRPr="00614125">
        <w:rPr>
          <w:rFonts w:ascii="Arial" w:hAnsi="Arial"/>
          <w:color w:val="000000" w:themeColor="text1"/>
        </w:rPr>
        <w:t xml:space="preserve">Using </w:t>
      </w:r>
      <w:r w:rsidR="00FB4A81" w:rsidRPr="00614125">
        <w:rPr>
          <w:rFonts w:ascii="Arial" w:hAnsi="Arial"/>
          <w:color w:val="000000" w:themeColor="text1"/>
        </w:rPr>
        <w:t>the same</w:t>
      </w:r>
      <w:r w:rsidR="005E101F" w:rsidRPr="00614125">
        <w:rPr>
          <w:rFonts w:ascii="Arial" w:hAnsi="Arial"/>
          <w:color w:val="000000" w:themeColor="text1"/>
        </w:rPr>
        <w:t xml:space="preserve"> method of </w:t>
      </w:r>
      <w:r w:rsidR="006F5387" w:rsidRPr="00614125">
        <w:rPr>
          <w:rFonts w:ascii="Arial" w:hAnsi="Arial"/>
          <w:color w:val="000000" w:themeColor="text1"/>
        </w:rPr>
        <w:t>decomposition,</w:t>
      </w:r>
      <w:r w:rsidR="005E101F" w:rsidRPr="00614125">
        <w:rPr>
          <w:rFonts w:ascii="Arial" w:hAnsi="Arial"/>
          <w:color w:val="000000" w:themeColor="text1"/>
        </w:rPr>
        <w:t xml:space="preserve"> we </w:t>
      </w:r>
      <w:r w:rsidR="00B7046F" w:rsidRPr="00614125">
        <w:rPr>
          <w:rFonts w:ascii="Arial" w:hAnsi="Arial"/>
          <w:color w:val="000000" w:themeColor="text1"/>
        </w:rPr>
        <w:t>could</w:t>
      </w:r>
      <w:r w:rsidR="005E101F" w:rsidRPr="00614125">
        <w:rPr>
          <w:rFonts w:ascii="Arial" w:hAnsi="Arial"/>
          <w:color w:val="000000" w:themeColor="text1"/>
        </w:rPr>
        <w:t xml:space="preserve"> </w:t>
      </w:r>
      <w:r w:rsidR="00731A95" w:rsidRPr="00614125">
        <w:rPr>
          <w:rFonts w:ascii="Arial" w:hAnsi="Arial"/>
          <w:color w:val="000000" w:themeColor="text1"/>
        </w:rPr>
        <w:t xml:space="preserve">also </w:t>
      </w:r>
      <w:r w:rsidR="005E101F" w:rsidRPr="00614125">
        <w:rPr>
          <w:rFonts w:ascii="Arial" w:hAnsi="Arial"/>
          <w:color w:val="000000" w:themeColor="text1"/>
        </w:rPr>
        <w:t xml:space="preserve">calculate the contribution of </w:t>
      </w:r>
      <w:r w:rsidR="00FB4A81" w:rsidRPr="00614125">
        <w:rPr>
          <w:rFonts w:ascii="Arial" w:hAnsi="Arial"/>
          <w:color w:val="000000" w:themeColor="text1"/>
        </w:rPr>
        <w:t xml:space="preserve">individual </w:t>
      </w:r>
      <w:r w:rsidR="005E101F" w:rsidRPr="00614125">
        <w:rPr>
          <w:rFonts w:ascii="Arial" w:hAnsi="Arial"/>
          <w:color w:val="000000" w:themeColor="text1"/>
        </w:rPr>
        <w:t>health services on the index</w:t>
      </w:r>
      <w:r w:rsidR="005A381A" w:rsidRPr="00614125">
        <w:rPr>
          <w:rFonts w:ascii="Arial" w:hAnsi="Arial"/>
          <w:color w:val="000000" w:themeColor="text1"/>
        </w:rPr>
        <w:t>,</w:t>
      </w:r>
      <w:r w:rsidR="00336EE5" w:rsidRPr="00614125">
        <w:rPr>
          <w:rFonts w:ascii="Arial" w:hAnsi="Arial"/>
          <w:color w:val="000000" w:themeColor="text1"/>
        </w:rPr>
        <w:t xml:space="preserve"> which </w:t>
      </w:r>
      <w:r w:rsidR="00C068FF" w:rsidRPr="00614125">
        <w:rPr>
          <w:rFonts w:ascii="Arial" w:hAnsi="Arial"/>
          <w:color w:val="000000" w:themeColor="text1"/>
        </w:rPr>
        <w:t>was</w:t>
      </w:r>
      <w:r w:rsidR="0003108D" w:rsidRPr="00614125">
        <w:rPr>
          <w:rFonts w:ascii="Arial" w:hAnsi="Arial"/>
          <w:color w:val="000000" w:themeColor="text1"/>
        </w:rPr>
        <w:t xml:space="preserve"> </w:t>
      </w:r>
      <w:r w:rsidR="005E101F" w:rsidRPr="00614125">
        <w:rPr>
          <w:rFonts w:ascii="Arial" w:hAnsi="Arial"/>
          <w:color w:val="000000" w:themeColor="text1"/>
        </w:rPr>
        <w:t>not shown in this paper</w:t>
      </w:r>
      <w:r w:rsidR="00C64F54" w:rsidRPr="00614125">
        <w:rPr>
          <w:rFonts w:ascii="Arial" w:hAnsi="Arial"/>
          <w:color w:val="000000" w:themeColor="text1"/>
        </w:rPr>
        <w:t xml:space="preserve">. </w:t>
      </w:r>
    </w:p>
    <w:p w14:paraId="5EEDBFEE" w14:textId="2B6C67F5" w:rsidR="009D64A1" w:rsidRPr="00614125" w:rsidRDefault="00741F02" w:rsidP="00FE4C9E">
      <w:pPr>
        <w:spacing w:before="120" w:after="120" w:line="360" w:lineRule="auto"/>
        <w:jc w:val="both"/>
        <w:rPr>
          <w:rFonts w:ascii="Arial" w:hAnsi="Arial"/>
          <w:color w:val="000000" w:themeColor="text1"/>
        </w:rPr>
      </w:pPr>
      <w:r w:rsidRPr="00614125">
        <w:rPr>
          <w:rFonts w:ascii="Arial" w:hAnsi="Arial"/>
          <w:color w:val="000000" w:themeColor="text1"/>
        </w:rPr>
        <w:t xml:space="preserve">Our </w:t>
      </w:r>
      <w:r w:rsidR="009206D3" w:rsidRPr="00614125">
        <w:rPr>
          <w:rFonts w:ascii="Arial" w:hAnsi="Arial"/>
          <w:color w:val="000000" w:themeColor="text1"/>
        </w:rPr>
        <w:t xml:space="preserve">calculated </w:t>
      </w:r>
      <w:r w:rsidRPr="00614125">
        <w:rPr>
          <w:rFonts w:ascii="Arial" w:hAnsi="Arial"/>
          <w:color w:val="000000" w:themeColor="text1"/>
        </w:rPr>
        <w:t>index values</w:t>
      </w:r>
      <w:r w:rsidR="009206D3" w:rsidRPr="00614125">
        <w:rPr>
          <w:rFonts w:ascii="Arial" w:hAnsi="Arial"/>
          <w:color w:val="000000" w:themeColor="text1"/>
        </w:rPr>
        <w:t xml:space="preserve"> were strongly correlated to those of </w:t>
      </w:r>
      <w:r w:rsidR="00BF1C19" w:rsidRPr="00614125">
        <w:rPr>
          <w:rFonts w:ascii="Arial" w:hAnsi="Arial"/>
          <w:color w:val="000000" w:themeColor="text1"/>
        </w:rPr>
        <w:t>Wagstaff’s and Hogan’s</w:t>
      </w:r>
      <w:r w:rsidR="008B4336" w:rsidRPr="00614125">
        <w:rPr>
          <w:rFonts w:ascii="Arial" w:hAnsi="Arial"/>
          <w:color w:val="000000" w:themeColor="text1"/>
        </w:rPr>
        <w:t xml:space="preserve"> </w:t>
      </w:r>
      <w:r w:rsidR="008B4336" w:rsidRPr="00614125">
        <w:rPr>
          <w:rFonts w:ascii="Arial" w:hAnsi="Arial"/>
          <w:color w:val="000000" w:themeColor="text1"/>
        </w:rPr>
        <w:fldChar w:fldCharType="begin" w:fldLock="1"/>
      </w:r>
      <w:r w:rsidR="003B3F6D" w:rsidRPr="00614125">
        <w:rPr>
          <w:rFonts w:ascii="Arial" w:hAnsi="Arial"/>
          <w:color w:val="000000" w:themeColor="text1"/>
        </w:rPr>
        <w:instrText>ADDIN CSL_CITATION {"citationItems":[{"id":"ITEM-1","itemData":{"DOI":"10.1377/hlthaff.2014.1453","ISSN":"0278-2715","author":[{"dropping-particle":"","family":"Wagstaff","given":"a.","non-dropping-particle":"","parse-names":false,"suffix":""},{"dropping-particle":"","family":"Dmytraczenko","given":"T.","non-dropping-particle":"","parse-names":false,"suffix":""},{"dropping-particle":"","family":"Almeida","given":"G.","non-dropping-particle":"","parse-names":false,"suffix":""},{"dropping-particle":"","family":"Buisman","given":"L.","non-dropping-particle":"","parse-names":false,"suffix":""},{"dropping-particle":"","family":"Hoang-Vu Eozenou","given":"P.","non-dropping-particle":"","parse-names":false,"suffix":""},{"dropping-particle":"","family":"Bredenkamp","given":"C.","non-dropping-particle":"","parse-names":false,"suffix":""},{"dropping-particle":"","family":"Cercone","given":"J. a.","non-dropping-particle":"","parse-names":false,"suffix":""},{"dropping-particle":"","family":"Diaz","given":"Y.","non-dropping-particle":"","parse-names":false,"suffix":""},{"dropping-particle":"","family":"Maceira","given":"D.","non-dropping-particle":"","parse-names":false,"suffix":""},{"dropping-particle":"","family":"Molina","given":"S.","non-dropping-particle":"","parse-names":false,"suffix":""},{"dropping-particle":"","family":"Paraje","given":"G.","non-dropping-particle":"","parse-names":false,"suffix":""},{"dropping-particle":"","family":"Ruiz","given":"F.","non-dropping-particle":"","parse-names":false,"suffix":""},{"dropping-particle":"","family":"Sarti","given":"F.","non-dropping-particle":"","parse-names":false,"suffix":""},{"dropping-particle":"","family":"Scott","given":"J.","non-dropping-particle":"","parse-names":false,"suffix":""},{"dropping-particle":"","family":"Valdivia","given":"M.","non-dropping-particle":"","parse-names":false,"suffix":""},{"dropping-particle":"","family":"Werneck","given":"H.","non-dropping-particle":"","parse-names":false,"suffix":""}],"container-title":"Health Affairs","id":"ITEM-1","issue":"10","issued":{"date-parts":[["2015"]]},"page":"1704-1712","title":"Assessing Latin America's Progress Toward Achieving Universal Health Coverage","type":"article-journal","volume":"34"},"uris":["http://www.mendeley.com/documents/?uuid=d1ecfd68-75a0-4b7e-9324-a6f415bb3431"]},{"id":"ITEM-2","itemData":{"DOI":"10.1016/S2214-109X(17)30472-2","ISBN":"2214-109X (Electronic) 2214-109X (Linking)","ISSN":"2214109X","PMID":"29248365","abstract":"Background: Achieving universal health coverage, including quality essential service coverage and financial protection for all, is target 3.8 of the Sustainable Development Goals (SDG). As a result, an index of essential health service coverage indicators was selected by the UN as SDG indicator 3.8.1. We have developed an index for measuring SDG 3.8.1, describe methods for compiling the index, and report baseline results for 2015. Methods: 16 tracer indicators were selected for the index, which included four from within each of the categories of reproductive, maternal, newborn, and child health; infectious disease; non-communicable diseases; and service capacity and access. Indicator data for 183 countries were taken from UN agency estimates or databases, supplemented with submissions from national focal points during a WHO country consultation. The index was computed using geometric means, and a subset of tracer indicators were used to summarise inequalities. Findings: On average, countries had primary data since 2010 for 72% of the final set of indicators. The median national value for the service coverage index was 65 out of 100 (range 22–86). The index was highly correlated with other summary measures of health, and after controlling for gross national income and mean years of adult education, was associated with 21 additional years of life expectancy over the observed range of country values. Across 52 countries with sufficient data, coverage was 1% to 66% lower among the poorest quintile as compared with the national population. Sensitivity analyses suggested ranks implied by the index are fairly stable across alternative calculation methods. Interpretation: Service coverage within universal health coverage can be measured with an index of tracer indicators. Our universal health coverage service coverage index is simple to compute by use of available country data and can be refined to incorporate relevant indicators as they become available through SDG monitoring. Funding: Ministry of Health, Japan, and the Rockefeller Foundation.","author":[{"dropping-particle":"","family":"Hogan","given":"Daniel R.","non-dropping-particle":"","parse-names":false,"suffix":""},{"dropping-particle":"","family":"Stevens","given":"Gretchen A.","non-dropping-particle":"","parse-names":false,"suffix":""},{"dropping-particle":"","family":"Hosseinpoor","given":"Ahmad Reza","non-dropping-particle":"","parse-names":false,"suffix":""},{"dropping-particle":"","family":"Boerma","given":"Ties","non-dropping-particle":"","parse-names":false,"suffix":""}],"container-title":"The Lancet Global Health","id":"ITEM-2","issued":{"date-parts":[["2018"]]},"title":"Monitoring universal health coverage within the Sustainable Development Goals: development and baseline data for an index of essential health services","type":"article-journal"},"uris":["http://www.mendeley.com/documents/?uuid=6b891dca-b0ce-416d-9211-854d6e2e2cf3"]}],"mendeley":{"formattedCitation":"[5,14]","plainTextFormattedCitation":"[5,14]","previouslyFormattedCitation":"[5,14]"},"properties":{"noteIndex":0},"schema":"https://github.com/citation-style-language/schema/raw/master/csl-citation.json"}</w:instrText>
      </w:r>
      <w:r w:rsidR="008B4336" w:rsidRPr="00614125">
        <w:rPr>
          <w:rFonts w:ascii="Arial" w:hAnsi="Arial"/>
          <w:color w:val="000000" w:themeColor="text1"/>
        </w:rPr>
        <w:fldChar w:fldCharType="separate"/>
      </w:r>
      <w:r w:rsidR="00604FF7" w:rsidRPr="00614125">
        <w:rPr>
          <w:rFonts w:ascii="Arial" w:hAnsi="Arial"/>
          <w:noProof/>
          <w:color w:val="000000" w:themeColor="text1"/>
        </w:rPr>
        <w:t>[5,14]</w:t>
      </w:r>
      <w:r w:rsidR="008B4336" w:rsidRPr="00614125">
        <w:rPr>
          <w:rFonts w:ascii="Arial" w:hAnsi="Arial"/>
          <w:color w:val="000000" w:themeColor="text1"/>
        </w:rPr>
        <w:fldChar w:fldCharType="end"/>
      </w:r>
      <w:r w:rsidR="00BF1C19" w:rsidRPr="00614125">
        <w:rPr>
          <w:rFonts w:ascii="Arial" w:hAnsi="Arial"/>
          <w:color w:val="000000" w:themeColor="text1"/>
        </w:rPr>
        <w:t xml:space="preserve">. </w:t>
      </w:r>
      <w:r w:rsidR="00891597" w:rsidRPr="00614125">
        <w:rPr>
          <w:rFonts w:ascii="Arial" w:hAnsi="Arial"/>
          <w:color w:val="000000" w:themeColor="text1"/>
        </w:rPr>
        <w:t>Further validation of our index was reflected in the estimated coefficient of out-of-pocket payments on UHC index values using equation (2). This</w:t>
      </w:r>
      <w:r w:rsidR="00D83E60" w:rsidRPr="00614125">
        <w:rPr>
          <w:rFonts w:ascii="Arial" w:hAnsi="Arial"/>
          <w:color w:val="000000" w:themeColor="text1"/>
        </w:rPr>
        <w:t xml:space="preserve"> econometric estimation</w:t>
      </w:r>
      <w:r w:rsidR="003E061B" w:rsidRPr="00614125">
        <w:rPr>
          <w:rFonts w:ascii="Arial" w:hAnsi="Arial"/>
          <w:color w:val="000000" w:themeColor="text1"/>
        </w:rPr>
        <w:t xml:space="preserve"> (</w:t>
      </w:r>
      <w:r w:rsidR="00316087" w:rsidRPr="00614125">
        <w:rPr>
          <w:rFonts w:ascii="Arial" w:hAnsi="Arial"/>
          <w:color w:val="000000" w:themeColor="text1"/>
        </w:rPr>
        <w:t>M</w:t>
      </w:r>
      <w:r w:rsidR="003E061B" w:rsidRPr="00614125">
        <w:rPr>
          <w:rFonts w:ascii="Arial" w:hAnsi="Arial"/>
          <w:color w:val="000000" w:themeColor="text1"/>
        </w:rPr>
        <w:t xml:space="preserve">odel 2 in </w:t>
      </w:r>
      <w:r w:rsidR="00316087" w:rsidRPr="00614125">
        <w:rPr>
          <w:rFonts w:ascii="Arial" w:hAnsi="Arial"/>
          <w:color w:val="000000" w:themeColor="text1"/>
        </w:rPr>
        <w:t>T</w:t>
      </w:r>
      <w:r w:rsidR="009C7975" w:rsidRPr="00614125">
        <w:rPr>
          <w:rFonts w:ascii="Arial" w:hAnsi="Arial"/>
          <w:color w:val="000000" w:themeColor="text1"/>
        </w:rPr>
        <w:t xml:space="preserve">able </w:t>
      </w:r>
      <w:r w:rsidR="00860E0F" w:rsidRPr="00614125">
        <w:rPr>
          <w:rFonts w:ascii="Arial" w:hAnsi="Arial"/>
          <w:color w:val="000000" w:themeColor="text1"/>
        </w:rPr>
        <w:t>4</w:t>
      </w:r>
      <w:r w:rsidR="003E061B" w:rsidRPr="00614125">
        <w:rPr>
          <w:rFonts w:ascii="Arial" w:hAnsi="Arial"/>
          <w:color w:val="000000" w:themeColor="text1"/>
        </w:rPr>
        <w:t xml:space="preserve">) </w:t>
      </w:r>
      <w:r w:rsidR="00543154" w:rsidRPr="00614125">
        <w:rPr>
          <w:rFonts w:ascii="Arial" w:hAnsi="Arial"/>
          <w:color w:val="000000" w:themeColor="text1"/>
        </w:rPr>
        <w:t>found</w:t>
      </w:r>
      <w:r w:rsidR="00D44CD8" w:rsidRPr="00614125">
        <w:rPr>
          <w:rFonts w:ascii="Arial" w:hAnsi="Arial"/>
          <w:color w:val="000000" w:themeColor="text1"/>
        </w:rPr>
        <w:t xml:space="preserve"> </w:t>
      </w:r>
      <w:r w:rsidR="003E061B" w:rsidRPr="00614125">
        <w:rPr>
          <w:rFonts w:ascii="Arial" w:hAnsi="Arial"/>
          <w:color w:val="000000" w:themeColor="text1"/>
        </w:rPr>
        <w:t xml:space="preserve">that </w:t>
      </w:r>
      <w:r w:rsidR="008603F2" w:rsidRPr="00614125">
        <w:rPr>
          <w:rFonts w:ascii="Arial" w:hAnsi="Arial"/>
          <w:color w:val="000000" w:themeColor="text1"/>
        </w:rPr>
        <w:t xml:space="preserve">a </w:t>
      </w:r>
      <w:r w:rsidR="003E061B" w:rsidRPr="00614125">
        <w:rPr>
          <w:rFonts w:ascii="Arial" w:hAnsi="Arial"/>
          <w:noProof/>
          <w:color w:val="000000" w:themeColor="text1"/>
        </w:rPr>
        <w:t>one-percent</w:t>
      </w:r>
      <w:r w:rsidR="003E061B" w:rsidRPr="00614125">
        <w:rPr>
          <w:rFonts w:ascii="Arial" w:hAnsi="Arial"/>
          <w:color w:val="000000" w:themeColor="text1"/>
        </w:rPr>
        <w:t xml:space="preserve"> increase in OOP payments reduced </w:t>
      </w:r>
      <w:r w:rsidR="009D64A1" w:rsidRPr="00614125">
        <w:rPr>
          <w:rFonts w:ascii="Arial" w:hAnsi="Arial"/>
          <w:color w:val="000000" w:themeColor="text1"/>
        </w:rPr>
        <w:t xml:space="preserve">our </w:t>
      </w:r>
      <w:r w:rsidR="0071586E" w:rsidRPr="00614125">
        <w:rPr>
          <w:rFonts w:ascii="Arial" w:hAnsi="Arial"/>
          <w:color w:val="000000" w:themeColor="text1"/>
        </w:rPr>
        <w:t>UHC</w:t>
      </w:r>
      <w:r w:rsidR="00FE4C9E" w:rsidRPr="00614125">
        <w:rPr>
          <w:rFonts w:ascii="Arial" w:hAnsi="Arial"/>
          <w:color w:val="000000" w:themeColor="text1"/>
        </w:rPr>
        <w:t xml:space="preserve"> index by </w:t>
      </w:r>
      <w:r w:rsidR="00860E0F" w:rsidRPr="00614125">
        <w:rPr>
          <w:rFonts w:ascii="Arial" w:hAnsi="Arial"/>
          <w:color w:val="000000" w:themeColor="text1"/>
        </w:rPr>
        <w:t>1.4</w:t>
      </w:r>
      <w:r w:rsidR="00FE4C9E" w:rsidRPr="00614125">
        <w:rPr>
          <w:rFonts w:ascii="Arial" w:hAnsi="Arial"/>
          <w:color w:val="000000" w:themeColor="text1"/>
        </w:rPr>
        <w:t xml:space="preserve"> </w:t>
      </w:r>
      <w:r w:rsidR="00FE4C9E" w:rsidRPr="00614125">
        <w:rPr>
          <w:rFonts w:ascii="Arial" w:hAnsi="Arial"/>
          <w:noProof/>
          <w:color w:val="000000" w:themeColor="text1"/>
        </w:rPr>
        <w:t>percent</w:t>
      </w:r>
      <w:r w:rsidR="00D83E60" w:rsidRPr="00614125">
        <w:rPr>
          <w:rFonts w:ascii="Arial" w:hAnsi="Arial"/>
          <w:color w:val="000000" w:themeColor="text1"/>
        </w:rPr>
        <w:t xml:space="preserve"> </w:t>
      </w:r>
      <w:r w:rsidR="00167472" w:rsidRPr="00614125">
        <w:rPr>
          <w:rFonts w:ascii="Arial" w:hAnsi="Arial"/>
          <w:color w:val="000000" w:themeColor="text1"/>
        </w:rPr>
        <w:t>when accounting for the</w:t>
      </w:r>
      <w:r w:rsidR="0003108D" w:rsidRPr="00614125">
        <w:rPr>
          <w:rFonts w:ascii="Arial" w:hAnsi="Arial"/>
          <w:color w:val="000000" w:themeColor="text1"/>
        </w:rPr>
        <w:t xml:space="preserve"> </w:t>
      </w:r>
      <w:r w:rsidR="00D83E60" w:rsidRPr="00614125">
        <w:rPr>
          <w:rFonts w:ascii="Arial" w:hAnsi="Arial"/>
          <w:color w:val="000000" w:themeColor="text1"/>
        </w:rPr>
        <w:t>economic level and demographic structure of the countries</w:t>
      </w:r>
      <w:r w:rsidR="00167472" w:rsidRPr="00614125">
        <w:rPr>
          <w:rFonts w:ascii="Arial" w:hAnsi="Arial"/>
          <w:color w:val="000000" w:themeColor="text1"/>
        </w:rPr>
        <w:t>.</w:t>
      </w:r>
      <w:r w:rsidR="008A02B2" w:rsidRPr="00614125">
        <w:rPr>
          <w:rFonts w:ascii="Arial" w:hAnsi="Arial"/>
          <w:color w:val="000000" w:themeColor="text1"/>
        </w:rPr>
        <w:t xml:space="preserve"> </w:t>
      </w:r>
      <w:r w:rsidR="00167472" w:rsidRPr="00614125">
        <w:rPr>
          <w:rFonts w:ascii="Arial" w:hAnsi="Arial"/>
          <w:color w:val="000000" w:themeColor="text1"/>
        </w:rPr>
        <w:t xml:space="preserve"> This</w:t>
      </w:r>
      <w:r w:rsidR="00D83E60" w:rsidRPr="00614125">
        <w:rPr>
          <w:rFonts w:ascii="Arial" w:hAnsi="Arial"/>
          <w:color w:val="000000" w:themeColor="text1"/>
        </w:rPr>
        <w:t xml:space="preserve"> finding </w:t>
      </w:r>
      <w:r w:rsidR="00B71D8D" w:rsidRPr="00614125">
        <w:rPr>
          <w:rFonts w:ascii="Arial" w:hAnsi="Arial"/>
          <w:color w:val="000000" w:themeColor="text1"/>
        </w:rPr>
        <w:t>was in line</w:t>
      </w:r>
      <w:r w:rsidR="004C0308" w:rsidRPr="00614125">
        <w:rPr>
          <w:rFonts w:ascii="Arial" w:hAnsi="Arial"/>
          <w:color w:val="000000" w:themeColor="text1"/>
        </w:rPr>
        <w:t xml:space="preserve"> with a</w:t>
      </w:r>
      <w:r w:rsidR="00B71D8D" w:rsidRPr="00614125">
        <w:rPr>
          <w:rFonts w:ascii="Arial" w:hAnsi="Arial"/>
          <w:color w:val="000000" w:themeColor="text1"/>
        </w:rPr>
        <w:t xml:space="preserve"> </w:t>
      </w:r>
      <w:r w:rsidR="003A588C" w:rsidRPr="00614125">
        <w:rPr>
          <w:rFonts w:ascii="Arial" w:hAnsi="Arial"/>
          <w:color w:val="000000" w:themeColor="text1"/>
        </w:rPr>
        <w:t>generally acceptable negative relation between</w:t>
      </w:r>
      <w:r w:rsidR="00B71D8D" w:rsidRPr="00614125">
        <w:rPr>
          <w:rFonts w:ascii="Arial" w:hAnsi="Arial"/>
          <w:color w:val="000000" w:themeColor="text1"/>
        </w:rPr>
        <w:t xml:space="preserve"> OOP payments </w:t>
      </w:r>
      <w:r w:rsidR="003A588C" w:rsidRPr="00614125">
        <w:rPr>
          <w:rFonts w:ascii="Arial" w:hAnsi="Arial"/>
          <w:color w:val="000000" w:themeColor="text1"/>
        </w:rPr>
        <w:t>and UHC achievement</w:t>
      </w:r>
      <w:r w:rsidR="00860E0F" w:rsidRPr="00614125">
        <w:rPr>
          <w:rFonts w:ascii="Arial" w:hAnsi="Arial"/>
          <w:color w:val="000000" w:themeColor="text1"/>
        </w:rPr>
        <w:t>.</w:t>
      </w:r>
      <w:r w:rsidR="00D83E60" w:rsidRPr="00614125">
        <w:rPr>
          <w:rFonts w:ascii="Arial" w:hAnsi="Arial"/>
          <w:color w:val="000000" w:themeColor="text1"/>
        </w:rPr>
        <w:t xml:space="preserve"> </w:t>
      </w:r>
    </w:p>
    <w:p w14:paraId="37373B2D" w14:textId="58621F28" w:rsidR="000D1B88" w:rsidRPr="00614125" w:rsidRDefault="00F10E12" w:rsidP="00FE4C9E">
      <w:pPr>
        <w:spacing w:before="120" w:after="120" w:line="360" w:lineRule="auto"/>
        <w:jc w:val="both"/>
        <w:rPr>
          <w:rFonts w:ascii="Arial" w:hAnsi="Arial"/>
          <w:color w:val="000000" w:themeColor="text1"/>
        </w:rPr>
      </w:pPr>
      <w:r w:rsidRPr="00614125">
        <w:rPr>
          <w:rFonts w:ascii="Arial" w:hAnsi="Arial"/>
          <w:color w:val="000000" w:themeColor="text1"/>
        </w:rPr>
        <w:t>In this paper, d</w:t>
      </w:r>
      <w:r w:rsidR="00ED1C04" w:rsidRPr="00614125">
        <w:rPr>
          <w:rFonts w:ascii="Arial" w:hAnsi="Arial"/>
          <w:color w:val="000000" w:themeColor="text1"/>
        </w:rPr>
        <w:t xml:space="preserve">ecomposition of the index showed </w:t>
      </w:r>
      <w:r w:rsidR="009D64A1" w:rsidRPr="00614125">
        <w:rPr>
          <w:rFonts w:ascii="Arial" w:hAnsi="Arial"/>
          <w:color w:val="000000" w:themeColor="text1"/>
        </w:rPr>
        <w:t xml:space="preserve">that </w:t>
      </w:r>
      <w:r w:rsidR="00ED1C04" w:rsidRPr="00614125">
        <w:rPr>
          <w:rFonts w:ascii="Arial" w:hAnsi="Arial"/>
          <w:color w:val="000000" w:themeColor="text1"/>
        </w:rPr>
        <w:t xml:space="preserve">in general health benefits </w:t>
      </w:r>
      <w:r w:rsidR="009D64A1" w:rsidRPr="00614125">
        <w:rPr>
          <w:rFonts w:ascii="Arial" w:hAnsi="Arial"/>
          <w:color w:val="000000" w:themeColor="text1"/>
        </w:rPr>
        <w:t xml:space="preserve">are </w:t>
      </w:r>
      <w:r w:rsidR="00ED1C04" w:rsidRPr="00614125">
        <w:rPr>
          <w:rFonts w:ascii="Arial" w:hAnsi="Arial"/>
          <w:color w:val="000000" w:themeColor="text1"/>
        </w:rPr>
        <w:t xml:space="preserve">considerably concentrated on </w:t>
      </w:r>
      <w:r w:rsidR="009D64A1" w:rsidRPr="00614125">
        <w:rPr>
          <w:rFonts w:ascii="Arial" w:hAnsi="Arial"/>
          <w:color w:val="000000" w:themeColor="text1"/>
        </w:rPr>
        <w:t xml:space="preserve">the </w:t>
      </w:r>
      <w:r w:rsidR="00ED1C04" w:rsidRPr="00614125">
        <w:rPr>
          <w:rFonts w:ascii="Arial" w:hAnsi="Arial"/>
          <w:color w:val="000000" w:themeColor="text1"/>
        </w:rPr>
        <w:t>richer segment of societ</w:t>
      </w:r>
      <w:r w:rsidR="00222921" w:rsidRPr="00614125">
        <w:rPr>
          <w:rFonts w:ascii="Arial" w:hAnsi="Arial"/>
          <w:color w:val="000000" w:themeColor="text1"/>
        </w:rPr>
        <w:t xml:space="preserve">y and </w:t>
      </w:r>
      <w:r w:rsidR="009D64A1" w:rsidRPr="00614125">
        <w:rPr>
          <w:rFonts w:ascii="Arial" w:hAnsi="Arial"/>
          <w:color w:val="000000" w:themeColor="text1"/>
        </w:rPr>
        <w:t xml:space="preserve">these </w:t>
      </w:r>
      <w:r w:rsidR="00222921" w:rsidRPr="00614125">
        <w:rPr>
          <w:rFonts w:ascii="Arial" w:hAnsi="Arial"/>
          <w:color w:val="000000" w:themeColor="text1"/>
        </w:rPr>
        <w:t>inequalities were</w:t>
      </w:r>
      <w:r w:rsidR="00DE1D36" w:rsidRPr="00614125">
        <w:rPr>
          <w:rFonts w:ascii="Arial" w:hAnsi="Arial"/>
          <w:color w:val="000000" w:themeColor="text1"/>
        </w:rPr>
        <w:t>, in fact,</w:t>
      </w:r>
      <w:r w:rsidR="009D64A1" w:rsidRPr="00614125">
        <w:rPr>
          <w:rFonts w:ascii="Arial" w:hAnsi="Arial"/>
          <w:color w:val="000000" w:themeColor="text1"/>
        </w:rPr>
        <w:t xml:space="preserve"> </w:t>
      </w:r>
      <w:r w:rsidR="00222921" w:rsidRPr="00614125">
        <w:rPr>
          <w:rFonts w:ascii="Arial" w:hAnsi="Arial"/>
          <w:color w:val="000000" w:themeColor="text1"/>
        </w:rPr>
        <w:t>more pronounced in counties with</w:t>
      </w:r>
      <w:r w:rsidR="009D64A1" w:rsidRPr="00614125">
        <w:rPr>
          <w:rFonts w:ascii="Arial" w:hAnsi="Arial"/>
          <w:color w:val="000000" w:themeColor="text1"/>
        </w:rPr>
        <w:t xml:space="preserve"> a</w:t>
      </w:r>
      <w:r w:rsidR="00222921" w:rsidRPr="00614125">
        <w:rPr>
          <w:rFonts w:ascii="Arial" w:hAnsi="Arial"/>
          <w:color w:val="000000" w:themeColor="text1"/>
        </w:rPr>
        <w:t xml:space="preserve"> </w:t>
      </w:r>
      <w:r w:rsidR="00326509" w:rsidRPr="00614125">
        <w:rPr>
          <w:rFonts w:ascii="Arial" w:hAnsi="Arial"/>
          <w:color w:val="000000" w:themeColor="text1"/>
        </w:rPr>
        <w:t>lower</w:t>
      </w:r>
      <w:r w:rsidR="00222921" w:rsidRPr="00614125">
        <w:rPr>
          <w:rFonts w:ascii="Arial" w:hAnsi="Arial"/>
          <w:color w:val="000000" w:themeColor="text1"/>
        </w:rPr>
        <w:t xml:space="preserve"> UHC achievement. </w:t>
      </w:r>
      <w:r w:rsidR="00167472" w:rsidRPr="00614125">
        <w:rPr>
          <w:rFonts w:ascii="Arial" w:hAnsi="Arial"/>
          <w:color w:val="000000" w:themeColor="text1"/>
        </w:rPr>
        <w:t>We found that a higher prevalence of OOP payments for healthcare within a country contributed to inequity favouring the richer people</w:t>
      </w:r>
      <w:r w:rsidR="00AF4DF3" w:rsidRPr="00614125">
        <w:rPr>
          <w:rFonts w:ascii="Arial" w:hAnsi="Arial"/>
          <w:color w:val="000000" w:themeColor="text1"/>
        </w:rPr>
        <w:t>,</w:t>
      </w:r>
      <w:r w:rsidR="00167472" w:rsidRPr="00614125">
        <w:rPr>
          <w:rFonts w:ascii="Arial" w:hAnsi="Arial"/>
          <w:color w:val="000000" w:themeColor="text1"/>
        </w:rPr>
        <w:t xml:space="preserve"> </w:t>
      </w:r>
      <w:r w:rsidR="00222921" w:rsidRPr="00614125">
        <w:rPr>
          <w:rFonts w:ascii="Arial" w:hAnsi="Arial"/>
          <w:color w:val="000000" w:themeColor="text1"/>
        </w:rPr>
        <w:t xml:space="preserve">in line </w:t>
      </w:r>
      <w:r w:rsidR="009D64A1" w:rsidRPr="00614125">
        <w:rPr>
          <w:rFonts w:ascii="Arial" w:hAnsi="Arial"/>
          <w:color w:val="000000" w:themeColor="text1"/>
        </w:rPr>
        <w:t xml:space="preserve">with </w:t>
      </w:r>
      <w:r w:rsidR="00222921" w:rsidRPr="00614125">
        <w:rPr>
          <w:rFonts w:ascii="Arial" w:hAnsi="Arial"/>
          <w:color w:val="000000" w:themeColor="text1"/>
        </w:rPr>
        <w:t>previous studies of</w:t>
      </w:r>
      <w:r w:rsidR="00D83E60" w:rsidRPr="00614125">
        <w:rPr>
          <w:rFonts w:ascii="Arial" w:hAnsi="Arial"/>
          <w:color w:val="000000" w:themeColor="text1"/>
        </w:rPr>
        <w:t xml:space="preserve"> b</w:t>
      </w:r>
      <w:r w:rsidR="00222921" w:rsidRPr="00614125">
        <w:rPr>
          <w:rFonts w:ascii="Arial" w:hAnsi="Arial"/>
          <w:color w:val="000000" w:themeColor="text1"/>
        </w:rPr>
        <w:t>enefit</w:t>
      </w:r>
      <w:r w:rsidR="00137CDD" w:rsidRPr="00614125">
        <w:rPr>
          <w:rFonts w:ascii="Arial" w:hAnsi="Arial"/>
          <w:color w:val="000000" w:themeColor="text1"/>
        </w:rPr>
        <w:t xml:space="preserve"> incidence analysis of health care</w:t>
      </w:r>
      <w:r w:rsidR="00CA7F0E" w:rsidRPr="00614125">
        <w:rPr>
          <w:rFonts w:ascii="Arial" w:hAnsi="Arial"/>
          <w:color w:val="000000" w:themeColor="text1"/>
        </w:rPr>
        <w:fldChar w:fldCharType="begin" w:fldLock="1"/>
      </w:r>
      <w:r w:rsidR="003B4DAF" w:rsidRPr="00614125">
        <w:rPr>
          <w:rFonts w:ascii="Arial" w:hAnsi="Arial"/>
          <w:color w:val="000000" w:themeColor="text1"/>
        </w:rPr>
        <w:instrText>ADDIN CSL_CITATION {"citationItems":[{"id":"ITEM-1","itemData":{"DOI":"10.1093/heapol/czs004","ISBN":"0268-1080","ISSN":"02681080","PMID":"22388496","abstract":"The National Health Insurance (NHI) scheme was introduced in Ghana in 2004 as a pro-poor financing strategy aimed at removing financial barriers to health care and protecting all citizens from catastrophic health expenditures, which currently arise due to user fees and other direct payments. A comprehensive assessment of the financing and benefit incidence of health services in Ghana was undertaken. These analyses drew on secondary data from the Ghana Living Standards Survey (2005/2006) and from an additional household survey which collected data in 2008 in six districts covering the three main ecological zones of Ghana. Findings show that Ghana's health care financing system is progressive, driven largely by the progressivity of taxes. The national health insurance levy (which is part of VAT) is mildly progressive while NHI contributions by the informal sector are regressive. The distribution of total benefits from both public and private health services is pro-rich. However, public sector district-level hospital inpatient care is pro-poor and benefits of primary-level health care services are relatively evenly distributed. For Ghana to attain an equitable health system and fully achieve universal coverage, it must ensure that the poor, most of whom are not currently covered by the NHI, are financially protected, and it must address the many access barriers to health care.","author":[{"dropping-particle":"","family":"Akazili","given":"James","non-dropping-particle":"","parse-names":false,"suffix":""},{"dropping-particle":"","family":"Garshong","given":"Bertha","non-dropping-particle":"","parse-names":false,"suffix":""},{"dropping-particle":"","family":"Aikins","given":"Moses","non-dropping-particle":"","parse-names":false,"suffix":""},{"dropping-particle":"","family":"Gyapong","given":"John","non-dropping-particle":"","parse-names":false,"suffix":""},{"dropping-particle":"Di","family":"McIntyre","given":"D.","non-dropping-particle":"","parse-names":false,"suffix":""}],"container-title":"Health Policy and Planning","id":"ITEM-1","issue":"SUPPL.1","issued":{"date-parts":[["2012","3"]]},"page":"i13-i22","title":"Progressivity of health care financing and incidence of service benefits in Ghana","type":"article-journal","volume":"27"},"uris":["http://www.mendeley.com/documents/?uuid=102041da-4041-45cb-a44c-f7ef49597efe"]},{"id":"ITEM-2","itemData":{"DOI":"10.1093/heapol/czw131","ISSN":"1460-2237","PMID":"28365753","abstract":"Background Equity in access to and utilization of healthcare is an important goal for any health system and an essential prerequisite for achieving Universal Health Coverage for any country. Objectives This study investigated the extent to which health benefits are distributed across socioeconomic groups; and how different types of providers contribute to inequity in health benefits of Bangladesh. Methodology The distribution of health benefits across socioeconomic groups was estimated using concentration indices. Health benefits from three types of formal providers were analysed (public, private and NGO providers), separated into rural and urban populations. Decomposition of concentration indices into types of providers quantified the relative contribution of providers to the overall distribution of benefits across socioeconomic groups. Eventually, the distribution of benefits was compared to the distribution of healthcare need (proxied by 'self-reported illness and symptoms') across socioeconomic groups. Data from the latest Household Income and Expenditure Survey, 2010 and WHO-CHOICE were used. Results An overall pro-rich distribution of healthcare benefits was observed (CI = 0.229, t -value = 9.50). Healthcare benefits from private providers (CI = 0.237, t -value = 9.44) largely favoured the richer socioeconomic groups. Little evidence of inequity in benefits was found in public (CI = 0.044, t -value = 2.98) and NGO (CI = 0.095, t -value = 0.54) providers. Private providers contributed by 95.9% to overall inequity. The poorest socioeconomic group with 21.8% of the need for healthcare received only 12.7% of the benefits, while the richest group with 18.0% of the need accounted for 32.8% of the health benefits. Conclusion Overall healthcare benefits in Bangladesh were pro-rich, particularly because of health benefits from private providers. Public providers were observed to contribute relatively slightly to inequity. The poorest (richest) people with largest (least) need for healthcare actually received lower (higher) benefits. When working to achieve Universal Health Coverage in Bangladesh, particular consideration should be given to ensuring that private sector care is more equitable.","author":[{"dropping-particle":"","family":"Khan","given":"Jahangir A M","non-dropping-particle":"","parse-names":false,"suffix":""},{"dropping-particle":"","family":"Ahmed","given":"Sayem","non-dropping-particle":"","parse-names":false,"suffix":""},{"dropping-particle":"","family":"MacLennan","given":"Mary","non-dropping-particle":"","parse-names":false,"suffix":""},{"dropping-particle":"","family":"Sarker","given":"Abdur Razzaque","non-dropping-particle":"","parse-names":false,"suffix":""},{"dropping-particle":"","family":"Sultana","given":"Marufa","non-dropping-particle":"","parse-names":false,"suffix":""},{"dropping-particle":"","family":"Rahman","given":"Hafizur","non-dropping-particle":"","parse-names":false,"suffix":""}],"container-title":"Health policy and planning","id":"ITEM-2","issue":"3","issued":{"date-parts":[["2017","4","1"]]},"page":"359-365","title":"Benefit incidence analysis of healthcare in Bangladesh - equity matters for universal health coverage.","type":"article-journal","volume":"32"},"uris":["http://www.mendeley.com/documents/?uuid=17b08d42-c69e-4f30-b8f1-343dba16b18f"]}],"mendeley":{"formattedCitation":"[15,16]","plainTextFormattedCitation":"[15,16]","previouslyFormattedCitation":"[15,16]"},"properties":{"noteIndex":0},"schema":"https://github.com/citation-style-language/schema/raw/master/csl-citation.json"}</w:instrText>
      </w:r>
      <w:r w:rsidR="00CA7F0E" w:rsidRPr="00614125">
        <w:rPr>
          <w:rFonts w:ascii="Arial" w:hAnsi="Arial"/>
          <w:color w:val="000000" w:themeColor="text1"/>
        </w:rPr>
        <w:fldChar w:fldCharType="separate"/>
      </w:r>
      <w:r w:rsidR="00CA7F0E" w:rsidRPr="00614125">
        <w:rPr>
          <w:rFonts w:ascii="Arial" w:hAnsi="Arial"/>
          <w:noProof/>
          <w:color w:val="000000" w:themeColor="text1"/>
        </w:rPr>
        <w:t>[15,16]</w:t>
      </w:r>
      <w:r w:rsidR="00CA7F0E" w:rsidRPr="00614125">
        <w:rPr>
          <w:rFonts w:ascii="Arial" w:hAnsi="Arial"/>
          <w:color w:val="000000" w:themeColor="text1"/>
        </w:rPr>
        <w:fldChar w:fldCharType="end"/>
      </w:r>
      <w:r w:rsidR="00137CDD" w:rsidRPr="00614125">
        <w:rPr>
          <w:rFonts w:ascii="Arial" w:hAnsi="Arial"/>
          <w:color w:val="000000" w:themeColor="text1"/>
        </w:rPr>
        <w:t xml:space="preserve">. </w:t>
      </w:r>
      <w:r w:rsidR="0057612B" w:rsidRPr="00614125">
        <w:rPr>
          <w:rFonts w:ascii="Arial" w:hAnsi="Arial"/>
          <w:color w:val="000000" w:themeColor="text1"/>
        </w:rPr>
        <w:t xml:space="preserve">In Bangladesh, both in- and outpatient care benefits </w:t>
      </w:r>
      <w:r w:rsidR="007E18DF" w:rsidRPr="00614125">
        <w:rPr>
          <w:rFonts w:ascii="Arial" w:hAnsi="Arial"/>
          <w:color w:val="000000" w:themeColor="text1"/>
        </w:rPr>
        <w:t xml:space="preserve">together </w:t>
      </w:r>
      <w:r w:rsidR="0057612B" w:rsidRPr="00614125">
        <w:rPr>
          <w:rFonts w:ascii="Arial" w:hAnsi="Arial"/>
          <w:color w:val="000000" w:themeColor="text1"/>
        </w:rPr>
        <w:t xml:space="preserve">through private providers had a concentration index </w:t>
      </w:r>
      <w:r w:rsidR="0057612B" w:rsidRPr="00614125">
        <w:rPr>
          <w:rFonts w:ascii="Arial" w:hAnsi="Arial"/>
          <w:color w:val="000000" w:themeColor="text1"/>
        </w:rPr>
        <w:lastRenderedPageBreak/>
        <w:t>of 0.237, while that through p</w:t>
      </w:r>
      <w:r w:rsidR="007E18DF" w:rsidRPr="00614125">
        <w:rPr>
          <w:rFonts w:ascii="Arial" w:hAnsi="Arial"/>
          <w:color w:val="000000" w:themeColor="text1"/>
        </w:rPr>
        <w:t>ublic</w:t>
      </w:r>
      <w:r w:rsidR="0057612B" w:rsidRPr="00614125">
        <w:rPr>
          <w:rFonts w:ascii="Arial" w:hAnsi="Arial"/>
          <w:color w:val="000000" w:themeColor="text1"/>
        </w:rPr>
        <w:t xml:space="preserve"> provid</w:t>
      </w:r>
      <w:r w:rsidR="00C266AB" w:rsidRPr="00614125">
        <w:rPr>
          <w:rFonts w:ascii="Arial" w:hAnsi="Arial"/>
          <w:color w:val="000000" w:themeColor="text1"/>
        </w:rPr>
        <w:t xml:space="preserve">ers </w:t>
      </w:r>
      <w:r w:rsidR="00AF4DF3" w:rsidRPr="00614125">
        <w:rPr>
          <w:rFonts w:ascii="Arial" w:hAnsi="Arial"/>
          <w:color w:val="000000" w:themeColor="text1"/>
        </w:rPr>
        <w:t xml:space="preserve">was </w:t>
      </w:r>
      <w:r w:rsidR="00C266AB" w:rsidRPr="00614125">
        <w:rPr>
          <w:rFonts w:ascii="Arial" w:hAnsi="Arial"/>
          <w:color w:val="000000" w:themeColor="text1"/>
        </w:rPr>
        <w:t>0.044</w:t>
      </w:r>
      <w:r w:rsidR="00174D9D" w:rsidRPr="00614125">
        <w:rPr>
          <w:rFonts w:ascii="Arial" w:hAnsi="Arial"/>
          <w:color w:val="000000" w:themeColor="text1"/>
        </w:rPr>
        <w:t xml:space="preserve"> </w:t>
      </w:r>
      <w:r w:rsidR="00174D9D" w:rsidRPr="00614125">
        <w:rPr>
          <w:rFonts w:ascii="Arial" w:hAnsi="Arial"/>
          <w:color w:val="000000" w:themeColor="text1"/>
        </w:rPr>
        <w:fldChar w:fldCharType="begin" w:fldLock="1"/>
      </w:r>
      <w:r w:rsidR="00CA7F0E" w:rsidRPr="00614125">
        <w:rPr>
          <w:rFonts w:ascii="Arial" w:hAnsi="Arial"/>
          <w:color w:val="000000" w:themeColor="text1"/>
        </w:rPr>
        <w:instrText>ADDIN CSL_CITATION {"citationItems":[{"id":"ITEM-1","itemData":{"DOI":"10.1093/heapol/czw131","ISSN":"1460-2237","PMID":"28365753","abstract":"Background Equity in access to and utilization of healthcare is an important goal for any health system and an essential prerequisite for achieving Universal Health Coverage for any country. Objectives This study investigated the extent to which health benefits are distributed across socioeconomic groups; and how different types of providers contribute to inequity in health benefits of Bangladesh. Methodology The distribution of health benefits across socioeconomic groups was estimated using concentration indices. Health benefits from three types of formal providers were analysed (public, private and NGO providers), separated into rural and urban populations. Decomposition of concentration indices into types of providers quantified the relative contribution of providers to the overall distribution of benefits across socioeconomic groups. Eventually, the distribution of benefits was compared to the distribution of healthcare need (proxied by 'self-reported illness and symptoms') across socioeconomic groups. Data from the latest Household Income and Expenditure Survey, 2010 and WHO-CHOICE were used. Results An overall pro-rich distribution of healthcare benefits was observed (CI = 0.229, t -value = 9.50). Healthcare benefits from private providers (CI = 0.237, t -value = 9.44) largely favoured the richer socioeconomic groups. Little evidence of inequity in benefits was found in public (CI = 0.044, t -value = 2.98) and NGO (CI = 0.095, t -value = 0.54) providers. Private providers contributed by 95.9% to overall inequity. The poorest socioeconomic group with 21.8% of the need for healthcare received only 12.7% of the benefits, while the richest group with 18.0% of the need accounted for 32.8% of the health benefits. Conclusion Overall healthcare benefits in Bangladesh were pro-rich, particularly because of health benefits from private providers. Public providers were observed to contribute relatively slightly to inequity. The poorest (richest) people with largest (least) need for healthcare actually received lower (higher) benefits. When working to achieve Universal Health Coverage in Bangladesh, particular consideration should be given to ensuring that private sector care is more equitable.","author":[{"dropping-particle":"","family":"Khan","given":"Jahangir A M","non-dropping-particle":"","parse-names":false,"suffix":""},{"dropping-particle":"","family":"Ahmed","given":"Sayem","non-dropping-particle":"","parse-names":false,"suffix":""},{"dropping-particle":"","family":"MacLennan","given":"Mary","non-dropping-particle":"","parse-names":false,"suffix":""},{"dropping-particle":"","family":"Sarker","given":"Abdur Razzaque","non-dropping-particle":"","parse-names":false,"suffix":""},{"dropping-particle":"","family":"Sultana","given":"Marufa","non-dropping-particle":"","parse-names":false,"suffix":""},{"dropping-particle":"","family":"Rahman","given":"Hafizur","non-dropping-particle":"","parse-names":false,"suffix":""}],"container-title":"Health policy and planning","id":"ITEM-1","issue":"3","issued":{"date-parts":[["2017","4","1"]]},"page":"359-365","title":"Benefit incidence analysis of healthcare in Bangladesh - equity matters for universal health coverage.","type":"article-journal","volume":"32"},"uris":["http://www.mendeley.com/documents/?uuid=17b08d42-c69e-4f30-b8f1-343dba16b18f"]}],"mendeley":{"formattedCitation":"[16]","plainTextFormattedCitation":"[16]","previouslyFormattedCitation":"[16]"},"properties":{"noteIndex":0},"schema":"https://github.com/citation-style-language/schema/raw/master/csl-citation.json"}</w:instrText>
      </w:r>
      <w:r w:rsidR="00174D9D" w:rsidRPr="00614125">
        <w:rPr>
          <w:rFonts w:ascii="Arial" w:hAnsi="Arial"/>
          <w:color w:val="000000" w:themeColor="text1"/>
        </w:rPr>
        <w:fldChar w:fldCharType="separate"/>
      </w:r>
      <w:r w:rsidR="00CA7F0E" w:rsidRPr="00614125">
        <w:rPr>
          <w:rFonts w:ascii="Arial" w:hAnsi="Arial"/>
          <w:noProof/>
          <w:color w:val="000000" w:themeColor="text1"/>
        </w:rPr>
        <w:t>[16]</w:t>
      </w:r>
      <w:r w:rsidR="00174D9D" w:rsidRPr="00614125">
        <w:rPr>
          <w:rFonts w:ascii="Arial" w:hAnsi="Arial"/>
          <w:color w:val="000000" w:themeColor="text1"/>
        </w:rPr>
        <w:fldChar w:fldCharType="end"/>
      </w:r>
      <w:r w:rsidR="0057612B" w:rsidRPr="00614125">
        <w:rPr>
          <w:rFonts w:ascii="Arial" w:hAnsi="Arial"/>
          <w:color w:val="000000" w:themeColor="text1"/>
        </w:rPr>
        <w:t xml:space="preserve">. </w:t>
      </w:r>
      <w:proofErr w:type="spellStart"/>
      <w:r w:rsidR="0057612B" w:rsidRPr="00614125">
        <w:rPr>
          <w:rFonts w:ascii="Arial" w:hAnsi="Arial"/>
          <w:color w:val="000000" w:themeColor="text1"/>
        </w:rPr>
        <w:t>Akazili</w:t>
      </w:r>
      <w:proofErr w:type="spellEnd"/>
      <w:r w:rsidR="0057612B" w:rsidRPr="00614125">
        <w:rPr>
          <w:rFonts w:ascii="Arial" w:hAnsi="Arial"/>
          <w:color w:val="000000" w:themeColor="text1"/>
        </w:rPr>
        <w:t xml:space="preserve"> and colleagues found concentration indices of out-patient </w:t>
      </w:r>
      <w:r w:rsidR="000D1B88" w:rsidRPr="00614125">
        <w:rPr>
          <w:rFonts w:ascii="Arial" w:hAnsi="Arial"/>
          <w:color w:val="000000" w:themeColor="text1"/>
        </w:rPr>
        <w:t>care benefits of 0.1807 in private and 0.1166 in public facilities</w:t>
      </w:r>
      <w:r w:rsidR="004C73CD" w:rsidRPr="00614125">
        <w:rPr>
          <w:rFonts w:ascii="Arial" w:hAnsi="Arial"/>
          <w:color w:val="000000" w:themeColor="text1"/>
        </w:rPr>
        <w:t>, where t</w:t>
      </w:r>
      <w:r w:rsidR="000D1B88" w:rsidRPr="00614125">
        <w:rPr>
          <w:rFonts w:ascii="Arial" w:hAnsi="Arial"/>
          <w:color w:val="000000" w:themeColor="text1"/>
        </w:rPr>
        <w:t>he inpatient care benefits showed concentration indices of 0.4086 in private and 0.0784 in public facilities</w:t>
      </w:r>
      <w:r w:rsidR="003B4DAF" w:rsidRPr="00614125">
        <w:rPr>
          <w:rFonts w:ascii="Arial" w:hAnsi="Arial"/>
          <w:color w:val="000000" w:themeColor="text1"/>
        </w:rPr>
        <w:fldChar w:fldCharType="begin" w:fldLock="1"/>
      </w:r>
      <w:r w:rsidR="006105C0" w:rsidRPr="00614125">
        <w:rPr>
          <w:rFonts w:ascii="Arial" w:hAnsi="Arial"/>
          <w:color w:val="000000" w:themeColor="text1"/>
        </w:rPr>
        <w:instrText>ADDIN CSL_CITATION {"citationItems":[{"id":"ITEM-1","itemData":{"DOI":"10.1093/heapol/czs004","ISBN":"0268-1080","ISSN":"02681080","PMID":"22388496","abstract":"The National Health Insurance (NHI) scheme was introduced in Ghana in 2004 as a pro-poor financing strategy aimed at removing financial barriers to health care and protecting all citizens from catastrophic health expenditures, which currently arise due to user fees and other direct payments. A comprehensive assessment of the financing and benefit incidence of health services in Ghana was undertaken. These analyses drew on secondary data from the Ghana Living Standards Survey (2005/2006) and from an additional household survey which collected data in 2008 in six districts covering the three main ecological zones of Ghana. Findings show that Ghana's health care financing system is progressive, driven largely by the progressivity of taxes. The national health insurance levy (which is part of VAT) is mildly progressive while NHI contributions by the informal sector are regressive. The distribution of total benefits from both public and private health services is pro-rich. However, public sector district-level hospital inpatient care is pro-poor and benefits of primary-level health care services are relatively evenly distributed. For Ghana to attain an equitable health system and fully achieve universal coverage, it must ensure that the poor, most of whom are not currently covered by the NHI, are financially protected, and it must address the many access barriers to health care.","author":[{"dropping-particle":"","family":"Akazili","given":"James","non-dropping-particle":"","parse-names":false,"suffix":""},{"dropping-particle":"","family":"Garshong","given":"Bertha","non-dropping-particle":"","parse-names":false,"suffix":""},{"dropping-particle":"","family":"Aikins","given":"Moses","non-dropping-particle":"","parse-names":false,"suffix":""},{"dropping-particle":"","family":"Gyapong","given":"John","non-dropping-particle":"","parse-names":false,"suffix":""},{"dropping-particle":"Di","family":"McIntyre","given":"D.","non-dropping-particle":"","parse-names":false,"suffix":""}],"container-title":"Health Policy and Planning","id":"ITEM-1","issue":"SUPPL.1","issued":{"date-parts":[["2012","3"]]},"page":"i13-i22","title":"Progressivity of health care financing and incidence of service benefits in Ghana","type":"article-journal","volume":"27"},"uris":["http://www.mendeley.com/documents/?uuid=102041da-4041-45cb-a44c-f7ef49597efe"]}],"mendeley":{"formattedCitation":"[15]","plainTextFormattedCitation":"[15]","previouslyFormattedCitation":"[15]"},"properties":{"noteIndex":0},"schema":"https://github.com/citation-style-language/schema/raw/master/csl-citation.json"}</w:instrText>
      </w:r>
      <w:r w:rsidR="003B4DAF" w:rsidRPr="00614125">
        <w:rPr>
          <w:rFonts w:ascii="Arial" w:hAnsi="Arial"/>
          <w:color w:val="000000" w:themeColor="text1"/>
        </w:rPr>
        <w:fldChar w:fldCharType="separate"/>
      </w:r>
      <w:r w:rsidR="003B4DAF" w:rsidRPr="00614125">
        <w:rPr>
          <w:rFonts w:ascii="Arial" w:hAnsi="Arial"/>
          <w:noProof/>
          <w:color w:val="000000" w:themeColor="text1"/>
        </w:rPr>
        <w:t>[15]</w:t>
      </w:r>
      <w:r w:rsidR="003B4DAF" w:rsidRPr="00614125">
        <w:rPr>
          <w:rFonts w:ascii="Arial" w:hAnsi="Arial"/>
          <w:color w:val="000000" w:themeColor="text1"/>
        </w:rPr>
        <w:fldChar w:fldCharType="end"/>
      </w:r>
      <w:r w:rsidR="000D1B88" w:rsidRPr="00614125">
        <w:rPr>
          <w:rFonts w:ascii="Arial" w:hAnsi="Arial"/>
          <w:color w:val="000000" w:themeColor="text1"/>
        </w:rPr>
        <w:t xml:space="preserve">. Experience of both countries demonstrated that </w:t>
      </w:r>
      <w:r w:rsidR="000D1B88" w:rsidRPr="00614125">
        <w:rPr>
          <w:rFonts w:ascii="Arial" w:hAnsi="Arial"/>
          <w:noProof/>
          <w:color w:val="000000" w:themeColor="text1"/>
        </w:rPr>
        <w:t>private</w:t>
      </w:r>
      <w:r w:rsidR="000D1B88" w:rsidRPr="00614125">
        <w:rPr>
          <w:rFonts w:ascii="Arial" w:hAnsi="Arial"/>
          <w:color w:val="000000" w:themeColor="text1"/>
        </w:rPr>
        <w:t xml:space="preserve"> health</w:t>
      </w:r>
      <w:r w:rsidR="002C681D" w:rsidRPr="00614125">
        <w:rPr>
          <w:rFonts w:ascii="Arial" w:hAnsi="Arial"/>
          <w:color w:val="000000" w:themeColor="text1"/>
        </w:rPr>
        <w:t xml:space="preserve"> </w:t>
      </w:r>
      <w:r w:rsidR="000D1B88" w:rsidRPr="00614125">
        <w:rPr>
          <w:rFonts w:ascii="Arial" w:hAnsi="Arial"/>
          <w:color w:val="000000" w:themeColor="text1"/>
        </w:rPr>
        <w:t>care benefits fostered inequalities in health</w:t>
      </w:r>
      <w:r w:rsidR="002C681D" w:rsidRPr="00614125">
        <w:rPr>
          <w:rFonts w:ascii="Arial" w:hAnsi="Arial"/>
          <w:color w:val="000000" w:themeColor="text1"/>
        </w:rPr>
        <w:t xml:space="preserve"> </w:t>
      </w:r>
      <w:r w:rsidR="000D1B88" w:rsidRPr="00614125">
        <w:rPr>
          <w:rFonts w:ascii="Arial" w:hAnsi="Arial"/>
          <w:color w:val="000000" w:themeColor="text1"/>
        </w:rPr>
        <w:t xml:space="preserve">care </w:t>
      </w:r>
      <w:r w:rsidR="00AF4DF3" w:rsidRPr="00614125">
        <w:rPr>
          <w:rFonts w:ascii="Arial" w:hAnsi="Arial"/>
          <w:color w:val="000000" w:themeColor="text1"/>
        </w:rPr>
        <w:t xml:space="preserve">to </w:t>
      </w:r>
      <w:r w:rsidR="000D1B88" w:rsidRPr="00614125">
        <w:rPr>
          <w:rFonts w:ascii="Arial" w:hAnsi="Arial"/>
          <w:color w:val="000000" w:themeColor="text1"/>
        </w:rPr>
        <w:t>a much larger</w:t>
      </w:r>
      <w:r w:rsidR="00DD59E3" w:rsidRPr="00614125">
        <w:rPr>
          <w:rFonts w:ascii="Arial" w:hAnsi="Arial"/>
          <w:color w:val="000000" w:themeColor="text1"/>
        </w:rPr>
        <w:t xml:space="preserve"> extent</w:t>
      </w:r>
      <w:r w:rsidR="000D1B88" w:rsidRPr="00614125">
        <w:rPr>
          <w:rFonts w:ascii="Arial" w:hAnsi="Arial"/>
          <w:color w:val="000000" w:themeColor="text1"/>
        </w:rPr>
        <w:t xml:space="preserve">. </w:t>
      </w:r>
      <w:r w:rsidR="00BD7FCD" w:rsidRPr="00614125">
        <w:rPr>
          <w:rFonts w:ascii="Arial" w:hAnsi="Arial"/>
          <w:color w:val="000000" w:themeColor="text1"/>
        </w:rPr>
        <w:t xml:space="preserve">The </w:t>
      </w:r>
      <w:r w:rsidR="000D1B88" w:rsidRPr="00614125">
        <w:rPr>
          <w:rFonts w:ascii="Arial" w:hAnsi="Arial"/>
          <w:color w:val="000000" w:themeColor="text1"/>
        </w:rPr>
        <w:t xml:space="preserve">UHC mission </w:t>
      </w:r>
      <w:r w:rsidR="00BD7FCD" w:rsidRPr="00614125">
        <w:rPr>
          <w:rFonts w:ascii="Arial" w:hAnsi="Arial"/>
          <w:color w:val="000000" w:themeColor="text1"/>
        </w:rPr>
        <w:t xml:space="preserve">aims </w:t>
      </w:r>
      <w:r w:rsidR="000D1B88" w:rsidRPr="00614125">
        <w:rPr>
          <w:rFonts w:ascii="Arial" w:hAnsi="Arial"/>
          <w:color w:val="000000" w:themeColor="text1"/>
        </w:rPr>
        <w:t xml:space="preserve">to guarantee </w:t>
      </w:r>
      <w:r w:rsidR="00BD7FCD" w:rsidRPr="00614125">
        <w:rPr>
          <w:rFonts w:ascii="Arial" w:hAnsi="Arial"/>
          <w:color w:val="000000" w:themeColor="text1"/>
        </w:rPr>
        <w:t xml:space="preserve">the </w:t>
      </w:r>
      <w:r w:rsidR="0003108D" w:rsidRPr="00614125">
        <w:rPr>
          <w:rFonts w:ascii="Arial" w:hAnsi="Arial"/>
          <w:color w:val="000000" w:themeColor="text1"/>
        </w:rPr>
        <w:t>need-</w:t>
      </w:r>
      <w:r w:rsidR="00CC7F4A" w:rsidRPr="00614125">
        <w:rPr>
          <w:rFonts w:ascii="Arial" w:hAnsi="Arial"/>
          <w:color w:val="000000" w:themeColor="text1"/>
        </w:rPr>
        <w:t>based</w:t>
      </w:r>
      <w:r w:rsidR="000D1B88" w:rsidRPr="00614125">
        <w:rPr>
          <w:rFonts w:ascii="Arial" w:hAnsi="Arial"/>
          <w:color w:val="000000" w:themeColor="text1"/>
        </w:rPr>
        <w:t xml:space="preserve"> health coverage for all people irrespective of their socioeconomic position</w:t>
      </w:r>
      <w:r w:rsidR="00EC683C" w:rsidRPr="00614125">
        <w:rPr>
          <w:rFonts w:ascii="Arial" w:hAnsi="Arial"/>
          <w:color w:val="000000" w:themeColor="text1"/>
        </w:rPr>
        <w:t>, but</w:t>
      </w:r>
      <w:r w:rsidR="000D1B88" w:rsidRPr="00614125">
        <w:rPr>
          <w:rFonts w:ascii="Arial" w:hAnsi="Arial"/>
          <w:color w:val="000000" w:themeColor="text1"/>
        </w:rPr>
        <w:t xml:space="preserve"> </w:t>
      </w:r>
      <w:r w:rsidR="00776357" w:rsidRPr="00614125">
        <w:rPr>
          <w:rFonts w:ascii="Arial" w:hAnsi="Arial"/>
          <w:color w:val="000000" w:themeColor="text1"/>
        </w:rPr>
        <w:t xml:space="preserve">the current nature of </w:t>
      </w:r>
      <w:r w:rsidR="00EC683C" w:rsidRPr="00614125">
        <w:rPr>
          <w:rFonts w:ascii="Arial" w:hAnsi="Arial"/>
          <w:color w:val="000000" w:themeColor="text1"/>
        </w:rPr>
        <w:t xml:space="preserve">health </w:t>
      </w:r>
      <w:r w:rsidR="000D1B88" w:rsidRPr="00614125">
        <w:rPr>
          <w:rFonts w:ascii="Arial" w:hAnsi="Arial"/>
          <w:color w:val="000000" w:themeColor="text1"/>
        </w:rPr>
        <w:t>service</w:t>
      </w:r>
      <w:r w:rsidR="00776357" w:rsidRPr="00614125">
        <w:rPr>
          <w:rFonts w:ascii="Arial" w:hAnsi="Arial"/>
          <w:color w:val="000000" w:themeColor="text1"/>
        </w:rPr>
        <w:t xml:space="preserve"> provision</w:t>
      </w:r>
      <w:r w:rsidR="000D1B88" w:rsidRPr="00614125">
        <w:rPr>
          <w:rFonts w:ascii="Arial" w:hAnsi="Arial"/>
          <w:color w:val="000000" w:themeColor="text1"/>
        </w:rPr>
        <w:t xml:space="preserve"> </w:t>
      </w:r>
      <w:r w:rsidR="00DD59E3" w:rsidRPr="00614125">
        <w:rPr>
          <w:rFonts w:ascii="Arial" w:hAnsi="Arial"/>
          <w:color w:val="000000" w:themeColor="text1"/>
        </w:rPr>
        <w:t xml:space="preserve">through </w:t>
      </w:r>
      <w:r w:rsidR="00776357" w:rsidRPr="00614125">
        <w:rPr>
          <w:rFonts w:ascii="Arial" w:hAnsi="Arial"/>
          <w:color w:val="000000" w:themeColor="text1"/>
        </w:rPr>
        <w:t xml:space="preserve">the </w:t>
      </w:r>
      <w:r w:rsidR="00EC683C" w:rsidRPr="00614125">
        <w:rPr>
          <w:rFonts w:ascii="Arial" w:hAnsi="Arial"/>
          <w:color w:val="000000" w:themeColor="text1"/>
        </w:rPr>
        <w:t>private sector</w:t>
      </w:r>
      <w:r w:rsidR="00DD59E3" w:rsidRPr="00614125">
        <w:rPr>
          <w:rFonts w:ascii="Arial" w:hAnsi="Arial"/>
          <w:color w:val="000000" w:themeColor="text1"/>
        </w:rPr>
        <w:t xml:space="preserve"> </w:t>
      </w:r>
      <w:r w:rsidR="00776357" w:rsidRPr="00614125">
        <w:rPr>
          <w:rFonts w:ascii="Arial" w:hAnsi="Arial"/>
          <w:color w:val="000000" w:themeColor="text1"/>
        </w:rPr>
        <w:t xml:space="preserve">suggests this mission is far from being achieved. </w:t>
      </w:r>
    </w:p>
    <w:p w14:paraId="22EFE2A1" w14:textId="35B708C0" w:rsidR="00A20C70" w:rsidRPr="00614125" w:rsidRDefault="00A20C70" w:rsidP="00A20C70">
      <w:pPr>
        <w:spacing w:before="120" w:after="120" w:line="360" w:lineRule="auto"/>
        <w:jc w:val="both"/>
        <w:rPr>
          <w:rFonts w:ascii="Arial" w:hAnsi="Arial"/>
          <w:color w:val="000000" w:themeColor="text1"/>
        </w:rPr>
      </w:pPr>
      <w:r w:rsidRPr="00614125">
        <w:rPr>
          <w:rFonts w:ascii="Arial" w:hAnsi="Arial"/>
          <w:color w:val="000000" w:themeColor="text1"/>
        </w:rPr>
        <w:t xml:space="preserve">While the other researchers used geometric mean of health service tracers </w:t>
      </w:r>
      <w:r w:rsidR="00081896" w:rsidRPr="00614125">
        <w:rPr>
          <w:rFonts w:ascii="Arial" w:hAnsi="Arial"/>
          <w:color w:val="000000" w:themeColor="text1"/>
        </w:rPr>
        <w:fldChar w:fldCharType="begin" w:fldLock="1"/>
      </w:r>
      <w:r w:rsidR="003B3F6D" w:rsidRPr="00614125">
        <w:rPr>
          <w:rFonts w:ascii="Arial" w:hAnsi="Arial"/>
          <w:color w:val="000000" w:themeColor="text1"/>
        </w:rPr>
        <w:instrText>ADDIN CSL_CITATION {"citationItems":[{"id":"ITEM-1","itemData":{"DOI":"10.1377/hlthaff.2014.1453","ISSN":"0278-2715","author":[{"dropping-particle":"","family":"Wagstaff","given":"a.","non-dropping-particle":"","parse-names":false,"suffix":""},{"dropping-particle":"","family":"Dmytraczenko","given":"T.","non-dropping-particle":"","parse-names":false,"suffix":""},{"dropping-particle":"","family":"Almeida","given":"G.","non-dropping-particle":"","parse-names":false,"suffix":""},{"dropping-particle":"","family":"Buisman","given":"L.","non-dropping-particle":"","parse-names":false,"suffix":""},{"dropping-particle":"","family":"Hoang-Vu Eozenou","given":"P.","non-dropping-particle":"","parse-names":false,"suffix":""},{"dropping-particle":"","family":"Bredenkamp","given":"C.","non-dropping-particle":"","parse-names":false,"suffix":""},{"dropping-particle":"","family":"Cercone","given":"J. a.","non-dropping-particle":"","parse-names":false,"suffix":""},{"dropping-particle":"","family":"Diaz","given":"Y.","non-dropping-particle":"","parse-names":false,"suffix":""},{"dropping-particle":"","family":"Maceira","given":"D.","non-dropping-particle":"","parse-names":false,"suffix":""},{"dropping-particle":"","family":"Molina","given":"S.","non-dropping-particle":"","parse-names":false,"suffix":""},{"dropping-particle":"","family":"Paraje","given":"G.","non-dropping-particle":"","parse-names":false,"suffix":""},{"dropping-particle":"","family":"Ruiz","given":"F.","non-dropping-particle":"","parse-names":false,"suffix":""},{"dropping-particle":"","family":"Sarti","given":"F.","non-dropping-particle":"","parse-names":false,"suffix":""},{"dropping-particle":"","family":"Scott","given":"J.","non-dropping-particle":"","parse-names":false,"suffix":""},{"dropping-particle":"","family":"Valdivia","given":"M.","non-dropping-particle":"","parse-names":false,"suffix":""},{"dropping-particle":"","family":"Werneck","given":"H.","non-dropping-particle":"","parse-names":false,"suffix":""}],"container-title":"Health Affairs","id":"ITEM-1","issue":"10","issued":{"date-parts":[["2015"]]},"page":"1704-1712","title":"Assessing Latin America's Progress Toward Achieving Universal Health Coverage","type":"article-journal","volume":"34"},"uris":["http://www.mendeley.com/documents/?uuid=d1ecfd68-75a0-4b7e-9324-a6f415bb3431"]},{"id":"ITEM-2","itemData":{"DOI":"10.1016/S2214-109X(17)30472-2","ISBN":"2214-109X (Electronic) 2214-109X (Linking)","ISSN":"2214109X","PMID":"29248365","abstract":"Background: Achieving universal health coverage, including quality essential service coverage and financial protection for all, is target 3.8 of the Sustainable Development Goals (SDG). As a result, an index of essential health service coverage indicators was selected by the UN as SDG indicator 3.8.1. We have developed an index for measuring SDG 3.8.1, describe methods for compiling the index, and report baseline results for 2015. Methods: 16 tracer indicators were selected for the index, which included four from within each of the categories of reproductive, maternal, newborn, and child health; infectious disease; non-communicable diseases; and service capacity and access. Indicator data for 183 countries were taken from UN agency estimates or databases, supplemented with submissions from national focal points during a WHO country consultation. The index was computed using geometric means, and a subset of tracer indicators were used to summarise inequalities. Findings: On average, countries had primary data since 2010 for 72% of the final set of indicators. The median national value for the service coverage index was 65 out of 100 (range 22–86). The index was highly correlated with other summary measures of health, and after controlling for gross national income and mean years of adult education, was associated with 21 additional years of life expectancy over the observed range of country values. Across 52 countries with sufficient data, coverage was 1% to 66% lower among the poorest quintile as compared with the national population. Sensitivity analyses suggested ranks implied by the index are fairly stable across alternative calculation methods. Interpretation: Service coverage within universal health coverage can be measured with an index of tracer indicators. Our universal health coverage service coverage index is simple to compute by use of available country data and can be refined to incorporate relevant indicators as they become available through SDG monitoring. Funding: Ministry of Health, Japan, and the Rockefeller Foundation.","author":[{"dropping-particle":"","family":"Hogan","given":"Daniel R.","non-dropping-particle":"","parse-names":false,"suffix":""},{"dropping-particle":"","family":"Stevens","given":"Gretchen A.","non-dropping-particle":"","parse-names":false,"suffix":""},{"dropping-particle":"","family":"Hosseinpoor","given":"Ahmad Reza","non-dropping-particle":"","parse-names":false,"suffix":""},{"dropping-particle":"","family":"Boerma","given":"Ties","non-dropping-particle":"","parse-names":false,"suffix":""}],"container-title":"The Lancet Global Health","id":"ITEM-2","issued":{"date-parts":[["2018"]]},"title":"Monitoring universal health coverage within the Sustainable Development Goals: development and baseline data for an index of essential health services","type":"article-journal"},"uris":["http://www.mendeley.com/documents/?uuid=6b891dca-b0ce-416d-9211-854d6e2e2cf3"]}],"mendeley":{"formattedCitation":"[5,14]","plainTextFormattedCitation":"[5,14]","previouslyFormattedCitation":"[5,14]"},"properties":{"noteIndex":0},"schema":"https://github.com/citation-style-language/schema/raw/master/csl-citation.json"}</w:instrText>
      </w:r>
      <w:r w:rsidR="00081896" w:rsidRPr="00614125">
        <w:rPr>
          <w:rFonts w:ascii="Arial" w:hAnsi="Arial"/>
          <w:color w:val="000000" w:themeColor="text1"/>
        </w:rPr>
        <w:fldChar w:fldCharType="separate"/>
      </w:r>
      <w:r w:rsidR="00604FF7" w:rsidRPr="00614125">
        <w:rPr>
          <w:rFonts w:ascii="Arial" w:hAnsi="Arial"/>
          <w:noProof/>
          <w:color w:val="000000" w:themeColor="text1"/>
        </w:rPr>
        <w:t>[5,14]</w:t>
      </w:r>
      <w:r w:rsidR="00081896" w:rsidRPr="00614125">
        <w:rPr>
          <w:rFonts w:ascii="Arial" w:hAnsi="Arial"/>
          <w:color w:val="000000" w:themeColor="text1"/>
        </w:rPr>
        <w:fldChar w:fldCharType="end"/>
      </w:r>
      <w:r w:rsidR="00081896" w:rsidRPr="00614125">
        <w:rPr>
          <w:rFonts w:ascii="Arial" w:hAnsi="Arial"/>
          <w:color w:val="000000" w:themeColor="text1"/>
        </w:rPr>
        <w:t xml:space="preserve"> </w:t>
      </w:r>
      <w:r w:rsidR="00DE2DB3" w:rsidRPr="00614125">
        <w:rPr>
          <w:rFonts w:ascii="Arial" w:hAnsi="Arial"/>
          <w:color w:val="000000" w:themeColor="text1"/>
        </w:rPr>
        <w:t xml:space="preserve"> for calculating </w:t>
      </w:r>
      <w:r w:rsidR="00DE1D36" w:rsidRPr="00614125">
        <w:rPr>
          <w:rFonts w:ascii="Arial" w:hAnsi="Arial"/>
          <w:color w:val="000000" w:themeColor="text1"/>
        </w:rPr>
        <w:t xml:space="preserve">the </w:t>
      </w:r>
      <w:r w:rsidR="00DE2DB3" w:rsidRPr="00614125">
        <w:rPr>
          <w:rFonts w:ascii="Arial" w:hAnsi="Arial"/>
          <w:noProof/>
          <w:color w:val="000000" w:themeColor="text1"/>
        </w:rPr>
        <w:t>index</w:t>
      </w:r>
      <w:r w:rsidRPr="00614125">
        <w:rPr>
          <w:rFonts w:ascii="Arial" w:hAnsi="Arial"/>
          <w:color w:val="000000" w:themeColor="text1"/>
        </w:rPr>
        <w:t xml:space="preserve">, we utilized a transparent step-by-step spreadsheet approach which should be useful for the potential users (like, health managers of Ministries and local government, international health observers) without </w:t>
      </w:r>
      <w:r w:rsidR="00DE1D36" w:rsidRPr="00614125">
        <w:rPr>
          <w:rFonts w:ascii="Arial" w:hAnsi="Arial"/>
          <w:color w:val="000000" w:themeColor="text1"/>
        </w:rPr>
        <w:t xml:space="preserve">a statistical </w:t>
      </w:r>
      <w:r w:rsidRPr="00614125">
        <w:rPr>
          <w:rFonts w:ascii="Arial" w:hAnsi="Arial"/>
          <w:color w:val="000000" w:themeColor="text1"/>
        </w:rPr>
        <w:t>background and research skills.</w:t>
      </w:r>
      <w:r w:rsidR="00DE2DB3" w:rsidRPr="00614125">
        <w:rPr>
          <w:rFonts w:ascii="Arial" w:hAnsi="Arial"/>
          <w:color w:val="000000" w:themeColor="text1"/>
        </w:rPr>
        <w:t xml:space="preserve"> It should be emphasized here that our spreadsheet approach can even be used for monitoring the service coverage status in local (sub-districts) and regional (</w:t>
      </w:r>
      <w:r w:rsidR="001A33E8" w:rsidRPr="00614125">
        <w:rPr>
          <w:rFonts w:ascii="Arial" w:hAnsi="Arial"/>
          <w:color w:val="000000" w:themeColor="text1"/>
        </w:rPr>
        <w:t>provinces</w:t>
      </w:r>
      <w:r w:rsidR="00DE2DB3" w:rsidRPr="00614125">
        <w:rPr>
          <w:rFonts w:ascii="Arial" w:hAnsi="Arial"/>
          <w:color w:val="000000" w:themeColor="text1"/>
        </w:rPr>
        <w:t xml:space="preserve">) as well as in any health service catchment areas by </w:t>
      </w:r>
      <w:r w:rsidR="00005B79" w:rsidRPr="00614125">
        <w:rPr>
          <w:rFonts w:ascii="Arial" w:hAnsi="Arial"/>
          <w:color w:val="000000" w:themeColor="text1"/>
        </w:rPr>
        <w:t xml:space="preserve">customising </w:t>
      </w:r>
      <w:r w:rsidR="00DE2DB3" w:rsidRPr="00614125">
        <w:rPr>
          <w:rFonts w:ascii="Arial" w:hAnsi="Arial"/>
          <w:color w:val="000000" w:themeColor="text1"/>
        </w:rPr>
        <w:t xml:space="preserve">the spreadsheet </w:t>
      </w:r>
      <w:r w:rsidR="00005B79" w:rsidRPr="00614125">
        <w:rPr>
          <w:rFonts w:ascii="Arial" w:hAnsi="Arial"/>
          <w:color w:val="000000" w:themeColor="text1"/>
        </w:rPr>
        <w:t xml:space="preserve">to </w:t>
      </w:r>
      <w:r w:rsidR="00DE2DB3" w:rsidRPr="00614125">
        <w:rPr>
          <w:rFonts w:ascii="Arial" w:hAnsi="Arial"/>
          <w:color w:val="000000" w:themeColor="text1"/>
        </w:rPr>
        <w:t xml:space="preserve">local conditions.   </w:t>
      </w:r>
    </w:p>
    <w:p w14:paraId="5FEDF9F3" w14:textId="0BFD6242" w:rsidR="00A20C70" w:rsidRPr="00614125" w:rsidRDefault="00564A98" w:rsidP="00337D8B">
      <w:pPr>
        <w:spacing w:before="120" w:after="120" w:line="360" w:lineRule="auto"/>
        <w:jc w:val="both"/>
        <w:rPr>
          <w:rFonts w:ascii="Arial" w:hAnsi="Arial"/>
          <w:color w:val="000000" w:themeColor="text1"/>
        </w:rPr>
      </w:pPr>
      <w:r w:rsidRPr="00614125">
        <w:rPr>
          <w:rFonts w:ascii="Arial" w:hAnsi="Arial"/>
          <w:color w:val="000000" w:themeColor="text1"/>
        </w:rPr>
        <w:t xml:space="preserve">In </w:t>
      </w:r>
      <w:r w:rsidRPr="00614125">
        <w:rPr>
          <w:rFonts w:ascii="Arial" w:hAnsi="Arial"/>
          <w:noProof/>
          <w:color w:val="000000" w:themeColor="text1"/>
        </w:rPr>
        <w:t>principal</w:t>
      </w:r>
      <w:r w:rsidRPr="00614125">
        <w:rPr>
          <w:rFonts w:ascii="Arial" w:hAnsi="Arial"/>
          <w:color w:val="000000" w:themeColor="text1"/>
        </w:rPr>
        <w:t>, any number of possible service indicators and population stratum</w:t>
      </w:r>
      <w:r w:rsidR="00DE1D36" w:rsidRPr="00614125">
        <w:rPr>
          <w:rFonts w:ascii="Arial" w:hAnsi="Arial"/>
          <w:color w:val="000000" w:themeColor="text1"/>
        </w:rPr>
        <w:t>, as well as the indicator of financial protection,</w:t>
      </w:r>
      <w:r w:rsidRPr="00614125">
        <w:rPr>
          <w:rFonts w:ascii="Arial" w:hAnsi="Arial"/>
          <w:color w:val="000000" w:themeColor="text1"/>
        </w:rPr>
        <w:t xml:space="preserve"> can be accommodated in constructing the proposed index. Though we have put </w:t>
      </w:r>
      <w:r w:rsidR="00DE1D36" w:rsidRPr="00614125">
        <w:rPr>
          <w:rFonts w:ascii="Arial" w:hAnsi="Arial"/>
          <w:color w:val="000000" w:themeColor="text1"/>
        </w:rPr>
        <w:t xml:space="preserve">an </w:t>
      </w:r>
      <w:r w:rsidRPr="00614125">
        <w:rPr>
          <w:rFonts w:ascii="Arial" w:hAnsi="Arial"/>
          <w:noProof/>
          <w:color w:val="000000" w:themeColor="text1"/>
        </w:rPr>
        <w:t>equal</w:t>
      </w:r>
      <w:r w:rsidRPr="00614125">
        <w:rPr>
          <w:rFonts w:ascii="Arial" w:hAnsi="Arial"/>
          <w:color w:val="000000" w:themeColor="text1"/>
        </w:rPr>
        <w:t xml:space="preserve"> weight across all services and population group</w:t>
      </w:r>
      <w:r w:rsidR="00092B95" w:rsidRPr="00614125">
        <w:rPr>
          <w:rFonts w:ascii="Arial" w:hAnsi="Arial"/>
          <w:color w:val="000000" w:themeColor="text1"/>
        </w:rPr>
        <w:t xml:space="preserve">s, it is </w:t>
      </w:r>
      <w:r w:rsidRPr="00614125">
        <w:rPr>
          <w:rFonts w:ascii="Arial" w:hAnsi="Arial"/>
          <w:color w:val="000000" w:themeColor="text1"/>
        </w:rPr>
        <w:t xml:space="preserve">possible to assign different weights considering the priority of services and sub-populations in calculating the index. If the service utilization rates change over time in sub-populations in a way that the total length of coverage remains same, our index value will not be sensitive to these changes while equal weights are applied. The index values will, however, be sensitive if different weights are applied for different services and in different population sub-groups. Use of sex- and age-standardized service utilization rates might be more useful for comparing the index values across countries. </w:t>
      </w:r>
      <w:r w:rsidR="00DA7A73" w:rsidRPr="00614125">
        <w:rPr>
          <w:rFonts w:ascii="Arial" w:hAnsi="Arial"/>
          <w:color w:val="000000" w:themeColor="text1"/>
        </w:rPr>
        <w:t>In this initial phase of the developing the index, we give focus on actual values reflecting three dimensions of UHC (population coverage, service coverage and financial protection). Since we do not find any priority in specific health services and population groups by any global health policy</w:t>
      </w:r>
      <w:r w:rsidR="00A20C70" w:rsidRPr="00614125">
        <w:rPr>
          <w:rFonts w:ascii="Arial" w:hAnsi="Arial"/>
          <w:color w:val="000000" w:themeColor="text1"/>
        </w:rPr>
        <w:t xml:space="preserve"> for achieving UHC</w:t>
      </w:r>
      <w:r w:rsidR="00DA7A73" w:rsidRPr="00614125">
        <w:rPr>
          <w:rFonts w:ascii="Arial" w:hAnsi="Arial"/>
          <w:color w:val="000000" w:themeColor="text1"/>
        </w:rPr>
        <w:t xml:space="preserve">, we assumed same weight across services and sub-populations. It, however, is technically simple to add weights in the analysis. </w:t>
      </w:r>
    </w:p>
    <w:p w14:paraId="7C2236F9" w14:textId="6BD76A03" w:rsidR="005D199B" w:rsidRPr="00614125" w:rsidRDefault="00564A98" w:rsidP="00337D8B">
      <w:pPr>
        <w:spacing w:before="120" w:after="120" w:line="360" w:lineRule="auto"/>
        <w:jc w:val="both"/>
        <w:rPr>
          <w:rFonts w:ascii="Arial" w:hAnsi="Arial"/>
          <w:color w:val="000000" w:themeColor="text1"/>
        </w:rPr>
      </w:pPr>
      <w:r w:rsidRPr="00614125">
        <w:rPr>
          <w:rFonts w:ascii="Arial" w:hAnsi="Arial"/>
          <w:color w:val="000000" w:themeColor="text1"/>
        </w:rPr>
        <w:lastRenderedPageBreak/>
        <w:t xml:space="preserve">In the practical context, data on utilization of services </w:t>
      </w:r>
      <w:r w:rsidRPr="00614125">
        <w:rPr>
          <w:rFonts w:ascii="Arial" w:hAnsi="Arial"/>
          <w:noProof/>
          <w:color w:val="000000" w:themeColor="text1"/>
        </w:rPr>
        <w:t>like,</w:t>
      </w:r>
      <w:r w:rsidRPr="00614125">
        <w:rPr>
          <w:rFonts w:ascii="Arial" w:hAnsi="Arial"/>
          <w:color w:val="000000" w:themeColor="text1"/>
        </w:rPr>
        <w:t xml:space="preserve"> rehabilitative and palliative care are often missing in most of the low- and middle-income countries. We, however, expect that through ongoing research on UHC, more data will be available in </w:t>
      </w:r>
      <w:r w:rsidR="00DE1D36" w:rsidRPr="00614125">
        <w:rPr>
          <w:rFonts w:ascii="Arial" w:hAnsi="Arial"/>
          <w:color w:val="000000" w:themeColor="text1"/>
        </w:rPr>
        <w:t xml:space="preserve">the </w:t>
      </w:r>
      <w:r w:rsidRPr="00614125">
        <w:rPr>
          <w:rFonts w:ascii="Arial" w:hAnsi="Arial"/>
          <w:noProof/>
          <w:color w:val="000000" w:themeColor="text1"/>
        </w:rPr>
        <w:t>near</w:t>
      </w:r>
      <w:r w:rsidRPr="00614125">
        <w:rPr>
          <w:rFonts w:ascii="Arial" w:hAnsi="Arial"/>
          <w:color w:val="000000" w:themeColor="text1"/>
        </w:rPr>
        <w:t xml:space="preserve"> future which will be useful to calculate more robust UHC index values using this current method. </w:t>
      </w:r>
      <w:r w:rsidR="00FE066C" w:rsidRPr="00614125">
        <w:rPr>
          <w:rFonts w:ascii="Arial" w:hAnsi="Arial"/>
          <w:color w:val="000000" w:themeColor="text1"/>
        </w:rPr>
        <w:t>We expect that more robust and frequent data on health</w:t>
      </w:r>
      <w:r w:rsidR="002C681D" w:rsidRPr="00614125">
        <w:rPr>
          <w:rFonts w:ascii="Arial" w:hAnsi="Arial"/>
          <w:color w:val="000000" w:themeColor="text1"/>
        </w:rPr>
        <w:t xml:space="preserve"> </w:t>
      </w:r>
      <w:r w:rsidR="00FE066C" w:rsidRPr="00614125">
        <w:rPr>
          <w:rFonts w:ascii="Arial" w:hAnsi="Arial"/>
          <w:color w:val="000000" w:themeColor="text1"/>
        </w:rPr>
        <w:t>care utilization and financial risk protection will be more useful to observe the UHC status of the countries</w:t>
      </w:r>
      <w:r w:rsidR="009606CA" w:rsidRPr="00614125">
        <w:rPr>
          <w:rFonts w:ascii="Arial" w:hAnsi="Arial"/>
          <w:color w:val="000000" w:themeColor="text1"/>
        </w:rPr>
        <w:t xml:space="preserve"> and </w:t>
      </w:r>
      <w:r w:rsidR="004441FF" w:rsidRPr="00614125">
        <w:rPr>
          <w:rFonts w:ascii="Arial" w:hAnsi="Arial"/>
          <w:color w:val="000000" w:themeColor="text1"/>
        </w:rPr>
        <w:t xml:space="preserve">their </w:t>
      </w:r>
      <w:r w:rsidR="009606CA" w:rsidRPr="00614125">
        <w:rPr>
          <w:rFonts w:ascii="Arial" w:hAnsi="Arial"/>
          <w:color w:val="000000" w:themeColor="text1"/>
        </w:rPr>
        <w:t xml:space="preserve">progress over periods. </w:t>
      </w:r>
      <w:r w:rsidR="00067704" w:rsidRPr="00614125">
        <w:rPr>
          <w:rFonts w:ascii="Arial" w:hAnsi="Arial"/>
          <w:color w:val="000000" w:themeColor="text1"/>
        </w:rPr>
        <w:t xml:space="preserve">We </w:t>
      </w:r>
      <w:r w:rsidR="007637E2" w:rsidRPr="00614125">
        <w:rPr>
          <w:rFonts w:ascii="Arial" w:hAnsi="Arial"/>
          <w:color w:val="000000" w:themeColor="text1"/>
        </w:rPr>
        <w:t xml:space="preserve">would also </w:t>
      </w:r>
      <w:r w:rsidR="00067704" w:rsidRPr="00614125">
        <w:rPr>
          <w:rFonts w:ascii="Arial" w:hAnsi="Arial"/>
          <w:color w:val="000000" w:themeColor="text1"/>
        </w:rPr>
        <w:t xml:space="preserve">benefit by quantifying the </w:t>
      </w:r>
      <w:r w:rsidR="00C47856" w:rsidRPr="00614125">
        <w:rPr>
          <w:rFonts w:ascii="Arial" w:hAnsi="Arial"/>
          <w:color w:val="000000" w:themeColor="text1"/>
        </w:rPr>
        <w:t xml:space="preserve">effects of any changes in service utilization by any socioeconomic groups. </w:t>
      </w:r>
      <w:r w:rsidR="004A59FE" w:rsidRPr="00614125">
        <w:rPr>
          <w:rFonts w:ascii="Arial" w:hAnsi="Arial"/>
          <w:color w:val="000000" w:themeColor="text1"/>
        </w:rPr>
        <w:t xml:space="preserve">It is also possible to classify the populations with demographic characteristics (age group, male-female), residence (urban, rural, semi-urban, hard-to-reach area) </w:t>
      </w:r>
      <w:r w:rsidR="00EF413F" w:rsidRPr="00614125">
        <w:rPr>
          <w:rFonts w:ascii="Arial" w:hAnsi="Arial"/>
          <w:color w:val="000000" w:themeColor="text1"/>
        </w:rPr>
        <w:t xml:space="preserve">etc. </w:t>
      </w:r>
      <w:r w:rsidR="004A59FE" w:rsidRPr="00614125">
        <w:rPr>
          <w:rFonts w:ascii="Arial" w:hAnsi="Arial"/>
          <w:color w:val="000000" w:themeColor="text1"/>
        </w:rPr>
        <w:t>for observing the population coverage of health</w:t>
      </w:r>
      <w:r w:rsidR="002C681D" w:rsidRPr="00614125">
        <w:rPr>
          <w:rFonts w:ascii="Arial" w:hAnsi="Arial"/>
          <w:color w:val="000000" w:themeColor="text1"/>
        </w:rPr>
        <w:t xml:space="preserve"> </w:t>
      </w:r>
      <w:r w:rsidR="004A59FE" w:rsidRPr="00614125">
        <w:rPr>
          <w:rFonts w:ascii="Arial" w:hAnsi="Arial"/>
          <w:color w:val="000000" w:themeColor="text1"/>
        </w:rPr>
        <w:t xml:space="preserve">care. The countries </w:t>
      </w:r>
      <w:r w:rsidR="004C0308" w:rsidRPr="00614125">
        <w:rPr>
          <w:rFonts w:ascii="Arial" w:hAnsi="Arial"/>
          <w:color w:val="000000" w:themeColor="text1"/>
        </w:rPr>
        <w:t>the</w:t>
      </w:r>
      <w:r w:rsidR="00DA7A73" w:rsidRPr="00614125">
        <w:rPr>
          <w:rFonts w:ascii="Arial" w:hAnsi="Arial"/>
          <w:color w:val="000000" w:themeColor="text1"/>
        </w:rPr>
        <w:t>n</w:t>
      </w:r>
      <w:r w:rsidR="004C0308" w:rsidRPr="00614125">
        <w:rPr>
          <w:rFonts w:ascii="Arial" w:hAnsi="Arial"/>
          <w:color w:val="000000" w:themeColor="text1"/>
        </w:rPr>
        <w:t xml:space="preserve"> </w:t>
      </w:r>
      <w:r w:rsidR="004A59FE" w:rsidRPr="00614125">
        <w:rPr>
          <w:rFonts w:ascii="Arial" w:hAnsi="Arial"/>
          <w:color w:val="000000" w:themeColor="text1"/>
        </w:rPr>
        <w:t xml:space="preserve">will be able to identify their under-developed areas of health services for future intervention </w:t>
      </w:r>
      <w:r w:rsidR="001F2E86" w:rsidRPr="00614125">
        <w:rPr>
          <w:rFonts w:ascii="Arial" w:hAnsi="Arial"/>
          <w:color w:val="000000" w:themeColor="text1"/>
        </w:rPr>
        <w:t xml:space="preserve">for </w:t>
      </w:r>
      <w:r w:rsidR="004A59FE" w:rsidRPr="00614125">
        <w:rPr>
          <w:rFonts w:ascii="Arial" w:hAnsi="Arial"/>
          <w:color w:val="000000" w:themeColor="text1"/>
        </w:rPr>
        <w:t xml:space="preserve">achieving universal health coverage.  </w:t>
      </w:r>
    </w:p>
    <w:p w14:paraId="0A16ACCD" w14:textId="77777777" w:rsidR="00A20C70" w:rsidRPr="00614125" w:rsidRDefault="00A20C70" w:rsidP="00337D8B">
      <w:pPr>
        <w:spacing w:before="120" w:after="120" w:line="360" w:lineRule="auto"/>
        <w:rPr>
          <w:rFonts w:ascii="Arial" w:hAnsi="Arial"/>
          <w:color w:val="000000" w:themeColor="text1"/>
        </w:rPr>
      </w:pPr>
    </w:p>
    <w:p w14:paraId="76A5DF89" w14:textId="77777777" w:rsidR="00205ADA" w:rsidRPr="00614125" w:rsidRDefault="00205ADA" w:rsidP="00337D8B">
      <w:pPr>
        <w:spacing w:before="120" w:after="120" w:line="360" w:lineRule="auto"/>
        <w:rPr>
          <w:rFonts w:ascii="Arial" w:hAnsi="Arial"/>
          <w:color w:val="000000" w:themeColor="text1"/>
        </w:rPr>
      </w:pPr>
      <w:r w:rsidRPr="00614125">
        <w:rPr>
          <w:rFonts w:ascii="Arial" w:hAnsi="Arial"/>
          <w:color w:val="000000" w:themeColor="text1"/>
        </w:rPr>
        <w:t>CONCLUSION</w:t>
      </w:r>
    </w:p>
    <w:p w14:paraId="547D8427" w14:textId="49D78830" w:rsidR="00205ADA" w:rsidRPr="00614125" w:rsidRDefault="003A588C" w:rsidP="00337D8B">
      <w:pPr>
        <w:spacing w:before="120" w:after="120" w:line="360" w:lineRule="auto"/>
        <w:jc w:val="both"/>
        <w:rPr>
          <w:rFonts w:ascii="Arial" w:hAnsi="Arial"/>
          <w:color w:val="000000" w:themeColor="text1"/>
        </w:rPr>
      </w:pPr>
      <w:r w:rsidRPr="00614125">
        <w:rPr>
          <w:rFonts w:ascii="Arial" w:hAnsi="Arial"/>
          <w:color w:val="000000" w:themeColor="text1"/>
        </w:rPr>
        <w:t>A</w:t>
      </w:r>
      <w:r w:rsidR="007637E2" w:rsidRPr="00614125">
        <w:rPr>
          <w:rFonts w:ascii="Arial" w:hAnsi="Arial"/>
          <w:color w:val="000000" w:themeColor="text1"/>
        </w:rPr>
        <w:t xml:space="preserve"> </w:t>
      </w:r>
      <w:r w:rsidR="00EC683C" w:rsidRPr="00614125">
        <w:rPr>
          <w:rFonts w:ascii="Arial" w:hAnsi="Arial"/>
          <w:color w:val="000000" w:themeColor="text1"/>
        </w:rPr>
        <w:t xml:space="preserve">spreadsheet </w:t>
      </w:r>
      <w:r w:rsidRPr="00614125">
        <w:rPr>
          <w:rFonts w:ascii="Arial" w:hAnsi="Arial"/>
          <w:color w:val="000000" w:themeColor="text1"/>
        </w:rPr>
        <w:t xml:space="preserve">approach </w:t>
      </w:r>
      <w:r w:rsidR="00EC683C" w:rsidRPr="00614125">
        <w:rPr>
          <w:rFonts w:ascii="Arial" w:hAnsi="Arial"/>
          <w:color w:val="000000" w:themeColor="text1"/>
        </w:rPr>
        <w:t xml:space="preserve">for calculating </w:t>
      </w:r>
      <w:r w:rsidR="007637E2" w:rsidRPr="00614125">
        <w:rPr>
          <w:rFonts w:ascii="Arial" w:hAnsi="Arial"/>
          <w:color w:val="000000" w:themeColor="text1"/>
        </w:rPr>
        <w:t xml:space="preserve">a </w:t>
      </w:r>
      <w:r w:rsidR="00EC683C" w:rsidRPr="00614125">
        <w:rPr>
          <w:rFonts w:ascii="Arial" w:hAnsi="Arial"/>
          <w:color w:val="000000" w:themeColor="text1"/>
        </w:rPr>
        <w:t xml:space="preserve">UHC index </w:t>
      </w:r>
      <w:r w:rsidR="0003108D" w:rsidRPr="00614125">
        <w:rPr>
          <w:rFonts w:ascii="Arial" w:hAnsi="Arial"/>
          <w:color w:val="000000" w:themeColor="text1"/>
        </w:rPr>
        <w:t>worked well for our analyses</w:t>
      </w:r>
      <w:r w:rsidR="00EC683C" w:rsidRPr="00614125">
        <w:rPr>
          <w:rFonts w:ascii="Arial" w:hAnsi="Arial"/>
          <w:color w:val="000000" w:themeColor="text1"/>
        </w:rPr>
        <w:t xml:space="preserve">, where </w:t>
      </w:r>
      <w:r w:rsidR="004C0308" w:rsidRPr="00614125">
        <w:rPr>
          <w:rFonts w:ascii="Arial" w:hAnsi="Arial"/>
          <w:color w:val="000000" w:themeColor="text1"/>
        </w:rPr>
        <w:t xml:space="preserve">the </w:t>
      </w:r>
      <w:r w:rsidR="00EC683C" w:rsidRPr="00614125">
        <w:rPr>
          <w:rFonts w:ascii="Arial" w:hAnsi="Arial"/>
          <w:color w:val="000000" w:themeColor="text1"/>
        </w:rPr>
        <w:t>interrelation of UHC dimensions to the index values could easily be observed. Decomposition of the inde</w:t>
      </w:r>
      <w:r w:rsidR="00F73999" w:rsidRPr="00614125">
        <w:rPr>
          <w:rFonts w:ascii="Arial" w:hAnsi="Arial"/>
          <w:color w:val="000000" w:themeColor="text1"/>
        </w:rPr>
        <w:t>x</w:t>
      </w:r>
      <w:r w:rsidR="00EC683C" w:rsidRPr="00614125">
        <w:rPr>
          <w:rFonts w:ascii="Arial" w:hAnsi="Arial"/>
          <w:color w:val="000000" w:themeColor="text1"/>
        </w:rPr>
        <w:t xml:space="preserve"> into socioeconomic groups was useful for </w:t>
      </w:r>
      <w:r w:rsidR="006F5387" w:rsidRPr="00614125">
        <w:rPr>
          <w:rFonts w:ascii="Arial" w:hAnsi="Arial"/>
          <w:color w:val="000000" w:themeColor="text1"/>
        </w:rPr>
        <w:t>identifying</w:t>
      </w:r>
      <w:r w:rsidR="00EC683C" w:rsidRPr="00614125">
        <w:rPr>
          <w:rFonts w:ascii="Arial" w:hAnsi="Arial"/>
          <w:color w:val="000000" w:themeColor="text1"/>
        </w:rPr>
        <w:t xml:space="preserve"> the target population for further intervention towards UHC. The index </w:t>
      </w:r>
      <w:r w:rsidR="00005B79" w:rsidRPr="00614125">
        <w:rPr>
          <w:rFonts w:ascii="Arial" w:hAnsi="Arial"/>
          <w:color w:val="000000" w:themeColor="text1"/>
        </w:rPr>
        <w:t>was</w:t>
      </w:r>
      <w:r w:rsidR="00EC683C" w:rsidRPr="00614125">
        <w:rPr>
          <w:rFonts w:ascii="Arial" w:hAnsi="Arial"/>
          <w:color w:val="000000" w:themeColor="text1"/>
        </w:rPr>
        <w:t xml:space="preserve"> validated by estimating the</w:t>
      </w:r>
      <w:r w:rsidR="00B67A65" w:rsidRPr="00614125">
        <w:rPr>
          <w:rFonts w:ascii="Arial" w:hAnsi="Arial"/>
          <w:color w:val="000000" w:themeColor="text1"/>
        </w:rPr>
        <w:t xml:space="preserve"> correlation </w:t>
      </w:r>
      <w:r w:rsidR="001A33E8" w:rsidRPr="00614125">
        <w:rPr>
          <w:rFonts w:ascii="Arial" w:hAnsi="Arial"/>
          <w:color w:val="000000" w:themeColor="text1"/>
        </w:rPr>
        <w:t>coefficients</w:t>
      </w:r>
      <w:r w:rsidR="00B67A65" w:rsidRPr="00614125">
        <w:rPr>
          <w:rFonts w:ascii="Arial" w:hAnsi="Arial"/>
          <w:color w:val="000000" w:themeColor="text1"/>
        </w:rPr>
        <w:t xml:space="preserve"> with other relevant UHC indices and also</w:t>
      </w:r>
      <w:r w:rsidR="00EC683C" w:rsidRPr="00614125">
        <w:rPr>
          <w:rFonts w:ascii="Arial" w:hAnsi="Arial"/>
          <w:color w:val="000000" w:themeColor="text1"/>
        </w:rPr>
        <w:t xml:space="preserve"> </w:t>
      </w:r>
      <w:r w:rsidR="00B67A65" w:rsidRPr="00614125">
        <w:rPr>
          <w:rFonts w:ascii="Arial" w:hAnsi="Arial"/>
          <w:color w:val="000000" w:themeColor="text1"/>
        </w:rPr>
        <w:t xml:space="preserve">by estimating </w:t>
      </w:r>
      <w:r w:rsidR="00DE1D36" w:rsidRPr="00614125">
        <w:rPr>
          <w:rFonts w:ascii="Arial" w:hAnsi="Arial"/>
          <w:color w:val="000000" w:themeColor="text1"/>
        </w:rPr>
        <w:t xml:space="preserve">the </w:t>
      </w:r>
      <w:r w:rsidR="00EC683C" w:rsidRPr="00614125">
        <w:rPr>
          <w:rFonts w:ascii="Arial" w:hAnsi="Arial"/>
          <w:noProof/>
          <w:color w:val="000000" w:themeColor="text1"/>
        </w:rPr>
        <w:t>effect</w:t>
      </w:r>
      <w:r w:rsidR="00EC683C" w:rsidRPr="00614125">
        <w:rPr>
          <w:rFonts w:ascii="Arial" w:hAnsi="Arial"/>
          <w:color w:val="000000" w:themeColor="text1"/>
        </w:rPr>
        <w:t xml:space="preserve"> of OOP payments on </w:t>
      </w:r>
      <w:r w:rsidR="00B67A65" w:rsidRPr="00614125">
        <w:rPr>
          <w:rFonts w:ascii="Arial" w:hAnsi="Arial"/>
          <w:color w:val="000000" w:themeColor="text1"/>
        </w:rPr>
        <w:t>our</w:t>
      </w:r>
      <w:r w:rsidR="00FA73FE" w:rsidRPr="00614125">
        <w:rPr>
          <w:rFonts w:ascii="Arial" w:hAnsi="Arial"/>
          <w:color w:val="000000" w:themeColor="text1"/>
        </w:rPr>
        <w:t xml:space="preserve"> index values. The proposed UHC index is expected to be used by UHC practitioners </w:t>
      </w:r>
      <w:r w:rsidR="006F5387" w:rsidRPr="00614125">
        <w:rPr>
          <w:rFonts w:ascii="Arial" w:hAnsi="Arial"/>
          <w:color w:val="000000" w:themeColor="text1"/>
        </w:rPr>
        <w:t>without</w:t>
      </w:r>
      <w:r w:rsidR="00FA73FE" w:rsidRPr="00614125">
        <w:rPr>
          <w:rFonts w:ascii="Arial" w:hAnsi="Arial"/>
          <w:color w:val="000000" w:themeColor="text1"/>
        </w:rPr>
        <w:t xml:space="preserve"> any advance</w:t>
      </w:r>
      <w:r w:rsidR="007637E2" w:rsidRPr="00614125">
        <w:rPr>
          <w:rFonts w:ascii="Arial" w:hAnsi="Arial"/>
          <w:color w:val="000000" w:themeColor="text1"/>
        </w:rPr>
        <w:t>d</w:t>
      </w:r>
      <w:r w:rsidR="00FA73FE" w:rsidRPr="00614125">
        <w:rPr>
          <w:rFonts w:ascii="Arial" w:hAnsi="Arial"/>
          <w:color w:val="000000" w:themeColor="text1"/>
        </w:rPr>
        <w:t xml:space="preserve"> </w:t>
      </w:r>
      <w:r w:rsidR="00DE1D36" w:rsidRPr="00614125">
        <w:rPr>
          <w:rFonts w:ascii="Arial" w:hAnsi="Arial"/>
          <w:color w:val="000000" w:themeColor="text1"/>
        </w:rPr>
        <w:t>knowledge in</w:t>
      </w:r>
      <w:r w:rsidR="00FA73FE" w:rsidRPr="00614125">
        <w:rPr>
          <w:rFonts w:ascii="Arial" w:hAnsi="Arial"/>
          <w:color w:val="000000" w:themeColor="text1"/>
        </w:rPr>
        <w:t xml:space="preserve"> statistics and they can simply observe the efforts of their work towards UHC as the index is sensitive to any changes in health coverage by any sub-populations and for any health services in the country.</w:t>
      </w:r>
      <w:r w:rsidR="00B67A65" w:rsidRPr="00614125">
        <w:rPr>
          <w:rFonts w:ascii="Arial" w:hAnsi="Arial"/>
          <w:color w:val="000000" w:themeColor="text1"/>
        </w:rPr>
        <w:t xml:space="preserve"> This index can also be useful for observing affordable health service coverage in local and regional levels</w:t>
      </w:r>
      <w:r w:rsidR="003C5F00" w:rsidRPr="00614125">
        <w:rPr>
          <w:rFonts w:ascii="Arial" w:hAnsi="Arial"/>
          <w:color w:val="000000" w:themeColor="text1"/>
        </w:rPr>
        <w:t xml:space="preserve"> in </w:t>
      </w:r>
      <w:r w:rsidR="003C5F00" w:rsidRPr="00614125">
        <w:rPr>
          <w:rFonts w:ascii="Arial" w:hAnsi="Arial"/>
          <w:noProof/>
          <w:color w:val="000000" w:themeColor="text1"/>
        </w:rPr>
        <w:t>any</w:t>
      </w:r>
      <w:r w:rsidR="003C5F00" w:rsidRPr="00614125">
        <w:rPr>
          <w:rFonts w:ascii="Arial" w:hAnsi="Arial"/>
          <w:color w:val="000000" w:themeColor="text1"/>
        </w:rPr>
        <w:t xml:space="preserve"> countries</w:t>
      </w:r>
      <w:r w:rsidR="00B67A65" w:rsidRPr="00614125">
        <w:rPr>
          <w:rFonts w:ascii="Arial" w:hAnsi="Arial"/>
          <w:color w:val="000000" w:themeColor="text1"/>
        </w:rPr>
        <w:t xml:space="preserve">. </w:t>
      </w:r>
      <w:r w:rsidR="00FA73FE" w:rsidRPr="00614125">
        <w:rPr>
          <w:rFonts w:ascii="Arial" w:hAnsi="Arial"/>
          <w:color w:val="000000" w:themeColor="text1"/>
        </w:rPr>
        <w:t xml:space="preserve"> </w:t>
      </w:r>
    </w:p>
    <w:p w14:paraId="0DA3F739" w14:textId="77777777" w:rsidR="00B84812" w:rsidRPr="00614125" w:rsidRDefault="00B84812" w:rsidP="00337D8B">
      <w:pPr>
        <w:spacing w:before="120" w:after="120" w:line="360" w:lineRule="auto"/>
        <w:rPr>
          <w:rFonts w:ascii="Arial" w:hAnsi="Arial"/>
          <w:color w:val="000000" w:themeColor="text1"/>
        </w:rPr>
      </w:pPr>
    </w:p>
    <w:p w14:paraId="396F44B6" w14:textId="664FFAC1" w:rsidR="00925468" w:rsidRPr="00614125" w:rsidRDefault="00B84812" w:rsidP="00337D8B">
      <w:pPr>
        <w:spacing w:before="120" w:after="120" w:line="360" w:lineRule="auto"/>
        <w:rPr>
          <w:rFonts w:ascii="Arial" w:hAnsi="Arial"/>
          <w:color w:val="000000" w:themeColor="text1"/>
        </w:rPr>
      </w:pPr>
      <w:r w:rsidRPr="00614125">
        <w:rPr>
          <w:rFonts w:ascii="Arial" w:hAnsi="Arial"/>
          <w:color w:val="000000" w:themeColor="text1"/>
        </w:rPr>
        <w:t>DATA AVAILABILITY STATEMENT</w:t>
      </w:r>
    </w:p>
    <w:p w14:paraId="2553AF08" w14:textId="486074C0" w:rsidR="00B84812" w:rsidRPr="00614125" w:rsidRDefault="00B84812" w:rsidP="00337D8B">
      <w:pPr>
        <w:spacing w:before="120" w:after="120" w:line="360" w:lineRule="auto"/>
        <w:rPr>
          <w:rFonts w:ascii="Arial" w:hAnsi="Arial"/>
          <w:color w:val="000000" w:themeColor="text1"/>
        </w:rPr>
      </w:pPr>
      <w:r w:rsidRPr="00614125">
        <w:rPr>
          <w:rFonts w:ascii="Arial" w:hAnsi="Arial"/>
          <w:color w:val="000000" w:themeColor="text1"/>
        </w:rPr>
        <w:t xml:space="preserve">Data </w:t>
      </w:r>
      <w:r w:rsidR="008B64DF" w:rsidRPr="00614125">
        <w:rPr>
          <w:rFonts w:ascii="Arial" w:hAnsi="Arial"/>
          <w:color w:val="000000" w:themeColor="text1"/>
        </w:rPr>
        <w:t xml:space="preserve">used in this study </w:t>
      </w:r>
      <w:r w:rsidR="00005B79" w:rsidRPr="00614125">
        <w:rPr>
          <w:rFonts w:ascii="Arial" w:hAnsi="Arial"/>
          <w:color w:val="000000" w:themeColor="text1"/>
        </w:rPr>
        <w:t>are</w:t>
      </w:r>
      <w:r w:rsidR="008B64DF" w:rsidRPr="00614125">
        <w:rPr>
          <w:rFonts w:ascii="Arial" w:hAnsi="Arial"/>
          <w:color w:val="000000" w:themeColor="text1"/>
        </w:rPr>
        <w:t xml:space="preserve"> available for </w:t>
      </w:r>
      <w:r w:rsidR="004B7A3A" w:rsidRPr="00614125">
        <w:rPr>
          <w:rFonts w:ascii="Arial" w:hAnsi="Arial"/>
          <w:color w:val="000000" w:themeColor="text1"/>
        </w:rPr>
        <w:t xml:space="preserve">the </w:t>
      </w:r>
      <w:r w:rsidR="008B64DF" w:rsidRPr="00614125">
        <w:rPr>
          <w:rFonts w:ascii="Arial" w:hAnsi="Arial"/>
          <w:color w:val="000000" w:themeColor="text1"/>
        </w:rPr>
        <w:t>readers with the journal</w:t>
      </w:r>
      <w:r w:rsidR="00BB2AC9" w:rsidRPr="00614125">
        <w:rPr>
          <w:rFonts w:ascii="Arial" w:hAnsi="Arial"/>
          <w:color w:val="000000" w:themeColor="text1"/>
        </w:rPr>
        <w:t xml:space="preserve"> as supplementary data in an </w:t>
      </w:r>
      <w:r w:rsidR="008474CB" w:rsidRPr="00614125">
        <w:rPr>
          <w:rFonts w:ascii="Arial" w:hAnsi="Arial"/>
          <w:color w:val="000000" w:themeColor="text1"/>
        </w:rPr>
        <w:t>E</w:t>
      </w:r>
      <w:r w:rsidR="00BB2AC9" w:rsidRPr="00614125">
        <w:rPr>
          <w:rFonts w:ascii="Arial" w:hAnsi="Arial"/>
          <w:color w:val="000000" w:themeColor="text1"/>
        </w:rPr>
        <w:t>xcel file</w:t>
      </w:r>
      <w:r w:rsidR="004B7A3A" w:rsidRPr="00614125">
        <w:rPr>
          <w:rFonts w:ascii="Arial" w:hAnsi="Arial"/>
          <w:color w:val="000000" w:themeColor="text1"/>
        </w:rPr>
        <w:t>.</w:t>
      </w:r>
      <w:r w:rsidR="008B64DF" w:rsidRPr="00614125">
        <w:rPr>
          <w:rFonts w:ascii="Arial" w:hAnsi="Arial"/>
          <w:color w:val="000000" w:themeColor="text1"/>
        </w:rPr>
        <w:t xml:space="preserve">  </w:t>
      </w:r>
    </w:p>
    <w:p w14:paraId="7C937428" w14:textId="77777777" w:rsidR="00BB2AC9" w:rsidRPr="00614125" w:rsidRDefault="00BB2AC9" w:rsidP="00337D8B">
      <w:pPr>
        <w:spacing w:before="120" w:after="120" w:line="360" w:lineRule="auto"/>
        <w:rPr>
          <w:rFonts w:ascii="Arial" w:hAnsi="Arial"/>
          <w:color w:val="000000" w:themeColor="text1"/>
        </w:rPr>
      </w:pPr>
    </w:p>
    <w:p w14:paraId="6E43AFE5" w14:textId="652D3D46" w:rsidR="001F2E86" w:rsidRPr="00614125" w:rsidRDefault="00925468" w:rsidP="00337D8B">
      <w:pPr>
        <w:spacing w:before="120" w:after="120" w:line="360" w:lineRule="auto"/>
        <w:rPr>
          <w:rFonts w:ascii="Arial" w:hAnsi="Arial"/>
          <w:color w:val="000000" w:themeColor="text1"/>
        </w:rPr>
      </w:pPr>
      <w:r w:rsidRPr="00614125">
        <w:rPr>
          <w:rFonts w:ascii="Arial" w:hAnsi="Arial"/>
          <w:color w:val="000000" w:themeColor="text1"/>
        </w:rPr>
        <w:lastRenderedPageBreak/>
        <w:t>ACKNOWLEDGEMENT</w:t>
      </w:r>
    </w:p>
    <w:p w14:paraId="3A48EBD6" w14:textId="2DC0D5E9" w:rsidR="008E5FC6" w:rsidRPr="00614125" w:rsidRDefault="00925468" w:rsidP="00337D8B">
      <w:pPr>
        <w:spacing w:before="120" w:after="120" w:line="360" w:lineRule="auto"/>
        <w:rPr>
          <w:rFonts w:ascii="Arial" w:hAnsi="Arial"/>
          <w:color w:val="000000" w:themeColor="text1"/>
        </w:rPr>
      </w:pPr>
      <w:r w:rsidRPr="00614125">
        <w:rPr>
          <w:rFonts w:ascii="Arial" w:hAnsi="Arial"/>
          <w:color w:val="000000" w:themeColor="text1"/>
        </w:rPr>
        <w:t xml:space="preserve">We </w:t>
      </w:r>
      <w:r w:rsidR="00B95459" w:rsidRPr="00614125">
        <w:rPr>
          <w:rFonts w:ascii="Arial" w:hAnsi="Arial"/>
          <w:color w:val="000000" w:themeColor="text1"/>
        </w:rPr>
        <w:t>are grateful</w:t>
      </w:r>
      <w:r w:rsidRPr="00614125">
        <w:rPr>
          <w:rFonts w:ascii="Arial" w:hAnsi="Arial"/>
          <w:color w:val="000000" w:themeColor="text1"/>
        </w:rPr>
        <w:t xml:space="preserve"> </w:t>
      </w:r>
      <w:r w:rsidR="00B95459" w:rsidRPr="00614125">
        <w:rPr>
          <w:rFonts w:ascii="Arial" w:hAnsi="Arial"/>
          <w:color w:val="000000" w:themeColor="text1"/>
        </w:rPr>
        <w:t xml:space="preserve">to </w:t>
      </w:r>
      <w:r w:rsidR="00E407FC" w:rsidRPr="00614125">
        <w:rPr>
          <w:rFonts w:ascii="Arial" w:hAnsi="Arial"/>
          <w:color w:val="000000" w:themeColor="text1"/>
        </w:rPr>
        <w:t xml:space="preserve">Mohammad Wahid Ahmed </w:t>
      </w:r>
      <w:r w:rsidR="00B95459" w:rsidRPr="00614125">
        <w:rPr>
          <w:rFonts w:ascii="Arial" w:hAnsi="Arial"/>
          <w:color w:val="000000" w:themeColor="text1"/>
        </w:rPr>
        <w:t xml:space="preserve">of </w:t>
      </w:r>
      <w:proofErr w:type="gramStart"/>
      <w:r w:rsidR="00B95459" w:rsidRPr="00614125">
        <w:rPr>
          <w:rFonts w:ascii="Arial" w:hAnsi="Arial"/>
          <w:color w:val="000000" w:themeColor="text1"/>
        </w:rPr>
        <w:t>icddr,b</w:t>
      </w:r>
      <w:proofErr w:type="gramEnd"/>
      <w:r w:rsidR="00B95459" w:rsidRPr="00614125">
        <w:rPr>
          <w:rFonts w:ascii="Arial" w:hAnsi="Arial"/>
          <w:color w:val="000000" w:themeColor="text1"/>
        </w:rPr>
        <w:t xml:space="preserve"> </w:t>
      </w:r>
      <w:r w:rsidR="00E407FC" w:rsidRPr="00614125">
        <w:rPr>
          <w:rFonts w:ascii="Arial" w:hAnsi="Arial"/>
          <w:color w:val="000000" w:themeColor="text1"/>
        </w:rPr>
        <w:t xml:space="preserve">for organizing the dataset for analysis. </w:t>
      </w:r>
      <w:r w:rsidR="00454126" w:rsidRPr="00614125">
        <w:rPr>
          <w:rFonts w:ascii="Arial" w:hAnsi="Arial"/>
          <w:color w:val="000000" w:themeColor="text1"/>
        </w:rPr>
        <w:t>We express our gratitude to the reviewers and editor of the journal for their valua</w:t>
      </w:r>
      <w:r w:rsidR="002426A1" w:rsidRPr="00614125">
        <w:rPr>
          <w:rFonts w:ascii="Arial" w:hAnsi="Arial"/>
          <w:color w:val="000000" w:themeColor="text1"/>
        </w:rPr>
        <w:t xml:space="preserve">ble comments for improvement of the paper. </w:t>
      </w:r>
      <w:r w:rsidR="00F65906" w:rsidRPr="00614125">
        <w:rPr>
          <w:rFonts w:ascii="Arial" w:hAnsi="Arial"/>
          <w:color w:val="000000" w:themeColor="text1"/>
        </w:rPr>
        <w:t>This research was not funded by any organization</w:t>
      </w:r>
      <w:r w:rsidR="002426A1" w:rsidRPr="00614125">
        <w:rPr>
          <w:rFonts w:ascii="Arial" w:hAnsi="Arial"/>
          <w:color w:val="000000" w:themeColor="text1"/>
        </w:rPr>
        <w:t>.</w:t>
      </w:r>
      <w:r w:rsidR="001550A2" w:rsidRPr="00614125">
        <w:rPr>
          <w:rFonts w:ascii="Arial" w:hAnsi="Arial"/>
          <w:color w:val="000000" w:themeColor="text1"/>
        </w:rPr>
        <w:t xml:space="preserve">  </w:t>
      </w:r>
    </w:p>
    <w:p w14:paraId="35E8A1E9" w14:textId="77777777" w:rsidR="00F65906" w:rsidRPr="00614125" w:rsidRDefault="00F65906" w:rsidP="00F65906">
      <w:pPr>
        <w:spacing w:before="120" w:after="120" w:line="360" w:lineRule="auto"/>
        <w:rPr>
          <w:rFonts w:ascii="Arial" w:hAnsi="Arial"/>
          <w:color w:val="000000" w:themeColor="text1"/>
        </w:rPr>
      </w:pPr>
    </w:p>
    <w:p w14:paraId="13DF6342" w14:textId="77777777" w:rsidR="00F65906" w:rsidRPr="00614125" w:rsidRDefault="00F65906" w:rsidP="00F65906">
      <w:pPr>
        <w:spacing w:before="120" w:after="120" w:line="360" w:lineRule="auto"/>
        <w:rPr>
          <w:rFonts w:ascii="Arial" w:hAnsi="Arial"/>
          <w:color w:val="000000" w:themeColor="text1"/>
        </w:rPr>
      </w:pPr>
      <w:r w:rsidRPr="00614125">
        <w:rPr>
          <w:rFonts w:ascii="Arial" w:hAnsi="Arial"/>
          <w:color w:val="000000" w:themeColor="text1"/>
        </w:rPr>
        <w:t>COMPLIANCE WITH ETHICAL STANDARD</w:t>
      </w:r>
    </w:p>
    <w:p w14:paraId="22123826" w14:textId="680B4CDD" w:rsidR="00F65906" w:rsidRPr="00614125" w:rsidRDefault="00F65906" w:rsidP="00337D8B">
      <w:pPr>
        <w:spacing w:before="120" w:after="120" w:line="360" w:lineRule="auto"/>
        <w:rPr>
          <w:rFonts w:ascii="Arial" w:hAnsi="Arial"/>
          <w:color w:val="000000" w:themeColor="text1"/>
        </w:rPr>
      </w:pPr>
      <w:r w:rsidRPr="00614125">
        <w:rPr>
          <w:rFonts w:ascii="Arial" w:hAnsi="Arial"/>
          <w:color w:val="000000" w:themeColor="text1"/>
        </w:rPr>
        <w:t xml:space="preserve">None of the </w:t>
      </w:r>
      <w:r w:rsidR="005057D3" w:rsidRPr="00614125">
        <w:rPr>
          <w:rFonts w:ascii="Arial" w:hAnsi="Arial"/>
          <w:color w:val="000000" w:themeColor="text1"/>
        </w:rPr>
        <w:t>authors</w:t>
      </w:r>
      <w:r w:rsidR="00EE4BF3" w:rsidRPr="00614125">
        <w:rPr>
          <w:rFonts w:ascii="Arial" w:hAnsi="Arial"/>
          <w:color w:val="000000" w:themeColor="text1"/>
        </w:rPr>
        <w:t xml:space="preserve"> (Jahangir A.M. Khan, </w:t>
      </w:r>
      <w:proofErr w:type="spellStart"/>
      <w:r w:rsidR="00EE4BF3" w:rsidRPr="00614125">
        <w:rPr>
          <w:rFonts w:ascii="Arial" w:hAnsi="Arial"/>
          <w:color w:val="000000" w:themeColor="text1"/>
        </w:rPr>
        <w:t>Sayem</w:t>
      </w:r>
      <w:proofErr w:type="spellEnd"/>
      <w:r w:rsidR="00EE4BF3" w:rsidRPr="00614125">
        <w:rPr>
          <w:rFonts w:ascii="Arial" w:hAnsi="Arial"/>
          <w:color w:val="000000" w:themeColor="text1"/>
        </w:rPr>
        <w:t xml:space="preserve"> Ahmed, Tao Chen and Louis W. Niessen)</w:t>
      </w:r>
      <w:r w:rsidR="005057D3" w:rsidRPr="00614125">
        <w:rPr>
          <w:rFonts w:ascii="Arial" w:hAnsi="Arial"/>
          <w:color w:val="000000" w:themeColor="text1"/>
        </w:rPr>
        <w:t xml:space="preserve"> declared conflict of interest </w:t>
      </w:r>
      <w:r w:rsidR="00DE1D36" w:rsidRPr="00614125">
        <w:rPr>
          <w:rFonts w:ascii="Arial" w:hAnsi="Arial"/>
          <w:noProof/>
          <w:color w:val="000000" w:themeColor="text1"/>
        </w:rPr>
        <w:t>in</w:t>
      </w:r>
      <w:r w:rsidR="005057D3" w:rsidRPr="00614125">
        <w:rPr>
          <w:rFonts w:ascii="Arial" w:hAnsi="Arial"/>
          <w:color w:val="000000" w:themeColor="text1"/>
        </w:rPr>
        <w:t xml:space="preserve"> this paper.</w:t>
      </w:r>
      <w:r w:rsidR="003D1F2D" w:rsidRPr="00614125">
        <w:rPr>
          <w:rFonts w:ascii="Arial" w:hAnsi="Arial"/>
          <w:color w:val="000000" w:themeColor="text1"/>
        </w:rPr>
        <w:t xml:space="preserve"> </w:t>
      </w:r>
    </w:p>
    <w:p w14:paraId="7F36BEEA" w14:textId="4EA577CB" w:rsidR="005057D3" w:rsidRPr="00614125" w:rsidRDefault="00F65906" w:rsidP="00337D8B">
      <w:pPr>
        <w:spacing w:before="120" w:after="120" w:line="360" w:lineRule="auto"/>
        <w:rPr>
          <w:rFonts w:ascii="Arial" w:hAnsi="Arial"/>
          <w:color w:val="000000" w:themeColor="text1"/>
        </w:rPr>
      </w:pPr>
      <w:r w:rsidRPr="00614125">
        <w:rPr>
          <w:rFonts w:ascii="Arial" w:hAnsi="Arial"/>
          <w:color w:val="000000" w:themeColor="text1"/>
        </w:rPr>
        <w:t>This paper entirely used public</w:t>
      </w:r>
      <w:r w:rsidR="008474CB" w:rsidRPr="00614125">
        <w:rPr>
          <w:rFonts w:ascii="Arial" w:hAnsi="Arial"/>
          <w:color w:val="000000" w:themeColor="text1"/>
        </w:rPr>
        <w:t>ly</w:t>
      </w:r>
      <w:r w:rsidRPr="00614125">
        <w:rPr>
          <w:rFonts w:ascii="Arial" w:hAnsi="Arial"/>
          <w:color w:val="000000" w:themeColor="text1"/>
        </w:rPr>
        <w:t xml:space="preserve"> available secondary data and consequently was not subject to ethical approval.  </w:t>
      </w:r>
    </w:p>
    <w:p w14:paraId="098D9210" w14:textId="77777777" w:rsidR="008E5FC6" w:rsidRPr="00614125" w:rsidRDefault="008E5FC6" w:rsidP="008E5FC6">
      <w:pPr>
        <w:spacing w:before="120" w:after="120" w:line="360" w:lineRule="auto"/>
        <w:rPr>
          <w:rFonts w:ascii="Arial" w:hAnsi="Arial"/>
          <w:color w:val="000000" w:themeColor="text1"/>
        </w:rPr>
      </w:pPr>
    </w:p>
    <w:p w14:paraId="1A8C5406" w14:textId="172925D7" w:rsidR="008E5FC6" w:rsidRPr="00614125" w:rsidRDefault="005057D3" w:rsidP="008E5FC6">
      <w:pPr>
        <w:spacing w:before="120" w:after="120" w:line="360" w:lineRule="auto"/>
        <w:rPr>
          <w:rFonts w:ascii="Arial" w:hAnsi="Arial"/>
          <w:color w:val="000000" w:themeColor="text1"/>
        </w:rPr>
      </w:pPr>
      <w:r w:rsidRPr="00614125">
        <w:rPr>
          <w:rFonts w:ascii="Arial" w:hAnsi="Arial"/>
          <w:color w:val="000000" w:themeColor="text1"/>
        </w:rPr>
        <w:t xml:space="preserve"> </w:t>
      </w:r>
      <w:r w:rsidR="008E5FC6" w:rsidRPr="00614125">
        <w:rPr>
          <w:rFonts w:ascii="Arial" w:hAnsi="Arial"/>
          <w:color w:val="000000" w:themeColor="text1"/>
        </w:rPr>
        <w:t>CONTRIBUTION OF THE AUTHORS</w:t>
      </w:r>
    </w:p>
    <w:p w14:paraId="14803782" w14:textId="77777777" w:rsidR="008E5FC6" w:rsidRPr="00614125" w:rsidRDefault="008E5FC6" w:rsidP="008E5FC6">
      <w:pPr>
        <w:spacing w:before="120" w:after="120" w:line="360" w:lineRule="auto"/>
        <w:rPr>
          <w:rFonts w:ascii="Arial" w:hAnsi="Arial"/>
          <w:color w:val="000000" w:themeColor="text1"/>
        </w:rPr>
      </w:pPr>
      <w:r w:rsidRPr="00614125">
        <w:rPr>
          <w:rFonts w:ascii="Arial" w:hAnsi="Arial"/>
          <w:color w:val="000000" w:themeColor="text1"/>
        </w:rPr>
        <w:t xml:space="preserve">Jahangir Khan generated the idea, developed methods and analysis technique, identified data requirements, analysed data, interpreted results, wrote the first draft of the manuscript. </w:t>
      </w:r>
      <w:proofErr w:type="spellStart"/>
      <w:r w:rsidRPr="00614125">
        <w:rPr>
          <w:rFonts w:ascii="Arial" w:hAnsi="Arial"/>
          <w:color w:val="000000" w:themeColor="text1"/>
        </w:rPr>
        <w:t>Sayem</w:t>
      </w:r>
      <w:proofErr w:type="spellEnd"/>
      <w:r w:rsidRPr="00614125">
        <w:rPr>
          <w:rFonts w:ascii="Arial" w:hAnsi="Arial"/>
          <w:color w:val="000000" w:themeColor="text1"/>
        </w:rPr>
        <w:t xml:space="preserve"> Ahmed identified relevant literature and data, analysed data and interpreted results. Tao Chen specified models for statistical inference tests and interpreted the results in the context of Universal Health Coverage. Ewan Tomeny contributed to the concept and quantifying the index values, interpreted the results and revised the manuscript. Louis Niessen contributed to the concept development, interpreted the results and put the study into the context of Universal Health Coverage and Sustainable Development Goals. All authors contributed to writing the manuscript, responded to reviewers’ comments and approved the final version of the manuscript. </w:t>
      </w:r>
    </w:p>
    <w:p w14:paraId="603E1485" w14:textId="68D858A7" w:rsidR="005057D3" w:rsidRPr="00614125" w:rsidRDefault="005057D3" w:rsidP="00337D8B">
      <w:pPr>
        <w:spacing w:before="120" w:after="120" w:line="360" w:lineRule="auto"/>
        <w:rPr>
          <w:rFonts w:ascii="Arial" w:hAnsi="Arial"/>
          <w:color w:val="000000" w:themeColor="text1"/>
        </w:rPr>
      </w:pPr>
    </w:p>
    <w:p w14:paraId="7674EDAD" w14:textId="77777777" w:rsidR="00147FED" w:rsidRPr="00614125" w:rsidRDefault="0026009D" w:rsidP="006105C0">
      <w:pPr>
        <w:widowControl w:val="0"/>
        <w:autoSpaceDE w:val="0"/>
        <w:autoSpaceDN w:val="0"/>
        <w:adjustRightInd w:val="0"/>
        <w:rPr>
          <w:rFonts w:ascii="Arial" w:eastAsia="Times New Roman" w:hAnsi="Arial"/>
          <w:color w:val="000000" w:themeColor="text1"/>
        </w:rPr>
      </w:pPr>
      <w:r w:rsidRPr="00614125">
        <w:rPr>
          <w:rFonts w:ascii="Arial" w:eastAsia="Times New Roman" w:hAnsi="Arial"/>
          <w:color w:val="000000" w:themeColor="text1"/>
        </w:rPr>
        <w:t>REFERENCES</w:t>
      </w:r>
    </w:p>
    <w:p w14:paraId="63B29A4D" w14:textId="77777777" w:rsidR="00147FED" w:rsidRPr="00614125" w:rsidRDefault="00147FED" w:rsidP="006105C0">
      <w:pPr>
        <w:widowControl w:val="0"/>
        <w:autoSpaceDE w:val="0"/>
        <w:autoSpaceDN w:val="0"/>
        <w:adjustRightInd w:val="0"/>
        <w:rPr>
          <w:rFonts w:ascii="Arial" w:eastAsia="Times New Roman" w:hAnsi="Arial"/>
          <w:color w:val="000000" w:themeColor="text1"/>
        </w:rPr>
      </w:pPr>
    </w:p>
    <w:p w14:paraId="60655ED9" w14:textId="7ECEEEF8" w:rsidR="006105C0" w:rsidRPr="00614125" w:rsidRDefault="00B6405B" w:rsidP="006105C0">
      <w:pPr>
        <w:widowControl w:val="0"/>
        <w:autoSpaceDE w:val="0"/>
        <w:autoSpaceDN w:val="0"/>
        <w:adjustRightInd w:val="0"/>
        <w:rPr>
          <w:rFonts w:ascii="Arial" w:hAnsi="Arial" w:cs="Arial"/>
          <w:noProof/>
        </w:rPr>
      </w:pPr>
      <w:r w:rsidRPr="00614125">
        <w:rPr>
          <w:rFonts w:ascii="Arial" w:hAnsi="Arial"/>
          <w:color w:val="000000" w:themeColor="text1"/>
        </w:rPr>
        <w:fldChar w:fldCharType="begin" w:fldLock="1"/>
      </w:r>
      <w:r w:rsidRPr="00614125">
        <w:rPr>
          <w:rFonts w:ascii="Arial" w:hAnsi="Arial"/>
          <w:color w:val="000000" w:themeColor="text1"/>
        </w:rPr>
        <w:instrText xml:space="preserve">ADDIN Mendeley Bibliography CSL_BIBLIOGRAPHY </w:instrText>
      </w:r>
      <w:r w:rsidRPr="00614125">
        <w:rPr>
          <w:rFonts w:ascii="Arial" w:hAnsi="Arial"/>
          <w:color w:val="000000" w:themeColor="text1"/>
        </w:rPr>
        <w:fldChar w:fldCharType="separate"/>
      </w:r>
      <w:r w:rsidR="006105C0" w:rsidRPr="00614125">
        <w:rPr>
          <w:rFonts w:ascii="Arial" w:hAnsi="Arial" w:cs="Arial"/>
          <w:noProof/>
        </w:rPr>
        <w:t xml:space="preserve">1. Kieny MP, Bekedam H, Dovlo D, Fitzgerald J, Habicht J, Harrison G, et al. Strengthening health systems for universal health coverage and sustainable development. Bull World Health Organ. 2017;95:537–9. </w:t>
      </w:r>
    </w:p>
    <w:p w14:paraId="2BF48400"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2. Huda T, Khan JAM, Ahsan KZ, Jamil K, El Arifeen S. Monitoring and evaluating progress towards Universal Health Coverage in Bangladesh. PLoS Med. 2014;11:e1001722. </w:t>
      </w:r>
    </w:p>
    <w:p w14:paraId="5E78AD52"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lastRenderedPageBreak/>
        <w:t xml:space="preserve">3. Nyonator F, Ofosu A, Segbafah M, D’Almeida S. Monitoring and evaluating progress towards Universal Health Coverage in Ghana. PLoS Med. 2014;11:e1001691. </w:t>
      </w:r>
    </w:p>
    <w:p w14:paraId="569DFAE7"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4. Prinja S, Gupta R, Bahuguna P, Sharma A, Kumar Aggarwal A, Phogat A, et al. A composite indicator to measure universal health care coverage in India: way forward for post-2015 health system performance monitoring framework. Health Policy Plan. England; 2017;32:43–56. </w:t>
      </w:r>
    </w:p>
    <w:p w14:paraId="05AF6123"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5. Wagstaff  a., Dmytraczenko T, Almeida G, Buisman L, Hoang-Vu Eozenou P, Bredenkamp C, et al. Assessing Latin America’s Progress Toward Achieving Universal Health Coverage. Health Aff. 2015;34:1704–12. </w:t>
      </w:r>
    </w:p>
    <w:p w14:paraId="342E40CD"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6. WHO. The world health report: health systems financing: the path to universal coverage. Geneva: World Health Organisation; 2010. </w:t>
      </w:r>
    </w:p>
    <w:p w14:paraId="6D78BE14"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7. The World Bank. Health Equity and Financial Protection Datasheets [Internet]. 2016 [cited 2016 Apr 2]. Available from: http://www.worldbank.org/en/topic/health/publication/health-equity-and-financial-protection-datasheets</w:t>
      </w:r>
    </w:p>
    <w:p w14:paraId="4C20FBA7"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8. Wagstaff A, Cotlear D, Eozenou PHV, Buisman LR. Measuring progress towards universal health coverage: With an application to 24 developing countries. Oxford Rev Econ Policy. 2016;32:147–89. </w:t>
      </w:r>
    </w:p>
    <w:p w14:paraId="28630F36"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9. Khan J, Ahmed S, Evans T. Catastrophic Healthcare Expenditure and Poverty Related to Out-of-Pocket Payments for Healthcare in Bangladesh – An Estimation of Financial Risk Protection of Universal Health Coverage. Health Policy Plan. 2017;1–9. </w:t>
      </w:r>
    </w:p>
    <w:p w14:paraId="7B4B406A"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10. van Doorslaer E, O’Donnell O, Rannan-Eliya RP, Somanathan A, Adhikari SR, Garg CC, et al. Catastrophic payments for health care in Asia. Health Econ. 2007;16:1159–84. </w:t>
      </w:r>
    </w:p>
    <w:p w14:paraId="10F30C62"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11. Xu K, Evans DB, Carrin G, Aguilar-Rivera AM, Musgrove P, Evans T. Protecting households from catastrophic health spending. Health Aff (Millwood). 2007;26:972–83. </w:t>
      </w:r>
    </w:p>
    <w:p w14:paraId="572ED867"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12. Yao S. On the decomposition of Gini coefficients by population class and income source: a spreadsheet approach and application. Appl Econ. 1999;31:49–64. </w:t>
      </w:r>
    </w:p>
    <w:p w14:paraId="3B30C83A"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13. The World Bank. World Development Indicators [Internet]. Washington, DC: The World Bank; 2017. Available from: http://databank.worldbank.org/data/reports.aspx?source=world-development-indicators</w:t>
      </w:r>
    </w:p>
    <w:p w14:paraId="597E269F"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14. Hogan DR, Stevens GA, Hosseinpoor AR, Boerma T. Monitoring universal health coverage within the Sustainable Development Goals: development and baseline data for an index of essential health services. Lancet Glob Heal. 2018; </w:t>
      </w:r>
    </w:p>
    <w:p w14:paraId="579C7B86"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15. Akazili J, Garshong B, Aikins M, Gyapong J, McIntyre D Di. Progressivity of health care financing and incidence of service benefits in Ghana. Health Policy Plan. 2012;27:i13–22. </w:t>
      </w:r>
    </w:p>
    <w:p w14:paraId="293BB4C0" w14:textId="77777777" w:rsidR="006105C0" w:rsidRPr="00614125" w:rsidRDefault="006105C0" w:rsidP="006105C0">
      <w:pPr>
        <w:widowControl w:val="0"/>
        <w:autoSpaceDE w:val="0"/>
        <w:autoSpaceDN w:val="0"/>
        <w:adjustRightInd w:val="0"/>
        <w:rPr>
          <w:rFonts w:ascii="Arial" w:hAnsi="Arial" w:cs="Arial"/>
          <w:noProof/>
        </w:rPr>
      </w:pPr>
      <w:r w:rsidRPr="00614125">
        <w:rPr>
          <w:rFonts w:ascii="Arial" w:hAnsi="Arial" w:cs="Arial"/>
          <w:noProof/>
        </w:rPr>
        <w:t xml:space="preserve">16. Khan JAM, Ahmed S, MacLennan M, Sarker AR, Sultana M, Rahman H. Benefit incidence analysis of healthcare in Bangladesh - equity matters for universal health coverage. Health Policy Plan. 2017;32:359–65. </w:t>
      </w:r>
    </w:p>
    <w:p w14:paraId="02FF32CD" w14:textId="30D2C788" w:rsidR="007E04B1" w:rsidRDefault="00B6405B" w:rsidP="007E04B1">
      <w:pPr>
        <w:rPr>
          <w:rFonts w:asciiTheme="minorHAnsi" w:hAnsiTheme="minorHAnsi"/>
          <w:sz w:val="22"/>
          <w:szCs w:val="22"/>
          <w:lang w:bidi="ar-SA"/>
        </w:rPr>
      </w:pPr>
      <w:r w:rsidRPr="00614125">
        <w:rPr>
          <w:rFonts w:ascii="Arial" w:hAnsi="Arial"/>
          <w:color w:val="000000" w:themeColor="text1"/>
        </w:rPr>
        <w:fldChar w:fldCharType="end"/>
      </w:r>
    </w:p>
    <w:p w14:paraId="4ECDF248" w14:textId="2C802B98" w:rsidR="0026009D" w:rsidRPr="00F768DF" w:rsidRDefault="0026009D" w:rsidP="00337D8B">
      <w:pPr>
        <w:spacing w:before="120" w:after="120" w:line="360" w:lineRule="auto"/>
        <w:rPr>
          <w:rFonts w:ascii="Arial" w:hAnsi="Arial"/>
          <w:color w:val="000000" w:themeColor="text1"/>
        </w:rPr>
      </w:pPr>
    </w:p>
    <w:p w14:paraId="15EC026E" w14:textId="77777777" w:rsidR="004C73CD" w:rsidRPr="00F768DF" w:rsidRDefault="004C73CD" w:rsidP="004C73CD">
      <w:pPr>
        <w:rPr>
          <w:color w:val="000000" w:themeColor="text1"/>
        </w:rPr>
      </w:pPr>
    </w:p>
    <w:sectPr w:rsidR="004C73CD" w:rsidRPr="00F768DF" w:rsidSect="00DD1EB9">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649F" w14:textId="77777777" w:rsidR="007B3069" w:rsidRDefault="007B3069" w:rsidP="00DD1EB9">
      <w:r>
        <w:separator/>
      </w:r>
    </w:p>
  </w:endnote>
  <w:endnote w:type="continuationSeparator" w:id="0">
    <w:p w14:paraId="48F8711E" w14:textId="77777777" w:rsidR="007B3069" w:rsidRDefault="007B3069" w:rsidP="00DD1EB9">
      <w:r>
        <w:continuationSeparator/>
      </w:r>
    </w:p>
  </w:endnote>
  <w:endnote w:id="1">
    <w:p w14:paraId="799F720B" w14:textId="5F8D30CB" w:rsidR="00B973CC" w:rsidRDefault="00B973CC" w:rsidP="00BC7210">
      <w:pPr>
        <w:spacing w:before="120" w:after="120" w:line="360" w:lineRule="auto"/>
      </w:pPr>
      <w:r>
        <w:rPr>
          <w:rStyle w:val="FootnoteReference"/>
        </w:rPr>
        <w:endnoteRef/>
      </w:r>
      <w:r>
        <w:t>) Mathematical expression for technical readers:</w:t>
      </w:r>
    </w:p>
    <w:p w14:paraId="74E70B07" w14:textId="7B52086F" w:rsidR="00B973CC" w:rsidRPr="00F768DF" w:rsidRDefault="00B973CC" w:rsidP="00BC7210">
      <w:pPr>
        <w:spacing w:before="120" w:after="120" w:line="360" w:lineRule="auto"/>
        <w:rPr>
          <w:rFonts w:ascii="Arial" w:eastAsiaTheme="minorEastAsia" w:hAnsi="Arial"/>
          <w:color w:val="000000" w:themeColor="text1"/>
        </w:rPr>
      </w:pPr>
      <m:oMathPara>
        <m:oMath>
          <m:r>
            <w:rPr>
              <w:rFonts w:ascii="Cambria Math" w:hAnsi="Cambria Math"/>
              <w:color w:val="000000" w:themeColor="text1"/>
            </w:rPr>
            <m:t>UHC Index=</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m:t>
                      </m:r>
                    </m:sub>
                    <m:sup/>
                    <m:e>
                      <m:sSubSup>
                        <m:sSubSupPr>
                          <m:ctrlPr>
                            <w:rPr>
                              <w:rFonts w:ascii="Cambria Math" w:hAnsi="Cambria Math"/>
                              <w:i/>
                              <w:color w:val="000000" w:themeColor="text1"/>
                            </w:rPr>
                          </m:ctrlPr>
                        </m:sSubSupPr>
                        <m:e>
                          <m:nary>
                            <m:naryPr>
                              <m:chr m:val="∑"/>
                              <m:limLoc m:val="undOvr"/>
                              <m:ctrlPr>
                                <w:rPr>
                                  <w:rFonts w:ascii="Cambria Math" w:hAnsi="Cambria Math"/>
                                  <w:i/>
                                  <w:color w:val="000000" w:themeColor="text1"/>
                                </w:rPr>
                              </m:ctrlPr>
                            </m:naryPr>
                            <m:sub>
                              <m:r>
                                <w:rPr>
                                  <w:rFonts w:ascii="Cambria Math" w:hAnsi="Cambria Math"/>
                                  <w:color w:val="000000" w:themeColor="text1"/>
                                </w:rPr>
                                <m:t>j</m:t>
                              </m:r>
                            </m:sub>
                            <m:sup/>
                            <m:e>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j</m:t>
                                  </m:r>
                                </m:sub>
                                <m:sup>
                                  <m:r>
                                    <w:rPr>
                                      <w:rFonts w:ascii="Cambria Math" w:hAnsi="Cambria Math"/>
                                      <w:color w:val="000000" w:themeColor="text1"/>
                                    </w:rPr>
                                    <m:t>i</m:t>
                                  </m:r>
                                </m:sup>
                              </m:sSubSup>
                            </m:e>
                          </m:nary>
                          <m:r>
                            <w:rPr>
                              <w:rFonts w:ascii="Cambria Math" w:hAnsi="Cambria Math"/>
                              <w:color w:val="000000" w:themeColor="text1"/>
                            </w:rPr>
                            <m:t>×FR</m:t>
                          </m:r>
                        </m:e>
                        <m:sub>
                          <m:r>
                            <w:rPr>
                              <w:rFonts w:ascii="Cambria Math" w:hAnsi="Cambria Math"/>
                              <w:color w:val="000000" w:themeColor="text1"/>
                            </w:rPr>
                            <m:t>j</m:t>
                          </m:r>
                        </m:sub>
                        <m:sup>
                          <m:r>
                            <w:rPr>
                              <w:rFonts w:ascii="Cambria Math" w:hAnsi="Cambria Math"/>
                              <w:color w:val="000000" w:themeColor="text1"/>
                            </w:rPr>
                            <m:t>i</m:t>
                          </m:r>
                        </m:sup>
                      </m:sSubSup>
                    </m:e>
                  </m:nary>
                  <m:r>
                    <w:rPr>
                      <w:rFonts w:ascii="Cambria Math" w:hAnsi="Cambria Math"/>
                      <w:color w:val="000000" w:themeColor="text1"/>
                    </w:rPr>
                    <m:t xml:space="preserve"> </m:t>
                  </m:r>
                </m:e>
              </m:d>
              <m:r>
                <w:rPr>
                  <w:rFonts w:ascii="Cambria Math" w:hAnsi="Cambria Math"/>
                  <w:color w:val="000000" w:themeColor="text1"/>
                </w:rPr>
                <m:t>÷</m:t>
              </m:r>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i</m:t>
                      </m:r>
                    </m:sub>
                    <m:sup/>
                    <m:e>
                      <m:sSubSup>
                        <m:sSubSupPr>
                          <m:ctrlPr>
                            <w:rPr>
                              <w:rFonts w:ascii="Cambria Math" w:hAnsi="Cambria Math"/>
                              <w:i/>
                              <w:color w:val="000000" w:themeColor="text1"/>
                            </w:rPr>
                          </m:ctrlPr>
                        </m:sSubSupPr>
                        <m:e>
                          <m:nary>
                            <m:naryPr>
                              <m:chr m:val="∑"/>
                              <m:limLoc m:val="undOvr"/>
                              <m:ctrlPr>
                                <w:rPr>
                                  <w:rFonts w:ascii="Cambria Math" w:hAnsi="Cambria Math"/>
                                  <w:i/>
                                  <w:color w:val="000000" w:themeColor="text1"/>
                                </w:rPr>
                              </m:ctrlPr>
                            </m:naryPr>
                            <m:sub>
                              <m:r>
                                <w:rPr>
                                  <w:rFonts w:ascii="Cambria Math" w:hAnsi="Cambria Math"/>
                                  <w:color w:val="000000" w:themeColor="text1"/>
                                </w:rPr>
                                <m:t>j</m:t>
                              </m:r>
                            </m:sub>
                            <m:sup/>
                            <m:e>
                              <m:sSubSup>
                                <m:sSubSupPr>
                                  <m:ctrlPr>
                                    <w:rPr>
                                      <w:rFonts w:ascii="Cambria Math" w:hAnsi="Cambria Math"/>
                                      <w:i/>
                                      <w:color w:val="000000" w:themeColor="text1"/>
                                    </w:rPr>
                                  </m:ctrlPr>
                                </m:sSubSupPr>
                                <m:e>
                                  <m:r>
                                    <w:rPr>
                                      <w:rFonts w:ascii="Cambria Math" w:hAnsi="Cambria Math"/>
                                      <w:color w:val="000000" w:themeColor="text1"/>
                                    </w:rPr>
                                    <m:t>FU</m:t>
                                  </m:r>
                                </m:e>
                                <m:sub/>
                                <m:sup/>
                              </m:sSubSup>
                            </m:e>
                          </m:nary>
                          <m:r>
                            <w:rPr>
                              <w:rFonts w:ascii="Cambria Math" w:hAnsi="Cambria Math"/>
                              <w:color w:val="000000" w:themeColor="text1"/>
                            </w:rPr>
                            <m:t>×NFR</m:t>
                          </m:r>
                        </m:e>
                        <m:sub/>
                        <m:sup/>
                      </m:sSubSup>
                    </m:e>
                  </m:nary>
                  <m:r>
                    <w:rPr>
                      <w:rFonts w:ascii="Cambria Math" w:hAnsi="Cambria Math"/>
                      <w:color w:val="000000" w:themeColor="text1"/>
                    </w:rPr>
                    <m:t xml:space="preserve"> </m:t>
                  </m:r>
                </m:e>
              </m:d>
            </m:e>
          </m:d>
          <m:r>
            <w:rPr>
              <w:rFonts w:ascii="Cambria Math" w:hAnsi="Cambria Math"/>
              <w:color w:val="000000" w:themeColor="text1"/>
            </w:rPr>
            <m:t xml:space="preserve"> × 100 </m:t>
          </m:r>
        </m:oMath>
      </m:oMathPara>
    </w:p>
    <w:p w14:paraId="124E2148" w14:textId="2C6001DF" w:rsidR="00B973CC" w:rsidRDefault="00ED30A9" w:rsidP="00A36963">
      <w:pPr>
        <w:spacing w:before="120" w:after="120" w:line="360" w:lineRule="auto"/>
        <w:jc w:val="both"/>
      </w:pPr>
      <m:oMath>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j</m:t>
            </m:r>
          </m:sub>
          <m:sup>
            <m:r>
              <w:rPr>
                <w:rFonts w:ascii="Cambria Math" w:hAnsi="Cambria Math"/>
                <w:color w:val="000000" w:themeColor="text1"/>
              </w:rPr>
              <m:t>i</m:t>
            </m:r>
          </m:sup>
        </m:sSubSup>
      </m:oMath>
      <w:r w:rsidR="00B973CC" w:rsidRPr="00F768DF">
        <w:rPr>
          <w:rFonts w:ascii="Arial" w:hAnsi="Arial"/>
          <w:color w:val="000000" w:themeColor="text1"/>
        </w:rPr>
        <w:t xml:space="preserve"> = Utilization rate of health service </w:t>
      </w:r>
      <w:r w:rsidR="00A36963">
        <w:rPr>
          <w:rFonts w:ascii="Arial" w:hAnsi="Arial"/>
          <w:i/>
          <w:iCs/>
          <w:color w:val="000000" w:themeColor="text1"/>
        </w:rPr>
        <w:t>i</w:t>
      </w:r>
      <w:r w:rsidR="00A32D9F">
        <w:rPr>
          <w:rFonts w:ascii="Arial" w:hAnsi="Arial"/>
          <w:color w:val="000000" w:themeColor="text1"/>
        </w:rPr>
        <w:t xml:space="preserve"> </w:t>
      </w:r>
      <w:r w:rsidR="00B973CC" w:rsidRPr="00F768DF">
        <w:rPr>
          <w:rFonts w:ascii="Arial" w:hAnsi="Arial"/>
          <w:color w:val="000000" w:themeColor="text1"/>
        </w:rPr>
        <w:t xml:space="preserve">in socioeconomic quintile </w:t>
      </w:r>
      <w:r w:rsidR="00B973CC" w:rsidRPr="00F768DF">
        <w:rPr>
          <w:rFonts w:ascii="Arial" w:hAnsi="Arial"/>
          <w:i/>
          <w:iCs/>
          <w:color w:val="000000" w:themeColor="text1"/>
        </w:rPr>
        <w:t>j</w:t>
      </w:r>
      <w:r w:rsidR="00B973CC" w:rsidRPr="00F768DF">
        <w:rPr>
          <w:rFonts w:ascii="Arial" w:hAnsi="Arial"/>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FR</m:t>
            </m:r>
          </m:e>
          <m:sub>
            <m:r>
              <w:rPr>
                <w:rFonts w:ascii="Cambria Math" w:hAnsi="Cambria Math"/>
                <w:color w:val="000000" w:themeColor="text1"/>
              </w:rPr>
              <m:t>j</m:t>
            </m:r>
          </m:sub>
          <m:sup>
            <m:r>
              <w:rPr>
                <w:rFonts w:ascii="Cambria Math" w:hAnsi="Cambria Math"/>
                <w:color w:val="000000" w:themeColor="text1"/>
              </w:rPr>
              <m:t>i</m:t>
            </m:r>
          </m:sup>
        </m:sSubSup>
      </m:oMath>
      <w:r w:rsidR="00B973CC" w:rsidRPr="00F768DF">
        <w:rPr>
          <w:rFonts w:ascii="Arial" w:eastAsiaTheme="minorEastAsia" w:hAnsi="Arial"/>
          <w:color w:val="000000" w:themeColor="text1"/>
        </w:rPr>
        <w:t xml:space="preserve"> = proportion of population (ranges between 0 and 1) faced financial risk (hardship) for utilizing any health service,  </w:t>
      </w:r>
      <m:oMath>
        <m:sSubSup>
          <m:sSubSupPr>
            <m:ctrlPr>
              <w:rPr>
                <w:rFonts w:ascii="Cambria Math" w:hAnsi="Cambria Math"/>
                <w:i/>
                <w:color w:val="000000" w:themeColor="text1"/>
              </w:rPr>
            </m:ctrlPr>
          </m:sSubSupPr>
          <m:e>
            <m:r>
              <w:rPr>
                <w:rFonts w:ascii="Cambria Math" w:hAnsi="Cambria Math"/>
                <w:color w:val="000000" w:themeColor="text1"/>
              </w:rPr>
              <m:t>FU</m:t>
            </m:r>
          </m:e>
          <m:sub/>
          <m:sup/>
        </m:sSubSup>
      </m:oMath>
      <w:r w:rsidR="00B973CC" w:rsidRPr="00F768DF">
        <w:rPr>
          <w:rFonts w:ascii="Arial" w:eastAsiaTheme="minorEastAsia" w:hAnsi="Arial"/>
          <w:color w:val="000000" w:themeColor="text1"/>
        </w:rPr>
        <w:t xml:space="preserve"> = Full utilization of health service </w:t>
      </w:r>
      <w:r w:rsidR="00B973CC" w:rsidRPr="00F768DF">
        <w:rPr>
          <w:rFonts w:ascii="Arial" w:eastAsiaTheme="minorEastAsia" w:hAnsi="Arial"/>
          <w:i/>
          <w:iCs/>
          <w:color w:val="000000" w:themeColor="text1"/>
        </w:rPr>
        <w:t>i</w:t>
      </w:r>
      <w:r w:rsidR="00B973CC" w:rsidRPr="00F768DF">
        <w:rPr>
          <w:rFonts w:ascii="Arial" w:eastAsiaTheme="minorEastAsia" w:hAnsi="Arial"/>
          <w:color w:val="000000" w:themeColor="text1"/>
        </w:rPr>
        <w:t xml:space="preserve"> in socioeconomic quintile </w:t>
      </w:r>
      <w:r w:rsidR="00B973CC" w:rsidRPr="00F768DF">
        <w:rPr>
          <w:rFonts w:ascii="Arial" w:eastAsiaTheme="minorEastAsia" w:hAnsi="Arial"/>
          <w:i/>
          <w:iCs/>
          <w:color w:val="000000" w:themeColor="text1"/>
        </w:rPr>
        <w:t xml:space="preserve">j </w:t>
      </w:r>
      <w:r w:rsidR="00B973CC" w:rsidRPr="00F768DF">
        <w:rPr>
          <w:rFonts w:ascii="Arial" w:eastAsiaTheme="minorEastAsia" w:hAnsi="Arial"/>
          <w:color w:val="000000" w:themeColor="text1"/>
        </w:rPr>
        <w:t xml:space="preserve">and </w:t>
      </w:r>
      <m:oMath>
        <m:r>
          <w:rPr>
            <w:rFonts w:ascii="Cambria Math" w:hAnsi="Cambria Math"/>
            <w:color w:val="000000" w:themeColor="text1"/>
          </w:rPr>
          <m:t>NFR</m:t>
        </m:r>
      </m:oMath>
      <w:r w:rsidR="00B973CC" w:rsidRPr="00F768DF">
        <w:rPr>
          <w:rFonts w:ascii="Arial" w:eastAsiaTheme="minorEastAsia" w:hAnsi="Arial"/>
          <w:color w:val="000000" w:themeColor="text1"/>
        </w:rPr>
        <w:t xml:space="preserve"> = no financial risk faced by any people (value 1).</w:t>
      </w:r>
    </w:p>
    <w:p w14:paraId="6D3AAC22" w14:textId="03D41111" w:rsidR="00B973CC" w:rsidRDefault="00B973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ohinoor Bangla">
    <w:charset w:val="00"/>
    <w:family w:val="auto"/>
    <w:pitch w:val="variable"/>
    <w:sig w:usb0="0001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EED3" w14:textId="77777777" w:rsidR="00B973CC" w:rsidRDefault="00B973CC" w:rsidP="00CB5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1EFC5" w14:textId="77777777" w:rsidR="00B973CC" w:rsidRDefault="00B973CC" w:rsidP="00DD1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DBF2" w14:textId="388B10BC" w:rsidR="00B973CC" w:rsidRDefault="00B973CC" w:rsidP="00CB5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125">
      <w:rPr>
        <w:rStyle w:val="PageNumber"/>
        <w:noProof/>
      </w:rPr>
      <w:t>16</w:t>
    </w:r>
    <w:r>
      <w:rPr>
        <w:rStyle w:val="PageNumber"/>
      </w:rPr>
      <w:fldChar w:fldCharType="end"/>
    </w:r>
  </w:p>
  <w:p w14:paraId="7F54A781" w14:textId="77777777" w:rsidR="00B973CC" w:rsidRDefault="00B973CC" w:rsidP="00DD1E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4062" w14:textId="77777777" w:rsidR="007B3069" w:rsidRDefault="007B3069" w:rsidP="00DD1EB9">
      <w:r>
        <w:separator/>
      </w:r>
    </w:p>
  </w:footnote>
  <w:footnote w:type="continuationSeparator" w:id="0">
    <w:p w14:paraId="671F4883" w14:textId="77777777" w:rsidR="007B3069" w:rsidRDefault="007B3069" w:rsidP="00DD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125"/>
    <w:multiLevelType w:val="hybridMultilevel"/>
    <w:tmpl w:val="35A08FA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15D71"/>
    <w:multiLevelType w:val="hybridMultilevel"/>
    <w:tmpl w:val="AF608FE8"/>
    <w:lvl w:ilvl="0" w:tplc="40124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037A8"/>
    <w:multiLevelType w:val="hybridMultilevel"/>
    <w:tmpl w:val="276221B8"/>
    <w:lvl w:ilvl="0" w:tplc="EDC65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51850"/>
    <w:multiLevelType w:val="hybridMultilevel"/>
    <w:tmpl w:val="CD36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F1C40"/>
    <w:multiLevelType w:val="hybridMultilevel"/>
    <w:tmpl w:val="E6EEBFD2"/>
    <w:lvl w:ilvl="0" w:tplc="7010B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94C71"/>
    <w:multiLevelType w:val="hybridMultilevel"/>
    <w:tmpl w:val="95E87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B7FA8"/>
    <w:multiLevelType w:val="hybridMultilevel"/>
    <w:tmpl w:val="03A8C650"/>
    <w:lvl w:ilvl="0" w:tplc="754C57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3178C4"/>
    <w:multiLevelType w:val="hybridMultilevel"/>
    <w:tmpl w:val="96CCA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B2FBC"/>
    <w:multiLevelType w:val="hybridMultilevel"/>
    <w:tmpl w:val="FEBABD86"/>
    <w:lvl w:ilvl="0" w:tplc="66D8CC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activeWritingStyle w:appName="MSWord" w:lang="en-GB" w:vendorID="64" w:dllVersion="0" w:nlCheck="1" w:checkStyle="1"/>
  <w:activeWritingStyle w:appName="MSWord" w:lang="ar-SA" w:vendorID="64" w:dllVersion="0" w:nlCheck="1" w:checkStyle="0"/>
  <w:activeWritingStyle w:appName="MSWord" w:lang="en-GB" w:vendorID="64" w:dllVersion="6" w:nlCheck="1" w:checkStyle="1"/>
  <w:activeWritingStyle w:appName="MSWord" w:lang="en-NZ" w:vendorID="64" w:dllVersion="6" w:nlCheck="1" w:checkStyle="1"/>
  <w:activeWritingStyle w:appName="MSWord" w:lang="en-NZ"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BxKm5mZGRpbGBko6SsGpxcWZ+XkgBSa1AEIEhYosAAAA"/>
  </w:docVars>
  <w:rsids>
    <w:rsidRoot w:val="002364A0"/>
    <w:rsid w:val="0000045E"/>
    <w:rsid w:val="0000282F"/>
    <w:rsid w:val="00002A04"/>
    <w:rsid w:val="00003FA1"/>
    <w:rsid w:val="00004209"/>
    <w:rsid w:val="000059ED"/>
    <w:rsid w:val="00005B79"/>
    <w:rsid w:val="00006D60"/>
    <w:rsid w:val="00007B18"/>
    <w:rsid w:val="000134A4"/>
    <w:rsid w:val="00014818"/>
    <w:rsid w:val="00015A3A"/>
    <w:rsid w:val="00016C99"/>
    <w:rsid w:val="00017ACB"/>
    <w:rsid w:val="00025DA4"/>
    <w:rsid w:val="000268EE"/>
    <w:rsid w:val="0003108D"/>
    <w:rsid w:val="00032414"/>
    <w:rsid w:val="00034DB5"/>
    <w:rsid w:val="00040E26"/>
    <w:rsid w:val="000449AE"/>
    <w:rsid w:val="00045842"/>
    <w:rsid w:val="000508D4"/>
    <w:rsid w:val="00052E72"/>
    <w:rsid w:val="00053580"/>
    <w:rsid w:val="00054012"/>
    <w:rsid w:val="00055F38"/>
    <w:rsid w:val="000564D1"/>
    <w:rsid w:val="0006085B"/>
    <w:rsid w:val="000616E2"/>
    <w:rsid w:val="00062291"/>
    <w:rsid w:val="00065C42"/>
    <w:rsid w:val="00067704"/>
    <w:rsid w:val="00067809"/>
    <w:rsid w:val="00081545"/>
    <w:rsid w:val="00081896"/>
    <w:rsid w:val="00082E0B"/>
    <w:rsid w:val="00092B95"/>
    <w:rsid w:val="0009316A"/>
    <w:rsid w:val="000A2440"/>
    <w:rsid w:val="000A7853"/>
    <w:rsid w:val="000B10ED"/>
    <w:rsid w:val="000B1F8A"/>
    <w:rsid w:val="000B544D"/>
    <w:rsid w:val="000B7533"/>
    <w:rsid w:val="000B7EA0"/>
    <w:rsid w:val="000C019B"/>
    <w:rsid w:val="000C6E55"/>
    <w:rsid w:val="000C71F8"/>
    <w:rsid w:val="000D03D9"/>
    <w:rsid w:val="000D1B88"/>
    <w:rsid w:val="000D74E7"/>
    <w:rsid w:val="000E0B89"/>
    <w:rsid w:val="000E1273"/>
    <w:rsid w:val="000E1401"/>
    <w:rsid w:val="000E1B10"/>
    <w:rsid w:val="000E241F"/>
    <w:rsid w:val="000E3815"/>
    <w:rsid w:val="000E3A93"/>
    <w:rsid w:val="000F22BE"/>
    <w:rsid w:val="000F34D7"/>
    <w:rsid w:val="000F45C5"/>
    <w:rsid w:val="000F52B6"/>
    <w:rsid w:val="001025FE"/>
    <w:rsid w:val="00103C99"/>
    <w:rsid w:val="00103F6C"/>
    <w:rsid w:val="001108A5"/>
    <w:rsid w:val="00110FE0"/>
    <w:rsid w:val="001110B8"/>
    <w:rsid w:val="001166AA"/>
    <w:rsid w:val="00122C7A"/>
    <w:rsid w:val="00125379"/>
    <w:rsid w:val="001273AF"/>
    <w:rsid w:val="001278BC"/>
    <w:rsid w:val="00130E8F"/>
    <w:rsid w:val="00131EF0"/>
    <w:rsid w:val="001331A8"/>
    <w:rsid w:val="00137B90"/>
    <w:rsid w:val="00137CDD"/>
    <w:rsid w:val="00143FDA"/>
    <w:rsid w:val="00145AEE"/>
    <w:rsid w:val="00147FED"/>
    <w:rsid w:val="00150C51"/>
    <w:rsid w:val="001513C6"/>
    <w:rsid w:val="00153AFA"/>
    <w:rsid w:val="0015409F"/>
    <w:rsid w:val="001550A2"/>
    <w:rsid w:val="00161790"/>
    <w:rsid w:val="001639CC"/>
    <w:rsid w:val="00167472"/>
    <w:rsid w:val="00170058"/>
    <w:rsid w:val="00171278"/>
    <w:rsid w:val="00171E8E"/>
    <w:rsid w:val="00172CF7"/>
    <w:rsid w:val="00174D9D"/>
    <w:rsid w:val="00175B90"/>
    <w:rsid w:val="00176255"/>
    <w:rsid w:val="0018069B"/>
    <w:rsid w:val="001814D4"/>
    <w:rsid w:val="00181AAF"/>
    <w:rsid w:val="00184E44"/>
    <w:rsid w:val="0018692E"/>
    <w:rsid w:val="001937AC"/>
    <w:rsid w:val="0019505C"/>
    <w:rsid w:val="001972C5"/>
    <w:rsid w:val="001A2E0C"/>
    <w:rsid w:val="001A31EF"/>
    <w:rsid w:val="001A33E8"/>
    <w:rsid w:val="001A36D5"/>
    <w:rsid w:val="001A3DCB"/>
    <w:rsid w:val="001A42FC"/>
    <w:rsid w:val="001A5D34"/>
    <w:rsid w:val="001A7A09"/>
    <w:rsid w:val="001B183B"/>
    <w:rsid w:val="001B240F"/>
    <w:rsid w:val="001B54C7"/>
    <w:rsid w:val="001B6CBB"/>
    <w:rsid w:val="001C1631"/>
    <w:rsid w:val="001C3C6E"/>
    <w:rsid w:val="001C40EF"/>
    <w:rsid w:val="001C759C"/>
    <w:rsid w:val="001C7E4E"/>
    <w:rsid w:val="001D19B0"/>
    <w:rsid w:val="001D2D0D"/>
    <w:rsid w:val="001D4C0A"/>
    <w:rsid w:val="001E127E"/>
    <w:rsid w:val="001E1DC2"/>
    <w:rsid w:val="001E33C0"/>
    <w:rsid w:val="001E3A56"/>
    <w:rsid w:val="001E494C"/>
    <w:rsid w:val="001E4953"/>
    <w:rsid w:val="001E4C33"/>
    <w:rsid w:val="001E5288"/>
    <w:rsid w:val="001E6F0E"/>
    <w:rsid w:val="001F2338"/>
    <w:rsid w:val="001F2E86"/>
    <w:rsid w:val="001F317D"/>
    <w:rsid w:val="001F5367"/>
    <w:rsid w:val="001F73B1"/>
    <w:rsid w:val="00201AE1"/>
    <w:rsid w:val="0020516B"/>
    <w:rsid w:val="00205ADA"/>
    <w:rsid w:val="00205E0B"/>
    <w:rsid w:val="00206D84"/>
    <w:rsid w:val="00206E99"/>
    <w:rsid w:val="0021040F"/>
    <w:rsid w:val="00212516"/>
    <w:rsid w:val="002147B7"/>
    <w:rsid w:val="00215189"/>
    <w:rsid w:val="002159FE"/>
    <w:rsid w:val="00216ED2"/>
    <w:rsid w:val="00222921"/>
    <w:rsid w:val="00224343"/>
    <w:rsid w:val="0023005A"/>
    <w:rsid w:val="002301B5"/>
    <w:rsid w:val="00230990"/>
    <w:rsid w:val="002339DF"/>
    <w:rsid w:val="002364A0"/>
    <w:rsid w:val="002426A1"/>
    <w:rsid w:val="00243A09"/>
    <w:rsid w:val="0024620E"/>
    <w:rsid w:val="0025173A"/>
    <w:rsid w:val="00251B9D"/>
    <w:rsid w:val="00252D61"/>
    <w:rsid w:val="002533C3"/>
    <w:rsid w:val="002534B8"/>
    <w:rsid w:val="00253E4C"/>
    <w:rsid w:val="002550FF"/>
    <w:rsid w:val="002557FB"/>
    <w:rsid w:val="0026009D"/>
    <w:rsid w:val="00260B74"/>
    <w:rsid w:val="00262FA9"/>
    <w:rsid w:val="0026404F"/>
    <w:rsid w:val="00266A77"/>
    <w:rsid w:val="002717C1"/>
    <w:rsid w:val="00272087"/>
    <w:rsid w:val="00272A34"/>
    <w:rsid w:val="00273DDB"/>
    <w:rsid w:val="002748DF"/>
    <w:rsid w:val="00277933"/>
    <w:rsid w:val="002808F2"/>
    <w:rsid w:val="00281F55"/>
    <w:rsid w:val="00282A93"/>
    <w:rsid w:val="00285769"/>
    <w:rsid w:val="00290ADC"/>
    <w:rsid w:val="00292E54"/>
    <w:rsid w:val="0029623C"/>
    <w:rsid w:val="002974DE"/>
    <w:rsid w:val="002A1866"/>
    <w:rsid w:val="002A1937"/>
    <w:rsid w:val="002A1E68"/>
    <w:rsid w:val="002A1F79"/>
    <w:rsid w:val="002A3ADC"/>
    <w:rsid w:val="002A3CA3"/>
    <w:rsid w:val="002A42F1"/>
    <w:rsid w:val="002A4E73"/>
    <w:rsid w:val="002A7382"/>
    <w:rsid w:val="002B04D8"/>
    <w:rsid w:val="002B1970"/>
    <w:rsid w:val="002B1BB5"/>
    <w:rsid w:val="002B2576"/>
    <w:rsid w:val="002B492D"/>
    <w:rsid w:val="002B6A82"/>
    <w:rsid w:val="002B784A"/>
    <w:rsid w:val="002C3777"/>
    <w:rsid w:val="002C681D"/>
    <w:rsid w:val="002C6E01"/>
    <w:rsid w:val="002C743B"/>
    <w:rsid w:val="002C7765"/>
    <w:rsid w:val="002D1E1A"/>
    <w:rsid w:val="002D31A0"/>
    <w:rsid w:val="002D364D"/>
    <w:rsid w:val="002D3F36"/>
    <w:rsid w:val="002D5AD2"/>
    <w:rsid w:val="002D78DA"/>
    <w:rsid w:val="002E0E0E"/>
    <w:rsid w:val="002E2737"/>
    <w:rsid w:val="002E388A"/>
    <w:rsid w:val="002E4505"/>
    <w:rsid w:val="002F3DAC"/>
    <w:rsid w:val="002F419E"/>
    <w:rsid w:val="002F742D"/>
    <w:rsid w:val="002F7ED0"/>
    <w:rsid w:val="00300FFF"/>
    <w:rsid w:val="003023D0"/>
    <w:rsid w:val="0030295D"/>
    <w:rsid w:val="00304FD8"/>
    <w:rsid w:val="00305DB5"/>
    <w:rsid w:val="00306402"/>
    <w:rsid w:val="003075D2"/>
    <w:rsid w:val="00307AE0"/>
    <w:rsid w:val="00310AAB"/>
    <w:rsid w:val="00312B10"/>
    <w:rsid w:val="00315172"/>
    <w:rsid w:val="00316087"/>
    <w:rsid w:val="003205E3"/>
    <w:rsid w:val="00324736"/>
    <w:rsid w:val="00326509"/>
    <w:rsid w:val="00326D88"/>
    <w:rsid w:val="0033528F"/>
    <w:rsid w:val="003363A4"/>
    <w:rsid w:val="00336627"/>
    <w:rsid w:val="00336E0C"/>
    <w:rsid w:val="00336EE5"/>
    <w:rsid w:val="00337844"/>
    <w:rsid w:val="00337D8B"/>
    <w:rsid w:val="00337FD1"/>
    <w:rsid w:val="00340F21"/>
    <w:rsid w:val="00341B31"/>
    <w:rsid w:val="00342DFC"/>
    <w:rsid w:val="00343123"/>
    <w:rsid w:val="00344296"/>
    <w:rsid w:val="00344B98"/>
    <w:rsid w:val="00345651"/>
    <w:rsid w:val="00345962"/>
    <w:rsid w:val="0035048D"/>
    <w:rsid w:val="0035502B"/>
    <w:rsid w:val="003557CA"/>
    <w:rsid w:val="00356409"/>
    <w:rsid w:val="00356C16"/>
    <w:rsid w:val="0035768B"/>
    <w:rsid w:val="00357E45"/>
    <w:rsid w:val="0036056E"/>
    <w:rsid w:val="00360BBD"/>
    <w:rsid w:val="00363107"/>
    <w:rsid w:val="0036363E"/>
    <w:rsid w:val="003638B8"/>
    <w:rsid w:val="00363B56"/>
    <w:rsid w:val="00365683"/>
    <w:rsid w:val="00366718"/>
    <w:rsid w:val="00371B39"/>
    <w:rsid w:val="0037265C"/>
    <w:rsid w:val="00373466"/>
    <w:rsid w:val="00373475"/>
    <w:rsid w:val="00374F25"/>
    <w:rsid w:val="0037510E"/>
    <w:rsid w:val="003771A9"/>
    <w:rsid w:val="003812EB"/>
    <w:rsid w:val="00382BE0"/>
    <w:rsid w:val="0038487A"/>
    <w:rsid w:val="003863FC"/>
    <w:rsid w:val="00387E81"/>
    <w:rsid w:val="003912E0"/>
    <w:rsid w:val="00391618"/>
    <w:rsid w:val="00395279"/>
    <w:rsid w:val="00396603"/>
    <w:rsid w:val="00396E6E"/>
    <w:rsid w:val="0039718D"/>
    <w:rsid w:val="003A2D4B"/>
    <w:rsid w:val="003A30D0"/>
    <w:rsid w:val="003A588C"/>
    <w:rsid w:val="003A7244"/>
    <w:rsid w:val="003B1200"/>
    <w:rsid w:val="003B12BF"/>
    <w:rsid w:val="003B241E"/>
    <w:rsid w:val="003B3F6D"/>
    <w:rsid w:val="003B4DAF"/>
    <w:rsid w:val="003B5D58"/>
    <w:rsid w:val="003B6AF9"/>
    <w:rsid w:val="003C1135"/>
    <w:rsid w:val="003C5971"/>
    <w:rsid w:val="003C5D5E"/>
    <w:rsid w:val="003C5F00"/>
    <w:rsid w:val="003C6BC8"/>
    <w:rsid w:val="003C7708"/>
    <w:rsid w:val="003D1F2D"/>
    <w:rsid w:val="003D233F"/>
    <w:rsid w:val="003D36E4"/>
    <w:rsid w:val="003D39D2"/>
    <w:rsid w:val="003D4FF9"/>
    <w:rsid w:val="003D503A"/>
    <w:rsid w:val="003D50C9"/>
    <w:rsid w:val="003E061B"/>
    <w:rsid w:val="003E14A2"/>
    <w:rsid w:val="003E61DF"/>
    <w:rsid w:val="003F3068"/>
    <w:rsid w:val="003F3F4C"/>
    <w:rsid w:val="003F4329"/>
    <w:rsid w:val="003F4CC0"/>
    <w:rsid w:val="003F5887"/>
    <w:rsid w:val="003F7163"/>
    <w:rsid w:val="003F730E"/>
    <w:rsid w:val="003F73CE"/>
    <w:rsid w:val="003F73E4"/>
    <w:rsid w:val="0040427E"/>
    <w:rsid w:val="00405018"/>
    <w:rsid w:val="00405525"/>
    <w:rsid w:val="00407A4D"/>
    <w:rsid w:val="004133BB"/>
    <w:rsid w:val="00416CCF"/>
    <w:rsid w:val="00417427"/>
    <w:rsid w:val="0041792D"/>
    <w:rsid w:val="00417E86"/>
    <w:rsid w:val="004209CA"/>
    <w:rsid w:val="004224B8"/>
    <w:rsid w:val="00426BFC"/>
    <w:rsid w:val="00427BC4"/>
    <w:rsid w:val="00430567"/>
    <w:rsid w:val="00433181"/>
    <w:rsid w:val="00435AC0"/>
    <w:rsid w:val="00437B1F"/>
    <w:rsid w:val="00442594"/>
    <w:rsid w:val="004429DD"/>
    <w:rsid w:val="0044371F"/>
    <w:rsid w:val="00443C93"/>
    <w:rsid w:val="004441FF"/>
    <w:rsid w:val="0044444B"/>
    <w:rsid w:val="00445E91"/>
    <w:rsid w:val="00446883"/>
    <w:rsid w:val="00446ADC"/>
    <w:rsid w:val="00446DC5"/>
    <w:rsid w:val="0044734D"/>
    <w:rsid w:val="0045163E"/>
    <w:rsid w:val="00452691"/>
    <w:rsid w:val="004531F1"/>
    <w:rsid w:val="00454126"/>
    <w:rsid w:val="00455248"/>
    <w:rsid w:val="00457008"/>
    <w:rsid w:val="0046140F"/>
    <w:rsid w:val="00461B20"/>
    <w:rsid w:val="00464462"/>
    <w:rsid w:val="004651B5"/>
    <w:rsid w:val="00465F15"/>
    <w:rsid w:val="0046645F"/>
    <w:rsid w:val="004674D8"/>
    <w:rsid w:val="00467D8A"/>
    <w:rsid w:val="0047085D"/>
    <w:rsid w:val="004748B2"/>
    <w:rsid w:val="00475C8A"/>
    <w:rsid w:val="0047618F"/>
    <w:rsid w:val="00480283"/>
    <w:rsid w:val="00485EA2"/>
    <w:rsid w:val="0049675E"/>
    <w:rsid w:val="00497F25"/>
    <w:rsid w:val="004A4940"/>
    <w:rsid w:val="004A59FE"/>
    <w:rsid w:val="004A66A2"/>
    <w:rsid w:val="004A6E29"/>
    <w:rsid w:val="004B1B5C"/>
    <w:rsid w:val="004B4968"/>
    <w:rsid w:val="004B6119"/>
    <w:rsid w:val="004B7A3A"/>
    <w:rsid w:val="004C0308"/>
    <w:rsid w:val="004C1B47"/>
    <w:rsid w:val="004C1D2F"/>
    <w:rsid w:val="004C48F2"/>
    <w:rsid w:val="004C52BE"/>
    <w:rsid w:val="004C73CD"/>
    <w:rsid w:val="004C769D"/>
    <w:rsid w:val="004C7CFA"/>
    <w:rsid w:val="004D146A"/>
    <w:rsid w:val="004D5525"/>
    <w:rsid w:val="004E0389"/>
    <w:rsid w:val="004E0F46"/>
    <w:rsid w:val="004E1752"/>
    <w:rsid w:val="004E2A58"/>
    <w:rsid w:val="004E354D"/>
    <w:rsid w:val="004F7545"/>
    <w:rsid w:val="00500455"/>
    <w:rsid w:val="00501953"/>
    <w:rsid w:val="00502853"/>
    <w:rsid w:val="005057D3"/>
    <w:rsid w:val="005071CE"/>
    <w:rsid w:val="005119A2"/>
    <w:rsid w:val="00514B5F"/>
    <w:rsid w:val="005151B1"/>
    <w:rsid w:val="005162D9"/>
    <w:rsid w:val="00516B15"/>
    <w:rsid w:val="00517874"/>
    <w:rsid w:val="00521DDA"/>
    <w:rsid w:val="00522637"/>
    <w:rsid w:val="00523C3C"/>
    <w:rsid w:val="00524827"/>
    <w:rsid w:val="0052587E"/>
    <w:rsid w:val="00527557"/>
    <w:rsid w:val="00530493"/>
    <w:rsid w:val="005305BC"/>
    <w:rsid w:val="00535BDC"/>
    <w:rsid w:val="005362DC"/>
    <w:rsid w:val="00536875"/>
    <w:rsid w:val="00536F3A"/>
    <w:rsid w:val="00537B36"/>
    <w:rsid w:val="005430DE"/>
    <w:rsid w:val="00543154"/>
    <w:rsid w:val="00544390"/>
    <w:rsid w:val="00547A6D"/>
    <w:rsid w:val="00553F59"/>
    <w:rsid w:val="00555B01"/>
    <w:rsid w:val="005620E9"/>
    <w:rsid w:val="00562D31"/>
    <w:rsid w:val="005646E1"/>
    <w:rsid w:val="00564A98"/>
    <w:rsid w:val="00572BCA"/>
    <w:rsid w:val="005731E8"/>
    <w:rsid w:val="0057612B"/>
    <w:rsid w:val="00576602"/>
    <w:rsid w:val="00584914"/>
    <w:rsid w:val="005857D3"/>
    <w:rsid w:val="0058608B"/>
    <w:rsid w:val="005901B0"/>
    <w:rsid w:val="0059298C"/>
    <w:rsid w:val="00595215"/>
    <w:rsid w:val="0059580B"/>
    <w:rsid w:val="00596C0B"/>
    <w:rsid w:val="00596F14"/>
    <w:rsid w:val="005A0CCD"/>
    <w:rsid w:val="005A13EA"/>
    <w:rsid w:val="005A2C39"/>
    <w:rsid w:val="005A381A"/>
    <w:rsid w:val="005A3EE3"/>
    <w:rsid w:val="005A6DB0"/>
    <w:rsid w:val="005A75B5"/>
    <w:rsid w:val="005A75E5"/>
    <w:rsid w:val="005B11D1"/>
    <w:rsid w:val="005B12BE"/>
    <w:rsid w:val="005B314B"/>
    <w:rsid w:val="005B7440"/>
    <w:rsid w:val="005C19A9"/>
    <w:rsid w:val="005C3B2F"/>
    <w:rsid w:val="005C6877"/>
    <w:rsid w:val="005C7EB2"/>
    <w:rsid w:val="005D0F89"/>
    <w:rsid w:val="005D199B"/>
    <w:rsid w:val="005D7A37"/>
    <w:rsid w:val="005E101F"/>
    <w:rsid w:val="005E263F"/>
    <w:rsid w:val="005E53E6"/>
    <w:rsid w:val="005F2B12"/>
    <w:rsid w:val="005F6917"/>
    <w:rsid w:val="005F6948"/>
    <w:rsid w:val="005F78C0"/>
    <w:rsid w:val="00604154"/>
    <w:rsid w:val="00604C42"/>
    <w:rsid w:val="00604FF7"/>
    <w:rsid w:val="0060542F"/>
    <w:rsid w:val="00605AB2"/>
    <w:rsid w:val="006105C0"/>
    <w:rsid w:val="00610DD9"/>
    <w:rsid w:val="00614125"/>
    <w:rsid w:val="0061473A"/>
    <w:rsid w:val="00614EA4"/>
    <w:rsid w:val="00615540"/>
    <w:rsid w:val="006158E5"/>
    <w:rsid w:val="00616530"/>
    <w:rsid w:val="0061795A"/>
    <w:rsid w:val="006216F3"/>
    <w:rsid w:val="00624D3F"/>
    <w:rsid w:val="0062501C"/>
    <w:rsid w:val="00630085"/>
    <w:rsid w:val="00635572"/>
    <w:rsid w:val="006408AE"/>
    <w:rsid w:val="006422D2"/>
    <w:rsid w:val="00642CAA"/>
    <w:rsid w:val="00642D4F"/>
    <w:rsid w:val="0064776F"/>
    <w:rsid w:val="00652455"/>
    <w:rsid w:val="006554FD"/>
    <w:rsid w:val="006561DC"/>
    <w:rsid w:val="00656C27"/>
    <w:rsid w:val="006607C1"/>
    <w:rsid w:val="00662E5F"/>
    <w:rsid w:val="00663235"/>
    <w:rsid w:val="00663F67"/>
    <w:rsid w:val="00665AA1"/>
    <w:rsid w:val="00670E7E"/>
    <w:rsid w:val="0067399E"/>
    <w:rsid w:val="006743AD"/>
    <w:rsid w:val="006759ED"/>
    <w:rsid w:val="00676943"/>
    <w:rsid w:val="00676A98"/>
    <w:rsid w:val="00681C03"/>
    <w:rsid w:val="00683968"/>
    <w:rsid w:val="006854E0"/>
    <w:rsid w:val="00690315"/>
    <w:rsid w:val="0069199C"/>
    <w:rsid w:val="006933BD"/>
    <w:rsid w:val="00694EDD"/>
    <w:rsid w:val="00697883"/>
    <w:rsid w:val="006A084E"/>
    <w:rsid w:val="006A0A9A"/>
    <w:rsid w:val="006A18F0"/>
    <w:rsid w:val="006A231F"/>
    <w:rsid w:val="006A49BA"/>
    <w:rsid w:val="006B105D"/>
    <w:rsid w:val="006B1B04"/>
    <w:rsid w:val="006B1C52"/>
    <w:rsid w:val="006B4E81"/>
    <w:rsid w:val="006B6A95"/>
    <w:rsid w:val="006B7246"/>
    <w:rsid w:val="006C1D9C"/>
    <w:rsid w:val="006C2B0C"/>
    <w:rsid w:val="006C3F7A"/>
    <w:rsid w:val="006C7766"/>
    <w:rsid w:val="006D4703"/>
    <w:rsid w:val="006E06AA"/>
    <w:rsid w:val="006E090F"/>
    <w:rsid w:val="006E0A76"/>
    <w:rsid w:val="006E1D6E"/>
    <w:rsid w:val="006E3FCB"/>
    <w:rsid w:val="006E4297"/>
    <w:rsid w:val="006E5AC0"/>
    <w:rsid w:val="006F0ADB"/>
    <w:rsid w:val="006F2791"/>
    <w:rsid w:val="006F2ADB"/>
    <w:rsid w:val="006F3252"/>
    <w:rsid w:val="006F5387"/>
    <w:rsid w:val="006F6E3B"/>
    <w:rsid w:val="00700712"/>
    <w:rsid w:val="0070152A"/>
    <w:rsid w:val="00702781"/>
    <w:rsid w:val="00705A27"/>
    <w:rsid w:val="00706446"/>
    <w:rsid w:val="00711183"/>
    <w:rsid w:val="007118EC"/>
    <w:rsid w:val="00711AE1"/>
    <w:rsid w:val="007135B9"/>
    <w:rsid w:val="00714926"/>
    <w:rsid w:val="00714B8B"/>
    <w:rsid w:val="0071586E"/>
    <w:rsid w:val="007158CA"/>
    <w:rsid w:val="00720B38"/>
    <w:rsid w:val="00720D34"/>
    <w:rsid w:val="007218AE"/>
    <w:rsid w:val="00722123"/>
    <w:rsid w:val="00723010"/>
    <w:rsid w:val="00723E45"/>
    <w:rsid w:val="00727B74"/>
    <w:rsid w:val="007304DE"/>
    <w:rsid w:val="00731A95"/>
    <w:rsid w:val="00741F02"/>
    <w:rsid w:val="00751D19"/>
    <w:rsid w:val="0075262F"/>
    <w:rsid w:val="00752740"/>
    <w:rsid w:val="00752CC2"/>
    <w:rsid w:val="00755C73"/>
    <w:rsid w:val="00755F7C"/>
    <w:rsid w:val="00757EF9"/>
    <w:rsid w:val="007637E2"/>
    <w:rsid w:val="00764764"/>
    <w:rsid w:val="00765A25"/>
    <w:rsid w:val="00775B32"/>
    <w:rsid w:val="00776357"/>
    <w:rsid w:val="00780102"/>
    <w:rsid w:val="00782E99"/>
    <w:rsid w:val="00785621"/>
    <w:rsid w:val="00787FBD"/>
    <w:rsid w:val="00795188"/>
    <w:rsid w:val="0079601D"/>
    <w:rsid w:val="00796AFA"/>
    <w:rsid w:val="00797CA8"/>
    <w:rsid w:val="007A03DB"/>
    <w:rsid w:val="007A1AA0"/>
    <w:rsid w:val="007A3E40"/>
    <w:rsid w:val="007A3FE6"/>
    <w:rsid w:val="007A5584"/>
    <w:rsid w:val="007B017E"/>
    <w:rsid w:val="007B0256"/>
    <w:rsid w:val="007B04CA"/>
    <w:rsid w:val="007B0E16"/>
    <w:rsid w:val="007B0ED5"/>
    <w:rsid w:val="007B2B2B"/>
    <w:rsid w:val="007B3069"/>
    <w:rsid w:val="007B3A60"/>
    <w:rsid w:val="007C089D"/>
    <w:rsid w:val="007C0B94"/>
    <w:rsid w:val="007C3BCC"/>
    <w:rsid w:val="007C3F2A"/>
    <w:rsid w:val="007C686E"/>
    <w:rsid w:val="007D399F"/>
    <w:rsid w:val="007D5101"/>
    <w:rsid w:val="007D5A1A"/>
    <w:rsid w:val="007E04B1"/>
    <w:rsid w:val="007E11BB"/>
    <w:rsid w:val="007E1884"/>
    <w:rsid w:val="007E18DF"/>
    <w:rsid w:val="007E3967"/>
    <w:rsid w:val="007E4603"/>
    <w:rsid w:val="007E4C6C"/>
    <w:rsid w:val="007E6010"/>
    <w:rsid w:val="007E610B"/>
    <w:rsid w:val="007E697B"/>
    <w:rsid w:val="007F3D00"/>
    <w:rsid w:val="007F7087"/>
    <w:rsid w:val="0080082E"/>
    <w:rsid w:val="008015E5"/>
    <w:rsid w:val="008017E6"/>
    <w:rsid w:val="00804217"/>
    <w:rsid w:val="00805BBA"/>
    <w:rsid w:val="0080728F"/>
    <w:rsid w:val="008072E4"/>
    <w:rsid w:val="00807302"/>
    <w:rsid w:val="00815089"/>
    <w:rsid w:val="00815CC1"/>
    <w:rsid w:val="00815FA2"/>
    <w:rsid w:val="00817DDC"/>
    <w:rsid w:val="00820860"/>
    <w:rsid w:val="008208B6"/>
    <w:rsid w:val="0082197F"/>
    <w:rsid w:val="00824F54"/>
    <w:rsid w:val="00825149"/>
    <w:rsid w:val="00825C30"/>
    <w:rsid w:val="00827815"/>
    <w:rsid w:val="00827C37"/>
    <w:rsid w:val="00831CED"/>
    <w:rsid w:val="008407E0"/>
    <w:rsid w:val="00840EC7"/>
    <w:rsid w:val="008411DE"/>
    <w:rsid w:val="00842010"/>
    <w:rsid w:val="00842D9B"/>
    <w:rsid w:val="00843154"/>
    <w:rsid w:val="0084561A"/>
    <w:rsid w:val="00846DBE"/>
    <w:rsid w:val="008470F0"/>
    <w:rsid w:val="008474CB"/>
    <w:rsid w:val="008518F2"/>
    <w:rsid w:val="008528D5"/>
    <w:rsid w:val="0085356E"/>
    <w:rsid w:val="00853791"/>
    <w:rsid w:val="0085475A"/>
    <w:rsid w:val="008603F2"/>
    <w:rsid w:val="00860E0F"/>
    <w:rsid w:val="0086115B"/>
    <w:rsid w:val="0086192D"/>
    <w:rsid w:val="00861D13"/>
    <w:rsid w:val="00863C52"/>
    <w:rsid w:val="00864EF2"/>
    <w:rsid w:val="008672EE"/>
    <w:rsid w:val="00872385"/>
    <w:rsid w:val="008736EB"/>
    <w:rsid w:val="00875585"/>
    <w:rsid w:val="00877D90"/>
    <w:rsid w:val="00877DA0"/>
    <w:rsid w:val="00880A1B"/>
    <w:rsid w:val="00880D90"/>
    <w:rsid w:val="00882C35"/>
    <w:rsid w:val="00882D9C"/>
    <w:rsid w:val="00883431"/>
    <w:rsid w:val="00884165"/>
    <w:rsid w:val="00885818"/>
    <w:rsid w:val="00891597"/>
    <w:rsid w:val="008934AE"/>
    <w:rsid w:val="00895718"/>
    <w:rsid w:val="008A02B2"/>
    <w:rsid w:val="008A0861"/>
    <w:rsid w:val="008A1A2F"/>
    <w:rsid w:val="008A63BA"/>
    <w:rsid w:val="008A6F8A"/>
    <w:rsid w:val="008B1047"/>
    <w:rsid w:val="008B11E0"/>
    <w:rsid w:val="008B318D"/>
    <w:rsid w:val="008B4336"/>
    <w:rsid w:val="008B50D3"/>
    <w:rsid w:val="008B64DF"/>
    <w:rsid w:val="008B6918"/>
    <w:rsid w:val="008B77EB"/>
    <w:rsid w:val="008B7A69"/>
    <w:rsid w:val="008C0105"/>
    <w:rsid w:val="008C0316"/>
    <w:rsid w:val="008C30D1"/>
    <w:rsid w:val="008C6D14"/>
    <w:rsid w:val="008D0113"/>
    <w:rsid w:val="008D045E"/>
    <w:rsid w:val="008D1646"/>
    <w:rsid w:val="008D20A0"/>
    <w:rsid w:val="008D45F7"/>
    <w:rsid w:val="008D5761"/>
    <w:rsid w:val="008D6232"/>
    <w:rsid w:val="008E0D6D"/>
    <w:rsid w:val="008E333C"/>
    <w:rsid w:val="008E3CE5"/>
    <w:rsid w:val="008E4F67"/>
    <w:rsid w:val="008E5FC6"/>
    <w:rsid w:val="008E65AC"/>
    <w:rsid w:val="008E6FF5"/>
    <w:rsid w:val="008E770F"/>
    <w:rsid w:val="008F16E4"/>
    <w:rsid w:val="008F1BD7"/>
    <w:rsid w:val="008F21A0"/>
    <w:rsid w:val="008F28AD"/>
    <w:rsid w:val="008F6EEF"/>
    <w:rsid w:val="008F7646"/>
    <w:rsid w:val="008F7EDD"/>
    <w:rsid w:val="00901BC6"/>
    <w:rsid w:val="00902A84"/>
    <w:rsid w:val="00905E27"/>
    <w:rsid w:val="00907F44"/>
    <w:rsid w:val="009106EE"/>
    <w:rsid w:val="00914317"/>
    <w:rsid w:val="009206D3"/>
    <w:rsid w:val="00920973"/>
    <w:rsid w:val="00920DF6"/>
    <w:rsid w:val="00921459"/>
    <w:rsid w:val="009236EE"/>
    <w:rsid w:val="00925468"/>
    <w:rsid w:val="00925ED0"/>
    <w:rsid w:val="00926D69"/>
    <w:rsid w:val="00937139"/>
    <w:rsid w:val="00942FEA"/>
    <w:rsid w:val="009437D0"/>
    <w:rsid w:val="00943E0A"/>
    <w:rsid w:val="00943F03"/>
    <w:rsid w:val="00950361"/>
    <w:rsid w:val="00950871"/>
    <w:rsid w:val="00954E6F"/>
    <w:rsid w:val="00955342"/>
    <w:rsid w:val="00956918"/>
    <w:rsid w:val="00956E4C"/>
    <w:rsid w:val="009572BF"/>
    <w:rsid w:val="009606CA"/>
    <w:rsid w:val="0096180E"/>
    <w:rsid w:val="00965343"/>
    <w:rsid w:val="00967FE9"/>
    <w:rsid w:val="00971EC2"/>
    <w:rsid w:val="009755C0"/>
    <w:rsid w:val="00983EB4"/>
    <w:rsid w:val="009867F4"/>
    <w:rsid w:val="009878B1"/>
    <w:rsid w:val="0099020F"/>
    <w:rsid w:val="00991C67"/>
    <w:rsid w:val="00994CEA"/>
    <w:rsid w:val="009A1D2B"/>
    <w:rsid w:val="009A429B"/>
    <w:rsid w:val="009A5F9F"/>
    <w:rsid w:val="009B141D"/>
    <w:rsid w:val="009B2BC5"/>
    <w:rsid w:val="009B3BAF"/>
    <w:rsid w:val="009B4084"/>
    <w:rsid w:val="009B5F5F"/>
    <w:rsid w:val="009B7D00"/>
    <w:rsid w:val="009C7975"/>
    <w:rsid w:val="009D005C"/>
    <w:rsid w:val="009D3984"/>
    <w:rsid w:val="009D51A6"/>
    <w:rsid w:val="009D53B3"/>
    <w:rsid w:val="009D573E"/>
    <w:rsid w:val="009D5AE9"/>
    <w:rsid w:val="009D64A1"/>
    <w:rsid w:val="009D71E2"/>
    <w:rsid w:val="009E1250"/>
    <w:rsid w:val="009E2005"/>
    <w:rsid w:val="009E2319"/>
    <w:rsid w:val="009F287C"/>
    <w:rsid w:val="009F588A"/>
    <w:rsid w:val="009F7654"/>
    <w:rsid w:val="009F7BEE"/>
    <w:rsid w:val="00A01D6B"/>
    <w:rsid w:val="00A024AA"/>
    <w:rsid w:val="00A054A4"/>
    <w:rsid w:val="00A06B28"/>
    <w:rsid w:val="00A06D07"/>
    <w:rsid w:val="00A06F99"/>
    <w:rsid w:val="00A07EA8"/>
    <w:rsid w:val="00A125DE"/>
    <w:rsid w:val="00A128BC"/>
    <w:rsid w:val="00A13647"/>
    <w:rsid w:val="00A2038E"/>
    <w:rsid w:val="00A20C70"/>
    <w:rsid w:val="00A218D4"/>
    <w:rsid w:val="00A22899"/>
    <w:rsid w:val="00A32D9F"/>
    <w:rsid w:val="00A32E5E"/>
    <w:rsid w:val="00A33C67"/>
    <w:rsid w:val="00A33E2C"/>
    <w:rsid w:val="00A34AFE"/>
    <w:rsid w:val="00A36963"/>
    <w:rsid w:val="00A37675"/>
    <w:rsid w:val="00A376EC"/>
    <w:rsid w:val="00A37C83"/>
    <w:rsid w:val="00A4054D"/>
    <w:rsid w:val="00A41642"/>
    <w:rsid w:val="00A4640D"/>
    <w:rsid w:val="00A47607"/>
    <w:rsid w:val="00A51028"/>
    <w:rsid w:val="00A52E1C"/>
    <w:rsid w:val="00A607BB"/>
    <w:rsid w:val="00A60E1A"/>
    <w:rsid w:val="00A63A01"/>
    <w:rsid w:val="00A64B88"/>
    <w:rsid w:val="00A6501F"/>
    <w:rsid w:val="00A652D2"/>
    <w:rsid w:val="00A6672D"/>
    <w:rsid w:val="00A66E4E"/>
    <w:rsid w:val="00A67226"/>
    <w:rsid w:val="00A70BCB"/>
    <w:rsid w:val="00A741E9"/>
    <w:rsid w:val="00A74D5E"/>
    <w:rsid w:val="00A759EF"/>
    <w:rsid w:val="00A82503"/>
    <w:rsid w:val="00A91C2F"/>
    <w:rsid w:val="00A9470B"/>
    <w:rsid w:val="00A94D25"/>
    <w:rsid w:val="00A964E8"/>
    <w:rsid w:val="00A96504"/>
    <w:rsid w:val="00AA2164"/>
    <w:rsid w:val="00AA35BA"/>
    <w:rsid w:val="00AA5FAF"/>
    <w:rsid w:val="00AA642D"/>
    <w:rsid w:val="00AA679D"/>
    <w:rsid w:val="00AA6F3D"/>
    <w:rsid w:val="00AA711E"/>
    <w:rsid w:val="00AB2738"/>
    <w:rsid w:val="00AB2E13"/>
    <w:rsid w:val="00AB37E0"/>
    <w:rsid w:val="00AB5FEA"/>
    <w:rsid w:val="00AC050F"/>
    <w:rsid w:val="00AC1806"/>
    <w:rsid w:val="00AC1FC1"/>
    <w:rsid w:val="00AC3CCB"/>
    <w:rsid w:val="00AC79CE"/>
    <w:rsid w:val="00AD33EE"/>
    <w:rsid w:val="00AD6151"/>
    <w:rsid w:val="00AD680E"/>
    <w:rsid w:val="00AE2952"/>
    <w:rsid w:val="00AF33AB"/>
    <w:rsid w:val="00AF3C62"/>
    <w:rsid w:val="00AF3CCF"/>
    <w:rsid w:val="00AF4DF3"/>
    <w:rsid w:val="00AF650F"/>
    <w:rsid w:val="00AF6FB5"/>
    <w:rsid w:val="00AF7E66"/>
    <w:rsid w:val="00B05EE9"/>
    <w:rsid w:val="00B121C2"/>
    <w:rsid w:val="00B134C4"/>
    <w:rsid w:val="00B13D71"/>
    <w:rsid w:val="00B1648A"/>
    <w:rsid w:val="00B1738B"/>
    <w:rsid w:val="00B21E24"/>
    <w:rsid w:val="00B240AE"/>
    <w:rsid w:val="00B301D8"/>
    <w:rsid w:val="00B31D50"/>
    <w:rsid w:val="00B3221C"/>
    <w:rsid w:val="00B34719"/>
    <w:rsid w:val="00B41898"/>
    <w:rsid w:val="00B41CA0"/>
    <w:rsid w:val="00B42B82"/>
    <w:rsid w:val="00B44BCC"/>
    <w:rsid w:val="00B46C62"/>
    <w:rsid w:val="00B473B3"/>
    <w:rsid w:val="00B528C6"/>
    <w:rsid w:val="00B53676"/>
    <w:rsid w:val="00B53F68"/>
    <w:rsid w:val="00B545B8"/>
    <w:rsid w:val="00B622B2"/>
    <w:rsid w:val="00B62BAC"/>
    <w:rsid w:val="00B63313"/>
    <w:rsid w:val="00B6405B"/>
    <w:rsid w:val="00B6437C"/>
    <w:rsid w:val="00B650BF"/>
    <w:rsid w:val="00B67A65"/>
    <w:rsid w:val="00B7046F"/>
    <w:rsid w:val="00B71D8D"/>
    <w:rsid w:val="00B7239C"/>
    <w:rsid w:val="00B72B08"/>
    <w:rsid w:val="00B7350F"/>
    <w:rsid w:val="00B754C8"/>
    <w:rsid w:val="00B75906"/>
    <w:rsid w:val="00B775CF"/>
    <w:rsid w:val="00B809DE"/>
    <w:rsid w:val="00B84812"/>
    <w:rsid w:val="00B848BB"/>
    <w:rsid w:val="00B84CC1"/>
    <w:rsid w:val="00B868D6"/>
    <w:rsid w:val="00B87CDB"/>
    <w:rsid w:val="00B942F1"/>
    <w:rsid w:val="00B95459"/>
    <w:rsid w:val="00B95F23"/>
    <w:rsid w:val="00B96932"/>
    <w:rsid w:val="00B973CC"/>
    <w:rsid w:val="00BA06AC"/>
    <w:rsid w:val="00BA0A19"/>
    <w:rsid w:val="00BA2D64"/>
    <w:rsid w:val="00BA306A"/>
    <w:rsid w:val="00BA6D43"/>
    <w:rsid w:val="00BB2AC9"/>
    <w:rsid w:val="00BB7C22"/>
    <w:rsid w:val="00BC1509"/>
    <w:rsid w:val="00BC37BF"/>
    <w:rsid w:val="00BC5AF7"/>
    <w:rsid w:val="00BC7210"/>
    <w:rsid w:val="00BC7C87"/>
    <w:rsid w:val="00BD3E3F"/>
    <w:rsid w:val="00BD49C9"/>
    <w:rsid w:val="00BD5F37"/>
    <w:rsid w:val="00BD644D"/>
    <w:rsid w:val="00BD7FCD"/>
    <w:rsid w:val="00BE1180"/>
    <w:rsid w:val="00BE2A64"/>
    <w:rsid w:val="00BE324E"/>
    <w:rsid w:val="00BF1C19"/>
    <w:rsid w:val="00BF2030"/>
    <w:rsid w:val="00BF253A"/>
    <w:rsid w:val="00BF2863"/>
    <w:rsid w:val="00BF2EC6"/>
    <w:rsid w:val="00BF309E"/>
    <w:rsid w:val="00BF4EE6"/>
    <w:rsid w:val="00BF560C"/>
    <w:rsid w:val="00C0045E"/>
    <w:rsid w:val="00C023F9"/>
    <w:rsid w:val="00C0620E"/>
    <w:rsid w:val="00C068FF"/>
    <w:rsid w:val="00C07F08"/>
    <w:rsid w:val="00C13780"/>
    <w:rsid w:val="00C149FD"/>
    <w:rsid w:val="00C1503C"/>
    <w:rsid w:val="00C1589E"/>
    <w:rsid w:val="00C16896"/>
    <w:rsid w:val="00C214E8"/>
    <w:rsid w:val="00C23D5F"/>
    <w:rsid w:val="00C251D0"/>
    <w:rsid w:val="00C266AB"/>
    <w:rsid w:val="00C2732F"/>
    <w:rsid w:val="00C30790"/>
    <w:rsid w:val="00C3585C"/>
    <w:rsid w:val="00C37859"/>
    <w:rsid w:val="00C37B9B"/>
    <w:rsid w:val="00C40BC4"/>
    <w:rsid w:val="00C4263A"/>
    <w:rsid w:val="00C43A2B"/>
    <w:rsid w:val="00C47856"/>
    <w:rsid w:val="00C47AC4"/>
    <w:rsid w:val="00C521D5"/>
    <w:rsid w:val="00C52C47"/>
    <w:rsid w:val="00C542A5"/>
    <w:rsid w:val="00C54466"/>
    <w:rsid w:val="00C54DCD"/>
    <w:rsid w:val="00C55A37"/>
    <w:rsid w:val="00C55CCF"/>
    <w:rsid w:val="00C565C6"/>
    <w:rsid w:val="00C56ECA"/>
    <w:rsid w:val="00C57D83"/>
    <w:rsid w:val="00C60A7E"/>
    <w:rsid w:val="00C61963"/>
    <w:rsid w:val="00C62A76"/>
    <w:rsid w:val="00C64AD1"/>
    <w:rsid w:val="00C64F54"/>
    <w:rsid w:val="00C65858"/>
    <w:rsid w:val="00C70B56"/>
    <w:rsid w:val="00C7121A"/>
    <w:rsid w:val="00C71DCE"/>
    <w:rsid w:val="00C7293D"/>
    <w:rsid w:val="00C72E70"/>
    <w:rsid w:val="00C73775"/>
    <w:rsid w:val="00C740C7"/>
    <w:rsid w:val="00C75578"/>
    <w:rsid w:val="00C825C4"/>
    <w:rsid w:val="00C82EA8"/>
    <w:rsid w:val="00C83D2B"/>
    <w:rsid w:val="00C84AA4"/>
    <w:rsid w:val="00C84EA2"/>
    <w:rsid w:val="00C8604F"/>
    <w:rsid w:val="00C86891"/>
    <w:rsid w:val="00C91024"/>
    <w:rsid w:val="00C91403"/>
    <w:rsid w:val="00C918CD"/>
    <w:rsid w:val="00C92324"/>
    <w:rsid w:val="00C959A0"/>
    <w:rsid w:val="00CA0527"/>
    <w:rsid w:val="00CA33AB"/>
    <w:rsid w:val="00CA6383"/>
    <w:rsid w:val="00CA7F0E"/>
    <w:rsid w:val="00CB007B"/>
    <w:rsid w:val="00CB2304"/>
    <w:rsid w:val="00CB2884"/>
    <w:rsid w:val="00CB3A6C"/>
    <w:rsid w:val="00CB5410"/>
    <w:rsid w:val="00CB678B"/>
    <w:rsid w:val="00CB6D86"/>
    <w:rsid w:val="00CC3A37"/>
    <w:rsid w:val="00CC3C52"/>
    <w:rsid w:val="00CC4911"/>
    <w:rsid w:val="00CC601D"/>
    <w:rsid w:val="00CC7344"/>
    <w:rsid w:val="00CC7F4A"/>
    <w:rsid w:val="00CD31DF"/>
    <w:rsid w:val="00CD6B11"/>
    <w:rsid w:val="00CE3B9F"/>
    <w:rsid w:val="00CE4007"/>
    <w:rsid w:val="00CE5492"/>
    <w:rsid w:val="00CF2B02"/>
    <w:rsid w:val="00CF2B48"/>
    <w:rsid w:val="00CF32C9"/>
    <w:rsid w:val="00CF4CA5"/>
    <w:rsid w:val="00D06DBF"/>
    <w:rsid w:val="00D07BDC"/>
    <w:rsid w:val="00D106F2"/>
    <w:rsid w:val="00D11C6A"/>
    <w:rsid w:val="00D145FF"/>
    <w:rsid w:val="00D219B7"/>
    <w:rsid w:val="00D22A21"/>
    <w:rsid w:val="00D247BB"/>
    <w:rsid w:val="00D3066D"/>
    <w:rsid w:val="00D3192A"/>
    <w:rsid w:val="00D32D51"/>
    <w:rsid w:val="00D331F8"/>
    <w:rsid w:val="00D34956"/>
    <w:rsid w:val="00D40327"/>
    <w:rsid w:val="00D4038F"/>
    <w:rsid w:val="00D4410C"/>
    <w:rsid w:val="00D44CD8"/>
    <w:rsid w:val="00D45931"/>
    <w:rsid w:val="00D47B5D"/>
    <w:rsid w:val="00D526CC"/>
    <w:rsid w:val="00D551FD"/>
    <w:rsid w:val="00D6421E"/>
    <w:rsid w:val="00D667B0"/>
    <w:rsid w:val="00D67D29"/>
    <w:rsid w:val="00D72A9D"/>
    <w:rsid w:val="00D737D1"/>
    <w:rsid w:val="00D73E09"/>
    <w:rsid w:val="00D778FF"/>
    <w:rsid w:val="00D82754"/>
    <w:rsid w:val="00D835E3"/>
    <w:rsid w:val="00D83E60"/>
    <w:rsid w:val="00D85B83"/>
    <w:rsid w:val="00D85C04"/>
    <w:rsid w:val="00D86B4F"/>
    <w:rsid w:val="00D90925"/>
    <w:rsid w:val="00D91862"/>
    <w:rsid w:val="00D93D0F"/>
    <w:rsid w:val="00D9451D"/>
    <w:rsid w:val="00D95A1F"/>
    <w:rsid w:val="00D96545"/>
    <w:rsid w:val="00D9764B"/>
    <w:rsid w:val="00DA0188"/>
    <w:rsid w:val="00DA4856"/>
    <w:rsid w:val="00DA7A73"/>
    <w:rsid w:val="00DA7F67"/>
    <w:rsid w:val="00DB064B"/>
    <w:rsid w:val="00DB0BCD"/>
    <w:rsid w:val="00DB192A"/>
    <w:rsid w:val="00DB43A3"/>
    <w:rsid w:val="00DB4722"/>
    <w:rsid w:val="00DB65D4"/>
    <w:rsid w:val="00DB78E8"/>
    <w:rsid w:val="00DC19EA"/>
    <w:rsid w:val="00DC5AA0"/>
    <w:rsid w:val="00DD0CB9"/>
    <w:rsid w:val="00DD1EB9"/>
    <w:rsid w:val="00DD4762"/>
    <w:rsid w:val="00DD4FD6"/>
    <w:rsid w:val="00DD59E3"/>
    <w:rsid w:val="00DD5C1C"/>
    <w:rsid w:val="00DE1D36"/>
    <w:rsid w:val="00DE26CD"/>
    <w:rsid w:val="00DE2DB3"/>
    <w:rsid w:val="00DE4C9E"/>
    <w:rsid w:val="00DE5EB9"/>
    <w:rsid w:val="00DF475B"/>
    <w:rsid w:val="00DF54E2"/>
    <w:rsid w:val="00DF7D65"/>
    <w:rsid w:val="00E03B21"/>
    <w:rsid w:val="00E05FDD"/>
    <w:rsid w:val="00E12852"/>
    <w:rsid w:val="00E12D57"/>
    <w:rsid w:val="00E13A65"/>
    <w:rsid w:val="00E160BE"/>
    <w:rsid w:val="00E16F55"/>
    <w:rsid w:val="00E174A4"/>
    <w:rsid w:val="00E20191"/>
    <w:rsid w:val="00E20638"/>
    <w:rsid w:val="00E22C4C"/>
    <w:rsid w:val="00E266C9"/>
    <w:rsid w:val="00E275B3"/>
    <w:rsid w:val="00E32153"/>
    <w:rsid w:val="00E362D2"/>
    <w:rsid w:val="00E407C2"/>
    <w:rsid w:val="00E407FC"/>
    <w:rsid w:val="00E42273"/>
    <w:rsid w:val="00E42412"/>
    <w:rsid w:val="00E42614"/>
    <w:rsid w:val="00E439C4"/>
    <w:rsid w:val="00E4586E"/>
    <w:rsid w:val="00E50883"/>
    <w:rsid w:val="00E52BC2"/>
    <w:rsid w:val="00E56508"/>
    <w:rsid w:val="00E608BA"/>
    <w:rsid w:val="00E65B83"/>
    <w:rsid w:val="00E75268"/>
    <w:rsid w:val="00E809D5"/>
    <w:rsid w:val="00E811C0"/>
    <w:rsid w:val="00E81F59"/>
    <w:rsid w:val="00E8297A"/>
    <w:rsid w:val="00E83CA8"/>
    <w:rsid w:val="00E84331"/>
    <w:rsid w:val="00E84651"/>
    <w:rsid w:val="00E86FC4"/>
    <w:rsid w:val="00E87963"/>
    <w:rsid w:val="00E95792"/>
    <w:rsid w:val="00E95D43"/>
    <w:rsid w:val="00EB1286"/>
    <w:rsid w:val="00EB3549"/>
    <w:rsid w:val="00EB3A73"/>
    <w:rsid w:val="00EB41B9"/>
    <w:rsid w:val="00EB50E2"/>
    <w:rsid w:val="00EB5108"/>
    <w:rsid w:val="00EC38A7"/>
    <w:rsid w:val="00EC3BF8"/>
    <w:rsid w:val="00EC435F"/>
    <w:rsid w:val="00EC5BBC"/>
    <w:rsid w:val="00EC683C"/>
    <w:rsid w:val="00ED02E7"/>
    <w:rsid w:val="00ED15A6"/>
    <w:rsid w:val="00ED1C04"/>
    <w:rsid w:val="00ED1CDD"/>
    <w:rsid w:val="00ED2A06"/>
    <w:rsid w:val="00ED2BC5"/>
    <w:rsid w:val="00ED30A9"/>
    <w:rsid w:val="00ED4E63"/>
    <w:rsid w:val="00ED6D05"/>
    <w:rsid w:val="00ED6E01"/>
    <w:rsid w:val="00ED7397"/>
    <w:rsid w:val="00EE0ACD"/>
    <w:rsid w:val="00EE2E2C"/>
    <w:rsid w:val="00EE4BF3"/>
    <w:rsid w:val="00EE5485"/>
    <w:rsid w:val="00EE5D44"/>
    <w:rsid w:val="00EE5F40"/>
    <w:rsid w:val="00EE6393"/>
    <w:rsid w:val="00EE6CC5"/>
    <w:rsid w:val="00EE7214"/>
    <w:rsid w:val="00EE74E3"/>
    <w:rsid w:val="00EE7998"/>
    <w:rsid w:val="00EF03D0"/>
    <w:rsid w:val="00EF25C3"/>
    <w:rsid w:val="00EF2CD9"/>
    <w:rsid w:val="00EF3921"/>
    <w:rsid w:val="00EF3FC7"/>
    <w:rsid w:val="00EF413F"/>
    <w:rsid w:val="00EF4285"/>
    <w:rsid w:val="00EF4782"/>
    <w:rsid w:val="00EF6978"/>
    <w:rsid w:val="00F03E26"/>
    <w:rsid w:val="00F06A2F"/>
    <w:rsid w:val="00F072EB"/>
    <w:rsid w:val="00F07783"/>
    <w:rsid w:val="00F07A3F"/>
    <w:rsid w:val="00F10E12"/>
    <w:rsid w:val="00F1170E"/>
    <w:rsid w:val="00F124C6"/>
    <w:rsid w:val="00F12682"/>
    <w:rsid w:val="00F14625"/>
    <w:rsid w:val="00F1478B"/>
    <w:rsid w:val="00F1551B"/>
    <w:rsid w:val="00F16087"/>
    <w:rsid w:val="00F215F5"/>
    <w:rsid w:val="00F22BF0"/>
    <w:rsid w:val="00F24136"/>
    <w:rsid w:val="00F25D57"/>
    <w:rsid w:val="00F26399"/>
    <w:rsid w:val="00F27B3D"/>
    <w:rsid w:val="00F42F48"/>
    <w:rsid w:val="00F45D3A"/>
    <w:rsid w:val="00F47B35"/>
    <w:rsid w:val="00F5061F"/>
    <w:rsid w:val="00F50C52"/>
    <w:rsid w:val="00F557A7"/>
    <w:rsid w:val="00F577AF"/>
    <w:rsid w:val="00F57888"/>
    <w:rsid w:val="00F60913"/>
    <w:rsid w:val="00F617F9"/>
    <w:rsid w:val="00F62ADE"/>
    <w:rsid w:val="00F63618"/>
    <w:rsid w:val="00F65906"/>
    <w:rsid w:val="00F66C41"/>
    <w:rsid w:val="00F66EA5"/>
    <w:rsid w:val="00F66F7D"/>
    <w:rsid w:val="00F70D34"/>
    <w:rsid w:val="00F73999"/>
    <w:rsid w:val="00F768DF"/>
    <w:rsid w:val="00F77EB4"/>
    <w:rsid w:val="00F810D9"/>
    <w:rsid w:val="00F8120A"/>
    <w:rsid w:val="00F81287"/>
    <w:rsid w:val="00F81C59"/>
    <w:rsid w:val="00F82357"/>
    <w:rsid w:val="00F865A0"/>
    <w:rsid w:val="00F872E4"/>
    <w:rsid w:val="00F876D2"/>
    <w:rsid w:val="00F9234B"/>
    <w:rsid w:val="00F93FF7"/>
    <w:rsid w:val="00F95327"/>
    <w:rsid w:val="00F96674"/>
    <w:rsid w:val="00F97BE5"/>
    <w:rsid w:val="00FA096D"/>
    <w:rsid w:val="00FA0D93"/>
    <w:rsid w:val="00FA23CD"/>
    <w:rsid w:val="00FA463C"/>
    <w:rsid w:val="00FA4C47"/>
    <w:rsid w:val="00FA73FE"/>
    <w:rsid w:val="00FB1565"/>
    <w:rsid w:val="00FB3E22"/>
    <w:rsid w:val="00FB4A81"/>
    <w:rsid w:val="00FC113C"/>
    <w:rsid w:val="00FC621F"/>
    <w:rsid w:val="00FC63E1"/>
    <w:rsid w:val="00FC6944"/>
    <w:rsid w:val="00FD0478"/>
    <w:rsid w:val="00FD2C6D"/>
    <w:rsid w:val="00FD5DBC"/>
    <w:rsid w:val="00FE066C"/>
    <w:rsid w:val="00FE0D4E"/>
    <w:rsid w:val="00FE4C9E"/>
    <w:rsid w:val="00FE58FB"/>
    <w:rsid w:val="00FE7064"/>
    <w:rsid w:val="00FF680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E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0DE"/>
    <w:rPr>
      <w:rFonts w:ascii="Calibri" w:hAnsi="Calibri"/>
      <w:lang w:bidi="bn-IN"/>
    </w:rPr>
  </w:style>
  <w:style w:type="paragraph" w:styleId="Heading1">
    <w:name w:val="heading 1"/>
    <w:basedOn w:val="Normal"/>
    <w:link w:val="Heading1Char"/>
    <w:uiPriority w:val="9"/>
    <w:qFormat/>
    <w:rsid w:val="004429DD"/>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967"/>
    <w:rPr>
      <w:sz w:val="16"/>
      <w:szCs w:val="16"/>
    </w:rPr>
  </w:style>
  <w:style w:type="paragraph" w:styleId="CommentText">
    <w:name w:val="annotation text"/>
    <w:basedOn w:val="Normal"/>
    <w:link w:val="CommentTextChar"/>
    <w:uiPriority w:val="99"/>
    <w:semiHidden/>
    <w:unhideWhenUsed/>
    <w:rsid w:val="007E3967"/>
    <w:pPr>
      <w:spacing w:after="160"/>
    </w:pPr>
    <w:rPr>
      <w:rFonts w:asciiTheme="minorHAnsi" w:hAnsiTheme="minorHAnsi"/>
      <w:sz w:val="20"/>
      <w:szCs w:val="20"/>
      <w:lang w:bidi="ar-SA"/>
    </w:rPr>
  </w:style>
  <w:style w:type="character" w:customStyle="1" w:styleId="CommentTextChar">
    <w:name w:val="Comment Text Char"/>
    <w:basedOn w:val="DefaultParagraphFont"/>
    <w:link w:val="CommentText"/>
    <w:uiPriority w:val="99"/>
    <w:semiHidden/>
    <w:rsid w:val="007E3967"/>
    <w:rPr>
      <w:sz w:val="20"/>
      <w:szCs w:val="20"/>
    </w:rPr>
  </w:style>
  <w:style w:type="paragraph" w:styleId="BalloonText">
    <w:name w:val="Balloon Text"/>
    <w:basedOn w:val="Normal"/>
    <w:link w:val="BalloonTextChar"/>
    <w:uiPriority w:val="99"/>
    <w:semiHidden/>
    <w:unhideWhenUsed/>
    <w:rsid w:val="007E3967"/>
    <w:rPr>
      <w:rFonts w:ascii="Times New Roman" w:hAnsi="Times New Roman"/>
      <w:sz w:val="18"/>
      <w:szCs w:val="18"/>
      <w:lang w:bidi="ar-SA"/>
    </w:rPr>
  </w:style>
  <w:style w:type="character" w:customStyle="1" w:styleId="BalloonTextChar">
    <w:name w:val="Balloon Text Char"/>
    <w:basedOn w:val="DefaultParagraphFont"/>
    <w:link w:val="BalloonText"/>
    <w:uiPriority w:val="99"/>
    <w:semiHidden/>
    <w:rsid w:val="007E3967"/>
    <w:rPr>
      <w:rFonts w:ascii="Times New Roman" w:hAnsi="Times New Roman"/>
      <w:sz w:val="18"/>
      <w:szCs w:val="18"/>
    </w:rPr>
  </w:style>
  <w:style w:type="character" w:styleId="PlaceholderText">
    <w:name w:val="Placeholder Text"/>
    <w:basedOn w:val="DefaultParagraphFont"/>
    <w:uiPriority w:val="99"/>
    <w:semiHidden/>
    <w:rsid w:val="002B2576"/>
    <w:rPr>
      <w:color w:val="808080"/>
    </w:rPr>
  </w:style>
  <w:style w:type="paragraph" w:styleId="ListParagraph">
    <w:name w:val="List Paragraph"/>
    <w:basedOn w:val="Normal"/>
    <w:uiPriority w:val="34"/>
    <w:qFormat/>
    <w:rsid w:val="00E12D57"/>
    <w:pPr>
      <w:ind w:left="720"/>
      <w:contextualSpacing/>
    </w:pPr>
    <w:rPr>
      <w:rFonts w:asciiTheme="minorHAnsi" w:hAnsiTheme="minorHAnsi"/>
      <w:lang w:bidi="ar-SA"/>
    </w:rPr>
  </w:style>
  <w:style w:type="paragraph" w:styleId="NormalWeb">
    <w:name w:val="Normal (Web)"/>
    <w:basedOn w:val="Normal"/>
    <w:uiPriority w:val="99"/>
    <w:unhideWhenUsed/>
    <w:rsid w:val="005D0F8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429DD"/>
  </w:style>
  <w:style w:type="character" w:styleId="Hyperlink">
    <w:name w:val="Hyperlink"/>
    <w:basedOn w:val="DefaultParagraphFont"/>
    <w:uiPriority w:val="99"/>
    <w:unhideWhenUsed/>
    <w:rsid w:val="004429DD"/>
    <w:rPr>
      <w:color w:val="0000FF"/>
      <w:u w:val="single"/>
    </w:rPr>
  </w:style>
  <w:style w:type="character" w:customStyle="1" w:styleId="Heading1Char">
    <w:name w:val="Heading 1 Char"/>
    <w:basedOn w:val="DefaultParagraphFont"/>
    <w:link w:val="Heading1"/>
    <w:uiPriority w:val="9"/>
    <w:rsid w:val="004429DD"/>
    <w:rPr>
      <w:rFonts w:ascii="Times New Roman" w:hAnsi="Times New Roman"/>
      <w:b/>
      <w:bCs/>
      <w:kern w:val="36"/>
      <w:sz w:val="48"/>
      <w:szCs w:val="48"/>
      <w:lang w:eastAsia="en-GB" w:bidi="bn-IN"/>
    </w:rPr>
  </w:style>
  <w:style w:type="paragraph" w:styleId="CommentSubject">
    <w:name w:val="annotation subject"/>
    <w:basedOn w:val="CommentText"/>
    <w:next w:val="CommentText"/>
    <w:link w:val="CommentSubjectChar"/>
    <w:uiPriority w:val="99"/>
    <w:semiHidden/>
    <w:unhideWhenUsed/>
    <w:rsid w:val="00B72B08"/>
    <w:pPr>
      <w:spacing w:after="0"/>
    </w:pPr>
    <w:rPr>
      <w:b/>
      <w:bCs/>
    </w:rPr>
  </w:style>
  <w:style w:type="character" w:customStyle="1" w:styleId="CommentSubjectChar">
    <w:name w:val="Comment Subject Char"/>
    <w:basedOn w:val="CommentTextChar"/>
    <w:link w:val="CommentSubject"/>
    <w:uiPriority w:val="99"/>
    <w:semiHidden/>
    <w:rsid w:val="00B72B08"/>
    <w:rPr>
      <w:b/>
      <w:bCs/>
      <w:sz w:val="20"/>
      <w:szCs w:val="20"/>
    </w:rPr>
  </w:style>
  <w:style w:type="table" w:styleId="TableGrid">
    <w:name w:val="Table Grid"/>
    <w:basedOn w:val="TableNormal"/>
    <w:uiPriority w:val="39"/>
    <w:rsid w:val="00F4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1EB9"/>
    <w:pPr>
      <w:tabs>
        <w:tab w:val="center" w:pos="4513"/>
        <w:tab w:val="right" w:pos="9026"/>
      </w:tabs>
    </w:pPr>
    <w:rPr>
      <w:rFonts w:asciiTheme="minorHAnsi" w:hAnsiTheme="minorHAnsi"/>
      <w:lang w:bidi="ar-SA"/>
    </w:rPr>
  </w:style>
  <w:style w:type="character" w:customStyle="1" w:styleId="FooterChar">
    <w:name w:val="Footer Char"/>
    <w:basedOn w:val="DefaultParagraphFont"/>
    <w:link w:val="Footer"/>
    <w:uiPriority w:val="99"/>
    <w:rsid w:val="00DD1EB9"/>
  </w:style>
  <w:style w:type="character" w:styleId="PageNumber">
    <w:name w:val="page number"/>
    <w:basedOn w:val="DefaultParagraphFont"/>
    <w:uiPriority w:val="99"/>
    <w:semiHidden/>
    <w:unhideWhenUsed/>
    <w:rsid w:val="00DD1EB9"/>
  </w:style>
  <w:style w:type="paragraph" w:styleId="Revision">
    <w:name w:val="Revision"/>
    <w:hidden/>
    <w:uiPriority w:val="99"/>
    <w:semiHidden/>
    <w:rsid w:val="0003108D"/>
  </w:style>
  <w:style w:type="paragraph" w:styleId="FootnoteText">
    <w:name w:val="footnote text"/>
    <w:basedOn w:val="Normal"/>
    <w:link w:val="FootnoteTextChar"/>
    <w:uiPriority w:val="99"/>
    <w:unhideWhenUsed/>
    <w:rsid w:val="00804217"/>
    <w:rPr>
      <w:rFonts w:asciiTheme="minorHAnsi" w:hAnsiTheme="minorHAnsi"/>
      <w:lang w:bidi="ar-SA"/>
    </w:rPr>
  </w:style>
  <w:style w:type="character" w:customStyle="1" w:styleId="FootnoteTextChar">
    <w:name w:val="Footnote Text Char"/>
    <w:basedOn w:val="DefaultParagraphFont"/>
    <w:link w:val="FootnoteText"/>
    <w:uiPriority w:val="99"/>
    <w:rsid w:val="00804217"/>
  </w:style>
  <w:style w:type="character" w:styleId="FootnoteReference">
    <w:name w:val="footnote reference"/>
    <w:basedOn w:val="DefaultParagraphFont"/>
    <w:uiPriority w:val="99"/>
    <w:unhideWhenUsed/>
    <w:rsid w:val="00804217"/>
    <w:rPr>
      <w:vertAlign w:val="superscript"/>
    </w:rPr>
  </w:style>
  <w:style w:type="paragraph" w:styleId="EndnoteText">
    <w:name w:val="endnote text"/>
    <w:basedOn w:val="Normal"/>
    <w:link w:val="EndnoteTextChar"/>
    <w:uiPriority w:val="99"/>
    <w:unhideWhenUsed/>
    <w:rsid w:val="00BC7210"/>
    <w:rPr>
      <w:rFonts w:asciiTheme="minorHAnsi" w:hAnsiTheme="minorHAnsi"/>
      <w:lang w:bidi="ar-SA"/>
    </w:rPr>
  </w:style>
  <w:style w:type="character" w:customStyle="1" w:styleId="EndnoteTextChar">
    <w:name w:val="Endnote Text Char"/>
    <w:basedOn w:val="DefaultParagraphFont"/>
    <w:link w:val="EndnoteText"/>
    <w:uiPriority w:val="99"/>
    <w:rsid w:val="00BC7210"/>
  </w:style>
  <w:style w:type="character" w:styleId="EndnoteReference">
    <w:name w:val="endnote reference"/>
    <w:basedOn w:val="DefaultParagraphFont"/>
    <w:uiPriority w:val="99"/>
    <w:unhideWhenUsed/>
    <w:rsid w:val="00BC7210"/>
    <w:rPr>
      <w:vertAlign w:val="superscript"/>
    </w:rPr>
  </w:style>
  <w:style w:type="paragraph" w:styleId="Header">
    <w:name w:val="header"/>
    <w:basedOn w:val="Normal"/>
    <w:link w:val="HeaderChar"/>
    <w:uiPriority w:val="99"/>
    <w:unhideWhenUsed/>
    <w:rsid w:val="00F95327"/>
    <w:pPr>
      <w:tabs>
        <w:tab w:val="center" w:pos="4513"/>
        <w:tab w:val="right" w:pos="9026"/>
      </w:tabs>
    </w:pPr>
    <w:rPr>
      <w:rFonts w:asciiTheme="minorHAnsi" w:hAnsiTheme="minorHAnsi"/>
      <w:lang w:bidi="ar-SA"/>
    </w:rPr>
  </w:style>
  <w:style w:type="character" w:customStyle="1" w:styleId="HeaderChar">
    <w:name w:val="Header Char"/>
    <w:basedOn w:val="DefaultParagraphFont"/>
    <w:link w:val="Header"/>
    <w:uiPriority w:val="99"/>
    <w:rsid w:val="00F9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244">
      <w:bodyDiv w:val="1"/>
      <w:marLeft w:val="0"/>
      <w:marRight w:val="0"/>
      <w:marTop w:val="0"/>
      <w:marBottom w:val="0"/>
      <w:divBdr>
        <w:top w:val="none" w:sz="0" w:space="0" w:color="auto"/>
        <w:left w:val="none" w:sz="0" w:space="0" w:color="auto"/>
        <w:bottom w:val="none" w:sz="0" w:space="0" w:color="auto"/>
        <w:right w:val="none" w:sz="0" w:space="0" w:color="auto"/>
      </w:divBdr>
      <w:divsChild>
        <w:div w:id="1108699787">
          <w:marLeft w:val="0"/>
          <w:marRight w:val="0"/>
          <w:marTop w:val="0"/>
          <w:marBottom w:val="0"/>
          <w:divBdr>
            <w:top w:val="none" w:sz="0" w:space="0" w:color="auto"/>
            <w:left w:val="none" w:sz="0" w:space="0" w:color="auto"/>
            <w:bottom w:val="none" w:sz="0" w:space="0" w:color="auto"/>
            <w:right w:val="none" w:sz="0" w:space="0" w:color="auto"/>
          </w:divBdr>
          <w:divsChild>
            <w:div w:id="215245175">
              <w:marLeft w:val="0"/>
              <w:marRight w:val="0"/>
              <w:marTop w:val="0"/>
              <w:marBottom w:val="0"/>
              <w:divBdr>
                <w:top w:val="none" w:sz="0" w:space="0" w:color="auto"/>
                <w:left w:val="none" w:sz="0" w:space="0" w:color="auto"/>
                <w:bottom w:val="none" w:sz="0" w:space="0" w:color="auto"/>
                <w:right w:val="none" w:sz="0" w:space="0" w:color="auto"/>
              </w:divBdr>
              <w:divsChild>
                <w:div w:id="9370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5105">
      <w:bodyDiv w:val="1"/>
      <w:marLeft w:val="0"/>
      <w:marRight w:val="0"/>
      <w:marTop w:val="0"/>
      <w:marBottom w:val="0"/>
      <w:divBdr>
        <w:top w:val="none" w:sz="0" w:space="0" w:color="auto"/>
        <w:left w:val="none" w:sz="0" w:space="0" w:color="auto"/>
        <w:bottom w:val="none" w:sz="0" w:space="0" w:color="auto"/>
        <w:right w:val="none" w:sz="0" w:space="0" w:color="auto"/>
      </w:divBdr>
      <w:divsChild>
        <w:div w:id="1411583063">
          <w:marLeft w:val="0"/>
          <w:marRight w:val="0"/>
          <w:marTop w:val="0"/>
          <w:marBottom w:val="0"/>
          <w:divBdr>
            <w:top w:val="none" w:sz="0" w:space="0" w:color="auto"/>
            <w:left w:val="none" w:sz="0" w:space="0" w:color="auto"/>
            <w:bottom w:val="none" w:sz="0" w:space="0" w:color="auto"/>
            <w:right w:val="none" w:sz="0" w:space="0" w:color="auto"/>
          </w:divBdr>
          <w:divsChild>
            <w:div w:id="1121995490">
              <w:marLeft w:val="0"/>
              <w:marRight w:val="0"/>
              <w:marTop w:val="0"/>
              <w:marBottom w:val="0"/>
              <w:divBdr>
                <w:top w:val="none" w:sz="0" w:space="0" w:color="auto"/>
                <w:left w:val="none" w:sz="0" w:space="0" w:color="auto"/>
                <w:bottom w:val="none" w:sz="0" w:space="0" w:color="auto"/>
                <w:right w:val="none" w:sz="0" w:space="0" w:color="auto"/>
              </w:divBdr>
              <w:divsChild>
                <w:div w:id="911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216">
      <w:bodyDiv w:val="1"/>
      <w:marLeft w:val="0"/>
      <w:marRight w:val="0"/>
      <w:marTop w:val="0"/>
      <w:marBottom w:val="0"/>
      <w:divBdr>
        <w:top w:val="none" w:sz="0" w:space="0" w:color="auto"/>
        <w:left w:val="none" w:sz="0" w:space="0" w:color="auto"/>
        <w:bottom w:val="none" w:sz="0" w:space="0" w:color="auto"/>
        <w:right w:val="none" w:sz="0" w:space="0" w:color="auto"/>
      </w:divBdr>
    </w:div>
    <w:div w:id="74783747">
      <w:bodyDiv w:val="1"/>
      <w:marLeft w:val="0"/>
      <w:marRight w:val="0"/>
      <w:marTop w:val="0"/>
      <w:marBottom w:val="0"/>
      <w:divBdr>
        <w:top w:val="none" w:sz="0" w:space="0" w:color="auto"/>
        <w:left w:val="none" w:sz="0" w:space="0" w:color="auto"/>
        <w:bottom w:val="none" w:sz="0" w:space="0" w:color="auto"/>
        <w:right w:val="none" w:sz="0" w:space="0" w:color="auto"/>
      </w:divBdr>
      <w:divsChild>
        <w:div w:id="1954094272">
          <w:marLeft w:val="0"/>
          <w:marRight w:val="0"/>
          <w:marTop w:val="0"/>
          <w:marBottom w:val="0"/>
          <w:divBdr>
            <w:top w:val="none" w:sz="0" w:space="0" w:color="auto"/>
            <w:left w:val="none" w:sz="0" w:space="0" w:color="auto"/>
            <w:bottom w:val="none" w:sz="0" w:space="0" w:color="auto"/>
            <w:right w:val="none" w:sz="0" w:space="0" w:color="auto"/>
          </w:divBdr>
          <w:divsChild>
            <w:div w:id="842866089">
              <w:marLeft w:val="0"/>
              <w:marRight w:val="0"/>
              <w:marTop w:val="0"/>
              <w:marBottom w:val="0"/>
              <w:divBdr>
                <w:top w:val="none" w:sz="0" w:space="0" w:color="auto"/>
                <w:left w:val="none" w:sz="0" w:space="0" w:color="auto"/>
                <w:bottom w:val="none" w:sz="0" w:space="0" w:color="auto"/>
                <w:right w:val="none" w:sz="0" w:space="0" w:color="auto"/>
              </w:divBdr>
              <w:divsChild>
                <w:div w:id="6448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5701">
      <w:bodyDiv w:val="1"/>
      <w:marLeft w:val="0"/>
      <w:marRight w:val="0"/>
      <w:marTop w:val="0"/>
      <w:marBottom w:val="0"/>
      <w:divBdr>
        <w:top w:val="none" w:sz="0" w:space="0" w:color="auto"/>
        <w:left w:val="none" w:sz="0" w:space="0" w:color="auto"/>
        <w:bottom w:val="none" w:sz="0" w:space="0" w:color="auto"/>
        <w:right w:val="none" w:sz="0" w:space="0" w:color="auto"/>
      </w:divBdr>
    </w:div>
    <w:div w:id="349571487">
      <w:bodyDiv w:val="1"/>
      <w:marLeft w:val="0"/>
      <w:marRight w:val="0"/>
      <w:marTop w:val="0"/>
      <w:marBottom w:val="0"/>
      <w:divBdr>
        <w:top w:val="none" w:sz="0" w:space="0" w:color="auto"/>
        <w:left w:val="none" w:sz="0" w:space="0" w:color="auto"/>
        <w:bottom w:val="none" w:sz="0" w:space="0" w:color="auto"/>
        <w:right w:val="none" w:sz="0" w:space="0" w:color="auto"/>
      </w:divBdr>
      <w:divsChild>
        <w:div w:id="1683704974">
          <w:marLeft w:val="0"/>
          <w:marRight w:val="0"/>
          <w:marTop w:val="0"/>
          <w:marBottom w:val="0"/>
          <w:divBdr>
            <w:top w:val="none" w:sz="0" w:space="0" w:color="auto"/>
            <w:left w:val="none" w:sz="0" w:space="0" w:color="auto"/>
            <w:bottom w:val="none" w:sz="0" w:space="0" w:color="auto"/>
            <w:right w:val="none" w:sz="0" w:space="0" w:color="auto"/>
          </w:divBdr>
          <w:divsChild>
            <w:div w:id="1376151155">
              <w:marLeft w:val="0"/>
              <w:marRight w:val="0"/>
              <w:marTop w:val="0"/>
              <w:marBottom w:val="0"/>
              <w:divBdr>
                <w:top w:val="none" w:sz="0" w:space="0" w:color="auto"/>
                <w:left w:val="none" w:sz="0" w:space="0" w:color="auto"/>
                <w:bottom w:val="none" w:sz="0" w:space="0" w:color="auto"/>
                <w:right w:val="none" w:sz="0" w:space="0" w:color="auto"/>
              </w:divBdr>
              <w:divsChild>
                <w:div w:id="19812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1479">
      <w:bodyDiv w:val="1"/>
      <w:marLeft w:val="0"/>
      <w:marRight w:val="0"/>
      <w:marTop w:val="0"/>
      <w:marBottom w:val="0"/>
      <w:divBdr>
        <w:top w:val="none" w:sz="0" w:space="0" w:color="auto"/>
        <w:left w:val="none" w:sz="0" w:space="0" w:color="auto"/>
        <w:bottom w:val="none" w:sz="0" w:space="0" w:color="auto"/>
        <w:right w:val="none" w:sz="0" w:space="0" w:color="auto"/>
      </w:divBdr>
    </w:div>
    <w:div w:id="454983067">
      <w:bodyDiv w:val="1"/>
      <w:marLeft w:val="0"/>
      <w:marRight w:val="0"/>
      <w:marTop w:val="0"/>
      <w:marBottom w:val="0"/>
      <w:divBdr>
        <w:top w:val="none" w:sz="0" w:space="0" w:color="auto"/>
        <w:left w:val="none" w:sz="0" w:space="0" w:color="auto"/>
        <w:bottom w:val="none" w:sz="0" w:space="0" w:color="auto"/>
        <w:right w:val="none" w:sz="0" w:space="0" w:color="auto"/>
      </w:divBdr>
      <w:divsChild>
        <w:div w:id="1133713854">
          <w:marLeft w:val="0"/>
          <w:marRight w:val="0"/>
          <w:marTop w:val="0"/>
          <w:marBottom w:val="0"/>
          <w:divBdr>
            <w:top w:val="none" w:sz="0" w:space="0" w:color="auto"/>
            <w:left w:val="none" w:sz="0" w:space="0" w:color="auto"/>
            <w:bottom w:val="none" w:sz="0" w:space="0" w:color="auto"/>
            <w:right w:val="none" w:sz="0" w:space="0" w:color="auto"/>
          </w:divBdr>
          <w:divsChild>
            <w:div w:id="493305328">
              <w:marLeft w:val="0"/>
              <w:marRight w:val="0"/>
              <w:marTop w:val="0"/>
              <w:marBottom w:val="0"/>
              <w:divBdr>
                <w:top w:val="none" w:sz="0" w:space="0" w:color="auto"/>
                <w:left w:val="none" w:sz="0" w:space="0" w:color="auto"/>
                <w:bottom w:val="none" w:sz="0" w:space="0" w:color="auto"/>
                <w:right w:val="none" w:sz="0" w:space="0" w:color="auto"/>
              </w:divBdr>
              <w:divsChild>
                <w:div w:id="1980718848">
                  <w:marLeft w:val="0"/>
                  <w:marRight w:val="0"/>
                  <w:marTop w:val="0"/>
                  <w:marBottom w:val="0"/>
                  <w:divBdr>
                    <w:top w:val="none" w:sz="0" w:space="0" w:color="auto"/>
                    <w:left w:val="none" w:sz="0" w:space="0" w:color="auto"/>
                    <w:bottom w:val="none" w:sz="0" w:space="0" w:color="auto"/>
                    <w:right w:val="none" w:sz="0" w:space="0" w:color="auto"/>
                  </w:divBdr>
                  <w:divsChild>
                    <w:div w:id="13062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8095">
      <w:bodyDiv w:val="1"/>
      <w:marLeft w:val="0"/>
      <w:marRight w:val="0"/>
      <w:marTop w:val="0"/>
      <w:marBottom w:val="0"/>
      <w:divBdr>
        <w:top w:val="none" w:sz="0" w:space="0" w:color="auto"/>
        <w:left w:val="none" w:sz="0" w:space="0" w:color="auto"/>
        <w:bottom w:val="none" w:sz="0" w:space="0" w:color="auto"/>
        <w:right w:val="none" w:sz="0" w:space="0" w:color="auto"/>
      </w:divBdr>
      <w:divsChild>
        <w:div w:id="1562061934">
          <w:marLeft w:val="0"/>
          <w:marRight w:val="0"/>
          <w:marTop w:val="0"/>
          <w:marBottom w:val="0"/>
          <w:divBdr>
            <w:top w:val="none" w:sz="0" w:space="0" w:color="auto"/>
            <w:left w:val="none" w:sz="0" w:space="0" w:color="auto"/>
            <w:bottom w:val="none" w:sz="0" w:space="0" w:color="auto"/>
            <w:right w:val="none" w:sz="0" w:space="0" w:color="auto"/>
          </w:divBdr>
          <w:divsChild>
            <w:div w:id="792216997">
              <w:marLeft w:val="0"/>
              <w:marRight w:val="0"/>
              <w:marTop w:val="0"/>
              <w:marBottom w:val="0"/>
              <w:divBdr>
                <w:top w:val="none" w:sz="0" w:space="0" w:color="auto"/>
                <w:left w:val="none" w:sz="0" w:space="0" w:color="auto"/>
                <w:bottom w:val="none" w:sz="0" w:space="0" w:color="auto"/>
                <w:right w:val="none" w:sz="0" w:space="0" w:color="auto"/>
              </w:divBdr>
              <w:divsChild>
                <w:div w:id="1898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7816">
      <w:bodyDiv w:val="1"/>
      <w:marLeft w:val="0"/>
      <w:marRight w:val="0"/>
      <w:marTop w:val="0"/>
      <w:marBottom w:val="0"/>
      <w:divBdr>
        <w:top w:val="none" w:sz="0" w:space="0" w:color="auto"/>
        <w:left w:val="none" w:sz="0" w:space="0" w:color="auto"/>
        <w:bottom w:val="none" w:sz="0" w:space="0" w:color="auto"/>
        <w:right w:val="none" w:sz="0" w:space="0" w:color="auto"/>
      </w:divBdr>
      <w:divsChild>
        <w:div w:id="1737773933">
          <w:marLeft w:val="0"/>
          <w:marRight w:val="0"/>
          <w:marTop w:val="0"/>
          <w:marBottom w:val="0"/>
          <w:divBdr>
            <w:top w:val="none" w:sz="0" w:space="0" w:color="auto"/>
            <w:left w:val="none" w:sz="0" w:space="0" w:color="auto"/>
            <w:bottom w:val="none" w:sz="0" w:space="0" w:color="auto"/>
            <w:right w:val="none" w:sz="0" w:space="0" w:color="auto"/>
          </w:divBdr>
          <w:divsChild>
            <w:div w:id="843596450">
              <w:marLeft w:val="0"/>
              <w:marRight w:val="0"/>
              <w:marTop w:val="0"/>
              <w:marBottom w:val="0"/>
              <w:divBdr>
                <w:top w:val="none" w:sz="0" w:space="0" w:color="auto"/>
                <w:left w:val="none" w:sz="0" w:space="0" w:color="auto"/>
                <w:bottom w:val="none" w:sz="0" w:space="0" w:color="auto"/>
                <w:right w:val="none" w:sz="0" w:space="0" w:color="auto"/>
              </w:divBdr>
              <w:divsChild>
                <w:div w:id="194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66804">
      <w:bodyDiv w:val="1"/>
      <w:marLeft w:val="0"/>
      <w:marRight w:val="0"/>
      <w:marTop w:val="0"/>
      <w:marBottom w:val="0"/>
      <w:divBdr>
        <w:top w:val="none" w:sz="0" w:space="0" w:color="auto"/>
        <w:left w:val="none" w:sz="0" w:space="0" w:color="auto"/>
        <w:bottom w:val="none" w:sz="0" w:space="0" w:color="auto"/>
        <w:right w:val="none" w:sz="0" w:space="0" w:color="auto"/>
      </w:divBdr>
      <w:divsChild>
        <w:div w:id="1621498516">
          <w:marLeft w:val="0"/>
          <w:marRight w:val="0"/>
          <w:marTop w:val="0"/>
          <w:marBottom w:val="0"/>
          <w:divBdr>
            <w:top w:val="none" w:sz="0" w:space="0" w:color="auto"/>
            <w:left w:val="none" w:sz="0" w:space="0" w:color="auto"/>
            <w:bottom w:val="none" w:sz="0" w:space="0" w:color="auto"/>
            <w:right w:val="none" w:sz="0" w:space="0" w:color="auto"/>
          </w:divBdr>
          <w:divsChild>
            <w:div w:id="1793748365">
              <w:marLeft w:val="0"/>
              <w:marRight w:val="0"/>
              <w:marTop w:val="0"/>
              <w:marBottom w:val="0"/>
              <w:divBdr>
                <w:top w:val="none" w:sz="0" w:space="0" w:color="auto"/>
                <w:left w:val="none" w:sz="0" w:space="0" w:color="auto"/>
                <w:bottom w:val="none" w:sz="0" w:space="0" w:color="auto"/>
                <w:right w:val="none" w:sz="0" w:space="0" w:color="auto"/>
              </w:divBdr>
              <w:divsChild>
                <w:div w:id="562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3138">
      <w:bodyDiv w:val="1"/>
      <w:marLeft w:val="0"/>
      <w:marRight w:val="0"/>
      <w:marTop w:val="0"/>
      <w:marBottom w:val="0"/>
      <w:divBdr>
        <w:top w:val="none" w:sz="0" w:space="0" w:color="auto"/>
        <w:left w:val="none" w:sz="0" w:space="0" w:color="auto"/>
        <w:bottom w:val="none" w:sz="0" w:space="0" w:color="auto"/>
        <w:right w:val="none" w:sz="0" w:space="0" w:color="auto"/>
      </w:divBdr>
      <w:divsChild>
        <w:div w:id="1189872988">
          <w:marLeft w:val="0"/>
          <w:marRight w:val="0"/>
          <w:marTop w:val="0"/>
          <w:marBottom w:val="0"/>
          <w:divBdr>
            <w:top w:val="none" w:sz="0" w:space="0" w:color="auto"/>
            <w:left w:val="none" w:sz="0" w:space="0" w:color="auto"/>
            <w:bottom w:val="none" w:sz="0" w:space="0" w:color="auto"/>
            <w:right w:val="none" w:sz="0" w:space="0" w:color="auto"/>
          </w:divBdr>
          <w:divsChild>
            <w:div w:id="413404730">
              <w:marLeft w:val="0"/>
              <w:marRight w:val="0"/>
              <w:marTop w:val="0"/>
              <w:marBottom w:val="0"/>
              <w:divBdr>
                <w:top w:val="none" w:sz="0" w:space="0" w:color="auto"/>
                <w:left w:val="none" w:sz="0" w:space="0" w:color="auto"/>
                <w:bottom w:val="none" w:sz="0" w:space="0" w:color="auto"/>
                <w:right w:val="none" w:sz="0" w:space="0" w:color="auto"/>
              </w:divBdr>
              <w:divsChild>
                <w:div w:id="772825152">
                  <w:marLeft w:val="0"/>
                  <w:marRight w:val="0"/>
                  <w:marTop w:val="0"/>
                  <w:marBottom w:val="0"/>
                  <w:divBdr>
                    <w:top w:val="none" w:sz="0" w:space="0" w:color="auto"/>
                    <w:left w:val="none" w:sz="0" w:space="0" w:color="auto"/>
                    <w:bottom w:val="none" w:sz="0" w:space="0" w:color="auto"/>
                    <w:right w:val="none" w:sz="0" w:space="0" w:color="auto"/>
                  </w:divBdr>
                  <w:divsChild>
                    <w:div w:id="1007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09985">
      <w:bodyDiv w:val="1"/>
      <w:marLeft w:val="0"/>
      <w:marRight w:val="0"/>
      <w:marTop w:val="0"/>
      <w:marBottom w:val="0"/>
      <w:divBdr>
        <w:top w:val="none" w:sz="0" w:space="0" w:color="auto"/>
        <w:left w:val="none" w:sz="0" w:space="0" w:color="auto"/>
        <w:bottom w:val="none" w:sz="0" w:space="0" w:color="auto"/>
        <w:right w:val="none" w:sz="0" w:space="0" w:color="auto"/>
      </w:divBdr>
      <w:divsChild>
        <w:div w:id="1817138560">
          <w:marLeft w:val="0"/>
          <w:marRight w:val="0"/>
          <w:marTop w:val="0"/>
          <w:marBottom w:val="0"/>
          <w:divBdr>
            <w:top w:val="none" w:sz="0" w:space="0" w:color="auto"/>
            <w:left w:val="none" w:sz="0" w:space="0" w:color="auto"/>
            <w:bottom w:val="none" w:sz="0" w:space="0" w:color="auto"/>
            <w:right w:val="none" w:sz="0" w:space="0" w:color="auto"/>
          </w:divBdr>
          <w:divsChild>
            <w:div w:id="1816213797">
              <w:marLeft w:val="0"/>
              <w:marRight w:val="0"/>
              <w:marTop w:val="0"/>
              <w:marBottom w:val="0"/>
              <w:divBdr>
                <w:top w:val="none" w:sz="0" w:space="0" w:color="auto"/>
                <w:left w:val="none" w:sz="0" w:space="0" w:color="auto"/>
                <w:bottom w:val="none" w:sz="0" w:space="0" w:color="auto"/>
                <w:right w:val="none" w:sz="0" w:space="0" w:color="auto"/>
              </w:divBdr>
              <w:divsChild>
                <w:div w:id="15830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8330">
      <w:bodyDiv w:val="1"/>
      <w:marLeft w:val="0"/>
      <w:marRight w:val="0"/>
      <w:marTop w:val="0"/>
      <w:marBottom w:val="0"/>
      <w:divBdr>
        <w:top w:val="none" w:sz="0" w:space="0" w:color="auto"/>
        <w:left w:val="none" w:sz="0" w:space="0" w:color="auto"/>
        <w:bottom w:val="none" w:sz="0" w:space="0" w:color="auto"/>
        <w:right w:val="none" w:sz="0" w:space="0" w:color="auto"/>
      </w:divBdr>
    </w:div>
    <w:div w:id="1040593975">
      <w:bodyDiv w:val="1"/>
      <w:marLeft w:val="0"/>
      <w:marRight w:val="0"/>
      <w:marTop w:val="0"/>
      <w:marBottom w:val="0"/>
      <w:divBdr>
        <w:top w:val="none" w:sz="0" w:space="0" w:color="auto"/>
        <w:left w:val="none" w:sz="0" w:space="0" w:color="auto"/>
        <w:bottom w:val="none" w:sz="0" w:space="0" w:color="auto"/>
        <w:right w:val="none" w:sz="0" w:space="0" w:color="auto"/>
      </w:divBdr>
      <w:divsChild>
        <w:div w:id="1189178691">
          <w:marLeft w:val="0"/>
          <w:marRight w:val="0"/>
          <w:marTop w:val="0"/>
          <w:marBottom w:val="0"/>
          <w:divBdr>
            <w:top w:val="none" w:sz="0" w:space="0" w:color="auto"/>
            <w:left w:val="none" w:sz="0" w:space="0" w:color="auto"/>
            <w:bottom w:val="none" w:sz="0" w:space="0" w:color="auto"/>
            <w:right w:val="none" w:sz="0" w:space="0" w:color="auto"/>
          </w:divBdr>
          <w:divsChild>
            <w:div w:id="1254703824">
              <w:marLeft w:val="0"/>
              <w:marRight w:val="0"/>
              <w:marTop w:val="0"/>
              <w:marBottom w:val="0"/>
              <w:divBdr>
                <w:top w:val="none" w:sz="0" w:space="0" w:color="auto"/>
                <w:left w:val="none" w:sz="0" w:space="0" w:color="auto"/>
                <w:bottom w:val="none" w:sz="0" w:space="0" w:color="auto"/>
                <w:right w:val="none" w:sz="0" w:space="0" w:color="auto"/>
              </w:divBdr>
              <w:divsChild>
                <w:div w:id="1087309976">
                  <w:marLeft w:val="0"/>
                  <w:marRight w:val="0"/>
                  <w:marTop w:val="0"/>
                  <w:marBottom w:val="0"/>
                  <w:divBdr>
                    <w:top w:val="none" w:sz="0" w:space="0" w:color="auto"/>
                    <w:left w:val="none" w:sz="0" w:space="0" w:color="auto"/>
                    <w:bottom w:val="none" w:sz="0" w:space="0" w:color="auto"/>
                    <w:right w:val="none" w:sz="0" w:space="0" w:color="auto"/>
                  </w:divBdr>
                  <w:divsChild>
                    <w:div w:id="2583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4490">
      <w:bodyDiv w:val="1"/>
      <w:marLeft w:val="0"/>
      <w:marRight w:val="0"/>
      <w:marTop w:val="0"/>
      <w:marBottom w:val="0"/>
      <w:divBdr>
        <w:top w:val="none" w:sz="0" w:space="0" w:color="auto"/>
        <w:left w:val="none" w:sz="0" w:space="0" w:color="auto"/>
        <w:bottom w:val="none" w:sz="0" w:space="0" w:color="auto"/>
        <w:right w:val="none" w:sz="0" w:space="0" w:color="auto"/>
      </w:divBdr>
    </w:div>
    <w:div w:id="1212839142">
      <w:bodyDiv w:val="1"/>
      <w:marLeft w:val="0"/>
      <w:marRight w:val="0"/>
      <w:marTop w:val="0"/>
      <w:marBottom w:val="0"/>
      <w:divBdr>
        <w:top w:val="none" w:sz="0" w:space="0" w:color="auto"/>
        <w:left w:val="none" w:sz="0" w:space="0" w:color="auto"/>
        <w:bottom w:val="none" w:sz="0" w:space="0" w:color="auto"/>
        <w:right w:val="none" w:sz="0" w:space="0" w:color="auto"/>
      </w:divBdr>
      <w:divsChild>
        <w:div w:id="1216623067">
          <w:marLeft w:val="0"/>
          <w:marRight w:val="0"/>
          <w:marTop w:val="0"/>
          <w:marBottom w:val="0"/>
          <w:divBdr>
            <w:top w:val="none" w:sz="0" w:space="0" w:color="auto"/>
            <w:left w:val="none" w:sz="0" w:space="0" w:color="auto"/>
            <w:bottom w:val="none" w:sz="0" w:space="0" w:color="auto"/>
            <w:right w:val="none" w:sz="0" w:space="0" w:color="auto"/>
          </w:divBdr>
        </w:div>
        <w:div w:id="1466505553">
          <w:marLeft w:val="0"/>
          <w:marRight w:val="0"/>
          <w:marTop w:val="0"/>
          <w:marBottom w:val="0"/>
          <w:divBdr>
            <w:top w:val="none" w:sz="0" w:space="0" w:color="auto"/>
            <w:left w:val="none" w:sz="0" w:space="0" w:color="auto"/>
            <w:bottom w:val="none" w:sz="0" w:space="0" w:color="auto"/>
            <w:right w:val="none" w:sz="0" w:space="0" w:color="auto"/>
          </w:divBdr>
        </w:div>
      </w:divsChild>
    </w:div>
    <w:div w:id="1217427474">
      <w:bodyDiv w:val="1"/>
      <w:marLeft w:val="0"/>
      <w:marRight w:val="0"/>
      <w:marTop w:val="0"/>
      <w:marBottom w:val="0"/>
      <w:divBdr>
        <w:top w:val="none" w:sz="0" w:space="0" w:color="auto"/>
        <w:left w:val="none" w:sz="0" w:space="0" w:color="auto"/>
        <w:bottom w:val="none" w:sz="0" w:space="0" w:color="auto"/>
        <w:right w:val="none" w:sz="0" w:space="0" w:color="auto"/>
      </w:divBdr>
      <w:divsChild>
        <w:div w:id="608465683">
          <w:marLeft w:val="0"/>
          <w:marRight w:val="0"/>
          <w:marTop w:val="0"/>
          <w:marBottom w:val="0"/>
          <w:divBdr>
            <w:top w:val="none" w:sz="0" w:space="0" w:color="auto"/>
            <w:left w:val="none" w:sz="0" w:space="0" w:color="auto"/>
            <w:bottom w:val="none" w:sz="0" w:space="0" w:color="auto"/>
            <w:right w:val="none" w:sz="0" w:space="0" w:color="auto"/>
          </w:divBdr>
          <w:divsChild>
            <w:div w:id="2053917902">
              <w:marLeft w:val="0"/>
              <w:marRight w:val="0"/>
              <w:marTop w:val="0"/>
              <w:marBottom w:val="0"/>
              <w:divBdr>
                <w:top w:val="none" w:sz="0" w:space="0" w:color="auto"/>
                <w:left w:val="none" w:sz="0" w:space="0" w:color="auto"/>
                <w:bottom w:val="none" w:sz="0" w:space="0" w:color="auto"/>
                <w:right w:val="none" w:sz="0" w:space="0" w:color="auto"/>
              </w:divBdr>
              <w:divsChild>
                <w:div w:id="1232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5972">
      <w:bodyDiv w:val="1"/>
      <w:marLeft w:val="0"/>
      <w:marRight w:val="0"/>
      <w:marTop w:val="0"/>
      <w:marBottom w:val="0"/>
      <w:divBdr>
        <w:top w:val="none" w:sz="0" w:space="0" w:color="auto"/>
        <w:left w:val="none" w:sz="0" w:space="0" w:color="auto"/>
        <w:bottom w:val="none" w:sz="0" w:space="0" w:color="auto"/>
        <w:right w:val="none" w:sz="0" w:space="0" w:color="auto"/>
      </w:divBdr>
      <w:divsChild>
        <w:div w:id="1699430416">
          <w:marLeft w:val="0"/>
          <w:marRight w:val="0"/>
          <w:marTop w:val="0"/>
          <w:marBottom w:val="0"/>
          <w:divBdr>
            <w:top w:val="none" w:sz="0" w:space="0" w:color="auto"/>
            <w:left w:val="none" w:sz="0" w:space="0" w:color="auto"/>
            <w:bottom w:val="none" w:sz="0" w:space="0" w:color="auto"/>
            <w:right w:val="none" w:sz="0" w:space="0" w:color="auto"/>
          </w:divBdr>
          <w:divsChild>
            <w:div w:id="1577669767">
              <w:marLeft w:val="0"/>
              <w:marRight w:val="0"/>
              <w:marTop w:val="0"/>
              <w:marBottom w:val="0"/>
              <w:divBdr>
                <w:top w:val="none" w:sz="0" w:space="0" w:color="auto"/>
                <w:left w:val="none" w:sz="0" w:space="0" w:color="auto"/>
                <w:bottom w:val="none" w:sz="0" w:space="0" w:color="auto"/>
                <w:right w:val="none" w:sz="0" w:space="0" w:color="auto"/>
              </w:divBdr>
              <w:divsChild>
                <w:div w:id="695811772">
                  <w:marLeft w:val="0"/>
                  <w:marRight w:val="0"/>
                  <w:marTop w:val="0"/>
                  <w:marBottom w:val="0"/>
                  <w:divBdr>
                    <w:top w:val="none" w:sz="0" w:space="0" w:color="auto"/>
                    <w:left w:val="none" w:sz="0" w:space="0" w:color="auto"/>
                    <w:bottom w:val="none" w:sz="0" w:space="0" w:color="auto"/>
                    <w:right w:val="none" w:sz="0" w:space="0" w:color="auto"/>
                  </w:divBdr>
                  <w:divsChild>
                    <w:div w:id="2015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28512">
      <w:bodyDiv w:val="1"/>
      <w:marLeft w:val="0"/>
      <w:marRight w:val="0"/>
      <w:marTop w:val="0"/>
      <w:marBottom w:val="0"/>
      <w:divBdr>
        <w:top w:val="none" w:sz="0" w:space="0" w:color="auto"/>
        <w:left w:val="none" w:sz="0" w:space="0" w:color="auto"/>
        <w:bottom w:val="none" w:sz="0" w:space="0" w:color="auto"/>
        <w:right w:val="none" w:sz="0" w:space="0" w:color="auto"/>
      </w:divBdr>
    </w:div>
    <w:div w:id="1361586275">
      <w:bodyDiv w:val="1"/>
      <w:marLeft w:val="0"/>
      <w:marRight w:val="0"/>
      <w:marTop w:val="0"/>
      <w:marBottom w:val="0"/>
      <w:divBdr>
        <w:top w:val="none" w:sz="0" w:space="0" w:color="auto"/>
        <w:left w:val="none" w:sz="0" w:space="0" w:color="auto"/>
        <w:bottom w:val="none" w:sz="0" w:space="0" w:color="auto"/>
        <w:right w:val="none" w:sz="0" w:space="0" w:color="auto"/>
      </w:divBdr>
      <w:divsChild>
        <w:div w:id="1721323351">
          <w:marLeft w:val="0"/>
          <w:marRight w:val="0"/>
          <w:marTop w:val="0"/>
          <w:marBottom w:val="0"/>
          <w:divBdr>
            <w:top w:val="none" w:sz="0" w:space="0" w:color="auto"/>
            <w:left w:val="none" w:sz="0" w:space="0" w:color="auto"/>
            <w:bottom w:val="none" w:sz="0" w:space="0" w:color="auto"/>
            <w:right w:val="none" w:sz="0" w:space="0" w:color="auto"/>
          </w:divBdr>
          <w:divsChild>
            <w:div w:id="2010476007">
              <w:marLeft w:val="0"/>
              <w:marRight w:val="0"/>
              <w:marTop w:val="0"/>
              <w:marBottom w:val="0"/>
              <w:divBdr>
                <w:top w:val="none" w:sz="0" w:space="0" w:color="auto"/>
                <w:left w:val="none" w:sz="0" w:space="0" w:color="auto"/>
                <w:bottom w:val="none" w:sz="0" w:space="0" w:color="auto"/>
                <w:right w:val="none" w:sz="0" w:space="0" w:color="auto"/>
              </w:divBdr>
              <w:divsChild>
                <w:div w:id="892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0624">
      <w:bodyDiv w:val="1"/>
      <w:marLeft w:val="0"/>
      <w:marRight w:val="0"/>
      <w:marTop w:val="0"/>
      <w:marBottom w:val="0"/>
      <w:divBdr>
        <w:top w:val="none" w:sz="0" w:space="0" w:color="auto"/>
        <w:left w:val="none" w:sz="0" w:space="0" w:color="auto"/>
        <w:bottom w:val="none" w:sz="0" w:space="0" w:color="auto"/>
        <w:right w:val="none" w:sz="0" w:space="0" w:color="auto"/>
      </w:divBdr>
    </w:div>
    <w:div w:id="1386300167">
      <w:bodyDiv w:val="1"/>
      <w:marLeft w:val="0"/>
      <w:marRight w:val="0"/>
      <w:marTop w:val="0"/>
      <w:marBottom w:val="0"/>
      <w:divBdr>
        <w:top w:val="none" w:sz="0" w:space="0" w:color="auto"/>
        <w:left w:val="none" w:sz="0" w:space="0" w:color="auto"/>
        <w:bottom w:val="none" w:sz="0" w:space="0" w:color="auto"/>
        <w:right w:val="none" w:sz="0" w:space="0" w:color="auto"/>
      </w:divBdr>
      <w:divsChild>
        <w:div w:id="313029372">
          <w:marLeft w:val="0"/>
          <w:marRight w:val="0"/>
          <w:marTop w:val="0"/>
          <w:marBottom w:val="0"/>
          <w:divBdr>
            <w:top w:val="none" w:sz="0" w:space="0" w:color="auto"/>
            <w:left w:val="none" w:sz="0" w:space="0" w:color="auto"/>
            <w:bottom w:val="none" w:sz="0" w:space="0" w:color="auto"/>
            <w:right w:val="none" w:sz="0" w:space="0" w:color="auto"/>
          </w:divBdr>
          <w:divsChild>
            <w:div w:id="1433936368">
              <w:marLeft w:val="0"/>
              <w:marRight w:val="0"/>
              <w:marTop w:val="0"/>
              <w:marBottom w:val="0"/>
              <w:divBdr>
                <w:top w:val="none" w:sz="0" w:space="0" w:color="auto"/>
                <w:left w:val="none" w:sz="0" w:space="0" w:color="auto"/>
                <w:bottom w:val="none" w:sz="0" w:space="0" w:color="auto"/>
                <w:right w:val="none" w:sz="0" w:space="0" w:color="auto"/>
              </w:divBdr>
              <w:divsChild>
                <w:div w:id="3196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6292">
      <w:bodyDiv w:val="1"/>
      <w:marLeft w:val="0"/>
      <w:marRight w:val="0"/>
      <w:marTop w:val="0"/>
      <w:marBottom w:val="0"/>
      <w:divBdr>
        <w:top w:val="none" w:sz="0" w:space="0" w:color="auto"/>
        <w:left w:val="none" w:sz="0" w:space="0" w:color="auto"/>
        <w:bottom w:val="none" w:sz="0" w:space="0" w:color="auto"/>
        <w:right w:val="none" w:sz="0" w:space="0" w:color="auto"/>
      </w:divBdr>
      <w:divsChild>
        <w:div w:id="28535454">
          <w:marLeft w:val="0"/>
          <w:marRight w:val="0"/>
          <w:marTop w:val="0"/>
          <w:marBottom w:val="0"/>
          <w:divBdr>
            <w:top w:val="none" w:sz="0" w:space="0" w:color="auto"/>
            <w:left w:val="none" w:sz="0" w:space="0" w:color="auto"/>
            <w:bottom w:val="none" w:sz="0" w:space="0" w:color="auto"/>
            <w:right w:val="none" w:sz="0" w:space="0" w:color="auto"/>
          </w:divBdr>
          <w:divsChild>
            <w:div w:id="1860393340">
              <w:marLeft w:val="0"/>
              <w:marRight w:val="0"/>
              <w:marTop w:val="0"/>
              <w:marBottom w:val="0"/>
              <w:divBdr>
                <w:top w:val="none" w:sz="0" w:space="0" w:color="auto"/>
                <w:left w:val="none" w:sz="0" w:space="0" w:color="auto"/>
                <w:bottom w:val="none" w:sz="0" w:space="0" w:color="auto"/>
                <w:right w:val="none" w:sz="0" w:space="0" w:color="auto"/>
              </w:divBdr>
              <w:divsChild>
                <w:div w:id="1776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86600">
      <w:bodyDiv w:val="1"/>
      <w:marLeft w:val="0"/>
      <w:marRight w:val="0"/>
      <w:marTop w:val="0"/>
      <w:marBottom w:val="0"/>
      <w:divBdr>
        <w:top w:val="none" w:sz="0" w:space="0" w:color="auto"/>
        <w:left w:val="none" w:sz="0" w:space="0" w:color="auto"/>
        <w:bottom w:val="none" w:sz="0" w:space="0" w:color="auto"/>
        <w:right w:val="none" w:sz="0" w:space="0" w:color="auto"/>
      </w:divBdr>
      <w:divsChild>
        <w:div w:id="144401621">
          <w:marLeft w:val="0"/>
          <w:marRight w:val="0"/>
          <w:marTop w:val="0"/>
          <w:marBottom w:val="0"/>
          <w:divBdr>
            <w:top w:val="none" w:sz="0" w:space="0" w:color="auto"/>
            <w:left w:val="none" w:sz="0" w:space="0" w:color="auto"/>
            <w:bottom w:val="none" w:sz="0" w:space="0" w:color="auto"/>
            <w:right w:val="none" w:sz="0" w:space="0" w:color="auto"/>
          </w:divBdr>
          <w:divsChild>
            <w:div w:id="531117190">
              <w:marLeft w:val="0"/>
              <w:marRight w:val="0"/>
              <w:marTop w:val="0"/>
              <w:marBottom w:val="0"/>
              <w:divBdr>
                <w:top w:val="none" w:sz="0" w:space="0" w:color="auto"/>
                <w:left w:val="none" w:sz="0" w:space="0" w:color="auto"/>
                <w:bottom w:val="none" w:sz="0" w:space="0" w:color="auto"/>
                <w:right w:val="none" w:sz="0" w:space="0" w:color="auto"/>
              </w:divBdr>
            </w:div>
          </w:divsChild>
        </w:div>
        <w:div w:id="1358117089">
          <w:marLeft w:val="0"/>
          <w:marRight w:val="0"/>
          <w:marTop w:val="0"/>
          <w:marBottom w:val="0"/>
          <w:divBdr>
            <w:top w:val="none" w:sz="0" w:space="0" w:color="auto"/>
            <w:left w:val="none" w:sz="0" w:space="0" w:color="auto"/>
            <w:bottom w:val="none" w:sz="0" w:space="0" w:color="auto"/>
            <w:right w:val="none" w:sz="0" w:space="0" w:color="auto"/>
          </w:divBdr>
          <w:divsChild>
            <w:div w:id="1319067326">
              <w:marLeft w:val="0"/>
              <w:marRight w:val="0"/>
              <w:marTop w:val="0"/>
              <w:marBottom w:val="0"/>
              <w:divBdr>
                <w:top w:val="none" w:sz="0" w:space="0" w:color="auto"/>
                <w:left w:val="none" w:sz="0" w:space="0" w:color="auto"/>
                <w:bottom w:val="none" w:sz="0" w:space="0" w:color="auto"/>
                <w:right w:val="none" w:sz="0" w:space="0" w:color="auto"/>
              </w:divBdr>
            </w:div>
            <w:div w:id="1648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4904">
      <w:bodyDiv w:val="1"/>
      <w:marLeft w:val="0"/>
      <w:marRight w:val="0"/>
      <w:marTop w:val="0"/>
      <w:marBottom w:val="0"/>
      <w:divBdr>
        <w:top w:val="none" w:sz="0" w:space="0" w:color="auto"/>
        <w:left w:val="none" w:sz="0" w:space="0" w:color="auto"/>
        <w:bottom w:val="none" w:sz="0" w:space="0" w:color="auto"/>
        <w:right w:val="none" w:sz="0" w:space="0" w:color="auto"/>
      </w:divBdr>
      <w:divsChild>
        <w:div w:id="563372722">
          <w:marLeft w:val="0"/>
          <w:marRight w:val="0"/>
          <w:marTop w:val="0"/>
          <w:marBottom w:val="0"/>
          <w:divBdr>
            <w:top w:val="none" w:sz="0" w:space="0" w:color="auto"/>
            <w:left w:val="none" w:sz="0" w:space="0" w:color="auto"/>
            <w:bottom w:val="none" w:sz="0" w:space="0" w:color="auto"/>
            <w:right w:val="none" w:sz="0" w:space="0" w:color="auto"/>
          </w:divBdr>
          <w:divsChild>
            <w:div w:id="11494474">
              <w:marLeft w:val="0"/>
              <w:marRight w:val="0"/>
              <w:marTop w:val="0"/>
              <w:marBottom w:val="0"/>
              <w:divBdr>
                <w:top w:val="none" w:sz="0" w:space="0" w:color="auto"/>
                <w:left w:val="none" w:sz="0" w:space="0" w:color="auto"/>
                <w:bottom w:val="none" w:sz="0" w:space="0" w:color="auto"/>
                <w:right w:val="none" w:sz="0" w:space="0" w:color="auto"/>
              </w:divBdr>
              <w:divsChild>
                <w:div w:id="603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3083">
      <w:bodyDiv w:val="1"/>
      <w:marLeft w:val="0"/>
      <w:marRight w:val="0"/>
      <w:marTop w:val="0"/>
      <w:marBottom w:val="0"/>
      <w:divBdr>
        <w:top w:val="none" w:sz="0" w:space="0" w:color="auto"/>
        <w:left w:val="none" w:sz="0" w:space="0" w:color="auto"/>
        <w:bottom w:val="none" w:sz="0" w:space="0" w:color="auto"/>
        <w:right w:val="none" w:sz="0" w:space="0" w:color="auto"/>
      </w:divBdr>
    </w:div>
    <w:div w:id="2015841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4890-04B7-43C7-A493-F61AC556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15098</Words>
  <Characters>86061</Characters>
  <Application>Microsoft Office Word</Application>
  <DocSecurity>4</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2018-03-27T12:49:00Z</cp:lastPrinted>
  <dcterms:created xsi:type="dcterms:W3CDTF">2019-02-05T10:14:00Z</dcterms:created>
  <dcterms:modified xsi:type="dcterms:W3CDTF">2019-02-05T10:14:00Z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http://www.zotero.org/styles/applied-health-economics-and-health-policy</vt:lpwstr>
  </property>
  <property fmtid="{D5CDD505-2E9C-101B-9397-08002B2CF9AE}" pid="9" name="Mendeley Recent Style Name 3_1">
    <vt:lpwstr>Applied Health Economics and Health Policy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http://www.zotero.org/styles/health-policy-and-planning</vt:lpwstr>
  </property>
  <property fmtid="{D5CDD505-2E9C-101B-9397-08002B2CF9AE}" pid="15" name="Mendeley Recent Style Name 6_1">
    <vt:lpwstr>Health Policy and Planning</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a5a6d70a-390b-3f2b-8954-965d026c7a48</vt:lpwstr>
  </property>
  <property fmtid="{D5CDD505-2E9C-101B-9397-08002B2CF9AE}" pid="24" name="Mendeley Citation Style_1">
    <vt:lpwstr>http://www.zotero.org/styles/applied-health-economics-and-health-policy</vt:lpwstr>
  </property>
</Properties>
</file>