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A6" w:rsidRPr="008460EA" w:rsidRDefault="00F20833" w:rsidP="00736C35">
      <w:pPr>
        <w:spacing w:line="276" w:lineRule="auto"/>
        <w:rPr>
          <w:rFonts w:asciiTheme="majorHAnsi" w:hAnsiTheme="majorHAnsi" w:cstheme="majorHAnsi"/>
          <w:b/>
        </w:rPr>
      </w:pPr>
      <w:r w:rsidRPr="008460EA">
        <w:rPr>
          <w:rFonts w:asciiTheme="majorHAnsi" w:hAnsiTheme="majorHAnsi" w:cstheme="majorHAnsi"/>
          <w:b/>
        </w:rPr>
        <w:t>PICH Editorial</w:t>
      </w:r>
      <w:r w:rsidR="00BA24C4" w:rsidRPr="008460EA">
        <w:rPr>
          <w:rFonts w:asciiTheme="majorHAnsi" w:hAnsiTheme="majorHAnsi" w:cstheme="majorHAnsi"/>
          <w:b/>
        </w:rPr>
        <w:t xml:space="preserve"> Gastroenterology special edition</w:t>
      </w:r>
    </w:p>
    <w:p w:rsidR="00823A89" w:rsidRPr="008460EA" w:rsidRDefault="008D767E" w:rsidP="00736C35">
      <w:pPr>
        <w:spacing w:before="100" w:beforeAutospacing="1" w:after="100" w:afterAutospacing="1" w:line="276" w:lineRule="auto"/>
        <w:outlineLvl w:val="2"/>
        <w:rPr>
          <w:rFonts w:asciiTheme="majorHAnsi" w:hAnsiTheme="majorHAnsi" w:cstheme="majorHAnsi"/>
          <w:b/>
          <w:bCs/>
          <w:lang w:eastAsia="en-GB"/>
        </w:rPr>
      </w:pPr>
      <w:bookmarkStart w:id="0" w:name="_GoBack"/>
      <w:r w:rsidRPr="008460EA">
        <w:rPr>
          <w:rFonts w:asciiTheme="majorHAnsi" w:hAnsiTheme="majorHAnsi" w:cstheme="majorHAnsi"/>
          <w:b/>
          <w:bCs/>
          <w:lang w:eastAsia="en-GB"/>
        </w:rPr>
        <w:t>C</w:t>
      </w:r>
      <w:r w:rsidR="00823A89" w:rsidRPr="008460EA">
        <w:rPr>
          <w:rFonts w:asciiTheme="majorHAnsi" w:hAnsiTheme="majorHAnsi" w:cstheme="majorHAnsi"/>
          <w:b/>
          <w:bCs/>
          <w:lang w:eastAsia="en-GB"/>
        </w:rPr>
        <w:t xml:space="preserve">hallenges and </w:t>
      </w:r>
      <w:r w:rsidR="00B643FF" w:rsidRPr="008460EA">
        <w:rPr>
          <w:rFonts w:asciiTheme="majorHAnsi" w:hAnsiTheme="majorHAnsi" w:cstheme="majorHAnsi"/>
          <w:b/>
          <w:bCs/>
          <w:lang w:eastAsia="en-GB"/>
        </w:rPr>
        <w:t xml:space="preserve">opportunities </w:t>
      </w:r>
      <w:r w:rsidRPr="008460EA">
        <w:rPr>
          <w:rFonts w:asciiTheme="majorHAnsi" w:hAnsiTheme="majorHAnsi" w:cstheme="majorHAnsi"/>
          <w:b/>
          <w:bCs/>
          <w:lang w:eastAsia="en-GB"/>
        </w:rPr>
        <w:t xml:space="preserve">for </w:t>
      </w:r>
      <w:r w:rsidR="00823A89" w:rsidRPr="008460EA">
        <w:rPr>
          <w:rFonts w:asciiTheme="majorHAnsi" w:hAnsiTheme="majorHAnsi" w:cstheme="majorHAnsi"/>
          <w:b/>
          <w:bCs/>
          <w:lang w:eastAsia="en-GB"/>
        </w:rPr>
        <w:t>paediatric gastroenterology in low and middle income countries</w:t>
      </w:r>
      <w:r w:rsidR="001D10BB">
        <w:rPr>
          <w:rFonts w:asciiTheme="majorHAnsi" w:hAnsiTheme="majorHAnsi" w:cstheme="majorHAnsi"/>
          <w:b/>
          <w:bCs/>
          <w:lang w:eastAsia="en-GB"/>
        </w:rPr>
        <w:t>:</w:t>
      </w:r>
      <w:r w:rsidR="007F32BB" w:rsidRPr="008460EA">
        <w:rPr>
          <w:rFonts w:asciiTheme="majorHAnsi" w:hAnsiTheme="majorHAnsi" w:cstheme="majorHAnsi"/>
          <w:b/>
          <w:bCs/>
          <w:lang w:eastAsia="en-GB"/>
        </w:rPr>
        <w:t xml:space="preserve"> </w:t>
      </w:r>
      <w:r w:rsidR="0064265D" w:rsidRPr="008460EA">
        <w:rPr>
          <w:rFonts w:asciiTheme="majorHAnsi" w:hAnsiTheme="majorHAnsi" w:cstheme="majorHAnsi"/>
          <w:b/>
          <w:bCs/>
          <w:lang w:eastAsia="en-GB"/>
        </w:rPr>
        <w:t xml:space="preserve">high </w:t>
      </w:r>
      <w:r w:rsidR="007F32BB" w:rsidRPr="008460EA">
        <w:rPr>
          <w:rFonts w:asciiTheme="majorHAnsi" w:hAnsiTheme="majorHAnsi" w:cstheme="majorHAnsi"/>
          <w:b/>
          <w:bCs/>
          <w:lang w:eastAsia="en-GB"/>
        </w:rPr>
        <w:t>time to act.</w:t>
      </w:r>
    </w:p>
    <w:bookmarkEnd w:id="0"/>
    <w:p w:rsidR="00803C44" w:rsidRPr="008460EA" w:rsidRDefault="00D66520" w:rsidP="00736C35">
      <w:pPr>
        <w:spacing w:line="276" w:lineRule="auto"/>
        <w:rPr>
          <w:rFonts w:asciiTheme="majorHAnsi" w:hAnsiTheme="majorHAnsi" w:cstheme="majorHAnsi"/>
          <w:iCs/>
        </w:rPr>
      </w:pPr>
      <w:r w:rsidRPr="008460EA">
        <w:rPr>
          <w:rFonts w:asciiTheme="majorHAnsi" w:hAnsiTheme="majorHAnsi" w:cstheme="majorHAnsi"/>
          <w:lang w:eastAsia="en-GB"/>
        </w:rPr>
        <w:t xml:space="preserve">Paediatric gastroenterology remains a poorly developed area of subspecialty </w:t>
      </w:r>
      <w:r w:rsidR="00803C44" w:rsidRPr="008460EA">
        <w:rPr>
          <w:rFonts w:asciiTheme="majorHAnsi" w:hAnsiTheme="majorHAnsi" w:cstheme="majorHAnsi"/>
          <w:lang w:eastAsia="en-GB"/>
        </w:rPr>
        <w:t xml:space="preserve">paediatrics in many </w:t>
      </w:r>
      <w:proofErr w:type="gramStart"/>
      <w:r w:rsidR="00803C44" w:rsidRPr="008460EA">
        <w:rPr>
          <w:rFonts w:asciiTheme="majorHAnsi" w:hAnsiTheme="majorHAnsi" w:cstheme="majorHAnsi"/>
          <w:bCs/>
          <w:lang w:eastAsia="en-GB"/>
        </w:rPr>
        <w:t>low and middle income</w:t>
      </w:r>
      <w:proofErr w:type="gramEnd"/>
      <w:r w:rsidR="00803C44" w:rsidRPr="008460EA">
        <w:rPr>
          <w:rFonts w:asciiTheme="majorHAnsi" w:hAnsiTheme="majorHAnsi" w:cstheme="majorHAnsi"/>
          <w:bCs/>
          <w:lang w:eastAsia="en-GB"/>
        </w:rPr>
        <w:t xml:space="preserve"> countries</w:t>
      </w:r>
      <w:r w:rsidR="00803C44" w:rsidRPr="008460EA">
        <w:rPr>
          <w:rFonts w:asciiTheme="majorHAnsi" w:hAnsiTheme="majorHAnsi" w:cstheme="majorHAnsi"/>
          <w:lang w:eastAsia="en-GB"/>
        </w:rPr>
        <w:t xml:space="preserve"> (LMIC</w:t>
      </w:r>
      <w:r w:rsidR="00803C44" w:rsidRPr="008460EA">
        <w:rPr>
          <w:rFonts w:asciiTheme="majorHAnsi" w:hAnsiTheme="majorHAnsi" w:cstheme="majorHAnsi"/>
          <w:iCs/>
        </w:rPr>
        <w:t>)</w:t>
      </w:r>
      <w:r w:rsidR="0063375D" w:rsidRPr="0063375D">
        <w:rPr>
          <w:rFonts w:asciiTheme="majorHAnsi" w:hAnsiTheme="majorHAnsi" w:cstheme="majorHAnsi"/>
          <w:iCs/>
          <w:vertAlign w:val="superscript"/>
        </w:rPr>
        <w:t>1,2</w:t>
      </w:r>
      <w:r w:rsidR="00640E56" w:rsidRPr="008460EA">
        <w:rPr>
          <w:rFonts w:asciiTheme="majorHAnsi" w:hAnsiTheme="majorHAnsi" w:cstheme="majorHAnsi"/>
          <w:lang w:eastAsia="en-GB"/>
        </w:rPr>
        <w:t>. Here,</w:t>
      </w:r>
      <w:r w:rsidR="00C3061B" w:rsidRPr="008460EA">
        <w:rPr>
          <w:rFonts w:asciiTheme="majorHAnsi" w:hAnsiTheme="majorHAnsi" w:cstheme="majorHAnsi"/>
          <w:lang w:eastAsia="en-GB"/>
        </w:rPr>
        <w:t xml:space="preserve"> </w:t>
      </w:r>
      <w:r w:rsidR="00857D28" w:rsidRPr="008460EA">
        <w:rPr>
          <w:rFonts w:asciiTheme="majorHAnsi" w:hAnsiTheme="majorHAnsi" w:cstheme="majorHAnsi"/>
          <w:lang w:eastAsia="en-GB"/>
        </w:rPr>
        <w:t xml:space="preserve">general paediatricians and </w:t>
      </w:r>
      <w:r w:rsidR="00D72CDF">
        <w:rPr>
          <w:rFonts w:asciiTheme="majorHAnsi" w:hAnsiTheme="majorHAnsi" w:cstheme="majorHAnsi"/>
          <w:lang w:eastAsia="en-GB"/>
        </w:rPr>
        <w:t xml:space="preserve">other </w:t>
      </w:r>
      <w:r w:rsidR="00857D28" w:rsidRPr="008460EA">
        <w:rPr>
          <w:rFonts w:asciiTheme="majorHAnsi" w:hAnsiTheme="majorHAnsi" w:cstheme="majorHAnsi"/>
          <w:lang w:eastAsia="en-GB"/>
        </w:rPr>
        <w:t xml:space="preserve">health staff with no specialist training </w:t>
      </w:r>
      <w:r w:rsidR="001F5FE4" w:rsidRPr="008460EA">
        <w:rPr>
          <w:rFonts w:asciiTheme="majorHAnsi" w:hAnsiTheme="majorHAnsi" w:cstheme="majorHAnsi"/>
          <w:lang w:eastAsia="en-GB"/>
        </w:rPr>
        <w:t xml:space="preserve">manage </w:t>
      </w:r>
      <w:r w:rsidR="001D10BB" w:rsidRPr="008460EA">
        <w:rPr>
          <w:rFonts w:asciiTheme="majorHAnsi" w:hAnsiTheme="majorHAnsi" w:cstheme="majorHAnsi"/>
          <w:lang w:eastAsia="en-GB"/>
        </w:rPr>
        <w:t xml:space="preserve">as best they can </w:t>
      </w:r>
      <w:r w:rsidR="00C34CC8" w:rsidRPr="008460EA">
        <w:rPr>
          <w:rFonts w:asciiTheme="majorHAnsi" w:hAnsiTheme="majorHAnsi" w:cstheme="majorHAnsi"/>
          <w:lang w:eastAsia="en-GB"/>
        </w:rPr>
        <w:t xml:space="preserve">often complex paediatric gastroenterology conditions </w:t>
      </w:r>
      <w:r w:rsidR="00D72CDF">
        <w:rPr>
          <w:rFonts w:asciiTheme="majorHAnsi" w:hAnsiTheme="majorHAnsi" w:cstheme="majorHAnsi"/>
          <w:lang w:eastAsia="en-GB"/>
        </w:rPr>
        <w:t xml:space="preserve">which often </w:t>
      </w:r>
      <w:r w:rsidRPr="008460EA">
        <w:rPr>
          <w:rFonts w:asciiTheme="majorHAnsi" w:hAnsiTheme="majorHAnsi" w:cstheme="majorHAnsi"/>
          <w:lang w:eastAsia="en-GB"/>
        </w:rPr>
        <w:t>result</w:t>
      </w:r>
      <w:r w:rsidR="00D72CDF">
        <w:rPr>
          <w:rFonts w:asciiTheme="majorHAnsi" w:hAnsiTheme="majorHAnsi" w:cstheme="majorHAnsi"/>
          <w:lang w:eastAsia="en-GB"/>
        </w:rPr>
        <w:t>s</w:t>
      </w:r>
      <w:r w:rsidRPr="008460EA">
        <w:rPr>
          <w:rFonts w:asciiTheme="majorHAnsi" w:hAnsiTheme="majorHAnsi" w:cstheme="majorHAnsi"/>
          <w:lang w:eastAsia="en-GB"/>
        </w:rPr>
        <w:t xml:space="preserve"> in delayed diagnosis, complications and avoidable mortality.</w:t>
      </w:r>
      <w:r w:rsidR="00FE5CC1" w:rsidRPr="008460EA">
        <w:rPr>
          <w:rFonts w:asciiTheme="majorHAnsi" w:hAnsiTheme="majorHAnsi" w:cstheme="majorHAnsi"/>
          <w:lang w:eastAsia="en-GB"/>
        </w:rPr>
        <w:t xml:space="preserve"> </w:t>
      </w:r>
    </w:p>
    <w:p w:rsidR="00803C44" w:rsidRPr="008460EA" w:rsidRDefault="00803C44" w:rsidP="00736C35">
      <w:pPr>
        <w:spacing w:line="276" w:lineRule="auto"/>
        <w:rPr>
          <w:rFonts w:asciiTheme="majorHAnsi" w:hAnsiTheme="majorHAnsi" w:cstheme="majorHAnsi"/>
          <w:lang w:eastAsia="en-GB"/>
        </w:rPr>
      </w:pPr>
    </w:p>
    <w:p w:rsidR="00D66520" w:rsidRPr="008460EA" w:rsidRDefault="00FE5CC1" w:rsidP="00736C35">
      <w:pPr>
        <w:spacing w:line="276" w:lineRule="auto"/>
        <w:rPr>
          <w:rFonts w:asciiTheme="majorHAnsi" w:hAnsiTheme="majorHAnsi" w:cstheme="majorHAnsi"/>
          <w:lang w:eastAsia="en-GB"/>
        </w:rPr>
      </w:pPr>
      <w:r w:rsidRPr="008460EA">
        <w:rPr>
          <w:rFonts w:asciiTheme="majorHAnsi" w:hAnsiTheme="majorHAnsi" w:cstheme="majorHAnsi"/>
          <w:lang w:eastAsia="en-GB"/>
        </w:rPr>
        <w:t>In LMIC</w:t>
      </w:r>
      <w:r w:rsidR="00716E35">
        <w:rPr>
          <w:rFonts w:asciiTheme="majorHAnsi" w:hAnsiTheme="majorHAnsi" w:cstheme="majorHAnsi"/>
          <w:lang w:eastAsia="en-GB"/>
        </w:rPr>
        <w:t xml:space="preserve">, </w:t>
      </w:r>
      <w:r w:rsidRPr="008460EA">
        <w:rPr>
          <w:rFonts w:asciiTheme="majorHAnsi" w:hAnsiTheme="majorHAnsi" w:cstheme="majorHAnsi"/>
          <w:lang w:eastAsia="en-GB"/>
        </w:rPr>
        <w:t xml:space="preserve">there are few formally trained and certified paediatric gastroenterologists and </w:t>
      </w:r>
      <w:r w:rsidR="00840CAF" w:rsidRPr="008460EA">
        <w:rPr>
          <w:rFonts w:asciiTheme="majorHAnsi" w:hAnsiTheme="majorHAnsi" w:cstheme="majorHAnsi"/>
          <w:lang w:val="en-US" w:eastAsia="en-GB"/>
        </w:rPr>
        <w:t xml:space="preserve">few </w:t>
      </w:r>
      <w:r w:rsidRPr="008460EA">
        <w:rPr>
          <w:rFonts w:asciiTheme="majorHAnsi" w:hAnsiTheme="majorHAnsi" w:cstheme="majorHAnsi"/>
          <w:lang w:val="en-US" w:eastAsia="en-GB"/>
        </w:rPr>
        <w:t xml:space="preserve">subspecialty training </w:t>
      </w:r>
      <w:proofErr w:type="spellStart"/>
      <w:r w:rsidRPr="008460EA">
        <w:rPr>
          <w:rFonts w:asciiTheme="majorHAnsi" w:hAnsiTheme="majorHAnsi" w:cstheme="majorHAnsi"/>
          <w:lang w:val="en-US" w:eastAsia="en-GB"/>
        </w:rPr>
        <w:t>programmes</w:t>
      </w:r>
      <w:proofErr w:type="spellEnd"/>
      <w:r w:rsidRPr="008460EA">
        <w:rPr>
          <w:rFonts w:asciiTheme="majorHAnsi" w:hAnsiTheme="majorHAnsi" w:cstheme="majorHAnsi"/>
          <w:lang w:eastAsia="en-GB"/>
        </w:rPr>
        <w:t>.</w:t>
      </w:r>
      <w:r w:rsidR="00D0073B" w:rsidRPr="00D0073B">
        <w:rPr>
          <w:rFonts w:asciiTheme="majorHAnsi" w:hAnsiTheme="majorHAnsi" w:cstheme="majorHAnsi"/>
          <w:vertAlign w:val="superscript"/>
          <w:lang w:eastAsia="en-GB"/>
        </w:rPr>
        <w:t>3,4</w:t>
      </w:r>
      <w:r w:rsidR="00D0073B">
        <w:rPr>
          <w:rFonts w:asciiTheme="majorHAnsi" w:hAnsiTheme="majorHAnsi" w:cstheme="majorHAnsi"/>
          <w:lang w:eastAsia="en-GB"/>
        </w:rPr>
        <w:t xml:space="preserve"> </w:t>
      </w:r>
      <w:proofErr w:type="gramStart"/>
      <w:r w:rsidRPr="008460EA">
        <w:rPr>
          <w:rFonts w:asciiTheme="majorHAnsi" w:hAnsiTheme="majorHAnsi" w:cstheme="majorHAnsi"/>
          <w:lang w:eastAsia="en-GB"/>
        </w:rPr>
        <w:t>This contrast</w:t>
      </w:r>
      <w:r w:rsidR="006021E8" w:rsidRPr="008460EA">
        <w:rPr>
          <w:rFonts w:asciiTheme="majorHAnsi" w:hAnsiTheme="majorHAnsi" w:cstheme="majorHAnsi"/>
          <w:lang w:eastAsia="en-GB"/>
        </w:rPr>
        <w:t>s</w:t>
      </w:r>
      <w:proofErr w:type="gramEnd"/>
      <w:r w:rsidRPr="008460EA">
        <w:rPr>
          <w:rFonts w:asciiTheme="majorHAnsi" w:hAnsiTheme="majorHAnsi" w:cstheme="majorHAnsi"/>
          <w:lang w:eastAsia="en-GB"/>
        </w:rPr>
        <w:t xml:space="preserve"> sharply with </w:t>
      </w:r>
      <w:r w:rsidR="006204FA" w:rsidRPr="008460EA">
        <w:rPr>
          <w:rFonts w:asciiTheme="majorHAnsi" w:hAnsiTheme="majorHAnsi" w:cstheme="majorHAnsi"/>
          <w:lang w:eastAsia="en-GB"/>
        </w:rPr>
        <w:t xml:space="preserve">well-structured and equipped centres </w:t>
      </w:r>
      <w:r w:rsidRPr="008460EA">
        <w:rPr>
          <w:rFonts w:asciiTheme="majorHAnsi" w:hAnsiTheme="majorHAnsi" w:cstheme="majorHAnsi"/>
          <w:lang w:eastAsia="en-GB"/>
        </w:rPr>
        <w:t xml:space="preserve">in high-income countries </w:t>
      </w:r>
      <w:r w:rsidR="00135D63" w:rsidRPr="008460EA">
        <w:rPr>
          <w:rFonts w:asciiTheme="majorHAnsi" w:hAnsiTheme="majorHAnsi" w:cstheme="majorHAnsi"/>
          <w:lang w:eastAsia="en-GB"/>
        </w:rPr>
        <w:t xml:space="preserve">(HIC) </w:t>
      </w:r>
      <w:r w:rsidR="006021E8" w:rsidRPr="008460EA">
        <w:rPr>
          <w:rFonts w:asciiTheme="majorHAnsi" w:hAnsiTheme="majorHAnsi" w:cstheme="majorHAnsi"/>
          <w:lang w:eastAsia="en-GB"/>
        </w:rPr>
        <w:t xml:space="preserve">that support trainees in </w:t>
      </w:r>
      <w:r w:rsidR="00D66520" w:rsidRPr="008460EA">
        <w:rPr>
          <w:rFonts w:asciiTheme="majorHAnsi" w:hAnsiTheme="majorHAnsi" w:cstheme="majorHAnsi"/>
          <w:lang w:eastAsia="en-GB"/>
        </w:rPr>
        <w:t>acquir</w:t>
      </w:r>
      <w:r w:rsidR="006021E8" w:rsidRPr="008460EA">
        <w:rPr>
          <w:rFonts w:asciiTheme="majorHAnsi" w:hAnsiTheme="majorHAnsi" w:cstheme="majorHAnsi"/>
          <w:lang w:eastAsia="en-GB"/>
        </w:rPr>
        <w:t>ing</w:t>
      </w:r>
      <w:r w:rsidR="00D66520" w:rsidRPr="008460EA">
        <w:rPr>
          <w:rFonts w:asciiTheme="majorHAnsi" w:hAnsiTheme="majorHAnsi" w:cstheme="majorHAnsi"/>
          <w:lang w:eastAsia="en-GB"/>
        </w:rPr>
        <w:t xml:space="preserve"> competence in enteral nutrition, endoscopy, endoscopic retrograde cholangiopancreatography, </w:t>
      </w:r>
      <w:r w:rsidR="002642A4" w:rsidRPr="008460EA">
        <w:rPr>
          <w:rFonts w:asciiTheme="majorHAnsi" w:hAnsiTheme="majorHAnsi" w:cstheme="majorHAnsi"/>
          <w:lang w:eastAsia="en-GB"/>
        </w:rPr>
        <w:t xml:space="preserve">imaging </w:t>
      </w:r>
      <w:r w:rsidR="00FF1D8C" w:rsidRPr="008460EA">
        <w:rPr>
          <w:rFonts w:asciiTheme="majorHAnsi" w:hAnsiTheme="majorHAnsi" w:cstheme="majorHAnsi"/>
          <w:lang w:eastAsia="en-GB"/>
        </w:rPr>
        <w:t xml:space="preserve">and the use of </w:t>
      </w:r>
      <w:r w:rsidR="000035EA" w:rsidRPr="008460EA">
        <w:rPr>
          <w:rFonts w:asciiTheme="majorHAnsi" w:hAnsiTheme="majorHAnsi" w:cstheme="majorHAnsi"/>
          <w:lang w:eastAsia="en-GB"/>
        </w:rPr>
        <w:t>bowel motility</w:t>
      </w:r>
      <w:r w:rsidR="00FF1D8C" w:rsidRPr="008460EA">
        <w:rPr>
          <w:rFonts w:asciiTheme="majorHAnsi" w:hAnsiTheme="majorHAnsi" w:cstheme="majorHAnsi"/>
          <w:lang w:eastAsia="en-GB"/>
        </w:rPr>
        <w:t xml:space="preserve">, </w:t>
      </w:r>
      <w:r w:rsidR="00D66520" w:rsidRPr="008460EA">
        <w:rPr>
          <w:rFonts w:asciiTheme="majorHAnsi" w:hAnsiTheme="majorHAnsi" w:cstheme="majorHAnsi"/>
          <w:lang w:eastAsia="en-GB"/>
        </w:rPr>
        <w:t xml:space="preserve">immunology and genetic studies.  </w:t>
      </w:r>
    </w:p>
    <w:p w:rsidR="009814A6" w:rsidRPr="008460EA" w:rsidRDefault="00D66520" w:rsidP="00736C35">
      <w:pPr>
        <w:spacing w:before="100" w:beforeAutospacing="1" w:after="100" w:afterAutospacing="1" w:line="276" w:lineRule="auto"/>
        <w:outlineLvl w:val="2"/>
        <w:rPr>
          <w:rFonts w:asciiTheme="majorHAnsi" w:hAnsiTheme="majorHAnsi" w:cstheme="majorHAnsi"/>
          <w:lang w:eastAsia="en-GB"/>
        </w:rPr>
      </w:pPr>
      <w:r w:rsidRPr="008460EA">
        <w:rPr>
          <w:rFonts w:asciiTheme="majorHAnsi" w:hAnsiTheme="majorHAnsi" w:cstheme="majorHAnsi"/>
          <w:lang w:eastAsia="en-GB"/>
        </w:rPr>
        <w:t xml:space="preserve">In Nigeria, like </w:t>
      </w:r>
      <w:r w:rsidR="00C94AA6" w:rsidRPr="008460EA">
        <w:rPr>
          <w:rFonts w:asciiTheme="majorHAnsi" w:hAnsiTheme="majorHAnsi" w:cstheme="majorHAnsi"/>
          <w:lang w:eastAsia="en-GB"/>
        </w:rPr>
        <w:t xml:space="preserve">in </w:t>
      </w:r>
      <w:r w:rsidRPr="008460EA">
        <w:rPr>
          <w:rFonts w:asciiTheme="majorHAnsi" w:hAnsiTheme="majorHAnsi" w:cstheme="majorHAnsi"/>
          <w:lang w:eastAsia="en-GB"/>
        </w:rPr>
        <w:t>m</w:t>
      </w:r>
      <w:r w:rsidR="000B54DE" w:rsidRPr="008460EA">
        <w:rPr>
          <w:rFonts w:asciiTheme="majorHAnsi" w:hAnsiTheme="majorHAnsi" w:cstheme="majorHAnsi"/>
          <w:lang w:eastAsia="en-GB"/>
        </w:rPr>
        <w:t>any</w:t>
      </w:r>
      <w:r w:rsidRPr="008460EA">
        <w:rPr>
          <w:rFonts w:asciiTheme="majorHAnsi" w:hAnsiTheme="majorHAnsi" w:cstheme="majorHAnsi"/>
          <w:lang w:eastAsia="en-GB"/>
        </w:rPr>
        <w:t xml:space="preserve"> LMIC, </w:t>
      </w:r>
      <w:r w:rsidR="00780B04" w:rsidRPr="008460EA">
        <w:rPr>
          <w:rFonts w:asciiTheme="majorHAnsi" w:hAnsiTheme="majorHAnsi" w:cstheme="majorHAnsi"/>
          <w:lang w:eastAsia="en-GB"/>
        </w:rPr>
        <w:t xml:space="preserve">most of </w:t>
      </w:r>
      <w:r w:rsidRPr="008460EA">
        <w:rPr>
          <w:rFonts w:asciiTheme="majorHAnsi" w:hAnsiTheme="majorHAnsi" w:cstheme="majorHAnsi"/>
          <w:lang w:eastAsia="en-GB"/>
        </w:rPr>
        <w:t xml:space="preserve">the pioneers of this subspecialty </w:t>
      </w:r>
      <w:r w:rsidR="00360F37">
        <w:rPr>
          <w:rFonts w:asciiTheme="majorHAnsi" w:hAnsiTheme="majorHAnsi" w:cstheme="majorHAnsi"/>
          <w:lang w:eastAsia="en-GB"/>
        </w:rPr>
        <w:t xml:space="preserve">were </w:t>
      </w:r>
      <w:r w:rsidRPr="008460EA">
        <w:rPr>
          <w:rFonts w:asciiTheme="majorHAnsi" w:hAnsiTheme="majorHAnsi" w:cstheme="majorHAnsi"/>
          <w:lang w:eastAsia="en-GB"/>
        </w:rPr>
        <w:t xml:space="preserve">trained in the United Kingdom, Europe and North America </w:t>
      </w:r>
      <w:r w:rsidR="00D35E1F" w:rsidRPr="008460EA">
        <w:rPr>
          <w:rFonts w:asciiTheme="majorHAnsi" w:hAnsiTheme="majorHAnsi" w:cstheme="majorHAnsi"/>
          <w:lang w:eastAsia="en-GB"/>
        </w:rPr>
        <w:t xml:space="preserve">and </w:t>
      </w:r>
      <w:r w:rsidRPr="008460EA">
        <w:rPr>
          <w:rFonts w:asciiTheme="majorHAnsi" w:hAnsiTheme="majorHAnsi" w:cstheme="majorHAnsi"/>
          <w:lang w:eastAsia="en-GB"/>
        </w:rPr>
        <w:t xml:space="preserve">have since retired from practice either within or outside the country. </w:t>
      </w:r>
      <w:r w:rsidR="006567ED" w:rsidRPr="008460EA">
        <w:rPr>
          <w:rFonts w:asciiTheme="majorHAnsi" w:hAnsiTheme="majorHAnsi" w:cstheme="majorHAnsi"/>
          <w:lang w:eastAsia="en-GB"/>
        </w:rPr>
        <w:t xml:space="preserve">Although the </w:t>
      </w:r>
      <w:r w:rsidRPr="008460EA">
        <w:rPr>
          <w:rFonts w:asciiTheme="majorHAnsi" w:hAnsiTheme="majorHAnsi" w:cstheme="majorHAnsi"/>
          <w:lang w:eastAsia="en-GB"/>
        </w:rPr>
        <w:t>thinking then and lately is that LMIC require mainly the services of general paediatricians rather than subspecial</w:t>
      </w:r>
      <w:r w:rsidR="00D858EB">
        <w:rPr>
          <w:rFonts w:asciiTheme="majorHAnsi" w:hAnsiTheme="majorHAnsi" w:cstheme="majorHAnsi"/>
          <w:lang w:eastAsia="en-GB"/>
        </w:rPr>
        <w:t>ists</w:t>
      </w:r>
      <w:r w:rsidR="006567ED" w:rsidRPr="008460EA">
        <w:rPr>
          <w:rFonts w:asciiTheme="majorHAnsi" w:hAnsiTheme="majorHAnsi" w:cstheme="majorHAnsi"/>
          <w:lang w:eastAsia="en-GB"/>
        </w:rPr>
        <w:t>,</w:t>
      </w:r>
      <w:r w:rsidR="007C536F" w:rsidRPr="008460EA">
        <w:rPr>
          <w:rFonts w:asciiTheme="majorHAnsi" w:hAnsiTheme="majorHAnsi" w:cstheme="majorHAnsi"/>
          <w:lang w:eastAsia="en-GB"/>
        </w:rPr>
        <w:t xml:space="preserve"> </w:t>
      </w:r>
      <w:r w:rsidR="00D858EB">
        <w:rPr>
          <w:rFonts w:asciiTheme="majorHAnsi" w:hAnsiTheme="majorHAnsi" w:cstheme="majorHAnsi"/>
          <w:lang w:eastAsia="en-GB"/>
        </w:rPr>
        <w:t xml:space="preserve">however, </w:t>
      </w:r>
      <w:r w:rsidRPr="008460EA">
        <w:rPr>
          <w:rFonts w:asciiTheme="majorHAnsi" w:hAnsiTheme="majorHAnsi" w:cstheme="majorHAnsi"/>
          <w:lang w:eastAsia="en-GB"/>
        </w:rPr>
        <w:t xml:space="preserve">these pioneers trained a cohort of subspecialists, though relatively few in numbers, who continue to train others.  </w:t>
      </w:r>
      <w:r w:rsidR="00125C00" w:rsidRPr="008460EA">
        <w:rPr>
          <w:rFonts w:asciiTheme="majorHAnsi" w:hAnsiTheme="majorHAnsi" w:cstheme="majorHAnsi"/>
          <w:lang w:eastAsia="en-GB"/>
        </w:rPr>
        <w:t>The Society of Gastroenterology, Hepatology and Nutrition in Nigeria</w:t>
      </w:r>
      <w:r w:rsidR="001304EA" w:rsidRPr="008460EA">
        <w:rPr>
          <w:rFonts w:asciiTheme="majorHAnsi" w:hAnsiTheme="majorHAnsi" w:cstheme="majorHAnsi"/>
          <w:lang w:eastAsia="en-GB"/>
        </w:rPr>
        <w:t>,</w:t>
      </w:r>
      <w:r w:rsidR="00F76D25" w:rsidRPr="00F76D25">
        <w:rPr>
          <w:rFonts w:asciiTheme="majorHAnsi" w:hAnsiTheme="majorHAnsi" w:cstheme="majorHAnsi"/>
          <w:vertAlign w:val="superscript"/>
          <w:lang w:eastAsia="en-GB"/>
        </w:rPr>
        <w:t>5</w:t>
      </w:r>
      <w:r w:rsidR="00125C00" w:rsidRPr="008460EA">
        <w:rPr>
          <w:rFonts w:asciiTheme="majorHAnsi" w:hAnsiTheme="majorHAnsi" w:cstheme="majorHAnsi"/>
          <w:lang w:eastAsia="en-GB"/>
        </w:rPr>
        <w:t xml:space="preserve"> comprise</w:t>
      </w:r>
      <w:r w:rsidR="00D858EB">
        <w:rPr>
          <w:rFonts w:asciiTheme="majorHAnsi" w:hAnsiTheme="majorHAnsi" w:cstheme="majorHAnsi"/>
          <w:lang w:eastAsia="en-GB"/>
        </w:rPr>
        <w:t>s</w:t>
      </w:r>
      <w:r w:rsidR="001304EA" w:rsidRPr="008460EA">
        <w:rPr>
          <w:rFonts w:asciiTheme="majorHAnsi" w:hAnsiTheme="majorHAnsi" w:cstheme="majorHAnsi"/>
          <w:lang w:eastAsia="en-GB"/>
        </w:rPr>
        <w:t xml:space="preserve"> of</w:t>
      </w:r>
      <w:r w:rsidR="00125C00" w:rsidRPr="008460EA">
        <w:rPr>
          <w:rFonts w:asciiTheme="majorHAnsi" w:hAnsiTheme="majorHAnsi" w:cstheme="majorHAnsi"/>
          <w:lang w:eastAsia="en-GB"/>
        </w:rPr>
        <w:t xml:space="preserve"> paediatricians, physicians, surgeons, radiologists and pathologists, ha</w:t>
      </w:r>
      <w:r w:rsidR="001304EA" w:rsidRPr="008460EA">
        <w:rPr>
          <w:rFonts w:asciiTheme="majorHAnsi" w:hAnsiTheme="majorHAnsi" w:cstheme="majorHAnsi"/>
          <w:lang w:eastAsia="en-GB"/>
        </w:rPr>
        <w:t>s</w:t>
      </w:r>
      <w:r w:rsidR="00125C00" w:rsidRPr="008460EA">
        <w:rPr>
          <w:rFonts w:asciiTheme="majorHAnsi" w:hAnsiTheme="majorHAnsi" w:cstheme="majorHAnsi"/>
          <w:lang w:eastAsia="en-GB"/>
        </w:rPr>
        <w:t xml:space="preserve"> helped to promote the subspecialty.</w:t>
      </w:r>
      <w:r w:rsidR="003E6BA9" w:rsidRPr="008460EA">
        <w:rPr>
          <w:rFonts w:asciiTheme="majorHAnsi" w:hAnsiTheme="majorHAnsi" w:cstheme="majorHAnsi"/>
          <w:lang w:eastAsia="en-GB"/>
        </w:rPr>
        <w:t xml:space="preserve"> The MSc in Tropical Paediatrics at the University College Hospital, Ibadan, Nigeria has a module in Tropical Paediatric Gastroenterology and Nutrition</w:t>
      </w:r>
      <w:r w:rsidR="00ED179F" w:rsidRPr="008460EA">
        <w:rPr>
          <w:rFonts w:asciiTheme="majorHAnsi" w:hAnsiTheme="majorHAnsi" w:cstheme="majorHAnsi"/>
          <w:lang w:eastAsia="en-GB"/>
        </w:rPr>
        <w:t xml:space="preserve"> and </w:t>
      </w:r>
      <w:r w:rsidR="003E6BA9" w:rsidRPr="008460EA">
        <w:rPr>
          <w:rFonts w:asciiTheme="majorHAnsi" w:hAnsiTheme="majorHAnsi" w:cstheme="majorHAnsi"/>
          <w:lang w:eastAsia="en-GB"/>
        </w:rPr>
        <w:t xml:space="preserve">a new initiative led by the Postgraduate Medical Colleges in Nigeria </w:t>
      </w:r>
      <w:r w:rsidR="00ED179F" w:rsidRPr="008460EA">
        <w:rPr>
          <w:rFonts w:asciiTheme="majorHAnsi" w:hAnsiTheme="majorHAnsi" w:cstheme="majorHAnsi"/>
          <w:lang w:eastAsia="en-GB"/>
        </w:rPr>
        <w:t xml:space="preserve">aims </w:t>
      </w:r>
      <w:r w:rsidR="003E6BA9" w:rsidRPr="008460EA">
        <w:rPr>
          <w:rFonts w:asciiTheme="majorHAnsi" w:hAnsiTheme="majorHAnsi" w:cstheme="majorHAnsi"/>
          <w:lang w:eastAsia="en-GB"/>
        </w:rPr>
        <w:t xml:space="preserve">to develop </w:t>
      </w:r>
      <w:r w:rsidR="00ED179F" w:rsidRPr="008460EA">
        <w:rPr>
          <w:rFonts w:asciiTheme="majorHAnsi" w:hAnsiTheme="majorHAnsi" w:cstheme="majorHAnsi"/>
          <w:lang w:eastAsia="en-GB"/>
        </w:rPr>
        <w:t>this subspecialty</w:t>
      </w:r>
      <w:r w:rsidR="00D35E1F" w:rsidRPr="008460EA">
        <w:rPr>
          <w:rFonts w:asciiTheme="majorHAnsi" w:hAnsiTheme="majorHAnsi" w:cstheme="majorHAnsi"/>
          <w:lang w:eastAsia="en-GB"/>
        </w:rPr>
        <w:t xml:space="preserve">. </w:t>
      </w:r>
      <w:r w:rsidR="001304EA" w:rsidRPr="008460EA">
        <w:rPr>
          <w:rFonts w:asciiTheme="majorHAnsi" w:hAnsiTheme="majorHAnsi" w:cstheme="majorHAnsi"/>
          <w:lang w:eastAsia="en-GB"/>
        </w:rPr>
        <w:t>I</w:t>
      </w:r>
      <w:r w:rsidR="00125C00" w:rsidRPr="008460EA">
        <w:rPr>
          <w:rFonts w:asciiTheme="majorHAnsi" w:hAnsiTheme="majorHAnsi" w:cstheme="majorHAnsi"/>
          <w:lang w:eastAsia="en-GB"/>
        </w:rPr>
        <w:t>n South Africa, paediatric gastroenterology has recently been registered as a subspecialty by the Health Professions Council</w:t>
      </w:r>
      <w:r w:rsidR="002E40A5" w:rsidRPr="002E40A5">
        <w:rPr>
          <w:rFonts w:asciiTheme="majorHAnsi" w:hAnsiTheme="majorHAnsi" w:cstheme="majorHAnsi"/>
          <w:vertAlign w:val="superscript"/>
          <w:lang w:eastAsia="en-GB"/>
        </w:rPr>
        <w:t xml:space="preserve">1 </w:t>
      </w:r>
      <w:r w:rsidR="00DA04F8" w:rsidRPr="008460EA">
        <w:rPr>
          <w:rFonts w:asciiTheme="majorHAnsi" w:hAnsiTheme="majorHAnsi" w:cstheme="majorHAnsi"/>
          <w:lang w:eastAsia="en-GB"/>
        </w:rPr>
        <w:t>and training opportunities are increasing</w:t>
      </w:r>
      <w:r w:rsidR="00BF50C5">
        <w:rPr>
          <w:rFonts w:asciiTheme="majorHAnsi" w:hAnsiTheme="majorHAnsi" w:cstheme="majorHAnsi"/>
          <w:lang w:eastAsia="en-GB"/>
        </w:rPr>
        <w:t xml:space="preserve">; for </w:t>
      </w:r>
      <w:proofErr w:type="gramStart"/>
      <w:r w:rsidR="00BF50C5">
        <w:rPr>
          <w:rFonts w:asciiTheme="majorHAnsi" w:hAnsiTheme="majorHAnsi" w:cstheme="majorHAnsi"/>
          <w:lang w:eastAsia="en-GB"/>
        </w:rPr>
        <w:t>example</w:t>
      </w:r>
      <w:proofErr w:type="gramEnd"/>
      <w:r w:rsidR="00BF50C5">
        <w:rPr>
          <w:rFonts w:asciiTheme="majorHAnsi" w:hAnsiTheme="majorHAnsi" w:cstheme="majorHAnsi"/>
          <w:lang w:eastAsia="en-GB"/>
        </w:rPr>
        <w:t xml:space="preserve"> </w:t>
      </w:r>
      <w:r w:rsidR="00262FAC" w:rsidRPr="008460EA">
        <w:rPr>
          <w:rFonts w:asciiTheme="majorHAnsi" w:hAnsiTheme="majorHAnsi" w:cstheme="majorHAnsi"/>
          <w:lang w:eastAsia="en-GB"/>
        </w:rPr>
        <w:t xml:space="preserve">programmes offered by </w:t>
      </w:r>
      <w:r w:rsidR="00DA04F8" w:rsidRPr="008460EA">
        <w:rPr>
          <w:rFonts w:asciiTheme="majorHAnsi" w:hAnsiTheme="majorHAnsi" w:cstheme="majorHAnsi"/>
          <w:bCs/>
        </w:rPr>
        <w:t>the University of Cape Town.</w:t>
      </w:r>
      <w:r w:rsidR="00325AA5" w:rsidRPr="00325AA5">
        <w:rPr>
          <w:rFonts w:asciiTheme="majorHAnsi" w:hAnsiTheme="majorHAnsi" w:cstheme="majorHAnsi"/>
          <w:bCs/>
          <w:vertAlign w:val="superscript"/>
        </w:rPr>
        <w:t xml:space="preserve">6 </w:t>
      </w:r>
      <w:r w:rsidR="002E40A5">
        <w:rPr>
          <w:rFonts w:asciiTheme="majorHAnsi" w:hAnsiTheme="majorHAnsi" w:cstheme="majorHAnsi"/>
          <w:bCs/>
        </w:rPr>
        <w:t>However, t</w:t>
      </w:r>
      <w:r w:rsidR="009814A6" w:rsidRPr="008460EA">
        <w:rPr>
          <w:rFonts w:asciiTheme="majorHAnsi" w:hAnsiTheme="majorHAnsi" w:cstheme="majorHAnsi"/>
          <w:bCs/>
        </w:rPr>
        <w:t xml:space="preserve">here are few </w:t>
      </w:r>
      <w:r w:rsidR="009814A6" w:rsidRPr="008460EA">
        <w:rPr>
          <w:rFonts w:asciiTheme="majorHAnsi" w:hAnsiTheme="majorHAnsi" w:cstheme="majorHAnsi"/>
          <w:lang w:eastAsia="en-GB"/>
        </w:rPr>
        <w:t xml:space="preserve">training programmes and fellowships in high-income settings that </w:t>
      </w:r>
      <w:r w:rsidR="00C4357C" w:rsidRPr="008460EA">
        <w:rPr>
          <w:rFonts w:asciiTheme="majorHAnsi" w:hAnsiTheme="majorHAnsi" w:cstheme="majorHAnsi"/>
          <w:lang w:eastAsia="en-GB"/>
        </w:rPr>
        <w:t xml:space="preserve">are </w:t>
      </w:r>
      <w:r w:rsidR="009814A6" w:rsidRPr="008460EA">
        <w:rPr>
          <w:rFonts w:asciiTheme="majorHAnsi" w:hAnsiTheme="majorHAnsi" w:cstheme="majorHAnsi"/>
          <w:lang w:eastAsia="en-GB"/>
        </w:rPr>
        <w:t>accessible to LMIC practitioners.</w:t>
      </w:r>
    </w:p>
    <w:p w:rsidR="00052D30" w:rsidRPr="008460EA" w:rsidRDefault="004D0684" w:rsidP="00736C35">
      <w:p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8460EA">
        <w:rPr>
          <w:rFonts w:asciiTheme="majorHAnsi" w:hAnsiTheme="majorHAnsi" w:cstheme="majorHAnsi"/>
          <w:lang w:eastAsia="en-GB"/>
        </w:rPr>
        <w:t>In LMIC, national epidemiological data are not readily available to inform the development of paediatric gastroenterology services</w:t>
      </w:r>
      <w:r w:rsidR="00614776" w:rsidRPr="008460EA">
        <w:rPr>
          <w:rFonts w:asciiTheme="majorHAnsi" w:hAnsiTheme="majorHAnsi" w:cstheme="majorHAnsi"/>
          <w:lang w:eastAsia="en-GB"/>
        </w:rPr>
        <w:t xml:space="preserve"> with i</w:t>
      </w:r>
      <w:r w:rsidR="00456F2D" w:rsidRPr="008460EA">
        <w:rPr>
          <w:rFonts w:asciiTheme="majorHAnsi" w:hAnsiTheme="majorHAnsi" w:cstheme="majorHAnsi"/>
          <w:lang w:eastAsia="en-GB"/>
        </w:rPr>
        <w:t xml:space="preserve">nformation limited </w:t>
      </w:r>
      <w:r w:rsidR="00DF4762" w:rsidRPr="008460EA">
        <w:rPr>
          <w:rFonts w:asciiTheme="majorHAnsi" w:hAnsiTheme="majorHAnsi" w:cstheme="majorHAnsi"/>
          <w:lang w:eastAsia="en-GB"/>
        </w:rPr>
        <w:t xml:space="preserve">mainly </w:t>
      </w:r>
      <w:r w:rsidR="00456F2D" w:rsidRPr="008460EA">
        <w:rPr>
          <w:rFonts w:asciiTheme="majorHAnsi" w:hAnsiTheme="majorHAnsi" w:cstheme="majorHAnsi"/>
          <w:lang w:eastAsia="en-GB"/>
        </w:rPr>
        <w:t xml:space="preserve">to nutritional status </w:t>
      </w:r>
      <w:r w:rsidR="00D66520" w:rsidRPr="008460EA">
        <w:rPr>
          <w:rFonts w:asciiTheme="majorHAnsi" w:hAnsiTheme="majorHAnsi" w:cstheme="majorHAnsi"/>
          <w:lang w:eastAsia="en-GB"/>
        </w:rPr>
        <w:t>and diarrhoeal disease</w:t>
      </w:r>
      <w:r w:rsidR="00797833" w:rsidRPr="008460EA">
        <w:rPr>
          <w:rFonts w:asciiTheme="majorHAnsi" w:hAnsiTheme="majorHAnsi" w:cstheme="majorHAnsi"/>
          <w:lang w:eastAsia="en-GB"/>
        </w:rPr>
        <w:t>.</w:t>
      </w:r>
      <w:r w:rsidR="00D66520" w:rsidRPr="008460EA">
        <w:rPr>
          <w:rFonts w:asciiTheme="majorHAnsi" w:hAnsiTheme="majorHAnsi" w:cstheme="majorHAnsi"/>
          <w:lang w:eastAsia="en-GB"/>
        </w:rPr>
        <w:t xml:space="preserve"> </w:t>
      </w:r>
      <w:r w:rsidR="00264889" w:rsidRPr="008460EA">
        <w:rPr>
          <w:rFonts w:asciiTheme="majorHAnsi" w:hAnsiTheme="majorHAnsi" w:cstheme="majorHAnsi"/>
          <w:lang w:eastAsia="en-GB"/>
        </w:rPr>
        <w:t xml:space="preserve">Information on less common diseases is mostly limited to case reports and single centre case series. </w:t>
      </w:r>
      <w:r w:rsidR="00797833" w:rsidRPr="008460EA">
        <w:rPr>
          <w:rFonts w:asciiTheme="majorHAnsi" w:hAnsiTheme="majorHAnsi" w:cstheme="majorHAnsi"/>
          <w:lang w:eastAsia="en-GB"/>
        </w:rPr>
        <w:t>H</w:t>
      </w:r>
      <w:r w:rsidR="00D66520" w:rsidRPr="008460EA">
        <w:rPr>
          <w:rFonts w:asciiTheme="majorHAnsi" w:hAnsiTheme="majorHAnsi" w:cstheme="majorHAnsi"/>
          <w:lang w:eastAsia="en-GB"/>
        </w:rPr>
        <w:t>owever</w:t>
      </w:r>
      <w:r w:rsidR="00797833" w:rsidRPr="008460EA">
        <w:rPr>
          <w:rFonts w:asciiTheme="majorHAnsi" w:hAnsiTheme="majorHAnsi" w:cstheme="majorHAnsi"/>
          <w:lang w:eastAsia="en-GB"/>
        </w:rPr>
        <w:t xml:space="preserve">, </w:t>
      </w:r>
      <w:r w:rsidR="00045C9A" w:rsidRPr="008460EA">
        <w:rPr>
          <w:rFonts w:asciiTheme="majorHAnsi" w:hAnsiTheme="majorHAnsi" w:cstheme="majorHAnsi"/>
          <w:lang w:eastAsia="en-GB"/>
        </w:rPr>
        <w:t xml:space="preserve">as highlighted in this </w:t>
      </w:r>
      <w:r w:rsidR="00BB5654">
        <w:rPr>
          <w:rFonts w:asciiTheme="majorHAnsi" w:hAnsiTheme="majorHAnsi" w:cstheme="majorHAnsi"/>
          <w:lang w:eastAsia="en-GB"/>
        </w:rPr>
        <w:t xml:space="preserve">special </w:t>
      </w:r>
      <w:r w:rsidR="00045C9A" w:rsidRPr="008460EA">
        <w:rPr>
          <w:rFonts w:asciiTheme="majorHAnsi" w:hAnsiTheme="majorHAnsi" w:cstheme="majorHAnsi"/>
          <w:lang w:eastAsia="en-GB"/>
        </w:rPr>
        <w:t>issue</w:t>
      </w:r>
      <w:r w:rsidR="001454B4">
        <w:rPr>
          <w:rFonts w:asciiTheme="majorHAnsi" w:hAnsiTheme="majorHAnsi" w:cstheme="majorHAnsi"/>
          <w:lang w:eastAsia="en-GB"/>
        </w:rPr>
        <w:t xml:space="preserve"> of </w:t>
      </w:r>
      <w:r w:rsidR="00BB5654">
        <w:rPr>
          <w:rFonts w:asciiTheme="majorHAnsi" w:hAnsiTheme="majorHAnsi" w:cstheme="majorHAnsi"/>
          <w:lang w:eastAsia="en-GB"/>
        </w:rPr>
        <w:t>Paediatrics and International Child Health</w:t>
      </w:r>
      <w:r w:rsidR="00045C9A" w:rsidRPr="008460EA">
        <w:rPr>
          <w:rFonts w:asciiTheme="majorHAnsi" w:hAnsiTheme="majorHAnsi" w:cstheme="majorHAnsi"/>
          <w:lang w:eastAsia="en-GB"/>
        </w:rPr>
        <w:t xml:space="preserve">, </w:t>
      </w:r>
      <w:r w:rsidR="000F4850" w:rsidRPr="008460EA">
        <w:rPr>
          <w:rFonts w:asciiTheme="majorHAnsi" w:hAnsiTheme="majorHAnsi" w:cstheme="majorHAnsi"/>
        </w:rPr>
        <w:t xml:space="preserve">gastrointestinal disorders such as coeliac disease and </w:t>
      </w:r>
      <w:r w:rsidR="00BB5654">
        <w:rPr>
          <w:rFonts w:asciiTheme="majorHAnsi" w:hAnsiTheme="majorHAnsi" w:cstheme="majorHAnsi"/>
        </w:rPr>
        <w:t xml:space="preserve">inflammatory bowel disease </w:t>
      </w:r>
      <w:r w:rsidR="002C2DD0">
        <w:rPr>
          <w:rFonts w:asciiTheme="majorHAnsi" w:hAnsiTheme="majorHAnsi" w:cstheme="majorHAnsi"/>
        </w:rPr>
        <w:t>(</w:t>
      </w:r>
      <w:r w:rsidR="00126E86">
        <w:rPr>
          <w:rFonts w:asciiTheme="majorHAnsi" w:hAnsiTheme="majorHAnsi" w:cstheme="majorHAnsi"/>
        </w:rPr>
        <w:t>IBD</w:t>
      </w:r>
      <w:r w:rsidR="002C2DD0">
        <w:rPr>
          <w:rFonts w:asciiTheme="majorHAnsi" w:hAnsiTheme="majorHAnsi" w:cstheme="majorHAnsi"/>
        </w:rPr>
        <w:t>)</w:t>
      </w:r>
      <w:r w:rsidR="000F4850" w:rsidRPr="008460EA">
        <w:rPr>
          <w:rFonts w:asciiTheme="majorHAnsi" w:hAnsiTheme="majorHAnsi" w:cstheme="majorHAnsi"/>
        </w:rPr>
        <w:t xml:space="preserve"> </w:t>
      </w:r>
      <w:r w:rsidR="00BB5654">
        <w:rPr>
          <w:rFonts w:asciiTheme="majorHAnsi" w:hAnsiTheme="majorHAnsi" w:cstheme="majorHAnsi"/>
        </w:rPr>
        <w:t>which</w:t>
      </w:r>
      <w:r w:rsidR="000F4850" w:rsidRPr="008460EA">
        <w:rPr>
          <w:rFonts w:asciiTheme="majorHAnsi" w:hAnsiTheme="majorHAnsi" w:cstheme="majorHAnsi"/>
        </w:rPr>
        <w:t xml:space="preserve"> constitute </w:t>
      </w:r>
      <w:r w:rsidR="00BB5654">
        <w:rPr>
          <w:rFonts w:asciiTheme="majorHAnsi" w:hAnsiTheme="majorHAnsi" w:cstheme="majorHAnsi"/>
        </w:rPr>
        <w:t xml:space="preserve">a </w:t>
      </w:r>
      <w:r w:rsidR="000F4850" w:rsidRPr="008460EA">
        <w:rPr>
          <w:rFonts w:asciiTheme="majorHAnsi" w:hAnsiTheme="majorHAnsi" w:cstheme="majorHAnsi"/>
        </w:rPr>
        <w:t xml:space="preserve">high proportion of the case load in HIC, are increasingly recognised in </w:t>
      </w:r>
      <w:r w:rsidR="000F4850" w:rsidRPr="008460EA">
        <w:rPr>
          <w:rFonts w:asciiTheme="majorHAnsi" w:hAnsiTheme="majorHAnsi" w:cstheme="majorHAnsi"/>
        </w:rPr>
        <w:lastRenderedPageBreak/>
        <w:t xml:space="preserve">LMIC </w:t>
      </w:r>
      <w:r w:rsidR="00FD01E6">
        <w:rPr>
          <w:rFonts w:asciiTheme="majorHAnsi" w:hAnsiTheme="majorHAnsi" w:cstheme="majorHAnsi"/>
        </w:rPr>
        <w:t xml:space="preserve">where there is </w:t>
      </w:r>
      <w:r w:rsidR="000F4850" w:rsidRPr="008460EA">
        <w:rPr>
          <w:rFonts w:asciiTheme="majorHAnsi" w:hAnsiTheme="majorHAnsi" w:cstheme="majorHAnsi"/>
        </w:rPr>
        <w:t>sufficient awareness and also technology for diagnosis.</w:t>
      </w:r>
      <w:r w:rsidR="00FB0482" w:rsidRPr="008460EA">
        <w:rPr>
          <w:rFonts w:asciiTheme="majorHAnsi" w:hAnsiTheme="majorHAnsi" w:cstheme="majorHAnsi"/>
        </w:rPr>
        <w:t xml:space="preserve"> </w:t>
      </w:r>
      <w:r w:rsidR="0079452B">
        <w:rPr>
          <w:rFonts w:asciiTheme="majorHAnsi" w:hAnsiTheme="majorHAnsi" w:cstheme="majorHAnsi"/>
        </w:rPr>
        <w:t>I</w:t>
      </w:r>
      <w:r w:rsidR="001360EB">
        <w:rPr>
          <w:rFonts w:asciiTheme="majorHAnsi" w:hAnsiTheme="majorHAnsi" w:cstheme="majorHAnsi"/>
        </w:rPr>
        <w:t>n Liverpool</w:t>
      </w:r>
      <w:r w:rsidR="0079452B">
        <w:rPr>
          <w:rFonts w:asciiTheme="majorHAnsi" w:hAnsiTheme="majorHAnsi" w:cstheme="majorHAnsi"/>
        </w:rPr>
        <w:t>, we</w:t>
      </w:r>
      <w:r w:rsidR="001360EB">
        <w:rPr>
          <w:rFonts w:asciiTheme="majorHAnsi" w:hAnsiTheme="majorHAnsi" w:cstheme="majorHAnsi"/>
        </w:rPr>
        <w:t xml:space="preserve"> </w:t>
      </w:r>
      <w:r w:rsidR="00FB0482" w:rsidRPr="008460EA">
        <w:rPr>
          <w:rFonts w:asciiTheme="majorHAnsi" w:hAnsiTheme="majorHAnsi" w:cstheme="majorHAnsi"/>
        </w:rPr>
        <w:t>have our own experience</w:t>
      </w:r>
      <w:r w:rsidR="001360EB">
        <w:rPr>
          <w:rFonts w:asciiTheme="majorHAnsi" w:hAnsiTheme="majorHAnsi" w:cstheme="majorHAnsi"/>
        </w:rPr>
        <w:t>:</w:t>
      </w:r>
      <w:r w:rsidR="00FB0482" w:rsidRPr="008460EA">
        <w:rPr>
          <w:rFonts w:asciiTheme="majorHAnsi" w:hAnsiTheme="majorHAnsi" w:cstheme="majorHAnsi"/>
        </w:rPr>
        <w:t xml:space="preserve"> a RCPCH Fellowship at Alder Hey Children’s </w:t>
      </w:r>
      <w:r w:rsidR="00BB5654">
        <w:rPr>
          <w:rFonts w:asciiTheme="majorHAnsi" w:hAnsiTheme="majorHAnsi" w:cstheme="majorHAnsi"/>
        </w:rPr>
        <w:t>NHS Foundation Trust</w:t>
      </w:r>
      <w:r w:rsidR="00DE5370">
        <w:rPr>
          <w:rFonts w:asciiTheme="majorHAnsi" w:hAnsiTheme="majorHAnsi" w:cstheme="majorHAnsi"/>
        </w:rPr>
        <w:t xml:space="preserve"> </w:t>
      </w:r>
      <w:r w:rsidR="00C376E5" w:rsidRPr="008460EA">
        <w:rPr>
          <w:rFonts w:asciiTheme="majorHAnsi" w:hAnsiTheme="majorHAnsi" w:cstheme="majorHAnsi"/>
        </w:rPr>
        <w:t>for one of the authors (A</w:t>
      </w:r>
      <w:r w:rsidR="00FB0482" w:rsidRPr="008460EA">
        <w:rPr>
          <w:rFonts w:asciiTheme="majorHAnsi" w:hAnsiTheme="majorHAnsi" w:cstheme="majorHAnsi"/>
        </w:rPr>
        <w:t xml:space="preserve">A) resulted in the first diagnosis of ulcerative colitis in a child </w:t>
      </w:r>
      <w:r w:rsidR="003E5351" w:rsidRPr="008460EA">
        <w:rPr>
          <w:rFonts w:asciiTheme="majorHAnsi" w:hAnsiTheme="majorHAnsi" w:cstheme="majorHAnsi"/>
        </w:rPr>
        <w:t>in over 30</w:t>
      </w:r>
      <w:r w:rsidR="00B33B14" w:rsidRPr="008460EA">
        <w:rPr>
          <w:rFonts w:asciiTheme="majorHAnsi" w:hAnsiTheme="majorHAnsi" w:cstheme="majorHAnsi"/>
        </w:rPr>
        <w:t xml:space="preserve"> </w:t>
      </w:r>
      <w:r w:rsidR="003E5351" w:rsidRPr="008460EA">
        <w:rPr>
          <w:rFonts w:asciiTheme="majorHAnsi" w:hAnsiTheme="majorHAnsi" w:cstheme="majorHAnsi"/>
        </w:rPr>
        <w:t xml:space="preserve">years </w:t>
      </w:r>
      <w:r w:rsidR="00FB0482" w:rsidRPr="008460EA">
        <w:rPr>
          <w:rFonts w:asciiTheme="majorHAnsi" w:hAnsiTheme="majorHAnsi" w:cstheme="majorHAnsi"/>
        </w:rPr>
        <w:t xml:space="preserve">at </w:t>
      </w:r>
      <w:r w:rsidR="003E5351" w:rsidRPr="008460EA">
        <w:rPr>
          <w:rFonts w:asciiTheme="majorHAnsi" w:hAnsiTheme="majorHAnsi" w:cstheme="majorHAnsi"/>
        </w:rPr>
        <w:t xml:space="preserve">the </w:t>
      </w:r>
      <w:r w:rsidR="00FB0482" w:rsidRPr="008460EA">
        <w:rPr>
          <w:rFonts w:asciiTheme="majorHAnsi" w:hAnsiTheme="majorHAnsi" w:cstheme="majorHAnsi"/>
        </w:rPr>
        <w:t>University College Hospital Ibadan, Nigeria</w:t>
      </w:r>
      <w:r w:rsidR="001360EB">
        <w:rPr>
          <w:rFonts w:asciiTheme="majorHAnsi" w:hAnsiTheme="majorHAnsi" w:cstheme="majorHAnsi"/>
        </w:rPr>
        <w:t>. S</w:t>
      </w:r>
      <w:r w:rsidR="006333B5" w:rsidRPr="008460EA">
        <w:rPr>
          <w:rFonts w:asciiTheme="majorHAnsi" w:hAnsiTheme="majorHAnsi" w:cstheme="majorHAnsi"/>
        </w:rPr>
        <w:t>ubsequently, two other cases have been diagnosed</w:t>
      </w:r>
      <w:r w:rsidR="0079452B">
        <w:rPr>
          <w:rFonts w:asciiTheme="majorHAnsi" w:hAnsiTheme="majorHAnsi" w:cstheme="majorHAnsi"/>
        </w:rPr>
        <w:t xml:space="preserve"> probably due to increasing awareness and diagnostic capability</w:t>
      </w:r>
      <w:r w:rsidR="0079452B" w:rsidRPr="008460EA">
        <w:rPr>
          <w:rFonts w:asciiTheme="majorHAnsi" w:hAnsiTheme="majorHAnsi" w:cstheme="majorHAnsi"/>
        </w:rPr>
        <w:t>.</w:t>
      </w:r>
    </w:p>
    <w:p w:rsidR="008C1957" w:rsidRPr="008460EA" w:rsidRDefault="000C54ED" w:rsidP="00736C35">
      <w:pPr>
        <w:spacing w:before="100" w:beforeAutospacing="1" w:after="100" w:afterAutospacing="1" w:line="276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Building the </w:t>
      </w:r>
      <w:r w:rsidR="00C631DB" w:rsidRPr="008460EA">
        <w:rPr>
          <w:rFonts w:asciiTheme="majorHAnsi" w:hAnsiTheme="majorHAnsi" w:cstheme="majorHAnsi"/>
          <w:lang w:eastAsia="en-GB"/>
        </w:rPr>
        <w:t>capacity of subspecialis</w:t>
      </w:r>
      <w:r>
        <w:rPr>
          <w:rFonts w:asciiTheme="majorHAnsi" w:hAnsiTheme="majorHAnsi" w:cstheme="majorHAnsi"/>
          <w:lang w:eastAsia="en-GB"/>
        </w:rPr>
        <w:t>t</w:t>
      </w:r>
      <w:r w:rsidR="00C631DB" w:rsidRPr="008460EA">
        <w:rPr>
          <w:rFonts w:asciiTheme="majorHAnsi" w:hAnsiTheme="majorHAnsi" w:cstheme="majorHAnsi"/>
          <w:lang w:eastAsia="en-GB"/>
        </w:rPr>
        <w:t>s in paediatric gastroenterology</w:t>
      </w:r>
      <w:r w:rsidR="007C7D2D" w:rsidRPr="008460EA">
        <w:rPr>
          <w:rFonts w:asciiTheme="majorHAnsi" w:hAnsiTheme="majorHAnsi" w:cstheme="majorHAnsi"/>
          <w:lang w:eastAsia="en-GB"/>
        </w:rPr>
        <w:t xml:space="preserve"> </w:t>
      </w:r>
      <w:r>
        <w:rPr>
          <w:rFonts w:asciiTheme="majorHAnsi" w:hAnsiTheme="majorHAnsi" w:cstheme="majorHAnsi"/>
          <w:lang w:eastAsia="en-GB"/>
        </w:rPr>
        <w:t xml:space="preserve">will </w:t>
      </w:r>
      <w:r w:rsidR="00C631DB" w:rsidRPr="008460EA">
        <w:rPr>
          <w:rFonts w:asciiTheme="majorHAnsi" w:hAnsiTheme="majorHAnsi" w:cstheme="majorHAnsi"/>
          <w:lang w:eastAsia="en-GB"/>
        </w:rPr>
        <w:t xml:space="preserve">improve the diagnosis of such diseases </w:t>
      </w:r>
      <w:r>
        <w:rPr>
          <w:rFonts w:asciiTheme="majorHAnsi" w:hAnsiTheme="majorHAnsi" w:cstheme="majorHAnsi"/>
          <w:lang w:eastAsia="en-GB"/>
        </w:rPr>
        <w:t xml:space="preserve">beyond that </w:t>
      </w:r>
      <w:r w:rsidR="00C631DB" w:rsidRPr="008460EA">
        <w:rPr>
          <w:rFonts w:asciiTheme="majorHAnsi" w:hAnsiTheme="majorHAnsi" w:cstheme="majorHAnsi"/>
          <w:lang w:eastAsia="en-GB"/>
        </w:rPr>
        <w:t xml:space="preserve">based on clinical diagnosis. The availability of </w:t>
      </w:r>
      <w:r w:rsidR="00B25C3C" w:rsidRPr="008460EA">
        <w:rPr>
          <w:rFonts w:asciiTheme="majorHAnsi" w:hAnsiTheme="majorHAnsi" w:cstheme="majorHAnsi"/>
          <w:lang w:eastAsia="en-GB"/>
        </w:rPr>
        <w:t>p</w:t>
      </w:r>
      <w:r w:rsidR="00C631DB" w:rsidRPr="008460EA">
        <w:rPr>
          <w:rFonts w:asciiTheme="majorHAnsi" w:hAnsiTheme="majorHAnsi" w:cstheme="majorHAnsi"/>
          <w:lang w:eastAsia="en-GB"/>
        </w:rPr>
        <w:t>aediatric endoscopy in LMIC is</w:t>
      </w:r>
      <w:r w:rsidR="00B47269">
        <w:rPr>
          <w:rFonts w:asciiTheme="majorHAnsi" w:hAnsiTheme="majorHAnsi" w:cstheme="majorHAnsi"/>
          <w:lang w:eastAsia="en-GB"/>
        </w:rPr>
        <w:t xml:space="preserve"> critical and</w:t>
      </w:r>
      <w:r w:rsidR="00C631DB" w:rsidRPr="008460EA">
        <w:rPr>
          <w:rFonts w:asciiTheme="majorHAnsi" w:hAnsiTheme="majorHAnsi" w:cstheme="majorHAnsi"/>
          <w:lang w:eastAsia="en-GB"/>
        </w:rPr>
        <w:t xml:space="preserve"> growing as highlighted by Adeniyi et al </w:t>
      </w:r>
      <w:r w:rsidR="00BF0A49">
        <w:rPr>
          <w:rFonts w:asciiTheme="majorHAnsi" w:hAnsiTheme="majorHAnsi" w:cstheme="majorHAnsi"/>
          <w:lang w:eastAsia="en-GB"/>
        </w:rPr>
        <w:t xml:space="preserve">in </w:t>
      </w:r>
      <w:r w:rsidR="00C631DB" w:rsidRPr="008460EA">
        <w:rPr>
          <w:rFonts w:asciiTheme="majorHAnsi" w:hAnsiTheme="majorHAnsi" w:cstheme="majorHAnsi"/>
          <w:lang w:eastAsia="en-GB"/>
        </w:rPr>
        <w:t xml:space="preserve"> Lagos, Nigeria, where it is used mainly in the diagnosis of upper GI disorders with an overall endoscopic yield of 60.2%.</w:t>
      </w:r>
      <w:r w:rsidR="00B444F6">
        <w:rPr>
          <w:rFonts w:asciiTheme="majorHAnsi" w:hAnsiTheme="majorHAnsi" w:cstheme="majorHAnsi"/>
          <w:vertAlign w:val="superscript"/>
          <w:lang w:eastAsia="en-GB"/>
        </w:rPr>
        <w:t>7</w:t>
      </w:r>
      <w:r w:rsidR="00C631DB" w:rsidRPr="008460EA">
        <w:rPr>
          <w:rFonts w:asciiTheme="majorHAnsi" w:hAnsiTheme="majorHAnsi" w:cstheme="majorHAnsi"/>
          <w:lang w:eastAsia="en-GB"/>
        </w:rPr>
        <w:t xml:space="preserve"> In two tertiary centres in South-west Nigeria, paediatric endoscopy is performed by adult gastroenterologists</w:t>
      </w:r>
      <w:r w:rsidR="008C1957" w:rsidRPr="008460EA">
        <w:rPr>
          <w:rFonts w:asciiTheme="majorHAnsi" w:hAnsiTheme="majorHAnsi" w:cstheme="majorHAnsi"/>
          <w:lang w:eastAsia="en-GB"/>
        </w:rPr>
        <w:t>.</w:t>
      </w:r>
      <w:r w:rsidR="000A0969">
        <w:rPr>
          <w:rFonts w:asciiTheme="majorHAnsi" w:hAnsiTheme="majorHAnsi" w:cstheme="majorHAnsi"/>
          <w:vertAlign w:val="superscript"/>
          <w:lang w:eastAsia="en-GB"/>
        </w:rPr>
        <w:t>8</w:t>
      </w:r>
      <w:r w:rsidR="00C631DB" w:rsidRPr="008460EA">
        <w:rPr>
          <w:rFonts w:asciiTheme="majorHAnsi" w:hAnsiTheme="majorHAnsi" w:cstheme="majorHAnsi"/>
          <w:lang w:eastAsia="en-GB"/>
        </w:rPr>
        <w:t xml:space="preserve"> Although endoscopy services are more </w:t>
      </w:r>
      <w:r w:rsidR="00334D3C" w:rsidRPr="008460EA">
        <w:rPr>
          <w:rFonts w:asciiTheme="majorHAnsi" w:hAnsiTheme="majorHAnsi" w:cstheme="majorHAnsi"/>
          <w:lang w:eastAsia="en-GB"/>
        </w:rPr>
        <w:t xml:space="preserve">accessible </w:t>
      </w:r>
      <w:r w:rsidR="00C631DB" w:rsidRPr="008460EA">
        <w:rPr>
          <w:rFonts w:asciiTheme="majorHAnsi" w:hAnsiTheme="majorHAnsi" w:cstheme="majorHAnsi"/>
          <w:lang w:eastAsia="en-GB"/>
        </w:rPr>
        <w:t xml:space="preserve">for the general population in South Africa, there is a high case load </w:t>
      </w:r>
      <w:r w:rsidR="00F968F8" w:rsidRPr="008460EA">
        <w:rPr>
          <w:rFonts w:asciiTheme="majorHAnsi" w:hAnsiTheme="majorHAnsi" w:cstheme="majorHAnsi"/>
          <w:lang w:eastAsia="en-GB"/>
        </w:rPr>
        <w:t xml:space="preserve">and </w:t>
      </w:r>
      <w:r w:rsidR="00C631DB" w:rsidRPr="008460EA">
        <w:rPr>
          <w:rFonts w:asciiTheme="majorHAnsi" w:hAnsiTheme="majorHAnsi" w:cstheme="majorHAnsi"/>
          <w:lang w:eastAsia="en-GB"/>
        </w:rPr>
        <w:t>recurrent disruptions impact negatively on service delivery.</w:t>
      </w:r>
      <w:r w:rsidR="000A0969">
        <w:rPr>
          <w:rFonts w:asciiTheme="majorHAnsi" w:hAnsiTheme="majorHAnsi" w:cstheme="majorHAnsi"/>
          <w:vertAlign w:val="superscript"/>
          <w:lang w:eastAsia="en-GB"/>
        </w:rPr>
        <w:t>9</w:t>
      </w:r>
      <w:r w:rsidR="00C631DB" w:rsidRPr="008460EA">
        <w:rPr>
          <w:rFonts w:asciiTheme="majorHAnsi" w:hAnsiTheme="majorHAnsi" w:cstheme="majorHAnsi"/>
          <w:lang w:eastAsia="en-GB"/>
        </w:rPr>
        <w:t xml:space="preserve"> </w:t>
      </w:r>
      <w:r w:rsidR="00FA4CA2" w:rsidRPr="008460EA">
        <w:rPr>
          <w:rFonts w:asciiTheme="majorHAnsi" w:hAnsiTheme="majorHAnsi" w:cstheme="majorHAnsi"/>
          <w:lang w:eastAsia="en-GB"/>
        </w:rPr>
        <w:t>T</w:t>
      </w:r>
      <w:r w:rsidR="008C1957" w:rsidRPr="008460EA">
        <w:rPr>
          <w:rFonts w:asciiTheme="majorHAnsi" w:hAnsiTheme="majorHAnsi" w:cstheme="majorHAnsi"/>
          <w:lang w:eastAsia="en-GB"/>
        </w:rPr>
        <w:t xml:space="preserve">hese established </w:t>
      </w:r>
      <w:r w:rsidR="00AD216E" w:rsidRPr="008460EA">
        <w:rPr>
          <w:rFonts w:asciiTheme="majorHAnsi" w:hAnsiTheme="majorHAnsi" w:cstheme="majorHAnsi"/>
          <w:lang w:eastAsia="en-GB"/>
        </w:rPr>
        <w:t xml:space="preserve">adult </w:t>
      </w:r>
      <w:r w:rsidR="008C1957" w:rsidRPr="008460EA">
        <w:rPr>
          <w:rFonts w:asciiTheme="majorHAnsi" w:hAnsiTheme="majorHAnsi" w:cstheme="majorHAnsi"/>
          <w:lang w:eastAsia="en-GB"/>
        </w:rPr>
        <w:t xml:space="preserve">services </w:t>
      </w:r>
      <w:r w:rsidR="00FA4CA2" w:rsidRPr="008460EA">
        <w:rPr>
          <w:rFonts w:asciiTheme="majorHAnsi" w:hAnsiTheme="majorHAnsi" w:cstheme="majorHAnsi"/>
          <w:lang w:eastAsia="en-GB"/>
        </w:rPr>
        <w:t xml:space="preserve">provide an infrastructure </w:t>
      </w:r>
      <w:r w:rsidR="008C1957" w:rsidRPr="008460EA">
        <w:rPr>
          <w:rFonts w:asciiTheme="majorHAnsi" w:hAnsiTheme="majorHAnsi" w:cstheme="majorHAnsi"/>
          <w:lang w:eastAsia="en-GB"/>
        </w:rPr>
        <w:t>to develop endoscopy for children</w:t>
      </w:r>
      <w:r w:rsidR="00FA4CA2" w:rsidRPr="008460EA">
        <w:rPr>
          <w:rFonts w:asciiTheme="majorHAnsi" w:hAnsiTheme="majorHAnsi" w:cstheme="majorHAnsi"/>
          <w:lang w:eastAsia="en-GB"/>
        </w:rPr>
        <w:t>. However,</w:t>
      </w:r>
      <w:r w:rsidR="008C1957" w:rsidRPr="008460EA">
        <w:rPr>
          <w:rFonts w:asciiTheme="majorHAnsi" w:hAnsiTheme="majorHAnsi" w:cstheme="majorHAnsi"/>
          <w:lang w:eastAsia="en-GB"/>
        </w:rPr>
        <w:t xml:space="preserve"> </w:t>
      </w:r>
      <w:r w:rsidR="006C393E" w:rsidRPr="008460EA">
        <w:rPr>
          <w:rFonts w:asciiTheme="majorHAnsi" w:hAnsiTheme="majorHAnsi" w:cstheme="majorHAnsi"/>
          <w:lang w:eastAsia="en-GB"/>
        </w:rPr>
        <w:t xml:space="preserve">in all settings, </w:t>
      </w:r>
      <w:r w:rsidR="008C1957" w:rsidRPr="008460EA">
        <w:rPr>
          <w:rFonts w:asciiTheme="majorHAnsi" w:hAnsiTheme="majorHAnsi" w:cstheme="majorHAnsi"/>
          <w:lang w:eastAsia="en-GB"/>
        </w:rPr>
        <w:t xml:space="preserve">due consideration for </w:t>
      </w:r>
      <w:r w:rsidR="007F4C32" w:rsidRPr="008460EA">
        <w:rPr>
          <w:rFonts w:asciiTheme="majorHAnsi" w:hAnsiTheme="majorHAnsi" w:cstheme="majorHAnsi"/>
          <w:lang w:eastAsia="en-GB"/>
        </w:rPr>
        <w:t xml:space="preserve">creating a safe environment for children and </w:t>
      </w:r>
      <w:r w:rsidR="00EB494D" w:rsidRPr="008460EA">
        <w:rPr>
          <w:rFonts w:asciiTheme="majorHAnsi" w:hAnsiTheme="majorHAnsi" w:cstheme="majorHAnsi"/>
          <w:lang w:eastAsia="en-GB"/>
        </w:rPr>
        <w:t>develop</w:t>
      </w:r>
      <w:r w:rsidR="00AD216E" w:rsidRPr="008460EA">
        <w:rPr>
          <w:rFonts w:asciiTheme="majorHAnsi" w:hAnsiTheme="majorHAnsi" w:cstheme="majorHAnsi"/>
          <w:lang w:eastAsia="en-GB"/>
        </w:rPr>
        <w:t>ing</w:t>
      </w:r>
      <w:r w:rsidR="00EB494D" w:rsidRPr="008460EA">
        <w:rPr>
          <w:rFonts w:asciiTheme="majorHAnsi" w:hAnsiTheme="majorHAnsi" w:cstheme="majorHAnsi"/>
          <w:lang w:eastAsia="en-GB"/>
        </w:rPr>
        <w:t xml:space="preserve"> the required </w:t>
      </w:r>
      <w:r w:rsidR="007F4C32" w:rsidRPr="008460EA">
        <w:rPr>
          <w:rFonts w:asciiTheme="majorHAnsi" w:hAnsiTheme="majorHAnsi" w:cstheme="majorHAnsi"/>
          <w:lang w:eastAsia="en-GB"/>
        </w:rPr>
        <w:t xml:space="preserve">support </w:t>
      </w:r>
      <w:r w:rsidR="00740C82" w:rsidRPr="008460EA">
        <w:rPr>
          <w:rFonts w:asciiTheme="majorHAnsi" w:hAnsiTheme="majorHAnsi" w:cstheme="majorHAnsi"/>
          <w:lang w:eastAsia="en-GB"/>
        </w:rPr>
        <w:t>from mul</w:t>
      </w:r>
      <w:r w:rsidR="00D26B6E" w:rsidRPr="008460EA">
        <w:rPr>
          <w:rFonts w:asciiTheme="majorHAnsi" w:hAnsiTheme="majorHAnsi" w:cstheme="majorHAnsi"/>
          <w:lang w:eastAsia="en-GB"/>
        </w:rPr>
        <w:t>t</w:t>
      </w:r>
      <w:r w:rsidR="00740C82" w:rsidRPr="008460EA">
        <w:rPr>
          <w:rFonts w:asciiTheme="majorHAnsi" w:hAnsiTheme="majorHAnsi" w:cstheme="majorHAnsi"/>
          <w:lang w:eastAsia="en-GB"/>
        </w:rPr>
        <w:t>idis</w:t>
      </w:r>
      <w:r w:rsidR="00D26B6E" w:rsidRPr="008460EA">
        <w:rPr>
          <w:rFonts w:asciiTheme="majorHAnsi" w:hAnsiTheme="majorHAnsi" w:cstheme="majorHAnsi"/>
          <w:lang w:eastAsia="en-GB"/>
        </w:rPr>
        <w:t xml:space="preserve">ciplinary teams including paediatric </w:t>
      </w:r>
      <w:r w:rsidR="00A747C4" w:rsidRPr="008460EA">
        <w:rPr>
          <w:rFonts w:asciiTheme="majorHAnsi" w:hAnsiTheme="majorHAnsi" w:cstheme="majorHAnsi"/>
          <w:lang w:eastAsia="en-GB"/>
        </w:rPr>
        <w:t xml:space="preserve">dietetics, </w:t>
      </w:r>
      <w:r w:rsidR="008C1957" w:rsidRPr="008460EA">
        <w:rPr>
          <w:rFonts w:asciiTheme="majorHAnsi" w:hAnsiTheme="majorHAnsi" w:cstheme="majorHAnsi"/>
          <w:lang w:eastAsia="en-GB"/>
        </w:rPr>
        <w:t xml:space="preserve">anaesthesia </w:t>
      </w:r>
      <w:r w:rsidR="007F4C32" w:rsidRPr="008460EA">
        <w:rPr>
          <w:rFonts w:asciiTheme="majorHAnsi" w:hAnsiTheme="majorHAnsi" w:cstheme="majorHAnsi"/>
          <w:lang w:eastAsia="en-GB"/>
        </w:rPr>
        <w:t xml:space="preserve">and </w:t>
      </w:r>
      <w:r w:rsidR="008C1957" w:rsidRPr="008460EA">
        <w:rPr>
          <w:rFonts w:asciiTheme="majorHAnsi" w:hAnsiTheme="majorHAnsi" w:cstheme="majorHAnsi"/>
          <w:lang w:eastAsia="en-GB"/>
        </w:rPr>
        <w:t>histopathology</w:t>
      </w:r>
      <w:r w:rsidR="000B2FCA" w:rsidRPr="008460EA">
        <w:rPr>
          <w:rFonts w:asciiTheme="majorHAnsi" w:hAnsiTheme="majorHAnsi" w:cstheme="majorHAnsi"/>
          <w:lang w:eastAsia="en-GB"/>
        </w:rPr>
        <w:t xml:space="preserve"> </w:t>
      </w:r>
      <w:r w:rsidR="00FA4CA2" w:rsidRPr="008460EA">
        <w:rPr>
          <w:rFonts w:asciiTheme="majorHAnsi" w:hAnsiTheme="majorHAnsi" w:cstheme="majorHAnsi"/>
          <w:lang w:eastAsia="en-GB"/>
        </w:rPr>
        <w:t>is needed</w:t>
      </w:r>
      <w:r w:rsidR="008C1957" w:rsidRPr="008460EA">
        <w:rPr>
          <w:rFonts w:asciiTheme="majorHAnsi" w:hAnsiTheme="majorHAnsi" w:cstheme="majorHAnsi"/>
          <w:lang w:eastAsia="en-GB"/>
        </w:rPr>
        <w:t>.</w:t>
      </w:r>
      <w:r w:rsidR="000A0969">
        <w:rPr>
          <w:rFonts w:asciiTheme="majorHAnsi" w:hAnsiTheme="majorHAnsi" w:cstheme="majorHAnsi"/>
          <w:vertAlign w:val="superscript"/>
          <w:lang w:eastAsia="en-GB"/>
        </w:rPr>
        <w:t>10</w:t>
      </w:r>
    </w:p>
    <w:p w:rsidR="00F90EB6" w:rsidRPr="008460EA" w:rsidRDefault="00E55F20" w:rsidP="00736C35">
      <w:p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8460EA">
        <w:rPr>
          <w:rFonts w:asciiTheme="majorHAnsi" w:hAnsiTheme="majorHAnsi" w:cstheme="majorHAnsi"/>
        </w:rPr>
        <w:t>E</w:t>
      </w:r>
      <w:r w:rsidR="00F90EB6" w:rsidRPr="008460EA">
        <w:rPr>
          <w:rFonts w:asciiTheme="majorHAnsi" w:hAnsiTheme="majorHAnsi" w:cstheme="majorHAnsi"/>
        </w:rPr>
        <w:t xml:space="preserve">xpansion of specialist training and international collaborations are needed not just to </w:t>
      </w:r>
      <w:r w:rsidR="00C223F9" w:rsidRPr="008460EA">
        <w:rPr>
          <w:rFonts w:asciiTheme="majorHAnsi" w:hAnsiTheme="majorHAnsi" w:cstheme="majorHAnsi"/>
        </w:rPr>
        <w:t xml:space="preserve">better </w:t>
      </w:r>
      <w:r w:rsidR="00F90EB6" w:rsidRPr="008460EA">
        <w:rPr>
          <w:rFonts w:asciiTheme="majorHAnsi" w:hAnsiTheme="majorHAnsi" w:cstheme="majorHAnsi"/>
        </w:rPr>
        <w:t xml:space="preserve">diagnose and manage the full spectrum of paediatric gastroenterological disorders in LMICs, but also to </w:t>
      </w:r>
      <w:r w:rsidR="003E2C22" w:rsidRPr="008460EA">
        <w:rPr>
          <w:rFonts w:asciiTheme="majorHAnsi" w:hAnsiTheme="majorHAnsi" w:cstheme="majorHAnsi"/>
        </w:rPr>
        <w:t xml:space="preserve">capitalise on </w:t>
      </w:r>
      <w:r w:rsidR="006F6490" w:rsidRPr="008460EA">
        <w:rPr>
          <w:rFonts w:asciiTheme="majorHAnsi" w:hAnsiTheme="majorHAnsi" w:cstheme="majorHAnsi"/>
        </w:rPr>
        <w:t xml:space="preserve">the renewed </w:t>
      </w:r>
      <w:r w:rsidR="00933DF6" w:rsidRPr="008460EA">
        <w:rPr>
          <w:rFonts w:asciiTheme="majorHAnsi" w:hAnsiTheme="majorHAnsi" w:cstheme="majorHAnsi"/>
        </w:rPr>
        <w:t xml:space="preserve">focus on </w:t>
      </w:r>
      <w:r w:rsidR="003E2C22" w:rsidRPr="008460EA">
        <w:rPr>
          <w:rFonts w:asciiTheme="majorHAnsi" w:hAnsiTheme="majorHAnsi" w:cstheme="majorHAnsi"/>
        </w:rPr>
        <w:t xml:space="preserve">the </w:t>
      </w:r>
      <w:r w:rsidR="00A64396">
        <w:rPr>
          <w:rFonts w:asciiTheme="majorHAnsi" w:hAnsiTheme="majorHAnsi" w:cstheme="majorHAnsi"/>
        </w:rPr>
        <w:t xml:space="preserve">role </w:t>
      </w:r>
      <w:r w:rsidR="000C258F" w:rsidRPr="008460EA">
        <w:rPr>
          <w:rFonts w:asciiTheme="majorHAnsi" w:hAnsiTheme="majorHAnsi" w:cstheme="majorHAnsi"/>
        </w:rPr>
        <w:t xml:space="preserve">that poor gut health plays </w:t>
      </w:r>
      <w:r w:rsidR="000C258F" w:rsidRPr="008460EA">
        <w:rPr>
          <w:rFonts w:asciiTheme="majorHAnsi" w:hAnsiTheme="majorHAnsi" w:cstheme="majorHAnsi"/>
          <w:lang w:val="en-US"/>
        </w:rPr>
        <w:t>in malnutrition.</w:t>
      </w:r>
      <w:r w:rsidR="007763E8" w:rsidRPr="008460EA">
        <w:rPr>
          <w:rFonts w:asciiTheme="majorHAnsi" w:hAnsiTheme="majorHAnsi" w:cstheme="majorHAnsi"/>
        </w:rPr>
        <w:t xml:space="preserve"> </w:t>
      </w:r>
      <w:r w:rsidR="00776749">
        <w:rPr>
          <w:rFonts w:asciiTheme="majorHAnsi" w:hAnsiTheme="majorHAnsi" w:cstheme="majorHAnsi"/>
        </w:rPr>
        <w:t>S</w:t>
      </w:r>
      <w:r w:rsidR="00F90EB6" w:rsidRPr="008460EA">
        <w:rPr>
          <w:rFonts w:asciiTheme="majorHAnsi" w:hAnsiTheme="majorHAnsi" w:cstheme="majorHAnsi"/>
        </w:rPr>
        <w:t xml:space="preserve">low progress </w:t>
      </w:r>
      <w:r w:rsidR="00C96853" w:rsidRPr="008460EA">
        <w:rPr>
          <w:rFonts w:asciiTheme="majorHAnsi" w:hAnsiTheme="majorHAnsi" w:cstheme="majorHAnsi"/>
        </w:rPr>
        <w:t xml:space="preserve">in </w:t>
      </w:r>
      <w:r w:rsidR="00F90EB6" w:rsidRPr="008460EA">
        <w:rPr>
          <w:rFonts w:asciiTheme="majorHAnsi" w:hAnsiTheme="majorHAnsi" w:cstheme="majorHAnsi"/>
        </w:rPr>
        <w:t xml:space="preserve">preventing malnutrition </w:t>
      </w:r>
      <w:r w:rsidR="000C258F" w:rsidRPr="008460EA">
        <w:rPr>
          <w:rFonts w:asciiTheme="majorHAnsi" w:hAnsiTheme="majorHAnsi" w:cstheme="majorHAnsi"/>
        </w:rPr>
        <w:t>means that,</w:t>
      </w:r>
      <w:r w:rsidR="00F90EB6" w:rsidRPr="008460EA">
        <w:rPr>
          <w:rFonts w:asciiTheme="majorHAnsi" w:hAnsiTheme="majorHAnsi" w:cstheme="majorHAnsi"/>
        </w:rPr>
        <w:t xml:space="preserve"> </w:t>
      </w:r>
      <w:r w:rsidR="000C258F" w:rsidRPr="008460EA">
        <w:rPr>
          <w:rFonts w:asciiTheme="majorHAnsi" w:hAnsiTheme="majorHAnsi" w:cstheme="majorHAnsi"/>
        </w:rPr>
        <w:t xml:space="preserve">currently, </w:t>
      </w:r>
      <w:r w:rsidR="00F90EB6" w:rsidRPr="008460EA">
        <w:rPr>
          <w:rFonts w:asciiTheme="majorHAnsi" w:hAnsiTheme="majorHAnsi" w:cstheme="majorHAnsi"/>
        </w:rPr>
        <w:t xml:space="preserve">more than 1 in 5 under fives (150.8m worldwide) </w:t>
      </w:r>
      <w:r w:rsidR="000C258F" w:rsidRPr="008460EA">
        <w:rPr>
          <w:rFonts w:asciiTheme="majorHAnsi" w:hAnsiTheme="majorHAnsi" w:cstheme="majorHAnsi"/>
        </w:rPr>
        <w:t>are</w:t>
      </w:r>
      <w:r w:rsidR="00F90EB6" w:rsidRPr="008460EA">
        <w:rPr>
          <w:rFonts w:asciiTheme="majorHAnsi" w:hAnsiTheme="majorHAnsi" w:cstheme="majorHAnsi"/>
        </w:rPr>
        <w:t xml:space="preserve"> stunted and wasting affect</w:t>
      </w:r>
      <w:r w:rsidR="000C258F" w:rsidRPr="008460EA">
        <w:rPr>
          <w:rFonts w:asciiTheme="majorHAnsi" w:hAnsiTheme="majorHAnsi" w:cstheme="majorHAnsi"/>
        </w:rPr>
        <w:t>s</w:t>
      </w:r>
      <w:r w:rsidR="00F90EB6" w:rsidRPr="008460EA">
        <w:rPr>
          <w:rFonts w:asciiTheme="majorHAnsi" w:hAnsiTheme="majorHAnsi" w:cstheme="majorHAnsi"/>
        </w:rPr>
        <w:t xml:space="preserve"> 7.5% of children (50.5m), of whom 16.4m ha</w:t>
      </w:r>
      <w:r w:rsidR="000C258F" w:rsidRPr="008460EA">
        <w:rPr>
          <w:rFonts w:asciiTheme="majorHAnsi" w:hAnsiTheme="majorHAnsi" w:cstheme="majorHAnsi"/>
        </w:rPr>
        <w:t>ve</w:t>
      </w:r>
      <w:r w:rsidR="00F90EB6" w:rsidRPr="008460EA">
        <w:rPr>
          <w:rFonts w:asciiTheme="majorHAnsi" w:hAnsiTheme="majorHAnsi" w:cstheme="majorHAnsi"/>
        </w:rPr>
        <w:t xml:space="preserve"> severe wasting</w:t>
      </w:r>
      <w:r w:rsidR="00F90EB6" w:rsidRPr="008460EA">
        <w:rPr>
          <w:rFonts w:asciiTheme="majorHAnsi" w:hAnsiTheme="majorHAnsi" w:cstheme="majorHAnsi"/>
          <w:color w:val="000000" w:themeColor="text1"/>
        </w:rPr>
        <w:t>.</w:t>
      </w:r>
      <w:r w:rsidR="000A0969">
        <w:rPr>
          <w:rFonts w:asciiTheme="majorHAnsi" w:hAnsiTheme="majorHAnsi" w:cstheme="majorHAnsi"/>
          <w:color w:val="000000" w:themeColor="text1"/>
          <w:vertAlign w:val="superscript"/>
        </w:rPr>
        <w:t>11</w:t>
      </w:r>
      <w:r w:rsidR="00F90EB6" w:rsidRPr="008460EA">
        <w:rPr>
          <w:rFonts w:asciiTheme="majorHAnsi" w:hAnsiTheme="majorHAnsi" w:cstheme="majorHAnsi"/>
          <w:color w:val="000000" w:themeColor="text1"/>
        </w:rPr>
        <w:t xml:space="preserve"> An aggregate measure of u</w:t>
      </w:r>
      <w:r w:rsidR="00F90EB6" w:rsidRPr="008460EA">
        <w:rPr>
          <w:rFonts w:asciiTheme="majorHAnsi" w:hAnsiTheme="majorHAnsi" w:cstheme="majorHAnsi"/>
          <w:bCs/>
          <w:color w:val="000000"/>
        </w:rPr>
        <w:t xml:space="preserve">ndernutrition that included </w:t>
      </w:r>
      <w:r w:rsidR="00F90EB6" w:rsidRPr="008460EA">
        <w:rPr>
          <w:rFonts w:asciiTheme="majorHAnsi" w:eastAsiaTheme="minorHAnsi" w:hAnsiTheme="majorHAnsi" w:cstheme="majorHAnsi"/>
          <w:lang w:val="en-US"/>
        </w:rPr>
        <w:t xml:space="preserve">fetal growth restriction, stunting, wasting, micronutrient deficiencies and suboptimal breastfeeding was </w:t>
      </w:r>
      <w:r w:rsidR="00F90EB6" w:rsidRPr="008460EA">
        <w:rPr>
          <w:rFonts w:asciiTheme="majorHAnsi" w:hAnsiTheme="majorHAnsi" w:cstheme="majorHAnsi"/>
          <w:bCs/>
          <w:color w:val="000000"/>
        </w:rPr>
        <w:t>estimated to account for a staggering 45% of all child deaths in 2011 (3.1m deaths).</w:t>
      </w:r>
      <w:r w:rsidR="002F0F6C" w:rsidRPr="002F0F6C">
        <w:rPr>
          <w:rFonts w:asciiTheme="majorHAnsi" w:hAnsiTheme="majorHAnsi" w:cstheme="majorHAnsi"/>
          <w:bCs/>
          <w:color w:val="000000"/>
          <w:vertAlign w:val="superscript"/>
        </w:rPr>
        <w:t>1</w:t>
      </w:r>
      <w:r w:rsidR="00645D26">
        <w:rPr>
          <w:rFonts w:asciiTheme="majorHAnsi" w:hAnsiTheme="majorHAnsi" w:cstheme="majorHAnsi"/>
          <w:bCs/>
          <w:color w:val="000000"/>
          <w:vertAlign w:val="superscript"/>
        </w:rPr>
        <w:t>2</w:t>
      </w:r>
      <w:r w:rsidR="00F90EB6" w:rsidRPr="008460EA">
        <w:rPr>
          <w:rFonts w:asciiTheme="majorHAnsi" w:hAnsiTheme="majorHAnsi" w:cstheme="majorHAnsi"/>
          <w:bCs/>
          <w:color w:val="000000"/>
        </w:rPr>
        <w:t xml:space="preserve"> The little </w:t>
      </w:r>
      <w:r w:rsidR="00776749" w:rsidRPr="008460EA">
        <w:rPr>
          <w:rFonts w:asciiTheme="majorHAnsi" w:hAnsiTheme="majorHAnsi" w:cstheme="majorHAnsi"/>
          <w:bCs/>
          <w:color w:val="000000"/>
        </w:rPr>
        <w:t xml:space="preserve">available </w:t>
      </w:r>
      <w:r w:rsidR="00F90EB6" w:rsidRPr="008460EA">
        <w:rPr>
          <w:rFonts w:asciiTheme="majorHAnsi" w:hAnsiTheme="majorHAnsi" w:cstheme="majorHAnsi"/>
          <w:bCs/>
          <w:color w:val="000000"/>
        </w:rPr>
        <w:t>evidence regarding the longer-term outcome of severe acute malnutrition indicates a high burden of chronic disease</w:t>
      </w:r>
      <w:r w:rsidR="00857074">
        <w:rPr>
          <w:rFonts w:asciiTheme="majorHAnsi" w:hAnsiTheme="majorHAnsi" w:cstheme="majorHAnsi"/>
          <w:bCs/>
          <w:color w:val="000000"/>
        </w:rPr>
        <w:t>.</w:t>
      </w:r>
      <w:r w:rsidR="00857074" w:rsidRPr="0097601D">
        <w:rPr>
          <w:rFonts w:asciiTheme="majorHAnsi" w:hAnsiTheme="majorHAnsi" w:cstheme="majorHAnsi"/>
          <w:bCs/>
          <w:color w:val="000000"/>
          <w:vertAlign w:val="superscript"/>
        </w:rPr>
        <w:t>1</w:t>
      </w:r>
      <w:r w:rsidR="000A0969">
        <w:rPr>
          <w:rFonts w:asciiTheme="majorHAnsi" w:hAnsiTheme="majorHAnsi" w:cstheme="majorHAnsi"/>
          <w:bCs/>
          <w:color w:val="000000"/>
          <w:vertAlign w:val="superscript"/>
        </w:rPr>
        <w:t>3</w:t>
      </w:r>
    </w:p>
    <w:p w:rsidR="00F90EB6" w:rsidRPr="008460EA" w:rsidRDefault="00320F33" w:rsidP="00736C35">
      <w:pPr>
        <w:spacing w:line="276" w:lineRule="auto"/>
        <w:rPr>
          <w:rFonts w:asciiTheme="majorHAnsi" w:hAnsiTheme="majorHAnsi" w:cstheme="majorHAnsi"/>
          <w:color w:val="000000" w:themeColor="text1"/>
          <w:lang w:val="en-US"/>
        </w:rPr>
      </w:pPr>
      <w:r w:rsidRPr="008460EA">
        <w:rPr>
          <w:rFonts w:asciiTheme="majorHAnsi" w:hAnsiTheme="majorHAnsi" w:cstheme="majorHAnsi"/>
          <w:bCs/>
          <w:color w:val="000000" w:themeColor="text1"/>
        </w:rPr>
        <w:t>I</w:t>
      </w:r>
      <w:r w:rsidR="00F90EB6" w:rsidRPr="008460EA">
        <w:rPr>
          <w:rFonts w:asciiTheme="majorHAnsi" w:hAnsiTheme="majorHAnsi" w:cstheme="majorHAnsi"/>
          <w:bCs/>
          <w:color w:val="000000" w:themeColor="text1"/>
        </w:rPr>
        <w:t>nterventions such as micronutrients during pregnancy, exclusive breastfeeding, safe complementary feeding and improv</w:t>
      </w:r>
      <w:r w:rsidR="00776749">
        <w:rPr>
          <w:rFonts w:asciiTheme="majorHAnsi" w:hAnsiTheme="majorHAnsi" w:cstheme="majorHAnsi"/>
          <w:bCs/>
          <w:color w:val="000000" w:themeColor="text1"/>
        </w:rPr>
        <w:t>ements to</w:t>
      </w:r>
      <w:r w:rsidR="00F90EB6" w:rsidRPr="008460EA">
        <w:rPr>
          <w:rFonts w:asciiTheme="majorHAnsi" w:hAnsiTheme="majorHAnsi" w:cstheme="majorHAnsi"/>
          <w:bCs/>
          <w:color w:val="000000" w:themeColor="text1"/>
        </w:rPr>
        <w:t xml:space="preserve"> water, sanitation and hygiene practices</w:t>
      </w:r>
      <w:r w:rsidR="00AF1DFA" w:rsidRPr="008460EA">
        <w:rPr>
          <w:rFonts w:asciiTheme="majorHAnsi" w:hAnsiTheme="majorHAnsi" w:cstheme="majorHAnsi"/>
          <w:bCs/>
          <w:color w:val="000000" w:themeColor="text1"/>
        </w:rPr>
        <w:t xml:space="preserve">, even with high levels of compliance, </w:t>
      </w:r>
      <w:r w:rsidR="00F90EB6" w:rsidRPr="008460EA">
        <w:rPr>
          <w:rFonts w:asciiTheme="majorHAnsi" w:hAnsiTheme="majorHAnsi" w:cstheme="majorHAnsi"/>
          <w:bCs/>
          <w:color w:val="000000" w:themeColor="text1"/>
        </w:rPr>
        <w:t xml:space="preserve">have </w:t>
      </w:r>
      <w:r w:rsidR="003B1EDD" w:rsidRPr="008460EA">
        <w:rPr>
          <w:rFonts w:asciiTheme="majorHAnsi" w:hAnsiTheme="majorHAnsi" w:cstheme="majorHAnsi"/>
          <w:bCs/>
          <w:color w:val="000000" w:themeColor="text1"/>
        </w:rPr>
        <w:t xml:space="preserve">not had the desired </w:t>
      </w:r>
      <w:r w:rsidR="00F90EB6" w:rsidRPr="008460EA">
        <w:rPr>
          <w:rFonts w:asciiTheme="majorHAnsi" w:hAnsiTheme="majorHAnsi" w:cstheme="majorHAnsi"/>
          <w:bCs/>
          <w:color w:val="000000" w:themeColor="text1"/>
        </w:rPr>
        <w:t>impact on improving growth.</w:t>
      </w:r>
      <w:r w:rsidR="00214129" w:rsidRPr="00214129">
        <w:rPr>
          <w:rFonts w:asciiTheme="majorHAnsi" w:hAnsiTheme="majorHAnsi" w:cstheme="majorHAnsi"/>
          <w:bCs/>
          <w:color w:val="000000" w:themeColor="text1"/>
          <w:vertAlign w:val="superscript"/>
        </w:rPr>
        <w:t>1</w:t>
      </w:r>
      <w:r w:rsidR="000A0969">
        <w:rPr>
          <w:rFonts w:asciiTheme="majorHAnsi" w:hAnsiTheme="majorHAnsi" w:cstheme="majorHAnsi"/>
          <w:bCs/>
          <w:color w:val="000000" w:themeColor="text1"/>
          <w:vertAlign w:val="superscript"/>
        </w:rPr>
        <w:t>4</w:t>
      </w:r>
      <w:r w:rsidR="00214129" w:rsidRPr="00214129">
        <w:rPr>
          <w:rFonts w:asciiTheme="majorHAnsi" w:hAnsiTheme="majorHAnsi" w:cstheme="majorHAnsi"/>
          <w:bCs/>
          <w:color w:val="000000" w:themeColor="text1"/>
          <w:vertAlign w:val="superscript"/>
        </w:rPr>
        <w:t>,1</w:t>
      </w:r>
      <w:r w:rsidR="000A0969">
        <w:rPr>
          <w:rFonts w:asciiTheme="majorHAnsi" w:hAnsiTheme="majorHAnsi" w:cstheme="majorHAnsi"/>
          <w:bCs/>
          <w:color w:val="000000" w:themeColor="text1"/>
          <w:vertAlign w:val="superscript"/>
        </w:rPr>
        <w:t>5</w:t>
      </w:r>
      <w:r w:rsidR="00F90EB6" w:rsidRPr="008460EA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90EB6" w:rsidRPr="008460EA">
        <w:rPr>
          <w:rFonts w:asciiTheme="majorHAnsi" w:hAnsiTheme="majorHAnsi" w:cstheme="majorHAnsi"/>
          <w:color w:val="000000" w:themeColor="text1"/>
        </w:rPr>
        <w:t xml:space="preserve">It was estimated that achieving 90% coverage with the best </w:t>
      </w:r>
      <w:r w:rsidR="00F90EB6" w:rsidRPr="008460EA">
        <w:rPr>
          <w:rFonts w:asciiTheme="majorHAnsi" w:hAnsiTheme="majorHAnsi" w:cstheme="majorHAnsi"/>
          <w:color w:val="000000" w:themeColor="text1"/>
          <w:lang w:val="en-US"/>
        </w:rPr>
        <w:t>ten evidence-based nutrition-specific interventions would reduce stunting by only 20%</w:t>
      </w:r>
      <w:r w:rsidR="00CF0995" w:rsidRPr="00CF0995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>1</w:t>
      </w:r>
      <w:r w:rsidR="000A0969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>6</w:t>
      </w:r>
      <w:r w:rsidR="00CF0995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3B1EDD" w:rsidRPr="008460EA">
        <w:rPr>
          <w:rFonts w:asciiTheme="majorHAnsi" w:hAnsiTheme="majorHAnsi" w:cstheme="majorHAnsi"/>
          <w:color w:val="000000" w:themeColor="text1"/>
          <w:lang w:val="en-US"/>
        </w:rPr>
        <w:t xml:space="preserve">thereby </w:t>
      </w:r>
      <w:r w:rsidR="00F90EB6" w:rsidRPr="008460EA">
        <w:rPr>
          <w:rFonts w:asciiTheme="majorHAnsi" w:hAnsiTheme="majorHAnsi" w:cstheme="majorHAnsi"/>
          <w:color w:val="000000" w:themeColor="text1"/>
          <w:lang w:val="en-US"/>
        </w:rPr>
        <w:t>achiev</w:t>
      </w:r>
      <w:r w:rsidR="003B1EDD" w:rsidRPr="008460EA">
        <w:rPr>
          <w:rFonts w:asciiTheme="majorHAnsi" w:hAnsiTheme="majorHAnsi" w:cstheme="majorHAnsi"/>
          <w:color w:val="000000" w:themeColor="text1"/>
          <w:lang w:val="en-US"/>
        </w:rPr>
        <w:t>ing</w:t>
      </w:r>
      <w:r w:rsidR="00F90EB6" w:rsidRPr="008460EA">
        <w:rPr>
          <w:rFonts w:asciiTheme="majorHAnsi" w:hAnsiTheme="majorHAnsi" w:cstheme="majorHAnsi"/>
          <w:color w:val="000000" w:themeColor="text1"/>
          <w:lang w:val="en-US"/>
        </w:rPr>
        <w:t xml:space="preserve"> only half of Sustainable Development Goal </w:t>
      </w:r>
      <w:r w:rsidR="00387C16" w:rsidRPr="008460EA">
        <w:rPr>
          <w:rFonts w:asciiTheme="majorHAnsi" w:hAnsiTheme="majorHAnsi" w:cstheme="majorHAnsi"/>
          <w:color w:val="000000" w:themeColor="text1"/>
          <w:lang w:val="en-US"/>
        </w:rPr>
        <w:t xml:space="preserve">2 </w:t>
      </w:r>
      <w:r w:rsidR="00776749">
        <w:rPr>
          <w:rFonts w:asciiTheme="majorHAnsi" w:hAnsiTheme="majorHAnsi" w:cstheme="majorHAnsi"/>
          <w:color w:val="000000" w:themeColor="text1"/>
          <w:lang w:val="en-US"/>
        </w:rPr>
        <w:t xml:space="preserve">- </w:t>
      </w:r>
      <w:r w:rsidR="00F90EB6" w:rsidRPr="008460EA">
        <w:rPr>
          <w:rFonts w:asciiTheme="majorHAnsi" w:hAnsiTheme="majorHAnsi" w:cstheme="majorHAnsi"/>
          <w:color w:val="000000" w:themeColor="text1"/>
          <w:lang w:val="en-US"/>
        </w:rPr>
        <w:t>a 40% reduction in the prevalence of stunting by 2025</w:t>
      </w:r>
      <w:r w:rsidR="00CF0995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0A0969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>17</w:t>
      </w:r>
    </w:p>
    <w:p w:rsidR="00F90EB6" w:rsidRPr="008460EA" w:rsidRDefault="00F90EB6" w:rsidP="00736C35">
      <w:pPr>
        <w:spacing w:line="276" w:lineRule="auto"/>
        <w:rPr>
          <w:rFonts w:asciiTheme="majorHAnsi" w:hAnsiTheme="majorHAnsi" w:cstheme="majorHAnsi"/>
        </w:rPr>
      </w:pPr>
    </w:p>
    <w:p w:rsidR="000573AE" w:rsidRPr="008460EA" w:rsidRDefault="003E54AF" w:rsidP="00736C3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r w:rsidRPr="008460EA">
        <w:rPr>
          <w:rFonts w:asciiTheme="majorHAnsi" w:hAnsiTheme="majorHAnsi" w:cstheme="majorHAnsi"/>
        </w:rPr>
        <w:t xml:space="preserve">New insights into the role that </w:t>
      </w:r>
      <w:r w:rsidR="00E26178" w:rsidRPr="008460EA">
        <w:rPr>
          <w:rFonts w:asciiTheme="majorHAnsi" w:hAnsiTheme="majorHAnsi" w:cstheme="majorHAnsi"/>
        </w:rPr>
        <w:t>e</w:t>
      </w:r>
      <w:proofErr w:type="spellStart"/>
      <w:r w:rsidR="00F90EB6" w:rsidRPr="008460EA">
        <w:rPr>
          <w:rFonts w:asciiTheme="majorHAnsi" w:hAnsiTheme="majorHAnsi" w:cstheme="majorHAnsi"/>
          <w:lang w:val="en-US"/>
        </w:rPr>
        <w:t>nvironmental</w:t>
      </w:r>
      <w:proofErr w:type="spellEnd"/>
      <w:r w:rsidR="00F90EB6" w:rsidRPr="008460EA">
        <w:rPr>
          <w:rFonts w:asciiTheme="majorHAnsi" w:hAnsiTheme="majorHAnsi" w:cstheme="majorHAnsi"/>
          <w:lang w:val="en-US"/>
        </w:rPr>
        <w:t xml:space="preserve"> enteric dysfunction (EED</w:t>
      </w:r>
      <w:r w:rsidRPr="008460EA">
        <w:rPr>
          <w:rFonts w:asciiTheme="majorHAnsi" w:hAnsiTheme="majorHAnsi" w:cstheme="majorHAnsi"/>
          <w:lang w:val="en-US"/>
        </w:rPr>
        <w:t xml:space="preserve">; previously </w:t>
      </w:r>
      <w:r w:rsidRPr="008460EA">
        <w:rPr>
          <w:rFonts w:asciiTheme="majorHAnsi" w:hAnsiTheme="majorHAnsi" w:cstheme="majorHAnsi"/>
          <w:lang w:val="en-US"/>
        </w:rPr>
        <w:lastRenderedPageBreak/>
        <w:t>“tropical” or “environmental” enteropathy)</w:t>
      </w:r>
      <w:r w:rsidR="00F90EB6" w:rsidRPr="008460EA">
        <w:rPr>
          <w:rFonts w:asciiTheme="majorHAnsi" w:hAnsiTheme="majorHAnsi" w:cstheme="majorHAnsi"/>
          <w:lang w:val="en-US"/>
        </w:rPr>
        <w:t xml:space="preserve">, </w:t>
      </w:r>
      <w:r w:rsidRPr="008460EA">
        <w:rPr>
          <w:rFonts w:asciiTheme="majorHAnsi" w:hAnsiTheme="majorHAnsi" w:cstheme="majorHAnsi"/>
          <w:lang w:val="en-US"/>
        </w:rPr>
        <w:t xml:space="preserve">plays in growth faltering present new opportunities. EED is a sub-clinical condition </w:t>
      </w:r>
      <w:r w:rsidR="00F90EB6" w:rsidRPr="008460EA">
        <w:rPr>
          <w:rFonts w:asciiTheme="majorHAnsi" w:hAnsiTheme="majorHAnsi" w:cstheme="majorHAnsi"/>
          <w:lang w:val="en-US"/>
        </w:rPr>
        <w:t xml:space="preserve">characterized in small intestinal biopsies by </w:t>
      </w:r>
      <w:r w:rsidR="00AC2A98" w:rsidRPr="008460EA">
        <w:rPr>
          <w:rFonts w:asciiTheme="majorHAnsi" w:hAnsiTheme="majorHAnsi" w:cstheme="majorHAnsi"/>
          <w:lang w:val="en-US"/>
        </w:rPr>
        <w:t xml:space="preserve">chronic inflammation, </w:t>
      </w:r>
      <w:r w:rsidR="00F90EB6" w:rsidRPr="008460EA">
        <w:rPr>
          <w:rFonts w:asciiTheme="majorHAnsi" w:hAnsiTheme="majorHAnsi" w:cstheme="majorHAnsi"/>
          <w:lang w:val="en-US"/>
        </w:rPr>
        <w:t>villous atrophy, and a “leaky” mucosa</w:t>
      </w:r>
      <w:r w:rsidRPr="008460EA">
        <w:rPr>
          <w:rFonts w:asciiTheme="majorHAnsi" w:hAnsiTheme="majorHAnsi" w:cstheme="majorHAnsi"/>
          <w:lang w:val="en-US"/>
        </w:rPr>
        <w:t>.</w:t>
      </w:r>
      <w:r w:rsidR="00FC4264">
        <w:rPr>
          <w:rFonts w:asciiTheme="majorHAnsi" w:hAnsiTheme="majorHAnsi" w:cstheme="majorHAnsi"/>
          <w:vertAlign w:val="superscript"/>
          <w:lang w:val="en-US"/>
        </w:rPr>
        <w:t>18</w:t>
      </w:r>
      <w:r w:rsidRPr="008460EA">
        <w:rPr>
          <w:rFonts w:asciiTheme="majorHAnsi" w:hAnsiTheme="majorHAnsi" w:cstheme="majorHAnsi"/>
          <w:lang w:val="en-US"/>
        </w:rPr>
        <w:t xml:space="preserve"> EED</w:t>
      </w:r>
      <w:r w:rsidR="00F90EB6" w:rsidRPr="008460EA">
        <w:rPr>
          <w:rFonts w:asciiTheme="majorHAnsi" w:hAnsiTheme="majorHAnsi" w:cstheme="majorHAnsi"/>
          <w:lang w:val="en-US"/>
        </w:rPr>
        <w:t xml:space="preserve"> is universal in people living with poor sanitation and hygiene </w:t>
      </w:r>
      <w:r w:rsidR="00CC46FF">
        <w:rPr>
          <w:rFonts w:asciiTheme="majorHAnsi" w:hAnsiTheme="majorHAnsi" w:cstheme="majorHAnsi"/>
          <w:lang w:val="en-US"/>
        </w:rPr>
        <w:t xml:space="preserve">and occurs early in life despite </w:t>
      </w:r>
      <w:r w:rsidR="0016355E" w:rsidRPr="008460EA">
        <w:rPr>
          <w:rFonts w:asciiTheme="majorHAnsi" w:hAnsiTheme="majorHAnsi" w:cstheme="majorHAnsi"/>
          <w:lang w:val="en-US"/>
        </w:rPr>
        <w:t xml:space="preserve">exclusive breastfeeding; &gt;80% of infants </w:t>
      </w:r>
      <w:r w:rsidR="0016355E" w:rsidRPr="008460EA">
        <w:rPr>
          <w:rFonts w:asciiTheme="majorHAnsi" w:hAnsiTheme="majorHAnsi" w:cstheme="majorHAnsi"/>
          <w:color w:val="000000"/>
        </w:rPr>
        <w:t xml:space="preserve">in an urban slum in Bangladesh </w:t>
      </w:r>
      <w:r w:rsidR="0016355E" w:rsidRPr="008460EA">
        <w:rPr>
          <w:rFonts w:asciiTheme="majorHAnsi" w:hAnsiTheme="majorHAnsi" w:cstheme="majorHAnsi"/>
          <w:lang w:val="en-US"/>
        </w:rPr>
        <w:t>had evidence of EED by age 12 weeks despite exclusive breastfeeding for an average 120 days</w:t>
      </w:r>
      <w:r w:rsidR="0016355E" w:rsidRPr="008460EA">
        <w:rPr>
          <w:rFonts w:asciiTheme="majorHAnsi" w:hAnsiTheme="majorHAnsi" w:cstheme="majorHAnsi"/>
        </w:rPr>
        <w:t>.</w:t>
      </w:r>
      <w:r w:rsidR="00CC46FF" w:rsidRPr="00CC46FF">
        <w:rPr>
          <w:rFonts w:asciiTheme="majorHAnsi" w:hAnsiTheme="majorHAnsi" w:cstheme="majorHAnsi"/>
          <w:vertAlign w:val="superscript"/>
        </w:rPr>
        <w:t>1</w:t>
      </w:r>
      <w:r w:rsidR="00FC4264">
        <w:rPr>
          <w:rFonts w:asciiTheme="majorHAnsi" w:hAnsiTheme="majorHAnsi" w:cstheme="majorHAnsi"/>
          <w:vertAlign w:val="superscript"/>
        </w:rPr>
        <w:t>9</w:t>
      </w:r>
      <w:r w:rsidR="00422C7E" w:rsidRPr="008460EA">
        <w:rPr>
          <w:rFonts w:asciiTheme="majorHAnsi" w:hAnsiTheme="majorHAnsi" w:cstheme="majorHAnsi"/>
        </w:rPr>
        <w:t xml:space="preserve"> </w:t>
      </w:r>
      <w:r w:rsidR="00E40356" w:rsidRPr="008460EA">
        <w:rPr>
          <w:rFonts w:asciiTheme="majorHAnsi" w:hAnsiTheme="majorHAnsi" w:cstheme="majorHAnsi"/>
        </w:rPr>
        <w:t xml:space="preserve">The main manifestation of </w:t>
      </w:r>
      <w:r w:rsidR="00422C7E" w:rsidRPr="008460EA">
        <w:rPr>
          <w:rFonts w:asciiTheme="majorHAnsi" w:hAnsiTheme="majorHAnsi" w:cstheme="majorHAnsi"/>
        </w:rPr>
        <w:t xml:space="preserve">EED </w:t>
      </w:r>
      <w:r w:rsidR="00E40356" w:rsidRPr="008460EA">
        <w:rPr>
          <w:rFonts w:asciiTheme="majorHAnsi" w:hAnsiTheme="majorHAnsi" w:cstheme="majorHAnsi"/>
        </w:rPr>
        <w:t xml:space="preserve">is </w:t>
      </w:r>
      <w:r w:rsidR="00422C7E" w:rsidRPr="008460EA">
        <w:rPr>
          <w:rFonts w:asciiTheme="majorHAnsi" w:hAnsiTheme="majorHAnsi" w:cstheme="majorHAnsi"/>
        </w:rPr>
        <w:t>impair</w:t>
      </w:r>
      <w:r w:rsidR="00E40356" w:rsidRPr="008460EA">
        <w:rPr>
          <w:rFonts w:asciiTheme="majorHAnsi" w:hAnsiTheme="majorHAnsi" w:cstheme="majorHAnsi"/>
        </w:rPr>
        <w:t xml:space="preserve">ed </w:t>
      </w:r>
      <w:r w:rsidR="00422C7E" w:rsidRPr="008460EA">
        <w:rPr>
          <w:rFonts w:asciiTheme="majorHAnsi" w:hAnsiTheme="majorHAnsi" w:cstheme="majorHAnsi"/>
        </w:rPr>
        <w:t xml:space="preserve">linear and ponderal growth </w:t>
      </w:r>
      <w:r w:rsidR="00E40356" w:rsidRPr="008460EA">
        <w:rPr>
          <w:rFonts w:asciiTheme="majorHAnsi" w:hAnsiTheme="majorHAnsi" w:cstheme="majorHAnsi"/>
        </w:rPr>
        <w:t xml:space="preserve">resulting from </w:t>
      </w:r>
      <w:r w:rsidR="00DE6933" w:rsidRPr="008460EA">
        <w:rPr>
          <w:rFonts w:asciiTheme="majorHAnsi" w:hAnsiTheme="majorHAnsi" w:cstheme="majorHAnsi"/>
        </w:rPr>
        <w:t xml:space="preserve">impaired </w:t>
      </w:r>
      <w:r w:rsidR="00422C7E" w:rsidRPr="008460EA">
        <w:rPr>
          <w:rFonts w:asciiTheme="majorHAnsi" w:hAnsiTheme="majorHAnsi" w:cstheme="majorHAnsi"/>
          <w:lang w:val="en-US"/>
        </w:rPr>
        <w:t>nutrient digestion and absorption and increased systemic inflammation</w:t>
      </w:r>
      <w:r w:rsidR="005713FB" w:rsidRPr="008460EA">
        <w:rPr>
          <w:rFonts w:asciiTheme="majorHAnsi" w:hAnsiTheme="majorHAnsi" w:cstheme="majorHAnsi"/>
          <w:lang w:val="en-US"/>
        </w:rPr>
        <w:t>.</w:t>
      </w:r>
      <w:r w:rsidR="00972645" w:rsidRPr="008460EA">
        <w:rPr>
          <w:rFonts w:asciiTheme="majorHAnsi" w:hAnsiTheme="majorHAnsi" w:cstheme="majorHAnsi"/>
          <w:lang w:val="en-US"/>
        </w:rPr>
        <w:t xml:space="preserve"> </w:t>
      </w:r>
      <w:r w:rsidR="000573AE" w:rsidRPr="008460EA">
        <w:rPr>
          <w:rFonts w:asciiTheme="majorHAnsi" w:hAnsiTheme="majorHAnsi" w:cstheme="majorHAnsi"/>
          <w:color w:val="000000"/>
        </w:rPr>
        <w:t>Studies demonstrating growth faltering associated with enteropathy, diarrhoea and asymptomatic gut infections</w:t>
      </w:r>
      <w:r w:rsidR="00FC4264">
        <w:rPr>
          <w:rFonts w:asciiTheme="majorHAnsi" w:hAnsiTheme="majorHAnsi" w:cstheme="majorHAnsi"/>
          <w:color w:val="000000"/>
          <w:vertAlign w:val="superscript"/>
        </w:rPr>
        <w:t>20</w:t>
      </w:r>
      <w:r w:rsidR="00D47A0A" w:rsidRPr="00D47A0A">
        <w:rPr>
          <w:rFonts w:asciiTheme="majorHAnsi" w:hAnsiTheme="majorHAnsi" w:cstheme="majorHAnsi"/>
          <w:color w:val="000000"/>
          <w:vertAlign w:val="superscript"/>
        </w:rPr>
        <w:t>-2</w:t>
      </w:r>
      <w:r w:rsidR="00FC4264">
        <w:rPr>
          <w:rFonts w:asciiTheme="majorHAnsi" w:hAnsiTheme="majorHAnsi" w:cstheme="majorHAnsi"/>
          <w:color w:val="000000"/>
          <w:vertAlign w:val="superscript"/>
        </w:rPr>
        <w:t>1</w:t>
      </w:r>
      <w:r w:rsidR="00D47A0A">
        <w:rPr>
          <w:rFonts w:asciiTheme="majorHAnsi" w:hAnsiTheme="majorHAnsi" w:cstheme="majorHAnsi"/>
          <w:color w:val="000000"/>
        </w:rPr>
        <w:t xml:space="preserve"> </w:t>
      </w:r>
      <w:r w:rsidR="000573AE" w:rsidRPr="008460EA">
        <w:rPr>
          <w:rFonts w:asciiTheme="majorHAnsi" w:hAnsiTheme="majorHAnsi" w:cstheme="majorHAnsi"/>
          <w:color w:val="000000"/>
        </w:rPr>
        <w:t xml:space="preserve">have </w:t>
      </w:r>
      <w:r w:rsidR="003003E6" w:rsidRPr="008460EA">
        <w:rPr>
          <w:rFonts w:asciiTheme="majorHAnsi" w:hAnsiTheme="majorHAnsi" w:cstheme="majorHAnsi"/>
          <w:color w:val="000000"/>
        </w:rPr>
        <w:t xml:space="preserve">built on </w:t>
      </w:r>
      <w:r w:rsidR="000573AE" w:rsidRPr="008460EA">
        <w:rPr>
          <w:rFonts w:asciiTheme="majorHAnsi" w:hAnsiTheme="majorHAnsi" w:cstheme="majorHAnsi"/>
          <w:color w:val="000000"/>
        </w:rPr>
        <w:t>e</w:t>
      </w:r>
      <w:r w:rsidR="00972645" w:rsidRPr="008460EA">
        <w:rPr>
          <w:rFonts w:asciiTheme="majorHAnsi" w:hAnsiTheme="majorHAnsi" w:cstheme="majorHAnsi"/>
          <w:color w:val="000000"/>
        </w:rPr>
        <w:t xml:space="preserve">arly work </w:t>
      </w:r>
      <w:r w:rsidR="005573B3" w:rsidRPr="008460EA">
        <w:rPr>
          <w:rFonts w:asciiTheme="majorHAnsi" w:hAnsiTheme="majorHAnsi" w:cstheme="majorHAnsi"/>
          <w:color w:val="000000"/>
        </w:rPr>
        <w:t xml:space="preserve">in The Gambia </w:t>
      </w:r>
      <w:r w:rsidR="003E3B81" w:rsidRPr="008460EA">
        <w:rPr>
          <w:rFonts w:asciiTheme="majorHAnsi" w:hAnsiTheme="majorHAnsi" w:cstheme="majorHAnsi"/>
          <w:color w:val="000000"/>
        </w:rPr>
        <w:t xml:space="preserve">that </w:t>
      </w:r>
      <w:r w:rsidR="000573AE" w:rsidRPr="008460EA">
        <w:rPr>
          <w:rFonts w:asciiTheme="majorHAnsi" w:hAnsiTheme="majorHAnsi" w:cstheme="majorHAnsi"/>
          <w:color w:val="000000"/>
        </w:rPr>
        <w:t xml:space="preserve">attributed </w:t>
      </w:r>
      <w:r w:rsidR="00972645" w:rsidRPr="008460EA">
        <w:rPr>
          <w:rFonts w:asciiTheme="majorHAnsi" w:hAnsiTheme="majorHAnsi" w:cstheme="majorHAnsi"/>
          <w:color w:val="000000"/>
        </w:rPr>
        <w:t>40% of linear growth faltering to enteropathy.</w:t>
      </w:r>
      <w:r w:rsidR="00D47A0A" w:rsidRPr="00D47A0A">
        <w:rPr>
          <w:rFonts w:asciiTheme="majorHAnsi" w:hAnsiTheme="majorHAnsi" w:cstheme="majorHAnsi"/>
          <w:color w:val="000000"/>
          <w:vertAlign w:val="superscript"/>
        </w:rPr>
        <w:t>2</w:t>
      </w:r>
      <w:r w:rsidR="00EB22A8">
        <w:rPr>
          <w:rFonts w:asciiTheme="majorHAnsi" w:hAnsiTheme="majorHAnsi" w:cstheme="majorHAnsi"/>
          <w:color w:val="000000"/>
          <w:vertAlign w:val="superscript"/>
        </w:rPr>
        <w:t>3</w:t>
      </w:r>
      <w:r w:rsidR="001E6946" w:rsidRPr="008460EA">
        <w:rPr>
          <w:rFonts w:asciiTheme="majorHAnsi" w:hAnsiTheme="majorHAnsi" w:cstheme="majorHAnsi"/>
          <w:lang w:val="en-US"/>
        </w:rPr>
        <w:t xml:space="preserve"> </w:t>
      </w:r>
    </w:p>
    <w:p w:rsidR="00D83E09" w:rsidRPr="008460EA" w:rsidRDefault="00D83E09" w:rsidP="00736C3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</w:p>
    <w:p w:rsidR="000573AE" w:rsidRPr="008460EA" w:rsidRDefault="00D83E09" w:rsidP="00736C3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r w:rsidRPr="008460EA">
        <w:rPr>
          <w:rFonts w:asciiTheme="majorHAnsi" w:hAnsiTheme="majorHAnsi" w:cstheme="majorHAnsi"/>
          <w:lang w:val="en-US"/>
        </w:rPr>
        <w:t xml:space="preserve">A composite of </w:t>
      </w:r>
      <w:r w:rsidR="00BF0A49">
        <w:rPr>
          <w:rFonts w:asciiTheme="majorHAnsi" w:hAnsiTheme="majorHAnsi" w:cstheme="majorHAnsi"/>
          <w:lang w:val="en-US"/>
        </w:rPr>
        <w:t>three</w:t>
      </w:r>
      <w:r w:rsidRPr="008460EA">
        <w:rPr>
          <w:rFonts w:asciiTheme="majorHAnsi" w:hAnsiTheme="majorHAnsi" w:cstheme="majorHAnsi"/>
          <w:lang w:val="en-US"/>
        </w:rPr>
        <w:t xml:space="preserve"> domains for the diagnosis of EDD </w:t>
      </w:r>
      <w:r w:rsidRPr="008460EA">
        <w:rPr>
          <w:rFonts w:asciiTheme="majorHAnsi" w:hAnsiTheme="majorHAnsi" w:cstheme="majorHAnsi"/>
          <w:color w:val="000000"/>
        </w:rPr>
        <w:t xml:space="preserve">in therapeutic trials have been proposed: 1) </w:t>
      </w:r>
      <w:r w:rsidRPr="008460EA">
        <w:rPr>
          <w:rFonts w:asciiTheme="majorHAnsi" w:hAnsiTheme="majorHAnsi" w:cstheme="majorHAnsi"/>
        </w:rPr>
        <w:t>age, linear growth failure, negative coeliac disease testing; 2) gut histopathology consistent with EED or at least two intestinal deficits assessed by less invasive biomarkers; 3) biomarkers nonspecific to enteric dysfunction but representing consequences of EED</w:t>
      </w:r>
      <w:r w:rsidRPr="008460EA">
        <w:rPr>
          <w:rFonts w:asciiTheme="majorHAnsi" w:hAnsiTheme="majorHAnsi" w:cstheme="majorHAnsi"/>
          <w:color w:val="000000"/>
        </w:rPr>
        <w:t>.</w:t>
      </w:r>
      <w:r w:rsidR="00D47A0A" w:rsidRPr="00D47A0A">
        <w:rPr>
          <w:rFonts w:asciiTheme="majorHAnsi" w:hAnsiTheme="majorHAnsi" w:cstheme="majorHAnsi"/>
          <w:color w:val="000000"/>
          <w:vertAlign w:val="superscript"/>
        </w:rPr>
        <w:t>2</w:t>
      </w:r>
      <w:r w:rsidR="00EB22A8">
        <w:rPr>
          <w:rFonts w:asciiTheme="majorHAnsi" w:hAnsiTheme="majorHAnsi" w:cstheme="majorHAnsi"/>
          <w:color w:val="000000"/>
          <w:vertAlign w:val="superscript"/>
        </w:rPr>
        <w:t>4</w:t>
      </w:r>
      <w:r w:rsidRPr="008460EA">
        <w:rPr>
          <w:rFonts w:asciiTheme="majorHAnsi" w:hAnsiTheme="majorHAnsi" w:cstheme="majorHAnsi"/>
          <w:color w:val="000000"/>
        </w:rPr>
        <w:t xml:space="preserve"> </w:t>
      </w:r>
      <w:r w:rsidRPr="008460EA">
        <w:rPr>
          <w:rFonts w:asciiTheme="majorHAnsi" w:hAnsiTheme="majorHAnsi" w:cstheme="majorHAnsi"/>
          <w:lang w:val="en-US"/>
        </w:rPr>
        <w:t>Although small intestinal biopsy remains the gold standard for diagnosis, further evaluation of biomarkers of systemic and intestinal inflammation and mucosal integrity in stool and blood will facilitate community-based studies.</w:t>
      </w:r>
      <w:r w:rsidR="00EE2C0B" w:rsidRPr="00EE2C0B">
        <w:rPr>
          <w:rFonts w:asciiTheme="majorHAnsi" w:hAnsiTheme="majorHAnsi" w:cstheme="majorHAnsi"/>
          <w:vertAlign w:val="superscript"/>
          <w:lang w:val="en-US"/>
        </w:rPr>
        <w:t>2</w:t>
      </w:r>
      <w:r w:rsidR="00B33EBA">
        <w:rPr>
          <w:rFonts w:asciiTheme="majorHAnsi" w:hAnsiTheme="majorHAnsi" w:cstheme="majorHAnsi"/>
          <w:vertAlign w:val="superscript"/>
          <w:lang w:val="en-US"/>
        </w:rPr>
        <w:t>5,</w:t>
      </w:r>
      <w:r w:rsidR="00EE2C0B" w:rsidRPr="00EE2C0B">
        <w:rPr>
          <w:rFonts w:asciiTheme="majorHAnsi" w:hAnsiTheme="majorHAnsi" w:cstheme="majorHAnsi"/>
          <w:vertAlign w:val="superscript"/>
          <w:lang w:val="en-US"/>
        </w:rPr>
        <w:t>2</w:t>
      </w:r>
      <w:r w:rsidR="00B33EBA">
        <w:rPr>
          <w:rFonts w:asciiTheme="majorHAnsi" w:hAnsiTheme="majorHAnsi" w:cstheme="majorHAnsi"/>
          <w:vertAlign w:val="superscript"/>
          <w:lang w:val="en-US"/>
        </w:rPr>
        <w:t>6</w:t>
      </w:r>
    </w:p>
    <w:p w:rsidR="00D83E09" w:rsidRPr="008460EA" w:rsidRDefault="00D83E09" w:rsidP="00736C3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</w:p>
    <w:p w:rsidR="0021569A" w:rsidRPr="00FB7F87" w:rsidRDefault="00F90EB6" w:rsidP="00736C3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vertAlign w:val="superscript"/>
          <w:lang w:val="en-US"/>
        </w:rPr>
      </w:pPr>
      <w:r w:rsidRPr="008460EA">
        <w:rPr>
          <w:rFonts w:asciiTheme="majorHAnsi" w:hAnsiTheme="majorHAnsi" w:cstheme="majorHAnsi"/>
          <w:lang w:val="en-US"/>
        </w:rPr>
        <w:t xml:space="preserve">The MAL-ED studies (8 sites across </w:t>
      </w:r>
      <w:r w:rsidRPr="008460EA">
        <w:rPr>
          <w:rFonts w:asciiTheme="majorHAnsi" w:hAnsiTheme="majorHAnsi" w:cstheme="majorHAnsi"/>
          <w:color w:val="000000"/>
        </w:rPr>
        <w:t xml:space="preserve">Southern Asia, Latin America and </w:t>
      </w:r>
      <w:r w:rsidR="00BF0A49">
        <w:rPr>
          <w:rFonts w:asciiTheme="majorHAnsi" w:hAnsiTheme="majorHAnsi" w:cstheme="majorHAnsi"/>
          <w:color w:val="000000"/>
        </w:rPr>
        <w:t>s</w:t>
      </w:r>
      <w:r w:rsidRPr="008460EA">
        <w:rPr>
          <w:rFonts w:asciiTheme="majorHAnsi" w:hAnsiTheme="majorHAnsi" w:cstheme="majorHAnsi"/>
          <w:color w:val="000000"/>
        </w:rPr>
        <w:t>ub-Saharan Africa)</w:t>
      </w:r>
      <w:r w:rsidR="002E7480" w:rsidRPr="002E7480">
        <w:rPr>
          <w:rFonts w:asciiTheme="majorHAnsi" w:hAnsiTheme="majorHAnsi" w:cstheme="majorHAnsi"/>
          <w:color w:val="000000"/>
          <w:vertAlign w:val="superscript"/>
        </w:rPr>
        <w:t>2</w:t>
      </w:r>
      <w:r w:rsidR="00546D1F">
        <w:rPr>
          <w:rFonts w:asciiTheme="majorHAnsi" w:hAnsiTheme="majorHAnsi" w:cstheme="majorHAnsi"/>
          <w:color w:val="000000"/>
          <w:vertAlign w:val="superscript"/>
        </w:rPr>
        <w:t>7</w:t>
      </w:r>
      <w:r w:rsidRPr="008460EA">
        <w:rPr>
          <w:rFonts w:asciiTheme="majorHAnsi" w:hAnsiTheme="majorHAnsi" w:cstheme="majorHAnsi"/>
          <w:lang w:val="en-US"/>
        </w:rPr>
        <w:t xml:space="preserve"> </w:t>
      </w:r>
      <w:r w:rsidR="003E3B81" w:rsidRPr="008460EA">
        <w:rPr>
          <w:rFonts w:asciiTheme="majorHAnsi" w:hAnsiTheme="majorHAnsi" w:cstheme="majorHAnsi"/>
          <w:lang w:val="en-US"/>
        </w:rPr>
        <w:t xml:space="preserve">and a study in </w:t>
      </w:r>
      <w:r w:rsidR="003E3B81" w:rsidRPr="008460EA">
        <w:rPr>
          <w:rFonts w:asciiTheme="majorHAnsi" w:hAnsiTheme="majorHAnsi" w:cstheme="majorHAnsi"/>
          <w:color w:val="000000" w:themeColor="text1"/>
          <w:lang w:val="en-US"/>
        </w:rPr>
        <w:t>Bangladesh</w:t>
      </w:r>
      <w:r w:rsidR="005B5DF3" w:rsidRPr="005B5DF3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>2</w:t>
      </w:r>
      <w:r w:rsidR="00546D1F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>8</w:t>
      </w:r>
      <w:r w:rsidR="003E3B81" w:rsidRPr="008460EA">
        <w:rPr>
          <w:rFonts w:asciiTheme="majorHAnsi" w:hAnsiTheme="majorHAnsi" w:cstheme="majorHAnsi"/>
          <w:lang w:val="en-US"/>
        </w:rPr>
        <w:t xml:space="preserve"> </w:t>
      </w:r>
      <w:r w:rsidRPr="008460EA">
        <w:rPr>
          <w:rFonts w:asciiTheme="majorHAnsi" w:hAnsiTheme="majorHAnsi" w:cstheme="majorHAnsi"/>
          <w:lang w:val="en-US"/>
        </w:rPr>
        <w:t xml:space="preserve">have highlighted the role of subclinical enteric infection, especially with </w:t>
      </w:r>
      <w:r w:rsidR="00AF19E3" w:rsidRPr="008460EA">
        <w:rPr>
          <w:rFonts w:asciiTheme="majorHAnsi" w:hAnsiTheme="majorHAnsi" w:cstheme="majorHAnsi"/>
          <w:lang w:val="en-US"/>
        </w:rPr>
        <w:t>bacteria</w:t>
      </w:r>
      <w:r w:rsidRPr="008460EA">
        <w:rPr>
          <w:rFonts w:asciiTheme="majorHAnsi" w:hAnsiTheme="majorHAnsi" w:cstheme="majorHAnsi"/>
          <w:lang w:val="en-US"/>
        </w:rPr>
        <w:t xml:space="preserve"> that damage the intestinal mucosa, in causing EED</w:t>
      </w:r>
      <w:r w:rsidR="007124BC" w:rsidRPr="008460EA">
        <w:rPr>
          <w:rFonts w:asciiTheme="majorHAnsi" w:hAnsiTheme="majorHAnsi" w:cstheme="majorHAnsi"/>
          <w:lang w:val="en-US"/>
        </w:rPr>
        <w:t>.</w:t>
      </w:r>
      <w:r w:rsidR="00E4703A" w:rsidRPr="008460EA">
        <w:rPr>
          <w:rFonts w:asciiTheme="majorHAnsi" w:hAnsiTheme="majorHAnsi" w:cstheme="majorHAnsi"/>
          <w:lang w:val="en-US"/>
        </w:rPr>
        <w:t xml:space="preserve"> </w:t>
      </w:r>
      <w:r w:rsidR="00296595" w:rsidRPr="008460EA">
        <w:rPr>
          <w:rFonts w:asciiTheme="majorHAnsi" w:hAnsiTheme="majorHAnsi" w:cstheme="majorHAnsi"/>
          <w:lang w:val="en-US"/>
        </w:rPr>
        <w:t>A</w:t>
      </w:r>
      <w:r w:rsidR="00FF7E68" w:rsidRPr="008460EA">
        <w:rPr>
          <w:rFonts w:asciiTheme="majorHAnsi" w:hAnsiTheme="majorHAnsi" w:cstheme="majorHAnsi"/>
          <w:lang w:val="en-US"/>
        </w:rPr>
        <w:t xml:space="preserve">s well as a greater understanding of </w:t>
      </w:r>
      <w:r w:rsidR="0097601D">
        <w:rPr>
          <w:rFonts w:asciiTheme="majorHAnsi" w:hAnsiTheme="majorHAnsi" w:cstheme="majorHAnsi"/>
          <w:lang w:val="en-US"/>
        </w:rPr>
        <w:t xml:space="preserve">the </w:t>
      </w:r>
      <w:r w:rsidR="00D83E09" w:rsidRPr="008460EA">
        <w:rPr>
          <w:rFonts w:asciiTheme="majorHAnsi" w:hAnsiTheme="majorHAnsi" w:cstheme="majorHAnsi"/>
          <w:lang w:val="en-US"/>
        </w:rPr>
        <w:t>pathogenesis</w:t>
      </w:r>
      <w:r w:rsidR="0097601D">
        <w:rPr>
          <w:rFonts w:asciiTheme="majorHAnsi" w:hAnsiTheme="majorHAnsi" w:cstheme="majorHAnsi"/>
          <w:lang w:val="en-US"/>
        </w:rPr>
        <w:t xml:space="preserve"> of EED</w:t>
      </w:r>
      <w:r w:rsidR="00D83E09" w:rsidRPr="008460EA">
        <w:rPr>
          <w:rFonts w:asciiTheme="majorHAnsi" w:hAnsiTheme="majorHAnsi" w:cstheme="majorHAnsi"/>
          <w:lang w:val="en-US"/>
        </w:rPr>
        <w:t xml:space="preserve">, </w:t>
      </w:r>
      <w:r w:rsidR="00283DD5" w:rsidRPr="008460EA">
        <w:rPr>
          <w:rFonts w:asciiTheme="majorHAnsi" w:hAnsiTheme="majorHAnsi" w:cstheme="majorHAnsi"/>
          <w:lang w:val="en-US"/>
        </w:rPr>
        <w:t>molecular techniques ha</w:t>
      </w:r>
      <w:r w:rsidR="00A12F30" w:rsidRPr="008460EA">
        <w:rPr>
          <w:rFonts w:asciiTheme="majorHAnsi" w:hAnsiTheme="majorHAnsi" w:cstheme="majorHAnsi"/>
          <w:lang w:val="en-US"/>
        </w:rPr>
        <w:t>ve</w:t>
      </w:r>
      <w:r w:rsidR="00283DD5" w:rsidRPr="008460EA">
        <w:rPr>
          <w:rFonts w:asciiTheme="majorHAnsi" w:hAnsiTheme="majorHAnsi" w:cstheme="majorHAnsi"/>
          <w:lang w:val="en-US"/>
        </w:rPr>
        <w:t xml:space="preserve"> </w:t>
      </w:r>
      <w:r w:rsidR="00B47372">
        <w:rPr>
          <w:rFonts w:asciiTheme="majorHAnsi" w:hAnsiTheme="majorHAnsi" w:cstheme="majorHAnsi"/>
          <w:lang w:val="en-US"/>
        </w:rPr>
        <w:t>offered</w:t>
      </w:r>
      <w:r w:rsidR="00283DD5" w:rsidRPr="008460EA">
        <w:rPr>
          <w:rFonts w:asciiTheme="majorHAnsi" w:hAnsiTheme="majorHAnsi" w:cstheme="majorHAnsi"/>
          <w:lang w:val="en-US"/>
        </w:rPr>
        <w:t xml:space="preserve"> new insights into </w:t>
      </w:r>
      <w:r w:rsidR="00A12F30" w:rsidRPr="008460EA">
        <w:rPr>
          <w:rFonts w:asciiTheme="majorHAnsi" w:hAnsiTheme="majorHAnsi" w:cstheme="majorHAnsi"/>
          <w:lang w:val="en-US"/>
        </w:rPr>
        <w:t xml:space="preserve">gut microbiome development in early life and how this affects </w:t>
      </w:r>
      <w:r w:rsidR="00283DD5" w:rsidRPr="008460EA">
        <w:rPr>
          <w:rFonts w:asciiTheme="majorHAnsi" w:hAnsiTheme="majorHAnsi" w:cstheme="majorHAnsi"/>
          <w:lang w:val="en-US"/>
        </w:rPr>
        <w:t xml:space="preserve">gut health and development. </w:t>
      </w:r>
      <w:r w:rsidR="0021569A" w:rsidRPr="008460EA">
        <w:rPr>
          <w:rFonts w:asciiTheme="majorHAnsi" w:hAnsiTheme="majorHAnsi" w:cstheme="majorHAnsi"/>
        </w:rPr>
        <w:t xml:space="preserve">With the onset of breastfeeding, lactobacilli and </w:t>
      </w:r>
      <w:proofErr w:type="spellStart"/>
      <w:r w:rsidR="0021569A" w:rsidRPr="008460EA">
        <w:rPr>
          <w:rFonts w:asciiTheme="majorHAnsi" w:hAnsiTheme="majorHAnsi" w:cstheme="majorHAnsi"/>
        </w:rPr>
        <w:t>bifidobacteria</w:t>
      </w:r>
      <w:proofErr w:type="spellEnd"/>
      <w:r w:rsidR="0021569A" w:rsidRPr="008460EA">
        <w:rPr>
          <w:rFonts w:asciiTheme="majorHAnsi" w:hAnsiTheme="majorHAnsi" w:cstheme="majorHAnsi"/>
        </w:rPr>
        <w:t xml:space="preserve"> that are highly adapted to metabolise human glycans (human milk oligosaccharides and intestinal mucin) flourish and become abundant. </w:t>
      </w:r>
      <w:r w:rsidR="003D314B" w:rsidRPr="008460EA">
        <w:rPr>
          <w:rFonts w:asciiTheme="majorHAnsi" w:hAnsiTheme="majorHAnsi" w:cstheme="majorHAnsi"/>
          <w:lang w:val="en-US"/>
        </w:rPr>
        <w:t xml:space="preserve">From the minimal microbial </w:t>
      </w:r>
      <w:proofErr w:type="spellStart"/>
      <w:r w:rsidR="003D314B" w:rsidRPr="008460EA">
        <w:rPr>
          <w:rFonts w:asciiTheme="majorHAnsi" w:hAnsiTheme="majorHAnsi" w:cstheme="majorHAnsi"/>
          <w:lang w:val="en-US"/>
        </w:rPr>
        <w:t>colonisation</w:t>
      </w:r>
      <w:proofErr w:type="spellEnd"/>
      <w:r w:rsidR="003D314B" w:rsidRPr="008460EA">
        <w:rPr>
          <w:rFonts w:asciiTheme="majorHAnsi" w:hAnsiTheme="majorHAnsi" w:cstheme="majorHAnsi"/>
          <w:lang w:val="en-US"/>
        </w:rPr>
        <w:t xml:space="preserve"> at birth, </w:t>
      </w:r>
      <w:r w:rsidR="003D314B" w:rsidRPr="008460EA">
        <w:rPr>
          <w:rFonts w:asciiTheme="majorHAnsi" w:hAnsiTheme="majorHAnsi" w:cstheme="majorHAnsi"/>
        </w:rPr>
        <w:t xml:space="preserve">there is a gradual diversification of the microbial community </w:t>
      </w:r>
      <w:r w:rsidR="00D31608">
        <w:rPr>
          <w:rFonts w:asciiTheme="majorHAnsi" w:hAnsiTheme="majorHAnsi" w:cstheme="majorHAnsi"/>
        </w:rPr>
        <w:t xml:space="preserve">to </w:t>
      </w:r>
      <w:r w:rsidR="003D314B" w:rsidRPr="008460EA">
        <w:rPr>
          <w:rFonts w:asciiTheme="majorHAnsi" w:hAnsiTheme="majorHAnsi" w:cstheme="majorHAnsi"/>
        </w:rPr>
        <w:t>resemble the adult microbiota by age 2-3 years</w:t>
      </w:r>
      <w:r w:rsidR="003D314B" w:rsidRPr="008460EA">
        <w:rPr>
          <w:rFonts w:asciiTheme="majorHAnsi" w:hAnsiTheme="majorHAnsi" w:cstheme="majorHAnsi"/>
          <w:lang w:val="en-US"/>
        </w:rPr>
        <w:t>.</w:t>
      </w:r>
      <w:r w:rsidR="003D314B" w:rsidRPr="00696C1B">
        <w:rPr>
          <w:rFonts w:asciiTheme="majorHAnsi" w:hAnsiTheme="majorHAnsi" w:cstheme="majorHAnsi"/>
          <w:vertAlign w:val="superscript"/>
          <w:lang w:val="en-US"/>
        </w:rPr>
        <w:t>2</w:t>
      </w:r>
      <w:r w:rsidR="00FB7F87">
        <w:rPr>
          <w:rFonts w:asciiTheme="majorHAnsi" w:hAnsiTheme="majorHAnsi" w:cstheme="majorHAnsi"/>
          <w:vertAlign w:val="superscript"/>
          <w:lang w:val="en-US"/>
        </w:rPr>
        <w:t xml:space="preserve">9 </w:t>
      </w:r>
      <w:proofErr w:type="spellStart"/>
      <w:r w:rsidR="00A12F30" w:rsidRPr="008460EA">
        <w:rPr>
          <w:rFonts w:asciiTheme="majorHAnsi" w:hAnsiTheme="majorHAnsi" w:cstheme="majorHAnsi"/>
        </w:rPr>
        <w:t>B</w:t>
      </w:r>
      <w:r w:rsidR="0021569A" w:rsidRPr="008460EA">
        <w:rPr>
          <w:rFonts w:asciiTheme="majorHAnsi" w:hAnsiTheme="majorHAnsi" w:cstheme="majorHAnsi"/>
        </w:rPr>
        <w:t>ifidobacteria</w:t>
      </w:r>
      <w:proofErr w:type="spellEnd"/>
      <w:r w:rsidR="00710758">
        <w:rPr>
          <w:rFonts w:asciiTheme="majorHAnsi" w:hAnsiTheme="majorHAnsi" w:cstheme="majorHAnsi"/>
        </w:rPr>
        <w:t xml:space="preserve">, </w:t>
      </w:r>
      <w:r w:rsidR="00710758" w:rsidRPr="008460EA">
        <w:rPr>
          <w:rFonts w:asciiTheme="majorHAnsi" w:hAnsiTheme="majorHAnsi" w:cstheme="majorHAnsi"/>
        </w:rPr>
        <w:t>as “</w:t>
      </w:r>
      <w:r w:rsidR="00710758" w:rsidRPr="008460EA">
        <w:rPr>
          <w:rFonts w:asciiTheme="majorHAnsi" w:hAnsiTheme="majorHAnsi" w:cstheme="majorHAnsi"/>
          <w:color w:val="000000"/>
        </w:rPr>
        <w:t>primary microbial degraders”</w:t>
      </w:r>
      <w:r w:rsidR="00710758">
        <w:rPr>
          <w:rFonts w:asciiTheme="majorHAnsi" w:hAnsiTheme="majorHAnsi" w:cstheme="majorHAnsi"/>
          <w:color w:val="000000"/>
        </w:rPr>
        <w:t xml:space="preserve">, </w:t>
      </w:r>
      <w:r w:rsidR="00A12F30" w:rsidRPr="008460EA">
        <w:rPr>
          <w:rFonts w:asciiTheme="majorHAnsi" w:hAnsiTheme="majorHAnsi" w:cstheme="majorHAnsi"/>
          <w:color w:val="000000"/>
        </w:rPr>
        <w:t xml:space="preserve">are </w:t>
      </w:r>
      <w:r w:rsidR="0021569A" w:rsidRPr="008460EA">
        <w:rPr>
          <w:rFonts w:asciiTheme="majorHAnsi" w:hAnsiTheme="majorHAnsi" w:cstheme="majorHAnsi"/>
          <w:color w:val="000000"/>
        </w:rPr>
        <w:t xml:space="preserve">thought to </w:t>
      </w:r>
      <w:r w:rsidR="00B47372">
        <w:rPr>
          <w:rFonts w:asciiTheme="majorHAnsi" w:hAnsiTheme="majorHAnsi" w:cstheme="majorHAnsi"/>
        </w:rPr>
        <w:t>play</w:t>
      </w:r>
      <w:r w:rsidR="0021569A" w:rsidRPr="008460EA">
        <w:rPr>
          <w:rFonts w:asciiTheme="majorHAnsi" w:hAnsiTheme="majorHAnsi" w:cstheme="majorHAnsi"/>
        </w:rPr>
        <w:t xml:space="preserve"> a key role in facilitating </w:t>
      </w:r>
      <w:r w:rsidR="0021569A" w:rsidRPr="008460EA">
        <w:rPr>
          <w:rFonts w:asciiTheme="majorHAnsi" w:hAnsiTheme="majorHAnsi" w:cstheme="majorHAnsi"/>
          <w:lang w:val="en-US"/>
        </w:rPr>
        <w:t xml:space="preserve">gut </w:t>
      </w:r>
      <w:proofErr w:type="spellStart"/>
      <w:r w:rsidR="0021569A" w:rsidRPr="008460EA">
        <w:rPr>
          <w:rFonts w:asciiTheme="majorHAnsi" w:hAnsiTheme="majorHAnsi" w:cstheme="majorHAnsi"/>
          <w:lang w:val="en-US"/>
        </w:rPr>
        <w:t>coloni</w:t>
      </w:r>
      <w:r w:rsidR="00EB608E">
        <w:rPr>
          <w:rFonts w:asciiTheme="majorHAnsi" w:hAnsiTheme="majorHAnsi" w:cstheme="majorHAnsi"/>
          <w:lang w:val="en-US"/>
        </w:rPr>
        <w:t>s</w:t>
      </w:r>
      <w:r w:rsidR="0021569A" w:rsidRPr="008460EA">
        <w:rPr>
          <w:rFonts w:asciiTheme="majorHAnsi" w:hAnsiTheme="majorHAnsi" w:cstheme="majorHAnsi"/>
          <w:lang w:val="en-US"/>
        </w:rPr>
        <w:t>ation</w:t>
      </w:r>
      <w:proofErr w:type="spellEnd"/>
      <w:r w:rsidR="0021569A" w:rsidRPr="008460EA">
        <w:rPr>
          <w:rFonts w:asciiTheme="majorHAnsi" w:hAnsiTheme="majorHAnsi" w:cstheme="majorHAnsi"/>
          <w:lang w:val="en-US"/>
        </w:rPr>
        <w:t xml:space="preserve"> by a diverse range of </w:t>
      </w:r>
      <w:proofErr w:type="gramStart"/>
      <w:r w:rsidR="0021569A" w:rsidRPr="008460EA">
        <w:rPr>
          <w:rFonts w:asciiTheme="majorHAnsi" w:hAnsiTheme="majorHAnsi" w:cstheme="majorHAnsi"/>
          <w:lang w:val="en-US"/>
        </w:rPr>
        <w:t xml:space="preserve">anaerobes </w:t>
      </w:r>
      <w:r w:rsidR="000E0883" w:rsidRPr="008460EA">
        <w:rPr>
          <w:rFonts w:asciiTheme="majorHAnsi" w:hAnsiTheme="majorHAnsi" w:cstheme="majorHAnsi"/>
          <w:color w:val="000000"/>
        </w:rPr>
        <w:t>,</w:t>
      </w:r>
      <w:proofErr w:type="gramEnd"/>
      <w:r w:rsidR="000E0883" w:rsidRPr="008460EA">
        <w:rPr>
          <w:rFonts w:asciiTheme="majorHAnsi" w:hAnsiTheme="majorHAnsi" w:cstheme="majorHAnsi"/>
          <w:color w:val="000000"/>
        </w:rPr>
        <w:t xml:space="preserve"> </w:t>
      </w:r>
      <w:r w:rsidR="000E0883" w:rsidRPr="008460EA">
        <w:rPr>
          <w:rFonts w:asciiTheme="majorHAnsi" w:hAnsiTheme="majorHAnsi" w:cstheme="majorHAnsi"/>
          <w:lang w:val="en-US"/>
        </w:rPr>
        <w:t>cross-feeding other organisms through</w:t>
      </w:r>
      <w:r w:rsidR="00126DC4" w:rsidRPr="008460E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21569A" w:rsidRPr="008460EA">
        <w:rPr>
          <w:rFonts w:asciiTheme="majorHAnsi" w:hAnsiTheme="majorHAnsi" w:cstheme="majorHAnsi"/>
          <w:lang w:val="en-US"/>
        </w:rPr>
        <w:t>hydrolysi</w:t>
      </w:r>
      <w:r w:rsidR="00126DC4" w:rsidRPr="008460EA">
        <w:rPr>
          <w:rFonts w:asciiTheme="majorHAnsi" w:hAnsiTheme="majorHAnsi" w:cstheme="majorHAnsi"/>
          <w:lang w:val="en-US"/>
        </w:rPr>
        <w:t>ng</w:t>
      </w:r>
      <w:proofErr w:type="spellEnd"/>
      <w:r w:rsidR="0021569A" w:rsidRPr="008460EA">
        <w:rPr>
          <w:rFonts w:asciiTheme="majorHAnsi" w:hAnsiTheme="majorHAnsi" w:cstheme="majorHAnsi"/>
          <w:lang w:val="en-US"/>
        </w:rPr>
        <w:t xml:space="preserve"> complex carbohydrates and produc</w:t>
      </w:r>
      <w:r w:rsidR="00126DC4" w:rsidRPr="008460EA">
        <w:rPr>
          <w:rFonts w:asciiTheme="majorHAnsi" w:hAnsiTheme="majorHAnsi" w:cstheme="majorHAnsi"/>
          <w:lang w:val="en-US"/>
        </w:rPr>
        <w:t>ing</w:t>
      </w:r>
      <w:r w:rsidR="0021569A" w:rsidRPr="008460EA">
        <w:rPr>
          <w:rFonts w:asciiTheme="majorHAnsi" w:hAnsiTheme="majorHAnsi" w:cstheme="majorHAnsi"/>
          <w:lang w:val="en-US"/>
        </w:rPr>
        <w:t xml:space="preserve"> organic acids. Some strains also have direct immune-modulatory, anti-inflammatory and anti-pathogen effects</w:t>
      </w:r>
      <w:r w:rsidR="00190F48">
        <w:rPr>
          <w:rFonts w:asciiTheme="majorHAnsi" w:hAnsiTheme="majorHAnsi" w:cstheme="majorHAnsi"/>
        </w:rPr>
        <w:t>.</w:t>
      </w:r>
      <w:r w:rsidR="00190F48" w:rsidRPr="00190F48">
        <w:rPr>
          <w:rFonts w:asciiTheme="majorHAnsi" w:hAnsiTheme="majorHAnsi" w:cstheme="majorHAnsi"/>
          <w:vertAlign w:val="superscript"/>
        </w:rPr>
        <w:t>2</w:t>
      </w:r>
      <w:r w:rsidR="00EA0BF6">
        <w:rPr>
          <w:rFonts w:asciiTheme="majorHAnsi" w:hAnsiTheme="majorHAnsi" w:cstheme="majorHAnsi"/>
          <w:vertAlign w:val="superscript"/>
        </w:rPr>
        <w:t>9</w:t>
      </w:r>
      <w:r w:rsidR="00190F48" w:rsidRPr="00190F48">
        <w:rPr>
          <w:rFonts w:asciiTheme="majorHAnsi" w:hAnsiTheme="majorHAnsi" w:cstheme="majorHAnsi"/>
          <w:vertAlign w:val="superscript"/>
        </w:rPr>
        <w:t>,</w:t>
      </w:r>
      <w:r w:rsidR="00EA0BF6">
        <w:rPr>
          <w:rFonts w:asciiTheme="majorHAnsi" w:hAnsiTheme="majorHAnsi" w:cstheme="majorHAnsi"/>
          <w:vertAlign w:val="superscript"/>
        </w:rPr>
        <w:t>30</w:t>
      </w:r>
      <w:r w:rsidR="00190F48">
        <w:rPr>
          <w:rFonts w:asciiTheme="majorHAnsi" w:hAnsiTheme="majorHAnsi" w:cstheme="majorHAnsi"/>
        </w:rPr>
        <w:t xml:space="preserve"> </w:t>
      </w:r>
    </w:p>
    <w:p w:rsidR="0021569A" w:rsidRPr="008460EA" w:rsidRDefault="0021569A" w:rsidP="00736C35">
      <w:pPr>
        <w:spacing w:line="276" w:lineRule="auto"/>
        <w:rPr>
          <w:rFonts w:asciiTheme="majorHAnsi" w:hAnsiTheme="majorHAnsi" w:cstheme="majorHAnsi"/>
          <w:lang w:val="en-US"/>
        </w:rPr>
      </w:pPr>
    </w:p>
    <w:p w:rsidR="00AF7492" w:rsidRPr="008460EA" w:rsidRDefault="00283DD5" w:rsidP="00736C3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r w:rsidRPr="008460EA">
        <w:rPr>
          <w:rFonts w:asciiTheme="majorHAnsi" w:hAnsiTheme="majorHAnsi" w:cstheme="majorHAnsi"/>
          <w:lang w:val="en-US"/>
        </w:rPr>
        <w:t>Th</w:t>
      </w:r>
      <w:r w:rsidR="0009785B" w:rsidRPr="008460EA">
        <w:rPr>
          <w:rFonts w:asciiTheme="majorHAnsi" w:hAnsiTheme="majorHAnsi" w:cstheme="majorHAnsi"/>
          <w:lang w:val="en-US"/>
        </w:rPr>
        <w:t xml:space="preserve">is pattern of </w:t>
      </w:r>
      <w:proofErr w:type="spellStart"/>
      <w:r w:rsidR="0009785B" w:rsidRPr="008460EA">
        <w:rPr>
          <w:rFonts w:asciiTheme="majorHAnsi" w:hAnsiTheme="majorHAnsi" w:cstheme="majorHAnsi"/>
          <w:lang w:val="en-US"/>
        </w:rPr>
        <w:t>colonisation</w:t>
      </w:r>
      <w:proofErr w:type="spellEnd"/>
      <w:r w:rsidR="0009785B" w:rsidRPr="008460EA">
        <w:rPr>
          <w:rFonts w:asciiTheme="majorHAnsi" w:hAnsiTheme="majorHAnsi" w:cstheme="majorHAnsi"/>
          <w:lang w:val="en-US"/>
        </w:rPr>
        <w:t xml:space="preserve"> observed in healthy, breastfed infants is </w:t>
      </w:r>
      <w:r w:rsidRPr="008460EA">
        <w:rPr>
          <w:rFonts w:asciiTheme="majorHAnsi" w:hAnsiTheme="majorHAnsi" w:cstheme="majorHAnsi"/>
          <w:lang w:val="en-US"/>
        </w:rPr>
        <w:t>adversely affected by common environmental factors such as Caesarian section</w:t>
      </w:r>
      <w:r w:rsidR="00AF7492" w:rsidRPr="008460EA">
        <w:rPr>
          <w:rFonts w:asciiTheme="majorHAnsi" w:hAnsiTheme="majorHAnsi" w:cstheme="majorHAnsi"/>
          <w:lang w:val="en-US"/>
        </w:rPr>
        <w:t xml:space="preserve"> delivery</w:t>
      </w:r>
      <w:r w:rsidRPr="008460EA">
        <w:rPr>
          <w:rFonts w:asciiTheme="majorHAnsi" w:hAnsiTheme="majorHAnsi" w:cstheme="majorHAnsi"/>
          <w:lang w:val="en-US"/>
        </w:rPr>
        <w:t xml:space="preserve">, feeding </w:t>
      </w:r>
      <w:r w:rsidR="0009785B" w:rsidRPr="008460EA">
        <w:rPr>
          <w:rFonts w:asciiTheme="majorHAnsi" w:hAnsiTheme="majorHAnsi" w:cstheme="majorHAnsi"/>
          <w:lang w:val="en-US"/>
        </w:rPr>
        <w:t xml:space="preserve">and hygiene </w:t>
      </w:r>
      <w:r w:rsidRPr="008460EA">
        <w:rPr>
          <w:rFonts w:asciiTheme="majorHAnsi" w:hAnsiTheme="majorHAnsi" w:cstheme="majorHAnsi"/>
          <w:lang w:val="en-US"/>
        </w:rPr>
        <w:t>practices and exposure to antibiotics</w:t>
      </w:r>
      <w:r w:rsidR="0009785B" w:rsidRPr="008460EA">
        <w:rPr>
          <w:rFonts w:asciiTheme="majorHAnsi" w:hAnsiTheme="majorHAnsi" w:cstheme="majorHAnsi"/>
          <w:lang w:val="en-US"/>
        </w:rPr>
        <w:t>.</w:t>
      </w:r>
      <w:r w:rsidR="00696C1B" w:rsidRPr="00696C1B">
        <w:rPr>
          <w:rFonts w:asciiTheme="majorHAnsi" w:hAnsiTheme="majorHAnsi" w:cstheme="majorHAnsi"/>
          <w:vertAlign w:val="superscript"/>
          <w:lang w:val="en-US"/>
        </w:rPr>
        <w:t>2</w:t>
      </w:r>
      <w:r w:rsidR="00546D1F">
        <w:rPr>
          <w:rFonts w:asciiTheme="majorHAnsi" w:hAnsiTheme="majorHAnsi" w:cstheme="majorHAnsi"/>
          <w:vertAlign w:val="superscript"/>
          <w:lang w:val="en-US"/>
        </w:rPr>
        <w:t>9</w:t>
      </w:r>
      <w:r w:rsidR="00EA0BF6">
        <w:rPr>
          <w:rFonts w:asciiTheme="majorHAnsi" w:hAnsiTheme="majorHAnsi" w:cstheme="majorHAnsi"/>
          <w:vertAlign w:val="superscript"/>
          <w:lang w:val="en-US"/>
        </w:rPr>
        <w:t>,30</w:t>
      </w:r>
      <w:r w:rsidR="0009785B" w:rsidRPr="008460EA">
        <w:rPr>
          <w:rFonts w:asciiTheme="majorHAnsi" w:hAnsiTheme="majorHAnsi" w:cstheme="majorHAnsi"/>
          <w:lang w:val="en-US"/>
        </w:rPr>
        <w:t xml:space="preserve"> </w:t>
      </w:r>
      <w:r w:rsidR="00CB4DA8" w:rsidRPr="008460EA">
        <w:rPr>
          <w:rFonts w:asciiTheme="majorHAnsi" w:hAnsiTheme="majorHAnsi" w:cstheme="majorHAnsi"/>
          <w:color w:val="000000"/>
        </w:rPr>
        <w:t xml:space="preserve">Several studies have reported delayed maturation of the gut microbiome and a deficiency of </w:t>
      </w:r>
      <w:r w:rsidR="00CB4DA8" w:rsidRPr="008460EA">
        <w:rPr>
          <w:rFonts w:asciiTheme="majorHAnsi" w:hAnsiTheme="majorHAnsi" w:cstheme="majorHAnsi"/>
          <w:i/>
          <w:color w:val="000000"/>
        </w:rPr>
        <w:lastRenderedPageBreak/>
        <w:t>Bifidobacterium</w:t>
      </w:r>
      <w:r w:rsidR="00CB4DA8" w:rsidRPr="008460EA">
        <w:rPr>
          <w:rFonts w:asciiTheme="majorHAnsi" w:hAnsiTheme="majorHAnsi" w:cstheme="majorHAnsi"/>
          <w:color w:val="000000"/>
        </w:rPr>
        <w:t xml:space="preserve"> in children with malnutritio</w:t>
      </w:r>
      <w:r w:rsidR="00902907">
        <w:rPr>
          <w:rFonts w:asciiTheme="majorHAnsi" w:hAnsiTheme="majorHAnsi" w:cstheme="majorHAnsi"/>
          <w:color w:val="000000"/>
        </w:rPr>
        <w:t>n</w:t>
      </w:r>
      <w:r w:rsidR="00CB4DA8" w:rsidRPr="008460EA">
        <w:rPr>
          <w:rFonts w:asciiTheme="majorHAnsi" w:hAnsiTheme="majorHAnsi" w:cstheme="majorHAnsi"/>
          <w:color w:val="000000"/>
        </w:rPr>
        <w:t>.</w:t>
      </w:r>
      <w:r w:rsidR="00546D1F">
        <w:rPr>
          <w:rFonts w:asciiTheme="majorHAnsi" w:hAnsiTheme="majorHAnsi" w:cstheme="majorHAnsi"/>
          <w:color w:val="000000"/>
          <w:vertAlign w:val="superscript"/>
        </w:rPr>
        <w:t>3</w:t>
      </w:r>
      <w:r w:rsidR="00EA0BF6">
        <w:rPr>
          <w:rFonts w:asciiTheme="majorHAnsi" w:hAnsiTheme="majorHAnsi" w:cstheme="majorHAnsi"/>
          <w:color w:val="000000"/>
          <w:vertAlign w:val="superscript"/>
        </w:rPr>
        <w:t>1</w:t>
      </w:r>
      <w:r w:rsidR="00CB4DA8" w:rsidRPr="008460EA">
        <w:rPr>
          <w:rFonts w:asciiTheme="majorHAnsi" w:hAnsiTheme="majorHAnsi" w:cstheme="majorHAnsi"/>
          <w:lang w:val="en-US"/>
        </w:rPr>
        <w:t xml:space="preserve"> </w:t>
      </w:r>
      <w:r w:rsidR="002C6A2D" w:rsidRPr="008460EA">
        <w:rPr>
          <w:rFonts w:asciiTheme="majorHAnsi" w:hAnsiTheme="majorHAnsi" w:cstheme="majorHAnsi"/>
          <w:lang w:val="en-US"/>
        </w:rPr>
        <w:t xml:space="preserve">This growing body of research evidence suggests that modulating the gut microbiome in early life to boost </w:t>
      </w:r>
      <w:proofErr w:type="spellStart"/>
      <w:r w:rsidR="002C6A2D" w:rsidRPr="008460EA">
        <w:rPr>
          <w:rFonts w:asciiTheme="majorHAnsi" w:hAnsiTheme="majorHAnsi" w:cstheme="majorHAnsi"/>
          <w:lang w:val="en-US"/>
        </w:rPr>
        <w:t>colonisation</w:t>
      </w:r>
      <w:proofErr w:type="spellEnd"/>
      <w:r w:rsidR="002C6A2D" w:rsidRPr="008460EA">
        <w:rPr>
          <w:rFonts w:asciiTheme="majorHAnsi" w:hAnsiTheme="majorHAnsi" w:cstheme="majorHAnsi"/>
          <w:lang w:val="en-US"/>
        </w:rPr>
        <w:t xml:space="preserve"> resistance against </w:t>
      </w:r>
      <w:proofErr w:type="spellStart"/>
      <w:r w:rsidR="002C6A2D" w:rsidRPr="008460EA">
        <w:rPr>
          <w:rFonts w:asciiTheme="majorHAnsi" w:hAnsiTheme="majorHAnsi" w:cstheme="majorHAnsi"/>
          <w:lang w:val="en-US"/>
        </w:rPr>
        <w:t>enteropathogens</w:t>
      </w:r>
      <w:proofErr w:type="spellEnd"/>
      <w:r w:rsidR="002C6A2D" w:rsidRPr="008460EA">
        <w:rPr>
          <w:rFonts w:asciiTheme="majorHAnsi" w:hAnsiTheme="majorHAnsi" w:cstheme="majorHAnsi"/>
          <w:lang w:val="en-US"/>
        </w:rPr>
        <w:t xml:space="preserve"> </w:t>
      </w:r>
      <w:r w:rsidR="000D20BF" w:rsidRPr="008460EA">
        <w:rPr>
          <w:rFonts w:asciiTheme="majorHAnsi" w:hAnsiTheme="majorHAnsi" w:cstheme="majorHAnsi"/>
          <w:lang w:val="en-US"/>
        </w:rPr>
        <w:t xml:space="preserve">may </w:t>
      </w:r>
      <w:r w:rsidR="002C6A2D" w:rsidRPr="008460EA">
        <w:rPr>
          <w:rFonts w:asciiTheme="majorHAnsi" w:hAnsiTheme="majorHAnsi" w:cstheme="majorHAnsi"/>
          <w:lang w:val="en-US"/>
        </w:rPr>
        <w:t xml:space="preserve">provide </w:t>
      </w:r>
      <w:r w:rsidR="000D20BF" w:rsidRPr="008460EA">
        <w:rPr>
          <w:rFonts w:asciiTheme="majorHAnsi" w:hAnsiTheme="majorHAnsi" w:cstheme="majorHAnsi"/>
          <w:lang w:val="en-US"/>
        </w:rPr>
        <w:t>a</w:t>
      </w:r>
      <w:r w:rsidR="002C6A2D" w:rsidRPr="008460EA">
        <w:rPr>
          <w:rFonts w:asciiTheme="majorHAnsi" w:hAnsiTheme="majorHAnsi" w:cstheme="majorHAnsi"/>
          <w:lang w:val="en-US"/>
        </w:rPr>
        <w:t xml:space="preserve"> new </w:t>
      </w:r>
      <w:r w:rsidR="00C74C88" w:rsidRPr="008460EA">
        <w:rPr>
          <w:rFonts w:asciiTheme="majorHAnsi" w:hAnsiTheme="majorHAnsi" w:cstheme="majorHAnsi"/>
          <w:lang w:val="en-US"/>
        </w:rPr>
        <w:t xml:space="preserve">approach </w:t>
      </w:r>
      <w:r w:rsidR="002C6A2D" w:rsidRPr="008460EA">
        <w:rPr>
          <w:rFonts w:asciiTheme="majorHAnsi" w:hAnsiTheme="majorHAnsi" w:cstheme="majorHAnsi"/>
          <w:lang w:val="en-US"/>
        </w:rPr>
        <w:t>to prevent</w:t>
      </w:r>
      <w:r w:rsidR="00C74C88" w:rsidRPr="008460EA">
        <w:rPr>
          <w:rFonts w:asciiTheme="majorHAnsi" w:hAnsiTheme="majorHAnsi" w:cstheme="majorHAnsi"/>
          <w:lang w:val="en-US"/>
        </w:rPr>
        <w:t>ing</w:t>
      </w:r>
      <w:r w:rsidR="002C6A2D" w:rsidRPr="008460EA">
        <w:rPr>
          <w:rFonts w:asciiTheme="majorHAnsi" w:hAnsiTheme="majorHAnsi" w:cstheme="majorHAnsi"/>
          <w:lang w:val="en-US"/>
        </w:rPr>
        <w:t xml:space="preserve"> or ameliorat</w:t>
      </w:r>
      <w:r w:rsidR="00C74C88" w:rsidRPr="008460EA">
        <w:rPr>
          <w:rFonts w:asciiTheme="majorHAnsi" w:hAnsiTheme="majorHAnsi" w:cstheme="majorHAnsi"/>
          <w:lang w:val="en-US"/>
        </w:rPr>
        <w:t>ing</w:t>
      </w:r>
      <w:r w:rsidR="002C6A2D" w:rsidRPr="008460EA">
        <w:rPr>
          <w:rFonts w:asciiTheme="majorHAnsi" w:hAnsiTheme="majorHAnsi" w:cstheme="majorHAnsi"/>
          <w:lang w:val="en-US"/>
        </w:rPr>
        <w:t xml:space="preserve"> EED.</w:t>
      </w:r>
    </w:p>
    <w:p w:rsidR="00AF7492" w:rsidRPr="008460EA" w:rsidRDefault="00AF7492" w:rsidP="00736C35">
      <w:pPr>
        <w:spacing w:line="276" w:lineRule="auto"/>
        <w:rPr>
          <w:rFonts w:asciiTheme="majorHAnsi" w:hAnsiTheme="majorHAnsi" w:cstheme="majorHAnsi"/>
          <w:lang w:val="en-US"/>
        </w:rPr>
      </w:pPr>
    </w:p>
    <w:p w:rsidR="00976EB6" w:rsidRPr="008460EA" w:rsidRDefault="00F90EB6" w:rsidP="00736C35">
      <w:pPr>
        <w:spacing w:line="276" w:lineRule="auto"/>
        <w:rPr>
          <w:rFonts w:asciiTheme="majorHAnsi" w:hAnsiTheme="majorHAnsi" w:cstheme="majorHAnsi"/>
          <w:lang w:val="en-US"/>
        </w:rPr>
      </w:pPr>
      <w:r w:rsidRPr="008460EA">
        <w:rPr>
          <w:rFonts w:asciiTheme="majorHAnsi" w:hAnsiTheme="majorHAnsi" w:cstheme="majorHAnsi"/>
          <w:lang w:val="en-US"/>
        </w:rPr>
        <w:t xml:space="preserve">As evidenced in this special issue, paediatric gastroenterologists worldwide know </w:t>
      </w:r>
      <w:r w:rsidR="00021884" w:rsidRPr="008460EA">
        <w:rPr>
          <w:rFonts w:asciiTheme="majorHAnsi" w:hAnsiTheme="majorHAnsi" w:cstheme="majorHAnsi"/>
          <w:lang w:val="en-US"/>
        </w:rPr>
        <w:t xml:space="preserve">all too well </w:t>
      </w:r>
      <w:r w:rsidRPr="008460EA">
        <w:rPr>
          <w:rFonts w:asciiTheme="majorHAnsi" w:hAnsiTheme="majorHAnsi" w:cstheme="majorHAnsi"/>
          <w:lang w:val="en-US"/>
        </w:rPr>
        <w:t xml:space="preserve">the severe adverse effects of an unhealthy gut whether this </w:t>
      </w:r>
      <w:r w:rsidR="00F035D4">
        <w:rPr>
          <w:rFonts w:asciiTheme="majorHAnsi" w:hAnsiTheme="majorHAnsi" w:cstheme="majorHAnsi"/>
          <w:lang w:val="en-US"/>
        </w:rPr>
        <w:t xml:space="preserve">occurs in </w:t>
      </w:r>
      <w:r w:rsidR="002C2DD0">
        <w:rPr>
          <w:rFonts w:asciiTheme="majorHAnsi" w:hAnsiTheme="majorHAnsi" w:cstheme="majorHAnsi"/>
          <w:lang w:val="en-US"/>
        </w:rPr>
        <w:t>IBD</w:t>
      </w:r>
      <w:r w:rsidRPr="008460EA">
        <w:rPr>
          <w:rFonts w:asciiTheme="majorHAnsi" w:hAnsiTheme="majorHAnsi" w:cstheme="majorHAnsi"/>
          <w:lang w:val="en-US"/>
        </w:rPr>
        <w:t>, coeliac disease, food intolerances or malnutrition</w:t>
      </w:r>
      <w:r w:rsidR="00E01F9E" w:rsidRPr="008460EA">
        <w:rPr>
          <w:rFonts w:asciiTheme="majorHAnsi" w:hAnsiTheme="majorHAnsi" w:cstheme="majorHAnsi"/>
          <w:lang w:val="en-US"/>
        </w:rPr>
        <w:t>.</w:t>
      </w:r>
      <w:r w:rsidR="00E01F9E" w:rsidRPr="008460EA">
        <w:rPr>
          <w:rFonts w:asciiTheme="majorHAnsi" w:hAnsiTheme="majorHAnsi" w:cstheme="majorHAnsi"/>
        </w:rPr>
        <w:t xml:space="preserve"> Paediatric gastroenterologists can lead in bringing together expertise from many different disciplines to </w:t>
      </w:r>
      <w:r w:rsidR="00E105D5" w:rsidRPr="008460EA">
        <w:rPr>
          <w:rFonts w:asciiTheme="majorHAnsi" w:hAnsiTheme="majorHAnsi" w:cstheme="majorHAnsi"/>
          <w:lang w:val="en-US"/>
        </w:rPr>
        <w:t xml:space="preserve">improve </w:t>
      </w:r>
      <w:r w:rsidRPr="008460EA">
        <w:rPr>
          <w:rFonts w:asciiTheme="majorHAnsi" w:hAnsiTheme="majorHAnsi" w:cstheme="majorHAnsi"/>
          <w:lang w:val="en-US"/>
        </w:rPr>
        <w:t xml:space="preserve">gut health </w:t>
      </w:r>
      <w:r w:rsidR="00A546A1" w:rsidRPr="008460EA">
        <w:rPr>
          <w:rFonts w:asciiTheme="majorHAnsi" w:hAnsiTheme="majorHAnsi" w:cstheme="majorHAnsi"/>
          <w:lang w:val="en-US"/>
        </w:rPr>
        <w:t xml:space="preserve">and, thereby, </w:t>
      </w:r>
      <w:r w:rsidR="00F035D4">
        <w:rPr>
          <w:rFonts w:asciiTheme="majorHAnsi" w:hAnsiTheme="majorHAnsi" w:cstheme="majorHAnsi"/>
          <w:lang w:val="en-US"/>
        </w:rPr>
        <w:t xml:space="preserve">overall </w:t>
      </w:r>
      <w:r w:rsidR="00A546A1" w:rsidRPr="008460EA">
        <w:rPr>
          <w:rFonts w:asciiTheme="majorHAnsi" w:hAnsiTheme="majorHAnsi" w:cstheme="majorHAnsi"/>
          <w:lang w:val="en-US"/>
        </w:rPr>
        <w:t xml:space="preserve">health and well-being </w:t>
      </w:r>
      <w:r w:rsidRPr="008460EA">
        <w:rPr>
          <w:rFonts w:asciiTheme="majorHAnsi" w:hAnsiTheme="majorHAnsi" w:cstheme="majorHAnsi"/>
          <w:lang w:val="en-US"/>
        </w:rPr>
        <w:t xml:space="preserve">in </w:t>
      </w:r>
      <w:r w:rsidR="00E105D5" w:rsidRPr="008460EA">
        <w:rPr>
          <w:rFonts w:asciiTheme="majorHAnsi" w:hAnsiTheme="majorHAnsi" w:cstheme="majorHAnsi"/>
          <w:lang w:val="en-US"/>
        </w:rPr>
        <w:t xml:space="preserve">some of the world’s most disadvantaged children – those </w:t>
      </w:r>
      <w:r w:rsidRPr="008460EA">
        <w:rPr>
          <w:rFonts w:asciiTheme="majorHAnsi" w:hAnsiTheme="majorHAnsi" w:cstheme="majorHAnsi"/>
          <w:lang w:val="en-US"/>
        </w:rPr>
        <w:t>living with poor hygiene and sanitation</w:t>
      </w:r>
      <w:r w:rsidR="007A3FE9" w:rsidRPr="008460EA">
        <w:rPr>
          <w:rFonts w:asciiTheme="majorHAnsi" w:hAnsiTheme="majorHAnsi" w:cstheme="majorHAnsi"/>
          <w:lang w:val="en-US"/>
        </w:rPr>
        <w:t xml:space="preserve">. </w:t>
      </w:r>
    </w:p>
    <w:p w:rsidR="00976EB6" w:rsidRPr="008460EA" w:rsidRDefault="00976EB6" w:rsidP="00736C35">
      <w:pPr>
        <w:spacing w:before="100" w:beforeAutospacing="1" w:after="100" w:afterAutospacing="1" w:line="276" w:lineRule="auto"/>
        <w:rPr>
          <w:rFonts w:asciiTheme="majorHAnsi" w:hAnsiTheme="majorHAnsi" w:cstheme="majorHAnsi"/>
          <w:lang w:eastAsia="en-GB"/>
        </w:rPr>
      </w:pPr>
    </w:p>
    <w:p w:rsidR="006A24C6" w:rsidRDefault="006A24C6" w:rsidP="00736C3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902907" w:rsidRPr="003D314B" w:rsidRDefault="00902907" w:rsidP="00736C35">
      <w:pPr>
        <w:spacing w:before="120" w:after="120" w:line="276" w:lineRule="auto"/>
        <w:rPr>
          <w:rFonts w:asciiTheme="majorHAnsi" w:hAnsiTheme="majorHAnsi" w:cstheme="majorHAnsi"/>
          <w:b/>
          <w:color w:val="000000" w:themeColor="text1"/>
        </w:rPr>
      </w:pPr>
      <w:r w:rsidRPr="003D314B">
        <w:rPr>
          <w:rFonts w:asciiTheme="majorHAnsi" w:hAnsiTheme="majorHAnsi" w:cstheme="majorHAnsi"/>
          <w:b/>
          <w:color w:val="000000" w:themeColor="text1"/>
        </w:rPr>
        <w:lastRenderedPageBreak/>
        <w:t>References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Nel ED. A brief review of the history of paediatric gastroenterology. </w:t>
      </w:r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S </w:t>
      </w:r>
      <w:proofErr w:type="spellStart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Afr</w:t>
      </w:r>
      <w:proofErr w:type="spellEnd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Gastroenterology review. </w:t>
      </w:r>
      <w:proofErr w:type="gramStart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2013;11:16</w:t>
      </w:r>
      <w:proofErr w:type="gramEnd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-18.</w:t>
      </w:r>
    </w:p>
    <w:p w:rsidR="00902907" w:rsidRPr="00E06D74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Ngim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OE,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Ikobah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JM,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Ukpabio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I, </w:t>
      </w:r>
      <w:r w:rsidR="00126E86"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et al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Paediatric Endoscopy in Calabar, an Emerging Trend- Challenges and Prospects: A Report of two Cases. </w:t>
      </w:r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IOSR J Dent Med Sci. </w:t>
      </w:r>
      <w:proofErr w:type="gramStart"/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2014;13:28</w:t>
      </w:r>
      <w:proofErr w:type="gramEnd"/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-30.</w:t>
      </w:r>
    </w:p>
    <w:p w:rsidR="00902907" w:rsidRPr="00E06D74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E06D7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en-GB"/>
        </w:rPr>
        <w:t xml:space="preserve">Zuckerman M. </w:t>
      </w:r>
      <w:proofErr w:type="spellStart"/>
      <w:r w:rsidRPr="00E06D7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en-GB"/>
        </w:rPr>
        <w:t>Pediatric</w:t>
      </w:r>
      <w:proofErr w:type="spellEnd"/>
      <w:r w:rsidRPr="00E06D7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en-GB"/>
        </w:rPr>
        <w:t xml:space="preserve"> Gastroenterology in South Africa: A Personal Perspective.  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Pediatr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Gastroenterol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Nutr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gram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2002;34:249</w:t>
      </w:r>
      <w:proofErr w:type="gram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126E86"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51.</w:t>
      </w:r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 xml:space="preserve"> </w:t>
      </w:r>
    </w:p>
    <w:p w:rsidR="00902907" w:rsidRPr="00E06D74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Mandeville KL,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Krabshuis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J, </w:t>
      </w:r>
      <w:hyperlink r:id="rId8" w:history="1">
        <w:proofErr w:type="spellStart"/>
        <w:r w:rsidRPr="00E06D74">
          <w:rPr>
            <w:rFonts w:asciiTheme="majorHAnsi" w:hAnsiTheme="majorHAnsi" w:cstheme="majorHAnsi"/>
            <w:color w:val="000000" w:themeColor="text1"/>
            <w:sz w:val="24"/>
            <w:szCs w:val="24"/>
          </w:rPr>
          <w:t>Ladep</w:t>
        </w:r>
        <w:proofErr w:type="spellEnd"/>
        <w:r w:rsidRPr="00E06D74">
          <w:rPr>
            <w:rFonts w:asciiTheme="majorHAnsi" w:hAnsiTheme="majorHAnsi" w:cstheme="majorHAnsi"/>
            <w:color w:val="000000" w:themeColor="text1"/>
            <w:sz w:val="24"/>
            <w:szCs w:val="24"/>
          </w:rPr>
          <w:t xml:space="preserve"> NG</w:t>
        </w:r>
      </w:hyperlink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126E86"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et al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E06D74">
        <w:rPr>
          <w:rFonts w:asciiTheme="majorHAnsi" w:hAnsiTheme="majorHAnsi" w:cstheme="majorHAnsi"/>
          <w:bCs/>
          <w:color w:val="000000" w:themeColor="text1"/>
          <w:kern w:val="36"/>
          <w:sz w:val="24"/>
          <w:szCs w:val="24"/>
        </w:rPr>
        <w:t xml:space="preserve"> Gastroenterology in developing countries: issues and advances.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World J Gastroenterol. </w:t>
      </w:r>
      <w:proofErr w:type="gram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2009;15:2839</w:t>
      </w:r>
      <w:proofErr w:type="gram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126E86"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28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54.</w:t>
      </w:r>
    </w:p>
    <w:p w:rsidR="00E06D74" w:rsidRPr="00E06D74" w:rsidRDefault="00F76D25" w:rsidP="00E06D74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E06D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Society of Gastroenterology, Hepatology and Nutrition in Nigeria</w:t>
      </w:r>
      <w:r w:rsidR="00E926C1" w:rsidRPr="00E06D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.</w:t>
      </w:r>
      <w:r w:rsidRPr="00E06D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hyperlink r:id="rId9" w:history="1">
        <w:r w:rsidRPr="00E06D74">
          <w:rPr>
            <w:rStyle w:val="Hyperlink"/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en-GB"/>
          </w:rPr>
          <w:t>http://soghin.ng/</w:t>
        </w:r>
      </w:hyperlink>
      <w:r w:rsidRPr="00E06D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. 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Accessed December 21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  <w:lang w:val="en-US"/>
        </w:rPr>
        <w:t>st</w:t>
      </w:r>
      <w:proofErr w:type="gram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2018</w:t>
      </w:r>
      <w:proofErr w:type="gramEnd"/>
      <w:r w:rsidR="00325AA5"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.</w:t>
      </w:r>
    </w:p>
    <w:p w:rsidR="00325AA5" w:rsidRPr="00E06D74" w:rsidRDefault="00E06D74" w:rsidP="00E06D74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E06D7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University of Cape Town. 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African Paediatric Fellowship Programme. </w:t>
      </w:r>
      <w:r w:rsidRPr="00E06D74">
        <w:rPr>
          <w:rFonts w:asciiTheme="majorHAnsi" w:hAnsiTheme="majorHAnsi" w:cstheme="majorHAnsi"/>
          <w:bCs/>
          <w:color w:val="000000" w:themeColor="text1"/>
          <w:kern w:val="36"/>
          <w:sz w:val="24"/>
          <w:szCs w:val="24"/>
        </w:rPr>
        <w:t>Paediatric Gastroenterology.</w:t>
      </w:r>
      <w:r w:rsidRPr="00E06D7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hyperlink r:id="rId10" w:history="1">
        <w:r w:rsidRPr="00E06D74">
          <w:rPr>
            <w:rStyle w:val="Hyperlink"/>
            <w:rFonts w:asciiTheme="majorHAnsi" w:hAnsiTheme="majorHAnsi" w:cstheme="majorHAnsi"/>
            <w:bCs/>
            <w:color w:val="000000" w:themeColor="text1"/>
            <w:sz w:val="24"/>
            <w:szCs w:val="24"/>
          </w:rPr>
          <w:t>http://www.paediatrics.uct.ac.za/paediatric-gastroenterology-0</w:t>
        </w:r>
      </w:hyperlink>
      <w:r w:rsidR="00325AA5" w:rsidRPr="00E06D7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</w:t>
      </w:r>
      <w:r w:rsidR="00325AA5"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Accessed December 21</w:t>
      </w:r>
      <w:r w:rsidR="00325AA5" w:rsidRPr="00E06D74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  <w:lang w:val="en-US"/>
        </w:rPr>
        <w:t>st</w:t>
      </w:r>
      <w:proofErr w:type="gramStart"/>
      <w:r w:rsidR="00325AA5"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2018</w:t>
      </w:r>
      <w:proofErr w:type="gramEnd"/>
      <w:r w:rsidR="00325AA5"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.</w:t>
      </w:r>
    </w:p>
    <w:p w:rsidR="00902907" w:rsidRPr="00E06D74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eastAsiaTheme="minorEastAsia" w:hAnsiTheme="majorHAnsi" w:cstheme="majorHAnsi"/>
          <w:iCs/>
          <w:color w:val="000000" w:themeColor="text1"/>
          <w:sz w:val="24"/>
          <w:szCs w:val="24"/>
        </w:rPr>
      </w:pPr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Adeniyi OF, </w:t>
      </w:r>
      <w:proofErr w:type="spellStart"/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Lesi</w:t>
      </w:r>
      <w:proofErr w:type="spellEnd"/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OA, </w:t>
      </w:r>
      <w:proofErr w:type="spellStart"/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Adekola</w:t>
      </w:r>
      <w:proofErr w:type="spellEnd"/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EAO, </w:t>
      </w:r>
      <w:r w:rsidR="00126E86"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et al</w:t>
      </w:r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. Upper gastrointestinal endoscopy in children: The Lagos University Teaching Hospital experience. 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S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Afr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J Child Health. </w:t>
      </w:r>
      <w:proofErr w:type="gram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2016;10:207</w:t>
      </w:r>
      <w:proofErr w:type="gramEnd"/>
      <w:r w:rsidRPr="00E06D7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-210.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Alatise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OI,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Anyabolu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HC, </w:t>
      </w:r>
      <w:proofErr w:type="spellStart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Sowande</w:t>
      </w:r>
      <w:proofErr w:type="spellEnd"/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O, </w:t>
      </w:r>
      <w:r w:rsidR="00126E86"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 </w:t>
      </w:r>
      <w:proofErr w:type="gramStart"/>
      <w:r w:rsidR="00126E86"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al</w:t>
      </w:r>
      <w:r w:rsidRPr="00E06D7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>Paediatric</w:t>
      </w:r>
      <w:proofErr w:type="gramEnd"/>
      <w:r w:rsidRPr="00E06D74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 xml:space="preserve"> endoscopy by adult gastroenterologists in Ile-Ife, Nigeria: A viable option to increase the access to paediatric endoscopy in low </w:t>
      </w:r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 xml:space="preserve">resource countries. </w:t>
      </w:r>
      <w:proofErr w:type="spellStart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>Afr</w:t>
      </w:r>
      <w:proofErr w:type="spellEnd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 xml:space="preserve"> J </w:t>
      </w:r>
      <w:proofErr w:type="spellStart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>Paediatr</w:t>
      </w:r>
      <w:proofErr w:type="spellEnd"/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 xml:space="preserve"> Surg. 2015:12:261-</w:t>
      </w:r>
      <w:r w:rsidR="00126E86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>26</w:t>
      </w:r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US"/>
        </w:rPr>
        <w:t>5.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Loots E, </w:t>
      </w:r>
      <w:hyperlink r:id="rId11" w:history="1">
        <w:r w:rsidRPr="003D314B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Clarke DL</w:t>
        </w:r>
      </w:hyperlink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hyperlink r:id="rId12" w:history="1">
        <w:r w:rsidRPr="003D314B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 xml:space="preserve">Newton </w:t>
        </w:r>
        <w:proofErr w:type="spellStart"/>
        <w:r w:rsidRPr="003D314B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K</w:t>
        </w:r>
      </w:hyperlink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126E86">
        <w:rPr>
          <w:rFonts w:asciiTheme="majorHAnsi" w:hAnsiTheme="majorHAnsi" w:cstheme="majorHAnsi"/>
          <w:color w:val="000000" w:themeColor="text1"/>
          <w:sz w:val="24"/>
          <w:szCs w:val="24"/>
        </w:rPr>
        <w:t>et</w:t>
      </w:r>
      <w:proofErr w:type="spellEnd"/>
      <w:r w:rsidR="00126E8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Endoscopy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services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KwaZulu-Natal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Province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South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Africa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are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insufficient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the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burden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disease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Is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patient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care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compromised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? S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Afr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Med J.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2017;107:1022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-1025.</w:t>
      </w:r>
    </w:p>
    <w:p w:rsidR="00761B69" w:rsidRPr="00761B69" w:rsidRDefault="00902907" w:rsidP="009144A2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F76D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Quality Standards for Paediatric Gastroenterology, Hepatology &amp; Nutrition; 2017. </w:t>
      </w:r>
      <w:hyperlink r:id="rId13" w:history="1">
        <w:r w:rsidRPr="00F76D25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  <w:lang w:val="en-US"/>
          </w:rPr>
          <w:t>https://www.bspghan.org.uk/content/service-standards-specialist-paediatric-gastroenterology-hepatology-and-nutritional-support</w:t>
        </w:r>
      </w:hyperlink>
      <w:r w:rsidRPr="00F76D2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.</w:t>
      </w:r>
    </w:p>
    <w:p w:rsidR="00752A39" w:rsidRPr="00F76D25" w:rsidRDefault="009317CF" w:rsidP="009144A2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F76D25">
        <w:rPr>
          <w:rFonts w:asciiTheme="majorHAnsi" w:hAnsiTheme="majorHAnsi" w:cstheme="majorHAnsi"/>
          <w:sz w:val="24"/>
          <w:szCs w:val="24"/>
        </w:rPr>
        <w:t>UNICEF/WHO/The World Bank Group Joint child malnutrition estimates - levels and trends in child malnutrition</w:t>
      </w:r>
      <w:r w:rsidR="00752A39" w:rsidRPr="00F76D25">
        <w:rPr>
          <w:rFonts w:asciiTheme="majorHAnsi" w:hAnsiTheme="majorHAnsi" w:cstheme="majorHAnsi"/>
          <w:sz w:val="24"/>
          <w:szCs w:val="24"/>
        </w:rPr>
        <w:t xml:space="preserve">. </w:t>
      </w:r>
      <w:hyperlink r:id="rId14" w:history="1">
        <w:r w:rsidR="00752A39" w:rsidRPr="00F76D25">
          <w:rPr>
            <w:rStyle w:val="Hyperlink"/>
            <w:rFonts w:asciiTheme="majorHAnsi" w:hAnsiTheme="majorHAnsi" w:cstheme="majorHAnsi"/>
            <w:sz w:val="24"/>
            <w:szCs w:val="24"/>
          </w:rPr>
          <w:t>https://www.who.int/nutrition/publications/jointchildmalnutrition_2018_estimates/en/</w:t>
        </w:r>
      </w:hyperlink>
      <w:r w:rsidR="00752A39" w:rsidRPr="00F76D25">
        <w:rPr>
          <w:rFonts w:asciiTheme="majorHAnsi" w:hAnsiTheme="majorHAnsi" w:cstheme="majorHAnsi"/>
          <w:sz w:val="24"/>
          <w:szCs w:val="24"/>
        </w:rPr>
        <w:t xml:space="preserve">. </w:t>
      </w:r>
      <w:r w:rsidR="00752A39" w:rsidRPr="00F76D2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Accessed December 21</w:t>
      </w:r>
      <w:r w:rsidR="00752A39" w:rsidRPr="00F76D2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  <w:lang w:val="en-US"/>
        </w:rPr>
        <w:t>st</w:t>
      </w:r>
      <w:r w:rsidR="00752A39" w:rsidRPr="00F76D2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2018.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Black RE,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Victora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CG, Walker SP, et al.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Maternal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child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undernutrition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overweight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low-income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middle-income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countries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Pr="003D314B">
        <w:rPr>
          <w:rStyle w:val="jrnl"/>
          <w:rFonts w:asciiTheme="majorHAnsi" w:hAnsiTheme="majorHAnsi" w:cstheme="majorHAnsi"/>
          <w:color w:val="000000" w:themeColor="text1"/>
          <w:sz w:val="24"/>
          <w:szCs w:val="24"/>
        </w:rPr>
        <w:t>Lancet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gramStart"/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2013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;382:427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-451. 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Lelijveld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N, Seal A, Wells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JC,  et al.</w:t>
      </w:r>
      <w:proofErr w:type="gramEnd"/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 xml:space="preserve"> Chronic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disease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outcomes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after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severe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acute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malnutrition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Malawian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children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proofErr w:type="spellStart"/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ChroSAM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): a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cohort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study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. Lancet Glob Health. 2016;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4:e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654-</w:t>
      </w:r>
      <w:r w:rsidR="00126E86"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62. 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eastAsiaTheme="minorEastAsia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Luby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SP, Rahman M, Arnold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BF,  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et al.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Effects of water quality, sanitation, handwashing, and nutritional interventions on diarrhoea and child growth in 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lastRenderedPageBreak/>
        <w:t xml:space="preserve">rural Bangladesh: a cluster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randomised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controlled trial. Lancet Glob Health. 2018;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6:e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302–</w:t>
      </w:r>
      <w:r w:rsidR="00126E8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3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15.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eastAsiaTheme="minorEastAsia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bCs/>
          <w:iCs/>
          <w:color w:val="000000" w:themeColor="text1"/>
          <w:sz w:val="24"/>
          <w:szCs w:val="24"/>
        </w:rPr>
        <w:t xml:space="preserve">Null C, 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Stewart CP, Pickering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AJ,  </w:t>
      </w:r>
      <w:r w:rsidRPr="003D314B">
        <w:rPr>
          <w:rFonts w:asciiTheme="majorHAnsi" w:hAnsiTheme="majorHAnsi" w:cstheme="majorHAnsi"/>
          <w:bCs/>
          <w:iCs/>
          <w:color w:val="000000" w:themeColor="text1"/>
          <w:sz w:val="24"/>
          <w:szCs w:val="24"/>
        </w:rPr>
        <w:t>et al.</w:t>
      </w:r>
      <w:proofErr w:type="gramEnd"/>
      <w:r w:rsidRPr="003D314B">
        <w:rPr>
          <w:rFonts w:asciiTheme="majorHAnsi" w:hAnsiTheme="majorHAnsi" w:cstheme="majorHAnsi"/>
          <w:bCs/>
          <w:iCs/>
          <w:color w:val="000000" w:themeColor="text1"/>
          <w:sz w:val="24"/>
          <w:szCs w:val="24"/>
        </w:rPr>
        <w:t xml:space="preserve"> 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Effects of water quality, sanitation, handwashing, and nutritional interventions on diarrhoea and child growth in rural Kenya: a cluster-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randomised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controlled trial. Lancet Glob Health. 2018;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6:e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316–</w:t>
      </w:r>
      <w:r w:rsidR="00126E8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3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29.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Bhutta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ZA, Das JK, Rizvi A, et al. Evidence-based interventions for improvement of maternal and child nutrition: what can be done and at what cost? Lancet 2013; 382:452–</w:t>
      </w:r>
      <w:r w:rsidR="00126E8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4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77.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UNDP: Sustainable Development Goals. 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(</w:t>
      </w:r>
      <w:hyperlink r:id="rId15" w:history="1">
        <w:r w:rsidRPr="003D314B">
          <w:rPr>
            <w:rStyle w:val="Hyperlink"/>
            <w:rFonts w:asciiTheme="majorHAnsi" w:eastAsiaTheme="minorEastAsia" w:hAnsiTheme="majorHAnsi" w:cstheme="majorHAnsi"/>
            <w:color w:val="000000" w:themeColor="text1"/>
            <w:sz w:val="24"/>
            <w:szCs w:val="24"/>
            <w:u w:val="none"/>
            <w:lang w:val="en-US"/>
          </w:rPr>
          <w:t>http://www.undp.org/content/undp/en/home/sustainable-development-goals/goal-2-zero-hunger/targets.html</w:t>
        </w:r>
      </w:hyperlink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). Accessed December 21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  <w:lang w:val="en-US"/>
        </w:rPr>
        <w:t>st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2018.</w:t>
      </w:r>
    </w:p>
    <w:p w:rsidR="00671F45" w:rsidRPr="00671F45" w:rsidRDefault="00902907" w:rsidP="00671F4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Prendergast AJ, Kelly P.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Interactions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between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intestinal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pathogens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enteropathy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malnutrition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developing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countries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Curr</w:t>
      </w:r>
      <w:proofErr w:type="spellEnd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Opin</w:t>
      </w:r>
      <w:proofErr w:type="spellEnd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Infect Dis. </w:t>
      </w:r>
      <w:proofErr w:type="gramStart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2016;29:229</w:t>
      </w:r>
      <w:proofErr w:type="gramEnd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126E86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36.</w:t>
      </w:r>
    </w:p>
    <w:p w:rsidR="00902907" w:rsidRPr="00671F45" w:rsidRDefault="00671F45" w:rsidP="00671F4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671F45">
        <w:rPr>
          <w:rFonts w:asciiTheme="majorHAnsi" w:hAnsiTheme="majorHAnsi" w:cstheme="majorHAnsi"/>
          <w:sz w:val="24"/>
          <w:szCs w:val="24"/>
        </w:rPr>
        <w:t xml:space="preserve">Naylor C, Lu M, Haque R 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 al.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Environmental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Enteropathy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Oral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Vaccine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Failure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Growth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Faltering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Infants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 w:rsidR="00902907"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Bangladesh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EBioMedicine</w:t>
      </w:r>
      <w:proofErr w:type="spellEnd"/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gramStart"/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2015;2:1759</w:t>
      </w:r>
      <w:proofErr w:type="gramEnd"/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126E86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17</w:t>
      </w:r>
      <w:r w:rsidR="00902907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66.</w:t>
      </w:r>
    </w:p>
    <w:p w:rsidR="00902907" w:rsidRPr="00671F45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Keusch</w:t>
      </w:r>
      <w:proofErr w:type="spellEnd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GT </w:t>
      </w:r>
      <w:r w:rsidR="00126E86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(authors)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 al. </w:t>
      </w:r>
      <w:r w:rsidRPr="00671F45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Environmental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enteric dysfunction: pathogenesis, diagnosis, and clinical consequences. Clin Infect Dis. 2014;59 Suppl </w:t>
      </w:r>
      <w:proofErr w:type="gramStart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4:S</w:t>
      </w:r>
      <w:proofErr w:type="gramEnd"/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207-</w:t>
      </w:r>
      <w:r w:rsidR="00126E86"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12. 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671F4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Owino V, Ahmed T, </w:t>
      </w:r>
      <w:proofErr w:type="spellStart"/>
      <w:r w:rsidRPr="00671F4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Freemark</w:t>
      </w:r>
      <w:proofErr w:type="spellEnd"/>
      <w:r w:rsidRPr="00671F4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M, et al. Environmental Enteric Dysfunction and Growth Failure/Stunting in Global Child Health. Pediatrics</w:t>
      </w:r>
      <w:r w:rsidR="00612C94" w:rsidRPr="00671F4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.</w:t>
      </w:r>
      <w:r w:rsidRPr="00671F4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2016;</w:t>
      </w:r>
      <w:proofErr w:type="gramStart"/>
      <w:r w:rsidRPr="00671F4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138;pii</w:t>
      </w:r>
      <w:proofErr w:type="gramEnd"/>
      <w:r w:rsidRPr="00671F45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e20160641.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Nataro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JP,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Guerrant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RL.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 xml:space="preserve"> Chronic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consequences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human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health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induced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by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microbial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pathogens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Growth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faltering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among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children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developing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countries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Vaccine. 2017;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pii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: S0264-410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X(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17)30659-X.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Lunn PG. Intestinal permeability, mucosal injury, and growth faltering in Gambian infants.  Lancet.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1991;338:907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-910.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Denno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DM,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Tarr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PI,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Nataro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JP. Environmental Enteric Dysfunction: A Case Definition for Intervention Trials. Am J Trop Med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Hyg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2017;97:1643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–1646.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eastAsiaTheme="minorEastAsia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Arndt MB, </w:t>
      </w:r>
      <w:hyperlink r:id="rId16" w:history="1">
        <w:r w:rsidRPr="003D314B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Richardson BA</w:t>
        </w:r>
      </w:hyperlink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hyperlink r:id="rId17" w:history="1">
        <w:r w:rsidRPr="003D314B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Ahmed T</w:t>
        </w:r>
      </w:hyperlink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et al. Fecal Markers of Environmental Enteropathy and Subsequent Growth in Bangladeshi Children. Am J Trop Med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Hyg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. 2016:95:694–701.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Prendergast AJ, Jean H, Humphrey FJ, et al. Assessment of Environmental Enteric Dysfunction in the SHINE Trial: Methods and Challenges.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Pr="003D314B">
        <w:rPr>
          <w:rStyle w:val="cit"/>
          <w:rFonts w:asciiTheme="majorHAnsi" w:hAnsiTheme="majorHAnsi" w:cstheme="majorHAnsi"/>
          <w:color w:val="000000" w:themeColor="text1"/>
          <w:sz w:val="24"/>
          <w:szCs w:val="24"/>
        </w:rPr>
        <w:t xml:space="preserve">Clin Infect Dis. 2015; 61(Suppl 7):S726–S732. 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Kosek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MN;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MAL-ED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Network Investigators.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 xml:space="preserve"> Causal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Pathways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from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Enteropathogens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Environmental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Enteropathy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Findings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from the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MAL-ED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Birth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Cohort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Study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 xml:space="preserve">EBioMedicine. 2017;18:109-117. 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George CM,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Burrowes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Perin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</w:t>
      </w:r>
      <w:r w:rsidR="009F54C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 al. Enteric infections in young children are associated with environmental enteropathy and impaired growth. Tropical Med Int Health.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2018;23:26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–33.</w:t>
      </w:r>
    </w:p>
    <w:p w:rsidR="003D314B" w:rsidRPr="003D314B" w:rsidRDefault="003D314B" w:rsidP="003D314B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Milani C,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Duranti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Bottacini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F, et al. The First Microbial Colonizers of the Human Gut: Composition, Activities, and </w:t>
      </w:r>
      <w:r w:rsidRPr="003D314B">
        <w:rPr>
          <w:rStyle w:val="highlight"/>
          <w:rFonts w:asciiTheme="majorHAnsi" w:hAnsiTheme="majorHAnsi" w:cstheme="majorHAnsi"/>
          <w:color w:val="000000" w:themeColor="text1"/>
          <w:sz w:val="24"/>
          <w:szCs w:val="24"/>
        </w:rPr>
        <w:t>Health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Implications of the Infant Gut Microbiota.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Microbiol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Mol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Biol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Rev. 2017;81;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pii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: e00036-17.</w:t>
      </w:r>
    </w:p>
    <w:p w:rsidR="00902907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eastAsiaTheme="minorEastAsia" w:hAnsiTheme="majorHAnsi" w:cstheme="majorHAnsi"/>
          <w:bCs/>
          <w:color w:val="000000" w:themeColor="text1"/>
          <w:sz w:val="24"/>
          <w:szCs w:val="24"/>
          <w:lang w:eastAsia="en-GB"/>
        </w:rPr>
        <w:t>Arrieta</w:t>
      </w:r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 xml:space="preserve"> MC, </w:t>
      </w:r>
      <w:proofErr w:type="spellStart"/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>Stiemsma</w:t>
      </w:r>
      <w:proofErr w:type="spellEnd"/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 xml:space="preserve"> LT, </w:t>
      </w:r>
      <w:proofErr w:type="spellStart"/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>Amenyogbe</w:t>
      </w:r>
      <w:proofErr w:type="spellEnd"/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 xml:space="preserve"> 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 xml:space="preserve">, </w:t>
      </w:r>
      <w:r w:rsidR="000A1C86">
        <w:rPr>
          <w:rFonts w:asciiTheme="majorHAnsi" w:hAnsiTheme="majorHAnsi" w:cstheme="majorHAnsi"/>
          <w:color w:val="000000" w:themeColor="text1"/>
          <w:sz w:val="24"/>
          <w:szCs w:val="24"/>
        </w:rPr>
        <w:t>et al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 xml:space="preserve">The intestinal </w:t>
      </w:r>
      <w:r w:rsidRPr="003D314B">
        <w:rPr>
          <w:rFonts w:asciiTheme="majorHAnsi" w:eastAsiaTheme="minorEastAsia" w:hAnsiTheme="majorHAnsi" w:cstheme="majorHAnsi"/>
          <w:bCs/>
          <w:color w:val="000000" w:themeColor="text1"/>
          <w:sz w:val="24"/>
          <w:szCs w:val="24"/>
          <w:lang w:eastAsia="en-GB"/>
        </w:rPr>
        <w:t>microbiome</w:t>
      </w:r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 xml:space="preserve"> in early life: health and disease. Front Immunol. </w:t>
      </w:r>
      <w:proofErr w:type="gramStart"/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>2014:5;5:427</w:t>
      </w:r>
      <w:proofErr w:type="gramEnd"/>
      <w:r w:rsidRPr="003D314B"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eastAsia="en-GB"/>
        </w:rPr>
        <w:t>.</w:t>
      </w:r>
    </w:p>
    <w:p w:rsidR="00915D61" w:rsidRPr="003D314B" w:rsidRDefault="00902907" w:rsidP="00736C35">
      <w:pPr>
        <w:pStyle w:val="ListParagraph"/>
        <w:numPr>
          <w:ilvl w:val="0"/>
          <w:numId w:val="4"/>
        </w:numPr>
        <w:spacing w:before="120" w:after="120" w:line="276" w:lineRule="auto"/>
        <w:ind w:left="357" w:hanging="357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Million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M, Diallo A, </w:t>
      </w:r>
      <w:proofErr w:type="spell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Raoult</w:t>
      </w:r>
      <w:proofErr w:type="spell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D.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Gut microbiota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Pr="003D31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malnutrition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Pr="003D314B">
        <w:rPr>
          <w:rStyle w:val="jrnl"/>
          <w:rFonts w:asciiTheme="majorHAnsi" w:hAnsiTheme="majorHAnsi" w:cstheme="majorHAnsi"/>
          <w:color w:val="000000" w:themeColor="text1"/>
          <w:sz w:val="24"/>
          <w:szCs w:val="24"/>
        </w:rPr>
        <w:t>Microb</w:t>
      </w:r>
      <w:proofErr w:type="spellEnd"/>
      <w:r w:rsidRPr="003D314B">
        <w:rPr>
          <w:rStyle w:val="jrnl"/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3D314B">
        <w:rPr>
          <w:rStyle w:val="jrnl"/>
          <w:rFonts w:asciiTheme="majorHAnsi" w:hAnsiTheme="majorHAnsi" w:cstheme="majorHAnsi"/>
          <w:color w:val="000000" w:themeColor="text1"/>
          <w:sz w:val="24"/>
          <w:szCs w:val="24"/>
        </w:rPr>
        <w:t>Pathog</w:t>
      </w:r>
      <w:proofErr w:type="spellEnd"/>
      <w:r w:rsidRPr="003D314B">
        <w:rPr>
          <w:rStyle w:val="jrnl"/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2017;106:127</w:t>
      </w:r>
      <w:proofErr w:type="gramEnd"/>
      <w:r w:rsidRPr="003D314B">
        <w:rPr>
          <w:rFonts w:asciiTheme="majorHAnsi" w:hAnsiTheme="majorHAnsi" w:cstheme="majorHAnsi"/>
          <w:color w:val="000000" w:themeColor="text1"/>
          <w:sz w:val="24"/>
          <w:szCs w:val="24"/>
        </w:rPr>
        <w:t>-138.</w:t>
      </w:r>
    </w:p>
    <w:sectPr w:rsidR="00915D61" w:rsidRPr="003D314B" w:rsidSect="00097BA6">
      <w:footerReference w:type="even" r:id="rId18"/>
      <w:footerReference w:type="defaul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86" w:rsidRDefault="000B1886" w:rsidP="00840CAF">
      <w:r>
        <w:separator/>
      </w:r>
    </w:p>
  </w:endnote>
  <w:endnote w:type="continuationSeparator" w:id="0">
    <w:p w:rsidR="000B1886" w:rsidRDefault="000B1886" w:rsidP="0084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0276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0CAF" w:rsidRDefault="000011FF" w:rsidP="00EF25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40CA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40CAF" w:rsidRDefault="00840CAF" w:rsidP="00840C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7886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0CAF" w:rsidRDefault="000011FF" w:rsidP="00EF25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40CA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1C86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840CAF" w:rsidRDefault="00840CAF" w:rsidP="00840C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86" w:rsidRDefault="000B1886" w:rsidP="00840CAF">
      <w:r>
        <w:separator/>
      </w:r>
    </w:p>
  </w:footnote>
  <w:footnote w:type="continuationSeparator" w:id="0">
    <w:p w:rsidR="000B1886" w:rsidRDefault="000B1886" w:rsidP="0084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B0C"/>
    <w:multiLevelType w:val="hybridMultilevel"/>
    <w:tmpl w:val="6A8A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DE4"/>
    <w:multiLevelType w:val="hybridMultilevel"/>
    <w:tmpl w:val="6A8A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0BD"/>
    <w:multiLevelType w:val="hybridMultilevel"/>
    <w:tmpl w:val="22E28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009E"/>
    <w:multiLevelType w:val="hybridMultilevel"/>
    <w:tmpl w:val="C9401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47&lt;/item&gt;&lt;/record-ids&gt;&lt;/item&gt;&lt;/Libraries&gt;"/>
  </w:docVars>
  <w:rsids>
    <w:rsidRoot w:val="00F20833"/>
    <w:rsid w:val="000011FF"/>
    <w:rsid w:val="000035EA"/>
    <w:rsid w:val="00005F92"/>
    <w:rsid w:val="000149A8"/>
    <w:rsid w:val="00020BC5"/>
    <w:rsid w:val="00021884"/>
    <w:rsid w:val="000355F6"/>
    <w:rsid w:val="00037918"/>
    <w:rsid w:val="000415C3"/>
    <w:rsid w:val="000435EE"/>
    <w:rsid w:val="00044E3E"/>
    <w:rsid w:val="00045C9A"/>
    <w:rsid w:val="0005069F"/>
    <w:rsid w:val="00052D30"/>
    <w:rsid w:val="00053BFB"/>
    <w:rsid w:val="000573AE"/>
    <w:rsid w:val="00063014"/>
    <w:rsid w:val="00063B46"/>
    <w:rsid w:val="00084E61"/>
    <w:rsid w:val="0009785B"/>
    <w:rsid w:val="00097BA6"/>
    <w:rsid w:val="000A0969"/>
    <w:rsid w:val="000A1C86"/>
    <w:rsid w:val="000A449D"/>
    <w:rsid w:val="000B1886"/>
    <w:rsid w:val="000B2FCA"/>
    <w:rsid w:val="000B54DE"/>
    <w:rsid w:val="000B7B85"/>
    <w:rsid w:val="000C07C0"/>
    <w:rsid w:val="000C258F"/>
    <w:rsid w:val="000C54ED"/>
    <w:rsid w:val="000D00B7"/>
    <w:rsid w:val="000D01EF"/>
    <w:rsid w:val="000D20BF"/>
    <w:rsid w:val="000E0883"/>
    <w:rsid w:val="000F4850"/>
    <w:rsid w:val="000F5352"/>
    <w:rsid w:val="000F6AD5"/>
    <w:rsid w:val="001037E5"/>
    <w:rsid w:val="0011303F"/>
    <w:rsid w:val="00125C00"/>
    <w:rsid w:val="00126DC4"/>
    <w:rsid w:val="00126E86"/>
    <w:rsid w:val="001304EA"/>
    <w:rsid w:val="00135D63"/>
    <w:rsid w:val="001360EB"/>
    <w:rsid w:val="00137A57"/>
    <w:rsid w:val="001454B4"/>
    <w:rsid w:val="0016355E"/>
    <w:rsid w:val="0018785A"/>
    <w:rsid w:val="00190F48"/>
    <w:rsid w:val="00197979"/>
    <w:rsid w:val="001C0AC6"/>
    <w:rsid w:val="001D10BB"/>
    <w:rsid w:val="001D19AC"/>
    <w:rsid w:val="001E5753"/>
    <w:rsid w:val="001E589F"/>
    <w:rsid w:val="001E6946"/>
    <w:rsid w:val="001E6CA8"/>
    <w:rsid w:val="001E72FC"/>
    <w:rsid w:val="001F3725"/>
    <w:rsid w:val="001F5FE4"/>
    <w:rsid w:val="00214129"/>
    <w:rsid w:val="0021569A"/>
    <w:rsid w:val="00224AB6"/>
    <w:rsid w:val="00240AED"/>
    <w:rsid w:val="002427BA"/>
    <w:rsid w:val="00242A80"/>
    <w:rsid w:val="00246A3C"/>
    <w:rsid w:val="0025387B"/>
    <w:rsid w:val="00260BF2"/>
    <w:rsid w:val="00262FAC"/>
    <w:rsid w:val="002642A4"/>
    <w:rsid w:val="00264889"/>
    <w:rsid w:val="00270A3A"/>
    <w:rsid w:val="0027531A"/>
    <w:rsid w:val="00283DD5"/>
    <w:rsid w:val="00296595"/>
    <w:rsid w:val="002B3587"/>
    <w:rsid w:val="002C0EE6"/>
    <w:rsid w:val="002C2DD0"/>
    <w:rsid w:val="002C6A2D"/>
    <w:rsid w:val="002D3898"/>
    <w:rsid w:val="002E40A5"/>
    <w:rsid w:val="002E6AA5"/>
    <w:rsid w:val="002E7480"/>
    <w:rsid w:val="002E79A9"/>
    <w:rsid w:val="002F0F6C"/>
    <w:rsid w:val="003003E6"/>
    <w:rsid w:val="00304196"/>
    <w:rsid w:val="00314D3A"/>
    <w:rsid w:val="00314E1D"/>
    <w:rsid w:val="00315B71"/>
    <w:rsid w:val="00320F33"/>
    <w:rsid w:val="003215C4"/>
    <w:rsid w:val="00325AA5"/>
    <w:rsid w:val="00334D3C"/>
    <w:rsid w:val="003459D3"/>
    <w:rsid w:val="00353A7D"/>
    <w:rsid w:val="00356390"/>
    <w:rsid w:val="00360F37"/>
    <w:rsid w:val="00371BC7"/>
    <w:rsid w:val="003839CC"/>
    <w:rsid w:val="00387249"/>
    <w:rsid w:val="00387C16"/>
    <w:rsid w:val="00394071"/>
    <w:rsid w:val="00396A56"/>
    <w:rsid w:val="003A1BC4"/>
    <w:rsid w:val="003B1EDD"/>
    <w:rsid w:val="003C34DB"/>
    <w:rsid w:val="003C43E2"/>
    <w:rsid w:val="003D314B"/>
    <w:rsid w:val="003E2C22"/>
    <w:rsid w:val="003E3B81"/>
    <w:rsid w:val="003E5351"/>
    <w:rsid w:val="003E54AF"/>
    <w:rsid w:val="003E6BA9"/>
    <w:rsid w:val="003E7EBC"/>
    <w:rsid w:val="0040551F"/>
    <w:rsid w:val="00416A5B"/>
    <w:rsid w:val="00422C7E"/>
    <w:rsid w:val="00456BFA"/>
    <w:rsid w:val="00456F2D"/>
    <w:rsid w:val="004769C1"/>
    <w:rsid w:val="0049711C"/>
    <w:rsid w:val="004A0842"/>
    <w:rsid w:val="004A1169"/>
    <w:rsid w:val="004B6D4B"/>
    <w:rsid w:val="004C7EA9"/>
    <w:rsid w:val="004D0684"/>
    <w:rsid w:val="004F2194"/>
    <w:rsid w:val="004F252A"/>
    <w:rsid w:val="005078EE"/>
    <w:rsid w:val="005138E8"/>
    <w:rsid w:val="00514466"/>
    <w:rsid w:val="00546D1F"/>
    <w:rsid w:val="00555F51"/>
    <w:rsid w:val="00556D35"/>
    <w:rsid w:val="005573B3"/>
    <w:rsid w:val="005619AF"/>
    <w:rsid w:val="005713FB"/>
    <w:rsid w:val="00592AE7"/>
    <w:rsid w:val="00592E13"/>
    <w:rsid w:val="00593AD1"/>
    <w:rsid w:val="00594F93"/>
    <w:rsid w:val="005A7FBB"/>
    <w:rsid w:val="005B0381"/>
    <w:rsid w:val="005B5DF3"/>
    <w:rsid w:val="005C0D64"/>
    <w:rsid w:val="005C4EAC"/>
    <w:rsid w:val="005E4F26"/>
    <w:rsid w:val="005E62E3"/>
    <w:rsid w:val="006021E8"/>
    <w:rsid w:val="006035CE"/>
    <w:rsid w:val="00603F0B"/>
    <w:rsid w:val="00612C94"/>
    <w:rsid w:val="00614776"/>
    <w:rsid w:val="00617C4C"/>
    <w:rsid w:val="006204FA"/>
    <w:rsid w:val="00630ECE"/>
    <w:rsid w:val="006333B5"/>
    <w:rsid w:val="0063375D"/>
    <w:rsid w:val="00640E56"/>
    <w:rsid w:val="0064265D"/>
    <w:rsid w:val="00645D26"/>
    <w:rsid w:val="0064733E"/>
    <w:rsid w:val="0065582B"/>
    <w:rsid w:val="006567ED"/>
    <w:rsid w:val="00663031"/>
    <w:rsid w:val="00671F45"/>
    <w:rsid w:val="00685C74"/>
    <w:rsid w:val="00694F8A"/>
    <w:rsid w:val="00696C1B"/>
    <w:rsid w:val="006A24C6"/>
    <w:rsid w:val="006A3F71"/>
    <w:rsid w:val="006A75EE"/>
    <w:rsid w:val="006C393E"/>
    <w:rsid w:val="006D57D5"/>
    <w:rsid w:val="006E0C9B"/>
    <w:rsid w:val="006F035E"/>
    <w:rsid w:val="006F4B73"/>
    <w:rsid w:val="006F6490"/>
    <w:rsid w:val="006F64AB"/>
    <w:rsid w:val="006F6BFF"/>
    <w:rsid w:val="00710758"/>
    <w:rsid w:val="007124BC"/>
    <w:rsid w:val="00716E35"/>
    <w:rsid w:val="00736C35"/>
    <w:rsid w:val="00740C82"/>
    <w:rsid w:val="00752A39"/>
    <w:rsid w:val="007570D1"/>
    <w:rsid w:val="00760494"/>
    <w:rsid w:val="00761B69"/>
    <w:rsid w:val="00766A07"/>
    <w:rsid w:val="0077639D"/>
    <w:rsid w:val="007763E8"/>
    <w:rsid w:val="00776749"/>
    <w:rsid w:val="00776CDD"/>
    <w:rsid w:val="00780B04"/>
    <w:rsid w:val="0078691B"/>
    <w:rsid w:val="0079452B"/>
    <w:rsid w:val="00797833"/>
    <w:rsid w:val="007A3FE9"/>
    <w:rsid w:val="007B00A3"/>
    <w:rsid w:val="007B66E0"/>
    <w:rsid w:val="007C536F"/>
    <w:rsid w:val="007C7D2D"/>
    <w:rsid w:val="007D1F02"/>
    <w:rsid w:val="007D5C61"/>
    <w:rsid w:val="007F32BB"/>
    <w:rsid w:val="007F4C32"/>
    <w:rsid w:val="00803C44"/>
    <w:rsid w:val="00823A89"/>
    <w:rsid w:val="00824FD4"/>
    <w:rsid w:val="00840CAF"/>
    <w:rsid w:val="008460EA"/>
    <w:rsid w:val="00857074"/>
    <w:rsid w:val="00857D28"/>
    <w:rsid w:val="00861993"/>
    <w:rsid w:val="0086702F"/>
    <w:rsid w:val="008761E0"/>
    <w:rsid w:val="008821EF"/>
    <w:rsid w:val="00887CCD"/>
    <w:rsid w:val="00894D38"/>
    <w:rsid w:val="00896136"/>
    <w:rsid w:val="008969ED"/>
    <w:rsid w:val="008C1957"/>
    <w:rsid w:val="008C2309"/>
    <w:rsid w:val="008D202C"/>
    <w:rsid w:val="008D7578"/>
    <w:rsid w:val="008D767E"/>
    <w:rsid w:val="008E3ED6"/>
    <w:rsid w:val="008F5F97"/>
    <w:rsid w:val="00902907"/>
    <w:rsid w:val="00915D61"/>
    <w:rsid w:val="009238B7"/>
    <w:rsid w:val="009317CF"/>
    <w:rsid w:val="00933033"/>
    <w:rsid w:val="00933DF6"/>
    <w:rsid w:val="00936DA5"/>
    <w:rsid w:val="009519C2"/>
    <w:rsid w:val="009547D9"/>
    <w:rsid w:val="00970F63"/>
    <w:rsid w:val="00972645"/>
    <w:rsid w:val="0097601D"/>
    <w:rsid w:val="00976EB6"/>
    <w:rsid w:val="009814A6"/>
    <w:rsid w:val="0098705B"/>
    <w:rsid w:val="009B5B97"/>
    <w:rsid w:val="009B6196"/>
    <w:rsid w:val="009C6A31"/>
    <w:rsid w:val="009C7451"/>
    <w:rsid w:val="009F54C5"/>
    <w:rsid w:val="00A02C58"/>
    <w:rsid w:val="00A12BF0"/>
    <w:rsid w:val="00A12F30"/>
    <w:rsid w:val="00A22B82"/>
    <w:rsid w:val="00A42208"/>
    <w:rsid w:val="00A546A1"/>
    <w:rsid w:val="00A561DD"/>
    <w:rsid w:val="00A623DD"/>
    <w:rsid w:val="00A64396"/>
    <w:rsid w:val="00A70549"/>
    <w:rsid w:val="00A73C10"/>
    <w:rsid w:val="00A747C4"/>
    <w:rsid w:val="00A90BFD"/>
    <w:rsid w:val="00A953E0"/>
    <w:rsid w:val="00AA2C62"/>
    <w:rsid w:val="00AA5F8D"/>
    <w:rsid w:val="00AC2A98"/>
    <w:rsid w:val="00AD216E"/>
    <w:rsid w:val="00AE1451"/>
    <w:rsid w:val="00AE3B4D"/>
    <w:rsid w:val="00AE531A"/>
    <w:rsid w:val="00AF19E3"/>
    <w:rsid w:val="00AF1DFA"/>
    <w:rsid w:val="00AF7492"/>
    <w:rsid w:val="00B03553"/>
    <w:rsid w:val="00B070A5"/>
    <w:rsid w:val="00B11C7E"/>
    <w:rsid w:val="00B17465"/>
    <w:rsid w:val="00B17ADC"/>
    <w:rsid w:val="00B228EC"/>
    <w:rsid w:val="00B249D9"/>
    <w:rsid w:val="00B25C3C"/>
    <w:rsid w:val="00B2793F"/>
    <w:rsid w:val="00B3371A"/>
    <w:rsid w:val="00B33B14"/>
    <w:rsid w:val="00B33EBA"/>
    <w:rsid w:val="00B423CA"/>
    <w:rsid w:val="00B444F6"/>
    <w:rsid w:val="00B47269"/>
    <w:rsid w:val="00B47372"/>
    <w:rsid w:val="00B56DFA"/>
    <w:rsid w:val="00B63A9E"/>
    <w:rsid w:val="00B64057"/>
    <w:rsid w:val="00B643FF"/>
    <w:rsid w:val="00B77FD0"/>
    <w:rsid w:val="00B9373E"/>
    <w:rsid w:val="00B953E2"/>
    <w:rsid w:val="00BA24C4"/>
    <w:rsid w:val="00BB0DA7"/>
    <w:rsid w:val="00BB5654"/>
    <w:rsid w:val="00BC50E5"/>
    <w:rsid w:val="00BD44F1"/>
    <w:rsid w:val="00BD597B"/>
    <w:rsid w:val="00BE2CFD"/>
    <w:rsid w:val="00BE4750"/>
    <w:rsid w:val="00BE728C"/>
    <w:rsid w:val="00BF0A49"/>
    <w:rsid w:val="00BF4A89"/>
    <w:rsid w:val="00BF50C5"/>
    <w:rsid w:val="00C04E13"/>
    <w:rsid w:val="00C1136D"/>
    <w:rsid w:val="00C16804"/>
    <w:rsid w:val="00C16D58"/>
    <w:rsid w:val="00C223F9"/>
    <w:rsid w:val="00C22973"/>
    <w:rsid w:val="00C3061B"/>
    <w:rsid w:val="00C34CC8"/>
    <w:rsid w:val="00C376E5"/>
    <w:rsid w:val="00C40BFB"/>
    <w:rsid w:val="00C4357C"/>
    <w:rsid w:val="00C44269"/>
    <w:rsid w:val="00C612C9"/>
    <w:rsid w:val="00C631DB"/>
    <w:rsid w:val="00C63A86"/>
    <w:rsid w:val="00C74C88"/>
    <w:rsid w:val="00C824EF"/>
    <w:rsid w:val="00C8624D"/>
    <w:rsid w:val="00C864A7"/>
    <w:rsid w:val="00C94AA6"/>
    <w:rsid w:val="00C96853"/>
    <w:rsid w:val="00CB4DA8"/>
    <w:rsid w:val="00CC46FF"/>
    <w:rsid w:val="00CC7BC9"/>
    <w:rsid w:val="00CE06E9"/>
    <w:rsid w:val="00CE2E78"/>
    <w:rsid w:val="00CF0995"/>
    <w:rsid w:val="00CF5282"/>
    <w:rsid w:val="00CF6323"/>
    <w:rsid w:val="00D0073B"/>
    <w:rsid w:val="00D140F9"/>
    <w:rsid w:val="00D17EB0"/>
    <w:rsid w:val="00D20675"/>
    <w:rsid w:val="00D21C22"/>
    <w:rsid w:val="00D25D1D"/>
    <w:rsid w:val="00D26B6E"/>
    <w:rsid w:val="00D31608"/>
    <w:rsid w:val="00D31CD2"/>
    <w:rsid w:val="00D35E1F"/>
    <w:rsid w:val="00D428BC"/>
    <w:rsid w:val="00D44242"/>
    <w:rsid w:val="00D47A0A"/>
    <w:rsid w:val="00D66520"/>
    <w:rsid w:val="00D66766"/>
    <w:rsid w:val="00D71496"/>
    <w:rsid w:val="00D72CDF"/>
    <w:rsid w:val="00D82B8C"/>
    <w:rsid w:val="00D83E09"/>
    <w:rsid w:val="00D858EB"/>
    <w:rsid w:val="00DA04F8"/>
    <w:rsid w:val="00DB5887"/>
    <w:rsid w:val="00DC1658"/>
    <w:rsid w:val="00DC2DAB"/>
    <w:rsid w:val="00DC717D"/>
    <w:rsid w:val="00DD1DD7"/>
    <w:rsid w:val="00DD5FB0"/>
    <w:rsid w:val="00DE5370"/>
    <w:rsid w:val="00DE6933"/>
    <w:rsid w:val="00DF4762"/>
    <w:rsid w:val="00DF7AC4"/>
    <w:rsid w:val="00E01F9E"/>
    <w:rsid w:val="00E02900"/>
    <w:rsid w:val="00E04F4E"/>
    <w:rsid w:val="00E06D74"/>
    <w:rsid w:val="00E105D5"/>
    <w:rsid w:val="00E26178"/>
    <w:rsid w:val="00E26428"/>
    <w:rsid w:val="00E40356"/>
    <w:rsid w:val="00E44307"/>
    <w:rsid w:val="00E455EA"/>
    <w:rsid w:val="00E4703A"/>
    <w:rsid w:val="00E50A88"/>
    <w:rsid w:val="00E52E66"/>
    <w:rsid w:val="00E55F20"/>
    <w:rsid w:val="00E73947"/>
    <w:rsid w:val="00E82941"/>
    <w:rsid w:val="00E926C1"/>
    <w:rsid w:val="00EA0BF6"/>
    <w:rsid w:val="00EA1D66"/>
    <w:rsid w:val="00EA2AF8"/>
    <w:rsid w:val="00EA58EA"/>
    <w:rsid w:val="00EA65EF"/>
    <w:rsid w:val="00EA72D0"/>
    <w:rsid w:val="00EB22A8"/>
    <w:rsid w:val="00EB494D"/>
    <w:rsid w:val="00EB608E"/>
    <w:rsid w:val="00ED179F"/>
    <w:rsid w:val="00ED681D"/>
    <w:rsid w:val="00EE2C0B"/>
    <w:rsid w:val="00F035D4"/>
    <w:rsid w:val="00F03742"/>
    <w:rsid w:val="00F06E90"/>
    <w:rsid w:val="00F20833"/>
    <w:rsid w:val="00F27309"/>
    <w:rsid w:val="00F358A2"/>
    <w:rsid w:val="00F441A6"/>
    <w:rsid w:val="00F461E7"/>
    <w:rsid w:val="00F55842"/>
    <w:rsid w:val="00F61DAE"/>
    <w:rsid w:val="00F66C6D"/>
    <w:rsid w:val="00F66F16"/>
    <w:rsid w:val="00F76D25"/>
    <w:rsid w:val="00F84943"/>
    <w:rsid w:val="00F90EB6"/>
    <w:rsid w:val="00F968F8"/>
    <w:rsid w:val="00F97822"/>
    <w:rsid w:val="00FA4CA2"/>
    <w:rsid w:val="00FB0482"/>
    <w:rsid w:val="00FB7F87"/>
    <w:rsid w:val="00FC4264"/>
    <w:rsid w:val="00FC7385"/>
    <w:rsid w:val="00FD01E6"/>
    <w:rsid w:val="00FD021C"/>
    <w:rsid w:val="00FD2C0C"/>
    <w:rsid w:val="00FD5782"/>
    <w:rsid w:val="00FE5084"/>
    <w:rsid w:val="00FE5CC1"/>
    <w:rsid w:val="00FF1D8C"/>
    <w:rsid w:val="00FF3B6E"/>
    <w:rsid w:val="00FF43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ECBFEB-732B-AF41-8ACD-BA928F78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D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82B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2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2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520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2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5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6AA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4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D82B8C"/>
  </w:style>
  <w:style w:type="paragraph" w:styleId="Title">
    <w:name w:val="Title"/>
    <w:aliases w:val="title"/>
    <w:basedOn w:val="Normal"/>
    <w:link w:val="TitleChar"/>
    <w:qFormat/>
    <w:rsid w:val="000415C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rsid w:val="000415C3"/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0415C3"/>
  </w:style>
  <w:style w:type="paragraph" w:customStyle="1" w:styleId="EndNoteBibliographyTitle">
    <w:name w:val="EndNote Bibliography Title"/>
    <w:basedOn w:val="Normal"/>
    <w:link w:val="EndNoteBibliographyTitleChar"/>
    <w:rsid w:val="00E82941"/>
    <w:pPr>
      <w:jc w:val="center"/>
    </w:pPr>
    <w:rPr>
      <w:rFonts w:ascii="Cambria" w:eastAsiaTheme="minorEastAsia" w:hAnsi="Cambria" w:cstheme="minorBid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941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82941"/>
    <w:rPr>
      <w:rFonts w:ascii="Cambria" w:eastAsiaTheme="minorEastAsia" w:hAnsi="Cambria"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82941"/>
    <w:rPr>
      <w:rFonts w:ascii="Cambria" w:hAnsi="Cambria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6E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06E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215C4"/>
    <w:pPr>
      <w:autoSpaceDE w:val="0"/>
      <w:autoSpaceDN w:val="0"/>
      <w:adjustRightInd w:val="0"/>
    </w:pPr>
    <w:rPr>
      <w:rFonts w:ascii="Gotham Medium" w:hAnsi="Gotham Medium" w:cs="Gotham Medium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CA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0CAF"/>
  </w:style>
  <w:style w:type="character" w:styleId="PageNumber">
    <w:name w:val="page number"/>
    <w:basedOn w:val="DefaultParagraphFont"/>
    <w:uiPriority w:val="99"/>
    <w:semiHidden/>
    <w:unhideWhenUsed/>
    <w:rsid w:val="00840CAF"/>
  </w:style>
  <w:style w:type="character" w:customStyle="1" w:styleId="cit">
    <w:name w:val="cit"/>
    <w:basedOn w:val="DefaultParagraphFont"/>
    <w:rsid w:val="00902907"/>
  </w:style>
  <w:style w:type="paragraph" w:styleId="Revision">
    <w:name w:val="Revision"/>
    <w:hidden/>
    <w:uiPriority w:val="99"/>
    <w:semiHidden/>
    <w:rsid w:val="00D72CDF"/>
  </w:style>
  <w:style w:type="character" w:styleId="UnresolvedMention">
    <w:name w:val="Unresolved Mention"/>
    <w:basedOn w:val="DefaultParagraphFont"/>
    <w:uiPriority w:val="99"/>
    <w:semiHidden/>
    <w:unhideWhenUsed/>
    <w:rsid w:val="00E0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Ladep%20NG%5BAuthor%5D&amp;cauthor=true&amp;cauthor_uid=19533805" TargetMode="External"/><Relationship Id="rId13" Type="http://schemas.openxmlformats.org/officeDocument/2006/relationships/hyperlink" Target="https://www.bspghan.org.uk/content/service-standards-specialist-paediatric-gastroenterology-hepatology-and-nutritional-suppor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Newton%20K%5BAuthor%5D&amp;cauthor=true&amp;cauthor_uid=29262947" TargetMode="External"/><Relationship Id="rId17" Type="http://schemas.openxmlformats.org/officeDocument/2006/relationships/hyperlink" Target="https://www.ncbi.nlm.nih.gov/pubmed/?term=Ahmed%20T%5BAuthor%5D&amp;cauthor=true&amp;cauthor_uid=273528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Richardson%20BA%5BAuthor%5D&amp;cauthor=true&amp;cauthor_uid=273528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Clarke%20DL%5BAuthor%5D&amp;cauthor=true&amp;cauthor_uid=292629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dp.org/content/undp/en/home/sustainable-development-goals/goal-2-zero-hunger/targets.html" TargetMode="External"/><Relationship Id="rId10" Type="http://schemas.openxmlformats.org/officeDocument/2006/relationships/hyperlink" Target="http://www.paediatrics.uct.ac.za/paediatric-gastroenterology-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oghin.ng/" TargetMode="External"/><Relationship Id="rId14" Type="http://schemas.openxmlformats.org/officeDocument/2006/relationships/hyperlink" Target="https://www.who.int/nutrition/publications/jointchildmalnutrition_2018_estimate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8D9D-E09F-4BE5-AA28-FBC36ED5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2381</Words>
  <Characters>13575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Allen</dc:creator>
  <cp:lastModifiedBy>Julie Franco</cp:lastModifiedBy>
  <cp:revision>2</cp:revision>
  <cp:lastPrinted>2018-12-21T14:56:00Z</cp:lastPrinted>
  <dcterms:created xsi:type="dcterms:W3CDTF">2019-03-27T10:20:00Z</dcterms:created>
  <dcterms:modified xsi:type="dcterms:W3CDTF">2019-03-27T10:20:00Z</dcterms:modified>
</cp:coreProperties>
</file>