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DC8E0" w14:textId="77777777" w:rsidR="00210FB9" w:rsidRPr="00853AC0" w:rsidRDefault="00210FB9" w:rsidP="00210FB9">
      <w:pPr>
        <w:rPr>
          <w:rFonts w:ascii="Times New Roman" w:hAnsi="Times New Roman" w:cs="Times New Roman"/>
          <w:b/>
          <w:lang w:val="en-US"/>
        </w:rPr>
      </w:pPr>
      <w:r>
        <w:rPr>
          <w:rFonts w:ascii="Times New Roman" w:hAnsi="Times New Roman" w:cs="Times New Roman"/>
          <w:b/>
          <w:lang w:val="en-US"/>
        </w:rPr>
        <w:t>Table S1</w:t>
      </w:r>
      <w:r w:rsidRPr="00853AC0">
        <w:rPr>
          <w:rFonts w:ascii="Times New Roman" w:hAnsi="Times New Roman" w:cs="Times New Roman"/>
          <w:b/>
          <w:lang w:val="en-US"/>
        </w:rPr>
        <w:t xml:space="preserve">: </w:t>
      </w:r>
      <w:r>
        <w:rPr>
          <w:rFonts w:ascii="Times New Roman" w:hAnsi="Times New Roman" w:cs="Times New Roman"/>
          <w:b/>
          <w:lang w:val="en-US"/>
        </w:rPr>
        <w:t>Relevant</w:t>
      </w:r>
      <w:r w:rsidRPr="00853AC0">
        <w:rPr>
          <w:rFonts w:ascii="Times New Roman" w:hAnsi="Times New Roman" w:cs="Times New Roman"/>
          <w:b/>
          <w:lang w:val="en-US"/>
        </w:rPr>
        <w:t xml:space="preserve"> questions of the NIH (National Institute of Health) Quality Assessment Tool for Observational and Cross-Sectional Studies</w:t>
      </w:r>
      <w:r>
        <w:rPr>
          <w:rFonts w:ascii="Times New Roman" w:hAnsi="Times New Roman" w:cs="Times New Roman"/>
          <w:b/>
          <w:lang w:val="en-US"/>
        </w:rPr>
        <w:t xml:space="preserve"> for evaluating study quality for inclusion in the IPD Meta-analysis</w:t>
      </w:r>
    </w:p>
    <w:tbl>
      <w:tblPr>
        <w:tblStyle w:val="Tabellenraster"/>
        <w:tblW w:w="0" w:type="auto"/>
        <w:tblLook w:val="04A0" w:firstRow="1" w:lastRow="0" w:firstColumn="1" w:lastColumn="0" w:noHBand="0" w:noVBand="1"/>
      </w:tblPr>
      <w:tblGrid>
        <w:gridCol w:w="9062"/>
      </w:tblGrid>
      <w:tr w:rsidR="00210FB9" w:rsidRPr="001E0558" w14:paraId="33C4C648" w14:textId="77777777" w:rsidTr="00A816B8">
        <w:tc>
          <w:tcPr>
            <w:tcW w:w="14277" w:type="dxa"/>
          </w:tcPr>
          <w:p w14:paraId="44BFFBC3"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Q1: </w:t>
            </w:r>
            <w:r w:rsidRPr="00853AC0">
              <w:rPr>
                <w:rFonts w:ascii="Times New Roman" w:eastAsia="Times New Roman" w:hAnsi="Times New Roman" w:cs="Times New Roman"/>
                <w:bCs/>
                <w:color w:val="000000"/>
                <w:lang w:val="en-US" w:eastAsia="de-DE"/>
              </w:rPr>
              <w:t>research question</w:t>
            </w:r>
            <w:r w:rsidRPr="00853AC0">
              <w:rPr>
                <w:rFonts w:ascii="Times New Roman" w:hAnsi="Times New Roman" w:cs="Times New Roman"/>
                <w:lang w:val="en-US"/>
              </w:rPr>
              <w:t xml:space="preserve"> - Was the research question or objective in this paper clearly stated?</w:t>
            </w:r>
          </w:p>
          <w:p w14:paraId="142A3F22" w14:textId="77777777" w:rsidR="00210FB9" w:rsidRPr="00853AC0" w:rsidRDefault="00210FB9" w:rsidP="00A816B8">
            <w:pPr>
              <w:rPr>
                <w:rFonts w:ascii="Times New Roman" w:eastAsia="Times New Roman" w:hAnsi="Times New Roman" w:cs="Times New Roman"/>
                <w:lang w:val="en-US" w:eastAsia="de-DE"/>
              </w:rPr>
            </w:pPr>
          </w:p>
        </w:tc>
      </w:tr>
      <w:tr w:rsidR="00210FB9" w:rsidRPr="001E0558" w14:paraId="12A45536" w14:textId="77777777" w:rsidTr="00A816B8">
        <w:tc>
          <w:tcPr>
            <w:tcW w:w="14277" w:type="dxa"/>
          </w:tcPr>
          <w:p w14:paraId="1EF78436"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Q2: </w:t>
            </w:r>
            <w:r w:rsidRPr="00853AC0">
              <w:rPr>
                <w:rFonts w:ascii="Times New Roman" w:eastAsia="Times New Roman" w:hAnsi="Times New Roman" w:cs="Times New Roman"/>
                <w:bCs/>
                <w:color w:val="000000"/>
                <w:lang w:val="en-US" w:eastAsia="de-DE"/>
              </w:rPr>
              <w:t>study population -</w:t>
            </w:r>
            <w:r w:rsidRPr="00853AC0">
              <w:rPr>
                <w:rFonts w:ascii="Times New Roman" w:hAnsi="Times New Roman" w:cs="Times New Roman"/>
                <w:lang w:val="en-US"/>
              </w:rPr>
              <w:t xml:space="preserve"> Was the study population clearly specified and defined?</w:t>
            </w:r>
          </w:p>
          <w:p w14:paraId="1897CD1B" w14:textId="77777777" w:rsidR="00210FB9" w:rsidRPr="00853AC0" w:rsidRDefault="00210FB9" w:rsidP="00A816B8">
            <w:pPr>
              <w:rPr>
                <w:rFonts w:ascii="Times New Roman" w:eastAsia="Times New Roman" w:hAnsi="Times New Roman" w:cs="Times New Roman"/>
                <w:lang w:val="en-US" w:eastAsia="de-DE"/>
              </w:rPr>
            </w:pPr>
          </w:p>
        </w:tc>
      </w:tr>
      <w:tr w:rsidR="00210FB9" w:rsidRPr="001E0558" w14:paraId="48974B4B" w14:textId="77777777" w:rsidTr="00A816B8">
        <w:tc>
          <w:tcPr>
            <w:tcW w:w="14277" w:type="dxa"/>
          </w:tcPr>
          <w:p w14:paraId="4565A846"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Q3: </w:t>
            </w:r>
            <w:r w:rsidRPr="00853AC0">
              <w:rPr>
                <w:rFonts w:ascii="Times New Roman" w:eastAsia="Times New Roman" w:hAnsi="Times New Roman" w:cs="Times New Roman"/>
                <w:bCs/>
                <w:color w:val="000000"/>
                <w:lang w:val="en-US" w:eastAsia="de-DE"/>
              </w:rPr>
              <w:t>participation rate</w:t>
            </w:r>
            <w:r w:rsidRPr="00853AC0">
              <w:rPr>
                <w:rFonts w:ascii="Times New Roman" w:eastAsia="Times New Roman" w:hAnsi="Times New Roman" w:cs="Times New Roman"/>
                <w:lang w:val="en-US" w:eastAsia="de-DE"/>
              </w:rPr>
              <w:t xml:space="preserve"> - Was the participation rate of eligible persons at least 50%?</w:t>
            </w:r>
          </w:p>
          <w:p w14:paraId="67F54CFC" w14:textId="77777777" w:rsidR="00210FB9" w:rsidRPr="00853AC0" w:rsidRDefault="00210FB9" w:rsidP="00A816B8">
            <w:pPr>
              <w:rPr>
                <w:rFonts w:ascii="Times New Roman" w:eastAsia="Times New Roman" w:hAnsi="Times New Roman" w:cs="Times New Roman"/>
                <w:lang w:val="en-US" w:eastAsia="de-DE"/>
              </w:rPr>
            </w:pPr>
          </w:p>
        </w:tc>
      </w:tr>
      <w:tr w:rsidR="00210FB9" w:rsidRPr="001E0558" w14:paraId="6ACE92FE" w14:textId="77777777" w:rsidTr="00A816B8">
        <w:tc>
          <w:tcPr>
            <w:tcW w:w="14277" w:type="dxa"/>
          </w:tcPr>
          <w:p w14:paraId="6F305DBA"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Q4: recruitment - </w:t>
            </w:r>
            <w:r w:rsidRPr="00853AC0">
              <w:rPr>
                <w:rFonts w:ascii="Times New Roman" w:eastAsia="Times New Roman" w:hAnsi="Times New Roman" w:cs="Times New Roman"/>
                <w:lang w:val="en-US" w:eastAsia="de-DE"/>
              </w:rPr>
              <w:t xml:space="preserve">Were all the subjects selected or recruited from the same or similar populations (including the same time period)? Were inclusion and exclusion criteria for being in the study </w:t>
            </w:r>
            <w:proofErr w:type="spellStart"/>
            <w:r w:rsidRPr="00853AC0">
              <w:rPr>
                <w:rFonts w:ascii="Times New Roman" w:eastAsia="Times New Roman" w:hAnsi="Times New Roman" w:cs="Times New Roman"/>
                <w:lang w:val="en-US" w:eastAsia="de-DE"/>
              </w:rPr>
              <w:t>prespecified</w:t>
            </w:r>
            <w:proofErr w:type="spellEnd"/>
            <w:r w:rsidRPr="00853AC0">
              <w:rPr>
                <w:rFonts w:ascii="Times New Roman" w:eastAsia="Times New Roman" w:hAnsi="Times New Roman" w:cs="Times New Roman"/>
                <w:lang w:val="en-US" w:eastAsia="de-DE"/>
              </w:rPr>
              <w:t xml:space="preserve"> and applied uniformly to all participants?</w:t>
            </w:r>
          </w:p>
          <w:p w14:paraId="2D888E79" w14:textId="77777777" w:rsidR="00210FB9" w:rsidRPr="00853AC0" w:rsidRDefault="00210FB9" w:rsidP="00A816B8">
            <w:pPr>
              <w:rPr>
                <w:rFonts w:ascii="Times New Roman" w:eastAsia="Times New Roman" w:hAnsi="Times New Roman" w:cs="Times New Roman"/>
                <w:lang w:val="en-US" w:eastAsia="de-DE"/>
              </w:rPr>
            </w:pPr>
          </w:p>
        </w:tc>
      </w:tr>
      <w:tr w:rsidR="00210FB9" w:rsidRPr="001E0558" w14:paraId="3E0C3792" w14:textId="77777777" w:rsidTr="00A816B8">
        <w:tc>
          <w:tcPr>
            <w:tcW w:w="14277" w:type="dxa"/>
          </w:tcPr>
          <w:p w14:paraId="11EA0EB7"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Q6: </w:t>
            </w:r>
            <w:r w:rsidRPr="00853AC0">
              <w:rPr>
                <w:rFonts w:ascii="Times New Roman" w:eastAsia="Times New Roman" w:hAnsi="Times New Roman" w:cs="Times New Roman"/>
                <w:bCs/>
                <w:color w:val="000000"/>
                <w:lang w:val="en-US" w:eastAsia="de-DE"/>
              </w:rPr>
              <w:t>exposure measured prior to the outcome</w:t>
            </w:r>
            <w:r w:rsidRPr="00853AC0">
              <w:rPr>
                <w:rFonts w:ascii="Times New Roman" w:eastAsia="Times New Roman" w:hAnsi="Times New Roman" w:cs="Times New Roman"/>
                <w:lang w:val="en-US" w:eastAsia="de-DE"/>
              </w:rPr>
              <w:t xml:space="preserve"> - For the analyses in this paper, were the exposure(s) of interest measured prior to the outcome(s) being measured?</w:t>
            </w:r>
          </w:p>
          <w:p w14:paraId="5B434072" w14:textId="77777777" w:rsidR="00210FB9" w:rsidRPr="00853AC0" w:rsidRDefault="00210FB9" w:rsidP="00A816B8">
            <w:pPr>
              <w:rPr>
                <w:rFonts w:ascii="Times New Roman" w:eastAsia="Times New Roman" w:hAnsi="Times New Roman" w:cs="Times New Roman"/>
                <w:lang w:val="en-US" w:eastAsia="de-DE"/>
              </w:rPr>
            </w:pPr>
          </w:p>
        </w:tc>
      </w:tr>
      <w:tr w:rsidR="00210FB9" w:rsidRPr="001E0558" w14:paraId="7DFEB660" w14:textId="77777777" w:rsidTr="00A816B8">
        <w:tc>
          <w:tcPr>
            <w:tcW w:w="14277" w:type="dxa"/>
          </w:tcPr>
          <w:p w14:paraId="75BCB3ED"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Q11: </w:t>
            </w:r>
            <w:r w:rsidRPr="00853AC0">
              <w:rPr>
                <w:rFonts w:ascii="Times New Roman" w:eastAsia="Times New Roman" w:hAnsi="Times New Roman" w:cs="Times New Roman"/>
                <w:bCs/>
                <w:color w:val="000000"/>
                <w:lang w:val="en-US" w:eastAsia="de-DE"/>
              </w:rPr>
              <w:t xml:space="preserve">outcome measured or reported - </w:t>
            </w:r>
            <w:r w:rsidRPr="00853AC0">
              <w:rPr>
                <w:rFonts w:ascii="Times New Roman" w:eastAsia="Times New Roman" w:hAnsi="Times New Roman" w:cs="Times New Roman"/>
                <w:lang w:val="en-US" w:eastAsia="de-DE"/>
              </w:rPr>
              <w:t>Were the outcome measures (dependent variables) clearly defined, valid, reliable, and implemented consistently across all study participants?</w:t>
            </w:r>
          </w:p>
          <w:p w14:paraId="634F8DC5" w14:textId="77777777" w:rsidR="00210FB9" w:rsidRPr="00853AC0" w:rsidRDefault="00210FB9" w:rsidP="00A816B8">
            <w:pPr>
              <w:rPr>
                <w:rFonts w:ascii="Times New Roman" w:eastAsia="Times New Roman" w:hAnsi="Times New Roman" w:cs="Times New Roman"/>
                <w:lang w:val="en-US" w:eastAsia="de-DE"/>
              </w:rPr>
            </w:pPr>
          </w:p>
        </w:tc>
      </w:tr>
      <w:tr w:rsidR="00210FB9" w:rsidRPr="001E0558" w14:paraId="5832867A" w14:textId="77777777" w:rsidTr="00A816B8">
        <w:tc>
          <w:tcPr>
            <w:tcW w:w="14277" w:type="dxa"/>
          </w:tcPr>
          <w:p w14:paraId="2FA76BB9"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Q12: blinding - </w:t>
            </w:r>
            <w:r w:rsidRPr="00853AC0">
              <w:rPr>
                <w:rFonts w:ascii="Times New Roman" w:eastAsia="Times New Roman" w:hAnsi="Times New Roman" w:cs="Times New Roman"/>
                <w:lang w:val="en-US" w:eastAsia="de-DE"/>
              </w:rPr>
              <w:t>Were the outcome assessors blinded to the exposure status of participants?</w:t>
            </w:r>
          </w:p>
          <w:p w14:paraId="44DC72F2" w14:textId="77777777" w:rsidR="00210FB9" w:rsidRPr="00853AC0" w:rsidRDefault="00210FB9" w:rsidP="00A816B8">
            <w:pPr>
              <w:rPr>
                <w:rFonts w:ascii="Times New Roman" w:eastAsia="Times New Roman" w:hAnsi="Times New Roman" w:cs="Times New Roman"/>
                <w:lang w:val="en-US" w:eastAsia="de-DE"/>
              </w:rPr>
            </w:pPr>
          </w:p>
        </w:tc>
      </w:tr>
      <w:tr w:rsidR="00210FB9" w:rsidRPr="001E0558" w14:paraId="413A56EC" w14:textId="77777777" w:rsidTr="00A816B8">
        <w:tc>
          <w:tcPr>
            <w:tcW w:w="14277" w:type="dxa"/>
          </w:tcPr>
          <w:p w14:paraId="255DEAFC" w14:textId="77777777" w:rsidR="00210FB9" w:rsidRPr="00853AC0" w:rsidRDefault="00210FB9" w:rsidP="00A816B8">
            <w:pPr>
              <w:rPr>
                <w:rFonts w:ascii="Times New Roman" w:eastAsia="Times New Roman" w:hAnsi="Times New Roman" w:cs="Times New Roman"/>
                <w:lang w:val="en-US" w:eastAsia="de-DE"/>
              </w:rPr>
            </w:pPr>
            <w:r w:rsidRPr="00853AC0">
              <w:rPr>
                <w:rFonts w:ascii="Times New Roman" w:hAnsi="Times New Roman" w:cs="Times New Roman"/>
                <w:lang w:val="en-US"/>
              </w:rPr>
              <w:t xml:space="preserve">Q13: </w:t>
            </w:r>
            <w:r w:rsidRPr="00853AC0">
              <w:rPr>
                <w:rFonts w:ascii="Times New Roman" w:eastAsia="Times New Roman" w:hAnsi="Times New Roman" w:cs="Times New Roman"/>
                <w:bCs/>
                <w:color w:val="000000"/>
                <w:lang w:val="en-US" w:eastAsia="de-DE"/>
              </w:rPr>
              <w:t xml:space="preserve">loss to follow-up &lt;40% - </w:t>
            </w:r>
            <w:r w:rsidRPr="00853AC0">
              <w:rPr>
                <w:rFonts w:ascii="Times New Roman" w:eastAsia="Times New Roman" w:hAnsi="Times New Roman" w:cs="Times New Roman"/>
                <w:lang w:val="en-US" w:eastAsia="de-DE"/>
              </w:rPr>
              <w:t>Was loss to follow-up after baseline 40% or less?</w:t>
            </w:r>
          </w:p>
          <w:p w14:paraId="1F0C9845" w14:textId="77777777" w:rsidR="00210FB9" w:rsidRPr="00853AC0" w:rsidRDefault="00210FB9" w:rsidP="00A816B8">
            <w:pPr>
              <w:rPr>
                <w:rFonts w:ascii="Times New Roman" w:eastAsia="Times New Roman" w:hAnsi="Times New Roman" w:cs="Times New Roman"/>
                <w:lang w:val="en-US" w:eastAsia="de-DE"/>
              </w:rPr>
            </w:pPr>
          </w:p>
        </w:tc>
      </w:tr>
    </w:tbl>
    <w:p w14:paraId="232807BB" w14:textId="0988E102" w:rsidR="00BE5A26" w:rsidRDefault="00BE5A26" w:rsidP="000230C1">
      <w:pPr>
        <w:spacing w:line="480" w:lineRule="auto"/>
        <w:rPr>
          <w:rFonts w:ascii="Times New Roman" w:hAnsi="Times New Roman" w:cs="Times New Roman"/>
          <w:sz w:val="24"/>
          <w:szCs w:val="24"/>
          <w:lang w:val="en-US"/>
        </w:rPr>
      </w:pPr>
    </w:p>
    <w:p w14:paraId="4466DC43" w14:textId="77777777" w:rsidR="00210FB9" w:rsidRDefault="00210FB9" w:rsidP="000230C1">
      <w:pPr>
        <w:spacing w:line="480" w:lineRule="auto"/>
        <w:rPr>
          <w:rFonts w:ascii="Times New Roman" w:hAnsi="Times New Roman" w:cs="Times New Roman"/>
          <w:sz w:val="24"/>
          <w:szCs w:val="24"/>
          <w:lang w:val="en-US"/>
        </w:rPr>
      </w:pPr>
    </w:p>
    <w:p w14:paraId="551C43D4" w14:textId="77777777" w:rsidR="00210FB9" w:rsidRDefault="00210FB9" w:rsidP="000230C1">
      <w:pPr>
        <w:spacing w:line="480" w:lineRule="auto"/>
        <w:rPr>
          <w:rFonts w:ascii="Times New Roman" w:hAnsi="Times New Roman" w:cs="Times New Roman"/>
          <w:sz w:val="24"/>
          <w:szCs w:val="24"/>
          <w:lang w:val="en-US"/>
        </w:rPr>
      </w:pPr>
    </w:p>
    <w:p w14:paraId="6E3324F3" w14:textId="77777777" w:rsidR="00210FB9" w:rsidRDefault="00210FB9" w:rsidP="000230C1">
      <w:pPr>
        <w:spacing w:line="480" w:lineRule="auto"/>
        <w:rPr>
          <w:rFonts w:ascii="Times New Roman" w:hAnsi="Times New Roman" w:cs="Times New Roman"/>
          <w:sz w:val="24"/>
          <w:szCs w:val="24"/>
          <w:lang w:val="en-US"/>
        </w:rPr>
      </w:pPr>
    </w:p>
    <w:p w14:paraId="6809A0B0" w14:textId="77777777" w:rsidR="00210FB9" w:rsidRDefault="00210FB9" w:rsidP="000230C1">
      <w:pPr>
        <w:spacing w:line="480" w:lineRule="auto"/>
        <w:rPr>
          <w:rFonts w:ascii="Times New Roman" w:hAnsi="Times New Roman" w:cs="Times New Roman"/>
          <w:sz w:val="24"/>
          <w:szCs w:val="24"/>
          <w:lang w:val="en-US"/>
        </w:rPr>
      </w:pPr>
    </w:p>
    <w:p w14:paraId="73569EBC" w14:textId="77777777" w:rsidR="00210FB9" w:rsidRDefault="00210FB9" w:rsidP="000230C1">
      <w:pPr>
        <w:spacing w:line="480" w:lineRule="auto"/>
        <w:rPr>
          <w:rFonts w:ascii="Times New Roman" w:hAnsi="Times New Roman" w:cs="Times New Roman"/>
          <w:sz w:val="24"/>
          <w:szCs w:val="24"/>
          <w:lang w:val="en-US"/>
        </w:rPr>
      </w:pPr>
    </w:p>
    <w:p w14:paraId="5F211F13" w14:textId="77777777" w:rsidR="00210FB9" w:rsidRDefault="00210FB9" w:rsidP="000230C1">
      <w:pPr>
        <w:spacing w:line="480" w:lineRule="auto"/>
        <w:rPr>
          <w:rFonts w:ascii="Times New Roman" w:hAnsi="Times New Roman" w:cs="Times New Roman"/>
          <w:sz w:val="24"/>
          <w:szCs w:val="24"/>
          <w:lang w:val="en-US"/>
        </w:rPr>
      </w:pPr>
    </w:p>
    <w:p w14:paraId="5941F11A" w14:textId="77777777" w:rsidR="00210FB9" w:rsidRDefault="00210FB9" w:rsidP="000230C1">
      <w:pPr>
        <w:spacing w:line="480" w:lineRule="auto"/>
        <w:rPr>
          <w:rFonts w:ascii="Times New Roman" w:hAnsi="Times New Roman" w:cs="Times New Roman"/>
          <w:sz w:val="24"/>
          <w:szCs w:val="24"/>
          <w:lang w:val="en-US"/>
        </w:rPr>
      </w:pPr>
    </w:p>
    <w:p w14:paraId="075A7764" w14:textId="77777777" w:rsidR="00210FB9" w:rsidRDefault="00210FB9" w:rsidP="000230C1">
      <w:pPr>
        <w:spacing w:line="480" w:lineRule="auto"/>
        <w:rPr>
          <w:rFonts w:ascii="Times New Roman" w:hAnsi="Times New Roman" w:cs="Times New Roman"/>
          <w:sz w:val="24"/>
          <w:szCs w:val="24"/>
          <w:lang w:val="en-US"/>
        </w:rPr>
      </w:pPr>
    </w:p>
    <w:p w14:paraId="546B8909" w14:textId="77777777" w:rsidR="00210FB9" w:rsidRDefault="00210FB9" w:rsidP="000230C1">
      <w:pPr>
        <w:spacing w:line="480" w:lineRule="auto"/>
        <w:rPr>
          <w:rFonts w:ascii="Times New Roman" w:hAnsi="Times New Roman" w:cs="Times New Roman"/>
          <w:sz w:val="24"/>
          <w:szCs w:val="24"/>
          <w:lang w:val="en-US"/>
        </w:rPr>
      </w:pPr>
    </w:p>
    <w:p w14:paraId="3F44E4C1" w14:textId="77777777" w:rsidR="00210FB9" w:rsidRDefault="00210FB9" w:rsidP="000230C1">
      <w:pPr>
        <w:spacing w:line="480" w:lineRule="auto"/>
        <w:rPr>
          <w:rFonts w:ascii="Times New Roman" w:hAnsi="Times New Roman" w:cs="Times New Roman"/>
          <w:sz w:val="24"/>
          <w:szCs w:val="24"/>
          <w:lang w:val="en-US"/>
        </w:rPr>
      </w:pPr>
    </w:p>
    <w:p w14:paraId="152EC9FF" w14:textId="77777777" w:rsidR="00210FB9" w:rsidRDefault="00210FB9" w:rsidP="00210FB9">
      <w:pPr>
        <w:rPr>
          <w:rFonts w:ascii="Times New Roman" w:hAnsi="Times New Roman" w:cs="Times New Roman"/>
          <w:b/>
          <w:lang w:val="en-US"/>
        </w:rPr>
        <w:sectPr w:rsidR="00210FB9" w:rsidSect="00DB7C7A">
          <w:headerReference w:type="default" r:id="rId8"/>
          <w:footerReference w:type="default" r:id="rId9"/>
          <w:pgSz w:w="11906" w:h="16838"/>
          <w:pgMar w:top="1417" w:right="1417" w:bottom="1134" w:left="1417" w:header="708" w:footer="708" w:gutter="0"/>
          <w:lnNumType w:countBy="1" w:restart="continuous"/>
          <w:cols w:space="708"/>
          <w:docGrid w:linePitch="360"/>
        </w:sectPr>
      </w:pPr>
    </w:p>
    <w:p w14:paraId="0081C230" w14:textId="0FD5B934" w:rsidR="00210FB9" w:rsidRPr="000732AC" w:rsidRDefault="00210FB9" w:rsidP="00210FB9">
      <w:pPr>
        <w:rPr>
          <w:rFonts w:ascii="Times New Roman" w:hAnsi="Times New Roman" w:cs="Times New Roman"/>
          <w:b/>
          <w:lang w:val="en-US"/>
        </w:rPr>
      </w:pPr>
      <w:r>
        <w:rPr>
          <w:rFonts w:ascii="Times New Roman" w:hAnsi="Times New Roman" w:cs="Times New Roman"/>
          <w:b/>
          <w:lang w:val="en-US"/>
        </w:rPr>
        <w:lastRenderedPageBreak/>
        <w:t>Table S2</w:t>
      </w:r>
      <w:r w:rsidRPr="000732AC">
        <w:rPr>
          <w:rFonts w:ascii="Times New Roman" w:hAnsi="Times New Roman" w:cs="Times New Roman"/>
          <w:b/>
          <w:lang w:val="en-US"/>
        </w:rPr>
        <w:t>: Study quality based on NIH (National Institute of Health) Quality Assessment Tool for Observational and Cross-Sectional Studies</w:t>
      </w:r>
    </w:p>
    <w:tbl>
      <w:tblPr>
        <w:tblStyle w:val="Tabellenraster"/>
        <w:tblW w:w="15451" w:type="dxa"/>
        <w:tblInd w:w="-147" w:type="dxa"/>
        <w:tblLook w:val="04A0" w:firstRow="1" w:lastRow="0" w:firstColumn="1" w:lastColumn="0" w:noHBand="0" w:noVBand="1"/>
      </w:tblPr>
      <w:tblGrid>
        <w:gridCol w:w="1598"/>
        <w:gridCol w:w="1023"/>
        <w:gridCol w:w="1231"/>
        <w:gridCol w:w="1439"/>
        <w:gridCol w:w="1340"/>
        <w:gridCol w:w="1133"/>
        <w:gridCol w:w="1145"/>
        <w:gridCol w:w="999"/>
        <w:gridCol w:w="1149"/>
        <w:gridCol w:w="4394"/>
      </w:tblGrid>
      <w:tr w:rsidR="00210FB9" w:rsidRPr="00191F9C" w14:paraId="0EA25EB4" w14:textId="77777777" w:rsidTr="00A816B8">
        <w:trPr>
          <w:trHeight w:val="900"/>
        </w:trPr>
        <w:tc>
          <w:tcPr>
            <w:tcW w:w="1598" w:type="dxa"/>
            <w:noWrap/>
            <w:hideMark/>
          </w:tcPr>
          <w:p w14:paraId="0D035853" w14:textId="77777777" w:rsidR="00210FB9" w:rsidRPr="00FF185F" w:rsidRDefault="00210FB9" w:rsidP="00A816B8">
            <w:pPr>
              <w:rPr>
                <w:rFonts w:ascii="Times New Roman" w:eastAsia="Times New Roman" w:hAnsi="Times New Roman" w:cs="Times New Roman"/>
                <w:b/>
                <w:bCs/>
                <w:color w:val="000000"/>
                <w:sz w:val="20"/>
                <w:szCs w:val="20"/>
                <w:lang w:eastAsia="de-DE"/>
              </w:rPr>
            </w:pPr>
            <w:r w:rsidRPr="00FF185F">
              <w:rPr>
                <w:rFonts w:ascii="Times New Roman" w:eastAsia="Times New Roman" w:hAnsi="Times New Roman" w:cs="Times New Roman"/>
                <w:b/>
                <w:bCs/>
                <w:color w:val="000000"/>
                <w:sz w:val="20"/>
                <w:szCs w:val="20"/>
                <w:lang w:eastAsia="de-DE"/>
              </w:rPr>
              <w:t>Study</w:t>
            </w:r>
          </w:p>
        </w:tc>
        <w:tc>
          <w:tcPr>
            <w:tcW w:w="1023" w:type="dxa"/>
            <w:hideMark/>
          </w:tcPr>
          <w:p w14:paraId="54601410" w14:textId="77777777" w:rsidR="00210FB9" w:rsidRPr="00853AC0" w:rsidRDefault="00210FB9" w:rsidP="00A816B8">
            <w:pPr>
              <w:rPr>
                <w:rFonts w:ascii="Times New Roman" w:eastAsia="Times New Roman" w:hAnsi="Times New Roman" w:cs="Times New Roman"/>
                <w:b/>
                <w:bCs/>
                <w:color w:val="000000"/>
                <w:sz w:val="20"/>
                <w:szCs w:val="20"/>
                <w:lang w:val="en-US" w:eastAsia="de-DE"/>
              </w:rPr>
            </w:pPr>
            <w:r w:rsidRPr="00FF185F">
              <w:rPr>
                <w:rFonts w:ascii="Times New Roman" w:eastAsia="Times New Roman" w:hAnsi="Times New Roman" w:cs="Times New Roman"/>
                <w:b/>
                <w:bCs/>
                <w:color w:val="000000"/>
                <w:sz w:val="20"/>
                <w:szCs w:val="20"/>
                <w:lang w:eastAsia="de-DE"/>
              </w:rPr>
              <w:t xml:space="preserve">Q1: </w:t>
            </w:r>
            <w:proofErr w:type="spellStart"/>
            <w:r w:rsidRPr="00FF185F">
              <w:rPr>
                <w:rFonts w:ascii="Times New Roman" w:eastAsia="Times New Roman" w:hAnsi="Times New Roman" w:cs="Times New Roman"/>
                <w:b/>
                <w:bCs/>
                <w:color w:val="000000"/>
                <w:sz w:val="20"/>
                <w:szCs w:val="20"/>
                <w:lang w:eastAsia="de-DE"/>
              </w:rPr>
              <w:t>research</w:t>
            </w:r>
            <w:proofErr w:type="spellEnd"/>
            <w:r w:rsidRPr="00FF185F">
              <w:rPr>
                <w:rFonts w:ascii="Times New Roman" w:eastAsia="Times New Roman" w:hAnsi="Times New Roman" w:cs="Times New Roman"/>
                <w:b/>
                <w:bCs/>
                <w:color w:val="000000"/>
                <w:sz w:val="20"/>
                <w:szCs w:val="20"/>
                <w:lang w:eastAsia="de-DE"/>
              </w:rPr>
              <w:t xml:space="preserve"> </w:t>
            </w:r>
            <w:proofErr w:type="spellStart"/>
            <w:r w:rsidRPr="00FF185F">
              <w:rPr>
                <w:rFonts w:ascii="Times New Roman" w:eastAsia="Times New Roman" w:hAnsi="Times New Roman" w:cs="Times New Roman"/>
                <w:b/>
                <w:bCs/>
                <w:color w:val="000000"/>
                <w:sz w:val="20"/>
                <w:szCs w:val="20"/>
                <w:lang w:eastAsia="de-DE"/>
              </w:rPr>
              <w:t>question</w:t>
            </w:r>
            <w:proofErr w:type="spellEnd"/>
          </w:p>
        </w:tc>
        <w:tc>
          <w:tcPr>
            <w:tcW w:w="1231" w:type="dxa"/>
            <w:hideMark/>
          </w:tcPr>
          <w:p w14:paraId="04EE79BA" w14:textId="77777777" w:rsidR="00210FB9" w:rsidRPr="00FF185F" w:rsidRDefault="00210FB9" w:rsidP="00A816B8">
            <w:pPr>
              <w:rPr>
                <w:rFonts w:ascii="Times New Roman" w:eastAsia="Times New Roman" w:hAnsi="Times New Roman" w:cs="Times New Roman"/>
                <w:b/>
                <w:bCs/>
                <w:color w:val="000000"/>
                <w:sz w:val="20"/>
                <w:szCs w:val="20"/>
                <w:lang w:eastAsia="de-DE"/>
              </w:rPr>
            </w:pPr>
            <w:r w:rsidRPr="00FF185F">
              <w:rPr>
                <w:rFonts w:ascii="Times New Roman" w:eastAsia="Times New Roman" w:hAnsi="Times New Roman" w:cs="Times New Roman"/>
                <w:b/>
                <w:bCs/>
                <w:color w:val="000000"/>
                <w:sz w:val="20"/>
                <w:szCs w:val="20"/>
                <w:lang w:eastAsia="de-DE"/>
              </w:rPr>
              <w:t xml:space="preserve">Q2: </w:t>
            </w:r>
            <w:proofErr w:type="spellStart"/>
            <w:r w:rsidRPr="00FF185F">
              <w:rPr>
                <w:rFonts w:ascii="Times New Roman" w:eastAsia="Times New Roman" w:hAnsi="Times New Roman" w:cs="Times New Roman"/>
                <w:b/>
                <w:bCs/>
                <w:color w:val="000000"/>
                <w:sz w:val="20"/>
                <w:szCs w:val="20"/>
                <w:lang w:eastAsia="de-DE"/>
              </w:rPr>
              <w:t>study</w:t>
            </w:r>
            <w:proofErr w:type="spellEnd"/>
            <w:r w:rsidRPr="00FF185F">
              <w:rPr>
                <w:rFonts w:ascii="Times New Roman" w:eastAsia="Times New Roman" w:hAnsi="Times New Roman" w:cs="Times New Roman"/>
                <w:b/>
                <w:bCs/>
                <w:color w:val="000000"/>
                <w:sz w:val="20"/>
                <w:szCs w:val="20"/>
                <w:lang w:eastAsia="de-DE"/>
              </w:rPr>
              <w:t xml:space="preserve"> </w:t>
            </w:r>
            <w:proofErr w:type="spellStart"/>
            <w:r w:rsidRPr="00FF185F">
              <w:rPr>
                <w:rFonts w:ascii="Times New Roman" w:eastAsia="Times New Roman" w:hAnsi="Times New Roman" w:cs="Times New Roman"/>
                <w:b/>
                <w:bCs/>
                <w:color w:val="000000"/>
                <w:sz w:val="20"/>
                <w:szCs w:val="20"/>
                <w:lang w:eastAsia="de-DE"/>
              </w:rPr>
              <w:t>population</w:t>
            </w:r>
            <w:proofErr w:type="spellEnd"/>
          </w:p>
        </w:tc>
        <w:tc>
          <w:tcPr>
            <w:tcW w:w="1439" w:type="dxa"/>
            <w:hideMark/>
          </w:tcPr>
          <w:p w14:paraId="4BC09083" w14:textId="77777777" w:rsidR="00210FB9" w:rsidRPr="00FF185F" w:rsidRDefault="00210FB9" w:rsidP="00A816B8">
            <w:pPr>
              <w:rPr>
                <w:rFonts w:ascii="Times New Roman" w:eastAsia="Times New Roman" w:hAnsi="Times New Roman" w:cs="Times New Roman"/>
                <w:b/>
                <w:bCs/>
                <w:color w:val="000000"/>
                <w:sz w:val="20"/>
                <w:szCs w:val="20"/>
                <w:lang w:eastAsia="de-DE"/>
              </w:rPr>
            </w:pPr>
            <w:r w:rsidRPr="00FF185F">
              <w:rPr>
                <w:rFonts w:ascii="Times New Roman" w:eastAsia="Times New Roman" w:hAnsi="Times New Roman" w:cs="Times New Roman"/>
                <w:b/>
                <w:bCs/>
                <w:color w:val="000000"/>
                <w:sz w:val="20"/>
                <w:szCs w:val="20"/>
                <w:lang w:eastAsia="de-DE"/>
              </w:rPr>
              <w:t xml:space="preserve">Q3: </w:t>
            </w:r>
            <w:proofErr w:type="spellStart"/>
            <w:r w:rsidRPr="00FF185F">
              <w:rPr>
                <w:rFonts w:ascii="Times New Roman" w:eastAsia="Times New Roman" w:hAnsi="Times New Roman" w:cs="Times New Roman"/>
                <w:b/>
                <w:bCs/>
                <w:color w:val="000000"/>
                <w:sz w:val="20"/>
                <w:szCs w:val="20"/>
                <w:lang w:eastAsia="de-DE"/>
              </w:rPr>
              <w:t>participation</w:t>
            </w:r>
            <w:proofErr w:type="spellEnd"/>
            <w:r w:rsidRPr="00FF185F">
              <w:rPr>
                <w:rFonts w:ascii="Times New Roman" w:eastAsia="Times New Roman" w:hAnsi="Times New Roman" w:cs="Times New Roman"/>
                <w:b/>
                <w:bCs/>
                <w:color w:val="000000"/>
                <w:sz w:val="20"/>
                <w:szCs w:val="20"/>
                <w:lang w:eastAsia="de-DE"/>
              </w:rPr>
              <w:t xml:space="preserve"> rate</w:t>
            </w:r>
          </w:p>
        </w:tc>
        <w:tc>
          <w:tcPr>
            <w:tcW w:w="1340" w:type="dxa"/>
            <w:hideMark/>
          </w:tcPr>
          <w:p w14:paraId="3574D76B" w14:textId="77777777" w:rsidR="00210FB9" w:rsidRPr="00FF185F" w:rsidRDefault="00210FB9" w:rsidP="00A816B8">
            <w:pPr>
              <w:rPr>
                <w:rFonts w:ascii="Times New Roman" w:eastAsia="Times New Roman" w:hAnsi="Times New Roman" w:cs="Times New Roman"/>
                <w:b/>
                <w:bCs/>
                <w:color w:val="000000"/>
                <w:sz w:val="20"/>
                <w:szCs w:val="20"/>
                <w:lang w:eastAsia="de-DE"/>
              </w:rPr>
            </w:pPr>
            <w:r w:rsidRPr="00FF185F">
              <w:rPr>
                <w:rFonts w:ascii="Times New Roman" w:eastAsia="Times New Roman" w:hAnsi="Times New Roman" w:cs="Times New Roman"/>
                <w:b/>
                <w:bCs/>
                <w:color w:val="000000"/>
                <w:sz w:val="20"/>
                <w:szCs w:val="20"/>
                <w:lang w:eastAsia="de-DE"/>
              </w:rPr>
              <w:t xml:space="preserve">Q4: </w:t>
            </w:r>
            <w:proofErr w:type="spellStart"/>
            <w:r w:rsidRPr="00FF185F">
              <w:rPr>
                <w:rFonts w:ascii="Times New Roman" w:eastAsia="Times New Roman" w:hAnsi="Times New Roman" w:cs="Times New Roman"/>
                <w:b/>
                <w:bCs/>
                <w:color w:val="000000"/>
                <w:sz w:val="20"/>
                <w:szCs w:val="20"/>
                <w:lang w:eastAsia="de-DE"/>
              </w:rPr>
              <w:t>recruitment</w:t>
            </w:r>
            <w:proofErr w:type="spellEnd"/>
          </w:p>
        </w:tc>
        <w:tc>
          <w:tcPr>
            <w:tcW w:w="1133" w:type="dxa"/>
            <w:hideMark/>
          </w:tcPr>
          <w:p w14:paraId="5E78F7F0" w14:textId="77777777" w:rsidR="00210FB9" w:rsidRPr="00FF185F" w:rsidRDefault="00210FB9" w:rsidP="00A816B8">
            <w:pPr>
              <w:rPr>
                <w:rFonts w:ascii="Times New Roman" w:eastAsia="Times New Roman" w:hAnsi="Times New Roman" w:cs="Times New Roman"/>
                <w:b/>
                <w:bCs/>
                <w:color w:val="000000"/>
                <w:sz w:val="20"/>
                <w:szCs w:val="20"/>
                <w:lang w:val="en-US" w:eastAsia="de-DE"/>
              </w:rPr>
            </w:pPr>
            <w:r w:rsidRPr="00FF185F">
              <w:rPr>
                <w:rFonts w:ascii="Times New Roman" w:eastAsia="Times New Roman" w:hAnsi="Times New Roman" w:cs="Times New Roman"/>
                <w:b/>
                <w:bCs/>
                <w:color w:val="000000"/>
                <w:sz w:val="20"/>
                <w:szCs w:val="20"/>
                <w:lang w:val="en-US" w:eastAsia="de-DE"/>
              </w:rPr>
              <w:t>Q6: exposure measured prior to the outcome</w:t>
            </w:r>
          </w:p>
        </w:tc>
        <w:tc>
          <w:tcPr>
            <w:tcW w:w="1145" w:type="dxa"/>
            <w:hideMark/>
          </w:tcPr>
          <w:p w14:paraId="61CCAABF" w14:textId="77777777" w:rsidR="00210FB9" w:rsidRPr="00FF185F" w:rsidRDefault="00210FB9" w:rsidP="00A816B8">
            <w:pPr>
              <w:rPr>
                <w:rFonts w:ascii="Times New Roman" w:eastAsia="Times New Roman" w:hAnsi="Times New Roman" w:cs="Times New Roman"/>
                <w:b/>
                <w:bCs/>
                <w:color w:val="000000"/>
                <w:sz w:val="20"/>
                <w:szCs w:val="20"/>
                <w:lang w:val="en-US" w:eastAsia="de-DE"/>
              </w:rPr>
            </w:pPr>
            <w:r w:rsidRPr="00FF185F">
              <w:rPr>
                <w:rFonts w:ascii="Times New Roman" w:eastAsia="Times New Roman" w:hAnsi="Times New Roman" w:cs="Times New Roman"/>
                <w:b/>
                <w:bCs/>
                <w:color w:val="000000"/>
                <w:sz w:val="20"/>
                <w:szCs w:val="20"/>
                <w:lang w:val="en-US" w:eastAsia="de-DE"/>
              </w:rPr>
              <w:t>Q1</w:t>
            </w:r>
            <w:r>
              <w:rPr>
                <w:rFonts w:ascii="Times New Roman" w:eastAsia="Times New Roman" w:hAnsi="Times New Roman" w:cs="Times New Roman"/>
                <w:b/>
                <w:bCs/>
                <w:color w:val="000000"/>
                <w:sz w:val="20"/>
                <w:szCs w:val="20"/>
                <w:lang w:val="en-US" w:eastAsia="de-DE"/>
              </w:rPr>
              <w:t>1: outcome measured or reported</w:t>
            </w:r>
          </w:p>
        </w:tc>
        <w:tc>
          <w:tcPr>
            <w:tcW w:w="999" w:type="dxa"/>
            <w:hideMark/>
          </w:tcPr>
          <w:p w14:paraId="03BF4532" w14:textId="77777777" w:rsidR="00210FB9" w:rsidRPr="00FF185F" w:rsidRDefault="00210FB9" w:rsidP="00A816B8">
            <w:pPr>
              <w:rPr>
                <w:rFonts w:ascii="Times New Roman" w:eastAsia="Times New Roman" w:hAnsi="Times New Roman" w:cs="Times New Roman"/>
                <w:b/>
                <w:bCs/>
                <w:color w:val="000000"/>
                <w:sz w:val="20"/>
                <w:szCs w:val="20"/>
                <w:lang w:eastAsia="de-DE"/>
              </w:rPr>
            </w:pPr>
            <w:r w:rsidRPr="00FF185F">
              <w:rPr>
                <w:rFonts w:ascii="Times New Roman" w:eastAsia="Times New Roman" w:hAnsi="Times New Roman" w:cs="Times New Roman"/>
                <w:b/>
                <w:bCs/>
                <w:color w:val="000000"/>
                <w:sz w:val="20"/>
                <w:szCs w:val="20"/>
                <w:lang w:eastAsia="de-DE"/>
              </w:rPr>
              <w:t xml:space="preserve">Q12: </w:t>
            </w:r>
            <w:proofErr w:type="spellStart"/>
            <w:r w:rsidRPr="00FF185F">
              <w:rPr>
                <w:rFonts w:ascii="Times New Roman" w:eastAsia="Times New Roman" w:hAnsi="Times New Roman" w:cs="Times New Roman"/>
                <w:b/>
                <w:bCs/>
                <w:color w:val="000000"/>
                <w:sz w:val="20"/>
                <w:szCs w:val="20"/>
                <w:lang w:eastAsia="de-DE"/>
              </w:rPr>
              <w:t>blinding</w:t>
            </w:r>
            <w:proofErr w:type="spellEnd"/>
          </w:p>
        </w:tc>
        <w:tc>
          <w:tcPr>
            <w:tcW w:w="1149" w:type="dxa"/>
            <w:hideMark/>
          </w:tcPr>
          <w:p w14:paraId="5BCE408A" w14:textId="77777777" w:rsidR="00210FB9" w:rsidRPr="00FF185F" w:rsidRDefault="00210FB9" w:rsidP="00A816B8">
            <w:pPr>
              <w:rPr>
                <w:rFonts w:ascii="Times New Roman" w:eastAsia="Times New Roman" w:hAnsi="Times New Roman" w:cs="Times New Roman"/>
                <w:b/>
                <w:bCs/>
                <w:color w:val="000000"/>
                <w:sz w:val="20"/>
                <w:szCs w:val="20"/>
                <w:lang w:val="en-US" w:eastAsia="de-DE"/>
              </w:rPr>
            </w:pPr>
            <w:r w:rsidRPr="00FF185F">
              <w:rPr>
                <w:rFonts w:ascii="Times New Roman" w:eastAsia="Times New Roman" w:hAnsi="Times New Roman" w:cs="Times New Roman"/>
                <w:b/>
                <w:bCs/>
                <w:color w:val="000000"/>
                <w:sz w:val="20"/>
                <w:szCs w:val="20"/>
                <w:lang w:val="en-US" w:eastAsia="de-DE"/>
              </w:rPr>
              <w:t>Q13: loss to follow-up &lt;40%</w:t>
            </w:r>
          </w:p>
        </w:tc>
        <w:tc>
          <w:tcPr>
            <w:tcW w:w="4394" w:type="dxa"/>
            <w:hideMark/>
          </w:tcPr>
          <w:p w14:paraId="128EE2E0" w14:textId="77777777" w:rsidR="00210FB9" w:rsidRPr="00FF185F" w:rsidRDefault="00210FB9" w:rsidP="00A816B8">
            <w:pPr>
              <w:rPr>
                <w:rFonts w:ascii="Times New Roman" w:eastAsia="Times New Roman" w:hAnsi="Times New Roman" w:cs="Times New Roman"/>
                <w:b/>
                <w:bCs/>
                <w:color w:val="000000"/>
                <w:sz w:val="20"/>
                <w:szCs w:val="20"/>
                <w:lang w:val="en-US" w:eastAsia="de-DE"/>
              </w:rPr>
            </w:pPr>
            <w:r>
              <w:rPr>
                <w:rFonts w:ascii="Times New Roman" w:eastAsia="Times New Roman" w:hAnsi="Times New Roman" w:cs="Times New Roman"/>
                <w:b/>
                <w:bCs/>
                <w:color w:val="000000"/>
                <w:sz w:val="20"/>
                <w:szCs w:val="20"/>
                <w:lang w:val="en-US" w:eastAsia="de-DE"/>
              </w:rPr>
              <w:t>Overall q</w:t>
            </w:r>
            <w:r w:rsidRPr="00FF185F">
              <w:rPr>
                <w:rFonts w:ascii="Times New Roman" w:eastAsia="Times New Roman" w:hAnsi="Times New Roman" w:cs="Times New Roman"/>
                <w:b/>
                <w:bCs/>
                <w:color w:val="000000"/>
                <w:sz w:val="20"/>
                <w:szCs w:val="20"/>
                <w:lang w:val="en-US" w:eastAsia="de-DE"/>
              </w:rPr>
              <w:t>uality rating</w:t>
            </w:r>
          </w:p>
        </w:tc>
      </w:tr>
      <w:tr w:rsidR="00210FB9" w:rsidRPr="00191F9C" w14:paraId="42EA5E8C" w14:textId="77777777" w:rsidTr="00A816B8">
        <w:trPr>
          <w:trHeight w:val="900"/>
        </w:trPr>
        <w:tc>
          <w:tcPr>
            <w:tcW w:w="1598" w:type="dxa"/>
            <w:noWrap/>
            <w:hideMark/>
          </w:tcPr>
          <w:p w14:paraId="0617E321" w14:textId="77777777" w:rsidR="00210FB9" w:rsidRDefault="00210FB9" w:rsidP="00A816B8">
            <w:pPr>
              <w:rPr>
                <w:rFonts w:ascii="Times New Roman" w:hAnsi="Times New Roman" w:cs="Times New Roman"/>
                <w:b/>
                <w:sz w:val="20"/>
                <w:szCs w:val="20"/>
              </w:rPr>
            </w:pPr>
            <w:proofErr w:type="spellStart"/>
            <w:r w:rsidRPr="003079BE">
              <w:rPr>
                <w:rFonts w:ascii="Times New Roman" w:hAnsi="Times New Roman" w:cs="Times New Roman"/>
                <w:b/>
                <w:sz w:val="20"/>
                <w:szCs w:val="20"/>
              </w:rPr>
              <w:t>Møller</w:t>
            </w:r>
            <w:proofErr w:type="spellEnd"/>
            <w:r w:rsidRPr="00A3731F">
              <w:rPr>
                <w:rFonts w:ascii="Times New Roman" w:hAnsi="Times New Roman" w:cs="Times New Roman"/>
                <w:b/>
                <w:sz w:val="20"/>
                <w:szCs w:val="20"/>
              </w:rPr>
              <w:t>,</w:t>
            </w:r>
          </w:p>
          <w:p w14:paraId="5D712441"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2014</w:t>
            </w:r>
          </w:p>
          <w:p w14:paraId="5888C574" w14:textId="4DB41220" w:rsidR="00210FB9" w:rsidRPr="00FF185F" w:rsidRDefault="00210FB9" w:rsidP="00BC6489">
            <w:pPr>
              <w:rPr>
                <w:rFonts w:ascii="Times New Roman" w:hAnsi="Times New Roman" w:cs="Times New Roman"/>
                <w:sz w:val="20"/>
                <w:szCs w:val="20"/>
                <w:lang w:val="en-GB"/>
              </w:rPr>
            </w:pPr>
            <w:proofErr w:type="spellStart"/>
            <w:r w:rsidRPr="00A3731F">
              <w:rPr>
                <w:rFonts w:ascii="Times New Roman" w:hAnsi="Times New Roman" w:cs="Times New Roman"/>
                <w:sz w:val="20"/>
                <w:szCs w:val="20"/>
              </w:rPr>
              <w:t>Denmark</w:t>
            </w:r>
            <w:proofErr w:type="spellEnd"/>
            <w:r>
              <w:rPr>
                <w:rFonts w:ascii="Times New Roman" w:hAnsi="Times New Roman" w:cs="Times New Roman"/>
                <w:sz w:val="20"/>
                <w:szCs w:val="20"/>
              </w:rPr>
              <w:t xml:space="preserve"> </w:t>
            </w:r>
          </w:p>
        </w:tc>
        <w:tc>
          <w:tcPr>
            <w:tcW w:w="1023" w:type="dxa"/>
            <w:hideMark/>
          </w:tcPr>
          <w:p w14:paraId="120BC5F1"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231" w:type="dxa"/>
            <w:hideMark/>
          </w:tcPr>
          <w:p w14:paraId="68B5570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0FD7EB3B"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340" w:type="dxa"/>
            <w:hideMark/>
          </w:tcPr>
          <w:p w14:paraId="6967E171"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51408FEE"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34DE7C2C"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reported</w:t>
            </w:r>
            <w:proofErr w:type="spellEnd"/>
          </w:p>
        </w:tc>
        <w:tc>
          <w:tcPr>
            <w:tcW w:w="999" w:type="dxa"/>
            <w:hideMark/>
          </w:tcPr>
          <w:p w14:paraId="564E6E3D"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Pr>
                <w:rFonts w:ascii="Times New Roman" w:eastAsia="Times New Roman" w:hAnsi="Times New Roman" w:cs="Times New Roman"/>
                <w:color w:val="000000"/>
                <w:sz w:val="20"/>
                <w:szCs w:val="20"/>
                <w:lang w:eastAsia="de-DE"/>
              </w:rPr>
              <w:t>yes</w:t>
            </w:r>
            <w:proofErr w:type="spellEnd"/>
          </w:p>
        </w:tc>
        <w:tc>
          <w:tcPr>
            <w:tcW w:w="1149" w:type="dxa"/>
            <w:hideMark/>
          </w:tcPr>
          <w:p w14:paraId="19E7F43A"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 xml:space="preserve">yes  </w:t>
            </w:r>
          </w:p>
        </w:tc>
        <w:tc>
          <w:tcPr>
            <w:tcW w:w="4394" w:type="dxa"/>
            <w:hideMark/>
          </w:tcPr>
          <w:p w14:paraId="72911548" w14:textId="77777777"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 xml:space="preserve">fair – </w:t>
            </w:r>
            <w:proofErr w:type="spellStart"/>
            <w:r w:rsidRPr="00FF185F">
              <w:rPr>
                <w:rFonts w:ascii="Times New Roman" w:eastAsia="Times New Roman" w:hAnsi="Times New Roman" w:cs="Times New Roman"/>
                <w:color w:val="000000"/>
                <w:sz w:val="20"/>
                <w:szCs w:val="20"/>
                <w:lang w:eastAsia="de-DE"/>
              </w:rPr>
              <w:t>outcome</w:t>
            </w:r>
            <w:proofErr w:type="spellEnd"/>
            <w:r w:rsidRPr="00FF185F">
              <w:rPr>
                <w:rFonts w:ascii="Times New Roman" w:eastAsia="Times New Roman" w:hAnsi="Times New Roman" w:cs="Times New Roman"/>
                <w:color w:val="000000"/>
                <w:sz w:val="20"/>
                <w:szCs w:val="20"/>
                <w:lang w:eastAsia="de-DE"/>
              </w:rPr>
              <w:t xml:space="preserve"> </w:t>
            </w:r>
            <w:proofErr w:type="spellStart"/>
            <w:r w:rsidRPr="00FF185F">
              <w:rPr>
                <w:rFonts w:ascii="Times New Roman" w:eastAsia="Times New Roman" w:hAnsi="Times New Roman" w:cs="Times New Roman"/>
                <w:color w:val="000000"/>
                <w:sz w:val="20"/>
                <w:szCs w:val="20"/>
                <w:lang w:eastAsia="de-DE"/>
              </w:rPr>
              <w:t>reported</w:t>
            </w:r>
            <w:proofErr w:type="spellEnd"/>
          </w:p>
        </w:tc>
      </w:tr>
      <w:tr w:rsidR="00210FB9" w:rsidRPr="00210FB9" w14:paraId="6F1AC620" w14:textId="77777777" w:rsidTr="00A816B8">
        <w:trPr>
          <w:trHeight w:val="300"/>
        </w:trPr>
        <w:tc>
          <w:tcPr>
            <w:tcW w:w="1598" w:type="dxa"/>
            <w:noWrap/>
            <w:hideMark/>
          </w:tcPr>
          <w:p w14:paraId="3439F036" w14:textId="77777777" w:rsidR="00210FB9" w:rsidRDefault="00210FB9" w:rsidP="00A816B8">
            <w:pPr>
              <w:rPr>
                <w:rFonts w:ascii="Times New Roman" w:hAnsi="Times New Roman" w:cs="Times New Roman"/>
                <w:b/>
                <w:sz w:val="20"/>
                <w:szCs w:val="20"/>
              </w:rPr>
            </w:pPr>
            <w:proofErr w:type="spellStart"/>
            <w:r w:rsidRPr="00A3731F">
              <w:rPr>
                <w:rFonts w:ascii="Times New Roman" w:hAnsi="Times New Roman" w:cs="Times New Roman"/>
                <w:b/>
                <w:sz w:val="20"/>
                <w:szCs w:val="20"/>
              </w:rPr>
              <w:t>Bettiol</w:t>
            </w:r>
            <w:proofErr w:type="spellEnd"/>
            <w:r w:rsidRPr="00A3731F">
              <w:rPr>
                <w:rFonts w:ascii="Times New Roman" w:hAnsi="Times New Roman" w:cs="Times New Roman"/>
                <w:b/>
                <w:sz w:val="20"/>
                <w:szCs w:val="20"/>
              </w:rPr>
              <w:t>,</w:t>
            </w:r>
          </w:p>
          <w:p w14:paraId="2DC108CE"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2010</w:t>
            </w:r>
          </w:p>
          <w:p w14:paraId="617BA1B9" w14:textId="102843D9" w:rsidR="00210FB9" w:rsidRPr="00FF185F" w:rsidRDefault="00210FB9" w:rsidP="00BC6489">
            <w:pPr>
              <w:rPr>
                <w:rFonts w:ascii="Times New Roman" w:hAnsi="Times New Roman" w:cs="Times New Roman"/>
                <w:b/>
                <w:sz w:val="20"/>
                <w:szCs w:val="20"/>
                <w:lang w:val="en-GB"/>
              </w:rPr>
            </w:pPr>
            <w:r w:rsidRPr="00A3731F">
              <w:rPr>
                <w:rFonts w:ascii="Times New Roman" w:hAnsi="Times New Roman" w:cs="Times New Roman"/>
                <w:sz w:val="20"/>
                <w:szCs w:val="20"/>
                <w:lang w:val="en-GB"/>
              </w:rPr>
              <w:t>Brazil</w:t>
            </w:r>
            <w:r>
              <w:rPr>
                <w:rFonts w:ascii="Times New Roman" w:hAnsi="Times New Roman" w:cs="Times New Roman"/>
                <w:sz w:val="20"/>
                <w:szCs w:val="20"/>
                <w:lang w:val="en-GB"/>
              </w:rPr>
              <w:t xml:space="preserve"> </w:t>
            </w:r>
          </w:p>
        </w:tc>
        <w:tc>
          <w:tcPr>
            <w:tcW w:w="1023" w:type="dxa"/>
            <w:hideMark/>
          </w:tcPr>
          <w:p w14:paraId="5EF81CB5"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231" w:type="dxa"/>
            <w:hideMark/>
          </w:tcPr>
          <w:p w14:paraId="6F72382C"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439" w:type="dxa"/>
            <w:hideMark/>
          </w:tcPr>
          <w:p w14:paraId="0BE1E9D2"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340" w:type="dxa"/>
            <w:hideMark/>
          </w:tcPr>
          <w:p w14:paraId="74D3DE40"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133" w:type="dxa"/>
            <w:hideMark/>
          </w:tcPr>
          <w:p w14:paraId="7F022998"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145" w:type="dxa"/>
            <w:hideMark/>
          </w:tcPr>
          <w:p w14:paraId="11029F3D"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measured</w:t>
            </w:r>
          </w:p>
        </w:tc>
        <w:tc>
          <w:tcPr>
            <w:tcW w:w="999" w:type="dxa"/>
            <w:hideMark/>
          </w:tcPr>
          <w:p w14:paraId="2CA393BE"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149" w:type="dxa"/>
            <w:hideMark/>
          </w:tcPr>
          <w:p w14:paraId="1A67BCCA"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4394" w:type="dxa"/>
            <w:hideMark/>
          </w:tcPr>
          <w:p w14:paraId="18C23FEA"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good</w:t>
            </w:r>
          </w:p>
        </w:tc>
      </w:tr>
      <w:tr w:rsidR="00210FB9" w:rsidRPr="00210FB9" w14:paraId="1120BD0D" w14:textId="77777777" w:rsidTr="00A816B8">
        <w:trPr>
          <w:trHeight w:val="300"/>
        </w:trPr>
        <w:tc>
          <w:tcPr>
            <w:tcW w:w="1598" w:type="dxa"/>
            <w:noWrap/>
            <w:hideMark/>
          </w:tcPr>
          <w:p w14:paraId="712FBCD2" w14:textId="77777777" w:rsidR="00210FB9" w:rsidRPr="00973796" w:rsidRDefault="00210FB9" w:rsidP="00A816B8">
            <w:pPr>
              <w:rPr>
                <w:rFonts w:ascii="Times New Roman" w:hAnsi="Times New Roman" w:cs="Times New Roman"/>
                <w:b/>
                <w:sz w:val="20"/>
                <w:szCs w:val="20"/>
                <w:lang w:val="en-US"/>
              </w:rPr>
            </w:pPr>
            <w:r w:rsidRPr="00973796">
              <w:rPr>
                <w:rFonts w:ascii="Times New Roman" w:hAnsi="Times New Roman" w:cs="Times New Roman"/>
                <w:b/>
                <w:sz w:val="20"/>
                <w:szCs w:val="20"/>
                <w:lang w:val="en-US"/>
              </w:rPr>
              <w:t>Da Silva,</w:t>
            </w:r>
          </w:p>
          <w:p w14:paraId="4F6BC697" w14:textId="77777777" w:rsidR="00210FB9" w:rsidRPr="00973796" w:rsidRDefault="00210FB9" w:rsidP="00A816B8">
            <w:pPr>
              <w:rPr>
                <w:rFonts w:ascii="Times New Roman" w:hAnsi="Times New Roman" w:cs="Times New Roman"/>
                <w:b/>
                <w:sz w:val="20"/>
                <w:szCs w:val="20"/>
                <w:lang w:val="en-US"/>
              </w:rPr>
            </w:pPr>
            <w:r w:rsidRPr="00973796">
              <w:rPr>
                <w:rFonts w:ascii="Times New Roman" w:hAnsi="Times New Roman" w:cs="Times New Roman"/>
                <w:b/>
                <w:sz w:val="20"/>
                <w:szCs w:val="20"/>
                <w:lang w:val="en-US"/>
              </w:rPr>
              <w:t>2010</w:t>
            </w:r>
          </w:p>
          <w:p w14:paraId="74AE63E5" w14:textId="73BF96B9" w:rsidR="00210FB9" w:rsidRPr="00FF185F" w:rsidRDefault="00210FB9" w:rsidP="00BC6489">
            <w:pPr>
              <w:rPr>
                <w:rFonts w:ascii="Times New Roman" w:hAnsi="Times New Roman" w:cs="Times New Roman"/>
                <w:b/>
                <w:sz w:val="20"/>
                <w:szCs w:val="20"/>
                <w:lang w:val="en-GB"/>
              </w:rPr>
            </w:pPr>
            <w:r w:rsidRPr="00A3731F">
              <w:rPr>
                <w:rFonts w:ascii="Times New Roman" w:hAnsi="Times New Roman" w:cs="Times New Roman"/>
                <w:sz w:val="20"/>
                <w:szCs w:val="20"/>
                <w:lang w:val="en-GB"/>
              </w:rPr>
              <w:t>Brazil</w:t>
            </w:r>
            <w:r>
              <w:rPr>
                <w:rFonts w:ascii="Times New Roman" w:hAnsi="Times New Roman" w:cs="Times New Roman"/>
                <w:sz w:val="20"/>
                <w:szCs w:val="20"/>
                <w:lang w:val="en-GB"/>
              </w:rPr>
              <w:t xml:space="preserve"> </w:t>
            </w:r>
          </w:p>
        </w:tc>
        <w:tc>
          <w:tcPr>
            <w:tcW w:w="1023" w:type="dxa"/>
            <w:hideMark/>
          </w:tcPr>
          <w:p w14:paraId="613B4E9C" w14:textId="77777777" w:rsidR="00210FB9" w:rsidRPr="003E567A" w:rsidRDefault="00210FB9" w:rsidP="00A816B8">
            <w:pPr>
              <w:rPr>
                <w:rFonts w:ascii="Times New Roman" w:eastAsia="Times New Roman" w:hAnsi="Times New Roman" w:cs="Times New Roman"/>
                <w:bCs/>
                <w:color w:val="000000"/>
                <w:sz w:val="20"/>
                <w:szCs w:val="20"/>
                <w:lang w:val="en-US" w:eastAsia="de-DE"/>
              </w:rPr>
            </w:pPr>
            <w:r w:rsidRPr="003E567A">
              <w:rPr>
                <w:rFonts w:ascii="Times New Roman" w:eastAsia="Times New Roman" w:hAnsi="Times New Roman" w:cs="Times New Roman"/>
                <w:bCs/>
                <w:color w:val="000000"/>
                <w:sz w:val="20"/>
                <w:szCs w:val="20"/>
                <w:lang w:val="en-US" w:eastAsia="de-DE"/>
              </w:rPr>
              <w:t>yes</w:t>
            </w:r>
          </w:p>
        </w:tc>
        <w:tc>
          <w:tcPr>
            <w:tcW w:w="1231" w:type="dxa"/>
            <w:hideMark/>
          </w:tcPr>
          <w:p w14:paraId="3B43B1C8"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439" w:type="dxa"/>
            <w:hideMark/>
          </w:tcPr>
          <w:p w14:paraId="2F0809D8"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340" w:type="dxa"/>
            <w:hideMark/>
          </w:tcPr>
          <w:p w14:paraId="626E622F"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133" w:type="dxa"/>
            <w:hideMark/>
          </w:tcPr>
          <w:p w14:paraId="3FB98030"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145" w:type="dxa"/>
            <w:hideMark/>
          </w:tcPr>
          <w:p w14:paraId="4A77867B"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measured</w:t>
            </w:r>
          </w:p>
        </w:tc>
        <w:tc>
          <w:tcPr>
            <w:tcW w:w="999" w:type="dxa"/>
            <w:hideMark/>
          </w:tcPr>
          <w:p w14:paraId="666EFCBD"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149" w:type="dxa"/>
            <w:hideMark/>
          </w:tcPr>
          <w:p w14:paraId="4AE2D99E"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4394" w:type="dxa"/>
            <w:hideMark/>
          </w:tcPr>
          <w:p w14:paraId="7BC35F02"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good</w:t>
            </w:r>
          </w:p>
        </w:tc>
      </w:tr>
      <w:tr w:rsidR="00210FB9" w:rsidRPr="001A5240" w14:paraId="7101F77F" w14:textId="77777777" w:rsidTr="00A816B8">
        <w:trPr>
          <w:trHeight w:val="600"/>
        </w:trPr>
        <w:tc>
          <w:tcPr>
            <w:tcW w:w="1598" w:type="dxa"/>
            <w:noWrap/>
            <w:hideMark/>
          </w:tcPr>
          <w:p w14:paraId="30014FCD" w14:textId="77777777" w:rsidR="00210FB9" w:rsidRPr="00973796" w:rsidRDefault="00210FB9" w:rsidP="00A816B8">
            <w:pPr>
              <w:rPr>
                <w:rFonts w:ascii="Times New Roman" w:hAnsi="Times New Roman" w:cs="Times New Roman"/>
                <w:b/>
                <w:sz w:val="20"/>
                <w:szCs w:val="20"/>
                <w:lang w:val="en-US"/>
              </w:rPr>
            </w:pPr>
            <w:r w:rsidRPr="00973796">
              <w:rPr>
                <w:rFonts w:ascii="Times New Roman" w:hAnsi="Times New Roman" w:cs="Times New Roman"/>
                <w:b/>
                <w:sz w:val="20"/>
                <w:szCs w:val="20"/>
                <w:lang w:val="en-US"/>
              </w:rPr>
              <w:t>Gilman,</w:t>
            </w:r>
          </w:p>
          <w:p w14:paraId="3D5F282A" w14:textId="77777777" w:rsidR="00210FB9" w:rsidRPr="00973796" w:rsidRDefault="00210FB9" w:rsidP="00A816B8">
            <w:pPr>
              <w:rPr>
                <w:rFonts w:ascii="Times New Roman" w:hAnsi="Times New Roman" w:cs="Times New Roman"/>
                <w:b/>
                <w:sz w:val="20"/>
                <w:szCs w:val="20"/>
                <w:lang w:val="en-US"/>
              </w:rPr>
            </w:pPr>
            <w:r w:rsidRPr="00973796">
              <w:rPr>
                <w:rFonts w:ascii="Times New Roman" w:hAnsi="Times New Roman" w:cs="Times New Roman"/>
                <w:b/>
                <w:sz w:val="20"/>
                <w:szCs w:val="20"/>
                <w:lang w:val="en-US"/>
              </w:rPr>
              <w:t>2008</w:t>
            </w:r>
          </w:p>
          <w:p w14:paraId="0694B20C" w14:textId="18062E92" w:rsidR="00210FB9" w:rsidRPr="00FF185F" w:rsidRDefault="00210FB9" w:rsidP="00BC6489">
            <w:pPr>
              <w:rPr>
                <w:rFonts w:ascii="Times New Roman" w:hAnsi="Times New Roman" w:cs="Times New Roman"/>
                <w:sz w:val="20"/>
                <w:szCs w:val="20"/>
                <w:lang w:val="en-GB"/>
              </w:rPr>
            </w:pPr>
            <w:r w:rsidRPr="00973796">
              <w:rPr>
                <w:rFonts w:ascii="Times New Roman" w:hAnsi="Times New Roman" w:cs="Times New Roman"/>
                <w:sz w:val="20"/>
                <w:szCs w:val="20"/>
                <w:lang w:val="en-US"/>
              </w:rPr>
              <w:t xml:space="preserve">United States </w:t>
            </w:r>
          </w:p>
        </w:tc>
        <w:tc>
          <w:tcPr>
            <w:tcW w:w="1023" w:type="dxa"/>
            <w:hideMark/>
          </w:tcPr>
          <w:p w14:paraId="117F2139"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552A3749" w14:textId="698326ED" w:rsidR="00210FB9" w:rsidRPr="00FF185F" w:rsidRDefault="00210FB9" w:rsidP="00A816B8">
            <w:pPr>
              <w:rPr>
                <w:rFonts w:ascii="Times New Roman" w:eastAsia="Times New Roman" w:hAnsi="Times New Roman" w:cs="Times New Roman"/>
                <w:color w:val="000000"/>
                <w:sz w:val="20"/>
                <w:szCs w:val="20"/>
                <w:vertAlign w:val="superscript"/>
                <w:lang w:val="en-US" w:eastAsia="de-DE"/>
              </w:rPr>
            </w:pPr>
            <w:proofErr w:type="spellStart"/>
            <w:r w:rsidRPr="00FF185F">
              <w:rPr>
                <w:rFonts w:ascii="Times New Roman" w:eastAsia="Times New Roman" w:hAnsi="Times New Roman" w:cs="Times New Roman"/>
                <w:color w:val="000000"/>
                <w:sz w:val="20"/>
                <w:szCs w:val="20"/>
                <w:lang w:val="en-US" w:eastAsia="de-DE"/>
              </w:rPr>
              <w:t>NR</w:t>
            </w:r>
            <w:r w:rsidR="009A01AB">
              <w:rPr>
                <w:rFonts w:ascii="Times New Roman" w:eastAsia="Times New Roman" w:hAnsi="Times New Roman" w:cs="Times New Roman"/>
                <w:color w:val="000000"/>
                <w:sz w:val="20"/>
                <w:szCs w:val="20"/>
                <w:vertAlign w:val="superscript"/>
                <w:lang w:val="en-US" w:eastAsia="de-DE"/>
              </w:rPr>
              <w:t>a</w:t>
            </w:r>
            <w:proofErr w:type="spellEnd"/>
          </w:p>
        </w:tc>
        <w:tc>
          <w:tcPr>
            <w:tcW w:w="1439" w:type="dxa"/>
            <w:hideMark/>
          </w:tcPr>
          <w:p w14:paraId="4F97D278" w14:textId="05BE94C7" w:rsidR="00210FB9" w:rsidRPr="00FF185F" w:rsidRDefault="00210FB9" w:rsidP="00A816B8">
            <w:pPr>
              <w:rPr>
                <w:rFonts w:ascii="Times New Roman" w:eastAsia="Times New Roman" w:hAnsi="Times New Roman" w:cs="Times New Roman"/>
                <w:color w:val="000000"/>
                <w:sz w:val="20"/>
                <w:szCs w:val="20"/>
                <w:lang w:val="en-US" w:eastAsia="de-DE"/>
              </w:rPr>
            </w:pPr>
            <w:proofErr w:type="spellStart"/>
            <w:r w:rsidRPr="00FF185F">
              <w:rPr>
                <w:rFonts w:ascii="Times New Roman" w:eastAsia="Times New Roman" w:hAnsi="Times New Roman" w:cs="Times New Roman"/>
                <w:color w:val="000000"/>
                <w:sz w:val="20"/>
                <w:szCs w:val="20"/>
                <w:lang w:val="en-US" w:eastAsia="de-DE"/>
              </w:rPr>
              <w:t>NR</w:t>
            </w:r>
            <w:r w:rsidR="009A01AB">
              <w:rPr>
                <w:rFonts w:ascii="Times New Roman" w:eastAsia="Times New Roman" w:hAnsi="Times New Roman" w:cs="Times New Roman"/>
                <w:color w:val="000000"/>
                <w:sz w:val="20"/>
                <w:szCs w:val="20"/>
                <w:vertAlign w:val="superscript"/>
                <w:lang w:val="en-US" w:eastAsia="de-DE"/>
              </w:rPr>
              <w:t>a</w:t>
            </w:r>
            <w:proofErr w:type="spellEnd"/>
          </w:p>
        </w:tc>
        <w:tc>
          <w:tcPr>
            <w:tcW w:w="1340" w:type="dxa"/>
            <w:hideMark/>
          </w:tcPr>
          <w:p w14:paraId="0E723577"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4E79D0F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3252C9E2"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2D17AC62"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003CF7CF"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4394" w:type="dxa"/>
            <w:hideMark/>
          </w:tcPr>
          <w:p w14:paraId="3DFB6943"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 xml:space="preserve">good </w:t>
            </w:r>
          </w:p>
        </w:tc>
      </w:tr>
      <w:tr w:rsidR="00210FB9" w:rsidRPr="00191F9C" w14:paraId="184A2AF6" w14:textId="77777777" w:rsidTr="00A816B8">
        <w:trPr>
          <w:trHeight w:val="600"/>
        </w:trPr>
        <w:tc>
          <w:tcPr>
            <w:tcW w:w="1598" w:type="dxa"/>
            <w:noWrap/>
            <w:hideMark/>
          </w:tcPr>
          <w:p w14:paraId="7380A849" w14:textId="77777777" w:rsidR="00210FB9" w:rsidRDefault="00210FB9" w:rsidP="00A816B8">
            <w:pPr>
              <w:rPr>
                <w:rFonts w:ascii="Times New Roman" w:hAnsi="Times New Roman" w:cs="Times New Roman"/>
                <w:b/>
                <w:sz w:val="20"/>
                <w:szCs w:val="20"/>
              </w:rPr>
            </w:pPr>
            <w:r w:rsidRPr="00A3731F">
              <w:rPr>
                <w:rFonts w:ascii="Times New Roman" w:hAnsi="Times New Roman" w:cs="Times New Roman"/>
                <w:b/>
                <w:sz w:val="20"/>
                <w:szCs w:val="20"/>
              </w:rPr>
              <w:t>Grzeskowiak,</w:t>
            </w:r>
          </w:p>
          <w:p w14:paraId="29C5011E"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2015</w:t>
            </w:r>
          </w:p>
          <w:p w14:paraId="05C89479" w14:textId="13D6722F" w:rsidR="00210FB9" w:rsidRPr="00FF185F" w:rsidRDefault="00210FB9" w:rsidP="00BC6489">
            <w:pPr>
              <w:rPr>
                <w:rFonts w:ascii="Times New Roman" w:hAnsi="Times New Roman" w:cs="Times New Roman"/>
                <w:b/>
                <w:sz w:val="20"/>
                <w:szCs w:val="20"/>
                <w:lang w:val="en-GB"/>
              </w:rPr>
            </w:pPr>
            <w:proofErr w:type="spellStart"/>
            <w:r w:rsidRPr="00A3731F">
              <w:rPr>
                <w:rFonts w:ascii="Times New Roman" w:hAnsi="Times New Roman" w:cs="Times New Roman"/>
                <w:sz w:val="20"/>
                <w:szCs w:val="20"/>
              </w:rPr>
              <w:t>Australia</w:t>
            </w:r>
            <w:proofErr w:type="spellEnd"/>
            <w:r>
              <w:rPr>
                <w:rFonts w:ascii="Times New Roman" w:hAnsi="Times New Roman" w:cs="Times New Roman"/>
                <w:sz w:val="20"/>
                <w:szCs w:val="20"/>
              </w:rPr>
              <w:t xml:space="preserve"> </w:t>
            </w:r>
          </w:p>
        </w:tc>
        <w:tc>
          <w:tcPr>
            <w:tcW w:w="1023" w:type="dxa"/>
            <w:hideMark/>
          </w:tcPr>
          <w:p w14:paraId="7AF49EC0"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231" w:type="dxa"/>
            <w:hideMark/>
          </w:tcPr>
          <w:p w14:paraId="157B1FD1"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2F805657" w14:textId="2E610464"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NA</w:t>
            </w:r>
            <w:r w:rsidR="009A01AB">
              <w:rPr>
                <w:rFonts w:ascii="Times New Roman" w:eastAsia="Times New Roman" w:hAnsi="Times New Roman" w:cs="Times New Roman"/>
                <w:color w:val="000000"/>
                <w:sz w:val="20"/>
                <w:szCs w:val="20"/>
                <w:vertAlign w:val="superscript"/>
                <w:lang w:val="en-US" w:eastAsia="de-DE"/>
              </w:rPr>
              <w:t>b</w:t>
            </w:r>
          </w:p>
        </w:tc>
        <w:tc>
          <w:tcPr>
            <w:tcW w:w="1340" w:type="dxa"/>
            <w:hideMark/>
          </w:tcPr>
          <w:p w14:paraId="697D1108"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7E036068"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6296635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3E6D5692"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039EFCB4" w14:textId="1B0031B6"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(NA</w:t>
            </w:r>
            <w:r w:rsidR="009A01AB">
              <w:rPr>
                <w:rFonts w:ascii="Times New Roman" w:eastAsia="Times New Roman" w:hAnsi="Times New Roman" w:cs="Times New Roman"/>
                <w:color w:val="000000"/>
                <w:sz w:val="20"/>
                <w:szCs w:val="20"/>
                <w:vertAlign w:val="superscript"/>
                <w:lang w:val="en-US" w:eastAsia="de-DE"/>
              </w:rPr>
              <w:t>c</w:t>
            </w:r>
            <w:r w:rsidRPr="00FF185F">
              <w:rPr>
                <w:rFonts w:ascii="Times New Roman" w:eastAsia="Times New Roman" w:hAnsi="Times New Roman" w:cs="Times New Roman"/>
                <w:color w:val="000000"/>
                <w:sz w:val="20"/>
                <w:szCs w:val="20"/>
                <w:lang w:eastAsia="de-DE"/>
              </w:rPr>
              <w:t>)</w:t>
            </w:r>
          </w:p>
        </w:tc>
        <w:tc>
          <w:tcPr>
            <w:tcW w:w="4394" w:type="dxa"/>
            <w:hideMark/>
          </w:tcPr>
          <w:p w14:paraId="05513AD2" w14:textId="77777777" w:rsidR="00210FB9" w:rsidRPr="00FF185F" w:rsidRDefault="00210FB9" w:rsidP="00A816B8">
            <w:pPr>
              <w:rPr>
                <w:rFonts w:ascii="Times New Roman" w:eastAsia="Times New Roman" w:hAnsi="Times New Roman" w:cs="Times New Roman"/>
                <w:color w:val="000000"/>
                <w:sz w:val="20"/>
                <w:szCs w:val="20"/>
                <w:highlight w:val="yellow"/>
                <w:lang w:eastAsia="de-DE"/>
              </w:rPr>
            </w:pPr>
            <w:proofErr w:type="spellStart"/>
            <w:r w:rsidRPr="00FF185F">
              <w:rPr>
                <w:rFonts w:ascii="Times New Roman" w:eastAsia="Times New Roman" w:hAnsi="Times New Roman" w:cs="Times New Roman"/>
                <w:color w:val="000000"/>
                <w:sz w:val="20"/>
                <w:szCs w:val="20"/>
                <w:lang w:eastAsia="de-DE"/>
              </w:rPr>
              <w:t>good</w:t>
            </w:r>
            <w:proofErr w:type="spellEnd"/>
            <w:r w:rsidRPr="00FF185F">
              <w:rPr>
                <w:rFonts w:ascii="Times New Roman" w:eastAsia="Times New Roman" w:hAnsi="Times New Roman" w:cs="Times New Roman"/>
                <w:color w:val="000000"/>
                <w:sz w:val="20"/>
                <w:szCs w:val="20"/>
                <w:lang w:eastAsia="de-DE"/>
              </w:rPr>
              <w:t xml:space="preserve"> </w:t>
            </w:r>
          </w:p>
        </w:tc>
      </w:tr>
      <w:tr w:rsidR="00210FB9" w:rsidRPr="00685E70" w14:paraId="757D96E6" w14:textId="77777777" w:rsidTr="00A816B8">
        <w:trPr>
          <w:trHeight w:val="600"/>
        </w:trPr>
        <w:tc>
          <w:tcPr>
            <w:tcW w:w="1598" w:type="dxa"/>
            <w:noWrap/>
            <w:hideMark/>
          </w:tcPr>
          <w:p w14:paraId="705EDA55" w14:textId="77777777" w:rsidR="00210FB9" w:rsidRDefault="00210FB9" w:rsidP="00A816B8">
            <w:pPr>
              <w:rPr>
                <w:rFonts w:ascii="Times New Roman" w:hAnsi="Times New Roman" w:cs="Times New Roman"/>
                <w:b/>
                <w:sz w:val="20"/>
                <w:szCs w:val="20"/>
              </w:rPr>
            </w:pPr>
            <w:r w:rsidRPr="00A3731F">
              <w:rPr>
                <w:rFonts w:ascii="Times New Roman" w:hAnsi="Times New Roman" w:cs="Times New Roman"/>
                <w:b/>
                <w:sz w:val="20"/>
                <w:szCs w:val="20"/>
              </w:rPr>
              <w:t>Howe,</w:t>
            </w:r>
          </w:p>
          <w:p w14:paraId="01EAED36"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2012</w:t>
            </w:r>
          </w:p>
          <w:p w14:paraId="2C9AEDAF" w14:textId="411B6E18" w:rsidR="00210FB9" w:rsidRPr="00FF185F" w:rsidRDefault="00210FB9" w:rsidP="00BC6489">
            <w:pPr>
              <w:rPr>
                <w:rFonts w:ascii="Times New Roman" w:hAnsi="Times New Roman" w:cs="Times New Roman"/>
                <w:sz w:val="20"/>
                <w:szCs w:val="20"/>
                <w:lang w:val="en-GB"/>
              </w:rPr>
            </w:pPr>
            <w:r w:rsidRPr="00A3731F">
              <w:rPr>
                <w:rFonts w:ascii="Times New Roman" w:hAnsi="Times New Roman" w:cs="Times New Roman"/>
                <w:sz w:val="20"/>
                <w:szCs w:val="20"/>
              </w:rPr>
              <w:t xml:space="preserve">United </w:t>
            </w:r>
            <w:proofErr w:type="spellStart"/>
            <w:r w:rsidRPr="00A3731F">
              <w:rPr>
                <w:rFonts w:ascii="Times New Roman" w:hAnsi="Times New Roman" w:cs="Times New Roman"/>
                <w:sz w:val="20"/>
                <w:szCs w:val="20"/>
              </w:rPr>
              <w:t>Kingdom</w:t>
            </w:r>
            <w:proofErr w:type="spellEnd"/>
            <w:r>
              <w:rPr>
                <w:rFonts w:ascii="Times New Roman" w:hAnsi="Times New Roman" w:cs="Times New Roman"/>
                <w:sz w:val="20"/>
                <w:szCs w:val="20"/>
              </w:rPr>
              <w:t xml:space="preserve"> </w:t>
            </w:r>
          </w:p>
        </w:tc>
        <w:tc>
          <w:tcPr>
            <w:tcW w:w="1023" w:type="dxa"/>
            <w:hideMark/>
          </w:tcPr>
          <w:p w14:paraId="4E9D2DD7"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7EF464B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00C90253" w14:textId="0E4E279F"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NR</w:t>
            </w:r>
            <w:r w:rsidR="009A01AB">
              <w:rPr>
                <w:rFonts w:ascii="Times New Roman" w:eastAsia="Times New Roman" w:hAnsi="Times New Roman" w:cs="Times New Roman"/>
                <w:color w:val="000000"/>
                <w:sz w:val="20"/>
                <w:szCs w:val="20"/>
                <w:vertAlign w:val="superscript"/>
                <w:lang w:val="en-US" w:eastAsia="de-DE"/>
              </w:rPr>
              <w:t>d</w:t>
            </w:r>
          </w:p>
        </w:tc>
        <w:tc>
          <w:tcPr>
            <w:tcW w:w="1340" w:type="dxa"/>
            <w:hideMark/>
          </w:tcPr>
          <w:p w14:paraId="3A6ADA08"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303B415F"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6C479DFE"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12851A3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174BEDC7"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4394" w:type="dxa"/>
            <w:hideMark/>
          </w:tcPr>
          <w:p w14:paraId="56EDA270"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 xml:space="preserve">good </w:t>
            </w:r>
          </w:p>
        </w:tc>
      </w:tr>
      <w:tr w:rsidR="00210FB9" w:rsidRPr="001E0558" w14:paraId="18F5E62D" w14:textId="77777777" w:rsidTr="00A816B8">
        <w:trPr>
          <w:trHeight w:val="600"/>
        </w:trPr>
        <w:tc>
          <w:tcPr>
            <w:tcW w:w="1598" w:type="dxa"/>
            <w:noWrap/>
            <w:hideMark/>
          </w:tcPr>
          <w:p w14:paraId="6E12EB31" w14:textId="77777777" w:rsidR="00210FB9" w:rsidRPr="003079BE" w:rsidRDefault="00210FB9" w:rsidP="00A816B8">
            <w:pPr>
              <w:rPr>
                <w:rFonts w:ascii="Times New Roman" w:hAnsi="Times New Roman" w:cs="Times New Roman"/>
                <w:b/>
                <w:sz w:val="20"/>
                <w:szCs w:val="20"/>
              </w:rPr>
            </w:pPr>
            <w:proofErr w:type="spellStart"/>
            <w:r w:rsidRPr="003079BE">
              <w:rPr>
                <w:rFonts w:ascii="Times New Roman" w:hAnsi="Times New Roman" w:cs="Times New Roman"/>
                <w:b/>
                <w:sz w:val="20"/>
                <w:szCs w:val="20"/>
              </w:rPr>
              <w:t>Boerschmann</w:t>
            </w:r>
            <w:proofErr w:type="spellEnd"/>
            <w:r w:rsidRPr="003079BE">
              <w:rPr>
                <w:rFonts w:ascii="Times New Roman" w:hAnsi="Times New Roman" w:cs="Times New Roman"/>
                <w:b/>
                <w:sz w:val="20"/>
                <w:szCs w:val="20"/>
              </w:rPr>
              <w:t>,</w:t>
            </w:r>
          </w:p>
          <w:p w14:paraId="66D59788" w14:textId="77777777" w:rsidR="00210FB9" w:rsidRPr="00A3731F" w:rsidRDefault="00210FB9" w:rsidP="00A816B8">
            <w:pPr>
              <w:rPr>
                <w:rFonts w:ascii="Times New Roman" w:hAnsi="Times New Roman" w:cs="Times New Roman"/>
                <w:b/>
                <w:sz w:val="20"/>
                <w:szCs w:val="20"/>
              </w:rPr>
            </w:pPr>
            <w:r w:rsidRPr="003079BE">
              <w:rPr>
                <w:rFonts w:ascii="Times New Roman" w:hAnsi="Times New Roman" w:cs="Times New Roman"/>
                <w:b/>
                <w:sz w:val="20"/>
                <w:szCs w:val="20"/>
              </w:rPr>
              <w:t>2010</w:t>
            </w:r>
          </w:p>
          <w:p w14:paraId="2B23296E" w14:textId="53849393" w:rsidR="00210FB9" w:rsidRPr="00FF185F" w:rsidRDefault="00210FB9" w:rsidP="00BC6489">
            <w:pPr>
              <w:rPr>
                <w:rFonts w:ascii="Times New Roman" w:hAnsi="Times New Roman" w:cs="Times New Roman"/>
                <w:sz w:val="20"/>
                <w:szCs w:val="20"/>
              </w:rPr>
            </w:pPr>
            <w:r w:rsidRPr="00A3731F">
              <w:rPr>
                <w:rFonts w:ascii="Times New Roman" w:hAnsi="Times New Roman" w:cs="Times New Roman"/>
                <w:sz w:val="20"/>
                <w:szCs w:val="20"/>
              </w:rPr>
              <w:t>Germany</w:t>
            </w:r>
            <w:r>
              <w:rPr>
                <w:rFonts w:ascii="Times New Roman" w:hAnsi="Times New Roman" w:cs="Times New Roman"/>
                <w:sz w:val="20"/>
                <w:szCs w:val="20"/>
              </w:rPr>
              <w:t xml:space="preserve"> </w:t>
            </w:r>
          </w:p>
        </w:tc>
        <w:tc>
          <w:tcPr>
            <w:tcW w:w="1023" w:type="dxa"/>
            <w:hideMark/>
          </w:tcPr>
          <w:p w14:paraId="7EF91F73"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36386B59"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yes, very            special population</w:t>
            </w:r>
          </w:p>
        </w:tc>
        <w:tc>
          <w:tcPr>
            <w:tcW w:w="1439" w:type="dxa"/>
            <w:hideMark/>
          </w:tcPr>
          <w:p w14:paraId="2D7B16D1" w14:textId="77777777"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NR</w:t>
            </w:r>
          </w:p>
        </w:tc>
        <w:tc>
          <w:tcPr>
            <w:tcW w:w="1340" w:type="dxa"/>
            <w:hideMark/>
          </w:tcPr>
          <w:p w14:paraId="66270F77" w14:textId="77777777"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NR</w:t>
            </w:r>
          </w:p>
        </w:tc>
        <w:tc>
          <w:tcPr>
            <w:tcW w:w="1133" w:type="dxa"/>
            <w:hideMark/>
          </w:tcPr>
          <w:p w14:paraId="03892346"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w:t>
            </w:r>
          </w:p>
        </w:tc>
        <w:tc>
          <w:tcPr>
            <w:tcW w:w="1145" w:type="dxa"/>
            <w:hideMark/>
          </w:tcPr>
          <w:p w14:paraId="3F1ADC24"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047C354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2C13F933" w14:textId="77777777"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NR</w:t>
            </w:r>
          </w:p>
        </w:tc>
        <w:tc>
          <w:tcPr>
            <w:tcW w:w="4394" w:type="dxa"/>
            <w:hideMark/>
          </w:tcPr>
          <w:p w14:paraId="154BD34D"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A746AA">
              <w:rPr>
                <w:rFonts w:ascii="Times New Roman" w:eastAsia="Times New Roman" w:hAnsi="Times New Roman" w:cs="Times New Roman"/>
                <w:color w:val="000000"/>
                <w:sz w:val="20"/>
                <w:szCs w:val="20"/>
                <w:lang w:val="en-US" w:eastAsia="de-DE"/>
              </w:rPr>
              <w:t>fair, because of limited external validity</w:t>
            </w:r>
            <w:r w:rsidRPr="00FF185F">
              <w:rPr>
                <w:rFonts w:ascii="Times New Roman" w:eastAsia="Times New Roman" w:hAnsi="Times New Roman" w:cs="Times New Roman"/>
                <w:color w:val="000000"/>
                <w:sz w:val="20"/>
                <w:szCs w:val="20"/>
                <w:lang w:val="en-US" w:eastAsia="de-DE"/>
              </w:rPr>
              <w:t xml:space="preserve"> - special population: offspring of GDM mothers + offspring of diabetes type 1 mothers + controls → might bias our results as offspring of GDM mothers has increased risk for overweight/obesity </w:t>
            </w:r>
          </w:p>
        </w:tc>
      </w:tr>
      <w:tr w:rsidR="00210FB9" w:rsidRPr="001E0558" w14:paraId="41A32710" w14:textId="77777777" w:rsidTr="00A816B8">
        <w:trPr>
          <w:trHeight w:val="900"/>
        </w:trPr>
        <w:tc>
          <w:tcPr>
            <w:tcW w:w="1598" w:type="dxa"/>
            <w:noWrap/>
            <w:hideMark/>
          </w:tcPr>
          <w:p w14:paraId="2C8BFE7A" w14:textId="77777777" w:rsidR="00210FB9" w:rsidRDefault="00210FB9" w:rsidP="00A816B8">
            <w:pPr>
              <w:rPr>
                <w:rFonts w:ascii="Times New Roman" w:hAnsi="Times New Roman" w:cs="Times New Roman"/>
                <w:b/>
                <w:sz w:val="20"/>
                <w:szCs w:val="20"/>
              </w:rPr>
            </w:pPr>
            <w:r w:rsidRPr="00A3731F">
              <w:rPr>
                <w:rFonts w:ascii="Times New Roman" w:hAnsi="Times New Roman" w:cs="Times New Roman"/>
                <w:b/>
                <w:sz w:val="20"/>
                <w:szCs w:val="20"/>
              </w:rPr>
              <w:t>Jones,</w:t>
            </w:r>
          </w:p>
          <w:p w14:paraId="11AE55A8"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1999</w:t>
            </w:r>
          </w:p>
          <w:p w14:paraId="6818BE82" w14:textId="201E5535" w:rsidR="00210FB9" w:rsidRPr="00FF185F" w:rsidRDefault="00210FB9" w:rsidP="00BC6489">
            <w:pPr>
              <w:rPr>
                <w:rFonts w:ascii="Times New Roman" w:hAnsi="Times New Roman" w:cs="Times New Roman"/>
                <w:sz w:val="20"/>
                <w:szCs w:val="20"/>
              </w:rPr>
            </w:pPr>
            <w:proofErr w:type="spellStart"/>
            <w:r w:rsidRPr="00A3731F">
              <w:rPr>
                <w:rFonts w:ascii="Times New Roman" w:hAnsi="Times New Roman" w:cs="Times New Roman"/>
                <w:sz w:val="20"/>
                <w:szCs w:val="20"/>
              </w:rPr>
              <w:t>Australia</w:t>
            </w:r>
            <w:proofErr w:type="spellEnd"/>
            <w:r>
              <w:rPr>
                <w:rFonts w:ascii="Times New Roman" w:hAnsi="Times New Roman" w:cs="Times New Roman"/>
                <w:sz w:val="20"/>
                <w:szCs w:val="20"/>
              </w:rPr>
              <w:t xml:space="preserve"> </w:t>
            </w:r>
          </w:p>
        </w:tc>
        <w:tc>
          <w:tcPr>
            <w:tcW w:w="1023" w:type="dxa"/>
            <w:hideMark/>
          </w:tcPr>
          <w:p w14:paraId="18516F1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231" w:type="dxa"/>
            <w:hideMark/>
          </w:tcPr>
          <w:p w14:paraId="071EEA52"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w:t>
            </w:r>
            <w:proofErr w:type="spellStart"/>
            <w:r w:rsidRPr="00FF185F">
              <w:rPr>
                <w:rFonts w:ascii="Times New Roman" w:eastAsia="Times New Roman" w:hAnsi="Times New Roman" w:cs="Times New Roman"/>
                <w:color w:val="000000"/>
                <w:sz w:val="20"/>
                <w:szCs w:val="20"/>
                <w:lang w:eastAsia="de-DE"/>
              </w:rPr>
              <w:t>very</w:t>
            </w:r>
            <w:proofErr w:type="spellEnd"/>
            <w:r w:rsidRPr="00FF185F">
              <w:rPr>
                <w:rFonts w:ascii="Times New Roman" w:eastAsia="Times New Roman" w:hAnsi="Times New Roman" w:cs="Times New Roman"/>
                <w:color w:val="000000"/>
                <w:sz w:val="20"/>
                <w:szCs w:val="20"/>
                <w:lang w:eastAsia="de-DE"/>
              </w:rPr>
              <w:t xml:space="preserve"> </w:t>
            </w:r>
            <w:proofErr w:type="spellStart"/>
            <w:r w:rsidRPr="00FF185F">
              <w:rPr>
                <w:rFonts w:ascii="Times New Roman" w:eastAsia="Times New Roman" w:hAnsi="Times New Roman" w:cs="Times New Roman"/>
                <w:color w:val="000000"/>
                <w:sz w:val="20"/>
                <w:szCs w:val="20"/>
                <w:lang w:eastAsia="de-DE"/>
              </w:rPr>
              <w:t>special</w:t>
            </w:r>
            <w:proofErr w:type="spellEnd"/>
            <w:r w:rsidRPr="00FF185F">
              <w:rPr>
                <w:rFonts w:ascii="Times New Roman" w:eastAsia="Times New Roman" w:hAnsi="Times New Roman" w:cs="Times New Roman"/>
                <w:color w:val="000000"/>
                <w:sz w:val="20"/>
                <w:szCs w:val="20"/>
                <w:lang w:eastAsia="de-DE"/>
              </w:rPr>
              <w:t xml:space="preserve"> </w:t>
            </w:r>
            <w:proofErr w:type="spellStart"/>
            <w:r w:rsidRPr="00FF185F">
              <w:rPr>
                <w:rFonts w:ascii="Times New Roman" w:eastAsia="Times New Roman" w:hAnsi="Times New Roman" w:cs="Times New Roman"/>
                <w:color w:val="000000"/>
                <w:sz w:val="20"/>
                <w:szCs w:val="20"/>
                <w:lang w:eastAsia="de-DE"/>
              </w:rPr>
              <w:t>population</w:t>
            </w:r>
            <w:proofErr w:type="spellEnd"/>
          </w:p>
        </w:tc>
        <w:tc>
          <w:tcPr>
            <w:tcW w:w="1439" w:type="dxa"/>
            <w:hideMark/>
          </w:tcPr>
          <w:p w14:paraId="48100B07"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340" w:type="dxa"/>
            <w:hideMark/>
          </w:tcPr>
          <w:p w14:paraId="2A83F11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22C41E1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58C387C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603C2625"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7E903F44"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no</w:t>
            </w:r>
            <w:proofErr w:type="spellEnd"/>
          </w:p>
        </w:tc>
        <w:tc>
          <w:tcPr>
            <w:tcW w:w="4394" w:type="dxa"/>
            <w:hideMark/>
          </w:tcPr>
          <w:p w14:paraId="7ED80E22"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fair</w:t>
            </w:r>
            <w:r w:rsidRPr="00A746AA">
              <w:rPr>
                <w:rFonts w:ascii="Times New Roman" w:eastAsia="Times New Roman" w:hAnsi="Times New Roman" w:cs="Times New Roman"/>
                <w:color w:val="000000"/>
                <w:sz w:val="20"/>
                <w:szCs w:val="20"/>
                <w:lang w:val="en-US" w:eastAsia="de-DE"/>
              </w:rPr>
              <w:t>, because of limited external validity</w:t>
            </w:r>
            <w:r w:rsidRPr="00FF185F">
              <w:rPr>
                <w:rFonts w:ascii="Times New Roman" w:eastAsia="Times New Roman" w:hAnsi="Times New Roman" w:cs="Times New Roman"/>
                <w:color w:val="000000"/>
                <w:sz w:val="20"/>
                <w:szCs w:val="20"/>
                <w:lang w:val="en-US" w:eastAsia="de-DE"/>
              </w:rPr>
              <w:t xml:space="preserve"> - special population: </w:t>
            </w:r>
            <w:proofErr w:type="spellStart"/>
            <w:r w:rsidRPr="00FF185F">
              <w:rPr>
                <w:rFonts w:ascii="Times New Roman" w:eastAsia="Times New Roman" w:hAnsi="Times New Roman" w:cs="Times New Roman"/>
                <w:color w:val="000000"/>
                <w:sz w:val="20"/>
                <w:szCs w:val="20"/>
                <w:lang w:val="en-US" w:eastAsia="de-DE"/>
              </w:rPr>
              <w:t>tasmanic</w:t>
            </w:r>
            <w:proofErr w:type="spellEnd"/>
            <w:r w:rsidRPr="00FF185F">
              <w:rPr>
                <w:rFonts w:ascii="Times New Roman" w:eastAsia="Times New Roman" w:hAnsi="Times New Roman" w:cs="Times New Roman"/>
                <w:color w:val="000000"/>
                <w:sz w:val="20"/>
                <w:szCs w:val="20"/>
                <w:lang w:val="en-US" w:eastAsia="de-DE"/>
              </w:rPr>
              <w:t xml:space="preserve"> SIDS study – inhabitants of Tasmania, who are a high risk group for SIDS are; low follow-up rate for weight measurement </w:t>
            </w:r>
          </w:p>
        </w:tc>
      </w:tr>
      <w:tr w:rsidR="00210FB9" w:rsidRPr="001E0558" w14:paraId="09410B2B" w14:textId="77777777" w:rsidTr="00A816B8">
        <w:trPr>
          <w:trHeight w:val="300"/>
        </w:trPr>
        <w:tc>
          <w:tcPr>
            <w:tcW w:w="1598" w:type="dxa"/>
            <w:noWrap/>
            <w:hideMark/>
          </w:tcPr>
          <w:p w14:paraId="2B1E5C44" w14:textId="77777777" w:rsidR="00210FB9" w:rsidRDefault="00210FB9" w:rsidP="00A816B8">
            <w:pPr>
              <w:rPr>
                <w:rFonts w:ascii="Times New Roman" w:hAnsi="Times New Roman" w:cs="Times New Roman"/>
                <w:b/>
                <w:sz w:val="20"/>
                <w:szCs w:val="20"/>
                <w:lang w:val="en-US"/>
              </w:rPr>
            </w:pPr>
            <w:r w:rsidRPr="00A3731F">
              <w:rPr>
                <w:rFonts w:ascii="Times New Roman" w:hAnsi="Times New Roman" w:cs="Times New Roman"/>
                <w:b/>
                <w:sz w:val="20"/>
                <w:szCs w:val="20"/>
                <w:lang w:val="en-US"/>
              </w:rPr>
              <w:t>Koshy,</w:t>
            </w:r>
          </w:p>
          <w:p w14:paraId="46C6732C" w14:textId="77777777" w:rsidR="00210FB9" w:rsidRPr="00A3731F" w:rsidRDefault="00210FB9" w:rsidP="00A816B8">
            <w:pPr>
              <w:rPr>
                <w:rFonts w:ascii="Times New Roman" w:hAnsi="Times New Roman" w:cs="Times New Roman"/>
                <w:b/>
                <w:sz w:val="20"/>
                <w:szCs w:val="20"/>
                <w:lang w:val="en-US"/>
              </w:rPr>
            </w:pPr>
            <w:r>
              <w:rPr>
                <w:rFonts w:ascii="Times New Roman" w:hAnsi="Times New Roman" w:cs="Times New Roman"/>
                <w:b/>
                <w:sz w:val="20"/>
                <w:szCs w:val="20"/>
                <w:lang w:val="en-US"/>
              </w:rPr>
              <w:t>2010</w:t>
            </w:r>
          </w:p>
          <w:p w14:paraId="463D29FD" w14:textId="798FC626" w:rsidR="00210FB9" w:rsidRPr="00FF185F" w:rsidRDefault="00210FB9" w:rsidP="00BC6489">
            <w:pPr>
              <w:rPr>
                <w:rFonts w:ascii="Times New Roman" w:hAnsi="Times New Roman" w:cs="Times New Roman"/>
                <w:b/>
                <w:sz w:val="20"/>
                <w:szCs w:val="20"/>
                <w:lang w:val="en-US"/>
              </w:rPr>
            </w:pPr>
            <w:r w:rsidRPr="00A3731F">
              <w:rPr>
                <w:rFonts w:ascii="Times New Roman" w:hAnsi="Times New Roman" w:cs="Times New Roman"/>
                <w:sz w:val="20"/>
                <w:szCs w:val="20"/>
                <w:lang w:val="en-US"/>
              </w:rPr>
              <w:t>United Kingdom</w:t>
            </w:r>
            <w:r>
              <w:rPr>
                <w:rFonts w:ascii="Times New Roman" w:hAnsi="Times New Roman" w:cs="Times New Roman"/>
                <w:sz w:val="20"/>
                <w:szCs w:val="20"/>
                <w:lang w:val="en-US"/>
              </w:rPr>
              <w:t xml:space="preserve"> </w:t>
            </w:r>
          </w:p>
        </w:tc>
        <w:tc>
          <w:tcPr>
            <w:tcW w:w="1023" w:type="dxa"/>
            <w:hideMark/>
          </w:tcPr>
          <w:p w14:paraId="3380A1EF"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68D10B30"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36A7279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340" w:type="dxa"/>
            <w:hideMark/>
          </w:tcPr>
          <w:p w14:paraId="45A604E6"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0D16C4DF"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no</w:t>
            </w:r>
            <w:proofErr w:type="spellEnd"/>
          </w:p>
        </w:tc>
        <w:tc>
          <w:tcPr>
            <w:tcW w:w="1145" w:type="dxa"/>
            <w:hideMark/>
          </w:tcPr>
          <w:p w14:paraId="3D8B6645"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27DF34F1"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38FECD27" w14:textId="0EED596B"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no</w:t>
            </w:r>
            <w:proofErr w:type="spellEnd"/>
            <w:r w:rsidRPr="00FF185F">
              <w:rPr>
                <w:rFonts w:ascii="Times New Roman" w:eastAsia="Times New Roman" w:hAnsi="Times New Roman" w:cs="Times New Roman"/>
                <w:color w:val="000000"/>
                <w:sz w:val="20"/>
                <w:szCs w:val="20"/>
                <w:lang w:eastAsia="de-DE"/>
              </w:rPr>
              <w:t xml:space="preserve"> (NA</w:t>
            </w:r>
            <w:r w:rsidR="009A01AB">
              <w:rPr>
                <w:rFonts w:ascii="Times New Roman" w:eastAsia="Times New Roman" w:hAnsi="Times New Roman" w:cs="Times New Roman"/>
                <w:color w:val="000000"/>
                <w:sz w:val="20"/>
                <w:szCs w:val="20"/>
                <w:vertAlign w:val="superscript"/>
                <w:lang w:val="en-US" w:eastAsia="de-DE"/>
              </w:rPr>
              <w:t>e</w:t>
            </w:r>
            <w:r w:rsidRPr="00FF185F">
              <w:rPr>
                <w:rFonts w:ascii="Times New Roman" w:eastAsia="Times New Roman" w:hAnsi="Times New Roman" w:cs="Times New Roman"/>
                <w:color w:val="000000"/>
                <w:sz w:val="20"/>
                <w:szCs w:val="20"/>
                <w:lang w:eastAsia="de-DE"/>
              </w:rPr>
              <w:t>)</w:t>
            </w:r>
          </w:p>
        </w:tc>
        <w:tc>
          <w:tcPr>
            <w:tcW w:w="4394" w:type="dxa"/>
            <w:hideMark/>
          </w:tcPr>
          <w:p w14:paraId="22113593"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fair - exposure not from documentation prior to outcome measure</w:t>
            </w:r>
          </w:p>
        </w:tc>
      </w:tr>
      <w:tr w:rsidR="00210FB9" w:rsidRPr="00191F9C" w14:paraId="6DDACCCF" w14:textId="77777777" w:rsidTr="00A816B8">
        <w:trPr>
          <w:trHeight w:val="300"/>
        </w:trPr>
        <w:tc>
          <w:tcPr>
            <w:tcW w:w="1598" w:type="dxa"/>
            <w:noWrap/>
            <w:hideMark/>
          </w:tcPr>
          <w:p w14:paraId="1F561E08" w14:textId="77777777" w:rsidR="00210FB9" w:rsidRPr="00A37390" w:rsidRDefault="00210FB9" w:rsidP="00A816B8">
            <w:pPr>
              <w:rPr>
                <w:rFonts w:ascii="Times New Roman" w:hAnsi="Times New Roman" w:cs="Times New Roman"/>
                <w:b/>
                <w:sz w:val="20"/>
                <w:szCs w:val="20"/>
              </w:rPr>
            </w:pPr>
            <w:r w:rsidRPr="00A37390">
              <w:rPr>
                <w:rFonts w:ascii="Times New Roman" w:hAnsi="Times New Roman" w:cs="Times New Roman"/>
                <w:b/>
                <w:sz w:val="20"/>
                <w:szCs w:val="20"/>
              </w:rPr>
              <w:lastRenderedPageBreak/>
              <w:t xml:space="preserve">Oken, </w:t>
            </w:r>
          </w:p>
          <w:p w14:paraId="45CACF3B" w14:textId="77777777" w:rsidR="00210FB9" w:rsidRPr="00A37390" w:rsidRDefault="00210FB9" w:rsidP="00A816B8">
            <w:pPr>
              <w:rPr>
                <w:rFonts w:ascii="Times New Roman" w:hAnsi="Times New Roman" w:cs="Times New Roman"/>
                <w:b/>
                <w:sz w:val="20"/>
                <w:szCs w:val="20"/>
              </w:rPr>
            </w:pPr>
            <w:r w:rsidRPr="00A37390">
              <w:rPr>
                <w:rFonts w:ascii="Times New Roman" w:hAnsi="Times New Roman" w:cs="Times New Roman"/>
                <w:b/>
                <w:sz w:val="20"/>
                <w:szCs w:val="20"/>
              </w:rPr>
              <w:t>2005</w:t>
            </w:r>
          </w:p>
          <w:p w14:paraId="107CD85D" w14:textId="6230A314" w:rsidR="00210FB9" w:rsidRPr="00FF185F" w:rsidRDefault="00210FB9" w:rsidP="00BC6489">
            <w:pPr>
              <w:rPr>
                <w:rFonts w:ascii="Times New Roman" w:hAnsi="Times New Roman" w:cs="Times New Roman"/>
                <w:b/>
                <w:sz w:val="20"/>
                <w:szCs w:val="20"/>
              </w:rPr>
            </w:pPr>
            <w:r w:rsidRPr="00A37390">
              <w:rPr>
                <w:rFonts w:ascii="Times New Roman" w:hAnsi="Times New Roman" w:cs="Times New Roman"/>
                <w:sz w:val="20"/>
                <w:szCs w:val="20"/>
              </w:rPr>
              <w:t>United States</w:t>
            </w:r>
            <w:r>
              <w:rPr>
                <w:rFonts w:ascii="Times New Roman" w:hAnsi="Times New Roman" w:cs="Times New Roman"/>
                <w:sz w:val="20"/>
                <w:szCs w:val="20"/>
              </w:rPr>
              <w:t xml:space="preserve"> </w:t>
            </w:r>
          </w:p>
        </w:tc>
        <w:tc>
          <w:tcPr>
            <w:tcW w:w="1023" w:type="dxa"/>
            <w:hideMark/>
          </w:tcPr>
          <w:p w14:paraId="208517AB"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2CE9B13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1C4090BB"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340" w:type="dxa"/>
            <w:hideMark/>
          </w:tcPr>
          <w:p w14:paraId="73FD122C"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4EAF23AF"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2FF8DA9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78E6FA3E"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501B147C"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4394" w:type="dxa"/>
            <w:hideMark/>
          </w:tcPr>
          <w:p w14:paraId="39EDAB8B"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good</w:t>
            </w:r>
            <w:proofErr w:type="spellEnd"/>
          </w:p>
        </w:tc>
      </w:tr>
      <w:tr w:rsidR="00210FB9" w:rsidRPr="001E0558" w14:paraId="24F1FACA" w14:textId="77777777" w:rsidTr="00A816B8">
        <w:trPr>
          <w:trHeight w:val="600"/>
        </w:trPr>
        <w:tc>
          <w:tcPr>
            <w:tcW w:w="1598" w:type="dxa"/>
            <w:noWrap/>
            <w:hideMark/>
          </w:tcPr>
          <w:p w14:paraId="7DF00ED1" w14:textId="77777777" w:rsidR="00210FB9" w:rsidRDefault="00210FB9" w:rsidP="00A816B8">
            <w:pP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Syme</w:t>
            </w:r>
            <w:proofErr w:type="spellEnd"/>
            <w:r w:rsidRPr="00EB3B9D">
              <w:rPr>
                <w:rFonts w:ascii="Times New Roman" w:hAnsi="Times New Roman" w:cs="Times New Roman"/>
                <w:b/>
                <w:sz w:val="20"/>
                <w:szCs w:val="20"/>
                <w:lang w:val="en-US"/>
              </w:rPr>
              <w:t>,</w:t>
            </w:r>
          </w:p>
          <w:p w14:paraId="7D755E3C" w14:textId="77777777" w:rsidR="00210FB9" w:rsidRPr="00EB3B9D" w:rsidRDefault="00210FB9" w:rsidP="00A816B8">
            <w:pPr>
              <w:rPr>
                <w:rFonts w:ascii="Times New Roman" w:hAnsi="Times New Roman" w:cs="Times New Roman"/>
                <w:b/>
                <w:sz w:val="20"/>
                <w:szCs w:val="20"/>
                <w:lang w:val="en-US"/>
              </w:rPr>
            </w:pPr>
            <w:r>
              <w:rPr>
                <w:rFonts w:ascii="Times New Roman" w:hAnsi="Times New Roman" w:cs="Times New Roman"/>
                <w:b/>
                <w:sz w:val="20"/>
                <w:szCs w:val="20"/>
                <w:lang w:val="en-US"/>
              </w:rPr>
              <w:t>2010</w:t>
            </w:r>
          </w:p>
          <w:p w14:paraId="1AAD1CCF" w14:textId="77F1751A" w:rsidR="00210FB9" w:rsidRPr="00FF185F" w:rsidRDefault="00210FB9" w:rsidP="00BC6489">
            <w:pPr>
              <w:rPr>
                <w:rFonts w:ascii="Times New Roman" w:hAnsi="Times New Roman" w:cs="Times New Roman"/>
                <w:sz w:val="20"/>
                <w:szCs w:val="20"/>
                <w:lang w:val="en-US"/>
              </w:rPr>
            </w:pPr>
            <w:r w:rsidRPr="00EB3B9D">
              <w:rPr>
                <w:rFonts w:ascii="Times New Roman" w:hAnsi="Times New Roman" w:cs="Times New Roman"/>
                <w:sz w:val="20"/>
                <w:szCs w:val="20"/>
                <w:lang w:val="en-US"/>
              </w:rPr>
              <w:t>Canada</w:t>
            </w:r>
            <w:r>
              <w:rPr>
                <w:rFonts w:ascii="Times New Roman" w:hAnsi="Times New Roman" w:cs="Times New Roman"/>
                <w:sz w:val="20"/>
                <w:szCs w:val="20"/>
                <w:lang w:val="en-US"/>
              </w:rPr>
              <w:t xml:space="preserve"> </w:t>
            </w:r>
          </w:p>
        </w:tc>
        <w:tc>
          <w:tcPr>
            <w:tcW w:w="1023" w:type="dxa"/>
            <w:hideMark/>
          </w:tcPr>
          <w:p w14:paraId="7E36F22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231" w:type="dxa"/>
            <w:hideMark/>
          </w:tcPr>
          <w:p w14:paraId="1CF4FB3E"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7D57462C"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w:t>
            </w:r>
          </w:p>
        </w:tc>
        <w:tc>
          <w:tcPr>
            <w:tcW w:w="1340" w:type="dxa"/>
            <w:hideMark/>
          </w:tcPr>
          <w:p w14:paraId="182BFF3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Pr>
                <w:rFonts w:ascii="Times New Roman" w:eastAsia="Times New Roman" w:hAnsi="Times New Roman" w:cs="Times New Roman"/>
                <w:color w:val="000000"/>
                <w:sz w:val="20"/>
                <w:szCs w:val="20"/>
                <w:lang w:eastAsia="de-DE"/>
              </w:rPr>
              <w:t>yes</w:t>
            </w:r>
            <w:proofErr w:type="spellEnd"/>
          </w:p>
        </w:tc>
        <w:tc>
          <w:tcPr>
            <w:tcW w:w="1133" w:type="dxa"/>
            <w:hideMark/>
          </w:tcPr>
          <w:p w14:paraId="6AEADD49" w14:textId="6B66C140" w:rsidR="00210FB9" w:rsidRPr="00FF185F" w:rsidRDefault="00210FB9" w:rsidP="00A816B8">
            <w:pPr>
              <w:rPr>
                <w:rFonts w:ascii="Times New Roman" w:eastAsia="Times New Roman" w:hAnsi="Times New Roman" w:cs="Times New Roman"/>
                <w:color w:val="000000"/>
                <w:sz w:val="20"/>
                <w:szCs w:val="20"/>
                <w:lang w:eastAsia="de-DE"/>
              </w:rPr>
            </w:pPr>
            <w:proofErr w:type="spellStart"/>
            <w:r>
              <w:rPr>
                <w:rFonts w:ascii="Times New Roman" w:eastAsia="Times New Roman" w:hAnsi="Times New Roman" w:cs="Times New Roman"/>
                <w:color w:val="000000"/>
                <w:sz w:val="20"/>
                <w:szCs w:val="20"/>
                <w:lang w:eastAsia="de-DE"/>
              </w:rPr>
              <w:t>n</w:t>
            </w:r>
            <w:r w:rsidRPr="00FF185F">
              <w:rPr>
                <w:rFonts w:ascii="Times New Roman" w:eastAsia="Times New Roman" w:hAnsi="Times New Roman" w:cs="Times New Roman"/>
                <w:color w:val="000000"/>
                <w:sz w:val="20"/>
                <w:szCs w:val="20"/>
                <w:lang w:eastAsia="de-DE"/>
              </w:rPr>
              <w:t>o</w:t>
            </w:r>
            <w:proofErr w:type="spellEnd"/>
            <w:r>
              <w:rPr>
                <w:rFonts w:ascii="Times New Roman" w:eastAsia="Times New Roman" w:hAnsi="Times New Roman" w:cs="Times New Roman"/>
                <w:color w:val="000000"/>
                <w:sz w:val="20"/>
                <w:szCs w:val="20"/>
                <w:lang w:eastAsia="de-DE"/>
              </w:rPr>
              <w:t xml:space="preserve"> (</w:t>
            </w:r>
            <w:proofErr w:type="spellStart"/>
            <w:r>
              <w:rPr>
                <w:rFonts w:ascii="Times New Roman" w:eastAsia="Times New Roman" w:hAnsi="Times New Roman" w:cs="Times New Roman"/>
                <w:color w:val="000000"/>
                <w:sz w:val="20"/>
                <w:szCs w:val="20"/>
                <w:lang w:eastAsia="de-DE"/>
              </w:rPr>
              <w:t>NA</w:t>
            </w:r>
            <w:r w:rsidR="009A01AB">
              <w:rPr>
                <w:rFonts w:ascii="Times New Roman" w:eastAsia="Times New Roman" w:hAnsi="Times New Roman" w:cs="Times New Roman"/>
                <w:color w:val="000000"/>
                <w:sz w:val="20"/>
                <w:szCs w:val="20"/>
                <w:vertAlign w:val="superscript"/>
                <w:lang w:eastAsia="de-DE"/>
              </w:rPr>
              <w:t>b</w:t>
            </w:r>
            <w:proofErr w:type="spellEnd"/>
            <w:r>
              <w:rPr>
                <w:rFonts w:ascii="Times New Roman" w:eastAsia="Times New Roman" w:hAnsi="Times New Roman" w:cs="Times New Roman"/>
                <w:color w:val="000000"/>
                <w:sz w:val="20"/>
                <w:szCs w:val="20"/>
                <w:lang w:eastAsia="de-DE"/>
              </w:rPr>
              <w:t>)</w:t>
            </w:r>
          </w:p>
        </w:tc>
        <w:tc>
          <w:tcPr>
            <w:tcW w:w="1145" w:type="dxa"/>
            <w:hideMark/>
          </w:tcPr>
          <w:p w14:paraId="4F382078"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Pr>
                <w:rFonts w:ascii="Times New Roman" w:eastAsia="Times New Roman" w:hAnsi="Times New Roman" w:cs="Times New Roman"/>
                <w:color w:val="000000"/>
                <w:sz w:val="20"/>
                <w:szCs w:val="20"/>
                <w:lang w:eastAsia="de-DE"/>
              </w:rPr>
              <w:t>measured</w:t>
            </w:r>
            <w:proofErr w:type="spellEnd"/>
          </w:p>
        </w:tc>
        <w:tc>
          <w:tcPr>
            <w:tcW w:w="999" w:type="dxa"/>
            <w:hideMark/>
          </w:tcPr>
          <w:p w14:paraId="37428B9D"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Pr>
                <w:rFonts w:ascii="Times New Roman" w:eastAsia="Times New Roman" w:hAnsi="Times New Roman" w:cs="Times New Roman"/>
                <w:color w:val="000000"/>
                <w:sz w:val="20"/>
                <w:szCs w:val="20"/>
                <w:lang w:eastAsia="de-DE"/>
              </w:rPr>
              <w:t>yes</w:t>
            </w:r>
            <w:proofErr w:type="spellEnd"/>
          </w:p>
        </w:tc>
        <w:tc>
          <w:tcPr>
            <w:tcW w:w="1149" w:type="dxa"/>
            <w:hideMark/>
          </w:tcPr>
          <w:p w14:paraId="0EF2CEB8" w14:textId="151BE9D0" w:rsidR="00210FB9" w:rsidRPr="00881EC9" w:rsidRDefault="00210FB9" w:rsidP="00A816B8">
            <w:pPr>
              <w:rPr>
                <w:rFonts w:ascii="Times New Roman" w:eastAsia="Times New Roman" w:hAnsi="Times New Roman" w:cs="Times New Roman"/>
                <w:color w:val="000000"/>
                <w:sz w:val="20"/>
                <w:szCs w:val="20"/>
                <w:lang w:eastAsia="de-DE"/>
              </w:rPr>
            </w:pPr>
            <w:proofErr w:type="spellStart"/>
            <w:r w:rsidRPr="00881EC9">
              <w:rPr>
                <w:rFonts w:ascii="Times New Roman" w:eastAsia="Times New Roman" w:hAnsi="Times New Roman" w:cs="Times New Roman"/>
                <w:color w:val="000000"/>
                <w:sz w:val="20"/>
                <w:szCs w:val="20"/>
                <w:lang w:eastAsia="de-DE"/>
              </w:rPr>
              <w:t>no</w:t>
            </w:r>
            <w:proofErr w:type="spellEnd"/>
            <w:r w:rsidRPr="00881EC9">
              <w:rPr>
                <w:rFonts w:ascii="Times New Roman" w:eastAsia="Times New Roman" w:hAnsi="Times New Roman" w:cs="Times New Roman"/>
                <w:color w:val="000000"/>
                <w:sz w:val="20"/>
                <w:szCs w:val="20"/>
                <w:lang w:eastAsia="de-DE"/>
              </w:rPr>
              <w:t xml:space="preserve"> (NA</w:t>
            </w:r>
            <w:r w:rsidR="009A01AB">
              <w:rPr>
                <w:rFonts w:ascii="Times New Roman" w:eastAsia="Times New Roman" w:hAnsi="Times New Roman" w:cs="Times New Roman"/>
                <w:color w:val="000000"/>
                <w:sz w:val="20"/>
                <w:szCs w:val="20"/>
                <w:vertAlign w:val="superscript"/>
                <w:lang w:val="en-US" w:eastAsia="de-DE"/>
              </w:rPr>
              <w:t>e</w:t>
            </w:r>
            <w:r w:rsidRPr="00881EC9">
              <w:rPr>
                <w:rFonts w:ascii="Times New Roman" w:eastAsia="Times New Roman" w:hAnsi="Times New Roman" w:cs="Times New Roman"/>
                <w:color w:val="000000"/>
                <w:sz w:val="20"/>
                <w:szCs w:val="20"/>
                <w:lang w:eastAsia="de-DE"/>
              </w:rPr>
              <w:t>)</w:t>
            </w:r>
          </w:p>
        </w:tc>
        <w:tc>
          <w:tcPr>
            <w:tcW w:w="4394" w:type="dxa"/>
            <w:hideMark/>
          </w:tcPr>
          <w:p w14:paraId="13F123AA" w14:textId="77777777" w:rsidR="00210FB9" w:rsidRPr="00881EC9" w:rsidRDefault="00210FB9" w:rsidP="00A816B8">
            <w:pPr>
              <w:rPr>
                <w:rFonts w:ascii="Times New Roman" w:eastAsia="Times New Roman" w:hAnsi="Times New Roman" w:cs="Times New Roman"/>
                <w:color w:val="000000"/>
                <w:sz w:val="20"/>
                <w:szCs w:val="20"/>
                <w:lang w:val="en-US" w:eastAsia="de-DE"/>
              </w:rPr>
            </w:pPr>
            <w:r w:rsidRPr="00881EC9">
              <w:rPr>
                <w:rFonts w:ascii="Times New Roman" w:eastAsia="Times New Roman" w:hAnsi="Times New Roman" w:cs="Times New Roman"/>
                <w:color w:val="000000"/>
                <w:sz w:val="20"/>
                <w:szCs w:val="20"/>
                <w:lang w:val="en-US" w:eastAsia="de-DE"/>
              </w:rPr>
              <w:t xml:space="preserve">good – retrospective cohort study of prenatal exposure to maternal cigarette smoking (in a sizable subset, exposure validated in medical records); </w:t>
            </w:r>
          </w:p>
        </w:tc>
      </w:tr>
      <w:tr w:rsidR="00210FB9" w:rsidRPr="001E0558" w14:paraId="73B29F8A" w14:textId="77777777" w:rsidTr="00A816B8">
        <w:trPr>
          <w:trHeight w:val="600"/>
        </w:trPr>
        <w:tc>
          <w:tcPr>
            <w:tcW w:w="1598" w:type="dxa"/>
            <w:noWrap/>
            <w:hideMark/>
          </w:tcPr>
          <w:p w14:paraId="722EDC8A" w14:textId="77777777" w:rsidR="00210FB9" w:rsidRDefault="00210FB9" w:rsidP="00A816B8">
            <w:pPr>
              <w:rPr>
                <w:rFonts w:ascii="Times New Roman" w:hAnsi="Times New Roman" w:cs="Times New Roman"/>
                <w:b/>
                <w:sz w:val="20"/>
                <w:szCs w:val="20"/>
              </w:rPr>
            </w:pPr>
            <w:r w:rsidRPr="00A3731F">
              <w:rPr>
                <w:rFonts w:ascii="Times New Roman" w:hAnsi="Times New Roman" w:cs="Times New Roman"/>
                <w:b/>
                <w:sz w:val="20"/>
                <w:szCs w:val="20"/>
              </w:rPr>
              <w:t>Sharma,</w:t>
            </w:r>
          </w:p>
          <w:p w14:paraId="0ACF8D14"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2008</w:t>
            </w:r>
          </w:p>
          <w:p w14:paraId="5763DDF4" w14:textId="052666CE" w:rsidR="00210FB9" w:rsidRPr="00FF185F" w:rsidRDefault="00210FB9" w:rsidP="00BC6489">
            <w:pPr>
              <w:rPr>
                <w:rFonts w:ascii="Times New Roman" w:hAnsi="Times New Roman" w:cs="Times New Roman"/>
                <w:sz w:val="20"/>
                <w:szCs w:val="20"/>
              </w:rPr>
            </w:pPr>
            <w:r w:rsidRPr="00A3731F">
              <w:rPr>
                <w:rFonts w:ascii="Times New Roman" w:hAnsi="Times New Roman" w:cs="Times New Roman"/>
                <w:sz w:val="20"/>
                <w:szCs w:val="20"/>
              </w:rPr>
              <w:t>United States</w:t>
            </w:r>
            <w:r>
              <w:rPr>
                <w:rFonts w:ascii="Times New Roman" w:hAnsi="Times New Roman" w:cs="Times New Roman"/>
                <w:sz w:val="20"/>
                <w:szCs w:val="20"/>
              </w:rPr>
              <w:t xml:space="preserve"> </w:t>
            </w:r>
          </w:p>
        </w:tc>
        <w:tc>
          <w:tcPr>
            <w:tcW w:w="1023" w:type="dxa"/>
            <w:hideMark/>
          </w:tcPr>
          <w:p w14:paraId="2D46C17E"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0E79CF2D"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720DA100" w14:textId="7E5EB2A9"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NA</w:t>
            </w:r>
            <w:r w:rsidR="009A01AB">
              <w:rPr>
                <w:rFonts w:ascii="Times New Roman" w:eastAsia="Times New Roman" w:hAnsi="Times New Roman" w:cs="Times New Roman"/>
                <w:color w:val="000000"/>
                <w:sz w:val="20"/>
                <w:szCs w:val="20"/>
                <w:vertAlign w:val="superscript"/>
                <w:lang w:val="en-US" w:eastAsia="de-DE"/>
              </w:rPr>
              <w:t>f</w:t>
            </w:r>
          </w:p>
        </w:tc>
        <w:tc>
          <w:tcPr>
            <w:tcW w:w="1340" w:type="dxa"/>
            <w:hideMark/>
          </w:tcPr>
          <w:p w14:paraId="0FE66AEC"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15A0A532"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4EEE3140"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22E4460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2A5F7C52" w14:textId="75F9839F"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no</w:t>
            </w:r>
            <w:proofErr w:type="spellEnd"/>
            <w:r w:rsidRPr="00FF185F">
              <w:rPr>
                <w:rFonts w:ascii="Times New Roman" w:eastAsia="Times New Roman" w:hAnsi="Times New Roman" w:cs="Times New Roman"/>
                <w:color w:val="000000"/>
                <w:sz w:val="20"/>
                <w:szCs w:val="20"/>
                <w:lang w:eastAsia="de-DE"/>
              </w:rPr>
              <w:t xml:space="preserve"> (</w:t>
            </w:r>
            <w:proofErr w:type="spellStart"/>
            <w:r w:rsidRPr="00FF185F">
              <w:rPr>
                <w:rFonts w:ascii="Times New Roman" w:eastAsia="Times New Roman" w:hAnsi="Times New Roman" w:cs="Times New Roman"/>
                <w:color w:val="000000"/>
                <w:sz w:val="20"/>
                <w:szCs w:val="20"/>
                <w:lang w:eastAsia="de-DE"/>
              </w:rPr>
              <w:t>NA</w:t>
            </w:r>
            <w:r w:rsidR="009A01AB">
              <w:rPr>
                <w:rFonts w:ascii="Times New Roman" w:eastAsia="Times New Roman" w:hAnsi="Times New Roman" w:cs="Times New Roman"/>
                <w:color w:val="000000"/>
                <w:sz w:val="20"/>
                <w:szCs w:val="20"/>
                <w:vertAlign w:val="superscript"/>
                <w:lang w:eastAsia="de-DE"/>
              </w:rPr>
              <w:t>f</w:t>
            </w:r>
            <w:proofErr w:type="spellEnd"/>
            <w:r w:rsidRPr="00FF185F">
              <w:rPr>
                <w:rFonts w:ascii="Times New Roman" w:eastAsia="Times New Roman" w:hAnsi="Times New Roman" w:cs="Times New Roman"/>
                <w:color w:val="000000"/>
                <w:sz w:val="20"/>
                <w:szCs w:val="20"/>
                <w:lang w:eastAsia="de-DE"/>
              </w:rPr>
              <w:t>)</w:t>
            </w:r>
          </w:p>
        </w:tc>
        <w:tc>
          <w:tcPr>
            <w:tcW w:w="4394" w:type="dxa"/>
            <w:hideMark/>
          </w:tcPr>
          <w:p w14:paraId="2C312058"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good - special population: low-income children</w:t>
            </w:r>
          </w:p>
        </w:tc>
      </w:tr>
      <w:tr w:rsidR="00210FB9" w:rsidRPr="001E0558" w14:paraId="54D09F8C" w14:textId="77777777" w:rsidTr="00A816B8">
        <w:trPr>
          <w:trHeight w:val="600"/>
        </w:trPr>
        <w:tc>
          <w:tcPr>
            <w:tcW w:w="1598" w:type="dxa"/>
            <w:noWrap/>
            <w:hideMark/>
          </w:tcPr>
          <w:p w14:paraId="269F6D97" w14:textId="77777777" w:rsidR="00210FB9" w:rsidRDefault="00210FB9" w:rsidP="00A816B8">
            <w:pPr>
              <w:rPr>
                <w:rFonts w:ascii="Times New Roman" w:hAnsi="Times New Roman" w:cs="Times New Roman"/>
                <w:b/>
                <w:sz w:val="20"/>
                <w:szCs w:val="20"/>
              </w:rPr>
            </w:pPr>
            <w:r w:rsidRPr="00A3731F">
              <w:rPr>
                <w:rFonts w:ascii="Times New Roman" w:hAnsi="Times New Roman" w:cs="Times New Roman"/>
                <w:b/>
                <w:sz w:val="20"/>
                <w:szCs w:val="20"/>
              </w:rPr>
              <w:t>Thiering,</w:t>
            </w:r>
          </w:p>
          <w:p w14:paraId="4D3C0874"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2011</w:t>
            </w:r>
          </w:p>
          <w:p w14:paraId="131D38BD" w14:textId="0180C34A" w:rsidR="00210FB9" w:rsidRPr="00FF185F" w:rsidRDefault="00210FB9" w:rsidP="00BC6489">
            <w:pPr>
              <w:rPr>
                <w:rFonts w:ascii="Times New Roman" w:hAnsi="Times New Roman" w:cs="Times New Roman"/>
                <w:sz w:val="20"/>
                <w:szCs w:val="20"/>
              </w:rPr>
            </w:pPr>
            <w:r w:rsidRPr="00A3731F">
              <w:rPr>
                <w:rFonts w:ascii="Times New Roman" w:hAnsi="Times New Roman" w:cs="Times New Roman"/>
                <w:sz w:val="20"/>
                <w:szCs w:val="20"/>
              </w:rPr>
              <w:t>Germany</w:t>
            </w:r>
            <w:r>
              <w:rPr>
                <w:rFonts w:ascii="Times New Roman" w:hAnsi="Times New Roman" w:cs="Times New Roman"/>
                <w:sz w:val="20"/>
                <w:szCs w:val="20"/>
              </w:rPr>
              <w:t xml:space="preserve"> </w:t>
            </w:r>
          </w:p>
        </w:tc>
        <w:tc>
          <w:tcPr>
            <w:tcW w:w="1023" w:type="dxa"/>
            <w:hideMark/>
          </w:tcPr>
          <w:p w14:paraId="63166208"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6CBBAFA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774ECFAA" w14:textId="15D87128"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NR</w:t>
            </w:r>
            <w:r w:rsidR="009A01AB">
              <w:rPr>
                <w:rFonts w:ascii="Times New Roman" w:eastAsia="Times New Roman" w:hAnsi="Times New Roman" w:cs="Times New Roman"/>
                <w:color w:val="000000"/>
                <w:sz w:val="20"/>
                <w:szCs w:val="20"/>
                <w:vertAlign w:val="superscript"/>
                <w:lang w:val="en-US" w:eastAsia="de-DE"/>
              </w:rPr>
              <w:t>a</w:t>
            </w:r>
          </w:p>
        </w:tc>
        <w:tc>
          <w:tcPr>
            <w:tcW w:w="1340" w:type="dxa"/>
            <w:hideMark/>
          </w:tcPr>
          <w:p w14:paraId="2581B4E8"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7C05DD67"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080BB04F"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43776BC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576EFAD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4394" w:type="dxa"/>
            <w:hideMark/>
          </w:tcPr>
          <w:p w14:paraId="579A4833"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good - special population: children with asthma and control group; participation rate a bit unclear</w:t>
            </w:r>
          </w:p>
        </w:tc>
      </w:tr>
      <w:tr w:rsidR="00210FB9" w:rsidRPr="001E0558" w14:paraId="1BF406B1" w14:textId="77777777" w:rsidTr="00A816B8">
        <w:trPr>
          <w:trHeight w:val="600"/>
        </w:trPr>
        <w:tc>
          <w:tcPr>
            <w:tcW w:w="1598" w:type="dxa"/>
            <w:noWrap/>
            <w:hideMark/>
          </w:tcPr>
          <w:p w14:paraId="6285A196" w14:textId="77777777" w:rsidR="00210FB9" w:rsidRDefault="00210FB9" w:rsidP="00A816B8">
            <w:pPr>
              <w:rPr>
                <w:rFonts w:ascii="Times New Roman" w:hAnsi="Times New Roman" w:cs="Times New Roman"/>
                <w:b/>
                <w:sz w:val="20"/>
                <w:szCs w:val="20"/>
              </w:rPr>
            </w:pPr>
            <w:proofErr w:type="spellStart"/>
            <w:r w:rsidRPr="003079BE">
              <w:rPr>
                <w:rFonts w:ascii="Times New Roman" w:hAnsi="Times New Roman" w:cs="Times New Roman"/>
                <w:b/>
                <w:sz w:val="20"/>
                <w:szCs w:val="20"/>
              </w:rPr>
              <w:t>Prabhu</w:t>
            </w:r>
            <w:proofErr w:type="spellEnd"/>
            <w:r w:rsidRPr="00A3731F">
              <w:rPr>
                <w:rFonts w:ascii="Times New Roman" w:hAnsi="Times New Roman" w:cs="Times New Roman"/>
                <w:b/>
                <w:sz w:val="20"/>
                <w:szCs w:val="20"/>
              </w:rPr>
              <w:t>,</w:t>
            </w:r>
          </w:p>
          <w:p w14:paraId="3B94EEA1"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2010</w:t>
            </w:r>
          </w:p>
          <w:p w14:paraId="5B9368FC" w14:textId="334A14F0" w:rsidR="00210FB9" w:rsidRPr="00FF185F" w:rsidRDefault="00210FB9" w:rsidP="00BC6489">
            <w:pPr>
              <w:rPr>
                <w:rFonts w:ascii="Times New Roman" w:hAnsi="Times New Roman" w:cs="Times New Roman"/>
                <w:b/>
                <w:sz w:val="20"/>
                <w:szCs w:val="20"/>
              </w:rPr>
            </w:pPr>
            <w:r w:rsidRPr="00A3731F">
              <w:rPr>
                <w:rFonts w:ascii="Times New Roman" w:hAnsi="Times New Roman" w:cs="Times New Roman"/>
                <w:sz w:val="20"/>
                <w:szCs w:val="20"/>
              </w:rPr>
              <w:t xml:space="preserve">United </w:t>
            </w:r>
            <w:proofErr w:type="spellStart"/>
            <w:r w:rsidRPr="00A3731F">
              <w:rPr>
                <w:rFonts w:ascii="Times New Roman" w:hAnsi="Times New Roman" w:cs="Times New Roman"/>
                <w:sz w:val="20"/>
                <w:szCs w:val="20"/>
              </w:rPr>
              <w:t>Kingdom</w:t>
            </w:r>
            <w:proofErr w:type="spellEnd"/>
            <w:r w:rsidRPr="00A3731F">
              <w:rPr>
                <w:rFonts w:ascii="Times New Roman" w:hAnsi="Times New Roman" w:cs="Times New Roman"/>
                <w:b/>
                <w:sz w:val="20"/>
                <w:szCs w:val="20"/>
              </w:rPr>
              <w:t xml:space="preserve">  </w:t>
            </w:r>
            <w:r>
              <w:rPr>
                <w:rFonts w:ascii="Times New Roman" w:hAnsi="Times New Roman" w:cs="Times New Roman"/>
                <w:b/>
                <w:sz w:val="20"/>
                <w:szCs w:val="20"/>
              </w:rPr>
              <w:t xml:space="preserve"> </w:t>
            </w:r>
          </w:p>
        </w:tc>
        <w:tc>
          <w:tcPr>
            <w:tcW w:w="1023" w:type="dxa"/>
            <w:hideMark/>
          </w:tcPr>
          <w:p w14:paraId="412F64DD"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w:t>
            </w:r>
          </w:p>
        </w:tc>
        <w:tc>
          <w:tcPr>
            <w:tcW w:w="1231" w:type="dxa"/>
            <w:hideMark/>
          </w:tcPr>
          <w:p w14:paraId="523D398B"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11D5595F"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340" w:type="dxa"/>
            <w:hideMark/>
          </w:tcPr>
          <w:p w14:paraId="40D25D1D"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614B05F0"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162FB151"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3EB21DD5"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522F5110" w14:textId="77777777"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NR</w:t>
            </w:r>
          </w:p>
        </w:tc>
        <w:tc>
          <w:tcPr>
            <w:tcW w:w="4394" w:type="dxa"/>
            <w:hideMark/>
          </w:tcPr>
          <w:p w14:paraId="7C45C719" w14:textId="77777777" w:rsidR="00210FB9" w:rsidRPr="00FF185F" w:rsidRDefault="00210FB9" w:rsidP="00A816B8">
            <w:pPr>
              <w:rPr>
                <w:rFonts w:ascii="Times New Roman" w:eastAsia="Times New Roman" w:hAnsi="Times New Roman" w:cs="Times New Roman"/>
                <w:color w:val="000000"/>
                <w:sz w:val="20"/>
                <w:szCs w:val="20"/>
                <w:lang w:val="en-US" w:eastAsia="de-DE"/>
              </w:rPr>
            </w:pPr>
            <w:proofErr w:type="gramStart"/>
            <w:r w:rsidRPr="00FF185F">
              <w:rPr>
                <w:rFonts w:ascii="Times New Roman" w:eastAsia="Times New Roman" w:hAnsi="Times New Roman" w:cs="Times New Roman"/>
                <w:color w:val="000000"/>
                <w:sz w:val="20"/>
                <w:szCs w:val="20"/>
                <w:lang w:val="en-US" w:eastAsia="de-DE"/>
              </w:rPr>
              <w:t>good</w:t>
            </w:r>
            <w:proofErr w:type="gramEnd"/>
            <w:r w:rsidRPr="00FF185F">
              <w:rPr>
                <w:rFonts w:ascii="Times New Roman" w:eastAsia="Times New Roman" w:hAnsi="Times New Roman" w:cs="Times New Roman"/>
                <w:color w:val="000000"/>
                <w:sz w:val="20"/>
                <w:szCs w:val="20"/>
                <w:lang w:val="en-US" w:eastAsia="de-DE"/>
              </w:rPr>
              <w:t xml:space="preserve"> - publication of this data concerning fetal growth and asthma; no publication of 5 year and 10 year follow-up data.</w:t>
            </w:r>
          </w:p>
        </w:tc>
      </w:tr>
      <w:tr w:rsidR="00210FB9" w:rsidRPr="00191F9C" w14:paraId="2FC190A1" w14:textId="77777777" w:rsidTr="00A816B8">
        <w:trPr>
          <w:trHeight w:val="600"/>
        </w:trPr>
        <w:tc>
          <w:tcPr>
            <w:tcW w:w="1598" w:type="dxa"/>
            <w:noWrap/>
            <w:hideMark/>
          </w:tcPr>
          <w:p w14:paraId="7BB16A78" w14:textId="77777777" w:rsidR="00210FB9" w:rsidRDefault="00210FB9" w:rsidP="00A816B8">
            <w:pPr>
              <w:rPr>
                <w:rFonts w:ascii="Times New Roman" w:hAnsi="Times New Roman" w:cs="Times New Roman"/>
                <w:b/>
                <w:sz w:val="20"/>
                <w:szCs w:val="20"/>
              </w:rPr>
            </w:pPr>
            <w:proofErr w:type="spellStart"/>
            <w:r>
              <w:rPr>
                <w:rFonts w:ascii="Times New Roman" w:hAnsi="Times New Roman" w:cs="Times New Roman"/>
                <w:b/>
                <w:sz w:val="20"/>
                <w:szCs w:val="20"/>
              </w:rPr>
              <w:t>Wi</w:t>
            </w:r>
            <w:r w:rsidRPr="00542AC4">
              <w:rPr>
                <w:rFonts w:ascii="Times New Roman" w:hAnsi="Times New Roman" w:cs="Times New Roman"/>
                <w:b/>
                <w:sz w:val="20"/>
                <w:szCs w:val="20"/>
              </w:rPr>
              <w:t>derøe</w:t>
            </w:r>
            <w:proofErr w:type="spellEnd"/>
            <w:r w:rsidRPr="00A3731F">
              <w:rPr>
                <w:rFonts w:ascii="Times New Roman" w:hAnsi="Times New Roman" w:cs="Times New Roman"/>
                <w:b/>
                <w:sz w:val="20"/>
                <w:szCs w:val="20"/>
              </w:rPr>
              <w:t>,</w:t>
            </w:r>
          </w:p>
          <w:p w14:paraId="604E8A4F"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2003</w:t>
            </w:r>
          </w:p>
          <w:p w14:paraId="401CD755" w14:textId="18623165" w:rsidR="00210FB9" w:rsidRPr="00FF185F" w:rsidRDefault="00210FB9" w:rsidP="00BC6489">
            <w:pPr>
              <w:rPr>
                <w:rFonts w:ascii="Times New Roman" w:hAnsi="Times New Roman" w:cs="Times New Roman"/>
                <w:sz w:val="20"/>
                <w:szCs w:val="20"/>
              </w:rPr>
            </w:pPr>
            <w:proofErr w:type="spellStart"/>
            <w:r w:rsidRPr="00A3731F">
              <w:rPr>
                <w:rFonts w:ascii="Times New Roman" w:hAnsi="Times New Roman" w:cs="Times New Roman"/>
                <w:sz w:val="20"/>
                <w:szCs w:val="20"/>
              </w:rPr>
              <w:t>Norway</w:t>
            </w:r>
            <w:proofErr w:type="spellEnd"/>
            <w:r>
              <w:rPr>
                <w:rFonts w:ascii="Times New Roman" w:hAnsi="Times New Roman" w:cs="Times New Roman"/>
                <w:sz w:val="20"/>
                <w:szCs w:val="20"/>
              </w:rPr>
              <w:t xml:space="preserve"> </w:t>
            </w:r>
          </w:p>
        </w:tc>
        <w:tc>
          <w:tcPr>
            <w:tcW w:w="1023" w:type="dxa"/>
            <w:hideMark/>
          </w:tcPr>
          <w:p w14:paraId="2D7DC187"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4C76363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6E0B3545"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w:t>
            </w:r>
            <w:proofErr w:type="spellStart"/>
            <w:r w:rsidRPr="00FF185F">
              <w:rPr>
                <w:rFonts w:ascii="Times New Roman" w:eastAsia="Times New Roman" w:hAnsi="Times New Roman" w:cs="Times New Roman"/>
                <w:color w:val="000000"/>
                <w:sz w:val="20"/>
                <w:szCs w:val="20"/>
                <w:lang w:eastAsia="de-DE"/>
              </w:rPr>
              <w:t>random</w:t>
            </w:r>
            <w:proofErr w:type="spellEnd"/>
            <w:r w:rsidRPr="00FF185F">
              <w:rPr>
                <w:rFonts w:ascii="Times New Roman" w:eastAsia="Times New Roman" w:hAnsi="Times New Roman" w:cs="Times New Roman"/>
                <w:color w:val="000000"/>
                <w:sz w:val="20"/>
                <w:szCs w:val="20"/>
                <w:lang w:eastAsia="de-DE"/>
              </w:rPr>
              <w:t xml:space="preserve"> sample)</w:t>
            </w:r>
          </w:p>
        </w:tc>
        <w:tc>
          <w:tcPr>
            <w:tcW w:w="1340" w:type="dxa"/>
            <w:hideMark/>
          </w:tcPr>
          <w:p w14:paraId="3F078EF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2004F0D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7898A17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1277ADB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144F608E"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4394" w:type="dxa"/>
            <w:hideMark/>
          </w:tcPr>
          <w:p w14:paraId="4437E7B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good</w:t>
            </w:r>
            <w:proofErr w:type="spellEnd"/>
          </w:p>
        </w:tc>
      </w:tr>
      <w:tr w:rsidR="00210FB9" w:rsidRPr="001E0558" w14:paraId="748FFF0B" w14:textId="77777777" w:rsidTr="00A816B8">
        <w:trPr>
          <w:trHeight w:val="300"/>
        </w:trPr>
        <w:tc>
          <w:tcPr>
            <w:tcW w:w="1598" w:type="dxa"/>
            <w:noWrap/>
            <w:hideMark/>
          </w:tcPr>
          <w:p w14:paraId="2FD643F6" w14:textId="77777777" w:rsidR="00210FB9" w:rsidRDefault="00210FB9" w:rsidP="00A816B8">
            <w:pPr>
              <w:rPr>
                <w:rFonts w:ascii="Times New Roman" w:hAnsi="Times New Roman" w:cs="Times New Roman"/>
                <w:b/>
                <w:sz w:val="20"/>
                <w:szCs w:val="20"/>
              </w:rPr>
            </w:pPr>
            <w:r w:rsidRPr="00A3731F">
              <w:rPr>
                <w:rFonts w:ascii="Times New Roman" w:hAnsi="Times New Roman" w:cs="Times New Roman"/>
                <w:b/>
                <w:sz w:val="20"/>
                <w:szCs w:val="20"/>
              </w:rPr>
              <w:t>Von Kries,</w:t>
            </w:r>
          </w:p>
          <w:p w14:paraId="49F9F52E"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2002</w:t>
            </w:r>
          </w:p>
          <w:p w14:paraId="153FC420" w14:textId="4C108E10" w:rsidR="00210FB9" w:rsidRPr="00FF185F" w:rsidRDefault="00210FB9" w:rsidP="00BC6489">
            <w:pPr>
              <w:rPr>
                <w:rFonts w:ascii="Times New Roman" w:hAnsi="Times New Roman" w:cs="Times New Roman"/>
                <w:sz w:val="20"/>
                <w:szCs w:val="20"/>
              </w:rPr>
            </w:pPr>
            <w:r w:rsidRPr="00A3731F">
              <w:rPr>
                <w:rFonts w:ascii="Times New Roman" w:hAnsi="Times New Roman" w:cs="Times New Roman"/>
                <w:sz w:val="20"/>
                <w:szCs w:val="20"/>
              </w:rPr>
              <w:t>Germany</w:t>
            </w:r>
          </w:p>
        </w:tc>
        <w:tc>
          <w:tcPr>
            <w:tcW w:w="1023" w:type="dxa"/>
            <w:hideMark/>
          </w:tcPr>
          <w:p w14:paraId="4A53AE01"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231" w:type="dxa"/>
            <w:hideMark/>
          </w:tcPr>
          <w:p w14:paraId="074746E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54783DB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340" w:type="dxa"/>
            <w:hideMark/>
          </w:tcPr>
          <w:p w14:paraId="23E4BD52"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193FC7D6"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no</w:t>
            </w:r>
            <w:proofErr w:type="spellEnd"/>
          </w:p>
        </w:tc>
        <w:tc>
          <w:tcPr>
            <w:tcW w:w="1145" w:type="dxa"/>
            <w:hideMark/>
          </w:tcPr>
          <w:p w14:paraId="3EE21670"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02839B4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0DE8F5C5" w14:textId="77F7E90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(NA</w:t>
            </w:r>
            <w:r w:rsidR="009A01AB">
              <w:rPr>
                <w:rFonts w:ascii="Times New Roman" w:eastAsia="Times New Roman" w:hAnsi="Times New Roman" w:cs="Times New Roman"/>
                <w:color w:val="000000"/>
                <w:sz w:val="20"/>
                <w:szCs w:val="20"/>
                <w:vertAlign w:val="superscript"/>
                <w:lang w:val="en-US" w:eastAsia="de-DE"/>
              </w:rPr>
              <w:t>e</w:t>
            </w:r>
            <w:r w:rsidRPr="00FF185F">
              <w:rPr>
                <w:rFonts w:ascii="Times New Roman" w:eastAsia="Times New Roman" w:hAnsi="Times New Roman" w:cs="Times New Roman"/>
                <w:color w:val="000000"/>
                <w:sz w:val="20"/>
                <w:szCs w:val="20"/>
                <w:lang w:eastAsia="de-DE"/>
              </w:rPr>
              <w:t>)</w:t>
            </w:r>
          </w:p>
        </w:tc>
        <w:tc>
          <w:tcPr>
            <w:tcW w:w="4394" w:type="dxa"/>
            <w:hideMark/>
          </w:tcPr>
          <w:p w14:paraId="3D294D87"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fair - exposure not from documentation prior to outcome measure</w:t>
            </w:r>
          </w:p>
        </w:tc>
      </w:tr>
    </w:tbl>
    <w:p w14:paraId="53384261" w14:textId="513F2557" w:rsidR="00210FB9" w:rsidRPr="006A16BC" w:rsidRDefault="00210FB9" w:rsidP="00210FB9">
      <w:pPr>
        <w:rPr>
          <w:rFonts w:ascii="Times New Roman" w:hAnsi="Times New Roman" w:cs="Times New Roman"/>
          <w:sz w:val="20"/>
          <w:szCs w:val="20"/>
          <w:lang w:val="en-US"/>
        </w:rPr>
      </w:pPr>
      <w:r w:rsidRPr="006A16BC">
        <w:rPr>
          <w:rFonts w:ascii="Times New Roman" w:hAnsi="Times New Roman" w:cs="Times New Roman"/>
          <w:sz w:val="20"/>
          <w:szCs w:val="20"/>
          <w:lang w:val="en-US"/>
        </w:rPr>
        <w:t xml:space="preserve">NA=not applicable; NR=not reported; </w:t>
      </w:r>
      <w:r w:rsidR="009A01AB">
        <w:rPr>
          <w:rFonts w:ascii="Times New Roman" w:eastAsia="Times New Roman" w:hAnsi="Times New Roman" w:cs="Times New Roman"/>
          <w:color w:val="000000"/>
          <w:sz w:val="20"/>
          <w:szCs w:val="20"/>
          <w:vertAlign w:val="superscript"/>
          <w:lang w:val="en-US" w:eastAsia="de-DE"/>
        </w:rPr>
        <w:t xml:space="preserve">a </w:t>
      </w:r>
      <w:r w:rsidRPr="006A16BC">
        <w:rPr>
          <w:rFonts w:ascii="Times New Roman" w:eastAsia="Times New Roman" w:hAnsi="Times New Roman" w:cs="Times New Roman"/>
          <w:color w:val="000000"/>
          <w:sz w:val="20"/>
          <w:szCs w:val="20"/>
          <w:vertAlign w:val="superscript"/>
          <w:lang w:val="en-US" w:eastAsia="de-DE"/>
        </w:rPr>
        <w:t xml:space="preserve"> </w:t>
      </w:r>
      <w:r w:rsidRPr="006A16BC">
        <w:rPr>
          <w:rFonts w:ascii="Times New Roman" w:eastAsia="Times New Roman" w:hAnsi="Times New Roman" w:cs="Times New Roman"/>
          <w:color w:val="000000"/>
          <w:sz w:val="20"/>
          <w:szCs w:val="20"/>
          <w:lang w:val="en-US" w:eastAsia="de-DE"/>
        </w:rPr>
        <w:t xml:space="preserve">not reported in this paper, but okay see e.g. </w:t>
      </w:r>
      <w:r w:rsidRPr="006A16BC">
        <w:rPr>
          <w:rFonts w:ascii="Times New Roman" w:eastAsia="Times New Roman" w:hAnsi="Times New Roman" w:cs="Times New Roman"/>
          <w:color w:val="000000"/>
          <w:sz w:val="20"/>
          <w:szCs w:val="20"/>
          <w:lang w:val="en-US" w:eastAsia="de-DE"/>
        </w:rPr>
        <w:fldChar w:fldCharType="begin"/>
      </w:r>
      <w:r w:rsidR="00BC6489">
        <w:rPr>
          <w:rFonts w:ascii="Times New Roman" w:eastAsia="Times New Roman" w:hAnsi="Times New Roman" w:cs="Times New Roman"/>
          <w:color w:val="000000"/>
          <w:sz w:val="20"/>
          <w:szCs w:val="20"/>
          <w:lang w:val="en-US" w:eastAsia="de-DE"/>
        </w:rPr>
        <w:instrText xml:space="preserve"> ADDIN ZOTERO_ITEM CSL_CITATION {"citationID":"29as5chfjl","properties":{"formattedCitation":"(Nelson and Ellenberg 1986)","plainCitation":"(Nelson and Ellenberg 1986)"},"citationItems":[{"id":1099,"uris":["http://zotero.org/users/1092812/items/J59K3GIK"],"uri":["http://zotero.org/users/1092812/items/J59K3GIK"],"itemData":{"id":1099,"type":"article-journal","title":"Antecedents of cerebral palsy. Multivariate analysis of risk","container-title":"The New England Journal of Medicine","page":"81-86","volume":"315","issue":"2","source":"PubMed","abstract":"We examined prenatal and perinatal factors predicting cerebral palsy, using multivariate analysis to investigate which factors were most important and the proportion of cases for which they accounted. Maternal mental retardation, birth weight below 2001 g, and fetal malformation were among the leading predictors. Breech presentation was also a predictor, but breech delivery was not. A third of the children with cerebral palsy who had breech presentations had a major noncerebral malformation. Among 189 children with cerebral palsy, 40 (21 percent) had at least one of three clinical markers suggestive of asphyxia; only 17 of these 40 children (9 percent of all cases) lacked major congenital malformation or other intrinsic defects that might have contributed to an unfavorable outcome. When all the principal risk factors present by the time labor began were considered, the 5 percent of the population at highest estimated risk was seen to have contributed 34 percent of the cases. When all the risk factors present during the period beginning before pregnancy and extending through the nursery stay were included, the 5 percent at highest risk was seen to have contributed 37 percent of the cases. Thus, the inclusion of information about the events of birth and the neonatal period accounted for a proportion of cerebral palsy only slightly higher than that accounted for when consideration was limited to characteristics identified before labor began.","DOI":"10.1056/NEJM198607103150202","ISSN":"0028-4793","note":"PMID: 3724803","journalAbbreviation":"N. Engl. J. Med.","language":"eng","author":[{"family":"Nelson","given":"K. B."},{"family":"Ellenberg","given":"J. H."}],"issued":{"date-parts":[["1986",7,10]]}}}],"schema":"https://github.com/citation-style-language/schema/raw/master/csl-citation.json"} </w:instrText>
      </w:r>
      <w:r w:rsidRPr="006A16BC">
        <w:rPr>
          <w:rFonts w:ascii="Times New Roman" w:eastAsia="Times New Roman" w:hAnsi="Times New Roman" w:cs="Times New Roman"/>
          <w:color w:val="000000"/>
          <w:sz w:val="20"/>
          <w:szCs w:val="20"/>
          <w:lang w:val="en-US" w:eastAsia="de-DE"/>
        </w:rPr>
        <w:fldChar w:fldCharType="separate"/>
      </w:r>
      <w:r w:rsidR="00BC6489" w:rsidRPr="00BC6489">
        <w:rPr>
          <w:rFonts w:ascii="Times New Roman" w:hAnsi="Times New Roman" w:cs="Times New Roman"/>
          <w:sz w:val="20"/>
          <w:lang w:val="en-US"/>
        </w:rPr>
        <w:t>(Nelson and Ellenberg 1986)</w:t>
      </w:r>
      <w:r w:rsidRPr="006A16BC">
        <w:rPr>
          <w:rFonts w:ascii="Times New Roman" w:eastAsia="Times New Roman" w:hAnsi="Times New Roman" w:cs="Times New Roman"/>
          <w:color w:val="000000"/>
          <w:sz w:val="20"/>
          <w:szCs w:val="20"/>
          <w:lang w:val="en-US" w:eastAsia="de-DE"/>
        </w:rPr>
        <w:fldChar w:fldCharType="end"/>
      </w:r>
      <w:r w:rsidRPr="006A16BC">
        <w:rPr>
          <w:rFonts w:ascii="Times New Roman" w:eastAsia="Times New Roman" w:hAnsi="Times New Roman" w:cs="Times New Roman"/>
          <w:color w:val="000000"/>
          <w:sz w:val="20"/>
          <w:szCs w:val="20"/>
          <w:lang w:val="en-US" w:eastAsia="de-DE"/>
        </w:rPr>
        <w:t xml:space="preserve">; </w:t>
      </w:r>
      <w:r w:rsidR="009A01AB">
        <w:rPr>
          <w:rFonts w:ascii="Times New Roman" w:eastAsia="Times New Roman" w:hAnsi="Times New Roman" w:cs="Times New Roman"/>
          <w:color w:val="000000"/>
          <w:sz w:val="20"/>
          <w:szCs w:val="20"/>
          <w:vertAlign w:val="superscript"/>
          <w:lang w:val="en-US" w:eastAsia="de-DE"/>
        </w:rPr>
        <w:t>b</w:t>
      </w:r>
      <w:r w:rsidRPr="006A16BC">
        <w:rPr>
          <w:rFonts w:ascii="Times New Roman" w:eastAsia="Times New Roman" w:hAnsi="Times New Roman" w:cs="Times New Roman"/>
          <w:color w:val="000000"/>
          <w:sz w:val="20"/>
          <w:szCs w:val="20"/>
          <w:lang w:val="en-US" w:eastAsia="de-DE"/>
        </w:rPr>
        <w:t xml:space="preserve"> retrospective </w:t>
      </w:r>
      <w:r>
        <w:rPr>
          <w:rFonts w:ascii="Times New Roman" w:eastAsia="Times New Roman" w:hAnsi="Times New Roman" w:cs="Times New Roman"/>
          <w:color w:val="000000"/>
          <w:sz w:val="20"/>
          <w:szCs w:val="20"/>
          <w:lang w:val="en-US" w:eastAsia="de-DE"/>
        </w:rPr>
        <w:t>prospective study</w:t>
      </w:r>
      <w:r w:rsidRPr="006A16BC">
        <w:rPr>
          <w:rFonts w:ascii="Times New Roman" w:eastAsia="Times New Roman" w:hAnsi="Times New Roman" w:cs="Times New Roman"/>
          <w:color w:val="000000"/>
          <w:sz w:val="20"/>
          <w:szCs w:val="20"/>
          <w:lang w:val="en-US" w:eastAsia="de-DE"/>
        </w:rPr>
        <w:t xml:space="preserve">; </w:t>
      </w:r>
      <w:r w:rsidR="009A01AB">
        <w:rPr>
          <w:rFonts w:ascii="Times New Roman" w:eastAsia="Times New Roman" w:hAnsi="Times New Roman" w:cs="Times New Roman"/>
          <w:color w:val="000000"/>
          <w:sz w:val="20"/>
          <w:szCs w:val="20"/>
          <w:vertAlign w:val="superscript"/>
          <w:lang w:val="en-US" w:eastAsia="de-DE"/>
        </w:rPr>
        <w:t>c</w:t>
      </w:r>
      <w:r w:rsidRPr="006A16BC">
        <w:rPr>
          <w:rFonts w:ascii="Times New Roman" w:eastAsia="Times New Roman" w:hAnsi="Times New Roman" w:cs="Times New Roman"/>
          <w:color w:val="000000"/>
          <w:sz w:val="20"/>
          <w:szCs w:val="20"/>
          <w:vertAlign w:val="superscript"/>
          <w:lang w:val="en-US" w:eastAsia="de-DE"/>
        </w:rPr>
        <w:t xml:space="preserve"> </w:t>
      </w:r>
      <w:r w:rsidRPr="006A16BC">
        <w:rPr>
          <w:rFonts w:ascii="Times New Roman" w:eastAsia="Times New Roman" w:hAnsi="Times New Roman" w:cs="Times New Roman"/>
          <w:color w:val="000000"/>
          <w:sz w:val="20"/>
          <w:szCs w:val="20"/>
          <w:lang w:val="en-US" w:eastAsia="de-DE"/>
        </w:rPr>
        <w:t xml:space="preserve">linking of data at age seven only possible for small part of the sample, which should be effect neutral; </w:t>
      </w:r>
      <w:r w:rsidR="009A01AB">
        <w:rPr>
          <w:rFonts w:ascii="Times New Roman" w:eastAsia="Times New Roman" w:hAnsi="Times New Roman" w:cs="Times New Roman"/>
          <w:color w:val="000000"/>
          <w:sz w:val="20"/>
          <w:szCs w:val="20"/>
          <w:vertAlign w:val="superscript"/>
          <w:lang w:val="en-US" w:eastAsia="de-DE"/>
        </w:rPr>
        <w:t>d</w:t>
      </w:r>
      <w:r w:rsidRPr="006A16BC">
        <w:rPr>
          <w:rFonts w:ascii="Times New Roman" w:eastAsia="Times New Roman" w:hAnsi="Times New Roman" w:cs="Times New Roman"/>
          <w:color w:val="000000"/>
          <w:sz w:val="20"/>
          <w:szCs w:val="20"/>
          <w:vertAlign w:val="superscript"/>
          <w:lang w:val="en-US" w:eastAsia="de-DE"/>
        </w:rPr>
        <w:t xml:space="preserve"> </w:t>
      </w:r>
      <w:r w:rsidR="009A01AB">
        <w:rPr>
          <w:rFonts w:ascii="Times New Roman" w:eastAsia="Times New Roman" w:hAnsi="Times New Roman" w:cs="Times New Roman"/>
          <w:color w:val="000000"/>
          <w:sz w:val="20"/>
          <w:szCs w:val="20"/>
          <w:vertAlign w:val="superscript"/>
          <w:lang w:val="en-US" w:eastAsia="de-DE"/>
        </w:rPr>
        <w:t xml:space="preserve"> </w:t>
      </w:r>
      <w:r w:rsidRPr="006A16BC">
        <w:rPr>
          <w:rFonts w:ascii="Times New Roman" w:eastAsia="Times New Roman" w:hAnsi="Times New Roman" w:cs="Times New Roman"/>
          <w:color w:val="000000"/>
          <w:sz w:val="20"/>
          <w:szCs w:val="20"/>
          <w:lang w:val="en-US" w:eastAsia="de-DE"/>
        </w:rPr>
        <w:t xml:space="preserve">Proportion of invited and participating children not reported, however should not be a problem; GDM=gestational diabetes mellitus;  SIDS=sudden infant death syndrome; </w:t>
      </w:r>
      <w:r w:rsidR="009A01AB">
        <w:rPr>
          <w:rFonts w:ascii="Times New Roman" w:eastAsia="Times New Roman" w:hAnsi="Times New Roman" w:cs="Times New Roman"/>
          <w:color w:val="000000"/>
          <w:sz w:val="20"/>
          <w:szCs w:val="20"/>
          <w:vertAlign w:val="superscript"/>
          <w:lang w:val="en-US" w:eastAsia="de-DE"/>
        </w:rPr>
        <w:t>e</w:t>
      </w:r>
      <w:r w:rsidR="009A01AB">
        <w:rPr>
          <w:rFonts w:ascii="Times New Roman" w:eastAsia="Times New Roman" w:hAnsi="Times New Roman" w:cs="Times New Roman"/>
          <w:color w:val="000000"/>
          <w:sz w:val="20"/>
          <w:szCs w:val="20"/>
          <w:lang w:val="en-US" w:eastAsia="de-DE"/>
        </w:rPr>
        <w:t xml:space="preserve"> </w:t>
      </w:r>
      <w:r w:rsidRPr="006A16BC">
        <w:rPr>
          <w:rFonts w:ascii="Times New Roman" w:eastAsia="Times New Roman" w:hAnsi="Times New Roman" w:cs="Times New Roman"/>
          <w:color w:val="000000"/>
          <w:sz w:val="20"/>
          <w:szCs w:val="20"/>
          <w:lang w:val="en-US" w:eastAsia="de-DE"/>
        </w:rPr>
        <w:t xml:space="preserve">cross-sectional survey; </w:t>
      </w:r>
      <w:r w:rsidR="009A01AB">
        <w:rPr>
          <w:rFonts w:ascii="Times New Roman" w:eastAsia="Times New Roman" w:hAnsi="Times New Roman" w:cs="Times New Roman"/>
          <w:color w:val="000000"/>
          <w:sz w:val="20"/>
          <w:szCs w:val="20"/>
          <w:vertAlign w:val="superscript"/>
          <w:lang w:val="en-US" w:eastAsia="de-DE"/>
        </w:rPr>
        <w:t>f</w:t>
      </w:r>
      <w:r w:rsidRPr="006A16BC">
        <w:rPr>
          <w:rFonts w:ascii="Times New Roman" w:eastAsia="Times New Roman" w:hAnsi="Times New Roman" w:cs="Times New Roman"/>
          <w:color w:val="000000"/>
          <w:sz w:val="20"/>
          <w:szCs w:val="20"/>
          <w:lang w:val="en-US" w:eastAsia="de-DE"/>
        </w:rPr>
        <w:t xml:space="preserve"> linking data from two different programs (pregnancy nutrition surveillance system and pediatric nutrition surveillance system)</w:t>
      </w:r>
    </w:p>
    <w:p w14:paraId="321EB2A9" w14:textId="77777777" w:rsidR="00210FB9" w:rsidRDefault="00210FB9" w:rsidP="00210FB9">
      <w:pPr>
        <w:rPr>
          <w:lang w:val="en-US"/>
        </w:rPr>
        <w:sectPr w:rsidR="00210FB9" w:rsidSect="00210FB9">
          <w:pgSz w:w="16838" w:h="11906" w:orient="landscape"/>
          <w:pgMar w:top="1418" w:right="1418" w:bottom="1418" w:left="1134" w:header="709" w:footer="709" w:gutter="0"/>
          <w:lnNumType w:countBy="1" w:restart="continuous"/>
          <w:cols w:space="708"/>
          <w:docGrid w:linePitch="360"/>
        </w:sectPr>
      </w:pPr>
    </w:p>
    <w:p w14:paraId="6B3FFE57" w14:textId="74E307DD" w:rsidR="00BC6489" w:rsidRPr="00452597" w:rsidRDefault="00BC6489" w:rsidP="00BC6489">
      <w:pPr>
        <w:rPr>
          <w:b/>
          <w:lang w:val="en-US"/>
        </w:rPr>
      </w:pPr>
      <w:r w:rsidRPr="00F01E00">
        <w:rPr>
          <w:b/>
          <w:lang w:val="en-US"/>
        </w:rPr>
        <w:lastRenderedPageBreak/>
        <w:t xml:space="preserve">Table </w:t>
      </w:r>
      <w:r w:rsidRPr="00452597">
        <w:rPr>
          <w:b/>
          <w:lang w:val="en-US"/>
        </w:rPr>
        <w:t xml:space="preserve">S3: </w:t>
      </w:r>
      <w:r w:rsidR="00D103D4" w:rsidRPr="00452597">
        <w:rPr>
          <w:b/>
          <w:lang w:val="en-US"/>
        </w:rPr>
        <w:t>Study characteristics and d</w:t>
      </w:r>
      <w:r w:rsidRPr="00452597">
        <w:rPr>
          <w:b/>
          <w:lang w:val="en-US"/>
        </w:rPr>
        <w:t>ose-response results for the number of cigarettes smoked during pregnancy or overall results for the association between smoking in pregnancy and offspring anthropometric outcome in studies not providing data for the IPD meta-analysis</w:t>
      </w:r>
    </w:p>
    <w:tbl>
      <w:tblPr>
        <w:tblStyle w:val="Tabellenraster"/>
        <w:tblW w:w="15021" w:type="dxa"/>
        <w:tblLayout w:type="fixed"/>
        <w:tblLook w:val="04A0" w:firstRow="1" w:lastRow="0" w:firstColumn="1" w:lastColumn="0" w:noHBand="0" w:noVBand="1"/>
      </w:tblPr>
      <w:tblGrid>
        <w:gridCol w:w="1696"/>
        <w:gridCol w:w="1843"/>
        <w:gridCol w:w="992"/>
        <w:gridCol w:w="993"/>
        <w:gridCol w:w="1134"/>
        <w:gridCol w:w="8363"/>
      </w:tblGrid>
      <w:tr w:rsidR="00514495" w:rsidRPr="001E0558" w14:paraId="3E151599" w14:textId="77777777" w:rsidTr="00435FF2">
        <w:tc>
          <w:tcPr>
            <w:tcW w:w="1696" w:type="dxa"/>
          </w:tcPr>
          <w:p w14:paraId="110D2EB1" w14:textId="77777777" w:rsidR="00514495" w:rsidRPr="00452597" w:rsidRDefault="00514495" w:rsidP="00514495">
            <w:pPr>
              <w:rPr>
                <w:b/>
              </w:rPr>
            </w:pPr>
            <w:r w:rsidRPr="00452597">
              <w:rPr>
                <w:b/>
              </w:rPr>
              <w:t xml:space="preserve">Study, Year </w:t>
            </w:r>
          </w:p>
        </w:tc>
        <w:tc>
          <w:tcPr>
            <w:tcW w:w="1843" w:type="dxa"/>
          </w:tcPr>
          <w:p w14:paraId="214E4B82" w14:textId="77777777" w:rsidR="00514495" w:rsidRPr="00452597" w:rsidRDefault="00514495" w:rsidP="00514495">
            <w:pPr>
              <w:jc w:val="center"/>
              <w:rPr>
                <w:rFonts w:ascii="Times New Roman" w:hAnsi="Times New Roman" w:cs="Times New Roman"/>
                <w:b/>
                <w:sz w:val="20"/>
                <w:szCs w:val="20"/>
                <w:lang w:val="en-GB"/>
              </w:rPr>
            </w:pPr>
            <w:r w:rsidRPr="00452597">
              <w:rPr>
                <w:rFonts w:ascii="Times New Roman" w:hAnsi="Times New Roman" w:cs="Times New Roman"/>
                <w:b/>
                <w:sz w:val="20"/>
                <w:szCs w:val="20"/>
                <w:lang w:val="en-GB"/>
              </w:rPr>
              <w:t xml:space="preserve">Study, </w:t>
            </w:r>
          </w:p>
          <w:p w14:paraId="0AD528D3" w14:textId="53B38694" w:rsidR="00514495" w:rsidRPr="00452597" w:rsidRDefault="00514495" w:rsidP="00514495">
            <w:pPr>
              <w:rPr>
                <w:b/>
                <w:lang w:val="en-US"/>
              </w:rPr>
            </w:pPr>
            <w:r w:rsidRPr="00452597">
              <w:rPr>
                <w:rFonts w:ascii="Times New Roman" w:hAnsi="Times New Roman" w:cs="Times New Roman"/>
                <w:b/>
                <w:sz w:val="20"/>
                <w:szCs w:val="20"/>
                <w:lang w:val="en-GB"/>
              </w:rPr>
              <w:t>study type</w:t>
            </w:r>
          </w:p>
        </w:tc>
        <w:tc>
          <w:tcPr>
            <w:tcW w:w="992" w:type="dxa"/>
          </w:tcPr>
          <w:p w14:paraId="78794EB3" w14:textId="33F8BF4E" w:rsidR="00514495" w:rsidRPr="00452597" w:rsidRDefault="00514495" w:rsidP="00514495">
            <w:pPr>
              <w:rPr>
                <w:b/>
                <w:lang w:val="en-US"/>
              </w:rPr>
            </w:pPr>
            <w:r w:rsidRPr="00452597">
              <w:rPr>
                <w:rFonts w:ascii="Times New Roman" w:hAnsi="Times New Roman" w:cs="Times New Roman"/>
                <w:b/>
                <w:sz w:val="20"/>
                <w:szCs w:val="20"/>
                <w:lang w:val="en-GB"/>
              </w:rPr>
              <w:t>N</w:t>
            </w:r>
            <w:r w:rsidR="00BD7D27" w:rsidRPr="00452597">
              <w:rPr>
                <w:rFonts w:ascii="Times New Roman" w:hAnsi="Times New Roman" w:cs="Times New Roman"/>
                <w:b/>
                <w:sz w:val="20"/>
                <w:szCs w:val="20"/>
                <w:lang w:val="en-GB"/>
              </w:rPr>
              <w:t xml:space="preserve"> cases include in the study</w:t>
            </w:r>
          </w:p>
        </w:tc>
        <w:tc>
          <w:tcPr>
            <w:tcW w:w="993" w:type="dxa"/>
          </w:tcPr>
          <w:p w14:paraId="6650E6E6" w14:textId="77777777" w:rsidR="00514495" w:rsidRPr="00452597" w:rsidRDefault="00514495" w:rsidP="00514495">
            <w:pPr>
              <w:jc w:val="center"/>
              <w:rPr>
                <w:rFonts w:ascii="Times New Roman" w:hAnsi="Times New Roman" w:cs="Times New Roman"/>
                <w:b/>
                <w:sz w:val="20"/>
                <w:szCs w:val="20"/>
                <w:lang w:val="en-GB"/>
              </w:rPr>
            </w:pPr>
            <w:r w:rsidRPr="00452597">
              <w:rPr>
                <w:rFonts w:ascii="Times New Roman" w:hAnsi="Times New Roman" w:cs="Times New Roman"/>
                <w:b/>
                <w:sz w:val="20"/>
                <w:szCs w:val="20"/>
                <w:lang w:val="en-GB"/>
              </w:rPr>
              <w:t>Children’s age in years</w:t>
            </w:r>
          </w:p>
          <w:p w14:paraId="6750EBC3" w14:textId="48B7036F" w:rsidR="00514495" w:rsidRPr="00452597" w:rsidRDefault="00514495" w:rsidP="00514495">
            <w:pPr>
              <w:rPr>
                <w:b/>
                <w:lang w:val="en-US"/>
              </w:rPr>
            </w:pPr>
            <w:r w:rsidRPr="00452597">
              <w:rPr>
                <w:rFonts w:ascii="Times New Roman" w:hAnsi="Times New Roman" w:cs="Times New Roman"/>
                <w:b/>
                <w:sz w:val="20"/>
                <w:szCs w:val="20"/>
                <w:lang w:val="en-GB"/>
              </w:rPr>
              <w:t>(mean ± SD)</w:t>
            </w:r>
          </w:p>
        </w:tc>
        <w:tc>
          <w:tcPr>
            <w:tcW w:w="1134" w:type="dxa"/>
          </w:tcPr>
          <w:p w14:paraId="1053D405" w14:textId="7E80A781" w:rsidR="00514495" w:rsidRPr="00452597" w:rsidRDefault="00514495" w:rsidP="00514495">
            <w:pPr>
              <w:rPr>
                <w:b/>
                <w:lang w:val="en-US"/>
              </w:rPr>
            </w:pPr>
            <w:r w:rsidRPr="00452597">
              <w:rPr>
                <w:rFonts w:ascii="Times New Roman" w:hAnsi="Times New Roman" w:cs="Times New Roman"/>
                <w:b/>
                <w:sz w:val="20"/>
                <w:szCs w:val="20"/>
                <w:lang w:val="en-GB"/>
              </w:rPr>
              <w:t xml:space="preserve">Study quality (assessed with NIH </w:t>
            </w:r>
            <w:proofErr w:type="spellStart"/>
            <w:r w:rsidRPr="00452597">
              <w:rPr>
                <w:rFonts w:ascii="Times New Roman" w:hAnsi="Times New Roman" w:cs="Times New Roman"/>
                <w:b/>
                <w:sz w:val="20"/>
                <w:szCs w:val="20"/>
                <w:lang w:val="en-GB"/>
              </w:rPr>
              <w:t>tool</w:t>
            </w:r>
            <w:r w:rsidRPr="00452597">
              <w:rPr>
                <w:rFonts w:ascii="Times New Roman" w:hAnsi="Times New Roman" w:cs="Times New Roman"/>
                <w:b/>
                <w:sz w:val="20"/>
                <w:szCs w:val="20"/>
                <w:vertAlign w:val="superscript"/>
                <w:lang w:val="en-GB"/>
              </w:rPr>
              <w:t>a</w:t>
            </w:r>
            <w:proofErr w:type="spellEnd"/>
          </w:p>
        </w:tc>
        <w:tc>
          <w:tcPr>
            <w:tcW w:w="8363" w:type="dxa"/>
          </w:tcPr>
          <w:p w14:paraId="41C5031C" w14:textId="0D6FAD30" w:rsidR="00514495" w:rsidRPr="00452597" w:rsidRDefault="00514495" w:rsidP="00514495">
            <w:pPr>
              <w:rPr>
                <w:b/>
                <w:lang w:val="en-US"/>
              </w:rPr>
            </w:pPr>
            <w:r w:rsidRPr="00452597">
              <w:rPr>
                <w:b/>
                <w:lang w:val="en-US"/>
              </w:rPr>
              <w:t>Dose response results  [method/model used]</w:t>
            </w:r>
          </w:p>
        </w:tc>
      </w:tr>
      <w:tr w:rsidR="00514495" w:rsidRPr="001E0558" w14:paraId="66EE1BFC" w14:textId="77777777" w:rsidTr="00435FF2">
        <w:tc>
          <w:tcPr>
            <w:tcW w:w="1696" w:type="dxa"/>
          </w:tcPr>
          <w:p w14:paraId="49EA72E9" w14:textId="3DFE62C8" w:rsidR="00514495" w:rsidRPr="00C96FC8" w:rsidRDefault="00C96FC8" w:rsidP="00A816B8">
            <w:pPr>
              <w:rPr>
                <w:rFonts w:cs="Times New Roman"/>
                <w:b/>
                <w:vertAlign w:val="superscript"/>
                <w:lang w:val="en-US"/>
              </w:rPr>
            </w:pPr>
            <w:proofErr w:type="spellStart"/>
            <w:r>
              <w:rPr>
                <w:rFonts w:cs="Times New Roman"/>
                <w:b/>
                <w:lang w:val="en-US"/>
              </w:rPr>
              <w:t>Durmus</w:t>
            </w:r>
            <w:proofErr w:type="spellEnd"/>
            <w:r>
              <w:rPr>
                <w:rFonts w:cs="Times New Roman"/>
                <w:b/>
                <w:lang w:val="en-US"/>
              </w:rPr>
              <w:t xml:space="preserve"> 2011</w:t>
            </w:r>
            <w:r w:rsidRPr="00C96FC8">
              <w:rPr>
                <w:rFonts w:cs="Times New Roman"/>
                <w:vertAlign w:val="superscript"/>
                <w:lang w:val="en-US"/>
              </w:rPr>
              <w:t>34</w:t>
            </w:r>
          </w:p>
          <w:p w14:paraId="424736CD" w14:textId="77777777" w:rsidR="00514495" w:rsidRPr="00452597" w:rsidRDefault="00514495" w:rsidP="00A816B8">
            <w:pPr>
              <w:rPr>
                <w:rFonts w:cs="Times New Roman"/>
                <w:b/>
                <w:lang w:val="en-US"/>
              </w:rPr>
            </w:pPr>
            <w:bookmarkStart w:id="0" w:name="_GoBack"/>
            <w:bookmarkEnd w:id="0"/>
          </w:p>
        </w:tc>
        <w:tc>
          <w:tcPr>
            <w:tcW w:w="1843" w:type="dxa"/>
          </w:tcPr>
          <w:p w14:paraId="4683D26D" w14:textId="062FF550" w:rsidR="00514495" w:rsidRPr="00452597" w:rsidRDefault="004D71C7" w:rsidP="004D71C7">
            <w:pPr>
              <w:pStyle w:val="Listenabsatz"/>
              <w:ind w:left="0"/>
              <w:rPr>
                <w:lang w:val="en-US"/>
              </w:rPr>
            </w:pPr>
            <w:r w:rsidRPr="00452597">
              <w:rPr>
                <w:lang w:val="en-US"/>
              </w:rPr>
              <w:t>Generation R Study, prospective study</w:t>
            </w:r>
          </w:p>
        </w:tc>
        <w:tc>
          <w:tcPr>
            <w:tcW w:w="992" w:type="dxa"/>
          </w:tcPr>
          <w:p w14:paraId="386BDCED" w14:textId="78E2C3E4" w:rsidR="00514495" w:rsidRPr="00452597" w:rsidRDefault="004D71C7" w:rsidP="004D71C7">
            <w:pPr>
              <w:pStyle w:val="Listenabsatz"/>
              <w:ind w:left="0"/>
              <w:rPr>
                <w:lang w:val="en-US"/>
              </w:rPr>
            </w:pPr>
            <w:r w:rsidRPr="00452597">
              <w:rPr>
                <w:lang w:val="en-US"/>
              </w:rPr>
              <w:t>907</w:t>
            </w:r>
          </w:p>
        </w:tc>
        <w:tc>
          <w:tcPr>
            <w:tcW w:w="993" w:type="dxa"/>
          </w:tcPr>
          <w:p w14:paraId="69ACEBAC" w14:textId="334A4DA8" w:rsidR="00514495" w:rsidRPr="00452597" w:rsidRDefault="004D71C7" w:rsidP="004D71C7">
            <w:pPr>
              <w:pStyle w:val="Listenabsatz"/>
              <w:ind w:left="0"/>
              <w:rPr>
                <w:lang w:val="en-US"/>
              </w:rPr>
            </w:pPr>
            <w:r w:rsidRPr="00452597">
              <w:rPr>
                <w:lang w:val="en-US"/>
              </w:rPr>
              <w:t>Ca. 2</w:t>
            </w:r>
          </w:p>
        </w:tc>
        <w:tc>
          <w:tcPr>
            <w:tcW w:w="1134" w:type="dxa"/>
          </w:tcPr>
          <w:p w14:paraId="51847158" w14:textId="754DB81B" w:rsidR="00514495" w:rsidRPr="00452597" w:rsidRDefault="001E0A12" w:rsidP="00B75A42">
            <w:pPr>
              <w:pStyle w:val="Listenabsatz"/>
              <w:ind w:left="0"/>
              <w:rPr>
                <w:lang w:val="en-US"/>
              </w:rPr>
            </w:pPr>
            <w:r w:rsidRPr="00452597">
              <w:rPr>
                <w:lang w:val="en-US"/>
              </w:rPr>
              <w:t>Good</w:t>
            </w:r>
          </w:p>
        </w:tc>
        <w:tc>
          <w:tcPr>
            <w:tcW w:w="8363" w:type="dxa"/>
          </w:tcPr>
          <w:p w14:paraId="410E2E5D" w14:textId="7AF98586" w:rsidR="00514495" w:rsidRPr="00452597" w:rsidRDefault="00514495" w:rsidP="00BC6489">
            <w:pPr>
              <w:pStyle w:val="Listenabsatz"/>
              <w:numPr>
                <w:ilvl w:val="0"/>
                <w:numId w:val="17"/>
              </w:numPr>
              <w:rPr>
                <w:lang w:val="en-US"/>
              </w:rPr>
            </w:pPr>
            <w:r w:rsidRPr="00452597">
              <w:rPr>
                <w:lang w:val="en-US"/>
              </w:rPr>
              <w:t xml:space="preserve">Outcome: High and weight and Subcutaneous fat mass at ages of 24 months </w:t>
            </w:r>
          </w:p>
          <w:p w14:paraId="58158218" w14:textId="77777777" w:rsidR="00514495" w:rsidRPr="00452597" w:rsidRDefault="00514495" w:rsidP="00BC6489">
            <w:pPr>
              <w:pStyle w:val="Listenabsatz"/>
              <w:numPr>
                <w:ilvl w:val="0"/>
                <w:numId w:val="17"/>
              </w:numPr>
              <w:rPr>
                <w:lang w:val="en-US"/>
              </w:rPr>
            </w:pPr>
            <w:r w:rsidRPr="00452597">
              <w:rPr>
                <w:lang w:val="en-US"/>
              </w:rPr>
              <w:t xml:space="preserve">Doses analyzed: None, &lt;5 cig, &gt;5 cig per day </w:t>
            </w:r>
          </w:p>
          <w:p w14:paraId="4C2CCA87" w14:textId="77777777" w:rsidR="00514495" w:rsidRPr="00452597" w:rsidRDefault="00514495" w:rsidP="00BC6489">
            <w:pPr>
              <w:pStyle w:val="Listenabsatz"/>
              <w:numPr>
                <w:ilvl w:val="0"/>
                <w:numId w:val="17"/>
              </w:numPr>
              <w:rPr>
                <w:lang w:val="en-US"/>
              </w:rPr>
            </w:pPr>
            <w:r w:rsidRPr="00452597">
              <w:rPr>
                <w:lang w:val="en-US"/>
              </w:rPr>
              <w:t>&gt;5 cigs./day:</w:t>
            </w:r>
          </w:p>
          <w:p w14:paraId="6D6287E3" w14:textId="77777777" w:rsidR="00514495" w:rsidRPr="00452597" w:rsidRDefault="00514495" w:rsidP="00BC6489">
            <w:pPr>
              <w:pStyle w:val="Listenabsatz"/>
              <w:numPr>
                <w:ilvl w:val="1"/>
                <w:numId w:val="17"/>
              </w:numPr>
              <w:rPr>
                <w:lang w:val="en-US"/>
              </w:rPr>
            </w:pPr>
            <w:r w:rsidRPr="00452597">
              <w:rPr>
                <w:lang w:val="en-US"/>
              </w:rPr>
              <w:t>Lower high and weight with higher number of cigarettes (trend test p&lt;0.10)</w:t>
            </w:r>
          </w:p>
          <w:p w14:paraId="7804106A" w14:textId="77777777" w:rsidR="00514495" w:rsidRPr="00452597" w:rsidRDefault="00514495" w:rsidP="00BC6489">
            <w:pPr>
              <w:pStyle w:val="Listenabsatz"/>
              <w:numPr>
                <w:ilvl w:val="1"/>
                <w:numId w:val="17"/>
              </w:numPr>
              <w:rPr>
                <w:lang w:val="en-US"/>
              </w:rPr>
            </w:pPr>
            <w:r w:rsidRPr="00452597">
              <w:rPr>
                <w:lang w:val="en-US"/>
              </w:rPr>
              <w:t>Higher subcutaneous fat mass with higher number of cigarettes  (trend test p&lt;0.05)</w:t>
            </w:r>
          </w:p>
          <w:p w14:paraId="4EF6A393" w14:textId="77777777" w:rsidR="00514495" w:rsidRPr="00452597" w:rsidRDefault="00514495" w:rsidP="00A816B8">
            <w:pPr>
              <w:ind w:left="360"/>
              <w:rPr>
                <w:lang w:val="en-US"/>
              </w:rPr>
            </w:pPr>
            <w:r w:rsidRPr="00452597">
              <w:rPr>
                <w:lang w:val="en-US"/>
              </w:rPr>
              <w:t>[models adjusted or child’s age, sex, maternal education, maternal height and weight, breastfeeding, current height and observer of the skinfold measurement]</w:t>
            </w:r>
          </w:p>
        </w:tc>
      </w:tr>
      <w:tr w:rsidR="00514495" w:rsidRPr="00452597" w14:paraId="37094E06" w14:textId="77777777" w:rsidTr="00435FF2">
        <w:tc>
          <w:tcPr>
            <w:tcW w:w="1696" w:type="dxa"/>
          </w:tcPr>
          <w:p w14:paraId="57B48DBA" w14:textId="239C44A0" w:rsidR="00514495" w:rsidRPr="00C96FC8" w:rsidRDefault="00C96FC8" w:rsidP="00C96FC8">
            <w:pPr>
              <w:rPr>
                <w:rFonts w:cs="Times New Roman"/>
                <w:b/>
                <w:vertAlign w:val="superscript"/>
                <w:lang w:val="en-US"/>
              </w:rPr>
            </w:pPr>
            <w:proofErr w:type="spellStart"/>
            <w:r>
              <w:rPr>
                <w:rFonts w:cs="Times New Roman"/>
                <w:b/>
                <w:lang w:val="en-US"/>
              </w:rPr>
              <w:t>Gorog</w:t>
            </w:r>
            <w:proofErr w:type="spellEnd"/>
            <w:r>
              <w:rPr>
                <w:rFonts w:cs="Times New Roman"/>
                <w:b/>
                <w:lang w:val="en-US"/>
              </w:rPr>
              <w:t xml:space="preserve"> 2011</w:t>
            </w:r>
            <w:r w:rsidRPr="00C96FC8">
              <w:rPr>
                <w:rFonts w:cs="Times New Roman"/>
                <w:vertAlign w:val="superscript"/>
                <w:lang w:val="en-US"/>
              </w:rPr>
              <w:t>35</w:t>
            </w:r>
          </w:p>
        </w:tc>
        <w:tc>
          <w:tcPr>
            <w:tcW w:w="1843" w:type="dxa"/>
          </w:tcPr>
          <w:p w14:paraId="28F91B51" w14:textId="3374F80D" w:rsidR="00514495" w:rsidRPr="00452597" w:rsidRDefault="002A729D" w:rsidP="00B8755E">
            <w:pPr>
              <w:pStyle w:val="Listenabsatz"/>
              <w:ind w:left="0"/>
              <w:rPr>
                <w:lang w:val="en-US"/>
              </w:rPr>
            </w:pPr>
            <w:r w:rsidRPr="00452597">
              <w:rPr>
                <w:lang w:val="en-US"/>
              </w:rPr>
              <w:t>CESAR study, retrospective</w:t>
            </w:r>
            <w:r w:rsidR="00B8755E" w:rsidRPr="00452597">
              <w:rPr>
                <w:lang w:val="en-US"/>
              </w:rPr>
              <w:t xml:space="preserve"> study</w:t>
            </w:r>
          </w:p>
        </w:tc>
        <w:tc>
          <w:tcPr>
            <w:tcW w:w="992" w:type="dxa"/>
          </w:tcPr>
          <w:p w14:paraId="3850D487" w14:textId="68BDB665" w:rsidR="00514495" w:rsidRPr="00452597" w:rsidRDefault="00B8755E" w:rsidP="00B8755E">
            <w:pPr>
              <w:pStyle w:val="Listenabsatz"/>
              <w:ind w:left="0"/>
              <w:rPr>
                <w:lang w:val="en-US"/>
              </w:rPr>
            </w:pPr>
            <w:r w:rsidRPr="00452597">
              <w:rPr>
                <w:lang w:val="en-US"/>
              </w:rPr>
              <w:t>8926</w:t>
            </w:r>
          </w:p>
        </w:tc>
        <w:tc>
          <w:tcPr>
            <w:tcW w:w="993" w:type="dxa"/>
          </w:tcPr>
          <w:p w14:paraId="2FED6DBC" w14:textId="6A99C6EA" w:rsidR="00514495" w:rsidRPr="00452597" w:rsidRDefault="002A729D" w:rsidP="00B8755E">
            <w:pPr>
              <w:pStyle w:val="Listenabsatz"/>
              <w:ind w:left="0"/>
              <w:rPr>
                <w:lang w:val="en-US"/>
              </w:rPr>
            </w:pPr>
            <w:r w:rsidRPr="00452597">
              <w:rPr>
                <w:lang w:val="en-US"/>
              </w:rPr>
              <w:t xml:space="preserve">9-12 </w:t>
            </w:r>
          </w:p>
        </w:tc>
        <w:tc>
          <w:tcPr>
            <w:tcW w:w="1134" w:type="dxa"/>
          </w:tcPr>
          <w:p w14:paraId="6BB3AE97" w14:textId="29F15C0B" w:rsidR="00514495" w:rsidRPr="00452597" w:rsidRDefault="00445649" w:rsidP="00445649">
            <w:pPr>
              <w:pStyle w:val="Listenabsatz"/>
              <w:ind w:left="0"/>
              <w:rPr>
                <w:lang w:val="en-US"/>
              </w:rPr>
            </w:pPr>
            <w:r w:rsidRPr="00452597">
              <w:rPr>
                <w:lang w:val="en-US"/>
              </w:rPr>
              <w:t>Fair – exposure not measured prior to the outcome</w:t>
            </w:r>
          </w:p>
        </w:tc>
        <w:tc>
          <w:tcPr>
            <w:tcW w:w="8363" w:type="dxa"/>
          </w:tcPr>
          <w:p w14:paraId="44AE0A16" w14:textId="60FD2CFC" w:rsidR="00514495" w:rsidRPr="00452597" w:rsidRDefault="00514495" w:rsidP="00BC6489">
            <w:pPr>
              <w:pStyle w:val="Listenabsatz"/>
              <w:numPr>
                <w:ilvl w:val="0"/>
                <w:numId w:val="18"/>
              </w:numPr>
              <w:rPr>
                <w:lang w:val="en-US"/>
              </w:rPr>
            </w:pPr>
            <w:r w:rsidRPr="00452597">
              <w:rPr>
                <w:lang w:val="en-US"/>
              </w:rPr>
              <w:t xml:space="preserve">Outcome: Overweight in children aged 9-12 years: </w:t>
            </w:r>
          </w:p>
          <w:p w14:paraId="63C5CEF3" w14:textId="77777777" w:rsidR="00514495" w:rsidRPr="00452597" w:rsidRDefault="00514495" w:rsidP="00BC6489">
            <w:pPr>
              <w:pStyle w:val="Listenabsatz"/>
              <w:numPr>
                <w:ilvl w:val="0"/>
                <w:numId w:val="16"/>
              </w:numPr>
              <w:rPr>
                <w:lang w:val="en-US"/>
              </w:rPr>
            </w:pPr>
            <w:r w:rsidRPr="00452597">
              <w:rPr>
                <w:lang w:val="en-US"/>
              </w:rPr>
              <w:t>Overall association for smoking (yes/no) OR=1.26, 95%-CI=[1.03-1.55]</w:t>
            </w:r>
          </w:p>
          <w:p w14:paraId="36A11BC4" w14:textId="77777777" w:rsidR="00514495" w:rsidRPr="00452597" w:rsidRDefault="00514495" w:rsidP="00BC6489">
            <w:pPr>
              <w:pStyle w:val="Listenabsatz"/>
              <w:numPr>
                <w:ilvl w:val="0"/>
                <w:numId w:val="16"/>
              </w:numPr>
              <w:rPr>
                <w:lang w:val="en-US"/>
              </w:rPr>
            </w:pPr>
            <w:r w:rsidRPr="00452597">
              <w:rPr>
                <w:lang w:val="en-US"/>
              </w:rPr>
              <w:t xml:space="preserve">Dose-response: An average of 0.1, 95%-CI=[-0.04 - 0.25] extra cigarette per day smoked in pregnancy by mothers of overweight children (stratified for household density: significant dose effect in children of less-crowded household) </w:t>
            </w:r>
          </w:p>
          <w:p w14:paraId="5DB2FFB9" w14:textId="77777777" w:rsidR="00514495" w:rsidRPr="00452597" w:rsidRDefault="00514495" w:rsidP="00A816B8">
            <w:pPr>
              <w:pStyle w:val="Listenabsatz"/>
              <w:ind w:left="360"/>
              <w:rPr>
                <w:lang w:val="en-US"/>
              </w:rPr>
            </w:pPr>
            <w:r w:rsidRPr="00452597">
              <w:rPr>
                <w:lang w:val="en-US"/>
              </w:rPr>
              <w:t>[Logistic regression model adjusted for person per room, breastfeeding, winter fruit consumption, exercise, mother’s education, high birth weight, summer fruit consumption, mothers occupations, study area (six countries in central/eastern Europe)]</w:t>
            </w:r>
          </w:p>
        </w:tc>
      </w:tr>
      <w:tr w:rsidR="00514495" w:rsidRPr="001E0558" w14:paraId="51BC5BB2" w14:textId="77777777" w:rsidTr="00435FF2">
        <w:trPr>
          <w:trHeight w:val="2544"/>
        </w:trPr>
        <w:tc>
          <w:tcPr>
            <w:tcW w:w="1696" w:type="dxa"/>
          </w:tcPr>
          <w:p w14:paraId="7B0312A5" w14:textId="237B28B2" w:rsidR="00514495" w:rsidRPr="00C96FC8" w:rsidRDefault="00C96FC8" w:rsidP="00C96FC8">
            <w:pPr>
              <w:rPr>
                <w:rFonts w:cs="Times New Roman"/>
                <w:b/>
                <w:vertAlign w:val="superscript"/>
                <w:lang w:val="en-US"/>
              </w:rPr>
            </w:pPr>
            <w:r>
              <w:rPr>
                <w:rFonts w:cs="Times New Roman"/>
                <w:b/>
                <w:lang w:val="en-US"/>
              </w:rPr>
              <w:lastRenderedPageBreak/>
              <w:t>Harris 2013</w:t>
            </w:r>
            <w:r w:rsidRPr="00C96FC8">
              <w:rPr>
                <w:rFonts w:cs="Times New Roman"/>
                <w:vertAlign w:val="superscript"/>
                <w:lang w:val="en-US"/>
              </w:rPr>
              <w:t>17</w:t>
            </w:r>
          </w:p>
        </w:tc>
        <w:tc>
          <w:tcPr>
            <w:tcW w:w="1843" w:type="dxa"/>
          </w:tcPr>
          <w:p w14:paraId="5E6FAA37" w14:textId="6BE40107" w:rsidR="00514495" w:rsidRPr="00452597" w:rsidRDefault="001557F5" w:rsidP="002A729D">
            <w:pPr>
              <w:pStyle w:val="Listenabsatz"/>
              <w:ind w:left="0"/>
              <w:rPr>
                <w:lang w:val="en-US"/>
              </w:rPr>
            </w:pPr>
            <w:r w:rsidRPr="00452597">
              <w:rPr>
                <w:lang w:val="en-US"/>
              </w:rPr>
              <w:t>Nurses’ Health Study II, retrospective study</w:t>
            </w:r>
          </w:p>
        </w:tc>
        <w:tc>
          <w:tcPr>
            <w:tcW w:w="992" w:type="dxa"/>
          </w:tcPr>
          <w:p w14:paraId="6FC380A8" w14:textId="25085EF5" w:rsidR="00514495" w:rsidRPr="00452597" w:rsidRDefault="001557F5" w:rsidP="002A729D">
            <w:pPr>
              <w:pStyle w:val="Listenabsatz"/>
              <w:ind w:left="0"/>
              <w:rPr>
                <w:lang w:val="en-US"/>
              </w:rPr>
            </w:pPr>
            <w:r w:rsidRPr="00452597">
              <w:rPr>
                <w:lang w:val="en-US"/>
              </w:rPr>
              <w:t>35794</w:t>
            </w:r>
          </w:p>
        </w:tc>
        <w:tc>
          <w:tcPr>
            <w:tcW w:w="993" w:type="dxa"/>
          </w:tcPr>
          <w:p w14:paraId="494E8699" w14:textId="4D2FA8C2" w:rsidR="00514495" w:rsidRPr="00452597" w:rsidRDefault="001557F5" w:rsidP="001557F5">
            <w:pPr>
              <w:pStyle w:val="Listenabsatz"/>
              <w:ind w:left="0"/>
              <w:rPr>
                <w:lang w:val="en-US"/>
              </w:rPr>
            </w:pPr>
            <w:r w:rsidRPr="00452597">
              <w:rPr>
                <w:lang w:val="en-US"/>
              </w:rPr>
              <w:t>18</w:t>
            </w:r>
          </w:p>
        </w:tc>
        <w:tc>
          <w:tcPr>
            <w:tcW w:w="1134" w:type="dxa"/>
          </w:tcPr>
          <w:p w14:paraId="45CA21BD" w14:textId="03836F6E" w:rsidR="00514495" w:rsidRPr="00452597" w:rsidRDefault="00445649" w:rsidP="002A729D">
            <w:pPr>
              <w:pStyle w:val="Listenabsatz"/>
              <w:ind w:left="0"/>
              <w:rPr>
                <w:lang w:val="en-US"/>
              </w:rPr>
            </w:pPr>
            <w:r w:rsidRPr="00452597">
              <w:rPr>
                <w:lang w:val="en-US"/>
              </w:rPr>
              <w:t>Fair – outcome reported, no blinding</w:t>
            </w:r>
          </w:p>
        </w:tc>
        <w:tc>
          <w:tcPr>
            <w:tcW w:w="8363" w:type="dxa"/>
          </w:tcPr>
          <w:p w14:paraId="3FEF354F" w14:textId="673DB809" w:rsidR="00514495" w:rsidRPr="00452597" w:rsidRDefault="00514495" w:rsidP="00BC6489">
            <w:pPr>
              <w:pStyle w:val="Listenabsatz"/>
              <w:numPr>
                <w:ilvl w:val="0"/>
                <w:numId w:val="18"/>
              </w:numPr>
              <w:rPr>
                <w:lang w:val="en-US"/>
              </w:rPr>
            </w:pPr>
            <w:r w:rsidRPr="00452597">
              <w:rPr>
                <w:lang w:val="en-US"/>
              </w:rPr>
              <w:t xml:space="preserve">Outcome: Overweight and obesity at age 18 </w:t>
            </w:r>
          </w:p>
          <w:p w14:paraId="56DCEACB" w14:textId="77777777" w:rsidR="00514495" w:rsidRPr="00452597" w:rsidRDefault="00514495" w:rsidP="00BC6489">
            <w:pPr>
              <w:pStyle w:val="Listenabsatz"/>
              <w:numPr>
                <w:ilvl w:val="0"/>
                <w:numId w:val="16"/>
              </w:numPr>
              <w:rPr>
                <w:lang w:val="en-US"/>
              </w:rPr>
            </w:pPr>
            <w:r w:rsidRPr="00452597">
              <w:rPr>
                <w:lang w:val="en-US"/>
              </w:rPr>
              <w:t>Overweight: (reference non-smoking)</w:t>
            </w:r>
          </w:p>
          <w:p w14:paraId="74285871" w14:textId="77777777" w:rsidR="00514495" w:rsidRPr="00452597" w:rsidRDefault="00514495" w:rsidP="00BC6489">
            <w:pPr>
              <w:pStyle w:val="Listenabsatz"/>
              <w:numPr>
                <w:ilvl w:val="1"/>
                <w:numId w:val="16"/>
              </w:numPr>
              <w:rPr>
                <w:lang w:val="en-US"/>
              </w:rPr>
            </w:pPr>
            <w:r w:rsidRPr="00452597">
              <w:rPr>
                <w:lang w:val="en-US"/>
              </w:rPr>
              <w:t xml:space="preserve">1-14 cig. OR=1.13, 95%-CI=[1.18-1.50] </w:t>
            </w:r>
          </w:p>
          <w:p w14:paraId="4AD5DA11" w14:textId="77777777" w:rsidR="00514495" w:rsidRPr="00452597" w:rsidRDefault="00514495" w:rsidP="00BC6489">
            <w:pPr>
              <w:pStyle w:val="Listenabsatz"/>
              <w:numPr>
                <w:ilvl w:val="1"/>
                <w:numId w:val="16"/>
              </w:numPr>
              <w:rPr>
                <w:lang w:val="en-US"/>
              </w:rPr>
            </w:pPr>
            <w:r w:rsidRPr="00452597">
              <w:rPr>
                <w:lang w:val="en-US"/>
              </w:rPr>
              <w:t>15-24 cig. OR=1.40, 95%-CI=[1.20-1.64]</w:t>
            </w:r>
          </w:p>
          <w:p w14:paraId="091B9120" w14:textId="77777777" w:rsidR="00514495" w:rsidRPr="00452597" w:rsidRDefault="00514495" w:rsidP="00BC6489">
            <w:pPr>
              <w:pStyle w:val="Listenabsatz"/>
              <w:numPr>
                <w:ilvl w:val="1"/>
                <w:numId w:val="16"/>
              </w:numPr>
              <w:rPr>
                <w:lang w:val="en-US"/>
              </w:rPr>
            </w:pPr>
            <w:r w:rsidRPr="00452597">
              <w:rPr>
                <w:lang w:val="en-US"/>
              </w:rPr>
              <w:t>&gt;25 cig. OR=1.15, 95%-CI=[0.97-1.69]</w:t>
            </w:r>
          </w:p>
          <w:p w14:paraId="019B2F07" w14:textId="77777777" w:rsidR="00514495" w:rsidRPr="00452597" w:rsidRDefault="00514495" w:rsidP="00BC6489">
            <w:pPr>
              <w:pStyle w:val="Listenabsatz"/>
              <w:numPr>
                <w:ilvl w:val="0"/>
                <w:numId w:val="16"/>
              </w:numPr>
              <w:rPr>
                <w:lang w:val="en-US"/>
              </w:rPr>
            </w:pPr>
            <w:r w:rsidRPr="00452597">
              <w:rPr>
                <w:lang w:val="en-US"/>
              </w:rPr>
              <w:t>Obesity: (reference non-smoking)</w:t>
            </w:r>
          </w:p>
          <w:p w14:paraId="3967CE13" w14:textId="77777777" w:rsidR="00514495" w:rsidRPr="00452597" w:rsidRDefault="00514495" w:rsidP="00BC6489">
            <w:pPr>
              <w:pStyle w:val="Listenabsatz"/>
              <w:numPr>
                <w:ilvl w:val="1"/>
                <w:numId w:val="16"/>
              </w:numPr>
              <w:rPr>
                <w:lang w:val="en-US"/>
              </w:rPr>
            </w:pPr>
            <w:r w:rsidRPr="00452597">
              <w:rPr>
                <w:lang w:val="en-US"/>
              </w:rPr>
              <w:t xml:space="preserve">1-14 cig. OR=1.41, 95%-CI=[1.14-1.75] </w:t>
            </w:r>
          </w:p>
          <w:p w14:paraId="5E598106" w14:textId="77777777" w:rsidR="00514495" w:rsidRPr="00452597" w:rsidRDefault="00514495" w:rsidP="00BC6489">
            <w:pPr>
              <w:pStyle w:val="Listenabsatz"/>
              <w:numPr>
                <w:ilvl w:val="1"/>
                <w:numId w:val="16"/>
              </w:numPr>
              <w:rPr>
                <w:lang w:val="en-US"/>
              </w:rPr>
            </w:pPr>
            <w:r w:rsidRPr="00452597">
              <w:rPr>
                <w:lang w:val="en-US"/>
              </w:rPr>
              <w:t>15-24 cig. OR=1.69, 95%-CI=[1.31-2.18]</w:t>
            </w:r>
          </w:p>
          <w:p w14:paraId="2AB7AB7B" w14:textId="77777777" w:rsidR="00514495" w:rsidRPr="00452597" w:rsidRDefault="00514495" w:rsidP="00BC6489">
            <w:pPr>
              <w:pStyle w:val="Listenabsatz"/>
              <w:numPr>
                <w:ilvl w:val="1"/>
                <w:numId w:val="16"/>
              </w:numPr>
              <w:rPr>
                <w:lang w:val="en-US"/>
              </w:rPr>
            </w:pPr>
            <w:r w:rsidRPr="00452597">
              <w:rPr>
                <w:lang w:val="en-US"/>
              </w:rPr>
              <w:t>&gt;25 cig. OR=2.36, 95%-CI=[1.44-3.86]</w:t>
            </w:r>
          </w:p>
          <w:p w14:paraId="633A6187" w14:textId="77777777" w:rsidR="00514495" w:rsidRPr="00452597" w:rsidRDefault="00514495" w:rsidP="00A816B8">
            <w:pPr>
              <w:pStyle w:val="Listenabsatz"/>
              <w:rPr>
                <w:lang w:val="en-US"/>
              </w:rPr>
            </w:pPr>
            <w:r w:rsidRPr="00452597">
              <w:rPr>
                <w:lang w:val="en-US"/>
              </w:rPr>
              <w:t>[Logistic regression models with adjustment for socioeconomic and behavioral variables]</w:t>
            </w:r>
          </w:p>
        </w:tc>
      </w:tr>
      <w:tr w:rsidR="00514495" w:rsidRPr="00452597" w14:paraId="3AF97026" w14:textId="77777777" w:rsidTr="00435FF2">
        <w:tc>
          <w:tcPr>
            <w:tcW w:w="1696" w:type="dxa"/>
          </w:tcPr>
          <w:p w14:paraId="4216ABD5" w14:textId="6C6EC38D" w:rsidR="00514495" w:rsidRPr="00C96FC8" w:rsidRDefault="00514495" w:rsidP="00C96FC8">
            <w:pPr>
              <w:rPr>
                <w:rFonts w:cs="Times New Roman"/>
                <w:b/>
                <w:vertAlign w:val="superscript"/>
                <w:lang w:val="en-US"/>
              </w:rPr>
            </w:pPr>
            <w:r w:rsidRPr="00452597">
              <w:rPr>
                <w:rFonts w:cs="Times New Roman"/>
                <w:b/>
                <w:lang w:val="en-US"/>
              </w:rPr>
              <w:t>Hill 2005</w:t>
            </w:r>
            <w:r w:rsidR="00C96FC8" w:rsidRPr="00C96FC8">
              <w:rPr>
                <w:rFonts w:cs="Times New Roman"/>
                <w:vertAlign w:val="superscript"/>
                <w:lang w:val="en-US"/>
              </w:rPr>
              <w:t>29</w:t>
            </w:r>
          </w:p>
        </w:tc>
        <w:tc>
          <w:tcPr>
            <w:tcW w:w="1843" w:type="dxa"/>
          </w:tcPr>
          <w:p w14:paraId="01C40411" w14:textId="24CED766" w:rsidR="00514495" w:rsidRPr="00452597" w:rsidRDefault="00054CC8" w:rsidP="00054CC8">
            <w:pPr>
              <w:pStyle w:val="Listenabsatz"/>
              <w:ind w:left="0"/>
              <w:rPr>
                <w:lang w:val="en-US"/>
              </w:rPr>
            </w:pPr>
            <w:r w:rsidRPr="00452597">
              <w:rPr>
                <w:lang w:val="en-US"/>
              </w:rPr>
              <w:t xml:space="preserve">Cognitive ad Personality Factors in </w:t>
            </w:r>
            <w:proofErr w:type="spellStart"/>
            <w:r w:rsidRPr="00452597">
              <w:rPr>
                <w:lang w:val="en-US"/>
              </w:rPr>
              <w:t>Reatives</w:t>
            </w:r>
            <w:proofErr w:type="spellEnd"/>
            <w:r w:rsidRPr="00452597">
              <w:rPr>
                <w:lang w:val="en-US"/>
              </w:rPr>
              <w:t xml:space="preserve"> of Alcoholics and the Biological Risk Factors in Relatives of Alcoholic Women Study, prospective study</w:t>
            </w:r>
          </w:p>
        </w:tc>
        <w:tc>
          <w:tcPr>
            <w:tcW w:w="992" w:type="dxa"/>
          </w:tcPr>
          <w:p w14:paraId="3917832B" w14:textId="53B6A173" w:rsidR="00514495" w:rsidRPr="00452597" w:rsidRDefault="00054CC8" w:rsidP="00054CC8">
            <w:pPr>
              <w:pStyle w:val="Listenabsatz"/>
              <w:ind w:left="0"/>
              <w:rPr>
                <w:lang w:val="en-US"/>
              </w:rPr>
            </w:pPr>
            <w:r w:rsidRPr="00452597">
              <w:rPr>
                <w:lang w:val="en-US"/>
              </w:rPr>
              <w:t>288</w:t>
            </w:r>
          </w:p>
        </w:tc>
        <w:tc>
          <w:tcPr>
            <w:tcW w:w="993" w:type="dxa"/>
          </w:tcPr>
          <w:p w14:paraId="4B439EFD" w14:textId="205CA919" w:rsidR="00514495" w:rsidRPr="00452597" w:rsidRDefault="00054CC8" w:rsidP="00054CC8">
            <w:pPr>
              <w:pStyle w:val="Listenabsatz"/>
              <w:ind w:left="0"/>
              <w:rPr>
                <w:lang w:val="en-US"/>
              </w:rPr>
            </w:pPr>
            <w:r w:rsidRPr="00452597">
              <w:rPr>
                <w:lang w:val="en-US"/>
              </w:rPr>
              <w:t>8-18</w:t>
            </w:r>
          </w:p>
        </w:tc>
        <w:tc>
          <w:tcPr>
            <w:tcW w:w="1134" w:type="dxa"/>
          </w:tcPr>
          <w:p w14:paraId="389FDCD7" w14:textId="0BBC5316" w:rsidR="00514495" w:rsidRPr="00452597" w:rsidRDefault="00445649" w:rsidP="00054CC8">
            <w:pPr>
              <w:pStyle w:val="Listenabsatz"/>
              <w:ind w:left="0"/>
              <w:rPr>
                <w:lang w:val="en-US"/>
              </w:rPr>
            </w:pPr>
            <w:r w:rsidRPr="00452597">
              <w:rPr>
                <w:lang w:val="en-US"/>
              </w:rPr>
              <w:t>Fair – no blinding</w:t>
            </w:r>
          </w:p>
        </w:tc>
        <w:tc>
          <w:tcPr>
            <w:tcW w:w="8363" w:type="dxa"/>
          </w:tcPr>
          <w:p w14:paraId="7ACAE0FE" w14:textId="767D1BC9" w:rsidR="00514495" w:rsidRPr="00452597" w:rsidRDefault="00514495" w:rsidP="00BC6489">
            <w:pPr>
              <w:pStyle w:val="Listenabsatz"/>
              <w:numPr>
                <w:ilvl w:val="0"/>
                <w:numId w:val="18"/>
              </w:numPr>
              <w:rPr>
                <w:lang w:val="en-US"/>
              </w:rPr>
            </w:pPr>
            <w:r w:rsidRPr="00452597">
              <w:rPr>
                <w:lang w:val="en-US"/>
              </w:rPr>
              <w:t>Outcome: BMI in different age groups</w:t>
            </w:r>
          </w:p>
          <w:p w14:paraId="54266F93" w14:textId="77777777" w:rsidR="00514495" w:rsidRPr="00452597" w:rsidRDefault="00514495" w:rsidP="00BC6489">
            <w:pPr>
              <w:pStyle w:val="Listenabsatz"/>
              <w:numPr>
                <w:ilvl w:val="0"/>
                <w:numId w:val="16"/>
              </w:numPr>
              <w:rPr>
                <w:lang w:val="en-US"/>
              </w:rPr>
            </w:pPr>
            <w:r w:rsidRPr="00452597">
              <w:rPr>
                <w:lang w:val="en-US"/>
              </w:rPr>
              <w:t>Dose-response (none, ½ pack, &gt; ½ pack per day): only chi-square and p values reported</w:t>
            </w:r>
          </w:p>
          <w:p w14:paraId="61934B9E" w14:textId="77777777" w:rsidR="00514495" w:rsidRPr="00452597" w:rsidRDefault="00514495" w:rsidP="00BC6489">
            <w:pPr>
              <w:pStyle w:val="Listenabsatz"/>
              <w:numPr>
                <w:ilvl w:val="1"/>
                <w:numId w:val="16"/>
              </w:numPr>
              <w:rPr>
                <w:lang w:val="en-US"/>
              </w:rPr>
            </w:pPr>
            <w:r w:rsidRPr="00452597">
              <w:rPr>
                <w:lang w:val="en-US"/>
              </w:rPr>
              <w:t>8-11 year old children: p=0.002</w:t>
            </w:r>
          </w:p>
          <w:p w14:paraId="6AC8D7D8" w14:textId="77777777" w:rsidR="00514495" w:rsidRPr="00452597" w:rsidRDefault="00514495" w:rsidP="00BC6489">
            <w:pPr>
              <w:pStyle w:val="Listenabsatz"/>
              <w:numPr>
                <w:ilvl w:val="1"/>
                <w:numId w:val="16"/>
              </w:numPr>
              <w:rPr>
                <w:lang w:val="en-US"/>
              </w:rPr>
            </w:pPr>
            <w:r w:rsidRPr="00452597">
              <w:rPr>
                <w:lang w:val="en-US"/>
              </w:rPr>
              <w:t>12-15 year old children: p=0.001</w:t>
            </w:r>
          </w:p>
          <w:p w14:paraId="360D6571" w14:textId="77777777" w:rsidR="00514495" w:rsidRPr="00452597" w:rsidRDefault="00514495" w:rsidP="00BC6489">
            <w:pPr>
              <w:pStyle w:val="Listenabsatz"/>
              <w:numPr>
                <w:ilvl w:val="1"/>
                <w:numId w:val="16"/>
              </w:numPr>
              <w:rPr>
                <w:lang w:val="en-US"/>
              </w:rPr>
            </w:pPr>
            <w:r w:rsidRPr="00452597">
              <w:rPr>
                <w:lang w:val="en-US"/>
              </w:rPr>
              <w:t>16-18 year old children: p=0.03</w:t>
            </w:r>
          </w:p>
        </w:tc>
      </w:tr>
      <w:tr w:rsidR="00514495" w:rsidRPr="001E0558" w14:paraId="55A01A1F" w14:textId="77777777" w:rsidTr="00435FF2">
        <w:tc>
          <w:tcPr>
            <w:tcW w:w="1696" w:type="dxa"/>
          </w:tcPr>
          <w:p w14:paraId="0E504251" w14:textId="5761358A" w:rsidR="00514495" w:rsidRPr="00C96FC8" w:rsidRDefault="00C96FC8" w:rsidP="00C96FC8">
            <w:pPr>
              <w:rPr>
                <w:rFonts w:cs="Times New Roman"/>
                <w:b/>
                <w:vertAlign w:val="superscript"/>
                <w:lang w:val="en-US"/>
              </w:rPr>
            </w:pPr>
            <w:r>
              <w:rPr>
                <w:rFonts w:cs="Times New Roman"/>
                <w:b/>
                <w:lang w:val="en-US"/>
              </w:rPr>
              <w:t>Power 2002</w:t>
            </w:r>
            <w:r w:rsidRPr="00C96FC8">
              <w:rPr>
                <w:rFonts w:cs="Times New Roman"/>
                <w:vertAlign w:val="superscript"/>
                <w:lang w:val="en-US"/>
              </w:rPr>
              <w:t>32</w:t>
            </w:r>
          </w:p>
        </w:tc>
        <w:tc>
          <w:tcPr>
            <w:tcW w:w="1843" w:type="dxa"/>
          </w:tcPr>
          <w:p w14:paraId="46DF769F" w14:textId="675EEB72" w:rsidR="00514495" w:rsidRPr="00452597" w:rsidRDefault="00484C96" w:rsidP="00054CC8">
            <w:pPr>
              <w:pStyle w:val="Listenabsatz"/>
              <w:ind w:left="0"/>
              <w:rPr>
                <w:lang w:val="en-US"/>
              </w:rPr>
            </w:pPr>
            <w:r w:rsidRPr="00452597">
              <w:rPr>
                <w:lang w:val="en-US"/>
              </w:rPr>
              <w:t xml:space="preserve">1958 </w:t>
            </w:r>
            <w:proofErr w:type="spellStart"/>
            <w:r w:rsidRPr="00452597">
              <w:rPr>
                <w:lang w:val="en-US"/>
              </w:rPr>
              <w:t>Britishbirth</w:t>
            </w:r>
            <w:proofErr w:type="spellEnd"/>
            <w:r w:rsidRPr="00452597">
              <w:rPr>
                <w:lang w:val="en-US"/>
              </w:rPr>
              <w:t xml:space="preserve"> cohort, prospective study</w:t>
            </w:r>
          </w:p>
        </w:tc>
        <w:tc>
          <w:tcPr>
            <w:tcW w:w="992" w:type="dxa"/>
          </w:tcPr>
          <w:p w14:paraId="380B5616" w14:textId="3F7B633C" w:rsidR="00514495" w:rsidRPr="00452597" w:rsidRDefault="00484C96" w:rsidP="00054CC8">
            <w:pPr>
              <w:pStyle w:val="Listenabsatz"/>
              <w:ind w:left="0"/>
              <w:rPr>
                <w:lang w:val="en-US"/>
              </w:rPr>
            </w:pPr>
            <w:r w:rsidRPr="00452597">
              <w:rPr>
                <w:lang w:val="en-US"/>
              </w:rPr>
              <w:t>11405</w:t>
            </w:r>
          </w:p>
        </w:tc>
        <w:tc>
          <w:tcPr>
            <w:tcW w:w="993" w:type="dxa"/>
          </w:tcPr>
          <w:p w14:paraId="6B327D74" w14:textId="7B9AC112" w:rsidR="00514495" w:rsidRPr="00452597" w:rsidRDefault="00484C96" w:rsidP="00054CC8">
            <w:pPr>
              <w:pStyle w:val="Listenabsatz"/>
              <w:ind w:left="0"/>
              <w:rPr>
                <w:lang w:val="en-US"/>
              </w:rPr>
            </w:pPr>
            <w:r w:rsidRPr="00452597">
              <w:rPr>
                <w:lang w:val="en-US"/>
              </w:rPr>
              <w:t>33</w:t>
            </w:r>
          </w:p>
        </w:tc>
        <w:tc>
          <w:tcPr>
            <w:tcW w:w="1134" w:type="dxa"/>
          </w:tcPr>
          <w:p w14:paraId="480095DD" w14:textId="71B4D6D3" w:rsidR="00514495" w:rsidRPr="00452597" w:rsidRDefault="001E0A12" w:rsidP="00445649">
            <w:pPr>
              <w:pStyle w:val="Listenabsatz"/>
              <w:ind w:left="0"/>
              <w:rPr>
                <w:lang w:val="en-US"/>
              </w:rPr>
            </w:pPr>
            <w:r w:rsidRPr="00452597">
              <w:rPr>
                <w:lang w:val="en-US"/>
              </w:rPr>
              <w:t>Good</w:t>
            </w:r>
          </w:p>
        </w:tc>
        <w:tc>
          <w:tcPr>
            <w:tcW w:w="8363" w:type="dxa"/>
          </w:tcPr>
          <w:p w14:paraId="380CCF1B" w14:textId="67E7F075" w:rsidR="00514495" w:rsidRPr="00452597" w:rsidRDefault="00514495" w:rsidP="00BC6489">
            <w:pPr>
              <w:pStyle w:val="Listenabsatz"/>
              <w:numPr>
                <w:ilvl w:val="0"/>
                <w:numId w:val="15"/>
              </w:numPr>
              <w:rPr>
                <w:lang w:val="en-US"/>
              </w:rPr>
            </w:pPr>
            <w:r w:rsidRPr="00452597">
              <w:rPr>
                <w:lang w:val="en-US"/>
              </w:rPr>
              <w:t xml:space="preserve">Outcome: Obesity at age 33 </w:t>
            </w:r>
          </w:p>
          <w:p w14:paraId="5E7202B1" w14:textId="77777777" w:rsidR="00514495" w:rsidRPr="00452597" w:rsidRDefault="00514495" w:rsidP="00BC6489">
            <w:pPr>
              <w:pStyle w:val="Listenabsatz"/>
              <w:numPr>
                <w:ilvl w:val="0"/>
                <w:numId w:val="15"/>
              </w:numPr>
              <w:rPr>
                <w:lang w:val="en-US"/>
              </w:rPr>
            </w:pPr>
            <w:r w:rsidRPr="00452597">
              <w:rPr>
                <w:lang w:val="en-US"/>
              </w:rPr>
              <w:t xml:space="preserve">Overall association for smoking (yes/no): </w:t>
            </w:r>
          </w:p>
          <w:p w14:paraId="56DE2FDE" w14:textId="77777777" w:rsidR="00514495" w:rsidRPr="00452597" w:rsidRDefault="00514495" w:rsidP="00BC6489">
            <w:pPr>
              <w:pStyle w:val="Listenabsatz"/>
              <w:numPr>
                <w:ilvl w:val="1"/>
                <w:numId w:val="15"/>
              </w:numPr>
              <w:rPr>
                <w:lang w:val="en-US"/>
              </w:rPr>
            </w:pPr>
            <w:r w:rsidRPr="00452597">
              <w:rPr>
                <w:lang w:val="en-US"/>
              </w:rPr>
              <w:t>male OR=1.55, 95%-CI=[1.19-2.00]</w:t>
            </w:r>
          </w:p>
          <w:p w14:paraId="24DF433F" w14:textId="77777777" w:rsidR="00514495" w:rsidRPr="00452597" w:rsidRDefault="00514495" w:rsidP="00BC6489">
            <w:pPr>
              <w:pStyle w:val="Listenabsatz"/>
              <w:numPr>
                <w:ilvl w:val="1"/>
                <w:numId w:val="15"/>
              </w:numPr>
              <w:rPr>
                <w:lang w:val="en-US"/>
              </w:rPr>
            </w:pPr>
            <w:r w:rsidRPr="00452597">
              <w:rPr>
                <w:lang w:val="en-US"/>
              </w:rPr>
              <w:t>female OR=1.45, 95%-CI=[1.13-1.87]</w:t>
            </w:r>
          </w:p>
          <w:p w14:paraId="24239B6F" w14:textId="77777777" w:rsidR="00514495" w:rsidRPr="00452597" w:rsidRDefault="00514495" w:rsidP="00BC6489">
            <w:pPr>
              <w:pStyle w:val="Listenabsatz"/>
              <w:numPr>
                <w:ilvl w:val="0"/>
                <w:numId w:val="15"/>
              </w:numPr>
              <w:rPr>
                <w:lang w:val="en-US"/>
              </w:rPr>
            </w:pPr>
            <w:r w:rsidRPr="00452597">
              <w:rPr>
                <w:lang w:val="en-US"/>
              </w:rPr>
              <w:t>For dose effects only prevalence reported:</w:t>
            </w:r>
          </w:p>
          <w:p w14:paraId="050EB91C" w14:textId="77777777" w:rsidR="00514495" w:rsidRPr="00452597" w:rsidRDefault="00514495" w:rsidP="00BC6489">
            <w:pPr>
              <w:pStyle w:val="Listenabsatz"/>
              <w:numPr>
                <w:ilvl w:val="1"/>
                <w:numId w:val="15"/>
              </w:numPr>
              <w:rPr>
                <w:lang w:val="en-US"/>
              </w:rPr>
            </w:pPr>
            <w:r w:rsidRPr="00452597">
              <w:rPr>
                <w:lang w:val="en-US"/>
              </w:rPr>
              <w:t>none 10.3%</w:t>
            </w:r>
          </w:p>
          <w:p w14:paraId="20E01B19" w14:textId="77777777" w:rsidR="00514495" w:rsidRPr="00452597" w:rsidRDefault="00514495" w:rsidP="00BC6489">
            <w:pPr>
              <w:pStyle w:val="Listenabsatz"/>
              <w:numPr>
                <w:ilvl w:val="1"/>
                <w:numId w:val="15"/>
              </w:numPr>
              <w:rPr>
                <w:lang w:val="en-US"/>
              </w:rPr>
            </w:pPr>
            <w:r w:rsidRPr="00452597">
              <w:rPr>
                <w:lang w:val="en-US"/>
              </w:rPr>
              <w:t>light (1-9 cig) 13.4%</w:t>
            </w:r>
          </w:p>
          <w:p w14:paraId="507C6333" w14:textId="77777777" w:rsidR="00514495" w:rsidRPr="00452597" w:rsidRDefault="00514495" w:rsidP="00BC6489">
            <w:pPr>
              <w:pStyle w:val="Listenabsatz"/>
              <w:numPr>
                <w:ilvl w:val="1"/>
                <w:numId w:val="15"/>
              </w:numPr>
              <w:rPr>
                <w:lang w:val="en-US"/>
              </w:rPr>
            </w:pPr>
            <w:r w:rsidRPr="00452597">
              <w:rPr>
                <w:lang w:val="en-US"/>
              </w:rPr>
              <w:t>medium (10-19 cig.) 15.0%</w:t>
            </w:r>
          </w:p>
          <w:p w14:paraId="4EF6828E" w14:textId="77777777" w:rsidR="00514495" w:rsidRPr="00452597" w:rsidRDefault="00514495" w:rsidP="00BC6489">
            <w:pPr>
              <w:pStyle w:val="Listenabsatz"/>
              <w:numPr>
                <w:ilvl w:val="1"/>
                <w:numId w:val="15"/>
              </w:numPr>
              <w:rPr>
                <w:lang w:val="en-US"/>
              </w:rPr>
            </w:pPr>
            <w:proofErr w:type="gramStart"/>
            <w:r w:rsidRPr="00452597">
              <w:rPr>
                <w:lang w:val="en-US"/>
              </w:rPr>
              <w:t>heavy</w:t>
            </w:r>
            <w:proofErr w:type="gramEnd"/>
            <w:r w:rsidRPr="00452597">
              <w:rPr>
                <w:lang w:val="en-US"/>
              </w:rPr>
              <w:t xml:space="preserve"> (&gt;20 cig.)16% </w:t>
            </w:r>
          </w:p>
          <w:p w14:paraId="61FB520F" w14:textId="77777777" w:rsidR="00514495" w:rsidRPr="00452597" w:rsidRDefault="00514495" w:rsidP="00BC6489">
            <w:pPr>
              <w:pStyle w:val="Listenabsatz"/>
              <w:numPr>
                <w:ilvl w:val="1"/>
                <w:numId w:val="15"/>
              </w:numPr>
              <w:rPr>
                <w:lang w:val="en-US"/>
              </w:rPr>
            </w:pPr>
            <w:r w:rsidRPr="00452597">
              <w:rPr>
                <w:lang w:val="en-US"/>
              </w:rPr>
              <w:t>significant linear dose trend</w:t>
            </w:r>
          </w:p>
          <w:p w14:paraId="0187E670" w14:textId="77777777" w:rsidR="00514495" w:rsidRPr="00452597" w:rsidRDefault="00514495" w:rsidP="00A816B8">
            <w:pPr>
              <w:pStyle w:val="Listenabsatz"/>
              <w:rPr>
                <w:lang w:val="en-US"/>
              </w:rPr>
            </w:pPr>
            <w:r w:rsidRPr="00452597">
              <w:rPr>
                <w:lang w:val="en-US"/>
              </w:rPr>
              <w:lastRenderedPageBreak/>
              <w:t xml:space="preserve"> [Sex and age stratified unadjusted logistic model; adjustment for prenatal BMI, maternal age, infant feeding, parity, social class, TV watching]</w:t>
            </w:r>
          </w:p>
        </w:tc>
      </w:tr>
      <w:tr w:rsidR="00514495" w:rsidRPr="001E0558" w14:paraId="51FDAD87" w14:textId="77777777" w:rsidTr="00435FF2">
        <w:tc>
          <w:tcPr>
            <w:tcW w:w="1696" w:type="dxa"/>
          </w:tcPr>
          <w:p w14:paraId="7A170362" w14:textId="384393FC" w:rsidR="00514495" w:rsidRPr="001E0558" w:rsidRDefault="001E0558" w:rsidP="001E0558">
            <w:pPr>
              <w:rPr>
                <w:rFonts w:cs="Times New Roman"/>
                <w:b/>
                <w:vertAlign w:val="superscript"/>
                <w:lang w:val="en-US"/>
              </w:rPr>
            </w:pPr>
            <w:proofErr w:type="spellStart"/>
            <w:r>
              <w:rPr>
                <w:rFonts w:cs="Times New Roman"/>
                <w:b/>
                <w:lang w:val="en-US"/>
              </w:rPr>
              <w:lastRenderedPageBreak/>
              <w:t>Iliadou</w:t>
            </w:r>
            <w:proofErr w:type="spellEnd"/>
            <w:r>
              <w:rPr>
                <w:rFonts w:cs="Times New Roman"/>
                <w:b/>
                <w:lang w:val="en-US"/>
              </w:rPr>
              <w:t xml:space="preserve"> 2010</w:t>
            </w:r>
            <w:r w:rsidRPr="001E0558">
              <w:rPr>
                <w:rFonts w:cs="Times New Roman"/>
                <w:vertAlign w:val="superscript"/>
                <w:lang w:val="en-US"/>
              </w:rPr>
              <w:t>18</w:t>
            </w:r>
          </w:p>
        </w:tc>
        <w:tc>
          <w:tcPr>
            <w:tcW w:w="1843" w:type="dxa"/>
          </w:tcPr>
          <w:p w14:paraId="124649AA" w14:textId="6F5323F2" w:rsidR="00514495" w:rsidRPr="00452597" w:rsidRDefault="00DA0587" w:rsidP="00DA0587">
            <w:pPr>
              <w:pStyle w:val="Listenabsatz"/>
              <w:ind w:left="0"/>
              <w:rPr>
                <w:lang w:val="en-US"/>
              </w:rPr>
            </w:pPr>
            <w:r w:rsidRPr="00452597">
              <w:rPr>
                <w:lang w:val="en-US"/>
              </w:rPr>
              <w:t xml:space="preserve">Cohort study through linkage of national registers </w:t>
            </w:r>
          </w:p>
        </w:tc>
        <w:tc>
          <w:tcPr>
            <w:tcW w:w="992" w:type="dxa"/>
          </w:tcPr>
          <w:p w14:paraId="5E2C1CB7" w14:textId="06BF5953" w:rsidR="00514495" w:rsidRPr="00452597" w:rsidRDefault="006D61F7" w:rsidP="006D61F7">
            <w:pPr>
              <w:pStyle w:val="Listenabsatz"/>
              <w:ind w:left="0"/>
              <w:rPr>
                <w:lang w:val="en-US"/>
              </w:rPr>
            </w:pPr>
            <w:r w:rsidRPr="00452597">
              <w:rPr>
                <w:lang w:val="en-US"/>
              </w:rPr>
              <w:t>259751</w:t>
            </w:r>
          </w:p>
        </w:tc>
        <w:tc>
          <w:tcPr>
            <w:tcW w:w="993" w:type="dxa"/>
          </w:tcPr>
          <w:p w14:paraId="2AC24A8C" w14:textId="556312B7" w:rsidR="00514495" w:rsidRPr="00452597" w:rsidRDefault="006D61F7" w:rsidP="00DA0587">
            <w:pPr>
              <w:pStyle w:val="Listenabsatz"/>
              <w:ind w:left="0"/>
              <w:rPr>
                <w:lang w:val="en-US"/>
              </w:rPr>
            </w:pPr>
            <w:r w:rsidRPr="00452597">
              <w:rPr>
                <w:lang w:val="en-US"/>
              </w:rPr>
              <w:t>Ca. 18</w:t>
            </w:r>
          </w:p>
        </w:tc>
        <w:tc>
          <w:tcPr>
            <w:tcW w:w="1134" w:type="dxa"/>
          </w:tcPr>
          <w:p w14:paraId="70E7DCD3" w14:textId="3D05034B" w:rsidR="00514495" w:rsidRPr="00452597" w:rsidRDefault="001E0A12" w:rsidP="00DA0587">
            <w:pPr>
              <w:pStyle w:val="Listenabsatz"/>
              <w:ind w:left="0"/>
              <w:rPr>
                <w:lang w:val="en-US"/>
              </w:rPr>
            </w:pPr>
            <w:r w:rsidRPr="00452597">
              <w:rPr>
                <w:lang w:val="en-US"/>
              </w:rPr>
              <w:t>Good</w:t>
            </w:r>
          </w:p>
        </w:tc>
        <w:tc>
          <w:tcPr>
            <w:tcW w:w="8363" w:type="dxa"/>
          </w:tcPr>
          <w:p w14:paraId="5FE9B006" w14:textId="59822590" w:rsidR="00514495" w:rsidRPr="00452597" w:rsidRDefault="00514495" w:rsidP="00BC6489">
            <w:pPr>
              <w:pStyle w:val="Listenabsatz"/>
              <w:numPr>
                <w:ilvl w:val="0"/>
                <w:numId w:val="15"/>
              </w:numPr>
              <w:rPr>
                <w:lang w:val="en-US"/>
              </w:rPr>
            </w:pPr>
            <w:r w:rsidRPr="00452597">
              <w:rPr>
                <w:lang w:val="en-US"/>
              </w:rPr>
              <w:t>Outcome: Obesity/overweight at age 18  in sons</w:t>
            </w:r>
          </w:p>
          <w:p w14:paraId="2312C5E6" w14:textId="77777777" w:rsidR="00514495" w:rsidRPr="00452597" w:rsidRDefault="00514495" w:rsidP="00BC6489">
            <w:pPr>
              <w:pStyle w:val="Listenabsatz"/>
              <w:numPr>
                <w:ilvl w:val="0"/>
                <w:numId w:val="15"/>
              </w:numPr>
              <w:rPr>
                <w:lang w:val="en-US"/>
              </w:rPr>
            </w:pPr>
            <w:r w:rsidRPr="00452597">
              <w:rPr>
                <w:lang w:val="en-US"/>
              </w:rPr>
              <w:t>Dose effects: (compared to non-smoking)</w:t>
            </w:r>
          </w:p>
          <w:p w14:paraId="223EDBBA" w14:textId="77777777" w:rsidR="00514495" w:rsidRPr="00452597" w:rsidRDefault="00514495" w:rsidP="00BC6489">
            <w:pPr>
              <w:pStyle w:val="Listenabsatz"/>
              <w:numPr>
                <w:ilvl w:val="1"/>
                <w:numId w:val="15"/>
              </w:numPr>
              <w:rPr>
                <w:lang w:val="en-US"/>
              </w:rPr>
            </w:pPr>
            <w:r w:rsidRPr="00452597">
              <w:rPr>
                <w:lang w:val="en-US"/>
              </w:rPr>
              <w:t xml:space="preserve">1-9 cig OR=1.41, 95%-CI=[1.34-1.49] </w:t>
            </w:r>
          </w:p>
          <w:p w14:paraId="608039DF" w14:textId="77777777" w:rsidR="00514495" w:rsidRPr="00452597" w:rsidRDefault="00514495" w:rsidP="00BC6489">
            <w:pPr>
              <w:pStyle w:val="Listenabsatz"/>
              <w:numPr>
                <w:ilvl w:val="1"/>
                <w:numId w:val="15"/>
              </w:numPr>
              <w:rPr>
                <w:lang w:val="en-US"/>
              </w:rPr>
            </w:pPr>
            <w:r w:rsidRPr="00452597">
              <w:rPr>
                <w:lang w:val="en-US"/>
              </w:rPr>
              <w:t>&gt;10 cig OR=1.56, 95%-CI=[1.46-1.66]</w:t>
            </w:r>
          </w:p>
          <w:p w14:paraId="32390EE8" w14:textId="77777777" w:rsidR="00514495" w:rsidRPr="00452597" w:rsidRDefault="00514495" w:rsidP="00A816B8">
            <w:pPr>
              <w:pStyle w:val="Listenabsatz"/>
              <w:ind w:left="1068"/>
              <w:rPr>
                <w:lang w:val="en-US"/>
              </w:rPr>
            </w:pPr>
            <w:r w:rsidRPr="00452597">
              <w:rPr>
                <w:lang w:val="en-US"/>
              </w:rPr>
              <w:t>[Generalized estimating equation models with adjustment for birth characteristics  and other parental and adult characteristics]</w:t>
            </w:r>
          </w:p>
        </w:tc>
      </w:tr>
      <w:tr w:rsidR="00514495" w:rsidRPr="001E0558" w14:paraId="05B87DC3" w14:textId="77777777" w:rsidTr="00435FF2">
        <w:tc>
          <w:tcPr>
            <w:tcW w:w="1696" w:type="dxa"/>
          </w:tcPr>
          <w:p w14:paraId="0BF6E651" w14:textId="72E9182B" w:rsidR="00514495" w:rsidRPr="00452597" w:rsidRDefault="001E0558" w:rsidP="001E0558">
            <w:pPr>
              <w:rPr>
                <w:rFonts w:cs="Times New Roman"/>
                <w:b/>
                <w:lang w:val="en-US"/>
              </w:rPr>
            </w:pPr>
            <w:proofErr w:type="spellStart"/>
            <w:r>
              <w:rPr>
                <w:rFonts w:cs="Times New Roman"/>
                <w:b/>
                <w:lang w:val="en-US"/>
              </w:rPr>
              <w:t>Kuhle</w:t>
            </w:r>
            <w:proofErr w:type="spellEnd"/>
            <w:r>
              <w:rPr>
                <w:rFonts w:cs="Times New Roman"/>
                <w:b/>
                <w:lang w:val="en-US"/>
              </w:rPr>
              <w:t xml:space="preserve"> 2010</w:t>
            </w:r>
            <w:r w:rsidRPr="001E0558">
              <w:rPr>
                <w:rFonts w:cs="Times New Roman"/>
                <w:vertAlign w:val="superscript"/>
                <w:lang w:val="en-US"/>
              </w:rPr>
              <w:t>59</w:t>
            </w:r>
          </w:p>
        </w:tc>
        <w:tc>
          <w:tcPr>
            <w:tcW w:w="1843" w:type="dxa"/>
          </w:tcPr>
          <w:p w14:paraId="57BC0DB3" w14:textId="372AA370" w:rsidR="00514495" w:rsidRPr="00452597" w:rsidRDefault="006D61F7" w:rsidP="006D61F7">
            <w:pPr>
              <w:pStyle w:val="Listenabsatz"/>
              <w:ind w:left="0"/>
              <w:rPr>
                <w:lang w:val="en-US"/>
              </w:rPr>
            </w:pPr>
            <w:proofErr w:type="spellStart"/>
            <w:r w:rsidRPr="00452597">
              <w:rPr>
                <w:lang w:val="en-US"/>
              </w:rPr>
              <w:t>Childrens</w:t>
            </w:r>
            <w:proofErr w:type="spellEnd"/>
            <w:r w:rsidRPr="00452597">
              <w:rPr>
                <w:lang w:val="en-US"/>
              </w:rPr>
              <w:t xml:space="preserve"> Lifestyle </w:t>
            </w:r>
            <w:r w:rsidR="00642D1E" w:rsidRPr="00452597">
              <w:rPr>
                <w:lang w:val="en-US"/>
              </w:rPr>
              <w:t>a</w:t>
            </w:r>
            <w:r w:rsidRPr="00452597">
              <w:rPr>
                <w:lang w:val="en-US"/>
              </w:rPr>
              <w:t>nd School Performance Study</w:t>
            </w:r>
            <w:r w:rsidR="00642D1E" w:rsidRPr="00452597">
              <w:rPr>
                <w:lang w:val="en-US"/>
              </w:rPr>
              <w:t>, prospective</w:t>
            </w:r>
          </w:p>
        </w:tc>
        <w:tc>
          <w:tcPr>
            <w:tcW w:w="992" w:type="dxa"/>
          </w:tcPr>
          <w:p w14:paraId="597D992C" w14:textId="5A2832F1" w:rsidR="00514495" w:rsidRPr="00452597" w:rsidRDefault="006D61F7" w:rsidP="006D61F7">
            <w:pPr>
              <w:pStyle w:val="Listenabsatz"/>
              <w:ind w:left="0"/>
              <w:rPr>
                <w:lang w:val="en-US"/>
              </w:rPr>
            </w:pPr>
            <w:r w:rsidRPr="00452597">
              <w:rPr>
                <w:lang w:val="en-US"/>
              </w:rPr>
              <w:t>3351</w:t>
            </w:r>
          </w:p>
        </w:tc>
        <w:tc>
          <w:tcPr>
            <w:tcW w:w="993" w:type="dxa"/>
          </w:tcPr>
          <w:p w14:paraId="31438ECD" w14:textId="084B2709" w:rsidR="00514495" w:rsidRPr="00452597" w:rsidRDefault="00642D1E" w:rsidP="006D61F7">
            <w:pPr>
              <w:pStyle w:val="Listenabsatz"/>
              <w:ind w:left="0"/>
              <w:rPr>
                <w:lang w:val="en-US"/>
              </w:rPr>
            </w:pPr>
            <w:r w:rsidRPr="00452597">
              <w:rPr>
                <w:lang w:val="en-US"/>
              </w:rPr>
              <w:t>5</w:t>
            </w:r>
            <w:r w:rsidRPr="00452597">
              <w:rPr>
                <w:vertAlign w:val="superscript"/>
                <w:lang w:val="en-US"/>
              </w:rPr>
              <w:t>th</w:t>
            </w:r>
            <w:r w:rsidRPr="00452597">
              <w:rPr>
                <w:lang w:val="en-US"/>
              </w:rPr>
              <w:t xml:space="preserve"> grade students</w:t>
            </w:r>
          </w:p>
        </w:tc>
        <w:tc>
          <w:tcPr>
            <w:tcW w:w="1134" w:type="dxa"/>
          </w:tcPr>
          <w:p w14:paraId="1234BAF6" w14:textId="208D2A7D" w:rsidR="00514495" w:rsidRPr="00452597" w:rsidRDefault="001E0A12" w:rsidP="00445649">
            <w:pPr>
              <w:pStyle w:val="Listenabsatz"/>
              <w:ind w:left="0"/>
              <w:rPr>
                <w:lang w:val="en-US"/>
              </w:rPr>
            </w:pPr>
            <w:r w:rsidRPr="00452597">
              <w:rPr>
                <w:lang w:val="en-US"/>
              </w:rPr>
              <w:t>Good</w:t>
            </w:r>
          </w:p>
        </w:tc>
        <w:tc>
          <w:tcPr>
            <w:tcW w:w="8363" w:type="dxa"/>
            <w:shd w:val="clear" w:color="auto" w:fill="auto"/>
          </w:tcPr>
          <w:p w14:paraId="19EE75D7" w14:textId="0A0F90DA" w:rsidR="00514495" w:rsidRPr="00452597" w:rsidRDefault="00514495" w:rsidP="00BC6489">
            <w:pPr>
              <w:pStyle w:val="Listenabsatz"/>
              <w:numPr>
                <w:ilvl w:val="0"/>
                <w:numId w:val="19"/>
              </w:numPr>
              <w:rPr>
                <w:lang w:val="en-US"/>
              </w:rPr>
            </w:pPr>
            <w:r w:rsidRPr="00452597">
              <w:rPr>
                <w:lang w:val="en-US"/>
              </w:rPr>
              <w:t xml:space="preserve">Outcome: Overweight </w:t>
            </w:r>
          </w:p>
          <w:p w14:paraId="6C2B665C" w14:textId="77777777" w:rsidR="00514495" w:rsidRPr="00452597" w:rsidRDefault="00514495" w:rsidP="00BC6489">
            <w:pPr>
              <w:pStyle w:val="Listenabsatz"/>
              <w:numPr>
                <w:ilvl w:val="0"/>
                <w:numId w:val="19"/>
              </w:numPr>
              <w:rPr>
                <w:lang w:val="en-US"/>
              </w:rPr>
            </w:pPr>
            <w:r w:rsidRPr="00452597">
              <w:rPr>
                <w:lang w:val="en-US"/>
              </w:rPr>
              <w:t>Dose effects: (reference non-smoking)</w:t>
            </w:r>
          </w:p>
          <w:p w14:paraId="5802CC89" w14:textId="77777777" w:rsidR="00514495" w:rsidRPr="00452597" w:rsidRDefault="00514495" w:rsidP="00BC6489">
            <w:pPr>
              <w:pStyle w:val="Listenabsatz"/>
              <w:numPr>
                <w:ilvl w:val="1"/>
                <w:numId w:val="15"/>
              </w:numPr>
              <w:rPr>
                <w:lang w:val="en-US"/>
              </w:rPr>
            </w:pPr>
            <w:r w:rsidRPr="00452597">
              <w:rPr>
                <w:lang w:val="en-US"/>
              </w:rPr>
              <w:t>½ pack: OR=1.39, 95%-CI=[1.14-1.70]</w:t>
            </w:r>
          </w:p>
          <w:p w14:paraId="7E6D7A02" w14:textId="77777777" w:rsidR="00514495" w:rsidRPr="00452597" w:rsidRDefault="00514495" w:rsidP="00BC6489">
            <w:pPr>
              <w:pStyle w:val="Listenabsatz"/>
              <w:numPr>
                <w:ilvl w:val="1"/>
                <w:numId w:val="15"/>
              </w:numPr>
              <w:rPr>
                <w:lang w:val="en-US"/>
              </w:rPr>
            </w:pPr>
            <w:r w:rsidRPr="00452597">
              <w:rPr>
                <w:lang w:val="en-US"/>
              </w:rPr>
              <w:t xml:space="preserve">&gt; ½  pack: OR=1.41, 95%-CI=[ [1.07-1.86] </w:t>
            </w:r>
          </w:p>
          <w:p w14:paraId="48EEA18D" w14:textId="77777777" w:rsidR="00514495" w:rsidRPr="00452597" w:rsidRDefault="00514495" w:rsidP="00A816B8">
            <w:pPr>
              <w:pStyle w:val="Listenabsatz"/>
              <w:rPr>
                <w:lang w:val="en-US"/>
              </w:rPr>
            </w:pPr>
            <w:r w:rsidRPr="00452597">
              <w:rPr>
                <w:lang w:val="en-US"/>
              </w:rPr>
              <w:t>[Logistic regression model with random effects for school adjusted for pre-</w:t>
            </w:r>
            <w:proofErr w:type="spellStart"/>
            <w:r w:rsidRPr="00452597">
              <w:rPr>
                <w:lang w:val="en-US"/>
              </w:rPr>
              <w:t>preg</w:t>
            </w:r>
            <w:proofErr w:type="spellEnd"/>
            <w:r w:rsidRPr="00452597">
              <w:rPr>
                <w:lang w:val="en-US"/>
              </w:rPr>
              <w:t xml:space="preserve"> weight, parity, pa, sedentary activity, SGA/AGA/LGA]</w:t>
            </w:r>
          </w:p>
        </w:tc>
      </w:tr>
      <w:tr w:rsidR="00514495" w:rsidRPr="00452597" w14:paraId="0F4677C0" w14:textId="77777777" w:rsidTr="00435FF2">
        <w:tc>
          <w:tcPr>
            <w:tcW w:w="1696" w:type="dxa"/>
          </w:tcPr>
          <w:p w14:paraId="11BD45A9" w14:textId="4EEC82E7" w:rsidR="00514495" w:rsidRPr="001E0558" w:rsidRDefault="001E0558" w:rsidP="001E0558">
            <w:pPr>
              <w:rPr>
                <w:rFonts w:cs="Times New Roman"/>
                <w:b/>
                <w:vertAlign w:val="superscript"/>
                <w:lang w:val="en-US"/>
              </w:rPr>
            </w:pPr>
            <w:r>
              <w:rPr>
                <w:rFonts w:cs="Times New Roman"/>
                <w:b/>
                <w:lang w:val="en-US"/>
              </w:rPr>
              <w:t>Fried 1999</w:t>
            </w:r>
            <w:r w:rsidRPr="001E0558">
              <w:rPr>
                <w:rFonts w:cs="Times New Roman"/>
                <w:vertAlign w:val="superscript"/>
                <w:lang w:val="en-US"/>
              </w:rPr>
              <w:t>74</w:t>
            </w:r>
          </w:p>
        </w:tc>
        <w:tc>
          <w:tcPr>
            <w:tcW w:w="1843" w:type="dxa"/>
          </w:tcPr>
          <w:p w14:paraId="48981939" w14:textId="01B8A5F9" w:rsidR="00514495" w:rsidRPr="00452597" w:rsidRDefault="00642D1E" w:rsidP="00642D1E">
            <w:pPr>
              <w:pStyle w:val="Listenabsatz"/>
              <w:ind w:left="0"/>
              <w:rPr>
                <w:lang w:val="en-US"/>
              </w:rPr>
            </w:pPr>
            <w:r w:rsidRPr="00452597">
              <w:rPr>
                <w:lang w:val="en-US"/>
              </w:rPr>
              <w:t>Ottawa Prenatal Prospective, prospective study</w:t>
            </w:r>
          </w:p>
        </w:tc>
        <w:tc>
          <w:tcPr>
            <w:tcW w:w="992" w:type="dxa"/>
          </w:tcPr>
          <w:p w14:paraId="7D154A76" w14:textId="1FBC82FE" w:rsidR="00514495" w:rsidRPr="00452597" w:rsidRDefault="00DA137F" w:rsidP="00642D1E">
            <w:pPr>
              <w:pStyle w:val="Listenabsatz"/>
              <w:ind w:left="0"/>
              <w:rPr>
                <w:lang w:val="en-US"/>
              </w:rPr>
            </w:pPr>
            <w:r w:rsidRPr="00452597">
              <w:rPr>
                <w:lang w:val="en-US"/>
              </w:rPr>
              <w:t>135</w:t>
            </w:r>
          </w:p>
        </w:tc>
        <w:tc>
          <w:tcPr>
            <w:tcW w:w="993" w:type="dxa"/>
          </w:tcPr>
          <w:p w14:paraId="6F4BAFD2" w14:textId="1DFA03BF" w:rsidR="00514495" w:rsidRPr="00452597" w:rsidRDefault="00DA137F" w:rsidP="00642D1E">
            <w:pPr>
              <w:pStyle w:val="Listenabsatz"/>
              <w:ind w:left="0"/>
              <w:rPr>
                <w:lang w:val="en-US"/>
              </w:rPr>
            </w:pPr>
            <w:r w:rsidRPr="00452597">
              <w:rPr>
                <w:lang w:val="en-US"/>
              </w:rPr>
              <w:t>9-12</w:t>
            </w:r>
          </w:p>
        </w:tc>
        <w:tc>
          <w:tcPr>
            <w:tcW w:w="1134" w:type="dxa"/>
          </w:tcPr>
          <w:p w14:paraId="599683FD" w14:textId="3F3D4E46" w:rsidR="00514495" w:rsidRPr="00452597" w:rsidRDefault="00445649" w:rsidP="006558C7">
            <w:pPr>
              <w:pStyle w:val="Listenabsatz"/>
              <w:ind w:left="0"/>
              <w:rPr>
                <w:lang w:val="en-US"/>
              </w:rPr>
            </w:pPr>
            <w:r w:rsidRPr="00452597">
              <w:rPr>
                <w:lang w:val="en-US"/>
              </w:rPr>
              <w:t>Fair – several aspects unclear</w:t>
            </w:r>
          </w:p>
        </w:tc>
        <w:tc>
          <w:tcPr>
            <w:tcW w:w="8363" w:type="dxa"/>
          </w:tcPr>
          <w:p w14:paraId="25261121" w14:textId="0BF538F3" w:rsidR="00514495" w:rsidRPr="00452597" w:rsidRDefault="00514495" w:rsidP="006558C7">
            <w:pPr>
              <w:pStyle w:val="Listenabsatz"/>
              <w:numPr>
                <w:ilvl w:val="0"/>
                <w:numId w:val="15"/>
              </w:numPr>
              <w:rPr>
                <w:lang w:val="en-US"/>
              </w:rPr>
            </w:pPr>
            <w:r w:rsidRPr="00452597">
              <w:rPr>
                <w:lang w:val="en-US"/>
              </w:rPr>
              <w:t>Outcome: Weight z-scores (SD) at age 9-12 years</w:t>
            </w:r>
          </w:p>
          <w:p w14:paraId="406BE353" w14:textId="77777777" w:rsidR="00514495" w:rsidRPr="00452597" w:rsidRDefault="00514495" w:rsidP="00BC6489">
            <w:pPr>
              <w:pStyle w:val="Listenabsatz"/>
              <w:numPr>
                <w:ilvl w:val="0"/>
                <w:numId w:val="15"/>
              </w:numPr>
              <w:rPr>
                <w:lang w:val="en-US"/>
              </w:rPr>
            </w:pPr>
            <w:r w:rsidRPr="00452597">
              <w:rPr>
                <w:lang w:val="en-US"/>
              </w:rPr>
              <w:t>Dose effects stratified by sex:</w:t>
            </w:r>
          </w:p>
          <w:p w14:paraId="05FCB3CF" w14:textId="77777777" w:rsidR="00514495" w:rsidRPr="00452597" w:rsidRDefault="00514495" w:rsidP="00BC6489">
            <w:pPr>
              <w:pStyle w:val="Listenabsatz"/>
              <w:numPr>
                <w:ilvl w:val="1"/>
                <w:numId w:val="15"/>
              </w:numPr>
              <w:rPr>
                <w:lang w:val="en-US"/>
              </w:rPr>
            </w:pPr>
            <w:r w:rsidRPr="00452597">
              <w:rPr>
                <w:lang w:val="en-US"/>
              </w:rPr>
              <w:t>boys:</w:t>
            </w:r>
          </w:p>
          <w:p w14:paraId="4A8AB8B5" w14:textId="77777777" w:rsidR="00514495" w:rsidRPr="00452597" w:rsidRDefault="00514495" w:rsidP="00BC6489">
            <w:pPr>
              <w:pStyle w:val="Listenabsatz"/>
              <w:numPr>
                <w:ilvl w:val="0"/>
                <w:numId w:val="21"/>
              </w:numPr>
              <w:rPr>
                <w:lang w:val="en-US"/>
              </w:rPr>
            </w:pPr>
            <w:r w:rsidRPr="00452597">
              <w:rPr>
                <w:lang w:val="en-US"/>
              </w:rPr>
              <w:t>None: 0.33 (1.0)</w:t>
            </w:r>
          </w:p>
          <w:p w14:paraId="46DCCD8C" w14:textId="77777777" w:rsidR="00514495" w:rsidRPr="00452597" w:rsidRDefault="00514495" w:rsidP="00BC6489">
            <w:pPr>
              <w:pStyle w:val="Listenabsatz"/>
              <w:numPr>
                <w:ilvl w:val="0"/>
                <w:numId w:val="21"/>
              </w:numPr>
              <w:rPr>
                <w:lang w:val="en-US"/>
              </w:rPr>
            </w:pPr>
            <w:r w:rsidRPr="00452597">
              <w:rPr>
                <w:lang w:val="en-US"/>
              </w:rPr>
              <w:t>1-16 cig. 0.76 (1.1)</w:t>
            </w:r>
          </w:p>
          <w:p w14:paraId="1FC64CE0" w14:textId="77777777" w:rsidR="00514495" w:rsidRPr="00452597" w:rsidRDefault="00514495" w:rsidP="00BC6489">
            <w:pPr>
              <w:pStyle w:val="Listenabsatz"/>
              <w:numPr>
                <w:ilvl w:val="0"/>
                <w:numId w:val="21"/>
              </w:numPr>
              <w:rPr>
                <w:lang w:val="en-US"/>
              </w:rPr>
            </w:pPr>
            <w:r w:rsidRPr="00452597">
              <w:rPr>
                <w:lang w:val="en-US"/>
              </w:rPr>
              <w:t>&gt;16 cig. 0.99 (1.2)</w:t>
            </w:r>
          </w:p>
          <w:p w14:paraId="157FFF20" w14:textId="77777777" w:rsidR="00514495" w:rsidRPr="00452597" w:rsidRDefault="00514495" w:rsidP="00BC6489">
            <w:pPr>
              <w:pStyle w:val="Listenabsatz"/>
              <w:numPr>
                <w:ilvl w:val="1"/>
                <w:numId w:val="15"/>
              </w:numPr>
              <w:rPr>
                <w:lang w:val="en-US"/>
              </w:rPr>
            </w:pPr>
            <w:r w:rsidRPr="00452597">
              <w:rPr>
                <w:lang w:val="en-US"/>
              </w:rPr>
              <w:t>girls:</w:t>
            </w:r>
          </w:p>
          <w:p w14:paraId="6A6B289E" w14:textId="77777777" w:rsidR="00514495" w:rsidRPr="00452597" w:rsidRDefault="00514495" w:rsidP="00BC6489">
            <w:pPr>
              <w:pStyle w:val="Listenabsatz"/>
              <w:numPr>
                <w:ilvl w:val="2"/>
                <w:numId w:val="20"/>
              </w:numPr>
              <w:rPr>
                <w:lang w:val="en-US"/>
              </w:rPr>
            </w:pPr>
            <w:r w:rsidRPr="00452597">
              <w:rPr>
                <w:lang w:val="en-US"/>
              </w:rPr>
              <w:t>None: 0.16 (0.9)</w:t>
            </w:r>
          </w:p>
          <w:p w14:paraId="2C0225DE" w14:textId="77777777" w:rsidR="00514495" w:rsidRPr="00452597" w:rsidRDefault="00514495" w:rsidP="00BC6489">
            <w:pPr>
              <w:pStyle w:val="Listenabsatz"/>
              <w:numPr>
                <w:ilvl w:val="2"/>
                <w:numId w:val="20"/>
              </w:numPr>
              <w:rPr>
                <w:lang w:val="en-US"/>
              </w:rPr>
            </w:pPr>
            <w:r w:rsidRPr="00452597">
              <w:rPr>
                <w:lang w:val="en-US"/>
              </w:rPr>
              <w:t>1-16 cig. 0.24 (0.8)</w:t>
            </w:r>
          </w:p>
          <w:p w14:paraId="697381C6" w14:textId="77777777" w:rsidR="00514495" w:rsidRPr="00452597" w:rsidRDefault="00514495" w:rsidP="00BC6489">
            <w:pPr>
              <w:pStyle w:val="Listenabsatz"/>
              <w:numPr>
                <w:ilvl w:val="2"/>
                <w:numId w:val="20"/>
              </w:numPr>
              <w:rPr>
                <w:lang w:val="en-US"/>
              </w:rPr>
            </w:pPr>
            <w:r w:rsidRPr="00452597">
              <w:rPr>
                <w:lang w:val="en-US"/>
              </w:rPr>
              <w:t>&gt;16 cig. 0.67 (0.9)</w:t>
            </w:r>
          </w:p>
        </w:tc>
      </w:tr>
      <w:tr w:rsidR="00514495" w:rsidRPr="00452597" w14:paraId="5BD63509" w14:textId="77777777" w:rsidTr="00435FF2">
        <w:tc>
          <w:tcPr>
            <w:tcW w:w="1696" w:type="dxa"/>
          </w:tcPr>
          <w:p w14:paraId="1D6CCD08" w14:textId="130D391F" w:rsidR="00514495" w:rsidRPr="001E0558" w:rsidRDefault="001E0558" w:rsidP="001E0558">
            <w:pPr>
              <w:rPr>
                <w:rFonts w:cs="Times New Roman"/>
                <w:b/>
                <w:vertAlign w:val="superscript"/>
                <w:lang w:val="en-US"/>
              </w:rPr>
            </w:pPr>
            <w:proofErr w:type="spellStart"/>
            <w:r>
              <w:rPr>
                <w:rFonts w:cs="Times New Roman"/>
                <w:b/>
                <w:lang w:val="en-US"/>
              </w:rPr>
              <w:t>Cavlek</w:t>
            </w:r>
            <w:proofErr w:type="spellEnd"/>
            <w:r>
              <w:rPr>
                <w:rFonts w:cs="Times New Roman"/>
                <w:b/>
                <w:lang w:val="en-US"/>
              </w:rPr>
              <w:t xml:space="preserve"> 2010</w:t>
            </w:r>
            <w:r w:rsidRPr="001E0558">
              <w:rPr>
                <w:rFonts w:cs="Times New Roman"/>
                <w:vertAlign w:val="superscript"/>
                <w:lang w:val="en-US"/>
              </w:rPr>
              <w:t>60</w:t>
            </w:r>
          </w:p>
        </w:tc>
        <w:tc>
          <w:tcPr>
            <w:tcW w:w="1843" w:type="dxa"/>
          </w:tcPr>
          <w:p w14:paraId="113ACF0A" w14:textId="67FA44BA" w:rsidR="00514495" w:rsidRPr="00452597" w:rsidRDefault="006558C7" w:rsidP="006558C7">
            <w:pPr>
              <w:pStyle w:val="Listenabsatz"/>
              <w:ind w:left="0"/>
              <w:rPr>
                <w:lang w:val="en-US"/>
              </w:rPr>
            </w:pPr>
            <w:r w:rsidRPr="00452597">
              <w:rPr>
                <w:lang w:val="en-US"/>
              </w:rPr>
              <w:t xml:space="preserve">Croatian retrospective study </w:t>
            </w:r>
          </w:p>
        </w:tc>
        <w:tc>
          <w:tcPr>
            <w:tcW w:w="992" w:type="dxa"/>
          </w:tcPr>
          <w:p w14:paraId="2606D72F" w14:textId="072B7A87" w:rsidR="00514495" w:rsidRPr="00452597" w:rsidRDefault="006558C7" w:rsidP="006558C7">
            <w:pPr>
              <w:pStyle w:val="Listenabsatz"/>
              <w:ind w:left="0"/>
              <w:rPr>
                <w:lang w:val="en-US"/>
              </w:rPr>
            </w:pPr>
            <w:r w:rsidRPr="00452597">
              <w:rPr>
                <w:lang w:val="en-US"/>
              </w:rPr>
              <w:t>1003</w:t>
            </w:r>
          </w:p>
        </w:tc>
        <w:tc>
          <w:tcPr>
            <w:tcW w:w="993" w:type="dxa"/>
          </w:tcPr>
          <w:p w14:paraId="66B9BDE6" w14:textId="1EA7E3C2" w:rsidR="00514495" w:rsidRPr="00452597" w:rsidRDefault="003D1FC3" w:rsidP="006558C7">
            <w:pPr>
              <w:pStyle w:val="Listenabsatz"/>
              <w:ind w:left="0"/>
              <w:rPr>
                <w:lang w:val="en-US"/>
              </w:rPr>
            </w:pPr>
            <w:r w:rsidRPr="00452597">
              <w:rPr>
                <w:lang w:val="en-US"/>
              </w:rPr>
              <w:t xml:space="preserve">6 </w:t>
            </w:r>
          </w:p>
        </w:tc>
        <w:tc>
          <w:tcPr>
            <w:tcW w:w="1134" w:type="dxa"/>
          </w:tcPr>
          <w:p w14:paraId="3A2815A3" w14:textId="3C1F154E" w:rsidR="00514495" w:rsidRPr="00452597" w:rsidRDefault="00445649" w:rsidP="00445649">
            <w:pPr>
              <w:pStyle w:val="Listenabsatz"/>
              <w:ind w:left="0"/>
              <w:rPr>
                <w:lang w:val="en-US"/>
              </w:rPr>
            </w:pPr>
            <w:r w:rsidRPr="00452597">
              <w:rPr>
                <w:lang w:val="en-US"/>
              </w:rPr>
              <w:t>Fair – several aspects unclear</w:t>
            </w:r>
          </w:p>
        </w:tc>
        <w:tc>
          <w:tcPr>
            <w:tcW w:w="8363" w:type="dxa"/>
          </w:tcPr>
          <w:p w14:paraId="72025BEF" w14:textId="7E526636" w:rsidR="00514495" w:rsidRPr="00452597" w:rsidRDefault="00514495" w:rsidP="00BC6489">
            <w:pPr>
              <w:pStyle w:val="Listenabsatz"/>
              <w:numPr>
                <w:ilvl w:val="0"/>
                <w:numId w:val="14"/>
              </w:numPr>
              <w:rPr>
                <w:lang w:val="en-US"/>
              </w:rPr>
            </w:pPr>
            <w:r w:rsidRPr="00452597">
              <w:rPr>
                <w:lang w:val="en-US"/>
              </w:rPr>
              <w:t xml:space="preserve">Outcome: Low weight at age 6 </w:t>
            </w:r>
          </w:p>
          <w:p w14:paraId="5F8DCA39" w14:textId="77777777" w:rsidR="00514495" w:rsidRPr="00452597" w:rsidRDefault="00514495" w:rsidP="00BC6489">
            <w:pPr>
              <w:pStyle w:val="Listenabsatz"/>
              <w:numPr>
                <w:ilvl w:val="0"/>
                <w:numId w:val="14"/>
              </w:numPr>
              <w:rPr>
                <w:lang w:val="en-US"/>
              </w:rPr>
            </w:pPr>
            <w:r w:rsidRPr="00452597">
              <w:rPr>
                <w:lang w:val="en-US"/>
              </w:rPr>
              <w:t>Dose effects: (reference non-smoking)</w:t>
            </w:r>
          </w:p>
          <w:p w14:paraId="5D93C3D9" w14:textId="77777777" w:rsidR="00514495" w:rsidRPr="00452597" w:rsidRDefault="00514495" w:rsidP="00BC6489">
            <w:pPr>
              <w:pStyle w:val="Listenabsatz"/>
              <w:numPr>
                <w:ilvl w:val="1"/>
                <w:numId w:val="14"/>
              </w:numPr>
              <w:rPr>
                <w:lang w:val="en-US"/>
              </w:rPr>
            </w:pPr>
            <w:r w:rsidRPr="00452597">
              <w:rPr>
                <w:lang w:val="en-US"/>
              </w:rPr>
              <w:t>1-9 cig.: OR=1.32 ,95%-CI=[0,52 – 3,33]</w:t>
            </w:r>
          </w:p>
          <w:p w14:paraId="08CD3F31" w14:textId="77777777" w:rsidR="00514495" w:rsidRPr="00452597" w:rsidRDefault="00514495" w:rsidP="00BC6489">
            <w:pPr>
              <w:pStyle w:val="Listenabsatz"/>
              <w:numPr>
                <w:ilvl w:val="1"/>
                <w:numId w:val="14"/>
              </w:numPr>
              <w:rPr>
                <w:lang w:val="en-US"/>
              </w:rPr>
            </w:pPr>
            <w:r w:rsidRPr="00452597">
              <w:rPr>
                <w:lang w:val="en-US"/>
              </w:rPr>
              <w:t>10-19 cig.: OR=1.80 ,95%-CI=[1,08 – 3,01]</w:t>
            </w:r>
          </w:p>
          <w:p w14:paraId="44FDE8BB" w14:textId="77777777" w:rsidR="00514495" w:rsidRPr="00452597" w:rsidRDefault="00514495" w:rsidP="00BC6489">
            <w:pPr>
              <w:pStyle w:val="Listenabsatz"/>
              <w:numPr>
                <w:ilvl w:val="1"/>
                <w:numId w:val="14"/>
              </w:numPr>
              <w:rPr>
                <w:lang w:val="en-US"/>
              </w:rPr>
            </w:pPr>
            <w:r w:rsidRPr="00452597">
              <w:rPr>
                <w:lang w:val="en-US"/>
              </w:rPr>
              <w:t>&gt;20 cig.: OR=0.85 ,95%-CI=[0,56 – 1,30]</w:t>
            </w:r>
          </w:p>
        </w:tc>
      </w:tr>
      <w:tr w:rsidR="00514495" w:rsidRPr="001E0558" w14:paraId="2F44A5EC" w14:textId="77777777" w:rsidTr="00435FF2">
        <w:tc>
          <w:tcPr>
            <w:tcW w:w="1696" w:type="dxa"/>
          </w:tcPr>
          <w:p w14:paraId="43BD71B6" w14:textId="2A614510" w:rsidR="00514495" w:rsidRPr="00452597" w:rsidRDefault="00514495" w:rsidP="001E0558">
            <w:pPr>
              <w:rPr>
                <w:rFonts w:cs="Times New Roman"/>
                <w:b/>
                <w:lang w:val="en-US"/>
              </w:rPr>
            </w:pPr>
            <w:r w:rsidRPr="00452597">
              <w:rPr>
                <w:rFonts w:cs="Times New Roman"/>
                <w:b/>
                <w:lang w:val="en-US"/>
              </w:rPr>
              <w:t>Dior 2014</w:t>
            </w:r>
            <w:r w:rsidR="001E0558" w:rsidRPr="001E0558">
              <w:rPr>
                <w:rFonts w:cs="Times New Roman"/>
                <w:vertAlign w:val="superscript"/>
                <w:lang w:val="en-US"/>
              </w:rPr>
              <w:t>33</w:t>
            </w:r>
          </w:p>
        </w:tc>
        <w:tc>
          <w:tcPr>
            <w:tcW w:w="1843" w:type="dxa"/>
          </w:tcPr>
          <w:p w14:paraId="7165C854" w14:textId="25149F37" w:rsidR="00514495" w:rsidRPr="00452597" w:rsidRDefault="003D1FC3" w:rsidP="003D1FC3">
            <w:pPr>
              <w:pStyle w:val="Listenabsatz"/>
              <w:ind w:left="0"/>
              <w:rPr>
                <w:lang w:val="en-US"/>
              </w:rPr>
            </w:pPr>
            <w:r w:rsidRPr="00452597">
              <w:rPr>
                <w:lang w:val="en-US"/>
              </w:rPr>
              <w:t>The Jerusalem Perinatal Study, prospective study</w:t>
            </w:r>
          </w:p>
        </w:tc>
        <w:tc>
          <w:tcPr>
            <w:tcW w:w="992" w:type="dxa"/>
          </w:tcPr>
          <w:p w14:paraId="31ACDB9C" w14:textId="2BC6D22A" w:rsidR="00514495" w:rsidRPr="00452597" w:rsidRDefault="003D1FC3" w:rsidP="003D1FC3">
            <w:pPr>
              <w:pStyle w:val="Listenabsatz"/>
              <w:ind w:left="0"/>
              <w:rPr>
                <w:lang w:val="en-US"/>
              </w:rPr>
            </w:pPr>
            <w:r w:rsidRPr="00452597">
              <w:rPr>
                <w:lang w:val="en-US"/>
              </w:rPr>
              <w:t>11530</w:t>
            </w:r>
          </w:p>
        </w:tc>
        <w:tc>
          <w:tcPr>
            <w:tcW w:w="993" w:type="dxa"/>
          </w:tcPr>
          <w:p w14:paraId="5045BD1C" w14:textId="29D93C81" w:rsidR="00514495" w:rsidRPr="00452597" w:rsidRDefault="003D1FC3" w:rsidP="003D1FC3">
            <w:pPr>
              <w:pStyle w:val="Listenabsatz"/>
              <w:ind w:left="0"/>
              <w:rPr>
                <w:lang w:val="en-US"/>
              </w:rPr>
            </w:pPr>
            <w:r w:rsidRPr="00452597">
              <w:rPr>
                <w:lang w:val="en-US"/>
              </w:rPr>
              <w:t>17</w:t>
            </w:r>
          </w:p>
        </w:tc>
        <w:tc>
          <w:tcPr>
            <w:tcW w:w="1134" w:type="dxa"/>
          </w:tcPr>
          <w:p w14:paraId="698DD03E" w14:textId="03709B3B" w:rsidR="00514495" w:rsidRPr="00452597" w:rsidRDefault="001E0A12" w:rsidP="006558C7">
            <w:pPr>
              <w:pStyle w:val="Listenabsatz"/>
              <w:ind w:left="0"/>
              <w:rPr>
                <w:lang w:val="en-US"/>
              </w:rPr>
            </w:pPr>
            <w:r w:rsidRPr="00452597">
              <w:rPr>
                <w:lang w:val="en-US"/>
              </w:rPr>
              <w:t>G</w:t>
            </w:r>
            <w:r w:rsidR="00445649" w:rsidRPr="00452597">
              <w:rPr>
                <w:lang w:val="en-US"/>
              </w:rPr>
              <w:t>ood</w:t>
            </w:r>
          </w:p>
        </w:tc>
        <w:tc>
          <w:tcPr>
            <w:tcW w:w="8363" w:type="dxa"/>
          </w:tcPr>
          <w:p w14:paraId="55C02BFB" w14:textId="2ED2D6F9" w:rsidR="00514495" w:rsidRPr="00452597" w:rsidRDefault="00514495" w:rsidP="006558C7">
            <w:pPr>
              <w:pStyle w:val="Listenabsatz"/>
              <w:numPr>
                <w:ilvl w:val="0"/>
                <w:numId w:val="13"/>
              </w:numPr>
              <w:rPr>
                <w:lang w:val="en-US"/>
              </w:rPr>
            </w:pPr>
            <w:r w:rsidRPr="00452597">
              <w:rPr>
                <w:lang w:val="en-US"/>
              </w:rPr>
              <w:t>Outcome: BMI at age 17</w:t>
            </w:r>
          </w:p>
          <w:p w14:paraId="4864265B" w14:textId="77777777" w:rsidR="00514495" w:rsidRPr="00452597" w:rsidRDefault="00514495" w:rsidP="006558C7">
            <w:pPr>
              <w:pStyle w:val="Listenabsatz"/>
              <w:numPr>
                <w:ilvl w:val="0"/>
                <w:numId w:val="13"/>
              </w:numPr>
              <w:rPr>
                <w:lang w:val="en-US"/>
              </w:rPr>
            </w:pPr>
            <w:r w:rsidRPr="00452597">
              <w:rPr>
                <w:lang w:val="en-US"/>
              </w:rPr>
              <w:t>Overall: BMI difference between offspring of smoking mothers and non-smoking mothers: 0.43 (SD=0.08) p&lt;0.001</w:t>
            </w:r>
          </w:p>
          <w:p w14:paraId="452059A9" w14:textId="77777777" w:rsidR="00514495" w:rsidRPr="00452597" w:rsidRDefault="00514495" w:rsidP="006558C7">
            <w:pPr>
              <w:pStyle w:val="Listenabsatz"/>
              <w:numPr>
                <w:ilvl w:val="0"/>
                <w:numId w:val="13"/>
              </w:numPr>
              <w:rPr>
                <w:lang w:val="en-US"/>
              </w:rPr>
            </w:pPr>
            <w:r w:rsidRPr="00452597">
              <w:rPr>
                <w:lang w:val="en-US"/>
              </w:rPr>
              <w:lastRenderedPageBreak/>
              <w:t>Dose response for each 10 cigarettes smokes additionally:  BMI-difference=0.287 (SD=0.045) p=0.005</w:t>
            </w:r>
          </w:p>
          <w:p w14:paraId="051C71C1" w14:textId="77777777" w:rsidR="00514495" w:rsidRPr="00452597" w:rsidRDefault="00514495" w:rsidP="00A816B8">
            <w:pPr>
              <w:pStyle w:val="Listenabsatz"/>
              <w:ind w:left="360"/>
              <w:rPr>
                <w:lang w:val="en-US"/>
              </w:rPr>
            </w:pPr>
            <w:r w:rsidRPr="00452597">
              <w:rPr>
                <w:lang w:val="en-US"/>
              </w:rPr>
              <w:t>[Models adjusted for gender and ethnicity, age of parents, socioeconomic status, parent’s years of education, birth weight, maternal pre-pregnancy BMI and maternal health conditions]</w:t>
            </w:r>
          </w:p>
        </w:tc>
      </w:tr>
      <w:tr w:rsidR="00514495" w:rsidRPr="001E0558" w14:paraId="4DE1D0A3" w14:textId="77777777" w:rsidTr="00435FF2">
        <w:tc>
          <w:tcPr>
            <w:tcW w:w="1696" w:type="dxa"/>
          </w:tcPr>
          <w:p w14:paraId="779E1A09" w14:textId="750C1A5B" w:rsidR="00514495" w:rsidRPr="001E0558" w:rsidRDefault="001E0558" w:rsidP="001E0558">
            <w:pPr>
              <w:rPr>
                <w:rFonts w:cs="Times New Roman"/>
                <w:b/>
                <w:vertAlign w:val="superscript"/>
                <w:lang w:val="en-US"/>
              </w:rPr>
            </w:pPr>
            <w:r>
              <w:rPr>
                <w:rFonts w:cs="Times New Roman"/>
                <w:b/>
                <w:lang w:val="en-US"/>
              </w:rPr>
              <w:lastRenderedPageBreak/>
              <w:t>Huang 2014</w:t>
            </w:r>
            <w:r w:rsidRPr="001E0558">
              <w:rPr>
                <w:rFonts w:cs="Times New Roman"/>
                <w:vertAlign w:val="superscript"/>
                <w:lang w:val="en-US"/>
              </w:rPr>
              <w:t>36</w:t>
            </w:r>
          </w:p>
        </w:tc>
        <w:tc>
          <w:tcPr>
            <w:tcW w:w="1843" w:type="dxa"/>
          </w:tcPr>
          <w:p w14:paraId="2272AB63" w14:textId="4B5A03E4" w:rsidR="00514495" w:rsidRPr="00452597" w:rsidRDefault="0009039F" w:rsidP="0009039F">
            <w:pPr>
              <w:pStyle w:val="Listenabsatz"/>
              <w:ind w:left="0"/>
              <w:rPr>
                <w:lang w:val="en-US"/>
              </w:rPr>
            </w:pPr>
            <w:r w:rsidRPr="00452597">
              <w:rPr>
                <w:lang w:val="en-US"/>
              </w:rPr>
              <w:t>1979 National Longitudinal Survey of Youth</w:t>
            </w:r>
          </w:p>
        </w:tc>
        <w:tc>
          <w:tcPr>
            <w:tcW w:w="992" w:type="dxa"/>
          </w:tcPr>
          <w:p w14:paraId="5A10467C" w14:textId="713A033F" w:rsidR="00514495" w:rsidRPr="00452597" w:rsidRDefault="0009039F" w:rsidP="0009039F">
            <w:pPr>
              <w:pStyle w:val="Listenabsatz"/>
              <w:ind w:left="0"/>
              <w:rPr>
                <w:lang w:val="en-US"/>
              </w:rPr>
            </w:pPr>
            <w:r w:rsidRPr="00452597">
              <w:rPr>
                <w:lang w:val="en-US"/>
              </w:rPr>
              <w:t>5156</w:t>
            </w:r>
          </w:p>
        </w:tc>
        <w:tc>
          <w:tcPr>
            <w:tcW w:w="993" w:type="dxa"/>
          </w:tcPr>
          <w:p w14:paraId="7CB8D81F" w14:textId="599B7E32" w:rsidR="00514495" w:rsidRPr="00452597" w:rsidRDefault="0009039F" w:rsidP="0009039F">
            <w:pPr>
              <w:pStyle w:val="Listenabsatz"/>
              <w:ind w:left="0"/>
              <w:rPr>
                <w:lang w:val="en-US"/>
              </w:rPr>
            </w:pPr>
            <w:r w:rsidRPr="00452597">
              <w:rPr>
                <w:lang w:val="en-US"/>
              </w:rPr>
              <w:t>14-21</w:t>
            </w:r>
          </w:p>
        </w:tc>
        <w:tc>
          <w:tcPr>
            <w:tcW w:w="1134" w:type="dxa"/>
          </w:tcPr>
          <w:p w14:paraId="012945A6" w14:textId="2A2A6F5F" w:rsidR="00514495" w:rsidRPr="00452597" w:rsidRDefault="00445649" w:rsidP="00445649">
            <w:pPr>
              <w:pStyle w:val="Listenabsatz"/>
              <w:ind w:left="0"/>
              <w:rPr>
                <w:lang w:val="en-US"/>
              </w:rPr>
            </w:pPr>
            <w:r w:rsidRPr="00452597">
              <w:rPr>
                <w:lang w:val="en-US"/>
              </w:rPr>
              <w:t>Fair – several aspects unclear</w:t>
            </w:r>
          </w:p>
        </w:tc>
        <w:tc>
          <w:tcPr>
            <w:tcW w:w="8363" w:type="dxa"/>
          </w:tcPr>
          <w:p w14:paraId="0759BA2B" w14:textId="007AC6CD" w:rsidR="00514495" w:rsidRPr="00452597" w:rsidRDefault="00514495" w:rsidP="00BC6489">
            <w:pPr>
              <w:pStyle w:val="Listenabsatz"/>
              <w:numPr>
                <w:ilvl w:val="0"/>
                <w:numId w:val="13"/>
              </w:numPr>
              <w:rPr>
                <w:b/>
                <w:lang w:val="en-US"/>
              </w:rPr>
            </w:pPr>
            <w:r w:rsidRPr="00452597">
              <w:rPr>
                <w:lang w:val="en-US"/>
              </w:rPr>
              <w:t xml:space="preserve">Outcome: Obesity (classified using CDC percentiles percentile&gt;95%) in 10-18 year old adolescents </w:t>
            </w:r>
          </w:p>
          <w:p w14:paraId="1847B082" w14:textId="77777777" w:rsidR="00514495" w:rsidRPr="00452597" w:rsidRDefault="00514495" w:rsidP="00BC6489">
            <w:pPr>
              <w:pStyle w:val="Listenabsatz"/>
              <w:numPr>
                <w:ilvl w:val="0"/>
                <w:numId w:val="13"/>
              </w:numPr>
              <w:rPr>
                <w:b/>
                <w:lang w:val="en-US"/>
              </w:rPr>
            </w:pPr>
            <w:r w:rsidRPr="00452597">
              <w:rPr>
                <w:lang w:val="en-US"/>
              </w:rPr>
              <w:t>Dose effects: (compared to non-smoking)</w:t>
            </w:r>
          </w:p>
          <w:p w14:paraId="114B1723" w14:textId="77777777" w:rsidR="00514495" w:rsidRPr="00452597" w:rsidRDefault="00514495" w:rsidP="00BC6489">
            <w:pPr>
              <w:pStyle w:val="Listenabsatz"/>
              <w:numPr>
                <w:ilvl w:val="1"/>
                <w:numId w:val="13"/>
              </w:numPr>
              <w:rPr>
                <w:b/>
                <w:lang w:val="en-US"/>
              </w:rPr>
            </w:pPr>
            <w:r w:rsidRPr="00452597">
              <w:rPr>
                <w:lang w:val="en-US"/>
              </w:rPr>
              <w:t>≤one pack: OR 1.40 (p&lt;0.01 – no CI reported)</w:t>
            </w:r>
          </w:p>
          <w:p w14:paraId="08C35E21" w14:textId="77777777" w:rsidR="00514495" w:rsidRPr="00452597" w:rsidRDefault="00514495" w:rsidP="00BC6489">
            <w:pPr>
              <w:pStyle w:val="Listenabsatz"/>
              <w:numPr>
                <w:ilvl w:val="1"/>
                <w:numId w:val="13"/>
              </w:numPr>
              <w:rPr>
                <w:b/>
                <w:lang w:val="en-US"/>
              </w:rPr>
            </w:pPr>
            <w:r w:rsidRPr="00452597">
              <w:rPr>
                <w:lang w:val="en-US"/>
              </w:rPr>
              <w:t>&gt;one pack: OR=1.43 (p&lt;0.01– no CI reported)</w:t>
            </w:r>
          </w:p>
          <w:p w14:paraId="49FEC53F" w14:textId="77777777" w:rsidR="00514495" w:rsidRPr="00452597" w:rsidRDefault="00514495" w:rsidP="00A816B8">
            <w:pPr>
              <w:pStyle w:val="Listenabsatz"/>
              <w:ind w:left="0"/>
              <w:rPr>
                <w:lang w:val="en-US"/>
              </w:rPr>
            </w:pPr>
            <w:r w:rsidRPr="00452597">
              <w:rPr>
                <w:lang w:val="en-US"/>
              </w:rPr>
              <w:t xml:space="preserve">      [hierarchical generalized linear modeling (HGLM) adjusting for prenatal factors as well as childhood familial experiences]</w:t>
            </w:r>
          </w:p>
        </w:tc>
      </w:tr>
    </w:tbl>
    <w:p w14:paraId="39502823" w14:textId="77777777" w:rsidR="00514495" w:rsidRPr="006A16BC" w:rsidRDefault="00514495" w:rsidP="00514495">
      <w:pPr>
        <w:rPr>
          <w:rFonts w:ascii="Times New Roman" w:hAnsi="Times New Roman" w:cs="Times New Roman"/>
          <w:sz w:val="20"/>
          <w:szCs w:val="20"/>
          <w:lang w:val="en-GB"/>
        </w:rPr>
      </w:pPr>
      <w:proofErr w:type="gramStart"/>
      <w:r w:rsidRPr="00452597">
        <w:rPr>
          <w:rFonts w:ascii="Times New Roman" w:hAnsi="Times New Roman" w:cs="Times New Roman"/>
          <w:sz w:val="20"/>
          <w:szCs w:val="20"/>
          <w:vertAlign w:val="superscript"/>
          <w:lang w:val="en-US"/>
        </w:rPr>
        <w:t>a</w:t>
      </w:r>
      <w:proofErr w:type="gramEnd"/>
      <w:r w:rsidRPr="00452597">
        <w:rPr>
          <w:rFonts w:ascii="Times New Roman" w:hAnsi="Times New Roman" w:cs="Times New Roman"/>
          <w:sz w:val="20"/>
          <w:szCs w:val="20"/>
          <w:lang w:val="en-GB"/>
        </w:rPr>
        <w:t xml:space="preserve"> Detailed quality assessment in online supplement Table S1</w:t>
      </w:r>
      <w:r w:rsidRPr="006A16BC">
        <w:rPr>
          <w:rFonts w:ascii="Times New Roman" w:hAnsi="Times New Roman" w:cs="Times New Roman"/>
          <w:sz w:val="20"/>
          <w:szCs w:val="20"/>
          <w:lang w:val="en-GB"/>
        </w:rPr>
        <w:t xml:space="preserve"> </w:t>
      </w:r>
    </w:p>
    <w:p w14:paraId="514FD659" w14:textId="29BE1642" w:rsidR="00BC6489" w:rsidRPr="00514495" w:rsidRDefault="00BC6489" w:rsidP="000230C1">
      <w:pPr>
        <w:spacing w:line="480" w:lineRule="auto"/>
        <w:rPr>
          <w:rFonts w:ascii="Times New Roman" w:hAnsi="Times New Roman" w:cs="Times New Roman"/>
          <w:sz w:val="24"/>
          <w:szCs w:val="24"/>
          <w:lang w:val="en-GB"/>
        </w:rPr>
      </w:pPr>
    </w:p>
    <w:sectPr w:rsidR="00BC6489" w:rsidRPr="00514495" w:rsidSect="00C82283">
      <w:pgSz w:w="16838" w:h="11906" w:orient="landscape"/>
      <w:pgMar w:top="1418" w:right="1418" w:bottom="1418"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58065" w14:textId="77777777" w:rsidR="00BE5A26" w:rsidRDefault="00BE5A26" w:rsidP="00E52E5B">
      <w:pPr>
        <w:spacing w:after="0" w:line="240" w:lineRule="auto"/>
      </w:pPr>
      <w:r>
        <w:separator/>
      </w:r>
    </w:p>
  </w:endnote>
  <w:endnote w:type="continuationSeparator" w:id="0">
    <w:p w14:paraId="530D9E60" w14:textId="77777777" w:rsidR="00BE5A26" w:rsidRDefault="00BE5A26" w:rsidP="00E52E5B">
      <w:pPr>
        <w:spacing w:after="0" w:line="240" w:lineRule="auto"/>
      </w:pPr>
      <w:r>
        <w:continuationSeparator/>
      </w:r>
    </w:p>
  </w:endnote>
  <w:endnote w:type="continuationNotice" w:id="1">
    <w:p w14:paraId="48D4CA5D" w14:textId="77777777" w:rsidR="00BE5A26" w:rsidRDefault="00BE5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291731"/>
      <w:docPartObj>
        <w:docPartGallery w:val="Page Numbers (Bottom of Page)"/>
        <w:docPartUnique/>
      </w:docPartObj>
    </w:sdtPr>
    <w:sdtEndPr/>
    <w:sdtContent>
      <w:p w14:paraId="128AFFE4" w14:textId="5E785F02" w:rsidR="00BE5A26" w:rsidRDefault="00BE5A26">
        <w:pPr>
          <w:pStyle w:val="Fuzeile"/>
          <w:jc w:val="center"/>
        </w:pPr>
        <w:r>
          <w:fldChar w:fldCharType="begin"/>
        </w:r>
        <w:r>
          <w:instrText>PAGE   \* MERGEFORMAT</w:instrText>
        </w:r>
        <w:r>
          <w:fldChar w:fldCharType="separate"/>
        </w:r>
        <w:r w:rsidR="00C96FC8">
          <w:rPr>
            <w:noProof/>
          </w:rPr>
          <w:t>7</w:t>
        </w:r>
        <w:r>
          <w:fldChar w:fldCharType="end"/>
        </w:r>
      </w:p>
    </w:sdtContent>
  </w:sdt>
  <w:p w14:paraId="560E315F" w14:textId="77777777" w:rsidR="00BE5A26" w:rsidRDefault="00BE5A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C74E0" w14:textId="77777777" w:rsidR="00BE5A26" w:rsidRDefault="00BE5A26" w:rsidP="00E52E5B">
      <w:pPr>
        <w:spacing w:after="0" w:line="240" w:lineRule="auto"/>
      </w:pPr>
      <w:r>
        <w:separator/>
      </w:r>
    </w:p>
  </w:footnote>
  <w:footnote w:type="continuationSeparator" w:id="0">
    <w:p w14:paraId="602B1538" w14:textId="77777777" w:rsidR="00BE5A26" w:rsidRDefault="00BE5A26" w:rsidP="00E52E5B">
      <w:pPr>
        <w:spacing w:after="0" w:line="240" w:lineRule="auto"/>
      </w:pPr>
      <w:r>
        <w:continuationSeparator/>
      </w:r>
    </w:p>
  </w:footnote>
  <w:footnote w:type="continuationNotice" w:id="1">
    <w:p w14:paraId="2245E093" w14:textId="77777777" w:rsidR="00BE5A26" w:rsidRDefault="00BE5A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8783" w14:textId="77777777" w:rsidR="00BE5A26" w:rsidRDefault="00BE5A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2DB6"/>
    <w:multiLevelType w:val="hybridMultilevel"/>
    <w:tmpl w:val="9C82AC64"/>
    <w:lvl w:ilvl="0" w:tplc="DBD403A8">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D61552"/>
    <w:multiLevelType w:val="hybridMultilevel"/>
    <w:tmpl w:val="569863D2"/>
    <w:lvl w:ilvl="0" w:tplc="3B440A7A">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1">
      <w:start w:val="1"/>
      <w:numFmt w:val="bullet"/>
      <w:lvlText w:val=""/>
      <w:lvlJc w:val="left"/>
      <w:pPr>
        <w:ind w:left="2508" w:hanging="360"/>
      </w:pPr>
      <w:rPr>
        <w:rFonts w:ascii="Symbol" w:hAnsi="Symbol"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4EE2B08"/>
    <w:multiLevelType w:val="hybridMultilevel"/>
    <w:tmpl w:val="56AA4572"/>
    <w:lvl w:ilvl="0" w:tplc="FFF28FE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BF7047"/>
    <w:multiLevelType w:val="multilevel"/>
    <w:tmpl w:val="6A24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652F4"/>
    <w:multiLevelType w:val="hybridMultilevel"/>
    <w:tmpl w:val="D5827F84"/>
    <w:lvl w:ilvl="0" w:tplc="050E52F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1397A"/>
    <w:multiLevelType w:val="hybridMultilevel"/>
    <w:tmpl w:val="8924C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D6495A"/>
    <w:multiLevelType w:val="hybridMultilevel"/>
    <w:tmpl w:val="6B541714"/>
    <w:lvl w:ilvl="0" w:tplc="2EC8294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5F33E5"/>
    <w:multiLevelType w:val="hybridMultilevel"/>
    <w:tmpl w:val="3626D50E"/>
    <w:lvl w:ilvl="0" w:tplc="CF1281A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7D37F3"/>
    <w:multiLevelType w:val="hybridMultilevel"/>
    <w:tmpl w:val="6B7A8A86"/>
    <w:lvl w:ilvl="0" w:tplc="2EA83E2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BAB2C666">
      <w:start w:val="1"/>
      <w:numFmt w:val="bullet"/>
      <w:lvlText w:val=""/>
      <w:lvlJc w:val="left"/>
      <w:pPr>
        <w:ind w:left="2160" w:hanging="360"/>
      </w:pPr>
      <w:rPr>
        <w:rFonts w:ascii="Wingdings" w:hAnsi="Wingdings" w:hint="default"/>
        <w:lang w:val="de-D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2F338C"/>
    <w:multiLevelType w:val="hybridMultilevel"/>
    <w:tmpl w:val="6F36DEA2"/>
    <w:lvl w:ilvl="0" w:tplc="E368A10A">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2F342B"/>
    <w:multiLevelType w:val="hybridMultilevel"/>
    <w:tmpl w:val="06B815FE"/>
    <w:lvl w:ilvl="0" w:tplc="3B440A7A">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6D693D"/>
    <w:multiLevelType w:val="hybridMultilevel"/>
    <w:tmpl w:val="4C0AA8FE"/>
    <w:lvl w:ilvl="0" w:tplc="63F069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A30090"/>
    <w:multiLevelType w:val="hybridMultilevel"/>
    <w:tmpl w:val="13D2DFBA"/>
    <w:lvl w:ilvl="0" w:tplc="EAA67766">
      <w:start w:val="23"/>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62570F"/>
    <w:multiLevelType w:val="hybridMultilevel"/>
    <w:tmpl w:val="D10AF3C4"/>
    <w:lvl w:ilvl="0" w:tplc="3698DE8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E46277"/>
    <w:multiLevelType w:val="hybridMultilevel"/>
    <w:tmpl w:val="CAF013E8"/>
    <w:lvl w:ilvl="0" w:tplc="3B440A7A">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FEDA9E8A">
      <w:numFmt w:val="bullet"/>
      <w:lvlText w:val=""/>
      <w:lvlJc w:val="left"/>
      <w:pPr>
        <w:ind w:left="2508" w:hanging="360"/>
      </w:pPr>
      <w:rPr>
        <w:rFonts w:ascii="Wingdings" w:eastAsiaTheme="minorHAnsi" w:hAnsi="Wingdings" w:cstheme="minorBidi"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B764228"/>
    <w:multiLevelType w:val="hybridMultilevel"/>
    <w:tmpl w:val="EC447936"/>
    <w:lvl w:ilvl="0" w:tplc="CCD82F7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C042EF"/>
    <w:multiLevelType w:val="hybridMultilevel"/>
    <w:tmpl w:val="CC68332A"/>
    <w:lvl w:ilvl="0" w:tplc="6426760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372C4A"/>
    <w:multiLevelType w:val="hybridMultilevel"/>
    <w:tmpl w:val="B7F82CAA"/>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8" w15:restartNumberingAfterBreak="0">
    <w:nsid w:val="6AD65B39"/>
    <w:multiLevelType w:val="hybridMultilevel"/>
    <w:tmpl w:val="A41C4B14"/>
    <w:lvl w:ilvl="0" w:tplc="3698DE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7A7BF2"/>
    <w:multiLevelType w:val="hybridMultilevel"/>
    <w:tmpl w:val="9C9A57C0"/>
    <w:lvl w:ilvl="0" w:tplc="3698DE8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097682"/>
    <w:multiLevelType w:val="hybridMultilevel"/>
    <w:tmpl w:val="7A8E0CA8"/>
    <w:lvl w:ilvl="0" w:tplc="F76CA2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0"/>
  </w:num>
  <w:num w:numId="4">
    <w:abstractNumId w:val="8"/>
  </w:num>
  <w:num w:numId="5">
    <w:abstractNumId w:val="9"/>
  </w:num>
  <w:num w:numId="6">
    <w:abstractNumId w:val="6"/>
  </w:num>
  <w:num w:numId="7">
    <w:abstractNumId w:val="16"/>
  </w:num>
  <w:num w:numId="8">
    <w:abstractNumId w:val="5"/>
  </w:num>
  <w:num w:numId="9">
    <w:abstractNumId w:val="11"/>
  </w:num>
  <w:num w:numId="10">
    <w:abstractNumId w:val="15"/>
  </w:num>
  <w:num w:numId="11">
    <w:abstractNumId w:val="2"/>
  </w:num>
  <w:num w:numId="12">
    <w:abstractNumId w:val="3"/>
  </w:num>
  <w:num w:numId="13">
    <w:abstractNumId w:val="13"/>
  </w:num>
  <w:num w:numId="14">
    <w:abstractNumId w:val="0"/>
  </w:num>
  <w:num w:numId="15">
    <w:abstractNumId w:val="14"/>
  </w:num>
  <w:num w:numId="16">
    <w:abstractNumId w:val="7"/>
  </w:num>
  <w:num w:numId="17">
    <w:abstractNumId w:val="19"/>
  </w:num>
  <w:num w:numId="18">
    <w:abstractNumId w:val="18"/>
  </w:num>
  <w:num w:numId="19">
    <w:abstractNumId w:val="1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FE"/>
    <w:rsid w:val="000006B2"/>
    <w:rsid w:val="000071B0"/>
    <w:rsid w:val="0001237A"/>
    <w:rsid w:val="00013927"/>
    <w:rsid w:val="000150D6"/>
    <w:rsid w:val="000158FC"/>
    <w:rsid w:val="00016E3B"/>
    <w:rsid w:val="00017CD7"/>
    <w:rsid w:val="000220BB"/>
    <w:rsid w:val="000230C1"/>
    <w:rsid w:val="00024196"/>
    <w:rsid w:val="000253DA"/>
    <w:rsid w:val="00025471"/>
    <w:rsid w:val="00027BFF"/>
    <w:rsid w:val="000300D0"/>
    <w:rsid w:val="00030343"/>
    <w:rsid w:val="00033DF2"/>
    <w:rsid w:val="00034133"/>
    <w:rsid w:val="00034DD7"/>
    <w:rsid w:val="00035CFC"/>
    <w:rsid w:val="00035EAE"/>
    <w:rsid w:val="00035F3D"/>
    <w:rsid w:val="000429A8"/>
    <w:rsid w:val="0004336E"/>
    <w:rsid w:val="00045407"/>
    <w:rsid w:val="00046137"/>
    <w:rsid w:val="000511B6"/>
    <w:rsid w:val="00051E6F"/>
    <w:rsid w:val="00053083"/>
    <w:rsid w:val="00053B94"/>
    <w:rsid w:val="00054CC8"/>
    <w:rsid w:val="0005543D"/>
    <w:rsid w:val="00062CAF"/>
    <w:rsid w:val="000647A9"/>
    <w:rsid w:val="00066343"/>
    <w:rsid w:val="00066EB3"/>
    <w:rsid w:val="00067F37"/>
    <w:rsid w:val="00070BF9"/>
    <w:rsid w:val="00075175"/>
    <w:rsid w:val="0007609B"/>
    <w:rsid w:val="00081947"/>
    <w:rsid w:val="00082FE1"/>
    <w:rsid w:val="0008667D"/>
    <w:rsid w:val="00087BF1"/>
    <w:rsid w:val="0009039F"/>
    <w:rsid w:val="00091429"/>
    <w:rsid w:val="00092763"/>
    <w:rsid w:val="00093624"/>
    <w:rsid w:val="00095CA9"/>
    <w:rsid w:val="000A0C52"/>
    <w:rsid w:val="000A3495"/>
    <w:rsid w:val="000A42F1"/>
    <w:rsid w:val="000A73B7"/>
    <w:rsid w:val="000B5B24"/>
    <w:rsid w:val="000B7F74"/>
    <w:rsid w:val="000C6331"/>
    <w:rsid w:val="000D038E"/>
    <w:rsid w:val="000D4995"/>
    <w:rsid w:val="000D6BE0"/>
    <w:rsid w:val="000D7D1C"/>
    <w:rsid w:val="000E0C5B"/>
    <w:rsid w:val="000E19CA"/>
    <w:rsid w:val="000E207C"/>
    <w:rsid w:val="000E2BAD"/>
    <w:rsid w:val="000E6DE2"/>
    <w:rsid w:val="000E7DAF"/>
    <w:rsid w:val="000F26A8"/>
    <w:rsid w:val="000F2E46"/>
    <w:rsid w:val="000F405B"/>
    <w:rsid w:val="000F40FE"/>
    <w:rsid w:val="000F41EF"/>
    <w:rsid w:val="000F42A8"/>
    <w:rsid w:val="000F525E"/>
    <w:rsid w:val="000F5332"/>
    <w:rsid w:val="000F673F"/>
    <w:rsid w:val="000F6A7A"/>
    <w:rsid w:val="000F6F3F"/>
    <w:rsid w:val="000F7178"/>
    <w:rsid w:val="000F7BE7"/>
    <w:rsid w:val="001002AB"/>
    <w:rsid w:val="00100DF1"/>
    <w:rsid w:val="001010E3"/>
    <w:rsid w:val="00102F83"/>
    <w:rsid w:val="00104DC6"/>
    <w:rsid w:val="0011046A"/>
    <w:rsid w:val="0011351A"/>
    <w:rsid w:val="0011415E"/>
    <w:rsid w:val="001159FD"/>
    <w:rsid w:val="001164A1"/>
    <w:rsid w:val="001171D4"/>
    <w:rsid w:val="001200DD"/>
    <w:rsid w:val="001233E9"/>
    <w:rsid w:val="00124727"/>
    <w:rsid w:val="00127E4E"/>
    <w:rsid w:val="00131648"/>
    <w:rsid w:val="00135EE9"/>
    <w:rsid w:val="0014517A"/>
    <w:rsid w:val="001506A6"/>
    <w:rsid w:val="00151CC3"/>
    <w:rsid w:val="00153451"/>
    <w:rsid w:val="001557F5"/>
    <w:rsid w:val="00155863"/>
    <w:rsid w:val="00155F3F"/>
    <w:rsid w:val="0015765A"/>
    <w:rsid w:val="00161855"/>
    <w:rsid w:val="0016194B"/>
    <w:rsid w:val="00161DD3"/>
    <w:rsid w:val="00167871"/>
    <w:rsid w:val="00170BC2"/>
    <w:rsid w:val="0017747B"/>
    <w:rsid w:val="00177DF2"/>
    <w:rsid w:val="001801C5"/>
    <w:rsid w:val="0018418B"/>
    <w:rsid w:val="001848D1"/>
    <w:rsid w:val="00184D33"/>
    <w:rsid w:val="00186D08"/>
    <w:rsid w:val="00190AAD"/>
    <w:rsid w:val="00191E0B"/>
    <w:rsid w:val="001926DD"/>
    <w:rsid w:val="001943B0"/>
    <w:rsid w:val="001A04EF"/>
    <w:rsid w:val="001A0754"/>
    <w:rsid w:val="001A231D"/>
    <w:rsid w:val="001A3241"/>
    <w:rsid w:val="001B6663"/>
    <w:rsid w:val="001B6CD1"/>
    <w:rsid w:val="001C2212"/>
    <w:rsid w:val="001C2745"/>
    <w:rsid w:val="001C291C"/>
    <w:rsid w:val="001C4C99"/>
    <w:rsid w:val="001D2A6B"/>
    <w:rsid w:val="001D4B6D"/>
    <w:rsid w:val="001D767C"/>
    <w:rsid w:val="001D7AC2"/>
    <w:rsid w:val="001E0558"/>
    <w:rsid w:val="001E0A12"/>
    <w:rsid w:val="001E1758"/>
    <w:rsid w:val="001E1D1A"/>
    <w:rsid w:val="001E4ED2"/>
    <w:rsid w:val="001E4F72"/>
    <w:rsid w:val="001E5B59"/>
    <w:rsid w:val="001E6ACD"/>
    <w:rsid w:val="001F05A5"/>
    <w:rsid w:val="001F1EB1"/>
    <w:rsid w:val="001F23C1"/>
    <w:rsid w:val="001F2649"/>
    <w:rsid w:val="001F2B37"/>
    <w:rsid w:val="001F4F2A"/>
    <w:rsid w:val="001F5034"/>
    <w:rsid w:val="001F7757"/>
    <w:rsid w:val="0020089B"/>
    <w:rsid w:val="00204A9C"/>
    <w:rsid w:val="00205EA4"/>
    <w:rsid w:val="00206242"/>
    <w:rsid w:val="00210888"/>
    <w:rsid w:val="00210FB9"/>
    <w:rsid w:val="002123F2"/>
    <w:rsid w:val="00217FE1"/>
    <w:rsid w:val="00220014"/>
    <w:rsid w:val="00220663"/>
    <w:rsid w:val="002232EC"/>
    <w:rsid w:val="002233C7"/>
    <w:rsid w:val="002275B4"/>
    <w:rsid w:val="00227845"/>
    <w:rsid w:val="0022795C"/>
    <w:rsid w:val="00230635"/>
    <w:rsid w:val="002307B2"/>
    <w:rsid w:val="002331ED"/>
    <w:rsid w:val="0023702A"/>
    <w:rsid w:val="0024182F"/>
    <w:rsid w:val="00241FF6"/>
    <w:rsid w:val="0024282C"/>
    <w:rsid w:val="00243275"/>
    <w:rsid w:val="002442DA"/>
    <w:rsid w:val="00244FB4"/>
    <w:rsid w:val="0024557A"/>
    <w:rsid w:val="0024706A"/>
    <w:rsid w:val="00250C1D"/>
    <w:rsid w:val="00256AE0"/>
    <w:rsid w:val="00260D68"/>
    <w:rsid w:val="002611CE"/>
    <w:rsid w:val="00262DF9"/>
    <w:rsid w:val="00263F1C"/>
    <w:rsid w:val="00264638"/>
    <w:rsid w:val="00270033"/>
    <w:rsid w:val="002712D3"/>
    <w:rsid w:val="00271DEE"/>
    <w:rsid w:val="002737E4"/>
    <w:rsid w:val="0027433F"/>
    <w:rsid w:val="002766A3"/>
    <w:rsid w:val="00276D3B"/>
    <w:rsid w:val="002830E0"/>
    <w:rsid w:val="00286E55"/>
    <w:rsid w:val="00291362"/>
    <w:rsid w:val="002934AD"/>
    <w:rsid w:val="0029458D"/>
    <w:rsid w:val="00296767"/>
    <w:rsid w:val="00297548"/>
    <w:rsid w:val="002976F1"/>
    <w:rsid w:val="00297836"/>
    <w:rsid w:val="002A0522"/>
    <w:rsid w:val="002A291C"/>
    <w:rsid w:val="002A2B95"/>
    <w:rsid w:val="002A3373"/>
    <w:rsid w:val="002A595A"/>
    <w:rsid w:val="002A5A92"/>
    <w:rsid w:val="002A729D"/>
    <w:rsid w:val="002B05C7"/>
    <w:rsid w:val="002B2257"/>
    <w:rsid w:val="002B37CC"/>
    <w:rsid w:val="002B4F4B"/>
    <w:rsid w:val="002C1E65"/>
    <w:rsid w:val="002C1FD6"/>
    <w:rsid w:val="002C364B"/>
    <w:rsid w:val="002C4311"/>
    <w:rsid w:val="002C47AC"/>
    <w:rsid w:val="002C7D29"/>
    <w:rsid w:val="002D37DD"/>
    <w:rsid w:val="002D74DA"/>
    <w:rsid w:val="002E0814"/>
    <w:rsid w:val="002E309A"/>
    <w:rsid w:val="002E3CC0"/>
    <w:rsid w:val="002E3F5B"/>
    <w:rsid w:val="002E58E2"/>
    <w:rsid w:val="002E675F"/>
    <w:rsid w:val="002E6AF7"/>
    <w:rsid w:val="002E7CB9"/>
    <w:rsid w:val="002F0F19"/>
    <w:rsid w:val="002F224C"/>
    <w:rsid w:val="002F3A06"/>
    <w:rsid w:val="00300AA0"/>
    <w:rsid w:val="00301B20"/>
    <w:rsid w:val="00304516"/>
    <w:rsid w:val="0031137C"/>
    <w:rsid w:val="003114DE"/>
    <w:rsid w:val="00314867"/>
    <w:rsid w:val="00317958"/>
    <w:rsid w:val="003179CF"/>
    <w:rsid w:val="00317C40"/>
    <w:rsid w:val="0032064B"/>
    <w:rsid w:val="00323B59"/>
    <w:rsid w:val="00325D5E"/>
    <w:rsid w:val="00326548"/>
    <w:rsid w:val="0032733F"/>
    <w:rsid w:val="00331143"/>
    <w:rsid w:val="00331BD4"/>
    <w:rsid w:val="00340641"/>
    <w:rsid w:val="00343023"/>
    <w:rsid w:val="00344600"/>
    <w:rsid w:val="00346207"/>
    <w:rsid w:val="00346889"/>
    <w:rsid w:val="003471EB"/>
    <w:rsid w:val="0035063E"/>
    <w:rsid w:val="00355F67"/>
    <w:rsid w:val="0036070F"/>
    <w:rsid w:val="00361E62"/>
    <w:rsid w:val="00363670"/>
    <w:rsid w:val="00364C39"/>
    <w:rsid w:val="00364CD5"/>
    <w:rsid w:val="00364E8E"/>
    <w:rsid w:val="00366E28"/>
    <w:rsid w:val="00371817"/>
    <w:rsid w:val="00371C7C"/>
    <w:rsid w:val="00375E3E"/>
    <w:rsid w:val="003824C5"/>
    <w:rsid w:val="00384B57"/>
    <w:rsid w:val="00384DF9"/>
    <w:rsid w:val="0038682A"/>
    <w:rsid w:val="0039106C"/>
    <w:rsid w:val="00392CED"/>
    <w:rsid w:val="00393FF4"/>
    <w:rsid w:val="003A067C"/>
    <w:rsid w:val="003A51A4"/>
    <w:rsid w:val="003A6952"/>
    <w:rsid w:val="003A7959"/>
    <w:rsid w:val="003B2606"/>
    <w:rsid w:val="003B29A8"/>
    <w:rsid w:val="003B3609"/>
    <w:rsid w:val="003B4A1A"/>
    <w:rsid w:val="003B5C41"/>
    <w:rsid w:val="003B7979"/>
    <w:rsid w:val="003B7FD9"/>
    <w:rsid w:val="003C12D4"/>
    <w:rsid w:val="003C2267"/>
    <w:rsid w:val="003C2630"/>
    <w:rsid w:val="003C3788"/>
    <w:rsid w:val="003C54C8"/>
    <w:rsid w:val="003C7006"/>
    <w:rsid w:val="003D01C9"/>
    <w:rsid w:val="003D0EFB"/>
    <w:rsid w:val="003D1FC3"/>
    <w:rsid w:val="003D20E7"/>
    <w:rsid w:val="003D2362"/>
    <w:rsid w:val="003D7201"/>
    <w:rsid w:val="003E124C"/>
    <w:rsid w:val="003E3024"/>
    <w:rsid w:val="003E43CE"/>
    <w:rsid w:val="003E4405"/>
    <w:rsid w:val="003E4997"/>
    <w:rsid w:val="003E567A"/>
    <w:rsid w:val="003F101E"/>
    <w:rsid w:val="003F5AAE"/>
    <w:rsid w:val="003F7BC5"/>
    <w:rsid w:val="0040045C"/>
    <w:rsid w:val="004067C4"/>
    <w:rsid w:val="004143E5"/>
    <w:rsid w:val="00414A6A"/>
    <w:rsid w:val="00414C10"/>
    <w:rsid w:val="00416C0B"/>
    <w:rsid w:val="00420686"/>
    <w:rsid w:val="00421FAF"/>
    <w:rsid w:val="00422819"/>
    <w:rsid w:val="00422A2E"/>
    <w:rsid w:val="00424EB3"/>
    <w:rsid w:val="00424ED2"/>
    <w:rsid w:val="00426A71"/>
    <w:rsid w:val="00430635"/>
    <w:rsid w:val="00430B1D"/>
    <w:rsid w:val="004352BF"/>
    <w:rsid w:val="00435FF2"/>
    <w:rsid w:val="00436151"/>
    <w:rsid w:val="00441A18"/>
    <w:rsid w:val="00443F19"/>
    <w:rsid w:val="004445B6"/>
    <w:rsid w:val="00444704"/>
    <w:rsid w:val="00445649"/>
    <w:rsid w:val="004472A9"/>
    <w:rsid w:val="00447451"/>
    <w:rsid w:val="0044793E"/>
    <w:rsid w:val="004516C8"/>
    <w:rsid w:val="00452597"/>
    <w:rsid w:val="004543C8"/>
    <w:rsid w:val="00464588"/>
    <w:rsid w:val="004656C3"/>
    <w:rsid w:val="00472BE7"/>
    <w:rsid w:val="004731EA"/>
    <w:rsid w:val="00475A20"/>
    <w:rsid w:val="00481793"/>
    <w:rsid w:val="00481B39"/>
    <w:rsid w:val="0048204A"/>
    <w:rsid w:val="004823D1"/>
    <w:rsid w:val="00484C96"/>
    <w:rsid w:val="00484E00"/>
    <w:rsid w:val="00485174"/>
    <w:rsid w:val="00486388"/>
    <w:rsid w:val="004878D0"/>
    <w:rsid w:val="0049132F"/>
    <w:rsid w:val="00493551"/>
    <w:rsid w:val="004A204B"/>
    <w:rsid w:val="004A37E8"/>
    <w:rsid w:val="004A42A8"/>
    <w:rsid w:val="004B07E8"/>
    <w:rsid w:val="004B08CC"/>
    <w:rsid w:val="004B10B1"/>
    <w:rsid w:val="004B228E"/>
    <w:rsid w:val="004B5CBB"/>
    <w:rsid w:val="004B637D"/>
    <w:rsid w:val="004C59FE"/>
    <w:rsid w:val="004C5E8C"/>
    <w:rsid w:val="004D0DFB"/>
    <w:rsid w:val="004D6914"/>
    <w:rsid w:val="004D71C7"/>
    <w:rsid w:val="004D77B4"/>
    <w:rsid w:val="004E5A5C"/>
    <w:rsid w:val="004E7DC7"/>
    <w:rsid w:val="004E7FE2"/>
    <w:rsid w:val="004F0E13"/>
    <w:rsid w:val="004F164E"/>
    <w:rsid w:val="004F49C5"/>
    <w:rsid w:val="004F6044"/>
    <w:rsid w:val="004F6FAE"/>
    <w:rsid w:val="004F72B6"/>
    <w:rsid w:val="00500500"/>
    <w:rsid w:val="0050282D"/>
    <w:rsid w:val="00504949"/>
    <w:rsid w:val="00505A95"/>
    <w:rsid w:val="00506039"/>
    <w:rsid w:val="00506999"/>
    <w:rsid w:val="00514495"/>
    <w:rsid w:val="00514BBA"/>
    <w:rsid w:val="005168AD"/>
    <w:rsid w:val="00516B7B"/>
    <w:rsid w:val="005175BB"/>
    <w:rsid w:val="00520430"/>
    <w:rsid w:val="00522AF0"/>
    <w:rsid w:val="00522D26"/>
    <w:rsid w:val="00524DE0"/>
    <w:rsid w:val="00526C2F"/>
    <w:rsid w:val="00530925"/>
    <w:rsid w:val="00531643"/>
    <w:rsid w:val="005327F7"/>
    <w:rsid w:val="00532DE6"/>
    <w:rsid w:val="00543112"/>
    <w:rsid w:val="00544A3A"/>
    <w:rsid w:val="00545A96"/>
    <w:rsid w:val="00545C3B"/>
    <w:rsid w:val="00547F7B"/>
    <w:rsid w:val="00547FC4"/>
    <w:rsid w:val="00551528"/>
    <w:rsid w:val="00553452"/>
    <w:rsid w:val="00555036"/>
    <w:rsid w:val="005551FD"/>
    <w:rsid w:val="00562E8B"/>
    <w:rsid w:val="00566DC1"/>
    <w:rsid w:val="00567757"/>
    <w:rsid w:val="0057162A"/>
    <w:rsid w:val="00572289"/>
    <w:rsid w:val="00572321"/>
    <w:rsid w:val="00574541"/>
    <w:rsid w:val="00574BCF"/>
    <w:rsid w:val="00577095"/>
    <w:rsid w:val="00577376"/>
    <w:rsid w:val="00584130"/>
    <w:rsid w:val="0058423F"/>
    <w:rsid w:val="00587418"/>
    <w:rsid w:val="00590A99"/>
    <w:rsid w:val="00590E53"/>
    <w:rsid w:val="005930D1"/>
    <w:rsid w:val="005958D8"/>
    <w:rsid w:val="00596275"/>
    <w:rsid w:val="005964CF"/>
    <w:rsid w:val="00596AAA"/>
    <w:rsid w:val="005A1822"/>
    <w:rsid w:val="005A5AA1"/>
    <w:rsid w:val="005B0AB7"/>
    <w:rsid w:val="005B17E3"/>
    <w:rsid w:val="005B6C07"/>
    <w:rsid w:val="005B7DAD"/>
    <w:rsid w:val="005C1159"/>
    <w:rsid w:val="005C3574"/>
    <w:rsid w:val="005D5174"/>
    <w:rsid w:val="005D721E"/>
    <w:rsid w:val="005D739C"/>
    <w:rsid w:val="005D7909"/>
    <w:rsid w:val="005D7C94"/>
    <w:rsid w:val="005E0DB2"/>
    <w:rsid w:val="005E1EE8"/>
    <w:rsid w:val="005E4F1C"/>
    <w:rsid w:val="005F1591"/>
    <w:rsid w:val="005F28A1"/>
    <w:rsid w:val="005F2DA5"/>
    <w:rsid w:val="005F3EEE"/>
    <w:rsid w:val="005F3F07"/>
    <w:rsid w:val="005F5629"/>
    <w:rsid w:val="005F5918"/>
    <w:rsid w:val="005F7829"/>
    <w:rsid w:val="0060530D"/>
    <w:rsid w:val="0061108F"/>
    <w:rsid w:val="00612128"/>
    <w:rsid w:val="006156B8"/>
    <w:rsid w:val="00620023"/>
    <w:rsid w:val="00621FD8"/>
    <w:rsid w:val="0062250F"/>
    <w:rsid w:val="00631C99"/>
    <w:rsid w:val="00631D4B"/>
    <w:rsid w:val="00632828"/>
    <w:rsid w:val="00634078"/>
    <w:rsid w:val="0063503F"/>
    <w:rsid w:val="00635584"/>
    <w:rsid w:val="00635A15"/>
    <w:rsid w:val="00641736"/>
    <w:rsid w:val="00642D1E"/>
    <w:rsid w:val="00644059"/>
    <w:rsid w:val="00647097"/>
    <w:rsid w:val="00650BEA"/>
    <w:rsid w:val="00651284"/>
    <w:rsid w:val="006514B9"/>
    <w:rsid w:val="00651AE6"/>
    <w:rsid w:val="00653596"/>
    <w:rsid w:val="006558C7"/>
    <w:rsid w:val="006565BD"/>
    <w:rsid w:val="00660372"/>
    <w:rsid w:val="00664437"/>
    <w:rsid w:val="006666A8"/>
    <w:rsid w:val="00670B88"/>
    <w:rsid w:val="00674682"/>
    <w:rsid w:val="0067530F"/>
    <w:rsid w:val="00675F3B"/>
    <w:rsid w:val="00681539"/>
    <w:rsid w:val="00682E77"/>
    <w:rsid w:val="00685935"/>
    <w:rsid w:val="006876D1"/>
    <w:rsid w:val="006945DC"/>
    <w:rsid w:val="006A1BA5"/>
    <w:rsid w:val="006A353F"/>
    <w:rsid w:val="006A3698"/>
    <w:rsid w:val="006A3A25"/>
    <w:rsid w:val="006A4C77"/>
    <w:rsid w:val="006A56DB"/>
    <w:rsid w:val="006A630F"/>
    <w:rsid w:val="006A6713"/>
    <w:rsid w:val="006A68C4"/>
    <w:rsid w:val="006A7850"/>
    <w:rsid w:val="006C394E"/>
    <w:rsid w:val="006C398B"/>
    <w:rsid w:val="006C52ED"/>
    <w:rsid w:val="006C625E"/>
    <w:rsid w:val="006D00EE"/>
    <w:rsid w:val="006D08C3"/>
    <w:rsid w:val="006D2D54"/>
    <w:rsid w:val="006D4E95"/>
    <w:rsid w:val="006D61F7"/>
    <w:rsid w:val="006D6C08"/>
    <w:rsid w:val="006E1687"/>
    <w:rsid w:val="006E196E"/>
    <w:rsid w:val="006E261E"/>
    <w:rsid w:val="006E3D25"/>
    <w:rsid w:val="006E4E35"/>
    <w:rsid w:val="006E5301"/>
    <w:rsid w:val="006E67D0"/>
    <w:rsid w:val="006E69C6"/>
    <w:rsid w:val="006F7742"/>
    <w:rsid w:val="00706045"/>
    <w:rsid w:val="0071049B"/>
    <w:rsid w:val="00713310"/>
    <w:rsid w:val="0071511C"/>
    <w:rsid w:val="00715527"/>
    <w:rsid w:val="00716E13"/>
    <w:rsid w:val="00716E51"/>
    <w:rsid w:val="00717CC0"/>
    <w:rsid w:val="00720020"/>
    <w:rsid w:val="00724FB9"/>
    <w:rsid w:val="00725AD3"/>
    <w:rsid w:val="00725B04"/>
    <w:rsid w:val="007268D9"/>
    <w:rsid w:val="00737E13"/>
    <w:rsid w:val="007504D7"/>
    <w:rsid w:val="00750A23"/>
    <w:rsid w:val="00751B7F"/>
    <w:rsid w:val="00753646"/>
    <w:rsid w:val="007552CF"/>
    <w:rsid w:val="00763B16"/>
    <w:rsid w:val="00763DDD"/>
    <w:rsid w:val="007644B2"/>
    <w:rsid w:val="0076600B"/>
    <w:rsid w:val="007662ED"/>
    <w:rsid w:val="00766DFF"/>
    <w:rsid w:val="00770B23"/>
    <w:rsid w:val="00771905"/>
    <w:rsid w:val="00782C27"/>
    <w:rsid w:val="00783161"/>
    <w:rsid w:val="00784975"/>
    <w:rsid w:val="00786368"/>
    <w:rsid w:val="00786A5A"/>
    <w:rsid w:val="0079046B"/>
    <w:rsid w:val="00790A7D"/>
    <w:rsid w:val="00792C16"/>
    <w:rsid w:val="00793E70"/>
    <w:rsid w:val="00794AA9"/>
    <w:rsid w:val="00795C7F"/>
    <w:rsid w:val="00795D5E"/>
    <w:rsid w:val="00797371"/>
    <w:rsid w:val="00797638"/>
    <w:rsid w:val="007A1031"/>
    <w:rsid w:val="007A62EA"/>
    <w:rsid w:val="007B083E"/>
    <w:rsid w:val="007B2CC4"/>
    <w:rsid w:val="007B557F"/>
    <w:rsid w:val="007B687F"/>
    <w:rsid w:val="007B7854"/>
    <w:rsid w:val="007C0BC5"/>
    <w:rsid w:val="007C0FD2"/>
    <w:rsid w:val="007C3379"/>
    <w:rsid w:val="007C351F"/>
    <w:rsid w:val="007C5601"/>
    <w:rsid w:val="007C7E7D"/>
    <w:rsid w:val="007D2A5A"/>
    <w:rsid w:val="007D2E24"/>
    <w:rsid w:val="007D7523"/>
    <w:rsid w:val="007E0DEF"/>
    <w:rsid w:val="007E7645"/>
    <w:rsid w:val="007F22DA"/>
    <w:rsid w:val="007F38A7"/>
    <w:rsid w:val="007F595F"/>
    <w:rsid w:val="007F6789"/>
    <w:rsid w:val="00801FD4"/>
    <w:rsid w:val="00803458"/>
    <w:rsid w:val="00803EA1"/>
    <w:rsid w:val="0080667C"/>
    <w:rsid w:val="00806C00"/>
    <w:rsid w:val="00806C49"/>
    <w:rsid w:val="00813426"/>
    <w:rsid w:val="008141DB"/>
    <w:rsid w:val="0081681F"/>
    <w:rsid w:val="00817002"/>
    <w:rsid w:val="00817064"/>
    <w:rsid w:val="00827009"/>
    <w:rsid w:val="0083341B"/>
    <w:rsid w:val="00834D54"/>
    <w:rsid w:val="0084124D"/>
    <w:rsid w:val="00841EC5"/>
    <w:rsid w:val="00844CA5"/>
    <w:rsid w:val="00845537"/>
    <w:rsid w:val="00846DC7"/>
    <w:rsid w:val="00846F7D"/>
    <w:rsid w:val="00847729"/>
    <w:rsid w:val="00850147"/>
    <w:rsid w:val="0085193F"/>
    <w:rsid w:val="00852802"/>
    <w:rsid w:val="008542A0"/>
    <w:rsid w:val="0085536D"/>
    <w:rsid w:val="008553ED"/>
    <w:rsid w:val="00856BC8"/>
    <w:rsid w:val="0085713E"/>
    <w:rsid w:val="00860278"/>
    <w:rsid w:val="0086168B"/>
    <w:rsid w:val="00861C4F"/>
    <w:rsid w:val="0086288C"/>
    <w:rsid w:val="0086319B"/>
    <w:rsid w:val="00863741"/>
    <w:rsid w:val="00863F16"/>
    <w:rsid w:val="00864A4B"/>
    <w:rsid w:val="00873C6C"/>
    <w:rsid w:val="00874A50"/>
    <w:rsid w:val="008806C0"/>
    <w:rsid w:val="00885317"/>
    <w:rsid w:val="00887F2C"/>
    <w:rsid w:val="00891957"/>
    <w:rsid w:val="00893368"/>
    <w:rsid w:val="008A04BB"/>
    <w:rsid w:val="008A065F"/>
    <w:rsid w:val="008A0C43"/>
    <w:rsid w:val="008A0D36"/>
    <w:rsid w:val="008A1F31"/>
    <w:rsid w:val="008A5A69"/>
    <w:rsid w:val="008A7949"/>
    <w:rsid w:val="008B3E38"/>
    <w:rsid w:val="008B63E7"/>
    <w:rsid w:val="008B7853"/>
    <w:rsid w:val="008B7BF5"/>
    <w:rsid w:val="008C0672"/>
    <w:rsid w:val="008C276F"/>
    <w:rsid w:val="008C4763"/>
    <w:rsid w:val="008C5DAD"/>
    <w:rsid w:val="008D0218"/>
    <w:rsid w:val="008D2F29"/>
    <w:rsid w:val="008D617C"/>
    <w:rsid w:val="008D6F4E"/>
    <w:rsid w:val="008E0EE4"/>
    <w:rsid w:val="008E21E8"/>
    <w:rsid w:val="008E23ED"/>
    <w:rsid w:val="008E32CA"/>
    <w:rsid w:val="008E45F0"/>
    <w:rsid w:val="008E60F0"/>
    <w:rsid w:val="008F095B"/>
    <w:rsid w:val="008F133C"/>
    <w:rsid w:val="008F1714"/>
    <w:rsid w:val="008F73BD"/>
    <w:rsid w:val="00903BA9"/>
    <w:rsid w:val="00907906"/>
    <w:rsid w:val="00912E4D"/>
    <w:rsid w:val="0092132E"/>
    <w:rsid w:val="00922198"/>
    <w:rsid w:val="00924C8E"/>
    <w:rsid w:val="0093144D"/>
    <w:rsid w:val="0093165F"/>
    <w:rsid w:val="00933F23"/>
    <w:rsid w:val="00943CBF"/>
    <w:rsid w:val="009471B9"/>
    <w:rsid w:val="009513C5"/>
    <w:rsid w:val="00951D4A"/>
    <w:rsid w:val="00953834"/>
    <w:rsid w:val="00956B64"/>
    <w:rsid w:val="00956F6E"/>
    <w:rsid w:val="009601F0"/>
    <w:rsid w:val="009609BF"/>
    <w:rsid w:val="00963263"/>
    <w:rsid w:val="0096425B"/>
    <w:rsid w:val="00964BC5"/>
    <w:rsid w:val="00965234"/>
    <w:rsid w:val="0096707A"/>
    <w:rsid w:val="00971AB2"/>
    <w:rsid w:val="00973796"/>
    <w:rsid w:val="00977683"/>
    <w:rsid w:val="009804DA"/>
    <w:rsid w:val="009840F3"/>
    <w:rsid w:val="009870C1"/>
    <w:rsid w:val="00987797"/>
    <w:rsid w:val="00987EE5"/>
    <w:rsid w:val="009907D6"/>
    <w:rsid w:val="00990D4A"/>
    <w:rsid w:val="009931E6"/>
    <w:rsid w:val="0099534C"/>
    <w:rsid w:val="00997501"/>
    <w:rsid w:val="009A01AB"/>
    <w:rsid w:val="009A091D"/>
    <w:rsid w:val="009A2569"/>
    <w:rsid w:val="009A3435"/>
    <w:rsid w:val="009A6386"/>
    <w:rsid w:val="009B2ADF"/>
    <w:rsid w:val="009B7B7C"/>
    <w:rsid w:val="009C5ECA"/>
    <w:rsid w:val="009D4349"/>
    <w:rsid w:val="009D5873"/>
    <w:rsid w:val="009D5DF3"/>
    <w:rsid w:val="009D694A"/>
    <w:rsid w:val="009D7CC5"/>
    <w:rsid w:val="009E00CD"/>
    <w:rsid w:val="009E1416"/>
    <w:rsid w:val="009E25E7"/>
    <w:rsid w:val="009E5407"/>
    <w:rsid w:val="009E5916"/>
    <w:rsid w:val="009F06E4"/>
    <w:rsid w:val="009F6C0F"/>
    <w:rsid w:val="009F79D9"/>
    <w:rsid w:val="009F7C68"/>
    <w:rsid w:val="00A00063"/>
    <w:rsid w:val="00A019E0"/>
    <w:rsid w:val="00A01BE0"/>
    <w:rsid w:val="00A02CB2"/>
    <w:rsid w:val="00A0434C"/>
    <w:rsid w:val="00A05459"/>
    <w:rsid w:val="00A06EA7"/>
    <w:rsid w:val="00A0723E"/>
    <w:rsid w:val="00A10503"/>
    <w:rsid w:val="00A106FD"/>
    <w:rsid w:val="00A1203F"/>
    <w:rsid w:val="00A13D24"/>
    <w:rsid w:val="00A203E5"/>
    <w:rsid w:val="00A2127E"/>
    <w:rsid w:val="00A21362"/>
    <w:rsid w:val="00A2161F"/>
    <w:rsid w:val="00A22352"/>
    <w:rsid w:val="00A2458A"/>
    <w:rsid w:val="00A308CA"/>
    <w:rsid w:val="00A328DF"/>
    <w:rsid w:val="00A35E3C"/>
    <w:rsid w:val="00A42203"/>
    <w:rsid w:val="00A42747"/>
    <w:rsid w:val="00A454AE"/>
    <w:rsid w:val="00A5069F"/>
    <w:rsid w:val="00A52DE4"/>
    <w:rsid w:val="00A63CE1"/>
    <w:rsid w:val="00A66523"/>
    <w:rsid w:val="00A710B5"/>
    <w:rsid w:val="00A71DDC"/>
    <w:rsid w:val="00A72D22"/>
    <w:rsid w:val="00A73762"/>
    <w:rsid w:val="00A745BE"/>
    <w:rsid w:val="00A7540E"/>
    <w:rsid w:val="00A75AA4"/>
    <w:rsid w:val="00A75D5E"/>
    <w:rsid w:val="00A807FB"/>
    <w:rsid w:val="00A81907"/>
    <w:rsid w:val="00A83265"/>
    <w:rsid w:val="00A83C07"/>
    <w:rsid w:val="00A85020"/>
    <w:rsid w:val="00A856C5"/>
    <w:rsid w:val="00AA20EB"/>
    <w:rsid w:val="00AA2951"/>
    <w:rsid w:val="00AA4F21"/>
    <w:rsid w:val="00AB08EC"/>
    <w:rsid w:val="00AB1290"/>
    <w:rsid w:val="00AB3D0B"/>
    <w:rsid w:val="00AB5924"/>
    <w:rsid w:val="00AB7B9A"/>
    <w:rsid w:val="00AB7E46"/>
    <w:rsid w:val="00AC04EC"/>
    <w:rsid w:val="00AC3096"/>
    <w:rsid w:val="00AC3225"/>
    <w:rsid w:val="00AC4130"/>
    <w:rsid w:val="00AD26BC"/>
    <w:rsid w:val="00AD339B"/>
    <w:rsid w:val="00AD5544"/>
    <w:rsid w:val="00AE0B58"/>
    <w:rsid w:val="00AE1112"/>
    <w:rsid w:val="00AE1CE6"/>
    <w:rsid w:val="00AE5618"/>
    <w:rsid w:val="00AE792E"/>
    <w:rsid w:val="00AF0AD8"/>
    <w:rsid w:val="00AF1015"/>
    <w:rsid w:val="00AF2380"/>
    <w:rsid w:val="00AF4F9B"/>
    <w:rsid w:val="00AF76E9"/>
    <w:rsid w:val="00B01B88"/>
    <w:rsid w:val="00B01DC3"/>
    <w:rsid w:val="00B03FE6"/>
    <w:rsid w:val="00B1030E"/>
    <w:rsid w:val="00B1267F"/>
    <w:rsid w:val="00B12C50"/>
    <w:rsid w:val="00B161E7"/>
    <w:rsid w:val="00B164B2"/>
    <w:rsid w:val="00B16CB7"/>
    <w:rsid w:val="00B21A5C"/>
    <w:rsid w:val="00B2515C"/>
    <w:rsid w:val="00B257AF"/>
    <w:rsid w:val="00B32DE8"/>
    <w:rsid w:val="00B37A23"/>
    <w:rsid w:val="00B37C7A"/>
    <w:rsid w:val="00B40DBE"/>
    <w:rsid w:val="00B42F10"/>
    <w:rsid w:val="00B45C19"/>
    <w:rsid w:val="00B4646A"/>
    <w:rsid w:val="00B50676"/>
    <w:rsid w:val="00B51FDD"/>
    <w:rsid w:val="00B53308"/>
    <w:rsid w:val="00B5486D"/>
    <w:rsid w:val="00B55706"/>
    <w:rsid w:val="00B63953"/>
    <w:rsid w:val="00B63AD5"/>
    <w:rsid w:val="00B6404D"/>
    <w:rsid w:val="00B6735B"/>
    <w:rsid w:val="00B678B5"/>
    <w:rsid w:val="00B71A36"/>
    <w:rsid w:val="00B722E4"/>
    <w:rsid w:val="00B734C0"/>
    <w:rsid w:val="00B73A65"/>
    <w:rsid w:val="00B74F69"/>
    <w:rsid w:val="00B75A42"/>
    <w:rsid w:val="00B7719C"/>
    <w:rsid w:val="00B77E11"/>
    <w:rsid w:val="00B823E9"/>
    <w:rsid w:val="00B832AC"/>
    <w:rsid w:val="00B8348D"/>
    <w:rsid w:val="00B84315"/>
    <w:rsid w:val="00B8755E"/>
    <w:rsid w:val="00B94032"/>
    <w:rsid w:val="00B95E9B"/>
    <w:rsid w:val="00BA1C44"/>
    <w:rsid w:val="00BA2DA6"/>
    <w:rsid w:val="00BB2CBF"/>
    <w:rsid w:val="00BB5D20"/>
    <w:rsid w:val="00BB69DA"/>
    <w:rsid w:val="00BB76A0"/>
    <w:rsid w:val="00BC091C"/>
    <w:rsid w:val="00BC1983"/>
    <w:rsid w:val="00BC221F"/>
    <w:rsid w:val="00BC2A94"/>
    <w:rsid w:val="00BC56D8"/>
    <w:rsid w:val="00BC6489"/>
    <w:rsid w:val="00BC668D"/>
    <w:rsid w:val="00BC671A"/>
    <w:rsid w:val="00BD25E9"/>
    <w:rsid w:val="00BD2954"/>
    <w:rsid w:val="00BD2FF8"/>
    <w:rsid w:val="00BD3349"/>
    <w:rsid w:val="00BD3632"/>
    <w:rsid w:val="00BD50AB"/>
    <w:rsid w:val="00BD6EF4"/>
    <w:rsid w:val="00BD7D27"/>
    <w:rsid w:val="00BE1D89"/>
    <w:rsid w:val="00BE2D98"/>
    <w:rsid w:val="00BE4F3F"/>
    <w:rsid w:val="00BE5A26"/>
    <w:rsid w:val="00BE6FE8"/>
    <w:rsid w:val="00BF04A0"/>
    <w:rsid w:val="00BF14C8"/>
    <w:rsid w:val="00BF2B72"/>
    <w:rsid w:val="00BF3827"/>
    <w:rsid w:val="00BF77E3"/>
    <w:rsid w:val="00C050B7"/>
    <w:rsid w:val="00C05139"/>
    <w:rsid w:val="00C056BD"/>
    <w:rsid w:val="00C05E55"/>
    <w:rsid w:val="00C13928"/>
    <w:rsid w:val="00C16578"/>
    <w:rsid w:val="00C16753"/>
    <w:rsid w:val="00C219C9"/>
    <w:rsid w:val="00C22293"/>
    <w:rsid w:val="00C22CD8"/>
    <w:rsid w:val="00C26188"/>
    <w:rsid w:val="00C3282A"/>
    <w:rsid w:val="00C341F9"/>
    <w:rsid w:val="00C35835"/>
    <w:rsid w:val="00C457F8"/>
    <w:rsid w:val="00C467F0"/>
    <w:rsid w:val="00C469C3"/>
    <w:rsid w:val="00C51A09"/>
    <w:rsid w:val="00C52B77"/>
    <w:rsid w:val="00C53467"/>
    <w:rsid w:val="00C5640F"/>
    <w:rsid w:val="00C5671D"/>
    <w:rsid w:val="00C648A0"/>
    <w:rsid w:val="00C678BF"/>
    <w:rsid w:val="00C739B8"/>
    <w:rsid w:val="00C75327"/>
    <w:rsid w:val="00C756FA"/>
    <w:rsid w:val="00C76393"/>
    <w:rsid w:val="00C7733A"/>
    <w:rsid w:val="00C82283"/>
    <w:rsid w:val="00C83032"/>
    <w:rsid w:val="00C86796"/>
    <w:rsid w:val="00C91716"/>
    <w:rsid w:val="00C93422"/>
    <w:rsid w:val="00C944BD"/>
    <w:rsid w:val="00C969A7"/>
    <w:rsid w:val="00C96F53"/>
    <w:rsid w:val="00C96FC8"/>
    <w:rsid w:val="00CA18E6"/>
    <w:rsid w:val="00CA235E"/>
    <w:rsid w:val="00CA277F"/>
    <w:rsid w:val="00CA294B"/>
    <w:rsid w:val="00CA3712"/>
    <w:rsid w:val="00CA57AC"/>
    <w:rsid w:val="00CA668A"/>
    <w:rsid w:val="00CB04BB"/>
    <w:rsid w:val="00CB173A"/>
    <w:rsid w:val="00CB17C5"/>
    <w:rsid w:val="00CB2B4B"/>
    <w:rsid w:val="00CB4270"/>
    <w:rsid w:val="00CB53E0"/>
    <w:rsid w:val="00CC1AF1"/>
    <w:rsid w:val="00CC5A48"/>
    <w:rsid w:val="00CC664A"/>
    <w:rsid w:val="00CC799C"/>
    <w:rsid w:val="00CD5374"/>
    <w:rsid w:val="00CD7F52"/>
    <w:rsid w:val="00CE0D8C"/>
    <w:rsid w:val="00CE13AD"/>
    <w:rsid w:val="00CE3356"/>
    <w:rsid w:val="00CE562E"/>
    <w:rsid w:val="00CE5F07"/>
    <w:rsid w:val="00CE6928"/>
    <w:rsid w:val="00CE7F9B"/>
    <w:rsid w:val="00CF0EB1"/>
    <w:rsid w:val="00CF2864"/>
    <w:rsid w:val="00CF7293"/>
    <w:rsid w:val="00CF7665"/>
    <w:rsid w:val="00D00214"/>
    <w:rsid w:val="00D02425"/>
    <w:rsid w:val="00D05944"/>
    <w:rsid w:val="00D0622F"/>
    <w:rsid w:val="00D103D4"/>
    <w:rsid w:val="00D1158D"/>
    <w:rsid w:val="00D13BED"/>
    <w:rsid w:val="00D1430C"/>
    <w:rsid w:val="00D16BBE"/>
    <w:rsid w:val="00D25AD0"/>
    <w:rsid w:val="00D260C9"/>
    <w:rsid w:val="00D26147"/>
    <w:rsid w:val="00D26D3E"/>
    <w:rsid w:val="00D27BB9"/>
    <w:rsid w:val="00D310E7"/>
    <w:rsid w:val="00D32945"/>
    <w:rsid w:val="00D33B82"/>
    <w:rsid w:val="00D35701"/>
    <w:rsid w:val="00D361D9"/>
    <w:rsid w:val="00D40B14"/>
    <w:rsid w:val="00D40F22"/>
    <w:rsid w:val="00D42699"/>
    <w:rsid w:val="00D42DEF"/>
    <w:rsid w:val="00D43142"/>
    <w:rsid w:val="00D52541"/>
    <w:rsid w:val="00D52B81"/>
    <w:rsid w:val="00D5693A"/>
    <w:rsid w:val="00D63F2A"/>
    <w:rsid w:val="00D70EB9"/>
    <w:rsid w:val="00D712DB"/>
    <w:rsid w:val="00D7202A"/>
    <w:rsid w:val="00D7557F"/>
    <w:rsid w:val="00D75EA3"/>
    <w:rsid w:val="00D76FAD"/>
    <w:rsid w:val="00D80F50"/>
    <w:rsid w:val="00D84B73"/>
    <w:rsid w:val="00D84FF0"/>
    <w:rsid w:val="00D8555B"/>
    <w:rsid w:val="00D877F7"/>
    <w:rsid w:val="00D9054A"/>
    <w:rsid w:val="00D91CBD"/>
    <w:rsid w:val="00D930DA"/>
    <w:rsid w:val="00D938FF"/>
    <w:rsid w:val="00D94802"/>
    <w:rsid w:val="00D94970"/>
    <w:rsid w:val="00DA0587"/>
    <w:rsid w:val="00DA137F"/>
    <w:rsid w:val="00DA417F"/>
    <w:rsid w:val="00DB2259"/>
    <w:rsid w:val="00DB4458"/>
    <w:rsid w:val="00DB59AC"/>
    <w:rsid w:val="00DB74D0"/>
    <w:rsid w:val="00DB7C7A"/>
    <w:rsid w:val="00DC74F1"/>
    <w:rsid w:val="00DC7B17"/>
    <w:rsid w:val="00DD2327"/>
    <w:rsid w:val="00DD3C38"/>
    <w:rsid w:val="00DD5DA6"/>
    <w:rsid w:val="00DE094D"/>
    <w:rsid w:val="00DE2749"/>
    <w:rsid w:val="00DE37B8"/>
    <w:rsid w:val="00DE49FD"/>
    <w:rsid w:val="00DF00D0"/>
    <w:rsid w:val="00DF0CBC"/>
    <w:rsid w:val="00DF0CD7"/>
    <w:rsid w:val="00DF4407"/>
    <w:rsid w:val="00DF7EE3"/>
    <w:rsid w:val="00E0146C"/>
    <w:rsid w:val="00E10450"/>
    <w:rsid w:val="00E1341F"/>
    <w:rsid w:val="00E134D4"/>
    <w:rsid w:val="00E148C8"/>
    <w:rsid w:val="00E17A53"/>
    <w:rsid w:val="00E17FBD"/>
    <w:rsid w:val="00E20A18"/>
    <w:rsid w:val="00E21A47"/>
    <w:rsid w:val="00E26B37"/>
    <w:rsid w:val="00E27863"/>
    <w:rsid w:val="00E317B9"/>
    <w:rsid w:val="00E34C1F"/>
    <w:rsid w:val="00E40B06"/>
    <w:rsid w:val="00E41DAC"/>
    <w:rsid w:val="00E42242"/>
    <w:rsid w:val="00E4238D"/>
    <w:rsid w:val="00E43830"/>
    <w:rsid w:val="00E448B0"/>
    <w:rsid w:val="00E45452"/>
    <w:rsid w:val="00E475CA"/>
    <w:rsid w:val="00E47902"/>
    <w:rsid w:val="00E52753"/>
    <w:rsid w:val="00E52E5B"/>
    <w:rsid w:val="00E531CF"/>
    <w:rsid w:val="00E54FA0"/>
    <w:rsid w:val="00E554A1"/>
    <w:rsid w:val="00E5582B"/>
    <w:rsid w:val="00E576FA"/>
    <w:rsid w:val="00E57E5E"/>
    <w:rsid w:val="00E60081"/>
    <w:rsid w:val="00E631A2"/>
    <w:rsid w:val="00E6457F"/>
    <w:rsid w:val="00E65507"/>
    <w:rsid w:val="00E7078F"/>
    <w:rsid w:val="00E7092C"/>
    <w:rsid w:val="00E70CDE"/>
    <w:rsid w:val="00E70EB2"/>
    <w:rsid w:val="00E72B8D"/>
    <w:rsid w:val="00E739E9"/>
    <w:rsid w:val="00E756E7"/>
    <w:rsid w:val="00E75833"/>
    <w:rsid w:val="00E7779B"/>
    <w:rsid w:val="00E8781E"/>
    <w:rsid w:val="00E92208"/>
    <w:rsid w:val="00E93008"/>
    <w:rsid w:val="00E95EFF"/>
    <w:rsid w:val="00EA0059"/>
    <w:rsid w:val="00EA1034"/>
    <w:rsid w:val="00EA2A67"/>
    <w:rsid w:val="00EA3D61"/>
    <w:rsid w:val="00EA5A94"/>
    <w:rsid w:val="00EB0093"/>
    <w:rsid w:val="00EB012C"/>
    <w:rsid w:val="00EB4AC5"/>
    <w:rsid w:val="00EB5E0A"/>
    <w:rsid w:val="00EB6E4E"/>
    <w:rsid w:val="00EB7A21"/>
    <w:rsid w:val="00EC11E1"/>
    <w:rsid w:val="00EC1307"/>
    <w:rsid w:val="00EC258C"/>
    <w:rsid w:val="00EC2CFC"/>
    <w:rsid w:val="00EE0A31"/>
    <w:rsid w:val="00EE5103"/>
    <w:rsid w:val="00EE7173"/>
    <w:rsid w:val="00EE75F1"/>
    <w:rsid w:val="00EE761E"/>
    <w:rsid w:val="00EE76AB"/>
    <w:rsid w:val="00EF01C4"/>
    <w:rsid w:val="00EF14F7"/>
    <w:rsid w:val="00F01684"/>
    <w:rsid w:val="00F04C2F"/>
    <w:rsid w:val="00F05ECA"/>
    <w:rsid w:val="00F12AC9"/>
    <w:rsid w:val="00F155BF"/>
    <w:rsid w:val="00F22096"/>
    <w:rsid w:val="00F23FBF"/>
    <w:rsid w:val="00F2458D"/>
    <w:rsid w:val="00F26A81"/>
    <w:rsid w:val="00F2784F"/>
    <w:rsid w:val="00F30738"/>
    <w:rsid w:val="00F32BEC"/>
    <w:rsid w:val="00F33E5D"/>
    <w:rsid w:val="00F416E0"/>
    <w:rsid w:val="00F43836"/>
    <w:rsid w:val="00F4577D"/>
    <w:rsid w:val="00F4733E"/>
    <w:rsid w:val="00F475C5"/>
    <w:rsid w:val="00F51B11"/>
    <w:rsid w:val="00F51C64"/>
    <w:rsid w:val="00F53979"/>
    <w:rsid w:val="00F552A8"/>
    <w:rsid w:val="00F639E3"/>
    <w:rsid w:val="00F67094"/>
    <w:rsid w:val="00F67870"/>
    <w:rsid w:val="00F702F3"/>
    <w:rsid w:val="00F7324A"/>
    <w:rsid w:val="00F76047"/>
    <w:rsid w:val="00F761E5"/>
    <w:rsid w:val="00F9352D"/>
    <w:rsid w:val="00F94C6B"/>
    <w:rsid w:val="00F96224"/>
    <w:rsid w:val="00FA391E"/>
    <w:rsid w:val="00FA5B67"/>
    <w:rsid w:val="00FA6470"/>
    <w:rsid w:val="00FB05A7"/>
    <w:rsid w:val="00FB1C14"/>
    <w:rsid w:val="00FB52E2"/>
    <w:rsid w:val="00FB5E7C"/>
    <w:rsid w:val="00FB610B"/>
    <w:rsid w:val="00FB643E"/>
    <w:rsid w:val="00FB6B07"/>
    <w:rsid w:val="00FC1823"/>
    <w:rsid w:val="00FC3C0C"/>
    <w:rsid w:val="00FC6E36"/>
    <w:rsid w:val="00FC6F79"/>
    <w:rsid w:val="00FC714A"/>
    <w:rsid w:val="00FC7630"/>
    <w:rsid w:val="00FD1142"/>
    <w:rsid w:val="00FD25E4"/>
    <w:rsid w:val="00FD2EB4"/>
    <w:rsid w:val="00FD4948"/>
    <w:rsid w:val="00FD59B4"/>
    <w:rsid w:val="00FE1A5B"/>
    <w:rsid w:val="00FE3858"/>
    <w:rsid w:val="00FE602C"/>
    <w:rsid w:val="00FE6875"/>
    <w:rsid w:val="00FF1AB3"/>
    <w:rsid w:val="00FF33EF"/>
    <w:rsid w:val="00FF41C4"/>
    <w:rsid w:val="00FF5006"/>
    <w:rsid w:val="00FF5177"/>
    <w:rsid w:val="00FF7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651D"/>
  <w15:chartTrackingRefBased/>
  <w15:docId w15:val="{C994365F-C5B4-465A-B8EB-8FB491FE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0FE"/>
    <w:pPr>
      <w:ind w:left="720"/>
      <w:contextualSpacing/>
    </w:pPr>
  </w:style>
  <w:style w:type="table" w:styleId="Tabellenraster">
    <w:name w:val="Table Grid"/>
    <w:basedOn w:val="NormaleTabelle"/>
    <w:uiPriority w:val="39"/>
    <w:rsid w:val="006A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1030E"/>
    <w:rPr>
      <w:sz w:val="16"/>
      <w:szCs w:val="16"/>
    </w:rPr>
  </w:style>
  <w:style w:type="paragraph" w:styleId="Kommentartext">
    <w:name w:val="annotation text"/>
    <w:basedOn w:val="Standard"/>
    <w:link w:val="KommentartextZchn"/>
    <w:uiPriority w:val="99"/>
    <w:unhideWhenUsed/>
    <w:rsid w:val="00B1030E"/>
    <w:pPr>
      <w:spacing w:line="240" w:lineRule="auto"/>
    </w:pPr>
    <w:rPr>
      <w:sz w:val="20"/>
      <w:szCs w:val="20"/>
    </w:rPr>
  </w:style>
  <w:style w:type="character" w:customStyle="1" w:styleId="KommentartextZchn">
    <w:name w:val="Kommentartext Zchn"/>
    <w:basedOn w:val="Absatz-Standardschriftart"/>
    <w:link w:val="Kommentartext"/>
    <w:uiPriority w:val="99"/>
    <w:rsid w:val="00B1030E"/>
    <w:rPr>
      <w:sz w:val="20"/>
      <w:szCs w:val="20"/>
    </w:rPr>
  </w:style>
  <w:style w:type="paragraph" w:styleId="Sprechblasentext">
    <w:name w:val="Balloon Text"/>
    <w:basedOn w:val="Standard"/>
    <w:link w:val="SprechblasentextZchn"/>
    <w:uiPriority w:val="99"/>
    <w:semiHidden/>
    <w:unhideWhenUsed/>
    <w:rsid w:val="00B103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030E"/>
    <w:rPr>
      <w:rFonts w:ascii="Segoe UI" w:hAnsi="Segoe UI" w:cs="Segoe UI"/>
      <w:sz w:val="18"/>
      <w:szCs w:val="18"/>
    </w:rPr>
  </w:style>
  <w:style w:type="character" w:styleId="Hyperlink">
    <w:name w:val="Hyperlink"/>
    <w:basedOn w:val="Absatz-Standardschriftart"/>
    <w:uiPriority w:val="99"/>
    <w:unhideWhenUsed/>
    <w:rsid w:val="00964BC5"/>
    <w:rPr>
      <w:color w:val="0563C1" w:themeColor="hyperlink"/>
      <w:u w:val="single"/>
    </w:rPr>
  </w:style>
  <w:style w:type="paragraph" w:styleId="HTMLVorformatiert">
    <w:name w:val="HTML Preformatted"/>
    <w:basedOn w:val="Standard"/>
    <w:link w:val="HTMLVorformatiertZchn"/>
    <w:uiPriority w:val="99"/>
    <w:unhideWhenUsed/>
    <w:rsid w:val="00E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72B8D"/>
    <w:rPr>
      <w:rFonts w:ascii="Courier New" w:eastAsia="Times New Roman" w:hAnsi="Courier New" w:cs="Courier New"/>
      <w:sz w:val="20"/>
      <w:szCs w:val="20"/>
      <w:lang w:eastAsia="de-DE"/>
    </w:rPr>
  </w:style>
  <w:style w:type="paragraph" w:styleId="Kommentarthema">
    <w:name w:val="annotation subject"/>
    <w:basedOn w:val="Kommentartext"/>
    <w:next w:val="Kommentartext"/>
    <w:link w:val="KommentarthemaZchn"/>
    <w:uiPriority w:val="99"/>
    <w:semiHidden/>
    <w:unhideWhenUsed/>
    <w:rsid w:val="004878D0"/>
    <w:rPr>
      <w:b/>
      <w:bCs/>
    </w:rPr>
  </w:style>
  <w:style w:type="character" w:customStyle="1" w:styleId="KommentarthemaZchn">
    <w:name w:val="Kommentarthema Zchn"/>
    <w:basedOn w:val="KommentartextZchn"/>
    <w:link w:val="Kommentarthema"/>
    <w:uiPriority w:val="99"/>
    <w:semiHidden/>
    <w:rsid w:val="004878D0"/>
    <w:rPr>
      <w:b/>
      <w:bCs/>
      <w:sz w:val="20"/>
      <w:szCs w:val="20"/>
    </w:rPr>
  </w:style>
  <w:style w:type="paragraph" w:styleId="Literaturverzeichnis">
    <w:name w:val="Bibliography"/>
    <w:basedOn w:val="Standard"/>
    <w:next w:val="Standard"/>
    <w:uiPriority w:val="37"/>
    <w:unhideWhenUsed/>
    <w:rsid w:val="00D84B73"/>
    <w:pPr>
      <w:spacing w:after="240" w:line="240" w:lineRule="auto"/>
      <w:ind w:left="720" w:hanging="720"/>
    </w:pPr>
  </w:style>
  <w:style w:type="paragraph" w:styleId="Kopfzeile">
    <w:name w:val="header"/>
    <w:basedOn w:val="Standard"/>
    <w:link w:val="KopfzeileZchn"/>
    <w:uiPriority w:val="99"/>
    <w:unhideWhenUsed/>
    <w:rsid w:val="00E52E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E5B"/>
  </w:style>
  <w:style w:type="paragraph" w:styleId="Fuzeile">
    <w:name w:val="footer"/>
    <w:basedOn w:val="Standard"/>
    <w:link w:val="FuzeileZchn"/>
    <w:uiPriority w:val="99"/>
    <w:unhideWhenUsed/>
    <w:rsid w:val="00E52E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E5B"/>
  </w:style>
  <w:style w:type="character" w:customStyle="1" w:styleId="orgunit">
    <w:name w:val="orgunit"/>
    <w:basedOn w:val="Absatz-Standardschriftart"/>
    <w:rsid w:val="00A66523"/>
  </w:style>
  <w:style w:type="paragraph" w:customStyle="1" w:styleId="Formatvorlage2">
    <w:name w:val="Formatvorlage2"/>
    <w:basedOn w:val="Standard"/>
    <w:rsid w:val="00421FAF"/>
    <w:pPr>
      <w:suppressAutoHyphens/>
      <w:spacing w:after="0" w:line="240" w:lineRule="auto"/>
    </w:pPr>
    <w:rPr>
      <w:rFonts w:ascii="Times New Roman" w:eastAsia="Times New Roman" w:hAnsi="Times New Roman" w:cs="Times New Roman"/>
      <w:sz w:val="24"/>
      <w:szCs w:val="24"/>
      <w:lang w:eastAsia="zh-CN"/>
    </w:rPr>
  </w:style>
  <w:style w:type="paragraph" w:styleId="berarbeitung">
    <w:name w:val="Revision"/>
    <w:hidden/>
    <w:uiPriority w:val="99"/>
    <w:semiHidden/>
    <w:rsid w:val="002A0522"/>
    <w:pPr>
      <w:spacing w:after="0" w:line="240" w:lineRule="auto"/>
    </w:pPr>
  </w:style>
  <w:style w:type="character" w:styleId="Fett">
    <w:name w:val="Strong"/>
    <w:basedOn w:val="Absatz-Standardschriftart"/>
    <w:uiPriority w:val="22"/>
    <w:qFormat/>
    <w:rsid w:val="00D26147"/>
    <w:rPr>
      <w:b/>
      <w:bCs/>
    </w:rPr>
  </w:style>
  <w:style w:type="paragraph" w:styleId="StandardWeb">
    <w:name w:val="Normal (Web)"/>
    <w:basedOn w:val="Standard"/>
    <w:uiPriority w:val="99"/>
    <w:unhideWhenUsed/>
    <w:rsid w:val="000F5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agecontents">
    <w:name w:val="pagecontents"/>
    <w:basedOn w:val="Absatz-Standardschriftart"/>
    <w:rsid w:val="00184D33"/>
  </w:style>
  <w:style w:type="character" w:styleId="Zeilennummer">
    <w:name w:val="line number"/>
    <w:basedOn w:val="Absatz-Standardschriftart"/>
    <w:uiPriority w:val="99"/>
    <w:semiHidden/>
    <w:unhideWhenUsed/>
    <w:rsid w:val="00DB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625">
      <w:bodyDiv w:val="1"/>
      <w:marLeft w:val="0"/>
      <w:marRight w:val="0"/>
      <w:marTop w:val="0"/>
      <w:marBottom w:val="0"/>
      <w:divBdr>
        <w:top w:val="none" w:sz="0" w:space="0" w:color="auto"/>
        <w:left w:val="none" w:sz="0" w:space="0" w:color="auto"/>
        <w:bottom w:val="none" w:sz="0" w:space="0" w:color="auto"/>
        <w:right w:val="none" w:sz="0" w:space="0" w:color="auto"/>
      </w:divBdr>
    </w:div>
    <w:div w:id="33041124">
      <w:bodyDiv w:val="1"/>
      <w:marLeft w:val="0"/>
      <w:marRight w:val="0"/>
      <w:marTop w:val="0"/>
      <w:marBottom w:val="0"/>
      <w:divBdr>
        <w:top w:val="none" w:sz="0" w:space="0" w:color="auto"/>
        <w:left w:val="none" w:sz="0" w:space="0" w:color="auto"/>
        <w:bottom w:val="none" w:sz="0" w:space="0" w:color="auto"/>
        <w:right w:val="none" w:sz="0" w:space="0" w:color="auto"/>
      </w:divBdr>
    </w:div>
    <w:div w:id="54356937">
      <w:bodyDiv w:val="1"/>
      <w:marLeft w:val="0"/>
      <w:marRight w:val="0"/>
      <w:marTop w:val="0"/>
      <w:marBottom w:val="0"/>
      <w:divBdr>
        <w:top w:val="none" w:sz="0" w:space="0" w:color="auto"/>
        <w:left w:val="none" w:sz="0" w:space="0" w:color="auto"/>
        <w:bottom w:val="none" w:sz="0" w:space="0" w:color="auto"/>
        <w:right w:val="none" w:sz="0" w:space="0" w:color="auto"/>
      </w:divBdr>
    </w:div>
    <w:div w:id="166217268">
      <w:bodyDiv w:val="1"/>
      <w:marLeft w:val="0"/>
      <w:marRight w:val="0"/>
      <w:marTop w:val="0"/>
      <w:marBottom w:val="0"/>
      <w:divBdr>
        <w:top w:val="none" w:sz="0" w:space="0" w:color="auto"/>
        <w:left w:val="none" w:sz="0" w:space="0" w:color="auto"/>
        <w:bottom w:val="none" w:sz="0" w:space="0" w:color="auto"/>
        <w:right w:val="none" w:sz="0" w:space="0" w:color="auto"/>
      </w:divBdr>
    </w:div>
    <w:div w:id="190268073">
      <w:bodyDiv w:val="1"/>
      <w:marLeft w:val="0"/>
      <w:marRight w:val="0"/>
      <w:marTop w:val="0"/>
      <w:marBottom w:val="0"/>
      <w:divBdr>
        <w:top w:val="none" w:sz="0" w:space="0" w:color="auto"/>
        <w:left w:val="none" w:sz="0" w:space="0" w:color="auto"/>
        <w:bottom w:val="none" w:sz="0" w:space="0" w:color="auto"/>
        <w:right w:val="none" w:sz="0" w:space="0" w:color="auto"/>
      </w:divBdr>
    </w:div>
    <w:div w:id="210962691">
      <w:bodyDiv w:val="1"/>
      <w:marLeft w:val="0"/>
      <w:marRight w:val="0"/>
      <w:marTop w:val="0"/>
      <w:marBottom w:val="0"/>
      <w:divBdr>
        <w:top w:val="none" w:sz="0" w:space="0" w:color="auto"/>
        <w:left w:val="none" w:sz="0" w:space="0" w:color="auto"/>
        <w:bottom w:val="none" w:sz="0" w:space="0" w:color="auto"/>
        <w:right w:val="none" w:sz="0" w:space="0" w:color="auto"/>
      </w:divBdr>
    </w:div>
    <w:div w:id="364185406">
      <w:bodyDiv w:val="1"/>
      <w:marLeft w:val="0"/>
      <w:marRight w:val="0"/>
      <w:marTop w:val="0"/>
      <w:marBottom w:val="0"/>
      <w:divBdr>
        <w:top w:val="none" w:sz="0" w:space="0" w:color="auto"/>
        <w:left w:val="none" w:sz="0" w:space="0" w:color="auto"/>
        <w:bottom w:val="none" w:sz="0" w:space="0" w:color="auto"/>
        <w:right w:val="none" w:sz="0" w:space="0" w:color="auto"/>
      </w:divBdr>
    </w:div>
    <w:div w:id="398478667">
      <w:bodyDiv w:val="1"/>
      <w:marLeft w:val="0"/>
      <w:marRight w:val="0"/>
      <w:marTop w:val="0"/>
      <w:marBottom w:val="0"/>
      <w:divBdr>
        <w:top w:val="none" w:sz="0" w:space="0" w:color="auto"/>
        <w:left w:val="none" w:sz="0" w:space="0" w:color="auto"/>
        <w:bottom w:val="none" w:sz="0" w:space="0" w:color="auto"/>
        <w:right w:val="none" w:sz="0" w:space="0" w:color="auto"/>
      </w:divBdr>
    </w:div>
    <w:div w:id="413355576">
      <w:bodyDiv w:val="1"/>
      <w:marLeft w:val="0"/>
      <w:marRight w:val="0"/>
      <w:marTop w:val="0"/>
      <w:marBottom w:val="0"/>
      <w:divBdr>
        <w:top w:val="none" w:sz="0" w:space="0" w:color="auto"/>
        <w:left w:val="none" w:sz="0" w:space="0" w:color="auto"/>
        <w:bottom w:val="none" w:sz="0" w:space="0" w:color="auto"/>
        <w:right w:val="none" w:sz="0" w:space="0" w:color="auto"/>
      </w:divBdr>
    </w:div>
    <w:div w:id="424763521">
      <w:bodyDiv w:val="1"/>
      <w:marLeft w:val="0"/>
      <w:marRight w:val="0"/>
      <w:marTop w:val="0"/>
      <w:marBottom w:val="0"/>
      <w:divBdr>
        <w:top w:val="none" w:sz="0" w:space="0" w:color="auto"/>
        <w:left w:val="none" w:sz="0" w:space="0" w:color="auto"/>
        <w:bottom w:val="none" w:sz="0" w:space="0" w:color="auto"/>
        <w:right w:val="none" w:sz="0" w:space="0" w:color="auto"/>
      </w:divBdr>
      <w:divsChild>
        <w:div w:id="940144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04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463003">
      <w:bodyDiv w:val="1"/>
      <w:marLeft w:val="0"/>
      <w:marRight w:val="0"/>
      <w:marTop w:val="0"/>
      <w:marBottom w:val="0"/>
      <w:divBdr>
        <w:top w:val="none" w:sz="0" w:space="0" w:color="auto"/>
        <w:left w:val="none" w:sz="0" w:space="0" w:color="auto"/>
        <w:bottom w:val="none" w:sz="0" w:space="0" w:color="auto"/>
        <w:right w:val="none" w:sz="0" w:space="0" w:color="auto"/>
      </w:divBdr>
    </w:div>
    <w:div w:id="499077182">
      <w:bodyDiv w:val="1"/>
      <w:marLeft w:val="0"/>
      <w:marRight w:val="0"/>
      <w:marTop w:val="0"/>
      <w:marBottom w:val="0"/>
      <w:divBdr>
        <w:top w:val="none" w:sz="0" w:space="0" w:color="auto"/>
        <w:left w:val="none" w:sz="0" w:space="0" w:color="auto"/>
        <w:bottom w:val="none" w:sz="0" w:space="0" w:color="auto"/>
        <w:right w:val="none" w:sz="0" w:space="0" w:color="auto"/>
      </w:divBdr>
    </w:div>
    <w:div w:id="583605902">
      <w:bodyDiv w:val="1"/>
      <w:marLeft w:val="0"/>
      <w:marRight w:val="0"/>
      <w:marTop w:val="0"/>
      <w:marBottom w:val="0"/>
      <w:divBdr>
        <w:top w:val="none" w:sz="0" w:space="0" w:color="auto"/>
        <w:left w:val="none" w:sz="0" w:space="0" w:color="auto"/>
        <w:bottom w:val="none" w:sz="0" w:space="0" w:color="auto"/>
        <w:right w:val="none" w:sz="0" w:space="0" w:color="auto"/>
      </w:divBdr>
    </w:div>
    <w:div w:id="693266303">
      <w:bodyDiv w:val="1"/>
      <w:marLeft w:val="0"/>
      <w:marRight w:val="0"/>
      <w:marTop w:val="0"/>
      <w:marBottom w:val="0"/>
      <w:divBdr>
        <w:top w:val="none" w:sz="0" w:space="0" w:color="auto"/>
        <w:left w:val="none" w:sz="0" w:space="0" w:color="auto"/>
        <w:bottom w:val="none" w:sz="0" w:space="0" w:color="auto"/>
        <w:right w:val="none" w:sz="0" w:space="0" w:color="auto"/>
      </w:divBdr>
    </w:div>
    <w:div w:id="777064171">
      <w:bodyDiv w:val="1"/>
      <w:marLeft w:val="0"/>
      <w:marRight w:val="0"/>
      <w:marTop w:val="0"/>
      <w:marBottom w:val="0"/>
      <w:divBdr>
        <w:top w:val="none" w:sz="0" w:space="0" w:color="auto"/>
        <w:left w:val="none" w:sz="0" w:space="0" w:color="auto"/>
        <w:bottom w:val="none" w:sz="0" w:space="0" w:color="auto"/>
        <w:right w:val="none" w:sz="0" w:space="0" w:color="auto"/>
      </w:divBdr>
    </w:div>
    <w:div w:id="795024410">
      <w:bodyDiv w:val="1"/>
      <w:marLeft w:val="0"/>
      <w:marRight w:val="0"/>
      <w:marTop w:val="0"/>
      <w:marBottom w:val="0"/>
      <w:divBdr>
        <w:top w:val="none" w:sz="0" w:space="0" w:color="auto"/>
        <w:left w:val="none" w:sz="0" w:space="0" w:color="auto"/>
        <w:bottom w:val="none" w:sz="0" w:space="0" w:color="auto"/>
        <w:right w:val="none" w:sz="0" w:space="0" w:color="auto"/>
      </w:divBdr>
    </w:div>
    <w:div w:id="911544845">
      <w:bodyDiv w:val="1"/>
      <w:marLeft w:val="0"/>
      <w:marRight w:val="0"/>
      <w:marTop w:val="0"/>
      <w:marBottom w:val="0"/>
      <w:divBdr>
        <w:top w:val="none" w:sz="0" w:space="0" w:color="auto"/>
        <w:left w:val="none" w:sz="0" w:space="0" w:color="auto"/>
        <w:bottom w:val="none" w:sz="0" w:space="0" w:color="auto"/>
        <w:right w:val="none" w:sz="0" w:space="0" w:color="auto"/>
      </w:divBdr>
    </w:div>
    <w:div w:id="1085758371">
      <w:bodyDiv w:val="1"/>
      <w:marLeft w:val="0"/>
      <w:marRight w:val="0"/>
      <w:marTop w:val="0"/>
      <w:marBottom w:val="0"/>
      <w:divBdr>
        <w:top w:val="none" w:sz="0" w:space="0" w:color="auto"/>
        <w:left w:val="none" w:sz="0" w:space="0" w:color="auto"/>
        <w:bottom w:val="none" w:sz="0" w:space="0" w:color="auto"/>
        <w:right w:val="none" w:sz="0" w:space="0" w:color="auto"/>
      </w:divBdr>
    </w:div>
    <w:div w:id="1129520137">
      <w:bodyDiv w:val="1"/>
      <w:marLeft w:val="0"/>
      <w:marRight w:val="0"/>
      <w:marTop w:val="0"/>
      <w:marBottom w:val="0"/>
      <w:divBdr>
        <w:top w:val="none" w:sz="0" w:space="0" w:color="auto"/>
        <w:left w:val="none" w:sz="0" w:space="0" w:color="auto"/>
        <w:bottom w:val="none" w:sz="0" w:space="0" w:color="auto"/>
        <w:right w:val="none" w:sz="0" w:space="0" w:color="auto"/>
      </w:divBdr>
    </w:div>
    <w:div w:id="1172142218">
      <w:bodyDiv w:val="1"/>
      <w:marLeft w:val="0"/>
      <w:marRight w:val="0"/>
      <w:marTop w:val="0"/>
      <w:marBottom w:val="0"/>
      <w:divBdr>
        <w:top w:val="none" w:sz="0" w:space="0" w:color="auto"/>
        <w:left w:val="none" w:sz="0" w:space="0" w:color="auto"/>
        <w:bottom w:val="none" w:sz="0" w:space="0" w:color="auto"/>
        <w:right w:val="none" w:sz="0" w:space="0" w:color="auto"/>
      </w:divBdr>
    </w:div>
    <w:div w:id="1393776060">
      <w:bodyDiv w:val="1"/>
      <w:marLeft w:val="0"/>
      <w:marRight w:val="0"/>
      <w:marTop w:val="0"/>
      <w:marBottom w:val="0"/>
      <w:divBdr>
        <w:top w:val="none" w:sz="0" w:space="0" w:color="auto"/>
        <w:left w:val="none" w:sz="0" w:space="0" w:color="auto"/>
        <w:bottom w:val="none" w:sz="0" w:space="0" w:color="auto"/>
        <w:right w:val="none" w:sz="0" w:space="0" w:color="auto"/>
      </w:divBdr>
    </w:div>
    <w:div w:id="1406143509">
      <w:bodyDiv w:val="1"/>
      <w:marLeft w:val="0"/>
      <w:marRight w:val="0"/>
      <w:marTop w:val="0"/>
      <w:marBottom w:val="0"/>
      <w:divBdr>
        <w:top w:val="none" w:sz="0" w:space="0" w:color="auto"/>
        <w:left w:val="none" w:sz="0" w:space="0" w:color="auto"/>
        <w:bottom w:val="none" w:sz="0" w:space="0" w:color="auto"/>
        <w:right w:val="none" w:sz="0" w:space="0" w:color="auto"/>
      </w:divBdr>
    </w:div>
    <w:div w:id="1477144502">
      <w:bodyDiv w:val="1"/>
      <w:marLeft w:val="0"/>
      <w:marRight w:val="0"/>
      <w:marTop w:val="0"/>
      <w:marBottom w:val="0"/>
      <w:divBdr>
        <w:top w:val="none" w:sz="0" w:space="0" w:color="auto"/>
        <w:left w:val="none" w:sz="0" w:space="0" w:color="auto"/>
        <w:bottom w:val="none" w:sz="0" w:space="0" w:color="auto"/>
        <w:right w:val="none" w:sz="0" w:space="0" w:color="auto"/>
      </w:divBdr>
    </w:div>
    <w:div w:id="1537501675">
      <w:bodyDiv w:val="1"/>
      <w:marLeft w:val="0"/>
      <w:marRight w:val="0"/>
      <w:marTop w:val="0"/>
      <w:marBottom w:val="0"/>
      <w:divBdr>
        <w:top w:val="none" w:sz="0" w:space="0" w:color="auto"/>
        <w:left w:val="none" w:sz="0" w:space="0" w:color="auto"/>
        <w:bottom w:val="none" w:sz="0" w:space="0" w:color="auto"/>
        <w:right w:val="none" w:sz="0" w:space="0" w:color="auto"/>
      </w:divBdr>
    </w:div>
    <w:div w:id="1539735220">
      <w:bodyDiv w:val="1"/>
      <w:marLeft w:val="0"/>
      <w:marRight w:val="0"/>
      <w:marTop w:val="0"/>
      <w:marBottom w:val="0"/>
      <w:divBdr>
        <w:top w:val="none" w:sz="0" w:space="0" w:color="auto"/>
        <w:left w:val="none" w:sz="0" w:space="0" w:color="auto"/>
        <w:bottom w:val="none" w:sz="0" w:space="0" w:color="auto"/>
        <w:right w:val="none" w:sz="0" w:space="0" w:color="auto"/>
      </w:divBdr>
    </w:div>
    <w:div w:id="1542787781">
      <w:bodyDiv w:val="1"/>
      <w:marLeft w:val="0"/>
      <w:marRight w:val="0"/>
      <w:marTop w:val="0"/>
      <w:marBottom w:val="0"/>
      <w:divBdr>
        <w:top w:val="none" w:sz="0" w:space="0" w:color="auto"/>
        <w:left w:val="none" w:sz="0" w:space="0" w:color="auto"/>
        <w:bottom w:val="none" w:sz="0" w:space="0" w:color="auto"/>
        <w:right w:val="none" w:sz="0" w:space="0" w:color="auto"/>
      </w:divBdr>
    </w:div>
    <w:div w:id="1564750588">
      <w:bodyDiv w:val="1"/>
      <w:marLeft w:val="0"/>
      <w:marRight w:val="0"/>
      <w:marTop w:val="0"/>
      <w:marBottom w:val="0"/>
      <w:divBdr>
        <w:top w:val="none" w:sz="0" w:space="0" w:color="auto"/>
        <w:left w:val="none" w:sz="0" w:space="0" w:color="auto"/>
        <w:bottom w:val="none" w:sz="0" w:space="0" w:color="auto"/>
        <w:right w:val="none" w:sz="0" w:space="0" w:color="auto"/>
      </w:divBdr>
    </w:div>
    <w:div w:id="1643775330">
      <w:bodyDiv w:val="1"/>
      <w:marLeft w:val="0"/>
      <w:marRight w:val="0"/>
      <w:marTop w:val="0"/>
      <w:marBottom w:val="0"/>
      <w:divBdr>
        <w:top w:val="none" w:sz="0" w:space="0" w:color="auto"/>
        <w:left w:val="none" w:sz="0" w:space="0" w:color="auto"/>
        <w:bottom w:val="none" w:sz="0" w:space="0" w:color="auto"/>
        <w:right w:val="none" w:sz="0" w:space="0" w:color="auto"/>
      </w:divBdr>
    </w:div>
    <w:div w:id="1659992092">
      <w:bodyDiv w:val="1"/>
      <w:marLeft w:val="0"/>
      <w:marRight w:val="0"/>
      <w:marTop w:val="0"/>
      <w:marBottom w:val="0"/>
      <w:divBdr>
        <w:top w:val="none" w:sz="0" w:space="0" w:color="auto"/>
        <w:left w:val="none" w:sz="0" w:space="0" w:color="auto"/>
        <w:bottom w:val="none" w:sz="0" w:space="0" w:color="auto"/>
        <w:right w:val="none" w:sz="0" w:space="0" w:color="auto"/>
      </w:divBdr>
    </w:div>
    <w:div w:id="1682003235">
      <w:bodyDiv w:val="1"/>
      <w:marLeft w:val="0"/>
      <w:marRight w:val="0"/>
      <w:marTop w:val="0"/>
      <w:marBottom w:val="0"/>
      <w:divBdr>
        <w:top w:val="none" w:sz="0" w:space="0" w:color="auto"/>
        <w:left w:val="none" w:sz="0" w:space="0" w:color="auto"/>
        <w:bottom w:val="none" w:sz="0" w:space="0" w:color="auto"/>
        <w:right w:val="none" w:sz="0" w:space="0" w:color="auto"/>
      </w:divBdr>
      <w:divsChild>
        <w:div w:id="593319842">
          <w:marLeft w:val="0"/>
          <w:marRight w:val="0"/>
          <w:marTop w:val="0"/>
          <w:marBottom w:val="0"/>
          <w:divBdr>
            <w:top w:val="none" w:sz="0" w:space="0" w:color="auto"/>
            <w:left w:val="none" w:sz="0" w:space="0" w:color="auto"/>
            <w:bottom w:val="none" w:sz="0" w:space="0" w:color="auto"/>
            <w:right w:val="none" w:sz="0" w:space="0" w:color="auto"/>
          </w:divBdr>
        </w:div>
        <w:div w:id="172915221">
          <w:marLeft w:val="0"/>
          <w:marRight w:val="0"/>
          <w:marTop w:val="0"/>
          <w:marBottom w:val="0"/>
          <w:divBdr>
            <w:top w:val="none" w:sz="0" w:space="0" w:color="auto"/>
            <w:left w:val="none" w:sz="0" w:space="0" w:color="auto"/>
            <w:bottom w:val="none" w:sz="0" w:space="0" w:color="auto"/>
            <w:right w:val="none" w:sz="0" w:space="0" w:color="auto"/>
          </w:divBdr>
        </w:div>
        <w:div w:id="732779055">
          <w:marLeft w:val="0"/>
          <w:marRight w:val="0"/>
          <w:marTop w:val="0"/>
          <w:marBottom w:val="0"/>
          <w:divBdr>
            <w:top w:val="none" w:sz="0" w:space="0" w:color="auto"/>
            <w:left w:val="none" w:sz="0" w:space="0" w:color="auto"/>
            <w:bottom w:val="none" w:sz="0" w:space="0" w:color="auto"/>
            <w:right w:val="none" w:sz="0" w:space="0" w:color="auto"/>
          </w:divBdr>
        </w:div>
        <w:div w:id="2055957830">
          <w:marLeft w:val="0"/>
          <w:marRight w:val="0"/>
          <w:marTop w:val="0"/>
          <w:marBottom w:val="0"/>
          <w:divBdr>
            <w:top w:val="none" w:sz="0" w:space="0" w:color="auto"/>
            <w:left w:val="none" w:sz="0" w:space="0" w:color="auto"/>
            <w:bottom w:val="none" w:sz="0" w:space="0" w:color="auto"/>
            <w:right w:val="none" w:sz="0" w:space="0" w:color="auto"/>
          </w:divBdr>
        </w:div>
        <w:div w:id="1339190024">
          <w:marLeft w:val="0"/>
          <w:marRight w:val="0"/>
          <w:marTop w:val="0"/>
          <w:marBottom w:val="0"/>
          <w:divBdr>
            <w:top w:val="none" w:sz="0" w:space="0" w:color="auto"/>
            <w:left w:val="none" w:sz="0" w:space="0" w:color="auto"/>
            <w:bottom w:val="none" w:sz="0" w:space="0" w:color="auto"/>
            <w:right w:val="none" w:sz="0" w:space="0" w:color="auto"/>
          </w:divBdr>
        </w:div>
        <w:div w:id="855114995">
          <w:marLeft w:val="0"/>
          <w:marRight w:val="0"/>
          <w:marTop w:val="0"/>
          <w:marBottom w:val="0"/>
          <w:divBdr>
            <w:top w:val="none" w:sz="0" w:space="0" w:color="auto"/>
            <w:left w:val="none" w:sz="0" w:space="0" w:color="auto"/>
            <w:bottom w:val="none" w:sz="0" w:space="0" w:color="auto"/>
            <w:right w:val="none" w:sz="0" w:space="0" w:color="auto"/>
          </w:divBdr>
        </w:div>
      </w:divsChild>
    </w:div>
    <w:div w:id="1726835021">
      <w:bodyDiv w:val="1"/>
      <w:marLeft w:val="0"/>
      <w:marRight w:val="0"/>
      <w:marTop w:val="0"/>
      <w:marBottom w:val="0"/>
      <w:divBdr>
        <w:top w:val="none" w:sz="0" w:space="0" w:color="auto"/>
        <w:left w:val="none" w:sz="0" w:space="0" w:color="auto"/>
        <w:bottom w:val="none" w:sz="0" w:space="0" w:color="auto"/>
        <w:right w:val="none" w:sz="0" w:space="0" w:color="auto"/>
      </w:divBdr>
    </w:div>
    <w:div w:id="1752963181">
      <w:bodyDiv w:val="1"/>
      <w:marLeft w:val="0"/>
      <w:marRight w:val="0"/>
      <w:marTop w:val="0"/>
      <w:marBottom w:val="0"/>
      <w:divBdr>
        <w:top w:val="none" w:sz="0" w:space="0" w:color="auto"/>
        <w:left w:val="none" w:sz="0" w:space="0" w:color="auto"/>
        <w:bottom w:val="none" w:sz="0" w:space="0" w:color="auto"/>
        <w:right w:val="none" w:sz="0" w:space="0" w:color="auto"/>
      </w:divBdr>
    </w:div>
    <w:div w:id="1818258746">
      <w:bodyDiv w:val="1"/>
      <w:marLeft w:val="0"/>
      <w:marRight w:val="0"/>
      <w:marTop w:val="0"/>
      <w:marBottom w:val="0"/>
      <w:divBdr>
        <w:top w:val="none" w:sz="0" w:space="0" w:color="auto"/>
        <w:left w:val="none" w:sz="0" w:space="0" w:color="auto"/>
        <w:bottom w:val="none" w:sz="0" w:space="0" w:color="auto"/>
        <w:right w:val="none" w:sz="0" w:space="0" w:color="auto"/>
      </w:divBdr>
    </w:div>
    <w:div w:id="1831867547">
      <w:bodyDiv w:val="1"/>
      <w:marLeft w:val="0"/>
      <w:marRight w:val="0"/>
      <w:marTop w:val="0"/>
      <w:marBottom w:val="0"/>
      <w:divBdr>
        <w:top w:val="none" w:sz="0" w:space="0" w:color="auto"/>
        <w:left w:val="none" w:sz="0" w:space="0" w:color="auto"/>
        <w:bottom w:val="none" w:sz="0" w:space="0" w:color="auto"/>
        <w:right w:val="none" w:sz="0" w:space="0" w:color="auto"/>
      </w:divBdr>
    </w:div>
    <w:div w:id="1940024065">
      <w:bodyDiv w:val="1"/>
      <w:marLeft w:val="0"/>
      <w:marRight w:val="0"/>
      <w:marTop w:val="0"/>
      <w:marBottom w:val="0"/>
      <w:divBdr>
        <w:top w:val="none" w:sz="0" w:space="0" w:color="auto"/>
        <w:left w:val="none" w:sz="0" w:space="0" w:color="auto"/>
        <w:bottom w:val="none" w:sz="0" w:space="0" w:color="auto"/>
        <w:right w:val="none" w:sz="0" w:space="0" w:color="auto"/>
      </w:divBdr>
    </w:div>
    <w:div w:id="1984654025">
      <w:bodyDiv w:val="1"/>
      <w:marLeft w:val="0"/>
      <w:marRight w:val="0"/>
      <w:marTop w:val="0"/>
      <w:marBottom w:val="0"/>
      <w:divBdr>
        <w:top w:val="none" w:sz="0" w:space="0" w:color="auto"/>
        <w:left w:val="none" w:sz="0" w:space="0" w:color="auto"/>
        <w:bottom w:val="none" w:sz="0" w:space="0" w:color="auto"/>
        <w:right w:val="none" w:sz="0" w:space="0" w:color="auto"/>
      </w:divBdr>
    </w:div>
    <w:div w:id="2040933600">
      <w:bodyDiv w:val="1"/>
      <w:marLeft w:val="0"/>
      <w:marRight w:val="0"/>
      <w:marTop w:val="0"/>
      <w:marBottom w:val="0"/>
      <w:divBdr>
        <w:top w:val="none" w:sz="0" w:space="0" w:color="auto"/>
        <w:left w:val="none" w:sz="0" w:space="0" w:color="auto"/>
        <w:bottom w:val="none" w:sz="0" w:space="0" w:color="auto"/>
        <w:right w:val="none" w:sz="0" w:space="0" w:color="auto"/>
      </w:divBdr>
    </w:div>
    <w:div w:id="21250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46D3-9B0B-494A-843C-A085600F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10544</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l.albers</dc:creator>
  <cp:keywords/>
  <dc:description/>
  <cp:lastModifiedBy>l.albers</cp:lastModifiedBy>
  <cp:revision>4</cp:revision>
  <cp:lastPrinted>2017-10-16T09:02:00Z</cp:lastPrinted>
  <dcterms:created xsi:type="dcterms:W3CDTF">2017-10-17T15:01:00Z</dcterms:created>
  <dcterms:modified xsi:type="dcterms:W3CDTF">2018-01-22T10:32:00Z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zotero-version="4.0.29.18"&gt;&lt;session id="6rgUUW1O"/&gt;&lt;style id="http://www.zotero.org/styles/environmental-health-perspectives"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