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2AA52" w14:textId="430EAB43" w:rsidR="00E12D57" w:rsidRPr="00614125" w:rsidRDefault="005A13EA" w:rsidP="00562D31">
      <w:pPr>
        <w:spacing w:before="120" w:after="120" w:line="360" w:lineRule="auto"/>
        <w:jc w:val="center"/>
        <w:rPr>
          <w:rFonts w:ascii="Arial" w:hAnsi="Arial"/>
          <w:color w:val="000000" w:themeColor="text1"/>
        </w:rPr>
      </w:pPr>
      <w:bookmarkStart w:id="0" w:name="_GoBack"/>
      <w:bookmarkEnd w:id="0"/>
      <w:r w:rsidRPr="00614125">
        <w:rPr>
          <w:rFonts w:ascii="Arial" w:hAnsi="Arial"/>
          <w:color w:val="000000" w:themeColor="text1"/>
        </w:rPr>
        <w:t>A</w:t>
      </w:r>
      <w:r w:rsidR="00752740" w:rsidRPr="00614125">
        <w:rPr>
          <w:rFonts w:ascii="Arial" w:hAnsi="Arial"/>
          <w:color w:val="000000" w:themeColor="text1"/>
        </w:rPr>
        <w:t xml:space="preserve"> </w:t>
      </w:r>
      <w:r w:rsidR="0096180E" w:rsidRPr="00614125">
        <w:rPr>
          <w:rFonts w:ascii="Arial" w:hAnsi="Arial"/>
          <w:color w:val="000000" w:themeColor="text1"/>
        </w:rPr>
        <w:t xml:space="preserve">Transparent </w:t>
      </w:r>
      <w:r w:rsidR="00517874" w:rsidRPr="00614125">
        <w:rPr>
          <w:rFonts w:ascii="Arial" w:hAnsi="Arial"/>
          <w:color w:val="000000" w:themeColor="text1"/>
        </w:rPr>
        <w:t>Universal Health Coverage</w:t>
      </w:r>
      <w:r w:rsidR="00EF2CD9" w:rsidRPr="00614125">
        <w:rPr>
          <w:rFonts w:ascii="Arial" w:hAnsi="Arial"/>
          <w:color w:val="000000" w:themeColor="text1"/>
        </w:rPr>
        <w:t xml:space="preserve"> </w:t>
      </w:r>
      <w:r w:rsidR="00752740" w:rsidRPr="00614125">
        <w:rPr>
          <w:rFonts w:ascii="Arial" w:hAnsi="Arial"/>
          <w:color w:val="000000" w:themeColor="text1"/>
        </w:rPr>
        <w:t>Index</w:t>
      </w:r>
      <w:r w:rsidR="00F768DF" w:rsidRPr="00614125">
        <w:rPr>
          <w:rFonts w:ascii="Arial" w:hAnsi="Arial"/>
          <w:color w:val="000000" w:themeColor="text1"/>
        </w:rPr>
        <w:t xml:space="preserve"> </w:t>
      </w:r>
      <w:r w:rsidR="00FA4C47" w:rsidRPr="00614125">
        <w:rPr>
          <w:rFonts w:ascii="Arial" w:hAnsi="Arial"/>
          <w:color w:val="000000" w:themeColor="text1"/>
        </w:rPr>
        <w:t xml:space="preserve">with </w:t>
      </w:r>
      <w:r w:rsidR="00F768DF" w:rsidRPr="00614125">
        <w:rPr>
          <w:rFonts w:ascii="Arial" w:hAnsi="Arial"/>
          <w:color w:val="000000" w:themeColor="text1"/>
        </w:rPr>
        <w:t>Decompo</w:t>
      </w:r>
      <w:r w:rsidRPr="00614125">
        <w:rPr>
          <w:rFonts w:ascii="Arial" w:hAnsi="Arial"/>
          <w:color w:val="000000" w:themeColor="text1"/>
        </w:rPr>
        <w:t>sit</w:t>
      </w:r>
      <w:r w:rsidR="00F768DF" w:rsidRPr="00614125">
        <w:rPr>
          <w:rFonts w:ascii="Arial" w:hAnsi="Arial"/>
          <w:color w:val="000000" w:themeColor="text1"/>
        </w:rPr>
        <w:t>i</w:t>
      </w:r>
      <w:r w:rsidRPr="00614125">
        <w:rPr>
          <w:rFonts w:ascii="Arial" w:hAnsi="Arial"/>
          <w:color w:val="000000" w:themeColor="text1"/>
        </w:rPr>
        <w:t>on by Socioeconomic Groups</w:t>
      </w:r>
      <w:r w:rsidR="00752740" w:rsidRPr="00614125">
        <w:rPr>
          <w:rFonts w:ascii="Arial" w:hAnsi="Arial"/>
          <w:color w:val="000000" w:themeColor="text1"/>
        </w:rPr>
        <w:t xml:space="preserve">: </w:t>
      </w:r>
      <w:r w:rsidR="00F768DF" w:rsidRPr="00614125">
        <w:rPr>
          <w:rFonts w:ascii="Arial" w:hAnsi="Arial"/>
          <w:color w:val="000000" w:themeColor="text1"/>
        </w:rPr>
        <w:t xml:space="preserve">Application in </w:t>
      </w:r>
      <w:r w:rsidR="00517874" w:rsidRPr="00614125">
        <w:rPr>
          <w:rFonts w:ascii="Arial" w:hAnsi="Arial"/>
          <w:color w:val="000000" w:themeColor="text1"/>
        </w:rPr>
        <w:t xml:space="preserve">Asian and African </w:t>
      </w:r>
      <w:r w:rsidR="00752740" w:rsidRPr="00614125">
        <w:rPr>
          <w:rFonts w:ascii="Arial" w:hAnsi="Arial"/>
          <w:color w:val="000000" w:themeColor="text1"/>
        </w:rPr>
        <w:t>Settings</w:t>
      </w:r>
    </w:p>
    <w:p w14:paraId="0E94162E" w14:textId="77777777" w:rsidR="00B63313" w:rsidRPr="00614125" w:rsidRDefault="00B63313" w:rsidP="00775B32">
      <w:pPr>
        <w:spacing w:before="120" w:after="120" w:line="360" w:lineRule="auto"/>
        <w:jc w:val="center"/>
        <w:rPr>
          <w:rFonts w:ascii="Arial" w:hAnsi="Arial"/>
          <w:color w:val="000000" w:themeColor="text1"/>
        </w:rPr>
      </w:pPr>
    </w:p>
    <w:p w14:paraId="684DB6B1" w14:textId="385353A8" w:rsidR="00775B32" w:rsidRPr="00614125" w:rsidRDefault="00846DBE" w:rsidP="00775B32">
      <w:pPr>
        <w:spacing w:before="120" w:after="120" w:line="360" w:lineRule="auto"/>
        <w:jc w:val="center"/>
        <w:rPr>
          <w:rFonts w:ascii="Arial" w:hAnsi="Arial"/>
          <w:color w:val="000000" w:themeColor="text1"/>
        </w:rPr>
      </w:pPr>
      <w:r w:rsidRPr="00614125">
        <w:rPr>
          <w:rFonts w:ascii="Arial" w:hAnsi="Arial"/>
          <w:color w:val="000000" w:themeColor="text1"/>
        </w:rPr>
        <w:t xml:space="preserve">Running title: A Transparent Universal Health Coverage Index </w:t>
      </w:r>
      <w:r w:rsidR="00F768DF" w:rsidRPr="00614125">
        <w:rPr>
          <w:rFonts w:ascii="Arial" w:hAnsi="Arial"/>
          <w:color w:val="000000" w:themeColor="text1"/>
        </w:rPr>
        <w:t xml:space="preserve"> </w:t>
      </w:r>
    </w:p>
    <w:p w14:paraId="64997C58" w14:textId="488DDA66" w:rsidR="00775B32" w:rsidRPr="00614125" w:rsidRDefault="00775B32" w:rsidP="00775B32">
      <w:pPr>
        <w:spacing w:before="120" w:after="120" w:line="360" w:lineRule="auto"/>
        <w:rPr>
          <w:rFonts w:ascii="Arial" w:hAnsi="Arial"/>
          <w:color w:val="000000" w:themeColor="text1"/>
        </w:rPr>
      </w:pPr>
    </w:p>
    <w:p w14:paraId="05005F9D" w14:textId="77777777" w:rsidR="00775B32" w:rsidRPr="00614125" w:rsidRDefault="00775B32" w:rsidP="00775B32">
      <w:pPr>
        <w:spacing w:before="120" w:after="120" w:line="360" w:lineRule="auto"/>
        <w:rPr>
          <w:rFonts w:ascii="Arial" w:hAnsi="Arial"/>
          <w:color w:val="000000" w:themeColor="text1"/>
        </w:rPr>
      </w:pPr>
    </w:p>
    <w:p w14:paraId="6F4428B0" w14:textId="77777777" w:rsidR="00775B32" w:rsidRPr="00614125" w:rsidRDefault="00775B32" w:rsidP="00775B32">
      <w:pPr>
        <w:spacing w:before="120" w:after="120" w:line="360" w:lineRule="auto"/>
        <w:rPr>
          <w:rFonts w:ascii="Arial" w:hAnsi="Arial"/>
          <w:color w:val="000000" w:themeColor="text1"/>
        </w:rPr>
      </w:pPr>
    </w:p>
    <w:p w14:paraId="24D9D748" w14:textId="77777777" w:rsidR="00775B32" w:rsidRPr="00614125" w:rsidRDefault="00775B32" w:rsidP="00775B32">
      <w:pPr>
        <w:spacing w:before="120" w:after="120" w:line="360" w:lineRule="auto"/>
        <w:rPr>
          <w:rFonts w:ascii="Arial" w:hAnsi="Arial"/>
          <w:color w:val="000000" w:themeColor="text1"/>
        </w:rPr>
      </w:pPr>
    </w:p>
    <w:p w14:paraId="5424BBFF" w14:textId="3B3AAA46" w:rsidR="00775B32" w:rsidRPr="00614125" w:rsidRDefault="00775B32" w:rsidP="00775B32">
      <w:pPr>
        <w:spacing w:before="120" w:after="120" w:line="360" w:lineRule="auto"/>
        <w:jc w:val="center"/>
        <w:rPr>
          <w:rFonts w:ascii="Arial" w:hAnsi="Arial"/>
          <w:color w:val="000000" w:themeColor="text1"/>
          <w:vertAlign w:val="superscript"/>
        </w:rPr>
      </w:pPr>
      <w:r w:rsidRPr="00614125">
        <w:rPr>
          <w:rFonts w:ascii="Arial" w:hAnsi="Arial"/>
          <w:color w:val="000000" w:themeColor="text1"/>
        </w:rPr>
        <w:t>Jahangir A. M. Khan</w:t>
      </w:r>
      <w:r w:rsidR="00C7293D" w:rsidRPr="00614125">
        <w:rPr>
          <w:rFonts w:ascii="Arial" w:hAnsi="Arial"/>
          <w:color w:val="000000" w:themeColor="text1"/>
          <w:vertAlign w:val="superscript"/>
        </w:rPr>
        <w:t>*,</w:t>
      </w:r>
      <w:r w:rsidRPr="00614125">
        <w:rPr>
          <w:rFonts w:ascii="Arial" w:hAnsi="Arial"/>
          <w:color w:val="000000" w:themeColor="text1"/>
          <w:vertAlign w:val="superscript"/>
        </w:rPr>
        <w:t>1,2</w:t>
      </w:r>
      <w:r w:rsidR="00BE324E" w:rsidRPr="00614125">
        <w:rPr>
          <w:rFonts w:ascii="Arial" w:hAnsi="Arial"/>
          <w:color w:val="000000" w:themeColor="text1"/>
          <w:vertAlign w:val="superscript"/>
        </w:rPr>
        <w:t>,3</w:t>
      </w:r>
    </w:p>
    <w:p w14:paraId="204D137C" w14:textId="1837467B" w:rsidR="00775B32" w:rsidRPr="00614125" w:rsidRDefault="00775B32" w:rsidP="00775B32">
      <w:pPr>
        <w:spacing w:before="120" w:after="120" w:line="360" w:lineRule="auto"/>
        <w:jc w:val="center"/>
        <w:rPr>
          <w:rFonts w:ascii="Arial" w:hAnsi="Arial"/>
          <w:color w:val="000000" w:themeColor="text1"/>
        </w:rPr>
      </w:pPr>
      <w:proofErr w:type="spellStart"/>
      <w:r w:rsidRPr="00614125">
        <w:rPr>
          <w:rFonts w:ascii="Arial" w:hAnsi="Arial"/>
          <w:color w:val="000000" w:themeColor="text1"/>
        </w:rPr>
        <w:t>Sayem</w:t>
      </w:r>
      <w:proofErr w:type="spellEnd"/>
      <w:r w:rsidRPr="00614125">
        <w:rPr>
          <w:rFonts w:ascii="Arial" w:hAnsi="Arial"/>
          <w:color w:val="000000" w:themeColor="text1"/>
        </w:rPr>
        <w:t xml:space="preserve"> Ahmed</w:t>
      </w:r>
      <w:r w:rsidR="00BE324E" w:rsidRPr="00614125">
        <w:rPr>
          <w:rFonts w:ascii="Arial" w:hAnsi="Arial"/>
          <w:color w:val="000000" w:themeColor="text1"/>
          <w:vertAlign w:val="superscript"/>
        </w:rPr>
        <w:t>1</w:t>
      </w:r>
      <w:r w:rsidRPr="00614125">
        <w:rPr>
          <w:rFonts w:ascii="Arial" w:hAnsi="Arial"/>
          <w:color w:val="000000" w:themeColor="text1"/>
          <w:vertAlign w:val="superscript"/>
        </w:rPr>
        <w:t>,</w:t>
      </w:r>
      <w:r w:rsidR="00BE324E" w:rsidRPr="00614125">
        <w:rPr>
          <w:rFonts w:ascii="Arial" w:hAnsi="Arial"/>
          <w:color w:val="000000" w:themeColor="text1"/>
          <w:vertAlign w:val="superscript"/>
        </w:rPr>
        <w:t>2</w:t>
      </w:r>
      <w:r w:rsidR="00B13D71" w:rsidRPr="00614125">
        <w:rPr>
          <w:rFonts w:ascii="Arial" w:hAnsi="Arial"/>
          <w:color w:val="000000" w:themeColor="text1"/>
          <w:vertAlign w:val="superscript"/>
        </w:rPr>
        <w:t>,4</w:t>
      </w:r>
    </w:p>
    <w:p w14:paraId="47F13A76" w14:textId="77777777" w:rsidR="00775B32" w:rsidRPr="00614125" w:rsidRDefault="00775B32" w:rsidP="00775B32">
      <w:pPr>
        <w:spacing w:before="120" w:after="120" w:line="360" w:lineRule="auto"/>
        <w:jc w:val="center"/>
        <w:rPr>
          <w:rFonts w:ascii="Arial" w:hAnsi="Arial"/>
          <w:color w:val="000000" w:themeColor="text1"/>
          <w:vertAlign w:val="superscript"/>
        </w:rPr>
      </w:pPr>
      <w:r w:rsidRPr="00614125">
        <w:rPr>
          <w:rFonts w:ascii="Arial" w:hAnsi="Arial"/>
          <w:color w:val="000000" w:themeColor="text1"/>
        </w:rPr>
        <w:t>Tao Chen</w:t>
      </w:r>
      <w:r w:rsidRPr="00614125">
        <w:rPr>
          <w:rFonts w:ascii="Arial" w:hAnsi="Arial"/>
          <w:color w:val="000000" w:themeColor="text1"/>
          <w:vertAlign w:val="superscript"/>
        </w:rPr>
        <w:t>1</w:t>
      </w:r>
    </w:p>
    <w:p w14:paraId="0C5CA679" w14:textId="77777777" w:rsidR="00775B32" w:rsidRPr="00614125" w:rsidRDefault="00775B32" w:rsidP="00775B32">
      <w:pPr>
        <w:spacing w:before="120" w:after="120" w:line="360" w:lineRule="auto"/>
        <w:jc w:val="center"/>
        <w:rPr>
          <w:rFonts w:ascii="Arial" w:hAnsi="Arial"/>
          <w:color w:val="000000" w:themeColor="text1"/>
          <w:vertAlign w:val="superscript"/>
        </w:rPr>
      </w:pPr>
      <w:r w:rsidRPr="00614125">
        <w:rPr>
          <w:rFonts w:ascii="Arial" w:hAnsi="Arial"/>
          <w:color w:val="000000" w:themeColor="text1"/>
        </w:rPr>
        <w:t>Ewan Tomeny</w:t>
      </w:r>
      <w:r w:rsidRPr="00614125">
        <w:rPr>
          <w:rFonts w:ascii="Arial" w:hAnsi="Arial"/>
          <w:color w:val="000000" w:themeColor="text1"/>
          <w:vertAlign w:val="superscript"/>
        </w:rPr>
        <w:t>1</w:t>
      </w:r>
    </w:p>
    <w:p w14:paraId="596B2F1F" w14:textId="1B97A4B1" w:rsidR="00775B32" w:rsidRPr="00614125" w:rsidRDefault="00775B32" w:rsidP="00775B32">
      <w:pPr>
        <w:spacing w:before="120" w:after="120" w:line="360" w:lineRule="auto"/>
        <w:jc w:val="center"/>
        <w:rPr>
          <w:rFonts w:ascii="Arial" w:hAnsi="Arial"/>
          <w:color w:val="000000" w:themeColor="text1"/>
          <w:vertAlign w:val="superscript"/>
        </w:rPr>
      </w:pPr>
      <w:r w:rsidRPr="00614125">
        <w:rPr>
          <w:rFonts w:ascii="Arial" w:hAnsi="Arial"/>
          <w:color w:val="000000" w:themeColor="text1"/>
        </w:rPr>
        <w:t>Louis W. Niessen</w:t>
      </w:r>
      <w:r w:rsidRPr="00614125">
        <w:rPr>
          <w:rFonts w:ascii="Arial" w:hAnsi="Arial"/>
          <w:color w:val="000000" w:themeColor="text1"/>
          <w:vertAlign w:val="superscript"/>
        </w:rPr>
        <w:t>1,</w:t>
      </w:r>
      <w:r w:rsidR="00BE324E" w:rsidRPr="00614125">
        <w:rPr>
          <w:rFonts w:ascii="Arial" w:hAnsi="Arial"/>
          <w:color w:val="000000" w:themeColor="text1"/>
          <w:vertAlign w:val="superscript"/>
        </w:rPr>
        <w:t>5</w:t>
      </w:r>
    </w:p>
    <w:p w14:paraId="7FFB96D1" w14:textId="77777777" w:rsidR="00775B32" w:rsidRPr="00614125" w:rsidRDefault="00775B32" w:rsidP="00775B32">
      <w:pPr>
        <w:spacing w:before="120" w:after="120" w:line="360" w:lineRule="auto"/>
        <w:jc w:val="center"/>
        <w:rPr>
          <w:rFonts w:ascii="Arial" w:hAnsi="Arial"/>
          <w:color w:val="000000" w:themeColor="text1"/>
        </w:rPr>
      </w:pPr>
    </w:p>
    <w:p w14:paraId="71D5D8F8" w14:textId="77777777" w:rsidR="00775B32" w:rsidRPr="00614125" w:rsidRDefault="00775B32" w:rsidP="00775B32">
      <w:pPr>
        <w:spacing w:before="120" w:after="120" w:line="360" w:lineRule="auto"/>
        <w:jc w:val="center"/>
        <w:rPr>
          <w:rFonts w:ascii="Arial" w:hAnsi="Arial"/>
          <w:color w:val="000000" w:themeColor="text1"/>
        </w:rPr>
      </w:pPr>
    </w:p>
    <w:p w14:paraId="33F1847A" w14:textId="77777777" w:rsidR="00775B32" w:rsidRPr="00614125" w:rsidRDefault="00775B32" w:rsidP="00775B32">
      <w:pPr>
        <w:spacing w:before="120" w:after="120" w:line="360" w:lineRule="auto"/>
        <w:jc w:val="center"/>
        <w:rPr>
          <w:rFonts w:ascii="Arial" w:hAnsi="Arial"/>
          <w:color w:val="000000" w:themeColor="text1"/>
        </w:rPr>
      </w:pPr>
    </w:p>
    <w:p w14:paraId="537402D4" w14:textId="77777777" w:rsidR="00775B32" w:rsidRPr="00614125" w:rsidRDefault="00775B32" w:rsidP="00775B32">
      <w:pPr>
        <w:spacing w:before="120" w:after="120" w:line="360" w:lineRule="auto"/>
        <w:jc w:val="center"/>
        <w:rPr>
          <w:rFonts w:ascii="Arial" w:hAnsi="Arial"/>
          <w:color w:val="000000" w:themeColor="text1"/>
        </w:rPr>
      </w:pPr>
    </w:p>
    <w:p w14:paraId="249D55EF" w14:textId="77777777" w:rsidR="00775B32" w:rsidRPr="00614125" w:rsidRDefault="00775B32" w:rsidP="00775B32">
      <w:pPr>
        <w:spacing w:before="120" w:after="120" w:line="360" w:lineRule="auto"/>
        <w:jc w:val="center"/>
        <w:rPr>
          <w:rFonts w:ascii="Arial" w:hAnsi="Arial"/>
          <w:color w:val="000000" w:themeColor="text1"/>
        </w:rPr>
      </w:pPr>
      <w:r w:rsidRPr="00614125">
        <w:rPr>
          <w:rFonts w:ascii="Arial" w:hAnsi="Arial"/>
          <w:color w:val="000000" w:themeColor="text1"/>
        </w:rPr>
        <w:t>___________________________________________________________________</w:t>
      </w:r>
    </w:p>
    <w:p w14:paraId="54A30689" w14:textId="40734F42" w:rsidR="00C7293D" w:rsidRPr="00614125" w:rsidRDefault="00C7293D" w:rsidP="00723E45">
      <w:pPr>
        <w:pStyle w:val="ListParagraph"/>
        <w:spacing w:before="120" w:after="120" w:line="360" w:lineRule="auto"/>
        <w:ind w:hanging="360"/>
        <w:rPr>
          <w:rFonts w:ascii="Arial" w:hAnsi="Arial"/>
          <w:color w:val="000000" w:themeColor="text1"/>
          <w:vertAlign w:val="superscript"/>
        </w:rPr>
      </w:pPr>
      <w:r w:rsidRPr="00614125">
        <w:rPr>
          <w:rFonts w:ascii="Arial" w:hAnsi="Arial"/>
          <w:color w:val="000000" w:themeColor="text1"/>
          <w:vertAlign w:val="superscript"/>
        </w:rPr>
        <w:t xml:space="preserve">*) </w:t>
      </w:r>
      <w:r w:rsidRPr="00614125">
        <w:rPr>
          <w:rFonts w:ascii="Arial" w:hAnsi="Arial"/>
          <w:color w:val="000000" w:themeColor="text1"/>
          <w:vertAlign w:val="superscript"/>
        </w:rPr>
        <w:tab/>
      </w:r>
      <w:r w:rsidRPr="00614125">
        <w:rPr>
          <w:rFonts w:ascii="Arial" w:hAnsi="Arial"/>
          <w:color w:val="000000" w:themeColor="text1"/>
        </w:rPr>
        <w:t>Corresponding author</w:t>
      </w:r>
    </w:p>
    <w:p w14:paraId="42F68046" w14:textId="6605D5D2" w:rsidR="00775B32" w:rsidRPr="00614125" w:rsidRDefault="00775B32" w:rsidP="00775B32">
      <w:pPr>
        <w:pStyle w:val="ListParagraph"/>
        <w:numPr>
          <w:ilvl w:val="0"/>
          <w:numId w:val="1"/>
        </w:numPr>
        <w:spacing w:before="120" w:after="120" w:line="360" w:lineRule="auto"/>
        <w:rPr>
          <w:rFonts w:ascii="Arial" w:hAnsi="Arial"/>
          <w:color w:val="000000" w:themeColor="text1"/>
          <w:vertAlign w:val="superscript"/>
        </w:rPr>
      </w:pPr>
      <w:r w:rsidRPr="00614125">
        <w:rPr>
          <w:rFonts w:ascii="Arial" w:hAnsi="Arial"/>
          <w:color w:val="000000" w:themeColor="text1"/>
        </w:rPr>
        <w:t>Liverpool School of Tropical Medicine, Pembroke Place, L3 5QA, Liverpool, United Kingdom.</w:t>
      </w:r>
    </w:p>
    <w:p w14:paraId="05A3DE17" w14:textId="745CAA6C" w:rsidR="00775B32" w:rsidRPr="00614125" w:rsidRDefault="00775B32" w:rsidP="00775B32">
      <w:pPr>
        <w:pStyle w:val="ListParagraph"/>
        <w:numPr>
          <w:ilvl w:val="0"/>
          <w:numId w:val="1"/>
        </w:numPr>
        <w:spacing w:before="120" w:after="120" w:line="360" w:lineRule="auto"/>
        <w:rPr>
          <w:rFonts w:ascii="Arial" w:hAnsi="Arial"/>
          <w:color w:val="000000" w:themeColor="text1"/>
          <w:vertAlign w:val="superscript"/>
        </w:rPr>
      </w:pPr>
      <w:r w:rsidRPr="00614125">
        <w:rPr>
          <w:rFonts w:ascii="Arial" w:hAnsi="Arial"/>
          <w:color w:val="000000" w:themeColor="text1"/>
        </w:rPr>
        <w:t xml:space="preserve">Karolinska Institutet, Department of Learning, Informatics, Management and Ethics, </w:t>
      </w:r>
      <w:proofErr w:type="spellStart"/>
      <w:r w:rsidRPr="00614125">
        <w:rPr>
          <w:rFonts w:ascii="Arial" w:hAnsi="Arial"/>
          <w:color w:val="000000" w:themeColor="text1"/>
        </w:rPr>
        <w:t>Solna</w:t>
      </w:r>
      <w:proofErr w:type="spellEnd"/>
      <w:r w:rsidRPr="00614125">
        <w:rPr>
          <w:rFonts w:ascii="Arial" w:hAnsi="Arial"/>
          <w:color w:val="000000" w:themeColor="text1"/>
        </w:rPr>
        <w:t xml:space="preserve"> Campus, S-171 77, Stockholm, Sweden</w:t>
      </w:r>
      <w:r w:rsidR="00A4640D" w:rsidRPr="00614125">
        <w:rPr>
          <w:rFonts w:ascii="Arial" w:hAnsi="Arial"/>
          <w:color w:val="000000" w:themeColor="text1"/>
        </w:rPr>
        <w:t>.</w:t>
      </w:r>
    </w:p>
    <w:p w14:paraId="2277D680" w14:textId="6EE16DCE" w:rsidR="00BE324E" w:rsidRPr="00614125" w:rsidRDefault="00BE324E" w:rsidP="00BE324E">
      <w:pPr>
        <w:pStyle w:val="ListParagraph"/>
        <w:numPr>
          <w:ilvl w:val="0"/>
          <w:numId w:val="1"/>
        </w:numPr>
        <w:spacing w:before="120" w:after="120" w:line="360" w:lineRule="auto"/>
        <w:rPr>
          <w:rFonts w:ascii="Arial" w:hAnsi="Arial"/>
          <w:color w:val="000000" w:themeColor="text1"/>
          <w:vertAlign w:val="superscript"/>
        </w:rPr>
      </w:pPr>
      <w:r w:rsidRPr="00614125">
        <w:rPr>
          <w:rFonts w:ascii="Arial" w:hAnsi="Arial"/>
          <w:color w:val="000000" w:themeColor="text1"/>
        </w:rPr>
        <w:t xml:space="preserve">James P Grant School of Public Health, </w:t>
      </w:r>
      <w:proofErr w:type="spellStart"/>
      <w:r w:rsidRPr="00614125">
        <w:rPr>
          <w:rFonts w:ascii="Arial" w:hAnsi="Arial"/>
          <w:color w:val="000000" w:themeColor="text1"/>
        </w:rPr>
        <w:t>Brac</w:t>
      </w:r>
      <w:proofErr w:type="spellEnd"/>
      <w:r w:rsidRPr="00614125">
        <w:rPr>
          <w:rFonts w:ascii="Arial" w:hAnsi="Arial"/>
          <w:color w:val="000000" w:themeColor="text1"/>
        </w:rPr>
        <w:t xml:space="preserve"> University, 68, Shahid </w:t>
      </w:r>
      <w:proofErr w:type="spellStart"/>
      <w:r w:rsidRPr="00614125">
        <w:rPr>
          <w:rFonts w:ascii="Arial" w:hAnsi="Arial"/>
          <w:color w:val="000000" w:themeColor="text1"/>
        </w:rPr>
        <w:t>Tajuddin</w:t>
      </w:r>
      <w:proofErr w:type="spellEnd"/>
      <w:r w:rsidRPr="00614125">
        <w:rPr>
          <w:rFonts w:ascii="Arial" w:hAnsi="Arial"/>
          <w:color w:val="000000" w:themeColor="text1"/>
        </w:rPr>
        <w:t xml:space="preserve"> Ahmed </w:t>
      </w:r>
      <w:proofErr w:type="spellStart"/>
      <w:r w:rsidRPr="00614125">
        <w:rPr>
          <w:rFonts w:ascii="Arial" w:hAnsi="Arial"/>
          <w:color w:val="000000" w:themeColor="text1"/>
        </w:rPr>
        <w:t>Sharani</w:t>
      </w:r>
      <w:proofErr w:type="spellEnd"/>
      <w:r w:rsidRPr="00614125">
        <w:rPr>
          <w:rFonts w:ascii="Arial" w:hAnsi="Arial"/>
          <w:color w:val="000000" w:themeColor="text1"/>
        </w:rPr>
        <w:t>, Mohakhali, Dhaka-1212, Bangladesh</w:t>
      </w:r>
    </w:p>
    <w:p w14:paraId="7A8BD7F7" w14:textId="77777777" w:rsidR="00775B32" w:rsidRPr="00614125" w:rsidRDefault="00775B32" w:rsidP="00775B32">
      <w:pPr>
        <w:pStyle w:val="ListParagraph"/>
        <w:numPr>
          <w:ilvl w:val="0"/>
          <w:numId w:val="1"/>
        </w:numPr>
        <w:spacing w:before="120" w:after="120" w:line="360" w:lineRule="auto"/>
        <w:rPr>
          <w:rFonts w:ascii="Arial" w:hAnsi="Arial"/>
          <w:color w:val="000000" w:themeColor="text1"/>
          <w:vertAlign w:val="superscript"/>
        </w:rPr>
      </w:pPr>
      <w:proofErr w:type="spellStart"/>
      <w:proofErr w:type="gramStart"/>
      <w:r w:rsidRPr="00614125">
        <w:rPr>
          <w:rFonts w:ascii="Arial" w:hAnsi="Arial"/>
          <w:color w:val="000000" w:themeColor="text1"/>
        </w:rPr>
        <w:t>icddr,b</w:t>
      </w:r>
      <w:proofErr w:type="spellEnd"/>
      <w:proofErr w:type="gramEnd"/>
      <w:r w:rsidRPr="00614125">
        <w:rPr>
          <w:rFonts w:ascii="Arial" w:hAnsi="Arial"/>
          <w:color w:val="000000" w:themeColor="text1"/>
        </w:rPr>
        <w:t xml:space="preserve">, 68, Shahid </w:t>
      </w:r>
      <w:proofErr w:type="spellStart"/>
      <w:r w:rsidRPr="00614125">
        <w:rPr>
          <w:rFonts w:ascii="Arial" w:hAnsi="Arial"/>
          <w:color w:val="000000" w:themeColor="text1"/>
        </w:rPr>
        <w:t>Tajuddin</w:t>
      </w:r>
      <w:proofErr w:type="spellEnd"/>
      <w:r w:rsidRPr="00614125">
        <w:rPr>
          <w:rFonts w:ascii="Arial" w:hAnsi="Arial"/>
          <w:color w:val="000000" w:themeColor="text1"/>
        </w:rPr>
        <w:t xml:space="preserve"> Ahmed </w:t>
      </w:r>
      <w:proofErr w:type="spellStart"/>
      <w:r w:rsidRPr="00614125">
        <w:rPr>
          <w:rFonts w:ascii="Arial" w:hAnsi="Arial"/>
          <w:color w:val="000000" w:themeColor="text1"/>
        </w:rPr>
        <w:t>Sharani</w:t>
      </w:r>
      <w:proofErr w:type="spellEnd"/>
      <w:r w:rsidRPr="00614125">
        <w:rPr>
          <w:rFonts w:ascii="Arial" w:hAnsi="Arial"/>
          <w:color w:val="000000" w:themeColor="text1"/>
        </w:rPr>
        <w:t>, Mohakhali, Dhaka-1212, Bangladesh</w:t>
      </w:r>
    </w:p>
    <w:p w14:paraId="61E92719" w14:textId="77777777" w:rsidR="00775B32" w:rsidRPr="00614125" w:rsidRDefault="00775B32" w:rsidP="00775B32">
      <w:pPr>
        <w:pStyle w:val="ListParagraph"/>
        <w:numPr>
          <w:ilvl w:val="0"/>
          <w:numId w:val="1"/>
        </w:numPr>
        <w:spacing w:before="120" w:after="120" w:line="360" w:lineRule="auto"/>
        <w:rPr>
          <w:rFonts w:ascii="Arial" w:hAnsi="Arial"/>
          <w:color w:val="000000" w:themeColor="text1"/>
          <w:vertAlign w:val="superscript"/>
        </w:rPr>
      </w:pPr>
      <w:r w:rsidRPr="00614125">
        <w:rPr>
          <w:rFonts w:ascii="Arial" w:hAnsi="Arial"/>
          <w:color w:val="000000" w:themeColor="text1"/>
        </w:rPr>
        <w:t>Department of International Health, Johns Hopkins SPH, Baltimore, USA.</w:t>
      </w:r>
    </w:p>
    <w:p w14:paraId="554441DB" w14:textId="77777777" w:rsidR="00F77EB4" w:rsidRPr="00614125" w:rsidRDefault="00F77EB4" w:rsidP="00337D8B">
      <w:pPr>
        <w:spacing w:before="120" w:after="120" w:line="360" w:lineRule="auto"/>
        <w:rPr>
          <w:rFonts w:ascii="Arial" w:hAnsi="Arial"/>
          <w:b/>
          <w:bCs/>
          <w:color w:val="000000" w:themeColor="text1"/>
        </w:rPr>
      </w:pPr>
      <w:r w:rsidRPr="00614125">
        <w:rPr>
          <w:rFonts w:ascii="Arial" w:hAnsi="Arial"/>
          <w:b/>
          <w:bCs/>
          <w:color w:val="000000" w:themeColor="text1"/>
        </w:rPr>
        <w:lastRenderedPageBreak/>
        <w:t>ABSTRACT</w:t>
      </w:r>
    </w:p>
    <w:p w14:paraId="7550C7C2" w14:textId="6FBD2999" w:rsidR="002159FE" w:rsidRPr="00614125" w:rsidRDefault="00846DBE" w:rsidP="002159FE">
      <w:pPr>
        <w:spacing w:before="120" w:after="120" w:line="360" w:lineRule="auto"/>
        <w:jc w:val="both"/>
        <w:rPr>
          <w:rFonts w:ascii="Arial" w:hAnsi="Arial" w:cs="Times New Roman"/>
        </w:rPr>
      </w:pPr>
      <w:r w:rsidRPr="00614125">
        <w:rPr>
          <w:rFonts w:ascii="Arial" w:hAnsi="Arial" w:cs="Times New Roman"/>
        </w:rPr>
        <w:t xml:space="preserve">Background: </w:t>
      </w:r>
      <w:r w:rsidR="002159FE" w:rsidRPr="00614125">
        <w:rPr>
          <w:rFonts w:ascii="Arial" w:hAnsi="Arial" w:cs="Times New Roman"/>
        </w:rPr>
        <w:t xml:space="preserve">Health and Wellbeing as one of the Sustainable Development Goals require all countries to achieve Universal Health Coverage (UHC). That is, all people must have access to healthcare when needed at an affordable price. While several indices were developed recently to assess UHC status, these indices appeared to be difficult for practitioners to apply without statistical knowledge. </w:t>
      </w:r>
    </w:p>
    <w:p w14:paraId="7F11F09C" w14:textId="05288CA5" w:rsidR="00846DBE" w:rsidRPr="00614125" w:rsidRDefault="00846DBE" w:rsidP="002159FE">
      <w:pPr>
        <w:spacing w:before="120" w:after="120" w:line="360" w:lineRule="auto"/>
        <w:jc w:val="both"/>
        <w:rPr>
          <w:rFonts w:ascii="Arial" w:hAnsi="Arial" w:cs="Times New Roman"/>
        </w:rPr>
      </w:pPr>
      <w:r w:rsidRPr="00614125">
        <w:rPr>
          <w:rFonts w:ascii="Arial" w:hAnsi="Arial" w:cs="Times New Roman"/>
        </w:rPr>
        <w:t xml:space="preserve">Objective: </w:t>
      </w:r>
      <w:r w:rsidR="002159FE" w:rsidRPr="00614125">
        <w:rPr>
          <w:rFonts w:ascii="Arial" w:hAnsi="Arial" w:cs="Times New Roman"/>
        </w:rPr>
        <w:t xml:space="preserve">This paper presents a transparent and step-by-step </w:t>
      </w:r>
      <w:r w:rsidR="00ED6D05" w:rsidRPr="00614125">
        <w:rPr>
          <w:rFonts w:ascii="Arial" w:hAnsi="Arial" w:cs="Times New Roman"/>
        </w:rPr>
        <w:t xml:space="preserve">practical </w:t>
      </w:r>
      <w:r w:rsidR="002159FE" w:rsidRPr="00614125">
        <w:rPr>
          <w:rFonts w:ascii="Arial" w:hAnsi="Arial" w:cs="Times New Roman"/>
        </w:rPr>
        <w:t xml:space="preserve">calculation </w:t>
      </w:r>
      <w:r w:rsidR="00ED6D05" w:rsidRPr="00614125">
        <w:rPr>
          <w:rFonts w:ascii="Arial" w:hAnsi="Arial" w:cs="Times New Roman"/>
        </w:rPr>
        <w:t xml:space="preserve">method </w:t>
      </w:r>
      <w:r w:rsidR="002159FE" w:rsidRPr="00614125">
        <w:rPr>
          <w:rFonts w:ascii="Arial" w:hAnsi="Arial" w:cs="Times New Roman"/>
        </w:rPr>
        <w:t xml:space="preserve">of such an index using </w:t>
      </w:r>
      <w:r w:rsidR="008474CB" w:rsidRPr="00614125">
        <w:rPr>
          <w:rFonts w:ascii="Arial" w:hAnsi="Arial" w:cs="Times New Roman"/>
        </w:rPr>
        <w:t>E</w:t>
      </w:r>
      <w:r w:rsidR="002159FE" w:rsidRPr="00614125">
        <w:rPr>
          <w:rFonts w:ascii="Arial" w:hAnsi="Arial" w:cs="Times New Roman"/>
        </w:rPr>
        <w:t>xcel spreadsheets</w:t>
      </w:r>
      <w:r w:rsidRPr="00614125">
        <w:rPr>
          <w:rFonts w:ascii="Arial" w:hAnsi="Arial" w:cs="Times New Roman"/>
        </w:rPr>
        <w:t>, applying in some Asian and African countries</w:t>
      </w:r>
      <w:r w:rsidR="002159FE" w:rsidRPr="00614125">
        <w:rPr>
          <w:rFonts w:ascii="Arial" w:hAnsi="Arial" w:cs="Times New Roman"/>
        </w:rPr>
        <w:t xml:space="preserve">. </w:t>
      </w:r>
      <w:r w:rsidRPr="00614125">
        <w:rPr>
          <w:rFonts w:ascii="Arial" w:hAnsi="Arial" w:cs="Times New Roman"/>
        </w:rPr>
        <w:t xml:space="preserve">We further intend to decompose the contribution of socioeconomic groups to the UHC index values.  </w:t>
      </w:r>
    </w:p>
    <w:p w14:paraId="370C55D0" w14:textId="7FA85C38" w:rsidR="002159FE" w:rsidRPr="00614125" w:rsidRDefault="00846DBE" w:rsidP="002159FE">
      <w:pPr>
        <w:spacing w:before="120" w:after="120" w:line="360" w:lineRule="auto"/>
        <w:jc w:val="both"/>
        <w:rPr>
          <w:rFonts w:ascii="Arial" w:hAnsi="Arial" w:cs="Times New Roman"/>
        </w:rPr>
      </w:pPr>
      <w:r w:rsidRPr="00614125">
        <w:rPr>
          <w:rFonts w:ascii="Arial" w:hAnsi="Arial" w:cs="Times New Roman"/>
        </w:rPr>
        <w:t xml:space="preserve">Methods: </w:t>
      </w:r>
      <w:r w:rsidR="002159FE" w:rsidRPr="00614125">
        <w:rPr>
          <w:rFonts w:ascii="Arial" w:hAnsi="Arial" w:cs="Times New Roman"/>
        </w:rPr>
        <w:t xml:space="preserve">We utilized the well-known UHC illustration (three-dimensional box, showing population coverage, service coverage and financial protection) to calculate </w:t>
      </w:r>
      <w:r w:rsidR="005C3B2F" w:rsidRPr="00614125">
        <w:rPr>
          <w:rFonts w:ascii="Arial" w:hAnsi="Arial" w:cs="Times New Roman"/>
        </w:rPr>
        <w:t xml:space="preserve">the </w:t>
      </w:r>
      <w:r w:rsidR="002159FE" w:rsidRPr="00614125">
        <w:rPr>
          <w:rFonts w:ascii="Arial" w:hAnsi="Arial" w:cs="Times New Roman"/>
        </w:rPr>
        <w:t xml:space="preserve">UHC index. We also decomposed the index into socioeconomic groups. For validation, correlation coefficients between our index and other UHC indices were calculated and the relationship of our index with out-of-pocket payments was estimated.   </w:t>
      </w:r>
    </w:p>
    <w:p w14:paraId="21111E6B" w14:textId="78E6DF14" w:rsidR="00846DBE" w:rsidRPr="00614125" w:rsidRDefault="00846DBE" w:rsidP="002159FE">
      <w:pPr>
        <w:spacing w:before="120" w:after="120" w:line="360" w:lineRule="auto"/>
        <w:jc w:val="both"/>
        <w:rPr>
          <w:rFonts w:ascii="Arial" w:hAnsi="Arial" w:cs="Times New Roman"/>
        </w:rPr>
      </w:pPr>
      <w:r w:rsidRPr="00614125">
        <w:rPr>
          <w:rFonts w:ascii="Arial" w:hAnsi="Arial" w:cs="Times New Roman"/>
        </w:rPr>
        <w:t xml:space="preserve">Results: </w:t>
      </w:r>
      <w:r w:rsidR="002159FE" w:rsidRPr="00614125">
        <w:rPr>
          <w:rFonts w:ascii="Arial" w:hAnsi="Arial" w:cs="Times New Roman"/>
        </w:rPr>
        <w:t xml:space="preserve">World Bank data from 6 Asian and 15 African countries on health service coverage of people in five socioeconomic quintiles with financial protection were used to calculate our UHC index. Among Asian countries, indices ranged between 26.0% (Nepal) and 58.7% (Kazakhstan), while in African countries indices ranged between 8.9% (Chad) and 55.3% (Namibia). Decomposition of </w:t>
      </w:r>
      <w:r w:rsidR="001E4C33" w:rsidRPr="00614125">
        <w:rPr>
          <w:rFonts w:ascii="Arial" w:hAnsi="Arial" w:cs="Times New Roman"/>
        </w:rPr>
        <w:t xml:space="preserve">the </w:t>
      </w:r>
      <w:r w:rsidR="002159FE" w:rsidRPr="00614125">
        <w:rPr>
          <w:rFonts w:ascii="Arial" w:hAnsi="Arial" w:cs="Times New Roman"/>
        </w:rPr>
        <w:t xml:space="preserve">UHC index showed a higher contribution to </w:t>
      </w:r>
      <w:r w:rsidR="00B42B82" w:rsidRPr="00614125">
        <w:rPr>
          <w:rFonts w:ascii="Arial" w:hAnsi="Arial" w:cs="Times New Roman"/>
        </w:rPr>
        <w:t xml:space="preserve">the </w:t>
      </w:r>
      <w:r w:rsidR="002159FE" w:rsidRPr="00614125">
        <w:rPr>
          <w:rFonts w:ascii="Arial" w:hAnsi="Arial" w:cs="Times New Roman"/>
        </w:rPr>
        <w:t xml:space="preserve">index by richer socioeconomic groups. The correlation coefficients between our estimated UHC index values </w:t>
      </w:r>
      <w:r w:rsidR="006C1D9C" w:rsidRPr="00614125">
        <w:rPr>
          <w:rFonts w:ascii="Arial" w:hAnsi="Arial" w:cs="Times New Roman"/>
        </w:rPr>
        <w:t>and those</w:t>
      </w:r>
      <w:r w:rsidR="002159FE" w:rsidRPr="00614125">
        <w:rPr>
          <w:rFonts w:ascii="Arial" w:hAnsi="Arial" w:cs="Times New Roman"/>
        </w:rPr>
        <w:t xml:space="preserve"> of others ranged between 0.774 and 0.900. Our index reduced by 1.4 percent in response to a one percent increase in OOP payments. </w:t>
      </w:r>
    </w:p>
    <w:p w14:paraId="4D1836E6" w14:textId="749699B7" w:rsidR="00D526CC" w:rsidRPr="00614125" w:rsidRDefault="00846DBE" w:rsidP="002159FE">
      <w:pPr>
        <w:spacing w:before="120" w:after="120" w:line="360" w:lineRule="auto"/>
        <w:jc w:val="both"/>
        <w:rPr>
          <w:rFonts w:ascii="Arial" w:hAnsi="Arial" w:cs="Times New Roman"/>
        </w:rPr>
      </w:pPr>
      <w:r w:rsidRPr="00614125">
        <w:rPr>
          <w:rFonts w:ascii="Arial" w:hAnsi="Arial" w:cs="Times New Roman"/>
        </w:rPr>
        <w:t>Conclusions:</w:t>
      </w:r>
      <w:r w:rsidR="003B5D58" w:rsidRPr="00614125">
        <w:rPr>
          <w:rFonts w:ascii="Arial" w:hAnsi="Arial" w:cs="Times New Roman"/>
        </w:rPr>
        <w:t xml:space="preserve"> </w:t>
      </w:r>
      <w:r w:rsidR="002159FE" w:rsidRPr="00614125">
        <w:rPr>
          <w:rFonts w:ascii="Arial" w:hAnsi="Arial" w:cs="Times New Roman"/>
        </w:rPr>
        <w:t>This spreadsheet approach for calculating the UHC index appeared to be useful, where the interrelation of UHC dimensions was easily observed. Decomposition of the index could be useful for policy-makers to identify the sub-populations and health services with need for further interventions towards UHC achievement.</w:t>
      </w:r>
    </w:p>
    <w:p w14:paraId="3BA61957" w14:textId="141D2DFE" w:rsidR="00282A93" w:rsidRPr="00614125" w:rsidRDefault="002557FB" w:rsidP="00337D8B">
      <w:pPr>
        <w:spacing w:before="120" w:after="120" w:line="360" w:lineRule="auto"/>
        <w:rPr>
          <w:rFonts w:ascii="Arial" w:hAnsi="Arial"/>
          <w:color w:val="000000" w:themeColor="text1"/>
        </w:rPr>
      </w:pPr>
      <w:r w:rsidRPr="00614125">
        <w:rPr>
          <w:rFonts w:ascii="Arial" w:hAnsi="Arial"/>
          <w:color w:val="000000" w:themeColor="text1"/>
        </w:rPr>
        <w:t xml:space="preserve">Keywords: </w:t>
      </w:r>
      <w:r w:rsidR="00EE74E3" w:rsidRPr="00614125">
        <w:rPr>
          <w:rFonts w:ascii="Arial" w:hAnsi="Arial"/>
          <w:color w:val="000000" w:themeColor="text1"/>
        </w:rPr>
        <w:t xml:space="preserve">Africa, Asia, </w:t>
      </w:r>
      <w:r w:rsidR="00452691" w:rsidRPr="00614125">
        <w:rPr>
          <w:rFonts w:ascii="Arial" w:hAnsi="Arial"/>
          <w:color w:val="000000" w:themeColor="text1"/>
        </w:rPr>
        <w:t xml:space="preserve">decomposition of UHC index, </w:t>
      </w:r>
      <w:r w:rsidR="007E610B" w:rsidRPr="00614125">
        <w:rPr>
          <w:rFonts w:ascii="Arial" w:hAnsi="Arial"/>
          <w:color w:val="000000" w:themeColor="text1"/>
        </w:rPr>
        <w:t xml:space="preserve">Econometric models, Out-of-pocket payments, </w:t>
      </w:r>
      <w:r w:rsidRPr="00614125">
        <w:rPr>
          <w:rFonts w:ascii="Arial" w:hAnsi="Arial"/>
          <w:color w:val="000000" w:themeColor="text1"/>
        </w:rPr>
        <w:t>Univer</w:t>
      </w:r>
      <w:r w:rsidR="00663235" w:rsidRPr="00614125">
        <w:rPr>
          <w:rFonts w:ascii="Arial" w:hAnsi="Arial"/>
          <w:color w:val="000000" w:themeColor="text1"/>
        </w:rPr>
        <w:t>sal health coverage, UHC index</w:t>
      </w:r>
    </w:p>
    <w:p w14:paraId="6E26E76F" w14:textId="77777777" w:rsidR="00282A93" w:rsidRPr="00614125" w:rsidRDefault="00282A93" w:rsidP="00337D8B">
      <w:pPr>
        <w:spacing w:before="120" w:after="120" w:line="360" w:lineRule="auto"/>
        <w:rPr>
          <w:rFonts w:ascii="Arial" w:hAnsi="Arial"/>
          <w:color w:val="000000" w:themeColor="text1"/>
        </w:rPr>
      </w:pPr>
    </w:p>
    <w:p w14:paraId="65897C71" w14:textId="3BB1067A" w:rsidR="00F77EB4" w:rsidRPr="00614125" w:rsidRDefault="00846DBE" w:rsidP="00337D8B">
      <w:pPr>
        <w:spacing w:before="120" w:after="120" w:line="360" w:lineRule="auto"/>
        <w:rPr>
          <w:rFonts w:ascii="Arial" w:hAnsi="Arial"/>
          <w:color w:val="000000" w:themeColor="text1"/>
        </w:rPr>
      </w:pPr>
      <w:r w:rsidRPr="00614125">
        <w:rPr>
          <w:rFonts w:ascii="Arial" w:hAnsi="Arial"/>
          <w:color w:val="000000" w:themeColor="text1"/>
        </w:rPr>
        <w:t>KEY POINTS FOR POLICY MAKERS</w:t>
      </w:r>
    </w:p>
    <w:p w14:paraId="5AD515C5" w14:textId="4C090384" w:rsidR="00846DBE" w:rsidRPr="00614125" w:rsidRDefault="007F3D00" w:rsidP="004E0F46">
      <w:pPr>
        <w:pStyle w:val="ListParagraph"/>
        <w:numPr>
          <w:ilvl w:val="0"/>
          <w:numId w:val="9"/>
        </w:numPr>
        <w:spacing w:before="120" w:after="120" w:line="360" w:lineRule="auto"/>
        <w:ind w:left="360"/>
        <w:rPr>
          <w:rFonts w:ascii="Arial" w:hAnsi="Arial"/>
          <w:color w:val="000000" w:themeColor="text1"/>
        </w:rPr>
      </w:pPr>
      <w:r w:rsidRPr="00614125">
        <w:rPr>
          <w:rFonts w:ascii="Arial" w:hAnsi="Arial"/>
          <w:color w:val="000000" w:themeColor="text1"/>
        </w:rPr>
        <w:t xml:space="preserve">This transparent Universal Health Coverage index </w:t>
      </w:r>
      <w:r w:rsidR="00864EF2" w:rsidRPr="00614125">
        <w:rPr>
          <w:rFonts w:ascii="Arial" w:hAnsi="Arial"/>
          <w:color w:val="000000" w:themeColor="text1"/>
        </w:rPr>
        <w:t xml:space="preserve">is </w:t>
      </w:r>
      <w:r w:rsidR="004E1752" w:rsidRPr="00614125">
        <w:rPr>
          <w:rFonts w:ascii="Arial" w:hAnsi="Arial"/>
          <w:color w:val="000000" w:themeColor="text1"/>
        </w:rPr>
        <w:t>convenient</w:t>
      </w:r>
      <w:r w:rsidRPr="00614125">
        <w:rPr>
          <w:rFonts w:ascii="Arial" w:hAnsi="Arial"/>
          <w:color w:val="000000" w:themeColor="text1"/>
        </w:rPr>
        <w:t xml:space="preserve"> to calculate using </w:t>
      </w:r>
      <w:r w:rsidR="008474CB" w:rsidRPr="00614125">
        <w:rPr>
          <w:rFonts w:ascii="Arial" w:hAnsi="Arial"/>
          <w:color w:val="000000" w:themeColor="text1"/>
        </w:rPr>
        <w:t>E</w:t>
      </w:r>
      <w:r w:rsidRPr="00614125">
        <w:rPr>
          <w:rFonts w:ascii="Arial" w:hAnsi="Arial"/>
          <w:color w:val="000000" w:themeColor="text1"/>
        </w:rPr>
        <w:t>xcel spreadsheet and without advance statistical knowledge.</w:t>
      </w:r>
      <w:r w:rsidR="00363107" w:rsidRPr="00614125">
        <w:rPr>
          <w:rFonts w:ascii="Arial" w:hAnsi="Arial"/>
          <w:color w:val="000000" w:themeColor="text1"/>
        </w:rPr>
        <w:t xml:space="preserve"> It thus can be useful for Ministry of Health</w:t>
      </w:r>
      <w:r w:rsidR="007B017E" w:rsidRPr="00614125">
        <w:rPr>
          <w:rFonts w:ascii="Arial" w:hAnsi="Arial"/>
          <w:color w:val="000000" w:themeColor="text1"/>
        </w:rPr>
        <w:t xml:space="preserve"> and other relevant stakeholders</w:t>
      </w:r>
      <w:r w:rsidR="00363107" w:rsidRPr="00614125">
        <w:rPr>
          <w:rFonts w:ascii="Arial" w:hAnsi="Arial"/>
          <w:color w:val="000000" w:themeColor="text1"/>
        </w:rPr>
        <w:t xml:space="preserve"> in the respective countries to monitor and assess </w:t>
      </w:r>
      <w:r w:rsidR="00864EF2" w:rsidRPr="00614125">
        <w:rPr>
          <w:rFonts w:ascii="Arial" w:hAnsi="Arial"/>
          <w:color w:val="000000" w:themeColor="text1"/>
        </w:rPr>
        <w:t xml:space="preserve">the status of universal health coverage, which is an important indicator of </w:t>
      </w:r>
      <w:r w:rsidR="004E1752" w:rsidRPr="00614125">
        <w:rPr>
          <w:rFonts w:ascii="Arial" w:hAnsi="Arial"/>
          <w:color w:val="000000" w:themeColor="text1"/>
        </w:rPr>
        <w:t xml:space="preserve">the journey towards </w:t>
      </w:r>
      <w:r w:rsidR="00864EF2" w:rsidRPr="00614125">
        <w:rPr>
          <w:rFonts w:ascii="Arial" w:hAnsi="Arial"/>
          <w:color w:val="000000" w:themeColor="text1"/>
        </w:rPr>
        <w:t xml:space="preserve">sustainable development goals. </w:t>
      </w:r>
      <w:r w:rsidRPr="00614125">
        <w:rPr>
          <w:rFonts w:ascii="Arial" w:hAnsi="Arial"/>
          <w:color w:val="000000" w:themeColor="text1"/>
        </w:rPr>
        <w:t xml:space="preserve">  </w:t>
      </w:r>
    </w:p>
    <w:p w14:paraId="1AFA27AD" w14:textId="1BCD9B96" w:rsidR="00846DBE" w:rsidRPr="00614125" w:rsidRDefault="00864EF2" w:rsidP="004E0F46">
      <w:pPr>
        <w:pStyle w:val="ListParagraph"/>
        <w:numPr>
          <w:ilvl w:val="0"/>
          <w:numId w:val="9"/>
        </w:numPr>
        <w:spacing w:before="120" w:after="120" w:line="360" w:lineRule="auto"/>
        <w:ind w:left="360"/>
        <w:rPr>
          <w:rFonts w:ascii="Arial" w:hAnsi="Arial"/>
          <w:color w:val="000000" w:themeColor="text1"/>
        </w:rPr>
      </w:pPr>
      <w:r w:rsidRPr="00614125">
        <w:rPr>
          <w:rFonts w:ascii="Arial" w:hAnsi="Arial"/>
          <w:color w:val="000000" w:themeColor="text1"/>
        </w:rPr>
        <w:t>The index specifically quantifies the contribution of p</w:t>
      </w:r>
      <w:r w:rsidR="007F3D00" w:rsidRPr="00614125">
        <w:rPr>
          <w:rFonts w:ascii="Arial" w:hAnsi="Arial"/>
          <w:color w:val="000000" w:themeColor="text1"/>
        </w:rPr>
        <w:t xml:space="preserve">opulation coverage, service coverage and financial protection </w:t>
      </w:r>
      <w:r w:rsidRPr="00614125">
        <w:rPr>
          <w:rFonts w:ascii="Arial" w:hAnsi="Arial"/>
          <w:color w:val="000000" w:themeColor="text1"/>
        </w:rPr>
        <w:t>to the</w:t>
      </w:r>
      <w:r w:rsidR="007F3D00" w:rsidRPr="00614125">
        <w:rPr>
          <w:rFonts w:ascii="Arial" w:hAnsi="Arial"/>
          <w:color w:val="000000" w:themeColor="text1"/>
        </w:rPr>
        <w:t xml:space="preserve"> </w:t>
      </w:r>
      <w:r w:rsidRPr="00614125">
        <w:rPr>
          <w:rFonts w:ascii="Arial" w:hAnsi="Arial"/>
          <w:color w:val="000000" w:themeColor="text1"/>
        </w:rPr>
        <w:t xml:space="preserve">achieved </w:t>
      </w:r>
      <w:r w:rsidR="007F3D00" w:rsidRPr="00614125">
        <w:rPr>
          <w:rFonts w:ascii="Arial" w:hAnsi="Arial"/>
          <w:color w:val="000000" w:themeColor="text1"/>
        </w:rPr>
        <w:t>UHC status of a country.</w:t>
      </w:r>
    </w:p>
    <w:p w14:paraId="2CE3A07F" w14:textId="39D6813D" w:rsidR="00846DBE" w:rsidRPr="00614125" w:rsidRDefault="007F3D00" w:rsidP="004E0F46">
      <w:pPr>
        <w:pStyle w:val="ListParagraph"/>
        <w:numPr>
          <w:ilvl w:val="0"/>
          <w:numId w:val="9"/>
        </w:numPr>
        <w:spacing w:before="120" w:after="120" w:line="360" w:lineRule="auto"/>
        <w:ind w:left="360"/>
        <w:rPr>
          <w:rFonts w:ascii="Arial" w:hAnsi="Arial"/>
          <w:color w:val="000000" w:themeColor="text1"/>
        </w:rPr>
      </w:pPr>
      <w:r w:rsidRPr="00614125">
        <w:rPr>
          <w:rFonts w:ascii="Arial" w:hAnsi="Arial"/>
          <w:color w:val="000000" w:themeColor="text1"/>
        </w:rPr>
        <w:t xml:space="preserve">Decomposition of the </w:t>
      </w:r>
      <w:r w:rsidR="00363107" w:rsidRPr="00614125">
        <w:rPr>
          <w:rFonts w:ascii="Arial" w:hAnsi="Arial"/>
          <w:color w:val="000000" w:themeColor="text1"/>
        </w:rPr>
        <w:t xml:space="preserve">UHC </w:t>
      </w:r>
      <w:r w:rsidRPr="00614125">
        <w:rPr>
          <w:rFonts w:ascii="Arial" w:hAnsi="Arial"/>
          <w:color w:val="000000" w:themeColor="text1"/>
        </w:rPr>
        <w:t>index</w:t>
      </w:r>
      <w:r w:rsidR="00363107" w:rsidRPr="00614125">
        <w:rPr>
          <w:rFonts w:ascii="Arial" w:hAnsi="Arial"/>
          <w:color w:val="000000" w:themeColor="text1"/>
        </w:rPr>
        <w:t xml:space="preserve"> shows how each socioeconomic group of populations contribute to the UHC status. Such decomposition is useful to ident</w:t>
      </w:r>
      <w:r w:rsidR="00864EF2" w:rsidRPr="00614125">
        <w:rPr>
          <w:rFonts w:ascii="Arial" w:hAnsi="Arial"/>
          <w:color w:val="000000" w:themeColor="text1"/>
        </w:rPr>
        <w:t>ify the population groups with higher need of</w:t>
      </w:r>
      <w:r w:rsidR="00363107" w:rsidRPr="00614125">
        <w:rPr>
          <w:rFonts w:ascii="Arial" w:hAnsi="Arial"/>
          <w:color w:val="000000" w:themeColor="text1"/>
        </w:rPr>
        <w:t xml:space="preserve"> health intervention</w:t>
      </w:r>
      <w:r w:rsidR="00864EF2" w:rsidRPr="00614125">
        <w:rPr>
          <w:rFonts w:ascii="Arial" w:hAnsi="Arial"/>
          <w:color w:val="000000" w:themeColor="text1"/>
        </w:rPr>
        <w:t>s</w:t>
      </w:r>
      <w:r w:rsidR="00285769" w:rsidRPr="00614125">
        <w:rPr>
          <w:rFonts w:ascii="Arial" w:hAnsi="Arial"/>
          <w:color w:val="000000" w:themeColor="text1"/>
        </w:rPr>
        <w:t xml:space="preserve"> for achieving UHC</w:t>
      </w:r>
      <w:r w:rsidR="00864EF2" w:rsidRPr="00614125">
        <w:rPr>
          <w:rFonts w:ascii="Arial" w:hAnsi="Arial"/>
          <w:color w:val="000000" w:themeColor="text1"/>
        </w:rPr>
        <w:t>.</w:t>
      </w:r>
      <w:r w:rsidR="000A7853" w:rsidRPr="00614125">
        <w:rPr>
          <w:rFonts w:ascii="Arial" w:hAnsi="Arial"/>
          <w:color w:val="000000" w:themeColor="text1"/>
        </w:rPr>
        <w:t xml:space="preserve"> </w:t>
      </w:r>
      <w:r w:rsidR="00363107" w:rsidRPr="00614125">
        <w:rPr>
          <w:rFonts w:ascii="Arial" w:hAnsi="Arial"/>
          <w:color w:val="000000" w:themeColor="text1"/>
        </w:rPr>
        <w:t xml:space="preserve"> </w:t>
      </w:r>
      <w:r w:rsidRPr="00614125">
        <w:rPr>
          <w:rFonts w:ascii="Arial" w:hAnsi="Arial"/>
          <w:color w:val="000000" w:themeColor="text1"/>
        </w:rPr>
        <w:t xml:space="preserve"> </w:t>
      </w:r>
    </w:p>
    <w:p w14:paraId="6677E346" w14:textId="77777777" w:rsidR="00F77EB4" w:rsidRPr="00614125" w:rsidRDefault="00F77EB4" w:rsidP="00337D8B">
      <w:pPr>
        <w:spacing w:before="120" w:after="120" w:line="360" w:lineRule="auto"/>
        <w:rPr>
          <w:rFonts w:ascii="Arial" w:hAnsi="Arial"/>
          <w:color w:val="000000" w:themeColor="text1"/>
        </w:rPr>
      </w:pPr>
    </w:p>
    <w:p w14:paraId="15FEAAFD" w14:textId="7344EEA3" w:rsidR="007E3967" w:rsidRPr="00614125" w:rsidRDefault="00040E26" w:rsidP="002159FE">
      <w:pPr>
        <w:rPr>
          <w:rFonts w:ascii="Arial" w:hAnsi="Arial"/>
          <w:color w:val="000000" w:themeColor="text1"/>
        </w:rPr>
      </w:pPr>
      <w:r w:rsidRPr="00614125">
        <w:rPr>
          <w:rFonts w:ascii="Arial" w:hAnsi="Arial"/>
          <w:color w:val="000000" w:themeColor="text1"/>
        </w:rPr>
        <w:br w:type="page"/>
      </w:r>
      <w:r w:rsidR="007E3967" w:rsidRPr="00614125">
        <w:rPr>
          <w:rFonts w:ascii="Arial" w:hAnsi="Arial"/>
          <w:color w:val="000000" w:themeColor="text1"/>
        </w:rPr>
        <w:lastRenderedPageBreak/>
        <w:t>INTRODUCTION</w:t>
      </w:r>
    </w:p>
    <w:p w14:paraId="6591306E" w14:textId="24CD037B" w:rsidR="00FA23CD" w:rsidRPr="00614125" w:rsidRDefault="00727B74" w:rsidP="00FA23CD">
      <w:pPr>
        <w:widowControl w:val="0"/>
        <w:autoSpaceDE w:val="0"/>
        <w:autoSpaceDN w:val="0"/>
        <w:adjustRightInd w:val="0"/>
        <w:spacing w:before="120" w:after="120" w:line="360" w:lineRule="auto"/>
        <w:jc w:val="both"/>
        <w:rPr>
          <w:rFonts w:ascii="Arial" w:hAnsi="Arial" w:cs="Times New Roman"/>
          <w:color w:val="000000" w:themeColor="text1"/>
        </w:rPr>
      </w:pPr>
      <w:r w:rsidRPr="00614125">
        <w:rPr>
          <w:rFonts w:ascii="Arial" w:hAnsi="Arial" w:cs="Times New Roman"/>
          <w:color w:val="000000" w:themeColor="text1"/>
        </w:rPr>
        <w:t>Health and Wellbeing as one</w:t>
      </w:r>
      <w:r w:rsidR="007B04CA" w:rsidRPr="00614125">
        <w:rPr>
          <w:rFonts w:ascii="Arial" w:hAnsi="Arial" w:cs="Times New Roman"/>
          <w:color w:val="000000" w:themeColor="text1"/>
        </w:rPr>
        <w:t xml:space="preserve"> of</w:t>
      </w:r>
      <w:r w:rsidRPr="00614125">
        <w:rPr>
          <w:rFonts w:ascii="Arial" w:hAnsi="Arial" w:cs="Times New Roman"/>
          <w:color w:val="000000" w:themeColor="text1"/>
        </w:rPr>
        <w:t xml:space="preserve"> the Sustainable Development Goals </w:t>
      </w:r>
      <w:r w:rsidR="00CA0527" w:rsidRPr="00614125">
        <w:rPr>
          <w:rFonts w:ascii="Arial" w:hAnsi="Arial" w:cs="Times New Roman"/>
          <w:color w:val="000000" w:themeColor="text1"/>
        </w:rPr>
        <w:t xml:space="preserve">(SDGs) </w:t>
      </w:r>
      <w:r w:rsidR="00CA0527" w:rsidRPr="00614125">
        <w:rPr>
          <w:rFonts w:ascii="Arial" w:hAnsi="Arial" w:cs="Times New Roman"/>
          <w:noProof/>
          <w:color w:val="000000" w:themeColor="text1"/>
        </w:rPr>
        <w:t>require</w:t>
      </w:r>
      <w:r w:rsidR="00CA0527" w:rsidRPr="00614125">
        <w:rPr>
          <w:rFonts w:ascii="Arial" w:hAnsi="Arial" w:cs="Times New Roman"/>
          <w:color w:val="000000" w:themeColor="text1"/>
        </w:rPr>
        <w:t xml:space="preserve"> </w:t>
      </w:r>
      <w:r w:rsidRPr="00614125">
        <w:rPr>
          <w:rFonts w:ascii="Arial" w:hAnsi="Arial" w:cs="Times New Roman"/>
          <w:color w:val="000000" w:themeColor="text1"/>
        </w:rPr>
        <w:t xml:space="preserve">achieving </w:t>
      </w:r>
      <w:r w:rsidR="00CA0527" w:rsidRPr="00614125">
        <w:rPr>
          <w:rFonts w:ascii="Arial" w:hAnsi="Arial" w:cs="Times New Roman"/>
          <w:color w:val="000000" w:themeColor="text1"/>
        </w:rPr>
        <w:t>U</w:t>
      </w:r>
      <w:r w:rsidRPr="00614125">
        <w:rPr>
          <w:rFonts w:ascii="Arial" w:hAnsi="Arial" w:cs="Times New Roman"/>
          <w:color w:val="000000" w:themeColor="text1"/>
        </w:rPr>
        <w:t xml:space="preserve">niversal </w:t>
      </w:r>
      <w:r w:rsidR="00CA0527" w:rsidRPr="00614125">
        <w:rPr>
          <w:rFonts w:ascii="Arial" w:hAnsi="Arial" w:cs="Times New Roman"/>
          <w:color w:val="000000" w:themeColor="text1"/>
        </w:rPr>
        <w:t>H</w:t>
      </w:r>
      <w:r w:rsidRPr="00614125">
        <w:rPr>
          <w:rFonts w:ascii="Arial" w:hAnsi="Arial" w:cs="Times New Roman"/>
          <w:color w:val="000000" w:themeColor="text1"/>
        </w:rPr>
        <w:t xml:space="preserve">ealth </w:t>
      </w:r>
      <w:r w:rsidR="00CA0527" w:rsidRPr="00614125">
        <w:rPr>
          <w:rFonts w:ascii="Arial" w:hAnsi="Arial" w:cs="Times New Roman"/>
          <w:color w:val="000000" w:themeColor="text1"/>
        </w:rPr>
        <w:t>C</w:t>
      </w:r>
      <w:r w:rsidRPr="00614125">
        <w:rPr>
          <w:rFonts w:ascii="Arial" w:hAnsi="Arial" w:cs="Times New Roman"/>
          <w:color w:val="000000" w:themeColor="text1"/>
        </w:rPr>
        <w:t>overage (UHC), meaning that all people must have access to health care when needed</w:t>
      </w:r>
      <w:r w:rsidR="00CA0527" w:rsidRPr="00614125">
        <w:rPr>
          <w:rFonts w:ascii="Arial" w:hAnsi="Arial" w:cs="Times New Roman"/>
          <w:color w:val="000000" w:themeColor="text1"/>
        </w:rPr>
        <w:t>, and</w:t>
      </w:r>
      <w:r w:rsidRPr="00614125">
        <w:rPr>
          <w:rFonts w:ascii="Arial" w:hAnsi="Arial" w:cs="Times New Roman"/>
          <w:color w:val="000000" w:themeColor="text1"/>
        </w:rPr>
        <w:t xml:space="preserve"> at an affordable price</w:t>
      </w:r>
      <w:r w:rsidR="00604FF7" w:rsidRPr="00614125">
        <w:rPr>
          <w:rFonts w:ascii="Arial" w:hAnsi="Arial" w:cs="Times New Roman"/>
          <w:color w:val="000000" w:themeColor="text1"/>
        </w:rPr>
        <w:t xml:space="preserve"> </w:t>
      </w:r>
      <w:r w:rsidR="00604FF7" w:rsidRPr="00614125">
        <w:rPr>
          <w:rFonts w:ascii="Arial" w:hAnsi="Arial" w:cs="Times New Roman"/>
          <w:color w:val="000000" w:themeColor="text1"/>
        </w:rPr>
        <w:fldChar w:fldCharType="begin" w:fldLock="1"/>
      </w:r>
      <w:r w:rsidR="003B3F6D" w:rsidRPr="00614125">
        <w:rPr>
          <w:rFonts w:ascii="Arial" w:hAnsi="Arial" w:cs="Times New Roman"/>
          <w:color w:val="000000" w:themeColor="text1"/>
        </w:rPr>
        <w:instrText>ADDIN CSL_CITATION {"citationItems":[{"id":"ITEM-1","itemData":{"DOI":"10.2471/BLT.16.187476","ISSN":"15640604","PMID":"28670019","abstract":"The 2030 agenda for sustainable development is an opportunity for governments and the international community to renew their commitment to improving health as a central component of development. 1 The accompanying 17 sustainable development goals (SDGs) define the priority areas of action. 2 Goal 3 (to ensure healthy lives and promote well-being for all at all ages), with Target 3.8 on universal health coverage (UHC), emphasize the importance of all people and communities having access to quality health services without risking financial hardship. 2 These health services include those targeting individuals, such as curative care and population-based services, such as health promotion. 3 Achieving UHC is an important objective for all countries to attain equitable and sustainable health outcomes and improve the wellbeing of individuals and communities. 4,5 Health system strengthening is a means to progress toward UHC. A functioning health","author":[{"dropping-particle":"","family":"Kieny","given":"Marie Paule","non-dropping-particle":"","parse-names":false,"suffix":""},{"dropping-particle":"","family":"Bekedam","given":"Henk","non-dropping-particle":"","parse-names":false,"suffix":""},{"dropping-particle":"","family":"Dovlo","given":"Delanyo","non-dropping-particle":"","parse-names":false,"suffix":""},{"dropping-particle":"","family":"Fitzgerald","given":"James","non-dropping-particle":"","parse-names":false,"suffix":""},{"dropping-particle":"","family":"Habicht","given":"Jarno","non-dropping-particle":"","parse-names":false,"suffix":""},{"dropping-particle":"","family":"Harrison","given":"Graham","non-dropping-particle":"","parse-names":false,"suffix":""},{"dropping-particle":"","family":"Kluge","given":"Hans","non-dropping-particle":"","parse-names":false,"suffix":""},{"dropping-particle":"","family":"Lin","given":"Vivian","non-dropping-particle":"","parse-names":false,"suffix":""},{"dropping-particle":"","family":"Menabde","given":"Natela","non-dropping-particle":"","parse-names":false,"suffix":""},{"dropping-particle":"","family":"Mirza","given":"Zafar","non-dropping-particle":"","parse-names":false,"suffix":""},{"dropping-particle":"","family":"Siddiqi","given":"Sameen","non-dropping-particle":"","parse-names":false,"suffix":""},{"dropping-particle":"","family":"Travis","given":"Phyllida","non-dropping-particle":"","parse-names":false,"suffix":""}],"container-title":"Bulletin of the World Health Organization","id":"ITEM-1","issue":"7","issued":{"date-parts":[["2017"]]},"page":"537-539","title":"Strengthening health systems for universal health coverage and sustainable development","type":"article-journal","volume":"95"},"uris":["http://www.mendeley.com/documents/?uuid=6992c658-68af-4735-9f9d-abc0fd4af20b"]}],"mendeley":{"formattedCitation":"[1]","plainTextFormattedCitation":"[1]","previouslyFormattedCitation":"[1]"},"properties":{"noteIndex":0},"schema":"https://github.com/citation-style-language/schema/raw/master/csl-citation.json"}</w:instrText>
      </w:r>
      <w:r w:rsidR="00604FF7" w:rsidRPr="00614125">
        <w:rPr>
          <w:rFonts w:ascii="Arial" w:hAnsi="Arial" w:cs="Times New Roman"/>
          <w:color w:val="000000" w:themeColor="text1"/>
        </w:rPr>
        <w:fldChar w:fldCharType="separate"/>
      </w:r>
      <w:r w:rsidR="00604FF7" w:rsidRPr="00614125">
        <w:rPr>
          <w:rFonts w:ascii="Arial" w:hAnsi="Arial" w:cs="Times New Roman"/>
          <w:noProof/>
          <w:color w:val="000000" w:themeColor="text1"/>
        </w:rPr>
        <w:t>[1]</w:t>
      </w:r>
      <w:r w:rsidR="00604FF7" w:rsidRPr="00614125">
        <w:rPr>
          <w:rFonts w:ascii="Arial" w:hAnsi="Arial" w:cs="Times New Roman"/>
          <w:color w:val="000000" w:themeColor="text1"/>
        </w:rPr>
        <w:fldChar w:fldCharType="end"/>
      </w:r>
      <w:r w:rsidR="00D667B0" w:rsidRPr="00614125">
        <w:rPr>
          <w:rFonts w:ascii="Arial" w:hAnsi="Arial" w:cs="Times New Roman"/>
          <w:color w:val="000000" w:themeColor="text1"/>
        </w:rPr>
        <w:t xml:space="preserve">. </w:t>
      </w:r>
      <w:r w:rsidR="008528D5" w:rsidRPr="00614125">
        <w:rPr>
          <w:rFonts w:ascii="Arial" w:hAnsi="Arial" w:cs="Times New Roman"/>
          <w:color w:val="000000" w:themeColor="text1"/>
        </w:rPr>
        <w:t xml:space="preserve">In response to </w:t>
      </w:r>
      <w:r w:rsidR="00CA0527" w:rsidRPr="00614125">
        <w:rPr>
          <w:rFonts w:ascii="Arial" w:hAnsi="Arial" w:cs="Times New Roman"/>
          <w:color w:val="000000" w:themeColor="text1"/>
        </w:rPr>
        <w:t xml:space="preserve">the </w:t>
      </w:r>
      <w:r w:rsidR="008528D5" w:rsidRPr="00614125">
        <w:rPr>
          <w:rFonts w:ascii="Arial" w:hAnsi="Arial" w:cs="Times New Roman"/>
          <w:color w:val="000000" w:themeColor="text1"/>
        </w:rPr>
        <w:t xml:space="preserve">UHC </w:t>
      </w:r>
      <w:r w:rsidR="00CA0527" w:rsidRPr="00614125">
        <w:rPr>
          <w:rFonts w:ascii="Arial" w:hAnsi="Arial" w:cs="Times New Roman"/>
          <w:color w:val="000000" w:themeColor="text1"/>
        </w:rPr>
        <w:t>objective</w:t>
      </w:r>
      <w:r w:rsidR="008528D5" w:rsidRPr="00614125">
        <w:rPr>
          <w:rFonts w:ascii="Arial" w:hAnsi="Arial" w:cs="Times New Roman"/>
          <w:color w:val="000000" w:themeColor="text1"/>
        </w:rPr>
        <w:t xml:space="preserve">, several countries </w:t>
      </w:r>
      <w:r w:rsidR="00CA0527" w:rsidRPr="00614125">
        <w:rPr>
          <w:rFonts w:ascii="Arial" w:hAnsi="Arial" w:cs="Times New Roman"/>
          <w:color w:val="000000" w:themeColor="text1"/>
        </w:rPr>
        <w:t xml:space="preserve">have </w:t>
      </w:r>
      <w:r w:rsidR="008528D5" w:rsidRPr="00614125">
        <w:rPr>
          <w:rFonts w:ascii="Arial" w:hAnsi="Arial" w:cs="Times New Roman"/>
          <w:color w:val="000000" w:themeColor="text1"/>
        </w:rPr>
        <w:t xml:space="preserve">developed monitoring and evaluation tools to </w:t>
      </w:r>
      <w:r w:rsidR="00CA0527" w:rsidRPr="00614125">
        <w:rPr>
          <w:rFonts w:ascii="Arial" w:hAnsi="Arial" w:cs="Times New Roman"/>
          <w:color w:val="000000" w:themeColor="text1"/>
        </w:rPr>
        <w:t>measure their progress</w:t>
      </w:r>
      <w:r w:rsidR="008528D5" w:rsidRPr="00614125">
        <w:rPr>
          <w:rFonts w:ascii="Arial" w:hAnsi="Arial" w:cs="Times New Roman"/>
          <w:color w:val="000000" w:themeColor="text1"/>
        </w:rPr>
        <w:t xml:space="preserve"> </w:t>
      </w:r>
      <w:r w:rsidR="00CA0527" w:rsidRPr="00614125">
        <w:rPr>
          <w:rFonts w:ascii="Arial" w:hAnsi="Arial" w:cs="Times New Roman"/>
          <w:color w:val="000000" w:themeColor="text1"/>
        </w:rPr>
        <w:t xml:space="preserve">in </w:t>
      </w:r>
      <w:r w:rsidR="008E3CE5" w:rsidRPr="00614125">
        <w:rPr>
          <w:rFonts w:ascii="Arial" w:hAnsi="Arial" w:cs="Times New Roman"/>
          <w:color w:val="000000" w:themeColor="text1"/>
        </w:rPr>
        <w:t xml:space="preserve">achieving </w:t>
      </w:r>
      <w:r w:rsidR="00A66E4E" w:rsidRPr="00614125">
        <w:rPr>
          <w:rFonts w:ascii="Arial" w:hAnsi="Arial" w:cs="Times New Roman"/>
          <w:color w:val="000000" w:themeColor="text1"/>
        </w:rPr>
        <w:t>UHC</w:t>
      </w:r>
      <w:r w:rsidR="00AB37E0" w:rsidRPr="00614125">
        <w:rPr>
          <w:rFonts w:ascii="Arial" w:hAnsi="Arial" w:cs="Times New Roman"/>
          <w:color w:val="000000" w:themeColor="text1"/>
        </w:rPr>
        <w:t xml:space="preserve"> </w:t>
      </w:r>
      <w:r w:rsidR="00AB37E0" w:rsidRPr="00614125">
        <w:rPr>
          <w:rFonts w:ascii="Arial" w:hAnsi="Arial" w:cs="Times New Roman"/>
          <w:color w:val="000000" w:themeColor="text1"/>
        </w:rPr>
        <w:fldChar w:fldCharType="begin" w:fldLock="1"/>
      </w:r>
      <w:r w:rsidR="003B3F6D" w:rsidRPr="00614125">
        <w:rPr>
          <w:rFonts w:ascii="Arial" w:hAnsi="Arial" w:cs="Times New Roman"/>
          <w:color w:val="000000" w:themeColor="text1"/>
        </w:rPr>
        <w:instrText>ADDIN CSL_CITATION {"citationItems":[{"id":"ITEM-1","itemData":{"DOI":"10.1371/journal.pmed.1001722","ISSN":"1549-1676","PMID":"25244599","author":[{"dropping-particle":"","family":"Huda","given":"Tanvir","non-dropping-particle":"","parse-names":false,"suffix":""},{"dropping-particle":"","family":"Khan","given":"Jahangir A M","non-dropping-particle":"","parse-names":false,"suffix":""},{"dropping-particle":"","family":"Ahsan","given":"Karar Zunaid","non-dropping-particle":"","parse-names":false,"suffix":""},{"dropping-particle":"","family":"Jamil","given":"Kanta","non-dropping-particle":"","parse-names":false,"suffix":""},{"dropping-particle":"","family":"Arifeen","given":"Shams","non-dropping-particle":"El","parse-names":false,"suffix":""}],"container-title":"PLoS medicine","id":"ITEM-1","issue":"9","issued":{"date-parts":[["2014","9"]]},"page":"e1001722","title":"Monitoring and evaluating progress towards Universal Health Coverage in Bangladesh.","type":"article-journal","volume":"11"},"uris":["http://www.mendeley.com/documents/?uuid=f39ec8c0-517d-4df9-bae5-4797516ecb88"]},{"id":"ITEM-2","itemData":{"DOI":"10.1371/journal.pmed.1001691","ISBN":"1549-1676 (Electronic)\\r1549-1277 (Linking)","ISSN":"1549-1676","PMID":"25243585","abstract":"&lt;sec&gt; &lt;title&gt;&lt;/title&gt; &lt;p&gt;This paper is a country case study for the Universal Health Coverage Collection, organized by WHO. Walaiporn Patcharanarumol and colleagues illustrate progress towards UHC and its monitoring and evaluation in Thailand.&lt;/p&gt; &lt;p&gt;&lt;italic&gt;Please see later in the article for the Editors' Summary&lt;/italic&gt;&lt;/p&gt; &lt;/sec&gt;","author":[{"dropping-particle":"","family":"Nyonator","given":"Frank","non-dropping-particle":"","parse-names":false,"suffix":""},{"dropping-particle":"","family":"Ofosu","given":"Anthony","non-dropping-particle":"","parse-names":false,"suffix":""},{"dropping-particle":"","family":"Segbafah","given":"Mabel","non-dropping-particle":"","parse-names":false,"suffix":""},{"dropping-particle":"","family":"D'Almeida","given":"Selassi","non-dropping-particle":"","parse-names":false,"suffix":""}],"container-title":"PLoS medicine","id":"ITEM-2","issue":"9","issued":{"date-parts":[["2014","9"]]},"page":"e1001691","title":"Monitoring and evaluating progress towards Universal Health Coverage in Ghana.","type":"article-journal","volume":"11"},"uris":["http://www.mendeley.com/documents/?uuid=a030bbd8-a525-44b8-a277-1d41e831345c"]}],"mendeley":{"formattedCitation":"[2,3]","plainTextFormattedCitation":"[2,3]","previouslyFormattedCitation":"[2,3]"},"properties":{"noteIndex":0},"schema":"https://github.com/citation-style-language/schema/raw/master/csl-citation.json"}</w:instrText>
      </w:r>
      <w:r w:rsidR="00AB37E0" w:rsidRPr="00614125">
        <w:rPr>
          <w:rFonts w:ascii="Arial" w:hAnsi="Arial" w:cs="Times New Roman"/>
          <w:color w:val="000000" w:themeColor="text1"/>
        </w:rPr>
        <w:fldChar w:fldCharType="separate"/>
      </w:r>
      <w:r w:rsidR="00604FF7" w:rsidRPr="00614125">
        <w:rPr>
          <w:rFonts w:ascii="Arial" w:hAnsi="Arial" w:cs="Times New Roman"/>
          <w:noProof/>
          <w:color w:val="000000" w:themeColor="text1"/>
        </w:rPr>
        <w:t>[2,3]</w:t>
      </w:r>
      <w:r w:rsidR="00AB37E0" w:rsidRPr="00614125">
        <w:rPr>
          <w:rFonts w:ascii="Arial" w:hAnsi="Arial" w:cs="Times New Roman"/>
          <w:color w:val="000000" w:themeColor="text1"/>
        </w:rPr>
        <w:fldChar w:fldCharType="end"/>
      </w:r>
      <w:r w:rsidR="00880D90" w:rsidRPr="00614125">
        <w:rPr>
          <w:rFonts w:ascii="Arial" w:hAnsi="Arial" w:cs="Times New Roman"/>
          <w:color w:val="000000" w:themeColor="text1"/>
        </w:rPr>
        <w:t xml:space="preserve"> </w:t>
      </w:r>
      <w:r w:rsidR="008528D5" w:rsidRPr="00614125">
        <w:rPr>
          <w:rFonts w:ascii="Arial" w:hAnsi="Arial" w:cs="Times New Roman"/>
          <w:color w:val="000000" w:themeColor="text1"/>
        </w:rPr>
        <w:t xml:space="preserve">. </w:t>
      </w:r>
      <w:r w:rsidR="00A66E4E" w:rsidRPr="00614125">
        <w:rPr>
          <w:rFonts w:ascii="Arial" w:hAnsi="Arial" w:cs="Times New Roman"/>
          <w:color w:val="000000" w:themeColor="text1"/>
        </w:rPr>
        <w:t xml:space="preserve">Such tools </w:t>
      </w:r>
      <w:r w:rsidR="008E3CE5" w:rsidRPr="00614125">
        <w:rPr>
          <w:rFonts w:ascii="Arial" w:hAnsi="Arial" w:cs="Times New Roman"/>
          <w:color w:val="000000" w:themeColor="text1"/>
        </w:rPr>
        <w:t xml:space="preserve">often </w:t>
      </w:r>
      <w:r w:rsidR="00A66E4E" w:rsidRPr="00614125">
        <w:rPr>
          <w:rFonts w:ascii="Arial" w:hAnsi="Arial" w:cs="Times New Roman"/>
          <w:color w:val="000000" w:themeColor="text1"/>
        </w:rPr>
        <w:t>include</w:t>
      </w:r>
      <w:r w:rsidR="001F317D" w:rsidRPr="00614125">
        <w:rPr>
          <w:rFonts w:ascii="Arial" w:hAnsi="Arial" w:cs="Times New Roman"/>
          <w:color w:val="000000" w:themeColor="text1"/>
        </w:rPr>
        <w:t xml:space="preserve"> a</w:t>
      </w:r>
      <w:r w:rsidR="008528D5" w:rsidRPr="00614125">
        <w:rPr>
          <w:rFonts w:ascii="Arial" w:hAnsi="Arial" w:cs="Times New Roman"/>
          <w:color w:val="000000" w:themeColor="text1"/>
        </w:rPr>
        <w:t xml:space="preserve"> </w:t>
      </w:r>
      <w:r w:rsidR="008E3CE5" w:rsidRPr="00614125">
        <w:rPr>
          <w:rFonts w:ascii="Arial" w:hAnsi="Arial" w:cs="Times New Roman"/>
          <w:color w:val="000000" w:themeColor="text1"/>
        </w:rPr>
        <w:t xml:space="preserve">large number of </w:t>
      </w:r>
      <w:r w:rsidR="00A66E4E" w:rsidRPr="00614125">
        <w:rPr>
          <w:rFonts w:ascii="Arial" w:hAnsi="Arial" w:cs="Times New Roman"/>
          <w:color w:val="000000" w:themeColor="text1"/>
        </w:rPr>
        <w:t>indicators</w:t>
      </w:r>
      <w:r w:rsidR="00CA0527" w:rsidRPr="00614125">
        <w:rPr>
          <w:rFonts w:ascii="Arial" w:hAnsi="Arial" w:cs="Times New Roman"/>
          <w:color w:val="000000" w:themeColor="text1"/>
        </w:rPr>
        <w:t>,</w:t>
      </w:r>
      <w:r w:rsidR="008528D5" w:rsidRPr="00614125">
        <w:rPr>
          <w:rFonts w:ascii="Arial" w:hAnsi="Arial" w:cs="Times New Roman"/>
          <w:color w:val="000000" w:themeColor="text1"/>
        </w:rPr>
        <w:t xml:space="preserve"> </w:t>
      </w:r>
      <w:r w:rsidR="00CA0527" w:rsidRPr="00614125">
        <w:rPr>
          <w:rFonts w:ascii="Arial" w:hAnsi="Arial" w:cs="Times New Roman"/>
          <w:color w:val="000000" w:themeColor="text1"/>
        </w:rPr>
        <w:t xml:space="preserve">causing </w:t>
      </w:r>
      <w:r w:rsidR="008528D5" w:rsidRPr="00614125">
        <w:rPr>
          <w:rFonts w:ascii="Arial" w:hAnsi="Arial" w:cs="Times New Roman"/>
          <w:color w:val="000000" w:themeColor="text1"/>
        </w:rPr>
        <w:t>difficult</w:t>
      </w:r>
      <w:r w:rsidR="00CA0527" w:rsidRPr="00614125">
        <w:rPr>
          <w:rFonts w:ascii="Arial" w:hAnsi="Arial" w:cs="Times New Roman"/>
          <w:color w:val="000000" w:themeColor="text1"/>
        </w:rPr>
        <w:t>y</w:t>
      </w:r>
      <w:r w:rsidR="008528D5" w:rsidRPr="00614125">
        <w:rPr>
          <w:rFonts w:ascii="Arial" w:hAnsi="Arial" w:cs="Times New Roman"/>
          <w:color w:val="000000" w:themeColor="text1"/>
        </w:rPr>
        <w:t xml:space="preserve"> </w:t>
      </w:r>
      <w:r w:rsidR="00CA0527" w:rsidRPr="00614125">
        <w:rPr>
          <w:rFonts w:ascii="Arial" w:hAnsi="Arial" w:cs="Times New Roman"/>
          <w:color w:val="000000" w:themeColor="text1"/>
        </w:rPr>
        <w:t xml:space="preserve">in </w:t>
      </w:r>
      <w:r w:rsidR="00AC1806" w:rsidRPr="00614125">
        <w:rPr>
          <w:rFonts w:ascii="Arial" w:hAnsi="Arial" w:cs="Times New Roman"/>
          <w:color w:val="000000" w:themeColor="text1"/>
        </w:rPr>
        <w:t>compar</w:t>
      </w:r>
      <w:r w:rsidR="00CA0527" w:rsidRPr="00614125">
        <w:rPr>
          <w:rFonts w:ascii="Arial" w:hAnsi="Arial" w:cs="Times New Roman"/>
          <w:color w:val="000000" w:themeColor="text1"/>
        </w:rPr>
        <w:t>ing</w:t>
      </w:r>
      <w:r w:rsidR="00AC1806" w:rsidRPr="00614125">
        <w:rPr>
          <w:rFonts w:ascii="Arial" w:hAnsi="Arial" w:cs="Times New Roman"/>
          <w:color w:val="000000" w:themeColor="text1"/>
        </w:rPr>
        <w:t xml:space="preserve"> </w:t>
      </w:r>
      <w:r w:rsidR="008528D5" w:rsidRPr="00614125">
        <w:rPr>
          <w:rFonts w:ascii="Arial" w:hAnsi="Arial" w:cs="Times New Roman"/>
          <w:color w:val="000000" w:themeColor="text1"/>
        </w:rPr>
        <w:t xml:space="preserve">the </w:t>
      </w:r>
      <w:r w:rsidR="00F12682" w:rsidRPr="00614125">
        <w:rPr>
          <w:rFonts w:ascii="Arial" w:hAnsi="Arial" w:cs="Times New Roman"/>
          <w:color w:val="000000" w:themeColor="text1"/>
        </w:rPr>
        <w:t xml:space="preserve">status of </w:t>
      </w:r>
      <w:r w:rsidR="008528D5" w:rsidRPr="00614125">
        <w:rPr>
          <w:rFonts w:ascii="Arial" w:hAnsi="Arial" w:cs="Times New Roman"/>
          <w:color w:val="000000" w:themeColor="text1"/>
        </w:rPr>
        <w:t xml:space="preserve">UHC </w:t>
      </w:r>
      <w:r w:rsidR="00F12682" w:rsidRPr="00614125">
        <w:rPr>
          <w:rFonts w:ascii="Arial" w:hAnsi="Arial" w:cs="Times New Roman"/>
          <w:color w:val="000000" w:themeColor="text1"/>
        </w:rPr>
        <w:t xml:space="preserve">across countries </w:t>
      </w:r>
      <w:r w:rsidR="00A66E4E" w:rsidRPr="00614125">
        <w:rPr>
          <w:rFonts w:ascii="Arial" w:hAnsi="Arial" w:cs="Times New Roman"/>
          <w:color w:val="000000" w:themeColor="text1"/>
        </w:rPr>
        <w:t xml:space="preserve">over </w:t>
      </w:r>
      <w:r w:rsidR="00CA0527" w:rsidRPr="00614125">
        <w:rPr>
          <w:rFonts w:ascii="Arial" w:hAnsi="Arial" w:cs="Times New Roman"/>
          <w:color w:val="000000" w:themeColor="text1"/>
        </w:rPr>
        <w:t xml:space="preserve">different time </w:t>
      </w:r>
      <w:r w:rsidR="00A66E4E" w:rsidRPr="00614125">
        <w:rPr>
          <w:rFonts w:ascii="Arial" w:hAnsi="Arial" w:cs="Times New Roman"/>
          <w:color w:val="000000" w:themeColor="text1"/>
        </w:rPr>
        <w:t>periods</w:t>
      </w:r>
      <w:r w:rsidR="00AB37E0" w:rsidRPr="00614125">
        <w:rPr>
          <w:rFonts w:ascii="Arial" w:hAnsi="Arial" w:cs="Times New Roman"/>
          <w:color w:val="000000" w:themeColor="text1"/>
        </w:rPr>
        <w:t xml:space="preserve"> </w:t>
      </w:r>
      <w:r w:rsidR="00AB37E0" w:rsidRPr="00614125">
        <w:rPr>
          <w:rFonts w:ascii="Arial" w:hAnsi="Arial" w:cs="Times New Roman"/>
          <w:color w:val="000000" w:themeColor="text1"/>
        </w:rPr>
        <w:fldChar w:fldCharType="begin" w:fldLock="1"/>
      </w:r>
      <w:r w:rsidR="003B3F6D" w:rsidRPr="00614125">
        <w:rPr>
          <w:rFonts w:ascii="Arial" w:hAnsi="Arial" w:cs="Times New Roman"/>
          <w:color w:val="000000" w:themeColor="text1"/>
        </w:rPr>
        <w:instrText>ADDIN CSL_CITATION {"citationItems":[{"id":"ITEM-1","itemData":{"DOI":"10.1371/journal.pmed.1001722","ISSN":"1549-1676","PMID":"25244599","author":[{"dropping-particle":"","family":"Huda","given":"Tanvir","non-dropping-particle":"","parse-names":false,"suffix":""},{"dropping-particle":"","family":"Khan","given":"Jahangir A M","non-dropping-particle":"","parse-names":false,"suffix":""},{"dropping-particle":"","family":"Ahsan","given":"Karar Zunaid","non-dropping-particle":"","parse-names":false,"suffix":""},{"dropping-particle":"","family":"Jamil","given":"Kanta","non-dropping-particle":"","parse-names":false,"suffix":""},{"dropping-particle":"","family":"Arifeen","given":"Shams","non-dropping-particle":"El","parse-names":false,"suffix":""}],"container-title":"PLoS medicine","id":"ITEM-1","issue":"9","issued":{"date-parts":[["2014","9"]]},"page":"e1001722","title":"Monitoring and evaluating progress towards Universal Health Coverage in Bangladesh.","type":"article-journal","volume":"11"},"uris":["http://www.mendeley.com/documents/?uuid=f39ec8c0-517d-4df9-bae5-4797516ecb88"]}],"mendeley":{"formattedCitation":"[2]","plainTextFormattedCitation":"[2]","previouslyFormattedCitation":"[2]"},"properties":{"noteIndex":0},"schema":"https://github.com/citation-style-language/schema/raw/master/csl-citation.json"}</w:instrText>
      </w:r>
      <w:r w:rsidR="00AB37E0" w:rsidRPr="00614125">
        <w:rPr>
          <w:rFonts w:ascii="Arial" w:hAnsi="Arial" w:cs="Times New Roman"/>
          <w:color w:val="000000" w:themeColor="text1"/>
        </w:rPr>
        <w:fldChar w:fldCharType="separate"/>
      </w:r>
      <w:r w:rsidR="00604FF7" w:rsidRPr="00614125">
        <w:rPr>
          <w:rFonts w:ascii="Arial" w:hAnsi="Arial" w:cs="Times New Roman"/>
          <w:noProof/>
          <w:color w:val="000000" w:themeColor="text1"/>
        </w:rPr>
        <w:t>[2]</w:t>
      </w:r>
      <w:r w:rsidR="00AB37E0" w:rsidRPr="00614125">
        <w:rPr>
          <w:rFonts w:ascii="Arial" w:hAnsi="Arial" w:cs="Times New Roman"/>
          <w:color w:val="000000" w:themeColor="text1"/>
        </w:rPr>
        <w:fldChar w:fldCharType="end"/>
      </w:r>
      <w:r w:rsidR="00880D90" w:rsidRPr="00614125">
        <w:rPr>
          <w:rFonts w:ascii="Arial" w:hAnsi="Arial" w:cs="Times New Roman"/>
          <w:color w:val="000000" w:themeColor="text1"/>
        </w:rPr>
        <w:t xml:space="preserve"> </w:t>
      </w:r>
      <w:r w:rsidR="008E3CE5" w:rsidRPr="00614125">
        <w:rPr>
          <w:rFonts w:ascii="Arial" w:hAnsi="Arial" w:cs="Times New Roman"/>
          <w:color w:val="000000" w:themeColor="text1"/>
        </w:rPr>
        <w:t xml:space="preserve">. </w:t>
      </w:r>
      <w:r w:rsidR="002D3F36" w:rsidRPr="00614125">
        <w:rPr>
          <w:rFonts w:ascii="Arial" w:hAnsi="Arial" w:cs="Times New Roman"/>
          <w:color w:val="000000" w:themeColor="text1"/>
        </w:rPr>
        <w:t xml:space="preserve">Furthermore, </w:t>
      </w:r>
      <w:r w:rsidR="00AC1806" w:rsidRPr="00614125">
        <w:rPr>
          <w:rFonts w:ascii="Arial" w:hAnsi="Arial" w:cs="Times New Roman"/>
          <w:color w:val="000000" w:themeColor="text1"/>
        </w:rPr>
        <w:t xml:space="preserve">even </w:t>
      </w:r>
      <w:r w:rsidR="0046140F" w:rsidRPr="00614125">
        <w:rPr>
          <w:rFonts w:ascii="Arial" w:hAnsi="Arial" w:cs="Times New Roman"/>
          <w:color w:val="000000" w:themeColor="text1"/>
        </w:rPr>
        <w:t xml:space="preserve">the </w:t>
      </w:r>
      <w:r w:rsidR="00AC1806" w:rsidRPr="00614125">
        <w:rPr>
          <w:rFonts w:ascii="Arial" w:hAnsi="Arial" w:cs="Times New Roman"/>
          <w:color w:val="000000" w:themeColor="text1"/>
        </w:rPr>
        <w:t xml:space="preserve">same </w:t>
      </w:r>
      <w:r w:rsidR="00523C3C" w:rsidRPr="00614125">
        <w:rPr>
          <w:rFonts w:ascii="Arial" w:hAnsi="Arial" w:cs="Times New Roman"/>
          <w:color w:val="000000" w:themeColor="text1"/>
        </w:rPr>
        <w:t>countr</w:t>
      </w:r>
      <w:r w:rsidR="002D3F36" w:rsidRPr="00614125">
        <w:rPr>
          <w:rFonts w:ascii="Arial" w:hAnsi="Arial" w:cs="Times New Roman"/>
          <w:color w:val="000000" w:themeColor="text1"/>
        </w:rPr>
        <w:t>y</w:t>
      </w:r>
      <w:r w:rsidR="00523C3C" w:rsidRPr="00614125">
        <w:rPr>
          <w:rFonts w:ascii="Arial" w:hAnsi="Arial" w:cs="Times New Roman"/>
          <w:color w:val="000000" w:themeColor="text1"/>
        </w:rPr>
        <w:t xml:space="preserve"> </w:t>
      </w:r>
      <w:r w:rsidR="0046140F" w:rsidRPr="00614125">
        <w:rPr>
          <w:rFonts w:ascii="Arial" w:hAnsi="Arial" w:cs="Times New Roman"/>
          <w:color w:val="000000" w:themeColor="text1"/>
        </w:rPr>
        <w:t xml:space="preserve">can </w:t>
      </w:r>
      <w:r w:rsidR="00523C3C" w:rsidRPr="00614125">
        <w:rPr>
          <w:rFonts w:ascii="Arial" w:hAnsi="Arial" w:cs="Times New Roman"/>
          <w:color w:val="000000" w:themeColor="text1"/>
        </w:rPr>
        <w:t xml:space="preserve">perform differently in different indicators over </w:t>
      </w:r>
      <w:r w:rsidR="002D3F36" w:rsidRPr="00614125">
        <w:rPr>
          <w:rFonts w:ascii="Arial" w:hAnsi="Arial" w:cs="Times New Roman"/>
          <w:color w:val="000000" w:themeColor="text1"/>
        </w:rPr>
        <w:t xml:space="preserve">a given </w:t>
      </w:r>
      <w:r w:rsidR="00523C3C" w:rsidRPr="00614125">
        <w:rPr>
          <w:rFonts w:ascii="Arial" w:hAnsi="Arial" w:cs="Times New Roman"/>
          <w:color w:val="000000" w:themeColor="text1"/>
        </w:rPr>
        <w:t>period</w:t>
      </w:r>
      <w:r w:rsidR="009A1D2B" w:rsidRPr="00614125">
        <w:rPr>
          <w:rFonts w:ascii="Arial" w:hAnsi="Arial" w:cs="Times New Roman"/>
          <w:color w:val="000000" w:themeColor="text1"/>
        </w:rPr>
        <w:t xml:space="preserve">. </w:t>
      </w:r>
      <w:r w:rsidR="002D3F36" w:rsidRPr="00614125">
        <w:rPr>
          <w:rFonts w:ascii="Arial" w:hAnsi="Arial" w:cs="Times New Roman"/>
          <w:color w:val="000000" w:themeColor="text1"/>
        </w:rPr>
        <w:t>The benefit of having</w:t>
      </w:r>
      <w:r w:rsidR="00AC1806" w:rsidRPr="00614125">
        <w:rPr>
          <w:rFonts w:ascii="Arial" w:hAnsi="Arial" w:cs="Times New Roman"/>
          <w:color w:val="000000" w:themeColor="text1"/>
        </w:rPr>
        <w:t xml:space="preserve"> a</w:t>
      </w:r>
      <w:r w:rsidR="008528D5" w:rsidRPr="00614125">
        <w:rPr>
          <w:rFonts w:ascii="Arial" w:hAnsi="Arial" w:cs="Times New Roman"/>
          <w:color w:val="000000" w:themeColor="text1"/>
        </w:rPr>
        <w:t xml:space="preserve"> composite index of UHC</w:t>
      </w:r>
      <w:r w:rsidR="002D3F36" w:rsidRPr="00614125">
        <w:rPr>
          <w:rFonts w:ascii="Arial" w:hAnsi="Arial" w:cs="Times New Roman"/>
          <w:color w:val="000000" w:themeColor="text1"/>
        </w:rPr>
        <w:t xml:space="preserve"> attainment</w:t>
      </w:r>
      <w:r w:rsidR="008528D5" w:rsidRPr="00614125">
        <w:rPr>
          <w:rFonts w:ascii="Arial" w:hAnsi="Arial" w:cs="Times New Roman"/>
          <w:color w:val="000000" w:themeColor="text1"/>
        </w:rPr>
        <w:t xml:space="preserve"> </w:t>
      </w:r>
      <w:r w:rsidR="00AC1806" w:rsidRPr="00614125">
        <w:rPr>
          <w:rFonts w:ascii="Arial" w:hAnsi="Arial" w:cs="Times New Roman"/>
          <w:color w:val="000000" w:themeColor="text1"/>
        </w:rPr>
        <w:t>thus become</w:t>
      </w:r>
      <w:r w:rsidR="0046140F" w:rsidRPr="00614125">
        <w:rPr>
          <w:rFonts w:ascii="Arial" w:hAnsi="Arial" w:cs="Times New Roman"/>
          <w:color w:val="000000" w:themeColor="text1"/>
        </w:rPr>
        <w:t>s</w:t>
      </w:r>
      <w:r w:rsidR="00AC1806" w:rsidRPr="00614125">
        <w:rPr>
          <w:rFonts w:ascii="Arial" w:hAnsi="Arial" w:cs="Times New Roman"/>
          <w:color w:val="000000" w:themeColor="text1"/>
        </w:rPr>
        <w:t xml:space="preserve"> </w:t>
      </w:r>
      <w:r w:rsidR="002D3F36" w:rsidRPr="00614125">
        <w:rPr>
          <w:rFonts w:ascii="Arial" w:hAnsi="Arial" w:cs="Times New Roman"/>
          <w:color w:val="000000" w:themeColor="text1"/>
        </w:rPr>
        <w:t>apparent</w:t>
      </w:r>
      <w:r w:rsidR="008528D5" w:rsidRPr="00614125">
        <w:rPr>
          <w:rFonts w:ascii="Arial" w:hAnsi="Arial" w:cs="Times New Roman"/>
          <w:color w:val="000000" w:themeColor="text1"/>
        </w:rPr>
        <w:t xml:space="preserve">. </w:t>
      </w:r>
      <w:r w:rsidR="00F12682" w:rsidRPr="00614125">
        <w:rPr>
          <w:rFonts w:ascii="Arial" w:hAnsi="Arial" w:cs="Times New Roman"/>
          <w:color w:val="000000" w:themeColor="text1"/>
        </w:rPr>
        <w:t xml:space="preserve">In recent years, several researchers </w:t>
      </w:r>
      <w:r w:rsidR="002D3F36" w:rsidRPr="00614125">
        <w:rPr>
          <w:rFonts w:ascii="Arial" w:hAnsi="Arial" w:cs="Times New Roman"/>
          <w:color w:val="000000" w:themeColor="text1"/>
        </w:rPr>
        <w:t xml:space="preserve">have </w:t>
      </w:r>
      <w:r w:rsidR="00F12682" w:rsidRPr="00614125">
        <w:rPr>
          <w:rFonts w:ascii="Arial" w:hAnsi="Arial" w:cs="Times New Roman"/>
          <w:color w:val="000000" w:themeColor="text1"/>
        </w:rPr>
        <w:t xml:space="preserve">developed </w:t>
      </w:r>
      <w:r w:rsidR="0046140F" w:rsidRPr="00614125">
        <w:rPr>
          <w:rFonts w:ascii="Arial" w:hAnsi="Arial" w:cs="Times New Roman"/>
          <w:color w:val="000000" w:themeColor="text1"/>
        </w:rPr>
        <w:t xml:space="preserve">and validated </w:t>
      </w:r>
      <w:r w:rsidR="002D3F36" w:rsidRPr="00614125">
        <w:rPr>
          <w:rFonts w:ascii="Arial" w:hAnsi="Arial" w:cs="Times New Roman"/>
          <w:color w:val="000000" w:themeColor="text1"/>
        </w:rPr>
        <w:t xml:space="preserve">such </w:t>
      </w:r>
      <w:r w:rsidR="00F12682" w:rsidRPr="00614125">
        <w:rPr>
          <w:rFonts w:ascii="Arial" w:hAnsi="Arial" w:cs="Times New Roman"/>
          <w:color w:val="000000" w:themeColor="text1"/>
        </w:rPr>
        <w:t xml:space="preserve">composite </w:t>
      </w:r>
      <w:r w:rsidR="0046140F" w:rsidRPr="00614125">
        <w:rPr>
          <w:rFonts w:ascii="Arial" w:hAnsi="Arial" w:cs="Times New Roman"/>
          <w:color w:val="000000" w:themeColor="text1"/>
        </w:rPr>
        <w:t>indices</w:t>
      </w:r>
      <w:r w:rsidR="00AB37E0" w:rsidRPr="00614125">
        <w:rPr>
          <w:rFonts w:ascii="Arial" w:hAnsi="Arial" w:cs="Times New Roman"/>
          <w:color w:val="000000" w:themeColor="text1"/>
        </w:rPr>
        <w:t xml:space="preserve"> </w:t>
      </w:r>
      <w:r w:rsidR="00AB37E0" w:rsidRPr="00614125">
        <w:rPr>
          <w:rFonts w:ascii="Arial" w:hAnsi="Arial" w:cs="Times New Roman"/>
          <w:color w:val="000000" w:themeColor="text1"/>
        </w:rPr>
        <w:fldChar w:fldCharType="begin" w:fldLock="1"/>
      </w:r>
      <w:r w:rsidR="003B3F6D" w:rsidRPr="00614125">
        <w:rPr>
          <w:rFonts w:ascii="Arial" w:hAnsi="Arial" w:cs="Times New Roman"/>
          <w:color w:val="000000" w:themeColor="text1"/>
        </w:rPr>
        <w:instrText>ADDIN CSL_CITATION {"citationItems":[{"id":"ITEM-1","itemData":{"DOI":"10.1093/heapol/czw097","ISSN":"1460-2237 (Electronic)","PMID":"27497138","abstract":"BACKGROUND: There is limited work done on developing methods for measurement of universal health coverage. We undertook a study to develop a methodology and demonstrate the practical application of empirically measuring the extent of universal health coverage at district level. Additionally, we also develop a composite indicator to measure UHC. METHODS: A cross-sectional survey was undertaken among 51 656 households across 21 districts of Haryana state in India. Using the WHO framework for UHC, we identified indicators of service coverage, financial risk protection, equity and quality based on the Government of India and the Haryana Government's proposed UHC benefit package. Geometric mean approach was used to compute a composite UHC index (CUHCI). Various statistical approaches to aggregate input indicators with or without weighting, along with various incremental combinations of input indicators were tested in a comprehensive sensitivity analysis. FINDINGS: The population coverage for preventive and curative services is presented. Adjusting for inequality, the coverage for all the indicators were less than the unadjusted coverage by 0.1-6.7% in absolute term and 0.1-27% in relative term. There was low unmet need for curative care. However, about 11% outpatient consultations were from unqualified providers. About 30% households incurred catastrophic health expenditures, which rose to 38% among the poorest 20% population. Summary index (CUHCI) for UHC varied from 12% in Mewat district to 71% in Kurukshetra district. The inequality unadjusted coverage for UHC correlates highly with adjusted coverage. CONCLUSION: Our paper is an attempt to develop a methodology to measure UHC. However, careful inclusion of others indicators of service coverage is recommended for a comprehensive measurement which captures the spirit of universality. Further, more work needs to be done to incorporate quality in the measurement framework.","author":[{"dropping-particle":"","family":"Prinja","given":"Shankar","non-dropping-particle":"","parse-names":false,"suffix":""},{"dropping-particle":"","family":"Gupta","given":"Rakesh","non-dropping-particle":"","parse-names":false,"suffix":""},{"dropping-particle":"","family":"Bahuguna","given":"Pankaj","non-dropping-particle":"","parse-names":false,"suffix":""},{"dropping-particle":"","family":"Sharma","given":"Atul","non-dropping-particle":"","parse-names":false,"suffix":""},{"dropping-particle":"","family":"Kumar Aggarwal","given":"Arun","non-dropping-particle":"","parse-names":false,"suffix":""},{"dropping-particle":"","family":"Phogat","given":"Amit","non-dropping-particle":"","parse-names":false,"suffix":""},{"dropping-particle":"","family":"Kumar","given":"Rajesh","non-dropping-particle":"","parse-names":false,"suffix":""}],"container-title":"Health policy and planning","id":"ITEM-1","issue":"1","issued":{"date-parts":[["2017","2"]]},"language":"eng","page":"43-56","publisher-place":"England","title":"A composite indicator to measure universal health care coverage in India: way forward for post-2015 health system performance monitoring framework.","type":"article-journal","volume":"32"},"uris":["http://www.mendeley.com/documents/?uuid=f63b55d8-7aa1-4f9b-b88f-aa78f80211ab"]},{"id":"ITEM-2","itemData":{"DOI":"10.1377/hlthaff.2014.1453","ISSN":"0278-2715","author":[{"dropping-particle":"","family":"Wagstaff","given":"a.","non-dropping-particle":"","parse-names":false,"suffix":""},{"dropping-particle":"","family":"Dmytraczenko","given":"T.","non-dropping-particle":"","parse-names":false,"suffix":""},{"dropping-particle":"","family":"Almeida","given":"G.","non-dropping-particle":"","parse-names":false,"suffix":""},{"dropping-particle":"","family":"Buisman","given":"L.","non-dropping-particle":"","parse-names":false,"suffix":""},{"dropping-particle":"","family":"Hoang-Vu Eozenou","given":"P.","non-dropping-particle":"","parse-names":false,"suffix":""},{"dropping-particle":"","family":"Bredenkamp","given":"C.","non-dropping-particle":"","parse-names":false,"suffix":""},{"dropping-particle":"","family":"Cercone","given":"J. a.","non-dropping-particle":"","parse-names":false,"suffix":""},{"dropping-particle":"","family":"Diaz","given":"Y.","non-dropping-particle":"","parse-names":false,"suffix":""},{"dropping-particle":"","family":"Maceira","given":"D.","non-dropping-particle":"","parse-names":false,"suffix":""},{"dropping-particle":"","family":"Molina","given":"S.","non-dropping-particle":"","parse-names":false,"suffix":""},{"dropping-particle":"","family":"Paraje","given":"G.","non-dropping-particle":"","parse-names":false,"suffix":""},{"dropping-particle":"","family":"Ruiz","given":"F.","non-dropping-particle":"","parse-names":false,"suffix":""},{"dropping-particle":"","family":"Sarti","given":"F.","non-dropping-particle":"","parse-names":false,"suffix":""},{"dropping-particle":"","family":"Scott","given":"J.","non-dropping-particle":"","parse-names":false,"suffix":""},{"dropping-particle":"","family":"Valdivia","given":"M.","non-dropping-particle":"","parse-names":false,"suffix":""},{"dropping-particle":"","family":"Werneck","given":"H.","non-dropping-particle":"","parse-names":false,"suffix":""}],"container-title":"Health Affairs","id":"ITEM-2","issue":"10","issued":{"date-parts":[["2015"]]},"page":"1704-1712","title":"Assessing Latin America's Progress Toward Achieving Universal Health Coverage","type":"article-journal","volume":"34"},"uris":["http://www.mendeley.com/documents/?uuid=d1ecfd68-75a0-4b7e-9324-a6f415bb3431"]}],"mendeley":{"formattedCitation":"[4,5]","plainTextFormattedCitation":"[4,5]","previouslyFormattedCitation":"[4,5]"},"properties":{"noteIndex":0},"schema":"https://github.com/citation-style-language/schema/raw/master/csl-citation.json"}</w:instrText>
      </w:r>
      <w:r w:rsidR="00AB37E0" w:rsidRPr="00614125">
        <w:rPr>
          <w:rFonts w:ascii="Arial" w:hAnsi="Arial" w:cs="Times New Roman"/>
          <w:color w:val="000000" w:themeColor="text1"/>
        </w:rPr>
        <w:fldChar w:fldCharType="separate"/>
      </w:r>
      <w:r w:rsidR="00604FF7" w:rsidRPr="00614125">
        <w:rPr>
          <w:rFonts w:ascii="Arial" w:hAnsi="Arial" w:cs="Times New Roman"/>
          <w:noProof/>
          <w:color w:val="000000" w:themeColor="text1"/>
        </w:rPr>
        <w:t>[4,5]</w:t>
      </w:r>
      <w:r w:rsidR="00AB37E0" w:rsidRPr="00614125">
        <w:rPr>
          <w:rFonts w:ascii="Arial" w:hAnsi="Arial" w:cs="Times New Roman"/>
          <w:color w:val="000000" w:themeColor="text1"/>
        </w:rPr>
        <w:fldChar w:fldCharType="end"/>
      </w:r>
      <w:r w:rsidR="00796AFA" w:rsidRPr="00614125">
        <w:rPr>
          <w:rFonts w:ascii="Arial" w:hAnsi="Arial" w:cs="Times New Roman"/>
          <w:color w:val="000000" w:themeColor="text1"/>
        </w:rPr>
        <w:t xml:space="preserve">. </w:t>
      </w:r>
      <w:r w:rsidR="005305BC" w:rsidRPr="00614125">
        <w:rPr>
          <w:rFonts w:ascii="Arial" w:hAnsi="Arial" w:cs="Times New Roman"/>
          <w:color w:val="000000" w:themeColor="text1"/>
        </w:rPr>
        <w:t>Despite the</w:t>
      </w:r>
      <w:r w:rsidR="00F12682" w:rsidRPr="00614125">
        <w:rPr>
          <w:rFonts w:ascii="Arial" w:hAnsi="Arial" w:cs="Times New Roman"/>
          <w:color w:val="000000" w:themeColor="text1"/>
        </w:rPr>
        <w:t xml:space="preserve"> usefulness of the</w:t>
      </w:r>
      <w:r w:rsidR="002A1937" w:rsidRPr="00614125">
        <w:rPr>
          <w:rFonts w:ascii="Arial" w:hAnsi="Arial" w:cs="Times New Roman"/>
          <w:color w:val="000000" w:themeColor="text1"/>
        </w:rPr>
        <w:t>se</w:t>
      </w:r>
      <w:r w:rsidR="00F12682" w:rsidRPr="00614125">
        <w:rPr>
          <w:rFonts w:ascii="Arial" w:hAnsi="Arial" w:cs="Times New Roman"/>
          <w:color w:val="000000" w:themeColor="text1"/>
        </w:rPr>
        <w:t xml:space="preserve"> indices, they </w:t>
      </w:r>
      <w:r w:rsidR="002D3F36" w:rsidRPr="00614125">
        <w:rPr>
          <w:rFonts w:ascii="Arial" w:hAnsi="Arial" w:cs="Times New Roman"/>
          <w:color w:val="000000" w:themeColor="text1"/>
        </w:rPr>
        <w:t xml:space="preserve">too </w:t>
      </w:r>
      <w:r w:rsidR="002A1937" w:rsidRPr="00614125">
        <w:rPr>
          <w:rFonts w:ascii="Arial" w:hAnsi="Arial" w:cs="Times New Roman"/>
          <w:color w:val="000000" w:themeColor="text1"/>
        </w:rPr>
        <w:t xml:space="preserve">are methodologically </w:t>
      </w:r>
      <w:r w:rsidR="00B1648A" w:rsidRPr="00614125">
        <w:rPr>
          <w:rFonts w:ascii="Arial" w:hAnsi="Arial" w:cs="Times New Roman"/>
          <w:color w:val="000000" w:themeColor="text1"/>
        </w:rPr>
        <w:t>challenging</w:t>
      </w:r>
      <w:r w:rsidR="00796AFA" w:rsidRPr="00614125">
        <w:rPr>
          <w:rFonts w:ascii="Arial" w:hAnsi="Arial" w:cs="Times New Roman"/>
          <w:noProof/>
          <w:color w:val="000000" w:themeColor="text1"/>
        </w:rPr>
        <w:t xml:space="preserve"> </w:t>
      </w:r>
      <w:r w:rsidR="008528D5" w:rsidRPr="00614125">
        <w:rPr>
          <w:rFonts w:ascii="Arial" w:hAnsi="Arial" w:cs="Times New Roman"/>
          <w:color w:val="000000" w:themeColor="text1"/>
        </w:rPr>
        <w:t xml:space="preserve">to </w:t>
      </w:r>
      <w:r w:rsidR="00796AFA" w:rsidRPr="00614125">
        <w:rPr>
          <w:rFonts w:ascii="Arial" w:hAnsi="Arial" w:cs="Times New Roman"/>
          <w:color w:val="000000" w:themeColor="text1"/>
        </w:rPr>
        <w:t xml:space="preserve">apply in </w:t>
      </w:r>
      <w:r w:rsidR="00DA7F67" w:rsidRPr="00614125">
        <w:rPr>
          <w:rFonts w:ascii="Arial" w:hAnsi="Arial" w:cs="Times New Roman"/>
          <w:color w:val="000000" w:themeColor="text1"/>
        </w:rPr>
        <w:t xml:space="preserve">empirical </w:t>
      </w:r>
      <w:r w:rsidR="00796AFA" w:rsidRPr="00614125">
        <w:rPr>
          <w:rFonts w:ascii="Arial" w:hAnsi="Arial" w:cs="Times New Roman"/>
          <w:color w:val="000000" w:themeColor="text1"/>
        </w:rPr>
        <w:t>analyses</w:t>
      </w:r>
      <w:r w:rsidR="009A1D2B" w:rsidRPr="00614125">
        <w:rPr>
          <w:rFonts w:ascii="Arial" w:hAnsi="Arial" w:cs="Times New Roman"/>
          <w:color w:val="000000" w:themeColor="text1"/>
        </w:rPr>
        <w:t xml:space="preserve"> by UHC practitioners</w:t>
      </w:r>
      <w:r w:rsidR="00BA306A" w:rsidRPr="00614125">
        <w:rPr>
          <w:rFonts w:ascii="Arial" w:hAnsi="Arial" w:cs="Times New Roman"/>
          <w:color w:val="000000" w:themeColor="text1"/>
        </w:rPr>
        <w:t xml:space="preserve"> without statistical knowledge</w:t>
      </w:r>
      <w:r w:rsidR="009A1D2B" w:rsidRPr="00614125">
        <w:rPr>
          <w:rFonts w:ascii="Arial" w:hAnsi="Arial" w:cs="Times New Roman"/>
          <w:color w:val="000000" w:themeColor="text1"/>
        </w:rPr>
        <w:t xml:space="preserve">, </w:t>
      </w:r>
      <w:r w:rsidR="002A1937" w:rsidRPr="00614125">
        <w:rPr>
          <w:rFonts w:ascii="Arial" w:hAnsi="Arial" w:cs="Times New Roman"/>
          <w:color w:val="000000" w:themeColor="text1"/>
        </w:rPr>
        <w:t xml:space="preserve">such as </w:t>
      </w:r>
      <w:r w:rsidR="009A1D2B" w:rsidRPr="00614125">
        <w:rPr>
          <w:rFonts w:ascii="Arial" w:hAnsi="Arial" w:cs="Times New Roman"/>
          <w:color w:val="000000" w:themeColor="text1"/>
        </w:rPr>
        <w:t>health service organizers (Government</w:t>
      </w:r>
      <w:r w:rsidR="002A1937" w:rsidRPr="00614125">
        <w:rPr>
          <w:rFonts w:ascii="Arial" w:hAnsi="Arial" w:cs="Times New Roman"/>
          <w:color w:val="000000" w:themeColor="text1"/>
        </w:rPr>
        <w:t>s</w:t>
      </w:r>
      <w:r w:rsidR="009A1D2B" w:rsidRPr="00614125">
        <w:rPr>
          <w:rFonts w:ascii="Arial" w:hAnsi="Arial" w:cs="Times New Roman"/>
          <w:color w:val="000000" w:themeColor="text1"/>
        </w:rPr>
        <w:t>, NGOs)</w:t>
      </w:r>
      <w:r w:rsidR="002A1937" w:rsidRPr="00614125">
        <w:rPr>
          <w:rFonts w:ascii="Arial" w:hAnsi="Arial" w:cs="Times New Roman"/>
          <w:color w:val="000000" w:themeColor="text1"/>
        </w:rPr>
        <w:t>,</w:t>
      </w:r>
      <w:r w:rsidR="001A7A09" w:rsidRPr="00614125">
        <w:rPr>
          <w:rFonts w:ascii="Arial" w:hAnsi="Arial" w:cs="Times New Roman"/>
          <w:color w:val="000000" w:themeColor="text1"/>
        </w:rPr>
        <w:t xml:space="preserve"> </w:t>
      </w:r>
      <w:r w:rsidR="009A1D2B" w:rsidRPr="00614125">
        <w:rPr>
          <w:rFonts w:ascii="Arial" w:hAnsi="Arial" w:cs="Times New Roman"/>
          <w:color w:val="000000" w:themeColor="text1"/>
        </w:rPr>
        <w:t>stakeholders and policy-makers</w:t>
      </w:r>
      <w:r w:rsidR="00F03E26" w:rsidRPr="00614125">
        <w:rPr>
          <w:rFonts w:ascii="Arial" w:hAnsi="Arial" w:cs="Times New Roman"/>
          <w:color w:val="000000" w:themeColor="text1"/>
        </w:rPr>
        <w:t>.</w:t>
      </w:r>
    </w:p>
    <w:p w14:paraId="08B3BA8A" w14:textId="246C810A" w:rsidR="00C214E8" w:rsidRPr="00614125" w:rsidRDefault="009D53B3" w:rsidP="00337D8B">
      <w:pPr>
        <w:spacing w:before="120" w:after="120" w:line="360" w:lineRule="auto"/>
        <w:jc w:val="both"/>
        <w:rPr>
          <w:rFonts w:ascii="Arial" w:hAnsi="Arial" w:cs="Times New Roman"/>
          <w:color w:val="000000" w:themeColor="text1"/>
        </w:rPr>
      </w:pPr>
      <w:r w:rsidRPr="00614125">
        <w:rPr>
          <w:rFonts w:ascii="Arial" w:hAnsi="Arial" w:cs="Times New Roman"/>
          <w:color w:val="000000" w:themeColor="text1"/>
        </w:rPr>
        <w:t>T</w:t>
      </w:r>
      <w:r w:rsidR="00C214E8" w:rsidRPr="00614125">
        <w:rPr>
          <w:rFonts w:ascii="Arial" w:hAnsi="Arial" w:cs="Times New Roman"/>
          <w:color w:val="000000" w:themeColor="text1"/>
        </w:rPr>
        <w:t>his paper has three specific objectives</w:t>
      </w:r>
      <w:r w:rsidR="00DA7F67" w:rsidRPr="00614125">
        <w:rPr>
          <w:rFonts w:ascii="Arial" w:hAnsi="Arial" w:cs="Times New Roman"/>
          <w:color w:val="000000" w:themeColor="text1"/>
        </w:rPr>
        <w:t>:</w:t>
      </w:r>
      <w:r w:rsidR="00C214E8" w:rsidRPr="00614125">
        <w:rPr>
          <w:rFonts w:ascii="Arial" w:hAnsi="Arial" w:cs="Times New Roman"/>
          <w:color w:val="000000" w:themeColor="text1"/>
        </w:rPr>
        <w:t xml:space="preserve"> firstly, to </w:t>
      </w:r>
      <w:r w:rsidRPr="00614125">
        <w:rPr>
          <w:rFonts w:ascii="Arial" w:hAnsi="Arial" w:cs="Times New Roman"/>
          <w:color w:val="000000" w:themeColor="text1"/>
        </w:rPr>
        <w:t xml:space="preserve">develop a methodology for </w:t>
      </w:r>
      <w:r w:rsidR="00D45931" w:rsidRPr="00614125">
        <w:rPr>
          <w:rFonts w:ascii="Arial" w:hAnsi="Arial" w:cs="Times New Roman"/>
          <w:color w:val="000000" w:themeColor="text1"/>
        </w:rPr>
        <w:t xml:space="preserve">the </w:t>
      </w:r>
      <w:r w:rsidRPr="00614125">
        <w:rPr>
          <w:rFonts w:ascii="Arial" w:hAnsi="Arial" w:cs="Times New Roman"/>
          <w:color w:val="000000" w:themeColor="text1"/>
        </w:rPr>
        <w:t xml:space="preserve">calculation of </w:t>
      </w:r>
      <w:r w:rsidR="00C214E8" w:rsidRPr="00614125">
        <w:rPr>
          <w:rFonts w:ascii="Arial" w:hAnsi="Arial" w:cs="Times New Roman"/>
          <w:color w:val="000000" w:themeColor="text1"/>
        </w:rPr>
        <w:t xml:space="preserve">a composite </w:t>
      </w:r>
      <w:r w:rsidR="008072E4" w:rsidRPr="00614125">
        <w:rPr>
          <w:rFonts w:ascii="Arial" w:hAnsi="Arial" w:cs="Times New Roman"/>
          <w:color w:val="000000" w:themeColor="text1"/>
        </w:rPr>
        <w:t>UHC index</w:t>
      </w:r>
      <w:r w:rsidR="00EB5108" w:rsidRPr="00614125">
        <w:rPr>
          <w:rFonts w:ascii="Arial" w:hAnsi="Arial" w:cs="Times New Roman"/>
          <w:color w:val="000000" w:themeColor="text1"/>
        </w:rPr>
        <w:t xml:space="preserve"> </w:t>
      </w:r>
      <w:r w:rsidRPr="00614125">
        <w:rPr>
          <w:rFonts w:ascii="Arial" w:hAnsi="Arial" w:cs="Times New Roman"/>
          <w:color w:val="000000" w:themeColor="text1"/>
        </w:rPr>
        <w:t xml:space="preserve">within </w:t>
      </w:r>
      <w:r w:rsidR="00AA2164" w:rsidRPr="00614125">
        <w:rPr>
          <w:rFonts w:ascii="Arial" w:hAnsi="Arial" w:cs="Times New Roman"/>
          <w:color w:val="000000" w:themeColor="text1"/>
        </w:rPr>
        <w:t>an E</w:t>
      </w:r>
      <w:r w:rsidR="00EB5108" w:rsidRPr="00614125">
        <w:rPr>
          <w:rFonts w:ascii="Arial" w:hAnsi="Arial" w:cs="Times New Roman"/>
          <w:color w:val="000000" w:themeColor="text1"/>
        </w:rPr>
        <w:t>xcel spreadsheet</w:t>
      </w:r>
      <w:r w:rsidR="008072E4" w:rsidRPr="00614125">
        <w:rPr>
          <w:rFonts w:ascii="Arial" w:hAnsi="Arial" w:cs="Times New Roman"/>
          <w:color w:val="000000" w:themeColor="text1"/>
        </w:rPr>
        <w:t>;</w:t>
      </w:r>
      <w:r w:rsidR="00C214E8" w:rsidRPr="00614125">
        <w:rPr>
          <w:rFonts w:ascii="Arial" w:hAnsi="Arial" w:cs="Times New Roman"/>
          <w:color w:val="000000" w:themeColor="text1"/>
        </w:rPr>
        <w:t xml:space="preserve"> secondly</w:t>
      </w:r>
      <w:r w:rsidR="008072E4" w:rsidRPr="00614125">
        <w:rPr>
          <w:rFonts w:ascii="Arial" w:hAnsi="Arial" w:cs="Times New Roman"/>
          <w:color w:val="000000" w:themeColor="text1"/>
        </w:rPr>
        <w:t>,</w:t>
      </w:r>
      <w:r w:rsidR="00C214E8" w:rsidRPr="00614125">
        <w:rPr>
          <w:rFonts w:ascii="Arial" w:hAnsi="Arial" w:cs="Times New Roman"/>
          <w:color w:val="000000" w:themeColor="text1"/>
        </w:rPr>
        <w:t xml:space="preserve"> </w:t>
      </w:r>
      <w:r w:rsidRPr="00614125">
        <w:rPr>
          <w:rFonts w:ascii="Arial" w:hAnsi="Arial" w:cs="Times New Roman"/>
          <w:color w:val="000000" w:themeColor="text1"/>
        </w:rPr>
        <w:t xml:space="preserve">within the same spreadsheet </w:t>
      </w:r>
      <w:r w:rsidR="00C214E8" w:rsidRPr="00614125">
        <w:rPr>
          <w:rFonts w:ascii="Arial" w:hAnsi="Arial" w:cs="Times New Roman"/>
          <w:color w:val="000000" w:themeColor="text1"/>
        </w:rPr>
        <w:t xml:space="preserve">to decompose </w:t>
      </w:r>
      <w:r w:rsidR="00CC7F4A" w:rsidRPr="00614125">
        <w:rPr>
          <w:rFonts w:ascii="Arial" w:hAnsi="Arial" w:cs="Times New Roman"/>
          <w:color w:val="000000" w:themeColor="text1"/>
        </w:rPr>
        <w:t>these</w:t>
      </w:r>
      <w:r w:rsidR="00C214E8" w:rsidRPr="00614125">
        <w:rPr>
          <w:rFonts w:ascii="Arial" w:hAnsi="Arial" w:cs="Times New Roman"/>
          <w:color w:val="000000" w:themeColor="text1"/>
        </w:rPr>
        <w:t xml:space="preserve"> index values into population groups</w:t>
      </w:r>
      <w:r w:rsidR="00D45931" w:rsidRPr="00614125">
        <w:rPr>
          <w:rFonts w:ascii="Arial" w:hAnsi="Arial" w:cs="Times New Roman"/>
          <w:color w:val="000000" w:themeColor="text1"/>
        </w:rPr>
        <w:t>;</w:t>
      </w:r>
      <w:r w:rsidR="00BC7210" w:rsidRPr="00614125">
        <w:rPr>
          <w:rFonts w:ascii="Arial" w:hAnsi="Arial" w:cs="Times New Roman"/>
          <w:color w:val="000000" w:themeColor="text1"/>
        </w:rPr>
        <w:t xml:space="preserve"> </w:t>
      </w:r>
      <w:r w:rsidR="00C214E8" w:rsidRPr="00614125">
        <w:rPr>
          <w:rFonts w:ascii="Arial" w:hAnsi="Arial" w:cs="Times New Roman"/>
          <w:color w:val="000000" w:themeColor="text1"/>
        </w:rPr>
        <w:t xml:space="preserve">and thirdly, </w:t>
      </w:r>
      <w:r w:rsidRPr="00614125">
        <w:rPr>
          <w:rFonts w:ascii="Arial" w:hAnsi="Arial" w:cs="Times New Roman"/>
          <w:color w:val="000000" w:themeColor="text1"/>
        </w:rPr>
        <w:t xml:space="preserve">to </w:t>
      </w:r>
      <w:r w:rsidR="00C214E8" w:rsidRPr="00614125">
        <w:rPr>
          <w:rFonts w:ascii="Arial" w:hAnsi="Arial" w:cs="Times New Roman"/>
          <w:color w:val="000000" w:themeColor="text1"/>
        </w:rPr>
        <w:t>val</w:t>
      </w:r>
      <w:r w:rsidR="008072E4" w:rsidRPr="00614125">
        <w:rPr>
          <w:rFonts w:ascii="Arial" w:hAnsi="Arial" w:cs="Times New Roman"/>
          <w:color w:val="000000" w:themeColor="text1"/>
        </w:rPr>
        <w:t>ida</w:t>
      </w:r>
      <w:r w:rsidRPr="00614125">
        <w:rPr>
          <w:rFonts w:ascii="Arial" w:hAnsi="Arial" w:cs="Times New Roman"/>
          <w:color w:val="000000" w:themeColor="text1"/>
        </w:rPr>
        <w:t>te</w:t>
      </w:r>
      <w:r w:rsidR="00BC7210" w:rsidRPr="00614125">
        <w:rPr>
          <w:rFonts w:ascii="Arial" w:hAnsi="Arial" w:cs="Times New Roman"/>
          <w:color w:val="000000" w:themeColor="text1"/>
        </w:rPr>
        <w:t xml:space="preserve"> </w:t>
      </w:r>
      <w:r w:rsidR="008072E4" w:rsidRPr="00614125">
        <w:rPr>
          <w:rFonts w:ascii="Arial" w:hAnsi="Arial" w:cs="Times New Roman"/>
          <w:color w:val="000000" w:themeColor="text1"/>
        </w:rPr>
        <w:t xml:space="preserve">the index. </w:t>
      </w:r>
      <w:r w:rsidR="00A607BB" w:rsidRPr="00614125">
        <w:rPr>
          <w:rFonts w:ascii="Arial" w:hAnsi="Arial" w:cs="Times New Roman"/>
          <w:color w:val="000000" w:themeColor="text1"/>
        </w:rPr>
        <w:t>The r</w:t>
      </w:r>
      <w:r w:rsidR="008C6D14" w:rsidRPr="00614125">
        <w:rPr>
          <w:rFonts w:ascii="Arial" w:hAnsi="Arial" w:cs="Times New Roman"/>
          <w:color w:val="000000" w:themeColor="text1"/>
        </w:rPr>
        <w:t xml:space="preserve">elative advantage with this spreadsheet approach is that the </w:t>
      </w:r>
      <w:r w:rsidR="00A607BB" w:rsidRPr="00614125">
        <w:rPr>
          <w:rFonts w:ascii="Arial" w:hAnsi="Arial" w:cs="Times New Roman"/>
          <w:color w:val="000000" w:themeColor="text1"/>
        </w:rPr>
        <w:t xml:space="preserve">contributions of UHC dimensions (population coverage, service coverage and financial protection) to the index are directly measurable and transparent to the audiences.  </w:t>
      </w:r>
      <w:r w:rsidR="008C6D14" w:rsidRPr="00614125">
        <w:rPr>
          <w:rFonts w:ascii="Arial" w:hAnsi="Arial" w:cs="Times New Roman"/>
          <w:color w:val="000000" w:themeColor="text1"/>
        </w:rPr>
        <w:t xml:space="preserve"> </w:t>
      </w:r>
    </w:p>
    <w:p w14:paraId="2484302B" w14:textId="77777777" w:rsidR="00F77EB4" w:rsidRPr="00614125" w:rsidRDefault="00F77EB4" w:rsidP="00681C03">
      <w:pPr>
        <w:spacing w:before="120" w:after="120" w:line="360" w:lineRule="auto"/>
        <w:jc w:val="both"/>
        <w:rPr>
          <w:rFonts w:ascii="Arial" w:hAnsi="Arial" w:cs="Times New Roman"/>
          <w:color w:val="000000" w:themeColor="text1"/>
        </w:rPr>
      </w:pPr>
    </w:p>
    <w:p w14:paraId="52AB5AF3" w14:textId="12CD0D59" w:rsidR="000E1273" w:rsidRPr="00614125" w:rsidRDefault="000E1273" w:rsidP="00337D8B">
      <w:pPr>
        <w:spacing w:before="120" w:after="120" w:line="360" w:lineRule="auto"/>
        <w:jc w:val="both"/>
        <w:rPr>
          <w:rFonts w:ascii="Arial" w:hAnsi="Arial" w:cs="Times New Roman"/>
          <w:color w:val="000000" w:themeColor="text1"/>
        </w:rPr>
      </w:pPr>
      <w:r w:rsidRPr="00614125">
        <w:rPr>
          <w:rFonts w:ascii="Arial" w:hAnsi="Arial" w:cs="Times New Roman"/>
          <w:color w:val="000000" w:themeColor="text1"/>
        </w:rPr>
        <w:t>METHODS</w:t>
      </w:r>
    </w:p>
    <w:p w14:paraId="64AFBFB6" w14:textId="77777777" w:rsidR="0049675E" w:rsidRPr="00614125" w:rsidRDefault="0049675E" w:rsidP="00337D8B">
      <w:pPr>
        <w:spacing w:before="120" w:after="120" w:line="360" w:lineRule="auto"/>
        <w:jc w:val="both"/>
        <w:rPr>
          <w:rFonts w:ascii="Arial" w:hAnsi="Arial" w:cs="Times New Roman"/>
          <w:b/>
          <w:bCs/>
          <w:color w:val="000000" w:themeColor="text1"/>
        </w:rPr>
      </w:pPr>
    </w:p>
    <w:p w14:paraId="7E38B157" w14:textId="1D8961CB" w:rsidR="00E84651" w:rsidRPr="00614125" w:rsidRDefault="000E1273" w:rsidP="00337D8B">
      <w:pPr>
        <w:spacing w:before="120" w:after="120" w:line="360" w:lineRule="auto"/>
        <w:jc w:val="both"/>
        <w:rPr>
          <w:rFonts w:ascii="Arial" w:hAnsi="Arial" w:cs="Kohinoor Bangla"/>
          <w:b/>
          <w:bCs/>
          <w:color w:val="000000" w:themeColor="text1"/>
        </w:rPr>
      </w:pPr>
      <w:r w:rsidRPr="00614125">
        <w:rPr>
          <w:rFonts w:ascii="Arial" w:hAnsi="Arial" w:cs="Times New Roman"/>
          <w:b/>
          <w:color w:val="000000" w:themeColor="text1"/>
        </w:rPr>
        <w:t>Concept of Universal Health Coverage</w:t>
      </w:r>
    </w:p>
    <w:p w14:paraId="56AE035B" w14:textId="38C504E0" w:rsidR="001278BC" w:rsidRPr="00614125" w:rsidRDefault="00FA73FE" w:rsidP="00337D8B">
      <w:pPr>
        <w:spacing w:before="120" w:after="120" w:line="360" w:lineRule="auto"/>
        <w:jc w:val="both"/>
        <w:rPr>
          <w:rFonts w:ascii="Arial" w:hAnsi="Arial" w:cs="Times New Roman"/>
          <w:color w:val="000000" w:themeColor="text1"/>
        </w:rPr>
      </w:pPr>
      <w:r w:rsidRPr="00614125">
        <w:rPr>
          <w:rFonts w:ascii="Arial" w:hAnsi="Arial" w:cs="Times New Roman"/>
          <w:color w:val="000000" w:themeColor="text1"/>
        </w:rPr>
        <w:t>A</w:t>
      </w:r>
      <w:r w:rsidR="00E84651" w:rsidRPr="00614125">
        <w:rPr>
          <w:rFonts w:ascii="Arial" w:hAnsi="Arial" w:cs="Times New Roman"/>
          <w:color w:val="000000" w:themeColor="text1"/>
        </w:rPr>
        <w:t xml:space="preserve"> </w:t>
      </w:r>
      <w:r w:rsidR="00CE5492" w:rsidRPr="00614125">
        <w:rPr>
          <w:rFonts w:ascii="Arial" w:hAnsi="Arial" w:cs="Times New Roman"/>
          <w:color w:val="000000" w:themeColor="text1"/>
        </w:rPr>
        <w:t>spreadsheet</w:t>
      </w:r>
      <w:r w:rsidR="00E84651" w:rsidRPr="00614125">
        <w:rPr>
          <w:rFonts w:ascii="Arial" w:hAnsi="Arial" w:cs="Times New Roman"/>
          <w:color w:val="000000" w:themeColor="text1"/>
        </w:rPr>
        <w:t xml:space="preserve"> approach was undertaken to calculate the UHC index of a number of countries in Asia and Africa</w:t>
      </w:r>
      <w:r w:rsidR="009D53B3" w:rsidRPr="00614125">
        <w:rPr>
          <w:rFonts w:ascii="Arial" w:hAnsi="Arial" w:cs="Times New Roman"/>
          <w:color w:val="000000" w:themeColor="text1"/>
        </w:rPr>
        <w:t>, using World Bank data and a formula, based upon</w:t>
      </w:r>
      <w:r w:rsidR="00B3221C" w:rsidRPr="00614125">
        <w:rPr>
          <w:rFonts w:ascii="Arial" w:hAnsi="Arial" w:cs="Times New Roman"/>
          <w:color w:val="000000" w:themeColor="text1"/>
        </w:rPr>
        <w:t xml:space="preserve"> </w:t>
      </w:r>
      <w:r w:rsidR="009D53B3" w:rsidRPr="00614125">
        <w:rPr>
          <w:rFonts w:ascii="Arial" w:hAnsi="Arial" w:cs="Times New Roman"/>
          <w:color w:val="000000" w:themeColor="text1"/>
        </w:rPr>
        <w:t>t</w:t>
      </w:r>
      <w:r w:rsidR="00E84651" w:rsidRPr="00614125">
        <w:rPr>
          <w:rFonts w:ascii="Arial" w:hAnsi="Arial" w:cs="Times New Roman"/>
          <w:color w:val="000000" w:themeColor="text1"/>
        </w:rPr>
        <w:t xml:space="preserve">he well-known </w:t>
      </w:r>
      <w:r w:rsidR="0082197F" w:rsidRPr="00614125">
        <w:rPr>
          <w:rFonts w:ascii="Arial" w:hAnsi="Arial" w:cs="Times New Roman"/>
          <w:color w:val="000000" w:themeColor="text1"/>
        </w:rPr>
        <w:t>illustration</w:t>
      </w:r>
      <w:r w:rsidR="00E84651" w:rsidRPr="00614125">
        <w:rPr>
          <w:rFonts w:ascii="Arial" w:hAnsi="Arial" w:cs="Times New Roman"/>
          <w:color w:val="000000" w:themeColor="text1"/>
        </w:rPr>
        <w:t xml:space="preserve"> </w:t>
      </w:r>
      <w:r w:rsidR="00825149" w:rsidRPr="00614125">
        <w:rPr>
          <w:rFonts w:ascii="Arial" w:hAnsi="Arial" w:cs="Times New Roman"/>
          <w:color w:val="000000" w:themeColor="text1"/>
        </w:rPr>
        <w:t>of UHC (</w:t>
      </w:r>
      <w:r w:rsidR="00C54DCD" w:rsidRPr="00614125">
        <w:rPr>
          <w:rFonts w:ascii="Arial" w:hAnsi="Arial" w:cs="Times New Roman"/>
          <w:color w:val="000000" w:themeColor="text1"/>
        </w:rPr>
        <w:t>F</w:t>
      </w:r>
      <w:r w:rsidR="00825149" w:rsidRPr="00614125">
        <w:rPr>
          <w:rFonts w:ascii="Arial" w:hAnsi="Arial" w:cs="Times New Roman"/>
          <w:color w:val="000000" w:themeColor="text1"/>
        </w:rPr>
        <w:t>igure 1)</w:t>
      </w:r>
      <w:r w:rsidR="00AB37E0" w:rsidRPr="00614125">
        <w:rPr>
          <w:rFonts w:ascii="Arial" w:hAnsi="Arial" w:cs="Times New Roman"/>
          <w:color w:val="000000" w:themeColor="text1"/>
        </w:rPr>
        <w:t xml:space="preserve"> </w:t>
      </w:r>
      <w:r w:rsidR="00AB37E0" w:rsidRPr="00614125">
        <w:rPr>
          <w:rFonts w:ascii="Arial" w:hAnsi="Arial" w:cs="Times New Roman"/>
          <w:color w:val="000000" w:themeColor="text1"/>
        </w:rPr>
        <w:fldChar w:fldCharType="begin" w:fldLock="1"/>
      </w:r>
      <w:r w:rsidR="003B3F6D" w:rsidRPr="00614125">
        <w:rPr>
          <w:rFonts w:ascii="Arial" w:hAnsi="Arial" w:cs="Times New Roman"/>
          <w:color w:val="000000" w:themeColor="text1"/>
        </w:rPr>
        <w:instrText>ADDIN CSL_CITATION {"citationItems":[{"id":"ITEM-1","itemData":{"author":[{"dropping-particle":"","family":"WHO","given":"","non-dropping-particle":"","parse-names":false,"suffix":""}],"id":"ITEM-1","issued":{"date-parts":[["2010"]]},"publisher":"World Health Organisation","publisher-place":"Geneva","title":"The world health report: health systems financing: the path to universal coverage","type":"report"},"uris":["http://www.mendeley.com/documents/?uuid=6732c683-8f4d-42d0-a3c7-520481cab3ba"]}],"mendeley":{"formattedCitation":"[6]","plainTextFormattedCitation":"[6]","previouslyFormattedCitation":"[6]"},"properties":{"noteIndex":0},"schema":"https://github.com/citation-style-language/schema/raw/master/csl-citation.json"}</w:instrText>
      </w:r>
      <w:r w:rsidR="00AB37E0" w:rsidRPr="00614125">
        <w:rPr>
          <w:rFonts w:ascii="Arial" w:hAnsi="Arial" w:cs="Times New Roman"/>
          <w:color w:val="000000" w:themeColor="text1"/>
        </w:rPr>
        <w:fldChar w:fldCharType="separate"/>
      </w:r>
      <w:r w:rsidR="00604FF7" w:rsidRPr="00614125">
        <w:rPr>
          <w:rFonts w:ascii="Arial" w:hAnsi="Arial" w:cs="Times New Roman"/>
          <w:noProof/>
          <w:color w:val="000000" w:themeColor="text1"/>
        </w:rPr>
        <w:t>[6]</w:t>
      </w:r>
      <w:r w:rsidR="00AB37E0" w:rsidRPr="00614125">
        <w:rPr>
          <w:rFonts w:ascii="Arial" w:hAnsi="Arial" w:cs="Times New Roman"/>
          <w:color w:val="000000" w:themeColor="text1"/>
        </w:rPr>
        <w:fldChar w:fldCharType="end"/>
      </w:r>
      <w:r w:rsidR="00E84651" w:rsidRPr="00614125">
        <w:rPr>
          <w:rFonts w:ascii="Arial" w:hAnsi="Arial" w:cs="Times New Roman"/>
          <w:color w:val="000000" w:themeColor="text1"/>
        </w:rPr>
        <w:t xml:space="preserve">. The volume of the inner-box (actual health coverage) </w:t>
      </w:r>
      <w:r w:rsidR="00DD4FD6" w:rsidRPr="00614125">
        <w:rPr>
          <w:rFonts w:ascii="Arial" w:hAnsi="Arial" w:cs="Times New Roman"/>
          <w:color w:val="000000" w:themeColor="text1"/>
        </w:rPr>
        <w:t>as a proportion of</w:t>
      </w:r>
      <w:r w:rsidR="00E84651" w:rsidRPr="00614125">
        <w:rPr>
          <w:rFonts w:ascii="Arial" w:hAnsi="Arial" w:cs="Times New Roman"/>
          <w:color w:val="000000" w:themeColor="text1"/>
        </w:rPr>
        <w:t xml:space="preserve"> the outer-box (highest achievable health coverage) was</w:t>
      </w:r>
      <w:r w:rsidR="00825149" w:rsidRPr="00614125">
        <w:rPr>
          <w:rFonts w:ascii="Arial" w:hAnsi="Arial" w:cs="Times New Roman"/>
          <w:color w:val="000000" w:themeColor="text1"/>
        </w:rPr>
        <w:t xml:space="preserve"> </w:t>
      </w:r>
      <w:r w:rsidR="00DD4FD6" w:rsidRPr="00614125">
        <w:rPr>
          <w:rFonts w:ascii="Arial" w:hAnsi="Arial" w:cs="Times New Roman"/>
          <w:color w:val="000000" w:themeColor="text1"/>
        </w:rPr>
        <w:t xml:space="preserve">expressed </w:t>
      </w:r>
      <w:r w:rsidR="00825149" w:rsidRPr="00614125">
        <w:rPr>
          <w:rFonts w:ascii="Arial" w:hAnsi="Arial" w:cs="Times New Roman"/>
          <w:color w:val="000000" w:themeColor="text1"/>
        </w:rPr>
        <w:t>as a percentage</w:t>
      </w:r>
      <w:r w:rsidR="00DD4FD6" w:rsidRPr="00614125">
        <w:rPr>
          <w:rFonts w:ascii="Arial" w:hAnsi="Arial" w:cs="Times New Roman"/>
          <w:color w:val="000000" w:themeColor="text1"/>
        </w:rPr>
        <w:t>, giving</w:t>
      </w:r>
      <w:r w:rsidR="00BC7210" w:rsidRPr="00614125">
        <w:rPr>
          <w:rFonts w:ascii="Arial" w:hAnsi="Arial" w:cs="Times New Roman"/>
          <w:color w:val="000000" w:themeColor="text1"/>
        </w:rPr>
        <w:t xml:space="preserve"> </w:t>
      </w:r>
      <w:r w:rsidR="00DD4FD6" w:rsidRPr="00614125">
        <w:rPr>
          <w:rFonts w:ascii="Arial" w:hAnsi="Arial" w:cs="Times New Roman"/>
          <w:color w:val="000000" w:themeColor="text1"/>
        </w:rPr>
        <w:t>a</w:t>
      </w:r>
      <w:r w:rsidR="006F5387" w:rsidRPr="00614125">
        <w:rPr>
          <w:rFonts w:ascii="Arial" w:hAnsi="Arial" w:cs="Times New Roman"/>
          <w:color w:val="000000" w:themeColor="text1"/>
        </w:rPr>
        <w:t xml:space="preserve"> UHC index rang</w:t>
      </w:r>
      <w:r w:rsidR="00DD4FD6" w:rsidRPr="00614125">
        <w:rPr>
          <w:rFonts w:ascii="Arial" w:hAnsi="Arial" w:cs="Times New Roman"/>
          <w:color w:val="000000" w:themeColor="text1"/>
        </w:rPr>
        <w:t>ing</w:t>
      </w:r>
      <w:r w:rsidR="006F5387" w:rsidRPr="00614125">
        <w:rPr>
          <w:rFonts w:ascii="Arial" w:hAnsi="Arial" w:cs="Times New Roman"/>
          <w:color w:val="000000" w:themeColor="text1"/>
        </w:rPr>
        <w:t xml:space="preserve"> between 0 and 100</w:t>
      </w:r>
      <w:r w:rsidR="00DD4FD6" w:rsidRPr="00614125">
        <w:rPr>
          <w:rFonts w:ascii="Arial" w:hAnsi="Arial" w:cs="Times New Roman"/>
          <w:color w:val="000000" w:themeColor="text1"/>
        </w:rPr>
        <w:t xml:space="preserve"> </w:t>
      </w:r>
      <w:r w:rsidR="00DD4FD6" w:rsidRPr="00614125">
        <w:rPr>
          <w:rFonts w:ascii="Arial" w:hAnsi="Arial" w:cs="Times New Roman"/>
          <w:noProof/>
          <w:color w:val="000000" w:themeColor="text1"/>
        </w:rPr>
        <w:t>percent</w:t>
      </w:r>
      <w:r w:rsidR="006F5387" w:rsidRPr="00614125">
        <w:rPr>
          <w:rFonts w:ascii="Arial" w:hAnsi="Arial" w:cs="Times New Roman"/>
          <w:color w:val="000000" w:themeColor="text1"/>
        </w:rPr>
        <w:t xml:space="preserve"> </w:t>
      </w:r>
      <w:r w:rsidR="00DD4FD6" w:rsidRPr="00614125">
        <w:rPr>
          <w:rFonts w:ascii="Arial" w:hAnsi="Arial" w:cs="Times New Roman"/>
          <w:color w:val="000000" w:themeColor="text1"/>
        </w:rPr>
        <w:t xml:space="preserve">with </w:t>
      </w:r>
      <w:r w:rsidR="006F5387" w:rsidRPr="00614125">
        <w:rPr>
          <w:rFonts w:ascii="Arial" w:hAnsi="Arial" w:cs="Times New Roman"/>
          <w:color w:val="000000" w:themeColor="text1"/>
        </w:rPr>
        <w:t xml:space="preserve">higher index values </w:t>
      </w:r>
      <w:r w:rsidR="00DD4FD6" w:rsidRPr="00614125">
        <w:rPr>
          <w:rFonts w:ascii="Arial" w:hAnsi="Arial" w:cs="Times New Roman"/>
          <w:color w:val="000000" w:themeColor="text1"/>
        </w:rPr>
        <w:t xml:space="preserve">corresponding to </w:t>
      </w:r>
      <w:r w:rsidR="006F5387" w:rsidRPr="00614125">
        <w:rPr>
          <w:rFonts w:ascii="Arial" w:hAnsi="Arial" w:cs="Times New Roman"/>
          <w:color w:val="000000" w:themeColor="text1"/>
        </w:rPr>
        <w:t xml:space="preserve">better UHC achievement. </w:t>
      </w:r>
    </w:p>
    <w:p w14:paraId="384D8C3D" w14:textId="77777777" w:rsidR="00604154" w:rsidRPr="00614125" w:rsidRDefault="00604154" w:rsidP="00EB5108">
      <w:pPr>
        <w:spacing w:before="120" w:after="120" w:line="360" w:lineRule="auto"/>
        <w:jc w:val="center"/>
        <w:rPr>
          <w:rFonts w:ascii="Arial" w:hAnsi="Arial" w:cs="Times New Roman"/>
          <w:color w:val="000000" w:themeColor="text1"/>
        </w:rPr>
      </w:pPr>
    </w:p>
    <w:p w14:paraId="2946AB1D" w14:textId="2059D7DC" w:rsidR="001278BC" w:rsidRPr="00614125" w:rsidRDefault="001278BC" w:rsidP="00EB5108">
      <w:pPr>
        <w:spacing w:before="120" w:after="120" w:line="360" w:lineRule="auto"/>
        <w:jc w:val="center"/>
        <w:rPr>
          <w:rFonts w:ascii="Arial" w:hAnsi="Arial" w:cs="Times New Roman"/>
          <w:color w:val="000000" w:themeColor="text1"/>
        </w:rPr>
      </w:pPr>
      <w:r w:rsidRPr="00614125">
        <w:rPr>
          <w:rFonts w:ascii="Arial" w:hAnsi="Arial" w:cs="Times New Roman"/>
          <w:color w:val="000000" w:themeColor="text1"/>
        </w:rPr>
        <w:lastRenderedPageBreak/>
        <w:t>Figure 1 to be inserted here</w:t>
      </w:r>
    </w:p>
    <w:p w14:paraId="7CE6AB7B" w14:textId="77777777" w:rsidR="00604154" w:rsidRPr="00614125" w:rsidRDefault="00604154" w:rsidP="00337D8B">
      <w:pPr>
        <w:spacing w:before="120" w:after="120" w:line="360" w:lineRule="auto"/>
        <w:jc w:val="both"/>
        <w:rPr>
          <w:rFonts w:ascii="Arial" w:hAnsi="Arial" w:cs="Times New Roman"/>
          <w:color w:val="000000" w:themeColor="text1"/>
        </w:rPr>
      </w:pPr>
    </w:p>
    <w:p w14:paraId="171F3128" w14:textId="24395F1A" w:rsidR="00A60E1A" w:rsidRPr="00614125" w:rsidRDefault="00E84651" w:rsidP="00337D8B">
      <w:pPr>
        <w:spacing w:before="120" w:after="120" w:line="360" w:lineRule="auto"/>
        <w:jc w:val="both"/>
        <w:rPr>
          <w:rFonts w:ascii="Arial" w:hAnsi="Arial" w:cs="Times New Roman"/>
          <w:color w:val="000000" w:themeColor="text1"/>
        </w:rPr>
      </w:pPr>
      <w:r w:rsidRPr="00614125">
        <w:rPr>
          <w:rFonts w:ascii="Arial" w:hAnsi="Arial" w:cs="Times New Roman"/>
          <w:color w:val="000000" w:themeColor="text1"/>
        </w:rPr>
        <w:t>We describe below three dimensions of UHC</w:t>
      </w:r>
      <w:r w:rsidR="00604154" w:rsidRPr="00614125">
        <w:rPr>
          <w:rFonts w:ascii="Arial" w:hAnsi="Arial" w:cs="Times New Roman"/>
          <w:color w:val="000000" w:themeColor="text1"/>
        </w:rPr>
        <w:t xml:space="preserve">, i.e. </w:t>
      </w:r>
      <w:r w:rsidRPr="00614125">
        <w:rPr>
          <w:rFonts w:ascii="Arial" w:hAnsi="Arial" w:cs="Times New Roman"/>
          <w:color w:val="000000" w:themeColor="text1"/>
        </w:rPr>
        <w:t xml:space="preserve">population </w:t>
      </w:r>
      <w:r w:rsidR="00DD4FD6" w:rsidRPr="00614125">
        <w:rPr>
          <w:rFonts w:ascii="Arial" w:hAnsi="Arial" w:cs="Times New Roman"/>
          <w:color w:val="000000" w:themeColor="text1"/>
        </w:rPr>
        <w:t>coverage</w:t>
      </w:r>
      <w:r w:rsidR="00604154" w:rsidRPr="00614125">
        <w:rPr>
          <w:rFonts w:ascii="Arial" w:hAnsi="Arial" w:cs="Times New Roman"/>
          <w:color w:val="000000" w:themeColor="text1"/>
        </w:rPr>
        <w:t xml:space="preserve"> (length), service coverage (depth), </w:t>
      </w:r>
      <w:r w:rsidRPr="00614125">
        <w:rPr>
          <w:rFonts w:ascii="Arial" w:hAnsi="Arial" w:cs="Times New Roman"/>
          <w:color w:val="000000" w:themeColor="text1"/>
        </w:rPr>
        <w:t>and financial protection</w:t>
      </w:r>
      <w:r w:rsidR="00604154" w:rsidRPr="00614125">
        <w:rPr>
          <w:rFonts w:ascii="Arial" w:hAnsi="Arial" w:cs="Times New Roman"/>
          <w:color w:val="000000" w:themeColor="text1"/>
        </w:rPr>
        <w:t xml:space="preserve"> (height) of the UHC illustration</w:t>
      </w:r>
      <w:r w:rsidRPr="00614125">
        <w:rPr>
          <w:rFonts w:ascii="Arial" w:hAnsi="Arial" w:cs="Times New Roman"/>
          <w:color w:val="000000" w:themeColor="text1"/>
        </w:rPr>
        <w:t xml:space="preserve">.    </w:t>
      </w:r>
    </w:p>
    <w:p w14:paraId="1845709D" w14:textId="77777777" w:rsidR="00604154" w:rsidRPr="00614125" w:rsidRDefault="00604154" w:rsidP="00604154">
      <w:pPr>
        <w:spacing w:before="120" w:after="120" w:line="360" w:lineRule="auto"/>
        <w:jc w:val="both"/>
        <w:rPr>
          <w:rFonts w:ascii="Arial" w:hAnsi="Arial" w:cs="Times New Roman"/>
          <w:bCs/>
          <w:i/>
          <w:color w:val="000000" w:themeColor="text1"/>
        </w:rPr>
      </w:pPr>
      <w:r w:rsidRPr="00614125">
        <w:rPr>
          <w:rFonts w:ascii="Arial" w:hAnsi="Arial" w:cs="Times New Roman"/>
          <w:bCs/>
          <w:i/>
          <w:color w:val="000000" w:themeColor="text1"/>
        </w:rPr>
        <w:t xml:space="preserve">Population coverage </w:t>
      </w:r>
    </w:p>
    <w:p w14:paraId="3AFDF347" w14:textId="54328C0D" w:rsidR="00604154" w:rsidRPr="00614125" w:rsidRDefault="00D45931" w:rsidP="00604154">
      <w:pPr>
        <w:spacing w:before="120" w:after="120" w:line="360" w:lineRule="auto"/>
        <w:jc w:val="both"/>
        <w:rPr>
          <w:rFonts w:ascii="Arial" w:hAnsi="Arial" w:cs="Times New Roman"/>
          <w:i/>
          <w:color w:val="000000" w:themeColor="text1"/>
          <w:u w:val="single"/>
        </w:rPr>
      </w:pPr>
      <w:r w:rsidRPr="00614125">
        <w:rPr>
          <w:rFonts w:ascii="Arial" w:hAnsi="Arial" w:cs="Times New Roman"/>
          <w:color w:val="000000" w:themeColor="text1"/>
        </w:rPr>
        <w:t>Striving</w:t>
      </w:r>
      <w:r w:rsidR="00604154" w:rsidRPr="00614125">
        <w:rPr>
          <w:rFonts w:ascii="Arial" w:hAnsi="Arial" w:cs="Times New Roman"/>
          <w:color w:val="000000" w:themeColor="text1"/>
        </w:rPr>
        <w:t xml:space="preserve"> for Universal Health Coverage is tied to the belief that all people in need, irrespective of their socioeconomic position</w:t>
      </w:r>
      <w:r w:rsidRPr="00614125">
        <w:rPr>
          <w:rFonts w:ascii="Arial" w:hAnsi="Arial" w:cs="Times New Roman"/>
          <w:color w:val="000000" w:themeColor="text1"/>
        </w:rPr>
        <w:t>,</w:t>
      </w:r>
      <w:r w:rsidR="00604154" w:rsidRPr="00614125">
        <w:rPr>
          <w:rFonts w:ascii="Arial" w:hAnsi="Arial" w:cs="Times New Roman"/>
          <w:color w:val="000000" w:themeColor="text1"/>
        </w:rPr>
        <w:t xml:space="preserve"> should be covered by all health services, whether they be promotive, preventive, curative, rehabilitative or palliative. The population in a country can be divided into socioeconomic quintiles, based on an asset/wealth index </w:t>
      </w:r>
      <w:r w:rsidR="003D233F" w:rsidRPr="00614125">
        <w:rPr>
          <w:rFonts w:ascii="Arial" w:hAnsi="Arial" w:cs="Times New Roman"/>
          <w:color w:val="000000" w:themeColor="text1"/>
        </w:rPr>
        <w:fldChar w:fldCharType="begin" w:fldLock="1"/>
      </w:r>
      <w:r w:rsidR="003B3F6D" w:rsidRPr="00614125">
        <w:rPr>
          <w:rFonts w:ascii="Arial" w:hAnsi="Arial" w:cs="Times New Roman"/>
          <w:color w:val="000000" w:themeColor="text1"/>
        </w:rPr>
        <w:instrText>ADDIN CSL_CITATION {"citationItems":[{"id":"ITEM-1","itemData":{"URL":"http://www.worldbank.org/en/topic/health/publication/health-equity-and-financial-protection-datasheets","accessed":{"date-parts":[["2016","4","2"]]},"author":[{"dropping-particle":"","family":"The World Bank","given":"","non-dropping-particle":"","parse-names":false,"suffix":""}],"id":"ITEM-1","issued":{"date-parts":[["2016"]]},"title":"Health Equity and Financial Protection Datasheets","type":"webpage"},"uris":["http://www.mendeley.com/documents/?uuid=dd320523-b7fc-4675-9aad-ea792a9286bd"]}],"mendeley":{"formattedCitation":"[7]","plainTextFormattedCitation":"[7]","previouslyFormattedCitation":"[7]"},"properties":{"noteIndex":0},"schema":"https://github.com/citation-style-language/schema/raw/master/csl-citation.json"}</w:instrText>
      </w:r>
      <w:r w:rsidR="003D233F" w:rsidRPr="00614125">
        <w:rPr>
          <w:rFonts w:ascii="Arial" w:hAnsi="Arial" w:cs="Times New Roman"/>
          <w:color w:val="000000" w:themeColor="text1"/>
        </w:rPr>
        <w:fldChar w:fldCharType="separate"/>
      </w:r>
      <w:r w:rsidR="00604FF7" w:rsidRPr="00614125">
        <w:rPr>
          <w:rFonts w:ascii="Arial" w:hAnsi="Arial" w:cs="Times New Roman"/>
          <w:noProof/>
          <w:color w:val="000000" w:themeColor="text1"/>
        </w:rPr>
        <w:t>[7]</w:t>
      </w:r>
      <w:r w:rsidR="003D233F" w:rsidRPr="00614125">
        <w:rPr>
          <w:rFonts w:ascii="Arial" w:hAnsi="Arial" w:cs="Times New Roman"/>
          <w:color w:val="000000" w:themeColor="text1"/>
        </w:rPr>
        <w:fldChar w:fldCharType="end"/>
      </w:r>
      <w:r w:rsidR="003D233F" w:rsidRPr="00614125">
        <w:rPr>
          <w:rFonts w:ascii="Arial" w:hAnsi="Arial" w:cs="Times New Roman"/>
          <w:color w:val="000000" w:themeColor="text1"/>
        </w:rPr>
        <w:t>.</w:t>
      </w:r>
      <w:r w:rsidR="00604154" w:rsidRPr="00614125">
        <w:rPr>
          <w:rFonts w:ascii="Arial" w:hAnsi="Arial" w:cs="Times New Roman"/>
          <w:color w:val="000000" w:themeColor="text1"/>
        </w:rPr>
        <w:t xml:space="preserve"> Population</w:t>
      </w:r>
      <w:r w:rsidRPr="00614125">
        <w:rPr>
          <w:rFonts w:ascii="Arial" w:hAnsi="Arial" w:cs="Times New Roman"/>
          <w:color w:val="000000" w:themeColor="text1"/>
        </w:rPr>
        <w:t>s</w:t>
      </w:r>
      <w:r w:rsidR="00604154" w:rsidRPr="00614125">
        <w:rPr>
          <w:rFonts w:ascii="Arial" w:hAnsi="Arial" w:cs="Times New Roman"/>
          <w:color w:val="000000" w:themeColor="text1"/>
        </w:rPr>
        <w:t xml:space="preserve"> can be further classified into sub-groups using other parameters, like geographic locations (urban, rural, suburb, hard-to-reach), gender, age (children, working-age, elderly), and occupational attainment (blue- and white-collar workers)</w:t>
      </w:r>
      <w:r w:rsidR="00B53676" w:rsidRPr="00614125">
        <w:rPr>
          <w:rFonts w:ascii="Arial" w:hAnsi="Arial" w:cs="Times New Roman"/>
          <w:color w:val="000000" w:themeColor="text1"/>
        </w:rPr>
        <w:t xml:space="preserve">. </w:t>
      </w:r>
      <w:r w:rsidR="00604154" w:rsidRPr="00614125">
        <w:rPr>
          <w:rFonts w:ascii="Arial" w:hAnsi="Arial" w:cs="Times New Roman"/>
          <w:color w:val="000000" w:themeColor="text1"/>
        </w:rPr>
        <w:t xml:space="preserve">Since UHC promotes equal health care irrespective of socioeconomic status, in our index we give the same weight to all socioeconomic groups. </w:t>
      </w:r>
    </w:p>
    <w:p w14:paraId="22AD9929" w14:textId="77777777" w:rsidR="00572BCA" w:rsidRPr="00614125" w:rsidRDefault="00572BCA" w:rsidP="00337D8B">
      <w:pPr>
        <w:spacing w:before="120" w:after="120" w:line="360" w:lineRule="auto"/>
        <w:jc w:val="both"/>
        <w:rPr>
          <w:rFonts w:ascii="Arial" w:hAnsi="Arial" w:cs="Times New Roman"/>
          <w:color w:val="000000" w:themeColor="text1"/>
        </w:rPr>
      </w:pPr>
    </w:p>
    <w:p w14:paraId="78D97443" w14:textId="77777777" w:rsidR="00807302" w:rsidRPr="00614125" w:rsidRDefault="00807302" w:rsidP="00337D8B">
      <w:pPr>
        <w:spacing w:before="120" w:after="120" w:line="360" w:lineRule="auto"/>
        <w:jc w:val="both"/>
        <w:rPr>
          <w:rFonts w:ascii="Arial" w:hAnsi="Arial" w:cs="Times New Roman"/>
          <w:bCs/>
          <w:i/>
          <w:color w:val="000000" w:themeColor="text1"/>
        </w:rPr>
      </w:pPr>
      <w:r w:rsidRPr="00614125">
        <w:rPr>
          <w:rFonts w:ascii="Arial" w:hAnsi="Arial" w:cs="Times New Roman"/>
          <w:bCs/>
          <w:i/>
          <w:color w:val="000000" w:themeColor="text1"/>
        </w:rPr>
        <w:t>Service coverage</w:t>
      </w:r>
    </w:p>
    <w:p w14:paraId="54799D8E" w14:textId="4083C0BE" w:rsidR="00807302" w:rsidRPr="00614125" w:rsidRDefault="00807302" w:rsidP="00184E44">
      <w:pPr>
        <w:spacing w:before="120" w:after="120" w:line="360" w:lineRule="auto"/>
        <w:jc w:val="both"/>
        <w:rPr>
          <w:rFonts w:ascii="Arial" w:hAnsi="Arial"/>
          <w:color w:val="000000" w:themeColor="text1"/>
        </w:rPr>
      </w:pPr>
      <w:r w:rsidRPr="00614125">
        <w:rPr>
          <w:rFonts w:ascii="Arial" w:hAnsi="Arial" w:cs="Times New Roman"/>
          <w:color w:val="000000" w:themeColor="text1"/>
        </w:rPr>
        <w:t xml:space="preserve">In principle, promotive, preventive, curative, rehabilitative and palliative health services should be available </w:t>
      </w:r>
      <w:r w:rsidR="00DD4FD6" w:rsidRPr="00614125">
        <w:rPr>
          <w:rFonts w:ascii="Arial" w:hAnsi="Arial" w:cs="Times New Roman"/>
          <w:color w:val="000000" w:themeColor="text1"/>
        </w:rPr>
        <w:t xml:space="preserve">in order to </w:t>
      </w:r>
      <w:r w:rsidRPr="00614125">
        <w:rPr>
          <w:rFonts w:ascii="Arial" w:hAnsi="Arial" w:cs="Times New Roman"/>
          <w:color w:val="000000" w:themeColor="text1"/>
        </w:rPr>
        <w:t>achiev</w:t>
      </w:r>
      <w:r w:rsidR="006743AD" w:rsidRPr="00614125">
        <w:rPr>
          <w:rFonts w:ascii="Arial" w:hAnsi="Arial" w:cs="Times New Roman"/>
          <w:color w:val="000000" w:themeColor="text1"/>
        </w:rPr>
        <w:t>e</w:t>
      </w:r>
      <w:r w:rsidRPr="00614125">
        <w:rPr>
          <w:rFonts w:ascii="Arial" w:hAnsi="Arial" w:cs="Times New Roman"/>
          <w:color w:val="000000" w:themeColor="text1"/>
        </w:rPr>
        <w:t xml:space="preserve"> UHC in </w:t>
      </w:r>
      <w:r w:rsidR="006743AD" w:rsidRPr="00614125">
        <w:rPr>
          <w:rFonts w:ascii="Arial" w:hAnsi="Arial" w:cs="Times New Roman"/>
          <w:color w:val="000000" w:themeColor="text1"/>
        </w:rPr>
        <w:t xml:space="preserve">a given </w:t>
      </w:r>
      <w:r w:rsidRPr="00614125">
        <w:rPr>
          <w:rFonts w:ascii="Arial" w:hAnsi="Arial" w:cs="Times New Roman"/>
          <w:color w:val="000000" w:themeColor="text1"/>
        </w:rPr>
        <w:t xml:space="preserve">country. </w:t>
      </w:r>
      <w:r w:rsidR="006743AD" w:rsidRPr="00614125">
        <w:rPr>
          <w:rFonts w:ascii="Arial" w:hAnsi="Arial" w:cs="Times New Roman"/>
          <w:color w:val="000000" w:themeColor="text1"/>
        </w:rPr>
        <w:t>Practically</w:t>
      </w:r>
      <w:r w:rsidRPr="00614125">
        <w:rPr>
          <w:rFonts w:ascii="Arial" w:hAnsi="Arial" w:cs="Times New Roman"/>
          <w:color w:val="000000" w:themeColor="text1"/>
        </w:rPr>
        <w:t xml:space="preserve">, countries have different </w:t>
      </w:r>
      <w:r w:rsidR="00795188" w:rsidRPr="00614125">
        <w:rPr>
          <w:rFonts w:ascii="Arial" w:hAnsi="Arial" w:cs="Times New Roman"/>
          <w:color w:val="000000" w:themeColor="text1"/>
        </w:rPr>
        <w:t xml:space="preserve">health </w:t>
      </w:r>
      <w:r w:rsidRPr="00614125">
        <w:rPr>
          <w:rFonts w:ascii="Arial" w:hAnsi="Arial" w:cs="Times New Roman"/>
          <w:color w:val="000000" w:themeColor="text1"/>
        </w:rPr>
        <w:t>priorities</w:t>
      </w:r>
      <w:r w:rsidR="000F45C5" w:rsidRPr="00614125">
        <w:rPr>
          <w:rFonts w:ascii="Arial" w:hAnsi="Arial" w:cs="Times New Roman"/>
          <w:color w:val="000000" w:themeColor="text1"/>
        </w:rPr>
        <w:t>; many countries</w:t>
      </w:r>
      <w:r w:rsidR="00DE1D36" w:rsidRPr="00614125">
        <w:rPr>
          <w:rFonts w:ascii="Arial" w:hAnsi="Arial" w:cs="Times New Roman"/>
          <w:color w:val="000000" w:themeColor="text1"/>
        </w:rPr>
        <w:t>, for example,</w:t>
      </w:r>
      <w:r w:rsidR="000F45C5" w:rsidRPr="00614125">
        <w:rPr>
          <w:rFonts w:ascii="Arial" w:hAnsi="Arial" w:cs="Times New Roman"/>
          <w:color w:val="000000" w:themeColor="text1"/>
        </w:rPr>
        <w:t xml:space="preserve"> require</w:t>
      </w:r>
      <w:r w:rsidR="00B3221C" w:rsidRPr="00614125">
        <w:rPr>
          <w:rFonts w:ascii="Arial" w:hAnsi="Arial" w:cs="Times New Roman"/>
          <w:color w:val="000000" w:themeColor="text1"/>
        </w:rPr>
        <w:t xml:space="preserve"> </w:t>
      </w:r>
      <w:r w:rsidR="00FE58FB" w:rsidRPr="00614125">
        <w:rPr>
          <w:rFonts w:ascii="Arial" w:hAnsi="Arial" w:cs="Times New Roman"/>
          <w:color w:val="000000" w:themeColor="text1"/>
        </w:rPr>
        <w:t xml:space="preserve">priority services </w:t>
      </w:r>
      <w:r w:rsidR="000F45C5" w:rsidRPr="00614125">
        <w:rPr>
          <w:rFonts w:ascii="Arial" w:hAnsi="Arial" w:cs="Times New Roman"/>
          <w:color w:val="000000" w:themeColor="text1"/>
        </w:rPr>
        <w:t>for</w:t>
      </w:r>
      <w:r w:rsidR="00BC7210" w:rsidRPr="00614125">
        <w:rPr>
          <w:rFonts w:ascii="Arial" w:hAnsi="Arial" w:cs="Times New Roman"/>
          <w:color w:val="000000" w:themeColor="text1"/>
        </w:rPr>
        <w:t xml:space="preserve"> malaria, HIV/AIDS and</w:t>
      </w:r>
      <w:r w:rsidR="00FE58FB" w:rsidRPr="00614125">
        <w:rPr>
          <w:rFonts w:ascii="Arial" w:hAnsi="Arial" w:cs="Times New Roman"/>
          <w:color w:val="000000" w:themeColor="text1"/>
        </w:rPr>
        <w:t xml:space="preserve"> tuberculosis</w:t>
      </w:r>
      <w:r w:rsidR="00BC7210" w:rsidRPr="00614125">
        <w:rPr>
          <w:rFonts w:ascii="Arial" w:hAnsi="Arial" w:cs="Times New Roman"/>
          <w:color w:val="000000" w:themeColor="text1"/>
        </w:rPr>
        <w:t xml:space="preserve">. </w:t>
      </w:r>
      <w:r w:rsidRPr="00614125">
        <w:rPr>
          <w:rFonts w:ascii="Arial" w:hAnsi="Arial" w:cs="Times New Roman"/>
          <w:color w:val="000000" w:themeColor="text1"/>
        </w:rPr>
        <w:t xml:space="preserve">However, some services are commonly found in </w:t>
      </w:r>
      <w:r w:rsidR="00344296" w:rsidRPr="00614125">
        <w:rPr>
          <w:rFonts w:ascii="Arial" w:hAnsi="Arial" w:cs="Times New Roman"/>
          <w:color w:val="000000" w:themeColor="text1"/>
        </w:rPr>
        <w:t xml:space="preserve">all </w:t>
      </w:r>
      <w:r w:rsidRPr="00614125">
        <w:rPr>
          <w:rFonts w:ascii="Arial" w:hAnsi="Arial" w:cs="Times New Roman"/>
          <w:color w:val="000000" w:themeColor="text1"/>
        </w:rPr>
        <w:t xml:space="preserve">countries, </w:t>
      </w:r>
      <w:r w:rsidR="006743AD" w:rsidRPr="00614125">
        <w:rPr>
          <w:rFonts w:ascii="Arial" w:hAnsi="Arial" w:cs="Times New Roman"/>
          <w:color w:val="000000" w:themeColor="text1"/>
        </w:rPr>
        <w:t>including</w:t>
      </w:r>
      <w:r w:rsidRPr="00614125">
        <w:rPr>
          <w:rFonts w:ascii="Arial" w:hAnsi="Arial" w:cs="Times New Roman"/>
          <w:color w:val="000000" w:themeColor="text1"/>
        </w:rPr>
        <w:t>, out-</w:t>
      </w:r>
      <w:r w:rsidR="006743AD" w:rsidRPr="00614125">
        <w:rPr>
          <w:rFonts w:ascii="Arial" w:hAnsi="Arial" w:cs="Times New Roman"/>
          <w:color w:val="000000" w:themeColor="text1"/>
        </w:rPr>
        <w:t xml:space="preserve">patient </w:t>
      </w:r>
      <w:r w:rsidRPr="00614125">
        <w:rPr>
          <w:rFonts w:ascii="Arial" w:hAnsi="Arial" w:cs="Times New Roman"/>
          <w:color w:val="000000" w:themeColor="text1"/>
        </w:rPr>
        <w:t>and inpatient services</w:t>
      </w:r>
      <w:r w:rsidR="006743AD" w:rsidRPr="00614125">
        <w:rPr>
          <w:rFonts w:ascii="Arial" w:hAnsi="Arial" w:cs="Times New Roman"/>
          <w:color w:val="000000" w:themeColor="text1"/>
        </w:rPr>
        <w:t xml:space="preserve"> and immunization</w:t>
      </w:r>
      <w:r w:rsidRPr="00614125">
        <w:rPr>
          <w:rFonts w:ascii="Arial" w:hAnsi="Arial" w:cs="Times New Roman"/>
          <w:color w:val="000000" w:themeColor="text1"/>
        </w:rPr>
        <w:t xml:space="preserve">. </w:t>
      </w:r>
      <w:r w:rsidR="000F45C5" w:rsidRPr="00614125">
        <w:rPr>
          <w:rFonts w:ascii="Arial" w:hAnsi="Arial" w:cs="Times New Roman"/>
          <w:color w:val="000000" w:themeColor="text1"/>
        </w:rPr>
        <w:t>Despite differences between countries</w:t>
      </w:r>
      <w:r w:rsidR="00184E44" w:rsidRPr="00614125">
        <w:rPr>
          <w:rFonts w:ascii="Arial" w:hAnsi="Arial" w:cs="Times New Roman"/>
          <w:color w:val="000000" w:themeColor="text1"/>
        </w:rPr>
        <w:t xml:space="preserve">, </w:t>
      </w:r>
      <w:r w:rsidR="00C8604F" w:rsidRPr="00614125">
        <w:rPr>
          <w:rFonts w:ascii="Arial" w:hAnsi="Arial" w:cs="Times New Roman"/>
          <w:color w:val="000000" w:themeColor="text1"/>
        </w:rPr>
        <w:t xml:space="preserve">UHC </w:t>
      </w:r>
      <w:r w:rsidR="000F45C5" w:rsidRPr="00614125">
        <w:rPr>
          <w:rFonts w:ascii="Arial" w:hAnsi="Arial" w:cs="Times New Roman"/>
          <w:color w:val="000000" w:themeColor="text1"/>
        </w:rPr>
        <w:t xml:space="preserve">puts </w:t>
      </w:r>
      <w:r w:rsidR="00C8604F" w:rsidRPr="00614125">
        <w:rPr>
          <w:rFonts w:ascii="Arial" w:hAnsi="Arial" w:cs="Times New Roman"/>
          <w:color w:val="000000" w:themeColor="text1"/>
        </w:rPr>
        <w:t>emphasis on</w:t>
      </w:r>
      <w:r w:rsidR="000F45C5" w:rsidRPr="00614125">
        <w:rPr>
          <w:rFonts w:ascii="Arial" w:hAnsi="Arial" w:cs="Times New Roman"/>
          <w:color w:val="000000" w:themeColor="text1"/>
        </w:rPr>
        <w:t xml:space="preserve"> the</w:t>
      </w:r>
      <w:r w:rsidR="00C8604F" w:rsidRPr="00614125">
        <w:rPr>
          <w:rFonts w:ascii="Arial" w:hAnsi="Arial" w:cs="Times New Roman"/>
          <w:color w:val="000000" w:themeColor="text1"/>
        </w:rPr>
        <w:t xml:space="preserve"> utiliz</w:t>
      </w:r>
      <w:r w:rsidR="000F45C5" w:rsidRPr="00614125">
        <w:rPr>
          <w:rFonts w:ascii="Arial" w:hAnsi="Arial" w:cs="Times New Roman"/>
          <w:color w:val="000000" w:themeColor="text1"/>
        </w:rPr>
        <w:t>ation of</w:t>
      </w:r>
      <w:r w:rsidR="00BC7210" w:rsidRPr="00614125">
        <w:rPr>
          <w:rFonts w:ascii="Arial" w:hAnsi="Arial" w:cs="Times New Roman"/>
          <w:color w:val="000000" w:themeColor="text1"/>
        </w:rPr>
        <w:t xml:space="preserve"> </w:t>
      </w:r>
      <w:r w:rsidR="00C8604F" w:rsidRPr="00614125">
        <w:rPr>
          <w:rFonts w:ascii="Arial" w:hAnsi="Arial" w:cs="Times New Roman"/>
          <w:color w:val="000000" w:themeColor="text1"/>
        </w:rPr>
        <w:t>health services</w:t>
      </w:r>
      <w:r w:rsidR="00184E44" w:rsidRPr="00614125">
        <w:rPr>
          <w:rFonts w:ascii="Arial" w:hAnsi="Arial" w:cs="Times New Roman"/>
          <w:color w:val="000000" w:themeColor="text1"/>
        </w:rPr>
        <w:t xml:space="preserve"> by people in need</w:t>
      </w:r>
      <w:r w:rsidR="000F45C5" w:rsidRPr="00614125">
        <w:rPr>
          <w:rFonts w:ascii="Arial" w:hAnsi="Arial" w:cs="Times New Roman"/>
          <w:color w:val="000000" w:themeColor="text1"/>
        </w:rPr>
        <w:t>,</w:t>
      </w:r>
      <w:r w:rsidR="00C8604F" w:rsidRPr="00614125">
        <w:rPr>
          <w:rFonts w:ascii="Arial" w:hAnsi="Arial" w:cs="Times New Roman"/>
          <w:color w:val="000000" w:themeColor="text1"/>
        </w:rPr>
        <w:t xml:space="preserve"> rather than </w:t>
      </w:r>
      <w:r w:rsidR="00DE1D36" w:rsidRPr="00614125">
        <w:rPr>
          <w:rFonts w:ascii="Arial" w:hAnsi="Arial" w:cs="Times New Roman"/>
          <w:color w:val="000000" w:themeColor="text1"/>
        </w:rPr>
        <w:t xml:space="preserve">the </w:t>
      </w:r>
      <w:r w:rsidR="00C8604F" w:rsidRPr="00614125">
        <w:rPr>
          <w:rFonts w:ascii="Arial" w:hAnsi="Arial" w:cs="Times New Roman"/>
          <w:noProof/>
          <w:color w:val="000000" w:themeColor="text1"/>
        </w:rPr>
        <w:t>availability</w:t>
      </w:r>
      <w:r w:rsidR="000F45C5" w:rsidRPr="00614125">
        <w:rPr>
          <w:rFonts w:ascii="Arial" w:hAnsi="Arial" w:cs="Times New Roman"/>
          <w:color w:val="000000" w:themeColor="text1"/>
        </w:rPr>
        <w:t xml:space="preserve"> of different services</w:t>
      </w:r>
      <w:r w:rsidR="003D233F" w:rsidRPr="00614125">
        <w:rPr>
          <w:rFonts w:ascii="Arial" w:hAnsi="Arial" w:cs="Times New Roman"/>
          <w:color w:val="000000" w:themeColor="text1"/>
        </w:rPr>
        <w:t xml:space="preserve"> </w:t>
      </w:r>
      <w:r w:rsidR="00DB0BCD" w:rsidRPr="00614125">
        <w:rPr>
          <w:rFonts w:ascii="Arial" w:hAnsi="Arial" w:cs="Times New Roman"/>
          <w:color w:val="000000" w:themeColor="text1"/>
        </w:rPr>
        <w:fldChar w:fldCharType="begin" w:fldLock="1"/>
      </w:r>
      <w:r w:rsidR="003B3F6D" w:rsidRPr="00614125">
        <w:rPr>
          <w:rFonts w:ascii="Arial" w:hAnsi="Arial" w:cs="Times New Roman"/>
          <w:color w:val="000000" w:themeColor="text1"/>
        </w:rPr>
        <w:instrText>ADDIN CSL_CITATION {"citationItems":[{"id":"ITEM-1","itemData":{"DOI":"10.1377/hlthaff.2014.1453","ISSN":"0278-2715","author":[{"dropping-particle":"","family":"Wagstaff","given":"a.","non-dropping-particle":"","parse-names":false,"suffix":""},{"dropping-particle":"","family":"Dmytraczenko","given":"T.","non-dropping-particle":"","parse-names":false,"suffix":""},{"dropping-particle":"","family":"Almeida","given":"G.","non-dropping-particle":"","parse-names":false,"suffix":""},{"dropping-particle":"","family":"Buisman","given":"L.","non-dropping-particle":"","parse-names":false,"suffix":""},{"dropping-particle":"","family":"Hoang-Vu Eozenou","given":"P.","non-dropping-particle":"","parse-names":false,"suffix":""},{"dropping-particle":"","family":"Bredenkamp","given":"C.","non-dropping-particle":"","parse-names":false,"suffix":""},{"dropping-particle":"","family":"Cercone","given":"J. a.","non-dropping-particle":"","parse-names":false,"suffix":""},{"dropping-particle":"","family":"Diaz","given":"Y.","non-dropping-particle":"","parse-names":false,"suffix":""},{"dropping-particle":"","family":"Maceira","given":"D.","non-dropping-particle":"","parse-names":false,"suffix":""},{"dropping-particle":"","family":"Molina","given":"S.","non-dropping-particle":"","parse-names":false,"suffix":""},{"dropping-particle":"","family":"Paraje","given":"G.","non-dropping-particle":"","parse-names":false,"suffix":""},{"dropping-particle":"","family":"Ruiz","given":"F.","non-dropping-particle":"","parse-names":false,"suffix":""},{"dropping-particle":"","family":"Sarti","given":"F.","non-dropping-particle":"","parse-names":false,"suffix":""},{"dropping-particle":"","family":"Scott","given":"J.","non-dropping-particle":"","parse-names":false,"suffix":""},{"dropping-particle":"","family":"Valdivia","given":"M.","non-dropping-particle":"","parse-names":false,"suffix":""},{"dropping-particle":"","family":"Werneck","given":"H.","non-dropping-particle":"","parse-names":false,"suffix":""}],"container-title":"Health Affairs","id":"ITEM-1","issue":"10","issued":{"date-parts":[["2015"]]},"page":"1704-1712","title":"Assessing Latin America's Progress Toward Achieving Universal Health Coverage","type":"article-journal","volume":"34"},"uris":["http://www.mendeley.com/documents/?uuid=d1ecfd68-75a0-4b7e-9324-a6f415bb3431"]},{"id":"ITEM-2","itemData":{"DOI":"10.1093/oxrep/grv019","ISSN":"14602121","abstract":"The last few years have seen a growing commitment worldwide to universal health coverage (UHC). Yet there is a lack of clarity on how to measure progress towards UHC. This paper proposes a ‘mashup’ index that captures both aspects of UHC: that everyone—irrespective of their ability-to- pay—gets the health services they need; and that nobody suffers undue financial hardship as a result of receiving care. Service coverage is broken down into prevention and treat- ment, and financial protection into impoverishment and catastrophic spending; nationally representative household survey data are used to adjust population averages to capture inequalities between the poor and better off; nonlinear tradeoffs are allowed between and within the two dimensions of the UHC index; and all indicators are expressed such that scores run from 0 to 100, and higher scores are better. In a sample of 24 countries for which there are detailed information on UHC-inspired reforms, a cluster of high-performing countries emerges with UHC scores of between 79 and 84 (Brazil, Colombia, Costa Rica, Mexico and South Africa) and a cluster of low-performing countries emerges with UHC scores in the range 35–57 (Ethiopia, Guatemala, India, Indonesia and Vietnam). Countries have mostly improved their UHC scores between the earliest and latest years for which there are data—by about 5 points on average; however, the improvement has come from increases in receipt of key health interventions, not from reductions in the incidence of out-of-pocket payments on welfare","author":[{"dropping-particle":"","family":"Wagstaff","given":"Adam","non-dropping-particle":"","parse-names":false,"suffix":""},{"dropping-particle":"","family":"Cotlear","given":"Daniel","non-dropping-particle":"","parse-names":false,"suffix":""},{"dropping-particle":"","family":"Eozenou","given":"Patrick Hoang Vu","non-dropping-particle":"","parse-names":false,"suffix":""},{"dropping-particle":"","family":"Buisman","given":"Leander R.","non-dropping-particle":"","parse-names":false,"suffix":""}],"container-title":"Oxford Review of Economic Policy","id":"ITEM-2","issue":"1","issued":{"date-parts":[["2016"]]},"page":"147-189","title":"Measuring progress towards universal health coverage: With an application to 24 developing countries","type":"article-journal","volume":"32"},"uris":["http://www.mendeley.com/documents/?uuid=5683d862-8468-4748-9946-69ac1b89320a"]}],"mendeley":{"formattedCitation":"[5,8]","plainTextFormattedCitation":"[5,8]","previouslyFormattedCitation":"[5,8]"},"properties":{"noteIndex":0},"schema":"https://github.com/citation-style-language/schema/raw/master/csl-citation.json"}</w:instrText>
      </w:r>
      <w:r w:rsidR="00DB0BCD" w:rsidRPr="00614125">
        <w:rPr>
          <w:rFonts w:ascii="Arial" w:hAnsi="Arial" w:cs="Times New Roman"/>
          <w:color w:val="000000" w:themeColor="text1"/>
        </w:rPr>
        <w:fldChar w:fldCharType="separate"/>
      </w:r>
      <w:r w:rsidR="00604FF7" w:rsidRPr="00614125">
        <w:rPr>
          <w:rFonts w:ascii="Arial" w:hAnsi="Arial" w:cs="Times New Roman"/>
          <w:noProof/>
          <w:color w:val="000000" w:themeColor="text1"/>
        </w:rPr>
        <w:t>[5,8]</w:t>
      </w:r>
      <w:r w:rsidR="00DB0BCD" w:rsidRPr="00614125">
        <w:rPr>
          <w:rFonts w:ascii="Arial" w:hAnsi="Arial" w:cs="Times New Roman"/>
          <w:color w:val="000000" w:themeColor="text1"/>
        </w:rPr>
        <w:fldChar w:fldCharType="end"/>
      </w:r>
      <w:r w:rsidR="00C8604F" w:rsidRPr="00614125">
        <w:rPr>
          <w:rFonts w:ascii="Arial" w:hAnsi="Arial" w:cs="Times New Roman"/>
          <w:color w:val="000000" w:themeColor="text1"/>
        </w:rPr>
        <w:t xml:space="preserve">. </w:t>
      </w:r>
    </w:p>
    <w:p w14:paraId="0451783A" w14:textId="77777777" w:rsidR="009106EE" w:rsidRPr="00614125" w:rsidRDefault="009106EE" w:rsidP="00337D8B">
      <w:pPr>
        <w:spacing w:before="120" w:after="120" w:line="360" w:lineRule="auto"/>
        <w:jc w:val="both"/>
        <w:rPr>
          <w:rFonts w:ascii="Arial" w:hAnsi="Arial" w:cs="Times New Roman"/>
          <w:bCs/>
          <w:i/>
          <w:color w:val="000000" w:themeColor="text1"/>
        </w:rPr>
      </w:pPr>
    </w:p>
    <w:p w14:paraId="21A6AAD4" w14:textId="77777777" w:rsidR="00807302" w:rsidRPr="00614125" w:rsidRDefault="00807302" w:rsidP="00337D8B">
      <w:pPr>
        <w:spacing w:before="120" w:after="120" w:line="360" w:lineRule="auto"/>
        <w:jc w:val="both"/>
        <w:rPr>
          <w:rFonts w:ascii="Arial" w:hAnsi="Arial" w:cs="Times New Roman"/>
          <w:bCs/>
          <w:color w:val="000000" w:themeColor="text1"/>
        </w:rPr>
      </w:pPr>
      <w:r w:rsidRPr="00614125">
        <w:rPr>
          <w:rFonts w:ascii="Arial" w:hAnsi="Arial" w:cs="Times New Roman"/>
          <w:bCs/>
          <w:i/>
          <w:color w:val="000000" w:themeColor="text1"/>
        </w:rPr>
        <w:t xml:space="preserve">Financial risk protection </w:t>
      </w:r>
    </w:p>
    <w:p w14:paraId="11F44369" w14:textId="4D31D6EC" w:rsidR="00807302" w:rsidRPr="00614125" w:rsidRDefault="00807302" w:rsidP="00337D8B">
      <w:pPr>
        <w:spacing w:before="120" w:after="120" w:line="360" w:lineRule="auto"/>
        <w:jc w:val="both"/>
        <w:rPr>
          <w:rFonts w:ascii="Arial" w:hAnsi="Arial" w:cs="Times New Roman"/>
          <w:color w:val="000000" w:themeColor="text1"/>
        </w:rPr>
      </w:pPr>
      <w:r w:rsidRPr="00614125">
        <w:rPr>
          <w:rFonts w:ascii="Arial" w:hAnsi="Arial" w:cs="Times New Roman"/>
          <w:color w:val="000000" w:themeColor="text1"/>
        </w:rPr>
        <w:t xml:space="preserve">Financial risk protection </w:t>
      </w:r>
      <w:r w:rsidR="0080082E" w:rsidRPr="00614125">
        <w:rPr>
          <w:rFonts w:ascii="Arial" w:hAnsi="Arial" w:cs="Times New Roman"/>
          <w:color w:val="000000" w:themeColor="text1"/>
        </w:rPr>
        <w:t xml:space="preserve">(FRP) </w:t>
      </w:r>
      <w:r w:rsidR="00B7350F" w:rsidRPr="00614125">
        <w:rPr>
          <w:rFonts w:ascii="Arial" w:hAnsi="Arial" w:cs="Times New Roman"/>
          <w:color w:val="000000" w:themeColor="text1"/>
        </w:rPr>
        <w:t xml:space="preserve">means that payment for healthcare is not a barrier </w:t>
      </w:r>
      <w:r w:rsidR="00DE1D36" w:rsidRPr="00614125">
        <w:rPr>
          <w:rFonts w:ascii="Arial" w:hAnsi="Arial" w:cs="Times New Roman"/>
          <w:noProof/>
          <w:color w:val="000000" w:themeColor="text1"/>
        </w:rPr>
        <w:t>to</w:t>
      </w:r>
      <w:r w:rsidR="00B7350F" w:rsidRPr="00614125">
        <w:rPr>
          <w:rFonts w:ascii="Arial" w:hAnsi="Arial" w:cs="Times New Roman"/>
          <w:color w:val="000000" w:themeColor="text1"/>
        </w:rPr>
        <w:t xml:space="preserve"> utilizing health services and people do not get poorer by paying for healthcare.</w:t>
      </w:r>
      <w:r w:rsidRPr="00614125">
        <w:rPr>
          <w:rFonts w:ascii="Arial" w:hAnsi="Arial" w:cs="Times New Roman"/>
          <w:color w:val="000000" w:themeColor="text1"/>
        </w:rPr>
        <w:t xml:space="preserve"> </w:t>
      </w:r>
      <w:r w:rsidR="00205ADA" w:rsidRPr="00614125">
        <w:rPr>
          <w:rFonts w:ascii="Arial" w:hAnsi="Arial" w:cs="Times New Roman"/>
          <w:color w:val="000000" w:themeColor="text1"/>
        </w:rPr>
        <w:t>An essential componen</w:t>
      </w:r>
      <w:r w:rsidRPr="00614125">
        <w:rPr>
          <w:rFonts w:ascii="Arial" w:hAnsi="Arial" w:cs="Times New Roman"/>
          <w:color w:val="000000" w:themeColor="text1"/>
        </w:rPr>
        <w:t xml:space="preserve">t of </w:t>
      </w:r>
      <w:r w:rsidR="0080082E" w:rsidRPr="00614125">
        <w:rPr>
          <w:rFonts w:ascii="Arial" w:hAnsi="Arial" w:cs="Times New Roman"/>
          <w:color w:val="000000" w:themeColor="text1"/>
        </w:rPr>
        <w:t>UHC</w:t>
      </w:r>
      <w:r w:rsidRPr="00614125">
        <w:rPr>
          <w:rFonts w:ascii="Arial" w:hAnsi="Arial" w:cs="Times New Roman"/>
          <w:color w:val="000000" w:themeColor="text1"/>
        </w:rPr>
        <w:t xml:space="preserve"> is to ensure </w:t>
      </w:r>
      <w:r w:rsidR="0080082E" w:rsidRPr="00614125">
        <w:rPr>
          <w:rFonts w:ascii="Arial" w:hAnsi="Arial" w:cs="Times New Roman"/>
          <w:color w:val="000000" w:themeColor="text1"/>
        </w:rPr>
        <w:t>FRP</w:t>
      </w:r>
      <w:r w:rsidRPr="00614125">
        <w:rPr>
          <w:rFonts w:ascii="Arial" w:hAnsi="Arial" w:cs="Times New Roman"/>
          <w:color w:val="000000" w:themeColor="text1"/>
        </w:rPr>
        <w:t xml:space="preserve"> for all people in need of health services</w:t>
      </w:r>
      <w:r w:rsidR="00BC7210" w:rsidRPr="00614125">
        <w:rPr>
          <w:rFonts w:ascii="Arial" w:hAnsi="Arial" w:cs="Times New Roman"/>
          <w:color w:val="000000" w:themeColor="text1"/>
        </w:rPr>
        <w:t>,</w:t>
      </w:r>
      <w:r w:rsidRPr="00614125">
        <w:rPr>
          <w:rFonts w:ascii="Arial" w:hAnsi="Arial" w:cs="Times New Roman"/>
          <w:color w:val="000000" w:themeColor="text1"/>
        </w:rPr>
        <w:t xml:space="preserve"> </w:t>
      </w:r>
      <w:r w:rsidR="00F57888" w:rsidRPr="00614125">
        <w:rPr>
          <w:rFonts w:ascii="Arial" w:hAnsi="Arial" w:cs="Times New Roman"/>
          <w:color w:val="000000" w:themeColor="text1"/>
        </w:rPr>
        <w:t xml:space="preserve">once again, </w:t>
      </w:r>
      <w:r w:rsidRPr="00614125">
        <w:rPr>
          <w:rFonts w:ascii="Arial" w:hAnsi="Arial" w:cs="Times New Roman"/>
          <w:color w:val="000000" w:themeColor="text1"/>
        </w:rPr>
        <w:t xml:space="preserve">irrespective of </w:t>
      </w:r>
      <w:r w:rsidR="00205ADA" w:rsidRPr="00614125">
        <w:rPr>
          <w:rFonts w:ascii="Arial" w:hAnsi="Arial" w:cs="Times New Roman"/>
          <w:color w:val="000000" w:themeColor="text1"/>
        </w:rPr>
        <w:t xml:space="preserve">socioeconomic status. It </w:t>
      </w:r>
      <w:r w:rsidR="00F57888" w:rsidRPr="00614125">
        <w:rPr>
          <w:rFonts w:ascii="Arial" w:hAnsi="Arial" w:cs="Times New Roman"/>
          <w:color w:val="000000" w:themeColor="text1"/>
        </w:rPr>
        <w:t>is well documented</w:t>
      </w:r>
      <w:r w:rsidRPr="00614125">
        <w:rPr>
          <w:rFonts w:ascii="Arial" w:hAnsi="Arial" w:cs="Times New Roman"/>
          <w:color w:val="000000" w:themeColor="text1"/>
        </w:rPr>
        <w:t xml:space="preserve"> that </w:t>
      </w:r>
      <w:r w:rsidRPr="00614125">
        <w:rPr>
          <w:rFonts w:ascii="Arial" w:hAnsi="Arial" w:cs="Times New Roman"/>
          <w:color w:val="000000" w:themeColor="text1"/>
        </w:rPr>
        <w:lastRenderedPageBreak/>
        <w:t>households</w:t>
      </w:r>
      <w:r w:rsidR="00F57888" w:rsidRPr="00614125">
        <w:rPr>
          <w:rFonts w:ascii="Arial" w:hAnsi="Arial" w:cs="Times New Roman"/>
          <w:color w:val="000000" w:themeColor="text1"/>
        </w:rPr>
        <w:t xml:space="preserve"> </w:t>
      </w:r>
      <w:r w:rsidR="000A2440" w:rsidRPr="00614125">
        <w:rPr>
          <w:rFonts w:ascii="Arial" w:hAnsi="Arial" w:cs="Times New Roman"/>
          <w:color w:val="000000" w:themeColor="text1"/>
        </w:rPr>
        <w:t>affected by disease and illness</w:t>
      </w:r>
      <w:r w:rsidRPr="00614125">
        <w:rPr>
          <w:rFonts w:ascii="Arial" w:hAnsi="Arial" w:cs="Times New Roman"/>
          <w:color w:val="000000" w:themeColor="text1"/>
        </w:rPr>
        <w:t xml:space="preserve"> </w:t>
      </w:r>
      <w:r w:rsidR="00F57888" w:rsidRPr="00614125">
        <w:rPr>
          <w:rFonts w:ascii="Arial" w:hAnsi="Arial" w:cs="Times New Roman"/>
          <w:color w:val="000000" w:themeColor="text1"/>
        </w:rPr>
        <w:t xml:space="preserve">often </w:t>
      </w:r>
      <w:r w:rsidRPr="00614125">
        <w:rPr>
          <w:rFonts w:ascii="Arial" w:hAnsi="Arial" w:cs="Times New Roman"/>
          <w:color w:val="000000" w:themeColor="text1"/>
        </w:rPr>
        <w:t xml:space="preserve">face </w:t>
      </w:r>
      <w:r w:rsidR="00F57888" w:rsidRPr="00614125">
        <w:rPr>
          <w:rFonts w:ascii="Arial" w:hAnsi="Arial" w:cs="Times New Roman"/>
          <w:color w:val="000000" w:themeColor="text1"/>
        </w:rPr>
        <w:t>‘</w:t>
      </w:r>
      <w:r w:rsidRPr="00614125">
        <w:rPr>
          <w:rFonts w:ascii="Arial" w:hAnsi="Arial" w:cs="Times New Roman"/>
          <w:color w:val="000000" w:themeColor="text1"/>
        </w:rPr>
        <w:t>catastrophic</w:t>
      </w:r>
      <w:r w:rsidR="00F57888" w:rsidRPr="00614125">
        <w:rPr>
          <w:rFonts w:ascii="Arial" w:hAnsi="Arial" w:cs="Times New Roman"/>
          <w:color w:val="000000" w:themeColor="text1"/>
        </w:rPr>
        <w:t>’</w:t>
      </w:r>
      <w:r w:rsidRPr="00614125">
        <w:rPr>
          <w:rFonts w:ascii="Arial" w:hAnsi="Arial" w:cs="Times New Roman"/>
          <w:color w:val="000000" w:themeColor="text1"/>
        </w:rPr>
        <w:t xml:space="preserve"> health expenditure</w:t>
      </w:r>
      <w:r w:rsidR="000A2440" w:rsidRPr="00614125">
        <w:rPr>
          <w:rFonts w:ascii="Arial" w:hAnsi="Arial" w:cs="Times New Roman"/>
          <w:color w:val="000000" w:themeColor="text1"/>
        </w:rPr>
        <w:t>, becoming</w:t>
      </w:r>
      <w:r w:rsidR="00446883" w:rsidRPr="00614125">
        <w:rPr>
          <w:rFonts w:ascii="Arial" w:hAnsi="Arial" w:cs="Times New Roman"/>
          <w:color w:val="000000" w:themeColor="text1"/>
        </w:rPr>
        <w:t xml:space="preserve"> </w:t>
      </w:r>
      <w:r w:rsidR="00B301D8" w:rsidRPr="00614125">
        <w:rPr>
          <w:rFonts w:ascii="Arial" w:hAnsi="Arial" w:cs="Times New Roman"/>
          <w:color w:val="000000" w:themeColor="text1"/>
        </w:rPr>
        <w:t>impoverished economically</w:t>
      </w:r>
      <w:r w:rsidR="00DB0BCD" w:rsidRPr="00614125">
        <w:rPr>
          <w:rFonts w:ascii="Arial" w:hAnsi="Arial" w:cs="Times New Roman"/>
          <w:color w:val="000000" w:themeColor="text1"/>
        </w:rPr>
        <w:t xml:space="preserve"> </w:t>
      </w:r>
      <w:r w:rsidR="00DB0BCD" w:rsidRPr="00614125">
        <w:rPr>
          <w:rFonts w:ascii="Arial" w:hAnsi="Arial" w:cs="Times New Roman"/>
          <w:color w:val="000000" w:themeColor="text1"/>
        </w:rPr>
        <w:fldChar w:fldCharType="begin" w:fldLock="1"/>
      </w:r>
      <w:r w:rsidR="003B3F6D" w:rsidRPr="00614125">
        <w:rPr>
          <w:rFonts w:ascii="Arial" w:hAnsi="Arial" w:cs="Times New Roman"/>
          <w:color w:val="000000" w:themeColor="text1"/>
        </w:rPr>
        <w:instrText>ADDIN CSL_CITATION {"citationItems":[{"id":"ITEM-1","itemData":{"DOI":"10.1093/heapol/czx048","author":[{"dropping-particle":"","family":"Khan","given":"JAM","non-dropping-particle":"","parse-names":false,"suffix":""},{"dropping-particle":"","family":"Ahmed","given":"S","non-dropping-particle":"","parse-names":false,"suffix":""},{"dropping-particle":"","family":"Evans","given":"TG","non-dropping-particle":"","parse-names":false,"suffix":""}],"container-title":"Health Policy and Planning","id":"ITEM-1","issued":{"date-parts":[["2017"]]},"page":"1-9","title":"Catastrophic Healthcare Expenditure and Poverty Related to Out-of-Pocket Payments for Healthcare in Bangladesh – An Estimation of Financial Risk Protection of Universal Health Coverage","type":"article-journal"},"uris":["http://www.mendeley.com/documents/?uuid=b2745d3b-aee1-4318-8d8d-238c4adc4bd1"]},{"id":"ITEM-2","itemData":{"DOI":"10.1002/hec.1209","ISSN":"1057-9230","PMID":"17311356","abstract":"Out-of-pocket (OOP) payments are the principal means of financing health care throughout much of Asia. We estimate the magnitude and distribution of OOP payments for health care in fourteen countries and territories accounting for 81% of the Asian population. We focus on payments that are catastrophic, in the sense of severely disrupting household living standards, and approximate such payments by those absorbing a large fraction of household resources. Bangladesh, China, India, Nepal and Vietnam rely most heavily on OOP financing and have the highest incidence of catastrophic payments. Sri Lanka, Thailand and Malaysia stand out as low to middle income countries that have constrained both the OOP share of health financing and the catastrophic impact of direct payments. In most low/middle-income countries, the better-off are more likely to spend a large fraction of total household resources on health care. This may reflect the inability of the poorest of the poor to divert resources from other basic needs and possibly the protection of the poor from user charges offered in some countries. But in China, Kyrgyz and Vietnam, where there are no exemptions of the poor from charges, they are as, or even more, likely to incur catastrophic payments.","author":[{"dropping-particle":"","family":"Doorslaer","given":"Eddy","non-dropping-particle":"van","parse-names":false,"suffix":""},{"dropping-particle":"","family":"O'Donnell","given":"Owen","non-dropping-particle":"","parse-names":false,"suffix":""},{"dropping-particle":"","family":"Rannan-Eliya","given":"Ravindra P","non-dropping-particle":"","parse-names":false,"suffix":""},{"dropping-particle":"","family":"Somanathan","given":"Aparnaa","non-dropping-particle":"","parse-names":false,"suffix":""},{"dropping-particle":"","family":"Adhikari","given":"Shiva Raj","non-dropping-particle":"","parse-names":false,"suffix":""},{"dropping-particle":"","family":"Garg","given":"Charu C","non-dropping-particle":"","parse-names":false,"suffix":""},{"dropping-particle":"","family":"Harbianto","given":"Deni","non-dropping-particle":"","parse-names":false,"suffix":""},{"dropping-particle":"","family":"Herrin","given":"Alejandro N","non-dropping-particle":"","parse-names":false,"suffix":""},{"dropping-particle":"","family":"Huq","given":"Mohammed Nazmul","non-dropping-particle":"","parse-names":false,"suffix":""},{"dropping-particle":"","family":"Ibragimova","given":"Shamsia","non-dropping-particle":"","parse-names":false,"suffix":""},{"dropping-particle":"","family":"Karan","given":"Anup","non-dropping-particle":"","parse-names":false,"suffix":""},{"dropping-particle":"","family":"Lee","given":"Tae-Jin","non-dropping-particle":"","parse-names":false,"suffix":""},{"dropping-particle":"","family":"Leung","given":"Gabriel M","non-dropping-particle":"","parse-names":false,"suffix":""},{"dropping-particle":"","family":"Lu","given":"Jui-Fen Rachel","non-dropping-particle":"","parse-names":false,"suffix":""},{"dropping-particle":"","family":"Ng","given":"Chiu Wan","non-dropping-particle":"","parse-names":false,"suffix":""},{"dropping-particle":"","family":"Pande","given":"Badri Raj","non-dropping-particle":"","parse-names":false,"suffix":""},{"dropping-particle":"","family":"Racelis","given":"Rachel","non-dropping-particle":"","parse-names":false,"suffix":""},{"dropping-particle":"","family":"Tao","given":"Sihai","non-dropping-particle":"","parse-names":false,"suffix":""},{"dropping-particle":"","family":"Tin","given":"Keith","non-dropping-particle":"","parse-names":false,"suffix":""},{"dropping-particle":"","family":"Tisayaticom","given":"Kanjana","non-dropping-particle":"","parse-names":false,"suffix":""},{"dropping-particle":"","family":"Trisnantoro","given":"Laksono","non-dropping-particle":"","parse-names":false,"suffix":""},{"dropping-particle":"","family":"Vasavid","given":"Chitpranee","non-dropping-particle":"","parse-names":false,"suffix":""},{"dropping-particle":"","family":"Zhao","given":"Yuxin","non-dropping-particle":"","parse-names":false,"suffix":""}],"container-title":"Health economics","id":"ITEM-2","issue":"11","issued":{"date-parts":[["2007","11"]]},"note":"4","page":"1159-84","title":"Catastrophic payments for health care in Asia.","type":"article-journal","volume":"16"},"uris":["http://www.mendeley.com/documents/?uuid=45779090-220d-4232-9ed1-0c44ec0fda84"]},{"id":"ITEM-3","itemData":{"DOI":"10.1377/hlthaff.26.4.972","ISSN":"1544-5208","PMID":"17630440","abstract":"Many countries rely heavily on patients' out-of-pocket payments to providers to finance their health care systems. This prevents some people from seeking care and results in financial catastrophe and impoverishment for others who do obtain care. Surveys in eighty-nine countries covering 89 percent of the world's population suggest that 150 million people globally suffer financial catastrophe annually because they pay for health services. Prepayment mechanisms protect people from financial catastrophe, but there is no strong evidence that social health insurance systems offer better or worse protection than tax-based systems do.","author":[{"dropping-particle":"","family":"Xu","given":"Ke","non-dropping-particle":"","parse-names":false,"suffix":""},{"dropping-particle":"","family":"Evans","given":"David B","non-dropping-particle":"","parse-names":false,"suffix":""},{"dropping-particle":"","family":"Carrin","given":"Guido","non-dropping-particle":"","parse-names":false,"suffix":""},{"dropping-particle":"","family":"Aguilar-Rivera","given":"Ana Mylena","non-dropping-particle":"","parse-names":false,"suffix":""},{"dropping-particle":"","family":"Musgrove","given":"Philip","non-dropping-particle":"","parse-names":false,"suffix":""},{"dropping-particle":"","family":"Evans","given":"Timothy","non-dropping-particle":"","parse-names":false,"suffix":""}],"container-title":"Health affairs (Project Hope)","id":"ITEM-3","issue":"4","issued":{"date-parts":[["2007"]]},"note":"3","page":"972-83","title":"Protecting households from catastrophic health spending.","type":"article-journal","volume":"26"},"uris":["http://www.mendeley.com/documents/?uuid=df654446-691e-44f2-8c00-8b1847791616"]}],"mendeley":{"formattedCitation":"[9–11]","plainTextFormattedCitation":"[9–11]","previouslyFormattedCitation":"[9–11]"},"properties":{"noteIndex":0},"schema":"https://github.com/citation-style-language/schema/raw/master/csl-citation.json"}</w:instrText>
      </w:r>
      <w:r w:rsidR="00DB0BCD" w:rsidRPr="00614125">
        <w:rPr>
          <w:rFonts w:ascii="Arial" w:hAnsi="Arial" w:cs="Times New Roman"/>
          <w:color w:val="000000" w:themeColor="text1"/>
        </w:rPr>
        <w:fldChar w:fldCharType="separate"/>
      </w:r>
      <w:r w:rsidR="00604FF7" w:rsidRPr="00614125">
        <w:rPr>
          <w:rFonts w:ascii="Arial" w:hAnsi="Arial" w:cs="Times New Roman"/>
          <w:noProof/>
          <w:color w:val="000000" w:themeColor="text1"/>
        </w:rPr>
        <w:t>[9–11]</w:t>
      </w:r>
      <w:r w:rsidR="00DB0BCD" w:rsidRPr="00614125">
        <w:rPr>
          <w:rFonts w:ascii="Arial" w:hAnsi="Arial" w:cs="Times New Roman"/>
          <w:color w:val="000000" w:themeColor="text1"/>
        </w:rPr>
        <w:fldChar w:fldCharType="end"/>
      </w:r>
      <w:r w:rsidR="004C73CD" w:rsidRPr="00614125">
        <w:rPr>
          <w:rFonts w:ascii="Arial" w:hAnsi="Arial" w:cs="Times New Roman"/>
          <w:color w:val="000000" w:themeColor="text1"/>
        </w:rPr>
        <w:t xml:space="preserve"> </w:t>
      </w:r>
      <w:r w:rsidRPr="00614125">
        <w:rPr>
          <w:rFonts w:ascii="Arial" w:hAnsi="Arial" w:cs="Times New Roman"/>
          <w:color w:val="000000" w:themeColor="text1"/>
        </w:rPr>
        <w:t xml:space="preserve">. We </w:t>
      </w:r>
      <w:r w:rsidR="000A2440" w:rsidRPr="00614125">
        <w:rPr>
          <w:rFonts w:ascii="Arial" w:hAnsi="Arial" w:cs="Times New Roman"/>
          <w:color w:val="000000" w:themeColor="text1"/>
        </w:rPr>
        <w:t>measure</w:t>
      </w:r>
      <w:r w:rsidR="00446883" w:rsidRPr="00614125">
        <w:rPr>
          <w:rFonts w:ascii="Arial" w:hAnsi="Arial" w:cs="Times New Roman"/>
          <w:color w:val="000000" w:themeColor="text1"/>
        </w:rPr>
        <w:t>d</w:t>
      </w:r>
      <w:r w:rsidR="000A2440" w:rsidRPr="00614125">
        <w:rPr>
          <w:rFonts w:ascii="Arial" w:hAnsi="Arial" w:cs="Times New Roman"/>
          <w:color w:val="000000" w:themeColor="text1"/>
        </w:rPr>
        <w:t xml:space="preserve"> the</w:t>
      </w:r>
      <w:r w:rsidRPr="00614125">
        <w:rPr>
          <w:rFonts w:ascii="Arial" w:hAnsi="Arial" w:cs="Times New Roman"/>
          <w:color w:val="000000" w:themeColor="text1"/>
        </w:rPr>
        <w:t xml:space="preserve"> </w:t>
      </w:r>
      <w:r w:rsidR="000A2440" w:rsidRPr="00614125">
        <w:rPr>
          <w:rFonts w:ascii="Arial" w:hAnsi="Arial" w:cs="Times New Roman"/>
          <w:color w:val="000000" w:themeColor="text1"/>
        </w:rPr>
        <w:t>FRP</w:t>
      </w:r>
      <w:r w:rsidRPr="00614125">
        <w:rPr>
          <w:rFonts w:ascii="Arial" w:hAnsi="Arial" w:cs="Times New Roman"/>
          <w:color w:val="000000" w:themeColor="text1"/>
        </w:rPr>
        <w:t xml:space="preserve"> situation in a coun</w:t>
      </w:r>
      <w:r w:rsidR="00205ADA" w:rsidRPr="00614125">
        <w:rPr>
          <w:rFonts w:ascii="Arial" w:hAnsi="Arial" w:cs="Times New Roman"/>
          <w:color w:val="000000" w:themeColor="text1"/>
        </w:rPr>
        <w:t xml:space="preserve">try </w:t>
      </w:r>
      <w:r w:rsidR="000A2440" w:rsidRPr="00614125">
        <w:rPr>
          <w:rFonts w:ascii="Arial" w:hAnsi="Arial" w:cs="Times New Roman"/>
          <w:color w:val="000000" w:themeColor="text1"/>
        </w:rPr>
        <w:t xml:space="preserve">using the proxy </w:t>
      </w:r>
      <w:r w:rsidR="000A2440" w:rsidRPr="00614125">
        <w:rPr>
          <w:rFonts w:ascii="Arial" w:hAnsi="Arial" w:cs="Times New Roman"/>
          <w:noProof/>
          <w:color w:val="000000" w:themeColor="text1"/>
        </w:rPr>
        <w:t>of</w:t>
      </w:r>
      <w:r w:rsidR="00205ADA" w:rsidRPr="00614125">
        <w:rPr>
          <w:rFonts w:ascii="Arial" w:hAnsi="Arial" w:cs="Times New Roman"/>
          <w:noProof/>
          <w:color w:val="000000" w:themeColor="text1"/>
        </w:rPr>
        <w:t xml:space="preserve"> the</w:t>
      </w:r>
      <w:r w:rsidR="00205ADA" w:rsidRPr="00614125">
        <w:rPr>
          <w:rFonts w:ascii="Arial" w:hAnsi="Arial" w:cs="Times New Roman"/>
          <w:color w:val="000000" w:themeColor="text1"/>
        </w:rPr>
        <w:t xml:space="preserve"> proportion of house</w:t>
      </w:r>
      <w:r w:rsidRPr="00614125">
        <w:rPr>
          <w:rFonts w:ascii="Arial" w:hAnsi="Arial" w:cs="Times New Roman"/>
          <w:color w:val="000000" w:themeColor="text1"/>
        </w:rPr>
        <w:t xml:space="preserve">holds that did </w:t>
      </w:r>
      <w:r w:rsidR="00205ADA" w:rsidRPr="00614125">
        <w:rPr>
          <w:rFonts w:ascii="Arial" w:hAnsi="Arial" w:cs="Times New Roman"/>
          <w:color w:val="000000" w:themeColor="text1"/>
        </w:rPr>
        <w:t>not face catastrophic health exp</w:t>
      </w:r>
      <w:r w:rsidRPr="00614125">
        <w:rPr>
          <w:rFonts w:ascii="Arial" w:hAnsi="Arial" w:cs="Times New Roman"/>
          <w:color w:val="000000" w:themeColor="text1"/>
        </w:rPr>
        <w:t>enditure for utilizing health</w:t>
      </w:r>
      <w:r w:rsidR="002C681D" w:rsidRPr="00614125">
        <w:rPr>
          <w:rFonts w:ascii="Arial" w:hAnsi="Arial" w:cs="Times New Roman"/>
          <w:color w:val="000000" w:themeColor="text1"/>
        </w:rPr>
        <w:t xml:space="preserve"> </w:t>
      </w:r>
      <w:r w:rsidRPr="00614125">
        <w:rPr>
          <w:rFonts w:ascii="Arial" w:hAnsi="Arial" w:cs="Times New Roman"/>
          <w:color w:val="000000" w:themeColor="text1"/>
        </w:rPr>
        <w:t>care</w:t>
      </w:r>
      <w:r w:rsidR="0080082E" w:rsidRPr="00614125">
        <w:rPr>
          <w:rFonts w:ascii="Arial" w:hAnsi="Arial" w:cs="Times New Roman"/>
          <w:color w:val="000000" w:themeColor="text1"/>
        </w:rPr>
        <w:t xml:space="preserve">. </w:t>
      </w:r>
      <w:r w:rsidRPr="00614125">
        <w:rPr>
          <w:rFonts w:ascii="Arial" w:hAnsi="Arial" w:cs="Times New Roman"/>
          <w:color w:val="000000" w:themeColor="text1"/>
        </w:rPr>
        <w:t>Like Wagstaff et al., we defin</w:t>
      </w:r>
      <w:r w:rsidR="000A2440" w:rsidRPr="00614125">
        <w:rPr>
          <w:rFonts w:ascii="Arial" w:hAnsi="Arial" w:cs="Times New Roman"/>
          <w:color w:val="000000" w:themeColor="text1"/>
        </w:rPr>
        <w:t>e</w:t>
      </w:r>
      <w:r w:rsidR="007C0B94" w:rsidRPr="00614125">
        <w:rPr>
          <w:rFonts w:ascii="Arial" w:hAnsi="Arial" w:cs="Times New Roman"/>
          <w:color w:val="000000" w:themeColor="text1"/>
        </w:rPr>
        <w:t xml:space="preserve"> a household to have experienced</w:t>
      </w:r>
      <w:r w:rsidR="000A2440" w:rsidRPr="00614125">
        <w:rPr>
          <w:rFonts w:ascii="Arial" w:hAnsi="Arial" w:cs="Times New Roman"/>
          <w:color w:val="000000" w:themeColor="text1"/>
        </w:rPr>
        <w:t xml:space="preserve"> </w:t>
      </w:r>
      <w:r w:rsidR="00905E27" w:rsidRPr="00614125">
        <w:rPr>
          <w:rFonts w:ascii="Arial" w:hAnsi="Arial" w:cs="Times New Roman"/>
          <w:i/>
          <w:color w:val="000000" w:themeColor="text1"/>
        </w:rPr>
        <w:t>c</w:t>
      </w:r>
      <w:r w:rsidR="000A2440" w:rsidRPr="00614125">
        <w:rPr>
          <w:rFonts w:ascii="Arial" w:hAnsi="Arial" w:cs="Times New Roman"/>
          <w:i/>
          <w:color w:val="000000" w:themeColor="text1"/>
        </w:rPr>
        <w:t>atastrophic</w:t>
      </w:r>
      <w:r w:rsidR="000A2440" w:rsidRPr="00614125">
        <w:rPr>
          <w:rFonts w:ascii="Arial" w:hAnsi="Arial" w:cs="Times New Roman"/>
          <w:color w:val="000000" w:themeColor="text1"/>
        </w:rPr>
        <w:t xml:space="preserve"> </w:t>
      </w:r>
      <w:r w:rsidR="00905E27" w:rsidRPr="00614125">
        <w:rPr>
          <w:rFonts w:ascii="Arial" w:hAnsi="Arial" w:cs="Times New Roman"/>
          <w:color w:val="000000" w:themeColor="text1"/>
        </w:rPr>
        <w:t xml:space="preserve">health </w:t>
      </w:r>
      <w:r w:rsidR="000A2440" w:rsidRPr="00614125">
        <w:rPr>
          <w:rFonts w:ascii="Arial" w:hAnsi="Arial" w:cs="Times New Roman"/>
          <w:color w:val="000000" w:themeColor="text1"/>
        </w:rPr>
        <w:t>expenditure</w:t>
      </w:r>
      <w:r w:rsidR="00905E27" w:rsidRPr="00614125">
        <w:rPr>
          <w:rFonts w:ascii="Arial" w:hAnsi="Arial" w:cs="Times New Roman"/>
          <w:color w:val="000000" w:themeColor="text1"/>
        </w:rPr>
        <w:t xml:space="preserve"> (CHE)</w:t>
      </w:r>
      <w:r w:rsidR="000A2440" w:rsidRPr="00614125">
        <w:rPr>
          <w:rFonts w:ascii="Arial" w:hAnsi="Arial" w:cs="Times New Roman"/>
          <w:color w:val="000000" w:themeColor="text1"/>
        </w:rPr>
        <w:t xml:space="preserve"> </w:t>
      </w:r>
      <w:r w:rsidR="007C0B94" w:rsidRPr="00614125">
        <w:rPr>
          <w:rFonts w:ascii="Arial" w:hAnsi="Arial" w:cs="Times New Roman"/>
          <w:color w:val="000000" w:themeColor="text1"/>
        </w:rPr>
        <w:t xml:space="preserve">if their </w:t>
      </w:r>
      <w:r w:rsidRPr="00614125">
        <w:rPr>
          <w:rFonts w:ascii="Arial" w:hAnsi="Arial" w:cs="Times New Roman"/>
          <w:color w:val="000000" w:themeColor="text1"/>
        </w:rPr>
        <w:t xml:space="preserve">health expenditure </w:t>
      </w:r>
      <w:r w:rsidR="007C0B94" w:rsidRPr="00614125">
        <w:rPr>
          <w:rFonts w:ascii="Arial" w:hAnsi="Arial" w:cs="Times New Roman"/>
          <w:color w:val="000000" w:themeColor="text1"/>
        </w:rPr>
        <w:t>in a given year is</w:t>
      </w:r>
      <w:r w:rsidR="00125379" w:rsidRPr="00614125">
        <w:rPr>
          <w:rFonts w:ascii="Arial" w:hAnsi="Arial" w:cs="Times New Roman"/>
          <w:color w:val="000000" w:themeColor="text1"/>
        </w:rPr>
        <w:t xml:space="preserve"> </w:t>
      </w:r>
      <w:r w:rsidRPr="00614125">
        <w:rPr>
          <w:rFonts w:ascii="Arial" w:hAnsi="Arial" w:cs="Times New Roman"/>
          <w:color w:val="000000" w:themeColor="text1"/>
        </w:rPr>
        <w:t>25% or more of their total household consumption ex</w:t>
      </w:r>
      <w:r w:rsidR="00205ADA" w:rsidRPr="00614125">
        <w:rPr>
          <w:rFonts w:ascii="Arial" w:hAnsi="Arial" w:cs="Times New Roman"/>
          <w:color w:val="000000" w:themeColor="text1"/>
        </w:rPr>
        <w:t>penditure</w:t>
      </w:r>
      <w:r w:rsidR="00BC7210" w:rsidRPr="00614125">
        <w:rPr>
          <w:rFonts w:ascii="Arial" w:hAnsi="Arial" w:cs="Times New Roman"/>
          <w:color w:val="000000" w:themeColor="text1"/>
        </w:rPr>
        <w:t xml:space="preserve">. </w:t>
      </w:r>
      <w:r w:rsidR="00DB064B" w:rsidRPr="00614125">
        <w:rPr>
          <w:rFonts w:ascii="Arial" w:hAnsi="Arial" w:cs="Times New Roman"/>
          <w:color w:val="000000" w:themeColor="text1"/>
        </w:rPr>
        <w:t xml:space="preserve">Those with expenditure below 25% </w:t>
      </w:r>
      <w:r w:rsidRPr="00614125">
        <w:rPr>
          <w:rFonts w:ascii="Arial" w:hAnsi="Arial" w:cs="Times New Roman"/>
          <w:color w:val="000000" w:themeColor="text1"/>
        </w:rPr>
        <w:t>are</w:t>
      </w:r>
      <w:r w:rsidR="00DB064B" w:rsidRPr="00614125">
        <w:rPr>
          <w:rFonts w:ascii="Arial" w:hAnsi="Arial" w:cs="Times New Roman"/>
          <w:color w:val="000000" w:themeColor="text1"/>
        </w:rPr>
        <w:t xml:space="preserve"> therefore</w:t>
      </w:r>
      <w:r w:rsidRPr="00614125">
        <w:rPr>
          <w:rFonts w:ascii="Arial" w:hAnsi="Arial" w:cs="Times New Roman"/>
          <w:color w:val="000000" w:themeColor="text1"/>
        </w:rPr>
        <w:t xml:space="preserve"> considered as protected from financial risk </w:t>
      </w:r>
      <w:r w:rsidR="00E84651" w:rsidRPr="00614125">
        <w:rPr>
          <w:rFonts w:ascii="Arial" w:hAnsi="Arial" w:cs="Times New Roman"/>
          <w:color w:val="000000" w:themeColor="text1"/>
        </w:rPr>
        <w:t>while utiliz</w:t>
      </w:r>
      <w:r w:rsidR="00A07EA8" w:rsidRPr="00614125">
        <w:rPr>
          <w:rFonts w:ascii="Arial" w:hAnsi="Arial" w:cs="Times New Roman"/>
          <w:color w:val="000000" w:themeColor="text1"/>
        </w:rPr>
        <w:t>ing</w:t>
      </w:r>
      <w:r w:rsidR="00E84651" w:rsidRPr="00614125">
        <w:rPr>
          <w:rFonts w:ascii="Arial" w:hAnsi="Arial" w:cs="Times New Roman"/>
          <w:color w:val="000000" w:themeColor="text1"/>
        </w:rPr>
        <w:t xml:space="preserve"> health</w:t>
      </w:r>
      <w:r w:rsidR="002C681D" w:rsidRPr="00614125">
        <w:rPr>
          <w:rFonts w:ascii="Arial" w:hAnsi="Arial" w:cs="Times New Roman"/>
          <w:color w:val="000000" w:themeColor="text1"/>
        </w:rPr>
        <w:t xml:space="preserve"> </w:t>
      </w:r>
      <w:r w:rsidR="00E84651" w:rsidRPr="00614125">
        <w:rPr>
          <w:rFonts w:ascii="Arial" w:hAnsi="Arial" w:cs="Times New Roman"/>
          <w:color w:val="000000" w:themeColor="text1"/>
        </w:rPr>
        <w:t>care</w:t>
      </w:r>
      <w:r w:rsidR="00DB0BCD" w:rsidRPr="00614125">
        <w:rPr>
          <w:rFonts w:ascii="Arial" w:hAnsi="Arial" w:cs="Times New Roman"/>
          <w:color w:val="000000" w:themeColor="text1"/>
        </w:rPr>
        <w:t xml:space="preserve">  </w:t>
      </w:r>
      <w:r w:rsidR="00DB0BCD" w:rsidRPr="00614125">
        <w:rPr>
          <w:rFonts w:ascii="Arial" w:hAnsi="Arial" w:cs="Times New Roman"/>
          <w:color w:val="000000" w:themeColor="text1"/>
        </w:rPr>
        <w:fldChar w:fldCharType="begin" w:fldLock="1"/>
      </w:r>
      <w:r w:rsidR="003B3F6D" w:rsidRPr="00614125">
        <w:rPr>
          <w:rFonts w:ascii="Arial" w:hAnsi="Arial" w:cs="Times New Roman"/>
          <w:color w:val="000000" w:themeColor="text1"/>
        </w:rPr>
        <w:instrText>ADDIN CSL_CITATION {"citationItems":[{"id":"ITEM-1","itemData":{"DOI":"10.1377/hlthaff.2014.1453","ISSN":"0278-2715","author":[{"dropping-particle":"","family":"Wagstaff","given":"a.","non-dropping-particle":"","parse-names":false,"suffix":""},{"dropping-particle":"","family":"Dmytraczenko","given":"T.","non-dropping-particle":"","parse-names":false,"suffix":""},{"dropping-particle":"","family":"Almeida","given":"G.","non-dropping-particle":"","parse-names":false,"suffix":""},{"dropping-particle":"","family":"Buisman","given":"L.","non-dropping-particle":"","parse-names":false,"suffix":""},{"dropping-particle":"","family":"Hoang-Vu Eozenou","given":"P.","non-dropping-particle":"","parse-names":false,"suffix":""},{"dropping-particle":"","family":"Bredenkamp","given":"C.","non-dropping-particle":"","parse-names":false,"suffix":""},{"dropping-particle":"","family":"Cercone","given":"J. a.","non-dropping-particle":"","parse-names":false,"suffix":""},{"dropping-particle":"","family":"Diaz","given":"Y.","non-dropping-particle":"","parse-names":false,"suffix":""},{"dropping-particle":"","family":"Maceira","given":"D.","non-dropping-particle":"","parse-names":false,"suffix":""},{"dropping-particle":"","family":"Molina","given":"S.","non-dropping-particle":"","parse-names":false,"suffix":""},{"dropping-particle":"","family":"Paraje","given":"G.","non-dropping-particle":"","parse-names":false,"suffix":""},{"dropping-particle":"","family":"Ruiz","given":"F.","non-dropping-particle":"","parse-names":false,"suffix":""},{"dropping-particle":"","family":"Sarti","given":"F.","non-dropping-particle":"","parse-names":false,"suffix":""},{"dropping-particle":"","family":"Scott","given":"J.","non-dropping-particle":"","parse-names":false,"suffix":""},{"dropping-particle":"","family":"Valdivia","given":"M.","non-dropping-particle":"","parse-names":false,"suffix":""},{"dropping-particle":"","family":"Werneck","given":"H.","non-dropping-particle":"","parse-names":false,"suffix":""}],"container-title":"Health Affairs","id":"ITEM-1","issue":"10","issued":{"date-parts":[["2015"]]},"page":"1704-1712","title":"Assessing Latin America's Progress Toward Achieving Universal Health Coverage","type":"article-journal","volume":"34"},"uris":["http://www.mendeley.com/documents/?uuid=d1ecfd68-75a0-4b7e-9324-a6f415bb3431"]},{"id":"ITEM-2","itemData":{"DOI":"10.1093/oxrep/grv019","ISSN":"14602121","abstract":"The last few years have seen a growing commitment worldwide to universal health coverage (UHC). Yet there is a lack of clarity on how to measure progress towards UHC. This paper proposes a ‘mashup’ index that captures both aspects of UHC: that everyone—irrespective of their ability-to- pay—gets the health services they need; and that nobody suffers undue financial hardship as a result of receiving care. Service coverage is broken down into prevention and treat- ment, and financial protection into impoverishment and catastrophic spending; nationally representative household survey data are used to adjust population averages to capture inequalities between the poor and better off; nonlinear tradeoffs are allowed between and within the two dimensions of the UHC index; and all indicators are expressed such that scores run from 0 to 100, and higher scores are better. In a sample of 24 countries for which there are detailed information on UHC-inspired reforms, a cluster of high-performing countries emerges with UHC scores of between 79 and 84 (Brazil, Colombia, Costa Rica, Mexico and South Africa) and a cluster of low-performing countries emerges with UHC scores in the range 35–57 (Ethiopia, Guatemala, India, Indonesia and Vietnam). Countries have mostly improved their UHC scores between the earliest and latest years for which there are data—by about 5 points on average; however, the improvement has come from increases in receipt of key health interventions, not from reductions in the incidence of out-of-pocket payments on welfare","author":[{"dropping-particle":"","family":"Wagstaff","given":"Adam","non-dropping-particle":"","parse-names":false,"suffix":""},{"dropping-particle":"","family":"Cotlear","given":"Daniel","non-dropping-particle":"","parse-names":false,"suffix":""},{"dropping-particle":"","family":"Eozenou","given":"Patrick Hoang Vu","non-dropping-particle":"","parse-names":false,"suffix":""},{"dropping-particle":"","family":"Buisman","given":"Leander R.","non-dropping-particle":"","parse-names":false,"suffix":""}],"container-title":"Oxford Review of Economic Policy","id":"ITEM-2","issue":"1","issued":{"date-parts":[["2016"]]},"page":"147-189","title":"Measuring progress towards universal health coverage: With an application to 24 developing countries","type":"article-journal","volume":"32"},"uris":["http://www.mendeley.com/documents/?uuid=5683d862-8468-4748-9946-69ac1b89320a"]}],"mendeley":{"formattedCitation":"[5,8]","plainTextFormattedCitation":"[5,8]","previouslyFormattedCitation":"[5,8]"},"properties":{"noteIndex":0},"schema":"https://github.com/citation-style-language/schema/raw/master/csl-citation.json"}</w:instrText>
      </w:r>
      <w:r w:rsidR="00DB0BCD" w:rsidRPr="00614125">
        <w:rPr>
          <w:rFonts w:ascii="Arial" w:hAnsi="Arial" w:cs="Times New Roman"/>
          <w:color w:val="000000" w:themeColor="text1"/>
        </w:rPr>
        <w:fldChar w:fldCharType="separate"/>
      </w:r>
      <w:r w:rsidR="00604FF7" w:rsidRPr="00614125">
        <w:rPr>
          <w:rFonts w:ascii="Arial" w:hAnsi="Arial" w:cs="Times New Roman"/>
          <w:noProof/>
          <w:color w:val="000000" w:themeColor="text1"/>
        </w:rPr>
        <w:t>[5,8]</w:t>
      </w:r>
      <w:r w:rsidR="00DB0BCD" w:rsidRPr="00614125">
        <w:rPr>
          <w:rFonts w:ascii="Arial" w:hAnsi="Arial" w:cs="Times New Roman"/>
          <w:color w:val="000000" w:themeColor="text1"/>
        </w:rPr>
        <w:fldChar w:fldCharType="end"/>
      </w:r>
      <w:r w:rsidR="00DB0BCD" w:rsidRPr="00614125">
        <w:rPr>
          <w:rFonts w:ascii="Arial" w:hAnsi="Arial" w:cs="Times New Roman"/>
          <w:color w:val="000000" w:themeColor="text1"/>
        </w:rPr>
        <w:t>.</w:t>
      </w:r>
      <w:r w:rsidR="004C73CD" w:rsidRPr="00614125">
        <w:rPr>
          <w:rFonts w:ascii="Arial" w:hAnsi="Arial" w:cs="Times New Roman"/>
          <w:color w:val="000000" w:themeColor="text1"/>
        </w:rPr>
        <w:t xml:space="preserve"> </w:t>
      </w:r>
    </w:p>
    <w:p w14:paraId="62CAD60E" w14:textId="77777777" w:rsidR="00C2732F" w:rsidRPr="00614125" w:rsidRDefault="00C2732F" w:rsidP="00337D8B">
      <w:pPr>
        <w:spacing w:before="120" w:after="120" w:line="360" w:lineRule="auto"/>
        <w:rPr>
          <w:rFonts w:ascii="Arial" w:hAnsi="Arial"/>
          <w:color w:val="000000" w:themeColor="text1"/>
        </w:rPr>
      </w:pPr>
    </w:p>
    <w:p w14:paraId="1A82B8CC" w14:textId="61827273" w:rsidR="00807302" w:rsidRPr="00614125" w:rsidRDefault="00A60E1A" w:rsidP="00337D8B">
      <w:pPr>
        <w:spacing w:before="120" w:after="120" w:line="360" w:lineRule="auto"/>
        <w:rPr>
          <w:rFonts w:ascii="Arial" w:hAnsi="Arial"/>
          <w:color w:val="000000" w:themeColor="text1"/>
        </w:rPr>
      </w:pPr>
      <w:r w:rsidRPr="00614125">
        <w:rPr>
          <w:rFonts w:ascii="Arial" w:hAnsi="Arial"/>
          <w:color w:val="000000" w:themeColor="text1"/>
        </w:rPr>
        <w:t xml:space="preserve">DATA AND </w:t>
      </w:r>
      <w:r w:rsidR="000E1273" w:rsidRPr="00614125">
        <w:rPr>
          <w:rFonts w:ascii="Arial" w:hAnsi="Arial"/>
          <w:color w:val="000000" w:themeColor="text1"/>
        </w:rPr>
        <w:t>UHC INDEX ESTIMATION</w:t>
      </w:r>
    </w:p>
    <w:p w14:paraId="23F81831" w14:textId="7B98ED15" w:rsidR="00C2732F" w:rsidRPr="00614125" w:rsidRDefault="00DB064B" w:rsidP="00337D8B">
      <w:pPr>
        <w:spacing w:before="120" w:after="120" w:line="360" w:lineRule="auto"/>
        <w:rPr>
          <w:rFonts w:ascii="Arial" w:hAnsi="Arial"/>
          <w:color w:val="000000" w:themeColor="text1"/>
        </w:rPr>
      </w:pPr>
      <w:r w:rsidRPr="00614125">
        <w:rPr>
          <w:rFonts w:ascii="Arial" w:hAnsi="Arial"/>
          <w:color w:val="000000" w:themeColor="text1"/>
        </w:rPr>
        <w:t>We used d</w:t>
      </w:r>
      <w:r w:rsidR="00A60E1A" w:rsidRPr="00614125">
        <w:rPr>
          <w:rFonts w:ascii="Arial" w:hAnsi="Arial"/>
          <w:color w:val="000000" w:themeColor="text1"/>
        </w:rPr>
        <w:t xml:space="preserve">ata </w:t>
      </w:r>
      <w:r w:rsidRPr="00614125">
        <w:rPr>
          <w:rFonts w:ascii="Arial" w:hAnsi="Arial"/>
          <w:color w:val="000000" w:themeColor="text1"/>
        </w:rPr>
        <w:t xml:space="preserve">from </w:t>
      </w:r>
      <w:r w:rsidR="00B3221C" w:rsidRPr="00614125">
        <w:rPr>
          <w:rFonts w:ascii="Arial" w:hAnsi="Arial"/>
          <w:color w:val="000000" w:themeColor="text1"/>
        </w:rPr>
        <w:t>21 countries t</w:t>
      </w:r>
      <w:r w:rsidRPr="00614125">
        <w:rPr>
          <w:rFonts w:ascii="Arial" w:hAnsi="Arial"/>
          <w:color w:val="000000" w:themeColor="text1"/>
        </w:rPr>
        <w:t xml:space="preserve">o </w:t>
      </w:r>
      <w:r w:rsidR="00BC7210" w:rsidRPr="00614125">
        <w:rPr>
          <w:rFonts w:ascii="Arial" w:hAnsi="Arial"/>
          <w:color w:val="000000" w:themeColor="text1"/>
        </w:rPr>
        <w:t>calculate</w:t>
      </w:r>
      <w:r w:rsidR="00A60E1A" w:rsidRPr="00614125">
        <w:rPr>
          <w:rFonts w:ascii="Arial" w:hAnsi="Arial"/>
          <w:color w:val="000000" w:themeColor="text1"/>
        </w:rPr>
        <w:t xml:space="preserve"> the index of </w:t>
      </w:r>
      <w:r w:rsidR="00BC7210" w:rsidRPr="00614125">
        <w:rPr>
          <w:rFonts w:ascii="Arial" w:hAnsi="Arial"/>
          <w:color w:val="000000" w:themeColor="text1"/>
        </w:rPr>
        <w:t xml:space="preserve">universal </w:t>
      </w:r>
      <w:r w:rsidR="00A60E1A" w:rsidRPr="00614125">
        <w:rPr>
          <w:rFonts w:ascii="Arial" w:hAnsi="Arial"/>
          <w:color w:val="000000" w:themeColor="text1"/>
        </w:rPr>
        <w:t xml:space="preserve">health coverage </w:t>
      </w:r>
      <w:r w:rsidR="00BC7210" w:rsidRPr="00614125">
        <w:rPr>
          <w:rFonts w:ascii="Arial" w:hAnsi="Arial"/>
          <w:color w:val="000000" w:themeColor="text1"/>
        </w:rPr>
        <w:t>(</w:t>
      </w:r>
      <w:r w:rsidR="008E3CE5" w:rsidRPr="00614125">
        <w:rPr>
          <w:rFonts w:ascii="Arial" w:hAnsi="Arial"/>
          <w:color w:val="000000" w:themeColor="text1"/>
        </w:rPr>
        <w:t>UHC</w:t>
      </w:r>
      <w:r w:rsidR="00BC7210" w:rsidRPr="00614125">
        <w:rPr>
          <w:rFonts w:ascii="Arial" w:hAnsi="Arial"/>
          <w:color w:val="000000" w:themeColor="text1"/>
        </w:rPr>
        <w:t>)</w:t>
      </w:r>
      <w:r w:rsidR="008E3CE5" w:rsidRPr="00614125">
        <w:rPr>
          <w:rFonts w:ascii="Arial" w:hAnsi="Arial"/>
          <w:color w:val="000000" w:themeColor="text1"/>
        </w:rPr>
        <w:t xml:space="preserve"> </w:t>
      </w:r>
      <w:r w:rsidR="00A60E1A" w:rsidRPr="00614125">
        <w:rPr>
          <w:rFonts w:ascii="Arial" w:hAnsi="Arial"/>
          <w:color w:val="000000" w:themeColor="text1"/>
        </w:rPr>
        <w:t xml:space="preserve">and the impact of OOP payments on the UHC indices. </w:t>
      </w:r>
    </w:p>
    <w:p w14:paraId="5E4E7101" w14:textId="7110DBB1" w:rsidR="006607C1" w:rsidRPr="00614125" w:rsidRDefault="007E3967" w:rsidP="00F124C6">
      <w:pPr>
        <w:spacing w:before="120" w:after="120" w:line="360" w:lineRule="auto"/>
        <w:rPr>
          <w:rFonts w:ascii="Arial" w:hAnsi="Arial"/>
          <w:color w:val="000000" w:themeColor="text1"/>
        </w:rPr>
      </w:pPr>
      <w:r w:rsidRPr="00614125">
        <w:rPr>
          <w:rFonts w:ascii="Arial" w:hAnsi="Arial"/>
          <w:color w:val="000000" w:themeColor="text1"/>
        </w:rPr>
        <w:t>Calculation of UHC</w:t>
      </w:r>
      <w:r w:rsidR="00827815" w:rsidRPr="00614125">
        <w:rPr>
          <w:rFonts w:ascii="Arial" w:hAnsi="Arial"/>
          <w:color w:val="000000" w:themeColor="text1"/>
        </w:rPr>
        <w:t xml:space="preserve"> index reflected</w:t>
      </w:r>
      <w:r w:rsidR="006607C1" w:rsidRPr="00614125">
        <w:rPr>
          <w:rFonts w:ascii="Arial" w:hAnsi="Arial"/>
          <w:color w:val="000000" w:themeColor="text1"/>
        </w:rPr>
        <w:t xml:space="preserve"> </w:t>
      </w:r>
      <w:r w:rsidR="00827815" w:rsidRPr="00614125">
        <w:rPr>
          <w:rFonts w:ascii="Arial" w:hAnsi="Arial"/>
          <w:color w:val="000000" w:themeColor="text1"/>
        </w:rPr>
        <w:t>“</w:t>
      </w:r>
      <w:r w:rsidR="006607C1" w:rsidRPr="00614125">
        <w:rPr>
          <w:rFonts w:ascii="Arial" w:hAnsi="Arial"/>
          <w:color w:val="000000" w:themeColor="text1"/>
        </w:rPr>
        <w:t xml:space="preserve">the proportion of defined health services actually utilized by people in five socioeconomic quintiles </w:t>
      </w:r>
      <w:r w:rsidR="00827815" w:rsidRPr="00614125">
        <w:rPr>
          <w:rFonts w:ascii="Arial" w:hAnsi="Arial"/>
          <w:color w:val="000000" w:themeColor="text1"/>
        </w:rPr>
        <w:t>in comparison to full utilization of all these services</w:t>
      </w:r>
      <w:r w:rsidR="007D5A1A" w:rsidRPr="00614125">
        <w:rPr>
          <w:rFonts w:ascii="Arial" w:hAnsi="Arial"/>
          <w:color w:val="000000" w:themeColor="text1"/>
        </w:rPr>
        <w:t xml:space="preserve"> by all people”, which </w:t>
      </w:r>
      <w:r w:rsidR="00827815" w:rsidRPr="00614125">
        <w:rPr>
          <w:rFonts w:ascii="Arial" w:hAnsi="Arial"/>
          <w:color w:val="000000" w:themeColor="text1"/>
        </w:rPr>
        <w:t xml:space="preserve">quantified the boxes in </w:t>
      </w:r>
      <w:r w:rsidR="00273DDB" w:rsidRPr="00614125">
        <w:rPr>
          <w:rFonts w:ascii="Arial" w:hAnsi="Arial"/>
          <w:color w:val="000000" w:themeColor="text1"/>
        </w:rPr>
        <w:t>F</w:t>
      </w:r>
      <w:r w:rsidR="00827815" w:rsidRPr="00614125">
        <w:rPr>
          <w:rFonts w:ascii="Arial" w:hAnsi="Arial"/>
          <w:color w:val="000000" w:themeColor="text1"/>
        </w:rPr>
        <w:t xml:space="preserve">igure 1. The following equation </w:t>
      </w:r>
      <w:r w:rsidR="00A024AA" w:rsidRPr="00614125">
        <w:rPr>
          <w:rFonts w:ascii="Arial" w:hAnsi="Arial"/>
          <w:color w:val="000000" w:themeColor="text1"/>
        </w:rPr>
        <w:t>was</w:t>
      </w:r>
      <w:r w:rsidR="00827815" w:rsidRPr="00614125">
        <w:rPr>
          <w:rFonts w:ascii="Arial" w:hAnsi="Arial"/>
          <w:color w:val="000000" w:themeColor="text1"/>
        </w:rPr>
        <w:t xml:space="preserve"> used for calculating UHC indices</w:t>
      </w:r>
      <w:r w:rsidR="00273DDB" w:rsidRPr="00614125">
        <w:rPr>
          <w:rFonts w:ascii="Arial" w:hAnsi="Arial"/>
          <w:color w:val="000000" w:themeColor="text1"/>
        </w:rPr>
        <w:t>:</w:t>
      </w:r>
    </w:p>
    <w:p w14:paraId="02521D77" w14:textId="7922591A" w:rsidR="002808F2" w:rsidRPr="00614125" w:rsidRDefault="00804217" w:rsidP="00337D8B">
      <w:pPr>
        <w:spacing w:before="120" w:after="120" w:line="360" w:lineRule="auto"/>
        <w:jc w:val="both"/>
        <w:rPr>
          <w:rFonts w:ascii="Arial" w:hAnsi="Arial"/>
          <w:color w:val="000000" w:themeColor="text1"/>
        </w:rPr>
      </w:pPr>
      <w:r w:rsidRPr="00614125">
        <w:rPr>
          <w:rFonts w:ascii="Arial" w:hAnsi="Arial"/>
          <w:color w:val="000000" w:themeColor="text1"/>
        </w:rPr>
        <w:t>UHC index = Total volume of actual health service utilization by all people without facing financial hardship</w:t>
      </w:r>
      <w:r w:rsidR="000E1273" w:rsidRPr="00614125">
        <w:rPr>
          <w:rFonts w:ascii="Arial" w:hAnsi="Arial"/>
          <w:color w:val="000000" w:themeColor="text1"/>
        </w:rPr>
        <w:t xml:space="preserve"> ÷</w:t>
      </w:r>
      <w:r w:rsidR="000E1273" w:rsidRPr="00614125" w:rsidDel="000E1273">
        <w:rPr>
          <w:rFonts w:ascii="Arial" w:hAnsi="Arial"/>
          <w:color w:val="000000" w:themeColor="text1"/>
        </w:rPr>
        <w:t xml:space="preserve"> </w:t>
      </w:r>
      <w:r w:rsidRPr="00614125">
        <w:rPr>
          <w:rFonts w:ascii="Arial" w:hAnsi="Arial"/>
          <w:color w:val="000000" w:themeColor="text1"/>
        </w:rPr>
        <w:t>Total volume of potential health service utilization by all people without facing financial hardship</w:t>
      </w:r>
    </w:p>
    <w:p w14:paraId="66EEA1FF" w14:textId="56060AC0" w:rsidR="00804217" w:rsidRPr="00614125" w:rsidRDefault="00804217" w:rsidP="00337D8B">
      <w:pPr>
        <w:spacing w:before="120" w:after="120" w:line="360" w:lineRule="auto"/>
        <w:jc w:val="both"/>
        <w:rPr>
          <w:rFonts w:ascii="Arial" w:hAnsi="Arial"/>
          <w:color w:val="000000" w:themeColor="text1"/>
        </w:rPr>
      </w:pPr>
      <w:r w:rsidRPr="00614125">
        <w:rPr>
          <w:rFonts w:ascii="Arial" w:hAnsi="Arial"/>
          <w:color w:val="000000" w:themeColor="text1"/>
        </w:rPr>
        <w:t xml:space="preserve">= (Length of service arm indicating actual utilization x Length of population arm who utilized the services x Length of </w:t>
      </w:r>
      <w:r w:rsidR="00CC7F4A" w:rsidRPr="00614125">
        <w:rPr>
          <w:rFonts w:ascii="Arial" w:hAnsi="Arial"/>
          <w:color w:val="000000" w:themeColor="text1"/>
        </w:rPr>
        <w:t>financial</w:t>
      </w:r>
      <w:r w:rsidRPr="00614125">
        <w:rPr>
          <w:rFonts w:ascii="Arial" w:hAnsi="Arial"/>
          <w:color w:val="000000" w:themeColor="text1"/>
        </w:rPr>
        <w:t xml:space="preserve"> risk protection arm indicating user without facing financial hardship) </w:t>
      </w:r>
      <w:r w:rsidRPr="00614125">
        <w:rPr>
          <w:rFonts w:ascii="Arial" w:hAnsi="Arial"/>
          <w:color w:val="000000" w:themeColor="text1"/>
        </w:rPr>
        <w:sym w:font="Symbol" w:char="F0B8"/>
      </w:r>
      <w:r w:rsidRPr="00614125">
        <w:rPr>
          <w:rFonts w:ascii="Arial" w:hAnsi="Arial"/>
          <w:color w:val="000000" w:themeColor="text1"/>
        </w:rPr>
        <w:t xml:space="preserve"> (Maximum achievable length of service arm x Maximum achievable length of population arm x Maximum achievable length of </w:t>
      </w:r>
      <w:r w:rsidR="00CC7F4A" w:rsidRPr="00614125">
        <w:rPr>
          <w:rFonts w:ascii="Arial" w:hAnsi="Arial"/>
          <w:color w:val="000000" w:themeColor="text1"/>
        </w:rPr>
        <w:t>financial</w:t>
      </w:r>
      <w:r w:rsidRPr="00614125">
        <w:rPr>
          <w:rFonts w:ascii="Arial" w:hAnsi="Arial"/>
          <w:color w:val="000000" w:themeColor="text1"/>
        </w:rPr>
        <w:t xml:space="preserve"> risk protection arm indicating no financial hardship) </w:t>
      </w:r>
      <w:r w:rsidR="00E52BC2" w:rsidRPr="00614125">
        <w:rPr>
          <w:rFonts w:ascii="Arial" w:hAnsi="Arial"/>
          <w:color w:val="000000" w:themeColor="text1"/>
        </w:rPr>
        <w:t>… … … (1</w:t>
      </w:r>
      <w:r w:rsidRPr="00614125">
        <w:rPr>
          <w:rFonts w:ascii="Arial" w:hAnsi="Arial"/>
          <w:color w:val="000000" w:themeColor="text1"/>
        </w:rPr>
        <w:t>)</w:t>
      </w:r>
      <w:r w:rsidR="00BC7210" w:rsidRPr="00614125">
        <w:rPr>
          <w:rStyle w:val="EndnoteReference"/>
          <w:rFonts w:ascii="Arial" w:hAnsi="Arial"/>
          <w:color w:val="000000" w:themeColor="text1"/>
        </w:rPr>
        <w:endnoteReference w:id="1"/>
      </w:r>
      <w:r w:rsidRPr="00614125">
        <w:rPr>
          <w:rFonts w:ascii="Arial" w:hAnsi="Arial"/>
          <w:color w:val="000000" w:themeColor="text1"/>
        </w:rPr>
        <w:t xml:space="preserve"> </w:t>
      </w:r>
    </w:p>
    <w:p w14:paraId="7B3DF888" w14:textId="1C366473" w:rsidR="00282A93" w:rsidRPr="00614125" w:rsidRDefault="00282A93" w:rsidP="00337D8B">
      <w:pPr>
        <w:spacing w:before="120" w:after="120" w:line="360" w:lineRule="auto"/>
        <w:jc w:val="both"/>
        <w:rPr>
          <w:rFonts w:ascii="Arial" w:hAnsi="Arial"/>
          <w:color w:val="000000" w:themeColor="text1"/>
        </w:rPr>
      </w:pPr>
      <w:r w:rsidRPr="00614125">
        <w:rPr>
          <w:rFonts w:ascii="Arial" w:hAnsi="Arial"/>
          <w:color w:val="000000" w:themeColor="text1"/>
        </w:rPr>
        <w:t xml:space="preserve">For calculating the indices, we </w:t>
      </w:r>
      <w:r w:rsidR="004A6E29" w:rsidRPr="00614125">
        <w:rPr>
          <w:rFonts w:ascii="Arial" w:hAnsi="Arial"/>
          <w:color w:val="000000" w:themeColor="text1"/>
        </w:rPr>
        <w:t>used</w:t>
      </w:r>
      <w:r w:rsidRPr="00614125">
        <w:rPr>
          <w:rFonts w:ascii="Arial" w:hAnsi="Arial"/>
          <w:color w:val="000000" w:themeColor="text1"/>
        </w:rPr>
        <w:t xml:space="preserve"> data available from the Health Equity and Financial Protection (HEFP) datasheets provided by The World Bank</w:t>
      </w:r>
      <w:r w:rsidR="00B53676" w:rsidRPr="00614125">
        <w:rPr>
          <w:rFonts w:ascii="Arial" w:hAnsi="Arial"/>
          <w:color w:val="000000" w:themeColor="text1"/>
        </w:rPr>
        <w:t xml:space="preserve"> [7]</w:t>
      </w:r>
      <w:r w:rsidRPr="00614125">
        <w:rPr>
          <w:rFonts w:ascii="Arial" w:hAnsi="Arial"/>
          <w:color w:val="000000" w:themeColor="text1"/>
        </w:rPr>
        <w:t xml:space="preserve">. These </w:t>
      </w:r>
      <w:r w:rsidRPr="00614125">
        <w:rPr>
          <w:rFonts w:ascii="Arial" w:hAnsi="Arial"/>
          <w:noProof/>
          <w:color w:val="000000" w:themeColor="text1"/>
        </w:rPr>
        <w:t>data</w:t>
      </w:r>
      <w:r w:rsidR="00DE1D36" w:rsidRPr="00614125">
        <w:rPr>
          <w:rFonts w:ascii="Arial" w:hAnsi="Arial"/>
          <w:noProof/>
          <w:color w:val="000000" w:themeColor="text1"/>
        </w:rPr>
        <w:t>-</w:t>
      </w:r>
      <w:r w:rsidRPr="00614125">
        <w:rPr>
          <w:rFonts w:ascii="Arial" w:hAnsi="Arial"/>
          <w:noProof/>
          <w:color w:val="000000" w:themeColor="text1"/>
        </w:rPr>
        <w:t>sheets</w:t>
      </w:r>
      <w:r w:rsidRPr="00614125">
        <w:rPr>
          <w:rFonts w:ascii="Arial" w:hAnsi="Arial"/>
          <w:color w:val="000000" w:themeColor="text1"/>
        </w:rPr>
        <w:t xml:space="preserve"> provide information on health</w:t>
      </w:r>
      <w:r w:rsidR="002C681D" w:rsidRPr="00614125">
        <w:rPr>
          <w:rFonts w:ascii="Arial" w:hAnsi="Arial"/>
          <w:color w:val="000000" w:themeColor="text1"/>
        </w:rPr>
        <w:t xml:space="preserve"> </w:t>
      </w:r>
      <w:r w:rsidRPr="00614125">
        <w:rPr>
          <w:rFonts w:ascii="Arial" w:hAnsi="Arial"/>
          <w:color w:val="000000" w:themeColor="text1"/>
        </w:rPr>
        <w:t xml:space="preserve">care service utilization, key health outcome indicators, health financing sources, </w:t>
      </w:r>
      <w:r w:rsidR="00DE1D36" w:rsidRPr="00614125">
        <w:rPr>
          <w:rFonts w:ascii="Arial" w:hAnsi="Arial"/>
          <w:color w:val="000000" w:themeColor="text1"/>
        </w:rPr>
        <w:t xml:space="preserve">the </w:t>
      </w:r>
      <w:r w:rsidRPr="00614125">
        <w:rPr>
          <w:rFonts w:ascii="Arial" w:hAnsi="Arial"/>
          <w:noProof/>
          <w:color w:val="000000" w:themeColor="text1"/>
        </w:rPr>
        <w:t>incidence</w:t>
      </w:r>
      <w:r w:rsidRPr="00614125">
        <w:rPr>
          <w:rFonts w:ascii="Arial" w:hAnsi="Arial"/>
          <w:color w:val="000000" w:themeColor="text1"/>
        </w:rPr>
        <w:t xml:space="preserve"> of catastrophic health expenditure, and impoverishment due to OOP health payments</w:t>
      </w:r>
      <w:r w:rsidR="00BC7210" w:rsidRPr="00614125">
        <w:rPr>
          <w:rFonts w:ascii="Arial" w:hAnsi="Arial"/>
          <w:color w:val="000000" w:themeColor="text1"/>
        </w:rPr>
        <w:t xml:space="preserve">, disaggregated into </w:t>
      </w:r>
      <w:r w:rsidRPr="00614125">
        <w:rPr>
          <w:rFonts w:ascii="Arial" w:hAnsi="Arial"/>
          <w:color w:val="000000" w:themeColor="text1"/>
        </w:rPr>
        <w:t xml:space="preserve">socioeconomic </w:t>
      </w:r>
      <w:r w:rsidR="00BC7210" w:rsidRPr="00614125">
        <w:rPr>
          <w:rFonts w:ascii="Arial" w:hAnsi="Arial"/>
          <w:color w:val="000000" w:themeColor="text1"/>
        </w:rPr>
        <w:t>groups in</w:t>
      </w:r>
      <w:r w:rsidR="00E52BC2" w:rsidRPr="00614125">
        <w:rPr>
          <w:rFonts w:ascii="Arial" w:hAnsi="Arial"/>
          <w:color w:val="000000" w:themeColor="text1"/>
        </w:rPr>
        <w:t xml:space="preserve"> low- and middle-income </w:t>
      </w:r>
      <w:r w:rsidR="00006D60" w:rsidRPr="00614125">
        <w:rPr>
          <w:rFonts w:ascii="Arial" w:hAnsi="Arial"/>
          <w:color w:val="000000" w:themeColor="text1"/>
        </w:rPr>
        <w:t>countries (</w:t>
      </w:r>
      <w:r w:rsidRPr="00614125">
        <w:rPr>
          <w:rFonts w:ascii="Arial" w:hAnsi="Arial"/>
          <w:color w:val="000000" w:themeColor="text1"/>
        </w:rPr>
        <w:t>LMICs</w:t>
      </w:r>
      <w:r w:rsidR="00006D60" w:rsidRPr="00614125">
        <w:rPr>
          <w:rFonts w:ascii="Arial" w:hAnsi="Arial"/>
          <w:color w:val="000000" w:themeColor="text1"/>
        </w:rPr>
        <w:t>)</w:t>
      </w:r>
      <w:r w:rsidRPr="00614125">
        <w:rPr>
          <w:rFonts w:ascii="Arial" w:hAnsi="Arial"/>
          <w:color w:val="000000" w:themeColor="text1"/>
        </w:rPr>
        <w:t>. The World Bank extracted th</w:t>
      </w:r>
      <w:r w:rsidR="00A07EA8" w:rsidRPr="00614125">
        <w:rPr>
          <w:rFonts w:ascii="Arial" w:hAnsi="Arial"/>
          <w:color w:val="000000" w:themeColor="text1"/>
        </w:rPr>
        <w:t>i</w:t>
      </w:r>
      <w:r w:rsidRPr="00614125">
        <w:rPr>
          <w:rFonts w:ascii="Arial" w:hAnsi="Arial"/>
          <w:color w:val="000000" w:themeColor="text1"/>
        </w:rPr>
        <w:t xml:space="preserve">s information from the Demographic and Health Surveys, World </w:t>
      </w:r>
      <w:r w:rsidRPr="00614125">
        <w:rPr>
          <w:rFonts w:ascii="Arial" w:hAnsi="Arial"/>
          <w:color w:val="000000" w:themeColor="text1"/>
        </w:rPr>
        <w:lastRenderedPageBreak/>
        <w:t xml:space="preserve">Health Surveys, Multiple Indicator Cluster Surveys, Living Standards and Measurement Surveys and other available surveys of the LMICs </w:t>
      </w:r>
      <w:r w:rsidR="00C266AB" w:rsidRPr="00614125">
        <w:rPr>
          <w:rFonts w:ascii="Arial" w:hAnsi="Arial"/>
          <w:color w:val="000000" w:themeColor="text1"/>
        </w:rPr>
        <w:t>[1</w:t>
      </w:r>
      <w:r w:rsidR="00292E54" w:rsidRPr="00614125">
        <w:rPr>
          <w:rFonts w:ascii="Arial" w:hAnsi="Arial"/>
          <w:color w:val="000000" w:themeColor="text1"/>
        </w:rPr>
        <w:t>9</w:t>
      </w:r>
      <w:r w:rsidR="00C266AB" w:rsidRPr="00614125">
        <w:rPr>
          <w:rFonts w:ascii="Arial" w:hAnsi="Arial"/>
          <w:color w:val="000000" w:themeColor="text1"/>
        </w:rPr>
        <w:t>]</w:t>
      </w:r>
      <w:r w:rsidRPr="00614125">
        <w:rPr>
          <w:rFonts w:ascii="Arial" w:hAnsi="Arial"/>
          <w:color w:val="000000" w:themeColor="text1"/>
        </w:rPr>
        <w:t xml:space="preserve">.  During extraction, a common set of health indicators were used for all the LMICs. </w:t>
      </w:r>
      <w:r w:rsidR="00E52BC2" w:rsidRPr="00614125">
        <w:rPr>
          <w:rFonts w:ascii="Arial" w:hAnsi="Arial"/>
          <w:color w:val="000000" w:themeColor="text1"/>
        </w:rPr>
        <w:t>We</w:t>
      </w:r>
      <w:r w:rsidR="00DE1D36" w:rsidRPr="00614125">
        <w:rPr>
          <w:rFonts w:ascii="Arial" w:hAnsi="Arial"/>
          <w:color w:val="000000" w:themeColor="text1"/>
        </w:rPr>
        <w:t>, therefore,</w:t>
      </w:r>
      <w:r w:rsidR="00215189" w:rsidRPr="00614125">
        <w:rPr>
          <w:rFonts w:ascii="Arial" w:hAnsi="Arial"/>
          <w:color w:val="000000" w:themeColor="text1"/>
        </w:rPr>
        <w:t xml:space="preserve"> got the opportunity to employ this data for analysing UHC status of 21 countries.</w:t>
      </w:r>
      <w:r w:rsidR="002C6E01" w:rsidRPr="00614125">
        <w:rPr>
          <w:rFonts w:ascii="Arial" w:hAnsi="Arial"/>
          <w:color w:val="000000" w:themeColor="text1"/>
        </w:rPr>
        <w:t xml:space="preserve"> However, </w:t>
      </w:r>
      <w:r w:rsidR="002C6E01" w:rsidRPr="00614125">
        <w:rPr>
          <w:rFonts w:ascii="Arial" w:hAnsi="Arial" w:cs="Times New Roman"/>
          <w:color w:val="000000" w:themeColor="text1"/>
        </w:rPr>
        <w:t>data on service indicators</w:t>
      </w:r>
      <w:r w:rsidR="000E1273" w:rsidRPr="00614125">
        <w:rPr>
          <w:rFonts w:ascii="Arial" w:hAnsi="Arial" w:cs="Times New Roman"/>
          <w:color w:val="000000" w:themeColor="text1"/>
        </w:rPr>
        <w:t xml:space="preserve">, </w:t>
      </w:r>
      <w:r w:rsidR="002C6E01" w:rsidRPr="00614125">
        <w:rPr>
          <w:rFonts w:ascii="Arial" w:hAnsi="Arial" w:cs="Times New Roman"/>
          <w:color w:val="000000" w:themeColor="text1"/>
        </w:rPr>
        <w:t xml:space="preserve">related to rehabilitative and </w:t>
      </w:r>
      <w:r w:rsidR="002C6E01" w:rsidRPr="00614125">
        <w:rPr>
          <w:rFonts w:ascii="Arial" w:hAnsi="Arial" w:cs="Times New Roman"/>
          <w:noProof/>
          <w:color w:val="000000" w:themeColor="text1"/>
        </w:rPr>
        <w:t>palliative</w:t>
      </w:r>
      <w:r w:rsidR="002C6E01" w:rsidRPr="00614125">
        <w:rPr>
          <w:rFonts w:ascii="Arial" w:hAnsi="Arial" w:cs="Times New Roman"/>
          <w:color w:val="000000" w:themeColor="text1"/>
        </w:rPr>
        <w:t xml:space="preserve"> care</w:t>
      </w:r>
      <w:r w:rsidR="000E1273" w:rsidRPr="00614125">
        <w:rPr>
          <w:rFonts w:ascii="Arial" w:hAnsi="Arial" w:cs="Times New Roman"/>
          <w:color w:val="000000" w:themeColor="text1"/>
        </w:rPr>
        <w:t xml:space="preserve"> </w:t>
      </w:r>
      <w:proofErr w:type="gramStart"/>
      <w:r w:rsidR="000E1273" w:rsidRPr="00614125">
        <w:rPr>
          <w:rFonts w:ascii="Arial" w:hAnsi="Arial" w:cs="Times New Roman"/>
          <w:color w:val="000000" w:themeColor="text1"/>
        </w:rPr>
        <w:t>w</w:t>
      </w:r>
      <w:r w:rsidR="00340F21" w:rsidRPr="00614125">
        <w:rPr>
          <w:rFonts w:ascii="Arial" w:hAnsi="Arial" w:cs="Times New Roman"/>
          <w:color w:val="000000" w:themeColor="text1"/>
        </w:rPr>
        <w:t xml:space="preserve">ere </w:t>
      </w:r>
      <w:r w:rsidR="000E1273" w:rsidRPr="00614125">
        <w:rPr>
          <w:rFonts w:ascii="Arial" w:hAnsi="Arial" w:cs="Times New Roman"/>
          <w:color w:val="000000" w:themeColor="text1"/>
        </w:rPr>
        <w:t xml:space="preserve"> unavailable</w:t>
      </w:r>
      <w:proofErr w:type="gramEnd"/>
      <w:r w:rsidR="002C6E01" w:rsidRPr="00614125">
        <w:rPr>
          <w:rFonts w:ascii="Arial" w:hAnsi="Arial" w:cs="Times New Roman"/>
          <w:color w:val="000000" w:themeColor="text1"/>
        </w:rPr>
        <w:t xml:space="preserve"> in </w:t>
      </w:r>
      <w:r w:rsidR="000E1273" w:rsidRPr="00614125">
        <w:rPr>
          <w:rFonts w:ascii="Arial" w:hAnsi="Arial" w:cs="Times New Roman"/>
          <w:color w:val="000000" w:themeColor="text1"/>
        </w:rPr>
        <w:t xml:space="preserve">the </w:t>
      </w:r>
      <w:r w:rsidR="002C6E01" w:rsidRPr="00614125">
        <w:rPr>
          <w:rFonts w:ascii="Arial" w:hAnsi="Arial" w:cs="Times New Roman"/>
          <w:color w:val="000000" w:themeColor="text1"/>
        </w:rPr>
        <w:t>countries</w:t>
      </w:r>
      <w:r w:rsidR="000E1273" w:rsidRPr="00614125">
        <w:rPr>
          <w:rFonts w:ascii="Arial" w:hAnsi="Arial" w:cs="Times New Roman"/>
          <w:color w:val="000000" w:themeColor="text1"/>
        </w:rPr>
        <w:t xml:space="preserve"> under investigation</w:t>
      </w:r>
      <w:r w:rsidR="00B53676" w:rsidRPr="00614125">
        <w:rPr>
          <w:rFonts w:ascii="Arial" w:hAnsi="Arial"/>
          <w:color w:val="000000" w:themeColor="text1"/>
        </w:rPr>
        <w:t xml:space="preserve"> [7]</w:t>
      </w:r>
      <w:r w:rsidR="002C6E01" w:rsidRPr="00614125">
        <w:rPr>
          <w:rFonts w:ascii="Arial" w:hAnsi="Arial" w:cs="Times New Roman"/>
          <w:color w:val="000000" w:themeColor="text1"/>
        </w:rPr>
        <w:t>.</w:t>
      </w:r>
    </w:p>
    <w:p w14:paraId="2EFAA66C" w14:textId="77777777" w:rsidR="00310AAB" w:rsidRPr="00614125" w:rsidRDefault="00310AAB" w:rsidP="00337D8B">
      <w:pPr>
        <w:spacing w:before="120" w:after="120" w:line="360" w:lineRule="auto"/>
        <w:jc w:val="both"/>
        <w:rPr>
          <w:rFonts w:ascii="Arial" w:hAnsi="Arial"/>
          <w:color w:val="000000" w:themeColor="text1"/>
        </w:rPr>
      </w:pPr>
    </w:p>
    <w:p w14:paraId="6FBDCEBC" w14:textId="5583CC08" w:rsidR="00125379" w:rsidRPr="00614125" w:rsidRDefault="00125379" w:rsidP="00337D8B">
      <w:pPr>
        <w:spacing w:before="120" w:after="120" w:line="360" w:lineRule="auto"/>
        <w:jc w:val="both"/>
        <w:rPr>
          <w:rFonts w:ascii="Arial" w:hAnsi="Arial"/>
          <w:b/>
          <w:bCs/>
          <w:color w:val="000000" w:themeColor="text1"/>
        </w:rPr>
      </w:pPr>
      <w:r w:rsidRPr="00614125">
        <w:rPr>
          <w:rFonts w:ascii="Arial" w:hAnsi="Arial"/>
          <w:b/>
          <w:bCs/>
          <w:color w:val="000000" w:themeColor="text1"/>
        </w:rPr>
        <w:t xml:space="preserve">Step-by-step </w:t>
      </w:r>
      <w:r w:rsidR="004651B5" w:rsidRPr="00614125">
        <w:rPr>
          <w:rFonts w:ascii="Arial" w:hAnsi="Arial"/>
          <w:b/>
          <w:bCs/>
          <w:color w:val="000000" w:themeColor="text1"/>
        </w:rPr>
        <w:t xml:space="preserve">calculation of UHC index </w:t>
      </w:r>
    </w:p>
    <w:p w14:paraId="614290B2" w14:textId="23C7246E" w:rsidR="005A3EE3" w:rsidRPr="00614125" w:rsidRDefault="00B44BCC" w:rsidP="00337D8B">
      <w:pPr>
        <w:spacing w:before="120" w:after="120" w:line="360" w:lineRule="auto"/>
        <w:jc w:val="both"/>
        <w:rPr>
          <w:rFonts w:ascii="Arial" w:hAnsi="Arial"/>
          <w:color w:val="000000" w:themeColor="text1"/>
        </w:rPr>
      </w:pPr>
      <w:r w:rsidRPr="00614125">
        <w:rPr>
          <w:rFonts w:ascii="Arial" w:hAnsi="Arial"/>
          <w:color w:val="000000" w:themeColor="text1"/>
        </w:rPr>
        <w:t xml:space="preserve">We </w:t>
      </w:r>
      <w:r w:rsidR="00310AAB" w:rsidRPr="00614125">
        <w:rPr>
          <w:rFonts w:ascii="Arial" w:hAnsi="Arial"/>
          <w:color w:val="000000" w:themeColor="text1"/>
        </w:rPr>
        <w:t>assess</w:t>
      </w:r>
      <w:r w:rsidRPr="00614125">
        <w:rPr>
          <w:rFonts w:ascii="Arial" w:hAnsi="Arial"/>
          <w:color w:val="000000" w:themeColor="text1"/>
        </w:rPr>
        <w:t>ed</w:t>
      </w:r>
      <w:r w:rsidR="005A3EE3" w:rsidRPr="00614125">
        <w:rPr>
          <w:rFonts w:ascii="Arial" w:hAnsi="Arial"/>
          <w:color w:val="000000" w:themeColor="text1"/>
        </w:rPr>
        <w:t xml:space="preserve"> the volume of inner- and outer-box of UHC illustration (figure 1)</w:t>
      </w:r>
      <w:r w:rsidR="00310AAB" w:rsidRPr="00614125">
        <w:rPr>
          <w:rFonts w:ascii="Arial" w:hAnsi="Arial"/>
          <w:color w:val="000000" w:themeColor="text1"/>
        </w:rPr>
        <w:t xml:space="preserve"> for calculating the UHC index values</w:t>
      </w:r>
      <w:r w:rsidR="00446883" w:rsidRPr="00614125">
        <w:rPr>
          <w:rFonts w:ascii="Arial" w:hAnsi="Arial"/>
          <w:color w:val="000000" w:themeColor="text1"/>
        </w:rPr>
        <w:t xml:space="preserve"> using equation (1)</w:t>
      </w:r>
      <w:r w:rsidR="005A3EE3" w:rsidRPr="00614125">
        <w:rPr>
          <w:rFonts w:ascii="Arial" w:hAnsi="Arial"/>
          <w:color w:val="000000" w:themeColor="text1"/>
        </w:rPr>
        <w:t xml:space="preserve">. The outer-box captured the volume indicated by </w:t>
      </w:r>
      <w:r w:rsidR="00DE1D36" w:rsidRPr="00614125">
        <w:rPr>
          <w:rFonts w:ascii="Arial" w:hAnsi="Arial"/>
          <w:color w:val="000000" w:themeColor="text1"/>
        </w:rPr>
        <w:t xml:space="preserve">the </w:t>
      </w:r>
      <w:r w:rsidR="005A3EE3" w:rsidRPr="00614125">
        <w:rPr>
          <w:rFonts w:ascii="Arial" w:hAnsi="Arial"/>
          <w:noProof/>
          <w:color w:val="000000" w:themeColor="text1"/>
        </w:rPr>
        <w:t>maximum</w:t>
      </w:r>
      <w:r w:rsidR="005A3EE3" w:rsidRPr="00614125">
        <w:rPr>
          <w:rFonts w:ascii="Arial" w:hAnsi="Arial"/>
          <w:color w:val="000000" w:themeColor="text1"/>
        </w:rPr>
        <w:t xml:space="preserve"> possible </w:t>
      </w:r>
      <w:r w:rsidR="00310AAB" w:rsidRPr="00614125">
        <w:rPr>
          <w:rFonts w:ascii="Arial" w:hAnsi="Arial"/>
          <w:color w:val="000000" w:themeColor="text1"/>
        </w:rPr>
        <w:t>achievable volume</w:t>
      </w:r>
      <w:r w:rsidR="005A3EE3" w:rsidRPr="00614125">
        <w:rPr>
          <w:rFonts w:ascii="Arial" w:hAnsi="Arial"/>
          <w:color w:val="000000" w:themeColor="text1"/>
        </w:rPr>
        <w:t xml:space="preserve">, meaning that all </w:t>
      </w:r>
      <w:r w:rsidR="00D45931" w:rsidRPr="00614125">
        <w:rPr>
          <w:rFonts w:ascii="Arial" w:hAnsi="Arial"/>
          <w:color w:val="000000" w:themeColor="text1"/>
        </w:rPr>
        <w:t xml:space="preserve">the </w:t>
      </w:r>
      <w:r w:rsidR="005A3EE3" w:rsidRPr="00614125">
        <w:rPr>
          <w:rFonts w:ascii="Arial" w:hAnsi="Arial"/>
          <w:color w:val="000000" w:themeColor="text1"/>
        </w:rPr>
        <w:t xml:space="preserve">population in all socioeconomic quintiles utilized all health services without any financial hardship. We assumed that </w:t>
      </w:r>
      <w:r w:rsidR="00433181" w:rsidRPr="00614125">
        <w:rPr>
          <w:rFonts w:ascii="Arial" w:hAnsi="Arial"/>
          <w:color w:val="000000" w:themeColor="text1"/>
        </w:rPr>
        <w:t>a</w:t>
      </w:r>
      <w:r w:rsidR="00310AAB" w:rsidRPr="00614125">
        <w:rPr>
          <w:rFonts w:ascii="Arial" w:hAnsi="Arial"/>
          <w:color w:val="000000" w:themeColor="text1"/>
        </w:rPr>
        <w:t xml:space="preserve"> socioeconomic quintile could</w:t>
      </w:r>
      <w:r w:rsidR="00433181" w:rsidRPr="00614125">
        <w:rPr>
          <w:rFonts w:ascii="Arial" w:hAnsi="Arial"/>
          <w:color w:val="000000" w:themeColor="text1"/>
        </w:rPr>
        <w:t xml:space="preserve"> achieve maximum 1.00 cm for 1.00 health service where all people (</w:t>
      </w:r>
      <w:r w:rsidR="00310AAB" w:rsidRPr="00614125">
        <w:rPr>
          <w:rFonts w:ascii="Arial" w:hAnsi="Arial"/>
          <w:color w:val="000000" w:themeColor="text1"/>
        </w:rPr>
        <w:t xml:space="preserve">100% or </w:t>
      </w:r>
      <w:r w:rsidR="00433181" w:rsidRPr="00614125">
        <w:rPr>
          <w:rFonts w:ascii="Arial" w:hAnsi="Arial"/>
          <w:color w:val="000000" w:themeColor="text1"/>
        </w:rPr>
        <w:t xml:space="preserve">1.00) utilized such a service without any financial hardship. It implied that the maximum achievable volume of the outer-box would cover 5 quintiles for 6 health services with full financial protection for all people, i.e. </w:t>
      </w:r>
      <w:r w:rsidR="00D40327" w:rsidRPr="00614125">
        <w:rPr>
          <w:rFonts w:ascii="Arial" w:hAnsi="Arial"/>
          <w:color w:val="000000" w:themeColor="text1"/>
        </w:rPr>
        <w:t xml:space="preserve">length </w:t>
      </w:r>
      <w:r w:rsidR="00433181" w:rsidRPr="00614125">
        <w:rPr>
          <w:rFonts w:ascii="Arial" w:hAnsi="Arial"/>
          <w:color w:val="000000" w:themeColor="text1"/>
        </w:rPr>
        <w:t xml:space="preserve">5.00 cm x </w:t>
      </w:r>
      <w:r w:rsidR="00D40327" w:rsidRPr="00614125">
        <w:rPr>
          <w:rFonts w:ascii="Arial" w:hAnsi="Arial"/>
          <w:color w:val="000000" w:themeColor="text1"/>
        </w:rPr>
        <w:t xml:space="preserve">depth </w:t>
      </w:r>
      <w:r w:rsidR="00433181" w:rsidRPr="00614125">
        <w:rPr>
          <w:rFonts w:ascii="Arial" w:hAnsi="Arial"/>
          <w:color w:val="000000" w:themeColor="text1"/>
        </w:rPr>
        <w:t xml:space="preserve">6.00 cm x </w:t>
      </w:r>
      <w:r w:rsidR="00D40327" w:rsidRPr="00614125">
        <w:rPr>
          <w:rFonts w:ascii="Arial" w:hAnsi="Arial"/>
          <w:color w:val="000000" w:themeColor="text1"/>
        </w:rPr>
        <w:t xml:space="preserve">height </w:t>
      </w:r>
      <w:r w:rsidR="00433181" w:rsidRPr="00614125">
        <w:rPr>
          <w:rFonts w:ascii="Arial" w:hAnsi="Arial"/>
          <w:color w:val="000000" w:themeColor="text1"/>
        </w:rPr>
        <w:t xml:space="preserve">1.00 cm = 30.0 cubic cm. </w:t>
      </w:r>
      <w:r w:rsidR="00D40327" w:rsidRPr="00614125">
        <w:rPr>
          <w:rFonts w:ascii="Arial" w:hAnsi="Arial"/>
          <w:color w:val="000000" w:themeColor="text1"/>
        </w:rPr>
        <w:t>The inner-box</w:t>
      </w:r>
      <w:r w:rsidR="00310AAB" w:rsidRPr="00614125">
        <w:rPr>
          <w:rFonts w:ascii="Arial" w:hAnsi="Arial"/>
          <w:color w:val="000000" w:themeColor="text1"/>
        </w:rPr>
        <w:t>, on the other hand,</w:t>
      </w:r>
      <w:r w:rsidR="00D40327" w:rsidRPr="00614125">
        <w:rPr>
          <w:rFonts w:ascii="Arial" w:hAnsi="Arial"/>
          <w:color w:val="000000" w:themeColor="text1"/>
        </w:rPr>
        <w:t xml:space="preserve"> captured the actually </w:t>
      </w:r>
      <w:r w:rsidR="00CC7F4A" w:rsidRPr="00614125">
        <w:rPr>
          <w:rFonts w:ascii="Arial" w:hAnsi="Arial"/>
          <w:color w:val="000000" w:themeColor="text1"/>
        </w:rPr>
        <w:t>achieved</w:t>
      </w:r>
      <w:r w:rsidR="00D40327" w:rsidRPr="00614125">
        <w:rPr>
          <w:rFonts w:ascii="Arial" w:hAnsi="Arial"/>
          <w:color w:val="000000" w:themeColor="text1"/>
        </w:rPr>
        <w:t xml:space="preserve"> length for all health services </w:t>
      </w:r>
      <w:r w:rsidR="00310AAB" w:rsidRPr="00614125">
        <w:rPr>
          <w:rFonts w:ascii="Arial" w:hAnsi="Arial"/>
          <w:color w:val="000000" w:themeColor="text1"/>
        </w:rPr>
        <w:t xml:space="preserve">by the proportion of </w:t>
      </w:r>
      <w:r w:rsidR="00D45931" w:rsidRPr="00614125">
        <w:rPr>
          <w:rFonts w:ascii="Arial" w:hAnsi="Arial"/>
          <w:color w:val="000000" w:themeColor="text1"/>
        </w:rPr>
        <w:t xml:space="preserve">the </w:t>
      </w:r>
      <w:r w:rsidR="00310AAB" w:rsidRPr="00614125">
        <w:rPr>
          <w:rFonts w:ascii="Arial" w:hAnsi="Arial"/>
          <w:color w:val="000000" w:themeColor="text1"/>
        </w:rPr>
        <w:t>population who had</w:t>
      </w:r>
      <w:r w:rsidR="00D40327" w:rsidRPr="00614125">
        <w:rPr>
          <w:rFonts w:ascii="Arial" w:hAnsi="Arial"/>
          <w:color w:val="000000" w:themeColor="text1"/>
        </w:rPr>
        <w:t xml:space="preserve"> full financial protection. </w:t>
      </w:r>
      <w:r w:rsidR="004C1B47" w:rsidRPr="00614125">
        <w:rPr>
          <w:rFonts w:ascii="Arial" w:hAnsi="Arial"/>
          <w:color w:val="000000" w:themeColor="text1"/>
        </w:rPr>
        <w:t>For instance, i</w:t>
      </w:r>
      <w:r w:rsidR="00D40327" w:rsidRPr="00614125">
        <w:rPr>
          <w:rFonts w:ascii="Arial" w:hAnsi="Arial"/>
          <w:color w:val="000000" w:themeColor="text1"/>
        </w:rPr>
        <w:t xml:space="preserve">f a population actually </w:t>
      </w:r>
      <w:r w:rsidR="00CC7F4A" w:rsidRPr="00614125">
        <w:rPr>
          <w:rFonts w:ascii="Arial" w:hAnsi="Arial"/>
          <w:color w:val="000000" w:themeColor="text1"/>
        </w:rPr>
        <w:t>achieved</w:t>
      </w:r>
      <w:r w:rsidR="00D40327" w:rsidRPr="00614125">
        <w:rPr>
          <w:rFonts w:ascii="Arial" w:hAnsi="Arial"/>
          <w:color w:val="000000" w:themeColor="text1"/>
        </w:rPr>
        <w:t xml:space="preserve"> </w:t>
      </w:r>
      <w:r w:rsidR="00310AAB" w:rsidRPr="00614125">
        <w:rPr>
          <w:rFonts w:ascii="Arial" w:hAnsi="Arial"/>
          <w:color w:val="000000" w:themeColor="text1"/>
        </w:rPr>
        <w:t>3.</w:t>
      </w:r>
      <w:r w:rsidR="00D40327" w:rsidRPr="00614125">
        <w:rPr>
          <w:rFonts w:ascii="Arial" w:hAnsi="Arial"/>
          <w:color w:val="000000" w:themeColor="text1"/>
        </w:rPr>
        <w:t xml:space="preserve">0 </w:t>
      </w:r>
      <w:r w:rsidR="00310AAB" w:rsidRPr="00614125">
        <w:rPr>
          <w:rFonts w:ascii="Arial" w:hAnsi="Arial"/>
          <w:color w:val="000000" w:themeColor="text1"/>
        </w:rPr>
        <w:t xml:space="preserve">cm by all </w:t>
      </w:r>
      <w:r w:rsidR="00D40327" w:rsidRPr="00614125">
        <w:rPr>
          <w:rFonts w:ascii="Arial" w:hAnsi="Arial"/>
          <w:color w:val="000000" w:themeColor="text1"/>
        </w:rPr>
        <w:t>socioeconomic quintile</w:t>
      </w:r>
      <w:r w:rsidR="00310AAB" w:rsidRPr="00614125">
        <w:rPr>
          <w:rFonts w:ascii="Arial" w:hAnsi="Arial"/>
          <w:color w:val="000000" w:themeColor="text1"/>
        </w:rPr>
        <w:t>s</w:t>
      </w:r>
      <w:r w:rsidR="00D40327" w:rsidRPr="00614125">
        <w:rPr>
          <w:rFonts w:ascii="Arial" w:hAnsi="Arial"/>
          <w:color w:val="000000" w:themeColor="text1"/>
        </w:rPr>
        <w:t xml:space="preserve"> for 6.00 health services with </w:t>
      </w:r>
      <w:r w:rsidR="004C1B47" w:rsidRPr="00614125">
        <w:rPr>
          <w:rFonts w:ascii="Arial" w:hAnsi="Arial"/>
          <w:color w:val="000000" w:themeColor="text1"/>
        </w:rPr>
        <w:t xml:space="preserve">full </w:t>
      </w:r>
      <w:r w:rsidR="00D40327" w:rsidRPr="00614125">
        <w:rPr>
          <w:rFonts w:ascii="Arial" w:hAnsi="Arial"/>
          <w:color w:val="000000" w:themeColor="text1"/>
        </w:rPr>
        <w:t>financ</w:t>
      </w:r>
      <w:r w:rsidR="004C1B47" w:rsidRPr="00614125">
        <w:rPr>
          <w:rFonts w:ascii="Arial" w:hAnsi="Arial"/>
          <w:color w:val="000000" w:themeColor="text1"/>
        </w:rPr>
        <w:t>ial protection of</w:t>
      </w:r>
      <w:r w:rsidR="00D40327" w:rsidRPr="00614125">
        <w:rPr>
          <w:rFonts w:ascii="Arial" w:hAnsi="Arial"/>
          <w:color w:val="000000" w:themeColor="text1"/>
        </w:rPr>
        <w:t xml:space="preserve"> 90% people, the inner-box would capture a total volume of </w:t>
      </w:r>
      <w:r w:rsidR="00310AAB" w:rsidRPr="00614125">
        <w:rPr>
          <w:rFonts w:ascii="Arial" w:hAnsi="Arial"/>
          <w:color w:val="000000" w:themeColor="text1"/>
        </w:rPr>
        <w:t>16.2 cubic cm (</w:t>
      </w:r>
      <w:r w:rsidR="00D40327" w:rsidRPr="00614125">
        <w:rPr>
          <w:rFonts w:ascii="Arial" w:hAnsi="Arial"/>
          <w:color w:val="000000" w:themeColor="text1"/>
        </w:rPr>
        <w:t>length 3.00 cm x depth 6.00</w:t>
      </w:r>
      <w:r w:rsidR="000E1273" w:rsidRPr="00614125">
        <w:rPr>
          <w:rFonts w:ascii="Arial" w:hAnsi="Arial"/>
          <w:color w:val="000000" w:themeColor="text1"/>
        </w:rPr>
        <w:t xml:space="preserve"> cm</w:t>
      </w:r>
      <w:r w:rsidR="00D40327" w:rsidRPr="00614125">
        <w:rPr>
          <w:rFonts w:ascii="Arial" w:hAnsi="Arial"/>
          <w:color w:val="000000" w:themeColor="text1"/>
        </w:rPr>
        <w:t xml:space="preserve"> x height 0.90 cm</w:t>
      </w:r>
      <w:r w:rsidR="00310AAB" w:rsidRPr="00614125">
        <w:rPr>
          <w:rFonts w:ascii="Arial" w:hAnsi="Arial"/>
          <w:color w:val="000000" w:themeColor="text1"/>
        </w:rPr>
        <w:t xml:space="preserve">). The UHC index </w:t>
      </w:r>
      <w:r w:rsidR="004C1B47" w:rsidRPr="00614125">
        <w:rPr>
          <w:rFonts w:ascii="Arial" w:hAnsi="Arial"/>
          <w:color w:val="000000" w:themeColor="text1"/>
        </w:rPr>
        <w:t>c</w:t>
      </w:r>
      <w:r w:rsidR="00310AAB" w:rsidRPr="00614125">
        <w:rPr>
          <w:rFonts w:ascii="Arial" w:hAnsi="Arial"/>
          <w:color w:val="000000" w:themeColor="text1"/>
        </w:rPr>
        <w:t xml:space="preserve">ould then capture the share of the inner-box as a percentage of the </w:t>
      </w:r>
      <w:r w:rsidR="00310AAB" w:rsidRPr="00614125">
        <w:rPr>
          <w:rFonts w:ascii="Arial" w:hAnsi="Arial"/>
          <w:noProof/>
          <w:color w:val="000000" w:themeColor="text1"/>
        </w:rPr>
        <w:t>outer-box</w:t>
      </w:r>
      <w:r w:rsidR="000E1273" w:rsidRPr="00614125">
        <w:rPr>
          <w:rFonts w:ascii="Arial" w:hAnsi="Arial"/>
          <w:noProof/>
          <w:color w:val="000000" w:themeColor="text1"/>
        </w:rPr>
        <w:t xml:space="preserve"> (length 5.00 cm x depth 6.00 cm x height 1.00 cm)</w:t>
      </w:r>
      <w:r w:rsidR="00310AAB" w:rsidRPr="00614125">
        <w:rPr>
          <w:rFonts w:ascii="Arial" w:hAnsi="Arial"/>
          <w:color w:val="000000" w:themeColor="text1"/>
        </w:rPr>
        <w:t>. We followed a step-by-step approach for calcula</w:t>
      </w:r>
      <w:r w:rsidR="004C1B47" w:rsidRPr="00614125">
        <w:rPr>
          <w:rFonts w:ascii="Arial" w:hAnsi="Arial"/>
          <w:color w:val="000000" w:themeColor="text1"/>
        </w:rPr>
        <w:t xml:space="preserve">ting the index using </w:t>
      </w:r>
      <w:r w:rsidR="004C1B47" w:rsidRPr="00614125">
        <w:rPr>
          <w:rFonts w:ascii="Arial" w:hAnsi="Arial"/>
          <w:noProof/>
          <w:color w:val="000000" w:themeColor="text1"/>
        </w:rPr>
        <w:t>real</w:t>
      </w:r>
      <w:r w:rsidR="00DE1D36" w:rsidRPr="00614125">
        <w:rPr>
          <w:rFonts w:ascii="Arial" w:hAnsi="Arial"/>
          <w:noProof/>
          <w:color w:val="000000" w:themeColor="text1"/>
        </w:rPr>
        <w:t>-</w:t>
      </w:r>
      <w:r w:rsidR="004C1B47" w:rsidRPr="00614125">
        <w:rPr>
          <w:rFonts w:ascii="Arial" w:hAnsi="Arial"/>
          <w:noProof/>
          <w:color w:val="000000" w:themeColor="text1"/>
        </w:rPr>
        <w:t>life</w:t>
      </w:r>
      <w:r w:rsidR="004C1B47" w:rsidRPr="00614125">
        <w:rPr>
          <w:rFonts w:ascii="Arial" w:hAnsi="Arial"/>
          <w:color w:val="000000" w:themeColor="text1"/>
        </w:rPr>
        <w:t xml:space="preserve"> </w:t>
      </w:r>
      <w:r w:rsidR="00310AAB" w:rsidRPr="00614125">
        <w:rPr>
          <w:rFonts w:ascii="Arial" w:hAnsi="Arial"/>
          <w:color w:val="000000" w:themeColor="text1"/>
        </w:rPr>
        <w:t xml:space="preserve">data from a number of Asian and African low- and middle-income countries. </w:t>
      </w:r>
      <w:r w:rsidR="004C1B47" w:rsidRPr="00614125">
        <w:rPr>
          <w:rFonts w:ascii="Arial" w:hAnsi="Arial"/>
          <w:color w:val="000000" w:themeColor="text1"/>
        </w:rPr>
        <w:t>We described below</w:t>
      </w:r>
      <w:r w:rsidR="00880A1B" w:rsidRPr="00614125">
        <w:rPr>
          <w:rFonts w:ascii="Arial" w:hAnsi="Arial"/>
          <w:color w:val="000000" w:themeColor="text1"/>
        </w:rPr>
        <w:t>, accompanied with Figure 2,</w:t>
      </w:r>
      <w:r w:rsidR="004C1B47" w:rsidRPr="00614125">
        <w:rPr>
          <w:rFonts w:ascii="Arial" w:hAnsi="Arial"/>
          <w:color w:val="000000" w:themeColor="text1"/>
        </w:rPr>
        <w:t xml:space="preserve"> how we calculated </w:t>
      </w:r>
      <w:r w:rsidR="00D45931" w:rsidRPr="00614125">
        <w:rPr>
          <w:rFonts w:ascii="Arial" w:hAnsi="Arial"/>
          <w:color w:val="000000" w:themeColor="text1"/>
        </w:rPr>
        <w:t xml:space="preserve">the </w:t>
      </w:r>
      <w:r w:rsidR="004C1B47" w:rsidRPr="00614125">
        <w:rPr>
          <w:rFonts w:ascii="Arial" w:hAnsi="Arial"/>
          <w:color w:val="000000" w:themeColor="text1"/>
        </w:rPr>
        <w:t xml:space="preserve">UHC index value for Ghana step-by-step.  </w:t>
      </w:r>
      <w:r w:rsidR="00310AAB" w:rsidRPr="00614125">
        <w:rPr>
          <w:rFonts w:ascii="Arial" w:hAnsi="Arial"/>
          <w:color w:val="000000" w:themeColor="text1"/>
        </w:rPr>
        <w:t xml:space="preserve">  </w:t>
      </w:r>
      <w:r w:rsidR="00D40327" w:rsidRPr="00614125">
        <w:rPr>
          <w:rFonts w:ascii="Arial" w:hAnsi="Arial"/>
          <w:color w:val="000000" w:themeColor="text1"/>
        </w:rPr>
        <w:t xml:space="preserve">    </w:t>
      </w:r>
      <w:r w:rsidR="00433181" w:rsidRPr="00614125">
        <w:rPr>
          <w:rFonts w:ascii="Arial" w:hAnsi="Arial"/>
          <w:color w:val="000000" w:themeColor="text1"/>
        </w:rPr>
        <w:t xml:space="preserve">  </w:t>
      </w:r>
      <w:r w:rsidR="005A3EE3" w:rsidRPr="00614125">
        <w:rPr>
          <w:rFonts w:ascii="Arial" w:hAnsi="Arial"/>
          <w:color w:val="000000" w:themeColor="text1"/>
        </w:rPr>
        <w:t xml:space="preserve"> </w:t>
      </w:r>
    </w:p>
    <w:p w14:paraId="3FFAF81B" w14:textId="51B5F2E6" w:rsidR="004651B5" w:rsidRPr="00614125" w:rsidRDefault="005A3EE3" w:rsidP="00337D8B">
      <w:pPr>
        <w:spacing w:before="120" w:after="120" w:line="360" w:lineRule="auto"/>
        <w:jc w:val="both"/>
        <w:rPr>
          <w:rFonts w:ascii="Arial" w:hAnsi="Arial"/>
          <w:color w:val="000000" w:themeColor="text1"/>
        </w:rPr>
      </w:pPr>
      <w:r w:rsidRPr="00614125">
        <w:rPr>
          <w:rFonts w:ascii="Arial" w:hAnsi="Arial"/>
          <w:color w:val="000000" w:themeColor="text1"/>
        </w:rPr>
        <w:t xml:space="preserve"> </w:t>
      </w:r>
    </w:p>
    <w:p w14:paraId="5FB0F396" w14:textId="6B49AB24" w:rsidR="00125379" w:rsidRPr="00614125" w:rsidRDefault="00125379" w:rsidP="00337D8B">
      <w:pPr>
        <w:spacing w:before="120" w:after="120" w:line="360" w:lineRule="auto"/>
        <w:jc w:val="both"/>
        <w:rPr>
          <w:rFonts w:ascii="Arial" w:hAnsi="Arial"/>
          <w:i/>
          <w:iCs/>
          <w:color w:val="000000" w:themeColor="text1"/>
        </w:rPr>
      </w:pPr>
      <w:r w:rsidRPr="00614125">
        <w:rPr>
          <w:rFonts w:ascii="Arial" w:hAnsi="Arial"/>
          <w:i/>
          <w:iCs/>
          <w:color w:val="000000" w:themeColor="text1"/>
        </w:rPr>
        <w:t xml:space="preserve">Step 1: </w:t>
      </w:r>
      <w:r w:rsidR="004C1B47" w:rsidRPr="00614125">
        <w:rPr>
          <w:rFonts w:ascii="Arial" w:hAnsi="Arial"/>
          <w:i/>
          <w:iCs/>
          <w:color w:val="000000" w:themeColor="text1"/>
        </w:rPr>
        <w:t>Country and v</w:t>
      </w:r>
      <w:r w:rsidRPr="00614125">
        <w:rPr>
          <w:rFonts w:ascii="Arial" w:hAnsi="Arial"/>
          <w:i/>
          <w:iCs/>
          <w:color w:val="000000" w:themeColor="text1"/>
        </w:rPr>
        <w:t>ariable selection</w:t>
      </w:r>
    </w:p>
    <w:p w14:paraId="137469A7" w14:textId="104873AE" w:rsidR="00825149" w:rsidRPr="00614125" w:rsidRDefault="00595215" w:rsidP="00337D8B">
      <w:pPr>
        <w:spacing w:before="120" w:after="120" w:line="360" w:lineRule="auto"/>
        <w:jc w:val="both"/>
        <w:rPr>
          <w:rFonts w:ascii="Arial" w:hAnsi="Arial"/>
          <w:color w:val="000000" w:themeColor="text1"/>
        </w:rPr>
      </w:pPr>
      <w:r w:rsidRPr="00614125">
        <w:rPr>
          <w:rFonts w:ascii="Arial" w:hAnsi="Arial"/>
          <w:color w:val="000000" w:themeColor="text1"/>
        </w:rPr>
        <w:t xml:space="preserve">We targeted </w:t>
      </w:r>
      <w:r w:rsidR="00C73775" w:rsidRPr="00614125">
        <w:rPr>
          <w:rFonts w:ascii="Arial" w:hAnsi="Arial"/>
          <w:color w:val="000000" w:themeColor="text1"/>
        </w:rPr>
        <w:t xml:space="preserve">countries </w:t>
      </w:r>
      <w:r w:rsidR="001B6CBB" w:rsidRPr="00614125">
        <w:rPr>
          <w:rFonts w:ascii="Arial" w:hAnsi="Arial"/>
          <w:color w:val="000000" w:themeColor="text1"/>
        </w:rPr>
        <w:t xml:space="preserve">in Asia and Africa </w:t>
      </w:r>
      <w:r w:rsidR="00C73775" w:rsidRPr="00614125">
        <w:rPr>
          <w:rFonts w:ascii="Arial" w:hAnsi="Arial"/>
          <w:color w:val="000000" w:themeColor="text1"/>
        </w:rPr>
        <w:t xml:space="preserve">which had data on </w:t>
      </w:r>
      <w:r w:rsidR="00A51028" w:rsidRPr="00614125">
        <w:rPr>
          <w:rFonts w:ascii="Arial" w:hAnsi="Arial"/>
          <w:color w:val="000000" w:themeColor="text1"/>
        </w:rPr>
        <w:t xml:space="preserve">the </w:t>
      </w:r>
      <w:r w:rsidR="00C73775" w:rsidRPr="00614125">
        <w:rPr>
          <w:rFonts w:ascii="Arial" w:hAnsi="Arial"/>
          <w:color w:val="000000" w:themeColor="text1"/>
        </w:rPr>
        <w:t xml:space="preserve">largest </w:t>
      </w:r>
      <w:r w:rsidR="00215189" w:rsidRPr="00614125">
        <w:rPr>
          <w:rFonts w:ascii="Arial" w:hAnsi="Arial"/>
          <w:color w:val="000000" w:themeColor="text1"/>
        </w:rPr>
        <w:t xml:space="preserve">common </w:t>
      </w:r>
      <w:r w:rsidR="00C73775" w:rsidRPr="00614125">
        <w:rPr>
          <w:rFonts w:ascii="Arial" w:hAnsi="Arial"/>
          <w:color w:val="000000" w:themeColor="text1"/>
        </w:rPr>
        <w:t xml:space="preserve">number of health services. We found that 6 Asian and 15 African countries had data </w:t>
      </w:r>
      <w:r w:rsidR="00C73775" w:rsidRPr="00614125">
        <w:rPr>
          <w:rFonts w:ascii="Arial" w:hAnsi="Arial"/>
          <w:color w:val="000000" w:themeColor="text1"/>
        </w:rPr>
        <w:lastRenderedPageBreak/>
        <w:t xml:space="preserve">on </w:t>
      </w:r>
      <w:r w:rsidR="0044734D" w:rsidRPr="00614125">
        <w:rPr>
          <w:rFonts w:ascii="Arial" w:hAnsi="Arial"/>
          <w:color w:val="000000" w:themeColor="text1"/>
        </w:rPr>
        <w:t>6</w:t>
      </w:r>
      <w:r w:rsidR="00C73775" w:rsidRPr="00614125">
        <w:rPr>
          <w:rFonts w:ascii="Arial" w:hAnsi="Arial"/>
          <w:color w:val="000000" w:themeColor="text1"/>
        </w:rPr>
        <w:t xml:space="preserve"> health services (utilization rate by socioeconomic quintiles). The </w:t>
      </w:r>
      <w:r w:rsidR="003205E3" w:rsidRPr="00614125">
        <w:rPr>
          <w:rFonts w:ascii="Arial" w:hAnsi="Arial"/>
          <w:color w:val="000000" w:themeColor="text1"/>
        </w:rPr>
        <w:t>services were I</w:t>
      </w:r>
      <w:r w:rsidR="00C73775" w:rsidRPr="00614125">
        <w:rPr>
          <w:rFonts w:ascii="Arial" w:hAnsi="Arial"/>
          <w:color w:val="000000" w:themeColor="text1"/>
        </w:rPr>
        <w:t xml:space="preserve">mmunization, Skilled antenatal care (4 visits), Treatment of </w:t>
      </w:r>
      <w:r w:rsidR="006F5387" w:rsidRPr="00614125">
        <w:rPr>
          <w:rFonts w:ascii="Arial" w:hAnsi="Arial"/>
          <w:color w:val="000000" w:themeColor="text1"/>
        </w:rPr>
        <w:t>diarrhoea</w:t>
      </w:r>
      <w:r w:rsidR="00C73775" w:rsidRPr="00614125">
        <w:rPr>
          <w:rFonts w:ascii="Arial" w:hAnsi="Arial"/>
          <w:color w:val="000000" w:themeColor="text1"/>
        </w:rPr>
        <w:t>, Medical treatment of</w:t>
      </w:r>
      <w:r w:rsidR="0044734D" w:rsidRPr="00614125">
        <w:rPr>
          <w:rFonts w:ascii="Arial" w:hAnsi="Arial"/>
          <w:color w:val="000000" w:themeColor="text1"/>
        </w:rPr>
        <w:t xml:space="preserve"> Acute Respiratory Infection</w:t>
      </w:r>
      <w:r w:rsidR="00C73775" w:rsidRPr="00614125">
        <w:rPr>
          <w:rFonts w:ascii="Arial" w:hAnsi="Arial"/>
          <w:color w:val="000000" w:themeColor="text1"/>
        </w:rPr>
        <w:t xml:space="preserve"> </w:t>
      </w:r>
      <w:r w:rsidR="0044734D" w:rsidRPr="00614125">
        <w:rPr>
          <w:rFonts w:ascii="Arial" w:hAnsi="Arial"/>
          <w:color w:val="000000" w:themeColor="text1"/>
        </w:rPr>
        <w:t>(</w:t>
      </w:r>
      <w:r w:rsidR="00C73775" w:rsidRPr="00614125">
        <w:rPr>
          <w:rFonts w:ascii="Arial" w:hAnsi="Arial"/>
          <w:color w:val="000000" w:themeColor="text1"/>
        </w:rPr>
        <w:t>ARI</w:t>
      </w:r>
      <w:r w:rsidR="0044734D" w:rsidRPr="00614125">
        <w:rPr>
          <w:rFonts w:ascii="Arial" w:hAnsi="Arial"/>
          <w:color w:val="000000" w:themeColor="text1"/>
        </w:rPr>
        <w:t>)</w:t>
      </w:r>
      <w:r w:rsidR="00C73775" w:rsidRPr="00614125">
        <w:rPr>
          <w:rFonts w:ascii="Arial" w:hAnsi="Arial"/>
          <w:color w:val="000000" w:themeColor="text1"/>
        </w:rPr>
        <w:t>, Skilled birth attendance</w:t>
      </w:r>
      <w:r w:rsidR="009572BF" w:rsidRPr="00614125">
        <w:rPr>
          <w:rFonts w:ascii="Arial" w:hAnsi="Arial"/>
          <w:color w:val="000000" w:themeColor="text1"/>
        </w:rPr>
        <w:t xml:space="preserve"> (SBA)</w:t>
      </w:r>
      <w:r w:rsidR="00C73775" w:rsidRPr="00614125">
        <w:rPr>
          <w:rFonts w:ascii="Arial" w:hAnsi="Arial"/>
          <w:color w:val="000000" w:themeColor="text1"/>
        </w:rPr>
        <w:t xml:space="preserve"> and Inpatient (</w:t>
      </w:r>
      <w:r w:rsidR="00907F44" w:rsidRPr="00614125">
        <w:rPr>
          <w:rFonts w:ascii="Arial" w:hAnsi="Arial"/>
          <w:color w:val="000000" w:themeColor="text1"/>
        </w:rPr>
        <w:t xml:space="preserve">in last </w:t>
      </w:r>
      <w:r w:rsidR="00C73775" w:rsidRPr="00614125">
        <w:rPr>
          <w:rFonts w:ascii="Arial" w:hAnsi="Arial"/>
          <w:color w:val="000000" w:themeColor="text1"/>
        </w:rPr>
        <w:t xml:space="preserve">12 months). These services reflected the status of preventive and curative health services in </w:t>
      </w:r>
      <w:r w:rsidR="00D45931" w:rsidRPr="00614125">
        <w:rPr>
          <w:rFonts w:ascii="Arial" w:hAnsi="Arial"/>
          <w:color w:val="000000" w:themeColor="text1"/>
        </w:rPr>
        <w:t>each country</w:t>
      </w:r>
      <w:r w:rsidR="00C73775" w:rsidRPr="00614125">
        <w:rPr>
          <w:rFonts w:ascii="Arial" w:hAnsi="Arial"/>
          <w:color w:val="000000" w:themeColor="text1"/>
        </w:rPr>
        <w:t xml:space="preserve">. </w:t>
      </w:r>
      <w:r w:rsidR="008407E0" w:rsidRPr="00614125">
        <w:rPr>
          <w:rFonts w:ascii="Arial" w:hAnsi="Arial"/>
          <w:color w:val="000000" w:themeColor="text1"/>
        </w:rPr>
        <w:t xml:space="preserve">In principle, all types of health services (promotive, preventive, curative, rehabilitative and palliative) should be considered in the index </w:t>
      </w:r>
      <w:r w:rsidR="00CC7F4A" w:rsidRPr="00614125">
        <w:rPr>
          <w:rFonts w:ascii="Arial" w:hAnsi="Arial"/>
          <w:color w:val="000000" w:themeColor="text1"/>
        </w:rPr>
        <w:t>calculation</w:t>
      </w:r>
      <w:r w:rsidR="008407E0" w:rsidRPr="00614125">
        <w:rPr>
          <w:rFonts w:ascii="Arial" w:hAnsi="Arial"/>
          <w:color w:val="000000" w:themeColor="text1"/>
        </w:rPr>
        <w:t xml:space="preserve">. </w:t>
      </w:r>
      <w:r w:rsidR="00C73775" w:rsidRPr="00614125">
        <w:rPr>
          <w:rFonts w:ascii="Arial" w:hAnsi="Arial"/>
          <w:color w:val="000000" w:themeColor="text1"/>
        </w:rPr>
        <w:t>Due to data</w:t>
      </w:r>
      <w:r w:rsidR="008407E0" w:rsidRPr="00614125">
        <w:rPr>
          <w:rFonts w:ascii="Arial" w:hAnsi="Arial"/>
          <w:color w:val="000000" w:themeColor="text1"/>
        </w:rPr>
        <w:t xml:space="preserve"> services </w:t>
      </w:r>
      <w:r w:rsidR="00C73775" w:rsidRPr="00614125">
        <w:rPr>
          <w:rFonts w:ascii="Arial" w:hAnsi="Arial"/>
          <w:color w:val="000000" w:themeColor="text1"/>
        </w:rPr>
        <w:t>constrain</w:t>
      </w:r>
      <w:r w:rsidR="00A07EA8" w:rsidRPr="00614125">
        <w:rPr>
          <w:rFonts w:ascii="Arial" w:hAnsi="Arial"/>
          <w:color w:val="000000" w:themeColor="text1"/>
        </w:rPr>
        <w:t>ts</w:t>
      </w:r>
      <w:r w:rsidR="008407E0" w:rsidRPr="00614125">
        <w:rPr>
          <w:rFonts w:ascii="Arial" w:hAnsi="Arial"/>
          <w:color w:val="000000" w:themeColor="text1"/>
        </w:rPr>
        <w:t xml:space="preserve">, like missing data on </w:t>
      </w:r>
      <w:r w:rsidR="001E5288" w:rsidRPr="00614125">
        <w:rPr>
          <w:rFonts w:ascii="Arial" w:hAnsi="Arial"/>
          <w:color w:val="000000" w:themeColor="text1"/>
        </w:rPr>
        <w:t>promotive</w:t>
      </w:r>
      <w:r w:rsidR="008407E0" w:rsidRPr="00614125">
        <w:rPr>
          <w:rFonts w:ascii="Arial" w:hAnsi="Arial"/>
          <w:color w:val="000000" w:themeColor="text1"/>
        </w:rPr>
        <w:t>,</w:t>
      </w:r>
      <w:r w:rsidR="001E5288" w:rsidRPr="00614125">
        <w:rPr>
          <w:rFonts w:ascii="Arial" w:hAnsi="Arial"/>
          <w:color w:val="000000" w:themeColor="text1"/>
        </w:rPr>
        <w:t xml:space="preserve"> rehabilitative</w:t>
      </w:r>
      <w:r w:rsidR="008407E0" w:rsidRPr="00614125">
        <w:rPr>
          <w:rFonts w:ascii="Arial" w:hAnsi="Arial"/>
          <w:color w:val="000000" w:themeColor="text1"/>
        </w:rPr>
        <w:t>, and palliative</w:t>
      </w:r>
      <w:r w:rsidR="001E5288" w:rsidRPr="00614125">
        <w:rPr>
          <w:rFonts w:ascii="Arial" w:hAnsi="Arial"/>
          <w:color w:val="000000" w:themeColor="text1"/>
        </w:rPr>
        <w:t xml:space="preserve"> care</w:t>
      </w:r>
      <w:r w:rsidR="008407E0" w:rsidRPr="00614125">
        <w:rPr>
          <w:rFonts w:ascii="Arial" w:hAnsi="Arial"/>
          <w:color w:val="000000" w:themeColor="text1"/>
        </w:rPr>
        <w:t xml:space="preserve"> as well as unavailability of data on same health services across </w:t>
      </w:r>
      <w:r w:rsidR="00015A3A" w:rsidRPr="00614125">
        <w:rPr>
          <w:rFonts w:ascii="Arial" w:hAnsi="Arial"/>
          <w:color w:val="000000" w:themeColor="text1"/>
        </w:rPr>
        <w:t>countries</w:t>
      </w:r>
      <w:r w:rsidR="001E5288" w:rsidRPr="00614125">
        <w:rPr>
          <w:rFonts w:ascii="Arial" w:hAnsi="Arial"/>
          <w:color w:val="000000" w:themeColor="text1"/>
        </w:rPr>
        <w:t xml:space="preserve">, </w:t>
      </w:r>
      <w:r w:rsidR="008407E0" w:rsidRPr="00614125">
        <w:rPr>
          <w:rFonts w:ascii="Arial" w:hAnsi="Arial"/>
          <w:color w:val="000000" w:themeColor="text1"/>
        </w:rPr>
        <w:t xml:space="preserve">we could not capture the complete scenario of </w:t>
      </w:r>
      <w:r w:rsidR="001E5288" w:rsidRPr="00614125">
        <w:rPr>
          <w:rFonts w:ascii="Arial" w:hAnsi="Arial"/>
          <w:color w:val="000000" w:themeColor="text1"/>
        </w:rPr>
        <w:t>UHC status</w:t>
      </w:r>
      <w:r w:rsidR="003F5887" w:rsidRPr="00614125">
        <w:rPr>
          <w:rFonts w:ascii="Arial" w:hAnsi="Arial"/>
          <w:color w:val="000000" w:themeColor="text1"/>
        </w:rPr>
        <w:t>.</w:t>
      </w:r>
      <w:r w:rsidR="008407E0" w:rsidRPr="00614125">
        <w:rPr>
          <w:rFonts w:ascii="Arial" w:hAnsi="Arial"/>
          <w:color w:val="000000" w:themeColor="text1"/>
        </w:rPr>
        <w:t xml:space="preserve"> Our method, however, allows </w:t>
      </w:r>
      <w:r w:rsidR="00D45931" w:rsidRPr="00614125">
        <w:rPr>
          <w:rFonts w:ascii="Arial" w:hAnsi="Arial"/>
          <w:color w:val="000000" w:themeColor="text1"/>
        </w:rPr>
        <w:t>for the inclusion of</w:t>
      </w:r>
      <w:r w:rsidR="008407E0" w:rsidRPr="00614125">
        <w:rPr>
          <w:rFonts w:ascii="Arial" w:hAnsi="Arial"/>
          <w:color w:val="000000" w:themeColor="text1"/>
        </w:rPr>
        <w:t xml:space="preserve"> as many health services as possible </w:t>
      </w:r>
      <w:r w:rsidR="00153AFA" w:rsidRPr="00614125">
        <w:rPr>
          <w:rFonts w:ascii="Arial" w:hAnsi="Arial"/>
          <w:color w:val="000000" w:themeColor="text1"/>
        </w:rPr>
        <w:t xml:space="preserve">if data </w:t>
      </w:r>
      <w:r w:rsidR="00D45931" w:rsidRPr="00614125">
        <w:rPr>
          <w:rFonts w:ascii="Arial" w:hAnsi="Arial"/>
          <w:color w:val="000000" w:themeColor="text1"/>
        </w:rPr>
        <w:t>are</w:t>
      </w:r>
      <w:r w:rsidR="00153AFA" w:rsidRPr="00614125">
        <w:rPr>
          <w:rFonts w:ascii="Arial" w:hAnsi="Arial"/>
          <w:color w:val="000000" w:themeColor="text1"/>
        </w:rPr>
        <w:t xml:space="preserve"> available.</w:t>
      </w:r>
      <w:r w:rsidR="001E5288" w:rsidRPr="00614125">
        <w:rPr>
          <w:rFonts w:ascii="Arial" w:hAnsi="Arial"/>
          <w:color w:val="000000" w:themeColor="text1"/>
        </w:rPr>
        <w:t xml:space="preserve"> </w:t>
      </w:r>
      <w:r w:rsidR="00F27B3D" w:rsidRPr="00614125">
        <w:rPr>
          <w:rFonts w:ascii="Arial" w:hAnsi="Arial"/>
          <w:color w:val="000000" w:themeColor="text1"/>
        </w:rPr>
        <w:t xml:space="preserve">Additionally, we were aware that there were inpatient services related to the treatment of diarrhoea, ARI, skilled birth attendance etc. But it </w:t>
      </w:r>
      <w:r w:rsidR="00B13D71" w:rsidRPr="00614125">
        <w:rPr>
          <w:rFonts w:ascii="Arial" w:hAnsi="Arial"/>
          <w:color w:val="000000" w:themeColor="text1"/>
        </w:rPr>
        <w:t>wa</w:t>
      </w:r>
      <w:r w:rsidR="00F27B3D" w:rsidRPr="00614125">
        <w:rPr>
          <w:rFonts w:ascii="Arial" w:hAnsi="Arial"/>
          <w:color w:val="000000" w:themeColor="text1"/>
        </w:rPr>
        <w:t>s very likely that inpatient services include</w:t>
      </w:r>
      <w:r w:rsidR="00B13D71" w:rsidRPr="00614125">
        <w:rPr>
          <w:rFonts w:ascii="Arial" w:hAnsi="Arial"/>
          <w:color w:val="000000" w:themeColor="text1"/>
        </w:rPr>
        <w:t>d</w:t>
      </w:r>
      <w:r w:rsidR="00F27B3D" w:rsidRPr="00614125">
        <w:rPr>
          <w:rFonts w:ascii="Arial" w:hAnsi="Arial"/>
          <w:color w:val="000000" w:themeColor="text1"/>
        </w:rPr>
        <w:t xml:space="preserve"> many other health conditions or diseases, for instance cancer, diabetes, cardiovascular diseases, injuries and so forth. Inclusion of inpatient services thus might be justifiable even if it might have overlapped with some service</w:t>
      </w:r>
      <w:r w:rsidR="00B13D71" w:rsidRPr="00614125">
        <w:rPr>
          <w:rFonts w:ascii="Arial" w:hAnsi="Arial"/>
          <w:color w:val="000000" w:themeColor="text1"/>
        </w:rPr>
        <w:t>s,</w:t>
      </w:r>
      <w:r w:rsidR="00F27B3D" w:rsidRPr="00614125">
        <w:rPr>
          <w:rFonts w:ascii="Arial" w:hAnsi="Arial"/>
          <w:color w:val="000000" w:themeColor="text1"/>
        </w:rPr>
        <w:t xml:space="preserve"> like skilled birth attendance. Keeping data limitation in mind, we put the emphasis on utilizing the available and comparable data from Asian and African countries for calculating the UHC index and the validation of the index values. </w:t>
      </w:r>
      <w:r w:rsidR="00282A93" w:rsidRPr="00614125">
        <w:rPr>
          <w:rFonts w:ascii="Arial" w:hAnsi="Arial"/>
          <w:color w:val="000000" w:themeColor="text1"/>
        </w:rPr>
        <w:t xml:space="preserve">The HEFP datasheets </w:t>
      </w:r>
      <w:r w:rsidR="00C84AA4" w:rsidRPr="00614125">
        <w:rPr>
          <w:rFonts w:ascii="Arial" w:hAnsi="Arial"/>
          <w:color w:val="000000" w:themeColor="text1"/>
        </w:rPr>
        <w:t xml:space="preserve">of the World Bank </w:t>
      </w:r>
      <w:r w:rsidR="00282A93" w:rsidRPr="00614125">
        <w:rPr>
          <w:rFonts w:ascii="Arial" w:hAnsi="Arial"/>
          <w:color w:val="000000" w:themeColor="text1"/>
        </w:rPr>
        <w:t xml:space="preserve">provide data for the years 1993 to 2006. We used data </w:t>
      </w:r>
      <w:r w:rsidR="00C91403" w:rsidRPr="00614125">
        <w:rPr>
          <w:rFonts w:ascii="Arial" w:hAnsi="Arial"/>
          <w:color w:val="000000" w:themeColor="text1"/>
        </w:rPr>
        <w:t xml:space="preserve">on any health services available </w:t>
      </w:r>
      <w:r w:rsidR="00282A93" w:rsidRPr="00614125">
        <w:rPr>
          <w:rFonts w:ascii="Arial" w:hAnsi="Arial"/>
          <w:color w:val="000000" w:themeColor="text1"/>
        </w:rPr>
        <w:t xml:space="preserve">between 2002 </w:t>
      </w:r>
      <w:r w:rsidR="00C91403" w:rsidRPr="00614125">
        <w:rPr>
          <w:rFonts w:ascii="Arial" w:hAnsi="Arial"/>
          <w:color w:val="000000" w:themeColor="text1"/>
        </w:rPr>
        <w:t xml:space="preserve">and </w:t>
      </w:r>
      <w:r w:rsidR="00282A93" w:rsidRPr="00614125">
        <w:rPr>
          <w:rFonts w:ascii="Arial" w:hAnsi="Arial"/>
          <w:color w:val="000000" w:themeColor="text1"/>
        </w:rPr>
        <w:t>2006 for this analysis</w:t>
      </w:r>
      <w:r w:rsidR="00C91403" w:rsidRPr="00614125">
        <w:rPr>
          <w:rFonts w:ascii="Arial" w:hAnsi="Arial"/>
          <w:color w:val="000000" w:themeColor="text1"/>
        </w:rPr>
        <w:t>.</w:t>
      </w:r>
      <w:r w:rsidR="00825149" w:rsidRPr="00614125">
        <w:rPr>
          <w:rFonts w:ascii="Arial" w:hAnsi="Arial"/>
          <w:color w:val="000000" w:themeColor="text1"/>
        </w:rPr>
        <w:t xml:space="preserve"> Since data on financial risk related to every single health service was not available, we applied financial risk for </w:t>
      </w:r>
      <w:r w:rsidR="00EE5485" w:rsidRPr="00614125">
        <w:rPr>
          <w:rFonts w:ascii="Arial" w:hAnsi="Arial"/>
          <w:color w:val="000000" w:themeColor="text1"/>
        </w:rPr>
        <w:t xml:space="preserve">countries </w:t>
      </w:r>
      <w:r w:rsidR="00825149" w:rsidRPr="00614125">
        <w:rPr>
          <w:rFonts w:ascii="Arial" w:hAnsi="Arial"/>
          <w:color w:val="000000" w:themeColor="text1"/>
        </w:rPr>
        <w:t>across all services</w:t>
      </w:r>
      <w:r w:rsidR="001937AC" w:rsidRPr="00614125">
        <w:rPr>
          <w:rFonts w:ascii="Arial" w:hAnsi="Arial"/>
          <w:color w:val="000000" w:themeColor="text1"/>
        </w:rPr>
        <w:t xml:space="preserve">, except immunization which often was funded by government and its development partners (like, GAVI </w:t>
      </w:r>
      <w:r w:rsidR="00DE1D36" w:rsidRPr="00614125">
        <w:rPr>
          <w:rFonts w:ascii="Arial" w:hAnsi="Arial"/>
          <w:noProof/>
          <w:color w:val="000000" w:themeColor="text1"/>
        </w:rPr>
        <w:t>A</w:t>
      </w:r>
      <w:r w:rsidR="001937AC" w:rsidRPr="00614125">
        <w:rPr>
          <w:rFonts w:ascii="Arial" w:hAnsi="Arial"/>
          <w:noProof/>
          <w:color w:val="000000" w:themeColor="text1"/>
        </w:rPr>
        <w:t>lliance</w:t>
      </w:r>
      <w:r w:rsidR="001937AC" w:rsidRPr="00614125">
        <w:rPr>
          <w:rFonts w:ascii="Arial" w:hAnsi="Arial"/>
          <w:color w:val="000000" w:themeColor="text1"/>
        </w:rPr>
        <w:t xml:space="preserve">). </w:t>
      </w:r>
    </w:p>
    <w:p w14:paraId="27220423" w14:textId="77777777" w:rsidR="00555B01" w:rsidRPr="00614125" w:rsidRDefault="00555B01" w:rsidP="00E52BC2">
      <w:pPr>
        <w:tabs>
          <w:tab w:val="left" w:pos="90"/>
        </w:tabs>
        <w:spacing w:before="120" w:after="120" w:line="360" w:lineRule="auto"/>
        <w:rPr>
          <w:rFonts w:ascii="Arial" w:hAnsi="Arial"/>
          <w:i/>
          <w:iCs/>
          <w:color w:val="000000" w:themeColor="text1"/>
        </w:rPr>
      </w:pPr>
    </w:p>
    <w:p w14:paraId="20E3D964" w14:textId="4CCA7194" w:rsidR="00C23D5F" w:rsidRPr="00614125" w:rsidRDefault="00125379" w:rsidP="00E52BC2">
      <w:pPr>
        <w:tabs>
          <w:tab w:val="left" w:pos="90"/>
        </w:tabs>
        <w:spacing w:before="120" w:after="120" w:line="360" w:lineRule="auto"/>
        <w:rPr>
          <w:rFonts w:ascii="Arial" w:hAnsi="Arial"/>
          <w:i/>
          <w:iCs/>
          <w:color w:val="000000" w:themeColor="text1"/>
        </w:rPr>
      </w:pPr>
      <w:r w:rsidRPr="00614125">
        <w:rPr>
          <w:rFonts w:ascii="Arial" w:hAnsi="Arial"/>
          <w:i/>
          <w:iCs/>
          <w:color w:val="000000" w:themeColor="text1"/>
        </w:rPr>
        <w:t xml:space="preserve">Step 2: Data compiling </w:t>
      </w:r>
    </w:p>
    <w:p w14:paraId="1735C389" w14:textId="70C97160" w:rsidR="001B240F" w:rsidRPr="00614125" w:rsidRDefault="0059298C" w:rsidP="00C91403">
      <w:pPr>
        <w:spacing w:before="120" w:after="120" w:line="360" w:lineRule="auto"/>
        <w:jc w:val="both"/>
        <w:rPr>
          <w:rFonts w:ascii="Arial" w:hAnsi="Arial"/>
          <w:color w:val="000000" w:themeColor="text1"/>
        </w:rPr>
      </w:pPr>
      <w:r w:rsidRPr="00614125">
        <w:rPr>
          <w:rFonts w:ascii="Arial" w:hAnsi="Arial"/>
          <w:color w:val="000000" w:themeColor="text1"/>
        </w:rPr>
        <w:t xml:space="preserve">In step 2, data </w:t>
      </w:r>
      <w:r w:rsidR="00D45931" w:rsidRPr="00614125">
        <w:rPr>
          <w:rFonts w:ascii="Arial" w:hAnsi="Arial"/>
          <w:color w:val="000000" w:themeColor="text1"/>
        </w:rPr>
        <w:t>were</w:t>
      </w:r>
      <w:r w:rsidRPr="00614125">
        <w:rPr>
          <w:rFonts w:ascii="Arial" w:hAnsi="Arial"/>
          <w:color w:val="000000" w:themeColor="text1"/>
        </w:rPr>
        <w:t xml:space="preserve"> </w:t>
      </w:r>
      <w:r w:rsidR="00CC7F4A" w:rsidRPr="00614125">
        <w:rPr>
          <w:rFonts w:ascii="Arial" w:hAnsi="Arial"/>
          <w:color w:val="000000" w:themeColor="text1"/>
        </w:rPr>
        <w:t>compiled</w:t>
      </w:r>
      <w:r w:rsidRPr="00614125">
        <w:rPr>
          <w:rFonts w:ascii="Arial" w:hAnsi="Arial"/>
          <w:color w:val="000000" w:themeColor="text1"/>
        </w:rPr>
        <w:t xml:space="preserve"> in columns A-D</w:t>
      </w:r>
      <w:r w:rsidR="00F66F7D" w:rsidRPr="00614125">
        <w:rPr>
          <w:rFonts w:ascii="Arial" w:hAnsi="Arial"/>
          <w:color w:val="000000" w:themeColor="text1"/>
        </w:rPr>
        <w:t xml:space="preserve"> which</w:t>
      </w:r>
      <w:r w:rsidR="003812EB" w:rsidRPr="00614125">
        <w:rPr>
          <w:rFonts w:ascii="Arial" w:hAnsi="Arial"/>
          <w:color w:val="000000" w:themeColor="text1"/>
        </w:rPr>
        <w:t xml:space="preserve"> were</w:t>
      </w:r>
      <w:r w:rsidR="00F66F7D" w:rsidRPr="00614125">
        <w:rPr>
          <w:rFonts w:ascii="Arial" w:hAnsi="Arial"/>
          <w:color w:val="000000" w:themeColor="text1"/>
        </w:rPr>
        <w:t xml:space="preserve"> later used for calculating the index</w:t>
      </w:r>
      <w:r w:rsidRPr="00614125">
        <w:rPr>
          <w:rFonts w:ascii="Arial" w:hAnsi="Arial"/>
          <w:color w:val="000000" w:themeColor="text1"/>
        </w:rPr>
        <w:t>.</w:t>
      </w:r>
      <w:r w:rsidR="00F66F7D" w:rsidRPr="00614125">
        <w:rPr>
          <w:rFonts w:ascii="Arial" w:hAnsi="Arial"/>
          <w:color w:val="000000" w:themeColor="text1"/>
        </w:rPr>
        <w:t xml:space="preserve"> These four columns include</w:t>
      </w:r>
      <w:r w:rsidR="00ED6E01" w:rsidRPr="00614125">
        <w:rPr>
          <w:rFonts w:ascii="Arial" w:hAnsi="Arial"/>
          <w:color w:val="000000" w:themeColor="text1"/>
        </w:rPr>
        <w:t xml:space="preserve">d </w:t>
      </w:r>
      <w:r w:rsidR="00F66F7D" w:rsidRPr="00614125">
        <w:rPr>
          <w:rFonts w:ascii="Arial" w:hAnsi="Arial"/>
          <w:color w:val="000000" w:themeColor="text1"/>
        </w:rPr>
        <w:t xml:space="preserve">health service types, population groups (socioeconomic quintiles), utilization rates of services and </w:t>
      </w:r>
      <w:r w:rsidR="00ED6E01" w:rsidRPr="00614125">
        <w:rPr>
          <w:rFonts w:ascii="Arial" w:hAnsi="Arial"/>
          <w:color w:val="000000" w:themeColor="text1"/>
        </w:rPr>
        <w:t xml:space="preserve">proportion population without </w:t>
      </w:r>
      <w:r w:rsidR="00F66F7D" w:rsidRPr="00614125">
        <w:rPr>
          <w:rFonts w:ascii="Arial" w:hAnsi="Arial"/>
          <w:color w:val="000000" w:themeColor="text1"/>
        </w:rPr>
        <w:t xml:space="preserve">financial hardship respectively. </w:t>
      </w:r>
      <w:r w:rsidR="005D7A37" w:rsidRPr="00614125">
        <w:rPr>
          <w:rFonts w:ascii="Arial" w:hAnsi="Arial"/>
          <w:color w:val="000000" w:themeColor="text1"/>
        </w:rPr>
        <w:t xml:space="preserve">Column A indicated 6 types of health services and column B showed classification of the services into five socioeconomic quintiles. Health service utilization rate of all six types across five socioeconomic quintiles </w:t>
      </w:r>
      <w:r w:rsidR="005D7A37" w:rsidRPr="00614125">
        <w:rPr>
          <w:rFonts w:ascii="Arial" w:hAnsi="Arial"/>
          <w:noProof/>
          <w:color w:val="000000" w:themeColor="text1"/>
        </w:rPr>
        <w:t>were</w:t>
      </w:r>
      <w:r w:rsidR="005D7A37" w:rsidRPr="00614125">
        <w:rPr>
          <w:rFonts w:ascii="Arial" w:hAnsi="Arial"/>
          <w:color w:val="000000" w:themeColor="text1"/>
        </w:rPr>
        <w:t xml:space="preserve"> inserted in column C. For instance, 53.9% of </w:t>
      </w:r>
      <w:r w:rsidR="005D7A37" w:rsidRPr="00614125">
        <w:rPr>
          <w:rFonts w:ascii="Arial" w:hAnsi="Arial"/>
          <w:noProof/>
          <w:color w:val="000000" w:themeColor="text1"/>
        </w:rPr>
        <w:t>total</w:t>
      </w:r>
      <w:r w:rsidR="005D7A37" w:rsidRPr="00614125">
        <w:rPr>
          <w:rFonts w:ascii="Arial" w:hAnsi="Arial"/>
          <w:color w:val="000000" w:themeColor="text1"/>
        </w:rPr>
        <w:t xml:space="preserve"> population in the poorest </w:t>
      </w:r>
      <w:r w:rsidR="005D7A37" w:rsidRPr="00614125">
        <w:rPr>
          <w:rFonts w:ascii="Arial" w:hAnsi="Arial"/>
          <w:color w:val="000000" w:themeColor="text1"/>
        </w:rPr>
        <w:lastRenderedPageBreak/>
        <w:t xml:space="preserve">quintile utilized immunization in Ghana. In column D, the proportion of </w:t>
      </w:r>
      <w:r w:rsidR="003812EB" w:rsidRPr="00614125">
        <w:rPr>
          <w:rFonts w:ascii="Arial" w:hAnsi="Arial"/>
          <w:color w:val="000000" w:themeColor="text1"/>
        </w:rPr>
        <w:t xml:space="preserve">the </w:t>
      </w:r>
      <w:r w:rsidR="005D7A37" w:rsidRPr="00614125">
        <w:rPr>
          <w:rFonts w:ascii="Arial" w:hAnsi="Arial"/>
          <w:color w:val="000000" w:themeColor="text1"/>
        </w:rPr>
        <w:t xml:space="preserve">population who did not face any catastrophic expenditure due to the </w:t>
      </w:r>
      <w:r w:rsidR="00CC7F4A" w:rsidRPr="00614125">
        <w:rPr>
          <w:rFonts w:ascii="Arial" w:hAnsi="Arial"/>
          <w:color w:val="000000" w:themeColor="text1"/>
        </w:rPr>
        <w:t>specific</w:t>
      </w:r>
      <w:r w:rsidR="005D7A37" w:rsidRPr="00614125">
        <w:rPr>
          <w:rFonts w:ascii="Arial" w:hAnsi="Arial"/>
          <w:color w:val="000000" w:themeColor="text1"/>
        </w:rPr>
        <w:t xml:space="preserve"> healthcare utilization </w:t>
      </w:r>
      <w:r w:rsidR="003812EB" w:rsidRPr="00614125">
        <w:rPr>
          <w:rFonts w:ascii="Arial" w:hAnsi="Arial"/>
          <w:color w:val="000000" w:themeColor="text1"/>
        </w:rPr>
        <w:t xml:space="preserve">was </w:t>
      </w:r>
      <w:r w:rsidR="005D7A37" w:rsidRPr="00614125">
        <w:rPr>
          <w:rFonts w:ascii="Arial" w:hAnsi="Arial"/>
          <w:color w:val="000000" w:themeColor="text1"/>
        </w:rPr>
        <w:t xml:space="preserve">inserted. For example, </w:t>
      </w:r>
      <w:r w:rsidR="00723010" w:rsidRPr="00614125">
        <w:rPr>
          <w:rFonts w:ascii="Arial" w:hAnsi="Arial"/>
          <w:color w:val="000000" w:themeColor="text1"/>
        </w:rPr>
        <w:t xml:space="preserve">100% of the population who utilized immunization service did not face catastrophic expenditure i.e. had financial protection. We </w:t>
      </w:r>
      <w:r w:rsidR="00723010" w:rsidRPr="00614125">
        <w:rPr>
          <w:rFonts w:ascii="Arial" w:hAnsi="Arial"/>
          <w:noProof/>
          <w:color w:val="000000" w:themeColor="text1"/>
        </w:rPr>
        <w:t>applied</w:t>
      </w:r>
      <w:r w:rsidR="00723010" w:rsidRPr="00614125">
        <w:rPr>
          <w:rFonts w:ascii="Arial" w:hAnsi="Arial"/>
          <w:color w:val="000000" w:themeColor="text1"/>
        </w:rPr>
        <w:t xml:space="preserve"> 100% protection since immunization service in low- and middle-income countries was often funded by the government and international development partner (like, GAVI alliance) and no out-of-pocket payment was required for such a service. For all other health services (like, skilled birth attendant, inpatient care), we applied the proportion of people with financial protection in general in the reported country. For instance, 8</w:t>
      </w:r>
      <w:r w:rsidR="0044734D" w:rsidRPr="00614125">
        <w:rPr>
          <w:rFonts w:ascii="Arial" w:hAnsi="Arial"/>
          <w:color w:val="000000" w:themeColor="text1"/>
        </w:rPr>
        <w:t>.8</w:t>
      </w:r>
      <w:r w:rsidR="00723010" w:rsidRPr="00614125">
        <w:rPr>
          <w:rFonts w:ascii="Arial" w:hAnsi="Arial"/>
          <w:color w:val="000000" w:themeColor="text1"/>
        </w:rPr>
        <w:t xml:space="preserve">% population faced catastrophic expenditure in Ghana for any health services, meaning that 91.2% population had financial protection </w:t>
      </w:r>
      <w:r w:rsidR="00C959A0" w:rsidRPr="00614125">
        <w:rPr>
          <w:rFonts w:ascii="Arial" w:hAnsi="Arial"/>
          <w:color w:val="000000" w:themeColor="text1"/>
        </w:rPr>
        <w:t>[18]</w:t>
      </w:r>
      <w:r w:rsidR="00AA679D" w:rsidRPr="00614125">
        <w:rPr>
          <w:rFonts w:ascii="Arial" w:hAnsi="Arial"/>
          <w:color w:val="000000" w:themeColor="text1"/>
        </w:rPr>
        <w:t xml:space="preserve">, which was inserted in column D. </w:t>
      </w:r>
    </w:p>
    <w:p w14:paraId="4E181F4E" w14:textId="77777777" w:rsidR="00ED6E01" w:rsidRPr="00614125" w:rsidRDefault="00ED6E01" w:rsidP="00C91403">
      <w:pPr>
        <w:spacing w:before="120" w:after="120" w:line="360" w:lineRule="auto"/>
        <w:jc w:val="both"/>
        <w:rPr>
          <w:rFonts w:ascii="Arial" w:hAnsi="Arial"/>
          <w:color w:val="000000" w:themeColor="text1"/>
        </w:rPr>
      </w:pPr>
    </w:p>
    <w:p w14:paraId="5869C7BA" w14:textId="5991BD95" w:rsidR="00ED6E01" w:rsidRPr="00614125" w:rsidRDefault="00ED6E01" w:rsidP="00F124C6">
      <w:pPr>
        <w:spacing w:before="120" w:after="120" w:line="360" w:lineRule="auto"/>
        <w:jc w:val="center"/>
        <w:rPr>
          <w:rFonts w:ascii="Arial" w:hAnsi="Arial"/>
          <w:color w:val="000000" w:themeColor="text1"/>
        </w:rPr>
      </w:pPr>
      <w:r w:rsidRPr="00614125">
        <w:rPr>
          <w:rFonts w:ascii="Arial" w:hAnsi="Arial"/>
          <w:color w:val="000000" w:themeColor="text1"/>
        </w:rPr>
        <w:t>Figure 2 to be inserted here</w:t>
      </w:r>
    </w:p>
    <w:p w14:paraId="4722DEC3" w14:textId="77777777" w:rsidR="001B240F" w:rsidRPr="00614125" w:rsidRDefault="001B240F" w:rsidP="00C91403">
      <w:pPr>
        <w:spacing w:before="120" w:after="120" w:line="360" w:lineRule="auto"/>
        <w:jc w:val="both"/>
        <w:rPr>
          <w:rFonts w:ascii="Arial" w:hAnsi="Arial"/>
          <w:color w:val="000000" w:themeColor="text1"/>
        </w:rPr>
      </w:pPr>
    </w:p>
    <w:p w14:paraId="44A14AD1" w14:textId="758DF30B" w:rsidR="00AA679D" w:rsidRPr="00614125" w:rsidRDefault="00AA679D" w:rsidP="00C91403">
      <w:pPr>
        <w:spacing w:before="120" w:after="120" w:line="360" w:lineRule="auto"/>
        <w:jc w:val="both"/>
        <w:rPr>
          <w:rFonts w:ascii="Arial" w:hAnsi="Arial"/>
          <w:color w:val="000000" w:themeColor="text1"/>
        </w:rPr>
      </w:pPr>
      <w:r w:rsidRPr="00614125">
        <w:rPr>
          <w:rFonts w:ascii="Arial" w:hAnsi="Arial"/>
          <w:color w:val="000000" w:themeColor="text1"/>
        </w:rPr>
        <w:t>Step 3: Data analysis</w:t>
      </w:r>
    </w:p>
    <w:p w14:paraId="2BDDC2FB" w14:textId="07BAC843" w:rsidR="00AA679D" w:rsidRPr="00614125" w:rsidRDefault="00AA679D" w:rsidP="00C91403">
      <w:pPr>
        <w:spacing w:before="120" w:after="120" w:line="360" w:lineRule="auto"/>
        <w:jc w:val="both"/>
        <w:rPr>
          <w:rFonts w:ascii="Arial" w:hAnsi="Arial"/>
          <w:color w:val="000000" w:themeColor="text1"/>
        </w:rPr>
      </w:pPr>
      <w:r w:rsidRPr="00614125">
        <w:rPr>
          <w:rFonts w:ascii="Arial" w:hAnsi="Arial"/>
          <w:color w:val="000000" w:themeColor="text1"/>
        </w:rPr>
        <w:t xml:space="preserve">Columns E-I </w:t>
      </w:r>
      <w:r w:rsidR="009572BF" w:rsidRPr="00614125">
        <w:rPr>
          <w:rFonts w:ascii="Arial" w:hAnsi="Arial"/>
          <w:color w:val="000000" w:themeColor="text1"/>
        </w:rPr>
        <w:t>were</w:t>
      </w:r>
      <w:r w:rsidRPr="00614125">
        <w:rPr>
          <w:rFonts w:ascii="Arial" w:hAnsi="Arial"/>
          <w:color w:val="000000" w:themeColor="text1"/>
        </w:rPr>
        <w:t xml:space="preserve"> calculated in step 3. </w:t>
      </w:r>
      <w:r w:rsidR="008F28AD" w:rsidRPr="00614125">
        <w:rPr>
          <w:rFonts w:ascii="Arial" w:hAnsi="Arial"/>
          <w:color w:val="000000" w:themeColor="text1"/>
        </w:rPr>
        <w:t xml:space="preserve">By multiplying columns C and D, we found the service utilization rate of people with financial protection. While 20.5% of the poorest people in Ghana utilized SBA service (in column C), 18.7% utilized this service without facing any </w:t>
      </w:r>
      <w:r w:rsidR="00CC7F4A" w:rsidRPr="00614125">
        <w:rPr>
          <w:rFonts w:ascii="Arial" w:hAnsi="Arial"/>
          <w:color w:val="000000" w:themeColor="text1"/>
        </w:rPr>
        <w:t>catastrophic</w:t>
      </w:r>
      <w:r w:rsidR="008F28AD" w:rsidRPr="00614125">
        <w:rPr>
          <w:rFonts w:ascii="Arial" w:hAnsi="Arial"/>
          <w:color w:val="000000" w:themeColor="text1"/>
        </w:rPr>
        <w:t xml:space="preserve"> expenditure (column E). Column F summed up the </w:t>
      </w:r>
      <w:r w:rsidR="00306402" w:rsidRPr="00614125">
        <w:rPr>
          <w:rFonts w:ascii="Arial" w:hAnsi="Arial"/>
          <w:color w:val="000000" w:themeColor="text1"/>
        </w:rPr>
        <w:t xml:space="preserve">total arm length for each health service. For instance, the total volume attributable </w:t>
      </w:r>
      <w:r w:rsidR="00306402" w:rsidRPr="00614125">
        <w:rPr>
          <w:rFonts w:ascii="Arial" w:hAnsi="Arial"/>
          <w:noProof/>
          <w:color w:val="000000" w:themeColor="text1"/>
        </w:rPr>
        <w:t>to immunization</w:t>
      </w:r>
      <w:r w:rsidR="00306402" w:rsidRPr="00614125">
        <w:rPr>
          <w:rFonts w:ascii="Arial" w:hAnsi="Arial"/>
          <w:color w:val="000000" w:themeColor="text1"/>
        </w:rPr>
        <w:t xml:space="preserve"> was 3.55 cubic cm out of </w:t>
      </w:r>
      <w:r w:rsidR="003812EB" w:rsidRPr="00614125">
        <w:rPr>
          <w:rFonts w:ascii="Arial" w:hAnsi="Arial"/>
          <w:color w:val="000000" w:themeColor="text1"/>
        </w:rPr>
        <w:t xml:space="preserve">a </w:t>
      </w:r>
      <w:r w:rsidR="00306402" w:rsidRPr="00614125">
        <w:rPr>
          <w:rFonts w:ascii="Arial" w:hAnsi="Arial"/>
          <w:color w:val="000000" w:themeColor="text1"/>
        </w:rPr>
        <w:t xml:space="preserve">maximum possible 5.00 cubic cm. Volumes </w:t>
      </w:r>
      <w:r w:rsidR="003812EB" w:rsidRPr="00614125">
        <w:rPr>
          <w:rFonts w:ascii="Arial" w:hAnsi="Arial"/>
          <w:noProof/>
          <w:color w:val="000000" w:themeColor="text1"/>
        </w:rPr>
        <w:t>for</w:t>
      </w:r>
      <w:r w:rsidR="00306402" w:rsidRPr="00614125">
        <w:rPr>
          <w:rFonts w:ascii="Arial" w:hAnsi="Arial"/>
          <w:noProof/>
          <w:color w:val="000000" w:themeColor="text1"/>
        </w:rPr>
        <w:t xml:space="preserve"> each</w:t>
      </w:r>
      <w:r w:rsidR="00306402" w:rsidRPr="00614125">
        <w:rPr>
          <w:rFonts w:ascii="Arial" w:hAnsi="Arial"/>
          <w:color w:val="000000" w:themeColor="text1"/>
        </w:rPr>
        <w:t xml:space="preserve"> service </w:t>
      </w:r>
      <w:r w:rsidR="003812EB" w:rsidRPr="00614125">
        <w:rPr>
          <w:rFonts w:ascii="Arial" w:hAnsi="Arial"/>
          <w:color w:val="000000" w:themeColor="text1"/>
        </w:rPr>
        <w:t>were</w:t>
      </w:r>
      <w:r w:rsidR="00306402" w:rsidRPr="00614125">
        <w:rPr>
          <w:rFonts w:ascii="Arial" w:hAnsi="Arial"/>
          <w:color w:val="000000" w:themeColor="text1"/>
        </w:rPr>
        <w:t xml:space="preserve"> calculated accordingly. Column G then summed up the total volume of all 6 </w:t>
      </w:r>
      <w:r w:rsidR="00CC7F4A" w:rsidRPr="00614125">
        <w:rPr>
          <w:rFonts w:ascii="Arial" w:hAnsi="Arial"/>
          <w:color w:val="000000" w:themeColor="text1"/>
        </w:rPr>
        <w:t>services</w:t>
      </w:r>
      <w:r w:rsidR="00306402" w:rsidRPr="00614125">
        <w:rPr>
          <w:rFonts w:ascii="Arial" w:hAnsi="Arial"/>
          <w:color w:val="000000" w:themeColor="text1"/>
        </w:rPr>
        <w:t>, accounted for 14.06 cubic cm. Column H showed the maximum possible achievable volume</w:t>
      </w:r>
      <w:r w:rsidR="001937AC" w:rsidRPr="00614125">
        <w:rPr>
          <w:rFonts w:ascii="Arial" w:hAnsi="Arial"/>
          <w:color w:val="000000" w:themeColor="text1"/>
        </w:rPr>
        <w:t xml:space="preserve"> by multiplying</w:t>
      </w:r>
      <w:r w:rsidR="003812EB" w:rsidRPr="00614125">
        <w:rPr>
          <w:rFonts w:ascii="Arial" w:hAnsi="Arial"/>
          <w:color w:val="000000" w:themeColor="text1"/>
        </w:rPr>
        <w:t xml:space="preserve"> the</w:t>
      </w:r>
      <w:r w:rsidR="001937AC" w:rsidRPr="00614125">
        <w:rPr>
          <w:rFonts w:ascii="Arial" w:hAnsi="Arial"/>
          <w:color w:val="000000" w:themeColor="text1"/>
        </w:rPr>
        <w:t xml:space="preserve"> number of services across all socioeconomic quintiles with full financial protection</w:t>
      </w:r>
      <w:r w:rsidR="00604154" w:rsidRPr="00614125">
        <w:rPr>
          <w:rFonts w:ascii="Arial" w:hAnsi="Arial"/>
          <w:color w:val="000000" w:themeColor="text1"/>
        </w:rPr>
        <w:t xml:space="preserve"> of all </w:t>
      </w:r>
      <w:r w:rsidR="003812EB" w:rsidRPr="00614125">
        <w:rPr>
          <w:rFonts w:ascii="Arial" w:hAnsi="Arial"/>
          <w:color w:val="000000" w:themeColor="text1"/>
        </w:rPr>
        <w:t xml:space="preserve">the </w:t>
      </w:r>
      <w:r w:rsidR="00604154" w:rsidRPr="00614125">
        <w:rPr>
          <w:rFonts w:ascii="Arial" w:hAnsi="Arial"/>
          <w:color w:val="000000" w:themeColor="text1"/>
        </w:rPr>
        <w:t>population</w:t>
      </w:r>
      <w:r w:rsidR="001937AC" w:rsidRPr="00614125">
        <w:rPr>
          <w:rFonts w:ascii="Arial" w:hAnsi="Arial"/>
          <w:color w:val="000000" w:themeColor="text1"/>
        </w:rPr>
        <w:t xml:space="preserve">, </w:t>
      </w:r>
      <w:r w:rsidR="00306402" w:rsidRPr="00614125">
        <w:rPr>
          <w:rFonts w:ascii="Arial" w:hAnsi="Arial"/>
          <w:color w:val="000000" w:themeColor="text1"/>
        </w:rPr>
        <w:t>i.e. 6</w:t>
      </w:r>
      <w:r w:rsidR="00604154" w:rsidRPr="00614125">
        <w:rPr>
          <w:rFonts w:ascii="Arial" w:hAnsi="Arial"/>
          <w:color w:val="000000" w:themeColor="text1"/>
        </w:rPr>
        <w:t>.00</w:t>
      </w:r>
      <w:r w:rsidR="00A652D2" w:rsidRPr="00614125">
        <w:rPr>
          <w:rFonts w:ascii="Arial" w:hAnsi="Arial"/>
          <w:color w:val="000000" w:themeColor="text1"/>
        </w:rPr>
        <w:t xml:space="preserve"> cm x </w:t>
      </w:r>
      <w:r w:rsidR="00306402" w:rsidRPr="00614125">
        <w:rPr>
          <w:rFonts w:ascii="Arial" w:hAnsi="Arial"/>
          <w:color w:val="000000" w:themeColor="text1"/>
        </w:rPr>
        <w:t>5</w:t>
      </w:r>
      <w:r w:rsidR="00604154" w:rsidRPr="00614125">
        <w:rPr>
          <w:rFonts w:ascii="Arial" w:hAnsi="Arial"/>
          <w:color w:val="000000" w:themeColor="text1"/>
        </w:rPr>
        <w:t>.00</w:t>
      </w:r>
      <w:r w:rsidR="00A652D2" w:rsidRPr="00614125">
        <w:rPr>
          <w:rFonts w:ascii="Arial" w:hAnsi="Arial"/>
          <w:color w:val="000000" w:themeColor="text1"/>
        </w:rPr>
        <w:t xml:space="preserve"> cm x </w:t>
      </w:r>
      <w:r w:rsidR="00306402" w:rsidRPr="00614125">
        <w:rPr>
          <w:rFonts w:ascii="Arial" w:hAnsi="Arial"/>
          <w:color w:val="000000" w:themeColor="text1"/>
        </w:rPr>
        <w:t>1</w:t>
      </w:r>
      <w:r w:rsidR="00604154" w:rsidRPr="00614125">
        <w:rPr>
          <w:rFonts w:ascii="Arial" w:hAnsi="Arial"/>
          <w:color w:val="000000" w:themeColor="text1"/>
        </w:rPr>
        <w:t>.00</w:t>
      </w:r>
      <w:r w:rsidR="00A652D2" w:rsidRPr="00614125">
        <w:rPr>
          <w:rFonts w:ascii="Arial" w:hAnsi="Arial"/>
          <w:color w:val="000000" w:themeColor="text1"/>
        </w:rPr>
        <w:t xml:space="preserve"> cm </w:t>
      </w:r>
      <w:r w:rsidR="00306402" w:rsidRPr="00614125">
        <w:rPr>
          <w:rFonts w:ascii="Arial" w:hAnsi="Arial"/>
          <w:color w:val="000000" w:themeColor="text1"/>
        </w:rPr>
        <w:t>=30.0</w:t>
      </w:r>
      <w:r w:rsidR="00604154" w:rsidRPr="00614125">
        <w:rPr>
          <w:rFonts w:ascii="Arial" w:hAnsi="Arial"/>
          <w:color w:val="000000" w:themeColor="text1"/>
        </w:rPr>
        <w:t>0</w:t>
      </w:r>
      <w:r w:rsidR="00306402" w:rsidRPr="00614125">
        <w:rPr>
          <w:rFonts w:ascii="Arial" w:hAnsi="Arial"/>
          <w:color w:val="000000" w:themeColor="text1"/>
        </w:rPr>
        <w:t xml:space="preserve"> cubic cm.</w:t>
      </w:r>
      <w:r w:rsidR="001937AC" w:rsidRPr="00614125">
        <w:rPr>
          <w:rFonts w:ascii="Arial" w:hAnsi="Arial"/>
          <w:color w:val="000000" w:themeColor="text1"/>
        </w:rPr>
        <w:t xml:space="preserve"> </w:t>
      </w:r>
      <w:r w:rsidR="00306402" w:rsidRPr="00614125">
        <w:rPr>
          <w:rFonts w:ascii="Arial" w:hAnsi="Arial"/>
          <w:color w:val="000000" w:themeColor="text1"/>
        </w:rPr>
        <w:t xml:space="preserve"> </w:t>
      </w:r>
      <w:r w:rsidR="00CC7F4A" w:rsidRPr="00614125">
        <w:rPr>
          <w:rFonts w:ascii="Arial" w:hAnsi="Arial"/>
          <w:color w:val="000000" w:themeColor="text1"/>
        </w:rPr>
        <w:t>Finally,</w:t>
      </w:r>
      <w:r w:rsidR="001937AC" w:rsidRPr="00614125">
        <w:rPr>
          <w:rFonts w:ascii="Arial" w:hAnsi="Arial"/>
          <w:color w:val="000000" w:themeColor="text1"/>
        </w:rPr>
        <w:t xml:space="preserve"> the UHC index was calculated in column I, applying equation (1), i.e. (G/H)</w:t>
      </w:r>
      <w:r w:rsidR="009572BF" w:rsidRPr="00614125">
        <w:rPr>
          <w:rFonts w:ascii="Arial" w:hAnsi="Arial"/>
          <w:color w:val="000000" w:themeColor="text1"/>
        </w:rPr>
        <w:t xml:space="preserve"> </w:t>
      </w:r>
      <w:r w:rsidR="001937AC" w:rsidRPr="00614125">
        <w:rPr>
          <w:rFonts w:ascii="Arial" w:hAnsi="Arial"/>
          <w:color w:val="000000" w:themeColor="text1"/>
        </w:rPr>
        <w:t>x</w:t>
      </w:r>
      <w:r w:rsidR="009572BF" w:rsidRPr="00614125">
        <w:rPr>
          <w:rFonts w:ascii="Arial" w:hAnsi="Arial"/>
          <w:color w:val="000000" w:themeColor="text1"/>
        </w:rPr>
        <w:t xml:space="preserve"> </w:t>
      </w:r>
      <w:r w:rsidR="001937AC" w:rsidRPr="00614125">
        <w:rPr>
          <w:rFonts w:ascii="Arial" w:hAnsi="Arial"/>
          <w:color w:val="000000" w:themeColor="text1"/>
        </w:rPr>
        <w:t>100 or (14.06</w:t>
      </w:r>
      <w:r w:rsidR="009572BF" w:rsidRPr="00614125">
        <w:t xml:space="preserve"> </w:t>
      </w:r>
      <w:r w:rsidR="009572BF" w:rsidRPr="00614125">
        <w:rPr>
          <w:rFonts w:ascii="Arial" w:hAnsi="Arial"/>
          <w:color w:val="000000" w:themeColor="text1"/>
        </w:rPr>
        <w:t>÷</w:t>
      </w:r>
      <w:r w:rsidR="009572BF" w:rsidRPr="00614125" w:rsidDel="009572BF">
        <w:rPr>
          <w:rFonts w:ascii="Arial" w:hAnsi="Arial"/>
          <w:color w:val="000000" w:themeColor="text1"/>
        </w:rPr>
        <w:t xml:space="preserve"> </w:t>
      </w:r>
      <w:proofErr w:type="gramStart"/>
      <w:r w:rsidR="001937AC" w:rsidRPr="00614125">
        <w:rPr>
          <w:rFonts w:ascii="Arial" w:hAnsi="Arial"/>
          <w:color w:val="000000" w:themeColor="text1"/>
        </w:rPr>
        <w:t>30.00)x</w:t>
      </w:r>
      <w:proofErr w:type="gramEnd"/>
      <w:r w:rsidR="001937AC" w:rsidRPr="00614125">
        <w:rPr>
          <w:rFonts w:ascii="Arial" w:hAnsi="Arial"/>
          <w:color w:val="000000" w:themeColor="text1"/>
        </w:rPr>
        <w:t xml:space="preserve">100 = 46.9%. </w:t>
      </w:r>
      <w:r w:rsidR="0059580B" w:rsidRPr="00614125">
        <w:rPr>
          <w:rFonts w:ascii="Arial" w:hAnsi="Arial"/>
          <w:color w:val="000000" w:themeColor="text1"/>
        </w:rPr>
        <w:t>The step-by-step calculation of UHC index is available in</w:t>
      </w:r>
      <w:r w:rsidR="008E333C" w:rsidRPr="00614125">
        <w:rPr>
          <w:rFonts w:ascii="Arial" w:hAnsi="Arial"/>
          <w:color w:val="000000" w:themeColor="text1"/>
        </w:rPr>
        <w:t xml:space="preserve"> </w:t>
      </w:r>
      <w:r w:rsidR="00DE1D36" w:rsidRPr="00614125">
        <w:rPr>
          <w:rFonts w:ascii="Arial" w:hAnsi="Arial"/>
          <w:color w:val="000000" w:themeColor="text1"/>
        </w:rPr>
        <w:t xml:space="preserve">an </w:t>
      </w:r>
      <w:r w:rsidR="008474CB" w:rsidRPr="00614125">
        <w:rPr>
          <w:rFonts w:ascii="Arial" w:hAnsi="Arial"/>
          <w:noProof/>
          <w:color w:val="000000" w:themeColor="text1"/>
        </w:rPr>
        <w:t>E</w:t>
      </w:r>
      <w:r w:rsidR="008E333C" w:rsidRPr="00614125">
        <w:rPr>
          <w:rFonts w:ascii="Arial" w:hAnsi="Arial"/>
          <w:noProof/>
          <w:color w:val="000000" w:themeColor="text1"/>
        </w:rPr>
        <w:t>xcel</w:t>
      </w:r>
      <w:r w:rsidR="008E333C" w:rsidRPr="00614125">
        <w:rPr>
          <w:rFonts w:ascii="Arial" w:hAnsi="Arial"/>
          <w:color w:val="000000" w:themeColor="text1"/>
        </w:rPr>
        <w:t xml:space="preserve"> spreadsheet (</w:t>
      </w:r>
      <w:r w:rsidR="009572BF" w:rsidRPr="00614125">
        <w:rPr>
          <w:rFonts w:ascii="Arial" w:hAnsi="Arial"/>
          <w:color w:val="000000" w:themeColor="text1"/>
        </w:rPr>
        <w:t>Electronic supplementary material</w:t>
      </w:r>
      <w:r w:rsidR="0059580B" w:rsidRPr="00614125">
        <w:rPr>
          <w:rFonts w:ascii="Arial" w:hAnsi="Arial"/>
          <w:color w:val="000000" w:themeColor="text1"/>
        </w:rPr>
        <w:t xml:space="preserve">, </w:t>
      </w:r>
      <w:r w:rsidR="00005B79" w:rsidRPr="00614125">
        <w:rPr>
          <w:rFonts w:ascii="Arial" w:hAnsi="Arial"/>
          <w:color w:val="000000" w:themeColor="text1"/>
        </w:rPr>
        <w:t>E</w:t>
      </w:r>
      <w:r w:rsidR="0059580B" w:rsidRPr="00614125">
        <w:rPr>
          <w:rFonts w:ascii="Arial" w:hAnsi="Arial"/>
          <w:color w:val="000000" w:themeColor="text1"/>
        </w:rPr>
        <w:t>xcel sheet 1</w:t>
      </w:r>
      <w:r w:rsidR="008E333C" w:rsidRPr="00614125">
        <w:rPr>
          <w:rFonts w:ascii="Arial" w:hAnsi="Arial"/>
          <w:color w:val="000000" w:themeColor="text1"/>
        </w:rPr>
        <w:t>)</w:t>
      </w:r>
      <w:r w:rsidR="0059580B" w:rsidRPr="00614125">
        <w:rPr>
          <w:rFonts w:ascii="Arial" w:hAnsi="Arial"/>
          <w:color w:val="000000" w:themeColor="text1"/>
        </w:rPr>
        <w:t xml:space="preserve">. </w:t>
      </w:r>
      <w:r w:rsidR="00306402" w:rsidRPr="00614125">
        <w:rPr>
          <w:rFonts w:ascii="Arial" w:hAnsi="Arial"/>
          <w:color w:val="000000" w:themeColor="text1"/>
        </w:rPr>
        <w:t xml:space="preserve">  </w:t>
      </w:r>
      <w:r w:rsidR="008F28AD" w:rsidRPr="00614125">
        <w:rPr>
          <w:rFonts w:ascii="Arial" w:hAnsi="Arial"/>
          <w:color w:val="000000" w:themeColor="text1"/>
        </w:rPr>
        <w:t xml:space="preserve">   </w:t>
      </w:r>
    </w:p>
    <w:p w14:paraId="11A3221A" w14:textId="77777777" w:rsidR="009572BF" w:rsidRPr="00614125" w:rsidRDefault="009572BF" w:rsidP="00216ED2">
      <w:pPr>
        <w:tabs>
          <w:tab w:val="left" w:pos="90"/>
        </w:tabs>
        <w:spacing w:before="120" w:after="120" w:line="360" w:lineRule="auto"/>
        <w:rPr>
          <w:rFonts w:ascii="Arial" w:hAnsi="Arial"/>
          <w:b/>
          <w:bCs/>
          <w:color w:val="000000" w:themeColor="text1"/>
        </w:rPr>
      </w:pPr>
    </w:p>
    <w:p w14:paraId="77FFE9B5" w14:textId="1DFCF3F7" w:rsidR="00216ED2" w:rsidRPr="00614125" w:rsidRDefault="00216ED2" w:rsidP="00216ED2">
      <w:pPr>
        <w:tabs>
          <w:tab w:val="left" w:pos="90"/>
        </w:tabs>
        <w:spacing w:before="120" w:after="120" w:line="360" w:lineRule="auto"/>
        <w:rPr>
          <w:rFonts w:ascii="Arial" w:hAnsi="Arial"/>
          <w:b/>
          <w:bCs/>
          <w:color w:val="000000" w:themeColor="text1"/>
        </w:rPr>
      </w:pPr>
      <w:r w:rsidRPr="00614125">
        <w:rPr>
          <w:rFonts w:ascii="Arial" w:hAnsi="Arial"/>
          <w:b/>
          <w:bCs/>
          <w:color w:val="000000" w:themeColor="text1"/>
        </w:rPr>
        <w:t xml:space="preserve">Decomposition of UHC-index by population groups with </w:t>
      </w:r>
      <w:r w:rsidR="00DE1D36" w:rsidRPr="00614125">
        <w:rPr>
          <w:rFonts w:ascii="Arial" w:hAnsi="Arial"/>
          <w:b/>
          <w:bCs/>
          <w:color w:val="000000" w:themeColor="text1"/>
        </w:rPr>
        <w:t xml:space="preserve">an </w:t>
      </w:r>
      <w:r w:rsidRPr="00614125">
        <w:rPr>
          <w:rFonts w:ascii="Arial" w:hAnsi="Arial"/>
          <w:b/>
          <w:bCs/>
          <w:noProof/>
          <w:color w:val="000000" w:themeColor="text1"/>
        </w:rPr>
        <w:t>example</w:t>
      </w:r>
    </w:p>
    <w:p w14:paraId="5E9C3145" w14:textId="23A15CD4" w:rsidR="00216ED2" w:rsidRPr="00614125" w:rsidRDefault="00216ED2" w:rsidP="00216ED2">
      <w:pPr>
        <w:tabs>
          <w:tab w:val="left" w:pos="90"/>
        </w:tabs>
        <w:spacing w:before="120" w:after="120" w:line="360" w:lineRule="auto"/>
        <w:jc w:val="both"/>
        <w:rPr>
          <w:rFonts w:ascii="Arial" w:hAnsi="Arial"/>
          <w:color w:val="000000" w:themeColor="text1"/>
        </w:rPr>
      </w:pPr>
      <w:r w:rsidRPr="00614125">
        <w:rPr>
          <w:rFonts w:ascii="Arial" w:hAnsi="Arial"/>
          <w:color w:val="000000" w:themeColor="text1"/>
        </w:rPr>
        <w:lastRenderedPageBreak/>
        <w:t>In a</w:t>
      </w:r>
      <w:r w:rsidR="003812EB" w:rsidRPr="00614125">
        <w:rPr>
          <w:rFonts w:ascii="Arial" w:hAnsi="Arial"/>
          <w:color w:val="000000" w:themeColor="text1"/>
        </w:rPr>
        <w:t>ny</w:t>
      </w:r>
      <w:r w:rsidRPr="00614125">
        <w:rPr>
          <w:rFonts w:ascii="Arial" w:hAnsi="Arial"/>
          <w:color w:val="000000" w:themeColor="text1"/>
        </w:rPr>
        <w:t xml:space="preserve"> country, each socioeconomic quintile contributes to </w:t>
      </w:r>
      <w:r w:rsidR="003812EB" w:rsidRPr="00614125">
        <w:rPr>
          <w:rFonts w:ascii="Arial" w:hAnsi="Arial"/>
          <w:color w:val="000000" w:themeColor="text1"/>
        </w:rPr>
        <w:t xml:space="preserve">the </w:t>
      </w:r>
      <w:r w:rsidRPr="00614125">
        <w:rPr>
          <w:rFonts w:ascii="Arial" w:hAnsi="Arial"/>
          <w:color w:val="000000" w:themeColor="text1"/>
        </w:rPr>
        <w:t xml:space="preserve">UHC-index values in connection with </w:t>
      </w:r>
      <w:r w:rsidR="00523C3C" w:rsidRPr="00614125">
        <w:rPr>
          <w:rFonts w:ascii="Arial" w:hAnsi="Arial"/>
          <w:color w:val="000000" w:themeColor="text1"/>
        </w:rPr>
        <w:t xml:space="preserve">their </w:t>
      </w:r>
      <w:r w:rsidRPr="00614125">
        <w:rPr>
          <w:rFonts w:ascii="Arial" w:hAnsi="Arial"/>
          <w:color w:val="000000" w:themeColor="text1"/>
        </w:rPr>
        <w:t>healthcare utilization</w:t>
      </w:r>
      <w:r w:rsidR="00920DF6" w:rsidRPr="00614125">
        <w:rPr>
          <w:rFonts w:ascii="Arial" w:hAnsi="Arial"/>
          <w:color w:val="000000" w:themeColor="text1"/>
        </w:rPr>
        <w:t>. Table 1 prese</w:t>
      </w:r>
      <w:r w:rsidR="004D5525" w:rsidRPr="00614125">
        <w:rPr>
          <w:rFonts w:ascii="Arial" w:hAnsi="Arial"/>
          <w:color w:val="000000" w:themeColor="text1"/>
        </w:rPr>
        <w:t>n</w:t>
      </w:r>
      <w:r w:rsidR="00920DF6" w:rsidRPr="00614125">
        <w:rPr>
          <w:rFonts w:ascii="Arial" w:hAnsi="Arial"/>
          <w:color w:val="000000" w:themeColor="text1"/>
        </w:rPr>
        <w:t>t</w:t>
      </w:r>
      <w:r w:rsidR="009572BF" w:rsidRPr="00614125">
        <w:rPr>
          <w:rFonts w:ascii="Arial" w:hAnsi="Arial"/>
          <w:color w:val="000000" w:themeColor="text1"/>
        </w:rPr>
        <w:t>s</w:t>
      </w:r>
      <w:r w:rsidR="00920DF6" w:rsidRPr="00614125">
        <w:rPr>
          <w:rFonts w:ascii="Arial" w:hAnsi="Arial"/>
          <w:color w:val="000000" w:themeColor="text1"/>
        </w:rPr>
        <w:t xml:space="preserve"> the method of decomposition of UHC index using Ghana as a case study. In Ghana, the UHC index</w:t>
      </w:r>
      <w:r w:rsidR="003A7244" w:rsidRPr="00614125">
        <w:rPr>
          <w:rFonts w:ascii="Arial" w:hAnsi="Arial"/>
          <w:color w:val="000000" w:themeColor="text1"/>
        </w:rPr>
        <w:t xml:space="preserve"> was 0.469 (or </w:t>
      </w:r>
      <w:r w:rsidR="00920DF6" w:rsidRPr="00614125">
        <w:rPr>
          <w:rFonts w:ascii="Arial" w:hAnsi="Arial"/>
          <w:color w:val="000000" w:themeColor="text1"/>
        </w:rPr>
        <w:t>46.9%</w:t>
      </w:r>
      <w:r w:rsidR="003A7244" w:rsidRPr="00614125">
        <w:rPr>
          <w:rFonts w:ascii="Arial" w:hAnsi="Arial"/>
          <w:color w:val="000000" w:themeColor="text1"/>
        </w:rPr>
        <w:t>)</w:t>
      </w:r>
      <w:r w:rsidR="001B183B" w:rsidRPr="00614125">
        <w:rPr>
          <w:rFonts w:ascii="Arial" w:hAnsi="Arial"/>
          <w:color w:val="000000" w:themeColor="text1"/>
        </w:rPr>
        <w:t xml:space="preserve"> (column A)</w:t>
      </w:r>
      <w:r w:rsidR="00920DF6" w:rsidRPr="00614125">
        <w:rPr>
          <w:rFonts w:ascii="Arial" w:hAnsi="Arial"/>
          <w:color w:val="000000" w:themeColor="text1"/>
        </w:rPr>
        <w:t xml:space="preserve">.  </w:t>
      </w:r>
      <w:r w:rsidR="001B183B" w:rsidRPr="00614125">
        <w:rPr>
          <w:rFonts w:ascii="Arial" w:hAnsi="Arial"/>
          <w:color w:val="000000" w:themeColor="text1"/>
        </w:rPr>
        <w:t xml:space="preserve">The socioeconomic quintiles were indicated in column B. </w:t>
      </w:r>
      <w:r w:rsidR="00920DF6" w:rsidRPr="00614125">
        <w:rPr>
          <w:rFonts w:ascii="Arial" w:hAnsi="Arial"/>
          <w:color w:val="000000" w:themeColor="text1"/>
        </w:rPr>
        <w:t xml:space="preserve">When we put utilization rate of ‘0’ in the poorest </w:t>
      </w:r>
      <w:r w:rsidR="00920DF6" w:rsidRPr="00614125">
        <w:rPr>
          <w:rFonts w:ascii="Arial" w:hAnsi="Arial"/>
          <w:noProof/>
          <w:color w:val="000000" w:themeColor="text1"/>
        </w:rPr>
        <w:t>quintile across</w:t>
      </w:r>
      <w:r w:rsidR="00920DF6" w:rsidRPr="00614125">
        <w:rPr>
          <w:rFonts w:ascii="Arial" w:hAnsi="Arial"/>
          <w:color w:val="000000" w:themeColor="text1"/>
        </w:rPr>
        <w:t xml:space="preserve"> all </w:t>
      </w:r>
      <w:r w:rsidR="003A7244" w:rsidRPr="00614125">
        <w:rPr>
          <w:rFonts w:ascii="Arial" w:hAnsi="Arial"/>
          <w:color w:val="000000" w:themeColor="text1"/>
        </w:rPr>
        <w:t xml:space="preserve">six </w:t>
      </w:r>
      <w:r w:rsidR="00920DF6" w:rsidRPr="00614125">
        <w:rPr>
          <w:rFonts w:ascii="Arial" w:hAnsi="Arial"/>
          <w:color w:val="000000" w:themeColor="text1"/>
        </w:rPr>
        <w:t>health services, the UHC index reduced to 0.403</w:t>
      </w:r>
      <w:r w:rsidR="001B183B" w:rsidRPr="00614125">
        <w:rPr>
          <w:rFonts w:ascii="Arial" w:hAnsi="Arial"/>
          <w:color w:val="000000" w:themeColor="text1"/>
        </w:rPr>
        <w:t xml:space="preserve"> (column C)</w:t>
      </w:r>
      <w:r w:rsidR="00920DF6" w:rsidRPr="00614125">
        <w:rPr>
          <w:rFonts w:ascii="Arial" w:hAnsi="Arial"/>
          <w:color w:val="000000" w:themeColor="text1"/>
        </w:rPr>
        <w:t>.</w:t>
      </w:r>
      <w:r w:rsidR="003A7244" w:rsidRPr="00614125">
        <w:rPr>
          <w:rFonts w:ascii="Arial" w:hAnsi="Arial"/>
          <w:color w:val="000000" w:themeColor="text1"/>
        </w:rPr>
        <w:t xml:space="preserve"> The absolute contribution of socioeconomic quintile was thus 0.469 - 0.403 or</w:t>
      </w:r>
      <w:r w:rsidR="004D5525" w:rsidRPr="00614125">
        <w:rPr>
          <w:rFonts w:ascii="Arial" w:hAnsi="Arial"/>
          <w:color w:val="000000" w:themeColor="text1"/>
        </w:rPr>
        <w:t xml:space="preserve"> 0.065</w:t>
      </w:r>
      <w:r w:rsidR="001B183B" w:rsidRPr="00614125">
        <w:rPr>
          <w:rFonts w:ascii="Arial" w:hAnsi="Arial"/>
          <w:color w:val="000000" w:themeColor="text1"/>
        </w:rPr>
        <w:t xml:space="preserve"> (column D)</w:t>
      </w:r>
      <w:r w:rsidR="004D5525" w:rsidRPr="00614125">
        <w:rPr>
          <w:rFonts w:ascii="Arial" w:hAnsi="Arial"/>
          <w:color w:val="000000" w:themeColor="text1"/>
        </w:rPr>
        <w:t xml:space="preserve">. In the same way, </w:t>
      </w:r>
      <w:r w:rsidR="003812EB" w:rsidRPr="00614125">
        <w:rPr>
          <w:rFonts w:ascii="Arial" w:hAnsi="Arial"/>
          <w:color w:val="000000" w:themeColor="text1"/>
        </w:rPr>
        <w:t xml:space="preserve">the </w:t>
      </w:r>
      <w:r w:rsidR="004D5525" w:rsidRPr="00614125">
        <w:rPr>
          <w:rFonts w:ascii="Arial" w:hAnsi="Arial"/>
          <w:color w:val="000000" w:themeColor="text1"/>
        </w:rPr>
        <w:t xml:space="preserve">absolute contribution of </w:t>
      </w:r>
      <w:r w:rsidR="003812EB" w:rsidRPr="00614125">
        <w:rPr>
          <w:rFonts w:ascii="Arial" w:hAnsi="Arial"/>
          <w:color w:val="000000" w:themeColor="text1"/>
        </w:rPr>
        <w:t xml:space="preserve">the </w:t>
      </w:r>
      <w:r w:rsidR="004D5525" w:rsidRPr="00614125">
        <w:rPr>
          <w:rFonts w:ascii="Arial" w:hAnsi="Arial"/>
          <w:color w:val="000000" w:themeColor="text1"/>
        </w:rPr>
        <w:t>2</w:t>
      </w:r>
      <w:r w:rsidR="004D5525" w:rsidRPr="00614125">
        <w:rPr>
          <w:rFonts w:ascii="Arial" w:hAnsi="Arial"/>
          <w:color w:val="000000" w:themeColor="text1"/>
          <w:vertAlign w:val="superscript"/>
        </w:rPr>
        <w:t>nd</w:t>
      </w:r>
      <w:r w:rsidR="004D5525" w:rsidRPr="00614125">
        <w:rPr>
          <w:rFonts w:ascii="Arial" w:hAnsi="Arial"/>
          <w:color w:val="000000" w:themeColor="text1"/>
        </w:rPr>
        <w:t>, 3</w:t>
      </w:r>
      <w:r w:rsidR="004D5525" w:rsidRPr="00614125">
        <w:rPr>
          <w:rFonts w:ascii="Arial" w:hAnsi="Arial"/>
          <w:color w:val="000000" w:themeColor="text1"/>
          <w:vertAlign w:val="superscript"/>
        </w:rPr>
        <w:t>rd</w:t>
      </w:r>
      <w:r w:rsidR="004D5525" w:rsidRPr="00614125">
        <w:rPr>
          <w:rFonts w:ascii="Arial" w:hAnsi="Arial"/>
          <w:color w:val="000000" w:themeColor="text1"/>
        </w:rPr>
        <w:t>, 4</w:t>
      </w:r>
      <w:r w:rsidR="004D5525" w:rsidRPr="00614125">
        <w:rPr>
          <w:rFonts w:ascii="Arial" w:hAnsi="Arial"/>
          <w:color w:val="000000" w:themeColor="text1"/>
          <w:vertAlign w:val="superscript"/>
        </w:rPr>
        <w:t>th</w:t>
      </w:r>
      <w:r w:rsidR="004D5525" w:rsidRPr="00614125">
        <w:rPr>
          <w:rFonts w:ascii="Arial" w:hAnsi="Arial"/>
          <w:color w:val="000000" w:themeColor="text1"/>
        </w:rPr>
        <w:t xml:space="preserve"> </w:t>
      </w:r>
      <w:r w:rsidR="00CC7F4A" w:rsidRPr="00614125">
        <w:rPr>
          <w:rFonts w:ascii="Arial" w:hAnsi="Arial"/>
          <w:color w:val="000000" w:themeColor="text1"/>
        </w:rPr>
        <w:t>and</w:t>
      </w:r>
      <w:r w:rsidR="004D5525" w:rsidRPr="00614125">
        <w:rPr>
          <w:rFonts w:ascii="Arial" w:hAnsi="Arial"/>
          <w:color w:val="000000" w:themeColor="text1"/>
        </w:rPr>
        <w:t xml:space="preserve"> 5</w:t>
      </w:r>
      <w:r w:rsidR="004D5525" w:rsidRPr="00614125">
        <w:rPr>
          <w:rFonts w:ascii="Arial" w:hAnsi="Arial"/>
          <w:color w:val="000000" w:themeColor="text1"/>
          <w:vertAlign w:val="superscript"/>
        </w:rPr>
        <w:t>th</w:t>
      </w:r>
      <w:r w:rsidR="004D5525" w:rsidRPr="00614125">
        <w:rPr>
          <w:rFonts w:ascii="Arial" w:hAnsi="Arial"/>
          <w:color w:val="000000" w:themeColor="text1"/>
        </w:rPr>
        <w:t xml:space="preserve"> quintile</w:t>
      </w:r>
      <w:r w:rsidR="003812EB" w:rsidRPr="00614125">
        <w:rPr>
          <w:rFonts w:ascii="Arial" w:hAnsi="Arial"/>
          <w:color w:val="000000" w:themeColor="text1"/>
        </w:rPr>
        <w:t>s</w:t>
      </w:r>
      <w:r w:rsidR="004D5525" w:rsidRPr="00614125">
        <w:rPr>
          <w:rFonts w:ascii="Arial" w:hAnsi="Arial"/>
          <w:color w:val="000000" w:themeColor="text1"/>
        </w:rPr>
        <w:t xml:space="preserve"> </w:t>
      </w:r>
      <w:r w:rsidR="00CC7F4A" w:rsidRPr="00614125">
        <w:rPr>
          <w:rFonts w:ascii="Arial" w:hAnsi="Arial"/>
          <w:color w:val="000000" w:themeColor="text1"/>
        </w:rPr>
        <w:t>w</w:t>
      </w:r>
      <w:r w:rsidR="003812EB" w:rsidRPr="00614125">
        <w:rPr>
          <w:rFonts w:ascii="Arial" w:hAnsi="Arial"/>
          <w:color w:val="000000" w:themeColor="text1"/>
        </w:rPr>
        <w:t>ere</w:t>
      </w:r>
      <w:r w:rsidR="004D5525" w:rsidRPr="00614125">
        <w:rPr>
          <w:rFonts w:ascii="Arial" w:hAnsi="Arial"/>
          <w:color w:val="000000" w:themeColor="text1"/>
        </w:rPr>
        <w:t xml:space="preserve"> calculated to 0.081, 0.090, 0.106 and 0.126 respectively. The relative contribution was calculated by dividing the </w:t>
      </w:r>
      <w:r w:rsidR="00CC7F4A" w:rsidRPr="00614125">
        <w:rPr>
          <w:rFonts w:ascii="Arial" w:hAnsi="Arial"/>
          <w:color w:val="000000" w:themeColor="text1"/>
        </w:rPr>
        <w:t>absolute</w:t>
      </w:r>
      <w:r w:rsidR="004D5525" w:rsidRPr="00614125">
        <w:rPr>
          <w:rFonts w:ascii="Arial" w:hAnsi="Arial"/>
          <w:color w:val="000000" w:themeColor="text1"/>
        </w:rPr>
        <w:t xml:space="preserve"> contribution of each quintile with the total UHC index value multiplied by 100</w:t>
      </w:r>
      <w:r w:rsidR="001B183B" w:rsidRPr="00614125">
        <w:rPr>
          <w:rFonts w:ascii="Arial" w:hAnsi="Arial"/>
          <w:color w:val="000000" w:themeColor="text1"/>
        </w:rPr>
        <w:t xml:space="preserve"> in column E</w:t>
      </w:r>
      <w:r w:rsidR="004D5525" w:rsidRPr="00614125">
        <w:rPr>
          <w:rFonts w:ascii="Arial" w:hAnsi="Arial"/>
          <w:color w:val="000000" w:themeColor="text1"/>
        </w:rPr>
        <w:t>. The poorest quintile’s relative contribution was thus calculated as (0.065/0.469)</w:t>
      </w:r>
      <w:r w:rsidR="00292E54" w:rsidRPr="00614125">
        <w:rPr>
          <w:rFonts w:ascii="Arial" w:hAnsi="Arial"/>
          <w:color w:val="000000" w:themeColor="text1"/>
        </w:rPr>
        <w:t xml:space="preserve"> </w:t>
      </w:r>
      <w:r w:rsidR="004D5525" w:rsidRPr="00614125">
        <w:rPr>
          <w:rFonts w:ascii="Arial" w:hAnsi="Arial"/>
          <w:color w:val="000000" w:themeColor="text1"/>
        </w:rPr>
        <w:t>x</w:t>
      </w:r>
      <w:r w:rsidR="00292E54" w:rsidRPr="00614125">
        <w:rPr>
          <w:rFonts w:ascii="Arial" w:hAnsi="Arial"/>
          <w:color w:val="000000" w:themeColor="text1"/>
        </w:rPr>
        <w:t xml:space="preserve"> </w:t>
      </w:r>
      <w:r w:rsidR="004D5525" w:rsidRPr="00614125">
        <w:rPr>
          <w:rFonts w:ascii="Arial" w:hAnsi="Arial"/>
          <w:color w:val="000000" w:themeColor="text1"/>
        </w:rPr>
        <w:t xml:space="preserve">100 or 14.0%. </w:t>
      </w:r>
      <w:r w:rsidR="008E333C" w:rsidRPr="00614125">
        <w:rPr>
          <w:rFonts w:ascii="Arial" w:hAnsi="Arial"/>
          <w:color w:val="000000" w:themeColor="text1"/>
        </w:rPr>
        <w:t>Similarly, we found the relative contribution of 2</w:t>
      </w:r>
      <w:r w:rsidR="008E333C" w:rsidRPr="00614125">
        <w:rPr>
          <w:rFonts w:ascii="Arial" w:hAnsi="Arial"/>
          <w:color w:val="000000" w:themeColor="text1"/>
          <w:vertAlign w:val="superscript"/>
        </w:rPr>
        <w:t>nd</w:t>
      </w:r>
      <w:r w:rsidR="008E333C" w:rsidRPr="00614125">
        <w:rPr>
          <w:rFonts w:ascii="Arial" w:hAnsi="Arial"/>
          <w:color w:val="000000" w:themeColor="text1"/>
        </w:rPr>
        <w:t>, 3</w:t>
      </w:r>
      <w:r w:rsidR="008E333C" w:rsidRPr="00614125">
        <w:rPr>
          <w:rFonts w:ascii="Arial" w:hAnsi="Arial"/>
          <w:color w:val="000000" w:themeColor="text1"/>
          <w:vertAlign w:val="superscript"/>
        </w:rPr>
        <w:t>rd</w:t>
      </w:r>
      <w:r w:rsidR="008E333C" w:rsidRPr="00614125">
        <w:rPr>
          <w:rFonts w:ascii="Arial" w:hAnsi="Arial"/>
          <w:color w:val="000000" w:themeColor="text1"/>
        </w:rPr>
        <w:t>, 4</w:t>
      </w:r>
      <w:r w:rsidR="008E333C" w:rsidRPr="00614125">
        <w:rPr>
          <w:rFonts w:ascii="Arial" w:hAnsi="Arial"/>
          <w:color w:val="000000" w:themeColor="text1"/>
          <w:vertAlign w:val="superscript"/>
        </w:rPr>
        <w:t>th</w:t>
      </w:r>
      <w:r w:rsidR="008E333C" w:rsidRPr="00614125">
        <w:rPr>
          <w:rFonts w:ascii="Arial" w:hAnsi="Arial"/>
          <w:color w:val="000000" w:themeColor="text1"/>
        </w:rPr>
        <w:t xml:space="preserve"> and 5</w:t>
      </w:r>
      <w:r w:rsidR="008E333C" w:rsidRPr="00614125">
        <w:rPr>
          <w:rFonts w:ascii="Arial" w:hAnsi="Arial"/>
          <w:color w:val="000000" w:themeColor="text1"/>
          <w:vertAlign w:val="superscript"/>
        </w:rPr>
        <w:t>th</w:t>
      </w:r>
      <w:r w:rsidR="008E333C" w:rsidRPr="00614125">
        <w:rPr>
          <w:rFonts w:ascii="Arial" w:hAnsi="Arial"/>
          <w:color w:val="000000" w:themeColor="text1"/>
        </w:rPr>
        <w:t xml:space="preserve"> quintile as 17.3%, 19.3%, 22.6% and 26.9% respectively. </w:t>
      </w:r>
    </w:p>
    <w:p w14:paraId="3C706491" w14:textId="77777777" w:rsidR="005620E9" w:rsidRPr="00614125" w:rsidRDefault="005620E9" w:rsidP="005620E9">
      <w:pPr>
        <w:spacing w:before="120" w:after="120" w:line="360" w:lineRule="auto"/>
        <w:jc w:val="center"/>
        <w:rPr>
          <w:rFonts w:ascii="Arial" w:hAnsi="Arial"/>
          <w:color w:val="000000" w:themeColor="text1"/>
        </w:rPr>
      </w:pPr>
    </w:p>
    <w:p w14:paraId="607D27E5" w14:textId="77777777" w:rsidR="005620E9" w:rsidRPr="00614125" w:rsidRDefault="005620E9" w:rsidP="005620E9">
      <w:pPr>
        <w:spacing w:before="120" w:after="120" w:line="360" w:lineRule="auto"/>
        <w:jc w:val="center"/>
        <w:rPr>
          <w:rFonts w:ascii="Arial" w:hAnsi="Arial"/>
          <w:color w:val="000000" w:themeColor="text1"/>
        </w:rPr>
      </w:pPr>
      <w:r w:rsidRPr="00614125">
        <w:rPr>
          <w:rFonts w:ascii="Arial" w:hAnsi="Arial"/>
          <w:color w:val="000000" w:themeColor="text1"/>
        </w:rPr>
        <w:t>Table 1 to be inserted here</w:t>
      </w:r>
    </w:p>
    <w:p w14:paraId="140BC5B0" w14:textId="77777777" w:rsidR="00605AB2" w:rsidRPr="00614125" w:rsidRDefault="00605AB2" w:rsidP="00216ED2">
      <w:pPr>
        <w:tabs>
          <w:tab w:val="left" w:pos="90"/>
        </w:tabs>
        <w:spacing w:before="120" w:after="120" w:line="360" w:lineRule="auto"/>
        <w:jc w:val="both"/>
        <w:rPr>
          <w:rFonts w:ascii="Arial" w:hAnsi="Arial"/>
          <w:color w:val="000000" w:themeColor="text1"/>
        </w:rPr>
      </w:pPr>
    </w:p>
    <w:p w14:paraId="3D86BEDE" w14:textId="6858B514" w:rsidR="001B183B" w:rsidRPr="00614125" w:rsidRDefault="001B183B" w:rsidP="00216ED2">
      <w:pPr>
        <w:tabs>
          <w:tab w:val="left" w:pos="90"/>
        </w:tabs>
        <w:spacing w:before="120" w:after="120" w:line="360" w:lineRule="auto"/>
        <w:jc w:val="both"/>
        <w:rPr>
          <w:rFonts w:ascii="Arial" w:hAnsi="Arial"/>
          <w:b/>
          <w:bCs/>
          <w:color w:val="000000" w:themeColor="text1"/>
        </w:rPr>
      </w:pPr>
      <w:r w:rsidRPr="00614125">
        <w:rPr>
          <w:rFonts w:ascii="Arial" w:hAnsi="Arial"/>
          <w:b/>
          <w:bCs/>
          <w:color w:val="000000" w:themeColor="text1"/>
        </w:rPr>
        <w:t>Excel spreadsheet with Ghana country case: UHC index calculation and decomposition step by step</w:t>
      </w:r>
    </w:p>
    <w:p w14:paraId="0C8824F4" w14:textId="71400064" w:rsidR="00B973CC" w:rsidRPr="00614125" w:rsidRDefault="009572BF" w:rsidP="00435AC0">
      <w:pPr>
        <w:tabs>
          <w:tab w:val="left" w:pos="90"/>
        </w:tabs>
        <w:spacing w:before="120" w:after="120" w:line="360" w:lineRule="auto"/>
        <w:jc w:val="both"/>
        <w:rPr>
          <w:rFonts w:ascii="Arial" w:hAnsi="Arial"/>
          <w:color w:val="000000" w:themeColor="text1"/>
        </w:rPr>
      </w:pPr>
      <w:r w:rsidRPr="00614125">
        <w:rPr>
          <w:rFonts w:ascii="Arial" w:hAnsi="Arial"/>
          <w:color w:val="000000" w:themeColor="text1"/>
        </w:rPr>
        <w:t>Electronic supplementary material</w:t>
      </w:r>
      <w:r w:rsidRPr="00614125" w:rsidDel="009572BF">
        <w:rPr>
          <w:rFonts w:ascii="Arial" w:hAnsi="Arial"/>
          <w:color w:val="000000" w:themeColor="text1"/>
        </w:rPr>
        <w:t xml:space="preserve"> </w:t>
      </w:r>
      <w:r w:rsidR="00605AB2" w:rsidRPr="00614125">
        <w:rPr>
          <w:rFonts w:ascii="Arial" w:hAnsi="Arial"/>
          <w:color w:val="000000" w:themeColor="text1"/>
        </w:rPr>
        <w:t>(</w:t>
      </w:r>
      <w:r w:rsidR="00005B79" w:rsidRPr="00614125">
        <w:rPr>
          <w:rFonts w:ascii="Arial" w:hAnsi="Arial"/>
          <w:color w:val="000000" w:themeColor="text1"/>
        </w:rPr>
        <w:t>E</w:t>
      </w:r>
      <w:r w:rsidR="00605AB2" w:rsidRPr="00614125">
        <w:rPr>
          <w:rFonts w:ascii="Arial" w:hAnsi="Arial"/>
          <w:color w:val="000000" w:themeColor="text1"/>
        </w:rPr>
        <w:t xml:space="preserve">xcel spreadsheet) contains 7 </w:t>
      </w:r>
      <w:r w:rsidR="008474CB" w:rsidRPr="00614125">
        <w:rPr>
          <w:rFonts w:ascii="Arial" w:hAnsi="Arial"/>
          <w:color w:val="000000" w:themeColor="text1"/>
        </w:rPr>
        <w:t>E</w:t>
      </w:r>
      <w:r w:rsidR="00605AB2" w:rsidRPr="00614125">
        <w:rPr>
          <w:rFonts w:ascii="Arial" w:hAnsi="Arial"/>
          <w:color w:val="000000" w:themeColor="text1"/>
        </w:rPr>
        <w:t>xcel sheets</w:t>
      </w:r>
      <w:r w:rsidR="001B183B" w:rsidRPr="00614125">
        <w:rPr>
          <w:rFonts w:ascii="Arial" w:hAnsi="Arial"/>
          <w:color w:val="000000" w:themeColor="text1"/>
        </w:rPr>
        <w:t>.</w:t>
      </w:r>
      <w:r w:rsidR="00605AB2" w:rsidRPr="00614125">
        <w:rPr>
          <w:rFonts w:ascii="Arial" w:hAnsi="Arial"/>
          <w:color w:val="000000" w:themeColor="text1"/>
        </w:rPr>
        <w:t xml:space="preserve"> Excel sheet 1 shows the calculation of UHC index step by step. For calculating the decomposition of the index, we used </w:t>
      </w:r>
      <w:r w:rsidR="00005B79" w:rsidRPr="00614125">
        <w:rPr>
          <w:rFonts w:ascii="Arial" w:hAnsi="Arial"/>
          <w:color w:val="000000" w:themeColor="text1"/>
        </w:rPr>
        <w:t>E</w:t>
      </w:r>
      <w:r w:rsidR="00605AB2" w:rsidRPr="00614125">
        <w:rPr>
          <w:rFonts w:ascii="Arial" w:hAnsi="Arial"/>
          <w:color w:val="000000" w:themeColor="text1"/>
        </w:rPr>
        <w:t>xcel sheet 2-7. In sheet 2-6, the health service utilization rates in socioeconomic quintiles (Q1-Q5) were assumed to be ‘0’ (one quintile at a time</w:t>
      </w:r>
      <w:r w:rsidR="005620E9" w:rsidRPr="00614125">
        <w:rPr>
          <w:rFonts w:ascii="Arial" w:hAnsi="Arial"/>
          <w:color w:val="000000" w:themeColor="text1"/>
        </w:rPr>
        <w:t xml:space="preserve"> in each sheet</w:t>
      </w:r>
      <w:r w:rsidR="00605AB2" w:rsidRPr="00614125">
        <w:rPr>
          <w:rFonts w:ascii="Arial" w:hAnsi="Arial"/>
          <w:color w:val="000000" w:themeColor="text1"/>
        </w:rPr>
        <w:t xml:space="preserve">).  In sheet 7, </w:t>
      </w:r>
      <w:r w:rsidR="005620E9" w:rsidRPr="00614125">
        <w:rPr>
          <w:rFonts w:ascii="Arial" w:hAnsi="Arial"/>
          <w:color w:val="000000" w:themeColor="text1"/>
        </w:rPr>
        <w:t xml:space="preserve">UHC value in total </w:t>
      </w:r>
      <w:r w:rsidRPr="00614125">
        <w:rPr>
          <w:rFonts w:ascii="Arial" w:hAnsi="Arial"/>
          <w:color w:val="000000" w:themeColor="text1"/>
        </w:rPr>
        <w:t xml:space="preserve">was calculated </w:t>
      </w:r>
      <w:r w:rsidR="005620E9" w:rsidRPr="00614125">
        <w:rPr>
          <w:rFonts w:ascii="Arial" w:hAnsi="Arial"/>
          <w:color w:val="000000" w:themeColor="text1"/>
        </w:rPr>
        <w:t xml:space="preserve">(column A). Column B represented the socioeconomic quintiles and UHC values assuming ‘0’ in each quintile </w:t>
      </w:r>
      <w:r w:rsidR="003812EB" w:rsidRPr="00614125">
        <w:rPr>
          <w:rFonts w:ascii="Arial" w:hAnsi="Arial"/>
          <w:color w:val="000000" w:themeColor="text1"/>
        </w:rPr>
        <w:t>was</w:t>
      </w:r>
      <w:r w:rsidR="005620E9" w:rsidRPr="00614125">
        <w:rPr>
          <w:rFonts w:ascii="Arial" w:hAnsi="Arial"/>
          <w:color w:val="000000" w:themeColor="text1"/>
        </w:rPr>
        <w:t xml:space="preserve"> captured in column C. Column D calculated </w:t>
      </w:r>
      <w:r w:rsidR="003812EB" w:rsidRPr="00614125">
        <w:rPr>
          <w:rFonts w:ascii="Arial" w:hAnsi="Arial"/>
          <w:color w:val="000000" w:themeColor="text1"/>
        </w:rPr>
        <w:t xml:space="preserve">the </w:t>
      </w:r>
      <w:r w:rsidR="00605AB2" w:rsidRPr="00614125">
        <w:rPr>
          <w:rFonts w:ascii="Arial" w:hAnsi="Arial"/>
          <w:color w:val="000000" w:themeColor="text1"/>
        </w:rPr>
        <w:t xml:space="preserve">absolute </w:t>
      </w:r>
      <w:r w:rsidR="005620E9" w:rsidRPr="00614125">
        <w:rPr>
          <w:rFonts w:ascii="Arial" w:hAnsi="Arial"/>
          <w:color w:val="000000" w:themeColor="text1"/>
        </w:rPr>
        <w:t>contribution (A-C) and column E captured</w:t>
      </w:r>
      <w:r w:rsidR="003812EB" w:rsidRPr="00614125">
        <w:rPr>
          <w:rFonts w:ascii="Arial" w:hAnsi="Arial"/>
          <w:color w:val="000000" w:themeColor="text1"/>
        </w:rPr>
        <w:t xml:space="preserve"> the</w:t>
      </w:r>
      <w:r w:rsidR="005620E9" w:rsidRPr="00614125">
        <w:rPr>
          <w:rFonts w:ascii="Arial" w:hAnsi="Arial"/>
          <w:color w:val="000000" w:themeColor="text1"/>
        </w:rPr>
        <w:t xml:space="preserve"> relative contribution (D/A*100) </w:t>
      </w:r>
      <w:r w:rsidR="003812EB" w:rsidRPr="00614125">
        <w:rPr>
          <w:rFonts w:ascii="Arial" w:hAnsi="Arial"/>
          <w:color w:val="000000" w:themeColor="text1"/>
        </w:rPr>
        <w:t xml:space="preserve">of </w:t>
      </w:r>
      <w:r w:rsidR="005620E9" w:rsidRPr="00614125">
        <w:rPr>
          <w:rFonts w:ascii="Arial" w:hAnsi="Arial"/>
          <w:color w:val="000000" w:themeColor="text1"/>
        </w:rPr>
        <w:t>the socioeconomic quintiles</w:t>
      </w:r>
      <w:r w:rsidR="00605AB2" w:rsidRPr="00614125">
        <w:rPr>
          <w:rFonts w:ascii="Arial" w:hAnsi="Arial"/>
          <w:color w:val="000000" w:themeColor="text1"/>
        </w:rPr>
        <w:t xml:space="preserve">.   </w:t>
      </w:r>
    </w:p>
    <w:p w14:paraId="564FA70E" w14:textId="3ECE6BAC" w:rsidR="004D5525" w:rsidRPr="00614125" w:rsidRDefault="004D5525" w:rsidP="00F124C6">
      <w:pPr>
        <w:spacing w:before="120" w:after="120" w:line="360" w:lineRule="auto"/>
        <w:rPr>
          <w:rFonts w:ascii="Arial" w:hAnsi="Arial"/>
          <w:color w:val="000000" w:themeColor="text1"/>
        </w:rPr>
      </w:pPr>
      <w:r w:rsidRPr="00614125">
        <w:rPr>
          <w:rFonts w:ascii="Arial" w:hAnsi="Arial"/>
          <w:color w:val="000000" w:themeColor="text1"/>
        </w:rPr>
        <w:t xml:space="preserve">The absolute contributions of the socioeconomic quintiles </w:t>
      </w:r>
      <w:r w:rsidR="00D219B7" w:rsidRPr="00614125">
        <w:rPr>
          <w:rFonts w:ascii="Arial" w:hAnsi="Arial"/>
          <w:color w:val="000000" w:themeColor="text1"/>
        </w:rPr>
        <w:t xml:space="preserve">to the UHC index </w:t>
      </w:r>
      <w:r w:rsidRPr="00614125">
        <w:rPr>
          <w:rFonts w:ascii="Arial" w:hAnsi="Arial"/>
          <w:color w:val="000000" w:themeColor="text1"/>
        </w:rPr>
        <w:t xml:space="preserve">were </w:t>
      </w:r>
      <w:r w:rsidR="00D219B7" w:rsidRPr="00614125">
        <w:rPr>
          <w:rFonts w:ascii="Arial" w:hAnsi="Arial"/>
          <w:color w:val="000000" w:themeColor="text1"/>
        </w:rPr>
        <w:t xml:space="preserve">later </w:t>
      </w:r>
      <w:r w:rsidRPr="00614125">
        <w:rPr>
          <w:rFonts w:ascii="Arial" w:hAnsi="Arial"/>
          <w:color w:val="000000" w:themeColor="text1"/>
        </w:rPr>
        <w:t>used for calculating</w:t>
      </w:r>
      <w:r w:rsidR="00D219B7" w:rsidRPr="00614125">
        <w:rPr>
          <w:rFonts w:ascii="Arial" w:hAnsi="Arial"/>
          <w:color w:val="000000" w:themeColor="text1"/>
        </w:rPr>
        <w:t xml:space="preserve"> the concentration index</w:t>
      </w:r>
      <w:r w:rsidR="008E333C" w:rsidRPr="00614125">
        <w:rPr>
          <w:rFonts w:ascii="Arial" w:hAnsi="Arial"/>
          <w:color w:val="000000" w:themeColor="text1"/>
        </w:rPr>
        <w:t>, which</w:t>
      </w:r>
      <w:r w:rsidR="00D219B7" w:rsidRPr="00614125">
        <w:rPr>
          <w:rFonts w:ascii="Arial" w:hAnsi="Arial"/>
          <w:color w:val="000000" w:themeColor="text1"/>
        </w:rPr>
        <w:t xml:space="preserve"> </w:t>
      </w:r>
      <w:r w:rsidR="003812EB" w:rsidRPr="00614125">
        <w:rPr>
          <w:rFonts w:ascii="Arial" w:hAnsi="Arial"/>
          <w:color w:val="000000" w:themeColor="text1"/>
        </w:rPr>
        <w:t>was</w:t>
      </w:r>
      <w:r w:rsidR="00D219B7" w:rsidRPr="00614125">
        <w:rPr>
          <w:rFonts w:ascii="Arial" w:hAnsi="Arial"/>
          <w:color w:val="000000" w:themeColor="text1"/>
        </w:rPr>
        <w:t xml:space="preserve"> reported in </w:t>
      </w:r>
      <w:r w:rsidR="003812EB" w:rsidRPr="00614125">
        <w:rPr>
          <w:rFonts w:ascii="Arial" w:hAnsi="Arial"/>
          <w:color w:val="000000" w:themeColor="text1"/>
        </w:rPr>
        <w:t>T</w:t>
      </w:r>
      <w:r w:rsidR="00D219B7" w:rsidRPr="00614125">
        <w:rPr>
          <w:rFonts w:ascii="Arial" w:hAnsi="Arial"/>
          <w:color w:val="000000" w:themeColor="text1"/>
        </w:rPr>
        <w:t xml:space="preserve">able 3 using </w:t>
      </w:r>
      <w:r w:rsidR="008E333C" w:rsidRPr="00614125">
        <w:rPr>
          <w:rFonts w:ascii="Arial" w:hAnsi="Arial"/>
          <w:color w:val="000000" w:themeColor="text1"/>
        </w:rPr>
        <w:t>a method</w:t>
      </w:r>
      <w:r w:rsidR="00D219B7" w:rsidRPr="00614125">
        <w:rPr>
          <w:rFonts w:ascii="Arial" w:hAnsi="Arial"/>
          <w:color w:val="000000" w:themeColor="text1"/>
        </w:rPr>
        <w:t xml:space="preserve"> applied by Yao (1999)</w:t>
      </w:r>
      <w:r w:rsidR="00EE6CC5" w:rsidRPr="00614125">
        <w:rPr>
          <w:rFonts w:ascii="Arial" w:hAnsi="Arial"/>
          <w:color w:val="000000" w:themeColor="text1"/>
        </w:rPr>
        <w:t xml:space="preserve"> </w:t>
      </w:r>
      <w:r w:rsidR="000B544D" w:rsidRPr="00614125">
        <w:rPr>
          <w:rFonts w:ascii="Arial" w:hAnsi="Arial"/>
          <w:color w:val="000000" w:themeColor="text1"/>
        </w:rPr>
        <w:fldChar w:fldCharType="begin" w:fldLock="1"/>
      </w:r>
      <w:r w:rsidR="003B3F6D" w:rsidRPr="00614125">
        <w:rPr>
          <w:rFonts w:ascii="Arial" w:hAnsi="Arial"/>
          <w:color w:val="000000" w:themeColor="text1"/>
        </w:rPr>
        <w:instrText>ADDIN CSL_CITATION {"citationItems":[{"id":"ITEM-1","itemData":{"author":[{"dropping-particle":"","family":"Yao","given":"S.","non-dropping-particle":"","parse-names":false,"suffix":""}],"container-title":"Appl Econ","id":"ITEM-1","issue":"12","issued":{"date-parts":[["1999"]]},"page":"49-64","title":"On the decomposition of Gini coefficients by population class and income source: a spreadsheet approach and application","type":"article-journal","volume":"31"},"uris":["http://www.mendeley.com/documents/?uuid=8119a170-b7f3-4c54-a91f-f8db39ab9959"]}],"mendeley":{"formattedCitation":"[12]","plainTextFormattedCitation":"[12]","previouslyFormattedCitation":"[12]"},"properties":{"noteIndex":0},"schema":"https://github.com/citation-style-language/schema/raw/master/csl-citation.json"}</w:instrText>
      </w:r>
      <w:r w:rsidR="000B544D" w:rsidRPr="00614125">
        <w:rPr>
          <w:rFonts w:ascii="Arial" w:hAnsi="Arial"/>
          <w:color w:val="000000" w:themeColor="text1"/>
        </w:rPr>
        <w:fldChar w:fldCharType="separate"/>
      </w:r>
      <w:r w:rsidR="00604FF7" w:rsidRPr="00614125">
        <w:rPr>
          <w:rFonts w:ascii="Arial" w:hAnsi="Arial"/>
          <w:noProof/>
          <w:color w:val="000000" w:themeColor="text1"/>
        </w:rPr>
        <w:t>[12]</w:t>
      </w:r>
      <w:r w:rsidR="000B544D" w:rsidRPr="00614125">
        <w:rPr>
          <w:rFonts w:ascii="Arial" w:hAnsi="Arial"/>
          <w:color w:val="000000" w:themeColor="text1"/>
        </w:rPr>
        <w:fldChar w:fldCharType="end"/>
      </w:r>
      <w:r w:rsidR="000B544D" w:rsidRPr="00614125">
        <w:rPr>
          <w:rFonts w:ascii="Arial" w:hAnsi="Arial"/>
          <w:color w:val="000000" w:themeColor="text1"/>
        </w:rPr>
        <w:t xml:space="preserve"> </w:t>
      </w:r>
      <w:r w:rsidR="00D219B7" w:rsidRPr="00614125">
        <w:rPr>
          <w:rFonts w:ascii="Arial" w:hAnsi="Arial"/>
          <w:color w:val="000000" w:themeColor="text1"/>
        </w:rPr>
        <w:t xml:space="preserve">. </w:t>
      </w:r>
    </w:p>
    <w:p w14:paraId="419AEC16" w14:textId="77777777" w:rsidR="008407E0" w:rsidRPr="00614125" w:rsidRDefault="008407E0" w:rsidP="00F124C6">
      <w:pPr>
        <w:spacing w:before="120" w:after="120" w:line="360" w:lineRule="auto"/>
        <w:rPr>
          <w:rFonts w:ascii="Arial" w:hAnsi="Arial"/>
          <w:color w:val="000000" w:themeColor="text1"/>
        </w:rPr>
      </w:pPr>
    </w:p>
    <w:p w14:paraId="1B5EBAB3" w14:textId="163DFF28" w:rsidR="007118EC" w:rsidRPr="00614125" w:rsidRDefault="00FD0478" w:rsidP="00E52BC2">
      <w:pPr>
        <w:spacing w:before="120" w:after="120" w:line="360" w:lineRule="auto"/>
        <w:rPr>
          <w:rFonts w:ascii="Arial" w:hAnsi="Arial" w:cs="Kohinoor Bangla"/>
          <w:b/>
          <w:bCs/>
          <w:color w:val="000000" w:themeColor="text1"/>
        </w:rPr>
      </w:pPr>
      <w:r w:rsidRPr="00614125">
        <w:rPr>
          <w:rFonts w:ascii="Arial" w:hAnsi="Arial"/>
          <w:b/>
          <w:bCs/>
          <w:color w:val="000000" w:themeColor="text1"/>
        </w:rPr>
        <w:lastRenderedPageBreak/>
        <w:t>UHC Index Validation</w:t>
      </w:r>
    </w:p>
    <w:p w14:paraId="7504BE46" w14:textId="6EBE52A7" w:rsidR="00EE6CC5" w:rsidRPr="00614125" w:rsidRDefault="00B121C2" w:rsidP="00337D8B">
      <w:pPr>
        <w:spacing w:before="120" w:after="120" w:line="360" w:lineRule="auto"/>
        <w:jc w:val="both"/>
        <w:rPr>
          <w:rFonts w:ascii="Arial" w:hAnsi="Arial"/>
          <w:color w:val="000000" w:themeColor="text1"/>
        </w:rPr>
      </w:pPr>
      <w:r w:rsidRPr="00614125">
        <w:rPr>
          <w:rFonts w:ascii="Arial" w:hAnsi="Arial"/>
          <w:color w:val="000000" w:themeColor="text1"/>
        </w:rPr>
        <w:t xml:space="preserve">For index </w:t>
      </w:r>
      <w:r w:rsidR="00CC7F4A" w:rsidRPr="00614125">
        <w:rPr>
          <w:rFonts w:ascii="Arial" w:hAnsi="Arial"/>
          <w:color w:val="000000" w:themeColor="text1"/>
        </w:rPr>
        <w:t>validation</w:t>
      </w:r>
      <w:r w:rsidRPr="00614125">
        <w:rPr>
          <w:rFonts w:ascii="Arial" w:hAnsi="Arial"/>
          <w:color w:val="000000" w:themeColor="text1"/>
        </w:rPr>
        <w:t xml:space="preserve">, we calculated the correlation coefficients between our index values </w:t>
      </w:r>
      <w:r w:rsidR="003812EB" w:rsidRPr="00614125">
        <w:rPr>
          <w:rFonts w:ascii="Arial" w:hAnsi="Arial"/>
          <w:color w:val="000000" w:themeColor="text1"/>
        </w:rPr>
        <w:t>and</w:t>
      </w:r>
      <w:r w:rsidRPr="00614125">
        <w:rPr>
          <w:rFonts w:ascii="Arial" w:hAnsi="Arial"/>
          <w:color w:val="000000" w:themeColor="text1"/>
        </w:rPr>
        <w:t xml:space="preserve"> those of other authors’ who estimated the UHC index or index of universal health service coverage. We</w:t>
      </w:r>
      <w:r w:rsidR="00553F59" w:rsidRPr="00614125">
        <w:rPr>
          <w:rFonts w:ascii="Arial" w:hAnsi="Arial"/>
          <w:color w:val="000000" w:themeColor="text1"/>
        </w:rPr>
        <w:t xml:space="preserve"> </w:t>
      </w:r>
      <w:r w:rsidRPr="00614125">
        <w:rPr>
          <w:rFonts w:ascii="Arial" w:hAnsi="Arial"/>
          <w:color w:val="000000" w:themeColor="text1"/>
        </w:rPr>
        <w:t>estimated t</w:t>
      </w:r>
      <w:r w:rsidR="00663F67" w:rsidRPr="00614125">
        <w:rPr>
          <w:rFonts w:ascii="Arial" w:hAnsi="Arial"/>
          <w:color w:val="000000" w:themeColor="text1"/>
        </w:rPr>
        <w:t xml:space="preserve">he </w:t>
      </w:r>
      <w:r w:rsidR="00345651" w:rsidRPr="00614125">
        <w:rPr>
          <w:rFonts w:ascii="Arial" w:hAnsi="Arial"/>
          <w:color w:val="000000" w:themeColor="text1"/>
        </w:rPr>
        <w:t>e</w:t>
      </w:r>
      <w:r w:rsidR="00C64F54" w:rsidRPr="00614125">
        <w:rPr>
          <w:rFonts w:ascii="Arial" w:hAnsi="Arial"/>
          <w:color w:val="000000" w:themeColor="text1"/>
        </w:rPr>
        <w:t>ffects</w:t>
      </w:r>
      <w:r w:rsidR="00C0045E" w:rsidRPr="00614125">
        <w:rPr>
          <w:rFonts w:ascii="Arial" w:hAnsi="Arial"/>
          <w:color w:val="000000" w:themeColor="text1"/>
        </w:rPr>
        <w:t xml:space="preserve"> of OOP </w:t>
      </w:r>
      <w:r w:rsidR="00670E7E" w:rsidRPr="00614125">
        <w:rPr>
          <w:rFonts w:ascii="Arial" w:hAnsi="Arial"/>
          <w:color w:val="000000" w:themeColor="text1"/>
        </w:rPr>
        <w:t xml:space="preserve">payments on UHC achievement </w:t>
      </w:r>
      <w:r w:rsidR="00C64F54" w:rsidRPr="00614125">
        <w:rPr>
          <w:rFonts w:ascii="Arial" w:hAnsi="Arial"/>
          <w:color w:val="000000" w:themeColor="text1"/>
        </w:rPr>
        <w:t xml:space="preserve">for </w:t>
      </w:r>
      <w:r w:rsidR="00663F67" w:rsidRPr="00614125">
        <w:rPr>
          <w:rFonts w:ascii="Arial" w:hAnsi="Arial"/>
          <w:color w:val="000000" w:themeColor="text1"/>
        </w:rPr>
        <w:t xml:space="preserve">further </w:t>
      </w:r>
      <w:r w:rsidR="00C64F54" w:rsidRPr="00614125">
        <w:rPr>
          <w:rFonts w:ascii="Arial" w:hAnsi="Arial"/>
          <w:color w:val="000000" w:themeColor="text1"/>
        </w:rPr>
        <w:t>validation by employing</w:t>
      </w:r>
      <w:r w:rsidR="00670E7E" w:rsidRPr="00614125">
        <w:rPr>
          <w:rFonts w:ascii="Arial" w:hAnsi="Arial"/>
          <w:color w:val="000000" w:themeColor="text1"/>
        </w:rPr>
        <w:t xml:space="preserve"> </w:t>
      </w:r>
      <w:r w:rsidR="005E53E6" w:rsidRPr="00614125">
        <w:rPr>
          <w:rFonts w:ascii="Arial" w:hAnsi="Arial"/>
          <w:color w:val="000000" w:themeColor="text1"/>
        </w:rPr>
        <w:t xml:space="preserve">data from the World </w:t>
      </w:r>
      <w:r w:rsidR="00C64F54" w:rsidRPr="00614125">
        <w:rPr>
          <w:rFonts w:ascii="Arial" w:hAnsi="Arial"/>
          <w:color w:val="000000" w:themeColor="text1"/>
        </w:rPr>
        <w:t>Bank</w:t>
      </w:r>
      <w:r w:rsidR="000B544D" w:rsidRPr="00614125">
        <w:rPr>
          <w:rFonts w:ascii="Arial" w:hAnsi="Arial"/>
          <w:color w:val="000000" w:themeColor="text1"/>
        </w:rPr>
        <w:t xml:space="preserve"> </w:t>
      </w:r>
      <w:r w:rsidR="002533C3" w:rsidRPr="00614125">
        <w:rPr>
          <w:rFonts w:ascii="Arial" w:hAnsi="Arial"/>
          <w:color w:val="000000" w:themeColor="text1"/>
        </w:rPr>
        <w:fldChar w:fldCharType="begin" w:fldLock="1"/>
      </w:r>
      <w:r w:rsidR="003B3F6D" w:rsidRPr="00614125">
        <w:rPr>
          <w:rFonts w:ascii="Arial" w:hAnsi="Arial"/>
          <w:color w:val="000000" w:themeColor="text1"/>
        </w:rPr>
        <w:instrText>ADDIN CSL_CITATION {"citationItems":[{"id":"ITEM-1","itemData":{"URL":"http://databank.worldbank.org/data/reports.aspx?source=world-development-indicators","author":[{"dropping-particle":"","family":"The World Bank","given":"","non-dropping-particle":"","parse-names":false,"suffix":""}],"id":"ITEM-1","issued":{"date-parts":[["2017"]]},"publisher":"The World Bank","publisher-place":"Washington, DC","title":"World Development Indicators","type":"webpage"},"uris":["http://www.mendeley.com/documents/?uuid=137328f0-500c-4037-b415-2eb6188f3da2"]}],"mendeley":{"formattedCitation":"[13]","plainTextFormattedCitation":"[13]","previouslyFormattedCitation":"[13]"},"properties":{"noteIndex":0},"schema":"https://github.com/citation-style-language/schema/raw/master/csl-citation.json"}</w:instrText>
      </w:r>
      <w:r w:rsidR="002533C3" w:rsidRPr="00614125">
        <w:rPr>
          <w:rFonts w:ascii="Arial" w:hAnsi="Arial"/>
          <w:color w:val="000000" w:themeColor="text1"/>
        </w:rPr>
        <w:fldChar w:fldCharType="separate"/>
      </w:r>
      <w:r w:rsidR="00604FF7" w:rsidRPr="00614125">
        <w:rPr>
          <w:rFonts w:ascii="Arial" w:hAnsi="Arial"/>
          <w:noProof/>
          <w:color w:val="000000" w:themeColor="text1"/>
        </w:rPr>
        <w:t>[13]</w:t>
      </w:r>
      <w:r w:rsidR="002533C3" w:rsidRPr="00614125">
        <w:rPr>
          <w:rFonts w:ascii="Arial" w:hAnsi="Arial"/>
          <w:color w:val="000000" w:themeColor="text1"/>
        </w:rPr>
        <w:fldChar w:fldCharType="end"/>
      </w:r>
      <w:r w:rsidR="005E53E6" w:rsidRPr="00614125">
        <w:rPr>
          <w:rFonts w:ascii="Arial" w:hAnsi="Arial"/>
          <w:color w:val="000000" w:themeColor="text1"/>
        </w:rPr>
        <w:t xml:space="preserve">. Data of explanatory variables were </w:t>
      </w:r>
      <w:r w:rsidR="00C64F54" w:rsidRPr="00614125">
        <w:rPr>
          <w:rFonts w:ascii="Arial" w:hAnsi="Arial"/>
          <w:color w:val="000000" w:themeColor="text1"/>
        </w:rPr>
        <w:t xml:space="preserve">OOP payments as a percentage of total health expenditure, </w:t>
      </w:r>
      <w:r w:rsidR="005E53E6" w:rsidRPr="00614125">
        <w:rPr>
          <w:rFonts w:ascii="Arial" w:hAnsi="Arial"/>
          <w:color w:val="000000" w:themeColor="text1"/>
        </w:rPr>
        <w:t xml:space="preserve">GDP per capita, </w:t>
      </w:r>
      <w:r w:rsidR="009B4084" w:rsidRPr="00614125">
        <w:rPr>
          <w:rFonts w:ascii="Arial" w:hAnsi="Arial"/>
          <w:color w:val="000000" w:themeColor="text1"/>
        </w:rPr>
        <w:t>gender (</w:t>
      </w:r>
      <w:r w:rsidR="005E53E6" w:rsidRPr="00614125">
        <w:rPr>
          <w:rFonts w:ascii="Arial" w:hAnsi="Arial"/>
          <w:color w:val="000000" w:themeColor="text1"/>
        </w:rPr>
        <w:t>proportion female</w:t>
      </w:r>
      <w:r w:rsidR="009B4084" w:rsidRPr="00614125">
        <w:rPr>
          <w:rFonts w:ascii="Arial" w:hAnsi="Arial"/>
          <w:color w:val="000000" w:themeColor="text1"/>
        </w:rPr>
        <w:t>),</w:t>
      </w:r>
      <w:r w:rsidR="005E53E6" w:rsidRPr="00614125">
        <w:rPr>
          <w:rFonts w:ascii="Arial" w:hAnsi="Arial"/>
          <w:color w:val="000000" w:themeColor="text1"/>
        </w:rPr>
        <w:t xml:space="preserve"> </w:t>
      </w:r>
      <w:r w:rsidR="009B4084" w:rsidRPr="00614125">
        <w:rPr>
          <w:rFonts w:ascii="Arial" w:hAnsi="Arial"/>
          <w:color w:val="000000" w:themeColor="text1"/>
        </w:rPr>
        <w:t xml:space="preserve">the proportion of the </w:t>
      </w:r>
      <w:r w:rsidR="005E53E6" w:rsidRPr="00614125">
        <w:rPr>
          <w:rFonts w:ascii="Arial" w:hAnsi="Arial"/>
          <w:color w:val="000000" w:themeColor="text1"/>
        </w:rPr>
        <w:t>elderly in</w:t>
      </w:r>
      <w:r w:rsidR="009B4084" w:rsidRPr="00614125">
        <w:rPr>
          <w:rFonts w:ascii="Arial" w:hAnsi="Arial"/>
          <w:color w:val="000000" w:themeColor="text1"/>
        </w:rPr>
        <w:t xml:space="preserve"> the</w:t>
      </w:r>
      <w:r w:rsidR="005E53E6" w:rsidRPr="00614125">
        <w:rPr>
          <w:rFonts w:ascii="Arial" w:hAnsi="Arial"/>
          <w:color w:val="000000" w:themeColor="text1"/>
        </w:rPr>
        <w:t xml:space="preserve"> population</w:t>
      </w:r>
      <w:r w:rsidR="009B4084" w:rsidRPr="00614125">
        <w:rPr>
          <w:rFonts w:ascii="Arial" w:hAnsi="Arial"/>
          <w:color w:val="000000" w:themeColor="text1"/>
        </w:rPr>
        <w:t>,</w:t>
      </w:r>
      <w:r w:rsidR="005E53E6" w:rsidRPr="00614125">
        <w:rPr>
          <w:rFonts w:ascii="Arial" w:hAnsi="Arial"/>
          <w:color w:val="000000" w:themeColor="text1"/>
        </w:rPr>
        <w:t xml:space="preserve"> and </w:t>
      </w:r>
      <w:r w:rsidR="009B4084" w:rsidRPr="00614125">
        <w:rPr>
          <w:rFonts w:ascii="Arial" w:hAnsi="Arial"/>
          <w:color w:val="000000" w:themeColor="text1"/>
        </w:rPr>
        <w:t>the</w:t>
      </w:r>
      <w:r w:rsidR="00E52BC2" w:rsidRPr="00614125">
        <w:rPr>
          <w:rFonts w:ascii="Arial" w:hAnsi="Arial"/>
          <w:color w:val="000000" w:themeColor="text1"/>
        </w:rPr>
        <w:t xml:space="preserve"> </w:t>
      </w:r>
      <w:r w:rsidR="005E53E6" w:rsidRPr="00614125">
        <w:rPr>
          <w:rFonts w:ascii="Arial" w:hAnsi="Arial"/>
          <w:color w:val="000000" w:themeColor="text1"/>
        </w:rPr>
        <w:t xml:space="preserve">population </w:t>
      </w:r>
      <w:r w:rsidR="00F97BE5" w:rsidRPr="00614125">
        <w:rPr>
          <w:rFonts w:ascii="Arial" w:hAnsi="Arial"/>
          <w:color w:val="000000" w:themeColor="text1"/>
        </w:rPr>
        <w:t xml:space="preserve">of </w:t>
      </w:r>
      <w:r w:rsidR="005E53E6" w:rsidRPr="00614125">
        <w:rPr>
          <w:rFonts w:ascii="Arial" w:hAnsi="Arial"/>
          <w:color w:val="000000" w:themeColor="text1"/>
        </w:rPr>
        <w:t>the country</w:t>
      </w:r>
      <w:r w:rsidR="00EE6CC5" w:rsidRPr="00614125">
        <w:rPr>
          <w:rFonts w:ascii="Arial" w:hAnsi="Arial"/>
          <w:color w:val="000000" w:themeColor="text1"/>
        </w:rPr>
        <w:t xml:space="preserve">. </w:t>
      </w:r>
    </w:p>
    <w:p w14:paraId="1C2D1E20" w14:textId="52047C4A" w:rsidR="005E53E6" w:rsidRPr="00614125" w:rsidRDefault="005E53E6" w:rsidP="00337D8B">
      <w:pPr>
        <w:spacing w:before="120" w:after="120" w:line="360" w:lineRule="auto"/>
        <w:jc w:val="both"/>
        <w:rPr>
          <w:rFonts w:ascii="Arial" w:hAnsi="Arial"/>
          <w:color w:val="000000" w:themeColor="text1"/>
        </w:rPr>
      </w:pPr>
      <w:r w:rsidRPr="00614125">
        <w:rPr>
          <w:rFonts w:ascii="Arial" w:hAnsi="Arial"/>
          <w:color w:val="000000" w:themeColor="text1"/>
        </w:rPr>
        <w:t xml:space="preserve">.  </w:t>
      </w:r>
    </w:p>
    <w:p w14:paraId="09E974D7" w14:textId="05C084D5" w:rsidR="00FB3E22" w:rsidRPr="00614125" w:rsidRDefault="006422D2" w:rsidP="00337D8B">
      <w:pPr>
        <w:spacing w:before="120" w:after="120" w:line="360" w:lineRule="auto"/>
        <w:jc w:val="both"/>
        <w:rPr>
          <w:rFonts w:ascii="Arial" w:eastAsia="Times New Roman" w:hAnsi="Arial" w:cs="Times New Roman"/>
          <w:color w:val="000000" w:themeColor="text1"/>
          <w:shd w:val="clear" w:color="auto" w:fill="FFFFFF"/>
          <w:lang w:eastAsia="en-GB"/>
        </w:rPr>
      </w:pPr>
      <w:r w:rsidRPr="00614125">
        <w:rPr>
          <w:rFonts w:ascii="Arial" w:hAnsi="Arial"/>
          <w:color w:val="000000" w:themeColor="text1"/>
        </w:rPr>
        <w:t xml:space="preserve">Since the values of UHC indices ranged between 0% and </w:t>
      </w:r>
      <w:r w:rsidRPr="00614125">
        <w:rPr>
          <w:rFonts w:ascii="Arial" w:eastAsia="Times New Roman" w:hAnsi="Arial" w:cs="Times New Roman"/>
          <w:color w:val="000000" w:themeColor="text1"/>
          <w:shd w:val="clear" w:color="auto" w:fill="FFFFFF"/>
          <w:lang w:eastAsia="en-GB"/>
        </w:rPr>
        <w:t>100%, we tra</w:t>
      </w:r>
      <w:r w:rsidR="00943F03" w:rsidRPr="00614125">
        <w:rPr>
          <w:rFonts w:ascii="Arial" w:eastAsia="Times New Roman" w:hAnsi="Arial" w:cs="Times New Roman"/>
          <w:color w:val="000000" w:themeColor="text1"/>
          <w:shd w:val="clear" w:color="auto" w:fill="FFFFFF"/>
          <w:lang w:eastAsia="en-GB"/>
        </w:rPr>
        <w:t>n</w:t>
      </w:r>
      <w:r w:rsidRPr="00614125">
        <w:rPr>
          <w:rFonts w:ascii="Arial" w:eastAsia="Times New Roman" w:hAnsi="Arial" w:cs="Times New Roman"/>
          <w:color w:val="000000" w:themeColor="text1"/>
          <w:shd w:val="clear" w:color="auto" w:fill="FFFFFF"/>
          <w:lang w:eastAsia="en-GB"/>
        </w:rPr>
        <w:t>sforme</w:t>
      </w:r>
      <w:r w:rsidR="00943F03" w:rsidRPr="00614125">
        <w:rPr>
          <w:rFonts w:ascii="Arial" w:eastAsia="Times New Roman" w:hAnsi="Arial" w:cs="Times New Roman"/>
          <w:color w:val="000000" w:themeColor="text1"/>
          <w:shd w:val="clear" w:color="auto" w:fill="FFFFFF"/>
          <w:lang w:eastAsia="en-GB"/>
        </w:rPr>
        <w:t xml:space="preserve">d them into </w:t>
      </w:r>
      <w:r w:rsidR="00FB3E22" w:rsidRPr="00614125">
        <w:rPr>
          <w:rFonts w:ascii="Arial" w:eastAsia="Times New Roman" w:hAnsi="Arial" w:cs="Times New Roman"/>
          <w:color w:val="000000" w:themeColor="text1"/>
          <w:shd w:val="clear" w:color="auto" w:fill="FFFFFF"/>
          <w:lang w:eastAsia="en-GB"/>
        </w:rPr>
        <w:t xml:space="preserve">the logit function, which is the inverse of </w:t>
      </w:r>
      <w:r w:rsidR="00DE1D36" w:rsidRPr="00614125">
        <w:rPr>
          <w:rFonts w:ascii="Arial" w:eastAsia="Times New Roman" w:hAnsi="Arial" w:cs="Times New Roman"/>
          <w:color w:val="000000" w:themeColor="text1"/>
          <w:shd w:val="clear" w:color="auto" w:fill="FFFFFF"/>
          <w:lang w:eastAsia="en-GB"/>
        </w:rPr>
        <w:t xml:space="preserve">the </w:t>
      </w:r>
      <w:r w:rsidR="00FB3E22" w:rsidRPr="00614125">
        <w:rPr>
          <w:rFonts w:ascii="Arial" w:eastAsia="Times New Roman" w:hAnsi="Arial" w:cs="Times New Roman"/>
          <w:noProof/>
          <w:color w:val="000000" w:themeColor="text1"/>
          <w:shd w:val="clear" w:color="auto" w:fill="FFFFFF"/>
          <w:lang w:eastAsia="en-GB"/>
        </w:rPr>
        <w:t>logistic</w:t>
      </w:r>
      <w:r w:rsidR="00FB3E22" w:rsidRPr="00614125">
        <w:rPr>
          <w:rFonts w:ascii="Arial" w:eastAsia="Times New Roman" w:hAnsi="Arial" w:cs="Times New Roman"/>
          <w:color w:val="000000" w:themeColor="text1"/>
          <w:shd w:val="clear" w:color="auto" w:fill="FFFFFF"/>
          <w:lang w:eastAsia="en-GB"/>
        </w:rPr>
        <w:t xml:space="preserve"> transform.  When the function's variable represents a probability p, the logit function gives the log-odds, </w:t>
      </w:r>
      <w:r w:rsidR="006C2B0C" w:rsidRPr="00614125">
        <w:rPr>
          <w:rFonts w:ascii="Arial" w:eastAsia="Times New Roman" w:hAnsi="Arial" w:cs="Times New Roman"/>
          <w:color w:val="000000" w:themeColor="text1"/>
          <w:shd w:val="clear" w:color="auto" w:fill="FFFFFF"/>
          <w:lang w:eastAsia="en-GB"/>
        </w:rPr>
        <w:t xml:space="preserve">that is, </w:t>
      </w:r>
      <w:r w:rsidR="00FB3E22" w:rsidRPr="00614125">
        <w:rPr>
          <w:rFonts w:ascii="Arial" w:eastAsia="Times New Roman" w:hAnsi="Arial" w:cs="Times New Roman"/>
          <w:color w:val="000000" w:themeColor="text1"/>
          <w:shd w:val="clear" w:color="auto" w:fill="FFFFFF"/>
          <w:lang w:eastAsia="en-GB"/>
        </w:rPr>
        <w:t>the logarithm of the odds p</w:t>
      </w:r>
      <w:proofErr w:type="gramStart"/>
      <w:r w:rsidR="00FB3E22" w:rsidRPr="00614125">
        <w:rPr>
          <w:rFonts w:ascii="Arial" w:eastAsia="Times New Roman" w:hAnsi="Arial" w:cs="Times New Roman"/>
          <w:color w:val="000000" w:themeColor="text1"/>
          <w:shd w:val="clear" w:color="auto" w:fill="FFFFFF"/>
          <w:lang w:eastAsia="en-GB"/>
        </w:rPr>
        <w:t>/(</w:t>
      </w:r>
      <w:proofErr w:type="gramEnd"/>
      <w:r w:rsidR="00FB3E22" w:rsidRPr="00614125">
        <w:rPr>
          <w:rFonts w:ascii="Arial" w:eastAsia="Times New Roman" w:hAnsi="Arial" w:cs="Times New Roman"/>
          <w:color w:val="000000" w:themeColor="text1"/>
          <w:shd w:val="clear" w:color="auto" w:fill="FFFFFF"/>
          <w:lang w:eastAsia="en-GB"/>
        </w:rPr>
        <w:t>1 − p). We predict</w:t>
      </w:r>
      <w:r w:rsidR="006C2B0C" w:rsidRPr="00614125">
        <w:rPr>
          <w:rFonts w:ascii="Arial" w:eastAsia="Times New Roman" w:hAnsi="Arial" w:cs="Times New Roman"/>
          <w:color w:val="000000" w:themeColor="text1"/>
          <w:shd w:val="clear" w:color="auto" w:fill="FFFFFF"/>
          <w:lang w:eastAsia="en-GB"/>
        </w:rPr>
        <w:t>ed</w:t>
      </w:r>
      <w:r w:rsidR="00FB3E22" w:rsidRPr="00614125">
        <w:rPr>
          <w:rFonts w:ascii="Arial" w:eastAsia="Times New Roman" w:hAnsi="Arial" w:cs="Times New Roman"/>
          <w:color w:val="000000" w:themeColor="text1"/>
          <w:shd w:val="clear" w:color="auto" w:fill="FFFFFF"/>
          <w:lang w:eastAsia="en-GB"/>
        </w:rPr>
        <w:t xml:space="preserve"> the log-odds with OOP payments as a share of total health expenditure in </w:t>
      </w:r>
      <w:r w:rsidR="006C2B0C" w:rsidRPr="00614125">
        <w:rPr>
          <w:rFonts w:ascii="Arial" w:eastAsia="Times New Roman" w:hAnsi="Arial" w:cs="Times New Roman"/>
          <w:color w:val="000000" w:themeColor="text1"/>
          <w:shd w:val="clear" w:color="auto" w:fill="FFFFFF"/>
          <w:lang w:eastAsia="en-GB"/>
        </w:rPr>
        <w:t xml:space="preserve">each </w:t>
      </w:r>
      <w:r w:rsidR="00FB3E22" w:rsidRPr="00614125">
        <w:rPr>
          <w:rFonts w:ascii="Arial" w:eastAsia="Times New Roman" w:hAnsi="Arial" w:cs="Times New Roman"/>
          <w:color w:val="000000" w:themeColor="text1"/>
          <w:shd w:val="clear" w:color="auto" w:fill="FFFFFF"/>
          <w:lang w:eastAsia="en-GB"/>
        </w:rPr>
        <w:t>countr</w:t>
      </w:r>
      <w:r w:rsidR="006C2B0C" w:rsidRPr="00614125">
        <w:rPr>
          <w:rFonts w:ascii="Arial" w:eastAsia="Times New Roman" w:hAnsi="Arial" w:cs="Times New Roman"/>
          <w:color w:val="000000" w:themeColor="text1"/>
          <w:shd w:val="clear" w:color="auto" w:fill="FFFFFF"/>
          <w:lang w:eastAsia="en-GB"/>
        </w:rPr>
        <w:t>y</w:t>
      </w:r>
      <w:r w:rsidR="00FB3E22" w:rsidRPr="00614125">
        <w:rPr>
          <w:rFonts w:ascii="Arial" w:eastAsia="Times New Roman" w:hAnsi="Arial" w:cs="Times New Roman"/>
          <w:color w:val="000000" w:themeColor="text1"/>
          <w:shd w:val="clear" w:color="auto" w:fill="FFFFFF"/>
          <w:lang w:eastAsia="en-GB"/>
        </w:rPr>
        <w:t xml:space="preserve">. </w:t>
      </w:r>
      <w:r w:rsidR="00635572" w:rsidRPr="00614125">
        <w:rPr>
          <w:rFonts w:ascii="Arial" w:eastAsia="Times New Roman" w:hAnsi="Arial" w:cs="Times New Roman"/>
          <w:color w:val="000000" w:themeColor="text1"/>
          <w:shd w:val="clear" w:color="auto" w:fill="FFFFFF"/>
          <w:lang w:eastAsia="en-GB"/>
        </w:rPr>
        <w:t>Equation</w:t>
      </w:r>
      <w:r w:rsidR="008C0105" w:rsidRPr="00614125">
        <w:rPr>
          <w:rFonts w:ascii="Arial" w:eastAsia="Times New Roman" w:hAnsi="Arial" w:cs="Times New Roman"/>
          <w:color w:val="000000" w:themeColor="text1"/>
          <w:shd w:val="clear" w:color="auto" w:fill="FFFFFF"/>
          <w:lang w:eastAsia="en-GB"/>
        </w:rPr>
        <w:t xml:space="preserve"> (2)</w:t>
      </w:r>
      <w:r w:rsidR="00635572" w:rsidRPr="00614125">
        <w:rPr>
          <w:rFonts w:ascii="Arial" w:eastAsia="Times New Roman" w:hAnsi="Arial" w:cs="Times New Roman"/>
          <w:color w:val="000000" w:themeColor="text1"/>
          <w:shd w:val="clear" w:color="auto" w:fill="FFFFFF"/>
          <w:lang w:eastAsia="en-GB"/>
        </w:rPr>
        <w:t xml:space="preserve"> below was used in this estimation.</w:t>
      </w:r>
    </w:p>
    <w:p w14:paraId="5C340CF5" w14:textId="77777777" w:rsidR="00FB3E22" w:rsidRPr="00614125" w:rsidRDefault="00FB3E22" w:rsidP="00337D8B">
      <w:pPr>
        <w:spacing w:before="120" w:after="120" w:line="360" w:lineRule="auto"/>
        <w:rPr>
          <w:rFonts w:ascii="Arial" w:eastAsia="Times New Roman" w:hAnsi="Arial" w:cs="Times New Roman"/>
          <w:color w:val="000000" w:themeColor="text1"/>
          <w:shd w:val="clear" w:color="auto" w:fill="FFFFFF"/>
          <w:lang w:eastAsia="en-GB"/>
        </w:rPr>
      </w:pPr>
    </w:p>
    <w:p w14:paraId="53E1FD54" w14:textId="38C7A63A" w:rsidR="00635572" w:rsidRPr="00614125" w:rsidRDefault="00635572" w:rsidP="00337D8B">
      <w:pPr>
        <w:spacing w:before="120" w:after="120" w:line="360" w:lineRule="auto"/>
        <w:jc w:val="center"/>
        <w:rPr>
          <w:rFonts w:ascii="Arial" w:eastAsia="Times New Roman" w:hAnsi="Arial" w:cs="Times New Roman"/>
          <w:color w:val="000000" w:themeColor="text1"/>
          <w:shd w:val="clear" w:color="auto" w:fill="FFFFFF"/>
          <w:lang w:eastAsia="en-GB"/>
        </w:rPr>
      </w:pPr>
      <w:r w:rsidRPr="00614125">
        <w:rPr>
          <w:rFonts w:ascii="Arial" w:eastAsia="Times New Roman" w:hAnsi="Arial" w:cs="Times New Roman"/>
          <w:color w:val="000000" w:themeColor="text1"/>
          <w:shd w:val="clear" w:color="auto" w:fill="FFFFFF"/>
          <w:lang w:eastAsia="en-GB"/>
        </w:rPr>
        <w:t>Logit</w:t>
      </w:r>
      <m:oMath>
        <m:d>
          <m:dPr>
            <m:begChr m:val="{"/>
            <m:endChr m:val="}"/>
            <m:ctrlPr>
              <w:rPr>
                <w:rFonts w:ascii="Cambria Math" w:eastAsia="Times New Roman" w:hAnsi="Cambria Math" w:cs="Times New Roman"/>
                <w:i/>
                <w:color w:val="000000" w:themeColor="text1"/>
                <w:shd w:val="clear" w:color="auto" w:fill="FFFFFF"/>
                <w:lang w:eastAsia="en-GB"/>
              </w:rPr>
            </m:ctrlPr>
          </m:dPr>
          <m:e>
            <m:r>
              <w:rPr>
                <w:rFonts w:ascii="Cambria Math" w:eastAsia="Times New Roman" w:hAnsi="Cambria Math" w:cs="Times New Roman"/>
                <w:color w:val="000000" w:themeColor="text1"/>
                <w:shd w:val="clear" w:color="auto" w:fill="FFFFFF"/>
                <w:lang w:eastAsia="en-GB"/>
              </w:rPr>
              <m:t>p</m:t>
            </m:r>
          </m:e>
          <m:e>
            <m:r>
              <w:rPr>
                <w:rFonts w:ascii="Cambria Math" w:eastAsia="Times New Roman" w:hAnsi="Cambria Math" w:cs="Times New Roman"/>
                <w:color w:val="000000" w:themeColor="text1"/>
                <w:shd w:val="clear" w:color="auto" w:fill="FFFFFF"/>
                <w:lang w:eastAsia="en-GB"/>
              </w:rPr>
              <m:t>(1-p)</m:t>
            </m:r>
          </m:e>
        </m:d>
        <m:r>
          <w:rPr>
            <w:rFonts w:ascii="Cambria Math" w:eastAsia="Times New Roman" w:hAnsi="Cambria Math" w:cs="Times New Roman"/>
            <w:color w:val="000000" w:themeColor="text1"/>
            <w:shd w:val="clear" w:color="auto" w:fill="FFFFFF"/>
            <w:lang w:eastAsia="en-GB"/>
          </w:rPr>
          <m:t xml:space="preserve">= α+ </m:t>
        </m:r>
        <m:sSub>
          <m:sSubPr>
            <m:ctrlPr>
              <w:rPr>
                <w:rFonts w:ascii="Cambria Math" w:eastAsia="Times New Roman" w:hAnsi="Cambria Math" w:cs="Times New Roman"/>
                <w:i/>
                <w:color w:val="000000" w:themeColor="text1"/>
                <w:shd w:val="clear" w:color="auto" w:fill="FFFFFF"/>
                <w:lang w:eastAsia="en-GB"/>
              </w:rPr>
            </m:ctrlPr>
          </m:sSubPr>
          <m:e>
            <m:r>
              <w:rPr>
                <w:rFonts w:ascii="Cambria Math" w:eastAsia="Times New Roman" w:hAnsi="Cambria Math" w:cs="Times New Roman"/>
                <w:color w:val="000000" w:themeColor="text1"/>
                <w:shd w:val="clear" w:color="auto" w:fill="FFFFFF"/>
                <w:lang w:eastAsia="en-GB"/>
              </w:rPr>
              <m:t>β</m:t>
            </m:r>
          </m:e>
          <m:sub>
            <m:r>
              <w:rPr>
                <w:rFonts w:ascii="Cambria Math" w:eastAsia="Times New Roman" w:hAnsi="Cambria Math" w:cs="Times New Roman"/>
                <w:color w:val="000000" w:themeColor="text1"/>
                <w:shd w:val="clear" w:color="auto" w:fill="FFFFFF"/>
                <w:lang w:eastAsia="en-GB"/>
              </w:rPr>
              <m:t>1</m:t>
            </m:r>
          </m:sub>
        </m:sSub>
        <m:sSub>
          <m:sSubPr>
            <m:ctrlPr>
              <w:rPr>
                <w:rFonts w:ascii="Cambria Math" w:eastAsia="Times New Roman" w:hAnsi="Cambria Math" w:cs="Times New Roman"/>
                <w:i/>
                <w:color w:val="000000" w:themeColor="text1"/>
                <w:shd w:val="clear" w:color="auto" w:fill="FFFFFF"/>
                <w:lang w:eastAsia="en-GB"/>
              </w:rPr>
            </m:ctrlPr>
          </m:sSubPr>
          <m:e>
            <m:r>
              <w:rPr>
                <w:rFonts w:ascii="Cambria Math" w:eastAsia="Times New Roman" w:hAnsi="Cambria Math" w:cs="Times New Roman"/>
                <w:color w:val="000000" w:themeColor="text1"/>
                <w:shd w:val="clear" w:color="auto" w:fill="FFFFFF"/>
                <w:lang w:eastAsia="en-GB"/>
              </w:rPr>
              <m:t>x</m:t>
            </m:r>
          </m:e>
          <m:sub>
            <m:r>
              <w:rPr>
                <w:rFonts w:ascii="Cambria Math" w:eastAsia="Times New Roman" w:hAnsi="Cambria Math" w:cs="Times New Roman"/>
                <w:color w:val="000000" w:themeColor="text1"/>
                <w:shd w:val="clear" w:color="auto" w:fill="FFFFFF"/>
                <w:lang w:eastAsia="en-GB"/>
              </w:rPr>
              <m:t>1</m:t>
            </m:r>
          </m:sub>
        </m:sSub>
        <m:r>
          <w:rPr>
            <w:rFonts w:ascii="Cambria Math" w:eastAsia="Times New Roman" w:hAnsi="Cambria Math" w:cs="Times New Roman"/>
            <w:color w:val="000000" w:themeColor="text1"/>
            <w:shd w:val="clear" w:color="auto" w:fill="FFFFFF"/>
            <w:lang w:eastAsia="en-GB"/>
          </w:rPr>
          <m:t xml:space="preserve">+ </m:t>
        </m:r>
        <m:sSub>
          <m:sSubPr>
            <m:ctrlPr>
              <w:rPr>
                <w:rFonts w:ascii="Cambria Math" w:eastAsia="Times New Roman" w:hAnsi="Cambria Math" w:cs="Times New Roman"/>
                <w:i/>
                <w:color w:val="000000" w:themeColor="text1"/>
                <w:shd w:val="clear" w:color="auto" w:fill="FFFFFF"/>
                <w:lang w:eastAsia="en-GB"/>
              </w:rPr>
            </m:ctrlPr>
          </m:sSubPr>
          <m:e>
            <m:sSub>
              <m:sSubPr>
                <m:ctrlPr>
                  <w:rPr>
                    <w:rFonts w:ascii="Cambria Math" w:eastAsia="Times New Roman" w:hAnsi="Cambria Math" w:cs="Times New Roman"/>
                    <w:i/>
                    <w:color w:val="000000" w:themeColor="text1"/>
                    <w:shd w:val="clear" w:color="auto" w:fill="FFFFFF"/>
                    <w:lang w:eastAsia="en-GB"/>
                  </w:rPr>
                </m:ctrlPr>
              </m:sSubPr>
              <m:e>
                <m:r>
                  <w:rPr>
                    <w:rFonts w:ascii="Cambria Math" w:eastAsia="Times New Roman" w:hAnsi="Cambria Math" w:cs="Times New Roman"/>
                    <w:color w:val="000000" w:themeColor="text1"/>
                    <w:shd w:val="clear" w:color="auto" w:fill="FFFFFF"/>
                    <w:lang w:eastAsia="en-GB"/>
                  </w:rPr>
                  <m:t>β</m:t>
                </m:r>
              </m:e>
              <m:sub>
                <m:r>
                  <w:rPr>
                    <w:rFonts w:ascii="Cambria Math" w:eastAsia="Times New Roman" w:hAnsi="Cambria Math" w:cs="Times New Roman"/>
                    <w:color w:val="000000" w:themeColor="text1"/>
                    <w:shd w:val="clear" w:color="auto" w:fill="FFFFFF"/>
                    <w:lang w:eastAsia="en-GB"/>
                  </w:rPr>
                  <m:t>2</m:t>
                </m:r>
              </m:sub>
            </m:sSub>
            <m:r>
              <w:rPr>
                <w:rFonts w:ascii="Cambria Math" w:eastAsia="Times New Roman" w:hAnsi="Cambria Math" w:cs="Times New Roman"/>
                <w:color w:val="000000" w:themeColor="text1"/>
                <w:shd w:val="clear" w:color="auto" w:fill="FFFFFF"/>
                <w:lang w:eastAsia="en-GB"/>
              </w:rPr>
              <m:t>x</m:t>
            </m:r>
          </m:e>
          <m:sub>
            <m:r>
              <w:rPr>
                <w:rFonts w:ascii="Cambria Math" w:eastAsia="Times New Roman" w:hAnsi="Cambria Math" w:cs="Times New Roman"/>
                <w:color w:val="000000" w:themeColor="text1"/>
                <w:shd w:val="clear" w:color="auto" w:fill="FFFFFF"/>
                <w:lang w:eastAsia="en-GB"/>
              </w:rPr>
              <m:t>2</m:t>
            </m:r>
          </m:sub>
        </m:sSub>
        <m:r>
          <w:rPr>
            <w:rFonts w:ascii="Cambria Math" w:eastAsia="Times New Roman" w:hAnsi="Cambria Math" w:cs="Times New Roman"/>
            <w:color w:val="000000" w:themeColor="text1"/>
            <w:shd w:val="clear" w:color="auto" w:fill="FFFFFF"/>
            <w:lang w:eastAsia="en-GB"/>
          </w:rPr>
          <m:t xml:space="preserve">+ </m:t>
        </m:r>
        <m:sSub>
          <m:sSubPr>
            <m:ctrlPr>
              <w:rPr>
                <w:rFonts w:ascii="Cambria Math" w:eastAsia="Times New Roman" w:hAnsi="Cambria Math" w:cs="Times New Roman"/>
                <w:i/>
                <w:color w:val="000000" w:themeColor="text1"/>
                <w:shd w:val="clear" w:color="auto" w:fill="FFFFFF"/>
                <w:lang w:eastAsia="en-GB"/>
              </w:rPr>
            </m:ctrlPr>
          </m:sSubPr>
          <m:e>
            <m:r>
              <w:rPr>
                <w:rFonts w:ascii="Cambria Math" w:eastAsia="Times New Roman" w:hAnsi="Cambria Math" w:cs="Times New Roman"/>
                <w:color w:val="000000" w:themeColor="text1"/>
                <w:shd w:val="clear" w:color="auto" w:fill="FFFFFF"/>
                <w:lang w:eastAsia="en-GB"/>
              </w:rPr>
              <m:t>β</m:t>
            </m:r>
          </m:e>
          <m:sub>
            <m:r>
              <w:rPr>
                <w:rFonts w:ascii="Cambria Math" w:eastAsia="Times New Roman" w:hAnsi="Cambria Math" w:cs="Times New Roman"/>
                <w:color w:val="000000" w:themeColor="text1"/>
                <w:shd w:val="clear" w:color="auto" w:fill="FFFFFF"/>
                <w:lang w:eastAsia="en-GB"/>
              </w:rPr>
              <m:t>3</m:t>
            </m:r>
          </m:sub>
        </m:sSub>
        <m:sSub>
          <m:sSubPr>
            <m:ctrlPr>
              <w:rPr>
                <w:rFonts w:ascii="Cambria Math" w:eastAsia="Times New Roman" w:hAnsi="Cambria Math" w:cs="Times New Roman"/>
                <w:i/>
                <w:color w:val="000000" w:themeColor="text1"/>
                <w:shd w:val="clear" w:color="auto" w:fill="FFFFFF"/>
                <w:lang w:eastAsia="en-GB"/>
              </w:rPr>
            </m:ctrlPr>
          </m:sSubPr>
          <m:e>
            <m:r>
              <w:rPr>
                <w:rFonts w:ascii="Cambria Math" w:eastAsia="Times New Roman" w:hAnsi="Cambria Math" w:cs="Times New Roman"/>
                <w:color w:val="000000" w:themeColor="text1"/>
                <w:shd w:val="clear" w:color="auto" w:fill="FFFFFF"/>
                <w:lang w:eastAsia="en-GB"/>
              </w:rPr>
              <m:t>x</m:t>
            </m:r>
          </m:e>
          <m:sub>
            <m:r>
              <w:rPr>
                <w:rFonts w:ascii="Cambria Math" w:eastAsia="Times New Roman" w:hAnsi="Cambria Math" w:cs="Times New Roman"/>
                <w:color w:val="000000" w:themeColor="text1"/>
                <w:shd w:val="clear" w:color="auto" w:fill="FFFFFF"/>
                <w:lang w:eastAsia="en-GB"/>
              </w:rPr>
              <m:t xml:space="preserve">3 </m:t>
            </m:r>
          </m:sub>
        </m:sSub>
        <m:r>
          <w:rPr>
            <w:rFonts w:ascii="Cambria Math" w:eastAsia="Times New Roman" w:hAnsi="Cambria Math" w:cs="Times New Roman"/>
            <w:color w:val="000000" w:themeColor="text1"/>
            <w:shd w:val="clear" w:color="auto" w:fill="FFFFFF"/>
            <w:lang w:eastAsia="en-GB"/>
          </w:rPr>
          <m:t>+</m:t>
        </m:r>
        <m:sSub>
          <m:sSubPr>
            <m:ctrlPr>
              <w:rPr>
                <w:rFonts w:ascii="Cambria Math" w:eastAsia="Times New Roman" w:hAnsi="Cambria Math" w:cs="Times New Roman"/>
                <w:i/>
                <w:color w:val="000000" w:themeColor="text1"/>
                <w:shd w:val="clear" w:color="auto" w:fill="FFFFFF"/>
                <w:lang w:eastAsia="en-GB"/>
              </w:rPr>
            </m:ctrlPr>
          </m:sSubPr>
          <m:e>
            <m:r>
              <w:rPr>
                <w:rFonts w:ascii="Cambria Math" w:eastAsia="Times New Roman" w:hAnsi="Cambria Math" w:cs="Times New Roman"/>
                <w:color w:val="000000" w:themeColor="text1"/>
                <w:shd w:val="clear" w:color="auto" w:fill="FFFFFF"/>
                <w:lang w:eastAsia="en-GB"/>
              </w:rPr>
              <m:t>β</m:t>
            </m:r>
          </m:e>
          <m:sub>
            <m:r>
              <w:rPr>
                <w:rFonts w:ascii="Cambria Math" w:eastAsia="Times New Roman" w:hAnsi="Cambria Math" w:cs="Times New Roman"/>
                <w:color w:val="000000" w:themeColor="text1"/>
                <w:shd w:val="clear" w:color="auto" w:fill="FFFFFF"/>
                <w:lang w:eastAsia="en-GB"/>
              </w:rPr>
              <m:t>4</m:t>
            </m:r>
          </m:sub>
        </m:sSub>
        <m:sSub>
          <m:sSubPr>
            <m:ctrlPr>
              <w:rPr>
                <w:rFonts w:ascii="Cambria Math" w:eastAsia="Times New Roman" w:hAnsi="Cambria Math" w:cs="Times New Roman"/>
                <w:i/>
                <w:color w:val="000000" w:themeColor="text1"/>
                <w:shd w:val="clear" w:color="auto" w:fill="FFFFFF"/>
                <w:lang w:eastAsia="en-GB"/>
              </w:rPr>
            </m:ctrlPr>
          </m:sSubPr>
          <m:e>
            <m:r>
              <w:rPr>
                <w:rFonts w:ascii="Cambria Math" w:eastAsia="Times New Roman" w:hAnsi="Cambria Math" w:cs="Times New Roman"/>
                <w:color w:val="000000" w:themeColor="text1"/>
                <w:shd w:val="clear" w:color="auto" w:fill="FFFFFF"/>
                <w:lang w:eastAsia="en-GB"/>
              </w:rPr>
              <m:t>x</m:t>
            </m:r>
          </m:e>
          <m:sub>
            <m:r>
              <w:rPr>
                <w:rFonts w:ascii="Cambria Math" w:eastAsia="Times New Roman" w:hAnsi="Cambria Math" w:cs="Times New Roman"/>
                <w:color w:val="000000" w:themeColor="text1"/>
                <w:shd w:val="clear" w:color="auto" w:fill="FFFFFF"/>
                <w:lang w:eastAsia="en-GB"/>
              </w:rPr>
              <m:t>4</m:t>
            </m:r>
          </m:sub>
        </m:sSub>
        <m:r>
          <w:rPr>
            <w:rFonts w:ascii="Cambria Math" w:eastAsia="Times New Roman" w:hAnsi="Cambria Math" w:cs="Times New Roman"/>
            <w:color w:val="000000" w:themeColor="text1"/>
            <w:shd w:val="clear" w:color="auto" w:fill="FFFFFF"/>
            <w:lang w:eastAsia="en-GB"/>
          </w:rPr>
          <m:t xml:space="preserve">+ </m:t>
        </m:r>
        <m:sSub>
          <m:sSubPr>
            <m:ctrlPr>
              <w:rPr>
                <w:rFonts w:ascii="Cambria Math" w:eastAsia="Times New Roman" w:hAnsi="Cambria Math" w:cs="Times New Roman"/>
                <w:i/>
                <w:color w:val="000000" w:themeColor="text1"/>
                <w:shd w:val="clear" w:color="auto" w:fill="FFFFFF"/>
                <w:lang w:eastAsia="en-GB"/>
              </w:rPr>
            </m:ctrlPr>
          </m:sSubPr>
          <m:e>
            <m:sSub>
              <m:sSubPr>
                <m:ctrlPr>
                  <w:rPr>
                    <w:rFonts w:ascii="Cambria Math" w:eastAsia="Times New Roman" w:hAnsi="Cambria Math" w:cs="Times New Roman"/>
                    <w:i/>
                    <w:color w:val="000000" w:themeColor="text1"/>
                    <w:shd w:val="clear" w:color="auto" w:fill="FFFFFF"/>
                    <w:lang w:eastAsia="en-GB"/>
                  </w:rPr>
                </m:ctrlPr>
              </m:sSubPr>
              <m:e>
                <m:r>
                  <w:rPr>
                    <w:rFonts w:ascii="Cambria Math" w:eastAsia="Times New Roman" w:hAnsi="Cambria Math" w:cs="Times New Roman"/>
                    <w:color w:val="000000" w:themeColor="text1"/>
                    <w:shd w:val="clear" w:color="auto" w:fill="FFFFFF"/>
                    <w:lang w:eastAsia="en-GB"/>
                  </w:rPr>
                  <m:t>β</m:t>
                </m:r>
              </m:e>
              <m:sub>
                <m:r>
                  <w:rPr>
                    <w:rFonts w:ascii="Cambria Math" w:eastAsia="Times New Roman" w:hAnsi="Cambria Math" w:cs="Times New Roman"/>
                    <w:color w:val="000000" w:themeColor="text1"/>
                    <w:shd w:val="clear" w:color="auto" w:fill="FFFFFF"/>
                    <w:lang w:eastAsia="en-GB"/>
                  </w:rPr>
                  <m:t>5</m:t>
                </m:r>
              </m:sub>
            </m:sSub>
            <m:r>
              <w:rPr>
                <w:rFonts w:ascii="Cambria Math" w:eastAsia="Times New Roman" w:hAnsi="Cambria Math" w:cs="Times New Roman"/>
                <w:color w:val="000000" w:themeColor="text1"/>
                <w:shd w:val="clear" w:color="auto" w:fill="FFFFFF"/>
                <w:lang w:eastAsia="en-GB"/>
              </w:rPr>
              <m:t>x</m:t>
            </m:r>
          </m:e>
          <m:sub>
            <m:r>
              <w:rPr>
                <w:rFonts w:ascii="Cambria Math" w:eastAsia="Times New Roman" w:hAnsi="Cambria Math" w:cs="Times New Roman"/>
                <w:color w:val="000000" w:themeColor="text1"/>
                <w:shd w:val="clear" w:color="auto" w:fill="FFFFFF"/>
                <w:lang w:eastAsia="en-GB"/>
              </w:rPr>
              <m:t xml:space="preserve">5 </m:t>
            </m:r>
          </m:sub>
        </m:sSub>
        <m:r>
          <w:rPr>
            <w:rFonts w:ascii="Cambria Math" w:eastAsia="Times New Roman" w:hAnsi="Cambria Math" w:cs="Times New Roman"/>
            <w:color w:val="000000" w:themeColor="text1"/>
            <w:shd w:val="clear" w:color="auto" w:fill="FFFFFF"/>
            <w:lang w:eastAsia="en-GB"/>
          </w:rPr>
          <m:t>+ ε</m:t>
        </m:r>
      </m:oMath>
      <w:r w:rsidR="00824F54" w:rsidRPr="00614125">
        <w:rPr>
          <w:rFonts w:ascii="Arial" w:eastAsia="Times New Roman" w:hAnsi="Arial" w:cs="Times New Roman"/>
          <w:color w:val="000000" w:themeColor="text1"/>
          <w:shd w:val="clear" w:color="auto" w:fill="FFFFFF"/>
          <w:lang w:eastAsia="en-GB"/>
        </w:rPr>
        <w:t xml:space="preserve"> … … </w:t>
      </w:r>
      <w:r w:rsidR="008C0105" w:rsidRPr="00614125">
        <w:rPr>
          <w:rFonts w:ascii="Arial" w:eastAsia="Times New Roman" w:hAnsi="Arial" w:cs="Times New Roman"/>
          <w:color w:val="000000" w:themeColor="text1"/>
          <w:shd w:val="clear" w:color="auto" w:fill="FFFFFF"/>
          <w:lang w:eastAsia="en-GB"/>
        </w:rPr>
        <w:t>(2)</w:t>
      </w:r>
      <w:r w:rsidR="00824F54" w:rsidRPr="00614125">
        <w:rPr>
          <w:rFonts w:ascii="Arial" w:eastAsia="Times New Roman" w:hAnsi="Arial" w:cs="Times New Roman"/>
          <w:color w:val="000000" w:themeColor="text1"/>
          <w:shd w:val="clear" w:color="auto" w:fill="FFFFFF"/>
          <w:lang w:eastAsia="en-GB"/>
        </w:rPr>
        <w:t>]</w:t>
      </w:r>
    </w:p>
    <w:p w14:paraId="1FC04FB1" w14:textId="77777777" w:rsidR="00224343" w:rsidRPr="00614125" w:rsidRDefault="006422D2" w:rsidP="00337D8B">
      <w:pPr>
        <w:spacing w:before="120" w:after="120" w:line="360" w:lineRule="auto"/>
        <w:rPr>
          <w:rFonts w:ascii="Arial" w:hAnsi="Arial"/>
          <w:color w:val="000000" w:themeColor="text1"/>
        </w:rPr>
      </w:pPr>
      <w:r w:rsidRPr="00614125">
        <w:rPr>
          <w:rFonts w:ascii="Arial" w:hAnsi="Arial"/>
          <w:color w:val="000000" w:themeColor="text1"/>
        </w:rPr>
        <w:t xml:space="preserve"> </w:t>
      </w:r>
    </w:p>
    <w:p w14:paraId="2FBDFA6A" w14:textId="3CE0AB15" w:rsidR="007118EC" w:rsidRPr="00614125" w:rsidRDefault="00635572" w:rsidP="00337D8B">
      <w:pPr>
        <w:spacing w:before="120" w:after="120" w:line="360" w:lineRule="auto"/>
        <w:rPr>
          <w:rFonts w:ascii="Arial" w:hAnsi="Arial"/>
          <w:color w:val="000000" w:themeColor="text1"/>
        </w:rPr>
      </w:pPr>
      <w:r w:rsidRPr="00614125">
        <w:rPr>
          <w:rFonts w:ascii="Arial" w:hAnsi="Arial"/>
          <w:color w:val="000000" w:themeColor="text1"/>
        </w:rPr>
        <w:t xml:space="preserve">Where </w:t>
      </w:r>
      <m:oMath>
        <m:r>
          <w:rPr>
            <w:rFonts w:ascii="Cambria Math" w:eastAsia="Times New Roman" w:hAnsi="Cambria Math" w:cs="Times New Roman"/>
            <w:color w:val="000000" w:themeColor="text1"/>
            <w:shd w:val="clear" w:color="auto" w:fill="FFFFFF"/>
            <w:lang w:eastAsia="en-GB"/>
          </w:rPr>
          <m:t>p</m:t>
        </m:r>
      </m:oMath>
      <w:r w:rsidR="00DB192A" w:rsidRPr="00614125" w:rsidDel="00DB192A">
        <w:rPr>
          <w:rFonts w:ascii="Arial" w:hAnsi="Arial"/>
          <w:color w:val="000000" w:themeColor="text1"/>
        </w:rPr>
        <w:t xml:space="preserve"> </w:t>
      </w:r>
      <w:r w:rsidRPr="00614125">
        <w:rPr>
          <w:rFonts w:ascii="Arial" w:hAnsi="Arial"/>
          <w:color w:val="000000" w:themeColor="text1"/>
        </w:rPr>
        <w:t>denotes the probability of incurring a specific UHC index,</w:t>
      </w:r>
      <m:oMath>
        <m:r>
          <w:rPr>
            <w:rFonts w:ascii="Cambria Math" w:eastAsia="Times New Roman" w:hAnsi="Cambria Math" w:cs="Times New Roman"/>
            <w:color w:val="000000" w:themeColor="text1"/>
            <w:shd w:val="clear" w:color="auto" w:fill="FFFFFF"/>
            <w:lang w:eastAsia="en-GB"/>
          </w:rPr>
          <m:t xml:space="preserve"> α</m:t>
        </m:r>
      </m:oMath>
      <w:r w:rsidRPr="00614125">
        <w:rPr>
          <w:rFonts w:ascii="Arial" w:hAnsi="Arial"/>
          <w:color w:val="000000" w:themeColor="text1"/>
        </w:rPr>
        <w:t xml:space="preserve"> </w:t>
      </w:r>
      <w:r w:rsidR="00224343" w:rsidRPr="00614125">
        <w:rPr>
          <w:rFonts w:ascii="Arial" w:hAnsi="Arial"/>
          <w:color w:val="000000" w:themeColor="text1"/>
        </w:rPr>
        <w:t xml:space="preserve">a constant, </w:t>
      </w:r>
      <m:oMath>
        <m:sSub>
          <m:sSubPr>
            <m:ctrlPr>
              <w:rPr>
                <w:rFonts w:ascii="Cambria Math" w:eastAsia="Times New Roman" w:hAnsi="Cambria Math" w:cs="Times New Roman"/>
                <w:i/>
                <w:color w:val="000000" w:themeColor="text1"/>
                <w:shd w:val="clear" w:color="auto" w:fill="FFFFFF"/>
                <w:lang w:eastAsia="en-GB"/>
              </w:rPr>
            </m:ctrlPr>
          </m:sSubPr>
          <m:e>
            <m:r>
              <w:rPr>
                <w:rFonts w:ascii="Cambria Math" w:eastAsia="Times New Roman" w:hAnsi="Cambria Math" w:cs="Times New Roman"/>
                <w:color w:val="000000" w:themeColor="text1"/>
                <w:shd w:val="clear" w:color="auto" w:fill="FFFFFF"/>
                <w:lang w:eastAsia="en-GB"/>
              </w:rPr>
              <m:t>x</m:t>
            </m:r>
          </m:e>
          <m:sub>
            <m:r>
              <w:rPr>
                <w:rFonts w:ascii="Cambria Math" w:eastAsia="Times New Roman" w:hAnsi="Cambria Math" w:cs="Times New Roman"/>
                <w:color w:val="000000" w:themeColor="text1"/>
                <w:shd w:val="clear" w:color="auto" w:fill="FFFFFF"/>
                <w:lang w:eastAsia="en-GB"/>
              </w:rPr>
              <m:t>1</m:t>
            </m:r>
          </m:sub>
        </m:sSub>
      </m:oMath>
      <w:r w:rsidR="00224343" w:rsidRPr="00614125">
        <w:rPr>
          <w:rFonts w:ascii="Arial" w:eastAsiaTheme="minorEastAsia" w:hAnsi="Arial"/>
          <w:color w:val="000000" w:themeColor="text1"/>
          <w:shd w:val="clear" w:color="auto" w:fill="FFFFFF"/>
          <w:lang w:eastAsia="en-GB"/>
        </w:rPr>
        <w:t xml:space="preserve"> the OOP payments as a percentage of total health expenditure, </w:t>
      </w:r>
      <m:oMath>
        <m:sSub>
          <m:sSubPr>
            <m:ctrlPr>
              <w:rPr>
                <w:rFonts w:ascii="Cambria Math" w:eastAsia="Times New Roman" w:hAnsi="Cambria Math" w:cs="Times New Roman"/>
                <w:i/>
                <w:color w:val="000000" w:themeColor="text1"/>
                <w:shd w:val="clear" w:color="auto" w:fill="FFFFFF"/>
                <w:lang w:eastAsia="en-GB"/>
              </w:rPr>
            </m:ctrlPr>
          </m:sSubPr>
          <m:e>
            <m:r>
              <w:rPr>
                <w:rFonts w:ascii="Cambria Math" w:eastAsia="Times New Roman" w:hAnsi="Cambria Math" w:cs="Times New Roman"/>
                <w:color w:val="000000" w:themeColor="text1"/>
                <w:shd w:val="clear" w:color="auto" w:fill="FFFFFF"/>
                <w:lang w:eastAsia="en-GB"/>
              </w:rPr>
              <m:t>x</m:t>
            </m:r>
          </m:e>
          <m:sub>
            <m:r>
              <w:rPr>
                <w:rFonts w:ascii="Cambria Math" w:eastAsia="Times New Roman" w:hAnsi="Cambria Math" w:cs="Times New Roman"/>
                <w:color w:val="000000" w:themeColor="text1"/>
                <w:shd w:val="clear" w:color="auto" w:fill="FFFFFF"/>
                <w:lang w:eastAsia="en-GB"/>
              </w:rPr>
              <m:t xml:space="preserve">2 </m:t>
            </m:r>
          </m:sub>
        </m:sSub>
      </m:oMath>
      <w:r w:rsidR="00224343" w:rsidRPr="00614125">
        <w:rPr>
          <w:rFonts w:ascii="Arial" w:eastAsiaTheme="minorEastAsia" w:hAnsi="Arial"/>
          <w:color w:val="000000" w:themeColor="text1"/>
          <w:shd w:val="clear" w:color="auto" w:fill="FFFFFF"/>
          <w:lang w:eastAsia="en-GB"/>
        </w:rPr>
        <w:t xml:space="preserve">logged GDP per capita, </w:t>
      </w:r>
      <m:oMath>
        <m:sSub>
          <m:sSubPr>
            <m:ctrlPr>
              <w:rPr>
                <w:rFonts w:ascii="Cambria Math" w:eastAsia="Times New Roman" w:hAnsi="Cambria Math" w:cs="Times New Roman"/>
                <w:i/>
                <w:color w:val="000000" w:themeColor="text1"/>
                <w:shd w:val="clear" w:color="auto" w:fill="FFFFFF"/>
                <w:lang w:eastAsia="en-GB"/>
              </w:rPr>
            </m:ctrlPr>
          </m:sSubPr>
          <m:e>
            <m:r>
              <w:rPr>
                <w:rFonts w:ascii="Cambria Math" w:eastAsia="Times New Roman" w:hAnsi="Cambria Math" w:cs="Times New Roman"/>
                <w:color w:val="000000" w:themeColor="text1"/>
                <w:shd w:val="clear" w:color="auto" w:fill="FFFFFF"/>
                <w:lang w:eastAsia="en-GB"/>
              </w:rPr>
              <m:t>x</m:t>
            </m:r>
          </m:e>
          <m:sub>
            <m:r>
              <w:rPr>
                <w:rFonts w:ascii="Cambria Math" w:eastAsia="Times New Roman" w:hAnsi="Cambria Math" w:cs="Times New Roman"/>
                <w:color w:val="000000" w:themeColor="text1"/>
                <w:shd w:val="clear" w:color="auto" w:fill="FFFFFF"/>
                <w:lang w:eastAsia="en-GB"/>
              </w:rPr>
              <m:t>3</m:t>
            </m:r>
          </m:sub>
        </m:sSub>
      </m:oMath>
      <w:r w:rsidR="00224343" w:rsidRPr="00614125">
        <w:rPr>
          <w:rFonts w:ascii="Arial" w:eastAsiaTheme="minorEastAsia" w:hAnsi="Arial"/>
          <w:color w:val="000000" w:themeColor="text1"/>
          <w:shd w:val="clear" w:color="auto" w:fill="FFFFFF"/>
          <w:lang w:eastAsia="en-GB"/>
        </w:rPr>
        <w:t xml:space="preserve">, </w:t>
      </w:r>
      <m:oMath>
        <m:sSub>
          <m:sSubPr>
            <m:ctrlPr>
              <w:rPr>
                <w:rFonts w:ascii="Cambria Math" w:eastAsia="Times New Roman" w:hAnsi="Cambria Math" w:cs="Times New Roman"/>
                <w:i/>
                <w:color w:val="000000" w:themeColor="text1"/>
                <w:shd w:val="clear" w:color="auto" w:fill="FFFFFF"/>
                <w:lang w:eastAsia="en-GB"/>
              </w:rPr>
            </m:ctrlPr>
          </m:sSubPr>
          <m:e>
            <m:r>
              <w:rPr>
                <w:rFonts w:ascii="Cambria Math" w:eastAsia="Times New Roman" w:hAnsi="Cambria Math" w:cs="Times New Roman"/>
                <w:color w:val="000000" w:themeColor="text1"/>
                <w:shd w:val="clear" w:color="auto" w:fill="FFFFFF"/>
                <w:lang w:eastAsia="en-GB"/>
              </w:rPr>
              <m:t>x</m:t>
            </m:r>
          </m:e>
          <m:sub>
            <m:r>
              <w:rPr>
                <w:rFonts w:ascii="Cambria Math" w:eastAsia="Times New Roman" w:hAnsi="Cambria Math" w:cs="Times New Roman"/>
                <w:color w:val="000000" w:themeColor="text1"/>
                <w:shd w:val="clear" w:color="auto" w:fill="FFFFFF"/>
                <w:lang w:eastAsia="en-GB"/>
              </w:rPr>
              <m:t>4</m:t>
            </m:r>
          </m:sub>
        </m:sSub>
      </m:oMath>
      <w:r w:rsidR="00224343" w:rsidRPr="00614125">
        <w:rPr>
          <w:rFonts w:ascii="Arial" w:eastAsiaTheme="minorEastAsia" w:hAnsi="Arial"/>
          <w:color w:val="000000" w:themeColor="text1"/>
          <w:shd w:val="clear" w:color="auto" w:fill="FFFFFF"/>
          <w:lang w:eastAsia="en-GB"/>
        </w:rPr>
        <w:t xml:space="preserve">, </w:t>
      </w:r>
      <m:oMath>
        <m:sSub>
          <m:sSubPr>
            <m:ctrlPr>
              <w:rPr>
                <w:rFonts w:ascii="Cambria Math" w:eastAsia="Times New Roman" w:hAnsi="Cambria Math" w:cs="Times New Roman"/>
                <w:i/>
                <w:color w:val="000000" w:themeColor="text1"/>
                <w:shd w:val="clear" w:color="auto" w:fill="FFFFFF"/>
                <w:lang w:eastAsia="en-GB"/>
              </w:rPr>
            </m:ctrlPr>
          </m:sSubPr>
          <m:e>
            <m:r>
              <w:rPr>
                <w:rFonts w:ascii="Cambria Math" w:eastAsia="Times New Roman" w:hAnsi="Cambria Math" w:cs="Times New Roman"/>
                <w:color w:val="000000" w:themeColor="text1"/>
                <w:shd w:val="clear" w:color="auto" w:fill="FFFFFF"/>
                <w:lang w:eastAsia="en-GB"/>
              </w:rPr>
              <m:t>x</m:t>
            </m:r>
          </m:e>
          <m:sub>
            <m:r>
              <w:rPr>
                <w:rFonts w:ascii="Cambria Math" w:eastAsia="Times New Roman" w:hAnsi="Cambria Math" w:cs="Times New Roman"/>
                <w:color w:val="000000" w:themeColor="text1"/>
                <w:shd w:val="clear" w:color="auto" w:fill="FFFFFF"/>
                <w:lang w:eastAsia="en-GB"/>
              </w:rPr>
              <m:t>5</m:t>
            </m:r>
          </m:sub>
        </m:sSub>
      </m:oMath>
      <w:r w:rsidR="00224343" w:rsidRPr="00614125">
        <w:rPr>
          <w:rFonts w:ascii="Arial" w:eastAsiaTheme="minorEastAsia" w:hAnsi="Arial"/>
          <w:color w:val="000000" w:themeColor="text1"/>
          <w:shd w:val="clear" w:color="auto" w:fill="FFFFFF"/>
          <w:lang w:eastAsia="en-GB"/>
        </w:rPr>
        <w:t xml:space="preserve"> demographic structure and </w:t>
      </w:r>
      <m:oMath>
        <m:r>
          <w:rPr>
            <w:rFonts w:ascii="Cambria Math" w:eastAsia="Times New Roman" w:hAnsi="Cambria Math" w:cs="Times New Roman"/>
            <w:color w:val="000000" w:themeColor="text1"/>
            <w:shd w:val="clear" w:color="auto" w:fill="FFFFFF"/>
            <w:lang w:eastAsia="en-GB"/>
          </w:rPr>
          <m:t xml:space="preserve">ε </m:t>
        </m:r>
      </m:oMath>
      <w:r w:rsidR="00DE1D36" w:rsidRPr="00614125">
        <w:rPr>
          <w:rFonts w:ascii="Arial" w:eastAsiaTheme="minorEastAsia" w:hAnsi="Arial"/>
          <w:color w:val="000000" w:themeColor="text1"/>
          <w:shd w:val="clear" w:color="auto" w:fill="FFFFFF"/>
          <w:lang w:eastAsia="en-GB"/>
        </w:rPr>
        <w:t xml:space="preserve">is the </w:t>
      </w:r>
      <w:r w:rsidR="00224343" w:rsidRPr="00614125">
        <w:rPr>
          <w:rFonts w:ascii="Arial" w:eastAsiaTheme="minorEastAsia" w:hAnsi="Arial"/>
          <w:color w:val="000000" w:themeColor="text1"/>
          <w:shd w:val="clear" w:color="auto" w:fill="FFFFFF"/>
          <w:lang w:eastAsia="en-GB"/>
        </w:rPr>
        <w:t>error</w:t>
      </w:r>
      <w:r w:rsidR="00224343" w:rsidRPr="00614125">
        <w:rPr>
          <w:rFonts w:ascii="Arial" w:eastAsiaTheme="minorEastAsia" w:hAnsi="Arial"/>
          <w:noProof/>
          <w:color w:val="000000" w:themeColor="text1"/>
          <w:shd w:val="clear" w:color="auto" w:fill="FFFFFF"/>
          <w:lang w:eastAsia="en-GB"/>
        </w:rPr>
        <w:t xml:space="preserve"> t</w:t>
      </w:r>
      <w:r w:rsidR="00224343" w:rsidRPr="00614125">
        <w:rPr>
          <w:rFonts w:ascii="Arial" w:eastAsiaTheme="minorEastAsia" w:hAnsi="Arial"/>
          <w:color w:val="000000" w:themeColor="text1"/>
          <w:shd w:val="clear" w:color="auto" w:fill="FFFFFF"/>
          <w:lang w:eastAsia="en-GB"/>
        </w:rPr>
        <w:t xml:space="preserve">erm. </w:t>
      </w:r>
    </w:p>
    <w:p w14:paraId="263C886E" w14:textId="77777777" w:rsidR="007118EC" w:rsidRPr="00614125" w:rsidRDefault="007118EC" w:rsidP="00337D8B">
      <w:pPr>
        <w:spacing w:before="120" w:after="120" w:line="360" w:lineRule="auto"/>
        <w:rPr>
          <w:rFonts w:ascii="Arial" w:hAnsi="Arial"/>
          <w:color w:val="000000" w:themeColor="text1"/>
        </w:rPr>
      </w:pPr>
    </w:p>
    <w:p w14:paraId="7B4AA838" w14:textId="77777777" w:rsidR="002364A0" w:rsidRPr="00614125" w:rsidRDefault="002364A0" w:rsidP="00337D8B">
      <w:pPr>
        <w:spacing w:before="120" w:after="120" w:line="360" w:lineRule="auto"/>
        <w:rPr>
          <w:rFonts w:ascii="Arial" w:hAnsi="Arial"/>
          <w:color w:val="000000" w:themeColor="text1"/>
        </w:rPr>
      </w:pPr>
      <w:r w:rsidRPr="00614125">
        <w:rPr>
          <w:rFonts w:ascii="Arial" w:hAnsi="Arial"/>
          <w:color w:val="000000" w:themeColor="text1"/>
        </w:rPr>
        <w:t>RESULTS</w:t>
      </w:r>
    </w:p>
    <w:p w14:paraId="5F5FCB78" w14:textId="1675BEE4" w:rsidR="002B04D8" w:rsidRPr="00614125" w:rsidRDefault="002364A0" w:rsidP="00337D8B">
      <w:pPr>
        <w:spacing w:before="120" w:after="120" w:line="360" w:lineRule="auto"/>
        <w:jc w:val="both"/>
        <w:rPr>
          <w:rFonts w:ascii="Arial" w:hAnsi="Arial"/>
          <w:color w:val="000000" w:themeColor="text1"/>
        </w:rPr>
      </w:pPr>
      <w:r w:rsidRPr="00614125">
        <w:rPr>
          <w:rFonts w:ascii="Arial" w:hAnsi="Arial"/>
          <w:color w:val="000000" w:themeColor="text1"/>
        </w:rPr>
        <w:t>Based on avai</w:t>
      </w:r>
      <w:r w:rsidR="00C55A37" w:rsidRPr="00614125">
        <w:rPr>
          <w:rFonts w:ascii="Arial" w:hAnsi="Arial"/>
          <w:color w:val="000000" w:themeColor="text1"/>
        </w:rPr>
        <w:t>lable data</w:t>
      </w:r>
      <w:r w:rsidR="00DF475B" w:rsidRPr="00614125">
        <w:rPr>
          <w:rFonts w:ascii="Arial" w:hAnsi="Arial"/>
          <w:color w:val="000000" w:themeColor="text1"/>
        </w:rPr>
        <w:t xml:space="preserve">, we </w:t>
      </w:r>
      <w:r w:rsidRPr="00614125">
        <w:rPr>
          <w:rFonts w:ascii="Arial" w:hAnsi="Arial"/>
          <w:color w:val="000000" w:themeColor="text1"/>
        </w:rPr>
        <w:t>calculate</w:t>
      </w:r>
      <w:r w:rsidR="00DF475B" w:rsidRPr="00614125">
        <w:rPr>
          <w:rFonts w:ascii="Arial" w:hAnsi="Arial"/>
          <w:color w:val="000000" w:themeColor="text1"/>
        </w:rPr>
        <w:t>d</w:t>
      </w:r>
      <w:r w:rsidRPr="00614125">
        <w:rPr>
          <w:rFonts w:ascii="Arial" w:hAnsi="Arial"/>
          <w:color w:val="000000" w:themeColor="text1"/>
        </w:rPr>
        <w:t xml:space="preserve"> the indices of Universal Health Coverage (UHC-Index) for 6 Asian and 15 African countries</w:t>
      </w:r>
      <w:r w:rsidR="009572BF" w:rsidRPr="00614125">
        <w:rPr>
          <w:rFonts w:ascii="Arial" w:hAnsi="Arial"/>
          <w:color w:val="000000" w:themeColor="text1"/>
        </w:rPr>
        <w:t xml:space="preserve"> (</w:t>
      </w:r>
      <w:r w:rsidR="00005B79" w:rsidRPr="00614125">
        <w:rPr>
          <w:rFonts w:ascii="Arial" w:hAnsi="Arial"/>
          <w:color w:val="000000" w:themeColor="text1"/>
        </w:rPr>
        <w:t>T</w:t>
      </w:r>
      <w:r w:rsidR="009572BF" w:rsidRPr="00614125">
        <w:rPr>
          <w:rFonts w:ascii="Arial" w:hAnsi="Arial"/>
          <w:color w:val="000000" w:themeColor="text1"/>
        </w:rPr>
        <w:t>able 2)</w:t>
      </w:r>
      <w:r w:rsidRPr="00614125">
        <w:rPr>
          <w:rFonts w:ascii="Arial" w:hAnsi="Arial"/>
          <w:color w:val="000000" w:themeColor="text1"/>
        </w:rPr>
        <w:t xml:space="preserve">. Among the reported Asian countries, Kazakhstan </w:t>
      </w:r>
      <w:r w:rsidR="00262FA9" w:rsidRPr="00614125">
        <w:rPr>
          <w:rFonts w:ascii="Arial" w:hAnsi="Arial"/>
          <w:color w:val="000000" w:themeColor="text1"/>
        </w:rPr>
        <w:t xml:space="preserve">achieved the largest </w:t>
      </w:r>
      <w:r w:rsidR="00C55A37" w:rsidRPr="00614125">
        <w:rPr>
          <w:rFonts w:ascii="Arial" w:hAnsi="Arial"/>
          <w:color w:val="000000" w:themeColor="text1"/>
        </w:rPr>
        <w:t xml:space="preserve">UHC index </w:t>
      </w:r>
      <w:r w:rsidR="00262FA9" w:rsidRPr="00614125">
        <w:rPr>
          <w:rFonts w:ascii="Arial" w:hAnsi="Arial"/>
          <w:color w:val="000000" w:themeColor="text1"/>
        </w:rPr>
        <w:t>value (5</w:t>
      </w:r>
      <w:r w:rsidR="00B121C2" w:rsidRPr="00614125">
        <w:rPr>
          <w:rFonts w:ascii="Arial" w:hAnsi="Arial"/>
          <w:color w:val="000000" w:themeColor="text1"/>
        </w:rPr>
        <w:t>8</w:t>
      </w:r>
      <w:r w:rsidR="00262FA9" w:rsidRPr="00614125">
        <w:rPr>
          <w:rFonts w:ascii="Arial" w:hAnsi="Arial"/>
          <w:color w:val="000000" w:themeColor="text1"/>
        </w:rPr>
        <w:t>.</w:t>
      </w:r>
      <w:r w:rsidR="00B121C2" w:rsidRPr="00614125">
        <w:rPr>
          <w:rFonts w:ascii="Arial" w:hAnsi="Arial"/>
          <w:color w:val="000000" w:themeColor="text1"/>
        </w:rPr>
        <w:t>7</w:t>
      </w:r>
      <w:r w:rsidRPr="00614125">
        <w:rPr>
          <w:rFonts w:ascii="Arial" w:hAnsi="Arial"/>
          <w:color w:val="000000" w:themeColor="text1"/>
        </w:rPr>
        <w:t xml:space="preserve">%), followed by the </w:t>
      </w:r>
      <w:r w:rsidR="00262FA9" w:rsidRPr="00614125">
        <w:rPr>
          <w:rFonts w:ascii="Arial" w:hAnsi="Arial"/>
          <w:color w:val="000000" w:themeColor="text1"/>
        </w:rPr>
        <w:t>Philippines (</w:t>
      </w:r>
      <w:r w:rsidR="00B121C2" w:rsidRPr="00614125">
        <w:rPr>
          <w:rFonts w:ascii="Arial" w:hAnsi="Arial"/>
          <w:color w:val="000000" w:themeColor="text1"/>
        </w:rPr>
        <w:t>52.2</w:t>
      </w:r>
      <w:r w:rsidRPr="00614125">
        <w:rPr>
          <w:rFonts w:ascii="Arial" w:hAnsi="Arial"/>
          <w:color w:val="000000" w:themeColor="text1"/>
        </w:rPr>
        <w:t xml:space="preserve">%). Nepal achieved the lowest </w:t>
      </w:r>
      <w:r w:rsidR="00262FA9" w:rsidRPr="00614125">
        <w:rPr>
          <w:rFonts w:ascii="Arial" w:hAnsi="Arial"/>
          <w:color w:val="000000" w:themeColor="text1"/>
        </w:rPr>
        <w:t>index value (26</w:t>
      </w:r>
      <w:r w:rsidR="00CB3A6C" w:rsidRPr="00614125">
        <w:rPr>
          <w:rFonts w:ascii="Arial" w:hAnsi="Arial"/>
          <w:color w:val="000000" w:themeColor="text1"/>
        </w:rPr>
        <w:t>.0</w:t>
      </w:r>
      <w:r w:rsidR="00356C16" w:rsidRPr="00614125">
        <w:rPr>
          <w:rFonts w:ascii="Arial" w:hAnsi="Arial"/>
          <w:color w:val="000000" w:themeColor="text1"/>
        </w:rPr>
        <w:t xml:space="preserve">%). </w:t>
      </w:r>
      <w:r w:rsidR="00797CA8" w:rsidRPr="00614125">
        <w:rPr>
          <w:rFonts w:ascii="Arial" w:hAnsi="Arial"/>
          <w:color w:val="000000" w:themeColor="text1"/>
        </w:rPr>
        <w:t>The average UHC index value in Asian countries was 39.</w:t>
      </w:r>
      <w:r w:rsidR="00831CED" w:rsidRPr="00614125">
        <w:rPr>
          <w:rFonts w:ascii="Arial" w:hAnsi="Arial"/>
          <w:color w:val="000000" w:themeColor="text1"/>
        </w:rPr>
        <w:t>9</w:t>
      </w:r>
      <w:r w:rsidR="00797CA8" w:rsidRPr="00614125">
        <w:rPr>
          <w:rFonts w:ascii="Arial" w:hAnsi="Arial"/>
          <w:color w:val="000000" w:themeColor="text1"/>
        </w:rPr>
        <w:t xml:space="preserve">% </w:t>
      </w:r>
      <w:r w:rsidR="006C2B0C" w:rsidRPr="00614125">
        <w:rPr>
          <w:rFonts w:ascii="Arial" w:hAnsi="Arial"/>
          <w:color w:val="000000" w:themeColor="text1"/>
        </w:rPr>
        <w:t xml:space="preserve">with </w:t>
      </w:r>
      <w:r w:rsidR="00797CA8" w:rsidRPr="00614125">
        <w:rPr>
          <w:rFonts w:ascii="Arial" w:hAnsi="Arial"/>
          <w:color w:val="000000" w:themeColor="text1"/>
        </w:rPr>
        <w:t>only Kazakhstan and the Philippines achiev</w:t>
      </w:r>
      <w:r w:rsidR="006C2B0C" w:rsidRPr="00614125">
        <w:rPr>
          <w:rFonts w:ascii="Arial" w:hAnsi="Arial"/>
          <w:color w:val="000000" w:themeColor="text1"/>
        </w:rPr>
        <w:t>ing</w:t>
      </w:r>
      <w:r w:rsidR="00797CA8" w:rsidRPr="00614125">
        <w:rPr>
          <w:rFonts w:ascii="Arial" w:hAnsi="Arial"/>
          <w:color w:val="000000" w:themeColor="text1"/>
        </w:rPr>
        <w:t xml:space="preserve"> a higher value than </w:t>
      </w:r>
      <w:r w:rsidR="006C2B0C" w:rsidRPr="00614125">
        <w:rPr>
          <w:rFonts w:ascii="Arial" w:hAnsi="Arial"/>
          <w:color w:val="000000" w:themeColor="text1"/>
        </w:rPr>
        <w:t xml:space="preserve">this </w:t>
      </w:r>
      <w:r w:rsidR="00797CA8" w:rsidRPr="00614125">
        <w:rPr>
          <w:rFonts w:ascii="Arial" w:hAnsi="Arial"/>
          <w:color w:val="000000" w:themeColor="text1"/>
        </w:rPr>
        <w:t xml:space="preserve">average. </w:t>
      </w:r>
      <w:r w:rsidR="002B04D8" w:rsidRPr="00614125">
        <w:rPr>
          <w:rFonts w:ascii="Arial" w:hAnsi="Arial"/>
          <w:color w:val="000000" w:themeColor="text1"/>
        </w:rPr>
        <w:t xml:space="preserve">In Nepal, </w:t>
      </w:r>
      <w:r w:rsidR="003812EB" w:rsidRPr="00614125">
        <w:rPr>
          <w:rFonts w:ascii="Arial" w:hAnsi="Arial"/>
          <w:color w:val="000000" w:themeColor="text1"/>
        </w:rPr>
        <w:t xml:space="preserve">the </w:t>
      </w:r>
      <w:r w:rsidR="002B04D8" w:rsidRPr="00614125">
        <w:rPr>
          <w:rFonts w:ascii="Arial" w:hAnsi="Arial"/>
          <w:color w:val="000000" w:themeColor="text1"/>
        </w:rPr>
        <w:t>best utilization of health</w:t>
      </w:r>
      <w:r w:rsidR="002C681D" w:rsidRPr="00614125">
        <w:rPr>
          <w:rFonts w:ascii="Arial" w:hAnsi="Arial"/>
          <w:color w:val="000000" w:themeColor="text1"/>
        </w:rPr>
        <w:t xml:space="preserve"> </w:t>
      </w:r>
      <w:r w:rsidR="002B04D8" w:rsidRPr="00614125">
        <w:rPr>
          <w:rFonts w:ascii="Arial" w:hAnsi="Arial"/>
          <w:color w:val="000000" w:themeColor="text1"/>
        </w:rPr>
        <w:t xml:space="preserve">care </w:t>
      </w:r>
      <w:r w:rsidR="008A6F8A" w:rsidRPr="00614125">
        <w:rPr>
          <w:rFonts w:ascii="Arial" w:hAnsi="Arial"/>
          <w:color w:val="000000" w:themeColor="text1"/>
        </w:rPr>
        <w:t xml:space="preserve">was observed for immunization (54.2% and 82.8% in the poorest and richest </w:t>
      </w:r>
      <w:r w:rsidR="007B2B2B" w:rsidRPr="00614125">
        <w:rPr>
          <w:rFonts w:ascii="Arial" w:hAnsi="Arial"/>
          <w:color w:val="000000" w:themeColor="text1"/>
        </w:rPr>
        <w:t xml:space="preserve">quintile) </w:t>
      </w:r>
      <w:r w:rsidR="003812EB" w:rsidRPr="00614125">
        <w:rPr>
          <w:rFonts w:ascii="Arial" w:hAnsi="Arial"/>
          <w:color w:val="000000" w:themeColor="text1"/>
        </w:rPr>
        <w:t xml:space="preserve">while </w:t>
      </w:r>
      <w:r w:rsidR="007B2B2B" w:rsidRPr="00614125">
        <w:rPr>
          <w:rFonts w:ascii="Arial" w:hAnsi="Arial"/>
          <w:color w:val="000000" w:themeColor="text1"/>
        </w:rPr>
        <w:t>a</w:t>
      </w:r>
      <w:r w:rsidR="00BF2863" w:rsidRPr="00614125">
        <w:rPr>
          <w:rFonts w:ascii="Arial" w:hAnsi="Arial"/>
          <w:color w:val="000000" w:themeColor="text1"/>
        </w:rPr>
        <w:t>ll other services were utilized at a low</w:t>
      </w:r>
      <w:r w:rsidR="00831CED" w:rsidRPr="00614125">
        <w:rPr>
          <w:rFonts w:ascii="Arial" w:hAnsi="Arial"/>
          <w:color w:val="000000" w:themeColor="text1"/>
        </w:rPr>
        <w:t>er</w:t>
      </w:r>
      <w:r w:rsidR="00BF2863" w:rsidRPr="00614125">
        <w:rPr>
          <w:rFonts w:ascii="Arial" w:hAnsi="Arial"/>
          <w:color w:val="000000" w:themeColor="text1"/>
        </w:rPr>
        <w:t xml:space="preserve"> rate. For </w:t>
      </w:r>
      <w:r w:rsidR="00BF2863" w:rsidRPr="00614125">
        <w:rPr>
          <w:rFonts w:ascii="Arial" w:hAnsi="Arial"/>
          <w:color w:val="000000" w:themeColor="text1"/>
        </w:rPr>
        <w:lastRenderedPageBreak/>
        <w:t xml:space="preserve">instance, </w:t>
      </w:r>
      <w:r w:rsidR="008208B6" w:rsidRPr="00614125">
        <w:rPr>
          <w:rFonts w:ascii="Arial" w:hAnsi="Arial"/>
          <w:color w:val="000000" w:themeColor="text1"/>
        </w:rPr>
        <w:t xml:space="preserve">Medical treatment of ARI and </w:t>
      </w:r>
      <w:r w:rsidR="00BF2863" w:rsidRPr="00614125">
        <w:rPr>
          <w:rFonts w:ascii="Arial" w:hAnsi="Arial"/>
          <w:color w:val="000000" w:themeColor="text1"/>
        </w:rPr>
        <w:t xml:space="preserve">inpatient care </w:t>
      </w:r>
      <w:r w:rsidR="00CC7F4A" w:rsidRPr="00614125">
        <w:rPr>
          <w:rFonts w:ascii="Arial" w:hAnsi="Arial"/>
          <w:color w:val="000000" w:themeColor="text1"/>
        </w:rPr>
        <w:t>was</w:t>
      </w:r>
      <w:r w:rsidR="00BF2863" w:rsidRPr="00614125">
        <w:rPr>
          <w:rFonts w:ascii="Arial" w:hAnsi="Arial"/>
          <w:color w:val="000000" w:themeColor="text1"/>
        </w:rPr>
        <w:t xml:space="preserve"> utilized by only </w:t>
      </w:r>
      <w:r w:rsidR="008208B6" w:rsidRPr="00614125">
        <w:rPr>
          <w:rFonts w:ascii="Arial" w:hAnsi="Arial"/>
          <w:color w:val="000000" w:themeColor="text1"/>
        </w:rPr>
        <w:t xml:space="preserve">38.0% and </w:t>
      </w:r>
      <w:r w:rsidR="00BF2863" w:rsidRPr="00614125">
        <w:rPr>
          <w:rFonts w:ascii="Arial" w:hAnsi="Arial"/>
          <w:color w:val="000000" w:themeColor="text1"/>
        </w:rPr>
        <w:t xml:space="preserve">7.5% </w:t>
      </w:r>
      <w:r w:rsidR="008208B6" w:rsidRPr="00614125">
        <w:rPr>
          <w:rFonts w:ascii="Arial" w:hAnsi="Arial"/>
          <w:color w:val="000000" w:themeColor="text1"/>
        </w:rPr>
        <w:t xml:space="preserve">respectively </w:t>
      </w:r>
      <w:r w:rsidR="00BF2863" w:rsidRPr="00614125">
        <w:rPr>
          <w:rFonts w:ascii="Arial" w:hAnsi="Arial"/>
          <w:color w:val="000000" w:themeColor="text1"/>
        </w:rPr>
        <w:t xml:space="preserve">of </w:t>
      </w:r>
      <w:r w:rsidR="00DE1D36" w:rsidRPr="00614125">
        <w:rPr>
          <w:rFonts w:ascii="Arial" w:hAnsi="Arial"/>
          <w:color w:val="000000" w:themeColor="text1"/>
        </w:rPr>
        <w:t xml:space="preserve">the </w:t>
      </w:r>
      <w:r w:rsidR="00BF2863" w:rsidRPr="00614125">
        <w:rPr>
          <w:rFonts w:ascii="Arial" w:hAnsi="Arial"/>
          <w:noProof/>
          <w:color w:val="000000" w:themeColor="text1"/>
        </w:rPr>
        <w:t>pop</w:t>
      </w:r>
      <w:r w:rsidR="00616530" w:rsidRPr="00614125">
        <w:rPr>
          <w:rFonts w:ascii="Arial" w:hAnsi="Arial"/>
          <w:noProof/>
          <w:color w:val="000000" w:themeColor="text1"/>
        </w:rPr>
        <w:t>ulation</w:t>
      </w:r>
      <w:r w:rsidR="00616530" w:rsidRPr="00614125">
        <w:rPr>
          <w:rFonts w:ascii="Arial" w:hAnsi="Arial"/>
          <w:color w:val="000000" w:themeColor="text1"/>
        </w:rPr>
        <w:t xml:space="preserve"> in the richest quintile. </w:t>
      </w:r>
      <w:r w:rsidR="002E0E0E" w:rsidRPr="00614125">
        <w:rPr>
          <w:rFonts w:ascii="Arial" w:hAnsi="Arial"/>
          <w:color w:val="000000" w:themeColor="text1"/>
        </w:rPr>
        <w:t xml:space="preserve">  </w:t>
      </w:r>
      <w:r w:rsidR="00DE5EB9" w:rsidRPr="00614125">
        <w:rPr>
          <w:rFonts w:ascii="Arial" w:hAnsi="Arial"/>
          <w:color w:val="000000" w:themeColor="text1"/>
        </w:rPr>
        <w:t xml:space="preserve"> </w:t>
      </w:r>
      <w:r w:rsidR="00BD5F37" w:rsidRPr="00614125">
        <w:rPr>
          <w:rFonts w:ascii="Arial" w:hAnsi="Arial"/>
          <w:color w:val="000000" w:themeColor="text1"/>
        </w:rPr>
        <w:t xml:space="preserve"> </w:t>
      </w:r>
      <w:r w:rsidR="00BF2863" w:rsidRPr="00614125">
        <w:rPr>
          <w:rFonts w:ascii="Arial" w:hAnsi="Arial"/>
          <w:color w:val="000000" w:themeColor="text1"/>
        </w:rPr>
        <w:t xml:space="preserve"> </w:t>
      </w:r>
    </w:p>
    <w:p w14:paraId="790D9E05" w14:textId="77777777" w:rsidR="00082E0B" w:rsidRPr="00614125" w:rsidRDefault="00082E0B" w:rsidP="00337D8B">
      <w:pPr>
        <w:spacing w:before="120" w:after="120" w:line="360" w:lineRule="auto"/>
        <w:jc w:val="both"/>
        <w:rPr>
          <w:rFonts w:ascii="Arial" w:hAnsi="Arial"/>
          <w:color w:val="000000" w:themeColor="text1"/>
        </w:rPr>
      </w:pPr>
    </w:p>
    <w:p w14:paraId="1A742772" w14:textId="4516D282" w:rsidR="00082E0B" w:rsidRPr="00614125" w:rsidRDefault="00EE0ACD" w:rsidP="00337D8B">
      <w:pPr>
        <w:spacing w:before="120" w:after="120" w:line="360" w:lineRule="auto"/>
        <w:jc w:val="center"/>
        <w:rPr>
          <w:rFonts w:ascii="Arial" w:hAnsi="Arial"/>
          <w:color w:val="000000" w:themeColor="text1"/>
        </w:rPr>
      </w:pPr>
      <w:r w:rsidRPr="00614125">
        <w:rPr>
          <w:rFonts w:ascii="Arial" w:hAnsi="Arial"/>
          <w:color w:val="000000" w:themeColor="text1"/>
        </w:rPr>
        <w:t xml:space="preserve">Table </w:t>
      </w:r>
      <w:r w:rsidR="00B973CC" w:rsidRPr="00614125">
        <w:rPr>
          <w:rFonts w:ascii="Arial" w:hAnsi="Arial"/>
          <w:color w:val="000000" w:themeColor="text1"/>
        </w:rPr>
        <w:t>2</w:t>
      </w:r>
      <w:r w:rsidR="00082E0B" w:rsidRPr="00614125">
        <w:rPr>
          <w:rFonts w:ascii="Arial" w:hAnsi="Arial"/>
          <w:color w:val="000000" w:themeColor="text1"/>
        </w:rPr>
        <w:t xml:space="preserve"> to be inserted here</w:t>
      </w:r>
    </w:p>
    <w:p w14:paraId="7519FD2E" w14:textId="77777777" w:rsidR="00082E0B" w:rsidRPr="00614125" w:rsidRDefault="00082E0B" w:rsidP="00337D8B">
      <w:pPr>
        <w:spacing w:before="120" w:after="120" w:line="360" w:lineRule="auto"/>
        <w:jc w:val="center"/>
        <w:rPr>
          <w:rFonts w:ascii="Arial" w:hAnsi="Arial"/>
          <w:color w:val="000000" w:themeColor="text1"/>
        </w:rPr>
      </w:pPr>
    </w:p>
    <w:p w14:paraId="0112B378" w14:textId="2AF12FB7" w:rsidR="00F81287" w:rsidRPr="00614125" w:rsidRDefault="00755F7C" w:rsidP="00337D8B">
      <w:pPr>
        <w:spacing w:before="120" w:after="120" w:line="360" w:lineRule="auto"/>
        <w:jc w:val="both"/>
        <w:rPr>
          <w:rFonts w:ascii="Arial" w:hAnsi="Arial"/>
          <w:color w:val="000000" w:themeColor="text1"/>
        </w:rPr>
      </w:pPr>
      <w:r w:rsidRPr="00614125">
        <w:rPr>
          <w:rFonts w:ascii="Arial" w:hAnsi="Arial"/>
          <w:color w:val="000000" w:themeColor="text1"/>
        </w:rPr>
        <w:t xml:space="preserve">Among </w:t>
      </w:r>
      <w:r w:rsidR="006C2B0C" w:rsidRPr="00614125">
        <w:rPr>
          <w:rFonts w:ascii="Arial" w:hAnsi="Arial"/>
          <w:color w:val="000000" w:themeColor="text1"/>
        </w:rPr>
        <w:t xml:space="preserve">the 15 </w:t>
      </w:r>
      <w:r w:rsidRPr="00614125">
        <w:rPr>
          <w:rFonts w:ascii="Arial" w:hAnsi="Arial"/>
          <w:color w:val="000000" w:themeColor="text1"/>
        </w:rPr>
        <w:t>African countries</w:t>
      </w:r>
      <w:r w:rsidR="006C2B0C" w:rsidRPr="00614125">
        <w:rPr>
          <w:rFonts w:ascii="Arial" w:hAnsi="Arial"/>
          <w:color w:val="000000" w:themeColor="text1"/>
        </w:rPr>
        <w:t xml:space="preserve"> we considered</w:t>
      </w:r>
      <w:r w:rsidRPr="00614125">
        <w:rPr>
          <w:rFonts w:ascii="Arial" w:hAnsi="Arial"/>
          <w:color w:val="000000" w:themeColor="text1"/>
        </w:rPr>
        <w:t xml:space="preserve">, </w:t>
      </w:r>
      <w:r w:rsidR="00BA06AC" w:rsidRPr="00614125">
        <w:rPr>
          <w:rFonts w:ascii="Arial" w:hAnsi="Arial"/>
          <w:color w:val="000000" w:themeColor="text1"/>
        </w:rPr>
        <w:t xml:space="preserve">the highest UHC-index was observed in </w:t>
      </w:r>
      <w:r w:rsidR="008208B6" w:rsidRPr="00614125">
        <w:rPr>
          <w:rFonts w:ascii="Arial" w:hAnsi="Arial"/>
          <w:color w:val="000000" w:themeColor="text1"/>
        </w:rPr>
        <w:t>Namibia</w:t>
      </w:r>
      <w:r w:rsidR="00A6501F" w:rsidRPr="00614125">
        <w:rPr>
          <w:rFonts w:ascii="Arial" w:hAnsi="Arial"/>
          <w:color w:val="000000" w:themeColor="text1"/>
        </w:rPr>
        <w:t xml:space="preserve"> (5</w:t>
      </w:r>
      <w:r w:rsidR="008208B6" w:rsidRPr="00614125">
        <w:rPr>
          <w:rFonts w:ascii="Arial" w:hAnsi="Arial"/>
          <w:color w:val="000000" w:themeColor="text1"/>
        </w:rPr>
        <w:t>5</w:t>
      </w:r>
      <w:r w:rsidR="00A6501F" w:rsidRPr="00614125">
        <w:rPr>
          <w:rFonts w:ascii="Arial" w:hAnsi="Arial"/>
          <w:color w:val="000000" w:themeColor="text1"/>
        </w:rPr>
        <w:t>.3</w:t>
      </w:r>
      <w:r w:rsidR="00BA06AC" w:rsidRPr="00614125">
        <w:rPr>
          <w:rFonts w:ascii="Arial" w:hAnsi="Arial"/>
          <w:color w:val="000000" w:themeColor="text1"/>
        </w:rPr>
        <w:t xml:space="preserve">%), followed by </w:t>
      </w:r>
      <w:r w:rsidR="00A6501F" w:rsidRPr="00614125">
        <w:rPr>
          <w:rFonts w:ascii="Arial" w:hAnsi="Arial"/>
          <w:color w:val="000000" w:themeColor="text1"/>
        </w:rPr>
        <w:t>Zimbabwe (5</w:t>
      </w:r>
      <w:r w:rsidR="008208B6" w:rsidRPr="00614125">
        <w:rPr>
          <w:rFonts w:ascii="Arial" w:hAnsi="Arial"/>
          <w:color w:val="000000" w:themeColor="text1"/>
        </w:rPr>
        <w:t>4</w:t>
      </w:r>
      <w:r w:rsidR="00A6501F" w:rsidRPr="00614125">
        <w:rPr>
          <w:rFonts w:ascii="Arial" w:hAnsi="Arial"/>
          <w:color w:val="000000" w:themeColor="text1"/>
        </w:rPr>
        <w:t>.</w:t>
      </w:r>
      <w:r w:rsidR="008208B6" w:rsidRPr="00614125">
        <w:rPr>
          <w:rFonts w:ascii="Arial" w:hAnsi="Arial"/>
          <w:color w:val="000000" w:themeColor="text1"/>
        </w:rPr>
        <w:t>0</w:t>
      </w:r>
      <w:r w:rsidR="00BA06AC" w:rsidRPr="00614125">
        <w:rPr>
          <w:rFonts w:ascii="Arial" w:hAnsi="Arial"/>
          <w:color w:val="000000" w:themeColor="text1"/>
        </w:rPr>
        <w:t>%).</w:t>
      </w:r>
      <w:r w:rsidR="00A6501F" w:rsidRPr="00614125">
        <w:rPr>
          <w:rFonts w:ascii="Arial" w:hAnsi="Arial"/>
          <w:color w:val="000000" w:themeColor="text1"/>
        </w:rPr>
        <w:t xml:space="preserve"> The average index value </w:t>
      </w:r>
      <w:r w:rsidR="006C2B0C" w:rsidRPr="00614125">
        <w:rPr>
          <w:rFonts w:ascii="Arial" w:hAnsi="Arial"/>
          <w:color w:val="000000" w:themeColor="text1"/>
        </w:rPr>
        <w:t xml:space="preserve">among the </w:t>
      </w:r>
      <w:r w:rsidR="00797CA8" w:rsidRPr="00614125">
        <w:rPr>
          <w:rFonts w:ascii="Arial" w:hAnsi="Arial"/>
          <w:color w:val="000000" w:themeColor="text1"/>
        </w:rPr>
        <w:t>African countries was 3</w:t>
      </w:r>
      <w:r w:rsidR="00357E45" w:rsidRPr="00614125">
        <w:rPr>
          <w:rFonts w:ascii="Arial" w:hAnsi="Arial"/>
          <w:color w:val="000000" w:themeColor="text1"/>
        </w:rPr>
        <w:t>5</w:t>
      </w:r>
      <w:r w:rsidR="00797CA8" w:rsidRPr="00614125">
        <w:rPr>
          <w:rFonts w:ascii="Arial" w:hAnsi="Arial"/>
          <w:color w:val="000000" w:themeColor="text1"/>
        </w:rPr>
        <w:t>.</w:t>
      </w:r>
      <w:r w:rsidR="00357E45" w:rsidRPr="00614125">
        <w:rPr>
          <w:rFonts w:ascii="Arial" w:hAnsi="Arial"/>
          <w:color w:val="000000" w:themeColor="text1"/>
        </w:rPr>
        <w:t>9</w:t>
      </w:r>
      <w:r w:rsidR="00A6501F" w:rsidRPr="00614125">
        <w:rPr>
          <w:rFonts w:ascii="Arial" w:hAnsi="Arial"/>
          <w:color w:val="000000" w:themeColor="text1"/>
        </w:rPr>
        <w:t>%</w:t>
      </w:r>
      <w:r w:rsidR="006C2B0C" w:rsidRPr="00614125">
        <w:rPr>
          <w:rFonts w:ascii="Arial" w:hAnsi="Arial"/>
          <w:color w:val="000000" w:themeColor="text1"/>
        </w:rPr>
        <w:t>,</w:t>
      </w:r>
      <w:r w:rsidR="00A6501F" w:rsidRPr="00614125">
        <w:rPr>
          <w:rFonts w:ascii="Arial" w:hAnsi="Arial"/>
          <w:color w:val="000000" w:themeColor="text1"/>
        </w:rPr>
        <w:t xml:space="preserve"> </w:t>
      </w:r>
      <w:r w:rsidR="005901B0" w:rsidRPr="00614125">
        <w:rPr>
          <w:rFonts w:ascii="Arial" w:hAnsi="Arial"/>
          <w:color w:val="000000" w:themeColor="text1"/>
        </w:rPr>
        <w:t xml:space="preserve">with </w:t>
      </w:r>
      <w:r w:rsidR="00A6501F" w:rsidRPr="00614125">
        <w:rPr>
          <w:rFonts w:ascii="Arial" w:hAnsi="Arial"/>
          <w:color w:val="000000" w:themeColor="text1"/>
        </w:rPr>
        <w:t xml:space="preserve">seven </w:t>
      </w:r>
      <w:r w:rsidR="006759ED" w:rsidRPr="00614125">
        <w:rPr>
          <w:rFonts w:ascii="Arial" w:hAnsi="Arial"/>
          <w:color w:val="000000" w:themeColor="text1"/>
        </w:rPr>
        <w:t xml:space="preserve">countries </w:t>
      </w:r>
      <w:r w:rsidR="00A6501F" w:rsidRPr="00614125">
        <w:rPr>
          <w:rFonts w:ascii="Arial" w:hAnsi="Arial"/>
          <w:color w:val="000000" w:themeColor="text1"/>
        </w:rPr>
        <w:t>achiev</w:t>
      </w:r>
      <w:r w:rsidR="005901B0" w:rsidRPr="00614125">
        <w:rPr>
          <w:rFonts w:ascii="Arial" w:hAnsi="Arial"/>
          <w:color w:val="000000" w:themeColor="text1"/>
        </w:rPr>
        <w:t>ing</w:t>
      </w:r>
      <w:r w:rsidR="00A6501F" w:rsidRPr="00614125">
        <w:rPr>
          <w:rFonts w:ascii="Arial" w:hAnsi="Arial"/>
          <w:color w:val="000000" w:themeColor="text1"/>
        </w:rPr>
        <w:t xml:space="preserve"> higher than </w:t>
      </w:r>
      <w:r w:rsidR="005901B0" w:rsidRPr="00614125">
        <w:rPr>
          <w:rFonts w:ascii="Arial" w:hAnsi="Arial"/>
          <w:color w:val="000000" w:themeColor="text1"/>
        </w:rPr>
        <w:t>this average</w:t>
      </w:r>
      <w:r w:rsidR="00A6501F" w:rsidRPr="00614125">
        <w:rPr>
          <w:rFonts w:ascii="Arial" w:hAnsi="Arial"/>
          <w:color w:val="000000" w:themeColor="text1"/>
        </w:rPr>
        <w:t>.  The lowest index in Africa was observed in Chad (8.9%)</w:t>
      </w:r>
      <w:r w:rsidR="005901B0" w:rsidRPr="00614125">
        <w:rPr>
          <w:rFonts w:ascii="Arial" w:hAnsi="Arial"/>
          <w:color w:val="000000" w:themeColor="text1"/>
        </w:rPr>
        <w:t>;</w:t>
      </w:r>
      <w:r w:rsidR="00A6501F" w:rsidRPr="00614125">
        <w:rPr>
          <w:rFonts w:ascii="Arial" w:hAnsi="Arial"/>
          <w:color w:val="000000" w:themeColor="text1"/>
        </w:rPr>
        <w:t xml:space="preserve"> other countries with low indices were Ethiopia (1</w:t>
      </w:r>
      <w:r w:rsidR="009E1250" w:rsidRPr="00614125">
        <w:rPr>
          <w:rFonts w:ascii="Arial" w:hAnsi="Arial"/>
          <w:color w:val="000000" w:themeColor="text1"/>
        </w:rPr>
        <w:t>3.2</w:t>
      </w:r>
      <w:r w:rsidR="00A6501F" w:rsidRPr="00614125">
        <w:rPr>
          <w:rFonts w:ascii="Arial" w:hAnsi="Arial"/>
          <w:color w:val="000000" w:themeColor="text1"/>
        </w:rPr>
        <w:t>%), Burkina Faso (2</w:t>
      </w:r>
      <w:r w:rsidR="009E1250" w:rsidRPr="00614125">
        <w:rPr>
          <w:rFonts w:ascii="Arial" w:hAnsi="Arial"/>
          <w:color w:val="000000" w:themeColor="text1"/>
        </w:rPr>
        <w:t>7.0</w:t>
      </w:r>
      <w:r w:rsidR="00A6501F" w:rsidRPr="00614125">
        <w:rPr>
          <w:rFonts w:ascii="Arial" w:hAnsi="Arial"/>
          <w:color w:val="000000" w:themeColor="text1"/>
        </w:rPr>
        <w:t>%)</w:t>
      </w:r>
      <w:r w:rsidR="009E1250" w:rsidRPr="00614125">
        <w:rPr>
          <w:rFonts w:ascii="Arial" w:hAnsi="Arial"/>
          <w:color w:val="000000" w:themeColor="text1"/>
        </w:rPr>
        <w:t xml:space="preserve"> and Mali (27.8%)</w:t>
      </w:r>
      <w:r w:rsidR="00A6501F" w:rsidRPr="00614125">
        <w:rPr>
          <w:rFonts w:ascii="Arial" w:hAnsi="Arial"/>
          <w:color w:val="000000" w:themeColor="text1"/>
        </w:rPr>
        <w:t>.</w:t>
      </w:r>
      <w:r w:rsidR="00DE5EB9" w:rsidRPr="00614125">
        <w:rPr>
          <w:rFonts w:ascii="Arial" w:hAnsi="Arial"/>
          <w:color w:val="000000" w:themeColor="text1"/>
        </w:rPr>
        <w:t xml:space="preserve"> </w:t>
      </w:r>
      <w:r w:rsidR="00A6501F" w:rsidRPr="00614125">
        <w:rPr>
          <w:rFonts w:ascii="Arial" w:hAnsi="Arial"/>
          <w:color w:val="000000" w:themeColor="text1"/>
        </w:rPr>
        <w:t xml:space="preserve"> </w:t>
      </w:r>
    </w:p>
    <w:p w14:paraId="2A5D24AD" w14:textId="502B0D17" w:rsidR="00EC5BBC" w:rsidRPr="00614125" w:rsidRDefault="00BA2D64" w:rsidP="00337D8B">
      <w:pPr>
        <w:spacing w:before="120" w:after="120" w:line="360" w:lineRule="auto"/>
        <w:jc w:val="both"/>
        <w:rPr>
          <w:rFonts w:ascii="Arial" w:hAnsi="Arial"/>
          <w:color w:val="000000" w:themeColor="text1"/>
        </w:rPr>
      </w:pPr>
      <w:r w:rsidRPr="00614125">
        <w:rPr>
          <w:rFonts w:ascii="Arial" w:hAnsi="Arial"/>
          <w:color w:val="000000" w:themeColor="text1"/>
        </w:rPr>
        <w:t xml:space="preserve">In India, 20.3% </w:t>
      </w:r>
      <w:r w:rsidR="00B84CC1" w:rsidRPr="00614125">
        <w:rPr>
          <w:rFonts w:ascii="Arial" w:hAnsi="Arial"/>
          <w:color w:val="000000" w:themeColor="text1"/>
        </w:rPr>
        <w:t>of people who utilized health</w:t>
      </w:r>
      <w:r w:rsidR="002C681D" w:rsidRPr="00614125">
        <w:rPr>
          <w:rFonts w:ascii="Arial" w:hAnsi="Arial"/>
          <w:color w:val="000000" w:themeColor="text1"/>
        </w:rPr>
        <w:t xml:space="preserve"> </w:t>
      </w:r>
      <w:r w:rsidR="00B84CC1" w:rsidRPr="00614125">
        <w:rPr>
          <w:rFonts w:ascii="Arial" w:hAnsi="Arial"/>
          <w:color w:val="000000" w:themeColor="text1"/>
        </w:rPr>
        <w:t xml:space="preserve">care faced financial hardship in terms of </w:t>
      </w:r>
      <w:r w:rsidR="00CB5410" w:rsidRPr="00614125">
        <w:rPr>
          <w:rFonts w:ascii="Arial" w:hAnsi="Arial"/>
          <w:color w:val="000000" w:themeColor="text1"/>
        </w:rPr>
        <w:t>CHE</w:t>
      </w:r>
      <w:r w:rsidR="00B84CC1" w:rsidRPr="00614125">
        <w:rPr>
          <w:rFonts w:ascii="Arial" w:hAnsi="Arial"/>
          <w:color w:val="000000" w:themeColor="text1"/>
        </w:rPr>
        <w:t xml:space="preserve">. </w:t>
      </w:r>
      <w:r w:rsidR="0061473A" w:rsidRPr="00614125">
        <w:rPr>
          <w:rFonts w:ascii="Arial" w:hAnsi="Arial"/>
          <w:color w:val="000000" w:themeColor="text1"/>
        </w:rPr>
        <w:t xml:space="preserve">It </w:t>
      </w:r>
      <w:r w:rsidR="009E1250" w:rsidRPr="00614125">
        <w:rPr>
          <w:rFonts w:ascii="Arial" w:hAnsi="Arial"/>
          <w:color w:val="000000" w:themeColor="text1"/>
        </w:rPr>
        <w:t>was</w:t>
      </w:r>
      <w:r w:rsidR="0061473A" w:rsidRPr="00614125">
        <w:rPr>
          <w:rFonts w:ascii="Arial" w:hAnsi="Arial"/>
          <w:color w:val="000000" w:themeColor="text1"/>
        </w:rPr>
        <w:t xml:space="preserve"> further</w:t>
      </w:r>
      <w:r w:rsidR="00B84CC1" w:rsidRPr="00614125">
        <w:rPr>
          <w:rFonts w:ascii="Arial" w:hAnsi="Arial"/>
          <w:color w:val="000000" w:themeColor="text1"/>
        </w:rPr>
        <w:t xml:space="preserve"> noticeable that </w:t>
      </w:r>
      <w:r w:rsidR="009E1250" w:rsidRPr="00614125">
        <w:rPr>
          <w:rFonts w:ascii="Arial" w:hAnsi="Arial"/>
          <w:color w:val="000000" w:themeColor="text1"/>
        </w:rPr>
        <w:t>I</w:t>
      </w:r>
      <w:r w:rsidR="00B84CC1" w:rsidRPr="00614125">
        <w:rPr>
          <w:rFonts w:ascii="Arial" w:hAnsi="Arial"/>
          <w:color w:val="000000" w:themeColor="text1"/>
        </w:rPr>
        <w:t xml:space="preserve">ndia had the highest </w:t>
      </w:r>
      <w:r w:rsidR="00345962" w:rsidRPr="00614125">
        <w:rPr>
          <w:rFonts w:ascii="Arial" w:hAnsi="Arial"/>
          <w:color w:val="000000" w:themeColor="text1"/>
        </w:rPr>
        <w:t xml:space="preserve">rate of </w:t>
      </w:r>
      <w:r w:rsidR="00B84CC1" w:rsidRPr="00614125">
        <w:rPr>
          <w:rFonts w:ascii="Arial" w:hAnsi="Arial"/>
          <w:color w:val="000000" w:themeColor="text1"/>
        </w:rPr>
        <w:t>OOP payment</w:t>
      </w:r>
      <w:r w:rsidR="00345962" w:rsidRPr="00614125">
        <w:rPr>
          <w:rFonts w:ascii="Arial" w:hAnsi="Arial"/>
          <w:color w:val="000000" w:themeColor="text1"/>
        </w:rPr>
        <w:t>s</w:t>
      </w:r>
      <w:r w:rsidR="00B84CC1" w:rsidRPr="00614125">
        <w:rPr>
          <w:rFonts w:ascii="Arial" w:hAnsi="Arial"/>
          <w:color w:val="000000" w:themeColor="text1"/>
        </w:rPr>
        <w:t xml:space="preserve"> (68.5%) among all reported co</w:t>
      </w:r>
      <w:r w:rsidR="004133BB" w:rsidRPr="00614125">
        <w:rPr>
          <w:rFonts w:ascii="Arial" w:hAnsi="Arial"/>
          <w:color w:val="000000" w:themeColor="text1"/>
        </w:rPr>
        <w:t>untries in As</w:t>
      </w:r>
      <w:r w:rsidR="00003FA1" w:rsidRPr="00614125">
        <w:rPr>
          <w:rFonts w:ascii="Arial" w:hAnsi="Arial"/>
          <w:color w:val="000000" w:themeColor="text1"/>
        </w:rPr>
        <w:t xml:space="preserve">ia. </w:t>
      </w:r>
      <w:r w:rsidR="00EC5BBC" w:rsidRPr="00614125">
        <w:rPr>
          <w:rFonts w:ascii="Arial" w:hAnsi="Arial"/>
          <w:color w:val="000000" w:themeColor="text1"/>
        </w:rPr>
        <w:t xml:space="preserve">We found that countries with </w:t>
      </w:r>
      <w:r w:rsidR="00345962" w:rsidRPr="00614125">
        <w:rPr>
          <w:rFonts w:ascii="Arial" w:hAnsi="Arial"/>
          <w:color w:val="000000" w:themeColor="text1"/>
        </w:rPr>
        <w:t>higher</w:t>
      </w:r>
      <w:r w:rsidR="00EC5BBC" w:rsidRPr="00614125">
        <w:rPr>
          <w:rFonts w:ascii="Arial" w:hAnsi="Arial"/>
          <w:color w:val="000000" w:themeColor="text1"/>
        </w:rPr>
        <w:t xml:space="preserve"> GDP per capita appeared to be more successful in achieving UHC. For instance, Kazakhstan and the Philippines</w:t>
      </w:r>
      <w:r w:rsidR="00DC5AA0" w:rsidRPr="00614125">
        <w:rPr>
          <w:rFonts w:ascii="Arial" w:hAnsi="Arial"/>
          <w:color w:val="000000" w:themeColor="text1"/>
        </w:rPr>
        <w:t xml:space="preserve"> </w:t>
      </w:r>
      <w:r w:rsidR="009E1250" w:rsidRPr="00614125">
        <w:rPr>
          <w:rFonts w:ascii="Arial" w:hAnsi="Arial"/>
          <w:color w:val="000000" w:themeColor="text1"/>
        </w:rPr>
        <w:t>we</w:t>
      </w:r>
      <w:r w:rsidR="00DC5AA0" w:rsidRPr="00614125">
        <w:rPr>
          <w:rFonts w:ascii="Arial" w:hAnsi="Arial"/>
          <w:color w:val="000000" w:themeColor="text1"/>
        </w:rPr>
        <w:t xml:space="preserve">re at higher economic levels in Asia with 14,259 and 3,770 USD per capita (PPP adjusted). </w:t>
      </w:r>
      <w:r w:rsidR="005C7EB2" w:rsidRPr="00614125">
        <w:rPr>
          <w:rFonts w:ascii="Arial" w:hAnsi="Arial"/>
          <w:color w:val="000000" w:themeColor="text1"/>
        </w:rPr>
        <w:t xml:space="preserve">African countries showed a similar pattern, meaning that the countries with </w:t>
      </w:r>
      <w:r w:rsidR="00CC7F4A" w:rsidRPr="00614125">
        <w:rPr>
          <w:rFonts w:ascii="Arial" w:hAnsi="Arial"/>
          <w:color w:val="000000" w:themeColor="text1"/>
        </w:rPr>
        <w:t>higher</w:t>
      </w:r>
      <w:r w:rsidR="005C7EB2" w:rsidRPr="00614125">
        <w:rPr>
          <w:rFonts w:ascii="Arial" w:hAnsi="Arial"/>
          <w:color w:val="000000" w:themeColor="text1"/>
        </w:rPr>
        <w:t xml:space="preserve"> economic level like Namibia</w:t>
      </w:r>
      <w:r w:rsidR="00B71D8D" w:rsidRPr="00614125">
        <w:rPr>
          <w:rFonts w:ascii="Arial" w:hAnsi="Arial"/>
          <w:color w:val="000000" w:themeColor="text1"/>
        </w:rPr>
        <w:t xml:space="preserve"> (GDP per capita 6,815 USD PPP) and</w:t>
      </w:r>
      <w:r w:rsidR="005C7EB2" w:rsidRPr="00614125">
        <w:rPr>
          <w:rFonts w:ascii="Arial" w:hAnsi="Arial"/>
          <w:color w:val="000000" w:themeColor="text1"/>
        </w:rPr>
        <w:t xml:space="preserve"> Morocco</w:t>
      </w:r>
      <w:r w:rsidR="00B71D8D" w:rsidRPr="00614125">
        <w:rPr>
          <w:rFonts w:ascii="Arial" w:hAnsi="Arial"/>
          <w:color w:val="000000" w:themeColor="text1"/>
        </w:rPr>
        <w:t xml:space="preserve"> (GDP per capita 5,164 USD PPP) had higher UHC indices of 5</w:t>
      </w:r>
      <w:r w:rsidR="009E1250" w:rsidRPr="00614125">
        <w:rPr>
          <w:rFonts w:ascii="Arial" w:hAnsi="Arial"/>
          <w:color w:val="000000" w:themeColor="text1"/>
        </w:rPr>
        <w:t>5</w:t>
      </w:r>
      <w:r w:rsidR="00B71D8D" w:rsidRPr="00614125">
        <w:rPr>
          <w:rFonts w:ascii="Arial" w:hAnsi="Arial"/>
          <w:color w:val="000000" w:themeColor="text1"/>
        </w:rPr>
        <w:t>.</w:t>
      </w:r>
      <w:r w:rsidR="009E1250" w:rsidRPr="00614125">
        <w:rPr>
          <w:rFonts w:ascii="Arial" w:hAnsi="Arial"/>
          <w:color w:val="000000" w:themeColor="text1"/>
        </w:rPr>
        <w:t>3</w:t>
      </w:r>
      <w:r w:rsidR="00B71D8D" w:rsidRPr="00614125">
        <w:rPr>
          <w:rFonts w:ascii="Arial" w:hAnsi="Arial"/>
          <w:color w:val="000000" w:themeColor="text1"/>
        </w:rPr>
        <w:t>% and 4</w:t>
      </w:r>
      <w:r w:rsidR="009E1250" w:rsidRPr="00614125">
        <w:rPr>
          <w:rFonts w:ascii="Arial" w:hAnsi="Arial"/>
          <w:color w:val="000000" w:themeColor="text1"/>
        </w:rPr>
        <w:t>0</w:t>
      </w:r>
      <w:r w:rsidR="00B71D8D" w:rsidRPr="00614125">
        <w:rPr>
          <w:rFonts w:ascii="Arial" w:hAnsi="Arial"/>
          <w:color w:val="000000" w:themeColor="text1"/>
        </w:rPr>
        <w:t xml:space="preserve">.7% </w:t>
      </w:r>
      <w:r w:rsidR="00CC7F4A" w:rsidRPr="00614125">
        <w:rPr>
          <w:rFonts w:ascii="Arial" w:hAnsi="Arial"/>
          <w:color w:val="000000" w:themeColor="text1"/>
        </w:rPr>
        <w:t>respectively</w:t>
      </w:r>
      <w:r w:rsidR="005C7EB2" w:rsidRPr="00614125">
        <w:rPr>
          <w:rFonts w:ascii="Arial" w:hAnsi="Arial"/>
          <w:color w:val="000000" w:themeColor="text1"/>
        </w:rPr>
        <w:t xml:space="preserve">. </w:t>
      </w:r>
      <w:r w:rsidR="00B71D8D" w:rsidRPr="00614125">
        <w:rPr>
          <w:rFonts w:ascii="Arial" w:hAnsi="Arial"/>
          <w:color w:val="000000" w:themeColor="text1"/>
        </w:rPr>
        <w:t>However, we observed exception</w:t>
      </w:r>
      <w:r w:rsidR="004C0308" w:rsidRPr="00614125">
        <w:rPr>
          <w:rFonts w:ascii="Arial" w:hAnsi="Arial"/>
          <w:color w:val="000000" w:themeColor="text1"/>
        </w:rPr>
        <w:t>s</w:t>
      </w:r>
      <w:r w:rsidR="00B71D8D" w:rsidRPr="00614125">
        <w:rPr>
          <w:rFonts w:ascii="Arial" w:hAnsi="Arial"/>
          <w:color w:val="000000" w:themeColor="text1"/>
        </w:rPr>
        <w:t xml:space="preserve"> in some countries, meaning that Zimbabwe (GDP per capita 1,893 USD PPP) achieved </w:t>
      </w:r>
      <w:r w:rsidR="00B71D8D" w:rsidRPr="00614125">
        <w:rPr>
          <w:rFonts w:ascii="Arial" w:hAnsi="Arial"/>
          <w:noProof/>
          <w:color w:val="000000" w:themeColor="text1"/>
        </w:rPr>
        <w:t>a UHC</w:t>
      </w:r>
      <w:r w:rsidR="00B71D8D" w:rsidRPr="00614125">
        <w:rPr>
          <w:rFonts w:ascii="Arial" w:hAnsi="Arial"/>
          <w:color w:val="000000" w:themeColor="text1"/>
        </w:rPr>
        <w:t xml:space="preserve"> index of 5</w:t>
      </w:r>
      <w:r w:rsidR="009E1250" w:rsidRPr="00614125">
        <w:rPr>
          <w:rFonts w:ascii="Arial" w:hAnsi="Arial"/>
          <w:color w:val="000000" w:themeColor="text1"/>
        </w:rPr>
        <w:t>4</w:t>
      </w:r>
      <w:r w:rsidR="00B71D8D" w:rsidRPr="00614125">
        <w:rPr>
          <w:rFonts w:ascii="Arial" w:hAnsi="Arial"/>
          <w:color w:val="000000" w:themeColor="text1"/>
        </w:rPr>
        <w:t>.</w:t>
      </w:r>
      <w:r w:rsidR="009E1250" w:rsidRPr="00614125">
        <w:rPr>
          <w:rFonts w:ascii="Arial" w:hAnsi="Arial"/>
          <w:color w:val="000000" w:themeColor="text1"/>
        </w:rPr>
        <w:t>0</w:t>
      </w:r>
      <w:r w:rsidR="00B71D8D" w:rsidRPr="00614125">
        <w:rPr>
          <w:rFonts w:ascii="Arial" w:hAnsi="Arial"/>
          <w:color w:val="000000" w:themeColor="text1"/>
        </w:rPr>
        <w:t xml:space="preserve">% i.e. the </w:t>
      </w:r>
      <w:r w:rsidR="009572BF" w:rsidRPr="00614125">
        <w:rPr>
          <w:rFonts w:ascii="Arial" w:hAnsi="Arial"/>
          <w:color w:val="000000" w:themeColor="text1"/>
        </w:rPr>
        <w:t xml:space="preserve">second </w:t>
      </w:r>
      <w:r w:rsidR="00B71D8D" w:rsidRPr="00614125">
        <w:rPr>
          <w:rFonts w:ascii="Arial" w:hAnsi="Arial"/>
          <w:color w:val="000000" w:themeColor="text1"/>
        </w:rPr>
        <w:t xml:space="preserve">largest among the African </w:t>
      </w:r>
      <w:r w:rsidR="00CC7F4A" w:rsidRPr="00614125">
        <w:rPr>
          <w:rFonts w:ascii="Arial" w:hAnsi="Arial"/>
          <w:color w:val="000000" w:themeColor="text1"/>
        </w:rPr>
        <w:t>countries</w:t>
      </w:r>
      <w:r w:rsidR="00B71D8D" w:rsidRPr="00614125">
        <w:rPr>
          <w:rFonts w:ascii="Arial" w:hAnsi="Arial"/>
          <w:color w:val="000000" w:themeColor="text1"/>
        </w:rPr>
        <w:t xml:space="preserve">.  </w:t>
      </w:r>
      <w:r w:rsidR="001F5367" w:rsidRPr="00614125">
        <w:rPr>
          <w:rFonts w:ascii="Arial" w:hAnsi="Arial"/>
          <w:color w:val="000000" w:themeColor="text1"/>
        </w:rPr>
        <w:t xml:space="preserve"> </w:t>
      </w:r>
    </w:p>
    <w:p w14:paraId="64552B6D" w14:textId="6BF89FBD" w:rsidR="00B973CC" w:rsidRPr="00614125" w:rsidRDefault="00EB3549" w:rsidP="00337D8B">
      <w:pPr>
        <w:spacing w:before="120" w:after="120" w:line="360" w:lineRule="auto"/>
        <w:jc w:val="both"/>
        <w:rPr>
          <w:rFonts w:ascii="Arial" w:hAnsi="Arial"/>
          <w:color w:val="000000" w:themeColor="text1"/>
        </w:rPr>
      </w:pPr>
      <w:r w:rsidRPr="00614125">
        <w:rPr>
          <w:rFonts w:ascii="Arial" w:hAnsi="Arial"/>
          <w:color w:val="000000" w:themeColor="text1"/>
        </w:rPr>
        <w:t xml:space="preserve">Decomposition of UHC index generally showed a higher contribution </w:t>
      </w:r>
      <w:r w:rsidR="00345962" w:rsidRPr="00614125">
        <w:rPr>
          <w:rFonts w:ascii="Arial" w:hAnsi="Arial"/>
          <w:color w:val="000000" w:themeColor="text1"/>
        </w:rPr>
        <w:t xml:space="preserve">from </w:t>
      </w:r>
      <w:r w:rsidRPr="00614125">
        <w:rPr>
          <w:rFonts w:ascii="Arial" w:hAnsi="Arial"/>
          <w:color w:val="000000" w:themeColor="text1"/>
        </w:rPr>
        <w:t xml:space="preserve">richer socioeconomic groups than the poorer ones. The richest quintile </w:t>
      </w:r>
      <w:r w:rsidR="00345962" w:rsidRPr="00614125">
        <w:rPr>
          <w:rFonts w:ascii="Arial" w:hAnsi="Arial"/>
          <w:color w:val="000000" w:themeColor="text1"/>
        </w:rPr>
        <w:t xml:space="preserve">(Q5) </w:t>
      </w:r>
      <w:r w:rsidRPr="00614125">
        <w:rPr>
          <w:rFonts w:ascii="Arial" w:hAnsi="Arial"/>
          <w:color w:val="000000" w:themeColor="text1"/>
        </w:rPr>
        <w:t xml:space="preserve">contributed more </w:t>
      </w:r>
      <w:r w:rsidR="00175B90" w:rsidRPr="00614125">
        <w:rPr>
          <w:rFonts w:ascii="Arial" w:hAnsi="Arial"/>
          <w:color w:val="000000" w:themeColor="text1"/>
        </w:rPr>
        <w:t>than</w:t>
      </w:r>
      <w:r w:rsidRPr="00614125">
        <w:rPr>
          <w:rFonts w:ascii="Arial" w:hAnsi="Arial"/>
          <w:color w:val="000000" w:themeColor="text1"/>
        </w:rPr>
        <w:t xml:space="preserve"> 20% </w:t>
      </w:r>
      <w:r w:rsidR="00345962" w:rsidRPr="00614125">
        <w:rPr>
          <w:rFonts w:ascii="Arial" w:hAnsi="Arial"/>
          <w:color w:val="000000" w:themeColor="text1"/>
        </w:rPr>
        <w:t xml:space="preserve">towards </w:t>
      </w:r>
      <w:r w:rsidRPr="00614125">
        <w:rPr>
          <w:rFonts w:ascii="Arial" w:hAnsi="Arial"/>
          <w:color w:val="000000" w:themeColor="text1"/>
        </w:rPr>
        <w:t xml:space="preserve">the index values </w:t>
      </w:r>
      <w:r w:rsidR="00345962" w:rsidRPr="00614125">
        <w:rPr>
          <w:rFonts w:ascii="Arial" w:hAnsi="Arial"/>
          <w:color w:val="000000" w:themeColor="text1"/>
        </w:rPr>
        <w:t xml:space="preserve">across all </w:t>
      </w:r>
      <w:r w:rsidRPr="00614125">
        <w:rPr>
          <w:rFonts w:ascii="Arial" w:hAnsi="Arial"/>
          <w:color w:val="000000" w:themeColor="text1"/>
        </w:rPr>
        <w:t>countr</w:t>
      </w:r>
      <w:r w:rsidR="00345962" w:rsidRPr="00614125">
        <w:rPr>
          <w:rFonts w:ascii="Arial" w:hAnsi="Arial"/>
          <w:color w:val="000000" w:themeColor="text1"/>
        </w:rPr>
        <w:t>ies</w:t>
      </w:r>
      <w:r w:rsidRPr="00614125">
        <w:rPr>
          <w:rFonts w:ascii="Arial" w:hAnsi="Arial"/>
          <w:color w:val="000000" w:themeColor="text1"/>
        </w:rPr>
        <w:t xml:space="preserve"> </w:t>
      </w:r>
      <w:r w:rsidR="003A588C" w:rsidRPr="00614125">
        <w:rPr>
          <w:rFonts w:ascii="Arial" w:hAnsi="Arial"/>
          <w:color w:val="000000" w:themeColor="text1"/>
        </w:rPr>
        <w:t>(T</w:t>
      </w:r>
      <w:r w:rsidR="005A75E5" w:rsidRPr="00614125">
        <w:rPr>
          <w:rFonts w:ascii="Arial" w:hAnsi="Arial"/>
          <w:color w:val="000000" w:themeColor="text1"/>
        </w:rPr>
        <w:t xml:space="preserve">able </w:t>
      </w:r>
      <w:r w:rsidR="00B973CC" w:rsidRPr="00614125">
        <w:rPr>
          <w:rFonts w:ascii="Arial" w:hAnsi="Arial"/>
          <w:color w:val="000000" w:themeColor="text1"/>
        </w:rPr>
        <w:t>3</w:t>
      </w:r>
      <w:r w:rsidR="005A75E5" w:rsidRPr="00614125">
        <w:rPr>
          <w:rFonts w:ascii="Arial" w:hAnsi="Arial"/>
          <w:color w:val="000000" w:themeColor="text1"/>
        </w:rPr>
        <w:t>)</w:t>
      </w:r>
      <w:r w:rsidRPr="00614125">
        <w:rPr>
          <w:rFonts w:ascii="Arial" w:hAnsi="Arial"/>
          <w:color w:val="000000" w:themeColor="text1"/>
        </w:rPr>
        <w:t xml:space="preserve">. </w:t>
      </w:r>
      <w:r w:rsidR="00D96545" w:rsidRPr="00614125">
        <w:rPr>
          <w:rFonts w:ascii="Arial" w:hAnsi="Arial"/>
          <w:color w:val="000000" w:themeColor="text1"/>
        </w:rPr>
        <w:t xml:space="preserve">The highest contributions of the richest </w:t>
      </w:r>
      <w:r w:rsidR="006F5387" w:rsidRPr="00614125">
        <w:rPr>
          <w:rFonts w:ascii="Arial" w:hAnsi="Arial"/>
          <w:color w:val="000000" w:themeColor="text1"/>
        </w:rPr>
        <w:t>quintile</w:t>
      </w:r>
      <w:r w:rsidR="00D96545" w:rsidRPr="00614125">
        <w:rPr>
          <w:rFonts w:ascii="Arial" w:hAnsi="Arial"/>
          <w:color w:val="000000" w:themeColor="text1"/>
        </w:rPr>
        <w:t xml:space="preserve"> to UHC index values were observed in</w:t>
      </w:r>
      <w:r w:rsidR="003912E0" w:rsidRPr="00614125">
        <w:rPr>
          <w:rFonts w:ascii="Arial" w:hAnsi="Arial"/>
          <w:color w:val="000000" w:themeColor="text1"/>
        </w:rPr>
        <w:t xml:space="preserve"> Asia in</w:t>
      </w:r>
      <w:r w:rsidR="00D96545" w:rsidRPr="00614125">
        <w:rPr>
          <w:rFonts w:ascii="Arial" w:hAnsi="Arial"/>
          <w:color w:val="000000" w:themeColor="text1"/>
        </w:rPr>
        <w:t xml:space="preserve"> Nepal (</w:t>
      </w:r>
      <w:r w:rsidR="00F07783" w:rsidRPr="00614125">
        <w:rPr>
          <w:rFonts w:ascii="Arial" w:hAnsi="Arial"/>
          <w:color w:val="000000" w:themeColor="text1"/>
        </w:rPr>
        <w:t>31</w:t>
      </w:r>
      <w:r w:rsidR="00D96545" w:rsidRPr="00614125">
        <w:rPr>
          <w:rFonts w:ascii="Arial" w:hAnsi="Arial"/>
          <w:color w:val="000000" w:themeColor="text1"/>
        </w:rPr>
        <w:t>.</w:t>
      </w:r>
      <w:r w:rsidR="00F07783" w:rsidRPr="00614125">
        <w:rPr>
          <w:rFonts w:ascii="Arial" w:hAnsi="Arial"/>
          <w:color w:val="000000" w:themeColor="text1"/>
        </w:rPr>
        <w:t>9</w:t>
      </w:r>
      <w:r w:rsidR="00D96545" w:rsidRPr="00614125">
        <w:rPr>
          <w:rFonts w:ascii="Arial" w:hAnsi="Arial"/>
          <w:color w:val="000000" w:themeColor="text1"/>
        </w:rPr>
        <w:t xml:space="preserve">%) and in </w:t>
      </w:r>
      <w:r w:rsidR="003912E0" w:rsidRPr="00614125">
        <w:rPr>
          <w:rFonts w:ascii="Arial" w:hAnsi="Arial"/>
          <w:color w:val="000000" w:themeColor="text1"/>
        </w:rPr>
        <w:t xml:space="preserve">Africa in </w:t>
      </w:r>
      <w:r w:rsidR="00D96545" w:rsidRPr="00614125">
        <w:rPr>
          <w:rFonts w:ascii="Arial" w:hAnsi="Arial"/>
          <w:color w:val="000000" w:themeColor="text1"/>
        </w:rPr>
        <w:t>Ethiopia (</w:t>
      </w:r>
      <w:r w:rsidR="00F07783" w:rsidRPr="00614125">
        <w:rPr>
          <w:rFonts w:ascii="Arial" w:hAnsi="Arial"/>
          <w:color w:val="000000" w:themeColor="text1"/>
        </w:rPr>
        <w:t>40</w:t>
      </w:r>
      <w:r w:rsidR="00D96545" w:rsidRPr="00614125">
        <w:rPr>
          <w:rFonts w:ascii="Arial" w:hAnsi="Arial"/>
          <w:color w:val="000000" w:themeColor="text1"/>
        </w:rPr>
        <w:t>.</w:t>
      </w:r>
      <w:r w:rsidR="00F07783" w:rsidRPr="00614125">
        <w:rPr>
          <w:rFonts w:ascii="Arial" w:hAnsi="Arial"/>
          <w:color w:val="000000" w:themeColor="text1"/>
        </w:rPr>
        <w:t>1</w:t>
      </w:r>
      <w:r w:rsidR="00D96545" w:rsidRPr="00614125">
        <w:rPr>
          <w:rFonts w:ascii="Arial" w:hAnsi="Arial"/>
          <w:color w:val="000000" w:themeColor="text1"/>
        </w:rPr>
        <w:t>%)</w:t>
      </w:r>
      <w:r w:rsidR="00F07783" w:rsidRPr="00614125">
        <w:rPr>
          <w:rFonts w:ascii="Arial" w:hAnsi="Arial"/>
          <w:color w:val="000000" w:themeColor="text1"/>
        </w:rPr>
        <w:t xml:space="preserve"> and reached concentration indices of 0.161 and 0.237, showing large inequality across socioeconomic groups. </w:t>
      </w:r>
      <w:r w:rsidR="00D96545" w:rsidRPr="00614125">
        <w:rPr>
          <w:rFonts w:ascii="Arial" w:hAnsi="Arial"/>
          <w:color w:val="000000" w:themeColor="text1"/>
        </w:rPr>
        <w:t xml:space="preserve">Both countries </w:t>
      </w:r>
      <w:r w:rsidR="003912E0" w:rsidRPr="00614125">
        <w:rPr>
          <w:rFonts w:ascii="Arial" w:hAnsi="Arial"/>
          <w:color w:val="000000" w:themeColor="text1"/>
        </w:rPr>
        <w:t>also scored a</w:t>
      </w:r>
      <w:r w:rsidR="00D96545" w:rsidRPr="00614125">
        <w:rPr>
          <w:rFonts w:ascii="Arial" w:hAnsi="Arial"/>
          <w:color w:val="000000" w:themeColor="text1"/>
        </w:rPr>
        <w:t xml:space="preserve"> low UHC index</w:t>
      </w:r>
      <w:r w:rsidR="003912E0" w:rsidRPr="00614125">
        <w:rPr>
          <w:rFonts w:ascii="Arial" w:hAnsi="Arial"/>
          <w:color w:val="000000" w:themeColor="text1"/>
        </w:rPr>
        <w:t>:</w:t>
      </w:r>
      <w:r w:rsidR="003A588C" w:rsidRPr="00614125">
        <w:rPr>
          <w:rFonts w:ascii="Arial" w:hAnsi="Arial"/>
          <w:color w:val="000000" w:themeColor="text1"/>
        </w:rPr>
        <w:t xml:space="preserve"> </w:t>
      </w:r>
      <w:r w:rsidR="00D96545" w:rsidRPr="00614125">
        <w:rPr>
          <w:rFonts w:ascii="Arial" w:hAnsi="Arial"/>
          <w:color w:val="000000" w:themeColor="text1"/>
        </w:rPr>
        <w:t>26</w:t>
      </w:r>
      <w:r w:rsidR="00F07783" w:rsidRPr="00614125">
        <w:rPr>
          <w:rFonts w:ascii="Arial" w:hAnsi="Arial"/>
          <w:color w:val="000000" w:themeColor="text1"/>
        </w:rPr>
        <w:t>.0</w:t>
      </w:r>
      <w:r w:rsidR="00D96545" w:rsidRPr="00614125">
        <w:rPr>
          <w:rFonts w:ascii="Arial" w:hAnsi="Arial"/>
          <w:color w:val="000000" w:themeColor="text1"/>
        </w:rPr>
        <w:t>%</w:t>
      </w:r>
      <w:r w:rsidR="003912E0" w:rsidRPr="00614125">
        <w:rPr>
          <w:rFonts w:ascii="Arial" w:hAnsi="Arial"/>
          <w:color w:val="000000" w:themeColor="text1"/>
        </w:rPr>
        <w:t xml:space="preserve"> in Nepal</w:t>
      </w:r>
      <w:r w:rsidR="00D96545" w:rsidRPr="00614125">
        <w:rPr>
          <w:rFonts w:ascii="Arial" w:hAnsi="Arial"/>
          <w:color w:val="000000" w:themeColor="text1"/>
        </w:rPr>
        <w:t xml:space="preserve"> and 1</w:t>
      </w:r>
      <w:r w:rsidR="00F07783" w:rsidRPr="00614125">
        <w:rPr>
          <w:rFonts w:ascii="Arial" w:hAnsi="Arial"/>
          <w:color w:val="000000" w:themeColor="text1"/>
        </w:rPr>
        <w:t>3.2</w:t>
      </w:r>
      <w:r w:rsidR="00D96545" w:rsidRPr="00614125">
        <w:rPr>
          <w:rFonts w:ascii="Arial" w:hAnsi="Arial"/>
          <w:color w:val="000000" w:themeColor="text1"/>
        </w:rPr>
        <w:t>%</w:t>
      </w:r>
      <w:r w:rsidR="003A588C" w:rsidRPr="00614125">
        <w:rPr>
          <w:rFonts w:ascii="Arial" w:hAnsi="Arial"/>
          <w:color w:val="000000" w:themeColor="text1"/>
        </w:rPr>
        <w:t xml:space="preserve"> in Ethiopia</w:t>
      </w:r>
      <w:r w:rsidR="00D96545" w:rsidRPr="00614125">
        <w:rPr>
          <w:rFonts w:ascii="Arial" w:hAnsi="Arial"/>
          <w:color w:val="000000" w:themeColor="text1"/>
        </w:rPr>
        <w:t xml:space="preserve">. </w:t>
      </w:r>
    </w:p>
    <w:p w14:paraId="734FEC5E" w14:textId="77777777" w:rsidR="00B973CC" w:rsidRPr="00614125" w:rsidRDefault="00B973CC" w:rsidP="00F124C6">
      <w:pPr>
        <w:spacing w:before="120" w:after="120" w:line="360" w:lineRule="auto"/>
        <w:jc w:val="center"/>
        <w:rPr>
          <w:rFonts w:ascii="Arial" w:hAnsi="Arial"/>
          <w:color w:val="000000" w:themeColor="text1"/>
        </w:rPr>
      </w:pPr>
    </w:p>
    <w:p w14:paraId="06CDEAAC" w14:textId="23118CB6" w:rsidR="00B973CC" w:rsidRPr="00614125" w:rsidRDefault="00B973CC" w:rsidP="00F124C6">
      <w:pPr>
        <w:spacing w:before="120" w:after="120" w:line="360" w:lineRule="auto"/>
        <w:jc w:val="center"/>
        <w:rPr>
          <w:rFonts w:ascii="Arial" w:hAnsi="Arial"/>
          <w:color w:val="000000" w:themeColor="text1"/>
        </w:rPr>
      </w:pPr>
      <w:r w:rsidRPr="00614125">
        <w:rPr>
          <w:rFonts w:ascii="Arial" w:hAnsi="Arial"/>
          <w:color w:val="000000" w:themeColor="text1"/>
        </w:rPr>
        <w:lastRenderedPageBreak/>
        <w:t>Table 3 to be inserted here</w:t>
      </w:r>
    </w:p>
    <w:p w14:paraId="24B08601" w14:textId="77777777" w:rsidR="00B973CC" w:rsidRPr="00614125" w:rsidRDefault="00B973CC" w:rsidP="00337D8B">
      <w:pPr>
        <w:spacing w:before="120" w:after="120" w:line="360" w:lineRule="auto"/>
        <w:jc w:val="both"/>
        <w:rPr>
          <w:rFonts w:ascii="Arial" w:hAnsi="Arial"/>
          <w:color w:val="000000" w:themeColor="text1"/>
        </w:rPr>
      </w:pPr>
    </w:p>
    <w:p w14:paraId="2935BBC8" w14:textId="6524BDFC" w:rsidR="003557CA" w:rsidRPr="00614125" w:rsidRDefault="00D96545" w:rsidP="00337D8B">
      <w:pPr>
        <w:spacing w:before="120" w:after="120" w:line="360" w:lineRule="auto"/>
        <w:jc w:val="both"/>
        <w:rPr>
          <w:rFonts w:ascii="Arial" w:hAnsi="Arial"/>
          <w:color w:val="000000" w:themeColor="text1"/>
        </w:rPr>
      </w:pPr>
      <w:r w:rsidRPr="00614125">
        <w:rPr>
          <w:rFonts w:ascii="Arial" w:hAnsi="Arial"/>
          <w:color w:val="000000" w:themeColor="text1"/>
        </w:rPr>
        <w:t xml:space="preserve">The experience of countries with high UHC values </w:t>
      </w:r>
      <w:r w:rsidR="00DE1D36" w:rsidRPr="00614125">
        <w:rPr>
          <w:rFonts w:ascii="Arial" w:hAnsi="Arial"/>
          <w:noProof/>
          <w:color w:val="000000" w:themeColor="text1"/>
        </w:rPr>
        <w:t>was</w:t>
      </w:r>
      <w:r w:rsidRPr="00614125">
        <w:rPr>
          <w:rFonts w:ascii="Arial" w:hAnsi="Arial"/>
          <w:color w:val="000000" w:themeColor="text1"/>
        </w:rPr>
        <w:t xml:space="preserve"> </w:t>
      </w:r>
      <w:r w:rsidR="00DE1D36" w:rsidRPr="00614125">
        <w:rPr>
          <w:rFonts w:ascii="Arial" w:hAnsi="Arial"/>
          <w:color w:val="000000" w:themeColor="text1"/>
        </w:rPr>
        <w:t xml:space="preserve">the </w:t>
      </w:r>
      <w:r w:rsidRPr="00614125">
        <w:rPr>
          <w:rFonts w:ascii="Arial" w:hAnsi="Arial"/>
          <w:noProof/>
          <w:color w:val="000000" w:themeColor="text1"/>
        </w:rPr>
        <w:t>opposite</w:t>
      </w:r>
      <w:r w:rsidRPr="00614125">
        <w:rPr>
          <w:rFonts w:ascii="Arial" w:hAnsi="Arial"/>
          <w:color w:val="000000" w:themeColor="text1"/>
        </w:rPr>
        <w:t>. Kazakhstan (UHC index 5</w:t>
      </w:r>
      <w:r w:rsidR="00F07783" w:rsidRPr="00614125">
        <w:rPr>
          <w:rFonts w:ascii="Arial" w:hAnsi="Arial"/>
          <w:color w:val="000000" w:themeColor="text1"/>
        </w:rPr>
        <w:t>8</w:t>
      </w:r>
      <w:r w:rsidRPr="00614125">
        <w:rPr>
          <w:rFonts w:ascii="Arial" w:hAnsi="Arial"/>
          <w:color w:val="000000" w:themeColor="text1"/>
        </w:rPr>
        <w:t>.</w:t>
      </w:r>
      <w:r w:rsidR="00F07783" w:rsidRPr="00614125">
        <w:rPr>
          <w:rFonts w:ascii="Arial" w:hAnsi="Arial"/>
          <w:color w:val="000000" w:themeColor="text1"/>
        </w:rPr>
        <w:t>7</w:t>
      </w:r>
      <w:r w:rsidRPr="00614125">
        <w:rPr>
          <w:rFonts w:ascii="Arial" w:hAnsi="Arial"/>
          <w:color w:val="000000" w:themeColor="text1"/>
        </w:rPr>
        <w:t xml:space="preserve">%) and </w:t>
      </w:r>
      <w:r w:rsidR="00F07783" w:rsidRPr="00614125">
        <w:rPr>
          <w:rFonts w:ascii="Arial" w:hAnsi="Arial"/>
          <w:color w:val="000000" w:themeColor="text1"/>
        </w:rPr>
        <w:t>Namibia</w:t>
      </w:r>
      <w:r w:rsidR="00500455" w:rsidRPr="00614125">
        <w:rPr>
          <w:rFonts w:ascii="Arial" w:hAnsi="Arial"/>
          <w:color w:val="000000" w:themeColor="text1"/>
        </w:rPr>
        <w:t xml:space="preserve"> (UHC index </w:t>
      </w:r>
      <w:r w:rsidR="00F07783" w:rsidRPr="00614125">
        <w:rPr>
          <w:rFonts w:ascii="Arial" w:hAnsi="Arial"/>
          <w:color w:val="000000" w:themeColor="text1"/>
        </w:rPr>
        <w:t>55.3</w:t>
      </w:r>
      <w:r w:rsidR="00500455" w:rsidRPr="00614125">
        <w:rPr>
          <w:rFonts w:ascii="Arial" w:hAnsi="Arial"/>
          <w:color w:val="000000" w:themeColor="text1"/>
        </w:rPr>
        <w:t xml:space="preserve">%) with largest </w:t>
      </w:r>
      <w:r w:rsidR="004C0308" w:rsidRPr="00614125">
        <w:rPr>
          <w:rFonts w:ascii="Arial" w:hAnsi="Arial"/>
          <w:color w:val="000000" w:themeColor="text1"/>
        </w:rPr>
        <w:t xml:space="preserve">of </w:t>
      </w:r>
      <w:r w:rsidR="003912E0" w:rsidRPr="00614125">
        <w:rPr>
          <w:rFonts w:ascii="Arial" w:hAnsi="Arial"/>
          <w:color w:val="000000" w:themeColor="text1"/>
        </w:rPr>
        <w:t xml:space="preserve">the </w:t>
      </w:r>
      <w:r w:rsidR="00500455" w:rsidRPr="00614125">
        <w:rPr>
          <w:rFonts w:ascii="Arial" w:hAnsi="Arial"/>
          <w:color w:val="000000" w:themeColor="text1"/>
        </w:rPr>
        <w:t xml:space="preserve">UHC indices in Asia and Africa respectively had </w:t>
      </w:r>
      <w:r w:rsidR="003912E0" w:rsidRPr="00614125">
        <w:rPr>
          <w:rFonts w:ascii="Arial" w:hAnsi="Arial"/>
          <w:color w:val="000000" w:themeColor="text1"/>
        </w:rPr>
        <w:t xml:space="preserve">a </w:t>
      </w:r>
      <w:r w:rsidR="00500455" w:rsidRPr="00614125">
        <w:rPr>
          <w:rFonts w:ascii="Arial" w:hAnsi="Arial"/>
          <w:color w:val="000000" w:themeColor="text1"/>
        </w:rPr>
        <w:t xml:space="preserve">much </w:t>
      </w:r>
      <w:r w:rsidR="003912E0" w:rsidRPr="00614125">
        <w:rPr>
          <w:rFonts w:ascii="Arial" w:hAnsi="Arial"/>
          <w:color w:val="000000" w:themeColor="text1"/>
        </w:rPr>
        <w:t xml:space="preserve">more </w:t>
      </w:r>
      <w:r w:rsidR="00500455" w:rsidRPr="00614125">
        <w:rPr>
          <w:rFonts w:ascii="Arial" w:hAnsi="Arial"/>
          <w:color w:val="000000" w:themeColor="text1"/>
        </w:rPr>
        <w:t xml:space="preserve">equitable distribution of contribution to </w:t>
      </w:r>
      <w:r w:rsidR="003912E0" w:rsidRPr="00614125">
        <w:rPr>
          <w:rFonts w:ascii="Arial" w:hAnsi="Arial"/>
          <w:color w:val="000000" w:themeColor="text1"/>
        </w:rPr>
        <w:t xml:space="preserve">their </w:t>
      </w:r>
      <w:r w:rsidR="00500455" w:rsidRPr="00614125">
        <w:rPr>
          <w:rFonts w:ascii="Arial" w:hAnsi="Arial"/>
          <w:color w:val="000000" w:themeColor="text1"/>
        </w:rPr>
        <w:t xml:space="preserve">UHC index across socioeconomic groups. The richest </w:t>
      </w:r>
      <w:r w:rsidR="00DE26CD" w:rsidRPr="00614125">
        <w:rPr>
          <w:rFonts w:ascii="Arial" w:hAnsi="Arial"/>
          <w:color w:val="000000" w:themeColor="text1"/>
        </w:rPr>
        <w:t>group in</w:t>
      </w:r>
      <w:r w:rsidR="00500455" w:rsidRPr="00614125">
        <w:rPr>
          <w:rFonts w:ascii="Arial" w:hAnsi="Arial"/>
          <w:color w:val="000000" w:themeColor="text1"/>
        </w:rPr>
        <w:t xml:space="preserve"> Kazakhstan </w:t>
      </w:r>
      <w:r w:rsidR="00DE26CD" w:rsidRPr="00614125">
        <w:rPr>
          <w:rFonts w:ascii="Arial" w:hAnsi="Arial"/>
          <w:color w:val="000000" w:themeColor="text1"/>
        </w:rPr>
        <w:t>contributed with 20.</w:t>
      </w:r>
      <w:r w:rsidR="00F07783" w:rsidRPr="00614125">
        <w:rPr>
          <w:rFonts w:ascii="Arial" w:hAnsi="Arial"/>
          <w:color w:val="000000" w:themeColor="text1"/>
        </w:rPr>
        <w:t>6</w:t>
      </w:r>
      <w:r w:rsidR="00DE26CD" w:rsidRPr="00614125">
        <w:rPr>
          <w:rFonts w:ascii="Arial" w:hAnsi="Arial"/>
          <w:color w:val="000000" w:themeColor="text1"/>
        </w:rPr>
        <w:t>% and the poorest with 18.</w:t>
      </w:r>
      <w:r w:rsidR="00F07783" w:rsidRPr="00614125">
        <w:rPr>
          <w:rFonts w:ascii="Arial" w:hAnsi="Arial"/>
          <w:color w:val="000000" w:themeColor="text1"/>
        </w:rPr>
        <w:t>5</w:t>
      </w:r>
      <w:r w:rsidR="00DE26CD" w:rsidRPr="00614125">
        <w:rPr>
          <w:rFonts w:ascii="Arial" w:hAnsi="Arial"/>
          <w:color w:val="000000" w:themeColor="text1"/>
        </w:rPr>
        <w:t xml:space="preserve">% to UHC index, </w:t>
      </w:r>
      <w:r w:rsidR="003912E0" w:rsidRPr="00614125">
        <w:rPr>
          <w:rFonts w:ascii="Arial" w:hAnsi="Arial"/>
          <w:color w:val="000000" w:themeColor="text1"/>
        </w:rPr>
        <w:t>giving a</w:t>
      </w:r>
      <w:r w:rsidR="00DE26CD" w:rsidRPr="00614125">
        <w:rPr>
          <w:rFonts w:ascii="Arial" w:hAnsi="Arial"/>
          <w:color w:val="000000" w:themeColor="text1"/>
        </w:rPr>
        <w:t xml:space="preserve"> concentration index of 0.0</w:t>
      </w:r>
      <w:r w:rsidR="00F07783" w:rsidRPr="00614125">
        <w:rPr>
          <w:rFonts w:ascii="Arial" w:hAnsi="Arial"/>
          <w:color w:val="000000" w:themeColor="text1"/>
        </w:rPr>
        <w:t>21</w:t>
      </w:r>
      <w:r w:rsidR="003A588C" w:rsidRPr="00614125">
        <w:rPr>
          <w:rFonts w:ascii="Arial" w:hAnsi="Arial"/>
          <w:color w:val="000000" w:themeColor="text1"/>
        </w:rPr>
        <w:t>, which showed much more equality in healthcare utilization across socioeconomic groups</w:t>
      </w:r>
      <w:r w:rsidR="00F8120A" w:rsidRPr="00614125">
        <w:rPr>
          <w:rFonts w:ascii="Arial" w:hAnsi="Arial"/>
          <w:color w:val="000000" w:themeColor="text1"/>
        </w:rPr>
        <w:t xml:space="preserve">. </w:t>
      </w:r>
      <w:r w:rsidR="006C3F7A" w:rsidRPr="00614125">
        <w:rPr>
          <w:rFonts w:ascii="Arial" w:hAnsi="Arial"/>
          <w:color w:val="000000" w:themeColor="text1"/>
        </w:rPr>
        <w:t xml:space="preserve">Similar experience was observed in </w:t>
      </w:r>
      <w:r w:rsidR="00F07783" w:rsidRPr="00614125">
        <w:rPr>
          <w:rFonts w:ascii="Arial" w:hAnsi="Arial"/>
          <w:color w:val="000000" w:themeColor="text1"/>
        </w:rPr>
        <w:t xml:space="preserve">Namibia (concentration index = 0.066) and </w:t>
      </w:r>
      <w:r w:rsidR="006C3F7A" w:rsidRPr="00614125">
        <w:rPr>
          <w:rFonts w:ascii="Arial" w:hAnsi="Arial"/>
          <w:color w:val="000000" w:themeColor="text1"/>
        </w:rPr>
        <w:t xml:space="preserve">Zambia </w:t>
      </w:r>
      <w:r w:rsidR="00F07783" w:rsidRPr="00614125">
        <w:rPr>
          <w:rFonts w:ascii="Arial" w:hAnsi="Arial"/>
          <w:color w:val="000000" w:themeColor="text1"/>
        </w:rPr>
        <w:t>(concentration index = 0.089)</w:t>
      </w:r>
      <w:r w:rsidR="006C3F7A" w:rsidRPr="00614125">
        <w:rPr>
          <w:rFonts w:ascii="Arial" w:hAnsi="Arial"/>
          <w:color w:val="000000" w:themeColor="text1"/>
        </w:rPr>
        <w:t xml:space="preserve">. </w:t>
      </w:r>
      <w:r w:rsidR="00391618" w:rsidRPr="00614125">
        <w:rPr>
          <w:rFonts w:ascii="Arial" w:hAnsi="Arial"/>
          <w:color w:val="000000" w:themeColor="text1"/>
        </w:rPr>
        <w:t>Nevertheless</w:t>
      </w:r>
      <w:r w:rsidR="003557CA" w:rsidRPr="00614125">
        <w:rPr>
          <w:rFonts w:ascii="Arial" w:hAnsi="Arial"/>
          <w:color w:val="000000" w:themeColor="text1"/>
        </w:rPr>
        <w:t xml:space="preserve">, some countries with </w:t>
      </w:r>
      <w:r w:rsidR="003912E0" w:rsidRPr="00614125">
        <w:rPr>
          <w:rFonts w:ascii="Arial" w:hAnsi="Arial"/>
          <w:color w:val="000000" w:themeColor="text1"/>
        </w:rPr>
        <w:t xml:space="preserve">a </w:t>
      </w:r>
      <w:r w:rsidR="003557CA" w:rsidRPr="00614125">
        <w:rPr>
          <w:rFonts w:ascii="Arial" w:hAnsi="Arial"/>
          <w:color w:val="000000" w:themeColor="text1"/>
        </w:rPr>
        <w:t xml:space="preserve">high UHC index </w:t>
      </w:r>
      <w:r w:rsidR="00391618" w:rsidRPr="00614125">
        <w:rPr>
          <w:rFonts w:ascii="Arial" w:hAnsi="Arial"/>
          <w:color w:val="000000" w:themeColor="text1"/>
        </w:rPr>
        <w:t xml:space="preserve">did also </w:t>
      </w:r>
      <w:r w:rsidR="003557CA" w:rsidRPr="00614125">
        <w:rPr>
          <w:rFonts w:ascii="Arial" w:hAnsi="Arial"/>
          <w:color w:val="000000" w:themeColor="text1"/>
        </w:rPr>
        <w:t xml:space="preserve">show </w:t>
      </w:r>
      <w:r w:rsidR="005A75E5" w:rsidRPr="00614125">
        <w:rPr>
          <w:rFonts w:ascii="Arial" w:hAnsi="Arial"/>
          <w:color w:val="000000" w:themeColor="text1"/>
        </w:rPr>
        <w:t>high</w:t>
      </w:r>
      <w:r w:rsidR="003557CA" w:rsidRPr="00614125">
        <w:rPr>
          <w:rFonts w:ascii="Arial" w:hAnsi="Arial"/>
          <w:color w:val="000000" w:themeColor="text1"/>
        </w:rPr>
        <w:t xml:space="preserve"> </w:t>
      </w:r>
      <w:r w:rsidR="005A75E5" w:rsidRPr="00614125">
        <w:rPr>
          <w:rFonts w:ascii="Arial" w:hAnsi="Arial"/>
          <w:color w:val="000000" w:themeColor="text1"/>
        </w:rPr>
        <w:t>inequality</w:t>
      </w:r>
      <w:r w:rsidR="003557CA" w:rsidRPr="00614125">
        <w:rPr>
          <w:rFonts w:ascii="Arial" w:hAnsi="Arial"/>
          <w:color w:val="000000" w:themeColor="text1"/>
        </w:rPr>
        <w:t xml:space="preserve">. For instance, the </w:t>
      </w:r>
      <w:r w:rsidR="006F5387" w:rsidRPr="00614125">
        <w:rPr>
          <w:rFonts w:ascii="Arial" w:hAnsi="Arial"/>
          <w:color w:val="000000" w:themeColor="text1"/>
        </w:rPr>
        <w:t>Philippines</w:t>
      </w:r>
      <w:r w:rsidR="003557CA" w:rsidRPr="00614125">
        <w:rPr>
          <w:rFonts w:ascii="Arial" w:hAnsi="Arial"/>
          <w:color w:val="000000" w:themeColor="text1"/>
        </w:rPr>
        <w:t xml:space="preserve"> </w:t>
      </w:r>
      <w:r w:rsidR="0035048D" w:rsidRPr="00614125">
        <w:rPr>
          <w:rFonts w:ascii="Arial" w:hAnsi="Arial"/>
          <w:color w:val="000000" w:themeColor="text1"/>
        </w:rPr>
        <w:t xml:space="preserve">and Ghana </w:t>
      </w:r>
      <w:r w:rsidR="00305DB5" w:rsidRPr="00614125">
        <w:rPr>
          <w:rFonts w:ascii="Arial" w:hAnsi="Arial"/>
          <w:color w:val="000000" w:themeColor="text1"/>
        </w:rPr>
        <w:t xml:space="preserve">had </w:t>
      </w:r>
      <w:r w:rsidR="003557CA" w:rsidRPr="00614125">
        <w:rPr>
          <w:rFonts w:ascii="Arial" w:hAnsi="Arial"/>
          <w:color w:val="000000" w:themeColor="text1"/>
        </w:rPr>
        <w:t xml:space="preserve">UHC </w:t>
      </w:r>
      <w:r w:rsidR="00CC7F4A" w:rsidRPr="00614125">
        <w:rPr>
          <w:rFonts w:ascii="Arial" w:hAnsi="Arial"/>
          <w:color w:val="000000" w:themeColor="text1"/>
        </w:rPr>
        <w:t>indices</w:t>
      </w:r>
      <w:r w:rsidR="003557CA" w:rsidRPr="00614125">
        <w:rPr>
          <w:rFonts w:ascii="Arial" w:hAnsi="Arial"/>
          <w:color w:val="000000" w:themeColor="text1"/>
        </w:rPr>
        <w:t xml:space="preserve"> of </w:t>
      </w:r>
      <w:r w:rsidR="00341B31" w:rsidRPr="00614125">
        <w:rPr>
          <w:rFonts w:ascii="Arial" w:hAnsi="Arial"/>
          <w:color w:val="000000" w:themeColor="text1"/>
        </w:rPr>
        <w:t>52.2</w:t>
      </w:r>
      <w:r w:rsidR="009572BF" w:rsidRPr="00614125">
        <w:rPr>
          <w:rFonts w:ascii="Arial" w:hAnsi="Arial"/>
          <w:color w:val="000000" w:themeColor="text1"/>
        </w:rPr>
        <w:t>%</w:t>
      </w:r>
      <w:r w:rsidR="0035048D" w:rsidRPr="00614125">
        <w:rPr>
          <w:rFonts w:ascii="Arial" w:hAnsi="Arial"/>
          <w:color w:val="000000" w:themeColor="text1"/>
        </w:rPr>
        <w:t xml:space="preserve"> and 4</w:t>
      </w:r>
      <w:r w:rsidR="00341B31" w:rsidRPr="00614125">
        <w:rPr>
          <w:rFonts w:ascii="Arial" w:hAnsi="Arial"/>
          <w:color w:val="000000" w:themeColor="text1"/>
        </w:rPr>
        <w:t>6</w:t>
      </w:r>
      <w:r w:rsidR="0035048D" w:rsidRPr="00614125">
        <w:rPr>
          <w:rFonts w:ascii="Arial" w:hAnsi="Arial"/>
          <w:color w:val="000000" w:themeColor="text1"/>
        </w:rPr>
        <w:t>.</w:t>
      </w:r>
      <w:r w:rsidR="00341B31" w:rsidRPr="00614125">
        <w:rPr>
          <w:rFonts w:ascii="Arial" w:hAnsi="Arial"/>
          <w:color w:val="000000" w:themeColor="text1"/>
        </w:rPr>
        <w:t>9</w:t>
      </w:r>
      <w:r w:rsidR="009572BF" w:rsidRPr="00614125">
        <w:rPr>
          <w:rFonts w:ascii="Arial" w:hAnsi="Arial"/>
          <w:color w:val="000000" w:themeColor="text1"/>
        </w:rPr>
        <w:t>%</w:t>
      </w:r>
      <w:r w:rsidR="0035048D" w:rsidRPr="00614125">
        <w:rPr>
          <w:rFonts w:ascii="Arial" w:hAnsi="Arial"/>
          <w:color w:val="000000" w:themeColor="text1"/>
        </w:rPr>
        <w:t>,</w:t>
      </w:r>
      <w:r w:rsidR="003557CA" w:rsidRPr="00614125">
        <w:rPr>
          <w:rFonts w:ascii="Arial" w:hAnsi="Arial"/>
          <w:color w:val="000000" w:themeColor="text1"/>
        </w:rPr>
        <w:t xml:space="preserve"> but </w:t>
      </w:r>
      <w:r w:rsidR="00391618" w:rsidRPr="00614125">
        <w:rPr>
          <w:rFonts w:ascii="Arial" w:hAnsi="Arial"/>
          <w:color w:val="000000" w:themeColor="text1"/>
        </w:rPr>
        <w:t xml:space="preserve">also </w:t>
      </w:r>
      <w:r w:rsidR="0035048D" w:rsidRPr="00614125">
        <w:rPr>
          <w:rFonts w:ascii="Arial" w:hAnsi="Arial"/>
          <w:color w:val="000000" w:themeColor="text1"/>
        </w:rPr>
        <w:t>experienced high concentration indices</w:t>
      </w:r>
      <w:r w:rsidR="003557CA" w:rsidRPr="00614125">
        <w:rPr>
          <w:rFonts w:ascii="Arial" w:hAnsi="Arial"/>
          <w:color w:val="000000" w:themeColor="text1"/>
        </w:rPr>
        <w:t xml:space="preserve"> of 0.10</w:t>
      </w:r>
      <w:r w:rsidR="00341B31" w:rsidRPr="00614125">
        <w:rPr>
          <w:rFonts w:ascii="Arial" w:hAnsi="Arial"/>
          <w:color w:val="000000" w:themeColor="text1"/>
        </w:rPr>
        <w:t>6</w:t>
      </w:r>
      <w:r w:rsidR="003557CA" w:rsidRPr="00614125">
        <w:rPr>
          <w:rFonts w:ascii="Arial" w:hAnsi="Arial"/>
          <w:color w:val="000000" w:themeColor="text1"/>
        </w:rPr>
        <w:t xml:space="preserve"> and </w:t>
      </w:r>
      <w:r w:rsidR="0035048D" w:rsidRPr="00614125">
        <w:rPr>
          <w:rFonts w:ascii="Arial" w:hAnsi="Arial"/>
          <w:color w:val="000000" w:themeColor="text1"/>
        </w:rPr>
        <w:t>0.1</w:t>
      </w:r>
      <w:r w:rsidR="00341B31" w:rsidRPr="00614125">
        <w:rPr>
          <w:rFonts w:ascii="Arial" w:hAnsi="Arial"/>
          <w:color w:val="000000" w:themeColor="text1"/>
        </w:rPr>
        <w:t>25</w:t>
      </w:r>
      <w:r w:rsidR="0035048D" w:rsidRPr="00614125">
        <w:rPr>
          <w:rFonts w:ascii="Arial" w:hAnsi="Arial"/>
          <w:color w:val="000000" w:themeColor="text1"/>
        </w:rPr>
        <w:t xml:space="preserve"> respectively. </w:t>
      </w:r>
      <w:r w:rsidR="00391618" w:rsidRPr="00614125">
        <w:rPr>
          <w:rFonts w:ascii="Arial" w:hAnsi="Arial"/>
          <w:color w:val="000000" w:themeColor="text1"/>
        </w:rPr>
        <w:t>Overall</w:t>
      </w:r>
      <w:r w:rsidR="00DE1D36" w:rsidRPr="00614125">
        <w:rPr>
          <w:rFonts w:ascii="Arial" w:hAnsi="Arial"/>
          <w:color w:val="000000" w:themeColor="text1"/>
        </w:rPr>
        <w:t>,</w:t>
      </w:r>
      <w:r w:rsidR="00391618" w:rsidRPr="00614125">
        <w:rPr>
          <w:rFonts w:ascii="Arial" w:hAnsi="Arial"/>
          <w:color w:val="000000" w:themeColor="text1"/>
        </w:rPr>
        <w:t xml:space="preserve"> </w:t>
      </w:r>
      <w:r w:rsidR="00391618" w:rsidRPr="00614125">
        <w:rPr>
          <w:rFonts w:ascii="Arial" w:hAnsi="Arial"/>
          <w:noProof/>
          <w:color w:val="000000" w:themeColor="text1"/>
        </w:rPr>
        <w:t>h</w:t>
      </w:r>
      <w:r w:rsidR="00F8120A" w:rsidRPr="00614125">
        <w:rPr>
          <w:rFonts w:ascii="Arial" w:hAnsi="Arial"/>
          <w:noProof/>
          <w:color w:val="000000" w:themeColor="text1"/>
        </w:rPr>
        <w:t>owever</w:t>
      </w:r>
      <w:r w:rsidR="00F8120A" w:rsidRPr="00614125">
        <w:rPr>
          <w:rFonts w:ascii="Arial" w:hAnsi="Arial"/>
          <w:color w:val="000000" w:themeColor="text1"/>
        </w:rPr>
        <w:t xml:space="preserve">, there is a strong and significant correlation </w:t>
      </w:r>
      <w:r w:rsidR="005A75E5" w:rsidRPr="00614125">
        <w:rPr>
          <w:rFonts w:ascii="Arial" w:hAnsi="Arial"/>
          <w:color w:val="000000" w:themeColor="text1"/>
        </w:rPr>
        <w:t>(</w:t>
      </w:r>
      <w:r w:rsidR="00243A09" w:rsidRPr="00614125">
        <w:rPr>
          <w:rFonts w:ascii="Arial" w:hAnsi="Arial"/>
          <w:color w:val="000000" w:themeColor="text1"/>
        </w:rPr>
        <w:t>-0.7519</w:t>
      </w:r>
      <w:r w:rsidR="005A75E5" w:rsidRPr="00614125">
        <w:rPr>
          <w:rFonts w:ascii="Arial" w:hAnsi="Arial"/>
          <w:color w:val="000000" w:themeColor="text1"/>
        </w:rPr>
        <w:t>, p = 0.000</w:t>
      </w:r>
      <w:r w:rsidR="00882D9C" w:rsidRPr="00614125">
        <w:rPr>
          <w:rFonts w:ascii="Arial" w:hAnsi="Arial"/>
          <w:color w:val="000000" w:themeColor="text1"/>
        </w:rPr>
        <w:t>1</w:t>
      </w:r>
      <w:r w:rsidR="005A75E5" w:rsidRPr="00614125">
        <w:rPr>
          <w:rFonts w:ascii="Arial" w:hAnsi="Arial"/>
          <w:color w:val="000000" w:themeColor="text1"/>
        </w:rPr>
        <w:t xml:space="preserve">) </w:t>
      </w:r>
      <w:r w:rsidR="00F8120A" w:rsidRPr="00614125">
        <w:rPr>
          <w:rFonts w:ascii="Arial" w:hAnsi="Arial"/>
          <w:color w:val="000000" w:themeColor="text1"/>
        </w:rPr>
        <w:t>between</w:t>
      </w:r>
      <w:r w:rsidR="003A588C" w:rsidRPr="00614125">
        <w:rPr>
          <w:rFonts w:ascii="Arial" w:hAnsi="Arial"/>
          <w:color w:val="000000" w:themeColor="text1"/>
        </w:rPr>
        <w:t xml:space="preserve"> a country’s</w:t>
      </w:r>
      <w:r w:rsidR="00F8120A" w:rsidRPr="00614125">
        <w:rPr>
          <w:rFonts w:ascii="Arial" w:hAnsi="Arial"/>
          <w:color w:val="000000" w:themeColor="text1"/>
        </w:rPr>
        <w:t xml:space="preserve"> UHC index and </w:t>
      </w:r>
      <w:r w:rsidR="00391618" w:rsidRPr="00614125">
        <w:rPr>
          <w:rFonts w:ascii="Arial" w:hAnsi="Arial"/>
          <w:color w:val="000000" w:themeColor="text1"/>
        </w:rPr>
        <w:t xml:space="preserve">their </w:t>
      </w:r>
      <w:r w:rsidR="00F8120A" w:rsidRPr="00614125">
        <w:rPr>
          <w:rFonts w:ascii="Arial" w:hAnsi="Arial"/>
          <w:color w:val="000000" w:themeColor="text1"/>
        </w:rPr>
        <w:t xml:space="preserve">concentration index.  </w:t>
      </w:r>
    </w:p>
    <w:p w14:paraId="460714D5" w14:textId="42EAC913" w:rsidR="00D11C6A" w:rsidRPr="00614125" w:rsidRDefault="00B121C2" w:rsidP="00337D8B">
      <w:pPr>
        <w:spacing w:before="120" w:after="120" w:line="360" w:lineRule="auto"/>
        <w:jc w:val="both"/>
        <w:rPr>
          <w:rFonts w:ascii="Arial" w:hAnsi="Arial"/>
          <w:color w:val="000000" w:themeColor="text1"/>
        </w:rPr>
      </w:pPr>
      <w:r w:rsidRPr="00614125">
        <w:rPr>
          <w:rFonts w:ascii="Arial" w:hAnsi="Arial"/>
          <w:color w:val="000000" w:themeColor="text1"/>
        </w:rPr>
        <w:t>For validation</w:t>
      </w:r>
      <w:r w:rsidR="005A2C39" w:rsidRPr="00614125">
        <w:rPr>
          <w:rFonts w:ascii="Arial" w:hAnsi="Arial"/>
          <w:color w:val="000000" w:themeColor="text1"/>
        </w:rPr>
        <w:t xml:space="preserve"> of our UHC index, we estimated</w:t>
      </w:r>
      <w:r w:rsidRPr="00614125">
        <w:rPr>
          <w:rFonts w:ascii="Arial" w:hAnsi="Arial"/>
          <w:color w:val="000000" w:themeColor="text1"/>
        </w:rPr>
        <w:t xml:space="preserve"> correlation</w:t>
      </w:r>
      <w:r w:rsidR="005A2C39" w:rsidRPr="00614125">
        <w:rPr>
          <w:rFonts w:ascii="Arial" w:hAnsi="Arial"/>
          <w:color w:val="000000" w:themeColor="text1"/>
        </w:rPr>
        <w:t xml:space="preserve"> coefficients</w:t>
      </w:r>
      <w:r w:rsidRPr="00614125">
        <w:rPr>
          <w:rFonts w:ascii="Arial" w:hAnsi="Arial"/>
          <w:color w:val="000000" w:themeColor="text1"/>
        </w:rPr>
        <w:t xml:space="preserve"> between our index values with the index values estimated by other researchers </w:t>
      </w:r>
      <w:r w:rsidR="00EE5D44" w:rsidRPr="00614125">
        <w:rPr>
          <w:rFonts w:ascii="Arial" w:hAnsi="Arial"/>
          <w:color w:val="000000" w:themeColor="text1"/>
        </w:rPr>
        <w:t>[5,6]</w:t>
      </w:r>
      <w:r w:rsidRPr="00614125">
        <w:rPr>
          <w:rFonts w:ascii="Arial" w:hAnsi="Arial"/>
          <w:color w:val="000000" w:themeColor="text1"/>
        </w:rPr>
        <w:t xml:space="preserve">. The correlation coefficients between our estimated UHC index values and Wagstaff’s and Hogan’s were 0.900 (p-value 0.037) and 0.774 (p-value 0.000) respectively. It should be noted here that we found 5 common countries with Wagstaff and all 21 countries with Hogan. It implied that our spreadsheet approach </w:t>
      </w:r>
      <w:r w:rsidR="004C0308" w:rsidRPr="00614125">
        <w:rPr>
          <w:rFonts w:ascii="Arial" w:hAnsi="Arial"/>
          <w:color w:val="000000" w:themeColor="text1"/>
        </w:rPr>
        <w:t>to</w:t>
      </w:r>
      <w:r w:rsidRPr="00614125">
        <w:rPr>
          <w:rFonts w:ascii="Arial" w:hAnsi="Arial"/>
          <w:color w:val="000000" w:themeColor="text1"/>
        </w:rPr>
        <w:t xml:space="preserve"> UHC index calculation reflected the UHC status of the reported countries similarly.  </w:t>
      </w:r>
      <w:r w:rsidR="00CC7F4A" w:rsidRPr="00614125">
        <w:rPr>
          <w:rFonts w:ascii="Arial" w:hAnsi="Arial"/>
          <w:color w:val="000000" w:themeColor="text1"/>
        </w:rPr>
        <w:t xml:space="preserve">Further, we fitted two models for explaining UHC indices by the level of out-of-pocket payments (Table 4). </w:t>
      </w:r>
      <w:r w:rsidR="00137B90" w:rsidRPr="00614125">
        <w:rPr>
          <w:rFonts w:ascii="Arial" w:hAnsi="Arial"/>
          <w:color w:val="000000" w:themeColor="text1"/>
        </w:rPr>
        <w:t xml:space="preserve">In </w:t>
      </w:r>
      <w:r w:rsidR="00316087" w:rsidRPr="00614125">
        <w:rPr>
          <w:rFonts w:ascii="Arial" w:hAnsi="Arial"/>
          <w:color w:val="000000" w:themeColor="text1"/>
        </w:rPr>
        <w:t>M</w:t>
      </w:r>
      <w:r w:rsidR="00137B90" w:rsidRPr="00614125">
        <w:rPr>
          <w:rFonts w:ascii="Arial" w:hAnsi="Arial"/>
          <w:color w:val="000000" w:themeColor="text1"/>
        </w:rPr>
        <w:t>odel 1</w:t>
      </w:r>
      <w:r w:rsidR="00CC4911" w:rsidRPr="00614125">
        <w:rPr>
          <w:rFonts w:ascii="Arial" w:hAnsi="Arial"/>
          <w:color w:val="000000" w:themeColor="text1"/>
        </w:rPr>
        <w:t>,</w:t>
      </w:r>
      <w:r w:rsidR="00137B90" w:rsidRPr="00614125">
        <w:rPr>
          <w:rFonts w:ascii="Arial" w:hAnsi="Arial"/>
          <w:color w:val="000000" w:themeColor="text1"/>
        </w:rPr>
        <w:t xml:space="preserve"> we controlled for </w:t>
      </w:r>
      <w:r w:rsidR="00391618" w:rsidRPr="00614125">
        <w:rPr>
          <w:rFonts w:ascii="Arial" w:hAnsi="Arial"/>
          <w:color w:val="000000" w:themeColor="text1"/>
        </w:rPr>
        <w:t xml:space="preserve">both </w:t>
      </w:r>
      <w:r w:rsidR="00137B90" w:rsidRPr="00614125">
        <w:rPr>
          <w:rFonts w:ascii="Arial" w:hAnsi="Arial"/>
          <w:color w:val="000000" w:themeColor="text1"/>
        </w:rPr>
        <w:t>economic level (GDP per capita) and population size of the countries</w:t>
      </w:r>
      <w:r w:rsidR="00391618" w:rsidRPr="00614125">
        <w:rPr>
          <w:rFonts w:ascii="Arial" w:hAnsi="Arial"/>
          <w:color w:val="000000" w:themeColor="text1"/>
        </w:rPr>
        <w:t>,</w:t>
      </w:r>
      <w:r w:rsidR="00137B90" w:rsidRPr="00614125">
        <w:rPr>
          <w:rFonts w:ascii="Arial" w:hAnsi="Arial"/>
          <w:color w:val="000000" w:themeColor="text1"/>
        </w:rPr>
        <w:t xml:space="preserve"> while </w:t>
      </w:r>
      <w:r w:rsidR="00316087" w:rsidRPr="00614125">
        <w:rPr>
          <w:rFonts w:ascii="Arial" w:hAnsi="Arial"/>
          <w:color w:val="000000" w:themeColor="text1"/>
        </w:rPr>
        <w:t>M</w:t>
      </w:r>
      <w:r w:rsidR="00137B90" w:rsidRPr="00614125">
        <w:rPr>
          <w:rFonts w:ascii="Arial" w:hAnsi="Arial"/>
          <w:color w:val="000000" w:themeColor="text1"/>
        </w:rPr>
        <w:t xml:space="preserve">odel 2 additionally controlled for variations in demographic structure </w:t>
      </w:r>
      <w:r w:rsidR="00382BE0" w:rsidRPr="00614125">
        <w:rPr>
          <w:rFonts w:ascii="Arial" w:hAnsi="Arial"/>
          <w:color w:val="000000" w:themeColor="text1"/>
        </w:rPr>
        <w:t>i.e.</w:t>
      </w:r>
      <w:r w:rsidR="00137B90" w:rsidRPr="00614125">
        <w:rPr>
          <w:rFonts w:ascii="Arial" w:hAnsi="Arial"/>
          <w:color w:val="000000" w:themeColor="text1"/>
        </w:rPr>
        <w:t xml:space="preserve"> </w:t>
      </w:r>
      <w:r w:rsidR="004C0308" w:rsidRPr="00614125">
        <w:rPr>
          <w:rFonts w:ascii="Arial" w:hAnsi="Arial"/>
          <w:color w:val="000000" w:themeColor="text1"/>
        </w:rPr>
        <w:t xml:space="preserve">the </w:t>
      </w:r>
      <w:r w:rsidR="00137B90" w:rsidRPr="00614125">
        <w:rPr>
          <w:rFonts w:ascii="Arial" w:hAnsi="Arial"/>
          <w:color w:val="000000" w:themeColor="text1"/>
        </w:rPr>
        <w:t xml:space="preserve">proportion of female and elderly in </w:t>
      </w:r>
      <w:r w:rsidR="004C0308" w:rsidRPr="00614125">
        <w:rPr>
          <w:rFonts w:ascii="Arial" w:hAnsi="Arial"/>
          <w:color w:val="000000" w:themeColor="text1"/>
        </w:rPr>
        <w:t xml:space="preserve">the </w:t>
      </w:r>
      <w:r w:rsidR="00137B90" w:rsidRPr="00614125">
        <w:rPr>
          <w:rFonts w:ascii="Arial" w:hAnsi="Arial"/>
          <w:color w:val="000000" w:themeColor="text1"/>
        </w:rPr>
        <w:t>total population. Both regression equations explained the models well</w:t>
      </w:r>
      <w:r w:rsidR="0003108D" w:rsidRPr="00614125">
        <w:rPr>
          <w:rFonts w:ascii="Arial" w:hAnsi="Arial"/>
          <w:color w:val="000000" w:themeColor="text1"/>
        </w:rPr>
        <w:t>, i.e. by</w:t>
      </w:r>
      <w:r w:rsidR="00391618" w:rsidRPr="00614125">
        <w:rPr>
          <w:rFonts w:ascii="Arial" w:hAnsi="Arial"/>
          <w:color w:val="000000" w:themeColor="text1"/>
        </w:rPr>
        <w:t xml:space="preserve"> </w:t>
      </w:r>
      <w:r w:rsidR="005A2C39" w:rsidRPr="00614125">
        <w:rPr>
          <w:rFonts w:ascii="Arial" w:hAnsi="Arial"/>
          <w:color w:val="000000" w:themeColor="text1"/>
        </w:rPr>
        <w:t>70.7</w:t>
      </w:r>
      <w:r w:rsidR="00137B90" w:rsidRPr="00614125">
        <w:rPr>
          <w:rFonts w:ascii="Arial" w:hAnsi="Arial"/>
          <w:color w:val="000000" w:themeColor="text1"/>
        </w:rPr>
        <w:t xml:space="preserve">% </w:t>
      </w:r>
      <w:r w:rsidR="0003108D" w:rsidRPr="00614125">
        <w:rPr>
          <w:rFonts w:ascii="Arial" w:hAnsi="Arial"/>
          <w:color w:val="000000" w:themeColor="text1"/>
        </w:rPr>
        <w:t xml:space="preserve">(Model 1) </w:t>
      </w:r>
      <w:r w:rsidR="00137B90" w:rsidRPr="00614125">
        <w:rPr>
          <w:rFonts w:ascii="Arial" w:hAnsi="Arial"/>
          <w:color w:val="000000" w:themeColor="text1"/>
        </w:rPr>
        <w:t xml:space="preserve">and </w:t>
      </w:r>
      <w:r w:rsidR="005A2C39" w:rsidRPr="00614125">
        <w:rPr>
          <w:rFonts w:ascii="Arial" w:hAnsi="Arial"/>
          <w:color w:val="000000" w:themeColor="text1"/>
        </w:rPr>
        <w:t>69.2</w:t>
      </w:r>
      <w:r w:rsidR="00137B90" w:rsidRPr="00614125">
        <w:rPr>
          <w:rFonts w:ascii="Arial" w:hAnsi="Arial"/>
          <w:color w:val="000000" w:themeColor="text1"/>
        </w:rPr>
        <w:t>%</w:t>
      </w:r>
      <w:r w:rsidR="0003108D" w:rsidRPr="00614125">
        <w:rPr>
          <w:rFonts w:ascii="Arial" w:hAnsi="Arial"/>
          <w:color w:val="000000" w:themeColor="text1"/>
        </w:rPr>
        <w:t xml:space="preserve"> (Model 2)</w:t>
      </w:r>
      <w:r w:rsidR="00391618" w:rsidRPr="00614125">
        <w:rPr>
          <w:rFonts w:ascii="Arial" w:hAnsi="Arial"/>
          <w:color w:val="000000" w:themeColor="text1"/>
        </w:rPr>
        <w:t>.</w:t>
      </w:r>
      <w:r w:rsidR="0003108D" w:rsidRPr="00614125">
        <w:rPr>
          <w:rFonts w:ascii="Arial" w:hAnsi="Arial"/>
          <w:color w:val="000000" w:themeColor="text1"/>
        </w:rPr>
        <w:t xml:space="preserve"> </w:t>
      </w:r>
      <w:r w:rsidR="006F5387" w:rsidRPr="00614125">
        <w:rPr>
          <w:rFonts w:ascii="Arial" w:hAnsi="Arial"/>
          <w:color w:val="000000" w:themeColor="text1"/>
        </w:rPr>
        <w:t>Neither</w:t>
      </w:r>
      <w:r w:rsidR="00382BE0" w:rsidRPr="00614125">
        <w:rPr>
          <w:rFonts w:ascii="Arial" w:hAnsi="Arial"/>
          <w:color w:val="000000" w:themeColor="text1"/>
        </w:rPr>
        <w:t xml:space="preserve"> </w:t>
      </w:r>
      <w:r w:rsidR="00137B90" w:rsidRPr="00614125">
        <w:rPr>
          <w:rFonts w:ascii="Arial" w:hAnsi="Arial"/>
          <w:color w:val="000000" w:themeColor="text1"/>
        </w:rPr>
        <w:t xml:space="preserve">significant multicollinearity </w:t>
      </w:r>
      <w:r w:rsidR="00D11C6A" w:rsidRPr="00614125">
        <w:rPr>
          <w:rFonts w:ascii="Arial" w:hAnsi="Arial"/>
          <w:color w:val="000000" w:themeColor="text1"/>
        </w:rPr>
        <w:t>no</w:t>
      </w:r>
      <w:r w:rsidR="00382BE0" w:rsidRPr="00614125">
        <w:rPr>
          <w:rFonts w:ascii="Arial" w:hAnsi="Arial"/>
          <w:color w:val="000000" w:themeColor="text1"/>
        </w:rPr>
        <w:t>r</w:t>
      </w:r>
      <w:r w:rsidR="00D11C6A" w:rsidRPr="00614125">
        <w:rPr>
          <w:rFonts w:ascii="Arial" w:hAnsi="Arial"/>
          <w:color w:val="000000" w:themeColor="text1"/>
        </w:rPr>
        <w:t xml:space="preserve"> misspecification was found in the estimation</w:t>
      </w:r>
      <w:r w:rsidR="00382BE0" w:rsidRPr="00614125">
        <w:rPr>
          <w:rFonts w:ascii="Arial" w:hAnsi="Arial"/>
          <w:color w:val="000000" w:themeColor="text1"/>
        </w:rPr>
        <w:t>s.</w:t>
      </w:r>
    </w:p>
    <w:p w14:paraId="18B6FC42" w14:textId="77777777" w:rsidR="00082E0B" w:rsidRPr="00614125" w:rsidRDefault="00082E0B" w:rsidP="00337D8B">
      <w:pPr>
        <w:spacing w:before="120" w:after="120" w:line="360" w:lineRule="auto"/>
        <w:jc w:val="both"/>
        <w:rPr>
          <w:rFonts w:ascii="Arial" w:hAnsi="Arial"/>
          <w:color w:val="000000" w:themeColor="text1"/>
        </w:rPr>
      </w:pPr>
    </w:p>
    <w:p w14:paraId="3EF83164" w14:textId="7A733698" w:rsidR="00082E0B" w:rsidRPr="00614125" w:rsidRDefault="00082E0B" w:rsidP="00337D8B">
      <w:pPr>
        <w:spacing w:before="120" w:after="120" w:line="360" w:lineRule="auto"/>
        <w:jc w:val="center"/>
        <w:rPr>
          <w:rFonts w:ascii="Arial" w:hAnsi="Arial"/>
          <w:color w:val="000000" w:themeColor="text1"/>
        </w:rPr>
      </w:pPr>
      <w:r w:rsidRPr="00614125">
        <w:rPr>
          <w:rFonts w:ascii="Arial" w:hAnsi="Arial"/>
          <w:color w:val="000000" w:themeColor="text1"/>
        </w:rPr>
        <w:t>Table</w:t>
      </w:r>
      <w:r w:rsidR="00DB78E8" w:rsidRPr="00614125">
        <w:rPr>
          <w:rFonts w:ascii="Arial" w:hAnsi="Arial"/>
          <w:color w:val="000000" w:themeColor="text1"/>
        </w:rPr>
        <w:t xml:space="preserve"> </w:t>
      </w:r>
      <w:r w:rsidR="00B973CC" w:rsidRPr="00614125">
        <w:rPr>
          <w:rFonts w:ascii="Arial" w:hAnsi="Arial"/>
          <w:color w:val="000000" w:themeColor="text1"/>
        </w:rPr>
        <w:t>4</w:t>
      </w:r>
      <w:r w:rsidRPr="00614125">
        <w:rPr>
          <w:rFonts w:ascii="Arial" w:hAnsi="Arial"/>
          <w:color w:val="000000" w:themeColor="text1"/>
        </w:rPr>
        <w:t xml:space="preserve"> to be inserted here</w:t>
      </w:r>
    </w:p>
    <w:p w14:paraId="528B92C2" w14:textId="77777777" w:rsidR="00082E0B" w:rsidRPr="00614125" w:rsidRDefault="00082E0B" w:rsidP="00337D8B">
      <w:pPr>
        <w:spacing w:before="120" w:after="120" w:line="360" w:lineRule="auto"/>
        <w:jc w:val="center"/>
        <w:rPr>
          <w:rFonts w:ascii="Arial" w:hAnsi="Arial"/>
          <w:color w:val="000000" w:themeColor="text1"/>
        </w:rPr>
      </w:pPr>
    </w:p>
    <w:p w14:paraId="4F89F69D" w14:textId="31026C8A" w:rsidR="0020516B" w:rsidRPr="00614125" w:rsidRDefault="00391618" w:rsidP="00337D8B">
      <w:pPr>
        <w:spacing w:before="120" w:after="120" w:line="360" w:lineRule="auto"/>
        <w:jc w:val="both"/>
        <w:rPr>
          <w:rFonts w:ascii="Arial" w:hAnsi="Arial"/>
          <w:color w:val="000000" w:themeColor="text1"/>
        </w:rPr>
      </w:pPr>
      <w:r w:rsidRPr="00614125">
        <w:rPr>
          <w:rFonts w:ascii="Arial" w:hAnsi="Arial"/>
          <w:color w:val="000000" w:themeColor="text1"/>
        </w:rPr>
        <w:lastRenderedPageBreak/>
        <w:t>Both models showed a</w:t>
      </w:r>
      <w:r w:rsidR="00D11C6A" w:rsidRPr="00614125">
        <w:rPr>
          <w:rFonts w:ascii="Arial" w:hAnsi="Arial"/>
          <w:color w:val="000000" w:themeColor="text1"/>
        </w:rPr>
        <w:t xml:space="preserve"> negative</w:t>
      </w:r>
      <w:r w:rsidR="00AF6FB5" w:rsidRPr="00614125">
        <w:rPr>
          <w:rFonts w:ascii="Arial" w:hAnsi="Arial"/>
          <w:color w:val="000000" w:themeColor="text1"/>
        </w:rPr>
        <w:t xml:space="preserve"> significant relationship </w:t>
      </w:r>
      <w:r w:rsidR="00B7239C" w:rsidRPr="00614125">
        <w:rPr>
          <w:rFonts w:ascii="Arial" w:hAnsi="Arial"/>
          <w:color w:val="000000" w:themeColor="text1"/>
        </w:rPr>
        <w:t xml:space="preserve">between </w:t>
      </w:r>
      <w:r w:rsidRPr="00614125">
        <w:rPr>
          <w:rFonts w:ascii="Arial" w:hAnsi="Arial"/>
          <w:color w:val="000000" w:themeColor="text1"/>
        </w:rPr>
        <w:t xml:space="preserve">the </w:t>
      </w:r>
      <w:r w:rsidR="00B7239C" w:rsidRPr="00614125">
        <w:rPr>
          <w:rFonts w:ascii="Arial" w:hAnsi="Arial"/>
          <w:color w:val="000000" w:themeColor="text1"/>
        </w:rPr>
        <w:t>share of out-of-pocket payment and</w:t>
      </w:r>
      <w:r w:rsidRPr="00614125">
        <w:rPr>
          <w:rFonts w:ascii="Arial" w:hAnsi="Arial"/>
          <w:color w:val="000000" w:themeColor="text1"/>
        </w:rPr>
        <w:t xml:space="preserve"> the</w:t>
      </w:r>
      <w:r w:rsidR="00B7239C" w:rsidRPr="00614125">
        <w:rPr>
          <w:rFonts w:ascii="Arial" w:hAnsi="Arial"/>
          <w:color w:val="000000" w:themeColor="text1"/>
        </w:rPr>
        <w:t xml:space="preserve"> UHC index</w:t>
      </w:r>
      <w:r w:rsidR="003A588C" w:rsidRPr="00614125">
        <w:rPr>
          <w:rFonts w:ascii="Arial" w:hAnsi="Arial"/>
          <w:color w:val="000000" w:themeColor="text1"/>
        </w:rPr>
        <w:t xml:space="preserve">. </w:t>
      </w:r>
      <w:r w:rsidR="00BF4EE6" w:rsidRPr="00614125">
        <w:rPr>
          <w:rFonts w:ascii="Arial" w:hAnsi="Arial"/>
          <w:color w:val="000000" w:themeColor="text1"/>
        </w:rPr>
        <w:t>Our estimation of the recommended model (</w:t>
      </w:r>
      <w:r w:rsidR="00316087" w:rsidRPr="00614125">
        <w:rPr>
          <w:rFonts w:ascii="Arial" w:hAnsi="Arial"/>
          <w:color w:val="000000" w:themeColor="text1"/>
        </w:rPr>
        <w:t>M</w:t>
      </w:r>
      <w:r w:rsidR="00BF4EE6" w:rsidRPr="00614125">
        <w:rPr>
          <w:rFonts w:ascii="Arial" w:hAnsi="Arial"/>
          <w:color w:val="000000" w:themeColor="text1"/>
        </w:rPr>
        <w:t>odel 2), which controlled for both economic level and demographic variations</w:t>
      </w:r>
      <w:r w:rsidRPr="00614125">
        <w:rPr>
          <w:rFonts w:ascii="Arial" w:hAnsi="Arial"/>
          <w:color w:val="000000" w:themeColor="text1"/>
        </w:rPr>
        <w:t>,</w:t>
      </w:r>
      <w:r w:rsidR="005071CE" w:rsidRPr="00614125">
        <w:rPr>
          <w:rFonts w:ascii="Arial" w:hAnsi="Arial"/>
          <w:color w:val="000000" w:themeColor="text1"/>
        </w:rPr>
        <w:t xml:space="preserve"> showed that </w:t>
      </w:r>
      <w:r w:rsidR="00DB43A3" w:rsidRPr="00614125">
        <w:rPr>
          <w:rFonts w:ascii="Arial" w:hAnsi="Arial"/>
          <w:color w:val="000000" w:themeColor="text1"/>
        </w:rPr>
        <w:t xml:space="preserve">a </w:t>
      </w:r>
      <w:r w:rsidR="005071CE" w:rsidRPr="00614125">
        <w:rPr>
          <w:rFonts w:ascii="Arial" w:hAnsi="Arial"/>
          <w:color w:val="000000" w:themeColor="text1"/>
        </w:rPr>
        <w:t>1</w:t>
      </w:r>
      <w:r w:rsidR="00316087" w:rsidRPr="00614125">
        <w:rPr>
          <w:rFonts w:ascii="Arial" w:hAnsi="Arial"/>
          <w:color w:val="000000" w:themeColor="text1"/>
        </w:rPr>
        <w:t xml:space="preserve"> </w:t>
      </w:r>
      <w:r w:rsidR="005071CE" w:rsidRPr="00614125">
        <w:rPr>
          <w:rFonts w:ascii="Arial" w:hAnsi="Arial"/>
          <w:noProof/>
          <w:color w:val="000000" w:themeColor="text1"/>
        </w:rPr>
        <w:t>percent</w:t>
      </w:r>
      <w:r w:rsidR="00BF4EE6" w:rsidRPr="00614125">
        <w:rPr>
          <w:rFonts w:ascii="Arial" w:hAnsi="Arial"/>
          <w:color w:val="000000" w:themeColor="text1"/>
        </w:rPr>
        <w:t xml:space="preserve"> increase in OOP</w:t>
      </w:r>
      <w:r w:rsidR="00E65B83" w:rsidRPr="00614125">
        <w:rPr>
          <w:rFonts w:ascii="Arial" w:hAnsi="Arial"/>
          <w:color w:val="000000" w:themeColor="text1"/>
        </w:rPr>
        <w:t xml:space="preserve"> </w:t>
      </w:r>
      <w:r w:rsidRPr="00614125">
        <w:rPr>
          <w:rFonts w:ascii="Arial" w:hAnsi="Arial"/>
          <w:color w:val="000000" w:themeColor="text1"/>
        </w:rPr>
        <w:t xml:space="preserve">health care payments </w:t>
      </w:r>
      <w:r w:rsidR="00E65B83" w:rsidRPr="00614125">
        <w:rPr>
          <w:rFonts w:ascii="Arial" w:hAnsi="Arial"/>
          <w:color w:val="000000" w:themeColor="text1"/>
        </w:rPr>
        <w:t>reduce</w:t>
      </w:r>
      <w:r w:rsidRPr="00614125">
        <w:rPr>
          <w:rFonts w:ascii="Arial" w:hAnsi="Arial"/>
          <w:color w:val="000000" w:themeColor="text1"/>
        </w:rPr>
        <w:t>d</w:t>
      </w:r>
      <w:r w:rsidR="00E65B83" w:rsidRPr="00614125">
        <w:rPr>
          <w:rFonts w:ascii="Arial" w:hAnsi="Arial"/>
          <w:color w:val="000000" w:themeColor="text1"/>
        </w:rPr>
        <w:t xml:space="preserve"> </w:t>
      </w:r>
      <w:r w:rsidR="004C0308" w:rsidRPr="00614125">
        <w:rPr>
          <w:rFonts w:ascii="Arial" w:hAnsi="Arial"/>
          <w:color w:val="000000" w:themeColor="text1"/>
        </w:rPr>
        <w:t xml:space="preserve">the </w:t>
      </w:r>
      <w:r w:rsidR="00E65B83" w:rsidRPr="00614125">
        <w:rPr>
          <w:rFonts w:ascii="Arial" w:hAnsi="Arial"/>
          <w:color w:val="000000" w:themeColor="text1"/>
        </w:rPr>
        <w:t>UHC index values</w:t>
      </w:r>
      <w:r w:rsidR="005071CE" w:rsidRPr="00614125">
        <w:rPr>
          <w:rFonts w:ascii="Arial" w:hAnsi="Arial"/>
          <w:color w:val="000000" w:themeColor="text1"/>
        </w:rPr>
        <w:t xml:space="preserve"> by </w:t>
      </w:r>
      <w:r w:rsidR="005A2C39" w:rsidRPr="00614125">
        <w:rPr>
          <w:rFonts w:ascii="Arial" w:hAnsi="Arial"/>
          <w:color w:val="000000" w:themeColor="text1"/>
        </w:rPr>
        <w:t>1.4</w:t>
      </w:r>
      <w:r w:rsidR="005071CE" w:rsidRPr="00614125">
        <w:rPr>
          <w:rFonts w:ascii="Arial" w:hAnsi="Arial"/>
          <w:color w:val="000000" w:themeColor="text1"/>
        </w:rPr>
        <w:t xml:space="preserve"> percent</w:t>
      </w:r>
      <w:r w:rsidR="00DB43A3" w:rsidRPr="00614125">
        <w:rPr>
          <w:rFonts w:ascii="Arial" w:hAnsi="Arial"/>
          <w:color w:val="000000" w:themeColor="text1"/>
        </w:rPr>
        <w:t>age</w:t>
      </w:r>
      <w:r w:rsidR="005071CE" w:rsidRPr="00614125">
        <w:rPr>
          <w:rFonts w:ascii="Arial" w:hAnsi="Arial"/>
          <w:color w:val="000000" w:themeColor="text1"/>
        </w:rPr>
        <w:t xml:space="preserve"> point</w:t>
      </w:r>
      <w:r w:rsidR="00DB43A3" w:rsidRPr="00614125">
        <w:rPr>
          <w:rFonts w:ascii="Arial" w:hAnsi="Arial"/>
          <w:color w:val="000000" w:themeColor="text1"/>
        </w:rPr>
        <w:t>s</w:t>
      </w:r>
      <w:r w:rsidR="005071CE" w:rsidRPr="00614125">
        <w:rPr>
          <w:rFonts w:ascii="Arial" w:hAnsi="Arial"/>
          <w:color w:val="000000" w:themeColor="text1"/>
        </w:rPr>
        <w:t>.</w:t>
      </w:r>
      <w:r w:rsidR="008D0113" w:rsidRPr="00614125">
        <w:rPr>
          <w:rFonts w:ascii="Arial" w:hAnsi="Arial"/>
          <w:color w:val="000000" w:themeColor="text1"/>
        </w:rPr>
        <w:t xml:space="preserve"> The</w:t>
      </w:r>
      <w:r w:rsidR="00CF2B48" w:rsidRPr="00614125">
        <w:rPr>
          <w:rFonts w:ascii="Arial" w:hAnsi="Arial"/>
          <w:color w:val="000000" w:themeColor="text1"/>
        </w:rPr>
        <w:t>se</w:t>
      </w:r>
      <w:r w:rsidR="008D0113" w:rsidRPr="00614125">
        <w:rPr>
          <w:rFonts w:ascii="Arial" w:hAnsi="Arial"/>
          <w:color w:val="000000" w:themeColor="text1"/>
        </w:rPr>
        <w:t xml:space="preserve"> estimations supported our hypothesis that reliance on out-of-pocket payments for health</w:t>
      </w:r>
      <w:r w:rsidR="002C681D" w:rsidRPr="00614125">
        <w:rPr>
          <w:rFonts w:ascii="Arial" w:hAnsi="Arial"/>
          <w:color w:val="000000" w:themeColor="text1"/>
        </w:rPr>
        <w:t xml:space="preserve"> </w:t>
      </w:r>
      <w:r w:rsidR="008D0113" w:rsidRPr="00614125">
        <w:rPr>
          <w:rFonts w:ascii="Arial" w:hAnsi="Arial"/>
          <w:color w:val="000000" w:themeColor="text1"/>
        </w:rPr>
        <w:t>care</w:t>
      </w:r>
      <w:r w:rsidR="003A588C" w:rsidRPr="00614125">
        <w:rPr>
          <w:rFonts w:ascii="Arial" w:hAnsi="Arial"/>
          <w:color w:val="000000" w:themeColor="text1"/>
        </w:rPr>
        <w:t xml:space="preserve"> reduces the probability of</w:t>
      </w:r>
      <w:r w:rsidR="00DB4722" w:rsidRPr="00614125">
        <w:rPr>
          <w:rFonts w:ascii="Arial" w:hAnsi="Arial"/>
          <w:color w:val="000000" w:themeColor="text1"/>
        </w:rPr>
        <w:t xml:space="preserve"> achieving </w:t>
      </w:r>
      <w:r w:rsidR="00DB192A" w:rsidRPr="00614125">
        <w:rPr>
          <w:rFonts w:ascii="Arial" w:hAnsi="Arial"/>
          <w:color w:val="000000" w:themeColor="text1"/>
        </w:rPr>
        <w:t>U</w:t>
      </w:r>
      <w:r w:rsidR="00DB4722" w:rsidRPr="00614125">
        <w:rPr>
          <w:rFonts w:ascii="Arial" w:hAnsi="Arial"/>
          <w:color w:val="000000" w:themeColor="text1"/>
        </w:rPr>
        <w:t xml:space="preserve">niversal </w:t>
      </w:r>
      <w:r w:rsidR="00DB192A" w:rsidRPr="00614125">
        <w:rPr>
          <w:rFonts w:ascii="Arial" w:hAnsi="Arial"/>
          <w:color w:val="000000" w:themeColor="text1"/>
        </w:rPr>
        <w:t>H</w:t>
      </w:r>
      <w:r w:rsidR="00DB4722" w:rsidRPr="00614125">
        <w:rPr>
          <w:rFonts w:ascii="Arial" w:hAnsi="Arial"/>
          <w:color w:val="000000" w:themeColor="text1"/>
        </w:rPr>
        <w:t xml:space="preserve">ealth </w:t>
      </w:r>
      <w:r w:rsidR="00DB192A" w:rsidRPr="00614125">
        <w:rPr>
          <w:rFonts w:ascii="Arial" w:hAnsi="Arial"/>
          <w:color w:val="000000" w:themeColor="text1"/>
        </w:rPr>
        <w:t>C</w:t>
      </w:r>
      <w:r w:rsidR="00DB4722" w:rsidRPr="00614125">
        <w:rPr>
          <w:rFonts w:ascii="Arial" w:hAnsi="Arial"/>
          <w:color w:val="000000" w:themeColor="text1"/>
        </w:rPr>
        <w:t xml:space="preserve">overage. </w:t>
      </w:r>
    </w:p>
    <w:p w14:paraId="7AC6D294" w14:textId="77777777" w:rsidR="0020516B" w:rsidRPr="00614125" w:rsidRDefault="0020516B" w:rsidP="00337D8B">
      <w:pPr>
        <w:spacing w:before="120" w:after="120" w:line="360" w:lineRule="auto"/>
        <w:jc w:val="both"/>
        <w:rPr>
          <w:rFonts w:ascii="Arial" w:hAnsi="Arial"/>
          <w:color w:val="000000" w:themeColor="text1"/>
        </w:rPr>
      </w:pPr>
    </w:p>
    <w:p w14:paraId="38896709" w14:textId="77777777" w:rsidR="006A0A9A" w:rsidRPr="00614125" w:rsidRDefault="0020516B" w:rsidP="00337D8B">
      <w:pPr>
        <w:spacing w:before="120" w:after="120" w:line="360" w:lineRule="auto"/>
        <w:jc w:val="both"/>
        <w:rPr>
          <w:rFonts w:ascii="Arial" w:hAnsi="Arial"/>
          <w:color w:val="000000" w:themeColor="text1"/>
        </w:rPr>
      </w:pPr>
      <w:r w:rsidRPr="00614125">
        <w:rPr>
          <w:rFonts w:ascii="Arial" w:hAnsi="Arial"/>
          <w:color w:val="000000" w:themeColor="text1"/>
        </w:rPr>
        <w:t>DISCUSSION</w:t>
      </w:r>
    </w:p>
    <w:p w14:paraId="39851D59" w14:textId="7CC4F809" w:rsidR="006E1D6E" w:rsidRPr="00614125" w:rsidRDefault="00DC19EA" w:rsidP="00337D8B">
      <w:pPr>
        <w:spacing w:before="120" w:after="120" w:line="360" w:lineRule="auto"/>
        <w:jc w:val="both"/>
        <w:rPr>
          <w:rFonts w:ascii="Arial" w:hAnsi="Arial"/>
          <w:color w:val="000000" w:themeColor="text1"/>
        </w:rPr>
      </w:pPr>
      <w:r w:rsidRPr="00614125">
        <w:rPr>
          <w:rFonts w:ascii="Arial" w:hAnsi="Arial"/>
          <w:color w:val="000000" w:themeColor="text1"/>
        </w:rPr>
        <w:t>The composite index of UH</w:t>
      </w:r>
      <w:r w:rsidR="005E101F" w:rsidRPr="00614125">
        <w:rPr>
          <w:rFonts w:ascii="Arial" w:hAnsi="Arial"/>
          <w:color w:val="000000" w:themeColor="text1"/>
        </w:rPr>
        <w:t xml:space="preserve">C presented here </w:t>
      </w:r>
      <w:r w:rsidR="00A2038E" w:rsidRPr="00614125">
        <w:rPr>
          <w:rFonts w:ascii="Arial" w:hAnsi="Arial"/>
          <w:color w:val="000000" w:themeColor="text1"/>
        </w:rPr>
        <w:t>has</w:t>
      </w:r>
      <w:r w:rsidR="005E101F" w:rsidRPr="00614125">
        <w:rPr>
          <w:rFonts w:ascii="Arial" w:hAnsi="Arial"/>
          <w:color w:val="000000" w:themeColor="text1"/>
        </w:rPr>
        <w:t xml:space="preserve"> quantified three dimensions of UHC </w:t>
      </w:r>
      <w:r w:rsidR="005A381A" w:rsidRPr="00614125">
        <w:rPr>
          <w:rFonts w:ascii="Arial" w:hAnsi="Arial"/>
          <w:color w:val="000000" w:themeColor="text1"/>
        </w:rPr>
        <w:t xml:space="preserve">as </w:t>
      </w:r>
      <w:r w:rsidR="005E101F" w:rsidRPr="00614125">
        <w:rPr>
          <w:rFonts w:ascii="Arial" w:hAnsi="Arial"/>
          <w:color w:val="000000" w:themeColor="text1"/>
        </w:rPr>
        <w:t xml:space="preserve">other developed </w:t>
      </w:r>
      <w:r w:rsidR="00A2038E" w:rsidRPr="00614125">
        <w:rPr>
          <w:rFonts w:ascii="Arial" w:hAnsi="Arial"/>
          <w:color w:val="000000" w:themeColor="text1"/>
        </w:rPr>
        <w:t>indices</w:t>
      </w:r>
      <w:r w:rsidR="005A381A" w:rsidRPr="00614125">
        <w:rPr>
          <w:rFonts w:ascii="Arial" w:hAnsi="Arial"/>
          <w:color w:val="000000" w:themeColor="text1"/>
        </w:rPr>
        <w:t xml:space="preserve"> have</w:t>
      </w:r>
      <w:r w:rsidR="006216F3" w:rsidRPr="00614125">
        <w:rPr>
          <w:rFonts w:ascii="Arial" w:hAnsi="Arial"/>
          <w:color w:val="000000" w:themeColor="text1"/>
        </w:rPr>
        <w:t xml:space="preserve"> </w:t>
      </w:r>
      <w:r w:rsidR="008B4336" w:rsidRPr="00614125">
        <w:rPr>
          <w:rFonts w:ascii="Arial" w:hAnsi="Arial"/>
          <w:color w:val="000000" w:themeColor="text1"/>
        </w:rPr>
        <w:fldChar w:fldCharType="begin" w:fldLock="1"/>
      </w:r>
      <w:r w:rsidR="003B3F6D" w:rsidRPr="00614125">
        <w:rPr>
          <w:rFonts w:ascii="Arial" w:hAnsi="Arial"/>
          <w:color w:val="000000" w:themeColor="text1"/>
        </w:rPr>
        <w:instrText>ADDIN CSL_CITATION {"citationItems":[{"id":"ITEM-1","itemData":{"DOI":"10.1093/heapol/czw097","ISSN":"1460-2237 (Electronic)","PMID":"27497138","abstract":"BACKGROUND: There is limited work done on developing methods for measurement of universal health coverage. We undertook a study to develop a methodology and demonstrate the practical application of empirically measuring the extent of universal health coverage at district level. Additionally, we also develop a composite indicator to measure UHC. METHODS: A cross-sectional survey was undertaken among 51 656 households across 21 districts of Haryana state in India. Using the WHO framework for UHC, we identified indicators of service coverage, financial risk protection, equity and quality based on the Government of India and the Haryana Government's proposed UHC benefit package. Geometric mean approach was used to compute a composite UHC index (CUHCI). Various statistical approaches to aggregate input indicators with or without weighting, along with various incremental combinations of input indicators were tested in a comprehensive sensitivity analysis. FINDINGS: The population coverage for preventive and curative services is presented. Adjusting for inequality, the coverage for all the indicators were less than the unadjusted coverage by 0.1-6.7% in absolute term and 0.1-27% in relative term. There was low unmet need for curative care. However, about 11% outpatient consultations were from unqualified providers. About 30% households incurred catastrophic health expenditures, which rose to 38% among the poorest 20% population. Summary index (CUHCI) for UHC varied from 12% in Mewat district to 71% in Kurukshetra district. The inequality unadjusted coverage for UHC correlates highly with adjusted coverage. CONCLUSION: Our paper is an attempt to develop a methodology to measure UHC. However, careful inclusion of others indicators of service coverage is recommended for a comprehensive measurement which captures the spirit of universality. Further, more work needs to be done to incorporate quality in the measurement framework.","author":[{"dropping-particle":"","family":"Prinja","given":"Shankar","non-dropping-particle":"","parse-names":false,"suffix":""},{"dropping-particle":"","family":"Gupta","given":"Rakesh","non-dropping-particle":"","parse-names":false,"suffix":""},{"dropping-particle":"","family":"Bahuguna","given":"Pankaj","non-dropping-particle":"","parse-names":false,"suffix":""},{"dropping-particle":"","family":"Sharma","given":"Atul","non-dropping-particle":"","parse-names":false,"suffix":""},{"dropping-particle":"","family":"Kumar Aggarwal","given":"Arun","non-dropping-particle":"","parse-names":false,"suffix":""},{"dropping-particle":"","family":"Phogat","given":"Amit","non-dropping-particle":"","parse-names":false,"suffix":""},{"dropping-particle":"","family":"Kumar","given":"Rajesh","non-dropping-particle":"","parse-names":false,"suffix":""}],"container-title":"Health policy and planning","id":"ITEM-1","issue":"1","issued":{"date-parts":[["2017","2"]]},"language":"eng","page":"43-56","publisher-place":"England","title":"A composite indicator to measure universal health care coverage in India: way forward for post-2015 health system performance monitoring framework.","type":"article-journal","volume":"32"},"uris":["http://www.mendeley.com/documents/?uuid=f63b55d8-7aa1-4f9b-b88f-aa78f80211ab"]},{"id":"ITEM-2","itemData":{"DOI":"10.1377/hlthaff.2014.1453","ISSN":"0278-2715","author":[{"dropping-particle":"","family":"Wagstaff","given":"a.","non-dropping-particle":"","parse-names":false,"suffix":""},{"dropping-particle":"","family":"Dmytraczenko","given":"T.","non-dropping-particle":"","parse-names":false,"suffix":""},{"dropping-particle":"","family":"Almeida","given":"G.","non-dropping-particle":"","parse-names":false,"suffix":""},{"dropping-particle":"","family":"Buisman","given":"L.","non-dropping-particle":"","parse-names":false,"suffix":""},{"dropping-particle":"","family":"Hoang-Vu Eozenou","given":"P.","non-dropping-particle":"","parse-names":false,"suffix":""},{"dropping-particle":"","family":"Bredenkamp","given":"C.","non-dropping-particle":"","parse-names":false,"suffix":""},{"dropping-particle":"","family":"Cercone","given":"J. a.","non-dropping-particle":"","parse-names":false,"suffix":""},{"dropping-particle":"","family":"Diaz","given":"Y.","non-dropping-particle":"","parse-names":false,"suffix":""},{"dropping-particle":"","family":"Maceira","given":"D.","non-dropping-particle":"","parse-names":false,"suffix":""},{"dropping-particle":"","family":"Molina","given":"S.","non-dropping-particle":"","parse-names":false,"suffix":""},{"dropping-particle":"","family":"Paraje","given":"G.","non-dropping-particle":"","parse-names":false,"suffix":""},{"dropping-particle":"","family":"Ruiz","given":"F.","non-dropping-particle":"","parse-names":false,"suffix":""},{"dropping-particle":"","family":"Sarti","given":"F.","non-dropping-particle":"","parse-names":false,"suffix":""},{"dropping-particle":"","family":"Scott","given":"J.","non-dropping-particle":"","parse-names":false,"suffix":""},{"dropping-particle":"","family":"Valdivia","given":"M.","non-dropping-particle":"","parse-names":false,"suffix":""},{"dropping-particle":"","family":"Werneck","given":"H.","non-dropping-particle":"","parse-names":false,"suffix":""}],"container-title":"Health Affairs","id":"ITEM-2","issue":"10","issued":{"date-parts":[["2015"]]},"page":"1704-1712","title":"Assessing Latin America's Progress Toward Achieving Universal Health Coverage","type":"article-journal","volume":"34"},"uris":["http://www.mendeley.com/documents/?uuid=d1ecfd68-75a0-4b7e-9324-a6f415bb3431"]}],"mendeley":{"formattedCitation":"[4,5]","plainTextFormattedCitation":"[4,5]","previouslyFormattedCitation":"[4,5]"},"properties":{"noteIndex":0},"schema":"https://github.com/citation-style-language/schema/raw/master/csl-citation.json"}</w:instrText>
      </w:r>
      <w:r w:rsidR="008B4336" w:rsidRPr="00614125">
        <w:rPr>
          <w:rFonts w:ascii="Arial" w:hAnsi="Arial"/>
          <w:color w:val="000000" w:themeColor="text1"/>
        </w:rPr>
        <w:fldChar w:fldCharType="separate"/>
      </w:r>
      <w:r w:rsidR="00604FF7" w:rsidRPr="00614125">
        <w:rPr>
          <w:rFonts w:ascii="Arial" w:hAnsi="Arial"/>
          <w:noProof/>
          <w:color w:val="000000" w:themeColor="text1"/>
        </w:rPr>
        <w:t>[4,5]</w:t>
      </w:r>
      <w:r w:rsidR="008B4336" w:rsidRPr="00614125">
        <w:rPr>
          <w:rFonts w:ascii="Arial" w:hAnsi="Arial"/>
          <w:color w:val="000000" w:themeColor="text1"/>
        </w:rPr>
        <w:fldChar w:fldCharType="end"/>
      </w:r>
      <w:r w:rsidR="002D1E1A" w:rsidRPr="00614125">
        <w:rPr>
          <w:rFonts w:ascii="Arial" w:hAnsi="Arial"/>
          <w:color w:val="000000" w:themeColor="text1"/>
        </w:rPr>
        <w:t xml:space="preserve"> </w:t>
      </w:r>
      <w:r w:rsidR="00C64F54" w:rsidRPr="00614125">
        <w:rPr>
          <w:rFonts w:ascii="Arial" w:hAnsi="Arial"/>
          <w:color w:val="000000" w:themeColor="text1"/>
        </w:rPr>
        <w:t xml:space="preserve">, </w:t>
      </w:r>
      <w:r w:rsidR="002534B8" w:rsidRPr="00614125">
        <w:rPr>
          <w:rFonts w:ascii="Arial" w:hAnsi="Arial"/>
          <w:color w:val="000000" w:themeColor="text1"/>
        </w:rPr>
        <w:t>T</w:t>
      </w:r>
      <w:r w:rsidR="005E101F" w:rsidRPr="00614125">
        <w:rPr>
          <w:rFonts w:ascii="Arial" w:hAnsi="Arial"/>
          <w:color w:val="000000" w:themeColor="text1"/>
        </w:rPr>
        <w:t xml:space="preserve">he presentation of the index in this paper </w:t>
      </w:r>
      <w:r w:rsidR="00005B79" w:rsidRPr="00614125">
        <w:rPr>
          <w:rFonts w:ascii="Arial" w:hAnsi="Arial"/>
          <w:color w:val="000000" w:themeColor="text1"/>
        </w:rPr>
        <w:t xml:space="preserve">has </w:t>
      </w:r>
      <w:r w:rsidR="00C64F54" w:rsidRPr="00614125">
        <w:rPr>
          <w:rFonts w:ascii="Arial" w:hAnsi="Arial"/>
          <w:color w:val="000000" w:themeColor="text1"/>
        </w:rPr>
        <w:t>provide</w:t>
      </w:r>
      <w:r w:rsidR="00336EE5" w:rsidRPr="00614125">
        <w:rPr>
          <w:rFonts w:ascii="Arial" w:hAnsi="Arial"/>
          <w:color w:val="000000" w:themeColor="text1"/>
        </w:rPr>
        <w:t>d</w:t>
      </w:r>
      <w:r w:rsidR="00C64F54" w:rsidRPr="00614125">
        <w:rPr>
          <w:rFonts w:ascii="Arial" w:hAnsi="Arial"/>
          <w:color w:val="000000" w:themeColor="text1"/>
        </w:rPr>
        <w:t xml:space="preserve"> </w:t>
      </w:r>
      <w:r w:rsidR="005E101F" w:rsidRPr="00614125">
        <w:rPr>
          <w:rFonts w:ascii="Arial" w:hAnsi="Arial"/>
          <w:color w:val="000000" w:themeColor="text1"/>
        </w:rPr>
        <w:t>a</w:t>
      </w:r>
      <w:r w:rsidR="00C64F54" w:rsidRPr="00614125">
        <w:rPr>
          <w:rFonts w:ascii="Arial" w:hAnsi="Arial"/>
          <w:color w:val="000000" w:themeColor="text1"/>
        </w:rPr>
        <w:t xml:space="preserve"> transparent </w:t>
      </w:r>
      <w:r w:rsidR="005E101F" w:rsidRPr="00614125">
        <w:rPr>
          <w:rFonts w:ascii="Arial" w:hAnsi="Arial"/>
          <w:color w:val="000000" w:themeColor="text1"/>
        </w:rPr>
        <w:t xml:space="preserve">relationship among </w:t>
      </w:r>
      <w:r w:rsidR="00C64F54" w:rsidRPr="00614125">
        <w:rPr>
          <w:rFonts w:ascii="Arial" w:hAnsi="Arial"/>
          <w:color w:val="000000" w:themeColor="text1"/>
        </w:rPr>
        <w:t>the dimensions</w:t>
      </w:r>
      <w:r w:rsidR="005E101F" w:rsidRPr="00614125">
        <w:rPr>
          <w:rFonts w:ascii="Arial" w:hAnsi="Arial"/>
          <w:color w:val="000000" w:themeColor="text1"/>
        </w:rPr>
        <w:t xml:space="preserve"> and their </w:t>
      </w:r>
      <w:r w:rsidR="00C64F54" w:rsidRPr="00614125">
        <w:rPr>
          <w:rFonts w:ascii="Arial" w:hAnsi="Arial"/>
          <w:color w:val="000000" w:themeColor="text1"/>
        </w:rPr>
        <w:t xml:space="preserve">contribution to the </w:t>
      </w:r>
      <w:r w:rsidR="005E101F" w:rsidRPr="00614125">
        <w:rPr>
          <w:rFonts w:ascii="Arial" w:hAnsi="Arial"/>
          <w:color w:val="000000" w:themeColor="text1"/>
        </w:rPr>
        <w:t xml:space="preserve">index. </w:t>
      </w:r>
      <w:r w:rsidR="00336EE5" w:rsidRPr="00614125">
        <w:rPr>
          <w:rFonts w:ascii="Arial" w:hAnsi="Arial"/>
          <w:color w:val="000000" w:themeColor="text1"/>
        </w:rPr>
        <w:t>We</w:t>
      </w:r>
      <w:r w:rsidR="002534B8" w:rsidRPr="00614125">
        <w:rPr>
          <w:rFonts w:ascii="Arial" w:hAnsi="Arial"/>
          <w:color w:val="000000" w:themeColor="text1"/>
        </w:rPr>
        <w:t xml:space="preserve"> further</w:t>
      </w:r>
      <w:r w:rsidR="00336EE5" w:rsidRPr="00614125">
        <w:rPr>
          <w:rFonts w:ascii="Arial" w:hAnsi="Arial"/>
          <w:color w:val="000000" w:themeColor="text1"/>
        </w:rPr>
        <w:t xml:space="preserve"> decomposed the index into sub-populations</w:t>
      </w:r>
      <w:r w:rsidR="00F27B3D" w:rsidRPr="00614125">
        <w:rPr>
          <w:rFonts w:ascii="Arial" w:hAnsi="Arial"/>
          <w:color w:val="000000" w:themeColor="text1"/>
        </w:rPr>
        <w:t xml:space="preserve"> (socioeconomic groups) </w:t>
      </w:r>
      <w:r w:rsidR="002534B8" w:rsidRPr="00614125">
        <w:rPr>
          <w:rFonts w:ascii="Arial" w:hAnsi="Arial"/>
          <w:color w:val="000000" w:themeColor="text1"/>
        </w:rPr>
        <w:t xml:space="preserve">by calculating </w:t>
      </w:r>
      <w:r w:rsidR="00336EE5" w:rsidRPr="00614125">
        <w:rPr>
          <w:rFonts w:ascii="Arial" w:hAnsi="Arial"/>
          <w:color w:val="000000" w:themeColor="text1"/>
        </w:rPr>
        <w:t>the absolute and relative contribution of each socioeconomic group to the index value</w:t>
      </w:r>
      <w:r w:rsidR="002534B8" w:rsidRPr="00614125">
        <w:rPr>
          <w:rFonts w:ascii="Arial" w:hAnsi="Arial"/>
          <w:color w:val="000000" w:themeColor="text1"/>
        </w:rPr>
        <w:t xml:space="preserve"> of each country under investigation</w:t>
      </w:r>
      <w:r w:rsidR="00336EE5" w:rsidRPr="00614125">
        <w:rPr>
          <w:rFonts w:ascii="Arial" w:hAnsi="Arial"/>
          <w:color w:val="000000" w:themeColor="text1"/>
        </w:rPr>
        <w:t xml:space="preserve">. </w:t>
      </w:r>
      <w:r w:rsidR="005E101F" w:rsidRPr="00614125">
        <w:rPr>
          <w:rFonts w:ascii="Arial" w:hAnsi="Arial"/>
          <w:color w:val="000000" w:themeColor="text1"/>
        </w:rPr>
        <w:t xml:space="preserve">Using </w:t>
      </w:r>
      <w:r w:rsidR="00FB4A81" w:rsidRPr="00614125">
        <w:rPr>
          <w:rFonts w:ascii="Arial" w:hAnsi="Arial"/>
          <w:color w:val="000000" w:themeColor="text1"/>
        </w:rPr>
        <w:t>the same</w:t>
      </w:r>
      <w:r w:rsidR="005E101F" w:rsidRPr="00614125">
        <w:rPr>
          <w:rFonts w:ascii="Arial" w:hAnsi="Arial"/>
          <w:color w:val="000000" w:themeColor="text1"/>
        </w:rPr>
        <w:t xml:space="preserve"> method of </w:t>
      </w:r>
      <w:r w:rsidR="006F5387" w:rsidRPr="00614125">
        <w:rPr>
          <w:rFonts w:ascii="Arial" w:hAnsi="Arial"/>
          <w:color w:val="000000" w:themeColor="text1"/>
        </w:rPr>
        <w:t>decomposition,</w:t>
      </w:r>
      <w:r w:rsidR="005E101F" w:rsidRPr="00614125">
        <w:rPr>
          <w:rFonts w:ascii="Arial" w:hAnsi="Arial"/>
          <w:color w:val="000000" w:themeColor="text1"/>
        </w:rPr>
        <w:t xml:space="preserve"> we </w:t>
      </w:r>
      <w:r w:rsidR="00B7046F" w:rsidRPr="00614125">
        <w:rPr>
          <w:rFonts w:ascii="Arial" w:hAnsi="Arial"/>
          <w:color w:val="000000" w:themeColor="text1"/>
        </w:rPr>
        <w:t>could</w:t>
      </w:r>
      <w:r w:rsidR="005E101F" w:rsidRPr="00614125">
        <w:rPr>
          <w:rFonts w:ascii="Arial" w:hAnsi="Arial"/>
          <w:color w:val="000000" w:themeColor="text1"/>
        </w:rPr>
        <w:t xml:space="preserve"> </w:t>
      </w:r>
      <w:r w:rsidR="00731A95" w:rsidRPr="00614125">
        <w:rPr>
          <w:rFonts w:ascii="Arial" w:hAnsi="Arial"/>
          <w:color w:val="000000" w:themeColor="text1"/>
        </w:rPr>
        <w:t xml:space="preserve">also </w:t>
      </w:r>
      <w:r w:rsidR="005E101F" w:rsidRPr="00614125">
        <w:rPr>
          <w:rFonts w:ascii="Arial" w:hAnsi="Arial"/>
          <w:color w:val="000000" w:themeColor="text1"/>
        </w:rPr>
        <w:t xml:space="preserve">calculate the contribution of </w:t>
      </w:r>
      <w:r w:rsidR="00FB4A81" w:rsidRPr="00614125">
        <w:rPr>
          <w:rFonts w:ascii="Arial" w:hAnsi="Arial"/>
          <w:color w:val="000000" w:themeColor="text1"/>
        </w:rPr>
        <w:t xml:space="preserve">individual </w:t>
      </w:r>
      <w:r w:rsidR="005E101F" w:rsidRPr="00614125">
        <w:rPr>
          <w:rFonts w:ascii="Arial" w:hAnsi="Arial"/>
          <w:color w:val="000000" w:themeColor="text1"/>
        </w:rPr>
        <w:t>health services on the index</w:t>
      </w:r>
      <w:r w:rsidR="005A381A" w:rsidRPr="00614125">
        <w:rPr>
          <w:rFonts w:ascii="Arial" w:hAnsi="Arial"/>
          <w:color w:val="000000" w:themeColor="text1"/>
        </w:rPr>
        <w:t>,</w:t>
      </w:r>
      <w:r w:rsidR="00336EE5" w:rsidRPr="00614125">
        <w:rPr>
          <w:rFonts w:ascii="Arial" w:hAnsi="Arial"/>
          <w:color w:val="000000" w:themeColor="text1"/>
        </w:rPr>
        <w:t xml:space="preserve"> which </w:t>
      </w:r>
      <w:r w:rsidR="00C068FF" w:rsidRPr="00614125">
        <w:rPr>
          <w:rFonts w:ascii="Arial" w:hAnsi="Arial"/>
          <w:color w:val="000000" w:themeColor="text1"/>
        </w:rPr>
        <w:t>was</w:t>
      </w:r>
      <w:r w:rsidR="0003108D" w:rsidRPr="00614125">
        <w:rPr>
          <w:rFonts w:ascii="Arial" w:hAnsi="Arial"/>
          <w:color w:val="000000" w:themeColor="text1"/>
        </w:rPr>
        <w:t xml:space="preserve"> </w:t>
      </w:r>
      <w:r w:rsidR="005E101F" w:rsidRPr="00614125">
        <w:rPr>
          <w:rFonts w:ascii="Arial" w:hAnsi="Arial"/>
          <w:color w:val="000000" w:themeColor="text1"/>
        </w:rPr>
        <w:t>not shown in this paper</w:t>
      </w:r>
      <w:r w:rsidR="00C64F54" w:rsidRPr="00614125">
        <w:rPr>
          <w:rFonts w:ascii="Arial" w:hAnsi="Arial"/>
          <w:color w:val="000000" w:themeColor="text1"/>
        </w:rPr>
        <w:t xml:space="preserve">. </w:t>
      </w:r>
    </w:p>
    <w:p w14:paraId="5EEDBFEE" w14:textId="2B6C67F5" w:rsidR="009D64A1" w:rsidRPr="00614125" w:rsidRDefault="00741F02" w:rsidP="00FE4C9E">
      <w:pPr>
        <w:spacing w:before="120" w:after="120" w:line="360" w:lineRule="auto"/>
        <w:jc w:val="both"/>
        <w:rPr>
          <w:rFonts w:ascii="Arial" w:hAnsi="Arial"/>
          <w:color w:val="000000" w:themeColor="text1"/>
        </w:rPr>
      </w:pPr>
      <w:r w:rsidRPr="00614125">
        <w:rPr>
          <w:rFonts w:ascii="Arial" w:hAnsi="Arial"/>
          <w:color w:val="000000" w:themeColor="text1"/>
        </w:rPr>
        <w:t xml:space="preserve">Our </w:t>
      </w:r>
      <w:r w:rsidR="009206D3" w:rsidRPr="00614125">
        <w:rPr>
          <w:rFonts w:ascii="Arial" w:hAnsi="Arial"/>
          <w:color w:val="000000" w:themeColor="text1"/>
        </w:rPr>
        <w:t xml:space="preserve">calculated </w:t>
      </w:r>
      <w:r w:rsidRPr="00614125">
        <w:rPr>
          <w:rFonts w:ascii="Arial" w:hAnsi="Arial"/>
          <w:color w:val="000000" w:themeColor="text1"/>
        </w:rPr>
        <w:t>index values</w:t>
      </w:r>
      <w:r w:rsidR="009206D3" w:rsidRPr="00614125">
        <w:rPr>
          <w:rFonts w:ascii="Arial" w:hAnsi="Arial"/>
          <w:color w:val="000000" w:themeColor="text1"/>
        </w:rPr>
        <w:t xml:space="preserve"> were strongly correlated to those of </w:t>
      </w:r>
      <w:r w:rsidR="00BF1C19" w:rsidRPr="00614125">
        <w:rPr>
          <w:rFonts w:ascii="Arial" w:hAnsi="Arial"/>
          <w:color w:val="000000" w:themeColor="text1"/>
        </w:rPr>
        <w:t>Wagstaff’s and Hogan’s</w:t>
      </w:r>
      <w:r w:rsidR="008B4336" w:rsidRPr="00614125">
        <w:rPr>
          <w:rFonts w:ascii="Arial" w:hAnsi="Arial"/>
          <w:color w:val="000000" w:themeColor="text1"/>
        </w:rPr>
        <w:t xml:space="preserve"> </w:t>
      </w:r>
      <w:r w:rsidR="008B4336" w:rsidRPr="00614125">
        <w:rPr>
          <w:rFonts w:ascii="Arial" w:hAnsi="Arial"/>
          <w:color w:val="000000" w:themeColor="text1"/>
        </w:rPr>
        <w:fldChar w:fldCharType="begin" w:fldLock="1"/>
      </w:r>
      <w:r w:rsidR="003B3F6D" w:rsidRPr="00614125">
        <w:rPr>
          <w:rFonts w:ascii="Arial" w:hAnsi="Arial"/>
          <w:color w:val="000000" w:themeColor="text1"/>
        </w:rPr>
        <w:instrText>ADDIN CSL_CITATION {"citationItems":[{"id":"ITEM-1","itemData":{"DOI":"10.1377/hlthaff.2014.1453","ISSN":"0278-2715","author":[{"dropping-particle":"","family":"Wagstaff","given":"a.","non-dropping-particle":"","parse-names":false,"suffix":""},{"dropping-particle":"","family":"Dmytraczenko","given":"T.","non-dropping-particle":"","parse-names":false,"suffix":""},{"dropping-particle":"","family":"Almeida","given":"G.","non-dropping-particle":"","parse-names":false,"suffix":""},{"dropping-particle":"","family":"Buisman","given":"L.","non-dropping-particle":"","parse-names":false,"suffix":""},{"dropping-particle":"","family":"Hoang-Vu Eozenou","given":"P.","non-dropping-particle":"","parse-names":false,"suffix":""},{"dropping-particle":"","family":"Bredenkamp","given":"C.","non-dropping-particle":"","parse-names":false,"suffix":""},{"dropping-particle":"","family":"Cercone","given":"J. a.","non-dropping-particle":"","parse-names":false,"suffix":""},{"dropping-particle":"","family":"Diaz","given":"Y.","non-dropping-particle":"","parse-names":false,"suffix":""},{"dropping-particle":"","family":"Maceira","given":"D.","non-dropping-particle":"","parse-names":false,"suffix":""},{"dropping-particle":"","family":"Molina","given":"S.","non-dropping-particle":"","parse-names":false,"suffix":""},{"dropping-particle":"","family":"Paraje","given":"G.","non-dropping-particle":"","parse-names":false,"suffix":""},{"dropping-particle":"","family":"Ruiz","given":"F.","non-dropping-particle":"","parse-names":false,"suffix":""},{"dropping-particle":"","family":"Sarti","given":"F.","non-dropping-particle":"","parse-names":false,"suffix":""},{"dropping-particle":"","family":"Scott","given":"J.","non-dropping-particle":"","parse-names":false,"suffix":""},{"dropping-particle":"","family":"Valdivia","given":"M.","non-dropping-particle":"","parse-names":false,"suffix":""},{"dropping-particle":"","family":"Werneck","given":"H.","non-dropping-particle":"","parse-names":false,"suffix":""}],"container-title":"Health Affairs","id":"ITEM-1","issue":"10","issued":{"date-parts":[["2015"]]},"page":"1704-1712","title":"Assessing Latin America's Progress Toward Achieving Universal Health Coverage","type":"article-journal","volume":"34"},"uris":["http://www.mendeley.com/documents/?uuid=d1ecfd68-75a0-4b7e-9324-a6f415bb3431"]},{"id":"ITEM-2","itemData":{"DOI":"10.1016/S2214-109X(17)30472-2","ISBN":"2214-109X (Electronic) 2214-109X (Linking)","ISSN":"2214109X","PMID":"29248365","abstract":"Background: Achieving universal health coverage, including quality essential service coverage and financial protection for all, is target 3.8 of the Sustainable Development Goals (SDG). As a result, an index of essential health service coverage indicators was selected by the UN as SDG indicator 3.8.1. We have developed an index for measuring SDG 3.8.1, describe methods for compiling the index, and report baseline results for 2015. Methods: 16 tracer indicators were selected for the index, which included four from within each of the categories of reproductive, maternal, newborn, and child health; infectious disease; non-communicable diseases; and service capacity and access. Indicator data for 183 countries were taken from UN agency estimates or databases, supplemented with submissions from national focal points during a WHO country consultation. The index was computed using geometric means, and a subset of tracer indicators were used to summarise inequalities. Findings: On average, countries had primary data since 2010 for 72% of the final set of indicators. The median national value for the service coverage index was 65 out of 100 (range 22–86). The index was highly correlated with other summary measures of health, and after controlling for gross national income and mean years of adult education, was associated with 21 additional years of life expectancy over the observed range of country values. Across 52 countries with sufficient data, coverage was 1% to 66% lower among the poorest quintile as compared with the national population. Sensitivity analyses suggested ranks implied by the index are fairly stable across alternative calculation methods. Interpretation: Service coverage within universal health coverage can be measured with an index of tracer indicators. Our universal health coverage service coverage index is simple to compute by use of available country data and can be refined to incorporate relevant indicators as they become available through SDG monitoring. Funding: Ministry of Health, Japan, and the Rockefeller Foundation.","author":[{"dropping-particle":"","family":"Hogan","given":"Daniel R.","non-dropping-particle":"","parse-names":false,"suffix":""},{"dropping-particle":"","family":"Stevens","given":"Gretchen A.","non-dropping-particle":"","parse-names":false,"suffix":""},{"dropping-particle":"","family":"Hosseinpoor","given":"Ahmad Reza","non-dropping-particle":"","parse-names":false,"suffix":""},{"dropping-particle":"","family":"Boerma","given":"Ties","non-dropping-particle":"","parse-names":false,"suffix":""}],"container-title":"The Lancet Global Health","id":"ITEM-2","issued":{"date-parts":[["2018"]]},"title":"Monitoring universal health coverage within the Sustainable Development Goals: development and baseline data for an index of essential health services","type":"article-journal"},"uris":["http://www.mendeley.com/documents/?uuid=6b891dca-b0ce-416d-9211-854d6e2e2cf3"]}],"mendeley":{"formattedCitation":"[5,14]","plainTextFormattedCitation":"[5,14]","previouslyFormattedCitation":"[5,14]"},"properties":{"noteIndex":0},"schema":"https://github.com/citation-style-language/schema/raw/master/csl-citation.json"}</w:instrText>
      </w:r>
      <w:r w:rsidR="008B4336" w:rsidRPr="00614125">
        <w:rPr>
          <w:rFonts w:ascii="Arial" w:hAnsi="Arial"/>
          <w:color w:val="000000" w:themeColor="text1"/>
        </w:rPr>
        <w:fldChar w:fldCharType="separate"/>
      </w:r>
      <w:r w:rsidR="00604FF7" w:rsidRPr="00614125">
        <w:rPr>
          <w:rFonts w:ascii="Arial" w:hAnsi="Arial"/>
          <w:noProof/>
          <w:color w:val="000000" w:themeColor="text1"/>
        </w:rPr>
        <w:t>[5,14]</w:t>
      </w:r>
      <w:r w:rsidR="008B4336" w:rsidRPr="00614125">
        <w:rPr>
          <w:rFonts w:ascii="Arial" w:hAnsi="Arial"/>
          <w:color w:val="000000" w:themeColor="text1"/>
        </w:rPr>
        <w:fldChar w:fldCharType="end"/>
      </w:r>
      <w:r w:rsidR="00BF1C19" w:rsidRPr="00614125">
        <w:rPr>
          <w:rFonts w:ascii="Arial" w:hAnsi="Arial"/>
          <w:color w:val="000000" w:themeColor="text1"/>
        </w:rPr>
        <w:t xml:space="preserve">. </w:t>
      </w:r>
      <w:r w:rsidR="00891597" w:rsidRPr="00614125">
        <w:rPr>
          <w:rFonts w:ascii="Arial" w:hAnsi="Arial"/>
          <w:color w:val="000000" w:themeColor="text1"/>
        </w:rPr>
        <w:t>Further validation of our index was reflected in the estimated coefficient of out-of-pocket payments on UHC index values using equation (2). This</w:t>
      </w:r>
      <w:r w:rsidR="00D83E60" w:rsidRPr="00614125">
        <w:rPr>
          <w:rFonts w:ascii="Arial" w:hAnsi="Arial"/>
          <w:color w:val="000000" w:themeColor="text1"/>
        </w:rPr>
        <w:t xml:space="preserve"> econometric estimation</w:t>
      </w:r>
      <w:r w:rsidR="003E061B" w:rsidRPr="00614125">
        <w:rPr>
          <w:rFonts w:ascii="Arial" w:hAnsi="Arial"/>
          <w:color w:val="000000" w:themeColor="text1"/>
        </w:rPr>
        <w:t xml:space="preserve"> (</w:t>
      </w:r>
      <w:r w:rsidR="00316087" w:rsidRPr="00614125">
        <w:rPr>
          <w:rFonts w:ascii="Arial" w:hAnsi="Arial"/>
          <w:color w:val="000000" w:themeColor="text1"/>
        </w:rPr>
        <w:t>M</w:t>
      </w:r>
      <w:r w:rsidR="003E061B" w:rsidRPr="00614125">
        <w:rPr>
          <w:rFonts w:ascii="Arial" w:hAnsi="Arial"/>
          <w:color w:val="000000" w:themeColor="text1"/>
        </w:rPr>
        <w:t xml:space="preserve">odel 2 in </w:t>
      </w:r>
      <w:r w:rsidR="00316087" w:rsidRPr="00614125">
        <w:rPr>
          <w:rFonts w:ascii="Arial" w:hAnsi="Arial"/>
          <w:color w:val="000000" w:themeColor="text1"/>
        </w:rPr>
        <w:t>T</w:t>
      </w:r>
      <w:r w:rsidR="009C7975" w:rsidRPr="00614125">
        <w:rPr>
          <w:rFonts w:ascii="Arial" w:hAnsi="Arial"/>
          <w:color w:val="000000" w:themeColor="text1"/>
        </w:rPr>
        <w:t xml:space="preserve">able </w:t>
      </w:r>
      <w:r w:rsidR="00860E0F" w:rsidRPr="00614125">
        <w:rPr>
          <w:rFonts w:ascii="Arial" w:hAnsi="Arial"/>
          <w:color w:val="000000" w:themeColor="text1"/>
        </w:rPr>
        <w:t>4</w:t>
      </w:r>
      <w:r w:rsidR="003E061B" w:rsidRPr="00614125">
        <w:rPr>
          <w:rFonts w:ascii="Arial" w:hAnsi="Arial"/>
          <w:color w:val="000000" w:themeColor="text1"/>
        </w:rPr>
        <w:t xml:space="preserve">) </w:t>
      </w:r>
      <w:r w:rsidR="00543154" w:rsidRPr="00614125">
        <w:rPr>
          <w:rFonts w:ascii="Arial" w:hAnsi="Arial"/>
          <w:color w:val="000000" w:themeColor="text1"/>
        </w:rPr>
        <w:t>found</w:t>
      </w:r>
      <w:r w:rsidR="00D44CD8" w:rsidRPr="00614125">
        <w:rPr>
          <w:rFonts w:ascii="Arial" w:hAnsi="Arial"/>
          <w:color w:val="000000" w:themeColor="text1"/>
        </w:rPr>
        <w:t xml:space="preserve"> </w:t>
      </w:r>
      <w:r w:rsidR="003E061B" w:rsidRPr="00614125">
        <w:rPr>
          <w:rFonts w:ascii="Arial" w:hAnsi="Arial"/>
          <w:color w:val="000000" w:themeColor="text1"/>
        </w:rPr>
        <w:t xml:space="preserve">that </w:t>
      </w:r>
      <w:r w:rsidR="008603F2" w:rsidRPr="00614125">
        <w:rPr>
          <w:rFonts w:ascii="Arial" w:hAnsi="Arial"/>
          <w:color w:val="000000" w:themeColor="text1"/>
        </w:rPr>
        <w:t xml:space="preserve">a </w:t>
      </w:r>
      <w:r w:rsidR="003E061B" w:rsidRPr="00614125">
        <w:rPr>
          <w:rFonts w:ascii="Arial" w:hAnsi="Arial"/>
          <w:noProof/>
          <w:color w:val="000000" w:themeColor="text1"/>
        </w:rPr>
        <w:t>one-percent</w:t>
      </w:r>
      <w:r w:rsidR="003E061B" w:rsidRPr="00614125">
        <w:rPr>
          <w:rFonts w:ascii="Arial" w:hAnsi="Arial"/>
          <w:color w:val="000000" w:themeColor="text1"/>
        </w:rPr>
        <w:t xml:space="preserve"> increase in OOP payments reduced </w:t>
      </w:r>
      <w:r w:rsidR="009D64A1" w:rsidRPr="00614125">
        <w:rPr>
          <w:rFonts w:ascii="Arial" w:hAnsi="Arial"/>
          <w:color w:val="000000" w:themeColor="text1"/>
        </w:rPr>
        <w:t xml:space="preserve">our </w:t>
      </w:r>
      <w:r w:rsidR="0071586E" w:rsidRPr="00614125">
        <w:rPr>
          <w:rFonts w:ascii="Arial" w:hAnsi="Arial"/>
          <w:color w:val="000000" w:themeColor="text1"/>
        </w:rPr>
        <w:t>UHC</w:t>
      </w:r>
      <w:r w:rsidR="00FE4C9E" w:rsidRPr="00614125">
        <w:rPr>
          <w:rFonts w:ascii="Arial" w:hAnsi="Arial"/>
          <w:color w:val="000000" w:themeColor="text1"/>
        </w:rPr>
        <w:t xml:space="preserve"> index by </w:t>
      </w:r>
      <w:r w:rsidR="00860E0F" w:rsidRPr="00614125">
        <w:rPr>
          <w:rFonts w:ascii="Arial" w:hAnsi="Arial"/>
          <w:color w:val="000000" w:themeColor="text1"/>
        </w:rPr>
        <w:t>1.4</w:t>
      </w:r>
      <w:r w:rsidR="00FE4C9E" w:rsidRPr="00614125">
        <w:rPr>
          <w:rFonts w:ascii="Arial" w:hAnsi="Arial"/>
          <w:color w:val="000000" w:themeColor="text1"/>
        </w:rPr>
        <w:t xml:space="preserve"> </w:t>
      </w:r>
      <w:r w:rsidR="00FE4C9E" w:rsidRPr="00614125">
        <w:rPr>
          <w:rFonts w:ascii="Arial" w:hAnsi="Arial"/>
          <w:noProof/>
          <w:color w:val="000000" w:themeColor="text1"/>
        </w:rPr>
        <w:t>percent</w:t>
      </w:r>
      <w:r w:rsidR="00D83E60" w:rsidRPr="00614125">
        <w:rPr>
          <w:rFonts w:ascii="Arial" w:hAnsi="Arial"/>
          <w:color w:val="000000" w:themeColor="text1"/>
        </w:rPr>
        <w:t xml:space="preserve"> </w:t>
      </w:r>
      <w:r w:rsidR="00167472" w:rsidRPr="00614125">
        <w:rPr>
          <w:rFonts w:ascii="Arial" w:hAnsi="Arial"/>
          <w:color w:val="000000" w:themeColor="text1"/>
        </w:rPr>
        <w:t>when accounting for the</w:t>
      </w:r>
      <w:r w:rsidR="0003108D" w:rsidRPr="00614125">
        <w:rPr>
          <w:rFonts w:ascii="Arial" w:hAnsi="Arial"/>
          <w:color w:val="000000" w:themeColor="text1"/>
        </w:rPr>
        <w:t xml:space="preserve"> </w:t>
      </w:r>
      <w:r w:rsidR="00D83E60" w:rsidRPr="00614125">
        <w:rPr>
          <w:rFonts w:ascii="Arial" w:hAnsi="Arial"/>
          <w:color w:val="000000" w:themeColor="text1"/>
        </w:rPr>
        <w:t>economic level and demographic structure of the countries</w:t>
      </w:r>
      <w:r w:rsidR="00167472" w:rsidRPr="00614125">
        <w:rPr>
          <w:rFonts w:ascii="Arial" w:hAnsi="Arial"/>
          <w:color w:val="000000" w:themeColor="text1"/>
        </w:rPr>
        <w:t>.</w:t>
      </w:r>
      <w:r w:rsidR="008A02B2" w:rsidRPr="00614125">
        <w:rPr>
          <w:rFonts w:ascii="Arial" w:hAnsi="Arial"/>
          <w:color w:val="000000" w:themeColor="text1"/>
        </w:rPr>
        <w:t xml:space="preserve"> </w:t>
      </w:r>
      <w:r w:rsidR="00167472" w:rsidRPr="00614125">
        <w:rPr>
          <w:rFonts w:ascii="Arial" w:hAnsi="Arial"/>
          <w:color w:val="000000" w:themeColor="text1"/>
        </w:rPr>
        <w:t xml:space="preserve"> This</w:t>
      </w:r>
      <w:r w:rsidR="00D83E60" w:rsidRPr="00614125">
        <w:rPr>
          <w:rFonts w:ascii="Arial" w:hAnsi="Arial"/>
          <w:color w:val="000000" w:themeColor="text1"/>
        </w:rPr>
        <w:t xml:space="preserve"> finding </w:t>
      </w:r>
      <w:r w:rsidR="00B71D8D" w:rsidRPr="00614125">
        <w:rPr>
          <w:rFonts w:ascii="Arial" w:hAnsi="Arial"/>
          <w:color w:val="000000" w:themeColor="text1"/>
        </w:rPr>
        <w:t>was in line</w:t>
      </w:r>
      <w:r w:rsidR="004C0308" w:rsidRPr="00614125">
        <w:rPr>
          <w:rFonts w:ascii="Arial" w:hAnsi="Arial"/>
          <w:color w:val="000000" w:themeColor="text1"/>
        </w:rPr>
        <w:t xml:space="preserve"> with a</w:t>
      </w:r>
      <w:r w:rsidR="00B71D8D" w:rsidRPr="00614125">
        <w:rPr>
          <w:rFonts w:ascii="Arial" w:hAnsi="Arial"/>
          <w:color w:val="000000" w:themeColor="text1"/>
        </w:rPr>
        <w:t xml:space="preserve"> </w:t>
      </w:r>
      <w:r w:rsidR="003A588C" w:rsidRPr="00614125">
        <w:rPr>
          <w:rFonts w:ascii="Arial" w:hAnsi="Arial"/>
          <w:color w:val="000000" w:themeColor="text1"/>
        </w:rPr>
        <w:t>generally acceptable negative relation between</w:t>
      </w:r>
      <w:r w:rsidR="00B71D8D" w:rsidRPr="00614125">
        <w:rPr>
          <w:rFonts w:ascii="Arial" w:hAnsi="Arial"/>
          <w:color w:val="000000" w:themeColor="text1"/>
        </w:rPr>
        <w:t xml:space="preserve"> OOP payments </w:t>
      </w:r>
      <w:r w:rsidR="003A588C" w:rsidRPr="00614125">
        <w:rPr>
          <w:rFonts w:ascii="Arial" w:hAnsi="Arial"/>
          <w:color w:val="000000" w:themeColor="text1"/>
        </w:rPr>
        <w:t>and UHC achievement</w:t>
      </w:r>
      <w:r w:rsidR="00860E0F" w:rsidRPr="00614125">
        <w:rPr>
          <w:rFonts w:ascii="Arial" w:hAnsi="Arial"/>
          <w:color w:val="000000" w:themeColor="text1"/>
        </w:rPr>
        <w:t>.</w:t>
      </w:r>
      <w:r w:rsidR="00D83E60" w:rsidRPr="00614125">
        <w:rPr>
          <w:rFonts w:ascii="Arial" w:hAnsi="Arial"/>
          <w:color w:val="000000" w:themeColor="text1"/>
        </w:rPr>
        <w:t xml:space="preserve"> </w:t>
      </w:r>
    </w:p>
    <w:p w14:paraId="37373B2D" w14:textId="58621F28" w:rsidR="000D1B88" w:rsidRPr="00614125" w:rsidRDefault="00F10E12" w:rsidP="00FE4C9E">
      <w:pPr>
        <w:spacing w:before="120" w:after="120" w:line="360" w:lineRule="auto"/>
        <w:jc w:val="both"/>
        <w:rPr>
          <w:rFonts w:ascii="Arial" w:hAnsi="Arial"/>
          <w:color w:val="000000" w:themeColor="text1"/>
        </w:rPr>
      </w:pPr>
      <w:r w:rsidRPr="00614125">
        <w:rPr>
          <w:rFonts w:ascii="Arial" w:hAnsi="Arial"/>
          <w:color w:val="000000" w:themeColor="text1"/>
        </w:rPr>
        <w:t>In this paper, d</w:t>
      </w:r>
      <w:r w:rsidR="00ED1C04" w:rsidRPr="00614125">
        <w:rPr>
          <w:rFonts w:ascii="Arial" w:hAnsi="Arial"/>
          <w:color w:val="000000" w:themeColor="text1"/>
        </w:rPr>
        <w:t xml:space="preserve">ecomposition of the index showed </w:t>
      </w:r>
      <w:r w:rsidR="009D64A1" w:rsidRPr="00614125">
        <w:rPr>
          <w:rFonts w:ascii="Arial" w:hAnsi="Arial"/>
          <w:color w:val="000000" w:themeColor="text1"/>
        </w:rPr>
        <w:t xml:space="preserve">that </w:t>
      </w:r>
      <w:r w:rsidR="00ED1C04" w:rsidRPr="00614125">
        <w:rPr>
          <w:rFonts w:ascii="Arial" w:hAnsi="Arial"/>
          <w:color w:val="000000" w:themeColor="text1"/>
        </w:rPr>
        <w:t xml:space="preserve">in general health benefits </w:t>
      </w:r>
      <w:r w:rsidR="009D64A1" w:rsidRPr="00614125">
        <w:rPr>
          <w:rFonts w:ascii="Arial" w:hAnsi="Arial"/>
          <w:color w:val="000000" w:themeColor="text1"/>
        </w:rPr>
        <w:t xml:space="preserve">are </w:t>
      </w:r>
      <w:r w:rsidR="00ED1C04" w:rsidRPr="00614125">
        <w:rPr>
          <w:rFonts w:ascii="Arial" w:hAnsi="Arial"/>
          <w:color w:val="000000" w:themeColor="text1"/>
        </w:rPr>
        <w:t xml:space="preserve">considerably concentrated on </w:t>
      </w:r>
      <w:r w:rsidR="009D64A1" w:rsidRPr="00614125">
        <w:rPr>
          <w:rFonts w:ascii="Arial" w:hAnsi="Arial"/>
          <w:color w:val="000000" w:themeColor="text1"/>
        </w:rPr>
        <w:t xml:space="preserve">the </w:t>
      </w:r>
      <w:r w:rsidR="00ED1C04" w:rsidRPr="00614125">
        <w:rPr>
          <w:rFonts w:ascii="Arial" w:hAnsi="Arial"/>
          <w:color w:val="000000" w:themeColor="text1"/>
        </w:rPr>
        <w:t>richer segment of societ</w:t>
      </w:r>
      <w:r w:rsidR="00222921" w:rsidRPr="00614125">
        <w:rPr>
          <w:rFonts w:ascii="Arial" w:hAnsi="Arial"/>
          <w:color w:val="000000" w:themeColor="text1"/>
        </w:rPr>
        <w:t xml:space="preserve">y and </w:t>
      </w:r>
      <w:r w:rsidR="009D64A1" w:rsidRPr="00614125">
        <w:rPr>
          <w:rFonts w:ascii="Arial" w:hAnsi="Arial"/>
          <w:color w:val="000000" w:themeColor="text1"/>
        </w:rPr>
        <w:t xml:space="preserve">these </w:t>
      </w:r>
      <w:r w:rsidR="00222921" w:rsidRPr="00614125">
        <w:rPr>
          <w:rFonts w:ascii="Arial" w:hAnsi="Arial"/>
          <w:color w:val="000000" w:themeColor="text1"/>
        </w:rPr>
        <w:t>inequalities were</w:t>
      </w:r>
      <w:r w:rsidR="00DE1D36" w:rsidRPr="00614125">
        <w:rPr>
          <w:rFonts w:ascii="Arial" w:hAnsi="Arial"/>
          <w:color w:val="000000" w:themeColor="text1"/>
        </w:rPr>
        <w:t>, in fact,</w:t>
      </w:r>
      <w:r w:rsidR="009D64A1" w:rsidRPr="00614125">
        <w:rPr>
          <w:rFonts w:ascii="Arial" w:hAnsi="Arial"/>
          <w:color w:val="000000" w:themeColor="text1"/>
        </w:rPr>
        <w:t xml:space="preserve"> </w:t>
      </w:r>
      <w:r w:rsidR="00222921" w:rsidRPr="00614125">
        <w:rPr>
          <w:rFonts w:ascii="Arial" w:hAnsi="Arial"/>
          <w:color w:val="000000" w:themeColor="text1"/>
        </w:rPr>
        <w:t>more pronounced in counties with</w:t>
      </w:r>
      <w:r w:rsidR="009D64A1" w:rsidRPr="00614125">
        <w:rPr>
          <w:rFonts w:ascii="Arial" w:hAnsi="Arial"/>
          <w:color w:val="000000" w:themeColor="text1"/>
        </w:rPr>
        <w:t xml:space="preserve"> a</w:t>
      </w:r>
      <w:r w:rsidR="00222921" w:rsidRPr="00614125">
        <w:rPr>
          <w:rFonts w:ascii="Arial" w:hAnsi="Arial"/>
          <w:color w:val="000000" w:themeColor="text1"/>
        </w:rPr>
        <w:t xml:space="preserve"> </w:t>
      </w:r>
      <w:r w:rsidR="00326509" w:rsidRPr="00614125">
        <w:rPr>
          <w:rFonts w:ascii="Arial" w:hAnsi="Arial"/>
          <w:color w:val="000000" w:themeColor="text1"/>
        </w:rPr>
        <w:t>lower</w:t>
      </w:r>
      <w:r w:rsidR="00222921" w:rsidRPr="00614125">
        <w:rPr>
          <w:rFonts w:ascii="Arial" w:hAnsi="Arial"/>
          <w:color w:val="000000" w:themeColor="text1"/>
        </w:rPr>
        <w:t xml:space="preserve"> UHC achievement. </w:t>
      </w:r>
      <w:r w:rsidR="00167472" w:rsidRPr="00614125">
        <w:rPr>
          <w:rFonts w:ascii="Arial" w:hAnsi="Arial"/>
          <w:color w:val="000000" w:themeColor="text1"/>
        </w:rPr>
        <w:t>We found that a higher prevalence of OOP payments for healthcare within a country contributed to inequity favouring the richer people</w:t>
      </w:r>
      <w:r w:rsidR="00AF4DF3" w:rsidRPr="00614125">
        <w:rPr>
          <w:rFonts w:ascii="Arial" w:hAnsi="Arial"/>
          <w:color w:val="000000" w:themeColor="text1"/>
        </w:rPr>
        <w:t>,</w:t>
      </w:r>
      <w:r w:rsidR="00167472" w:rsidRPr="00614125">
        <w:rPr>
          <w:rFonts w:ascii="Arial" w:hAnsi="Arial"/>
          <w:color w:val="000000" w:themeColor="text1"/>
        </w:rPr>
        <w:t xml:space="preserve"> </w:t>
      </w:r>
      <w:r w:rsidR="00222921" w:rsidRPr="00614125">
        <w:rPr>
          <w:rFonts w:ascii="Arial" w:hAnsi="Arial"/>
          <w:color w:val="000000" w:themeColor="text1"/>
        </w:rPr>
        <w:t xml:space="preserve">in line </w:t>
      </w:r>
      <w:r w:rsidR="009D64A1" w:rsidRPr="00614125">
        <w:rPr>
          <w:rFonts w:ascii="Arial" w:hAnsi="Arial"/>
          <w:color w:val="000000" w:themeColor="text1"/>
        </w:rPr>
        <w:t xml:space="preserve">with </w:t>
      </w:r>
      <w:r w:rsidR="00222921" w:rsidRPr="00614125">
        <w:rPr>
          <w:rFonts w:ascii="Arial" w:hAnsi="Arial"/>
          <w:color w:val="000000" w:themeColor="text1"/>
        </w:rPr>
        <w:t>previous studies of</w:t>
      </w:r>
      <w:r w:rsidR="00D83E60" w:rsidRPr="00614125">
        <w:rPr>
          <w:rFonts w:ascii="Arial" w:hAnsi="Arial"/>
          <w:color w:val="000000" w:themeColor="text1"/>
        </w:rPr>
        <w:t xml:space="preserve"> b</w:t>
      </w:r>
      <w:r w:rsidR="00222921" w:rsidRPr="00614125">
        <w:rPr>
          <w:rFonts w:ascii="Arial" w:hAnsi="Arial"/>
          <w:color w:val="000000" w:themeColor="text1"/>
        </w:rPr>
        <w:t>enefit</w:t>
      </w:r>
      <w:r w:rsidR="00137CDD" w:rsidRPr="00614125">
        <w:rPr>
          <w:rFonts w:ascii="Arial" w:hAnsi="Arial"/>
          <w:color w:val="000000" w:themeColor="text1"/>
        </w:rPr>
        <w:t xml:space="preserve"> incidence analysis of health care</w:t>
      </w:r>
      <w:r w:rsidR="00CA7F0E" w:rsidRPr="00614125">
        <w:rPr>
          <w:rFonts w:ascii="Arial" w:hAnsi="Arial"/>
          <w:color w:val="000000" w:themeColor="text1"/>
        </w:rPr>
        <w:fldChar w:fldCharType="begin" w:fldLock="1"/>
      </w:r>
      <w:r w:rsidR="003B4DAF" w:rsidRPr="00614125">
        <w:rPr>
          <w:rFonts w:ascii="Arial" w:hAnsi="Arial"/>
          <w:color w:val="000000" w:themeColor="text1"/>
        </w:rPr>
        <w:instrText>ADDIN CSL_CITATION {"citationItems":[{"id":"ITEM-1","itemData":{"DOI":"10.1093/heapol/czs004","ISBN":"0268-1080","ISSN":"02681080","PMID":"22388496","abstract":"The National Health Insurance (NHI) scheme was introduced in Ghana in 2004 as a pro-poor financing strategy aimed at removing financial barriers to health care and protecting all citizens from catastrophic health expenditures, which currently arise due to user fees and other direct payments. A comprehensive assessment of the financing and benefit incidence of health services in Ghana was undertaken. These analyses drew on secondary data from the Ghana Living Standards Survey (2005/2006) and from an additional household survey which collected data in 2008 in six districts covering the three main ecological zones of Ghana. Findings show that Ghana's health care financing system is progressive, driven largely by the progressivity of taxes. The national health insurance levy (which is part of VAT) is mildly progressive while NHI contributions by the informal sector are regressive. The distribution of total benefits from both public and private health services is pro-rich. However, public sector district-level hospital inpatient care is pro-poor and benefits of primary-level health care services are relatively evenly distributed. For Ghana to attain an equitable health system and fully achieve universal coverage, it must ensure that the poor, most of whom are not currently covered by the NHI, are financially protected, and it must address the many access barriers to health care.","author":[{"dropping-particle":"","family":"Akazili","given":"James","non-dropping-particle":"","parse-names":false,"suffix":""},{"dropping-particle":"","family":"Garshong","given":"Bertha","non-dropping-particle":"","parse-names":false,"suffix":""},{"dropping-particle":"","family":"Aikins","given":"Moses","non-dropping-particle":"","parse-names":false,"suffix":""},{"dropping-particle":"","family":"Gyapong","given":"John","non-dropping-particle":"","parse-names":false,"suffix":""},{"dropping-particle":"Di","family":"McIntyre","given":"D.","non-dropping-particle":"","parse-names":false,"suffix":""}],"container-title":"Health Policy and Planning","id":"ITEM-1","issue":"SUPPL.1","issued":{"date-parts":[["2012","3"]]},"page":"i13-i22","title":"Progressivity of health care financing and incidence of service benefits in Ghana","type":"article-journal","volume":"27"},"uris":["http://www.mendeley.com/documents/?uuid=102041da-4041-45cb-a44c-f7ef49597efe"]},{"id":"ITEM-2","itemData":{"DOI":"10.1093/heapol/czw131","ISSN":"1460-2237","PMID":"28365753","abstract":"Background Equity in access to and utilization of healthcare is an important goal for any health system and an essential prerequisite for achieving Universal Health Coverage for any country. Objectives This study investigated the extent to which health benefits are distributed across socioeconomic groups; and how different types of providers contribute to inequity in health benefits of Bangladesh. Methodology The distribution of health benefits across socioeconomic groups was estimated using concentration indices. Health benefits from three types of formal providers were analysed (public, private and NGO providers), separated into rural and urban populations. Decomposition of concentration indices into types of providers quantified the relative contribution of providers to the overall distribution of benefits across socioeconomic groups. Eventually, the distribution of benefits was compared to the distribution of healthcare need (proxied by 'self-reported illness and symptoms') across socioeconomic groups. Data from the latest Household Income and Expenditure Survey, 2010 and WHO-CHOICE were used. Results An overall pro-rich distribution of healthcare benefits was observed (CI = 0.229, t -value = 9.50). Healthcare benefits from private providers (CI = 0.237, t -value = 9.44) largely favoured the richer socioeconomic groups. Little evidence of inequity in benefits was found in public (CI = 0.044, t -value = 2.98) and NGO (CI = 0.095, t -value = 0.54) providers. Private providers contributed by 95.9% to overall inequity. The poorest socioeconomic group with 21.8% of the need for healthcare received only 12.7% of the benefits, while the richest group with 18.0% of the need accounted for 32.8% of the health benefits. Conclusion Overall healthcare benefits in Bangladesh were pro-rich, particularly because of health benefits from private providers. Public providers were observed to contribute relatively slightly to inequity. The poorest (richest) people with largest (least) need for healthcare actually received lower (higher) benefits. When working to achieve Universal Health Coverage in Bangladesh, particular consideration should be given to ensuring that private sector care is more equitable.","author":[{"dropping-particle":"","family":"Khan","given":"Jahangir A M","non-dropping-particle":"","parse-names":false,"suffix":""},{"dropping-particle":"","family":"Ahmed","given":"Sayem","non-dropping-particle":"","parse-names":false,"suffix":""},{"dropping-particle":"","family":"MacLennan","given":"Mary","non-dropping-particle":"","parse-names":false,"suffix":""},{"dropping-particle":"","family":"Sarker","given":"Abdur Razzaque","non-dropping-particle":"","parse-names":false,"suffix":""},{"dropping-particle":"","family":"Sultana","given":"Marufa","non-dropping-particle":"","parse-names":false,"suffix":""},{"dropping-particle":"","family":"Rahman","given":"Hafizur","non-dropping-particle":"","parse-names":false,"suffix":""}],"container-title":"Health policy and planning","id":"ITEM-2","issue":"3","issued":{"date-parts":[["2017","4","1"]]},"page":"359-365","title":"Benefit incidence analysis of healthcare in Bangladesh - equity matters for universal health coverage.","type":"article-journal","volume":"32"},"uris":["http://www.mendeley.com/documents/?uuid=17b08d42-c69e-4f30-b8f1-343dba16b18f"]}],"mendeley":{"formattedCitation":"[15,16]","plainTextFormattedCitation":"[15,16]","previouslyFormattedCitation":"[15,16]"},"properties":{"noteIndex":0},"schema":"https://github.com/citation-style-language/schema/raw/master/csl-citation.json"}</w:instrText>
      </w:r>
      <w:r w:rsidR="00CA7F0E" w:rsidRPr="00614125">
        <w:rPr>
          <w:rFonts w:ascii="Arial" w:hAnsi="Arial"/>
          <w:color w:val="000000" w:themeColor="text1"/>
        </w:rPr>
        <w:fldChar w:fldCharType="separate"/>
      </w:r>
      <w:r w:rsidR="00CA7F0E" w:rsidRPr="00614125">
        <w:rPr>
          <w:rFonts w:ascii="Arial" w:hAnsi="Arial"/>
          <w:noProof/>
          <w:color w:val="000000" w:themeColor="text1"/>
        </w:rPr>
        <w:t>[15,16]</w:t>
      </w:r>
      <w:r w:rsidR="00CA7F0E" w:rsidRPr="00614125">
        <w:rPr>
          <w:rFonts w:ascii="Arial" w:hAnsi="Arial"/>
          <w:color w:val="000000" w:themeColor="text1"/>
        </w:rPr>
        <w:fldChar w:fldCharType="end"/>
      </w:r>
      <w:r w:rsidR="00137CDD" w:rsidRPr="00614125">
        <w:rPr>
          <w:rFonts w:ascii="Arial" w:hAnsi="Arial"/>
          <w:color w:val="000000" w:themeColor="text1"/>
        </w:rPr>
        <w:t xml:space="preserve">. </w:t>
      </w:r>
      <w:r w:rsidR="0057612B" w:rsidRPr="00614125">
        <w:rPr>
          <w:rFonts w:ascii="Arial" w:hAnsi="Arial"/>
          <w:color w:val="000000" w:themeColor="text1"/>
        </w:rPr>
        <w:t xml:space="preserve">In Bangladesh, both in- and outpatient care benefits </w:t>
      </w:r>
      <w:r w:rsidR="007E18DF" w:rsidRPr="00614125">
        <w:rPr>
          <w:rFonts w:ascii="Arial" w:hAnsi="Arial"/>
          <w:color w:val="000000" w:themeColor="text1"/>
        </w:rPr>
        <w:t xml:space="preserve">together </w:t>
      </w:r>
      <w:r w:rsidR="0057612B" w:rsidRPr="00614125">
        <w:rPr>
          <w:rFonts w:ascii="Arial" w:hAnsi="Arial"/>
          <w:color w:val="000000" w:themeColor="text1"/>
        </w:rPr>
        <w:t xml:space="preserve">through private providers had a concentration index </w:t>
      </w:r>
      <w:r w:rsidR="0057612B" w:rsidRPr="00614125">
        <w:rPr>
          <w:rFonts w:ascii="Arial" w:hAnsi="Arial"/>
          <w:color w:val="000000" w:themeColor="text1"/>
        </w:rPr>
        <w:lastRenderedPageBreak/>
        <w:t>of 0.237, while that through p</w:t>
      </w:r>
      <w:r w:rsidR="007E18DF" w:rsidRPr="00614125">
        <w:rPr>
          <w:rFonts w:ascii="Arial" w:hAnsi="Arial"/>
          <w:color w:val="000000" w:themeColor="text1"/>
        </w:rPr>
        <w:t>ublic</w:t>
      </w:r>
      <w:r w:rsidR="0057612B" w:rsidRPr="00614125">
        <w:rPr>
          <w:rFonts w:ascii="Arial" w:hAnsi="Arial"/>
          <w:color w:val="000000" w:themeColor="text1"/>
        </w:rPr>
        <w:t xml:space="preserve"> provid</w:t>
      </w:r>
      <w:r w:rsidR="00C266AB" w:rsidRPr="00614125">
        <w:rPr>
          <w:rFonts w:ascii="Arial" w:hAnsi="Arial"/>
          <w:color w:val="000000" w:themeColor="text1"/>
        </w:rPr>
        <w:t xml:space="preserve">ers </w:t>
      </w:r>
      <w:r w:rsidR="00AF4DF3" w:rsidRPr="00614125">
        <w:rPr>
          <w:rFonts w:ascii="Arial" w:hAnsi="Arial"/>
          <w:color w:val="000000" w:themeColor="text1"/>
        </w:rPr>
        <w:t xml:space="preserve">was </w:t>
      </w:r>
      <w:r w:rsidR="00C266AB" w:rsidRPr="00614125">
        <w:rPr>
          <w:rFonts w:ascii="Arial" w:hAnsi="Arial"/>
          <w:color w:val="000000" w:themeColor="text1"/>
        </w:rPr>
        <w:t>0.044</w:t>
      </w:r>
      <w:r w:rsidR="00174D9D" w:rsidRPr="00614125">
        <w:rPr>
          <w:rFonts w:ascii="Arial" w:hAnsi="Arial"/>
          <w:color w:val="000000" w:themeColor="text1"/>
        </w:rPr>
        <w:t xml:space="preserve"> </w:t>
      </w:r>
      <w:r w:rsidR="00174D9D" w:rsidRPr="00614125">
        <w:rPr>
          <w:rFonts w:ascii="Arial" w:hAnsi="Arial"/>
          <w:color w:val="000000" w:themeColor="text1"/>
        </w:rPr>
        <w:fldChar w:fldCharType="begin" w:fldLock="1"/>
      </w:r>
      <w:r w:rsidR="00CA7F0E" w:rsidRPr="00614125">
        <w:rPr>
          <w:rFonts w:ascii="Arial" w:hAnsi="Arial"/>
          <w:color w:val="000000" w:themeColor="text1"/>
        </w:rPr>
        <w:instrText>ADDIN CSL_CITATION {"citationItems":[{"id":"ITEM-1","itemData":{"DOI":"10.1093/heapol/czw131","ISSN":"1460-2237","PMID":"28365753","abstract":"Background Equity in access to and utilization of healthcare is an important goal for any health system and an essential prerequisite for achieving Universal Health Coverage for any country. Objectives This study investigated the extent to which health benefits are distributed across socioeconomic groups; and how different types of providers contribute to inequity in health benefits of Bangladesh. Methodology The distribution of health benefits across socioeconomic groups was estimated using concentration indices. Health benefits from three types of formal providers were analysed (public, private and NGO providers), separated into rural and urban populations. Decomposition of concentration indices into types of providers quantified the relative contribution of providers to the overall distribution of benefits across socioeconomic groups. Eventually, the distribution of benefits was compared to the distribution of healthcare need (proxied by 'self-reported illness and symptoms') across socioeconomic groups. Data from the latest Household Income and Expenditure Survey, 2010 and WHO-CHOICE were used. Results An overall pro-rich distribution of healthcare benefits was observed (CI = 0.229, t -value = 9.50). Healthcare benefits from private providers (CI = 0.237, t -value = 9.44) largely favoured the richer socioeconomic groups. Little evidence of inequity in benefits was found in public (CI = 0.044, t -value = 2.98) and NGO (CI = 0.095, t -value = 0.54) providers. Private providers contributed by 95.9% to overall inequity. The poorest socioeconomic group with 21.8% of the need for healthcare received only 12.7% of the benefits, while the richest group with 18.0% of the need accounted for 32.8% of the health benefits. Conclusion Overall healthcare benefits in Bangladesh were pro-rich, particularly because of health benefits from private providers. Public providers were observed to contribute relatively slightly to inequity. The poorest (richest) people with largest (least) need for healthcare actually received lower (higher) benefits. When working to achieve Universal Health Coverage in Bangladesh, particular consideration should be given to ensuring that private sector care is more equitable.","author":[{"dropping-particle":"","family":"Khan","given":"Jahangir A M","non-dropping-particle":"","parse-names":false,"suffix":""},{"dropping-particle":"","family":"Ahmed","given":"Sayem","non-dropping-particle":"","parse-names":false,"suffix":""},{"dropping-particle":"","family":"MacLennan","given":"Mary","non-dropping-particle":"","parse-names":false,"suffix":""},{"dropping-particle":"","family":"Sarker","given":"Abdur Razzaque","non-dropping-particle":"","parse-names":false,"suffix":""},{"dropping-particle":"","family":"Sultana","given":"Marufa","non-dropping-particle":"","parse-names":false,"suffix":""},{"dropping-particle":"","family":"Rahman","given":"Hafizur","non-dropping-particle":"","parse-names":false,"suffix":""}],"container-title":"Health policy and planning","id":"ITEM-1","issue":"3","issued":{"date-parts":[["2017","4","1"]]},"page":"359-365","title":"Benefit incidence analysis of healthcare in Bangladesh - equity matters for universal health coverage.","type":"article-journal","volume":"32"},"uris":["http://www.mendeley.com/documents/?uuid=17b08d42-c69e-4f30-b8f1-343dba16b18f"]}],"mendeley":{"formattedCitation":"[16]","plainTextFormattedCitation":"[16]","previouslyFormattedCitation":"[16]"},"properties":{"noteIndex":0},"schema":"https://github.com/citation-style-language/schema/raw/master/csl-citation.json"}</w:instrText>
      </w:r>
      <w:r w:rsidR="00174D9D" w:rsidRPr="00614125">
        <w:rPr>
          <w:rFonts w:ascii="Arial" w:hAnsi="Arial"/>
          <w:color w:val="000000" w:themeColor="text1"/>
        </w:rPr>
        <w:fldChar w:fldCharType="separate"/>
      </w:r>
      <w:r w:rsidR="00CA7F0E" w:rsidRPr="00614125">
        <w:rPr>
          <w:rFonts w:ascii="Arial" w:hAnsi="Arial"/>
          <w:noProof/>
          <w:color w:val="000000" w:themeColor="text1"/>
        </w:rPr>
        <w:t>[16]</w:t>
      </w:r>
      <w:r w:rsidR="00174D9D" w:rsidRPr="00614125">
        <w:rPr>
          <w:rFonts w:ascii="Arial" w:hAnsi="Arial"/>
          <w:color w:val="000000" w:themeColor="text1"/>
        </w:rPr>
        <w:fldChar w:fldCharType="end"/>
      </w:r>
      <w:r w:rsidR="0057612B" w:rsidRPr="00614125">
        <w:rPr>
          <w:rFonts w:ascii="Arial" w:hAnsi="Arial"/>
          <w:color w:val="000000" w:themeColor="text1"/>
        </w:rPr>
        <w:t xml:space="preserve">. </w:t>
      </w:r>
      <w:proofErr w:type="spellStart"/>
      <w:r w:rsidR="0057612B" w:rsidRPr="00614125">
        <w:rPr>
          <w:rFonts w:ascii="Arial" w:hAnsi="Arial"/>
          <w:color w:val="000000" w:themeColor="text1"/>
        </w:rPr>
        <w:t>Akazili</w:t>
      </w:r>
      <w:proofErr w:type="spellEnd"/>
      <w:r w:rsidR="0057612B" w:rsidRPr="00614125">
        <w:rPr>
          <w:rFonts w:ascii="Arial" w:hAnsi="Arial"/>
          <w:color w:val="000000" w:themeColor="text1"/>
        </w:rPr>
        <w:t xml:space="preserve"> and colleagues found concentration indices of out-patient </w:t>
      </w:r>
      <w:r w:rsidR="000D1B88" w:rsidRPr="00614125">
        <w:rPr>
          <w:rFonts w:ascii="Arial" w:hAnsi="Arial"/>
          <w:color w:val="000000" w:themeColor="text1"/>
        </w:rPr>
        <w:t>care benefits of 0.1807 in private and 0.1166 in public facilities</w:t>
      </w:r>
      <w:r w:rsidR="004C73CD" w:rsidRPr="00614125">
        <w:rPr>
          <w:rFonts w:ascii="Arial" w:hAnsi="Arial"/>
          <w:color w:val="000000" w:themeColor="text1"/>
        </w:rPr>
        <w:t>, where t</w:t>
      </w:r>
      <w:r w:rsidR="000D1B88" w:rsidRPr="00614125">
        <w:rPr>
          <w:rFonts w:ascii="Arial" w:hAnsi="Arial"/>
          <w:color w:val="000000" w:themeColor="text1"/>
        </w:rPr>
        <w:t>he inpatient care benefits showed concentration indices of 0.4086 in private and 0.0784 in public facilities</w:t>
      </w:r>
      <w:r w:rsidR="003B4DAF" w:rsidRPr="00614125">
        <w:rPr>
          <w:rFonts w:ascii="Arial" w:hAnsi="Arial"/>
          <w:color w:val="000000" w:themeColor="text1"/>
        </w:rPr>
        <w:fldChar w:fldCharType="begin" w:fldLock="1"/>
      </w:r>
      <w:r w:rsidR="006105C0" w:rsidRPr="00614125">
        <w:rPr>
          <w:rFonts w:ascii="Arial" w:hAnsi="Arial"/>
          <w:color w:val="000000" w:themeColor="text1"/>
        </w:rPr>
        <w:instrText>ADDIN CSL_CITATION {"citationItems":[{"id":"ITEM-1","itemData":{"DOI":"10.1093/heapol/czs004","ISBN":"0268-1080","ISSN":"02681080","PMID":"22388496","abstract":"The National Health Insurance (NHI) scheme was introduced in Ghana in 2004 as a pro-poor financing strategy aimed at removing financial barriers to health care and protecting all citizens from catastrophic health expenditures, which currently arise due to user fees and other direct payments. A comprehensive assessment of the financing and benefit incidence of health services in Ghana was undertaken. These analyses drew on secondary data from the Ghana Living Standards Survey (2005/2006) and from an additional household survey which collected data in 2008 in six districts covering the three main ecological zones of Ghana. Findings show that Ghana's health care financing system is progressive, driven largely by the progressivity of taxes. The national health insurance levy (which is part of VAT) is mildly progressive while NHI contributions by the informal sector are regressive. The distribution of total benefits from both public and private health services is pro-rich. However, public sector district-level hospital inpatient care is pro-poor and benefits of primary-level health care services are relatively evenly distributed. For Ghana to attain an equitable health system and fully achieve universal coverage, it must ensure that the poor, most of whom are not currently covered by the NHI, are financially protected, and it must address the many access barriers to health care.","author":[{"dropping-particle":"","family":"Akazili","given":"James","non-dropping-particle":"","parse-names":false,"suffix":""},{"dropping-particle":"","family":"Garshong","given":"Bertha","non-dropping-particle":"","parse-names":false,"suffix":""},{"dropping-particle":"","family":"Aikins","given":"Moses","non-dropping-particle":"","parse-names":false,"suffix":""},{"dropping-particle":"","family":"Gyapong","given":"John","non-dropping-particle":"","parse-names":false,"suffix":""},{"dropping-particle":"Di","family":"McIntyre","given":"D.","non-dropping-particle":"","parse-names":false,"suffix":""}],"container-title":"Health Policy and Planning","id":"ITEM-1","issue":"SUPPL.1","issued":{"date-parts":[["2012","3"]]},"page":"i13-i22","title":"Progressivity of health care financing and incidence of service benefits in Ghana","type":"article-journal","volume":"27"},"uris":["http://www.mendeley.com/documents/?uuid=102041da-4041-45cb-a44c-f7ef49597efe"]}],"mendeley":{"formattedCitation":"[15]","plainTextFormattedCitation":"[15]","previouslyFormattedCitation":"[15]"},"properties":{"noteIndex":0},"schema":"https://github.com/citation-style-language/schema/raw/master/csl-citation.json"}</w:instrText>
      </w:r>
      <w:r w:rsidR="003B4DAF" w:rsidRPr="00614125">
        <w:rPr>
          <w:rFonts w:ascii="Arial" w:hAnsi="Arial"/>
          <w:color w:val="000000" w:themeColor="text1"/>
        </w:rPr>
        <w:fldChar w:fldCharType="separate"/>
      </w:r>
      <w:r w:rsidR="003B4DAF" w:rsidRPr="00614125">
        <w:rPr>
          <w:rFonts w:ascii="Arial" w:hAnsi="Arial"/>
          <w:noProof/>
          <w:color w:val="000000" w:themeColor="text1"/>
        </w:rPr>
        <w:t>[15]</w:t>
      </w:r>
      <w:r w:rsidR="003B4DAF" w:rsidRPr="00614125">
        <w:rPr>
          <w:rFonts w:ascii="Arial" w:hAnsi="Arial"/>
          <w:color w:val="000000" w:themeColor="text1"/>
        </w:rPr>
        <w:fldChar w:fldCharType="end"/>
      </w:r>
      <w:r w:rsidR="000D1B88" w:rsidRPr="00614125">
        <w:rPr>
          <w:rFonts w:ascii="Arial" w:hAnsi="Arial"/>
          <w:color w:val="000000" w:themeColor="text1"/>
        </w:rPr>
        <w:t xml:space="preserve">. Experience of both countries demonstrated that </w:t>
      </w:r>
      <w:r w:rsidR="000D1B88" w:rsidRPr="00614125">
        <w:rPr>
          <w:rFonts w:ascii="Arial" w:hAnsi="Arial"/>
          <w:noProof/>
          <w:color w:val="000000" w:themeColor="text1"/>
        </w:rPr>
        <w:t>private</w:t>
      </w:r>
      <w:r w:rsidR="000D1B88" w:rsidRPr="00614125">
        <w:rPr>
          <w:rFonts w:ascii="Arial" w:hAnsi="Arial"/>
          <w:color w:val="000000" w:themeColor="text1"/>
        </w:rPr>
        <w:t xml:space="preserve"> health</w:t>
      </w:r>
      <w:r w:rsidR="002C681D" w:rsidRPr="00614125">
        <w:rPr>
          <w:rFonts w:ascii="Arial" w:hAnsi="Arial"/>
          <w:color w:val="000000" w:themeColor="text1"/>
        </w:rPr>
        <w:t xml:space="preserve"> </w:t>
      </w:r>
      <w:r w:rsidR="000D1B88" w:rsidRPr="00614125">
        <w:rPr>
          <w:rFonts w:ascii="Arial" w:hAnsi="Arial"/>
          <w:color w:val="000000" w:themeColor="text1"/>
        </w:rPr>
        <w:t>care benefits fostered inequalities in health</w:t>
      </w:r>
      <w:r w:rsidR="002C681D" w:rsidRPr="00614125">
        <w:rPr>
          <w:rFonts w:ascii="Arial" w:hAnsi="Arial"/>
          <w:color w:val="000000" w:themeColor="text1"/>
        </w:rPr>
        <w:t xml:space="preserve"> </w:t>
      </w:r>
      <w:r w:rsidR="000D1B88" w:rsidRPr="00614125">
        <w:rPr>
          <w:rFonts w:ascii="Arial" w:hAnsi="Arial"/>
          <w:color w:val="000000" w:themeColor="text1"/>
        </w:rPr>
        <w:t xml:space="preserve">care </w:t>
      </w:r>
      <w:r w:rsidR="00AF4DF3" w:rsidRPr="00614125">
        <w:rPr>
          <w:rFonts w:ascii="Arial" w:hAnsi="Arial"/>
          <w:color w:val="000000" w:themeColor="text1"/>
        </w:rPr>
        <w:t xml:space="preserve">to </w:t>
      </w:r>
      <w:r w:rsidR="000D1B88" w:rsidRPr="00614125">
        <w:rPr>
          <w:rFonts w:ascii="Arial" w:hAnsi="Arial"/>
          <w:color w:val="000000" w:themeColor="text1"/>
        </w:rPr>
        <w:t>a much larger</w:t>
      </w:r>
      <w:r w:rsidR="00DD59E3" w:rsidRPr="00614125">
        <w:rPr>
          <w:rFonts w:ascii="Arial" w:hAnsi="Arial"/>
          <w:color w:val="000000" w:themeColor="text1"/>
        </w:rPr>
        <w:t xml:space="preserve"> extent</w:t>
      </w:r>
      <w:r w:rsidR="000D1B88" w:rsidRPr="00614125">
        <w:rPr>
          <w:rFonts w:ascii="Arial" w:hAnsi="Arial"/>
          <w:color w:val="000000" w:themeColor="text1"/>
        </w:rPr>
        <w:t xml:space="preserve">. </w:t>
      </w:r>
      <w:r w:rsidR="00BD7FCD" w:rsidRPr="00614125">
        <w:rPr>
          <w:rFonts w:ascii="Arial" w:hAnsi="Arial"/>
          <w:color w:val="000000" w:themeColor="text1"/>
        </w:rPr>
        <w:t xml:space="preserve">The </w:t>
      </w:r>
      <w:r w:rsidR="000D1B88" w:rsidRPr="00614125">
        <w:rPr>
          <w:rFonts w:ascii="Arial" w:hAnsi="Arial"/>
          <w:color w:val="000000" w:themeColor="text1"/>
        </w:rPr>
        <w:t xml:space="preserve">UHC mission </w:t>
      </w:r>
      <w:r w:rsidR="00BD7FCD" w:rsidRPr="00614125">
        <w:rPr>
          <w:rFonts w:ascii="Arial" w:hAnsi="Arial"/>
          <w:color w:val="000000" w:themeColor="text1"/>
        </w:rPr>
        <w:t xml:space="preserve">aims </w:t>
      </w:r>
      <w:r w:rsidR="000D1B88" w:rsidRPr="00614125">
        <w:rPr>
          <w:rFonts w:ascii="Arial" w:hAnsi="Arial"/>
          <w:color w:val="000000" w:themeColor="text1"/>
        </w:rPr>
        <w:t xml:space="preserve">to guarantee </w:t>
      </w:r>
      <w:r w:rsidR="00BD7FCD" w:rsidRPr="00614125">
        <w:rPr>
          <w:rFonts w:ascii="Arial" w:hAnsi="Arial"/>
          <w:color w:val="000000" w:themeColor="text1"/>
        </w:rPr>
        <w:t xml:space="preserve">the </w:t>
      </w:r>
      <w:r w:rsidR="0003108D" w:rsidRPr="00614125">
        <w:rPr>
          <w:rFonts w:ascii="Arial" w:hAnsi="Arial"/>
          <w:color w:val="000000" w:themeColor="text1"/>
        </w:rPr>
        <w:t>need-</w:t>
      </w:r>
      <w:r w:rsidR="00CC7F4A" w:rsidRPr="00614125">
        <w:rPr>
          <w:rFonts w:ascii="Arial" w:hAnsi="Arial"/>
          <w:color w:val="000000" w:themeColor="text1"/>
        </w:rPr>
        <w:t>based</w:t>
      </w:r>
      <w:r w:rsidR="000D1B88" w:rsidRPr="00614125">
        <w:rPr>
          <w:rFonts w:ascii="Arial" w:hAnsi="Arial"/>
          <w:color w:val="000000" w:themeColor="text1"/>
        </w:rPr>
        <w:t xml:space="preserve"> health coverage for all people irrespective of their socioeconomic position</w:t>
      </w:r>
      <w:r w:rsidR="00EC683C" w:rsidRPr="00614125">
        <w:rPr>
          <w:rFonts w:ascii="Arial" w:hAnsi="Arial"/>
          <w:color w:val="000000" w:themeColor="text1"/>
        </w:rPr>
        <w:t>, but</w:t>
      </w:r>
      <w:r w:rsidR="000D1B88" w:rsidRPr="00614125">
        <w:rPr>
          <w:rFonts w:ascii="Arial" w:hAnsi="Arial"/>
          <w:color w:val="000000" w:themeColor="text1"/>
        </w:rPr>
        <w:t xml:space="preserve"> </w:t>
      </w:r>
      <w:r w:rsidR="00776357" w:rsidRPr="00614125">
        <w:rPr>
          <w:rFonts w:ascii="Arial" w:hAnsi="Arial"/>
          <w:color w:val="000000" w:themeColor="text1"/>
        </w:rPr>
        <w:t xml:space="preserve">the current nature of </w:t>
      </w:r>
      <w:r w:rsidR="00EC683C" w:rsidRPr="00614125">
        <w:rPr>
          <w:rFonts w:ascii="Arial" w:hAnsi="Arial"/>
          <w:color w:val="000000" w:themeColor="text1"/>
        </w:rPr>
        <w:t xml:space="preserve">health </w:t>
      </w:r>
      <w:r w:rsidR="000D1B88" w:rsidRPr="00614125">
        <w:rPr>
          <w:rFonts w:ascii="Arial" w:hAnsi="Arial"/>
          <w:color w:val="000000" w:themeColor="text1"/>
        </w:rPr>
        <w:t>service</w:t>
      </w:r>
      <w:r w:rsidR="00776357" w:rsidRPr="00614125">
        <w:rPr>
          <w:rFonts w:ascii="Arial" w:hAnsi="Arial"/>
          <w:color w:val="000000" w:themeColor="text1"/>
        </w:rPr>
        <w:t xml:space="preserve"> provision</w:t>
      </w:r>
      <w:r w:rsidR="000D1B88" w:rsidRPr="00614125">
        <w:rPr>
          <w:rFonts w:ascii="Arial" w:hAnsi="Arial"/>
          <w:color w:val="000000" w:themeColor="text1"/>
        </w:rPr>
        <w:t xml:space="preserve"> </w:t>
      </w:r>
      <w:r w:rsidR="00DD59E3" w:rsidRPr="00614125">
        <w:rPr>
          <w:rFonts w:ascii="Arial" w:hAnsi="Arial"/>
          <w:color w:val="000000" w:themeColor="text1"/>
        </w:rPr>
        <w:t xml:space="preserve">through </w:t>
      </w:r>
      <w:r w:rsidR="00776357" w:rsidRPr="00614125">
        <w:rPr>
          <w:rFonts w:ascii="Arial" w:hAnsi="Arial"/>
          <w:color w:val="000000" w:themeColor="text1"/>
        </w:rPr>
        <w:t xml:space="preserve">the </w:t>
      </w:r>
      <w:r w:rsidR="00EC683C" w:rsidRPr="00614125">
        <w:rPr>
          <w:rFonts w:ascii="Arial" w:hAnsi="Arial"/>
          <w:color w:val="000000" w:themeColor="text1"/>
        </w:rPr>
        <w:t>private sector</w:t>
      </w:r>
      <w:r w:rsidR="00DD59E3" w:rsidRPr="00614125">
        <w:rPr>
          <w:rFonts w:ascii="Arial" w:hAnsi="Arial"/>
          <w:color w:val="000000" w:themeColor="text1"/>
        </w:rPr>
        <w:t xml:space="preserve"> </w:t>
      </w:r>
      <w:r w:rsidR="00776357" w:rsidRPr="00614125">
        <w:rPr>
          <w:rFonts w:ascii="Arial" w:hAnsi="Arial"/>
          <w:color w:val="000000" w:themeColor="text1"/>
        </w:rPr>
        <w:t xml:space="preserve">suggests this mission is far from being achieved. </w:t>
      </w:r>
    </w:p>
    <w:p w14:paraId="22EFE2A1" w14:textId="35B708C0" w:rsidR="00A20C70" w:rsidRPr="00614125" w:rsidRDefault="00A20C70" w:rsidP="00A20C70">
      <w:pPr>
        <w:spacing w:before="120" w:after="120" w:line="360" w:lineRule="auto"/>
        <w:jc w:val="both"/>
        <w:rPr>
          <w:rFonts w:ascii="Arial" w:hAnsi="Arial"/>
          <w:color w:val="000000" w:themeColor="text1"/>
        </w:rPr>
      </w:pPr>
      <w:r w:rsidRPr="00614125">
        <w:rPr>
          <w:rFonts w:ascii="Arial" w:hAnsi="Arial"/>
          <w:color w:val="000000" w:themeColor="text1"/>
        </w:rPr>
        <w:t xml:space="preserve">While the other researchers used geometric mean of health service tracers </w:t>
      </w:r>
      <w:r w:rsidR="00081896" w:rsidRPr="00614125">
        <w:rPr>
          <w:rFonts w:ascii="Arial" w:hAnsi="Arial"/>
          <w:color w:val="000000" w:themeColor="text1"/>
        </w:rPr>
        <w:fldChar w:fldCharType="begin" w:fldLock="1"/>
      </w:r>
      <w:r w:rsidR="003B3F6D" w:rsidRPr="00614125">
        <w:rPr>
          <w:rFonts w:ascii="Arial" w:hAnsi="Arial"/>
          <w:color w:val="000000" w:themeColor="text1"/>
        </w:rPr>
        <w:instrText>ADDIN CSL_CITATION {"citationItems":[{"id":"ITEM-1","itemData":{"DOI":"10.1377/hlthaff.2014.1453","ISSN":"0278-2715","author":[{"dropping-particle":"","family":"Wagstaff","given":"a.","non-dropping-particle":"","parse-names":false,"suffix":""},{"dropping-particle":"","family":"Dmytraczenko","given":"T.","non-dropping-particle":"","parse-names":false,"suffix":""},{"dropping-particle":"","family":"Almeida","given":"G.","non-dropping-particle":"","parse-names":false,"suffix":""},{"dropping-particle":"","family":"Buisman","given":"L.","non-dropping-particle":"","parse-names":false,"suffix":""},{"dropping-particle":"","family":"Hoang-Vu Eozenou","given":"P.","non-dropping-particle":"","parse-names":false,"suffix":""},{"dropping-particle":"","family":"Bredenkamp","given":"C.","non-dropping-particle":"","parse-names":false,"suffix":""},{"dropping-particle":"","family":"Cercone","given":"J. a.","non-dropping-particle":"","parse-names":false,"suffix":""},{"dropping-particle":"","family":"Diaz","given":"Y.","non-dropping-particle":"","parse-names":false,"suffix":""},{"dropping-particle":"","family":"Maceira","given":"D.","non-dropping-particle":"","parse-names":false,"suffix":""},{"dropping-particle":"","family":"Molina","given":"S.","non-dropping-particle":"","parse-names":false,"suffix":""},{"dropping-particle":"","family":"Paraje","given":"G.","non-dropping-particle":"","parse-names":false,"suffix":""},{"dropping-particle":"","family":"Ruiz","given":"F.","non-dropping-particle":"","parse-names":false,"suffix":""},{"dropping-particle":"","family":"Sarti","given":"F.","non-dropping-particle":"","parse-names":false,"suffix":""},{"dropping-particle":"","family":"Scott","given":"J.","non-dropping-particle":"","parse-names":false,"suffix":""},{"dropping-particle":"","family":"Valdivia","given":"M.","non-dropping-particle":"","parse-names":false,"suffix":""},{"dropping-particle":"","family":"Werneck","given":"H.","non-dropping-particle":"","parse-names":false,"suffix":""}],"container-title":"Health Affairs","id":"ITEM-1","issue":"10","issued":{"date-parts":[["2015"]]},"page":"1704-1712","title":"Assessing Latin America's Progress Toward Achieving Universal Health Coverage","type":"article-journal","volume":"34"},"uris":["http://www.mendeley.com/documents/?uuid=d1ecfd68-75a0-4b7e-9324-a6f415bb3431"]},{"id":"ITEM-2","itemData":{"DOI":"10.1016/S2214-109X(17)30472-2","ISBN":"2214-109X (Electronic) 2214-109X (Linking)","ISSN":"2214109X","PMID":"29248365","abstract":"Background: Achieving universal health coverage, including quality essential service coverage and financial protection for all, is target 3.8 of the Sustainable Development Goals (SDG). As a result, an index of essential health service coverage indicators was selected by the UN as SDG indicator 3.8.1. We have developed an index for measuring SDG 3.8.1, describe methods for compiling the index, and report baseline results for 2015. Methods: 16 tracer indicators were selected for the index, which included four from within each of the categories of reproductive, maternal, newborn, and child health; infectious disease; non-communicable diseases; and service capacity and access. Indicator data for 183 countries were taken from UN agency estimates or databases, supplemented with submissions from national focal points during a WHO country consultation. The index was computed using geometric means, and a subset of tracer indicators were used to summarise inequalities. Findings: On average, countries had primary data since 2010 for 72% of the final set of indicators. The median national value for the service coverage index was 65 out of 100 (range 22–86). The index was highly correlated with other summary measures of health, and after controlling for gross national income and mean years of adult education, was associated with 21 additional years of life expectancy over the observed range of country values. Across 52 countries with sufficient data, coverage was 1% to 66% lower among the poorest quintile as compared with the national population. Sensitivity analyses suggested ranks implied by the index are fairly stable across alternative calculation methods. Interpretation: Service coverage within universal health coverage can be measured with an index of tracer indicators. Our universal health coverage service coverage index is simple to compute by use of available country data and can be refined to incorporate relevant indicators as they become available through SDG monitoring. Funding: Ministry of Health, Japan, and the Rockefeller Foundation.","author":[{"dropping-particle":"","family":"Hogan","given":"Daniel R.","non-dropping-particle":"","parse-names":false,"suffix":""},{"dropping-particle":"","family":"Stevens","given":"Gretchen A.","non-dropping-particle":"","parse-names":false,"suffix":""},{"dropping-particle":"","family":"Hosseinpoor","given":"Ahmad Reza","non-dropping-particle":"","parse-names":false,"suffix":""},{"dropping-particle":"","family":"Boerma","given":"Ties","non-dropping-particle":"","parse-names":false,"suffix":""}],"container-title":"The Lancet Global Health","id":"ITEM-2","issued":{"date-parts":[["2018"]]},"title":"Monitoring universal health coverage within the Sustainable Development Goals: development and baseline data for an index of essential health services","type":"article-journal"},"uris":["http://www.mendeley.com/documents/?uuid=6b891dca-b0ce-416d-9211-854d6e2e2cf3"]}],"mendeley":{"formattedCitation":"[5,14]","plainTextFormattedCitation":"[5,14]","previouslyFormattedCitation":"[5,14]"},"properties":{"noteIndex":0},"schema":"https://github.com/citation-style-language/schema/raw/master/csl-citation.json"}</w:instrText>
      </w:r>
      <w:r w:rsidR="00081896" w:rsidRPr="00614125">
        <w:rPr>
          <w:rFonts w:ascii="Arial" w:hAnsi="Arial"/>
          <w:color w:val="000000" w:themeColor="text1"/>
        </w:rPr>
        <w:fldChar w:fldCharType="separate"/>
      </w:r>
      <w:r w:rsidR="00604FF7" w:rsidRPr="00614125">
        <w:rPr>
          <w:rFonts w:ascii="Arial" w:hAnsi="Arial"/>
          <w:noProof/>
          <w:color w:val="000000" w:themeColor="text1"/>
        </w:rPr>
        <w:t>[5,14]</w:t>
      </w:r>
      <w:r w:rsidR="00081896" w:rsidRPr="00614125">
        <w:rPr>
          <w:rFonts w:ascii="Arial" w:hAnsi="Arial"/>
          <w:color w:val="000000" w:themeColor="text1"/>
        </w:rPr>
        <w:fldChar w:fldCharType="end"/>
      </w:r>
      <w:r w:rsidR="00081896" w:rsidRPr="00614125">
        <w:rPr>
          <w:rFonts w:ascii="Arial" w:hAnsi="Arial"/>
          <w:color w:val="000000" w:themeColor="text1"/>
        </w:rPr>
        <w:t xml:space="preserve"> </w:t>
      </w:r>
      <w:r w:rsidR="00DE2DB3" w:rsidRPr="00614125">
        <w:rPr>
          <w:rFonts w:ascii="Arial" w:hAnsi="Arial"/>
          <w:color w:val="000000" w:themeColor="text1"/>
        </w:rPr>
        <w:t xml:space="preserve"> for calculating </w:t>
      </w:r>
      <w:r w:rsidR="00DE1D36" w:rsidRPr="00614125">
        <w:rPr>
          <w:rFonts w:ascii="Arial" w:hAnsi="Arial"/>
          <w:color w:val="000000" w:themeColor="text1"/>
        </w:rPr>
        <w:t xml:space="preserve">the </w:t>
      </w:r>
      <w:r w:rsidR="00DE2DB3" w:rsidRPr="00614125">
        <w:rPr>
          <w:rFonts w:ascii="Arial" w:hAnsi="Arial"/>
          <w:noProof/>
          <w:color w:val="000000" w:themeColor="text1"/>
        </w:rPr>
        <w:t>index</w:t>
      </w:r>
      <w:r w:rsidRPr="00614125">
        <w:rPr>
          <w:rFonts w:ascii="Arial" w:hAnsi="Arial"/>
          <w:color w:val="000000" w:themeColor="text1"/>
        </w:rPr>
        <w:t xml:space="preserve">, we utilized a transparent step-by-step spreadsheet approach which should be useful for the potential users (like, health managers of Ministries and local government, international health observers) without </w:t>
      </w:r>
      <w:r w:rsidR="00DE1D36" w:rsidRPr="00614125">
        <w:rPr>
          <w:rFonts w:ascii="Arial" w:hAnsi="Arial"/>
          <w:color w:val="000000" w:themeColor="text1"/>
        </w:rPr>
        <w:t xml:space="preserve">a statistical </w:t>
      </w:r>
      <w:r w:rsidRPr="00614125">
        <w:rPr>
          <w:rFonts w:ascii="Arial" w:hAnsi="Arial"/>
          <w:color w:val="000000" w:themeColor="text1"/>
        </w:rPr>
        <w:t>background and research skills.</w:t>
      </w:r>
      <w:r w:rsidR="00DE2DB3" w:rsidRPr="00614125">
        <w:rPr>
          <w:rFonts w:ascii="Arial" w:hAnsi="Arial"/>
          <w:color w:val="000000" w:themeColor="text1"/>
        </w:rPr>
        <w:t xml:space="preserve"> It should be emphasized here that our spreadsheet approach can even be used for monitoring the service coverage status in local (sub-districts) and regional (</w:t>
      </w:r>
      <w:r w:rsidR="001A33E8" w:rsidRPr="00614125">
        <w:rPr>
          <w:rFonts w:ascii="Arial" w:hAnsi="Arial"/>
          <w:color w:val="000000" w:themeColor="text1"/>
        </w:rPr>
        <w:t>provinces</w:t>
      </w:r>
      <w:r w:rsidR="00DE2DB3" w:rsidRPr="00614125">
        <w:rPr>
          <w:rFonts w:ascii="Arial" w:hAnsi="Arial"/>
          <w:color w:val="000000" w:themeColor="text1"/>
        </w:rPr>
        <w:t xml:space="preserve">) as well as in any health service catchment areas by </w:t>
      </w:r>
      <w:r w:rsidR="00005B79" w:rsidRPr="00614125">
        <w:rPr>
          <w:rFonts w:ascii="Arial" w:hAnsi="Arial"/>
          <w:color w:val="000000" w:themeColor="text1"/>
        </w:rPr>
        <w:t xml:space="preserve">customising </w:t>
      </w:r>
      <w:r w:rsidR="00DE2DB3" w:rsidRPr="00614125">
        <w:rPr>
          <w:rFonts w:ascii="Arial" w:hAnsi="Arial"/>
          <w:color w:val="000000" w:themeColor="text1"/>
        </w:rPr>
        <w:t xml:space="preserve">the spreadsheet </w:t>
      </w:r>
      <w:r w:rsidR="00005B79" w:rsidRPr="00614125">
        <w:rPr>
          <w:rFonts w:ascii="Arial" w:hAnsi="Arial"/>
          <w:color w:val="000000" w:themeColor="text1"/>
        </w:rPr>
        <w:t xml:space="preserve">to </w:t>
      </w:r>
      <w:r w:rsidR="00DE2DB3" w:rsidRPr="00614125">
        <w:rPr>
          <w:rFonts w:ascii="Arial" w:hAnsi="Arial"/>
          <w:color w:val="000000" w:themeColor="text1"/>
        </w:rPr>
        <w:t xml:space="preserve">local conditions.   </w:t>
      </w:r>
    </w:p>
    <w:p w14:paraId="5FEDF9F3" w14:textId="0BFD6242" w:rsidR="00A20C70" w:rsidRPr="00614125" w:rsidRDefault="00564A98" w:rsidP="00337D8B">
      <w:pPr>
        <w:spacing w:before="120" w:after="120" w:line="360" w:lineRule="auto"/>
        <w:jc w:val="both"/>
        <w:rPr>
          <w:rFonts w:ascii="Arial" w:hAnsi="Arial"/>
          <w:color w:val="000000" w:themeColor="text1"/>
        </w:rPr>
      </w:pPr>
      <w:r w:rsidRPr="00614125">
        <w:rPr>
          <w:rFonts w:ascii="Arial" w:hAnsi="Arial"/>
          <w:color w:val="000000" w:themeColor="text1"/>
        </w:rPr>
        <w:t xml:space="preserve">In </w:t>
      </w:r>
      <w:r w:rsidRPr="00614125">
        <w:rPr>
          <w:rFonts w:ascii="Arial" w:hAnsi="Arial"/>
          <w:noProof/>
          <w:color w:val="000000" w:themeColor="text1"/>
        </w:rPr>
        <w:t>principal</w:t>
      </w:r>
      <w:r w:rsidRPr="00614125">
        <w:rPr>
          <w:rFonts w:ascii="Arial" w:hAnsi="Arial"/>
          <w:color w:val="000000" w:themeColor="text1"/>
        </w:rPr>
        <w:t>, any number of possible service indicators and population stratum</w:t>
      </w:r>
      <w:r w:rsidR="00DE1D36" w:rsidRPr="00614125">
        <w:rPr>
          <w:rFonts w:ascii="Arial" w:hAnsi="Arial"/>
          <w:color w:val="000000" w:themeColor="text1"/>
        </w:rPr>
        <w:t>, as well as the indicator of financial protection,</w:t>
      </w:r>
      <w:r w:rsidRPr="00614125">
        <w:rPr>
          <w:rFonts w:ascii="Arial" w:hAnsi="Arial"/>
          <w:color w:val="000000" w:themeColor="text1"/>
        </w:rPr>
        <w:t xml:space="preserve"> can be accommodated in constructing the proposed index. Though we have put </w:t>
      </w:r>
      <w:r w:rsidR="00DE1D36" w:rsidRPr="00614125">
        <w:rPr>
          <w:rFonts w:ascii="Arial" w:hAnsi="Arial"/>
          <w:color w:val="000000" w:themeColor="text1"/>
        </w:rPr>
        <w:t xml:space="preserve">an </w:t>
      </w:r>
      <w:r w:rsidRPr="00614125">
        <w:rPr>
          <w:rFonts w:ascii="Arial" w:hAnsi="Arial"/>
          <w:noProof/>
          <w:color w:val="000000" w:themeColor="text1"/>
        </w:rPr>
        <w:t>equal</w:t>
      </w:r>
      <w:r w:rsidRPr="00614125">
        <w:rPr>
          <w:rFonts w:ascii="Arial" w:hAnsi="Arial"/>
          <w:color w:val="000000" w:themeColor="text1"/>
        </w:rPr>
        <w:t xml:space="preserve"> weight across all services and population group</w:t>
      </w:r>
      <w:r w:rsidR="00092B95" w:rsidRPr="00614125">
        <w:rPr>
          <w:rFonts w:ascii="Arial" w:hAnsi="Arial"/>
          <w:color w:val="000000" w:themeColor="text1"/>
        </w:rPr>
        <w:t xml:space="preserve">s, it is </w:t>
      </w:r>
      <w:r w:rsidRPr="00614125">
        <w:rPr>
          <w:rFonts w:ascii="Arial" w:hAnsi="Arial"/>
          <w:color w:val="000000" w:themeColor="text1"/>
        </w:rPr>
        <w:t xml:space="preserve">possible to assign different weights considering the priority of services and sub-populations in calculating the index. If the service utilization rates change over time in sub-populations in a way that the total length of coverage remains same, our index value will not be sensitive to these changes while equal weights are applied. The index values will, however, be sensitive if different weights are applied for different services and in different population sub-groups. Use of sex- and age-standardized service utilization rates might be more useful for comparing the index values across countries. </w:t>
      </w:r>
      <w:r w:rsidR="00DA7A73" w:rsidRPr="00614125">
        <w:rPr>
          <w:rFonts w:ascii="Arial" w:hAnsi="Arial"/>
          <w:color w:val="000000" w:themeColor="text1"/>
        </w:rPr>
        <w:t>In this initial phase of the developing the index, we give focus on actual values reflecting three dimensions of UHC (population coverage, service coverage and financial protection). Since we do not find any priority in specific health services and population groups by any global health policy</w:t>
      </w:r>
      <w:r w:rsidR="00A20C70" w:rsidRPr="00614125">
        <w:rPr>
          <w:rFonts w:ascii="Arial" w:hAnsi="Arial"/>
          <w:color w:val="000000" w:themeColor="text1"/>
        </w:rPr>
        <w:t xml:space="preserve"> for achieving UHC</w:t>
      </w:r>
      <w:r w:rsidR="00DA7A73" w:rsidRPr="00614125">
        <w:rPr>
          <w:rFonts w:ascii="Arial" w:hAnsi="Arial"/>
          <w:color w:val="000000" w:themeColor="text1"/>
        </w:rPr>
        <w:t xml:space="preserve">, we assumed same weight across services and sub-populations. It, however, is technically simple to add weights in the analysis. </w:t>
      </w:r>
    </w:p>
    <w:p w14:paraId="7C2236F9" w14:textId="6BD76A03" w:rsidR="005D199B" w:rsidRPr="00614125" w:rsidRDefault="00564A98" w:rsidP="00337D8B">
      <w:pPr>
        <w:spacing w:before="120" w:after="120" w:line="360" w:lineRule="auto"/>
        <w:jc w:val="both"/>
        <w:rPr>
          <w:rFonts w:ascii="Arial" w:hAnsi="Arial"/>
          <w:color w:val="000000" w:themeColor="text1"/>
        </w:rPr>
      </w:pPr>
      <w:r w:rsidRPr="00614125">
        <w:rPr>
          <w:rFonts w:ascii="Arial" w:hAnsi="Arial"/>
          <w:color w:val="000000" w:themeColor="text1"/>
        </w:rPr>
        <w:lastRenderedPageBreak/>
        <w:t xml:space="preserve">In the practical context, data on utilization of services </w:t>
      </w:r>
      <w:r w:rsidRPr="00614125">
        <w:rPr>
          <w:rFonts w:ascii="Arial" w:hAnsi="Arial"/>
          <w:noProof/>
          <w:color w:val="000000" w:themeColor="text1"/>
        </w:rPr>
        <w:t>like,</w:t>
      </w:r>
      <w:r w:rsidRPr="00614125">
        <w:rPr>
          <w:rFonts w:ascii="Arial" w:hAnsi="Arial"/>
          <w:color w:val="000000" w:themeColor="text1"/>
        </w:rPr>
        <w:t xml:space="preserve"> rehabilitative and palliative care are often missing in most of the low- and middle-income countries. We, however, expect that through ongoing research on UHC, more data will be available in </w:t>
      </w:r>
      <w:r w:rsidR="00DE1D36" w:rsidRPr="00614125">
        <w:rPr>
          <w:rFonts w:ascii="Arial" w:hAnsi="Arial"/>
          <w:color w:val="000000" w:themeColor="text1"/>
        </w:rPr>
        <w:t xml:space="preserve">the </w:t>
      </w:r>
      <w:r w:rsidRPr="00614125">
        <w:rPr>
          <w:rFonts w:ascii="Arial" w:hAnsi="Arial"/>
          <w:noProof/>
          <w:color w:val="000000" w:themeColor="text1"/>
        </w:rPr>
        <w:t>near</w:t>
      </w:r>
      <w:r w:rsidRPr="00614125">
        <w:rPr>
          <w:rFonts w:ascii="Arial" w:hAnsi="Arial"/>
          <w:color w:val="000000" w:themeColor="text1"/>
        </w:rPr>
        <w:t xml:space="preserve"> future which will be useful to calculate more robust UHC index values using this current method. </w:t>
      </w:r>
      <w:r w:rsidR="00FE066C" w:rsidRPr="00614125">
        <w:rPr>
          <w:rFonts w:ascii="Arial" w:hAnsi="Arial"/>
          <w:color w:val="000000" w:themeColor="text1"/>
        </w:rPr>
        <w:t>We expect that more robust and frequent data on health</w:t>
      </w:r>
      <w:r w:rsidR="002C681D" w:rsidRPr="00614125">
        <w:rPr>
          <w:rFonts w:ascii="Arial" w:hAnsi="Arial"/>
          <w:color w:val="000000" w:themeColor="text1"/>
        </w:rPr>
        <w:t xml:space="preserve"> </w:t>
      </w:r>
      <w:r w:rsidR="00FE066C" w:rsidRPr="00614125">
        <w:rPr>
          <w:rFonts w:ascii="Arial" w:hAnsi="Arial"/>
          <w:color w:val="000000" w:themeColor="text1"/>
        </w:rPr>
        <w:t>care utilization and financial risk protection will be more useful to observe the UHC status of the countries</w:t>
      </w:r>
      <w:r w:rsidR="009606CA" w:rsidRPr="00614125">
        <w:rPr>
          <w:rFonts w:ascii="Arial" w:hAnsi="Arial"/>
          <w:color w:val="000000" w:themeColor="text1"/>
        </w:rPr>
        <w:t xml:space="preserve"> and </w:t>
      </w:r>
      <w:r w:rsidR="004441FF" w:rsidRPr="00614125">
        <w:rPr>
          <w:rFonts w:ascii="Arial" w:hAnsi="Arial"/>
          <w:color w:val="000000" w:themeColor="text1"/>
        </w:rPr>
        <w:t xml:space="preserve">their </w:t>
      </w:r>
      <w:r w:rsidR="009606CA" w:rsidRPr="00614125">
        <w:rPr>
          <w:rFonts w:ascii="Arial" w:hAnsi="Arial"/>
          <w:color w:val="000000" w:themeColor="text1"/>
        </w:rPr>
        <w:t xml:space="preserve">progress over periods. </w:t>
      </w:r>
      <w:r w:rsidR="00067704" w:rsidRPr="00614125">
        <w:rPr>
          <w:rFonts w:ascii="Arial" w:hAnsi="Arial"/>
          <w:color w:val="000000" w:themeColor="text1"/>
        </w:rPr>
        <w:t xml:space="preserve">We </w:t>
      </w:r>
      <w:r w:rsidR="007637E2" w:rsidRPr="00614125">
        <w:rPr>
          <w:rFonts w:ascii="Arial" w:hAnsi="Arial"/>
          <w:color w:val="000000" w:themeColor="text1"/>
        </w:rPr>
        <w:t xml:space="preserve">would also </w:t>
      </w:r>
      <w:r w:rsidR="00067704" w:rsidRPr="00614125">
        <w:rPr>
          <w:rFonts w:ascii="Arial" w:hAnsi="Arial"/>
          <w:color w:val="000000" w:themeColor="text1"/>
        </w:rPr>
        <w:t xml:space="preserve">benefit by quantifying the </w:t>
      </w:r>
      <w:r w:rsidR="00C47856" w:rsidRPr="00614125">
        <w:rPr>
          <w:rFonts w:ascii="Arial" w:hAnsi="Arial"/>
          <w:color w:val="000000" w:themeColor="text1"/>
        </w:rPr>
        <w:t xml:space="preserve">effects of any changes in service utilization by any socioeconomic groups. </w:t>
      </w:r>
      <w:r w:rsidR="004A59FE" w:rsidRPr="00614125">
        <w:rPr>
          <w:rFonts w:ascii="Arial" w:hAnsi="Arial"/>
          <w:color w:val="000000" w:themeColor="text1"/>
        </w:rPr>
        <w:t xml:space="preserve">It is also possible to classify the populations with demographic characteristics (age group, male-female), residence (urban, rural, semi-urban, hard-to-reach area) </w:t>
      </w:r>
      <w:r w:rsidR="00EF413F" w:rsidRPr="00614125">
        <w:rPr>
          <w:rFonts w:ascii="Arial" w:hAnsi="Arial"/>
          <w:color w:val="000000" w:themeColor="text1"/>
        </w:rPr>
        <w:t xml:space="preserve">etc. </w:t>
      </w:r>
      <w:r w:rsidR="004A59FE" w:rsidRPr="00614125">
        <w:rPr>
          <w:rFonts w:ascii="Arial" w:hAnsi="Arial"/>
          <w:color w:val="000000" w:themeColor="text1"/>
        </w:rPr>
        <w:t>for observing the population coverage of health</w:t>
      </w:r>
      <w:r w:rsidR="002C681D" w:rsidRPr="00614125">
        <w:rPr>
          <w:rFonts w:ascii="Arial" w:hAnsi="Arial"/>
          <w:color w:val="000000" w:themeColor="text1"/>
        </w:rPr>
        <w:t xml:space="preserve"> </w:t>
      </w:r>
      <w:r w:rsidR="004A59FE" w:rsidRPr="00614125">
        <w:rPr>
          <w:rFonts w:ascii="Arial" w:hAnsi="Arial"/>
          <w:color w:val="000000" w:themeColor="text1"/>
        </w:rPr>
        <w:t xml:space="preserve">care. The countries </w:t>
      </w:r>
      <w:r w:rsidR="004C0308" w:rsidRPr="00614125">
        <w:rPr>
          <w:rFonts w:ascii="Arial" w:hAnsi="Arial"/>
          <w:color w:val="000000" w:themeColor="text1"/>
        </w:rPr>
        <w:t>the</w:t>
      </w:r>
      <w:r w:rsidR="00DA7A73" w:rsidRPr="00614125">
        <w:rPr>
          <w:rFonts w:ascii="Arial" w:hAnsi="Arial"/>
          <w:color w:val="000000" w:themeColor="text1"/>
        </w:rPr>
        <w:t>n</w:t>
      </w:r>
      <w:r w:rsidR="004C0308" w:rsidRPr="00614125">
        <w:rPr>
          <w:rFonts w:ascii="Arial" w:hAnsi="Arial"/>
          <w:color w:val="000000" w:themeColor="text1"/>
        </w:rPr>
        <w:t xml:space="preserve"> </w:t>
      </w:r>
      <w:r w:rsidR="004A59FE" w:rsidRPr="00614125">
        <w:rPr>
          <w:rFonts w:ascii="Arial" w:hAnsi="Arial"/>
          <w:color w:val="000000" w:themeColor="text1"/>
        </w:rPr>
        <w:t xml:space="preserve">will be able to identify their under-developed areas of health services for future intervention </w:t>
      </w:r>
      <w:r w:rsidR="001F2E86" w:rsidRPr="00614125">
        <w:rPr>
          <w:rFonts w:ascii="Arial" w:hAnsi="Arial"/>
          <w:color w:val="000000" w:themeColor="text1"/>
        </w:rPr>
        <w:t xml:space="preserve">for </w:t>
      </w:r>
      <w:r w:rsidR="004A59FE" w:rsidRPr="00614125">
        <w:rPr>
          <w:rFonts w:ascii="Arial" w:hAnsi="Arial"/>
          <w:color w:val="000000" w:themeColor="text1"/>
        </w:rPr>
        <w:t xml:space="preserve">achieving universal health coverage.  </w:t>
      </w:r>
    </w:p>
    <w:p w14:paraId="0A16ACCD" w14:textId="77777777" w:rsidR="00A20C70" w:rsidRPr="00614125" w:rsidRDefault="00A20C70" w:rsidP="00337D8B">
      <w:pPr>
        <w:spacing w:before="120" w:after="120" w:line="360" w:lineRule="auto"/>
        <w:rPr>
          <w:rFonts w:ascii="Arial" w:hAnsi="Arial"/>
          <w:color w:val="000000" w:themeColor="text1"/>
        </w:rPr>
      </w:pPr>
    </w:p>
    <w:p w14:paraId="76A5DF89" w14:textId="77777777" w:rsidR="00205ADA" w:rsidRPr="00614125" w:rsidRDefault="00205ADA" w:rsidP="00337D8B">
      <w:pPr>
        <w:spacing w:before="120" w:after="120" w:line="360" w:lineRule="auto"/>
        <w:rPr>
          <w:rFonts w:ascii="Arial" w:hAnsi="Arial"/>
          <w:color w:val="000000" w:themeColor="text1"/>
        </w:rPr>
      </w:pPr>
      <w:r w:rsidRPr="00614125">
        <w:rPr>
          <w:rFonts w:ascii="Arial" w:hAnsi="Arial"/>
          <w:color w:val="000000" w:themeColor="text1"/>
        </w:rPr>
        <w:t>CONCLUSION</w:t>
      </w:r>
    </w:p>
    <w:p w14:paraId="547D8427" w14:textId="49D78830" w:rsidR="00205ADA" w:rsidRPr="00614125" w:rsidRDefault="003A588C" w:rsidP="00337D8B">
      <w:pPr>
        <w:spacing w:before="120" w:after="120" w:line="360" w:lineRule="auto"/>
        <w:jc w:val="both"/>
        <w:rPr>
          <w:rFonts w:ascii="Arial" w:hAnsi="Arial"/>
          <w:color w:val="000000" w:themeColor="text1"/>
        </w:rPr>
      </w:pPr>
      <w:r w:rsidRPr="00614125">
        <w:rPr>
          <w:rFonts w:ascii="Arial" w:hAnsi="Arial"/>
          <w:color w:val="000000" w:themeColor="text1"/>
        </w:rPr>
        <w:t>A</w:t>
      </w:r>
      <w:r w:rsidR="007637E2" w:rsidRPr="00614125">
        <w:rPr>
          <w:rFonts w:ascii="Arial" w:hAnsi="Arial"/>
          <w:color w:val="000000" w:themeColor="text1"/>
        </w:rPr>
        <w:t xml:space="preserve"> </w:t>
      </w:r>
      <w:r w:rsidR="00EC683C" w:rsidRPr="00614125">
        <w:rPr>
          <w:rFonts w:ascii="Arial" w:hAnsi="Arial"/>
          <w:color w:val="000000" w:themeColor="text1"/>
        </w:rPr>
        <w:t xml:space="preserve">spreadsheet </w:t>
      </w:r>
      <w:r w:rsidRPr="00614125">
        <w:rPr>
          <w:rFonts w:ascii="Arial" w:hAnsi="Arial"/>
          <w:color w:val="000000" w:themeColor="text1"/>
        </w:rPr>
        <w:t xml:space="preserve">approach </w:t>
      </w:r>
      <w:r w:rsidR="00EC683C" w:rsidRPr="00614125">
        <w:rPr>
          <w:rFonts w:ascii="Arial" w:hAnsi="Arial"/>
          <w:color w:val="000000" w:themeColor="text1"/>
        </w:rPr>
        <w:t xml:space="preserve">for calculating </w:t>
      </w:r>
      <w:r w:rsidR="007637E2" w:rsidRPr="00614125">
        <w:rPr>
          <w:rFonts w:ascii="Arial" w:hAnsi="Arial"/>
          <w:color w:val="000000" w:themeColor="text1"/>
        </w:rPr>
        <w:t xml:space="preserve">a </w:t>
      </w:r>
      <w:r w:rsidR="00EC683C" w:rsidRPr="00614125">
        <w:rPr>
          <w:rFonts w:ascii="Arial" w:hAnsi="Arial"/>
          <w:color w:val="000000" w:themeColor="text1"/>
        </w:rPr>
        <w:t xml:space="preserve">UHC index </w:t>
      </w:r>
      <w:r w:rsidR="0003108D" w:rsidRPr="00614125">
        <w:rPr>
          <w:rFonts w:ascii="Arial" w:hAnsi="Arial"/>
          <w:color w:val="000000" w:themeColor="text1"/>
        </w:rPr>
        <w:t>worked well for our analyses</w:t>
      </w:r>
      <w:r w:rsidR="00EC683C" w:rsidRPr="00614125">
        <w:rPr>
          <w:rFonts w:ascii="Arial" w:hAnsi="Arial"/>
          <w:color w:val="000000" w:themeColor="text1"/>
        </w:rPr>
        <w:t xml:space="preserve">, where </w:t>
      </w:r>
      <w:r w:rsidR="004C0308" w:rsidRPr="00614125">
        <w:rPr>
          <w:rFonts w:ascii="Arial" w:hAnsi="Arial"/>
          <w:color w:val="000000" w:themeColor="text1"/>
        </w:rPr>
        <w:t xml:space="preserve">the </w:t>
      </w:r>
      <w:r w:rsidR="00EC683C" w:rsidRPr="00614125">
        <w:rPr>
          <w:rFonts w:ascii="Arial" w:hAnsi="Arial"/>
          <w:color w:val="000000" w:themeColor="text1"/>
        </w:rPr>
        <w:t>interrelation of UHC dimensions to the index values could easily be observed. Decomposition of the inde</w:t>
      </w:r>
      <w:r w:rsidR="00F73999" w:rsidRPr="00614125">
        <w:rPr>
          <w:rFonts w:ascii="Arial" w:hAnsi="Arial"/>
          <w:color w:val="000000" w:themeColor="text1"/>
        </w:rPr>
        <w:t>x</w:t>
      </w:r>
      <w:r w:rsidR="00EC683C" w:rsidRPr="00614125">
        <w:rPr>
          <w:rFonts w:ascii="Arial" w:hAnsi="Arial"/>
          <w:color w:val="000000" w:themeColor="text1"/>
        </w:rPr>
        <w:t xml:space="preserve"> into socioeconomic groups was useful for </w:t>
      </w:r>
      <w:r w:rsidR="006F5387" w:rsidRPr="00614125">
        <w:rPr>
          <w:rFonts w:ascii="Arial" w:hAnsi="Arial"/>
          <w:color w:val="000000" w:themeColor="text1"/>
        </w:rPr>
        <w:t>identifying</w:t>
      </w:r>
      <w:r w:rsidR="00EC683C" w:rsidRPr="00614125">
        <w:rPr>
          <w:rFonts w:ascii="Arial" w:hAnsi="Arial"/>
          <w:color w:val="000000" w:themeColor="text1"/>
        </w:rPr>
        <w:t xml:space="preserve"> the target population for further intervention towards UHC. The index </w:t>
      </w:r>
      <w:r w:rsidR="00005B79" w:rsidRPr="00614125">
        <w:rPr>
          <w:rFonts w:ascii="Arial" w:hAnsi="Arial"/>
          <w:color w:val="000000" w:themeColor="text1"/>
        </w:rPr>
        <w:t>was</w:t>
      </w:r>
      <w:r w:rsidR="00EC683C" w:rsidRPr="00614125">
        <w:rPr>
          <w:rFonts w:ascii="Arial" w:hAnsi="Arial"/>
          <w:color w:val="000000" w:themeColor="text1"/>
        </w:rPr>
        <w:t xml:space="preserve"> validated by estimating the</w:t>
      </w:r>
      <w:r w:rsidR="00B67A65" w:rsidRPr="00614125">
        <w:rPr>
          <w:rFonts w:ascii="Arial" w:hAnsi="Arial"/>
          <w:color w:val="000000" w:themeColor="text1"/>
        </w:rPr>
        <w:t xml:space="preserve"> correlation </w:t>
      </w:r>
      <w:r w:rsidR="001A33E8" w:rsidRPr="00614125">
        <w:rPr>
          <w:rFonts w:ascii="Arial" w:hAnsi="Arial"/>
          <w:color w:val="000000" w:themeColor="text1"/>
        </w:rPr>
        <w:t>coefficients</w:t>
      </w:r>
      <w:r w:rsidR="00B67A65" w:rsidRPr="00614125">
        <w:rPr>
          <w:rFonts w:ascii="Arial" w:hAnsi="Arial"/>
          <w:color w:val="000000" w:themeColor="text1"/>
        </w:rPr>
        <w:t xml:space="preserve"> with other relevant UHC indices and also</w:t>
      </w:r>
      <w:r w:rsidR="00EC683C" w:rsidRPr="00614125">
        <w:rPr>
          <w:rFonts w:ascii="Arial" w:hAnsi="Arial"/>
          <w:color w:val="000000" w:themeColor="text1"/>
        </w:rPr>
        <w:t xml:space="preserve"> </w:t>
      </w:r>
      <w:r w:rsidR="00B67A65" w:rsidRPr="00614125">
        <w:rPr>
          <w:rFonts w:ascii="Arial" w:hAnsi="Arial"/>
          <w:color w:val="000000" w:themeColor="text1"/>
        </w:rPr>
        <w:t xml:space="preserve">by estimating </w:t>
      </w:r>
      <w:r w:rsidR="00DE1D36" w:rsidRPr="00614125">
        <w:rPr>
          <w:rFonts w:ascii="Arial" w:hAnsi="Arial"/>
          <w:color w:val="000000" w:themeColor="text1"/>
        </w:rPr>
        <w:t xml:space="preserve">the </w:t>
      </w:r>
      <w:r w:rsidR="00EC683C" w:rsidRPr="00614125">
        <w:rPr>
          <w:rFonts w:ascii="Arial" w:hAnsi="Arial"/>
          <w:noProof/>
          <w:color w:val="000000" w:themeColor="text1"/>
        </w:rPr>
        <w:t>effect</w:t>
      </w:r>
      <w:r w:rsidR="00EC683C" w:rsidRPr="00614125">
        <w:rPr>
          <w:rFonts w:ascii="Arial" w:hAnsi="Arial"/>
          <w:color w:val="000000" w:themeColor="text1"/>
        </w:rPr>
        <w:t xml:space="preserve"> of OOP payments on </w:t>
      </w:r>
      <w:r w:rsidR="00B67A65" w:rsidRPr="00614125">
        <w:rPr>
          <w:rFonts w:ascii="Arial" w:hAnsi="Arial"/>
          <w:color w:val="000000" w:themeColor="text1"/>
        </w:rPr>
        <w:t>our</w:t>
      </w:r>
      <w:r w:rsidR="00FA73FE" w:rsidRPr="00614125">
        <w:rPr>
          <w:rFonts w:ascii="Arial" w:hAnsi="Arial"/>
          <w:color w:val="000000" w:themeColor="text1"/>
        </w:rPr>
        <w:t xml:space="preserve"> index values. The proposed UHC index is expected to be used by UHC practitioners </w:t>
      </w:r>
      <w:r w:rsidR="006F5387" w:rsidRPr="00614125">
        <w:rPr>
          <w:rFonts w:ascii="Arial" w:hAnsi="Arial"/>
          <w:color w:val="000000" w:themeColor="text1"/>
        </w:rPr>
        <w:t>without</w:t>
      </w:r>
      <w:r w:rsidR="00FA73FE" w:rsidRPr="00614125">
        <w:rPr>
          <w:rFonts w:ascii="Arial" w:hAnsi="Arial"/>
          <w:color w:val="000000" w:themeColor="text1"/>
        </w:rPr>
        <w:t xml:space="preserve"> any advance</w:t>
      </w:r>
      <w:r w:rsidR="007637E2" w:rsidRPr="00614125">
        <w:rPr>
          <w:rFonts w:ascii="Arial" w:hAnsi="Arial"/>
          <w:color w:val="000000" w:themeColor="text1"/>
        </w:rPr>
        <w:t>d</w:t>
      </w:r>
      <w:r w:rsidR="00FA73FE" w:rsidRPr="00614125">
        <w:rPr>
          <w:rFonts w:ascii="Arial" w:hAnsi="Arial"/>
          <w:color w:val="000000" w:themeColor="text1"/>
        </w:rPr>
        <w:t xml:space="preserve"> </w:t>
      </w:r>
      <w:r w:rsidR="00DE1D36" w:rsidRPr="00614125">
        <w:rPr>
          <w:rFonts w:ascii="Arial" w:hAnsi="Arial"/>
          <w:color w:val="000000" w:themeColor="text1"/>
        </w:rPr>
        <w:t>knowledge in</w:t>
      </w:r>
      <w:r w:rsidR="00FA73FE" w:rsidRPr="00614125">
        <w:rPr>
          <w:rFonts w:ascii="Arial" w:hAnsi="Arial"/>
          <w:color w:val="000000" w:themeColor="text1"/>
        </w:rPr>
        <w:t xml:space="preserve"> statistics and they can simply observe the efforts of their work towards UHC as the index is sensitive to any changes in health coverage by any sub-populations and for any health services in the country.</w:t>
      </w:r>
      <w:r w:rsidR="00B67A65" w:rsidRPr="00614125">
        <w:rPr>
          <w:rFonts w:ascii="Arial" w:hAnsi="Arial"/>
          <w:color w:val="000000" w:themeColor="text1"/>
        </w:rPr>
        <w:t xml:space="preserve"> This index can also be useful for observing affordable health service coverage in local and regional levels</w:t>
      </w:r>
      <w:r w:rsidR="003C5F00" w:rsidRPr="00614125">
        <w:rPr>
          <w:rFonts w:ascii="Arial" w:hAnsi="Arial"/>
          <w:color w:val="000000" w:themeColor="text1"/>
        </w:rPr>
        <w:t xml:space="preserve"> in </w:t>
      </w:r>
      <w:r w:rsidR="003C5F00" w:rsidRPr="00614125">
        <w:rPr>
          <w:rFonts w:ascii="Arial" w:hAnsi="Arial"/>
          <w:noProof/>
          <w:color w:val="000000" w:themeColor="text1"/>
        </w:rPr>
        <w:t>any</w:t>
      </w:r>
      <w:r w:rsidR="003C5F00" w:rsidRPr="00614125">
        <w:rPr>
          <w:rFonts w:ascii="Arial" w:hAnsi="Arial"/>
          <w:color w:val="000000" w:themeColor="text1"/>
        </w:rPr>
        <w:t xml:space="preserve"> countries</w:t>
      </w:r>
      <w:r w:rsidR="00B67A65" w:rsidRPr="00614125">
        <w:rPr>
          <w:rFonts w:ascii="Arial" w:hAnsi="Arial"/>
          <w:color w:val="000000" w:themeColor="text1"/>
        </w:rPr>
        <w:t xml:space="preserve">. </w:t>
      </w:r>
      <w:r w:rsidR="00FA73FE" w:rsidRPr="00614125">
        <w:rPr>
          <w:rFonts w:ascii="Arial" w:hAnsi="Arial"/>
          <w:color w:val="000000" w:themeColor="text1"/>
        </w:rPr>
        <w:t xml:space="preserve"> </w:t>
      </w:r>
    </w:p>
    <w:p w14:paraId="0DA3F739" w14:textId="77777777" w:rsidR="00B84812" w:rsidRPr="00614125" w:rsidRDefault="00B84812" w:rsidP="00337D8B">
      <w:pPr>
        <w:spacing w:before="120" w:after="120" w:line="360" w:lineRule="auto"/>
        <w:rPr>
          <w:rFonts w:ascii="Arial" w:hAnsi="Arial"/>
          <w:color w:val="000000" w:themeColor="text1"/>
        </w:rPr>
      </w:pPr>
    </w:p>
    <w:p w14:paraId="396F44B6" w14:textId="664FFAC1" w:rsidR="00925468" w:rsidRPr="00614125" w:rsidRDefault="00B84812" w:rsidP="00337D8B">
      <w:pPr>
        <w:spacing w:before="120" w:after="120" w:line="360" w:lineRule="auto"/>
        <w:rPr>
          <w:rFonts w:ascii="Arial" w:hAnsi="Arial"/>
          <w:color w:val="000000" w:themeColor="text1"/>
        </w:rPr>
      </w:pPr>
      <w:r w:rsidRPr="00614125">
        <w:rPr>
          <w:rFonts w:ascii="Arial" w:hAnsi="Arial"/>
          <w:color w:val="000000" w:themeColor="text1"/>
        </w:rPr>
        <w:t>DATA AVAILABILITY STATEMENT</w:t>
      </w:r>
    </w:p>
    <w:p w14:paraId="2553AF08" w14:textId="486074C0" w:rsidR="00B84812" w:rsidRPr="00614125" w:rsidRDefault="00B84812" w:rsidP="00337D8B">
      <w:pPr>
        <w:spacing w:before="120" w:after="120" w:line="360" w:lineRule="auto"/>
        <w:rPr>
          <w:rFonts w:ascii="Arial" w:hAnsi="Arial"/>
          <w:color w:val="000000" w:themeColor="text1"/>
        </w:rPr>
      </w:pPr>
      <w:r w:rsidRPr="00614125">
        <w:rPr>
          <w:rFonts w:ascii="Arial" w:hAnsi="Arial"/>
          <w:color w:val="000000" w:themeColor="text1"/>
        </w:rPr>
        <w:t xml:space="preserve">Data </w:t>
      </w:r>
      <w:r w:rsidR="008B64DF" w:rsidRPr="00614125">
        <w:rPr>
          <w:rFonts w:ascii="Arial" w:hAnsi="Arial"/>
          <w:color w:val="000000" w:themeColor="text1"/>
        </w:rPr>
        <w:t xml:space="preserve">used in this study </w:t>
      </w:r>
      <w:r w:rsidR="00005B79" w:rsidRPr="00614125">
        <w:rPr>
          <w:rFonts w:ascii="Arial" w:hAnsi="Arial"/>
          <w:color w:val="000000" w:themeColor="text1"/>
        </w:rPr>
        <w:t>are</w:t>
      </w:r>
      <w:r w:rsidR="008B64DF" w:rsidRPr="00614125">
        <w:rPr>
          <w:rFonts w:ascii="Arial" w:hAnsi="Arial"/>
          <w:color w:val="000000" w:themeColor="text1"/>
        </w:rPr>
        <w:t xml:space="preserve"> available for </w:t>
      </w:r>
      <w:r w:rsidR="004B7A3A" w:rsidRPr="00614125">
        <w:rPr>
          <w:rFonts w:ascii="Arial" w:hAnsi="Arial"/>
          <w:color w:val="000000" w:themeColor="text1"/>
        </w:rPr>
        <w:t xml:space="preserve">the </w:t>
      </w:r>
      <w:r w:rsidR="008B64DF" w:rsidRPr="00614125">
        <w:rPr>
          <w:rFonts w:ascii="Arial" w:hAnsi="Arial"/>
          <w:color w:val="000000" w:themeColor="text1"/>
        </w:rPr>
        <w:t>readers with the journal</w:t>
      </w:r>
      <w:r w:rsidR="00BB2AC9" w:rsidRPr="00614125">
        <w:rPr>
          <w:rFonts w:ascii="Arial" w:hAnsi="Arial"/>
          <w:color w:val="000000" w:themeColor="text1"/>
        </w:rPr>
        <w:t xml:space="preserve"> as supplementary data in an </w:t>
      </w:r>
      <w:r w:rsidR="008474CB" w:rsidRPr="00614125">
        <w:rPr>
          <w:rFonts w:ascii="Arial" w:hAnsi="Arial"/>
          <w:color w:val="000000" w:themeColor="text1"/>
        </w:rPr>
        <w:t>E</w:t>
      </w:r>
      <w:r w:rsidR="00BB2AC9" w:rsidRPr="00614125">
        <w:rPr>
          <w:rFonts w:ascii="Arial" w:hAnsi="Arial"/>
          <w:color w:val="000000" w:themeColor="text1"/>
        </w:rPr>
        <w:t>xcel file</w:t>
      </w:r>
      <w:r w:rsidR="004B7A3A" w:rsidRPr="00614125">
        <w:rPr>
          <w:rFonts w:ascii="Arial" w:hAnsi="Arial"/>
          <w:color w:val="000000" w:themeColor="text1"/>
        </w:rPr>
        <w:t>.</w:t>
      </w:r>
      <w:r w:rsidR="008B64DF" w:rsidRPr="00614125">
        <w:rPr>
          <w:rFonts w:ascii="Arial" w:hAnsi="Arial"/>
          <w:color w:val="000000" w:themeColor="text1"/>
        </w:rPr>
        <w:t xml:space="preserve">  </w:t>
      </w:r>
    </w:p>
    <w:p w14:paraId="7C937428" w14:textId="77777777" w:rsidR="00BB2AC9" w:rsidRPr="00614125" w:rsidRDefault="00BB2AC9" w:rsidP="00337D8B">
      <w:pPr>
        <w:spacing w:before="120" w:after="120" w:line="360" w:lineRule="auto"/>
        <w:rPr>
          <w:rFonts w:ascii="Arial" w:hAnsi="Arial"/>
          <w:color w:val="000000" w:themeColor="text1"/>
        </w:rPr>
      </w:pPr>
    </w:p>
    <w:p w14:paraId="6E43AFE5" w14:textId="652D3D46" w:rsidR="001F2E86" w:rsidRPr="00614125" w:rsidRDefault="00925468" w:rsidP="00337D8B">
      <w:pPr>
        <w:spacing w:before="120" w:after="120" w:line="360" w:lineRule="auto"/>
        <w:rPr>
          <w:rFonts w:ascii="Arial" w:hAnsi="Arial"/>
          <w:color w:val="000000" w:themeColor="text1"/>
        </w:rPr>
      </w:pPr>
      <w:r w:rsidRPr="00614125">
        <w:rPr>
          <w:rFonts w:ascii="Arial" w:hAnsi="Arial"/>
          <w:color w:val="000000" w:themeColor="text1"/>
        </w:rPr>
        <w:lastRenderedPageBreak/>
        <w:t>ACKNOWLEDGEMENT</w:t>
      </w:r>
    </w:p>
    <w:p w14:paraId="3A48EBD6" w14:textId="2DC0D5E9" w:rsidR="008E5FC6" w:rsidRPr="00614125" w:rsidRDefault="00925468" w:rsidP="00337D8B">
      <w:pPr>
        <w:spacing w:before="120" w:after="120" w:line="360" w:lineRule="auto"/>
        <w:rPr>
          <w:rFonts w:ascii="Arial" w:hAnsi="Arial"/>
          <w:color w:val="000000" w:themeColor="text1"/>
        </w:rPr>
      </w:pPr>
      <w:r w:rsidRPr="00614125">
        <w:rPr>
          <w:rFonts w:ascii="Arial" w:hAnsi="Arial"/>
          <w:color w:val="000000" w:themeColor="text1"/>
        </w:rPr>
        <w:t xml:space="preserve">We </w:t>
      </w:r>
      <w:r w:rsidR="00B95459" w:rsidRPr="00614125">
        <w:rPr>
          <w:rFonts w:ascii="Arial" w:hAnsi="Arial"/>
          <w:color w:val="000000" w:themeColor="text1"/>
        </w:rPr>
        <w:t>are grateful</w:t>
      </w:r>
      <w:r w:rsidRPr="00614125">
        <w:rPr>
          <w:rFonts w:ascii="Arial" w:hAnsi="Arial"/>
          <w:color w:val="000000" w:themeColor="text1"/>
        </w:rPr>
        <w:t xml:space="preserve"> </w:t>
      </w:r>
      <w:r w:rsidR="00B95459" w:rsidRPr="00614125">
        <w:rPr>
          <w:rFonts w:ascii="Arial" w:hAnsi="Arial"/>
          <w:color w:val="000000" w:themeColor="text1"/>
        </w:rPr>
        <w:t xml:space="preserve">to </w:t>
      </w:r>
      <w:r w:rsidR="00E407FC" w:rsidRPr="00614125">
        <w:rPr>
          <w:rFonts w:ascii="Arial" w:hAnsi="Arial"/>
          <w:color w:val="000000" w:themeColor="text1"/>
        </w:rPr>
        <w:t xml:space="preserve">Mohammad Wahid Ahmed </w:t>
      </w:r>
      <w:r w:rsidR="00B95459" w:rsidRPr="00614125">
        <w:rPr>
          <w:rFonts w:ascii="Arial" w:hAnsi="Arial"/>
          <w:color w:val="000000" w:themeColor="text1"/>
        </w:rPr>
        <w:t xml:space="preserve">of </w:t>
      </w:r>
      <w:proofErr w:type="gramStart"/>
      <w:r w:rsidR="00B95459" w:rsidRPr="00614125">
        <w:rPr>
          <w:rFonts w:ascii="Arial" w:hAnsi="Arial"/>
          <w:color w:val="000000" w:themeColor="text1"/>
        </w:rPr>
        <w:t>icddr,b</w:t>
      </w:r>
      <w:proofErr w:type="gramEnd"/>
      <w:r w:rsidR="00B95459" w:rsidRPr="00614125">
        <w:rPr>
          <w:rFonts w:ascii="Arial" w:hAnsi="Arial"/>
          <w:color w:val="000000" w:themeColor="text1"/>
        </w:rPr>
        <w:t xml:space="preserve"> </w:t>
      </w:r>
      <w:r w:rsidR="00E407FC" w:rsidRPr="00614125">
        <w:rPr>
          <w:rFonts w:ascii="Arial" w:hAnsi="Arial"/>
          <w:color w:val="000000" w:themeColor="text1"/>
        </w:rPr>
        <w:t xml:space="preserve">for organizing the dataset for analysis. </w:t>
      </w:r>
      <w:r w:rsidR="00454126" w:rsidRPr="00614125">
        <w:rPr>
          <w:rFonts w:ascii="Arial" w:hAnsi="Arial"/>
          <w:color w:val="000000" w:themeColor="text1"/>
        </w:rPr>
        <w:t>We express our gratitude to the reviewers and editor of the journal for their valua</w:t>
      </w:r>
      <w:r w:rsidR="002426A1" w:rsidRPr="00614125">
        <w:rPr>
          <w:rFonts w:ascii="Arial" w:hAnsi="Arial"/>
          <w:color w:val="000000" w:themeColor="text1"/>
        </w:rPr>
        <w:t xml:space="preserve">ble comments for improvement of the paper. </w:t>
      </w:r>
      <w:r w:rsidR="00F65906" w:rsidRPr="00614125">
        <w:rPr>
          <w:rFonts w:ascii="Arial" w:hAnsi="Arial"/>
          <w:color w:val="000000" w:themeColor="text1"/>
        </w:rPr>
        <w:t>This research was not funded by any organization</w:t>
      </w:r>
      <w:r w:rsidR="002426A1" w:rsidRPr="00614125">
        <w:rPr>
          <w:rFonts w:ascii="Arial" w:hAnsi="Arial"/>
          <w:color w:val="000000" w:themeColor="text1"/>
        </w:rPr>
        <w:t>.</w:t>
      </w:r>
      <w:r w:rsidR="001550A2" w:rsidRPr="00614125">
        <w:rPr>
          <w:rFonts w:ascii="Arial" w:hAnsi="Arial"/>
          <w:color w:val="000000" w:themeColor="text1"/>
        </w:rPr>
        <w:t xml:space="preserve">  </w:t>
      </w:r>
    </w:p>
    <w:p w14:paraId="35E8A1E9" w14:textId="77777777" w:rsidR="00F65906" w:rsidRPr="00614125" w:rsidRDefault="00F65906" w:rsidP="00F65906">
      <w:pPr>
        <w:spacing w:before="120" w:after="120" w:line="360" w:lineRule="auto"/>
        <w:rPr>
          <w:rFonts w:ascii="Arial" w:hAnsi="Arial"/>
          <w:color w:val="000000" w:themeColor="text1"/>
        </w:rPr>
      </w:pPr>
    </w:p>
    <w:p w14:paraId="13DF6342" w14:textId="77777777" w:rsidR="00F65906" w:rsidRPr="00614125" w:rsidRDefault="00F65906" w:rsidP="00F65906">
      <w:pPr>
        <w:spacing w:before="120" w:after="120" w:line="360" w:lineRule="auto"/>
        <w:rPr>
          <w:rFonts w:ascii="Arial" w:hAnsi="Arial"/>
          <w:color w:val="000000" w:themeColor="text1"/>
        </w:rPr>
      </w:pPr>
      <w:r w:rsidRPr="00614125">
        <w:rPr>
          <w:rFonts w:ascii="Arial" w:hAnsi="Arial"/>
          <w:color w:val="000000" w:themeColor="text1"/>
        </w:rPr>
        <w:t>COMPLIANCE WITH ETHICAL STANDARD</w:t>
      </w:r>
    </w:p>
    <w:p w14:paraId="22123826" w14:textId="680B4CDD" w:rsidR="00F65906" w:rsidRPr="00614125" w:rsidRDefault="00F65906" w:rsidP="00337D8B">
      <w:pPr>
        <w:spacing w:before="120" w:after="120" w:line="360" w:lineRule="auto"/>
        <w:rPr>
          <w:rFonts w:ascii="Arial" w:hAnsi="Arial"/>
          <w:color w:val="000000" w:themeColor="text1"/>
        </w:rPr>
      </w:pPr>
      <w:r w:rsidRPr="00614125">
        <w:rPr>
          <w:rFonts w:ascii="Arial" w:hAnsi="Arial"/>
          <w:color w:val="000000" w:themeColor="text1"/>
        </w:rPr>
        <w:t xml:space="preserve">None of the </w:t>
      </w:r>
      <w:r w:rsidR="005057D3" w:rsidRPr="00614125">
        <w:rPr>
          <w:rFonts w:ascii="Arial" w:hAnsi="Arial"/>
          <w:color w:val="000000" w:themeColor="text1"/>
        </w:rPr>
        <w:t>authors</w:t>
      </w:r>
      <w:r w:rsidR="00EE4BF3" w:rsidRPr="00614125">
        <w:rPr>
          <w:rFonts w:ascii="Arial" w:hAnsi="Arial"/>
          <w:color w:val="000000" w:themeColor="text1"/>
        </w:rPr>
        <w:t xml:space="preserve"> (Jahangir A.M. Khan, </w:t>
      </w:r>
      <w:proofErr w:type="spellStart"/>
      <w:r w:rsidR="00EE4BF3" w:rsidRPr="00614125">
        <w:rPr>
          <w:rFonts w:ascii="Arial" w:hAnsi="Arial"/>
          <w:color w:val="000000" w:themeColor="text1"/>
        </w:rPr>
        <w:t>Sayem</w:t>
      </w:r>
      <w:proofErr w:type="spellEnd"/>
      <w:r w:rsidR="00EE4BF3" w:rsidRPr="00614125">
        <w:rPr>
          <w:rFonts w:ascii="Arial" w:hAnsi="Arial"/>
          <w:color w:val="000000" w:themeColor="text1"/>
        </w:rPr>
        <w:t xml:space="preserve"> Ahmed, Tao Chen and Louis W. Niessen)</w:t>
      </w:r>
      <w:r w:rsidR="005057D3" w:rsidRPr="00614125">
        <w:rPr>
          <w:rFonts w:ascii="Arial" w:hAnsi="Arial"/>
          <w:color w:val="000000" w:themeColor="text1"/>
        </w:rPr>
        <w:t xml:space="preserve"> declared conflict of interest </w:t>
      </w:r>
      <w:r w:rsidR="00DE1D36" w:rsidRPr="00614125">
        <w:rPr>
          <w:rFonts w:ascii="Arial" w:hAnsi="Arial"/>
          <w:noProof/>
          <w:color w:val="000000" w:themeColor="text1"/>
        </w:rPr>
        <w:t>in</w:t>
      </w:r>
      <w:r w:rsidR="005057D3" w:rsidRPr="00614125">
        <w:rPr>
          <w:rFonts w:ascii="Arial" w:hAnsi="Arial"/>
          <w:color w:val="000000" w:themeColor="text1"/>
        </w:rPr>
        <w:t xml:space="preserve"> this paper.</w:t>
      </w:r>
      <w:r w:rsidR="003D1F2D" w:rsidRPr="00614125">
        <w:rPr>
          <w:rFonts w:ascii="Arial" w:hAnsi="Arial"/>
          <w:color w:val="000000" w:themeColor="text1"/>
        </w:rPr>
        <w:t xml:space="preserve"> </w:t>
      </w:r>
    </w:p>
    <w:p w14:paraId="7F36BEEA" w14:textId="4EA577CB" w:rsidR="005057D3" w:rsidRPr="00614125" w:rsidRDefault="00F65906" w:rsidP="00337D8B">
      <w:pPr>
        <w:spacing w:before="120" w:after="120" w:line="360" w:lineRule="auto"/>
        <w:rPr>
          <w:rFonts w:ascii="Arial" w:hAnsi="Arial"/>
          <w:color w:val="000000" w:themeColor="text1"/>
        </w:rPr>
      </w:pPr>
      <w:r w:rsidRPr="00614125">
        <w:rPr>
          <w:rFonts w:ascii="Arial" w:hAnsi="Arial"/>
          <w:color w:val="000000" w:themeColor="text1"/>
        </w:rPr>
        <w:t>This paper entirely used public</w:t>
      </w:r>
      <w:r w:rsidR="008474CB" w:rsidRPr="00614125">
        <w:rPr>
          <w:rFonts w:ascii="Arial" w:hAnsi="Arial"/>
          <w:color w:val="000000" w:themeColor="text1"/>
        </w:rPr>
        <w:t>ly</w:t>
      </w:r>
      <w:r w:rsidRPr="00614125">
        <w:rPr>
          <w:rFonts w:ascii="Arial" w:hAnsi="Arial"/>
          <w:color w:val="000000" w:themeColor="text1"/>
        </w:rPr>
        <w:t xml:space="preserve"> available secondary data and consequently was not subject to ethical approval.  </w:t>
      </w:r>
    </w:p>
    <w:p w14:paraId="098D9210" w14:textId="77777777" w:rsidR="008E5FC6" w:rsidRPr="00614125" w:rsidRDefault="008E5FC6" w:rsidP="008E5FC6">
      <w:pPr>
        <w:spacing w:before="120" w:after="120" w:line="360" w:lineRule="auto"/>
        <w:rPr>
          <w:rFonts w:ascii="Arial" w:hAnsi="Arial"/>
          <w:color w:val="000000" w:themeColor="text1"/>
        </w:rPr>
      </w:pPr>
    </w:p>
    <w:p w14:paraId="1A8C5406" w14:textId="172925D7" w:rsidR="008E5FC6" w:rsidRPr="00614125" w:rsidRDefault="005057D3" w:rsidP="008E5FC6">
      <w:pPr>
        <w:spacing w:before="120" w:after="120" w:line="360" w:lineRule="auto"/>
        <w:rPr>
          <w:rFonts w:ascii="Arial" w:hAnsi="Arial"/>
          <w:color w:val="000000" w:themeColor="text1"/>
        </w:rPr>
      </w:pPr>
      <w:r w:rsidRPr="00614125">
        <w:rPr>
          <w:rFonts w:ascii="Arial" w:hAnsi="Arial"/>
          <w:color w:val="000000" w:themeColor="text1"/>
        </w:rPr>
        <w:t xml:space="preserve"> </w:t>
      </w:r>
      <w:r w:rsidR="008E5FC6" w:rsidRPr="00614125">
        <w:rPr>
          <w:rFonts w:ascii="Arial" w:hAnsi="Arial"/>
          <w:color w:val="000000" w:themeColor="text1"/>
        </w:rPr>
        <w:t>CONTRIBUTION OF THE AUTHORS</w:t>
      </w:r>
    </w:p>
    <w:p w14:paraId="14803782" w14:textId="77777777" w:rsidR="008E5FC6" w:rsidRPr="00614125" w:rsidRDefault="008E5FC6" w:rsidP="008E5FC6">
      <w:pPr>
        <w:spacing w:before="120" w:after="120" w:line="360" w:lineRule="auto"/>
        <w:rPr>
          <w:rFonts w:ascii="Arial" w:hAnsi="Arial"/>
          <w:color w:val="000000" w:themeColor="text1"/>
        </w:rPr>
      </w:pPr>
      <w:r w:rsidRPr="00614125">
        <w:rPr>
          <w:rFonts w:ascii="Arial" w:hAnsi="Arial"/>
          <w:color w:val="000000" w:themeColor="text1"/>
        </w:rPr>
        <w:t xml:space="preserve">Jahangir Khan generated the idea, developed methods and analysis technique, identified data requirements, analysed data, interpreted results, wrote the first draft of the manuscript. </w:t>
      </w:r>
      <w:proofErr w:type="spellStart"/>
      <w:r w:rsidRPr="00614125">
        <w:rPr>
          <w:rFonts w:ascii="Arial" w:hAnsi="Arial"/>
          <w:color w:val="000000" w:themeColor="text1"/>
        </w:rPr>
        <w:t>Sayem</w:t>
      </w:r>
      <w:proofErr w:type="spellEnd"/>
      <w:r w:rsidRPr="00614125">
        <w:rPr>
          <w:rFonts w:ascii="Arial" w:hAnsi="Arial"/>
          <w:color w:val="000000" w:themeColor="text1"/>
        </w:rPr>
        <w:t xml:space="preserve"> Ahmed identified relevant literature and data, analysed data and interpreted results. Tao Chen specified models for statistical inference tests and interpreted the results in the context of Universal Health Coverage. Ewan Tomeny contributed to the concept and quantifying the index values, interpreted the results and revised the manuscript. Louis Niessen contributed to the concept development, interpreted the results and put the study into the context of Universal Health Coverage and Sustainable Development Goals. All authors contributed to writing the manuscript, responded to reviewers’ comments and approved the final version of the manuscript. </w:t>
      </w:r>
    </w:p>
    <w:p w14:paraId="603E1485" w14:textId="68D858A7" w:rsidR="005057D3" w:rsidRPr="00614125" w:rsidRDefault="005057D3" w:rsidP="00337D8B">
      <w:pPr>
        <w:spacing w:before="120" w:after="120" w:line="360" w:lineRule="auto"/>
        <w:rPr>
          <w:rFonts w:ascii="Arial" w:hAnsi="Arial"/>
          <w:color w:val="000000" w:themeColor="text1"/>
        </w:rPr>
      </w:pPr>
    </w:p>
    <w:p w14:paraId="7674EDAD" w14:textId="77777777" w:rsidR="00147FED" w:rsidRPr="00614125" w:rsidRDefault="0026009D" w:rsidP="006105C0">
      <w:pPr>
        <w:widowControl w:val="0"/>
        <w:autoSpaceDE w:val="0"/>
        <w:autoSpaceDN w:val="0"/>
        <w:adjustRightInd w:val="0"/>
        <w:rPr>
          <w:rFonts w:ascii="Arial" w:eastAsia="Times New Roman" w:hAnsi="Arial"/>
          <w:color w:val="000000" w:themeColor="text1"/>
        </w:rPr>
      </w:pPr>
      <w:r w:rsidRPr="00614125">
        <w:rPr>
          <w:rFonts w:ascii="Arial" w:eastAsia="Times New Roman" w:hAnsi="Arial"/>
          <w:color w:val="000000" w:themeColor="text1"/>
        </w:rPr>
        <w:t>REFERENCES</w:t>
      </w:r>
    </w:p>
    <w:p w14:paraId="63B29A4D" w14:textId="77777777" w:rsidR="00147FED" w:rsidRPr="00614125" w:rsidRDefault="00147FED" w:rsidP="006105C0">
      <w:pPr>
        <w:widowControl w:val="0"/>
        <w:autoSpaceDE w:val="0"/>
        <w:autoSpaceDN w:val="0"/>
        <w:adjustRightInd w:val="0"/>
        <w:rPr>
          <w:rFonts w:ascii="Arial" w:eastAsia="Times New Roman" w:hAnsi="Arial"/>
          <w:color w:val="000000" w:themeColor="text1"/>
        </w:rPr>
      </w:pPr>
    </w:p>
    <w:p w14:paraId="60655ED9" w14:textId="7ECEEEF8" w:rsidR="006105C0" w:rsidRPr="00614125" w:rsidRDefault="00B6405B" w:rsidP="006105C0">
      <w:pPr>
        <w:widowControl w:val="0"/>
        <w:autoSpaceDE w:val="0"/>
        <w:autoSpaceDN w:val="0"/>
        <w:adjustRightInd w:val="0"/>
        <w:rPr>
          <w:rFonts w:ascii="Arial" w:hAnsi="Arial" w:cs="Arial"/>
          <w:noProof/>
        </w:rPr>
      </w:pPr>
      <w:r w:rsidRPr="00614125">
        <w:rPr>
          <w:rFonts w:ascii="Arial" w:hAnsi="Arial"/>
          <w:color w:val="000000" w:themeColor="text1"/>
        </w:rPr>
        <w:fldChar w:fldCharType="begin" w:fldLock="1"/>
      </w:r>
      <w:r w:rsidRPr="00614125">
        <w:rPr>
          <w:rFonts w:ascii="Arial" w:hAnsi="Arial"/>
          <w:color w:val="000000" w:themeColor="text1"/>
        </w:rPr>
        <w:instrText xml:space="preserve">ADDIN Mendeley Bibliography CSL_BIBLIOGRAPHY </w:instrText>
      </w:r>
      <w:r w:rsidRPr="00614125">
        <w:rPr>
          <w:rFonts w:ascii="Arial" w:hAnsi="Arial"/>
          <w:color w:val="000000" w:themeColor="text1"/>
        </w:rPr>
        <w:fldChar w:fldCharType="separate"/>
      </w:r>
      <w:r w:rsidR="006105C0" w:rsidRPr="00614125">
        <w:rPr>
          <w:rFonts w:ascii="Arial" w:hAnsi="Arial" w:cs="Arial"/>
          <w:noProof/>
        </w:rPr>
        <w:t xml:space="preserve">1. Kieny MP, Bekedam H, Dovlo D, Fitzgerald J, Habicht J, Harrison G, et al. Strengthening health systems for universal health coverage and sustainable development. Bull World Health Organ. 2017;95:537–9. </w:t>
      </w:r>
    </w:p>
    <w:p w14:paraId="2BF48400" w14:textId="77777777" w:rsidR="006105C0" w:rsidRPr="00614125" w:rsidRDefault="006105C0" w:rsidP="006105C0">
      <w:pPr>
        <w:widowControl w:val="0"/>
        <w:autoSpaceDE w:val="0"/>
        <w:autoSpaceDN w:val="0"/>
        <w:adjustRightInd w:val="0"/>
        <w:rPr>
          <w:rFonts w:ascii="Arial" w:hAnsi="Arial" w:cs="Arial"/>
          <w:noProof/>
        </w:rPr>
      </w:pPr>
      <w:r w:rsidRPr="00614125">
        <w:rPr>
          <w:rFonts w:ascii="Arial" w:hAnsi="Arial" w:cs="Arial"/>
          <w:noProof/>
        </w:rPr>
        <w:t xml:space="preserve">2. Huda T, Khan JAM, Ahsan KZ, Jamil K, El Arifeen S. Monitoring and evaluating progress towards Universal Health Coverage in Bangladesh. PLoS Med. 2014;11:e1001722. </w:t>
      </w:r>
    </w:p>
    <w:p w14:paraId="5E78AD52" w14:textId="77777777" w:rsidR="006105C0" w:rsidRPr="00614125" w:rsidRDefault="006105C0" w:rsidP="006105C0">
      <w:pPr>
        <w:widowControl w:val="0"/>
        <w:autoSpaceDE w:val="0"/>
        <w:autoSpaceDN w:val="0"/>
        <w:adjustRightInd w:val="0"/>
        <w:rPr>
          <w:rFonts w:ascii="Arial" w:hAnsi="Arial" w:cs="Arial"/>
          <w:noProof/>
        </w:rPr>
      </w:pPr>
      <w:r w:rsidRPr="00614125">
        <w:rPr>
          <w:rFonts w:ascii="Arial" w:hAnsi="Arial" w:cs="Arial"/>
          <w:noProof/>
        </w:rPr>
        <w:lastRenderedPageBreak/>
        <w:t xml:space="preserve">3. Nyonator F, Ofosu A, Segbafah M, D’Almeida S. Monitoring and evaluating progress towards Universal Health Coverage in Ghana. PLoS Med. 2014;11:e1001691. </w:t>
      </w:r>
    </w:p>
    <w:p w14:paraId="569DFAE7" w14:textId="77777777" w:rsidR="006105C0" w:rsidRPr="00614125" w:rsidRDefault="006105C0" w:rsidP="006105C0">
      <w:pPr>
        <w:widowControl w:val="0"/>
        <w:autoSpaceDE w:val="0"/>
        <w:autoSpaceDN w:val="0"/>
        <w:adjustRightInd w:val="0"/>
        <w:rPr>
          <w:rFonts w:ascii="Arial" w:hAnsi="Arial" w:cs="Arial"/>
          <w:noProof/>
        </w:rPr>
      </w:pPr>
      <w:r w:rsidRPr="00614125">
        <w:rPr>
          <w:rFonts w:ascii="Arial" w:hAnsi="Arial" w:cs="Arial"/>
          <w:noProof/>
        </w:rPr>
        <w:t xml:space="preserve">4. Prinja S, Gupta R, Bahuguna P, Sharma A, Kumar Aggarwal A, Phogat A, et al. A composite indicator to measure universal health care coverage in India: way forward for post-2015 health system performance monitoring framework. Health Policy Plan. England; 2017;32:43–56. </w:t>
      </w:r>
    </w:p>
    <w:p w14:paraId="05AF6123" w14:textId="77777777" w:rsidR="006105C0" w:rsidRPr="00614125" w:rsidRDefault="006105C0" w:rsidP="006105C0">
      <w:pPr>
        <w:widowControl w:val="0"/>
        <w:autoSpaceDE w:val="0"/>
        <w:autoSpaceDN w:val="0"/>
        <w:adjustRightInd w:val="0"/>
        <w:rPr>
          <w:rFonts w:ascii="Arial" w:hAnsi="Arial" w:cs="Arial"/>
          <w:noProof/>
        </w:rPr>
      </w:pPr>
      <w:r w:rsidRPr="00614125">
        <w:rPr>
          <w:rFonts w:ascii="Arial" w:hAnsi="Arial" w:cs="Arial"/>
          <w:noProof/>
        </w:rPr>
        <w:t xml:space="preserve">5. Wagstaff  a., Dmytraczenko T, Almeida G, Buisman L, Hoang-Vu Eozenou P, Bredenkamp C, et al. Assessing Latin America’s Progress Toward Achieving Universal Health Coverage. Health Aff. 2015;34:1704–12. </w:t>
      </w:r>
    </w:p>
    <w:p w14:paraId="342E40CD" w14:textId="77777777" w:rsidR="006105C0" w:rsidRPr="00614125" w:rsidRDefault="006105C0" w:rsidP="006105C0">
      <w:pPr>
        <w:widowControl w:val="0"/>
        <w:autoSpaceDE w:val="0"/>
        <w:autoSpaceDN w:val="0"/>
        <w:adjustRightInd w:val="0"/>
        <w:rPr>
          <w:rFonts w:ascii="Arial" w:hAnsi="Arial" w:cs="Arial"/>
          <w:noProof/>
        </w:rPr>
      </w:pPr>
      <w:r w:rsidRPr="00614125">
        <w:rPr>
          <w:rFonts w:ascii="Arial" w:hAnsi="Arial" w:cs="Arial"/>
          <w:noProof/>
        </w:rPr>
        <w:t xml:space="preserve">6. WHO. The world health report: health systems financing: the path to universal coverage. Geneva: World Health Organisation; 2010. </w:t>
      </w:r>
    </w:p>
    <w:p w14:paraId="6D78BE14" w14:textId="77777777" w:rsidR="006105C0" w:rsidRPr="00614125" w:rsidRDefault="006105C0" w:rsidP="006105C0">
      <w:pPr>
        <w:widowControl w:val="0"/>
        <w:autoSpaceDE w:val="0"/>
        <w:autoSpaceDN w:val="0"/>
        <w:adjustRightInd w:val="0"/>
        <w:rPr>
          <w:rFonts w:ascii="Arial" w:hAnsi="Arial" w:cs="Arial"/>
          <w:noProof/>
        </w:rPr>
      </w:pPr>
      <w:r w:rsidRPr="00614125">
        <w:rPr>
          <w:rFonts w:ascii="Arial" w:hAnsi="Arial" w:cs="Arial"/>
          <w:noProof/>
        </w:rPr>
        <w:t>7. The World Bank. Health Equity and Financial Protection Datasheets [Internet]. 2016 [cited 2016 Apr 2]. Available from: http://www.worldbank.org/en/topic/health/publication/health-equity-and-financial-protection-datasheets</w:t>
      </w:r>
    </w:p>
    <w:p w14:paraId="4C20FBA7" w14:textId="77777777" w:rsidR="006105C0" w:rsidRPr="00614125" w:rsidRDefault="006105C0" w:rsidP="006105C0">
      <w:pPr>
        <w:widowControl w:val="0"/>
        <w:autoSpaceDE w:val="0"/>
        <w:autoSpaceDN w:val="0"/>
        <w:adjustRightInd w:val="0"/>
        <w:rPr>
          <w:rFonts w:ascii="Arial" w:hAnsi="Arial" w:cs="Arial"/>
          <w:noProof/>
        </w:rPr>
      </w:pPr>
      <w:r w:rsidRPr="00614125">
        <w:rPr>
          <w:rFonts w:ascii="Arial" w:hAnsi="Arial" w:cs="Arial"/>
          <w:noProof/>
        </w:rPr>
        <w:t xml:space="preserve">8. Wagstaff A, Cotlear D, Eozenou PHV, Buisman LR. Measuring progress towards universal health coverage: With an application to 24 developing countries. Oxford Rev Econ Policy. 2016;32:147–89. </w:t>
      </w:r>
    </w:p>
    <w:p w14:paraId="28630F36" w14:textId="77777777" w:rsidR="006105C0" w:rsidRPr="00614125" w:rsidRDefault="006105C0" w:rsidP="006105C0">
      <w:pPr>
        <w:widowControl w:val="0"/>
        <w:autoSpaceDE w:val="0"/>
        <w:autoSpaceDN w:val="0"/>
        <w:adjustRightInd w:val="0"/>
        <w:rPr>
          <w:rFonts w:ascii="Arial" w:hAnsi="Arial" w:cs="Arial"/>
          <w:noProof/>
        </w:rPr>
      </w:pPr>
      <w:r w:rsidRPr="00614125">
        <w:rPr>
          <w:rFonts w:ascii="Arial" w:hAnsi="Arial" w:cs="Arial"/>
          <w:noProof/>
        </w:rPr>
        <w:t xml:space="preserve">9. Khan J, Ahmed S, Evans T. Catastrophic Healthcare Expenditure and Poverty Related to Out-of-Pocket Payments for Healthcare in Bangladesh – An Estimation of Financial Risk Protection of Universal Health Coverage. Health Policy Plan. 2017;1–9. </w:t>
      </w:r>
    </w:p>
    <w:p w14:paraId="7B4B406A" w14:textId="77777777" w:rsidR="006105C0" w:rsidRPr="00614125" w:rsidRDefault="006105C0" w:rsidP="006105C0">
      <w:pPr>
        <w:widowControl w:val="0"/>
        <w:autoSpaceDE w:val="0"/>
        <w:autoSpaceDN w:val="0"/>
        <w:adjustRightInd w:val="0"/>
        <w:rPr>
          <w:rFonts w:ascii="Arial" w:hAnsi="Arial" w:cs="Arial"/>
          <w:noProof/>
        </w:rPr>
      </w:pPr>
      <w:r w:rsidRPr="00614125">
        <w:rPr>
          <w:rFonts w:ascii="Arial" w:hAnsi="Arial" w:cs="Arial"/>
          <w:noProof/>
        </w:rPr>
        <w:t xml:space="preserve">10. van Doorslaer E, O’Donnell O, Rannan-Eliya RP, Somanathan A, Adhikari SR, Garg CC, et al. Catastrophic payments for health care in Asia. Health Econ. 2007;16:1159–84. </w:t>
      </w:r>
    </w:p>
    <w:p w14:paraId="10F30C62" w14:textId="77777777" w:rsidR="006105C0" w:rsidRPr="00614125" w:rsidRDefault="006105C0" w:rsidP="006105C0">
      <w:pPr>
        <w:widowControl w:val="0"/>
        <w:autoSpaceDE w:val="0"/>
        <w:autoSpaceDN w:val="0"/>
        <w:adjustRightInd w:val="0"/>
        <w:rPr>
          <w:rFonts w:ascii="Arial" w:hAnsi="Arial" w:cs="Arial"/>
          <w:noProof/>
        </w:rPr>
      </w:pPr>
      <w:r w:rsidRPr="00614125">
        <w:rPr>
          <w:rFonts w:ascii="Arial" w:hAnsi="Arial" w:cs="Arial"/>
          <w:noProof/>
        </w:rPr>
        <w:t xml:space="preserve">11. Xu K, Evans DB, Carrin G, Aguilar-Rivera AM, Musgrove P, Evans T. Protecting households from catastrophic health spending. Health Aff (Millwood). 2007;26:972–83. </w:t>
      </w:r>
    </w:p>
    <w:p w14:paraId="572ED867" w14:textId="77777777" w:rsidR="006105C0" w:rsidRPr="00614125" w:rsidRDefault="006105C0" w:rsidP="006105C0">
      <w:pPr>
        <w:widowControl w:val="0"/>
        <w:autoSpaceDE w:val="0"/>
        <w:autoSpaceDN w:val="0"/>
        <w:adjustRightInd w:val="0"/>
        <w:rPr>
          <w:rFonts w:ascii="Arial" w:hAnsi="Arial" w:cs="Arial"/>
          <w:noProof/>
        </w:rPr>
      </w:pPr>
      <w:r w:rsidRPr="00614125">
        <w:rPr>
          <w:rFonts w:ascii="Arial" w:hAnsi="Arial" w:cs="Arial"/>
          <w:noProof/>
        </w:rPr>
        <w:t xml:space="preserve">12. Yao S. On the decomposition of Gini coefficients by population class and income source: a spreadsheet approach and application. Appl Econ. 1999;31:49–64. </w:t>
      </w:r>
    </w:p>
    <w:p w14:paraId="3B30C83A" w14:textId="77777777" w:rsidR="006105C0" w:rsidRPr="00614125" w:rsidRDefault="006105C0" w:rsidP="006105C0">
      <w:pPr>
        <w:widowControl w:val="0"/>
        <w:autoSpaceDE w:val="0"/>
        <w:autoSpaceDN w:val="0"/>
        <w:adjustRightInd w:val="0"/>
        <w:rPr>
          <w:rFonts w:ascii="Arial" w:hAnsi="Arial" w:cs="Arial"/>
          <w:noProof/>
        </w:rPr>
      </w:pPr>
      <w:r w:rsidRPr="00614125">
        <w:rPr>
          <w:rFonts w:ascii="Arial" w:hAnsi="Arial" w:cs="Arial"/>
          <w:noProof/>
        </w:rPr>
        <w:t>13. The World Bank. World Development Indicators [Internet]. Washington, DC: The World Bank; 2017. Available from: http://databank.worldbank.org/data/reports.aspx?source=world-development-indicators</w:t>
      </w:r>
    </w:p>
    <w:p w14:paraId="597E269F" w14:textId="77777777" w:rsidR="006105C0" w:rsidRPr="00614125" w:rsidRDefault="006105C0" w:rsidP="006105C0">
      <w:pPr>
        <w:widowControl w:val="0"/>
        <w:autoSpaceDE w:val="0"/>
        <w:autoSpaceDN w:val="0"/>
        <w:adjustRightInd w:val="0"/>
        <w:rPr>
          <w:rFonts w:ascii="Arial" w:hAnsi="Arial" w:cs="Arial"/>
          <w:noProof/>
        </w:rPr>
      </w:pPr>
      <w:r w:rsidRPr="00614125">
        <w:rPr>
          <w:rFonts w:ascii="Arial" w:hAnsi="Arial" w:cs="Arial"/>
          <w:noProof/>
        </w:rPr>
        <w:t xml:space="preserve">14. Hogan DR, Stevens GA, Hosseinpoor AR, Boerma T. Monitoring universal health coverage within the Sustainable Development Goals: development and baseline data for an index of essential health services. Lancet Glob Heal. 2018; </w:t>
      </w:r>
    </w:p>
    <w:p w14:paraId="579C7B86" w14:textId="77777777" w:rsidR="006105C0" w:rsidRPr="00614125" w:rsidRDefault="006105C0" w:rsidP="006105C0">
      <w:pPr>
        <w:widowControl w:val="0"/>
        <w:autoSpaceDE w:val="0"/>
        <w:autoSpaceDN w:val="0"/>
        <w:adjustRightInd w:val="0"/>
        <w:rPr>
          <w:rFonts w:ascii="Arial" w:hAnsi="Arial" w:cs="Arial"/>
          <w:noProof/>
        </w:rPr>
      </w:pPr>
      <w:r w:rsidRPr="00614125">
        <w:rPr>
          <w:rFonts w:ascii="Arial" w:hAnsi="Arial" w:cs="Arial"/>
          <w:noProof/>
        </w:rPr>
        <w:t xml:space="preserve">15. Akazili J, Garshong B, Aikins M, Gyapong J, McIntyre D Di. Progressivity of health care financing and incidence of service benefits in Ghana. Health Policy Plan. 2012;27:i13–22. </w:t>
      </w:r>
    </w:p>
    <w:p w14:paraId="293BB4C0" w14:textId="77777777" w:rsidR="006105C0" w:rsidRPr="00614125" w:rsidRDefault="006105C0" w:rsidP="006105C0">
      <w:pPr>
        <w:widowControl w:val="0"/>
        <w:autoSpaceDE w:val="0"/>
        <w:autoSpaceDN w:val="0"/>
        <w:adjustRightInd w:val="0"/>
        <w:rPr>
          <w:rFonts w:ascii="Arial" w:hAnsi="Arial" w:cs="Arial"/>
          <w:noProof/>
        </w:rPr>
      </w:pPr>
      <w:r w:rsidRPr="00614125">
        <w:rPr>
          <w:rFonts w:ascii="Arial" w:hAnsi="Arial" w:cs="Arial"/>
          <w:noProof/>
        </w:rPr>
        <w:t xml:space="preserve">16. Khan JAM, Ahmed S, MacLennan M, Sarker AR, Sultana M, Rahman H. Benefit incidence analysis of healthcare in Bangladesh - equity matters for universal health coverage. Health Policy Plan. 2017;32:359–65. </w:t>
      </w:r>
    </w:p>
    <w:p w14:paraId="02FF32CD" w14:textId="30D2C788" w:rsidR="007E04B1" w:rsidRDefault="00B6405B" w:rsidP="007E04B1">
      <w:pPr>
        <w:rPr>
          <w:rFonts w:asciiTheme="minorHAnsi" w:hAnsiTheme="minorHAnsi"/>
          <w:sz w:val="22"/>
          <w:szCs w:val="22"/>
          <w:lang w:bidi="ar-SA"/>
        </w:rPr>
      </w:pPr>
      <w:r w:rsidRPr="00614125">
        <w:rPr>
          <w:rFonts w:ascii="Arial" w:hAnsi="Arial"/>
          <w:color w:val="000000" w:themeColor="text1"/>
        </w:rPr>
        <w:fldChar w:fldCharType="end"/>
      </w:r>
    </w:p>
    <w:p w14:paraId="4ECDF248" w14:textId="2C802B98" w:rsidR="0026009D" w:rsidRPr="00F768DF" w:rsidRDefault="0026009D" w:rsidP="00337D8B">
      <w:pPr>
        <w:spacing w:before="120" w:after="120" w:line="360" w:lineRule="auto"/>
        <w:rPr>
          <w:rFonts w:ascii="Arial" w:hAnsi="Arial"/>
          <w:color w:val="000000" w:themeColor="text1"/>
        </w:rPr>
      </w:pPr>
    </w:p>
    <w:p w14:paraId="15EC026E" w14:textId="77777777" w:rsidR="004C73CD" w:rsidRPr="00F768DF" w:rsidRDefault="004C73CD" w:rsidP="004C73CD">
      <w:pPr>
        <w:rPr>
          <w:color w:val="000000" w:themeColor="text1"/>
        </w:rPr>
      </w:pPr>
    </w:p>
    <w:sectPr w:rsidR="004C73CD" w:rsidRPr="00F768DF" w:rsidSect="00DD1EB9">
      <w:footerReference w:type="even" r:id="rId8"/>
      <w:footerReference w:type="default" r:id="rId9"/>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2649F" w14:textId="77777777" w:rsidR="007B3069" w:rsidRDefault="007B3069" w:rsidP="00DD1EB9">
      <w:r>
        <w:separator/>
      </w:r>
    </w:p>
  </w:endnote>
  <w:endnote w:type="continuationSeparator" w:id="0">
    <w:p w14:paraId="48F8711E" w14:textId="77777777" w:rsidR="007B3069" w:rsidRDefault="007B3069" w:rsidP="00DD1EB9">
      <w:r>
        <w:continuationSeparator/>
      </w:r>
    </w:p>
  </w:endnote>
  <w:endnote w:id="1">
    <w:p w14:paraId="799F720B" w14:textId="5F8D30CB" w:rsidR="00B973CC" w:rsidRDefault="00B973CC" w:rsidP="00BC7210">
      <w:pPr>
        <w:spacing w:before="120" w:after="120" w:line="360" w:lineRule="auto"/>
      </w:pPr>
      <w:r>
        <w:rPr>
          <w:rStyle w:val="FootnoteReference"/>
        </w:rPr>
        <w:endnoteRef/>
      </w:r>
      <w:r>
        <w:t>) Mathematical expression for technical readers:</w:t>
      </w:r>
    </w:p>
    <w:p w14:paraId="74E70B07" w14:textId="7B52086F" w:rsidR="00B973CC" w:rsidRPr="00F768DF" w:rsidRDefault="00B973CC" w:rsidP="00BC7210">
      <w:pPr>
        <w:spacing w:before="120" w:after="120" w:line="360" w:lineRule="auto"/>
        <w:rPr>
          <w:rFonts w:ascii="Arial" w:eastAsiaTheme="minorEastAsia" w:hAnsi="Arial"/>
          <w:color w:val="000000" w:themeColor="text1"/>
        </w:rPr>
      </w:pPr>
      <m:oMathPara>
        <m:oMath>
          <m:r>
            <w:rPr>
              <w:rFonts w:ascii="Cambria Math" w:hAnsi="Cambria Math"/>
              <w:color w:val="000000" w:themeColor="text1"/>
            </w:rPr>
            <m:t>UHC Index=</m:t>
          </m:r>
          <m:d>
            <m:dPr>
              <m:begChr m:val="{"/>
              <m:endChr m:val="}"/>
              <m:ctrlPr>
                <w:rPr>
                  <w:rFonts w:ascii="Cambria Math" w:hAnsi="Cambria Math"/>
                  <w:i/>
                  <w:color w:val="000000" w:themeColor="text1"/>
                </w:rPr>
              </m:ctrlPr>
            </m:dPr>
            <m:e>
              <m:d>
                <m:dPr>
                  <m:ctrlPr>
                    <w:rPr>
                      <w:rFonts w:ascii="Cambria Math" w:hAnsi="Cambria Math"/>
                      <w:i/>
                      <w:color w:val="000000" w:themeColor="text1"/>
                    </w:rPr>
                  </m:ctrlPr>
                </m:dPr>
                <m:e>
                  <m:nary>
                    <m:naryPr>
                      <m:chr m:val="∑"/>
                      <m:limLoc m:val="undOvr"/>
                      <m:ctrlPr>
                        <w:rPr>
                          <w:rFonts w:ascii="Cambria Math" w:hAnsi="Cambria Math"/>
                          <w:i/>
                          <w:color w:val="000000" w:themeColor="text1"/>
                        </w:rPr>
                      </m:ctrlPr>
                    </m:naryPr>
                    <m:sub>
                      <m:r>
                        <w:rPr>
                          <w:rFonts w:ascii="Cambria Math" w:hAnsi="Cambria Math"/>
                          <w:color w:val="000000" w:themeColor="text1"/>
                        </w:rPr>
                        <m:t>i</m:t>
                      </m:r>
                    </m:sub>
                    <m:sup/>
                    <m:e>
                      <m:sSubSup>
                        <m:sSubSupPr>
                          <m:ctrlPr>
                            <w:rPr>
                              <w:rFonts w:ascii="Cambria Math" w:hAnsi="Cambria Math"/>
                              <w:i/>
                              <w:color w:val="000000" w:themeColor="text1"/>
                            </w:rPr>
                          </m:ctrlPr>
                        </m:sSubSupPr>
                        <m:e>
                          <m:nary>
                            <m:naryPr>
                              <m:chr m:val="∑"/>
                              <m:limLoc m:val="undOvr"/>
                              <m:ctrlPr>
                                <w:rPr>
                                  <w:rFonts w:ascii="Cambria Math" w:hAnsi="Cambria Math"/>
                                  <w:i/>
                                  <w:color w:val="000000" w:themeColor="text1"/>
                                </w:rPr>
                              </m:ctrlPr>
                            </m:naryPr>
                            <m:sub>
                              <m:r>
                                <w:rPr>
                                  <w:rFonts w:ascii="Cambria Math" w:hAnsi="Cambria Math"/>
                                  <w:color w:val="000000" w:themeColor="text1"/>
                                </w:rPr>
                                <m:t>j</m:t>
                              </m:r>
                            </m:sub>
                            <m:sup/>
                            <m:e>
                              <m:sSubSup>
                                <m:sSubSupPr>
                                  <m:ctrlPr>
                                    <w:rPr>
                                      <w:rFonts w:ascii="Cambria Math" w:hAnsi="Cambria Math"/>
                                      <w:i/>
                                      <w:color w:val="000000" w:themeColor="text1"/>
                                    </w:rPr>
                                  </m:ctrlPr>
                                </m:sSubSupPr>
                                <m:e>
                                  <m:r>
                                    <w:rPr>
                                      <w:rFonts w:ascii="Cambria Math" w:hAnsi="Cambria Math"/>
                                      <w:color w:val="000000" w:themeColor="text1"/>
                                    </w:rPr>
                                    <m:t>U</m:t>
                                  </m:r>
                                </m:e>
                                <m:sub>
                                  <m:r>
                                    <w:rPr>
                                      <w:rFonts w:ascii="Cambria Math" w:hAnsi="Cambria Math"/>
                                      <w:color w:val="000000" w:themeColor="text1"/>
                                    </w:rPr>
                                    <m:t>j</m:t>
                                  </m:r>
                                </m:sub>
                                <m:sup>
                                  <m:r>
                                    <w:rPr>
                                      <w:rFonts w:ascii="Cambria Math" w:hAnsi="Cambria Math"/>
                                      <w:color w:val="000000" w:themeColor="text1"/>
                                    </w:rPr>
                                    <m:t>i</m:t>
                                  </m:r>
                                </m:sup>
                              </m:sSubSup>
                            </m:e>
                          </m:nary>
                          <m:r>
                            <w:rPr>
                              <w:rFonts w:ascii="Cambria Math" w:hAnsi="Cambria Math"/>
                              <w:color w:val="000000" w:themeColor="text1"/>
                            </w:rPr>
                            <m:t>×FR</m:t>
                          </m:r>
                        </m:e>
                        <m:sub>
                          <m:r>
                            <w:rPr>
                              <w:rFonts w:ascii="Cambria Math" w:hAnsi="Cambria Math"/>
                              <w:color w:val="000000" w:themeColor="text1"/>
                            </w:rPr>
                            <m:t>j</m:t>
                          </m:r>
                        </m:sub>
                        <m:sup>
                          <m:r>
                            <w:rPr>
                              <w:rFonts w:ascii="Cambria Math" w:hAnsi="Cambria Math"/>
                              <w:color w:val="000000" w:themeColor="text1"/>
                            </w:rPr>
                            <m:t>i</m:t>
                          </m:r>
                        </m:sup>
                      </m:sSubSup>
                    </m:e>
                  </m:nary>
                  <m:r>
                    <w:rPr>
                      <w:rFonts w:ascii="Cambria Math" w:hAnsi="Cambria Math"/>
                      <w:color w:val="000000" w:themeColor="text1"/>
                    </w:rPr>
                    <m:t xml:space="preserve"> </m:t>
                  </m:r>
                </m:e>
              </m:d>
              <m:r>
                <w:rPr>
                  <w:rFonts w:ascii="Cambria Math" w:hAnsi="Cambria Math"/>
                  <w:color w:val="000000" w:themeColor="text1"/>
                </w:rPr>
                <m:t>÷</m:t>
              </m:r>
              <m:d>
                <m:dPr>
                  <m:ctrlPr>
                    <w:rPr>
                      <w:rFonts w:ascii="Cambria Math" w:hAnsi="Cambria Math"/>
                      <w:i/>
                      <w:color w:val="000000" w:themeColor="text1"/>
                    </w:rPr>
                  </m:ctrlPr>
                </m:dPr>
                <m:e>
                  <m:nary>
                    <m:naryPr>
                      <m:chr m:val="∑"/>
                      <m:limLoc m:val="undOvr"/>
                      <m:ctrlPr>
                        <w:rPr>
                          <w:rFonts w:ascii="Cambria Math" w:hAnsi="Cambria Math"/>
                          <w:i/>
                          <w:color w:val="000000" w:themeColor="text1"/>
                        </w:rPr>
                      </m:ctrlPr>
                    </m:naryPr>
                    <m:sub>
                      <m:r>
                        <w:rPr>
                          <w:rFonts w:ascii="Cambria Math" w:hAnsi="Cambria Math"/>
                          <w:color w:val="000000" w:themeColor="text1"/>
                        </w:rPr>
                        <m:t>i</m:t>
                      </m:r>
                    </m:sub>
                    <m:sup/>
                    <m:e>
                      <m:sSubSup>
                        <m:sSubSupPr>
                          <m:ctrlPr>
                            <w:rPr>
                              <w:rFonts w:ascii="Cambria Math" w:hAnsi="Cambria Math"/>
                              <w:i/>
                              <w:color w:val="000000" w:themeColor="text1"/>
                            </w:rPr>
                          </m:ctrlPr>
                        </m:sSubSupPr>
                        <m:e>
                          <m:nary>
                            <m:naryPr>
                              <m:chr m:val="∑"/>
                              <m:limLoc m:val="undOvr"/>
                              <m:ctrlPr>
                                <w:rPr>
                                  <w:rFonts w:ascii="Cambria Math" w:hAnsi="Cambria Math"/>
                                  <w:i/>
                                  <w:color w:val="000000" w:themeColor="text1"/>
                                </w:rPr>
                              </m:ctrlPr>
                            </m:naryPr>
                            <m:sub>
                              <m:r>
                                <w:rPr>
                                  <w:rFonts w:ascii="Cambria Math" w:hAnsi="Cambria Math"/>
                                  <w:color w:val="000000" w:themeColor="text1"/>
                                </w:rPr>
                                <m:t>j</m:t>
                              </m:r>
                            </m:sub>
                            <m:sup/>
                            <m:e>
                              <m:sSubSup>
                                <m:sSubSupPr>
                                  <m:ctrlPr>
                                    <w:rPr>
                                      <w:rFonts w:ascii="Cambria Math" w:hAnsi="Cambria Math"/>
                                      <w:i/>
                                      <w:color w:val="000000" w:themeColor="text1"/>
                                    </w:rPr>
                                  </m:ctrlPr>
                                </m:sSubSupPr>
                                <m:e>
                                  <m:r>
                                    <w:rPr>
                                      <w:rFonts w:ascii="Cambria Math" w:hAnsi="Cambria Math"/>
                                      <w:color w:val="000000" w:themeColor="text1"/>
                                    </w:rPr>
                                    <m:t>FU</m:t>
                                  </m:r>
                                </m:e>
                                <m:sub/>
                                <m:sup/>
                              </m:sSubSup>
                            </m:e>
                          </m:nary>
                          <m:r>
                            <w:rPr>
                              <w:rFonts w:ascii="Cambria Math" w:hAnsi="Cambria Math"/>
                              <w:color w:val="000000" w:themeColor="text1"/>
                            </w:rPr>
                            <m:t>×NFR</m:t>
                          </m:r>
                        </m:e>
                        <m:sub/>
                        <m:sup/>
                      </m:sSubSup>
                    </m:e>
                  </m:nary>
                  <m:r>
                    <w:rPr>
                      <w:rFonts w:ascii="Cambria Math" w:hAnsi="Cambria Math"/>
                      <w:color w:val="000000" w:themeColor="text1"/>
                    </w:rPr>
                    <m:t xml:space="preserve"> </m:t>
                  </m:r>
                </m:e>
              </m:d>
            </m:e>
          </m:d>
          <m:r>
            <w:rPr>
              <w:rFonts w:ascii="Cambria Math" w:hAnsi="Cambria Math"/>
              <w:color w:val="000000" w:themeColor="text1"/>
            </w:rPr>
            <m:t xml:space="preserve"> × 100 </m:t>
          </m:r>
        </m:oMath>
      </m:oMathPara>
    </w:p>
    <w:p w14:paraId="124E2148" w14:textId="2C6001DF" w:rsidR="00B973CC" w:rsidRDefault="00ED30A9" w:rsidP="00A36963">
      <w:pPr>
        <w:spacing w:before="120" w:after="120" w:line="360" w:lineRule="auto"/>
        <w:jc w:val="both"/>
      </w:pPr>
      <m:oMath>
        <m:sSubSup>
          <m:sSubSupPr>
            <m:ctrlPr>
              <w:rPr>
                <w:rFonts w:ascii="Cambria Math" w:hAnsi="Cambria Math"/>
                <w:i/>
                <w:color w:val="000000" w:themeColor="text1"/>
              </w:rPr>
            </m:ctrlPr>
          </m:sSubSupPr>
          <m:e>
            <m:r>
              <w:rPr>
                <w:rFonts w:ascii="Cambria Math" w:hAnsi="Cambria Math"/>
                <w:color w:val="000000" w:themeColor="text1"/>
              </w:rPr>
              <m:t>U</m:t>
            </m:r>
          </m:e>
          <m:sub>
            <m:r>
              <w:rPr>
                <w:rFonts w:ascii="Cambria Math" w:hAnsi="Cambria Math"/>
                <w:color w:val="000000" w:themeColor="text1"/>
              </w:rPr>
              <m:t>j</m:t>
            </m:r>
          </m:sub>
          <m:sup>
            <m:r>
              <w:rPr>
                <w:rFonts w:ascii="Cambria Math" w:hAnsi="Cambria Math"/>
                <w:color w:val="000000" w:themeColor="text1"/>
              </w:rPr>
              <m:t>i</m:t>
            </m:r>
          </m:sup>
        </m:sSubSup>
      </m:oMath>
      <w:r w:rsidR="00B973CC" w:rsidRPr="00F768DF">
        <w:rPr>
          <w:rFonts w:ascii="Arial" w:hAnsi="Arial"/>
          <w:color w:val="000000" w:themeColor="text1"/>
        </w:rPr>
        <w:t xml:space="preserve"> = Utilization rate of health service </w:t>
      </w:r>
      <w:r w:rsidR="00A36963">
        <w:rPr>
          <w:rFonts w:ascii="Arial" w:hAnsi="Arial"/>
          <w:i/>
          <w:iCs/>
          <w:color w:val="000000" w:themeColor="text1"/>
        </w:rPr>
        <w:t>i</w:t>
      </w:r>
      <w:r w:rsidR="00A32D9F">
        <w:rPr>
          <w:rFonts w:ascii="Arial" w:hAnsi="Arial"/>
          <w:color w:val="000000" w:themeColor="text1"/>
        </w:rPr>
        <w:t xml:space="preserve"> </w:t>
      </w:r>
      <w:r w:rsidR="00B973CC" w:rsidRPr="00F768DF">
        <w:rPr>
          <w:rFonts w:ascii="Arial" w:hAnsi="Arial"/>
          <w:color w:val="000000" w:themeColor="text1"/>
        </w:rPr>
        <w:t xml:space="preserve">in socioeconomic quintile </w:t>
      </w:r>
      <w:r w:rsidR="00B973CC" w:rsidRPr="00F768DF">
        <w:rPr>
          <w:rFonts w:ascii="Arial" w:hAnsi="Arial"/>
          <w:i/>
          <w:iCs/>
          <w:color w:val="000000" w:themeColor="text1"/>
        </w:rPr>
        <w:t>j</w:t>
      </w:r>
      <w:r w:rsidR="00B973CC" w:rsidRPr="00F768DF">
        <w:rPr>
          <w:rFonts w:ascii="Arial" w:hAnsi="Arial"/>
          <w:color w:val="000000" w:themeColor="text1"/>
        </w:rPr>
        <w:t xml:space="preserve">, </w:t>
      </w:r>
      <m:oMath>
        <m:sSubSup>
          <m:sSubSupPr>
            <m:ctrlPr>
              <w:rPr>
                <w:rFonts w:ascii="Cambria Math" w:hAnsi="Cambria Math"/>
                <w:i/>
                <w:color w:val="000000" w:themeColor="text1"/>
              </w:rPr>
            </m:ctrlPr>
          </m:sSubSupPr>
          <m:e>
            <m:r>
              <w:rPr>
                <w:rFonts w:ascii="Cambria Math" w:hAnsi="Cambria Math"/>
                <w:color w:val="000000" w:themeColor="text1"/>
              </w:rPr>
              <m:t>FR</m:t>
            </m:r>
          </m:e>
          <m:sub>
            <m:r>
              <w:rPr>
                <w:rFonts w:ascii="Cambria Math" w:hAnsi="Cambria Math"/>
                <w:color w:val="000000" w:themeColor="text1"/>
              </w:rPr>
              <m:t>j</m:t>
            </m:r>
          </m:sub>
          <m:sup>
            <m:r>
              <w:rPr>
                <w:rFonts w:ascii="Cambria Math" w:hAnsi="Cambria Math"/>
                <w:color w:val="000000" w:themeColor="text1"/>
              </w:rPr>
              <m:t>i</m:t>
            </m:r>
          </m:sup>
        </m:sSubSup>
      </m:oMath>
      <w:r w:rsidR="00B973CC" w:rsidRPr="00F768DF">
        <w:rPr>
          <w:rFonts w:ascii="Arial" w:eastAsiaTheme="minorEastAsia" w:hAnsi="Arial"/>
          <w:color w:val="000000" w:themeColor="text1"/>
        </w:rPr>
        <w:t xml:space="preserve"> = proportion of population (ranges between 0 and 1) faced financial risk (hardship) for utilizing any health service,  </w:t>
      </w:r>
      <m:oMath>
        <m:sSubSup>
          <m:sSubSupPr>
            <m:ctrlPr>
              <w:rPr>
                <w:rFonts w:ascii="Cambria Math" w:hAnsi="Cambria Math"/>
                <w:i/>
                <w:color w:val="000000" w:themeColor="text1"/>
              </w:rPr>
            </m:ctrlPr>
          </m:sSubSupPr>
          <m:e>
            <m:r>
              <w:rPr>
                <w:rFonts w:ascii="Cambria Math" w:hAnsi="Cambria Math"/>
                <w:color w:val="000000" w:themeColor="text1"/>
              </w:rPr>
              <m:t>FU</m:t>
            </m:r>
          </m:e>
          <m:sub/>
          <m:sup/>
        </m:sSubSup>
      </m:oMath>
      <w:r w:rsidR="00B973CC" w:rsidRPr="00F768DF">
        <w:rPr>
          <w:rFonts w:ascii="Arial" w:eastAsiaTheme="minorEastAsia" w:hAnsi="Arial"/>
          <w:color w:val="000000" w:themeColor="text1"/>
        </w:rPr>
        <w:t xml:space="preserve"> = Full utilization of health service </w:t>
      </w:r>
      <w:r w:rsidR="00B973CC" w:rsidRPr="00F768DF">
        <w:rPr>
          <w:rFonts w:ascii="Arial" w:eastAsiaTheme="minorEastAsia" w:hAnsi="Arial"/>
          <w:i/>
          <w:iCs/>
          <w:color w:val="000000" w:themeColor="text1"/>
        </w:rPr>
        <w:t>i</w:t>
      </w:r>
      <w:r w:rsidR="00B973CC" w:rsidRPr="00F768DF">
        <w:rPr>
          <w:rFonts w:ascii="Arial" w:eastAsiaTheme="minorEastAsia" w:hAnsi="Arial"/>
          <w:color w:val="000000" w:themeColor="text1"/>
        </w:rPr>
        <w:t xml:space="preserve"> in socioeconomic quintile </w:t>
      </w:r>
      <w:r w:rsidR="00B973CC" w:rsidRPr="00F768DF">
        <w:rPr>
          <w:rFonts w:ascii="Arial" w:eastAsiaTheme="minorEastAsia" w:hAnsi="Arial"/>
          <w:i/>
          <w:iCs/>
          <w:color w:val="000000" w:themeColor="text1"/>
        </w:rPr>
        <w:t xml:space="preserve">j </w:t>
      </w:r>
      <w:r w:rsidR="00B973CC" w:rsidRPr="00F768DF">
        <w:rPr>
          <w:rFonts w:ascii="Arial" w:eastAsiaTheme="minorEastAsia" w:hAnsi="Arial"/>
          <w:color w:val="000000" w:themeColor="text1"/>
        </w:rPr>
        <w:t xml:space="preserve">and </w:t>
      </w:r>
      <m:oMath>
        <m:r>
          <w:rPr>
            <w:rFonts w:ascii="Cambria Math" w:hAnsi="Cambria Math"/>
            <w:color w:val="000000" w:themeColor="text1"/>
          </w:rPr>
          <m:t>NFR</m:t>
        </m:r>
      </m:oMath>
      <w:r w:rsidR="00B973CC" w:rsidRPr="00F768DF">
        <w:rPr>
          <w:rFonts w:ascii="Arial" w:eastAsiaTheme="minorEastAsia" w:hAnsi="Arial"/>
          <w:color w:val="000000" w:themeColor="text1"/>
        </w:rPr>
        <w:t xml:space="preserve"> = no financial risk faced by any people (value 1).</w:t>
      </w:r>
    </w:p>
    <w:p w14:paraId="6D3AAC22" w14:textId="03D41111" w:rsidR="00B973CC" w:rsidRDefault="00B973C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altName w:val="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Kohinoor Bangla">
    <w:charset w:val="00"/>
    <w:family w:val="auto"/>
    <w:pitch w:val="variable"/>
    <w:sig w:usb0="00010007" w:usb1="00000000"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7EED3" w14:textId="77777777" w:rsidR="00B973CC" w:rsidRDefault="00B973CC" w:rsidP="00CB541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1EFC5" w14:textId="77777777" w:rsidR="00B973CC" w:rsidRDefault="00B973CC" w:rsidP="00DD1E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ADBF2" w14:textId="388B10BC" w:rsidR="00B973CC" w:rsidRDefault="00B973CC" w:rsidP="00CB541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4125">
      <w:rPr>
        <w:rStyle w:val="PageNumber"/>
        <w:noProof/>
      </w:rPr>
      <w:t>16</w:t>
    </w:r>
    <w:r>
      <w:rPr>
        <w:rStyle w:val="PageNumber"/>
      </w:rPr>
      <w:fldChar w:fldCharType="end"/>
    </w:r>
  </w:p>
  <w:p w14:paraId="7F54A781" w14:textId="77777777" w:rsidR="00B973CC" w:rsidRDefault="00B973CC" w:rsidP="00DD1EB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C4062" w14:textId="77777777" w:rsidR="007B3069" w:rsidRDefault="007B3069" w:rsidP="00DD1EB9">
      <w:r>
        <w:separator/>
      </w:r>
    </w:p>
  </w:footnote>
  <w:footnote w:type="continuationSeparator" w:id="0">
    <w:p w14:paraId="671F4883" w14:textId="77777777" w:rsidR="007B3069" w:rsidRDefault="007B3069" w:rsidP="00DD1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66125"/>
    <w:multiLevelType w:val="hybridMultilevel"/>
    <w:tmpl w:val="35A08FAE"/>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215D71"/>
    <w:multiLevelType w:val="hybridMultilevel"/>
    <w:tmpl w:val="AF608FE8"/>
    <w:lvl w:ilvl="0" w:tplc="401246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4037A8"/>
    <w:multiLevelType w:val="hybridMultilevel"/>
    <w:tmpl w:val="276221B8"/>
    <w:lvl w:ilvl="0" w:tplc="EDC657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251850"/>
    <w:multiLevelType w:val="hybridMultilevel"/>
    <w:tmpl w:val="CD361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2F1C40"/>
    <w:multiLevelType w:val="hybridMultilevel"/>
    <w:tmpl w:val="E6EEBFD2"/>
    <w:lvl w:ilvl="0" w:tplc="7010B2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494C71"/>
    <w:multiLevelType w:val="hybridMultilevel"/>
    <w:tmpl w:val="95E871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3B7FA8"/>
    <w:multiLevelType w:val="hybridMultilevel"/>
    <w:tmpl w:val="03A8C650"/>
    <w:lvl w:ilvl="0" w:tplc="754C574E">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3178C4"/>
    <w:multiLevelType w:val="hybridMultilevel"/>
    <w:tmpl w:val="96CCA9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8B2FBC"/>
    <w:multiLevelType w:val="hybridMultilevel"/>
    <w:tmpl w:val="FEBABD86"/>
    <w:lvl w:ilvl="0" w:tplc="66D8CC8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2"/>
  </w:num>
  <w:num w:numId="6">
    <w:abstractNumId w:val="6"/>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activeWritingStyle w:appName="MSWord" w:lang="en-GB" w:vendorID="64" w:dllVersion="0" w:nlCheck="1" w:checkStyle="1"/>
  <w:activeWritingStyle w:appName="MSWord" w:lang="ar-SA" w:vendorID="64" w:dllVersion="0" w:nlCheck="1" w:checkStyle="0"/>
  <w:activeWritingStyle w:appName="MSWord" w:lang="en-GB" w:vendorID="64" w:dllVersion="6" w:nlCheck="1" w:checkStyle="1"/>
  <w:activeWritingStyle w:appName="MSWord" w:lang="en-NZ" w:vendorID="64" w:dllVersion="6" w:nlCheck="1" w:checkStyle="1"/>
  <w:activeWritingStyle w:appName="MSWord" w:lang="en-NZ" w:vendorID="64" w:dllVersion="0"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QyBxKm5mZGRpbGBko6SsGpxcWZ+XkgBSa1AEIEhYosAAAA"/>
  </w:docVars>
  <w:rsids>
    <w:rsidRoot w:val="002364A0"/>
    <w:rsid w:val="0000045E"/>
    <w:rsid w:val="0000282F"/>
    <w:rsid w:val="00002A04"/>
    <w:rsid w:val="00003FA1"/>
    <w:rsid w:val="00004209"/>
    <w:rsid w:val="000059ED"/>
    <w:rsid w:val="00005B79"/>
    <w:rsid w:val="00006D60"/>
    <w:rsid w:val="00007B18"/>
    <w:rsid w:val="000134A4"/>
    <w:rsid w:val="00014818"/>
    <w:rsid w:val="00015A3A"/>
    <w:rsid w:val="00016C99"/>
    <w:rsid w:val="00017ACB"/>
    <w:rsid w:val="00025DA4"/>
    <w:rsid w:val="000268EE"/>
    <w:rsid w:val="0003108D"/>
    <w:rsid w:val="00032414"/>
    <w:rsid w:val="00034DB5"/>
    <w:rsid w:val="00040E26"/>
    <w:rsid w:val="000449AE"/>
    <w:rsid w:val="00045842"/>
    <w:rsid w:val="000508D4"/>
    <w:rsid w:val="00052E72"/>
    <w:rsid w:val="00053580"/>
    <w:rsid w:val="00054012"/>
    <w:rsid w:val="00055F38"/>
    <w:rsid w:val="000564D1"/>
    <w:rsid w:val="0006085B"/>
    <w:rsid w:val="000616E2"/>
    <w:rsid w:val="00062291"/>
    <w:rsid w:val="00065C42"/>
    <w:rsid w:val="00067704"/>
    <w:rsid w:val="00067809"/>
    <w:rsid w:val="00081545"/>
    <w:rsid w:val="00081896"/>
    <w:rsid w:val="00082E0B"/>
    <w:rsid w:val="00092B95"/>
    <w:rsid w:val="0009316A"/>
    <w:rsid w:val="000A2440"/>
    <w:rsid w:val="000A7853"/>
    <w:rsid w:val="000B10ED"/>
    <w:rsid w:val="000B1F8A"/>
    <w:rsid w:val="000B544D"/>
    <w:rsid w:val="000B7533"/>
    <w:rsid w:val="000B7EA0"/>
    <w:rsid w:val="000C019B"/>
    <w:rsid w:val="000C6E55"/>
    <w:rsid w:val="000C71F8"/>
    <w:rsid w:val="000D03D9"/>
    <w:rsid w:val="000D1B88"/>
    <w:rsid w:val="000D74E7"/>
    <w:rsid w:val="000E0B89"/>
    <w:rsid w:val="000E1273"/>
    <w:rsid w:val="000E1401"/>
    <w:rsid w:val="000E1B10"/>
    <w:rsid w:val="000E241F"/>
    <w:rsid w:val="000E3815"/>
    <w:rsid w:val="000E3A93"/>
    <w:rsid w:val="000F22BE"/>
    <w:rsid w:val="000F34D7"/>
    <w:rsid w:val="000F45C5"/>
    <w:rsid w:val="000F52B6"/>
    <w:rsid w:val="001025FE"/>
    <w:rsid w:val="00103C99"/>
    <w:rsid w:val="00103F6C"/>
    <w:rsid w:val="001108A5"/>
    <w:rsid w:val="00110FE0"/>
    <w:rsid w:val="001110B8"/>
    <w:rsid w:val="001166AA"/>
    <w:rsid w:val="00122C7A"/>
    <w:rsid w:val="00125379"/>
    <w:rsid w:val="001273AF"/>
    <w:rsid w:val="001278BC"/>
    <w:rsid w:val="00130E8F"/>
    <w:rsid w:val="00131EF0"/>
    <w:rsid w:val="001331A8"/>
    <w:rsid w:val="00137B90"/>
    <w:rsid w:val="00137CDD"/>
    <w:rsid w:val="00143FDA"/>
    <w:rsid w:val="00145AEE"/>
    <w:rsid w:val="00147FED"/>
    <w:rsid w:val="00150C51"/>
    <w:rsid w:val="001513C6"/>
    <w:rsid w:val="00153AFA"/>
    <w:rsid w:val="0015409F"/>
    <w:rsid w:val="001550A2"/>
    <w:rsid w:val="00161790"/>
    <w:rsid w:val="001639CC"/>
    <w:rsid w:val="00167472"/>
    <w:rsid w:val="00170058"/>
    <w:rsid w:val="00171278"/>
    <w:rsid w:val="00171E8E"/>
    <w:rsid w:val="00172CF7"/>
    <w:rsid w:val="00174D9D"/>
    <w:rsid w:val="00175B90"/>
    <w:rsid w:val="00176255"/>
    <w:rsid w:val="0018069B"/>
    <w:rsid w:val="001814D4"/>
    <w:rsid w:val="00181AAF"/>
    <w:rsid w:val="00184E44"/>
    <w:rsid w:val="0018692E"/>
    <w:rsid w:val="001937AC"/>
    <w:rsid w:val="0019505C"/>
    <w:rsid w:val="001972C5"/>
    <w:rsid w:val="001A2E0C"/>
    <w:rsid w:val="001A31EF"/>
    <w:rsid w:val="001A33E8"/>
    <w:rsid w:val="001A36D5"/>
    <w:rsid w:val="001A3DCB"/>
    <w:rsid w:val="001A42FC"/>
    <w:rsid w:val="001A5D34"/>
    <w:rsid w:val="001A7A09"/>
    <w:rsid w:val="001B183B"/>
    <w:rsid w:val="001B240F"/>
    <w:rsid w:val="001B54C7"/>
    <w:rsid w:val="001B6CBB"/>
    <w:rsid w:val="001C1631"/>
    <w:rsid w:val="001C3C6E"/>
    <w:rsid w:val="001C40EF"/>
    <w:rsid w:val="001C759C"/>
    <w:rsid w:val="001C7E4E"/>
    <w:rsid w:val="001D19B0"/>
    <w:rsid w:val="001D2D0D"/>
    <w:rsid w:val="001D4C0A"/>
    <w:rsid w:val="001E127E"/>
    <w:rsid w:val="001E1DC2"/>
    <w:rsid w:val="001E33C0"/>
    <w:rsid w:val="001E3A56"/>
    <w:rsid w:val="001E494C"/>
    <w:rsid w:val="001E4953"/>
    <w:rsid w:val="001E4C33"/>
    <w:rsid w:val="001E5288"/>
    <w:rsid w:val="001E6F0E"/>
    <w:rsid w:val="001F2338"/>
    <w:rsid w:val="001F2E86"/>
    <w:rsid w:val="001F317D"/>
    <w:rsid w:val="001F5367"/>
    <w:rsid w:val="001F73B1"/>
    <w:rsid w:val="00201AE1"/>
    <w:rsid w:val="0020516B"/>
    <w:rsid w:val="00205ADA"/>
    <w:rsid w:val="00205E0B"/>
    <w:rsid w:val="00206D84"/>
    <w:rsid w:val="00206E99"/>
    <w:rsid w:val="0021040F"/>
    <w:rsid w:val="00212516"/>
    <w:rsid w:val="002147B7"/>
    <w:rsid w:val="00215189"/>
    <w:rsid w:val="002159FE"/>
    <w:rsid w:val="00216ED2"/>
    <w:rsid w:val="00222921"/>
    <w:rsid w:val="00224343"/>
    <w:rsid w:val="0023005A"/>
    <w:rsid w:val="002301B5"/>
    <w:rsid w:val="00230990"/>
    <w:rsid w:val="002339DF"/>
    <w:rsid w:val="002364A0"/>
    <w:rsid w:val="002426A1"/>
    <w:rsid w:val="00243A09"/>
    <w:rsid w:val="0024620E"/>
    <w:rsid w:val="0025173A"/>
    <w:rsid w:val="00251B9D"/>
    <w:rsid w:val="00252D61"/>
    <w:rsid w:val="002533C3"/>
    <w:rsid w:val="002534B8"/>
    <w:rsid w:val="00253E4C"/>
    <w:rsid w:val="002550FF"/>
    <w:rsid w:val="002557FB"/>
    <w:rsid w:val="0026009D"/>
    <w:rsid w:val="00260B74"/>
    <w:rsid w:val="00262FA9"/>
    <w:rsid w:val="0026404F"/>
    <w:rsid w:val="00266A77"/>
    <w:rsid w:val="002717C1"/>
    <w:rsid w:val="00272087"/>
    <w:rsid w:val="00272A34"/>
    <w:rsid w:val="00273DDB"/>
    <w:rsid w:val="002748DF"/>
    <w:rsid w:val="00277933"/>
    <w:rsid w:val="002808F2"/>
    <w:rsid w:val="00281F55"/>
    <w:rsid w:val="00282A93"/>
    <w:rsid w:val="00285769"/>
    <w:rsid w:val="00290ADC"/>
    <w:rsid w:val="00292E54"/>
    <w:rsid w:val="0029623C"/>
    <w:rsid w:val="002974DE"/>
    <w:rsid w:val="002A1866"/>
    <w:rsid w:val="002A1937"/>
    <w:rsid w:val="002A1E68"/>
    <w:rsid w:val="002A1F79"/>
    <w:rsid w:val="002A3ADC"/>
    <w:rsid w:val="002A3CA3"/>
    <w:rsid w:val="002A42F1"/>
    <w:rsid w:val="002A4E73"/>
    <w:rsid w:val="002A7382"/>
    <w:rsid w:val="002B04D8"/>
    <w:rsid w:val="002B1970"/>
    <w:rsid w:val="002B1BB5"/>
    <w:rsid w:val="002B2576"/>
    <w:rsid w:val="002B492D"/>
    <w:rsid w:val="002B6A82"/>
    <w:rsid w:val="002B784A"/>
    <w:rsid w:val="002C3777"/>
    <w:rsid w:val="002C681D"/>
    <w:rsid w:val="002C6E01"/>
    <w:rsid w:val="002C743B"/>
    <w:rsid w:val="002C7765"/>
    <w:rsid w:val="002D1E1A"/>
    <w:rsid w:val="002D31A0"/>
    <w:rsid w:val="002D364D"/>
    <w:rsid w:val="002D3F36"/>
    <w:rsid w:val="002D5AD2"/>
    <w:rsid w:val="002D78DA"/>
    <w:rsid w:val="002E0E0E"/>
    <w:rsid w:val="002E2737"/>
    <w:rsid w:val="002E388A"/>
    <w:rsid w:val="002E4505"/>
    <w:rsid w:val="002F3DAC"/>
    <w:rsid w:val="002F419E"/>
    <w:rsid w:val="002F742D"/>
    <w:rsid w:val="002F7ED0"/>
    <w:rsid w:val="00300FFF"/>
    <w:rsid w:val="003023D0"/>
    <w:rsid w:val="0030295D"/>
    <w:rsid w:val="00304FD8"/>
    <w:rsid w:val="00305DB5"/>
    <w:rsid w:val="00306402"/>
    <w:rsid w:val="003075D2"/>
    <w:rsid w:val="00307AE0"/>
    <w:rsid w:val="00310AAB"/>
    <w:rsid w:val="00312B10"/>
    <w:rsid w:val="00315172"/>
    <w:rsid w:val="00316087"/>
    <w:rsid w:val="003205E3"/>
    <w:rsid w:val="00324736"/>
    <w:rsid w:val="00326509"/>
    <w:rsid w:val="00326D88"/>
    <w:rsid w:val="0033528F"/>
    <w:rsid w:val="003363A4"/>
    <w:rsid w:val="00336627"/>
    <w:rsid w:val="00336E0C"/>
    <w:rsid w:val="00336EE5"/>
    <w:rsid w:val="00337844"/>
    <w:rsid w:val="00337D8B"/>
    <w:rsid w:val="00337FD1"/>
    <w:rsid w:val="00340F21"/>
    <w:rsid w:val="00341B31"/>
    <w:rsid w:val="00342DFC"/>
    <w:rsid w:val="00343123"/>
    <w:rsid w:val="00344296"/>
    <w:rsid w:val="00344B98"/>
    <w:rsid w:val="00345651"/>
    <w:rsid w:val="00345962"/>
    <w:rsid w:val="0035048D"/>
    <w:rsid w:val="0035502B"/>
    <w:rsid w:val="003557CA"/>
    <w:rsid w:val="00356409"/>
    <w:rsid w:val="00356C16"/>
    <w:rsid w:val="0035768B"/>
    <w:rsid w:val="00357E45"/>
    <w:rsid w:val="0036056E"/>
    <w:rsid w:val="00360BBD"/>
    <w:rsid w:val="00363107"/>
    <w:rsid w:val="0036363E"/>
    <w:rsid w:val="003638B8"/>
    <w:rsid w:val="00363B56"/>
    <w:rsid w:val="00365683"/>
    <w:rsid w:val="00366718"/>
    <w:rsid w:val="00371B39"/>
    <w:rsid w:val="0037265C"/>
    <w:rsid w:val="00373466"/>
    <w:rsid w:val="00373475"/>
    <w:rsid w:val="00374F25"/>
    <w:rsid w:val="0037510E"/>
    <w:rsid w:val="003771A9"/>
    <w:rsid w:val="003812EB"/>
    <w:rsid w:val="00382BE0"/>
    <w:rsid w:val="0038487A"/>
    <w:rsid w:val="003863FC"/>
    <w:rsid w:val="00387E81"/>
    <w:rsid w:val="003912E0"/>
    <w:rsid w:val="00391618"/>
    <w:rsid w:val="00395279"/>
    <w:rsid w:val="00396603"/>
    <w:rsid w:val="00396E6E"/>
    <w:rsid w:val="0039718D"/>
    <w:rsid w:val="003A2D4B"/>
    <w:rsid w:val="003A30D0"/>
    <w:rsid w:val="003A588C"/>
    <w:rsid w:val="003A7244"/>
    <w:rsid w:val="003B1200"/>
    <w:rsid w:val="003B12BF"/>
    <w:rsid w:val="003B241E"/>
    <w:rsid w:val="003B3F6D"/>
    <w:rsid w:val="003B4DAF"/>
    <w:rsid w:val="003B5D58"/>
    <w:rsid w:val="003B6AF9"/>
    <w:rsid w:val="003C1135"/>
    <w:rsid w:val="003C5971"/>
    <w:rsid w:val="003C5D5E"/>
    <w:rsid w:val="003C5F00"/>
    <w:rsid w:val="003C6BC8"/>
    <w:rsid w:val="003C7708"/>
    <w:rsid w:val="003D1F2D"/>
    <w:rsid w:val="003D233F"/>
    <w:rsid w:val="003D36E4"/>
    <w:rsid w:val="003D39D2"/>
    <w:rsid w:val="003D4FF9"/>
    <w:rsid w:val="003D503A"/>
    <w:rsid w:val="003D50C9"/>
    <w:rsid w:val="003E061B"/>
    <w:rsid w:val="003E14A2"/>
    <w:rsid w:val="003E61DF"/>
    <w:rsid w:val="003F3068"/>
    <w:rsid w:val="003F3F4C"/>
    <w:rsid w:val="003F4329"/>
    <w:rsid w:val="003F4CC0"/>
    <w:rsid w:val="003F5887"/>
    <w:rsid w:val="003F7163"/>
    <w:rsid w:val="003F730E"/>
    <w:rsid w:val="003F73CE"/>
    <w:rsid w:val="003F73E4"/>
    <w:rsid w:val="0040427E"/>
    <w:rsid w:val="00405018"/>
    <w:rsid w:val="00405525"/>
    <w:rsid w:val="00407A4D"/>
    <w:rsid w:val="004133BB"/>
    <w:rsid w:val="00416CCF"/>
    <w:rsid w:val="00417427"/>
    <w:rsid w:val="0041792D"/>
    <w:rsid w:val="00417E86"/>
    <w:rsid w:val="004209CA"/>
    <w:rsid w:val="004224B8"/>
    <w:rsid w:val="00426BFC"/>
    <w:rsid w:val="00427BC4"/>
    <w:rsid w:val="00430567"/>
    <w:rsid w:val="00433181"/>
    <w:rsid w:val="00435AC0"/>
    <w:rsid w:val="00437B1F"/>
    <w:rsid w:val="00442594"/>
    <w:rsid w:val="004429DD"/>
    <w:rsid w:val="0044371F"/>
    <w:rsid w:val="00443C93"/>
    <w:rsid w:val="004441FF"/>
    <w:rsid w:val="0044444B"/>
    <w:rsid w:val="00445E91"/>
    <w:rsid w:val="00446883"/>
    <w:rsid w:val="00446ADC"/>
    <w:rsid w:val="00446DC5"/>
    <w:rsid w:val="0044734D"/>
    <w:rsid w:val="0045163E"/>
    <w:rsid w:val="00452691"/>
    <w:rsid w:val="004531F1"/>
    <w:rsid w:val="00454126"/>
    <w:rsid w:val="00455248"/>
    <w:rsid w:val="00457008"/>
    <w:rsid w:val="0046140F"/>
    <w:rsid w:val="00461B20"/>
    <w:rsid w:val="00464462"/>
    <w:rsid w:val="004651B5"/>
    <w:rsid w:val="00465F15"/>
    <w:rsid w:val="0046645F"/>
    <w:rsid w:val="004674D8"/>
    <w:rsid w:val="00467D8A"/>
    <w:rsid w:val="0047085D"/>
    <w:rsid w:val="004748B2"/>
    <w:rsid w:val="00475C8A"/>
    <w:rsid w:val="0047618F"/>
    <w:rsid w:val="00480283"/>
    <w:rsid w:val="00485EA2"/>
    <w:rsid w:val="0049675E"/>
    <w:rsid w:val="00497F25"/>
    <w:rsid w:val="004A4940"/>
    <w:rsid w:val="004A59FE"/>
    <w:rsid w:val="004A66A2"/>
    <w:rsid w:val="004A6E29"/>
    <w:rsid w:val="004B1B5C"/>
    <w:rsid w:val="004B4968"/>
    <w:rsid w:val="004B6119"/>
    <w:rsid w:val="004B7A3A"/>
    <w:rsid w:val="004C0308"/>
    <w:rsid w:val="004C1B47"/>
    <w:rsid w:val="004C1D2F"/>
    <w:rsid w:val="004C48F2"/>
    <w:rsid w:val="004C52BE"/>
    <w:rsid w:val="004C73CD"/>
    <w:rsid w:val="004C769D"/>
    <w:rsid w:val="004C7CFA"/>
    <w:rsid w:val="004D146A"/>
    <w:rsid w:val="004D5525"/>
    <w:rsid w:val="004E0389"/>
    <w:rsid w:val="004E0F46"/>
    <w:rsid w:val="004E1752"/>
    <w:rsid w:val="004E2A58"/>
    <w:rsid w:val="004E354D"/>
    <w:rsid w:val="004F7545"/>
    <w:rsid w:val="00500455"/>
    <w:rsid w:val="00501953"/>
    <w:rsid w:val="00502853"/>
    <w:rsid w:val="005057D3"/>
    <w:rsid w:val="005071CE"/>
    <w:rsid w:val="005119A2"/>
    <w:rsid w:val="00514B5F"/>
    <w:rsid w:val="005151B1"/>
    <w:rsid w:val="005162D9"/>
    <w:rsid w:val="00516B15"/>
    <w:rsid w:val="00517874"/>
    <w:rsid w:val="00521DDA"/>
    <w:rsid w:val="00522637"/>
    <w:rsid w:val="00523C3C"/>
    <w:rsid w:val="00524827"/>
    <w:rsid w:val="0052587E"/>
    <w:rsid w:val="00527557"/>
    <w:rsid w:val="00530493"/>
    <w:rsid w:val="005305BC"/>
    <w:rsid w:val="00535BDC"/>
    <w:rsid w:val="005362DC"/>
    <w:rsid w:val="00536875"/>
    <w:rsid w:val="00536F3A"/>
    <w:rsid w:val="00537B36"/>
    <w:rsid w:val="005430DE"/>
    <w:rsid w:val="00543154"/>
    <w:rsid w:val="00544390"/>
    <w:rsid w:val="00547A6D"/>
    <w:rsid w:val="00553F59"/>
    <w:rsid w:val="00555B01"/>
    <w:rsid w:val="005620E9"/>
    <w:rsid w:val="00562D31"/>
    <w:rsid w:val="005646E1"/>
    <w:rsid w:val="00564A98"/>
    <w:rsid w:val="00572BCA"/>
    <w:rsid w:val="005731E8"/>
    <w:rsid w:val="0057612B"/>
    <w:rsid w:val="00576602"/>
    <w:rsid w:val="00584914"/>
    <w:rsid w:val="005857D3"/>
    <w:rsid w:val="0058608B"/>
    <w:rsid w:val="005901B0"/>
    <w:rsid w:val="0059298C"/>
    <w:rsid w:val="00595215"/>
    <w:rsid w:val="0059580B"/>
    <w:rsid w:val="00596C0B"/>
    <w:rsid w:val="00596F14"/>
    <w:rsid w:val="005A0CCD"/>
    <w:rsid w:val="005A13EA"/>
    <w:rsid w:val="005A2C39"/>
    <w:rsid w:val="005A381A"/>
    <w:rsid w:val="005A3EE3"/>
    <w:rsid w:val="005A6DB0"/>
    <w:rsid w:val="005A75B5"/>
    <w:rsid w:val="005A75E5"/>
    <w:rsid w:val="005B11D1"/>
    <w:rsid w:val="005B12BE"/>
    <w:rsid w:val="005B314B"/>
    <w:rsid w:val="005B7440"/>
    <w:rsid w:val="005C19A9"/>
    <w:rsid w:val="005C3B2F"/>
    <w:rsid w:val="005C6877"/>
    <w:rsid w:val="005C7EB2"/>
    <w:rsid w:val="005D0F89"/>
    <w:rsid w:val="005D199B"/>
    <w:rsid w:val="005D7A37"/>
    <w:rsid w:val="005E101F"/>
    <w:rsid w:val="005E263F"/>
    <w:rsid w:val="005E53E6"/>
    <w:rsid w:val="005F2B12"/>
    <w:rsid w:val="005F6917"/>
    <w:rsid w:val="005F6948"/>
    <w:rsid w:val="005F78C0"/>
    <w:rsid w:val="00604154"/>
    <w:rsid w:val="00604C42"/>
    <w:rsid w:val="00604FF7"/>
    <w:rsid w:val="0060542F"/>
    <w:rsid w:val="00605AB2"/>
    <w:rsid w:val="006105C0"/>
    <w:rsid w:val="00610DD9"/>
    <w:rsid w:val="00614125"/>
    <w:rsid w:val="0061473A"/>
    <w:rsid w:val="00614EA4"/>
    <w:rsid w:val="00615540"/>
    <w:rsid w:val="006158E5"/>
    <w:rsid w:val="00616530"/>
    <w:rsid w:val="0061795A"/>
    <w:rsid w:val="006216F3"/>
    <w:rsid w:val="00624D3F"/>
    <w:rsid w:val="0062501C"/>
    <w:rsid w:val="00630085"/>
    <w:rsid w:val="00635572"/>
    <w:rsid w:val="006408AE"/>
    <w:rsid w:val="006422D2"/>
    <w:rsid w:val="00642CAA"/>
    <w:rsid w:val="00642D4F"/>
    <w:rsid w:val="0064776F"/>
    <w:rsid w:val="00652455"/>
    <w:rsid w:val="006554FD"/>
    <w:rsid w:val="006561DC"/>
    <w:rsid w:val="00656C27"/>
    <w:rsid w:val="006607C1"/>
    <w:rsid w:val="00662E5F"/>
    <w:rsid w:val="00663235"/>
    <w:rsid w:val="00663F67"/>
    <w:rsid w:val="00665AA1"/>
    <w:rsid w:val="00670E7E"/>
    <w:rsid w:val="0067399E"/>
    <w:rsid w:val="006743AD"/>
    <w:rsid w:val="006759ED"/>
    <w:rsid w:val="00676943"/>
    <w:rsid w:val="00676A98"/>
    <w:rsid w:val="00681C03"/>
    <w:rsid w:val="00683968"/>
    <w:rsid w:val="006854E0"/>
    <w:rsid w:val="00690315"/>
    <w:rsid w:val="0069199C"/>
    <w:rsid w:val="006933BD"/>
    <w:rsid w:val="00694EDD"/>
    <w:rsid w:val="00697883"/>
    <w:rsid w:val="006A084E"/>
    <w:rsid w:val="006A0A9A"/>
    <w:rsid w:val="006A18F0"/>
    <w:rsid w:val="006A231F"/>
    <w:rsid w:val="006A49BA"/>
    <w:rsid w:val="006B105D"/>
    <w:rsid w:val="006B1B04"/>
    <w:rsid w:val="006B1C52"/>
    <w:rsid w:val="006B4E81"/>
    <w:rsid w:val="006B6A95"/>
    <w:rsid w:val="006B7246"/>
    <w:rsid w:val="006C1D9C"/>
    <w:rsid w:val="006C2B0C"/>
    <w:rsid w:val="006C3F7A"/>
    <w:rsid w:val="006C7766"/>
    <w:rsid w:val="006D4703"/>
    <w:rsid w:val="006E06AA"/>
    <w:rsid w:val="006E090F"/>
    <w:rsid w:val="006E0A76"/>
    <w:rsid w:val="006E1D6E"/>
    <w:rsid w:val="006E3FCB"/>
    <w:rsid w:val="006E4297"/>
    <w:rsid w:val="006E5AC0"/>
    <w:rsid w:val="006F0ADB"/>
    <w:rsid w:val="006F2791"/>
    <w:rsid w:val="006F2ADB"/>
    <w:rsid w:val="006F3252"/>
    <w:rsid w:val="006F5387"/>
    <w:rsid w:val="006F6E3B"/>
    <w:rsid w:val="00700712"/>
    <w:rsid w:val="0070152A"/>
    <w:rsid w:val="00702781"/>
    <w:rsid w:val="00705A27"/>
    <w:rsid w:val="00706446"/>
    <w:rsid w:val="00711183"/>
    <w:rsid w:val="007118EC"/>
    <w:rsid w:val="00711AE1"/>
    <w:rsid w:val="007135B9"/>
    <w:rsid w:val="00714926"/>
    <w:rsid w:val="00714B8B"/>
    <w:rsid w:val="0071586E"/>
    <w:rsid w:val="007158CA"/>
    <w:rsid w:val="00720B38"/>
    <w:rsid w:val="00720D34"/>
    <w:rsid w:val="007218AE"/>
    <w:rsid w:val="00722123"/>
    <w:rsid w:val="00723010"/>
    <w:rsid w:val="00723E45"/>
    <w:rsid w:val="00727B74"/>
    <w:rsid w:val="007304DE"/>
    <w:rsid w:val="00731A95"/>
    <w:rsid w:val="00741F02"/>
    <w:rsid w:val="00751D19"/>
    <w:rsid w:val="0075262F"/>
    <w:rsid w:val="00752740"/>
    <w:rsid w:val="00752CC2"/>
    <w:rsid w:val="00755C73"/>
    <w:rsid w:val="00755F7C"/>
    <w:rsid w:val="00757EF9"/>
    <w:rsid w:val="007637E2"/>
    <w:rsid w:val="00764764"/>
    <w:rsid w:val="00765A25"/>
    <w:rsid w:val="00775B32"/>
    <w:rsid w:val="00776357"/>
    <w:rsid w:val="00780102"/>
    <w:rsid w:val="00782E99"/>
    <w:rsid w:val="00785621"/>
    <w:rsid w:val="00787FBD"/>
    <w:rsid w:val="00795188"/>
    <w:rsid w:val="0079601D"/>
    <w:rsid w:val="00796AFA"/>
    <w:rsid w:val="00797CA8"/>
    <w:rsid w:val="007A03DB"/>
    <w:rsid w:val="007A1AA0"/>
    <w:rsid w:val="007A3E40"/>
    <w:rsid w:val="007A3FE6"/>
    <w:rsid w:val="007A5584"/>
    <w:rsid w:val="007B017E"/>
    <w:rsid w:val="007B0256"/>
    <w:rsid w:val="007B04CA"/>
    <w:rsid w:val="007B0E16"/>
    <w:rsid w:val="007B0ED5"/>
    <w:rsid w:val="007B2B2B"/>
    <w:rsid w:val="007B3069"/>
    <w:rsid w:val="007B3A60"/>
    <w:rsid w:val="007C089D"/>
    <w:rsid w:val="007C0B94"/>
    <w:rsid w:val="007C3BCC"/>
    <w:rsid w:val="007C3F2A"/>
    <w:rsid w:val="007C686E"/>
    <w:rsid w:val="007D399F"/>
    <w:rsid w:val="007D5101"/>
    <w:rsid w:val="007D5A1A"/>
    <w:rsid w:val="007E04B1"/>
    <w:rsid w:val="007E11BB"/>
    <w:rsid w:val="007E1884"/>
    <w:rsid w:val="007E18DF"/>
    <w:rsid w:val="007E3967"/>
    <w:rsid w:val="007E4603"/>
    <w:rsid w:val="007E4C6C"/>
    <w:rsid w:val="007E6010"/>
    <w:rsid w:val="007E610B"/>
    <w:rsid w:val="007E697B"/>
    <w:rsid w:val="007F3D00"/>
    <w:rsid w:val="007F7087"/>
    <w:rsid w:val="0080082E"/>
    <w:rsid w:val="008015E5"/>
    <w:rsid w:val="008017E6"/>
    <w:rsid w:val="00804217"/>
    <w:rsid w:val="00805BBA"/>
    <w:rsid w:val="0080728F"/>
    <w:rsid w:val="008072E4"/>
    <w:rsid w:val="00807302"/>
    <w:rsid w:val="00815089"/>
    <w:rsid w:val="00815CC1"/>
    <w:rsid w:val="00815FA2"/>
    <w:rsid w:val="00817DDC"/>
    <w:rsid w:val="00820860"/>
    <w:rsid w:val="008208B6"/>
    <w:rsid w:val="0082197F"/>
    <w:rsid w:val="00824F54"/>
    <w:rsid w:val="00825149"/>
    <w:rsid w:val="00825C30"/>
    <w:rsid w:val="00827815"/>
    <w:rsid w:val="00827C37"/>
    <w:rsid w:val="00831CED"/>
    <w:rsid w:val="008407E0"/>
    <w:rsid w:val="00840EC7"/>
    <w:rsid w:val="008411DE"/>
    <w:rsid w:val="00842010"/>
    <w:rsid w:val="00842D9B"/>
    <w:rsid w:val="00843154"/>
    <w:rsid w:val="0084561A"/>
    <w:rsid w:val="00846DBE"/>
    <w:rsid w:val="008470F0"/>
    <w:rsid w:val="008474CB"/>
    <w:rsid w:val="008518F2"/>
    <w:rsid w:val="008528D5"/>
    <w:rsid w:val="0085356E"/>
    <w:rsid w:val="00853791"/>
    <w:rsid w:val="0085475A"/>
    <w:rsid w:val="008603F2"/>
    <w:rsid w:val="00860E0F"/>
    <w:rsid w:val="0086115B"/>
    <w:rsid w:val="0086192D"/>
    <w:rsid w:val="00861D13"/>
    <w:rsid w:val="00863C52"/>
    <w:rsid w:val="00864EF2"/>
    <w:rsid w:val="008672EE"/>
    <w:rsid w:val="00872385"/>
    <w:rsid w:val="008736EB"/>
    <w:rsid w:val="00875585"/>
    <w:rsid w:val="00877D90"/>
    <w:rsid w:val="00877DA0"/>
    <w:rsid w:val="00880A1B"/>
    <w:rsid w:val="00880D90"/>
    <w:rsid w:val="00882C35"/>
    <w:rsid w:val="00882D9C"/>
    <w:rsid w:val="00883431"/>
    <w:rsid w:val="00884165"/>
    <w:rsid w:val="00885818"/>
    <w:rsid w:val="00891597"/>
    <w:rsid w:val="008934AE"/>
    <w:rsid w:val="00895718"/>
    <w:rsid w:val="008A02B2"/>
    <w:rsid w:val="008A0861"/>
    <w:rsid w:val="008A1A2F"/>
    <w:rsid w:val="008A63BA"/>
    <w:rsid w:val="008A6F8A"/>
    <w:rsid w:val="008B1047"/>
    <w:rsid w:val="008B11E0"/>
    <w:rsid w:val="008B318D"/>
    <w:rsid w:val="008B4336"/>
    <w:rsid w:val="008B50D3"/>
    <w:rsid w:val="008B64DF"/>
    <w:rsid w:val="008B6918"/>
    <w:rsid w:val="008B77EB"/>
    <w:rsid w:val="008B7A69"/>
    <w:rsid w:val="008C0105"/>
    <w:rsid w:val="008C0316"/>
    <w:rsid w:val="008C30D1"/>
    <w:rsid w:val="008C6D14"/>
    <w:rsid w:val="008D0113"/>
    <w:rsid w:val="008D045E"/>
    <w:rsid w:val="008D1646"/>
    <w:rsid w:val="008D20A0"/>
    <w:rsid w:val="008D45F7"/>
    <w:rsid w:val="008D5761"/>
    <w:rsid w:val="008D6232"/>
    <w:rsid w:val="008E0D6D"/>
    <w:rsid w:val="008E333C"/>
    <w:rsid w:val="008E3CE5"/>
    <w:rsid w:val="008E4F67"/>
    <w:rsid w:val="008E5FC6"/>
    <w:rsid w:val="008E65AC"/>
    <w:rsid w:val="008E6FF5"/>
    <w:rsid w:val="008E770F"/>
    <w:rsid w:val="008F16E4"/>
    <w:rsid w:val="008F1BD7"/>
    <w:rsid w:val="008F21A0"/>
    <w:rsid w:val="008F28AD"/>
    <w:rsid w:val="008F6EEF"/>
    <w:rsid w:val="008F7646"/>
    <w:rsid w:val="008F7EDD"/>
    <w:rsid w:val="00901BC6"/>
    <w:rsid w:val="00902A84"/>
    <w:rsid w:val="00905E27"/>
    <w:rsid w:val="00907F44"/>
    <w:rsid w:val="009106EE"/>
    <w:rsid w:val="00914317"/>
    <w:rsid w:val="009206D3"/>
    <w:rsid w:val="00920973"/>
    <w:rsid w:val="00920DF6"/>
    <w:rsid w:val="00921459"/>
    <w:rsid w:val="009236EE"/>
    <w:rsid w:val="00925468"/>
    <w:rsid w:val="00925ED0"/>
    <w:rsid w:val="00926D69"/>
    <w:rsid w:val="00937139"/>
    <w:rsid w:val="00942FEA"/>
    <w:rsid w:val="009437D0"/>
    <w:rsid w:val="00943E0A"/>
    <w:rsid w:val="00943F03"/>
    <w:rsid w:val="00950361"/>
    <w:rsid w:val="00950871"/>
    <w:rsid w:val="00954E6F"/>
    <w:rsid w:val="00955342"/>
    <w:rsid w:val="00956918"/>
    <w:rsid w:val="00956E4C"/>
    <w:rsid w:val="009572BF"/>
    <w:rsid w:val="009606CA"/>
    <w:rsid w:val="0096180E"/>
    <w:rsid w:val="00965343"/>
    <w:rsid w:val="00967FE9"/>
    <w:rsid w:val="00971EC2"/>
    <w:rsid w:val="009755C0"/>
    <w:rsid w:val="00983EB4"/>
    <w:rsid w:val="009867F4"/>
    <w:rsid w:val="009878B1"/>
    <w:rsid w:val="0099020F"/>
    <w:rsid w:val="00991C67"/>
    <w:rsid w:val="00994CEA"/>
    <w:rsid w:val="009A1D2B"/>
    <w:rsid w:val="009A429B"/>
    <w:rsid w:val="009A5F9F"/>
    <w:rsid w:val="009B141D"/>
    <w:rsid w:val="009B2BC5"/>
    <w:rsid w:val="009B3BAF"/>
    <w:rsid w:val="009B4084"/>
    <w:rsid w:val="009B5F5F"/>
    <w:rsid w:val="009B7D00"/>
    <w:rsid w:val="009C7975"/>
    <w:rsid w:val="009D005C"/>
    <w:rsid w:val="009D3984"/>
    <w:rsid w:val="009D51A6"/>
    <w:rsid w:val="009D53B3"/>
    <w:rsid w:val="009D573E"/>
    <w:rsid w:val="009D5AE9"/>
    <w:rsid w:val="009D64A1"/>
    <w:rsid w:val="009D71E2"/>
    <w:rsid w:val="009E1250"/>
    <w:rsid w:val="009E2005"/>
    <w:rsid w:val="009E2319"/>
    <w:rsid w:val="009F287C"/>
    <w:rsid w:val="009F588A"/>
    <w:rsid w:val="009F7654"/>
    <w:rsid w:val="009F7BEE"/>
    <w:rsid w:val="00A01D6B"/>
    <w:rsid w:val="00A024AA"/>
    <w:rsid w:val="00A054A4"/>
    <w:rsid w:val="00A06B28"/>
    <w:rsid w:val="00A06D07"/>
    <w:rsid w:val="00A06F99"/>
    <w:rsid w:val="00A07EA8"/>
    <w:rsid w:val="00A125DE"/>
    <w:rsid w:val="00A128BC"/>
    <w:rsid w:val="00A13647"/>
    <w:rsid w:val="00A2038E"/>
    <w:rsid w:val="00A20C70"/>
    <w:rsid w:val="00A218D4"/>
    <w:rsid w:val="00A22899"/>
    <w:rsid w:val="00A32D9F"/>
    <w:rsid w:val="00A32E5E"/>
    <w:rsid w:val="00A33C67"/>
    <w:rsid w:val="00A33E2C"/>
    <w:rsid w:val="00A34AFE"/>
    <w:rsid w:val="00A36963"/>
    <w:rsid w:val="00A37675"/>
    <w:rsid w:val="00A376EC"/>
    <w:rsid w:val="00A37C83"/>
    <w:rsid w:val="00A4054D"/>
    <w:rsid w:val="00A41642"/>
    <w:rsid w:val="00A4640D"/>
    <w:rsid w:val="00A47607"/>
    <w:rsid w:val="00A51028"/>
    <w:rsid w:val="00A52E1C"/>
    <w:rsid w:val="00A607BB"/>
    <w:rsid w:val="00A60E1A"/>
    <w:rsid w:val="00A63A01"/>
    <w:rsid w:val="00A64B88"/>
    <w:rsid w:val="00A6501F"/>
    <w:rsid w:val="00A652D2"/>
    <w:rsid w:val="00A6672D"/>
    <w:rsid w:val="00A66E4E"/>
    <w:rsid w:val="00A67226"/>
    <w:rsid w:val="00A70BCB"/>
    <w:rsid w:val="00A741E9"/>
    <w:rsid w:val="00A74D5E"/>
    <w:rsid w:val="00A759EF"/>
    <w:rsid w:val="00A82503"/>
    <w:rsid w:val="00A91C2F"/>
    <w:rsid w:val="00A9470B"/>
    <w:rsid w:val="00A94D25"/>
    <w:rsid w:val="00A964E8"/>
    <w:rsid w:val="00A96504"/>
    <w:rsid w:val="00AA2164"/>
    <w:rsid w:val="00AA35BA"/>
    <w:rsid w:val="00AA5FAF"/>
    <w:rsid w:val="00AA642D"/>
    <w:rsid w:val="00AA679D"/>
    <w:rsid w:val="00AA6F3D"/>
    <w:rsid w:val="00AA711E"/>
    <w:rsid w:val="00AB2738"/>
    <w:rsid w:val="00AB2E13"/>
    <w:rsid w:val="00AB37E0"/>
    <w:rsid w:val="00AB5FEA"/>
    <w:rsid w:val="00AC050F"/>
    <w:rsid w:val="00AC1806"/>
    <w:rsid w:val="00AC1FC1"/>
    <w:rsid w:val="00AC3CCB"/>
    <w:rsid w:val="00AC79CE"/>
    <w:rsid w:val="00AD33EE"/>
    <w:rsid w:val="00AD6151"/>
    <w:rsid w:val="00AD680E"/>
    <w:rsid w:val="00AE2952"/>
    <w:rsid w:val="00AF33AB"/>
    <w:rsid w:val="00AF3C62"/>
    <w:rsid w:val="00AF3CCF"/>
    <w:rsid w:val="00AF4DF3"/>
    <w:rsid w:val="00AF650F"/>
    <w:rsid w:val="00AF6FB5"/>
    <w:rsid w:val="00AF7E66"/>
    <w:rsid w:val="00B05EE9"/>
    <w:rsid w:val="00B121C2"/>
    <w:rsid w:val="00B134C4"/>
    <w:rsid w:val="00B13D71"/>
    <w:rsid w:val="00B1648A"/>
    <w:rsid w:val="00B1738B"/>
    <w:rsid w:val="00B21E24"/>
    <w:rsid w:val="00B240AE"/>
    <w:rsid w:val="00B301D8"/>
    <w:rsid w:val="00B31D50"/>
    <w:rsid w:val="00B3221C"/>
    <w:rsid w:val="00B34719"/>
    <w:rsid w:val="00B41898"/>
    <w:rsid w:val="00B41CA0"/>
    <w:rsid w:val="00B42B82"/>
    <w:rsid w:val="00B44BCC"/>
    <w:rsid w:val="00B46C62"/>
    <w:rsid w:val="00B473B3"/>
    <w:rsid w:val="00B528C6"/>
    <w:rsid w:val="00B53676"/>
    <w:rsid w:val="00B53F68"/>
    <w:rsid w:val="00B545B8"/>
    <w:rsid w:val="00B622B2"/>
    <w:rsid w:val="00B62BAC"/>
    <w:rsid w:val="00B63313"/>
    <w:rsid w:val="00B6405B"/>
    <w:rsid w:val="00B6437C"/>
    <w:rsid w:val="00B650BF"/>
    <w:rsid w:val="00B67A65"/>
    <w:rsid w:val="00B7046F"/>
    <w:rsid w:val="00B71D8D"/>
    <w:rsid w:val="00B7239C"/>
    <w:rsid w:val="00B72B08"/>
    <w:rsid w:val="00B7350F"/>
    <w:rsid w:val="00B754C8"/>
    <w:rsid w:val="00B75906"/>
    <w:rsid w:val="00B775CF"/>
    <w:rsid w:val="00B809DE"/>
    <w:rsid w:val="00B84812"/>
    <w:rsid w:val="00B848BB"/>
    <w:rsid w:val="00B84CC1"/>
    <w:rsid w:val="00B868D6"/>
    <w:rsid w:val="00B87CDB"/>
    <w:rsid w:val="00B942F1"/>
    <w:rsid w:val="00B95459"/>
    <w:rsid w:val="00B95F23"/>
    <w:rsid w:val="00B96932"/>
    <w:rsid w:val="00B973CC"/>
    <w:rsid w:val="00BA06AC"/>
    <w:rsid w:val="00BA0A19"/>
    <w:rsid w:val="00BA2D64"/>
    <w:rsid w:val="00BA306A"/>
    <w:rsid w:val="00BA6D43"/>
    <w:rsid w:val="00BB2AC9"/>
    <w:rsid w:val="00BB7C22"/>
    <w:rsid w:val="00BC1509"/>
    <w:rsid w:val="00BC37BF"/>
    <w:rsid w:val="00BC5AF7"/>
    <w:rsid w:val="00BC7210"/>
    <w:rsid w:val="00BC7C87"/>
    <w:rsid w:val="00BD3E3F"/>
    <w:rsid w:val="00BD49C9"/>
    <w:rsid w:val="00BD5F37"/>
    <w:rsid w:val="00BD644D"/>
    <w:rsid w:val="00BD7FCD"/>
    <w:rsid w:val="00BE1180"/>
    <w:rsid w:val="00BE2A64"/>
    <w:rsid w:val="00BE324E"/>
    <w:rsid w:val="00BF1C19"/>
    <w:rsid w:val="00BF2030"/>
    <w:rsid w:val="00BF253A"/>
    <w:rsid w:val="00BF2863"/>
    <w:rsid w:val="00BF2EC6"/>
    <w:rsid w:val="00BF309E"/>
    <w:rsid w:val="00BF4EE6"/>
    <w:rsid w:val="00BF560C"/>
    <w:rsid w:val="00C0045E"/>
    <w:rsid w:val="00C023F9"/>
    <w:rsid w:val="00C0620E"/>
    <w:rsid w:val="00C068FF"/>
    <w:rsid w:val="00C07F08"/>
    <w:rsid w:val="00C13780"/>
    <w:rsid w:val="00C149FD"/>
    <w:rsid w:val="00C1503C"/>
    <w:rsid w:val="00C1589E"/>
    <w:rsid w:val="00C16896"/>
    <w:rsid w:val="00C214E8"/>
    <w:rsid w:val="00C23D5F"/>
    <w:rsid w:val="00C251D0"/>
    <w:rsid w:val="00C266AB"/>
    <w:rsid w:val="00C2732F"/>
    <w:rsid w:val="00C30790"/>
    <w:rsid w:val="00C3585C"/>
    <w:rsid w:val="00C37859"/>
    <w:rsid w:val="00C37B9B"/>
    <w:rsid w:val="00C40BC4"/>
    <w:rsid w:val="00C4263A"/>
    <w:rsid w:val="00C43A2B"/>
    <w:rsid w:val="00C47856"/>
    <w:rsid w:val="00C47AC4"/>
    <w:rsid w:val="00C521D5"/>
    <w:rsid w:val="00C52C47"/>
    <w:rsid w:val="00C542A5"/>
    <w:rsid w:val="00C54466"/>
    <w:rsid w:val="00C54DCD"/>
    <w:rsid w:val="00C55A37"/>
    <w:rsid w:val="00C55CCF"/>
    <w:rsid w:val="00C565C6"/>
    <w:rsid w:val="00C56ECA"/>
    <w:rsid w:val="00C57D83"/>
    <w:rsid w:val="00C60A7E"/>
    <w:rsid w:val="00C61963"/>
    <w:rsid w:val="00C62A76"/>
    <w:rsid w:val="00C64AD1"/>
    <w:rsid w:val="00C64F54"/>
    <w:rsid w:val="00C65858"/>
    <w:rsid w:val="00C70B56"/>
    <w:rsid w:val="00C7121A"/>
    <w:rsid w:val="00C71DCE"/>
    <w:rsid w:val="00C7293D"/>
    <w:rsid w:val="00C72E70"/>
    <w:rsid w:val="00C73775"/>
    <w:rsid w:val="00C740C7"/>
    <w:rsid w:val="00C75578"/>
    <w:rsid w:val="00C825C4"/>
    <w:rsid w:val="00C82EA8"/>
    <w:rsid w:val="00C83D2B"/>
    <w:rsid w:val="00C84AA4"/>
    <w:rsid w:val="00C84EA2"/>
    <w:rsid w:val="00C8604F"/>
    <w:rsid w:val="00C86891"/>
    <w:rsid w:val="00C91024"/>
    <w:rsid w:val="00C91403"/>
    <w:rsid w:val="00C918CD"/>
    <w:rsid w:val="00C92324"/>
    <w:rsid w:val="00C959A0"/>
    <w:rsid w:val="00CA0527"/>
    <w:rsid w:val="00CA33AB"/>
    <w:rsid w:val="00CA6383"/>
    <w:rsid w:val="00CA7F0E"/>
    <w:rsid w:val="00CB007B"/>
    <w:rsid w:val="00CB2304"/>
    <w:rsid w:val="00CB2884"/>
    <w:rsid w:val="00CB3A6C"/>
    <w:rsid w:val="00CB5410"/>
    <w:rsid w:val="00CB678B"/>
    <w:rsid w:val="00CB6D86"/>
    <w:rsid w:val="00CC3A37"/>
    <w:rsid w:val="00CC3C52"/>
    <w:rsid w:val="00CC4911"/>
    <w:rsid w:val="00CC601D"/>
    <w:rsid w:val="00CC7344"/>
    <w:rsid w:val="00CC7F4A"/>
    <w:rsid w:val="00CD31DF"/>
    <w:rsid w:val="00CD6B11"/>
    <w:rsid w:val="00CE3B9F"/>
    <w:rsid w:val="00CE4007"/>
    <w:rsid w:val="00CE5492"/>
    <w:rsid w:val="00CF2B02"/>
    <w:rsid w:val="00CF2B48"/>
    <w:rsid w:val="00CF32C9"/>
    <w:rsid w:val="00CF4CA5"/>
    <w:rsid w:val="00D06DBF"/>
    <w:rsid w:val="00D07BDC"/>
    <w:rsid w:val="00D106F2"/>
    <w:rsid w:val="00D11C6A"/>
    <w:rsid w:val="00D145FF"/>
    <w:rsid w:val="00D219B7"/>
    <w:rsid w:val="00D22A21"/>
    <w:rsid w:val="00D247BB"/>
    <w:rsid w:val="00D3066D"/>
    <w:rsid w:val="00D3192A"/>
    <w:rsid w:val="00D32D51"/>
    <w:rsid w:val="00D331F8"/>
    <w:rsid w:val="00D34956"/>
    <w:rsid w:val="00D40327"/>
    <w:rsid w:val="00D4038F"/>
    <w:rsid w:val="00D4410C"/>
    <w:rsid w:val="00D44CD8"/>
    <w:rsid w:val="00D45931"/>
    <w:rsid w:val="00D47B5D"/>
    <w:rsid w:val="00D526CC"/>
    <w:rsid w:val="00D551FD"/>
    <w:rsid w:val="00D6421E"/>
    <w:rsid w:val="00D667B0"/>
    <w:rsid w:val="00D67D29"/>
    <w:rsid w:val="00D72A9D"/>
    <w:rsid w:val="00D737D1"/>
    <w:rsid w:val="00D73E09"/>
    <w:rsid w:val="00D778FF"/>
    <w:rsid w:val="00D82754"/>
    <w:rsid w:val="00D835E3"/>
    <w:rsid w:val="00D83E60"/>
    <w:rsid w:val="00D85B83"/>
    <w:rsid w:val="00D85C04"/>
    <w:rsid w:val="00D86B4F"/>
    <w:rsid w:val="00D90925"/>
    <w:rsid w:val="00D91862"/>
    <w:rsid w:val="00D93D0F"/>
    <w:rsid w:val="00D9451D"/>
    <w:rsid w:val="00D95A1F"/>
    <w:rsid w:val="00D96545"/>
    <w:rsid w:val="00D9764B"/>
    <w:rsid w:val="00DA0188"/>
    <w:rsid w:val="00DA4856"/>
    <w:rsid w:val="00DA7A73"/>
    <w:rsid w:val="00DA7F67"/>
    <w:rsid w:val="00DB064B"/>
    <w:rsid w:val="00DB0BCD"/>
    <w:rsid w:val="00DB192A"/>
    <w:rsid w:val="00DB43A3"/>
    <w:rsid w:val="00DB4722"/>
    <w:rsid w:val="00DB65D4"/>
    <w:rsid w:val="00DB78E8"/>
    <w:rsid w:val="00DC19EA"/>
    <w:rsid w:val="00DC5AA0"/>
    <w:rsid w:val="00DD0CB9"/>
    <w:rsid w:val="00DD1EB9"/>
    <w:rsid w:val="00DD4762"/>
    <w:rsid w:val="00DD4FD6"/>
    <w:rsid w:val="00DD59E3"/>
    <w:rsid w:val="00DD5C1C"/>
    <w:rsid w:val="00DE1D36"/>
    <w:rsid w:val="00DE26CD"/>
    <w:rsid w:val="00DE2DB3"/>
    <w:rsid w:val="00DE4C9E"/>
    <w:rsid w:val="00DE5EB9"/>
    <w:rsid w:val="00DF475B"/>
    <w:rsid w:val="00DF54E2"/>
    <w:rsid w:val="00DF7D65"/>
    <w:rsid w:val="00E03B21"/>
    <w:rsid w:val="00E05FDD"/>
    <w:rsid w:val="00E12852"/>
    <w:rsid w:val="00E12D57"/>
    <w:rsid w:val="00E13A65"/>
    <w:rsid w:val="00E160BE"/>
    <w:rsid w:val="00E16F55"/>
    <w:rsid w:val="00E174A4"/>
    <w:rsid w:val="00E20191"/>
    <w:rsid w:val="00E20638"/>
    <w:rsid w:val="00E22C4C"/>
    <w:rsid w:val="00E266C9"/>
    <w:rsid w:val="00E275B3"/>
    <w:rsid w:val="00E32153"/>
    <w:rsid w:val="00E362D2"/>
    <w:rsid w:val="00E407C2"/>
    <w:rsid w:val="00E407FC"/>
    <w:rsid w:val="00E42273"/>
    <w:rsid w:val="00E42412"/>
    <w:rsid w:val="00E42614"/>
    <w:rsid w:val="00E439C4"/>
    <w:rsid w:val="00E4586E"/>
    <w:rsid w:val="00E50883"/>
    <w:rsid w:val="00E52BC2"/>
    <w:rsid w:val="00E56508"/>
    <w:rsid w:val="00E608BA"/>
    <w:rsid w:val="00E65B83"/>
    <w:rsid w:val="00E75268"/>
    <w:rsid w:val="00E809D5"/>
    <w:rsid w:val="00E811C0"/>
    <w:rsid w:val="00E81F59"/>
    <w:rsid w:val="00E8297A"/>
    <w:rsid w:val="00E83CA8"/>
    <w:rsid w:val="00E84331"/>
    <w:rsid w:val="00E84651"/>
    <w:rsid w:val="00E86FC4"/>
    <w:rsid w:val="00E87963"/>
    <w:rsid w:val="00E95792"/>
    <w:rsid w:val="00E95D43"/>
    <w:rsid w:val="00EB1286"/>
    <w:rsid w:val="00EB3549"/>
    <w:rsid w:val="00EB3A73"/>
    <w:rsid w:val="00EB41B9"/>
    <w:rsid w:val="00EB50E2"/>
    <w:rsid w:val="00EB5108"/>
    <w:rsid w:val="00EC38A7"/>
    <w:rsid w:val="00EC3BF8"/>
    <w:rsid w:val="00EC435F"/>
    <w:rsid w:val="00EC5BBC"/>
    <w:rsid w:val="00EC683C"/>
    <w:rsid w:val="00ED02E7"/>
    <w:rsid w:val="00ED15A6"/>
    <w:rsid w:val="00ED1C04"/>
    <w:rsid w:val="00ED1CDD"/>
    <w:rsid w:val="00ED2A06"/>
    <w:rsid w:val="00ED2BC5"/>
    <w:rsid w:val="00ED30A9"/>
    <w:rsid w:val="00ED4E63"/>
    <w:rsid w:val="00ED6D05"/>
    <w:rsid w:val="00ED6E01"/>
    <w:rsid w:val="00ED7397"/>
    <w:rsid w:val="00EE0ACD"/>
    <w:rsid w:val="00EE2E2C"/>
    <w:rsid w:val="00EE4BF3"/>
    <w:rsid w:val="00EE5485"/>
    <w:rsid w:val="00EE5D44"/>
    <w:rsid w:val="00EE5F40"/>
    <w:rsid w:val="00EE6393"/>
    <w:rsid w:val="00EE6CC5"/>
    <w:rsid w:val="00EE7214"/>
    <w:rsid w:val="00EE74E3"/>
    <w:rsid w:val="00EE7998"/>
    <w:rsid w:val="00EF03D0"/>
    <w:rsid w:val="00EF25C3"/>
    <w:rsid w:val="00EF2CD9"/>
    <w:rsid w:val="00EF3921"/>
    <w:rsid w:val="00EF3FC7"/>
    <w:rsid w:val="00EF413F"/>
    <w:rsid w:val="00EF4285"/>
    <w:rsid w:val="00EF4782"/>
    <w:rsid w:val="00EF6978"/>
    <w:rsid w:val="00F03E26"/>
    <w:rsid w:val="00F06A2F"/>
    <w:rsid w:val="00F072EB"/>
    <w:rsid w:val="00F07783"/>
    <w:rsid w:val="00F07A3F"/>
    <w:rsid w:val="00F10E12"/>
    <w:rsid w:val="00F1170E"/>
    <w:rsid w:val="00F124C6"/>
    <w:rsid w:val="00F12682"/>
    <w:rsid w:val="00F14625"/>
    <w:rsid w:val="00F1478B"/>
    <w:rsid w:val="00F1551B"/>
    <w:rsid w:val="00F16087"/>
    <w:rsid w:val="00F215F5"/>
    <w:rsid w:val="00F22BF0"/>
    <w:rsid w:val="00F24136"/>
    <w:rsid w:val="00F25D57"/>
    <w:rsid w:val="00F26399"/>
    <w:rsid w:val="00F27B3D"/>
    <w:rsid w:val="00F42F48"/>
    <w:rsid w:val="00F45D3A"/>
    <w:rsid w:val="00F47B35"/>
    <w:rsid w:val="00F5061F"/>
    <w:rsid w:val="00F50C52"/>
    <w:rsid w:val="00F557A7"/>
    <w:rsid w:val="00F577AF"/>
    <w:rsid w:val="00F57888"/>
    <w:rsid w:val="00F60913"/>
    <w:rsid w:val="00F617F9"/>
    <w:rsid w:val="00F62ADE"/>
    <w:rsid w:val="00F63618"/>
    <w:rsid w:val="00F65906"/>
    <w:rsid w:val="00F66C41"/>
    <w:rsid w:val="00F66EA5"/>
    <w:rsid w:val="00F66F7D"/>
    <w:rsid w:val="00F70D34"/>
    <w:rsid w:val="00F73999"/>
    <w:rsid w:val="00F768DF"/>
    <w:rsid w:val="00F77EB4"/>
    <w:rsid w:val="00F810D9"/>
    <w:rsid w:val="00F8120A"/>
    <w:rsid w:val="00F81287"/>
    <w:rsid w:val="00F81C59"/>
    <w:rsid w:val="00F82357"/>
    <w:rsid w:val="00F865A0"/>
    <w:rsid w:val="00F872E4"/>
    <w:rsid w:val="00F876D2"/>
    <w:rsid w:val="00F9234B"/>
    <w:rsid w:val="00F93FF7"/>
    <w:rsid w:val="00F95327"/>
    <w:rsid w:val="00F96674"/>
    <w:rsid w:val="00F97BE5"/>
    <w:rsid w:val="00FA096D"/>
    <w:rsid w:val="00FA0D93"/>
    <w:rsid w:val="00FA23CD"/>
    <w:rsid w:val="00FA463C"/>
    <w:rsid w:val="00FA4C47"/>
    <w:rsid w:val="00FA73FE"/>
    <w:rsid w:val="00FB1565"/>
    <w:rsid w:val="00FB3E22"/>
    <w:rsid w:val="00FB4A81"/>
    <w:rsid w:val="00FC113C"/>
    <w:rsid w:val="00FC621F"/>
    <w:rsid w:val="00FC63E1"/>
    <w:rsid w:val="00FC6944"/>
    <w:rsid w:val="00FD0478"/>
    <w:rsid w:val="00FD2C6D"/>
    <w:rsid w:val="00FD5DBC"/>
    <w:rsid w:val="00FE066C"/>
    <w:rsid w:val="00FE0D4E"/>
    <w:rsid w:val="00FE4C9E"/>
    <w:rsid w:val="00FE58FB"/>
    <w:rsid w:val="00FE7064"/>
    <w:rsid w:val="00FF6803"/>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9E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30DE"/>
    <w:rPr>
      <w:rFonts w:ascii="Calibri" w:hAnsi="Calibri"/>
      <w:lang w:bidi="bn-IN"/>
    </w:rPr>
  </w:style>
  <w:style w:type="paragraph" w:styleId="Heading1">
    <w:name w:val="heading 1"/>
    <w:basedOn w:val="Normal"/>
    <w:link w:val="Heading1Char"/>
    <w:uiPriority w:val="9"/>
    <w:qFormat/>
    <w:rsid w:val="004429DD"/>
    <w:pPr>
      <w:spacing w:before="100" w:beforeAutospacing="1" w:after="100" w:afterAutospacing="1"/>
      <w:outlineLvl w:val="0"/>
    </w:pPr>
    <w:rPr>
      <w:rFonts w:ascii="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E3967"/>
    <w:rPr>
      <w:sz w:val="16"/>
      <w:szCs w:val="16"/>
    </w:rPr>
  </w:style>
  <w:style w:type="paragraph" w:styleId="CommentText">
    <w:name w:val="annotation text"/>
    <w:basedOn w:val="Normal"/>
    <w:link w:val="CommentTextChar"/>
    <w:uiPriority w:val="99"/>
    <w:semiHidden/>
    <w:unhideWhenUsed/>
    <w:rsid w:val="007E3967"/>
    <w:pPr>
      <w:spacing w:after="160"/>
    </w:pPr>
    <w:rPr>
      <w:rFonts w:asciiTheme="minorHAnsi" w:hAnsiTheme="minorHAnsi"/>
      <w:sz w:val="20"/>
      <w:szCs w:val="20"/>
      <w:lang w:bidi="ar-SA"/>
    </w:rPr>
  </w:style>
  <w:style w:type="character" w:customStyle="1" w:styleId="CommentTextChar">
    <w:name w:val="Comment Text Char"/>
    <w:basedOn w:val="DefaultParagraphFont"/>
    <w:link w:val="CommentText"/>
    <w:uiPriority w:val="99"/>
    <w:semiHidden/>
    <w:rsid w:val="007E3967"/>
    <w:rPr>
      <w:sz w:val="20"/>
      <w:szCs w:val="20"/>
    </w:rPr>
  </w:style>
  <w:style w:type="paragraph" w:styleId="BalloonText">
    <w:name w:val="Balloon Text"/>
    <w:basedOn w:val="Normal"/>
    <w:link w:val="BalloonTextChar"/>
    <w:uiPriority w:val="99"/>
    <w:semiHidden/>
    <w:unhideWhenUsed/>
    <w:rsid w:val="007E3967"/>
    <w:rPr>
      <w:rFonts w:ascii="Times New Roman" w:hAnsi="Times New Roman"/>
      <w:sz w:val="18"/>
      <w:szCs w:val="18"/>
      <w:lang w:bidi="ar-SA"/>
    </w:rPr>
  </w:style>
  <w:style w:type="character" w:customStyle="1" w:styleId="BalloonTextChar">
    <w:name w:val="Balloon Text Char"/>
    <w:basedOn w:val="DefaultParagraphFont"/>
    <w:link w:val="BalloonText"/>
    <w:uiPriority w:val="99"/>
    <w:semiHidden/>
    <w:rsid w:val="007E3967"/>
    <w:rPr>
      <w:rFonts w:ascii="Times New Roman" w:hAnsi="Times New Roman"/>
      <w:sz w:val="18"/>
      <w:szCs w:val="18"/>
    </w:rPr>
  </w:style>
  <w:style w:type="character" w:styleId="PlaceholderText">
    <w:name w:val="Placeholder Text"/>
    <w:basedOn w:val="DefaultParagraphFont"/>
    <w:uiPriority w:val="99"/>
    <w:semiHidden/>
    <w:rsid w:val="002B2576"/>
    <w:rPr>
      <w:color w:val="808080"/>
    </w:rPr>
  </w:style>
  <w:style w:type="paragraph" w:styleId="ListParagraph">
    <w:name w:val="List Paragraph"/>
    <w:basedOn w:val="Normal"/>
    <w:uiPriority w:val="34"/>
    <w:qFormat/>
    <w:rsid w:val="00E12D57"/>
    <w:pPr>
      <w:ind w:left="720"/>
      <w:contextualSpacing/>
    </w:pPr>
    <w:rPr>
      <w:rFonts w:asciiTheme="minorHAnsi" w:hAnsiTheme="minorHAnsi"/>
      <w:lang w:bidi="ar-SA"/>
    </w:rPr>
  </w:style>
  <w:style w:type="paragraph" w:styleId="NormalWeb">
    <w:name w:val="Normal (Web)"/>
    <w:basedOn w:val="Normal"/>
    <w:uiPriority w:val="99"/>
    <w:unhideWhenUsed/>
    <w:rsid w:val="005D0F89"/>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4429DD"/>
  </w:style>
  <w:style w:type="character" w:styleId="Hyperlink">
    <w:name w:val="Hyperlink"/>
    <w:basedOn w:val="DefaultParagraphFont"/>
    <w:uiPriority w:val="99"/>
    <w:unhideWhenUsed/>
    <w:rsid w:val="004429DD"/>
    <w:rPr>
      <w:color w:val="0000FF"/>
      <w:u w:val="single"/>
    </w:rPr>
  </w:style>
  <w:style w:type="character" w:customStyle="1" w:styleId="Heading1Char">
    <w:name w:val="Heading 1 Char"/>
    <w:basedOn w:val="DefaultParagraphFont"/>
    <w:link w:val="Heading1"/>
    <w:uiPriority w:val="9"/>
    <w:rsid w:val="004429DD"/>
    <w:rPr>
      <w:rFonts w:ascii="Times New Roman" w:hAnsi="Times New Roman"/>
      <w:b/>
      <w:bCs/>
      <w:kern w:val="36"/>
      <w:sz w:val="48"/>
      <w:szCs w:val="48"/>
      <w:lang w:eastAsia="en-GB" w:bidi="bn-IN"/>
    </w:rPr>
  </w:style>
  <w:style w:type="paragraph" w:styleId="CommentSubject">
    <w:name w:val="annotation subject"/>
    <w:basedOn w:val="CommentText"/>
    <w:next w:val="CommentText"/>
    <w:link w:val="CommentSubjectChar"/>
    <w:uiPriority w:val="99"/>
    <w:semiHidden/>
    <w:unhideWhenUsed/>
    <w:rsid w:val="00B72B08"/>
    <w:pPr>
      <w:spacing w:after="0"/>
    </w:pPr>
    <w:rPr>
      <w:b/>
      <w:bCs/>
    </w:rPr>
  </w:style>
  <w:style w:type="character" w:customStyle="1" w:styleId="CommentSubjectChar">
    <w:name w:val="Comment Subject Char"/>
    <w:basedOn w:val="CommentTextChar"/>
    <w:link w:val="CommentSubject"/>
    <w:uiPriority w:val="99"/>
    <w:semiHidden/>
    <w:rsid w:val="00B72B08"/>
    <w:rPr>
      <w:b/>
      <w:bCs/>
      <w:sz w:val="20"/>
      <w:szCs w:val="20"/>
    </w:rPr>
  </w:style>
  <w:style w:type="table" w:styleId="TableGrid">
    <w:name w:val="Table Grid"/>
    <w:basedOn w:val="TableNormal"/>
    <w:uiPriority w:val="39"/>
    <w:rsid w:val="00F47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D1EB9"/>
    <w:pPr>
      <w:tabs>
        <w:tab w:val="center" w:pos="4513"/>
        <w:tab w:val="right" w:pos="9026"/>
      </w:tabs>
    </w:pPr>
    <w:rPr>
      <w:rFonts w:asciiTheme="minorHAnsi" w:hAnsiTheme="minorHAnsi"/>
      <w:lang w:bidi="ar-SA"/>
    </w:rPr>
  </w:style>
  <w:style w:type="character" w:customStyle="1" w:styleId="FooterChar">
    <w:name w:val="Footer Char"/>
    <w:basedOn w:val="DefaultParagraphFont"/>
    <w:link w:val="Footer"/>
    <w:uiPriority w:val="99"/>
    <w:rsid w:val="00DD1EB9"/>
  </w:style>
  <w:style w:type="character" w:styleId="PageNumber">
    <w:name w:val="page number"/>
    <w:basedOn w:val="DefaultParagraphFont"/>
    <w:uiPriority w:val="99"/>
    <w:semiHidden/>
    <w:unhideWhenUsed/>
    <w:rsid w:val="00DD1EB9"/>
  </w:style>
  <w:style w:type="paragraph" w:styleId="Revision">
    <w:name w:val="Revision"/>
    <w:hidden/>
    <w:uiPriority w:val="99"/>
    <w:semiHidden/>
    <w:rsid w:val="0003108D"/>
  </w:style>
  <w:style w:type="paragraph" w:styleId="FootnoteText">
    <w:name w:val="footnote text"/>
    <w:basedOn w:val="Normal"/>
    <w:link w:val="FootnoteTextChar"/>
    <w:uiPriority w:val="99"/>
    <w:unhideWhenUsed/>
    <w:rsid w:val="00804217"/>
    <w:rPr>
      <w:rFonts w:asciiTheme="minorHAnsi" w:hAnsiTheme="minorHAnsi"/>
      <w:lang w:bidi="ar-SA"/>
    </w:rPr>
  </w:style>
  <w:style w:type="character" w:customStyle="1" w:styleId="FootnoteTextChar">
    <w:name w:val="Footnote Text Char"/>
    <w:basedOn w:val="DefaultParagraphFont"/>
    <w:link w:val="FootnoteText"/>
    <w:uiPriority w:val="99"/>
    <w:rsid w:val="00804217"/>
  </w:style>
  <w:style w:type="character" w:styleId="FootnoteReference">
    <w:name w:val="footnote reference"/>
    <w:basedOn w:val="DefaultParagraphFont"/>
    <w:uiPriority w:val="99"/>
    <w:unhideWhenUsed/>
    <w:rsid w:val="00804217"/>
    <w:rPr>
      <w:vertAlign w:val="superscript"/>
    </w:rPr>
  </w:style>
  <w:style w:type="paragraph" w:styleId="EndnoteText">
    <w:name w:val="endnote text"/>
    <w:basedOn w:val="Normal"/>
    <w:link w:val="EndnoteTextChar"/>
    <w:uiPriority w:val="99"/>
    <w:unhideWhenUsed/>
    <w:rsid w:val="00BC7210"/>
    <w:rPr>
      <w:rFonts w:asciiTheme="minorHAnsi" w:hAnsiTheme="minorHAnsi"/>
      <w:lang w:bidi="ar-SA"/>
    </w:rPr>
  </w:style>
  <w:style w:type="character" w:customStyle="1" w:styleId="EndnoteTextChar">
    <w:name w:val="Endnote Text Char"/>
    <w:basedOn w:val="DefaultParagraphFont"/>
    <w:link w:val="EndnoteText"/>
    <w:uiPriority w:val="99"/>
    <w:rsid w:val="00BC7210"/>
  </w:style>
  <w:style w:type="character" w:styleId="EndnoteReference">
    <w:name w:val="endnote reference"/>
    <w:basedOn w:val="DefaultParagraphFont"/>
    <w:uiPriority w:val="99"/>
    <w:unhideWhenUsed/>
    <w:rsid w:val="00BC7210"/>
    <w:rPr>
      <w:vertAlign w:val="superscript"/>
    </w:rPr>
  </w:style>
  <w:style w:type="paragraph" w:styleId="Header">
    <w:name w:val="header"/>
    <w:basedOn w:val="Normal"/>
    <w:link w:val="HeaderChar"/>
    <w:uiPriority w:val="99"/>
    <w:unhideWhenUsed/>
    <w:rsid w:val="00F95327"/>
    <w:pPr>
      <w:tabs>
        <w:tab w:val="center" w:pos="4513"/>
        <w:tab w:val="right" w:pos="9026"/>
      </w:tabs>
    </w:pPr>
    <w:rPr>
      <w:rFonts w:asciiTheme="minorHAnsi" w:hAnsiTheme="minorHAnsi"/>
      <w:lang w:bidi="ar-SA"/>
    </w:rPr>
  </w:style>
  <w:style w:type="character" w:customStyle="1" w:styleId="HeaderChar">
    <w:name w:val="Header Char"/>
    <w:basedOn w:val="DefaultParagraphFont"/>
    <w:link w:val="Header"/>
    <w:uiPriority w:val="99"/>
    <w:rsid w:val="00F95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8244">
      <w:bodyDiv w:val="1"/>
      <w:marLeft w:val="0"/>
      <w:marRight w:val="0"/>
      <w:marTop w:val="0"/>
      <w:marBottom w:val="0"/>
      <w:divBdr>
        <w:top w:val="none" w:sz="0" w:space="0" w:color="auto"/>
        <w:left w:val="none" w:sz="0" w:space="0" w:color="auto"/>
        <w:bottom w:val="none" w:sz="0" w:space="0" w:color="auto"/>
        <w:right w:val="none" w:sz="0" w:space="0" w:color="auto"/>
      </w:divBdr>
      <w:divsChild>
        <w:div w:id="1108699787">
          <w:marLeft w:val="0"/>
          <w:marRight w:val="0"/>
          <w:marTop w:val="0"/>
          <w:marBottom w:val="0"/>
          <w:divBdr>
            <w:top w:val="none" w:sz="0" w:space="0" w:color="auto"/>
            <w:left w:val="none" w:sz="0" w:space="0" w:color="auto"/>
            <w:bottom w:val="none" w:sz="0" w:space="0" w:color="auto"/>
            <w:right w:val="none" w:sz="0" w:space="0" w:color="auto"/>
          </w:divBdr>
          <w:divsChild>
            <w:div w:id="215245175">
              <w:marLeft w:val="0"/>
              <w:marRight w:val="0"/>
              <w:marTop w:val="0"/>
              <w:marBottom w:val="0"/>
              <w:divBdr>
                <w:top w:val="none" w:sz="0" w:space="0" w:color="auto"/>
                <w:left w:val="none" w:sz="0" w:space="0" w:color="auto"/>
                <w:bottom w:val="none" w:sz="0" w:space="0" w:color="auto"/>
                <w:right w:val="none" w:sz="0" w:space="0" w:color="auto"/>
              </w:divBdr>
              <w:divsChild>
                <w:div w:id="9370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5105">
      <w:bodyDiv w:val="1"/>
      <w:marLeft w:val="0"/>
      <w:marRight w:val="0"/>
      <w:marTop w:val="0"/>
      <w:marBottom w:val="0"/>
      <w:divBdr>
        <w:top w:val="none" w:sz="0" w:space="0" w:color="auto"/>
        <w:left w:val="none" w:sz="0" w:space="0" w:color="auto"/>
        <w:bottom w:val="none" w:sz="0" w:space="0" w:color="auto"/>
        <w:right w:val="none" w:sz="0" w:space="0" w:color="auto"/>
      </w:divBdr>
      <w:divsChild>
        <w:div w:id="1411583063">
          <w:marLeft w:val="0"/>
          <w:marRight w:val="0"/>
          <w:marTop w:val="0"/>
          <w:marBottom w:val="0"/>
          <w:divBdr>
            <w:top w:val="none" w:sz="0" w:space="0" w:color="auto"/>
            <w:left w:val="none" w:sz="0" w:space="0" w:color="auto"/>
            <w:bottom w:val="none" w:sz="0" w:space="0" w:color="auto"/>
            <w:right w:val="none" w:sz="0" w:space="0" w:color="auto"/>
          </w:divBdr>
          <w:divsChild>
            <w:div w:id="1121995490">
              <w:marLeft w:val="0"/>
              <w:marRight w:val="0"/>
              <w:marTop w:val="0"/>
              <w:marBottom w:val="0"/>
              <w:divBdr>
                <w:top w:val="none" w:sz="0" w:space="0" w:color="auto"/>
                <w:left w:val="none" w:sz="0" w:space="0" w:color="auto"/>
                <w:bottom w:val="none" w:sz="0" w:space="0" w:color="auto"/>
                <w:right w:val="none" w:sz="0" w:space="0" w:color="auto"/>
              </w:divBdr>
              <w:divsChild>
                <w:div w:id="91150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07216">
      <w:bodyDiv w:val="1"/>
      <w:marLeft w:val="0"/>
      <w:marRight w:val="0"/>
      <w:marTop w:val="0"/>
      <w:marBottom w:val="0"/>
      <w:divBdr>
        <w:top w:val="none" w:sz="0" w:space="0" w:color="auto"/>
        <w:left w:val="none" w:sz="0" w:space="0" w:color="auto"/>
        <w:bottom w:val="none" w:sz="0" w:space="0" w:color="auto"/>
        <w:right w:val="none" w:sz="0" w:space="0" w:color="auto"/>
      </w:divBdr>
    </w:div>
    <w:div w:id="74783747">
      <w:bodyDiv w:val="1"/>
      <w:marLeft w:val="0"/>
      <w:marRight w:val="0"/>
      <w:marTop w:val="0"/>
      <w:marBottom w:val="0"/>
      <w:divBdr>
        <w:top w:val="none" w:sz="0" w:space="0" w:color="auto"/>
        <w:left w:val="none" w:sz="0" w:space="0" w:color="auto"/>
        <w:bottom w:val="none" w:sz="0" w:space="0" w:color="auto"/>
        <w:right w:val="none" w:sz="0" w:space="0" w:color="auto"/>
      </w:divBdr>
      <w:divsChild>
        <w:div w:id="1954094272">
          <w:marLeft w:val="0"/>
          <w:marRight w:val="0"/>
          <w:marTop w:val="0"/>
          <w:marBottom w:val="0"/>
          <w:divBdr>
            <w:top w:val="none" w:sz="0" w:space="0" w:color="auto"/>
            <w:left w:val="none" w:sz="0" w:space="0" w:color="auto"/>
            <w:bottom w:val="none" w:sz="0" w:space="0" w:color="auto"/>
            <w:right w:val="none" w:sz="0" w:space="0" w:color="auto"/>
          </w:divBdr>
          <w:divsChild>
            <w:div w:id="842866089">
              <w:marLeft w:val="0"/>
              <w:marRight w:val="0"/>
              <w:marTop w:val="0"/>
              <w:marBottom w:val="0"/>
              <w:divBdr>
                <w:top w:val="none" w:sz="0" w:space="0" w:color="auto"/>
                <w:left w:val="none" w:sz="0" w:space="0" w:color="auto"/>
                <w:bottom w:val="none" w:sz="0" w:space="0" w:color="auto"/>
                <w:right w:val="none" w:sz="0" w:space="0" w:color="auto"/>
              </w:divBdr>
              <w:divsChild>
                <w:div w:id="64489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135701">
      <w:bodyDiv w:val="1"/>
      <w:marLeft w:val="0"/>
      <w:marRight w:val="0"/>
      <w:marTop w:val="0"/>
      <w:marBottom w:val="0"/>
      <w:divBdr>
        <w:top w:val="none" w:sz="0" w:space="0" w:color="auto"/>
        <w:left w:val="none" w:sz="0" w:space="0" w:color="auto"/>
        <w:bottom w:val="none" w:sz="0" w:space="0" w:color="auto"/>
        <w:right w:val="none" w:sz="0" w:space="0" w:color="auto"/>
      </w:divBdr>
    </w:div>
    <w:div w:id="349571487">
      <w:bodyDiv w:val="1"/>
      <w:marLeft w:val="0"/>
      <w:marRight w:val="0"/>
      <w:marTop w:val="0"/>
      <w:marBottom w:val="0"/>
      <w:divBdr>
        <w:top w:val="none" w:sz="0" w:space="0" w:color="auto"/>
        <w:left w:val="none" w:sz="0" w:space="0" w:color="auto"/>
        <w:bottom w:val="none" w:sz="0" w:space="0" w:color="auto"/>
        <w:right w:val="none" w:sz="0" w:space="0" w:color="auto"/>
      </w:divBdr>
      <w:divsChild>
        <w:div w:id="1683704974">
          <w:marLeft w:val="0"/>
          <w:marRight w:val="0"/>
          <w:marTop w:val="0"/>
          <w:marBottom w:val="0"/>
          <w:divBdr>
            <w:top w:val="none" w:sz="0" w:space="0" w:color="auto"/>
            <w:left w:val="none" w:sz="0" w:space="0" w:color="auto"/>
            <w:bottom w:val="none" w:sz="0" w:space="0" w:color="auto"/>
            <w:right w:val="none" w:sz="0" w:space="0" w:color="auto"/>
          </w:divBdr>
          <w:divsChild>
            <w:div w:id="1376151155">
              <w:marLeft w:val="0"/>
              <w:marRight w:val="0"/>
              <w:marTop w:val="0"/>
              <w:marBottom w:val="0"/>
              <w:divBdr>
                <w:top w:val="none" w:sz="0" w:space="0" w:color="auto"/>
                <w:left w:val="none" w:sz="0" w:space="0" w:color="auto"/>
                <w:bottom w:val="none" w:sz="0" w:space="0" w:color="auto"/>
                <w:right w:val="none" w:sz="0" w:space="0" w:color="auto"/>
              </w:divBdr>
              <w:divsChild>
                <w:div w:id="19812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611479">
      <w:bodyDiv w:val="1"/>
      <w:marLeft w:val="0"/>
      <w:marRight w:val="0"/>
      <w:marTop w:val="0"/>
      <w:marBottom w:val="0"/>
      <w:divBdr>
        <w:top w:val="none" w:sz="0" w:space="0" w:color="auto"/>
        <w:left w:val="none" w:sz="0" w:space="0" w:color="auto"/>
        <w:bottom w:val="none" w:sz="0" w:space="0" w:color="auto"/>
        <w:right w:val="none" w:sz="0" w:space="0" w:color="auto"/>
      </w:divBdr>
    </w:div>
    <w:div w:id="454983067">
      <w:bodyDiv w:val="1"/>
      <w:marLeft w:val="0"/>
      <w:marRight w:val="0"/>
      <w:marTop w:val="0"/>
      <w:marBottom w:val="0"/>
      <w:divBdr>
        <w:top w:val="none" w:sz="0" w:space="0" w:color="auto"/>
        <w:left w:val="none" w:sz="0" w:space="0" w:color="auto"/>
        <w:bottom w:val="none" w:sz="0" w:space="0" w:color="auto"/>
        <w:right w:val="none" w:sz="0" w:space="0" w:color="auto"/>
      </w:divBdr>
      <w:divsChild>
        <w:div w:id="1133713854">
          <w:marLeft w:val="0"/>
          <w:marRight w:val="0"/>
          <w:marTop w:val="0"/>
          <w:marBottom w:val="0"/>
          <w:divBdr>
            <w:top w:val="none" w:sz="0" w:space="0" w:color="auto"/>
            <w:left w:val="none" w:sz="0" w:space="0" w:color="auto"/>
            <w:bottom w:val="none" w:sz="0" w:space="0" w:color="auto"/>
            <w:right w:val="none" w:sz="0" w:space="0" w:color="auto"/>
          </w:divBdr>
          <w:divsChild>
            <w:div w:id="493305328">
              <w:marLeft w:val="0"/>
              <w:marRight w:val="0"/>
              <w:marTop w:val="0"/>
              <w:marBottom w:val="0"/>
              <w:divBdr>
                <w:top w:val="none" w:sz="0" w:space="0" w:color="auto"/>
                <w:left w:val="none" w:sz="0" w:space="0" w:color="auto"/>
                <w:bottom w:val="none" w:sz="0" w:space="0" w:color="auto"/>
                <w:right w:val="none" w:sz="0" w:space="0" w:color="auto"/>
              </w:divBdr>
              <w:divsChild>
                <w:div w:id="1980718848">
                  <w:marLeft w:val="0"/>
                  <w:marRight w:val="0"/>
                  <w:marTop w:val="0"/>
                  <w:marBottom w:val="0"/>
                  <w:divBdr>
                    <w:top w:val="none" w:sz="0" w:space="0" w:color="auto"/>
                    <w:left w:val="none" w:sz="0" w:space="0" w:color="auto"/>
                    <w:bottom w:val="none" w:sz="0" w:space="0" w:color="auto"/>
                    <w:right w:val="none" w:sz="0" w:space="0" w:color="auto"/>
                  </w:divBdr>
                  <w:divsChild>
                    <w:div w:id="130627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238095">
      <w:bodyDiv w:val="1"/>
      <w:marLeft w:val="0"/>
      <w:marRight w:val="0"/>
      <w:marTop w:val="0"/>
      <w:marBottom w:val="0"/>
      <w:divBdr>
        <w:top w:val="none" w:sz="0" w:space="0" w:color="auto"/>
        <w:left w:val="none" w:sz="0" w:space="0" w:color="auto"/>
        <w:bottom w:val="none" w:sz="0" w:space="0" w:color="auto"/>
        <w:right w:val="none" w:sz="0" w:space="0" w:color="auto"/>
      </w:divBdr>
      <w:divsChild>
        <w:div w:id="1562061934">
          <w:marLeft w:val="0"/>
          <w:marRight w:val="0"/>
          <w:marTop w:val="0"/>
          <w:marBottom w:val="0"/>
          <w:divBdr>
            <w:top w:val="none" w:sz="0" w:space="0" w:color="auto"/>
            <w:left w:val="none" w:sz="0" w:space="0" w:color="auto"/>
            <w:bottom w:val="none" w:sz="0" w:space="0" w:color="auto"/>
            <w:right w:val="none" w:sz="0" w:space="0" w:color="auto"/>
          </w:divBdr>
          <w:divsChild>
            <w:div w:id="792216997">
              <w:marLeft w:val="0"/>
              <w:marRight w:val="0"/>
              <w:marTop w:val="0"/>
              <w:marBottom w:val="0"/>
              <w:divBdr>
                <w:top w:val="none" w:sz="0" w:space="0" w:color="auto"/>
                <w:left w:val="none" w:sz="0" w:space="0" w:color="auto"/>
                <w:bottom w:val="none" w:sz="0" w:space="0" w:color="auto"/>
                <w:right w:val="none" w:sz="0" w:space="0" w:color="auto"/>
              </w:divBdr>
              <w:divsChild>
                <w:div w:id="18982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947816">
      <w:bodyDiv w:val="1"/>
      <w:marLeft w:val="0"/>
      <w:marRight w:val="0"/>
      <w:marTop w:val="0"/>
      <w:marBottom w:val="0"/>
      <w:divBdr>
        <w:top w:val="none" w:sz="0" w:space="0" w:color="auto"/>
        <w:left w:val="none" w:sz="0" w:space="0" w:color="auto"/>
        <w:bottom w:val="none" w:sz="0" w:space="0" w:color="auto"/>
        <w:right w:val="none" w:sz="0" w:space="0" w:color="auto"/>
      </w:divBdr>
      <w:divsChild>
        <w:div w:id="1737773933">
          <w:marLeft w:val="0"/>
          <w:marRight w:val="0"/>
          <w:marTop w:val="0"/>
          <w:marBottom w:val="0"/>
          <w:divBdr>
            <w:top w:val="none" w:sz="0" w:space="0" w:color="auto"/>
            <w:left w:val="none" w:sz="0" w:space="0" w:color="auto"/>
            <w:bottom w:val="none" w:sz="0" w:space="0" w:color="auto"/>
            <w:right w:val="none" w:sz="0" w:space="0" w:color="auto"/>
          </w:divBdr>
          <w:divsChild>
            <w:div w:id="843596450">
              <w:marLeft w:val="0"/>
              <w:marRight w:val="0"/>
              <w:marTop w:val="0"/>
              <w:marBottom w:val="0"/>
              <w:divBdr>
                <w:top w:val="none" w:sz="0" w:space="0" w:color="auto"/>
                <w:left w:val="none" w:sz="0" w:space="0" w:color="auto"/>
                <w:bottom w:val="none" w:sz="0" w:space="0" w:color="auto"/>
                <w:right w:val="none" w:sz="0" w:space="0" w:color="auto"/>
              </w:divBdr>
              <w:divsChild>
                <w:div w:id="1949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666804">
      <w:bodyDiv w:val="1"/>
      <w:marLeft w:val="0"/>
      <w:marRight w:val="0"/>
      <w:marTop w:val="0"/>
      <w:marBottom w:val="0"/>
      <w:divBdr>
        <w:top w:val="none" w:sz="0" w:space="0" w:color="auto"/>
        <w:left w:val="none" w:sz="0" w:space="0" w:color="auto"/>
        <w:bottom w:val="none" w:sz="0" w:space="0" w:color="auto"/>
        <w:right w:val="none" w:sz="0" w:space="0" w:color="auto"/>
      </w:divBdr>
      <w:divsChild>
        <w:div w:id="1621498516">
          <w:marLeft w:val="0"/>
          <w:marRight w:val="0"/>
          <w:marTop w:val="0"/>
          <w:marBottom w:val="0"/>
          <w:divBdr>
            <w:top w:val="none" w:sz="0" w:space="0" w:color="auto"/>
            <w:left w:val="none" w:sz="0" w:space="0" w:color="auto"/>
            <w:bottom w:val="none" w:sz="0" w:space="0" w:color="auto"/>
            <w:right w:val="none" w:sz="0" w:space="0" w:color="auto"/>
          </w:divBdr>
          <w:divsChild>
            <w:div w:id="1793748365">
              <w:marLeft w:val="0"/>
              <w:marRight w:val="0"/>
              <w:marTop w:val="0"/>
              <w:marBottom w:val="0"/>
              <w:divBdr>
                <w:top w:val="none" w:sz="0" w:space="0" w:color="auto"/>
                <w:left w:val="none" w:sz="0" w:space="0" w:color="auto"/>
                <w:bottom w:val="none" w:sz="0" w:space="0" w:color="auto"/>
                <w:right w:val="none" w:sz="0" w:space="0" w:color="auto"/>
              </w:divBdr>
              <w:divsChild>
                <w:div w:id="56237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73138">
      <w:bodyDiv w:val="1"/>
      <w:marLeft w:val="0"/>
      <w:marRight w:val="0"/>
      <w:marTop w:val="0"/>
      <w:marBottom w:val="0"/>
      <w:divBdr>
        <w:top w:val="none" w:sz="0" w:space="0" w:color="auto"/>
        <w:left w:val="none" w:sz="0" w:space="0" w:color="auto"/>
        <w:bottom w:val="none" w:sz="0" w:space="0" w:color="auto"/>
        <w:right w:val="none" w:sz="0" w:space="0" w:color="auto"/>
      </w:divBdr>
      <w:divsChild>
        <w:div w:id="1189872988">
          <w:marLeft w:val="0"/>
          <w:marRight w:val="0"/>
          <w:marTop w:val="0"/>
          <w:marBottom w:val="0"/>
          <w:divBdr>
            <w:top w:val="none" w:sz="0" w:space="0" w:color="auto"/>
            <w:left w:val="none" w:sz="0" w:space="0" w:color="auto"/>
            <w:bottom w:val="none" w:sz="0" w:space="0" w:color="auto"/>
            <w:right w:val="none" w:sz="0" w:space="0" w:color="auto"/>
          </w:divBdr>
          <w:divsChild>
            <w:div w:id="413404730">
              <w:marLeft w:val="0"/>
              <w:marRight w:val="0"/>
              <w:marTop w:val="0"/>
              <w:marBottom w:val="0"/>
              <w:divBdr>
                <w:top w:val="none" w:sz="0" w:space="0" w:color="auto"/>
                <w:left w:val="none" w:sz="0" w:space="0" w:color="auto"/>
                <w:bottom w:val="none" w:sz="0" w:space="0" w:color="auto"/>
                <w:right w:val="none" w:sz="0" w:space="0" w:color="auto"/>
              </w:divBdr>
              <w:divsChild>
                <w:div w:id="772825152">
                  <w:marLeft w:val="0"/>
                  <w:marRight w:val="0"/>
                  <w:marTop w:val="0"/>
                  <w:marBottom w:val="0"/>
                  <w:divBdr>
                    <w:top w:val="none" w:sz="0" w:space="0" w:color="auto"/>
                    <w:left w:val="none" w:sz="0" w:space="0" w:color="auto"/>
                    <w:bottom w:val="none" w:sz="0" w:space="0" w:color="auto"/>
                    <w:right w:val="none" w:sz="0" w:space="0" w:color="auto"/>
                  </w:divBdr>
                  <w:divsChild>
                    <w:div w:id="10071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809985">
      <w:bodyDiv w:val="1"/>
      <w:marLeft w:val="0"/>
      <w:marRight w:val="0"/>
      <w:marTop w:val="0"/>
      <w:marBottom w:val="0"/>
      <w:divBdr>
        <w:top w:val="none" w:sz="0" w:space="0" w:color="auto"/>
        <w:left w:val="none" w:sz="0" w:space="0" w:color="auto"/>
        <w:bottom w:val="none" w:sz="0" w:space="0" w:color="auto"/>
        <w:right w:val="none" w:sz="0" w:space="0" w:color="auto"/>
      </w:divBdr>
      <w:divsChild>
        <w:div w:id="1817138560">
          <w:marLeft w:val="0"/>
          <w:marRight w:val="0"/>
          <w:marTop w:val="0"/>
          <w:marBottom w:val="0"/>
          <w:divBdr>
            <w:top w:val="none" w:sz="0" w:space="0" w:color="auto"/>
            <w:left w:val="none" w:sz="0" w:space="0" w:color="auto"/>
            <w:bottom w:val="none" w:sz="0" w:space="0" w:color="auto"/>
            <w:right w:val="none" w:sz="0" w:space="0" w:color="auto"/>
          </w:divBdr>
          <w:divsChild>
            <w:div w:id="1816213797">
              <w:marLeft w:val="0"/>
              <w:marRight w:val="0"/>
              <w:marTop w:val="0"/>
              <w:marBottom w:val="0"/>
              <w:divBdr>
                <w:top w:val="none" w:sz="0" w:space="0" w:color="auto"/>
                <w:left w:val="none" w:sz="0" w:space="0" w:color="auto"/>
                <w:bottom w:val="none" w:sz="0" w:space="0" w:color="auto"/>
                <w:right w:val="none" w:sz="0" w:space="0" w:color="auto"/>
              </w:divBdr>
              <w:divsChild>
                <w:div w:id="158302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18330">
      <w:bodyDiv w:val="1"/>
      <w:marLeft w:val="0"/>
      <w:marRight w:val="0"/>
      <w:marTop w:val="0"/>
      <w:marBottom w:val="0"/>
      <w:divBdr>
        <w:top w:val="none" w:sz="0" w:space="0" w:color="auto"/>
        <w:left w:val="none" w:sz="0" w:space="0" w:color="auto"/>
        <w:bottom w:val="none" w:sz="0" w:space="0" w:color="auto"/>
        <w:right w:val="none" w:sz="0" w:space="0" w:color="auto"/>
      </w:divBdr>
    </w:div>
    <w:div w:id="1040593975">
      <w:bodyDiv w:val="1"/>
      <w:marLeft w:val="0"/>
      <w:marRight w:val="0"/>
      <w:marTop w:val="0"/>
      <w:marBottom w:val="0"/>
      <w:divBdr>
        <w:top w:val="none" w:sz="0" w:space="0" w:color="auto"/>
        <w:left w:val="none" w:sz="0" w:space="0" w:color="auto"/>
        <w:bottom w:val="none" w:sz="0" w:space="0" w:color="auto"/>
        <w:right w:val="none" w:sz="0" w:space="0" w:color="auto"/>
      </w:divBdr>
      <w:divsChild>
        <w:div w:id="1189178691">
          <w:marLeft w:val="0"/>
          <w:marRight w:val="0"/>
          <w:marTop w:val="0"/>
          <w:marBottom w:val="0"/>
          <w:divBdr>
            <w:top w:val="none" w:sz="0" w:space="0" w:color="auto"/>
            <w:left w:val="none" w:sz="0" w:space="0" w:color="auto"/>
            <w:bottom w:val="none" w:sz="0" w:space="0" w:color="auto"/>
            <w:right w:val="none" w:sz="0" w:space="0" w:color="auto"/>
          </w:divBdr>
          <w:divsChild>
            <w:div w:id="1254703824">
              <w:marLeft w:val="0"/>
              <w:marRight w:val="0"/>
              <w:marTop w:val="0"/>
              <w:marBottom w:val="0"/>
              <w:divBdr>
                <w:top w:val="none" w:sz="0" w:space="0" w:color="auto"/>
                <w:left w:val="none" w:sz="0" w:space="0" w:color="auto"/>
                <w:bottom w:val="none" w:sz="0" w:space="0" w:color="auto"/>
                <w:right w:val="none" w:sz="0" w:space="0" w:color="auto"/>
              </w:divBdr>
              <w:divsChild>
                <w:div w:id="1087309976">
                  <w:marLeft w:val="0"/>
                  <w:marRight w:val="0"/>
                  <w:marTop w:val="0"/>
                  <w:marBottom w:val="0"/>
                  <w:divBdr>
                    <w:top w:val="none" w:sz="0" w:space="0" w:color="auto"/>
                    <w:left w:val="none" w:sz="0" w:space="0" w:color="auto"/>
                    <w:bottom w:val="none" w:sz="0" w:space="0" w:color="auto"/>
                    <w:right w:val="none" w:sz="0" w:space="0" w:color="auto"/>
                  </w:divBdr>
                  <w:divsChild>
                    <w:div w:id="2583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114490">
      <w:bodyDiv w:val="1"/>
      <w:marLeft w:val="0"/>
      <w:marRight w:val="0"/>
      <w:marTop w:val="0"/>
      <w:marBottom w:val="0"/>
      <w:divBdr>
        <w:top w:val="none" w:sz="0" w:space="0" w:color="auto"/>
        <w:left w:val="none" w:sz="0" w:space="0" w:color="auto"/>
        <w:bottom w:val="none" w:sz="0" w:space="0" w:color="auto"/>
        <w:right w:val="none" w:sz="0" w:space="0" w:color="auto"/>
      </w:divBdr>
    </w:div>
    <w:div w:id="1212839142">
      <w:bodyDiv w:val="1"/>
      <w:marLeft w:val="0"/>
      <w:marRight w:val="0"/>
      <w:marTop w:val="0"/>
      <w:marBottom w:val="0"/>
      <w:divBdr>
        <w:top w:val="none" w:sz="0" w:space="0" w:color="auto"/>
        <w:left w:val="none" w:sz="0" w:space="0" w:color="auto"/>
        <w:bottom w:val="none" w:sz="0" w:space="0" w:color="auto"/>
        <w:right w:val="none" w:sz="0" w:space="0" w:color="auto"/>
      </w:divBdr>
      <w:divsChild>
        <w:div w:id="1216623067">
          <w:marLeft w:val="0"/>
          <w:marRight w:val="0"/>
          <w:marTop w:val="0"/>
          <w:marBottom w:val="0"/>
          <w:divBdr>
            <w:top w:val="none" w:sz="0" w:space="0" w:color="auto"/>
            <w:left w:val="none" w:sz="0" w:space="0" w:color="auto"/>
            <w:bottom w:val="none" w:sz="0" w:space="0" w:color="auto"/>
            <w:right w:val="none" w:sz="0" w:space="0" w:color="auto"/>
          </w:divBdr>
        </w:div>
        <w:div w:id="1466505553">
          <w:marLeft w:val="0"/>
          <w:marRight w:val="0"/>
          <w:marTop w:val="0"/>
          <w:marBottom w:val="0"/>
          <w:divBdr>
            <w:top w:val="none" w:sz="0" w:space="0" w:color="auto"/>
            <w:left w:val="none" w:sz="0" w:space="0" w:color="auto"/>
            <w:bottom w:val="none" w:sz="0" w:space="0" w:color="auto"/>
            <w:right w:val="none" w:sz="0" w:space="0" w:color="auto"/>
          </w:divBdr>
        </w:div>
      </w:divsChild>
    </w:div>
    <w:div w:id="1217427474">
      <w:bodyDiv w:val="1"/>
      <w:marLeft w:val="0"/>
      <w:marRight w:val="0"/>
      <w:marTop w:val="0"/>
      <w:marBottom w:val="0"/>
      <w:divBdr>
        <w:top w:val="none" w:sz="0" w:space="0" w:color="auto"/>
        <w:left w:val="none" w:sz="0" w:space="0" w:color="auto"/>
        <w:bottom w:val="none" w:sz="0" w:space="0" w:color="auto"/>
        <w:right w:val="none" w:sz="0" w:space="0" w:color="auto"/>
      </w:divBdr>
      <w:divsChild>
        <w:div w:id="608465683">
          <w:marLeft w:val="0"/>
          <w:marRight w:val="0"/>
          <w:marTop w:val="0"/>
          <w:marBottom w:val="0"/>
          <w:divBdr>
            <w:top w:val="none" w:sz="0" w:space="0" w:color="auto"/>
            <w:left w:val="none" w:sz="0" w:space="0" w:color="auto"/>
            <w:bottom w:val="none" w:sz="0" w:space="0" w:color="auto"/>
            <w:right w:val="none" w:sz="0" w:space="0" w:color="auto"/>
          </w:divBdr>
          <w:divsChild>
            <w:div w:id="2053917902">
              <w:marLeft w:val="0"/>
              <w:marRight w:val="0"/>
              <w:marTop w:val="0"/>
              <w:marBottom w:val="0"/>
              <w:divBdr>
                <w:top w:val="none" w:sz="0" w:space="0" w:color="auto"/>
                <w:left w:val="none" w:sz="0" w:space="0" w:color="auto"/>
                <w:bottom w:val="none" w:sz="0" w:space="0" w:color="auto"/>
                <w:right w:val="none" w:sz="0" w:space="0" w:color="auto"/>
              </w:divBdr>
              <w:divsChild>
                <w:div w:id="1232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995972">
      <w:bodyDiv w:val="1"/>
      <w:marLeft w:val="0"/>
      <w:marRight w:val="0"/>
      <w:marTop w:val="0"/>
      <w:marBottom w:val="0"/>
      <w:divBdr>
        <w:top w:val="none" w:sz="0" w:space="0" w:color="auto"/>
        <w:left w:val="none" w:sz="0" w:space="0" w:color="auto"/>
        <w:bottom w:val="none" w:sz="0" w:space="0" w:color="auto"/>
        <w:right w:val="none" w:sz="0" w:space="0" w:color="auto"/>
      </w:divBdr>
      <w:divsChild>
        <w:div w:id="1699430416">
          <w:marLeft w:val="0"/>
          <w:marRight w:val="0"/>
          <w:marTop w:val="0"/>
          <w:marBottom w:val="0"/>
          <w:divBdr>
            <w:top w:val="none" w:sz="0" w:space="0" w:color="auto"/>
            <w:left w:val="none" w:sz="0" w:space="0" w:color="auto"/>
            <w:bottom w:val="none" w:sz="0" w:space="0" w:color="auto"/>
            <w:right w:val="none" w:sz="0" w:space="0" w:color="auto"/>
          </w:divBdr>
          <w:divsChild>
            <w:div w:id="1577669767">
              <w:marLeft w:val="0"/>
              <w:marRight w:val="0"/>
              <w:marTop w:val="0"/>
              <w:marBottom w:val="0"/>
              <w:divBdr>
                <w:top w:val="none" w:sz="0" w:space="0" w:color="auto"/>
                <w:left w:val="none" w:sz="0" w:space="0" w:color="auto"/>
                <w:bottom w:val="none" w:sz="0" w:space="0" w:color="auto"/>
                <w:right w:val="none" w:sz="0" w:space="0" w:color="auto"/>
              </w:divBdr>
              <w:divsChild>
                <w:div w:id="695811772">
                  <w:marLeft w:val="0"/>
                  <w:marRight w:val="0"/>
                  <w:marTop w:val="0"/>
                  <w:marBottom w:val="0"/>
                  <w:divBdr>
                    <w:top w:val="none" w:sz="0" w:space="0" w:color="auto"/>
                    <w:left w:val="none" w:sz="0" w:space="0" w:color="auto"/>
                    <w:bottom w:val="none" w:sz="0" w:space="0" w:color="auto"/>
                    <w:right w:val="none" w:sz="0" w:space="0" w:color="auto"/>
                  </w:divBdr>
                  <w:divsChild>
                    <w:div w:id="20153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828512">
      <w:bodyDiv w:val="1"/>
      <w:marLeft w:val="0"/>
      <w:marRight w:val="0"/>
      <w:marTop w:val="0"/>
      <w:marBottom w:val="0"/>
      <w:divBdr>
        <w:top w:val="none" w:sz="0" w:space="0" w:color="auto"/>
        <w:left w:val="none" w:sz="0" w:space="0" w:color="auto"/>
        <w:bottom w:val="none" w:sz="0" w:space="0" w:color="auto"/>
        <w:right w:val="none" w:sz="0" w:space="0" w:color="auto"/>
      </w:divBdr>
    </w:div>
    <w:div w:id="1361586275">
      <w:bodyDiv w:val="1"/>
      <w:marLeft w:val="0"/>
      <w:marRight w:val="0"/>
      <w:marTop w:val="0"/>
      <w:marBottom w:val="0"/>
      <w:divBdr>
        <w:top w:val="none" w:sz="0" w:space="0" w:color="auto"/>
        <w:left w:val="none" w:sz="0" w:space="0" w:color="auto"/>
        <w:bottom w:val="none" w:sz="0" w:space="0" w:color="auto"/>
        <w:right w:val="none" w:sz="0" w:space="0" w:color="auto"/>
      </w:divBdr>
      <w:divsChild>
        <w:div w:id="1721323351">
          <w:marLeft w:val="0"/>
          <w:marRight w:val="0"/>
          <w:marTop w:val="0"/>
          <w:marBottom w:val="0"/>
          <w:divBdr>
            <w:top w:val="none" w:sz="0" w:space="0" w:color="auto"/>
            <w:left w:val="none" w:sz="0" w:space="0" w:color="auto"/>
            <w:bottom w:val="none" w:sz="0" w:space="0" w:color="auto"/>
            <w:right w:val="none" w:sz="0" w:space="0" w:color="auto"/>
          </w:divBdr>
          <w:divsChild>
            <w:div w:id="2010476007">
              <w:marLeft w:val="0"/>
              <w:marRight w:val="0"/>
              <w:marTop w:val="0"/>
              <w:marBottom w:val="0"/>
              <w:divBdr>
                <w:top w:val="none" w:sz="0" w:space="0" w:color="auto"/>
                <w:left w:val="none" w:sz="0" w:space="0" w:color="auto"/>
                <w:bottom w:val="none" w:sz="0" w:space="0" w:color="auto"/>
                <w:right w:val="none" w:sz="0" w:space="0" w:color="auto"/>
              </w:divBdr>
              <w:divsChild>
                <w:div w:id="8920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980624">
      <w:bodyDiv w:val="1"/>
      <w:marLeft w:val="0"/>
      <w:marRight w:val="0"/>
      <w:marTop w:val="0"/>
      <w:marBottom w:val="0"/>
      <w:divBdr>
        <w:top w:val="none" w:sz="0" w:space="0" w:color="auto"/>
        <w:left w:val="none" w:sz="0" w:space="0" w:color="auto"/>
        <w:bottom w:val="none" w:sz="0" w:space="0" w:color="auto"/>
        <w:right w:val="none" w:sz="0" w:space="0" w:color="auto"/>
      </w:divBdr>
    </w:div>
    <w:div w:id="1386300167">
      <w:bodyDiv w:val="1"/>
      <w:marLeft w:val="0"/>
      <w:marRight w:val="0"/>
      <w:marTop w:val="0"/>
      <w:marBottom w:val="0"/>
      <w:divBdr>
        <w:top w:val="none" w:sz="0" w:space="0" w:color="auto"/>
        <w:left w:val="none" w:sz="0" w:space="0" w:color="auto"/>
        <w:bottom w:val="none" w:sz="0" w:space="0" w:color="auto"/>
        <w:right w:val="none" w:sz="0" w:space="0" w:color="auto"/>
      </w:divBdr>
      <w:divsChild>
        <w:div w:id="313029372">
          <w:marLeft w:val="0"/>
          <w:marRight w:val="0"/>
          <w:marTop w:val="0"/>
          <w:marBottom w:val="0"/>
          <w:divBdr>
            <w:top w:val="none" w:sz="0" w:space="0" w:color="auto"/>
            <w:left w:val="none" w:sz="0" w:space="0" w:color="auto"/>
            <w:bottom w:val="none" w:sz="0" w:space="0" w:color="auto"/>
            <w:right w:val="none" w:sz="0" w:space="0" w:color="auto"/>
          </w:divBdr>
          <w:divsChild>
            <w:div w:id="1433936368">
              <w:marLeft w:val="0"/>
              <w:marRight w:val="0"/>
              <w:marTop w:val="0"/>
              <w:marBottom w:val="0"/>
              <w:divBdr>
                <w:top w:val="none" w:sz="0" w:space="0" w:color="auto"/>
                <w:left w:val="none" w:sz="0" w:space="0" w:color="auto"/>
                <w:bottom w:val="none" w:sz="0" w:space="0" w:color="auto"/>
                <w:right w:val="none" w:sz="0" w:space="0" w:color="auto"/>
              </w:divBdr>
              <w:divsChild>
                <w:div w:id="31962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356292">
      <w:bodyDiv w:val="1"/>
      <w:marLeft w:val="0"/>
      <w:marRight w:val="0"/>
      <w:marTop w:val="0"/>
      <w:marBottom w:val="0"/>
      <w:divBdr>
        <w:top w:val="none" w:sz="0" w:space="0" w:color="auto"/>
        <w:left w:val="none" w:sz="0" w:space="0" w:color="auto"/>
        <w:bottom w:val="none" w:sz="0" w:space="0" w:color="auto"/>
        <w:right w:val="none" w:sz="0" w:space="0" w:color="auto"/>
      </w:divBdr>
      <w:divsChild>
        <w:div w:id="28535454">
          <w:marLeft w:val="0"/>
          <w:marRight w:val="0"/>
          <w:marTop w:val="0"/>
          <w:marBottom w:val="0"/>
          <w:divBdr>
            <w:top w:val="none" w:sz="0" w:space="0" w:color="auto"/>
            <w:left w:val="none" w:sz="0" w:space="0" w:color="auto"/>
            <w:bottom w:val="none" w:sz="0" w:space="0" w:color="auto"/>
            <w:right w:val="none" w:sz="0" w:space="0" w:color="auto"/>
          </w:divBdr>
          <w:divsChild>
            <w:div w:id="1860393340">
              <w:marLeft w:val="0"/>
              <w:marRight w:val="0"/>
              <w:marTop w:val="0"/>
              <w:marBottom w:val="0"/>
              <w:divBdr>
                <w:top w:val="none" w:sz="0" w:space="0" w:color="auto"/>
                <w:left w:val="none" w:sz="0" w:space="0" w:color="auto"/>
                <w:bottom w:val="none" w:sz="0" w:space="0" w:color="auto"/>
                <w:right w:val="none" w:sz="0" w:space="0" w:color="auto"/>
              </w:divBdr>
              <w:divsChild>
                <w:div w:id="177689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286600">
      <w:bodyDiv w:val="1"/>
      <w:marLeft w:val="0"/>
      <w:marRight w:val="0"/>
      <w:marTop w:val="0"/>
      <w:marBottom w:val="0"/>
      <w:divBdr>
        <w:top w:val="none" w:sz="0" w:space="0" w:color="auto"/>
        <w:left w:val="none" w:sz="0" w:space="0" w:color="auto"/>
        <w:bottom w:val="none" w:sz="0" w:space="0" w:color="auto"/>
        <w:right w:val="none" w:sz="0" w:space="0" w:color="auto"/>
      </w:divBdr>
      <w:divsChild>
        <w:div w:id="144401621">
          <w:marLeft w:val="0"/>
          <w:marRight w:val="0"/>
          <w:marTop w:val="0"/>
          <w:marBottom w:val="0"/>
          <w:divBdr>
            <w:top w:val="none" w:sz="0" w:space="0" w:color="auto"/>
            <w:left w:val="none" w:sz="0" w:space="0" w:color="auto"/>
            <w:bottom w:val="none" w:sz="0" w:space="0" w:color="auto"/>
            <w:right w:val="none" w:sz="0" w:space="0" w:color="auto"/>
          </w:divBdr>
          <w:divsChild>
            <w:div w:id="531117190">
              <w:marLeft w:val="0"/>
              <w:marRight w:val="0"/>
              <w:marTop w:val="0"/>
              <w:marBottom w:val="0"/>
              <w:divBdr>
                <w:top w:val="none" w:sz="0" w:space="0" w:color="auto"/>
                <w:left w:val="none" w:sz="0" w:space="0" w:color="auto"/>
                <w:bottom w:val="none" w:sz="0" w:space="0" w:color="auto"/>
                <w:right w:val="none" w:sz="0" w:space="0" w:color="auto"/>
              </w:divBdr>
            </w:div>
          </w:divsChild>
        </w:div>
        <w:div w:id="1358117089">
          <w:marLeft w:val="0"/>
          <w:marRight w:val="0"/>
          <w:marTop w:val="0"/>
          <w:marBottom w:val="0"/>
          <w:divBdr>
            <w:top w:val="none" w:sz="0" w:space="0" w:color="auto"/>
            <w:left w:val="none" w:sz="0" w:space="0" w:color="auto"/>
            <w:bottom w:val="none" w:sz="0" w:space="0" w:color="auto"/>
            <w:right w:val="none" w:sz="0" w:space="0" w:color="auto"/>
          </w:divBdr>
          <w:divsChild>
            <w:div w:id="1319067326">
              <w:marLeft w:val="0"/>
              <w:marRight w:val="0"/>
              <w:marTop w:val="0"/>
              <w:marBottom w:val="0"/>
              <w:divBdr>
                <w:top w:val="none" w:sz="0" w:space="0" w:color="auto"/>
                <w:left w:val="none" w:sz="0" w:space="0" w:color="auto"/>
                <w:bottom w:val="none" w:sz="0" w:space="0" w:color="auto"/>
                <w:right w:val="none" w:sz="0" w:space="0" w:color="auto"/>
              </w:divBdr>
            </w:div>
            <w:div w:id="16481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4904">
      <w:bodyDiv w:val="1"/>
      <w:marLeft w:val="0"/>
      <w:marRight w:val="0"/>
      <w:marTop w:val="0"/>
      <w:marBottom w:val="0"/>
      <w:divBdr>
        <w:top w:val="none" w:sz="0" w:space="0" w:color="auto"/>
        <w:left w:val="none" w:sz="0" w:space="0" w:color="auto"/>
        <w:bottom w:val="none" w:sz="0" w:space="0" w:color="auto"/>
        <w:right w:val="none" w:sz="0" w:space="0" w:color="auto"/>
      </w:divBdr>
      <w:divsChild>
        <w:div w:id="563372722">
          <w:marLeft w:val="0"/>
          <w:marRight w:val="0"/>
          <w:marTop w:val="0"/>
          <w:marBottom w:val="0"/>
          <w:divBdr>
            <w:top w:val="none" w:sz="0" w:space="0" w:color="auto"/>
            <w:left w:val="none" w:sz="0" w:space="0" w:color="auto"/>
            <w:bottom w:val="none" w:sz="0" w:space="0" w:color="auto"/>
            <w:right w:val="none" w:sz="0" w:space="0" w:color="auto"/>
          </w:divBdr>
          <w:divsChild>
            <w:div w:id="11494474">
              <w:marLeft w:val="0"/>
              <w:marRight w:val="0"/>
              <w:marTop w:val="0"/>
              <w:marBottom w:val="0"/>
              <w:divBdr>
                <w:top w:val="none" w:sz="0" w:space="0" w:color="auto"/>
                <w:left w:val="none" w:sz="0" w:space="0" w:color="auto"/>
                <w:bottom w:val="none" w:sz="0" w:space="0" w:color="auto"/>
                <w:right w:val="none" w:sz="0" w:space="0" w:color="auto"/>
              </w:divBdr>
              <w:divsChild>
                <w:div w:id="6034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203083">
      <w:bodyDiv w:val="1"/>
      <w:marLeft w:val="0"/>
      <w:marRight w:val="0"/>
      <w:marTop w:val="0"/>
      <w:marBottom w:val="0"/>
      <w:divBdr>
        <w:top w:val="none" w:sz="0" w:space="0" w:color="auto"/>
        <w:left w:val="none" w:sz="0" w:space="0" w:color="auto"/>
        <w:bottom w:val="none" w:sz="0" w:space="0" w:color="auto"/>
        <w:right w:val="none" w:sz="0" w:space="0" w:color="auto"/>
      </w:divBdr>
    </w:div>
    <w:div w:id="20158415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64890-04B7-43C7-A493-F61AC5569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15098</Words>
  <Characters>86061</Characters>
  <Application>Microsoft Office Word</Application>
  <DocSecurity>4</DocSecurity>
  <Lines>717</Lines>
  <Paragraphs>201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2018-03-27T12:49:00Z</cp:lastPrinted>
  <dcterms:created xsi:type="dcterms:W3CDTF">2019-02-05T10:14:00Z</dcterms:created>
  <dcterms:modified xsi:type="dcterms:W3CDTF">2019-02-05T10:14:00Z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http://www.zotero.org/styles/applied-health-economics-and-health-policy</vt:lpwstr>
  </property>
  <property fmtid="{D5CDD505-2E9C-101B-9397-08002B2CF9AE}" pid="9" name="Mendeley Recent Style Name 3_1">
    <vt:lpwstr>Applied Health Economics and Health Policy</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http://www.zotero.org/styles/health-policy-and-planning</vt:lpwstr>
  </property>
  <property fmtid="{D5CDD505-2E9C-101B-9397-08002B2CF9AE}" pid="15" name="Mendeley Recent Style Name 6_1">
    <vt:lpwstr>Health Policy and Planning</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http://www.zotero.org/styles/plos-one</vt:lpwstr>
  </property>
  <property fmtid="{D5CDD505-2E9C-101B-9397-08002B2CF9AE}" pid="21" name="Mendeley Recent Style Name 9_1">
    <vt:lpwstr>PLOS ONE</vt:lpwstr>
  </property>
  <property fmtid="{D5CDD505-2E9C-101B-9397-08002B2CF9AE}" pid="22" name="Mendeley Document_1">
    <vt:lpwstr>True</vt:lpwstr>
  </property>
  <property fmtid="{D5CDD505-2E9C-101B-9397-08002B2CF9AE}" pid="23" name="Mendeley Unique User Id_1">
    <vt:lpwstr>a5a6d70a-390b-3f2b-8954-965d026c7a48</vt:lpwstr>
  </property>
  <property fmtid="{D5CDD505-2E9C-101B-9397-08002B2CF9AE}" pid="24" name="Mendeley Citation Style_1">
    <vt:lpwstr>http://www.zotero.org/styles/applied-health-economics-and-health-policy</vt:lpwstr>
  </property>
</Properties>
</file>