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41DD7" w14:textId="77777777" w:rsidR="0044176F" w:rsidRPr="007916DE" w:rsidRDefault="0044176F" w:rsidP="0044176F">
      <w:pPr>
        <w:rPr>
          <w:rFonts w:eastAsia="Times New Roman" w:cs="Arial"/>
          <w:b/>
          <w:lang w:val="en-GB"/>
        </w:rPr>
      </w:pPr>
      <w:bookmarkStart w:id="0" w:name="_GoBack"/>
      <w:bookmarkEnd w:id="0"/>
      <w:r w:rsidRPr="007916DE">
        <w:rPr>
          <w:rFonts w:eastAsia="Times New Roman" w:cs="Arial"/>
          <w:b/>
          <w:lang w:val="en-GB"/>
        </w:rPr>
        <w:t>The p.H63D allele of the HFE gene protects against low iron stores in Sri Lanka</w:t>
      </w:r>
    </w:p>
    <w:p w14:paraId="7DDC8012" w14:textId="7BA41964" w:rsidR="007F381E" w:rsidRPr="001408B2" w:rsidRDefault="007F381E" w:rsidP="007F381E">
      <w:pPr>
        <w:autoSpaceDE w:val="0"/>
        <w:autoSpaceDN w:val="0"/>
        <w:adjustRightInd w:val="0"/>
        <w:spacing w:line="360" w:lineRule="auto"/>
        <w:rPr>
          <w:rFonts w:cs="Arial"/>
        </w:rPr>
      </w:pPr>
    </w:p>
    <w:p w14:paraId="0F2A306C" w14:textId="7EF2A73C" w:rsidR="007F381E" w:rsidRPr="001408B2" w:rsidRDefault="007F381E" w:rsidP="007F381E">
      <w:pPr>
        <w:spacing w:line="360" w:lineRule="auto"/>
        <w:rPr>
          <w:rFonts w:eastAsia="Times New Roman" w:cs="Arial"/>
          <w:lang w:val="en-GB"/>
        </w:rPr>
      </w:pPr>
      <w:r w:rsidRPr="001408B2">
        <w:rPr>
          <w:rFonts w:eastAsia="Times New Roman" w:cs="Arial"/>
          <w:lang w:val="en-GB"/>
        </w:rPr>
        <w:t xml:space="preserve">Angela Allen </w:t>
      </w:r>
      <w:r w:rsidRPr="001408B2">
        <w:rPr>
          <w:rFonts w:eastAsia="Times New Roman" w:cs="Arial"/>
          <w:vertAlign w:val="superscript"/>
          <w:lang w:val="en-GB"/>
        </w:rPr>
        <w:t>1,2</w:t>
      </w:r>
      <w:r w:rsidRPr="001408B2">
        <w:rPr>
          <w:rFonts w:eastAsia="Times New Roman" w:cs="Arial"/>
          <w:lang w:val="en-GB"/>
        </w:rPr>
        <w:t xml:space="preserve">, Anuja Premawardhena </w:t>
      </w:r>
      <w:r w:rsidRPr="001408B2">
        <w:rPr>
          <w:rFonts w:eastAsia="Times New Roman" w:cs="Arial"/>
          <w:vertAlign w:val="superscript"/>
          <w:lang w:val="en-GB"/>
        </w:rPr>
        <w:t>3,4</w:t>
      </w:r>
      <w:r w:rsidRPr="00657693">
        <w:rPr>
          <w:rFonts w:eastAsia="Times New Roman" w:cs="Arial"/>
          <w:lang w:val="en-GB"/>
        </w:rPr>
        <w:t xml:space="preserve">, </w:t>
      </w:r>
      <w:r w:rsidRPr="001408B2">
        <w:rPr>
          <w:rFonts w:eastAsia="Times New Roman" w:cs="Arial"/>
          <w:lang w:val="en-GB"/>
        </w:rPr>
        <w:t xml:space="preserve">Stephen Allen </w:t>
      </w:r>
      <w:r w:rsidRPr="001408B2">
        <w:rPr>
          <w:rFonts w:eastAsia="Times New Roman" w:cs="Arial"/>
          <w:vertAlign w:val="superscript"/>
          <w:lang w:val="en-GB"/>
        </w:rPr>
        <w:t>2</w:t>
      </w:r>
      <w:r>
        <w:rPr>
          <w:rFonts w:eastAsia="Times New Roman" w:cs="Arial"/>
          <w:lang w:val="en-GB"/>
        </w:rPr>
        <w:t xml:space="preserve">, </w:t>
      </w:r>
      <w:r w:rsidRPr="001408B2">
        <w:rPr>
          <w:rFonts w:eastAsia="Times New Roman" w:cs="Arial"/>
          <w:lang w:val="en-GB"/>
        </w:rPr>
        <w:t xml:space="preserve">Rexan Rodrigo </w:t>
      </w:r>
      <w:r w:rsidRPr="001408B2">
        <w:rPr>
          <w:rFonts w:eastAsia="Times New Roman" w:cs="Arial"/>
          <w:vertAlign w:val="superscript"/>
          <w:lang w:val="en-GB"/>
        </w:rPr>
        <w:t>3,4</w:t>
      </w:r>
      <w:r w:rsidRPr="001408B2">
        <w:rPr>
          <w:rFonts w:eastAsia="Times New Roman" w:cs="Arial"/>
          <w:lang w:val="en-GB"/>
        </w:rPr>
        <w:t>,</w:t>
      </w:r>
      <w:r>
        <w:rPr>
          <w:rFonts w:eastAsia="Times New Roman" w:cs="Arial"/>
          <w:lang w:val="en-GB"/>
        </w:rPr>
        <w:t xml:space="preserve"> </w:t>
      </w:r>
      <w:r w:rsidRPr="001408B2">
        <w:rPr>
          <w:rFonts w:eastAsia="Times New Roman" w:cs="Arial"/>
          <w:lang w:val="en-GB"/>
        </w:rPr>
        <w:t xml:space="preserve">Aresha Manampreri </w:t>
      </w:r>
      <w:r w:rsidRPr="001408B2">
        <w:rPr>
          <w:rFonts w:eastAsia="Times New Roman" w:cs="Arial"/>
          <w:vertAlign w:val="superscript"/>
          <w:lang w:val="en-GB"/>
        </w:rPr>
        <w:t>3</w:t>
      </w:r>
      <w:r w:rsidRPr="001408B2">
        <w:rPr>
          <w:rFonts w:eastAsia="Times New Roman" w:cs="Arial"/>
          <w:lang w:val="en-GB"/>
        </w:rPr>
        <w:t xml:space="preserve">, Luxman Perera </w:t>
      </w:r>
      <w:r w:rsidRPr="001408B2">
        <w:rPr>
          <w:rFonts w:eastAsia="Times New Roman" w:cs="Arial"/>
          <w:vertAlign w:val="superscript"/>
          <w:lang w:val="en-GB"/>
        </w:rPr>
        <w:t>4</w:t>
      </w:r>
      <w:r w:rsidRPr="001408B2">
        <w:rPr>
          <w:rFonts w:eastAsia="Times New Roman" w:cs="Arial"/>
          <w:lang w:val="en-GB"/>
        </w:rPr>
        <w:t>, Kat</w:t>
      </w:r>
      <w:r>
        <w:rPr>
          <w:rFonts w:eastAsia="Times New Roman" w:cs="Arial"/>
          <w:lang w:val="en-GB"/>
        </w:rPr>
        <w:t>herin</w:t>
      </w:r>
      <w:r w:rsidRPr="001408B2">
        <w:rPr>
          <w:rFonts w:eastAsia="Times New Roman" w:cs="Arial"/>
          <w:lang w:val="en-GB"/>
        </w:rPr>
        <w:t xml:space="preserve">e Wray </w:t>
      </w:r>
      <w:r>
        <w:rPr>
          <w:rFonts w:eastAsia="Times New Roman" w:cs="Arial"/>
          <w:vertAlign w:val="superscript"/>
          <w:lang w:val="en-GB"/>
        </w:rPr>
        <w:t>5</w:t>
      </w:r>
      <w:r w:rsidRPr="001408B2">
        <w:rPr>
          <w:rFonts w:eastAsia="Times New Roman" w:cs="Arial"/>
          <w:lang w:val="en-GB"/>
        </w:rPr>
        <w:t xml:space="preserve">, </w:t>
      </w:r>
      <w:r>
        <w:rPr>
          <w:rFonts w:eastAsia="Times New Roman" w:cs="Arial"/>
          <w:lang w:val="en-GB"/>
        </w:rPr>
        <w:t xml:space="preserve">Andrew Armitage </w:t>
      </w:r>
      <w:r>
        <w:rPr>
          <w:rFonts w:eastAsia="Times New Roman" w:cs="Arial"/>
          <w:vertAlign w:val="superscript"/>
          <w:lang w:val="en-GB"/>
        </w:rPr>
        <w:t>5</w:t>
      </w:r>
      <w:r w:rsidRPr="001408B2">
        <w:rPr>
          <w:rFonts w:eastAsia="Times New Roman" w:cs="Arial"/>
          <w:lang w:val="en-GB"/>
        </w:rPr>
        <w:t xml:space="preserve">, Christopher Fisher </w:t>
      </w:r>
      <w:r w:rsidRPr="001408B2">
        <w:rPr>
          <w:rFonts w:eastAsia="Times New Roman" w:cs="Arial"/>
          <w:vertAlign w:val="superscript"/>
          <w:lang w:val="en-GB"/>
        </w:rPr>
        <w:t>1</w:t>
      </w:r>
      <w:r>
        <w:rPr>
          <w:rFonts w:eastAsia="Times New Roman" w:cs="Arial"/>
          <w:lang w:val="en-GB"/>
        </w:rPr>
        <w:t xml:space="preserve">, Alexander </w:t>
      </w:r>
      <w:r w:rsidRPr="001408B2">
        <w:rPr>
          <w:rFonts w:eastAsia="Times New Roman" w:cs="Arial"/>
          <w:lang w:val="en-GB"/>
        </w:rPr>
        <w:t xml:space="preserve">Drakesmith </w:t>
      </w:r>
      <w:r>
        <w:rPr>
          <w:rFonts w:eastAsia="Times New Roman" w:cs="Arial"/>
          <w:vertAlign w:val="superscript"/>
          <w:lang w:val="en-GB"/>
        </w:rPr>
        <w:t>5</w:t>
      </w:r>
      <w:r w:rsidRPr="001408B2">
        <w:rPr>
          <w:rFonts w:eastAsia="Times New Roman" w:cs="Arial"/>
          <w:lang w:val="en-GB"/>
        </w:rPr>
        <w:t xml:space="preserve">, Kathryn Robson </w:t>
      </w:r>
      <w:r w:rsidRPr="001408B2">
        <w:rPr>
          <w:rFonts w:eastAsia="Times New Roman" w:cs="Arial"/>
          <w:vertAlign w:val="superscript"/>
          <w:lang w:val="en-GB"/>
        </w:rPr>
        <w:t>1</w:t>
      </w:r>
      <w:r>
        <w:rPr>
          <w:rFonts w:eastAsia="Times New Roman" w:cs="Arial"/>
          <w:lang w:val="en-GB"/>
        </w:rPr>
        <w:t xml:space="preserve">, </w:t>
      </w:r>
      <w:r w:rsidRPr="001408B2">
        <w:rPr>
          <w:rFonts w:eastAsia="Times New Roman" w:cs="Arial"/>
          <w:lang w:val="en-GB"/>
        </w:rPr>
        <w:t>and David Weatherall</w:t>
      </w:r>
      <w:r w:rsidRPr="001408B2">
        <w:rPr>
          <w:rFonts w:eastAsia="Times New Roman" w:cs="Arial"/>
          <w:vertAlign w:val="superscript"/>
          <w:lang w:val="en-GB"/>
        </w:rPr>
        <w:t xml:space="preserve"> 1</w:t>
      </w:r>
      <w:r w:rsidRPr="001408B2">
        <w:rPr>
          <w:rFonts w:eastAsia="Times New Roman" w:cs="Arial"/>
          <w:lang w:val="en-GB"/>
        </w:rPr>
        <w:t xml:space="preserve"> .</w:t>
      </w:r>
    </w:p>
    <w:p w14:paraId="609058B4" w14:textId="77777777" w:rsidR="007F381E" w:rsidRPr="001408B2" w:rsidRDefault="007F381E" w:rsidP="007F381E">
      <w:pPr>
        <w:widowControl w:val="0"/>
        <w:spacing w:line="360" w:lineRule="auto"/>
        <w:rPr>
          <w:rFonts w:cs="Arial"/>
        </w:rPr>
      </w:pPr>
      <w:r w:rsidRPr="001408B2">
        <w:rPr>
          <w:rFonts w:cs="Arial"/>
        </w:rPr>
        <w:t>Authors’ affiliations:</w:t>
      </w:r>
    </w:p>
    <w:p w14:paraId="1CA7D772" w14:textId="77777777" w:rsidR="007F381E" w:rsidRPr="001408B2" w:rsidRDefault="007F381E" w:rsidP="007F381E">
      <w:pPr>
        <w:widowControl w:val="0"/>
        <w:spacing w:line="360" w:lineRule="auto"/>
        <w:rPr>
          <w:rFonts w:cs="Arial"/>
        </w:rPr>
      </w:pPr>
      <w:r w:rsidRPr="001408B2">
        <w:rPr>
          <w:rFonts w:cs="Arial"/>
          <w:vertAlign w:val="superscript"/>
        </w:rPr>
        <w:t>1</w:t>
      </w:r>
      <w:r w:rsidRPr="001408B2">
        <w:rPr>
          <w:rFonts w:cs="Arial"/>
        </w:rPr>
        <w:t xml:space="preserve">MRC Molecular Hematology Unit, </w:t>
      </w:r>
      <w:r>
        <w:rPr>
          <w:rFonts w:cs="Arial"/>
        </w:rPr>
        <w:t xml:space="preserve">MRC </w:t>
      </w:r>
      <w:r w:rsidRPr="001408B2">
        <w:rPr>
          <w:rFonts w:cs="Arial"/>
        </w:rPr>
        <w:t>Weatherall Institute of Molecular Medicine, John Radcliffe Hospital, University of Oxford, Oxford, UK</w:t>
      </w:r>
    </w:p>
    <w:p w14:paraId="6E00F306" w14:textId="77777777" w:rsidR="007F381E" w:rsidRPr="001408B2" w:rsidRDefault="007F381E" w:rsidP="007F381E">
      <w:pPr>
        <w:widowControl w:val="0"/>
        <w:spacing w:line="360" w:lineRule="auto"/>
        <w:rPr>
          <w:rFonts w:cs="Arial"/>
        </w:rPr>
      </w:pPr>
      <w:r w:rsidRPr="001408B2">
        <w:rPr>
          <w:rFonts w:cs="Arial"/>
          <w:vertAlign w:val="superscript"/>
        </w:rPr>
        <w:t>2</w:t>
      </w:r>
      <w:r w:rsidRPr="001408B2">
        <w:rPr>
          <w:rFonts w:cs="Arial"/>
        </w:rPr>
        <w:t>Department of Clinical Sciences, Liverpool School of Tropical Medicine, Liverpool, UK</w:t>
      </w:r>
    </w:p>
    <w:p w14:paraId="35781961" w14:textId="77777777" w:rsidR="007F381E" w:rsidRPr="001408B2" w:rsidRDefault="007F381E" w:rsidP="007F381E">
      <w:pPr>
        <w:widowControl w:val="0"/>
        <w:spacing w:line="360" w:lineRule="auto"/>
        <w:rPr>
          <w:rFonts w:cs="Arial"/>
        </w:rPr>
      </w:pPr>
      <w:r w:rsidRPr="001408B2">
        <w:rPr>
          <w:rFonts w:cs="Arial"/>
          <w:vertAlign w:val="superscript"/>
        </w:rPr>
        <w:t>3</w:t>
      </w:r>
      <w:r w:rsidRPr="001408B2">
        <w:rPr>
          <w:rFonts w:cs="Arial"/>
        </w:rPr>
        <w:t>Faculty of Medicine, University of Kelaniya, Sri Lanka</w:t>
      </w:r>
    </w:p>
    <w:p w14:paraId="5B725CCD" w14:textId="77777777" w:rsidR="007F381E" w:rsidRDefault="007F381E" w:rsidP="007F381E">
      <w:pPr>
        <w:widowControl w:val="0"/>
        <w:spacing w:line="360" w:lineRule="auto"/>
        <w:rPr>
          <w:rFonts w:cs="Arial"/>
        </w:rPr>
      </w:pPr>
      <w:r w:rsidRPr="001408B2">
        <w:rPr>
          <w:rFonts w:cs="Arial"/>
          <w:vertAlign w:val="superscript"/>
        </w:rPr>
        <w:t>4</w:t>
      </w:r>
      <w:r w:rsidRPr="001408B2">
        <w:rPr>
          <w:rFonts w:cs="Arial"/>
        </w:rPr>
        <w:t>Thalassemia Care Unit, North Colombo Teaching Hospital, Ragama, Sri Lanka</w:t>
      </w:r>
    </w:p>
    <w:p w14:paraId="4D5F1803" w14:textId="77777777" w:rsidR="007F381E" w:rsidRDefault="007F381E" w:rsidP="007F381E">
      <w:pPr>
        <w:widowControl w:val="0"/>
        <w:spacing w:line="360" w:lineRule="auto"/>
        <w:rPr>
          <w:rFonts w:cs="Arial"/>
        </w:rPr>
      </w:pPr>
      <w:r>
        <w:rPr>
          <w:rFonts w:eastAsia="Times New Roman" w:cs="Arial"/>
          <w:vertAlign w:val="superscript"/>
          <w:lang w:val="en-GB"/>
        </w:rPr>
        <w:t>5</w:t>
      </w:r>
      <w:r>
        <w:rPr>
          <w:rFonts w:eastAsia="Times New Roman" w:cs="Arial"/>
          <w:lang w:val="en-GB"/>
        </w:rPr>
        <w:t xml:space="preserve"> </w:t>
      </w:r>
      <w:r>
        <w:rPr>
          <w:rFonts w:cs="Arial"/>
        </w:rPr>
        <w:t xml:space="preserve">MRC Immunology Unit, MRC </w:t>
      </w:r>
      <w:r w:rsidRPr="001408B2">
        <w:rPr>
          <w:rFonts w:cs="Arial"/>
        </w:rPr>
        <w:t>Weatherall Institute of Molecular Medicine, John Radcliffe Hospital, University of Oxford, Oxford, UK</w:t>
      </w:r>
    </w:p>
    <w:p w14:paraId="54290860" w14:textId="77777777" w:rsidR="007F381E" w:rsidRPr="001408B2" w:rsidRDefault="007F381E" w:rsidP="007F381E">
      <w:pPr>
        <w:autoSpaceDE w:val="0"/>
        <w:autoSpaceDN w:val="0"/>
        <w:adjustRightInd w:val="0"/>
        <w:spacing w:before="240" w:line="360" w:lineRule="auto"/>
        <w:rPr>
          <w:rFonts w:cs="Arial"/>
        </w:rPr>
      </w:pPr>
      <w:r w:rsidRPr="001408B2">
        <w:rPr>
          <w:rFonts w:cs="Arial"/>
        </w:rPr>
        <w:t>Corresponding Author:  Dr Angela Allen</w:t>
      </w:r>
    </w:p>
    <w:p w14:paraId="45332A2F" w14:textId="77777777" w:rsidR="007F381E" w:rsidRPr="001408B2" w:rsidRDefault="007F381E" w:rsidP="007F381E">
      <w:pPr>
        <w:tabs>
          <w:tab w:val="left" w:pos="2127"/>
        </w:tabs>
        <w:spacing w:before="240" w:line="360" w:lineRule="auto"/>
        <w:rPr>
          <w:rStyle w:val="Emphasis"/>
          <w:rFonts w:cs="Arial"/>
          <w:i w:val="0"/>
          <w:iCs w:val="0"/>
        </w:rPr>
      </w:pPr>
      <w:r w:rsidRPr="001408B2">
        <w:rPr>
          <w:rFonts w:cs="Arial"/>
        </w:rPr>
        <w:t xml:space="preserve">Corresponding Author's </w:t>
      </w:r>
      <w:r w:rsidRPr="001408B2">
        <w:rPr>
          <w:rStyle w:val="Emphasis"/>
          <w:rFonts w:cs="Arial"/>
          <w:i w:val="0"/>
        </w:rPr>
        <w:t>e-mail address: angie.allen@lstmed.ac.uk</w:t>
      </w:r>
    </w:p>
    <w:p w14:paraId="56E628B6" w14:textId="77777777" w:rsidR="007F381E" w:rsidRDefault="007F381E" w:rsidP="007F381E">
      <w:pPr>
        <w:widowControl w:val="0"/>
        <w:spacing w:line="360" w:lineRule="auto"/>
        <w:rPr>
          <w:rFonts w:cs="Arial"/>
        </w:rPr>
      </w:pPr>
      <w:r w:rsidRPr="001408B2">
        <w:rPr>
          <w:rFonts w:cs="Arial"/>
        </w:rPr>
        <w:t xml:space="preserve">Telephone No:  0151 708 9393 </w:t>
      </w:r>
      <w:r w:rsidRPr="001408B2">
        <w:rPr>
          <w:rFonts w:cs="Arial"/>
        </w:rPr>
        <w:tab/>
      </w:r>
    </w:p>
    <w:p w14:paraId="56B4AD93" w14:textId="77777777" w:rsidR="007F381E" w:rsidRDefault="007F381E" w:rsidP="007F381E">
      <w:pPr>
        <w:autoSpaceDE w:val="0"/>
        <w:autoSpaceDN w:val="0"/>
        <w:adjustRightInd w:val="0"/>
        <w:spacing w:before="240" w:line="360" w:lineRule="auto"/>
        <w:rPr>
          <w:rFonts w:cs="Arial"/>
        </w:rPr>
      </w:pPr>
      <w:r w:rsidRPr="001408B2">
        <w:rPr>
          <w:rFonts w:eastAsia="Times New Roman" w:cs="Arial"/>
        </w:rPr>
        <w:t>Statement of authors’ contributions</w:t>
      </w:r>
      <w:r w:rsidRPr="001408B2">
        <w:rPr>
          <w:rFonts w:eastAsia="Times New Roman" w:cs="Arial"/>
          <w:color w:val="FF0000"/>
        </w:rPr>
        <w:t xml:space="preserve">: </w:t>
      </w:r>
      <w:r w:rsidRPr="001408B2">
        <w:rPr>
          <w:rFonts w:eastAsia="Times New Roman" w:cs="Arial"/>
        </w:rPr>
        <w:t xml:space="preserve">AA, DW, AP designed the study, </w:t>
      </w:r>
      <w:r w:rsidRPr="001408B2">
        <w:rPr>
          <w:rFonts w:cs="Arial"/>
        </w:rPr>
        <w:t xml:space="preserve">AA, KR, SA and DW wrote the paper, AA, RR, AM, LP, KW, </w:t>
      </w:r>
      <w:r>
        <w:rPr>
          <w:rFonts w:cs="Arial"/>
        </w:rPr>
        <w:t>AA, CF,</w:t>
      </w:r>
      <w:r w:rsidRPr="001408B2">
        <w:rPr>
          <w:rFonts w:cs="Arial"/>
        </w:rPr>
        <w:t xml:space="preserve"> performed the laboratory analyses, RR, AM, LP, AP performed the field work, AA, SA, KR, </w:t>
      </w:r>
      <w:r>
        <w:rPr>
          <w:rFonts w:cs="Arial"/>
        </w:rPr>
        <w:t xml:space="preserve">HD, </w:t>
      </w:r>
      <w:r w:rsidRPr="001408B2">
        <w:rPr>
          <w:rFonts w:cs="Arial"/>
        </w:rPr>
        <w:t>DW analyzed the data and interpreted the findings. All authors reviewed</w:t>
      </w:r>
      <w:r>
        <w:rPr>
          <w:rFonts w:cs="Arial"/>
        </w:rPr>
        <w:t xml:space="preserve"> and approved the final</w:t>
      </w:r>
      <w:r w:rsidRPr="001408B2">
        <w:rPr>
          <w:rFonts w:cs="Arial"/>
        </w:rPr>
        <w:t xml:space="preserve"> manuscript.</w:t>
      </w:r>
    </w:p>
    <w:p w14:paraId="640822AA" w14:textId="616EF8CD" w:rsidR="0044176F" w:rsidRDefault="007F381E" w:rsidP="007F381E">
      <w:pPr>
        <w:autoSpaceDE w:val="0"/>
        <w:autoSpaceDN w:val="0"/>
        <w:adjustRightInd w:val="0"/>
        <w:spacing w:before="240" w:line="360" w:lineRule="auto"/>
        <w:rPr>
          <w:rFonts w:cs="Arial"/>
        </w:rPr>
      </w:pPr>
      <w:r w:rsidRPr="001408B2">
        <w:rPr>
          <w:rFonts w:cs="Arial"/>
        </w:rPr>
        <w:t>Stat</w:t>
      </w:r>
      <w:r>
        <w:rPr>
          <w:rFonts w:cs="Arial"/>
        </w:rPr>
        <w:t>ement of interest: None of the authors have any declaration</w:t>
      </w:r>
      <w:r w:rsidRPr="001408B2">
        <w:rPr>
          <w:rFonts w:cs="Arial"/>
        </w:rPr>
        <w:t xml:space="preserve"> of interest to declare</w:t>
      </w:r>
      <w:r>
        <w:rPr>
          <w:rFonts w:cs="Arial"/>
        </w:rPr>
        <w:t>.</w:t>
      </w:r>
    </w:p>
    <w:p w14:paraId="0409DA3D" w14:textId="77777777" w:rsidR="007F381E" w:rsidRDefault="007F381E" w:rsidP="007F381E">
      <w:pPr>
        <w:autoSpaceDE w:val="0"/>
        <w:autoSpaceDN w:val="0"/>
        <w:adjustRightInd w:val="0"/>
        <w:spacing w:before="240" w:line="360" w:lineRule="auto"/>
        <w:rPr>
          <w:rFonts w:cs="Arial"/>
        </w:rPr>
      </w:pPr>
    </w:p>
    <w:p w14:paraId="0906073E" w14:textId="77777777" w:rsidR="007F381E" w:rsidRDefault="007F381E" w:rsidP="007F381E">
      <w:pPr>
        <w:autoSpaceDE w:val="0"/>
        <w:autoSpaceDN w:val="0"/>
        <w:adjustRightInd w:val="0"/>
        <w:spacing w:before="240" w:line="360" w:lineRule="auto"/>
        <w:rPr>
          <w:rFonts w:cs="Arial"/>
        </w:rPr>
      </w:pPr>
    </w:p>
    <w:p w14:paraId="47508806" w14:textId="77777777" w:rsidR="007F381E" w:rsidRDefault="007F381E" w:rsidP="007F381E">
      <w:pPr>
        <w:autoSpaceDE w:val="0"/>
        <w:autoSpaceDN w:val="0"/>
        <w:adjustRightInd w:val="0"/>
        <w:spacing w:before="240" w:line="360" w:lineRule="auto"/>
        <w:rPr>
          <w:rFonts w:cs="Arial"/>
        </w:rPr>
      </w:pPr>
    </w:p>
    <w:p w14:paraId="777F385A" w14:textId="77777777" w:rsidR="007F381E" w:rsidRPr="007F381E" w:rsidRDefault="007F381E" w:rsidP="007F381E">
      <w:pPr>
        <w:autoSpaceDE w:val="0"/>
        <w:autoSpaceDN w:val="0"/>
        <w:adjustRightInd w:val="0"/>
        <w:spacing w:before="240" w:line="360" w:lineRule="auto"/>
        <w:rPr>
          <w:rFonts w:cs="Arial"/>
        </w:rPr>
      </w:pPr>
    </w:p>
    <w:p w14:paraId="309A89F6" w14:textId="690B05E8" w:rsidR="00E337C2" w:rsidRPr="007916DE" w:rsidRDefault="00E337C2" w:rsidP="001B45F1">
      <w:pPr>
        <w:spacing w:before="240" w:line="480" w:lineRule="auto"/>
        <w:rPr>
          <w:rFonts w:cs="Arial"/>
          <w:b/>
        </w:rPr>
      </w:pPr>
      <w:r w:rsidRPr="007916DE">
        <w:rPr>
          <w:rFonts w:cs="Arial"/>
          <w:b/>
        </w:rPr>
        <w:lastRenderedPageBreak/>
        <w:t>ABSTRACT</w:t>
      </w:r>
    </w:p>
    <w:p w14:paraId="002E9264" w14:textId="77777777" w:rsidR="00C83163" w:rsidRPr="00ED473F" w:rsidRDefault="00C83163" w:rsidP="00C83163">
      <w:pPr>
        <w:pStyle w:val="ydpfdadffeamsonormal"/>
        <w:spacing w:line="360" w:lineRule="auto"/>
        <w:rPr>
          <w:rFonts w:ascii="Arial" w:hAnsi="Arial" w:cs="Arial"/>
          <w:color w:val="000000"/>
        </w:rPr>
      </w:pPr>
      <w:r w:rsidRPr="00ED473F">
        <w:rPr>
          <w:rFonts w:ascii="Arial" w:hAnsi="Arial" w:cs="Arial"/>
          <w:color w:val="000000"/>
        </w:rPr>
        <w:t>In hereditary hemochromatosis, iron overload is associated with homozygosity for the p.C282Y mutation. A second mutation, p.H63D, occurs at significant frequencies in Europe, North Africa, the Middle East and Asia. Early studies in Sri Lanka indicated that the variant had arisen independently, suggesting that it had been the subject of selective pressure. However, its role in iron absorption is unclear.</w:t>
      </w:r>
    </w:p>
    <w:p w14:paraId="15B2A9D9" w14:textId="77777777" w:rsidR="00C83163" w:rsidRPr="00ED473F" w:rsidRDefault="00C83163" w:rsidP="00C83163">
      <w:pPr>
        <w:pStyle w:val="ydpfdadffeamsonormal"/>
        <w:spacing w:line="360" w:lineRule="auto"/>
        <w:rPr>
          <w:rFonts w:ascii="Arial" w:hAnsi="Arial" w:cs="Arial"/>
          <w:color w:val="000000"/>
        </w:rPr>
      </w:pPr>
      <w:r w:rsidRPr="00ED473F">
        <w:rPr>
          <w:rFonts w:ascii="Arial" w:hAnsi="Arial" w:cs="Arial"/>
          <w:color w:val="000000"/>
        </w:rPr>
        <w:t>In a survey of 7,526 Sri Lankan secondary school students, we determined hemoglobin genotype and measured red cell indices, serum ferritin, transferrin receptor, iron zinc protoporphyrin and hepcidin. These variables were compared according to the presence or absence of the p.H63D variant in a subset of 1313 students for whom DNA samples were available. Students were classified as having low red cell indices if they had an MCV &lt;80fl and/or MCH &lt;27pg.</w:t>
      </w:r>
    </w:p>
    <w:p w14:paraId="022AA10F" w14:textId="77777777" w:rsidR="00C83163" w:rsidRPr="00ED473F" w:rsidRDefault="00C83163" w:rsidP="00C83163">
      <w:pPr>
        <w:pStyle w:val="ydpfdadffeamsonormal"/>
        <w:spacing w:line="360" w:lineRule="auto"/>
        <w:rPr>
          <w:rFonts w:ascii="Arial" w:hAnsi="Arial" w:cs="Arial"/>
          <w:color w:val="000000"/>
        </w:rPr>
      </w:pPr>
      <w:r w:rsidRPr="00ED473F">
        <w:rPr>
          <w:rFonts w:ascii="Arial" w:hAnsi="Arial" w:cs="Arial"/>
          <w:color w:val="000000"/>
        </w:rPr>
        <w:t>Hetero and/or homozygosity for the p.H63D variant was more common in students with normal than low red cell indices (16.4% and 11.9% respectively; p=0.019). Iron biomarkers and red cell indices were greater in children with the p.H63D variant than in normals and this was statistically significant for MCV (p=0.046).</w:t>
      </w:r>
      <w:r w:rsidRPr="00ED473F">
        <w:rPr>
          <w:rStyle w:val="apple-converted-space"/>
          <w:rFonts w:ascii="Arial" w:hAnsi="Arial" w:cs="Arial"/>
          <w:color w:val="000000"/>
        </w:rPr>
        <w:t> </w:t>
      </w:r>
    </w:p>
    <w:p w14:paraId="38717946" w14:textId="77777777" w:rsidR="00C83163" w:rsidRPr="00ED473F" w:rsidRDefault="00C83163" w:rsidP="00C83163">
      <w:pPr>
        <w:pStyle w:val="ydp4bcff3ddmsonormal"/>
        <w:spacing w:line="360" w:lineRule="auto"/>
        <w:rPr>
          <w:rFonts w:ascii="Arial" w:hAnsi="Arial" w:cs="Arial"/>
          <w:color w:val="000000"/>
        </w:rPr>
      </w:pPr>
      <w:r w:rsidRPr="00ED473F">
        <w:rPr>
          <w:rFonts w:ascii="Arial" w:hAnsi="Arial" w:cs="Arial"/>
          <w:color w:val="000000"/>
        </w:rPr>
        <w:t>Our findings suggest that selective pressure by mild iron deficiency contributes to the high frequencies of the p.H63D variant.</w:t>
      </w:r>
    </w:p>
    <w:p w14:paraId="4521A453" w14:textId="77777777" w:rsidR="004A0514" w:rsidRPr="007916DE" w:rsidRDefault="004A0514" w:rsidP="001B45F1">
      <w:pPr>
        <w:spacing w:line="480" w:lineRule="auto"/>
        <w:rPr>
          <w:rFonts w:eastAsia="Times New Roman" w:cs="Arial"/>
          <w:lang w:val="en-GB"/>
        </w:rPr>
      </w:pPr>
    </w:p>
    <w:p w14:paraId="7DA7337A" w14:textId="281D7B23" w:rsidR="00C326EF" w:rsidRPr="009A7898" w:rsidRDefault="00C326EF" w:rsidP="00C326EF">
      <w:pPr>
        <w:spacing w:line="360" w:lineRule="auto"/>
        <w:jc w:val="both"/>
        <w:rPr>
          <w:rFonts w:cs="Arial"/>
          <w:lang w:val="en-GB"/>
        </w:rPr>
      </w:pPr>
      <w:r w:rsidRPr="009A7898">
        <w:rPr>
          <w:rFonts w:cs="Arial"/>
          <w:b/>
          <w:lang w:val="en-GB"/>
        </w:rPr>
        <w:t>Key</w:t>
      </w:r>
      <w:r w:rsidR="00797425">
        <w:rPr>
          <w:rFonts w:cs="Arial"/>
          <w:b/>
          <w:lang w:val="en-GB"/>
        </w:rPr>
        <w:t xml:space="preserve"> </w:t>
      </w:r>
      <w:r w:rsidRPr="009A7898">
        <w:rPr>
          <w:rFonts w:cs="Arial"/>
          <w:b/>
          <w:lang w:val="en-GB"/>
        </w:rPr>
        <w:t>words</w:t>
      </w:r>
      <w:r w:rsidRPr="009A7898">
        <w:rPr>
          <w:rFonts w:cs="Arial"/>
          <w:lang w:val="en-GB"/>
        </w:rPr>
        <w:t xml:space="preserve">: </w:t>
      </w:r>
      <w:r>
        <w:rPr>
          <w:rFonts w:cs="Arial"/>
          <w:lang w:val="en-GB"/>
        </w:rPr>
        <w:t xml:space="preserve">H63D, </w:t>
      </w:r>
      <w:r w:rsidR="00CB47AE">
        <w:rPr>
          <w:rFonts w:cs="Arial"/>
          <w:lang w:val="en-GB"/>
        </w:rPr>
        <w:t>hemochromatosis</w:t>
      </w:r>
      <w:r w:rsidRPr="009A7898">
        <w:rPr>
          <w:rFonts w:cs="Arial"/>
          <w:lang w:val="en-GB"/>
        </w:rPr>
        <w:t xml:space="preserve">, low red cell indices, mean cell volume, </w:t>
      </w:r>
      <w:r w:rsidR="00CB47AE">
        <w:rPr>
          <w:rFonts w:cs="Arial"/>
          <w:lang w:val="en-GB"/>
        </w:rPr>
        <w:t>anemia</w:t>
      </w:r>
      <w:r w:rsidR="004B534B" w:rsidRPr="004B534B">
        <w:rPr>
          <w:rFonts w:cs="Arial"/>
          <w:lang w:val="en-GB"/>
        </w:rPr>
        <w:t>, iron deficiency</w:t>
      </w:r>
      <w:r w:rsidR="004B534B">
        <w:rPr>
          <w:rFonts w:cs="Arial"/>
          <w:lang w:val="en-GB"/>
        </w:rPr>
        <w:t>.</w:t>
      </w:r>
    </w:p>
    <w:p w14:paraId="267F1B0A" w14:textId="77777777" w:rsidR="0044176F" w:rsidRPr="007916DE" w:rsidRDefault="0044176F" w:rsidP="003E7D64">
      <w:pPr>
        <w:spacing w:line="480" w:lineRule="auto"/>
        <w:rPr>
          <w:rFonts w:cs="Arial"/>
          <w:b/>
        </w:rPr>
      </w:pPr>
    </w:p>
    <w:p w14:paraId="18AC98CE" w14:textId="77777777" w:rsidR="005435D7" w:rsidRPr="007916DE" w:rsidRDefault="005435D7" w:rsidP="001B45F1">
      <w:pPr>
        <w:spacing w:line="480" w:lineRule="auto"/>
        <w:rPr>
          <w:rFonts w:cs="Arial"/>
          <w:b/>
        </w:rPr>
      </w:pPr>
      <w:r w:rsidRPr="007916DE">
        <w:rPr>
          <w:rFonts w:cs="Arial"/>
          <w:b/>
        </w:rPr>
        <w:br w:type="page"/>
      </w:r>
    </w:p>
    <w:p w14:paraId="53AC3BBA" w14:textId="1D25D820" w:rsidR="00EE1945" w:rsidRPr="007916DE" w:rsidRDefault="00647949" w:rsidP="001B45F1">
      <w:pPr>
        <w:spacing w:before="240" w:line="480" w:lineRule="auto"/>
        <w:rPr>
          <w:rFonts w:cs="Arial"/>
          <w:b/>
        </w:rPr>
      </w:pPr>
      <w:r w:rsidRPr="007916DE">
        <w:rPr>
          <w:rFonts w:cs="Arial"/>
          <w:b/>
        </w:rPr>
        <w:lastRenderedPageBreak/>
        <w:t>INTRODUCTION</w:t>
      </w:r>
    </w:p>
    <w:p w14:paraId="679700D3" w14:textId="194CFF7A" w:rsidR="007916DE" w:rsidRPr="007916DE" w:rsidRDefault="001B45F1" w:rsidP="003E7D64">
      <w:pPr>
        <w:spacing w:before="240" w:line="480" w:lineRule="auto"/>
        <w:jc w:val="both"/>
      </w:pPr>
      <w:r>
        <w:rPr>
          <w:rFonts w:cs="Arial"/>
        </w:rPr>
        <w:t>Hereditary hemochromatosis</w:t>
      </w:r>
      <w:r w:rsidR="00647949" w:rsidRPr="007916DE">
        <w:rPr>
          <w:rFonts w:cs="Arial"/>
        </w:rPr>
        <w:t xml:space="preserve"> is caused by inappropriate iron absorption and is among the commonest autosomal recessive diseases.  After the hemochromatosis gene, </w:t>
      </w:r>
      <w:r w:rsidR="00647949" w:rsidRPr="007916DE">
        <w:rPr>
          <w:rFonts w:cs="Arial"/>
          <w:i/>
        </w:rPr>
        <w:t>HFE</w:t>
      </w:r>
      <w:r w:rsidR="00647949" w:rsidRPr="007916DE">
        <w:rPr>
          <w:rFonts w:cs="Arial"/>
        </w:rPr>
        <w:t>, was cloned</w:t>
      </w:r>
      <w:r w:rsidR="0040279D" w:rsidRPr="007916DE">
        <w:rPr>
          <w:rFonts w:cs="Arial"/>
        </w:rPr>
        <w:t>,</w:t>
      </w:r>
      <w:r w:rsidR="00647949" w:rsidRPr="007916DE">
        <w:rPr>
          <w:rFonts w:cs="Arial"/>
        </w:rPr>
        <w:t xml:space="preserve"> two </w:t>
      </w:r>
      <w:r w:rsidR="00AF3FF6" w:rsidRPr="007916DE">
        <w:rPr>
          <w:rFonts w:cs="Arial"/>
        </w:rPr>
        <w:t xml:space="preserve">presumed </w:t>
      </w:r>
      <w:r w:rsidR="00647949" w:rsidRPr="007916DE">
        <w:rPr>
          <w:rFonts w:cs="Arial"/>
        </w:rPr>
        <w:t>causative mutations were identified</w:t>
      </w:r>
      <w:r w:rsidR="003B077B">
        <w:rPr>
          <w:rFonts w:cs="Arial"/>
        </w:rPr>
        <w:t xml:space="preserve"> [1]</w:t>
      </w:r>
      <w:r w:rsidR="00647949" w:rsidRPr="007916DE">
        <w:rPr>
          <w:rFonts w:cs="Arial"/>
        </w:rPr>
        <w:t xml:space="preserve">.  </w:t>
      </w:r>
      <w:r w:rsidR="00AF3FF6" w:rsidRPr="007916DE">
        <w:rPr>
          <w:rFonts w:cs="Arial"/>
        </w:rPr>
        <w:t xml:space="preserve">The first, a </w:t>
      </w:r>
      <w:r w:rsidR="00647949" w:rsidRPr="007916DE">
        <w:rPr>
          <w:rFonts w:cs="Arial"/>
        </w:rPr>
        <w:t xml:space="preserve">G-A transition at nucleotide 845 which changes amino acid 282 from </w:t>
      </w:r>
      <w:r w:rsidR="00AF3FF6" w:rsidRPr="007916DE">
        <w:rPr>
          <w:rFonts w:cs="Arial"/>
        </w:rPr>
        <w:t xml:space="preserve">cysteine </w:t>
      </w:r>
      <w:r w:rsidR="00647949" w:rsidRPr="007916DE">
        <w:rPr>
          <w:rFonts w:cs="Arial"/>
        </w:rPr>
        <w:t xml:space="preserve">to </w:t>
      </w:r>
      <w:r w:rsidR="00AF3FF6" w:rsidRPr="007916DE">
        <w:rPr>
          <w:rFonts w:cs="Arial"/>
        </w:rPr>
        <w:t xml:space="preserve">tyrosine </w:t>
      </w:r>
      <w:r w:rsidR="00647949" w:rsidRPr="007916DE">
        <w:rPr>
          <w:rFonts w:cs="Arial"/>
        </w:rPr>
        <w:t>(</w:t>
      </w:r>
      <w:r w:rsidR="00AF3FF6" w:rsidRPr="007916DE">
        <w:rPr>
          <w:rFonts w:cs="Arial"/>
        </w:rPr>
        <w:t>p.Cys282Tyr</w:t>
      </w:r>
      <w:r w:rsidR="00647949" w:rsidRPr="007916DE">
        <w:rPr>
          <w:rFonts w:cs="Arial"/>
        </w:rPr>
        <w:t>)</w:t>
      </w:r>
      <w:r w:rsidR="00AF3FF6" w:rsidRPr="007916DE">
        <w:rPr>
          <w:rFonts w:cs="Arial"/>
        </w:rPr>
        <w:t xml:space="preserve">, </w:t>
      </w:r>
      <w:r w:rsidR="0040279D" w:rsidRPr="007916DE">
        <w:rPr>
          <w:rFonts w:cs="Arial"/>
        </w:rPr>
        <w:t xml:space="preserve">is </w:t>
      </w:r>
      <w:r w:rsidR="00AF3FF6" w:rsidRPr="007916DE">
        <w:rPr>
          <w:rFonts w:cs="Arial"/>
        </w:rPr>
        <w:t>commonly known as C282Y.</w:t>
      </w:r>
      <w:r w:rsidR="00647949" w:rsidRPr="007916DE">
        <w:rPr>
          <w:rFonts w:cs="Arial"/>
        </w:rPr>
        <w:t xml:space="preserve"> </w:t>
      </w:r>
      <w:r w:rsidR="005F145D" w:rsidRPr="007916DE">
        <w:rPr>
          <w:rFonts w:cs="Arial"/>
        </w:rPr>
        <w:t>The C282Y mutation</w:t>
      </w:r>
      <w:r w:rsidR="00A03C59" w:rsidRPr="007916DE">
        <w:rPr>
          <w:rFonts w:cs="Arial"/>
        </w:rPr>
        <w:t xml:space="preserve">, thought to have arisen approximately 4000 years </w:t>
      </w:r>
      <w:r w:rsidR="005F002F">
        <w:rPr>
          <w:rFonts w:cs="Arial"/>
        </w:rPr>
        <w:t>ago</w:t>
      </w:r>
      <w:r w:rsidR="00A03C59" w:rsidRPr="007916DE">
        <w:rPr>
          <w:rFonts w:cs="Arial"/>
        </w:rPr>
        <w:t xml:space="preserve">, </w:t>
      </w:r>
      <w:r w:rsidR="005F145D" w:rsidRPr="007916DE">
        <w:rPr>
          <w:rFonts w:cs="Arial"/>
        </w:rPr>
        <w:t xml:space="preserve">occurs at </w:t>
      </w:r>
      <w:r w:rsidR="005F002F">
        <w:rPr>
          <w:rFonts w:cs="Arial"/>
        </w:rPr>
        <w:t xml:space="preserve">a frequency of </w:t>
      </w:r>
      <w:r w:rsidR="005F145D" w:rsidRPr="007916DE">
        <w:rPr>
          <w:rFonts w:cs="Arial"/>
        </w:rPr>
        <w:t xml:space="preserve">1 in 12 to 1 in 15 </w:t>
      </w:r>
      <w:r w:rsidR="005F002F">
        <w:rPr>
          <w:rFonts w:cs="Arial"/>
        </w:rPr>
        <w:t xml:space="preserve">in </w:t>
      </w:r>
      <w:r w:rsidR="005F145D" w:rsidRPr="007916DE">
        <w:rPr>
          <w:rFonts w:cs="Arial"/>
        </w:rPr>
        <w:t xml:space="preserve">populations of northern European ancestry </w:t>
      </w:r>
      <w:r w:rsidR="003B077B">
        <w:rPr>
          <w:rFonts w:cs="Arial"/>
        </w:rPr>
        <w:t>[2,3]</w:t>
      </w:r>
      <w:r w:rsidR="005F145D" w:rsidRPr="007916DE">
        <w:rPr>
          <w:rFonts w:cs="Arial"/>
        </w:rPr>
        <w:t xml:space="preserve">. </w:t>
      </w:r>
      <w:r w:rsidR="00AF3FF6" w:rsidRPr="007916DE">
        <w:rPr>
          <w:rFonts w:cs="Arial"/>
        </w:rPr>
        <w:t>The second</w:t>
      </w:r>
      <w:r w:rsidR="00A82369">
        <w:rPr>
          <w:rFonts w:cs="Arial"/>
        </w:rPr>
        <w:t xml:space="preserve"> mutation</w:t>
      </w:r>
      <w:r w:rsidR="00AF3FF6" w:rsidRPr="007916DE">
        <w:rPr>
          <w:rFonts w:cs="Arial"/>
        </w:rPr>
        <w:t xml:space="preserve">, </w:t>
      </w:r>
      <w:r w:rsidR="00647949" w:rsidRPr="007916DE">
        <w:rPr>
          <w:rFonts w:cs="Arial"/>
        </w:rPr>
        <w:t xml:space="preserve">a C to G transversion at nucleotide 187 which </w:t>
      </w:r>
      <w:r w:rsidR="00E337C2" w:rsidRPr="007916DE">
        <w:rPr>
          <w:rFonts w:cs="Arial"/>
        </w:rPr>
        <w:t xml:space="preserve">changes amino acid 63 from </w:t>
      </w:r>
      <w:r w:rsidR="00AF3FF6" w:rsidRPr="007916DE">
        <w:rPr>
          <w:rFonts w:cs="Arial"/>
        </w:rPr>
        <w:t xml:space="preserve">histidine </w:t>
      </w:r>
      <w:r w:rsidR="00647949" w:rsidRPr="007916DE">
        <w:rPr>
          <w:rFonts w:cs="Arial"/>
        </w:rPr>
        <w:t xml:space="preserve">to </w:t>
      </w:r>
      <w:r w:rsidR="00AF3FF6" w:rsidRPr="007916DE">
        <w:rPr>
          <w:rFonts w:cs="Arial"/>
        </w:rPr>
        <w:t xml:space="preserve">aspartic </w:t>
      </w:r>
      <w:r w:rsidR="00647949" w:rsidRPr="007916DE">
        <w:rPr>
          <w:rFonts w:cs="Arial"/>
        </w:rPr>
        <w:t>acid (</w:t>
      </w:r>
      <w:r w:rsidR="00AF3FF6" w:rsidRPr="007916DE">
        <w:rPr>
          <w:rFonts w:cs="Arial"/>
        </w:rPr>
        <w:t>p.His63Asp</w:t>
      </w:r>
      <w:r w:rsidR="00647949" w:rsidRPr="007916DE">
        <w:rPr>
          <w:rFonts w:cs="Arial"/>
        </w:rPr>
        <w:t>)</w:t>
      </w:r>
      <w:r w:rsidR="00AF3FF6" w:rsidRPr="007916DE">
        <w:rPr>
          <w:rFonts w:cs="Arial"/>
        </w:rPr>
        <w:t xml:space="preserve">, </w:t>
      </w:r>
      <w:r w:rsidR="0040279D" w:rsidRPr="007916DE">
        <w:rPr>
          <w:rFonts w:cs="Arial"/>
        </w:rPr>
        <w:t xml:space="preserve">is </w:t>
      </w:r>
      <w:r w:rsidR="00AF3FF6" w:rsidRPr="007916DE">
        <w:rPr>
          <w:rFonts w:cs="Arial"/>
        </w:rPr>
        <w:t>commonly known as H63D</w:t>
      </w:r>
      <w:r w:rsidR="00AB16CC">
        <w:rPr>
          <w:rFonts w:cs="Arial"/>
        </w:rPr>
        <w:t xml:space="preserve"> and thought to be the older of the two</w:t>
      </w:r>
      <w:r w:rsidR="00EA3D00">
        <w:rPr>
          <w:rFonts w:cs="Arial"/>
        </w:rPr>
        <w:t xml:space="preserve"> </w:t>
      </w:r>
      <w:r w:rsidR="00AB16CC">
        <w:rPr>
          <w:rFonts w:cs="Arial"/>
        </w:rPr>
        <w:t>mutations.</w:t>
      </w:r>
      <w:r w:rsidR="007050D2" w:rsidRPr="007916DE">
        <w:rPr>
          <w:rFonts w:cs="Arial"/>
        </w:rPr>
        <w:t xml:space="preserve"> </w:t>
      </w:r>
      <w:r w:rsidR="00AB16CC">
        <w:rPr>
          <w:rFonts w:cs="Arial"/>
        </w:rPr>
        <w:t xml:space="preserve">It </w:t>
      </w:r>
      <w:r w:rsidR="005F145D" w:rsidRPr="007916DE">
        <w:rPr>
          <w:rFonts w:cs="Arial"/>
        </w:rPr>
        <w:t>occurs across Europe and is also distributed widely in north Africa, the Middle East and most of Asia</w:t>
      </w:r>
      <w:r w:rsidR="003B077B">
        <w:rPr>
          <w:rFonts w:cs="Arial"/>
        </w:rPr>
        <w:t xml:space="preserve"> [3]</w:t>
      </w:r>
      <w:r w:rsidR="005F145D" w:rsidRPr="007916DE">
        <w:rPr>
          <w:rFonts w:cs="Arial"/>
        </w:rPr>
        <w:t xml:space="preserve">. </w:t>
      </w:r>
      <w:r w:rsidR="00AF3FF6" w:rsidRPr="007916DE">
        <w:rPr>
          <w:rFonts w:cs="Arial"/>
        </w:rPr>
        <w:t>D</w:t>
      </w:r>
      <w:r w:rsidR="003465E4" w:rsidRPr="007916DE">
        <w:rPr>
          <w:rFonts w:cs="Arial"/>
        </w:rPr>
        <w:t>ue to</w:t>
      </w:r>
      <w:r w:rsidR="00AF3FF6" w:rsidRPr="007916DE">
        <w:rPr>
          <w:rFonts w:cs="Arial"/>
        </w:rPr>
        <w:t xml:space="preserve"> the low penetrance of the H63D mutation</w:t>
      </w:r>
      <w:r w:rsidR="00EA3D00">
        <w:rPr>
          <w:rFonts w:cs="Arial"/>
        </w:rPr>
        <w:t>,</w:t>
      </w:r>
      <w:r w:rsidR="00AF3FF6" w:rsidRPr="007916DE">
        <w:rPr>
          <w:rFonts w:cs="Arial"/>
        </w:rPr>
        <w:t xml:space="preserve"> many regard it as a common variant rather than a mutation.</w:t>
      </w:r>
      <w:r w:rsidR="005B53FC">
        <w:rPr>
          <w:rFonts w:cs="Arial"/>
        </w:rPr>
        <w:t xml:space="preserve"> </w:t>
      </w:r>
      <w:r w:rsidR="00226E1C" w:rsidRPr="007916DE">
        <w:t xml:space="preserve">Several </w:t>
      </w:r>
      <w:r w:rsidR="00F13329">
        <w:t xml:space="preserve">other </w:t>
      </w:r>
      <w:r w:rsidR="00226E1C" w:rsidRPr="007916DE">
        <w:t>HFE mutations have been identified subsequently. T</w:t>
      </w:r>
      <w:r w:rsidR="00AF3FF6" w:rsidRPr="007916DE">
        <w:t>hat they are mutations and not variants has been confirmed in m</w:t>
      </w:r>
      <w:r w:rsidR="002B0B55" w:rsidRPr="007916DE">
        <w:t>any cases by functional studies</w:t>
      </w:r>
      <w:r w:rsidR="003B077B">
        <w:t xml:space="preserve"> [4]</w:t>
      </w:r>
      <w:r w:rsidR="005A5E77">
        <w:t>.</w:t>
      </w:r>
    </w:p>
    <w:p w14:paraId="573ABF70" w14:textId="7B19A0CF" w:rsidR="00647949" w:rsidRPr="007916DE" w:rsidRDefault="006A0CE9" w:rsidP="001B45F1">
      <w:pPr>
        <w:spacing w:before="240" w:line="480" w:lineRule="auto"/>
        <w:jc w:val="both"/>
        <w:rPr>
          <w:rFonts w:cs="Arial"/>
        </w:rPr>
      </w:pPr>
      <w:r>
        <w:rPr>
          <w:rFonts w:cs="Arial"/>
        </w:rPr>
        <w:t>A</w:t>
      </w:r>
      <w:r w:rsidR="00647949" w:rsidRPr="007916DE">
        <w:rPr>
          <w:rFonts w:cs="Arial"/>
        </w:rPr>
        <w:t xml:space="preserve"> previous study</w:t>
      </w:r>
      <w:r w:rsidR="00E337C2" w:rsidRPr="007916DE">
        <w:rPr>
          <w:rFonts w:cs="Arial"/>
        </w:rPr>
        <w:t xml:space="preserve"> in Sri Lanka</w:t>
      </w:r>
      <w:r w:rsidR="00647949" w:rsidRPr="007916DE">
        <w:rPr>
          <w:rFonts w:cs="Arial"/>
        </w:rPr>
        <w:t xml:space="preserve"> </w:t>
      </w:r>
      <w:r>
        <w:rPr>
          <w:rFonts w:cs="Arial"/>
        </w:rPr>
        <w:t xml:space="preserve">reported </w:t>
      </w:r>
      <w:r w:rsidR="00647949" w:rsidRPr="007916DE">
        <w:rPr>
          <w:rFonts w:cs="Arial"/>
        </w:rPr>
        <w:t xml:space="preserve">that the H63D </w:t>
      </w:r>
      <w:r w:rsidR="00C779B8" w:rsidRPr="007916DE">
        <w:rPr>
          <w:rFonts w:cs="Arial"/>
        </w:rPr>
        <w:t xml:space="preserve">variant </w:t>
      </w:r>
      <w:r w:rsidR="00647949" w:rsidRPr="007916DE">
        <w:rPr>
          <w:rFonts w:cs="Arial"/>
        </w:rPr>
        <w:t xml:space="preserve">was </w:t>
      </w:r>
      <w:r w:rsidR="00E337C2" w:rsidRPr="007916DE">
        <w:rPr>
          <w:rFonts w:cs="Arial"/>
        </w:rPr>
        <w:t>present</w:t>
      </w:r>
      <w:r w:rsidR="00647949" w:rsidRPr="007916DE">
        <w:rPr>
          <w:rFonts w:cs="Arial"/>
        </w:rPr>
        <w:t xml:space="preserve"> on three new haplotypes suggesting that these mutations had arisen independently in this region</w:t>
      </w:r>
      <w:r w:rsidR="003242CE" w:rsidRPr="007916DE">
        <w:rPr>
          <w:rFonts w:cs="Arial"/>
        </w:rPr>
        <w:t xml:space="preserve"> </w:t>
      </w:r>
      <w:r w:rsidR="003B077B">
        <w:rPr>
          <w:rFonts w:cs="Arial"/>
        </w:rPr>
        <w:t>[5]</w:t>
      </w:r>
      <w:r w:rsidR="003242CE" w:rsidRPr="007916DE">
        <w:rPr>
          <w:rFonts w:cs="Arial"/>
        </w:rPr>
        <w:t xml:space="preserve">. </w:t>
      </w:r>
      <w:r w:rsidR="00647949" w:rsidRPr="007916DE">
        <w:rPr>
          <w:rFonts w:cs="Arial"/>
        </w:rPr>
        <w:t xml:space="preserve">These findings suggest that the </w:t>
      </w:r>
      <w:r w:rsidR="00647949" w:rsidRPr="007916DE">
        <w:rPr>
          <w:rFonts w:cs="Arial"/>
          <w:i/>
        </w:rPr>
        <w:t>HFE</w:t>
      </w:r>
      <w:r w:rsidR="00647949" w:rsidRPr="007916DE">
        <w:rPr>
          <w:rFonts w:cs="Arial"/>
        </w:rPr>
        <w:t xml:space="preserve"> gene has been the subject of selective pressure. The present study was established to try to determine wh</w:t>
      </w:r>
      <w:r w:rsidR="00A7321A" w:rsidRPr="007916DE">
        <w:rPr>
          <w:rFonts w:cs="Arial"/>
        </w:rPr>
        <w:t xml:space="preserve">ether </w:t>
      </w:r>
      <w:r w:rsidR="00E411D9" w:rsidRPr="007916DE">
        <w:rPr>
          <w:rFonts w:cs="Arial"/>
        </w:rPr>
        <w:t xml:space="preserve">the H63D variant </w:t>
      </w:r>
      <w:r w:rsidR="00A7321A" w:rsidRPr="007916DE">
        <w:rPr>
          <w:rFonts w:cs="Arial"/>
        </w:rPr>
        <w:t>protect</w:t>
      </w:r>
      <w:r w:rsidR="00E411D9">
        <w:rPr>
          <w:rFonts w:cs="Arial"/>
        </w:rPr>
        <w:t>s</w:t>
      </w:r>
      <w:r w:rsidR="00A7321A" w:rsidRPr="007916DE">
        <w:rPr>
          <w:rFonts w:cs="Arial"/>
        </w:rPr>
        <w:t xml:space="preserve"> against iron deficiency</w:t>
      </w:r>
      <w:r w:rsidR="00647949" w:rsidRPr="007916DE">
        <w:rPr>
          <w:rFonts w:cs="Arial"/>
        </w:rPr>
        <w:t>.</w:t>
      </w:r>
    </w:p>
    <w:p w14:paraId="741C81F4" w14:textId="19ADEB37" w:rsidR="00E3493E" w:rsidRPr="007916DE" w:rsidRDefault="00E337C2" w:rsidP="001B45F1">
      <w:pPr>
        <w:spacing w:before="240" w:line="480" w:lineRule="auto"/>
        <w:jc w:val="both"/>
        <w:rPr>
          <w:rFonts w:cs="Arial"/>
        </w:rPr>
      </w:pPr>
      <w:r w:rsidRPr="007916DE">
        <w:rPr>
          <w:rFonts w:cs="Arial"/>
        </w:rPr>
        <w:t>Recently</w:t>
      </w:r>
      <w:r w:rsidR="00B46176" w:rsidRPr="007916DE">
        <w:rPr>
          <w:rFonts w:cs="Arial"/>
        </w:rPr>
        <w:t>,</w:t>
      </w:r>
      <w:r w:rsidRPr="007916DE">
        <w:rPr>
          <w:rFonts w:cs="Arial"/>
        </w:rPr>
        <w:t xml:space="preserve"> a</w:t>
      </w:r>
      <w:r w:rsidR="00647949" w:rsidRPr="007916DE">
        <w:rPr>
          <w:rFonts w:cs="Arial"/>
        </w:rPr>
        <w:t xml:space="preserve"> </w:t>
      </w:r>
      <w:r w:rsidR="009839D1" w:rsidRPr="007916DE">
        <w:rPr>
          <w:rFonts w:cs="Arial"/>
        </w:rPr>
        <w:t xml:space="preserve">national </w:t>
      </w:r>
      <w:r w:rsidR="00647949" w:rsidRPr="007916DE">
        <w:rPr>
          <w:rFonts w:cs="Arial"/>
        </w:rPr>
        <w:t xml:space="preserve">survey of </w:t>
      </w:r>
      <w:r w:rsidRPr="007916DE">
        <w:rPr>
          <w:rFonts w:cs="Arial"/>
        </w:rPr>
        <w:t xml:space="preserve">Sri Lankan </w:t>
      </w:r>
      <w:r w:rsidR="00647949" w:rsidRPr="007916DE">
        <w:rPr>
          <w:rFonts w:cs="Arial"/>
        </w:rPr>
        <w:t>secondary school students</w:t>
      </w:r>
      <w:r w:rsidRPr="007916DE">
        <w:rPr>
          <w:rFonts w:cs="Arial"/>
        </w:rPr>
        <w:t xml:space="preserve"> was carried out</w:t>
      </w:r>
      <w:r w:rsidR="00BF590B" w:rsidRPr="007916DE">
        <w:rPr>
          <w:rFonts w:cs="Arial"/>
        </w:rPr>
        <w:t xml:space="preserve"> to (i) determine the frequency</w:t>
      </w:r>
      <w:r w:rsidR="00647949" w:rsidRPr="007916DE">
        <w:rPr>
          <w:rFonts w:cs="Arial"/>
        </w:rPr>
        <w:t xml:space="preserve"> and distribut</w:t>
      </w:r>
      <w:r w:rsidRPr="007916DE">
        <w:rPr>
          <w:rFonts w:cs="Arial"/>
        </w:rPr>
        <w:t xml:space="preserve">ion of </w:t>
      </w:r>
      <w:r w:rsidR="00C77442">
        <w:rPr>
          <w:rFonts w:cs="Arial"/>
        </w:rPr>
        <w:t>hemoglobin</w:t>
      </w:r>
      <w:r w:rsidRPr="007916DE">
        <w:rPr>
          <w:rFonts w:cs="Arial"/>
        </w:rPr>
        <w:t>opathy traits</w:t>
      </w:r>
      <w:r w:rsidR="00D26FED" w:rsidRPr="007916DE">
        <w:rPr>
          <w:rFonts w:cs="Arial"/>
        </w:rPr>
        <w:t xml:space="preserve"> and</w:t>
      </w:r>
      <w:r w:rsidR="00BF590B" w:rsidRPr="007916DE">
        <w:rPr>
          <w:rFonts w:cs="Arial"/>
        </w:rPr>
        <w:t xml:space="preserve"> (ii) assess</w:t>
      </w:r>
      <w:r w:rsidR="00D26FED" w:rsidRPr="007916DE">
        <w:rPr>
          <w:rFonts w:cs="Arial"/>
        </w:rPr>
        <w:t xml:space="preserve"> iron</w:t>
      </w:r>
      <w:r w:rsidR="00BF590B" w:rsidRPr="007916DE">
        <w:rPr>
          <w:rFonts w:cs="Arial"/>
        </w:rPr>
        <w:t xml:space="preserve"> status. </w:t>
      </w:r>
      <w:r w:rsidR="00CB47AE">
        <w:rPr>
          <w:rFonts w:cs="Arial"/>
        </w:rPr>
        <w:t>Hemoglobin</w:t>
      </w:r>
      <w:r w:rsidR="00647949" w:rsidRPr="007916DE">
        <w:rPr>
          <w:rFonts w:cs="Arial"/>
        </w:rPr>
        <w:t xml:space="preserve"> genotype was determined and</w:t>
      </w:r>
      <w:r w:rsidRPr="007916DE">
        <w:rPr>
          <w:rFonts w:cs="Arial"/>
        </w:rPr>
        <w:t xml:space="preserve"> </w:t>
      </w:r>
      <w:r w:rsidR="00647949" w:rsidRPr="007916DE">
        <w:rPr>
          <w:rFonts w:cs="Arial"/>
        </w:rPr>
        <w:t>red cell indices</w:t>
      </w:r>
      <w:r w:rsidRPr="007916DE">
        <w:rPr>
          <w:rFonts w:cs="Arial"/>
        </w:rPr>
        <w:t>,</w:t>
      </w:r>
      <w:r w:rsidR="00647949" w:rsidRPr="007916DE">
        <w:rPr>
          <w:rFonts w:cs="Arial"/>
        </w:rPr>
        <w:t xml:space="preserve"> </w:t>
      </w:r>
      <w:r w:rsidR="00647949" w:rsidRPr="007916DE">
        <w:rPr>
          <w:rFonts w:cs="Arial"/>
        </w:rPr>
        <w:lastRenderedPageBreak/>
        <w:t>serum ferritin transferrin receptor</w:t>
      </w:r>
      <w:r w:rsidRPr="007916DE">
        <w:rPr>
          <w:rFonts w:cs="Arial"/>
        </w:rPr>
        <w:t>,</w:t>
      </w:r>
      <w:r w:rsidR="00647949" w:rsidRPr="007916DE">
        <w:rPr>
          <w:rFonts w:cs="Arial"/>
        </w:rPr>
        <w:t xml:space="preserve"> iron</w:t>
      </w:r>
      <w:r w:rsidR="003242CE" w:rsidRPr="007916DE">
        <w:rPr>
          <w:rFonts w:cs="Arial"/>
        </w:rPr>
        <w:t>,</w:t>
      </w:r>
      <w:r w:rsidR="00647949" w:rsidRPr="007916DE">
        <w:rPr>
          <w:rFonts w:cs="Arial"/>
        </w:rPr>
        <w:t xml:space="preserve"> zinc protoporphyrin and hepcidin</w:t>
      </w:r>
      <w:r w:rsidR="003465E4" w:rsidRPr="007916DE">
        <w:rPr>
          <w:rFonts w:cs="Arial"/>
        </w:rPr>
        <w:t xml:space="preserve"> levels</w:t>
      </w:r>
      <w:r w:rsidR="00647949" w:rsidRPr="007916DE">
        <w:rPr>
          <w:rFonts w:cs="Arial"/>
        </w:rPr>
        <w:t xml:space="preserve"> were </w:t>
      </w:r>
      <w:r w:rsidR="00F13329">
        <w:rPr>
          <w:rFonts w:cs="Arial"/>
        </w:rPr>
        <w:t xml:space="preserve">measured. </w:t>
      </w:r>
      <w:r w:rsidR="00E3493E" w:rsidRPr="007916DE">
        <w:rPr>
          <w:rFonts w:cs="Arial"/>
        </w:rPr>
        <w:t>The results of t</w:t>
      </w:r>
      <w:r w:rsidR="00BF590B" w:rsidRPr="007916DE">
        <w:rPr>
          <w:rFonts w:cs="Arial"/>
        </w:rPr>
        <w:t>hese investigations have</w:t>
      </w:r>
      <w:r w:rsidR="002B0B55" w:rsidRPr="007916DE">
        <w:rPr>
          <w:rFonts w:cs="Arial"/>
        </w:rPr>
        <w:t xml:space="preserve"> already</w:t>
      </w:r>
      <w:r w:rsidR="00E3493E" w:rsidRPr="007916DE">
        <w:rPr>
          <w:rFonts w:cs="Arial"/>
        </w:rPr>
        <w:t xml:space="preserve"> been published</w:t>
      </w:r>
      <w:r w:rsidR="00C25025" w:rsidRPr="007916DE">
        <w:rPr>
          <w:rFonts w:cs="Arial"/>
        </w:rPr>
        <w:t xml:space="preserve"> </w:t>
      </w:r>
      <w:r w:rsidR="003B077B">
        <w:rPr>
          <w:rFonts w:cs="Arial"/>
        </w:rPr>
        <w:t>[6,7,8,9]</w:t>
      </w:r>
      <w:r w:rsidR="00E3493E" w:rsidRPr="007916DE">
        <w:rPr>
          <w:rFonts w:cs="Arial"/>
        </w:rPr>
        <w:t>.</w:t>
      </w:r>
      <w:r w:rsidR="00647949" w:rsidRPr="007916DE">
        <w:rPr>
          <w:rFonts w:cs="Arial"/>
        </w:rPr>
        <w:t xml:space="preserve">  </w:t>
      </w:r>
    </w:p>
    <w:p w14:paraId="404A7D4A" w14:textId="40255986" w:rsidR="00E3493E" w:rsidRPr="007916DE" w:rsidRDefault="00827917" w:rsidP="001B45F1">
      <w:pPr>
        <w:spacing w:before="240" w:line="480" w:lineRule="auto"/>
        <w:jc w:val="both"/>
        <w:rPr>
          <w:rFonts w:cs="Arial"/>
        </w:rPr>
      </w:pPr>
      <w:r>
        <w:rPr>
          <w:rFonts w:cs="Arial"/>
        </w:rPr>
        <w:t>Subsequently, we determined t</w:t>
      </w:r>
      <w:r w:rsidR="00647949" w:rsidRPr="007916DE">
        <w:rPr>
          <w:rFonts w:cs="Arial"/>
        </w:rPr>
        <w:t xml:space="preserve">he frequency of the H63D </w:t>
      </w:r>
      <w:r w:rsidR="003465E4" w:rsidRPr="007916DE">
        <w:rPr>
          <w:rFonts w:cs="Arial"/>
        </w:rPr>
        <w:t xml:space="preserve">variant </w:t>
      </w:r>
      <w:r w:rsidR="00647949" w:rsidRPr="007916DE">
        <w:rPr>
          <w:rFonts w:cs="Arial"/>
        </w:rPr>
        <w:t xml:space="preserve">in a subset of students </w:t>
      </w:r>
      <w:r w:rsidR="008E70A9" w:rsidRPr="007916DE">
        <w:rPr>
          <w:rFonts w:cs="Arial"/>
        </w:rPr>
        <w:t xml:space="preserve">from this survey </w:t>
      </w:r>
      <w:r w:rsidR="00647949" w:rsidRPr="007916DE">
        <w:rPr>
          <w:rFonts w:cs="Arial"/>
        </w:rPr>
        <w:t>for whom DNA samples were available.  Red cell indices and</w:t>
      </w:r>
      <w:r w:rsidR="00E75309" w:rsidRPr="007916DE">
        <w:rPr>
          <w:rFonts w:cs="Arial"/>
        </w:rPr>
        <w:t xml:space="preserve"> biomarkers of iron status were</w:t>
      </w:r>
      <w:r w:rsidR="002B0B55" w:rsidRPr="007916DE">
        <w:rPr>
          <w:rFonts w:cs="Arial"/>
        </w:rPr>
        <w:t xml:space="preserve"> </w:t>
      </w:r>
      <w:r w:rsidR="00647949" w:rsidRPr="007916DE">
        <w:rPr>
          <w:rFonts w:cs="Arial"/>
        </w:rPr>
        <w:t xml:space="preserve">compared according to the presence or absence of the H63D </w:t>
      </w:r>
      <w:r w:rsidR="003465E4" w:rsidRPr="007916DE">
        <w:rPr>
          <w:rFonts w:cs="Arial"/>
        </w:rPr>
        <w:t>variant</w:t>
      </w:r>
      <w:r w:rsidR="00E75309" w:rsidRPr="007916DE">
        <w:rPr>
          <w:rFonts w:cs="Arial"/>
        </w:rPr>
        <w:t xml:space="preserve">. </w:t>
      </w:r>
      <w:r w:rsidR="00605A64">
        <w:rPr>
          <w:rFonts w:cs="Arial"/>
        </w:rPr>
        <w:t>W</w:t>
      </w:r>
      <w:r w:rsidR="00E75309" w:rsidRPr="007916DE">
        <w:rPr>
          <w:rFonts w:cs="Arial"/>
        </w:rPr>
        <w:t>e report the findings</w:t>
      </w:r>
      <w:r w:rsidR="003465E4" w:rsidRPr="007916DE">
        <w:rPr>
          <w:rFonts w:cs="Arial"/>
        </w:rPr>
        <w:t xml:space="preserve"> </w:t>
      </w:r>
      <w:r w:rsidR="00647949" w:rsidRPr="007916DE">
        <w:rPr>
          <w:rFonts w:cs="Arial"/>
        </w:rPr>
        <w:t xml:space="preserve">in students without a </w:t>
      </w:r>
      <w:r w:rsidR="00C77442">
        <w:rPr>
          <w:rFonts w:cs="Arial"/>
        </w:rPr>
        <w:t>hemoglobin</w:t>
      </w:r>
      <w:r w:rsidR="00647949" w:rsidRPr="007916DE">
        <w:rPr>
          <w:rFonts w:cs="Arial"/>
        </w:rPr>
        <w:t>opathy trait.</w:t>
      </w:r>
    </w:p>
    <w:p w14:paraId="04B54D70" w14:textId="328D9902" w:rsidR="00E3493E" w:rsidRPr="007916DE" w:rsidRDefault="00E3493E" w:rsidP="001B45F1">
      <w:pPr>
        <w:spacing w:before="240" w:line="480" w:lineRule="auto"/>
        <w:jc w:val="both"/>
        <w:rPr>
          <w:rFonts w:cs="Arial"/>
          <w:b/>
        </w:rPr>
      </w:pPr>
      <w:r w:rsidRPr="007916DE">
        <w:rPr>
          <w:rFonts w:cs="Arial"/>
          <w:b/>
        </w:rPr>
        <w:t>METHODS</w:t>
      </w:r>
    </w:p>
    <w:p w14:paraId="3A687517" w14:textId="77777777" w:rsidR="00E3493E" w:rsidRPr="007916DE" w:rsidRDefault="00E3493E" w:rsidP="001B45F1">
      <w:pPr>
        <w:spacing w:before="240" w:line="480" w:lineRule="auto"/>
        <w:jc w:val="both"/>
        <w:rPr>
          <w:rFonts w:cs="Arial"/>
          <w:b/>
        </w:rPr>
      </w:pPr>
      <w:r w:rsidRPr="007916DE">
        <w:rPr>
          <w:rFonts w:cs="Arial"/>
          <w:b/>
        </w:rPr>
        <w:t>Study design</w:t>
      </w:r>
    </w:p>
    <w:p w14:paraId="2EEA4686" w14:textId="73E83A86" w:rsidR="00E3493E" w:rsidRPr="007916DE" w:rsidRDefault="00E3493E" w:rsidP="001B45F1">
      <w:pPr>
        <w:spacing w:before="240" w:line="480" w:lineRule="auto"/>
        <w:jc w:val="both"/>
        <w:rPr>
          <w:rFonts w:cs="Arial"/>
        </w:rPr>
      </w:pPr>
      <w:r w:rsidRPr="007916DE">
        <w:rPr>
          <w:rFonts w:cs="Arial"/>
        </w:rPr>
        <w:t>Details of the study population</w:t>
      </w:r>
      <w:r w:rsidR="009839D1" w:rsidRPr="007916DE">
        <w:rPr>
          <w:rFonts w:cs="Arial"/>
        </w:rPr>
        <w:t xml:space="preserve"> and recruitment methods in the</w:t>
      </w:r>
      <w:r w:rsidRPr="007916DE">
        <w:rPr>
          <w:rFonts w:cs="Arial"/>
        </w:rPr>
        <w:t xml:space="preserve"> cro</w:t>
      </w:r>
      <w:r w:rsidR="00286882" w:rsidRPr="007916DE">
        <w:rPr>
          <w:rFonts w:cs="Arial"/>
        </w:rPr>
        <w:t xml:space="preserve">ss-sectional survey </w:t>
      </w:r>
      <w:r w:rsidRPr="007916DE">
        <w:rPr>
          <w:rFonts w:cs="Arial"/>
        </w:rPr>
        <w:t>have been published previously</w:t>
      </w:r>
      <w:r w:rsidR="00C25025" w:rsidRPr="007916DE">
        <w:rPr>
          <w:rFonts w:cs="Arial"/>
        </w:rPr>
        <w:t xml:space="preserve"> </w:t>
      </w:r>
      <w:r w:rsidR="003B077B">
        <w:rPr>
          <w:rFonts w:cs="Arial"/>
        </w:rPr>
        <w:t>[6,7]</w:t>
      </w:r>
      <w:r w:rsidRPr="007916DE">
        <w:rPr>
          <w:rFonts w:cs="Arial"/>
        </w:rPr>
        <w:t xml:space="preserve">. </w:t>
      </w:r>
      <w:r w:rsidR="006D2213" w:rsidRPr="007916DE">
        <w:rPr>
          <w:rFonts w:cs="Arial"/>
        </w:rPr>
        <w:t>Briefly, as part of a</w:t>
      </w:r>
      <w:r w:rsidRPr="007916DE">
        <w:rPr>
          <w:rFonts w:cs="Arial"/>
        </w:rPr>
        <w:t xml:space="preserve"> national survey of the frequency and distribution of </w:t>
      </w:r>
      <w:r w:rsidR="00C77442">
        <w:rPr>
          <w:rFonts w:cs="Arial"/>
        </w:rPr>
        <w:t>hemoglobin</w:t>
      </w:r>
      <w:r w:rsidRPr="007916DE">
        <w:rPr>
          <w:rFonts w:cs="Arial"/>
        </w:rPr>
        <w:t>opathy traits, we recruited 7</w:t>
      </w:r>
      <w:r w:rsidR="00921D13" w:rsidRPr="007916DE">
        <w:rPr>
          <w:rFonts w:cs="Arial"/>
        </w:rPr>
        <w:t>,</w:t>
      </w:r>
      <w:r w:rsidRPr="007916DE">
        <w:rPr>
          <w:rFonts w:cs="Arial"/>
        </w:rPr>
        <w:t xml:space="preserve">526 children aged 11-19 years attending schools across the 25 districts of Sri Lanka. </w:t>
      </w:r>
      <w:r w:rsidR="006D2213" w:rsidRPr="007916DE">
        <w:rPr>
          <w:rFonts w:cs="Arial"/>
        </w:rPr>
        <w:t>Signed, informed consent</w:t>
      </w:r>
      <w:r w:rsidR="00921D13" w:rsidRPr="007916DE">
        <w:rPr>
          <w:rFonts w:cs="Arial"/>
        </w:rPr>
        <w:t xml:space="preserve"> was obtained from the parents/</w:t>
      </w:r>
      <w:r w:rsidR="006D2213" w:rsidRPr="007916DE">
        <w:rPr>
          <w:rFonts w:cs="Arial"/>
        </w:rPr>
        <w:t xml:space="preserve">guardians of all participants prior to enrolment into the study. </w:t>
      </w:r>
      <w:r w:rsidRPr="007916DE">
        <w:rPr>
          <w:rFonts w:cs="Arial"/>
        </w:rPr>
        <w:t xml:space="preserve">Iron biomarkers were measured in </w:t>
      </w:r>
      <w:r w:rsidR="001638AA" w:rsidRPr="007916DE">
        <w:rPr>
          <w:rFonts w:cs="Arial"/>
        </w:rPr>
        <w:t xml:space="preserve">1705 students; </w:t>
      </w:r>
      <w:r w:rsidR="00921D13" w:rsidRPr="007916DE">
        <w:rPr>
          <w:rFonts w:cs="Arial"/>
        </w:rPr>
        <w:t xml:space="preserve">all </w:t>
      </w:r>
      <w:r w:rsidR="001638AA" w:rsidRPr="007916DE">
        <w:rPr>
          <w:rFonts w:cs="Arial"/>
        </w:rPr>
        <w:t>1192</w:t>
      </w:r>
      <w:r w:rsidR="008610A9" w:rsidRPr="007916DE">
        <w:rPr>
          <w:rFonts w:cs="Arial"/>
        </w:rPr>
        <w:t xml:space="preserve"> </w:t>
      </w:r>
      <w:r w:rsidR="00921D13" w:rsidRPr="007916DE">
        <w:rPr>
          <w:rFonts w:cs="Arial"/>
        </w:rPr>
        <w:t xml:space="preserve">students </w:t>
      </w:r>
      <w:r w:rsidRPr="007916DE">
        <w:rPr>
          <w:rFonts w:cs="Arial"/>
        </w:rPr>
        <w:t>with low red cell indices and</w:t>
      </w:r>
      <w:r w:rsidR="00921D13" w:rsidRPr="007916DE">
        <w:rPr>
          <w:rFonts w:cs="Arial"/>
        </w:rPr>
        <w:t>, as a comparison group,</w:t>
      </w:r>
      <w:r w:rsidRPr="007916DE">
        <w:rPr>
          <w:rFonts w:cs="Arial"/>
        </w:rPr>
        <w:t xml:space="preserve"> </w:t>
      </w:r>
      <w:r w:rsidR="00921D13" w:rsidRPr="007916DE">
        <w:rPr>
          <w:rFonts w:cs="Arial"/>
        </w:rPr>
        <w:t>every 12</w:t>
      </w:r>
      <w:r w:rsidR="000B733F" w:rsidRPr="007916DE">
        <w:rPr>
          <w:rFonts w:cs="Arial"/>
        </w:rPr>
        <w:t>th</w:t>
      </w:r>
      <w:r w:rsidR="00921D13" w:rsidRPr="007916DE">
        <w:rPr>
          <w:rFonts w:cs="Arial"/>
        </w:rPr>
        <w:t xml:space="preserve"> </w:t>
      </w:r>
      <w:r w:rsidR="000B733F" w:rsidRPr="007916DE">
        <w:rPr>
          <w:rFonts w:cs="Arial"/>
        </w:rPr>
        <w:t xml:space="preserve">student </w:t>
      </w:r>
      <w:r w:rsidRPr="007916DE">
        <w:rPr>
          <w:rFonts w:cs="Arial"/>
        </w:rPr>
        <w:t>with normal red cell indices</w:t>
      </w:r>
      <w:r w:rsidR="00921D13" w:rsidRPr="007916DE">
        <w:rPr>
          <w:rFonts w:cs="Arial"/>
        </w:rPr>
        <w:t xml:space="preserve"> (513 students)</w:t>
      </w:r>
      <w:r w:rsidRPr="007916DE">
        <w:rPr>
          <w:rFonts w:cs="Arial"/>
        </w:rPr>
        <w:t xml:space="preserve">. </w:t>
      </w:r>
    </w:p>
    <w:p w14:paraId="5460BE0F" w14:textId="19441E93" w:rsidR="00E3493E" w:rsidRPr="007916DE" w:rsidRDefault="005A230A" w:rsidP="001B45F1">
      <w:pPr>
        <w:spacing w:before="240" w:line="480" w:lineRule="auto"/>
        <w:jc w:val="both"/>
        <w:rPr>
          <w:rFonts w:cs="Arial"/>
          <w:color w:val="FF0000"/>
        </w:rPr>
      </w:pPr>
      <w:r w:rsidRPr="007916DE">
        <w:rPr>
          <w:rFonts w:cs="Arial"/>
        </w:rPr>
        <w:t xml:space="preserve">Based on recommended guidelines students were classified as having low red cell indices if they had a mean cell volume (MCV) &lt;80fl and/or a mean cell </w:t>
      </w:r>
      <w:r w:rsidR="00C77442">
        <w:rPr>
          <w:rFonts w:cs="Arial"/>
        </w:rPr>
        <w:t>hemoglobin</w:t>
      </w:r>
      <w:r w:rsidRPr="007916DE">
        <w:rPr>
          <w:rFonts w:cs="Arial"/>
        </w:rPr>
        <w:t xml:space="preserve"> (MCH)</w:t>
      </w:r>
      <w:r w:rsidR="00A05C2C">
        <w:rPr>
          <w:rFonts w:cs="Arial"/>
        </w:rPr>
        <w:t xml:space="preserve"> </w:t>
      </w:r>
      <w:r w:rsidRPr="007916DE">
        <w:rPr>
          <w:rFonts w:cs="Arial"/>
        </w:rPr>
        <w:t xml:space="preserve">&lt;27 pg, </w:t>
      </w:r>
      <w:r w:rsidR="003B077B">
        <w:rPr>
          <w:rFonts w:cs="Arial"/>
        </w:rPr>
        <w:t>[10,11,12]</w:t>
      </w:r>
      <w:r w:rsidRPr="007916DE">
        <w:rPr>
          <w:rFonts w:cs="Arial"/>
        </w:rPr>
        <w:t xml:space="preserve">. </w:t>
      </w:r>
      <w:r w:rsidR="008610A9" w:rsidRPr="007916DE">
        <w:rPr>
          <w:rFonts w:cs="Arial"/>
        </w:rPr>
        <w:t>For the present study</w:t>
      </w:r>
      <w:r w:rsidR="00A05C2C">
        <w:rPr>
          <w:rFonts w:cs="Arial"/>
        </w:rPr>
        <w:t>,</w:t>
      </w:r>
      <w:r w:rsidR="008610A9" w:rsidRPr="007916DE">
        <w:rPr>
          <w:rFonts w:cs="Arial"/>
        </w:rPr>
        <w:t xml:space="preserve"> sufficient DNA was available</w:t>
      </w:r>
      <w:r w:rsidR="001D1D70" w:rsidRPr="007916DE">
        <w:rPr>
          <w:rFonts w:cs="Arial"/>
        </w:rPr>
        <w:t xml:space="preserve"> for the determination of H63D genotype</w:t>
      </w:r>
      <w:r w:rsidR="001638AA" w:rsidRPr="007916DE">
        <w:rPr>
          <w:rFonts w:cs="Arial"/>
        </w:rPr>
        <w:t xml:space="preserve"> in 1313/1705 (77.0</w:t>
      </w:r>
      <w:r w:rsidR="008610A9" w:rsidRPr="007916DE">
        <w:rPr>
          <w:rFonts w:cs="Arial"/>
        </w:rPr>
        <w:t>%) students</w:t>
      </w:r>
      <w:r w:rsidR="001D1D70" w:rsidRPr="007916DE">
        <w:rPr>
          <w:rFonts w:cs="Arial"/>
        </w:rPr>
        <w:t xml:space="preserve"> in whom iron biomarkers had been measured</w:t>
      </w:r>
      <w:r w:rsidR="008610A9" w:rsidRPr="007916DE">
        <w:rPr>
          <w:rFonts w:cs="Arial"/>
        </w:rPr>
        <w:t>;</w:t>
      </w:r>
      <w:r w:rsidR="00E3493E" w:rsidRPr="007916DE">
        <w:rPr>
          <w:rFonts w:cs="Arial"/>
        </w:rPr>
        <w:t xml:space="preserve"> 863 from the low red cell indices group, (including </w:t>
      </w:r>
      <w:r w:rsidR="00E3493E" w:rsidRPr="007916DE">
        <w:rPr>
          <w:rFonts w:cs="Arial"/>
        </w:rPr>
        <w:lastRenderedPageBreak/>
        <w:t xml:space="preserve">those with a </w:t>
      </w:r>
      <w:r w:rsidR="00C77442">
        <w:rPr>
          <w:rFonts w:cs="Arial"/>
        </w:rPr>
        <w:t>hemoglobin</w:t>
      </w:r>
      <w:r w:rsidR="00E3493E" w:rsidRPr="007916DE">
        <w:rPr>
          <w:rFonts w:cs="Arial"/>
        </w:rPr>
        <w:t>opathy trait) and 450 from the</w:t>
      </w:r>
      <w:r w:rsidR="008610A9" w:rsidRPr="007916DE">
        <w:rPr>
          <w:rFonts w:cs="Arial"/>
        </w:rPr>
        <w:t xml:space="preserve"> normal red cell indices groups</w:t>
      </w:r>
      <w:r w:rsidR="00E3493E" w:rsidRPr="007916DE">
        <w:rPr>
          <w:rFonts w:cs="Arial"/>
        </w:rPr>
        <w:t xml:space="preserve">. </w:t>
      </w:r>
    </w:p>
    <w:p w14:paraId="1AAC3C5C" w14:textId="01726937" w:rsidR="00A906FD" w:rsidRPr="007916DE" w:rsidRDefault="00F13329" w:rsidP="00F13329">
      <w:pPr>
        <w:spacing w:before="240" w:line="480" w:lineRule="auto"/>
        <w:jc w:val="both"/>
        <w:rPr>
          <w:rFonts w:cs="Arial"/>
        </w:rPr>
      </w:pPr>
      <w:r>
        <w:rPr>
          <w:rFonts w:cs="Arial"/>
        </w:rPr>
        <w:t xml:space="preserve">The </w:t>
      </w:r>
      <w:r w:rsidR="00E3493E" w:rsidRPr="007916DE">
        <w:rPr>
          <w:rFonts w:cs="Arial"/>
        </w:rPr>
        <w:t>study and the consent procedures were approved by the E</w:t>
      </w:r>
      <w:r w:rsidR="005A5E77">
        <w:rPr>
          <w:rFonts w:cs="Arial"/>
        </w:rPr>
        <w:t>thic</w:t>
      </w:r>
      <w:r w:rsidR="00C77442">
        <w:rPr>
          <w:rFonts w:cs="Arial"/>
        </w:rPr>
        <w:t>s</w:t>
      </w:r>
      <w:r w:rsidR="005A5E77">
        <w:rPr>
          <w:rFonts w:cs="Arial"/>
        </w:rPr>
        <w:t xml:space="preserve"> Committee, University of </w:t>
      </w:r>
      <w:r w:rsidR="00E3493E" w:rsidRPr="007916DE">
        <w:rPr>
          <w:rFonts w:cs="Arial"/>
        </w:rPr>
        <w:t xml:space="preserve">Kelaniya, Sri Lanka and Oxford University Tropical Research </w:t>
      </w:r>
      <w:r w:rsidR="00F57D72">
        <w:rPr>
          <w:rFonts w:cs="Arial"/>
        </w:rPr>
        <w:t xml:space="preserve">Ethics </w:t>
      </w:r>
      <w:r w:rsidR="00E3493E" w:rsidRPr="007916DE">
        <w:rPr>
          <w:rFonts w:cs="Arial"/>
        </w:rPr>
        <w:t xml:space="preserve">Committee, Oxford, UK. </w:t>
      </w:r>
    </w:p>
    <w:p w14:paraId="2A4101FC" w14:textId="77777777" w:rsidR="00E3493E" w:rsidRPr="007916DE" w:rsidRDefault="00E3493E" w:rsidP="001B45F1">
      <w:pPr>
        <w:spacing w:before="240" w:line="480" w:lineRule="auto"/>
        <w:jc w:val="both"/>
        <w:rPr>
          <w:rFonts w:cs="Arial"/>
          <w:b/>
        </w:rPr>
      </w:pPr>
      <w:r w:rsidRPr="007916DE">
        <w:rPr>
          <w:rFonts w:cs="Arial"/>
          <w:b/>
        </w:rPr>
        <w:t>Laboratory methods</w:t>
      </w:r>
    </w:p>
    <w:p w14:paraId="1AF5D945" w14:textId="67A3D079" w:rsidR="00E3493E" w:rsidRPr="007916DE" w:rsidRDefault="00E3493E" w:rsidP="00F13329">
      <w:pPr>
        <w:spacing w:before="240" w:line="480" w:lineRule="auto"/>
        <w:jc w:val="both"/>
        <w:rPr>
          <w:rFonts w:cs="Arial"/>
        </w:rPr>
      </w:pPr>
      <w:r w:rsidRPr="007916DE">
        <w:rPr>
          <w:rFonts w:cs="Arial"/>
        </w:rPr>
        <w:t>Five m</w:t>
      </w:r>
      <w:r w:rsidR="00041A18">
        <w:rPr>
          <w:rFonts w:cs="Arial"/>
        </w:rPr>
        <w:t>illiliters</w:t>
      </w:r>
      <w:r w:rsidRPr="007916DE">
        <w:rPr>
          <w:rFonts w:cs="Arial"/>
        </w:rPr>
        <w:t xml:space="preserve"> venous blood was collected and transferred into an EDTA and a plain tube for each participant. The EDTA sample was used for the measurement of red cell indices, </w:t>
      </w:r>
      <w:r w:rsidR="00C77442">
        <w:rPr>
          <w:rFonts w:cs="Arial"/>
        </w:rPr>
        <w:t>hemoglobin</w:t>
      </w:r>
      <w:r w:rsidRPr="007916DE">
        <w:rPr>
          <w:rFonts w:cs="Arial"/>
        </w:rPr>
        <w:t xml:space="preserve"> variants and </w:t>
      </w:r>
      <w:r w:rsidR="00F57D72">
        <w:rPr>
          <w:rFonts w:cs="Arial"/>
        </w:rPr>
        <w:t>z</w:t>
      </w:r>
      <w:r w:rsidRPr="007916DE">
        <w:rPr>
          <w:rFonts w:cs="Arial"/>
        </w:rPr>
        <w:t xml:space="preserve">inc </w:t>
      </w:r>
      <w:r w:rsidR="00F57D72">
        <w:rPr>
          <w:rFonts w:cs="Arial"/>
        </w:rPr>
        <w:t>p</w:t>
      </w:r>
      <w:r w:rsidRPr="007916DE">
        <w:rPr>
          <w:rFonts w:cs="Arial"/>
        </w:rPr>
        <w:t xml:space="preserve">rotoporphyrin (ZPP). DNA was extracted from the buffy coat. </w:t>
      </w:r>
    </w:p>
    <w:p w14:paraId="649CF2CC" w14:textId="77777777" w:rsidR="00E3493E" w:rsidRPr="007916DE" w:rsidRDefault="00E3493E" w:rsidP="001B45F1">
      <w:pPr>
        <w:spacing w:before="240" w:line="480" w:lineRule="auto"/>
        <w:jc w:val="both"/>
        <w:rPr>
          <w:rFonts w:cs="Arial"/>
        </w:rPr>
      </w:pPr>
      <w:r w:rsidRPr="007916DE">
        <w:rPr>
          <w:rFonts w:cs="Arial"/>
        </w:rPr>
        <w:t>The blood sample in the plain tube was allowed to clot, centrifuged and the serum removed and used for the measurement of iron biomarkers.</w:t>
      </w:r>
    </w:p>
    <w:p w14:paraId="741B67EE" w14:textId="1E59E0F8" w:rsidR="00E3493E" w:rsidRPr="007916DE" w:rsidRDefault="00E3493E" w:rsidP="001B45F1">
      <w:pPr>
        <w:spacing w:before="240" w:line="480" w:lineRule="auto"/>
        <w:jc w:val="both"/>
        <w:rPr>
          <w:rFonts w:cs="Arial"/>
        </w:rPr>
      </w:pPr>
      <w:r w:rsidRPr="007916DE">
        <w:rPr>
          <w:rFonts w:cs="Arial"/>
        </w:rPr>
        <w:t xml:space="preserve">Details of the laboratory methods used for the measurement of hematological indices, </w:t>
      </w:r>
      <w:r w:rsidR="00C77442">
        <w:rPr>
          <w:rFonts w:cs="Arial"/>
        </w:rPr>
        <w:t>hemoglobin</w:t>
      </w:r>
      <w:r w:rsidRPr="007916DE">
        <w:rPr>
          <w:rFonts w:cs="Arial"/>
        </w:rPr>
        <w:t xml:space="preserve"> variant detection, DNA extraction, serum </w:t>
      </w:r>
      <w:r w:rsidR="00CB5F7E" w:rsidRPr="007916DE">
        <w:rPr>
          <w:rFonts w:cs="Arial"/>
        </w:rPr>
        <w:t xml:space="preserve">iron, </w:t>
      </w:r>
      <w:r w:rsidRPr="007916DE">
        <w:rPr>
          <w:rFonts w:cs="Arial"/>
        </w:rPr>
        <w:t>ferritin, transferrin receptor and hepcidin have been published previously</w:t>
      </w:r>
      <w:r w:rsidR="005A5E77">
        <w:rPr>
          <w:rFonts w:cs="Arial"/>
        </w:rPr>
        <w:t xml:space="preserve"> </w:t>
      </w:r>
      <w:r w:rsidR="003B077B">
        <w:rPr>
          <w:rFonts w:cs="Arial"/>
        </w:rPr>
        <w:t>[6,7,8,9]</w:t>
      </w:r>
      <w:r w:rsidRPr="007916DE">
        <w:rPr>
          <w:rFonts w:cs="Arial"/>
        </w:rPr>
        <w:t xml:space="preserve">. </w:t>
      </w:r>
    </w:p>
    <w:p w14:paraId="5A6EFDE9" w14:textId="7918517F" w:rsidR="00E3493E" w:rsidRPr="007916DE" w:rsidRDefault="00E3493E" w:rsidP="001B45F1">
      <w:pPr>
        <w:spacing w:before="240" w:line="480" w:lineRule="auto"/>
        <w:jc w:val="both"/>
        <w:rPr>
          <w:rFonts w:cs="Arial"/>
        </w:rPr>
      </w:pPr>
      <w:r w:rsidRPr="007916DE">
        <w:rPr>
          <w:rFonts w:cs="Arial"/>
        </w:rPr>
        <w:t>ZPP was measured in whole blood using the Protofluor reagent system and a front-faced hematofluorimeter (Helena BioSciences, South Shields, UK). Serum iron was measured using a manual colorimetric assay (SI 257, Randox laboratories, County Antrim, UK). H63D genotype was determined by polymerase chain reaction (</w:t>
      </w:r>
      <w:r w:rsidR="003465E4" w:rsidRPr="007916DE">
        <w:rPr>
          <w:rFonts w:cs="Arial"/>
        </w:rPr>
        <w:t>PCR</w:t>
      </w:r>
      <w:r w:rsidRPr="007916DE">
        <w:rPr>
          <w:rFonts w:cs="Arial"/>
        </w:rPr>
        <w:t xml:space="preserve">) followed by restriction digest of the </w:t>
      </w:r>
      <w:r w:rsidR="003465E4" w:rsidRPr="007916DE">
        <w:rPr>
          <w:rFonts w:cs="Arial"/>
        </w:rPr>
        <w:t xml:space="preserve">PCR </w:t>
      </w:r>
      <w:r w:rsidRPr="007916DE">
        <w:rPr>
          <w:rFonts w:cs="Arial"/>
        </w:rPr>
        <w:t>product with Mbo</w:t>
      </w:r>
      <w:r w:rsidR="006D2213" w:rsidRPr="007916DE">
        <w:rPr>
          <w:rFonts w:cs="Arial"/>
        </w:rPr>
        <w:t xml:space="preserve">1 (New England BioLabs,UK), </w:t>
      </w:r>
      <w:r w:rsidR="003B077B">
        <w:rPr>
          <w:rFonts w:cs="Arial"/>
        </w:rPr>
        <w:t>[13]</w:t>
      </w:r>
      <w:r w:rsidRPr="007916DE">
        <w:rPr>
          <w:rFonts w:cs="Arial"/>
        </w:rPr>
        <w:t>.</w:t>
      </w:r>
    </w:p>
    <w:p w14:paraId="6F0FB593" w14:textId="416A7FF1" w:rsidR="00E3493E" w:rsidRPr="007916DE" w:rsidRDefault="00E3493E" w:rsidP="001B45F1">
      <w:pPr>
        <w:spacing w:before="240" w:line="480" w:lineRule="auto"/>
        <w:jc w:val="both"/>
        <w:rPr>
          <w:rFonts w:cs="Arial"/>
        </w:rPr>
      </w:pPr>
      <w:r w:rsidRPr="007916DE">
        <w:rPr>
          <w:rFonts w:cs="Arial"/>
        </w:rPr>
        <w:lastRenderedPageBreak/>
        <w:t>All serum samples were tested in duplicate for each of the biomarker assays. The following cut offs were used as determinants of iron defic</w:t>
      </w:r>
      <w:r w:rsidR="006D2213" w:rsidRPr="007916DE">
        <w:rPr>
          <w:rFonts w:cs="Arial"/>
        </w:rPr>
        <w:t xml:space="preserve">iency: ferritin of &lt;15ng/ml </w:t>
      </w:r>
      <w:r w:rsidR="003B077B">
        <w:rPr>
          <w:rFonts w:cs="Arial"/>
        </w:rPr>
        <w:t>[14]</w:t>
      </w:r>
      <w:r w:rsidR="005A5E77">
        <w:rPr>
          <w:rFonts w:cs="Arial"/>
        </w:rPr>
        <w:t>,</w:t>
      </w:r>
      <w:r w:rsidRPr="007916DE">
        <w:rPr>
          <w:rFonts w:cs="Arial"/>
        </w:rPr>
        <w:t xml:space="preserve"> transferrin receptor &gt;28.1nmol/l; serum iron &lt;10.6μmol/l in males and &lt;6.6 μmol/l in females; ZPP &gt;70 μmol/mol heme (in accordance with each manufacturer’s kit </w:t>
      </w:r>
      <w:r w:rsidR="006D2213" w:rsidRPr="007916DE">
        <w:rPr>
          <w:rFonts w:cs="Arial"/>
        </w:rPr>
        <w:t xml:space="preserve">insert); hepcidin &lt;3.2ng/ml </w:t>
      </w:r>
      <w:r w:rsidR="003B077B">
        <w:rPr>
          <w:rFonts w:cs="Arial"/>
        </w:rPr>
        <w:t>[9]</w:t>
      </w:r>
      <w:r w:rsidRPr="007916DE">
        <w:rPr>
          <w:rFonts w:cs="Arial"/>
        </w:rPr>
        <w:t>.</w:t>
      </w:r>
    </w:p>
    <w:p w14:paraId="50D584B7" w14:textId="77777777" w:rsidR="00E3493E" w:rsidRPr="007916DE" w:rsidRDefault="00E3493E" w:rsidP="001B45F1">
      <w:pPr>
        <w:spacing w:before="240" w:line="480" w:lineRule="auto"/>
        <w:jc w:val="both"/>
        <w:rPr>
          <w:rFonts w:cs="Arial"/>
          <w:b/>
        </w:rPr>
      </w:pPr>
      <w:r w:rsidRPr="007916DE">
        <w:rPr>
          <w:rFonts w:cs="Arial"/>
          <w:b/>
        </w:rPr>
        <w:t>Statistical methods</w:t>
      </w:r>
    </w:p>
    <w:p w14:paraId="2A513AEC" w14:textId="7880FDB2" w:rsidR="00E3493E" w:rsidRPr="007916DE" w:rsidRDefault="00E3493E" w:rsidP="001B45F1">
      <w:pPr>
        <w:spacing w:before="240" w:line="480" w:lineRule="auto"/>
        <w:jc w:val="both"/>
        <w:rPr>
          <w:rFonts w:cs="Arial"/>
        </w:rPr>
      </w:pPr>
      <w:r w:rsidRPr="007916DE">
        <w:rPr>
          <w:rFonts w:cs="Arial"/>
        </w:rPr>
        <w:t>Categorical variables were summarized using counts and percentages and compared using the Chi-squared test. Continuous variables tended to have skewed distributions; they were described using median and interquartile range and compared using the Mann-Whitney U test. Statistical analysis was 2-sided and significant at the 0.05 level. All data analysis was performed using SPSS</w:t>
      </w:r>
      <w:r w:rsidR="00572BE3" w:rsidRPr="007916DE">
        <w:rPr>
          <w:rFonts w:cs="Arial"/>
        </w:rPr>
        <w:t xml:space="preserve"> statistical software version 25</w:t>
      </w:r>
      <w:r w:rsidRPr="007916DE">
        <w:rPr>
          <w:rFonts w:cs="Arial"/>
        </w:rPr>
        <w:t>.</w:t>
      </w:r>
    </w:p>
    <w:p w14:paraId="170B3063" w14:textId="1AD112CD" w:rsidR="00E3493E" w:rsidRPr="007916DE" w:rsidRDefault="00E3493E" w:rsidP="001B45F1">
      <w:pPr>
        <w:spacing w:before="240" w:line="480" w:lineRule="auto"/>
        <w:jc w:val="both"/>
        <w:rPr>
          <w:rFonts w:cs="Arial"/>
          <w:b/>
        </w:rPr>
      </w:pPr>
      <w:r w:rsidRPr="007916DE">
        <w:rPr>
          <w:rFonts w:cs="Arial"/>
          <w:b/>
        </w:rPr>
        <w:t>RESULTS</w:t>
      </w:r>
    </w:p>
    <w:p w14:paraId="1DFC31EB" w14:textId="0B732F75" w:rsidR="00D67C70" w:rsidRPr="007916DE" w:rsidRDefault="00F8141A" w:rsidP="001B45F1">
      <w:pPr>
        <w:spacing w:before="240" w:line="480" w:lineRule="auto"/>
        <w:jc w:val="both"/>
        <w:rPr>
          <w:rFonts w:cs="Arial"/>
        </w:rPr>
      </w:pPr>
      <w:r w:rsidRPr="007916DE">
        <w:rPr>
          <w:rFonts w:cs="Arial"/>
        </w:rPr>
        <w:t xml:space="preserve">The flow diagram for the study is shown in Fig 1. </w:t>
      </w:r>
      <w:r w:rsidR="0085685A" w:rsidRPr="007916DE">
        <w:rPr>
          <w:rFonts w:cs="Arial"/>
        </w:rPr>
        <w:t>Overall, the frequency of the H63D variant was 185/1313 (14.1 %)</w:t>
      </w:r>
      <w:r w:rsidR="0062178A">
        <w:rPr>
          <w:rFonts w:cs="Arial"/>
        </w:rPr>
        <w:t xml:space="preserve"> and its </w:t>
      </w:r>
      <w:r w:rsidR="0085685A" w:rsidRPr="007916DE">
        <w:rPr>
          <w:rFonts w:cs="Arial"/>
        </w:rPr>
        <w:t xml:space="preserve">frequency was similar according to sex and ethnic group (table 1). </w:t>
      </w:r>
      <w:r w:rsidR="00D67C70" w:rsidRPr="007916DE">
        <w:rPr>
          <w:rFonts w:cs="Arial"/>
        </w:rPr>
        <w:t xml:space="preserve">The H63D variant was present in 42/301 (14.0%) students with a </w:t>
      </w:r>
      <w:r w:rsidR="00C77442">
        <w:rPr>
          <w:rFonts w:cs="Arial"/>
        </w:rPr>
        <w:t>hemoglobin</w:t>
      </w:r>
      <w:r w:rsidR="00D67C70" w:rsidRPr="007916DE">
        <w:rPr>
          <w:rFonts w:cs="Arial"/>
        </w:rPr>
        <w:t xml:space="preserve">opathy trait and 133/961 (13.8%) without a </w:t>
      </w:r>
      <w:r w:rsidR="00C77442">
        <w:rPr>
          <w:rFonts w:cs="Arial"/>
        </w:rPr>
        <w:t>hemoglobin</w:t>
      </w:r>
      <w:r w:rsidR="00D67C70" w:rsidRPr="007916DE">
        <w:rPr>
          <w:rFonts w:cs="Arial"/>
        </w:rPr>
        <w:t xml:space="preserve">opathy trait (P=1.0). </w:t>
      </w:r>
      <w:r w:rsidR="00CB47AE">
        <w:rPr>
          <w:rFonts w:cs="Arial"/>
        </w:rPr>
        <w:t>Hemoglobin</w:t>
      </w:r>
      <w:r w:rsidR="00D67C70" w:rsidRPr="007916DE">
        <w:rPr>
          <w:rFonts w:cs="Arial"/>
        </w:rPr>
        <w:t xml:space="preserve"> genotype was not available for 51 students.</w:t>
      </w:r>
    </w:p>
    <w:p w14:paraId="0BBED061" w14:textId="17180856" w:rsidR="00E3493E" w:rsidRDefault="00AA20A7" w:rsidP="001B45F1">
      <w:pPr>
        <w:spacing w:before="240" w:line="480" w:lineRule="auto"/>
        <w:jc w:val="both"/>
        <w:rPr>
          <w:rFonts w:cs="Arial"/>
        </w:rPr>
      </w:pPr>
      <w:r w:rsidRPr="007916DE">
        <w:rPr>
          <w:rFonts w:cs="Arial"/>
        </w:rPr>
        <w:t xml:space="preserve">Since red cell indices and hepcidin levels may be lower, and transferrin receptor and ZPP levels may be higher in individuals who have </w:t>
      </w:r>
      <w:r w:rsidR="00C77442">
        <w:rPr>
          <w:rFonts w:cs="Arial"/>
        </w:rPr>
        <w:t>hemoglobin</w:t>
      </w:r>
      <w:r w:rsidRPr="007916DE">
        <w:rPr>
          <w:rFonts w:cs="Arial"/>
        </w:rPr>
        <w:t>opathy traits</w:t>
      </w:r>
      <w:r w:rsidR="00E51755">
        <w:rPr>
          <w:rFonts w:cs="Arial"/>
        </w:rPr>
        <w:t xml:space="preserve"> </w:t>
      </w:r>
      <w:r w:rsidRPr="007916DE">
        <w:rPr>
          <w:rFonts w:cs="Arial"/>
        </w:rPr>
        <w:t>irrespective of iron status</w:t>
      </w:r>
      <w:r w:rsidR="005A5E77">
        <w:rPr>
          <w:rFonts w:cs="Arial"/>
        </w:rPr>
        <w:t xml:space="preserve"> [15,16,17</w:t>
      </w:r>
      <w:r w:rsidR="00605A64">
        <w:rPr>
          <w:rFonts w:cs="Arial"/>
        </w:rPr>
        <w:t>],</w:t>
      </w:r>
      <w:r w:rsidR="00580A1E">
        <w:rPr>
          <w:rFonts w:cs="Arial"/>
        </w:rPr>
        <w:t xml:space="preserve"> </w:t>
      </w:r>
      <w:r w:rsidR="00605A64">
        <w:rPr>
          <w:rFonts w:cs="Arial"/>
        </w:rPr>
        <w:t xml:space="preserve">we confined our analysis to </w:t>
      </w:r>
      <w:r w:rsidRPr="007916DE">
        <w:rPr>
          <w:rFonts w:cs="Arial"/>
        </w:rPr>
        <w:t xml:space="preserve">961 students with a normal </w:t>
      </w:r>
      <w:r w:rsidR="00C77442">
        <w:rPr>
          <w:rFonts w:cs="Arial"/>
        </w:rPr>
        <w:t>hemoglobin</w:t>
      </w:r>
      <w:r w:rsidRPr="007916DE">
        <w:rPr>
          <w:rFonts w:cs="Arial"/>
        </w:rPr>
        <w:t xml:space="preserve"> genotype (Fig 1)</w:t>
      </w:r>
      <w:r w:rsidR="00BD1116">
        <w:rPr>
          <w:rFonts w:cs="Arial"/>
        </w:rPr>
        <w:t xml:space="preserve">, </w:t>
      </w:r>
      <w:r w:rsidR="00605A64">
        <w:rPr>
          <w:rFonts w:cs="Arial"/>
        </w:rPr>
        <w:t>H</w:t>
      </w:r>
      <w:r w:rsidR="00E3493E" w:rsidRPr="007916DE">
        <w:rPr>
          <w:rFonts w:cs="Arial"/>
        </w:rPr>
        <w:t xml:space="preserve">etero- </w:t>
      </w:r>
      <w:r w:rsidR="00BD1116">
        <w:rPr>
          <w:rFonts w:cs="Arial"/>
        </w:rPr>
        <w:t>and/</w:t>
      </w:r>
      <w:r w:rsidR="00E3493E" w:rsidRPr="007916DE">
        <w:rPr>
          <w:rFonts w:cs="Arial"/>
        </w:rPr>
        <w:t xml:space="preserve">or homozygosity for the H63D </w:t>
      </w:r>
      <w:r w:rsidR="003465E4" w:rsidRPr="007916DE">
        <w:rPr>
          <w:rFonts w:cs="Arial"/>
        </w:rPr>
        <w:t xml:space="preserve">variant </w:t>
      </w:r>
      <w:r w:rsidR="00E3493E" w:rsidRPr="007916DE">
        <w:rPr>
          <w:rFonts w:cs="Arial"/>
        </w:rPr>
        <w:t xml:space="preserve">were significantly more common in students with normal than in those with </w:t>
      </w:r>
      <w:r w:rsidR="00E3493E" w:rsidRPr="007916DE">
        <w:rPr>
          <w:rFonts w:cs="Arial"/>
        </w:rPr>
        <w:lastRenderedPageBreak/>
        <w:t>low red cell indices</w:t>
      </w:r>
      <w:r w:rsidR="00517442">
        <w:rPr>
          <w:rFonts w:cs="Arial"/>
        </w:rPr>
        <w:t>:</w:t>
      </w:r>
      <w:r w:rsidR="00E3493E" w:rsidRPr="007916DE">
        <w:rPr>
          <w:rFonts w:cs="Arial"/>
        </w:rPr>
        <w:t xml:space="preserve"> 69/421 (16.4%) and 64/540 (11.9%) respectively; (p=0.019; Table 1). Red cell indices and biomarkers of iron status according to H63D genotype are shown in table 2. </w:t>
      </w:r>
      <w:r w:rsidR="005F0E25" w:rsidRPr="007916DE">
        <w:rPr>
          <w:rFonts w:cs="Arial"/>
        </w:rPr>
        <w:t>MCV was statistically significantly greater in students</w:t>
      </w:r>
      <w:r w:rsidR="00E3493E" w:rsidRPr="007916DE">
        <w:rPr>
          <w:rFonts w:cs="Arial"/>
        </w:rPr>
        <w:t xml:space="preserve"> with the H63D </w:t>
      </w:r>
      <w:r w:rsidR="003465E4" w:rsidRPr="007916DE">
        <w:rPr>
          <w:rFonts w:cs="Arial"/>
        </w:rPr>
        <w:t xml:space="preserve">variant </w:t>
      </w:r>
      <w:r w:rsidR="00692204" w:rsidRPr="007916DE">
        <w:rPr>
          <w:rFonts w:cs="Arial"/>
        </w:rPr>
        <w:t>than in those with a normal HFE genotype</w:t>
      </w:r>
      <w:r w:rsidR="00E3493E" w:rsidRPr="007916DE">
        <w:rPr>
          <w:rFonts w:cs="Arial"/>
        </w:rPr>
        <w:t xml:space="preserve"> (P=0.046).  </w:t>
      </w:r>
      <w:r w:rsidR="00CB5F7E" w:rsidRPr="007916DE">
        <w:rPr>
          <w:rFonts w:cs="Arial"/>
        </w:rPr>
        <w:t>S</w:t>
      </w:r>
      <w:r w:rsidR="00E3493E" w:rsidRPr="007916DE">
        <w:rPr>
          <w:rFonts w:cs="Arial"/>
        </w:rPr>
        <w:t xml:space="preserve">erum iron concentrations were also higher, and ZPP and hepcidin concentrations were lower in students with the H63D </w:t>
      </w:r>
      <w:r w:rsidR="003465E4" w:rsidRPr="007916DE">
        <w:rPr>
          <w:rFonts w:cs="Arial"/>
        </w:rPr>
        <w:t xml:space="preserve">variant </w:t>
      </w:r>
      <w:r w:rsidR="00E3493E" w:rsidRPr="007916DE">
        <w:rPr>
          <w:rFonts w:cs="Arial"/>
        </w:rPr>
        <w:t xml:space="preserve">than those without, </w:t>
      </w:r>
      <w:r w:rsidR="00692204" w:rsidRPr="007916DE">
        <w:rPr>
          <w:rFonts w:cs="Arial"/>
        </w:rPr>
        <w:t>but</w:t>
      </w:r>
      <w:r w:rsidR="005F0E25" w:rsidRPr="007916DE">
        <w:rPr>
          <w:rFonts w:cs="Arial"/>
        </w:rPr>
        <w:t xml:space="preserve"> these differences</w:t>
      </w:r>
      <w:r w:rsidR="00E3493E" w:rsidRPr="007916DE">
        <w:rPr>
          <w:rFonts w:cs="Arial"/>
        </w:rPr>
        <w:t xml:space="preserve"> did not reach statistical significance</w:t>
      </w:r>
      <w:r w:rsidR="00C248C0">
        <w:rPr>
          <w:rFonts w:cs="Arial"/>
        </w:rPr>
        <w:t xml:space="preserve"> (Fig 2)</w:t>
      </w:r>
      <w:r w:rsidR="00E3493E" w:rsidRPr="007916DE">
        <w:rPr>
          <w:rFonts w:cs="Arial"/>
        </w:rPr>
        <w:t xml:space="preserve">. Although there was no </w:t>
      </w:r>
      <w:r w:rsidR="00F60BE8">
        <w:rPr>
          <w:rFonts w:cs="Arial"/>
        </w:rPr>
        <w:t xml:space="preserve">statistically </w:t>
      </w:r>
      <w:r w:rsidR="00E3493E" w:rsidRPr="007916DE">
        <w:rPr>
          <w:rFonts w:cs="Arial"/>
        </w:rPr>
        <w:t xml:space="preserve">significant difference in serum ferritin </w:t>
      </w:r>
      <w:r w:rsidR="00F60BE8">
        <w:rPr>
          <w:rFonts w:cs="Arial"/>
        </w:rPr>
        <w:t xml:space="preserve">concentration </w:t>
      </w:r>
      <w:r w:rsidR="00E3493E" w:rsidRPr="007916DE">
        <w:rPr>
          <w:rFonts w:cs="Arial"/>
        </w:rPr>
        <w:t xml:space="preserve">according to H63D genotype, the frequency of the H63D </w:t>
      </w:r>
      <w:r w:rsidR="003465E4" w:rsidRPr="007916DE">
        <w:rPr>
          <w:rFonts w:cs="Arial"/>
        </w:rPr>
        <w:t xml:space="preserve">variant </w:t>
      </w:r>
      <w:r w:rsidR="00E3493E" w:rsidRPr="007916DE">
        <w:rPr>
          <w:rFonts w:cs="Arial"/>
        </w:rPr>
        <w:t xml:space="preserve">was significantly greater in iron replete students </w:t>
      </w:r>
      <w:r w:rsidR="00F60BE8" w:rsidRPr="007916DE">
        <w:rPr>
          <w:rFonts w:cs="Arial"/>
        </w:rPr>
        <w:t xml:space="preserve">(18.7%) </w:t>
      </w:r>
      <w:r w:rsidR="00E3493E" w:rsidRPr="007916DE">
        <w:rPr>
          <w:rFonts w:cs="Arial"/>
        </w:rPr>
        <w:t>than in those with low iron stores (ferritin &lt;15ng/ml</w:t>
      </w:r>
      <w:r w:rsidR="00F60BE8">
        <w:rPr>
          <w:rFonts w:cs="Arial"/>
        </w:rPr>
        <w:t xml:space="preserve">; </w:t>
      </w:r>
      <w:r w:rsidR="00E3493E" w:rsidRPr="007916DE">
        <w:rPr>
          <w:rFonts w:cs="Arial"/>
        </w:rPr>
        <w:t>12.</w:t>
      </w:r>
      <w:r w:rsidR="009B356B">
        <w:rPr>
          <w:rFonts w:cs="Arial"/>
        </w:rPr>
        <w:t>2</w:t>
      </w:r>
      <w:r w:rsidR="00E3493E" w:rsidRPr="007916DE">
        <w:rPr>
          <w:rFonts w:cs="Arial"/>
        </w:rPr>
        <w:t>%; p=0.04</w:t>
      </w:r>
      <w:r w:rsidR="009B356B">
        <w:rPr>
          <w:rFonts w:cs="Arial"/>
        </w:rPr>
        <w:t>1</w:t>
      </w:r>
      <w:r w:rsidR="00E3493E" w:rsidRPr="007916DE">
        <w:rPr>
          <w:rFonts w:cs="Arial"/>
        </w:rPr>
        <w:t>, Table 3).</w:t>
      </w:r>
    </w:p>
    <w:p w14:paraId="1739D535" w14:textId="77777777" w:rsidR="004C4184" w:rsidRPr="007916DE" w:rsidRDefault="004C4184" w:rsidP="004C4184">
      <w:pPr>
        <w:spacing w:before="240" w:line="480" w:lineRule="auto"/>
        <w:jc w:val="both"/>
        <w:rPr>
          <w:rFonts w:cs="Arial"/>
        </w:rPr>
      </w:pPr>
      <w:r>
        <w:rPr>
          <w:rFonts w:cs="Arial"/>
        </w:rPr>
        <w:t>These findings were similar when males and females were analysed separately.</w:t>
      </w:r>
    </w:p>
    <w:p w14:paraId="5A5C0507" w14:textId="77777777" w:rsidR="004C4184" w:rsidRPr="007916DE" w:rsidRDefault="004C4184" w:rsidP="001B45F1">
      <w:pPr>
        <w:spacing w:before="240" w:line="480" w:lineRule="auto"/>
        <w:jc w:val="both"/>
        <w:rPr>
          <w:rFonts w:cs="Arial"/>
        </w:rPr>
      </w:pPr>
    </w:p>
    <w:p w14:paraId="05F650DB" w14:textId="73153416" w:rsidR="00E3493E" w:rsidRPr="007916DE" w:rsidRDefault="00E3493E" w:rsidP="001B45F1">
      <w:pPr>
        <w:spacing w:before="240" w:line="480" w:lineRule="auto"/>
        <w:jc w:val="both"/>
        <w:rPr>
          <w:rFonts w:cs="Arial"/>
          <w:b/>
        </w:rPr>
      </w:pPr>
      <w:r w:rsidRPr="007916DE">
        <w:rPr>
          <w:rFonts w:cs="Arial"/>
          <w:b/>
        </w:rPr>
        <w:t>DISCUSSION</w:t>
      </w:r>
    </w:p>
    <w:p w14:paraId="19B930DE" w14:textId="6D3340A4" w:rsidR="00622B22" w:rsidRPr="007916DE" w:rsidRDefault="00E3493E" w:rsidP="001B45F1">
      <w:pPr>
        <w:spacing w:before="240" w:line="480" w:lineRule="auto"/>
        <w:jc w:val="both"/>
        <w:rPr>
          <w:rFonts w:cs="Arial"/>
        </w:rPr>
      </w:pPr>
      <w:r w:rsidRPr="007916DE">
        <w:rPr>
          <w:rFonts w:cs="Arial"/>
        </w:rPr>
        <w:t xml:space="preserve">The H63D </w:t>
      </w:r>
      <w:r w:rsidR="003465E4" w:rsidRPr="007916DE">
        <w:rPr>
          <w:rFonts w:cs="Arial"/>
        </w:rPr>
        <w:t xml:space="preserve">variant </w:t>
      </w:r>
      <w:r w:rsidRPr="007916DE">
        <w:rPr>
          <w:rFonts w:cs="Arial"/>
        </w:rPr>
        <w:t>is unusual in that it occurs at reasonably high</w:t>
      </w:r>
      <w:r w:rsidR="00C91E85" w:rsidRPr="007916DE">
        <w:rPr>
          <w:rFonts w:cs="Arial"/>
        </w:rPr>
        <w:t xml:space="preserve"> frequenc</w:t>
      </w:r>
      <w:r w:rsidR="00F937A0">
        <w:rPr>
          <w:rFonts w:cs="Arial"/>
        </w:rPr>
        <w:t>ies</w:t>
      </w:r>
      <w:r w:rsidRPr="007916DE">
        <w:rPr>
          <w:rFonts w:cs="Arial"/>
        </w:rPr>
        <w:t xml:space="preserve"> in </w:t>
      </w:r>
      <w:r w:rsidR="00F10B3A" w:rsidRPr="007916DE">
        <w:rPr>
          <w:rFonts w:cs="Arial"/>
        </w:rPr>
        <w:t>many</w:t>
      </w:r>
      <w:r w:rsidRPr="007916DE">
        <w:rPr>
          <w:rFonts w:cs="Arial"/>
        </w:rPr>
        <w:t xml:space="preserve"> countries </w:t>
      </w:r>
      <w:r w:rsidR="00CB5F7E" w:rsidRPr="007916DE">
        <w:rPr>
          <w:rFonts w:cs="Arial"/>
        </w:rPr>
        <w:t>throughout</w:t>
      </w:r>
      <w:r w:rsidR="00B311F8" w:rsidRPr="007916DE">
        <w:rPr>
          <w:rFonts w:cs="Arial"/>
        </w:rPr>
        <w:t xml:space="preserve"> the world</w:t>
      </w:r>
      <w:r w:rsidR="00014258" w:rsidRPr="007916DE">
        <w:rPr>
          <w:rFonts w:cs="Arial"/>
        </w:rPr>
        <w:t xml:space="preserve"> including non-malarious regions</w:t>
      </w:r>
      <w:r w:rsidR="00B311F8" w:rsidRPr="007916DE">
        <w:rPr>
          <w:rFonts w:cs="Arial"/>
        </w:rPr>
        <w:t xml:space="preserve">. </w:t>
      </w:r>
      <w:r w:rsidRPr="007916DE">
        <w:rPr>
          <w:rFonts w:cs="Arial"/>
        </w:rPr>
        <w:t xml:space="preserve">This is </w:t>
      </w:r>
      <w:r w:rsidR="00CB5F7E" w:rsidRPr="007916DE">
        <w:rPr>
          <w:rFonts w:cs="Arial"/>
        </w:rPr>
        <w:t>in contrast to</w:t>
      </w:r>
      <w:r w:rsidRPr="007916DE">
        <w:rPr>
          <w:rFonts w:cs="Arial"/>
        </w:rPr>
        <w:t xml:space="preserve"> the</w:t>
      </w:r>
      <w:r w:rsidR="000D6B27" w:rsidRPr="007916DE">
        <w:rPr>
          <w:rFonts w:cs="Arial"/>
        </w:rPr>
        <w:t xml:space="preserve"> inhe</w:t>
      </w:r>
      <w:r w:rsidR="00C91E85" w:rsidRPr="007916DE">
        <w:rPr>
          <w:rFonts w:cs="Arial"/>
        </w:rPr>
        <w:t xml:space="preserve">rited disorders of </w:t>
      </w:r>
      <w:r w:rsidR="00C77442">
        <w:rPr>
          <w:rFonts w:cs="Arial"/>
        </w:rPr>
        <w:t>hemoglobin</w:t>
      </w:r>
      <w:r w:rsidR="00C91E85" w:rsidRPr="007916DE">
        <w:rPr>
          <w:rFonts w:cs="Arial"/>
        </w:rPr>
        <w:t xml:space="preserve">, </w:t>
      </w:r>
      <w:r w:rsidR="000D6B27" w:rsidRPr="007916DE">
        <w:rPr>
          <w:rFonts w:cs="Arial"/>
        </w:rPr>
        <w:t xml:space="preserve">the </w:t>
      </w:r>
      <w:r w:rsidRPr="007916DE">
        <w:rPr>
          <w:rFonts w:cs="Arial"/>
        </w:rPr>
        <w:t>commonest m</w:t>
      </w:r>
      <w:r w:rsidR="00C0160E" w:rsidRPr="007916DE">
        <w:rPr>
          <w:rFonts w:cs="Arial"/>
        </w:rPr>
        <w:t>onogenic diseases</w:t>
      </w:r>
      <w:r w:rsidR="008D025D" w:rsidRPr="007916DE">
        <w:rPr>
          <w:rFonts w:cs="Arial"/>
        </w:rPr>
        <w:t xml:space="preserve"> of man</w:t>
      </w:r>
      <w:r w:rsidRPr="007916DE">
        <w:rPr>
          <w:rFonts w:cs="Arial"/>
        </w:rPr>
        <w:t xml:space="preserve">, which only occur at high frequencies in </w:t>
      </w:r>
      <w:r w:rsidR="000C67C7" w:rsidRPr="007916DE">
        <w:rPr>
          <w:rFonts w:cs="Arial"/>
        </w:rPr>
        <w:t>countries within the tropical belt with past or present malaria</w:t>
      </w:r>
      <w:r w:rsidRPr="007916DE">
        <w:rPr>
          <w:rFonts w:cs="Arial"/>
        </w:rPr>
        <w:t xml:space="preserve">.  Early studies in Sri Lanka suggested that </w:t>
      </w:r>
      <w:r w:rsidR="00C91E85" w:rsidRPr="007916DE">
        <w:rPr>
          <w:rFonts w:cs="Arial"/>
        </w:rPr>
        <w:t xml:space="preserve">the </w:t>
      </w:r>
      <w:r w:rsidRPr="007916DE">
        <w:rPr>
          <w:rFonts w:cs="Arial"/>
        </w:rPr>
        <w:t>H63</w:t>
      </w:r>
      <w:r w:rsidR="00C91E85" w:rsidRPr="007916DE">
        <w:rPr>
          <w:rFonts w:cs="Arial"/>
        </w:rPr>
        <w:t>D</w:t>
      </w:r>
      <w:r w:rsidRPr="007916DE">
        <w:rPr>
          <w:rFonts w:cs="Arial"/>
        </w:rPr>
        <w:t xml:space="preserve"> </w:t>
      </w:r>
      <w:r w:rsidR="00F10B3A" w:rsidRPr="007916DE">
        <w:rPr>
          <w:rFonts w:cs="Arial"/>
        </w:rPr>
        <w:t>var</w:t>
      </w:r>
      <w:r w:rsidR="00C91E85" w:rsidRPr="007916DE">
        <w:rPr>
          <w:rFonts w:cs="Arial"/>
        </w:rPr>
        <w:t>iant</w:t>
      </w:r>
      <w:r w:rsidR="00F10B3A" w:rsidRPr="007916DE">
        <w:rPr>
          <w:rFonts w:cs="Arial"/>
        </w:rPr>
        <w:t xml:space="preserve"> </w:t>
      </w:r>
      <w:r w:rsidRPr="007916DE">
        <w:rPr>
          <w:rFonts w:cs="Arial"/>
        </w:rPr>
        <w:t xml:space="preserve">had arisen independently </w:t>
      </w:r>
      <w:r w:rsidR="00B5725A" w:rsidRPr="007916DE">
        <w:rPr>
          <w:rFonts w:cs="Arial"/>
        </w:rPr>
        <w:t xml:space="preserve">from the European haplotype </w:t>
      </w:r>
      <w:r w:rsidR="00C248C0">
        <w:rPr>
          <w:rFonts w:cs="Arial"/>
        </w:rPr>
        <w:t>suggesting that this variant</w:t>
      </w:r>
      <w:r w:rsidRPr="007916DE">
        <w:rPr>
          <w:rFonts w:cs="Arial"/>
        </w:rPr>
        <w:t xml:space="preserve"> had been the subject of selective pressure.</w:t>
      </w:r>
    </w:p>
    <w:p w14:paraId="5C98C152" w14:textId="625BCD70" w:rsidR="00692204" w:rsidRPr="007916DE" w:rsidRDefault="00E10DA7" w:rsidP="001B45F1">
      <w:pPr>
        <w:spacing w:before="240" w:line="480" w:lineRule="auto"/>
        <w:jc w:val="both"/>
        <w:rPr>
          <w:rFonts w:cs="Arial"/>
        </w:rPr>
      </w:pPr>
      <w:r w:rsidRPr="007916DE">
        <w:rPr>
          <w:rFonts w:cs="Arial"/>
        </w:rPr>
        <w:t xml:space="preserve">Given its occurrence in the </w:t>
      </w:r>
      <w:r w:rsidR="00CB47AE">
        <w:rPr>
          <w:rFonts w:cs="Arial"/>
        </w:rPr>
        <w:t>HFE</w:t>
      </w:r>
      <w:r w:rsidRPr="007916DE">
        <w:rPr>
          <w:rFonts w:cs="Arial"/>
        </w:rPr>
        <w:t xml:space="preserve"> gene, selection fo</w:t>
      </w:r>
      <w:r w:rsidR="001D2667" w:rsidRPr="007916DE">
        <w:rPr>
          <w:rFonts w:cs="Arial"/>
        </w:rPr>
        <w:t>r H63D is likely to be a result</w:t>
      </w:r>
      <w:r w:rsidRPr="007916DE">
        <w:rPr>
          <w:rFonts w:cs="Arial"/>
        </w:rPr>
        <w:t xml:space="preserve"> of protection against iron deficiency. </w:t>
      </w:r>
      <w:r w:rsidR="00692204" w:rsidRPr="007916DE">
        <w:rPr>
          <w:rFonts w:cs="Arial"/>
        </w:rPr>
        <w:t xml:space="preserve">Iron deficiency is common in young children, pregnant women and females of child-bearing age in most countries of the world and </w:t>
      </w:r>
      <w:r w:rsidR="00692204" w:rsidRPr="007916DE">
        <w:rPr>
          <w:rFonts w:cs="Arial"/>
        </w:rPr>
        <w:lastRenderedPageBreak/>
        <w:t xml:space="preserve">is </w:t>
      </w:r>
      <w:r w:rsidR="00622B22" w:rsidRPr="007916DE">
        <w:rPr>
          <w:rFonts w:cs="Arial"/>
        </w:rPr>
        <w:t>a complex condition that occurs</w:t>
      </w:r>
      <w:r w:rsidR="000C67C7" w:rsidRPr="007916DE">
        <w:rPr>
          <w:rFonts w:cs="Arial"/>
        </w:rPr>
        <w:t xml:space="preserve"> in 3 progressive stages</w:t>
      </w:r>
      <w:r w:rsidR="00E51755">
        <w:rPr>
          <w:rFonts w:cs="Arial"/>
        </w:rPr>
        <w:t xml:space="preserve"> [18,19]</w:t>
      </w:r>
      <w:r w:rsidR="008E7EFB" w:rsidRPr="007916DE">
        <w:rPr>
          <w:rFonts w:cs="Arial"/>
        </w:rPr>
        <w:t>. In i</w:t>
      </w:r>
      <w:r w:rsidR="000C67C7" w:rsidRPr="007916DE">
        <w:rPr>
          <w:rFonts w:cs="Arial"/>
        </w:rPr>
        <w:t>ron depletion</w:t>
      </w:r>
      <w:r w:rsidR="008E7EFB" w:rsidRPr="007916DE">
        <w:rPr>
          <w:rFonts w:cs="Arial"/>
        </w:rPr>
        <w:t xml:space="preserve">, characterized by low serum ferritin, </w:t>
      </w:r>
      <w:r w:rsidR="000C67C7" w:rsidRPr="007916DE">
        <w:rPr>
          <w:rFonts w:cs="Arial"/>
        </w:rPr>
        <w:t xml:space="preserve">iron stores </w:t>
      </w:r>
      <w:r w:rsidR="008E7EFB" w:rsidRPr="007916DE">
        <w:rPr>
          <w:rFonts w:cs="Arial"/>
        </w:rPr>
        <w:t xml:space="preserve">are low </w:t>
      </w:r>
      <w:r w:rsidR="000C67C7" w:rsidRPr="007916DE">
        <w:rPr>
          <w:rFonts w:cs="Arial"/>
        </w:rPr>
        <w:t>but physio</w:t>
      </w:r>
      <w:r w:rsidR="008E7EFB" w:rsidRPr="007916DE">
        <w:rPr>
          <w:rFonts w:cs="Arial"/>
        </w:rPr>
        <w:t>logical functions not impaired. C</w:t>
      </w:r>
      <w:r w:rsidR="000C67C7" w:rsidRPr="007916DE">
        <w:rPr>
          <w:rFonts w:cs="Arial"/>
        </w:rPr>
        <w:t>ellular iron deficiency</w:t>
      </w:r>
      <w:r w:rsidR="008E7EFB" w:rsidRPr="007916DE">
        <w:rPr>
          <w:rFonts w:cs="Arial"/>
        </w:rPr>
        <w:t>, characterized by low serum ferritin and raised transferrin receptor, reflects m</w:t>
      </w:r>
      <w:r w:rsidR="000C67C7" w:rsidRPr="007916DE">
        <w:rPr>
          <w:rFonts w:cs="Arial"/>
        </w:rPr>
        <w:t>ore marked iron insufficiency, as iron stores are exhausted and normal cellular physio</w:t>
      </w:r>
      <w:r w:rsidR="008E7EFB" w:rsidRPr="007916DE">
        <w:rPr>
          <w:rFonts w:cs="Arial"/>
        </w:rPr>
        <w:t>logical functions are impaired. Finally, in i</w:t>
      </w:r>
      <w:r w:rsidR="000C67C7" w:rsidRPr="007916DE">
        <w:rPr>
          <w:rFonts w:cs="Arial"/>
        </w:rPr>
        <w:t xml:space="preserve">ron deficiency </w:t>
      </w:r>
      <w:r w:rsidR="00CB47AE">
        <w:rPr>
          <w:rFonts w:cs="Arial"/>
        </w:rPr>
        <w:t>anemia</w:t>
      </w:r>
      <w:r w:rsidR="008E7EFB" w:rsidRPr="007916DE">
        <w:rPr>
          <w:rFonts w:cs="Arial"/>
        </w:rPr>
        <w:t xml:space="preserve">, </w:t>
      </w:r>
      <w:r w:rsidR="000C67C7" w:rsidRPr="007916DE">
        <w:rPr>
          <w:rFonts w:cs="Arial"/>
        </w:rPr>
        <w:t>persistence of iron deficiency reduce</w:t>
      </w:r>
      <w:r w:rsidR="008E7EFB" w:rsidRPr="007916DE">
        <w:rPr>
          <w:rFonts w:cs="Arial"/>
        </w:rPr>
        <w:t>s</w:t>
      </w:r>
      <w:r w:rsidR="000C67C7" w:rsidRPr="007916DE">
        <w:rPr>
          <w:rFonts w:cs="Arial"/>
        </w:rPr>
        <w:t xml:space="preserve"> red cell mass, reflected in reduced </w:t>
      </w:r>
      <w:r w:rsidR="00C77442">
        <w:rPr>
          <w:rFonts w:cs="Arial"/>
        </w:rPr>
        <w:t>hemoglobin</w:t>
      </w:r>
      <w:r w:rsidR="000C67C7" w:rsidRPr="007916DE">
        <w:rPr>
          <w:rFonts w:cs="Arial"/>
        </w:rPr>
        <w:t xml:space="preserve"> (Hb) concentration, low serum ferritin and raised transferrin receptor</w:t>
      </w:r>
      <w:r w:rsidR="00692204" w:rsidRPr="007916DE">
        <w:rPr>
          <w:rFonts w:cs="Arial"/>
        </w:rPr>
        <w:t>.</w:t>
      </w:r>
    </w:p>
    <w:p w14:paraId="228F0EB0" w14:textId="77777777" w:rsidR="00475CEA" w:rsidRPr="007916DE" w:rsidRDefault="00475CEA" w:rsidP="001B45F1">
      <w:pPr>
        <w:pStyle w:val="ListParagraph"/>
        <w:spacing w:line="480" w:lineRule="auto"/>
        <w:rPr>
          <w:rFonts w:ascii="Arial" w:hAnsi="Arial" w:cs="Arial"/>
        </w:rPr>
      </w:pPr>
    </w:p>
    <w:p w14:paraId="65662352" w14:textId="7CECB849" w:rsidR="00916C3A" w:rsidRPr="007916DE" w:rsidRDefault="00692204" w:rsidP="001B45F1">
      <w:pPr>
        <w:spacing w:line="480" w:lineRule="auto"/>
        <w:rPr>
          <w:rFonts w:cs="Arial"/>
        </w:rPr>
      </w:pPr>
      <w:r w:rsidRPr="007916DE">
        <w:rPr>
          <w:rFonts w:cs="Arial"/>
        </w:rPr>
        <w:t xml:space="preserve">We have reported previously that </w:t>
      </w:r>
      <w:r w:rsidR="009F0552" w:rsidRPr="007916DE">
        <w:rPr>
          <w:rFonts w:cs="Arial"/>
        </w:rPr>
        <w:t xml:space="preserve">low iron stores occurred in 19.2% of the student population </w:t>
      </w:r>
      <w:r w:rsidR="002D6080" w:rsidRPr="007916DE">
        <w:rPr>
          <w:rFonts w:cs="Arial"/>
        </w:rPr>
        <w:t xml:space="preserve">in Sri Lanka </w:t>
      </w:r>
      <w:r w:rsidR="00E51755">
        <w:rPr>
          <w:rFonts w:cs="Arial"/>
        </w:rPr>
        <w:t>[7]</w:t>
      </w:r>
      <w:r w:rsidR="00BD5ACA" w:rsidRPr="007916DE">
        <w:rPr>
          <w:rFonts w:cs="Arial"/>
        </w:rPr>
        <w:t>.</w:t>
      </w:r>
      <w:r w:rsidR="009F0552" w:rsidRPr="007916DE">
        <w:rPr>
          <w:rFonts w:cs="Arial"/>
        </w:rPr>
        <w:t xml:space="preserve"> </w:t>
      </w:r>
      <w:r w:rsidR="00BD5ACA" w:rsidRPr="007916DE">
        <w:rPr>
          <w:rFonts w:cs="Arial"/>
        </w:rPr>
        <w:t xml:space="preserve">We </w:t>
      </w:r>
      <w:r w:rsidR="009F0552" w:rsidRPr="007916DE">
        <w:rPr>
          <w:rFonts w:cs="Arial"/>
        </w:rPr>
        <w:t>now show that</w:t>
      </w:r>
      <w:r w:rsidR="005978B5" w:rsidRPr="007916DE">
        <w:rPr>
          <w:rFonts w:cs="Arial"/>
        </w:rPr>
        <w:t xml:space="preserve">, although </w:t>
      </w:r>
      <w:r w:rsidR="00C77442">
        <w:rPr>
          <w:rFonts w:cs="Arial"/>
        </w:rPr>
        <w:t>hemoglobin</w:t>
      </w:r>
      <w:r w:rsidR="0017215C">
        <w:rPr>
          <w:rFonts w:cs="Arial"/>
        </w:rPr>
        <w:t xml:space="preserve"> and </w:t>
      </w:r>
      <w:r w:rsidR="005978B5" w:rsidRPr="007916DE">
        <w:rPr>
          <w:rFonts w:cs="Arial"/>
        </w:rPr>
        <w:t>serum ferritin did not differ significantly according to H63D genotype,</w:t>
      </w:r>
      <w:r w:rsidR="009F0552" w:rsidRPr="007916DE">
        <w:rPr>
          <w:rFonts w:cs="Arial"/>
        </w:rPr>
        <w:t xml:space="preserve"> students with the H63D variant were less likely to have low iron stores (ferritin &lt;15ng/ml), indicative of the early stages of iron deficiency, than those s</w:t>
      </w:r>
      <w:r w:rsidR="00C248C0">
        <w:rPr>
          <w:rFonts w:cs="Arial"/>
        </w:rPr>
        <w:t xml:space="preserve">tudents with wild type </w:t>
      </w:r>
      <w:r w:rsidR="001D2667" w:rsidRPr="007916DE">
        <w:rPr>
          <w:rFonts w:cs="Arial"/>
        </w:rPr>
        <w:t>genotype</w:t>
      </w:r>
      <w:r w:rsidR="002D6080" w:rsidRPr="007916DE">
        <w:rPr>
          <w:rFonts w:cs="Arial"/>
        </w:rPr>
        <w:t xml:space="preserve">. </w:t>
      </w:r>
      <w:r w:rsidR="009F0552" w:rsidRPr="007916DE">
        <w:rPr>
          <w:rFonts w:cs="Arial"/>
        </w:rPr>
        <w:t xml:space="preserve">Furthermore, </w:t>
      </w:r>
      <w:r w:rsidR="00E3493E" w:rsidRPr="007916DE">
        <w:rPr>
          <w:rFonts w:cs="Arial"/>
        </w:rPr>
        <w:t xml:space="preserve">heterozygosity for the H63D </w:t>
      </w:r>
      <w:r w:rsidR="00F10B3A" w:rsidRPr="007916DE">
        <w:rPr>
          <w:rFonts w:cs="Arial"/>
        </w:rPr>
        <w:t xml:space="preserve">variant </w:t>
      </w:r>
      <w:r w:rsidR="00E3493E" w:rsidRPr="007916DE">
        <w:rPr>
          <w:rFonts w:cs="Arial"/>
        </w:rPr>
        <w:t xml:space="preserve">was </w:t>
      </w:r>
      <w:r w:rsidR="00B2408F" w:rsidRPr="007916DE">
        <w:rPr>
          <w:rFonts w:cs="Arial"/>
        </w:rPr>
        <w:t xml:space="preserve">significantly </w:t>
      </w:r>
      <w:r w:rsidR="00E3493E" w:rsidRPr="007916DE">
        <w:rPr>
          <w:rFonts w:cs="Arial"/>
        </w:rPr>
        <w:t>more common in students with normal red cell indices than in those wi</w:t>
      </w:r>
      <w:r w:rsidR="00C44AE4" w:rsidRPr="007916DE">
        <w:rPr>
          <w:rFonts w:cs="Arial"/>
        </w:rPr>
        <w:t>th low</w:t>
      </w:r>
      <w:r w:rsidR="00B311F8" w:rsidRPr="007916DE">
        <w:rPr>
          <w:rFonts w:cs="Arial"/>
        </w:rPr>
        <w:t xml:space="preserve"> red cell indices, and MCV</w:t>
      </w:r>
      <w:r w:rsidR="00C44AE4" w:rsidRPr="007916DE">
        <w:rPr>
          <w:rFonts w:cs="Arial"/>
        </w:rPr>
        <w:t xml:space="preserve"> </w:t>
      </w:r>
      <w:r w:rsidR="00DD5BA7" w:rsidRPr="007916DE">
        <w:rPr>
          <w:rFonts w:cs="Arial"/>
        </w:rPr>
        <w:t xml:space="preserve">was </w:t>
      </w:r>
      <w:r w:rsidR="00055CC6" w:rsidRPr="007916DE">
        <w:rPr>
          <w:rFonts w:cs="Arial"/>
        </w:rPr>
        <w:t xml:space="preserve">significantly </w:t>
      </w:r>
      <w:r w:rsidR="00DD5BA7" w:rsidRPr="007916DE">
        <w:rPr>
          <w:rFonts w:cs="Arial"/>
        </w:rPr>
        <w:t>greater in those students with the H63D variant, than those without</w:t>
      </w:r>
      <w:r w:rsidR="00C44AE4" w:rsidRPr="007916DE">
        <w:rPr>
          <w:rFonts w:cs="Arial"/>
        </w:rPr>
        <w:t>.</w:t>
      </w:r>
      <w:r w:rsidR="00055CC6" w:rsidRPr="007916DE">
        <w:rPr>
          <w:rFonts w:cs="Arial"/>
        </w:rPr>
        <w:t xml:space="preserve"> </w:t>
      </w:r>
      <w:r w:rsidR="00254658">
        <w:rPr>
          <w:rFonts w:cs="Arial"/>
        </w:rPr>
        <w:t xml:space="preserve">Our findings are consistent with </w:t>
      </w:r>
      <w:r w:rsidR="00BD05BE">
        <w:rPr>
          <w:rFonts w:cs="Arial"/>
        </w:rPr>
        <w:t xml:space="preserve">studies </w:t>
      </w:r>
      <w:r w:rsidR="00BF237C" w:rsidRPr="007916DE">
        <w:rPr>
          <w:rFonts w:cs="Arial"/>
        </w:rPr>
        <w:t>in</w:t>
      </w:r>
      <w:r w:rsidR="0099331B" w:rsidRPr="007916DE">
        <w:rPr>
          <w:rFonts w:cs="Arial"/>
        </w:rPr>
        <w:t xml:space="preserve"> </w:t>
      </w:r>
      <w:r w:rsidR="00362C54" w:rsidRPr="007916DE">
        <w:rPr>
          <w:rFonts w:cs="Arial"/>
        </w:rPr>
        <w:t xml:space="preserve">Polish </w:t>
      </w:r>
      <w:r w:rsidR="001D2667" w:rsidRPr="007916DE">
        <w:rPr>
          <w:rFonts w:cs="Arial"/>
        </w:rPr>
        <w:t>children</w:t>
      </w:r>
      <w:r w:rsidR="00362C54" w:rsidRPr="007916DE">
        <w:rPr>
          <w:rFonts w:cs="Arial"/>
        </w:rPr>
        <w:t xml:space="preserve">, </w:t>
      </w:r>
      <w:r w:rsidR="00055CC6" w:rsidRPr="007916DE">
        <w:rPr>
          <w:rFonts w:cs="Arial"/>
        </w:rPr>
        <w:t xml:space="preserve">where </w:t>
      </w:r>
      <w:r w:rsidR="005A5E77">
        <w:rPr>
          <w:rFonts w:cs="Arial"/>
        </w:rPr>
        <w:t>iron status and H</w:t>
      </w:r>
      <w:r w:rsidR="00362C54" w:rsidRPr="007916DE">
        <w:rPr>
          <w:rFonts w:cs="Arial"/>
        </w:rPr>
        <w:t>b concentrations were greater in those with H</w:t>
      </w:r>
      <w:r w:rsidR="00055CC6" w:rsidRPr="007916DE">
        <w:rPr>
          <w:rFonts w:cs="Arial"/>
        </w:rPr>
        <w:t xml:space="preserve">63D variant than those without </w:t>
      </w:r>
      <w:r w:rsidR="005A5E77">
        <w:rPr>
          <w:rFonts w:cs="Arial"/>
        </w:rPr>
        <w:t>[20,21]</w:t>
      </w:r>
      <w:r w:rsidR="004D092B" w:rsidRPr="007916DE">
        <w:rPr>
          <w:rFonts w:cs="Arial"/>
        </w:rPr>
        <w:t>.</w:t>
      </w:r>
    </w:p>
    <w:p w14:paraId="5A7C54B7" w14:textId="4EAB7839" w:rsidR="00916C3A" w:rsidRPr="007916DE" w:rsidRDefault="000F6276" w:rsidP="001B45F1">
      <w:pPr>
        <w:spacing w:before="240" w:line="480" w:lineRule="auto"/>
        <w:jc w:val="both"/>
        <w:rPr>
          <w:rFonts w:cs="Arial"/>
        </w:rPr>
      </w:pPr>
      <w:r>
        <w:rPr>
          <w:rFonts w:cs="Arial"/>
        </w:rPr>
        <w:t xml:space="preserve">Our findings are consistent with </w:t>
      </w:r>
      <w:r w:rsidR="00406FC4" w:rsidRPr="007916DE">
        <w:rPr>
          <w:rFonts w:cs="Arial"/>
        </w:rPr>
        <w:t>protection against low iron stores provid</w:t>
      </w:r>
      <w:r>
        <w:rPr>
          <w:rFonts w:cs="Arial"/>
        </w:rPr>
        <w:t>ing</w:t>
      </w:r>
      <w:r w:rsidR="00406FC4" w:rsidRPr="007916DE">
        <w:rPr>
          <w:rFonts w:cs="Arial"/>
        </w:rPr>
        <w:t xml:space="preserve"> the selective pressure for H63D in Sri Lanka, and this may </w:t>
      </w:r>
      <w:r w:rsidR="001149A8">
        <w:rPr>
          <w:rFonts w:cs="Arial"/>
        </w:rPr>
        <w:t xml:space="preserve">also </w:t>
      </w:r>
      <w:r w:rsidR="00406FC4" w:rsidRPr="007916DE">
        <w:rPr>
          <w:rFonts w:cs="Arial"/>
        </w:rPr>
        <w:t xml:space="preserve">be relevant to the multiple countries in which this variant has been detected. However, the </w:t>
      </w:r>
      <w:r w:rsidR="00C326C2" w:rsidRPr="007916DE">
        <w:rPr>
          <w:rFonts w:cs="Arial"/>
        </w:rPr>
        <w:t>relatively small</w:t>
      </w:r>
      <w:r w:rsidR="00406FC4" w:rsidRPr="007916DE">
        <w:rPr>
          <w:rFonts w:cs="Arial"/>
        </w:rPr>
        <w:t xml:space="preserve"> differences in iron stores according to H63D genotype and the lack of a difference according to more severe </w:t>
      </w:r>
      <w:r w:rsidR="002962DF">
        <w:rPr>
          <w:rFonts w:cs="Arial"/>
        </w:rPr>
        <w:t>stages</w:t>
      </w:r>
      <w:r w:rsidR="00406FC4" w:rsidRPr="007916DE">
        <w:rPr>
          <w:rFonts w:cs="Arial"/>
        </w:rPr>
        <w:t xml:space="preserve"> of iron def</w:t>
      </w:r>
      <w:r w:rsidR="006B08B5" w:rsidRPr="007916DE">
        <w:rPr>
          <w:rFonts w:cs="Arial"/>
        </w:rPr>
        <w:t xml:space="preserve">iciency </w:t>
      </w:r>
      <w:r>
        <w:rPr>
          <w:rFonts w:cs="Arial"/>
        </w:rPr>
        <w:t xml:space="preserve">or </w:t>
      </w:r>
      <w:r w:rsidR="00CB47AE">
        <w:rPr>
          <w:rFonts w:cs="Arial"/>
        </w:rPr>
        <w:t>anemia</w:t>
      </w:r>
      <w:r>
        <w:rPr>
          <w:rFonts w:cs="Arial"/>
        </w:rPr>
        <w:t xml:space="preserve"> </w:t>
      </w:r>
      <w:r w:rsidR="00E7433A">
        <w:rPr>
          <w:rFonts w:cs="Arial"/>
        </w:rPr>
        <w:t>calls this into question</w:t>
      </w:r>
      <w:r w:rsidR="006B08B5" w:rsidRPr="007916DE">
        <w:rPr>
          <w:rFonts w:cs="Arial"/>
        </w:rPr>
        <w:t xml:space="preserve">. </w:t>
      </w:r>
      <w:r w:rsidR="00C326C2" w:rsidRPr="007916DE">
        <w:rPr>
          <w:rFonts w:cs="Arial"/>
        </w:rPr>
        <w:t xml:space="preserve"> </w:t>
      </w:r>
      <w:r w:rsidR="006B08B5" w:rsidRPr="007916DE">
        <w:rPr>
          <w:rFonts w:cs="Arial"/>
        </w:rPr>
        <w:t>I</w:t>
      </w:r>
      <w:r w:rsidR="00BF237C" w:rsidRPr="007916DE">
        <w:rPr>
          <w:rFonts w:cs="Arial"/>
        </w:rPr>
        <w:t>t is possible that the</w:t>
      </w:r>
      <w:r w:rsidR="00C326C2" w:rsidRPr="007916DE">
        <w:rPr>
          <w:rFonts w:cs="Arial"/>
        </w:rPr>
        <w:t xml:space="preserve"> reason we </w:t>
      </w:r>
      <w:r w:rsidR="005D6948">
        <w:rPr>
          <w:rFonts w:cs="Arial"/>
        </w:rPr>
        <w:t xml:space="preserve">did not find </w:t>
      </w:r>
      <w:r w:rsidR="003F22D3" w:rsidRPr="007916DE">
        <w:rPr>
          <w:rFonts w:cs="Arial"/>
        </w:rPr>
        <w:t xml:space="preserve">differences in cellular iron </w:t>
      </w:r>
      <w:r w:rsidR="003F22D3" w:rsidRPr="007916DE">
        <w:rPr>
          <w:rFonts w:cs="Arial"/>
        </w:rPr>
        <w:lastRenderedPageBreak/>
        <w:t xml:space="preserve">deficiency or iron deficiency </w:t>
      </w:r>
      <w:r w:rsidR="00CB47AE">
        <w:rPr>
          <w:rFonts w:cs="Arial"/>
        </w:rPr>
        <w:t>anemia</w:t>
      </w:r>
      <w:r w:rsidR="00C326C2" w:rsidRPr="007916DE">
        <w:rPr>
          <w:rFonts w:cs="Arial"/>
        </w:rPr>
        <w:t xml:space="preserve"> according to H63D gen</w:t>
      </w:r>
      <w:r w:rsidR="006B08B5" w:rsidRPr="007916DE">
        <w:rPr>
          <w:rFonts w:cs="Arial"/>
        </w:rPr>
        <w:t>otype in our study group was</w:t>
      </w:r>
      <w:r w:rsidR="00C326C2" w:rsidRPr="007916DE">
        <w:rPr>
          <w:rFonts w:cs="Arial"/>
        </w:rPr>
        <w:t xml:space="preserve"> because </w:t>
      </w:r>
      <w:r w:rsidR="005D6948">
        <w:rPr>
          <w:rFonts w:cs="Arial"/>
        </w:rPr>
        <w:t xml:space="preserve">we studied </w:t>
      </w:r>
      <w:r w:rsidR="006B08B5" w:rsidRPr="007916DE">
        <w:rPr>
          <w:rFonts w:cs="Arial"/>
        </w:rPr>
        <w:t xml:space="preserve">adolescents </w:t>
      </w:r>
      <w:r w:rsidR="00101E3A">
        <w:rPr>
          <w:rFonts w:cs="Arial"/>
        </w:rPr>
        <w:t xml:space="preserve">and, </w:t>
      </w:r>
      <w:r w:rsidR="00240D97" w:rsidRPr="007916DE">
        <w:rPr>
          <w:rFonts w:cs="Arial"/>
        </w:rPr>
        <w:t>given</w:t>
      </w:r>
      <w:r w:rsidR="006D5232" w:rsidRPr="007916DE">
        <w:rPr>
          <w:rFonts w:cs="Arial"/>
        </w:rPr>
        <w:t xml:space="preserve"> th</w:t>
      </w:r>
      <w:r w:rsidR="005F109C">
        <w:rPr>
          <w:rFonts w:cs="Arial"/>
        </w:rPr>
        <w:t>at</w:t>
      </w:r>
      <w:r w:rsidR="006D5232" w:rsidRPr="007916DE">
        <w:rPr>
          <w:rFonts w:cs="Arial"/>
        </w:rPr>
        <w:t xml:space="preserve"> HFE gene </w:t>
      </w:r>
      <w:r w:rsidR="005F109C" w:rsidRPr="007916DE">
        <w:rPr>
          <w:rFonts w:cs="Arial"/>
        </w:rPr>
        <w:t xml:space="preserve">variants </w:t>
      </w:r>
      <w:r w:rsidR="006D5232" w:rsidRPr="007916DE">
        <w:rPr>
          <w:rFonts w:cs="Arial"/>
        </w:rPr>
        <w:t>result in progressive iron accumulation throughout life, we may have seen greater differences if we had studied older people.</w:t>
      </w:r>
      <w:r w:rsidR="008C481C" w:rsidRPr="007916DE">
        <w:rPr>
          <w:rFonts w:cs="Arial"/>
        </w:rPr>
        <w:t xml:space="preserve"> </w:t>
      </w:r>
      <w:r w:rsidR="002962DF">
        <w:rPr>
          <w:rFonts w:cs="Arial"/>
        </w:rPr>
        <w:t>In a</w:t>
      </w:r>
      <w:r w:rsidR="00916C3A" w:rsidRPr="007916DE">
        <w:rPr>
          <w:rFonts w:cs="Arial"/>
        </w:rPr>
        <w:t xml:space="preserve"> study of older people (aged 55 and over) H63D heterozygosity was associated with</w:t>
      </w:r>
      <w:r w:rsidR="00406FC4" w:rsidRPr="007916DE">
        <w:rPr>
          <w:rFonts w:cs="Arial"/>
        </w:rPr>
        <w:t xml:space="preserve"> increased concentrations of</w:t>
      </w:r>
      <w:r w:rsidR="00916C3A" w:rsidRPr="007916DE">
        <w:rPr>
          <w:rFonts w:cs="Arial"/>
        </w:rPr>
        <w:t xml:space="preserve"> all iron biomar</w:t>
      </w:r>
      <w:r w:rsidR="006037C8" w:rsidRPr="007916DE">
        <w:rPr>
          <w:rFonts w:cs="Arial"/>
        </w:rPr>
        <w:t xml:space="preserve">kers </w:t>
      </w:r>
      <w:r w:rsidR="00E51755">
        <w:rPr>
          <w:rFonts w:cs="Arial"/>
        </w:rPr>
        <w:t>[22]</w:t>
      </w:r>
      <w:r w:rsidR="005A5E77">
        <w:rPr>
          <w:rFonts w:cs="Arial"/>
        </w:rPr>
        <w:t>.</w:t>
      </w:r>
      <w:r w:rsidR="00916C3A" w:rsidRPr="007916DE">
        <w:rPr>
          <w:rFonts w:cs="Arial"/>
        </w:rPr>
        <w:t xml:space="preserve"> </w:t>
      </w:r>
      <w:r w:rsidR="00E76E5C" w:rsidRPr="007916DE">
        <w:rPr>
          <w:rFonts w:cs="Arial"/>
        </w:rPr>
        <w:t xml:space="preserve">However, in a longitudinal </w:t>
      </w:r>
      <w:r w:rsidR="000C49A6" w:rsidRPr="007916DE">
        <w:rPr>
          <w:rFonts w:cs="Arial"/>
        </w:rPr>
        <w:t xml:space="preserve">study </w:t>
      </w:r>
      <w:r w:rsidR="00E76E5C" w:rsidRPr="007916DE">
        <w:rPr>
          <w:rFonts w:cs="Arial"/>
        </w:rPr>
        <w:t>of the natural history of iron indices in</w:t>
      </w:r>
      <w:r w:rsidR="000C49A6" w:rsidRPr="007916DE">
        <w:rPr>
          <w:rFonts w:cs="Arial"/>
        </w:rPr>
        <w:t xml:space="preserve"> Australian adults aged 4</w:t>
      </w:r>
      <w:r w:rsidR="00E76E5C" w:rsidRPr="007916DE">
        <w:rPr>
          <w:rFonts w:cs="Arial"/>
        </w:rPr>
        <w:t>0-69 years</w:t>
      </w:r>
      <w:r w:rsidR="00800FFF">
        <w:rPr>
          <w:rFonts w:cs="Arial"/>
        </w:rPr>
        <w:t xml:space="preserve"> </w:t>
      </w:r>
      <w:r w:rsidR="00E76E5C" w:rsidRPr="007916DE">
        <w:rPr>
          <w:rFonts w:cs="Arial"/>
        </w:rPr>
        <w:t xml:space="preserve">followed up </w:t>
      </w:r>
      <w:r w:rsidR="00800FFF">
        <w:rPr>
          <w:rFonts w:cs="Arial"/>
        </w:rPr>
        <w:t xml:space="preserve">over a </w:t>
      </w:r>
      <w:r w:rsidR="000E3315">
        <w:rPr>
          <w:rFonts w:cs="Arial"/>
        </w:rPr>
        <w:t xml:space="preserve">12 </w:t>
      </w:r>
      <w:r w:rsidR="000C49A6" w:rsidRPr="007916DE">
        <w:rPr>
          <w:rFonts w:cs="Arial"/>
        </w:rPr>
        <w:t>year period</w:t>
      </w:r>
      <w:r w:rsidR="00E76E5C" w:rsidRPr="007916DE">
        <w:rPr>
          <w:rFonts w:cs="Arial"/>
        </w:rPr>
        <w:t>, iron biomarker co</w:t>
      </w:r>
      <w:r w:rsidR="00FE0CA9" w:rsidRPr="007916DE">
        <w:rPr>
          <w:rFonts w:cs="Arial"/>
        </w:rPr>
        <w:t>ncentrations in H63D heterozygotes remained within the normal range</w:t>
      </w:r>
      <w:r w:rsidR="00276885">
        <w:rPr>
          <w:rFonts w:cs="Arial"/>
        </w:rPr>
        <w:t xml:space="preserve"> and </w:t>
      </w:r>
      <w:r w:rsidR="00FE0CA9" w:rsidRPr="007916DE">
        <w:rPr>
          <w:rFonts w:cs="Arial"/>
        </w:rPr>
        <w:t xml:space="preserve">were similar over time </w:t>
      </w:r>
      <w:r w:rsidR="00E51755">
        <w:rPr>
          <w:rFonts w:cs="Arial"/>
        </w:rPr>
        <w:t>[23]</w:t>
      </w:r>
      <w:r w:rsidR="00FE0CA9" w:rsidRPr="007916DE">
        <w:rPr>
          <w:rFonts w:cs="Arial"/>
        </w:rPr>
        <w:t>.</w:t>
      </w:r>
    </w:p>
    <w:p w14:paraId="37CD04A2" w14:textId="1A81560B" w:rsidR="00A4201E" w:rsidRPr="007916DE" w:rsidRDefault="007A7312" w:rsidP="001B45F1">
      <w:pPr>
        <w:spacing w:before="240" w:line="480" w:lineRule="auto"/>
        <w:jc w:val="both"/>
        <w:rPr>
          <w:rFonts w:cs="Arial"/>
        </w:rPr>
      </w:pPr>
      <w:r>
        <w:rPr>
          <w:rFonts w:cs="Arial"/>
        </w:rPr>
        <w:t>Also, t</w:t>
      </w:r>
      <w:r w:rsidR="005B69A7" w:rsidRPr="007916DE">
        <w:rPr>
          <w:rFonts w:cs="Arial"/>
        </w:rPr>
        <w:t>he current study does not reflect the historical period over which selection for this variant has occurred.</w:t>
      </w:r>
      <w:r w:rsidR="00FE0CA9" w:rsidRPr="007916DE">
        <w:rPr>
          <w:rFonts w:cs="Arial"/>
        </w:rPr>
        <w:t xml:space="preserve"> </w:t>
      </w:r>
      <w:r w:rsidR="00573723" w:rsidRPr="007916DE">
        <w:rPr>
          <w:rFonts w:cs="Arial"/>
        </w:rPr>
        <w:t>Ir</w:t>
      </w:r>
      <w:r w:rsidR="00F95434" w:rsidRPr="007916DE">
        <w:rPr>
          <w:rFonts w:cs="Arial"/>
        </w:rPr>
        <w:t>on deficiency became more frequent and severe</w:t>
      </w:r>
      <w:r w:rsidR="00573723" w:rsidRPr="007916DE">
        <w:rPr>
          <w:rFonts w:cs="Arial"/>
        </w:rPr>
        <w:t>, following the agricultural revolution</w:t>
      </w:r>
      <w:r w:rsidR="00810EAA">
        <w:rPr>
          <w:rFonts w:cs="Arial"/>
        </w:rPr>
        <w:t xml:space="preserve"> that</w:t>
      </w:r>
      <w:r w:rsidR="00573723" w:rsidRPr="007916DE">
        <w:rPr>
          <w:rFonts w:cs="Arial"/>
        </w:rPr>
        <w:t xml:space="preserve"> occurred about 10,000 years ago, when the human diet changed </w:t>
      </w:r>
      <w:r w:rsidR="00A82D5D">
        <w:rPr>
          <w:rFonts w:cs="Arial"/>
        </w:rPr>
        <w:t>from predominantly</w:t>
      </w:r>
      <w:r w:rsidR="00A82D5D" w:rsidRPr="007916DE">
        <w:rPr>
          <w:rFonts w:cs="Arial"/>
        </w:rPr>
        <w:t xml:space="preserve"> meat </w:t>
      </w:r>
      <w:r w:rsidR="00A82D5D">
        <w:rPr>
          <w:rFonts w:cs="Arial"/>
        </w:rPr>
        <w:t xml:space="preserve">eating to </w:t>
      </w:r>
      <w:r w:rsidR="00A82D5D" w:rsidRPr="007916DE">
        <w:rPr>
          <w:rFonts w:cs="Arial"/>
        </w:rPr>
        <w:t xml:space="preserve">more </w:t>
      </w:r>
      <w:r w:rsidR="00A82D5D">
        <w:rPr>
          <w:rFonts w:cs="Arial"/>
        </w:rPr>
        <w:t>cereal and plant based</w:t>
      </w:r>
      <w:r w:rsidR="00A82D5D" w:rsidRPr="007916DE" w:rsidDel="00A82D5D">
        <w:rPr>
          <w:rFonts w:cs="Arial"/>
        </w:rPr>
        <w:t xml:space="preserve"> </w:t>
      </w:r>
      <w:r w:rsidR="00E51755">
        <w:rPr>
          <w:rFonts w:cs="Arial"/>
        </w:rPr>
        <w:t>[24,25]</w:t>
      </w:r>
      <w:r w:rsidR="00D31C75" w:rsidRPr="007916DE">
        <w:rPr>
          <w:rFonts w:cs="Arial"/>
        </w:rPr>
        <w:t xml:space="preserve"> </w:t>
      </w:r>
      <w:r w:rsidR="005B69A7" w:rsidRPr="007916DE">
        <w:rPr>
          <w:rFonts w:cs="Arial"/>
        </w:rPr>
        <w:t>and</w:t>
      </w:r>
      <w:r w:rsidR="00573DE1" w:rsidRPr="007916DE">
        <w:rPr>
          <w:rFonts w:cs="Arial"/>
        </w:rPr>
        <w:t xml:space="preserve"> this may have resulted in great</w:t>
      </w:r>
      <w:r w:rsidR="005B69A7" w:rsidRPr="007916DE">
        <w:rPr>
          <w:rFonts w:cs="Arial"/>
        </w:rPr>
        <w:t>e</w:t>
      </w:r>
      <w:r w:rsidR="00FE0CA9" w:rsidRPr="007916DE">
        <w:rPr>
          <w:rFonts w:cs="Arial"/>
        </w:rPr>
        <w:t>r selective pressure</w:t>
      </w:r>
      <w:r w:rsidR="009A097E">
        <w:rPr>
          <w:rFonts w:cs="Arial"/>
        </w:rPr>
        <w:t>, than</w:t>
      </w:r>
      <w:r w:rsidR="00A679CD">
        <w:rPr>
          <w:rFonts w:cs="Arial"/>
        </w:rPr>
        <w:t xml:space="preserve"> </w:t>
      </w:r>
      <w:r w:rsidR="0010118E">
        <w:rPr>
          <w:rFonts w:cs="Arial"/>
        </w:rPr>
        <w:t xml:space="preserve">occurs </w:t>
      </w:r>
      <w:r w:rsidR="0082507D">
        <w:rPr>
          <w:rFonts w:cs="Arial"/>
        </w:rPr>
        <w:t>today</w:t>
      </w:r>
      <w:r w:rsidR="009A097E">
        <w:rPr>
          <w:rFonts w:cs="Arial"/>
        </w:rPr>
        <w:t>.</w:t>
      </w:r>
      <w:r w:rsidR="00A347FF">
        <w:rPr>
          <w:rFonts w:cs="Arial"/>
        </w:rPr>
        <w:t xml:space="preserve"> As well as improvements in diet, </w:t>
      </w:r>
      <w:r w:rsidR="0098166B">
        <w:rPr>
          <w:rFonts w:cs="Arial"/>
        </w:rPr>
        <w:t>available treatment</w:t>
      </w:r>
      <w:r w:rsidR="00A347FF">
        <w:rPr>
          <w:rFonts w:cs="Arial"/>
        </w:rPr>
        <w:t>s for</w:t>
      </w:r>
      <w:r w:rsidR="0098166B">
        <w:rPr>
          <w:rFonts w:cs="Arial"/>
        </w:rPr>
        <w:t xml:space="preserve"> iron deficiency</w:t>
      </w:r>
      <w:r w:rsidR="00A347FF">
        <w:rPr>
          <w:rFonts w:cs="Arial"/>
        </w:rPr>
        <w:t xml:space="preserve"> may have reduced the importance of</w:t>
      </w:r>
      <w:r w:rsidR="008E7970">
        <w:rPr>
          <w:rFonts w:cs="Arial"/>
        </w:rPr>
        <w:t xml:space="preserve"> </w:t>
      </w:r>
      <w:r w:rsidR="00A347FF">
        <w:rPr>
          <w:rFonts w:cs="Arial"/>
        </w:rPr>
        <w:t xml:space="preserve">the heterozygous advantage afforded by the H63D variant </w:t>
      </w:r>
      <w:r w:rsidR="004B6850">
        <w:rPr>
          <w:rFonts w:cs="Arial"/>
        </w:rPr>
        <w:t>[25</w:t>
      </w:r>
      <w:r w:rsidR="00A679CD">
        <w:rPr>
          <w:rFonts w:cs="Arial"/>
        </w:rPr>
        <w:t>,26</w:t>
      </w:r>
      <w:r w:rsidR="004B6850">
        <w:rPr>
          <w:rFonts w:cs="Arial"/>
        </w:rPr>
        <w:t xml:space="preserve">]. </w:t>
      </w:r>
    </w:p>
    <w:p w14:paraId="6E81594D" w14:textId="4F26914E" w:rsidR="00775E8F" w:rsidRPr="00810EAA" w:rsidRDefault="001136B1" w:rsidP="001B45F1">
      <w:pPr>
        <w:spacing w:before="240" w:line="480" w:lineRule="auto"/>
        <w:jc w:val="both"/>
        <w:rPr>
          <w:rFonts w:eastAsia="Times New Roman" w:cs="Arial"/>
        </w:rPr>
      </w:pPr>
      <w:r w:rsidRPr="00810EAA">
        <w:rPr>
          <w:rFonts w:eastAsia="Times New Roman" w:cs="Arial"/>
        </w:rPr>
        <w:t xml:space="preserve">A further consideration regarding selective advantage is the relationship between iron status and susceptibility to infections. </w:t>
      </w:r>
      <w:r w:rsidR="00191194" w:rsidRPr="00810EAA">
        <w:rPr>
          <w:rFonts w:eastAsia="Times New Roman" w:cs="Arial"/>
        </w:rPr>
        <w:t>Although inheritance of an HFE variant resulting in increased iron stores might be considered to predispose to infections, conversely, iron deficiency within macrophages in hereditary hemochromatosis might offer protection against intracellular pathogens</w:t>
      </w:r>
      <w:r w:rsidR="00F51091" w:rsidRPr="00810EAA">
        <w:rPr>
          <w:rFonts w:eastAsia="Times New Roman" w:cs="Arial"/>
        </w:rPr>
        <w:t xml:space="preserve"> </w:t>
      </w:r>
      <w:r w:rsidR="00A82D5D" w:rsidRPr="00810EAA">
        <w:rPr>
          <w:rFonts w:eastAsia="Times New Roman" w:cs="Arial"/>
        </w:rPr>
        <w:t>[27].</w:t>
      </w:r>
    </w:p>
    <w:p w14:paraId="00CC013F" w14:textId="77777777" w:rsidR="00BA7B1E" w:rsidRPr="007916DE" w:rsidRDefault="00BA7B1E" w:rsidP="001B45F1">
      <w:pPr>
        <w:tabs>
          <w:tab w:val="left" w:pos="284"/>
        </w:tabs>
        <w:spacing w:before="240" w:line="480" w:lineRule="auto"/>
        <w:jc w:val="both"/>
        <w:rPr>
          <w:rFonts w:cs="Arial"/>
        </w:rPr>
      </w:pPr>
    </w:p>
    <w:p w14:paraId="1C8F513E" w14:textId="73BAF50E" w:rsidR="005836E8" w:rsidRPr="00D96B6B" w:rsidRDefault="005836E8" w:rsidP="001B45F1">
      <w:pPr>
        <w:spacing w:line="480" w:lineRule="auto"/>
        <w:rPr>
          <w:rFonts w:cs="Arial"/>
          <w:b/>
        </w:rPr>
      </w:pPr>
      <w:r w:rsidRPr="007916DE">
        <w:rPr>
          <w:rFonts w:cs="Arial"/>
          <w:b/>
        </w:rPr>
        <w:t>C</w:t>
      </w:r>
      <w:r w:rsidR="00731654">
        <w:rPr>
          <w:rFonts w:cs="Arial"/>
          <w:b/>
        </w:rPr>
        <w:t>ONCLUSION</w:t>
      </w:r>
    </w:p>
    <w:p w14:paraId="0480BAD0" w14:textId="51349586" w:rsidR="00C77442" w:rsidRDefault="005836E8" w:rsidP="001B45F1">
      <w:pPr>
        <w:spacing w:line="480" w:lineRule="auto"/>
        <w:rPr>
          <w:rFonts w:cs="Arial"/>
        </w:rPr>
      </w:pPr>
      <w:r w:rsidRPr="00D96B6B">
        <w:rPr>
          <w:rFonts w:cs="Arial"/>
        </w:rPr>
        <w:lastRenderedPageBreak/>
        <w:t xml:space="preserve">We have demonstrated </w:t>
      </w:r>
      <w:r w:rsidR="00071668" w:rsidRPr="00D96B6B">
        <w:rPr>
          <w:rFonts w:cs="Arial"/>
        </w:rPr>
        <w:t>that inheritance of the H63D varia</w:t>
      </w:r>
      <w:r w:rsidR="0099331B" w:rsidRPr="00D96B6B">
        <w:rPr>
          <w:rFonts w:cs="Arial"/>
        </w:rPr>
        <w:t>nt in</w:t>
      </w:r>
      <w:r w:rsidR="00071668" w:rsidRPr="00D96B6B">
        <w:rPr>
          <w:rFonts w:cs="Arial"/>
        </w:rPr>
        <w:t xml:space="preserve"> t</w:t>
      </w:r>
      <w:r w:rsidR="0099331B" w:rsidRPr="00D96B6B">
        <w:rPr>
          <w:rFonts w:cs="Arial"/>
        </w:rPr>
        <w:t>h</w:t>
      </w:r>
      <w:r w:rsidR="00071668" w:rsidRPr="00D96B6B">
        <w:rPr>
          <w:rFonts w:cs="Arial"/>
        </w:rPr>
        <w:t>e HFE gene is associate</w:t>
      </w:r>
      <w:r w:rsidR="00D96B6B" w:rsidRPr="00D96B6B">
        <w:rPr>
          <w:rFonts w:cs="Arial"/>
        </w:rPr>
        <w:t>d</w:t>
      </w:r>
      <w:r w:rsidR="00071668" w:rsidRPr="00D96B6B">
        <w:rPr>
          <w:rFonts w:cs="Arial"/>
        </w:rPr>
        <w:t xml:space="preserve"> with </w:t>
      </w:r>
      <w:r w:rsidR="00123159">
        <w:rPr>
          <w:rFonts w:cs="Arial"/>
        </w:rPr>
        <w:t xml:space="preserve">significantly but marginally </w:t>
      </w:r>
      <w:r w:rsidR="00071668" w:rsidRPr="00D96B6B">
        <w:rPr>
          <w:rFonts w:cs="Arial"/>
        </w:rPr>
        <w:t xml:space="preserve">improved iron status in adolescents in Sri Lanka. </w:t>
      </w:r>
      <w:r w:rsidR="00A82D5D">
        <w:rPr>
          <w:rFonts w:cs="Arial"/>
        </w:rPr>
        <w:t>It is possible that</w:t>
      </w:r>
      <w:r w:rsidR="00123159">
        <w:rPr>
          <w:rFonts w:cs="Arial"/>
        </w:rPr>
        <w:t xml:space="preserve"> improved iron status </w:t>
      </w:r>
      <w:r w:rsidR="00D96B6B" w:rsidRPr="00D96B6B">
        <w:rPr>
          <w:rFonts w:cs="Arial"/>
        </w:rPr>
        <w:t>confer</w:t>
      </w:r>
      <w:r w:rsidR="00123159">
        <w:rPr>
          <w:rFonts w:cs="Arial"/>
        </w:rPr>
        <w:t>s</w:t>
      </w:r>
      <w:r w:rsidR="00D96B6B" w:rsidRPr="00D96B6B">
        <w:rPr>
          <w:rFonts w:cs="Arial"/>
        </w:rPr>
        <w:t xml:space="preserve"> </w:t>
      </w:r>
      <w:r w:rsidR="00466BFD">
        <w:rPr>
          <w:rFonts w:cs="Arial"/>
        </w:rPr>
        <w:t>a selection advantage to</w:t>
      </w:r>
      <w:r w:rsidR="00D96B6B">
        <w:rPr>
          <w:rFonts w:cs="Arial"/>
        </w:rPr>
        <w:t xml:space="preserve"> carriers of th</w:t>
      </w:r>
      <w:r w:rsidR="00466BFD">
        <w:rPr>
          <w:rFonts w:cs="Arial"/>
        </w:rPr>
        <w:t>is variant</w:t>
      </w:r>
      <w:r w:rsidR="00D96B6B" w:rsidRPr="00D96B6B">
        <w:rPr>
          <w:rFonts w:cs="Arial"/>
        </w:rPr>
        <w:t xml:space="preserve"> and </w:t>
      </w:r>
      <w:r w:rsidR="00123159">
        <w:rPr>
          <w:rFonts w:cs="Arial"/>
        </w:rPr>
        <w:t xml:space="preserve">accounts for </w:t>
      </w:r>
      <w:r w:rsidR="00D96B6B" w:rsidRPr="00D96B6B">
        <w:rPr>
          <w:rFonts w:cs="Arial"/>
        </w:rPr>
        <w:t>the cosmopolitan distribution and high frequencies of th</w:t>
      </w:r>
      <w:r w:rsidR="00466BFD">
        <w:rPr>
          <w:rFonts w:cs="Arial"/>
        </w:rPr>
        <w:t xml:space="preserve">e H63D variant </w:t>
      </w:r>
      <w:r w:rsidR="00D96B6B" w:rsidRPr="00D96B6B">
        <w:rPr>
          <w:rFonts w:cs="Arial"/>
        </w:rPr>
        <w:t>throughout the world</w:t>
      </w:r>
      <w:r w:rsidR="00F71B5F">
        <w:rPr>
          <w:rFonts w:cs="Arial"/>
        </w:rPr>
        <w:t>.</w:t>
      </w:r>
    </w:p>
    <w:p w14:paraId="2F897C34" w14:textId="486E9C6D" w:rsidR="00731654" w:rsidRPr="00F95354" w:rsidRDefault="00731654" w:rsidP="00DA4A74">
      <w:pPr>
        <w:autoSpaceDE w:val="0"/>
        <w:autoSpaceDN w:val="0"/>
        <w:adjustRightInd w:val="0"/>
        <w:spacing w:before="240" w:line="480" w:lineRule="auto"/>
        <w:rPr>
          <w:rFonts w:cs="Arial"/>
        </w:rPr>
      </w:pPr>
      <w:r w:rsidRPr="00731654">
        <w:rPr>
          <w:rFonts w:cs="Arial"/>
          <w:b/>
        </w:rPr>
        <w:t>Funding statement:</w:t>
      </w:r>
      <w:r>
        <w:rPr>
          <w:rFonts w:cs="Arial"/>
        </w:rPr>
        <w:t xml:space="preserve"> </w:t>
      </w:r>
      <w:r w:rsidRPr="00F95354">
        <w:rPr>
          <w:rFonts w:cs="Arial"/>
        </w:rPr>
        <w:t xml:space="preserve">The study </w:t>
      </w:r>
      <w:r>
        <w:rPr>
          <w:rFonts w:cs="Arial"/>
        </w:rPr>
        <w:t>was supported by the</w:t>
      </w:r>
      <w:r w:rsidRPr="00F95354">
        <w:rPr>
          <w:rFonts w:cs="Arial"/>
        </w:rPr>
        <w:t xml:space="preserve"> Wellcome Trust</w:t>
      </w:r>
      <w:r>
        <w:rPr>
          <w:rFonts w:cs="Arial"/>
        </w:rPr>
        <w:t xml:space="preserve"> [</w:t>
      </w:r>
      <w:r w:rsidRPr="00F95354">
        <w:rPr>
          <w:rFonts w:cs="Arial"/>
        </w:rPr>
        <w:t>grant no. 053267/Z98F</w:t>
      </w:r>
      <w:r>
        <w:rPr>
          <w:rFonts w:cs="Arial"/>
        </w:rPr>
        <w:t>]</w:t>
      </w:r>
      <w:r w:rsidRPr="00F95354">
        <w:rPr>
          <w:rFonts w:cs="Arial"/>
        </w:rPr>
        <w:t>, Medical Researc</w:t>
      </w:r>
      <w:r>
        <w:rPr>
          <w:rFonts w:cs="Arial"/>
        </w:rPr>
        <w:t>h Council [</w:t>
      </w:r>
      <w:r w:rsidRPr="00F95354">
        <w:rPr>
          <w:rFonts w:cs="Arial"/>
        </w:rPr>
        <w:t xml:space="preserve">grant no. </w:t>
      </w:r>
      <w:r>
        <w:rPr>
          <w:rFonts w:cs="Arial"/>
        </w:rPr>
        <w:t>4050189188]</w:t>
      </w:r>
      <w:r w:rsidRPr="00F95354">
        <w:rPr>
          <w:rFonts w:cs="Arial"/>
        </w:rPr>
        <w:t xml:space="preserve"> and The Anthony Cerami and Ann Dunne Foundation for World Health.</w:t>
      </w:r>
      <w:r w:rsidRPr="00F95354">
        <w:rPr>
          <w:rFonts w:eastAsia="Times New Roman" w:cs="Arial"/>
        </w:rPr>
        <w:t xml:space="preserve"> The funders had no role in s</w:t>
      </w:r>
      <w:r>
        <w:rPr>
          <w:rFonts w:eastAsia="Times New Roman" w:cs="Arial"/>
        </w:rPr>
        <w:t>tudy design, data collection,</w:t>
      </w:r>
      <w:r w:rsidRPr="00F95354">
        <w:rPr>
          <w:rFonts w:eastAsia="Times New Roman" w:cs="Arial"/>
        </w:rPr>
        <w:t xml:space="preserve"> analysis, decision to publish, or preparation of the manuscript.</w:t>
      </w:r>
    </w:p>
    <w:p w14:paraId="263529E3" w14:textId="77777777" w:rsidR="00731654" w:rsidRPr="007916DE" w:rsidRDefault="00731654" w:rsidP="00DA4A74">
      <w:pPr>
        <w:autoSpaceDE w:val="0"/>
        <w:autoSpaceDN w:val="0"/>
        <w:adjustRightInd w:val="0"/>
        <w:spacing w:before="240" w:line="480" w:lineRule="auto"/>
        <w:rPr>
          <w:rFonts w:cs="Arial"/>
        </w:rPr>
      </w:pPr>
    </w:p>
    <w:p w14:paraId="2979DBA0" w14:textId="77777777" w:rsidR="00C326EF" w:rsidRDefault="00C326EF" w:rsidP="00DA4A74">
      <w:pPr>
        <w:tabs>
          <w:tab w:val="left" w:pos="0"/>
        </w:tabs>
        <w:spacing w:line="480" w:lineRule="auto"/>
        <w:rPr>
          <w:rFonts w:cs="Arial"/>
          <w:b/>
          <w:lang w:val="pt-BR"/>
        </w:rPr>
      </w:pPr>
      <w:r w:rsidRPr="009A7898">
        <w:rPr>
          <w:rFonts w:cs="Arial"/>
          <w:b/>
          <w:lang w:val="pt-BR"/>
        </w:rPr>
        <w:t>Acknowledgements:</w:t>
      </w:r>
    </w:p>
    <w:p w14:paraId="18092AD1" w14:textId="797A9E03" w:rsidR="001D2AD3" w:rsidRDefault="00846D48" w:rsidP="00DA4A74">
      <w:pPr>
        <w:tabs>
          <w:tab w:val="left" w:pos="0"/>
        </w:tabs>
        <w:spacing w:line="480" w:lineRule="auto"/>
        <w:rPr>
          <w:rFonts w:cs="Arial"/>
          <w:b/>
          <w:lang w:val="pt-BR"/>
        </w:rPr>
      </w:pPr>
      <w:r w:rsidRPr="00846D48">
        <w:rPr>
          <w:rFonts w:cs="Arial"/>
          <w:bCs/>
          <w:lang w:val="pt-BR"/>
        </w:rPr>
        <w:t>This article is dedicated to the memory of the late Professor Sir David Weatherall, who contributed to the design of the study and provided invaluable input into interpretation of the findings and writing te report.</w:t>
      </w:r>
    </w:p>
    <w:p w14:paraId="42EB52C8" w14:textId="2189FADA" w:rsidR="00C326EF" w:rsidRDefault="00C326EF" w:rsidP="00DA4A74">
      <w:pPr>
        <w:widowControl w:val="0"/>
        <w:spacing w:line="480" w:lineRule="auto"/>
        <w:jc w:val="both"/>
        <w:rPr>
          <w:rFonts w:cs="Arial"/>
        </w:rPr>
      </w:pPr>
      <w:r w:rsidRPr="009A7898">
        <w:rPr>
          <w:rFonts w:eastAsia="Times New Roman" w:cs="Arial"/>
        </w:rPr>
        <w:t>We would like to thank</w:t>
      </w:r>
      <w:r w:rsidRPr="009A7898">
        <w:rPr>
          <w:rFonts w:cs="Arial"/>
          <w:lang w:val="pt-BR"/>
        </w:rPr>
        <w:t xml:space="preserve"> Dr. Ishari Silva, Dr. Nizri Hameed and all staff at the </w:t>
      </w:r>
      <w:r w:rsidRPr="009A7898">
        <w:rPr>
          <w:rFonts w:cs="Arial"/>
        </w:rPr>
        <w:t>Thalassemia Care Unit, North Colombo Teaching Hospital, Ragama, Sri Lanka</w:t>
      </w:r>
      <w:r w:rsidRPr="009A7898">
        <w:rPr>
          <w:rFonts w:cs="Arial"/>
          <w:lang w:val="pt-BR"/>
        </w:rPr>
        <w:t>, Mr. Lahiru Udayanga, Dr. G. Goonathilaka, Dr. R. Ramees</w:t>
      </w:r>
      <w:r w:rsidRPr="009A7898">
        <w:rPr>
          <w:rFonts w:cs="Arial"/>
        </w:rPr>
        <w:t xml:space="preserve"> Faculty of Medicine, University of Kelaniya, Sri Lanka for their valuable support in this study. Special thanks </w:t>
      </w:r>
      <w:r w:rsidR="00797425">
        <w:rPr>
          <w:rFonts w:cs="Arial"/>
        </w:rPr>
        <w:t xml:space="preserve">also </w:t>
      </w:r>
      <w:r w:rsidRPr="009A7898">
        <w:rPr>
          <w:rFonts w:cs="Arial"/>
        </w:rPr>
        <w:t>go to the school children and their parents who participated in this study.</w:t>
      </w:r>
    </w:p>
    <w:p w14:paraId="598B70E3" w14:textId="77777777" w:rsidR="00C77442" w:rsidRDefault="00C77442" w:rsidP="00DA4A74">
      <w:pPr>
        <w:widowControl w:val="0"/>
        <w:spacing w:line="480" w:lineRule="auto"/>
        <w:jc w:val="both"/>
        <w:rPr>
          <w:rFonts w:cs="Arial"/>
        </w:rPr>
      </w:pPr>
    </w:p>
    <w:p w14:paraId="68365CFD" w14:textId="77777777" w:rsidR="00731654" w:rsidRDefault="00731654" w:rsidP="00C326EF">
      <w:pPr>
        <w:widowControl w:val="0"/>
        <w:spacing w:line="360" w:lineRule="auto"/>
        <w:jc w:val="both"/>
        <w:rPr>
          <w:rFonts w:cs="Arial"/>
        </w:rPr>
      </w:pPr>
    </w:p>
    <w:p w14:paraId="43FAD019" w14:textId="77777777" w:rsidR="00A906FD" w:rsidRDefault="00A906FD" w:rsidP="00C326EF">
      <w:pPr>
        <w:widowControl w:val="0"/>
        <w:spacing w:line="360" w:lineRule="auto"/>
        <w:jc w:val="both"/>
        <w:rPr>
          <w:rFonts w:cs="Arial"/>
        </w:rPr>
      </w:pPr>
    </w:p>
    <w:p w14:paraId="55769E90" w14:textId="77777777" w:rsidR="00C77442" w:rsidRPr="009A7898" w:rsidRDefault="00C77442" w:rsidP="00C326EF">
      <w:pPr>
        <w:widowControl w:val="0"/>
        <w:spacing w:line="360" w:lineRule="auto"/>
        <w:jc w:val="both"/>
        <w:rPr>
          <w:rFonts w:cs="Arial"/>
        </w:rPr>
      </w:pPr>
    </w:p>
    <w:p w14:paraId="57BF9687" w14:textId="232FFFFF" w:rsidR="00C77442" w:rsidRPr="001408B2" w:rsidRDefault="0057316B" w:rsidP="00A906FD">
      <w:pPr>
        <w:rPr>
          <w:rFonts w:eastAsia="Times New Roman" w:cs="Arial"/>
        </w:rPr>
      </w:pPr>
      <w:r>
        <w:rPr>
          <w:rFonts w:cs="Arial"/>
        </w:rPr>
        <w:br w:type="page"/>
      </w:r>
    </w:p>
    <w:p w14:paraId="1BC75C54" w14:textId="4A2DBD2F" w:rsidR="00C77442" w:rsidRPr="009A7898" w:rsidRDefault="00C77442" w:rsidP="00C326EF">
      <w:pPr>
        <w:tabs>
          <w:tab w:val="left" w:pos="0"/>
        </w:tabs>
        <w:rPr>
          <w:rFonts w:cs="Arial"/>
        </w:rPr>
      </w:pPr>
    </w:p>
    <w:p w14:paraId="547743B3" w14:textId="77777777" w:rsidR="00C326EF" w:rsidRPr="009A7898" w:rsidRDefault="00C326EF" w:rsidP="00C326EF">
      <w:pPr>
        <w:widowControl w:val="0"/>
        <w:jc w:val="both"/>
        <w:rPr>
          <w:rFonts w:cs="Arial"/>
        </w:rPr>
      </w:pPr>
    </w:p>
    <w:p w14:paraId="28FF86D2" w14:textId="77777777" w:rsidR="0057316B" w:rsidRDefault="0057316B">
      <w:pPr>
        <w:rPr>
          <w:rFonts w:cs="Arial"/>
        </w:rPr>
      </w:pPr>
    </w:p>
    <w:p w14:paraId="4E7C230C" w14:textId="64C2BBBA" w:rsidR="00282D6D" w:rsidRDefault="00575A17" w:rsidP="001B45F1">
      <w:pPr>
        <w:spacing w:line="480" w:lineRule="auto"/>
        <w:rPr>
          <w:rFonts w:cs="Arial"/>
          <w:b/>
        </w:rPr>
      </w:pPr>
      <w:r w:rsidRPr="00282D6D">
        <w:rPr>
          <w:rFonts w:cs="Arial"/>
          <w:b/>
        </w:rPr>
        <w:t>REFERENCES:</w:t>
      </w:r>
    </w:p>
    <w:p w14:paraId="0B596598" w14:textId="77777777" w:rsidR="00282D6D" w:rsidRPr="00E51755" w:rsidRDefault="00282D6D" w:rsidP="00282D6D">
      <w:pPr>
        <w:pStyle w:val="Title"/>
        <w:numPr>
          <w:ilvl w:val="0"/>
          <w:numId w:val="1"/>
        </w:numPr>
        <w:spacing w:line="480" w:lineRule="auto"/>
        <w:rPr>
          <w:rFonts w:ascii="Arial" w:hAnsi="Arial" w:cs="Arial"/>
          <w:sz w:val="24"/>
          <w:szCs w:val="24"/>
        </w:rPr>
      </w:pPr>
      <w:r w:rsidRPr="00E51755">
        <w:rPr>
          <w:rFonts w:ascii="Arial" w:hAnsi="Arial" w:cs="Arial"/>
          <w:bCs/>
          <w:sz w:val="24"/>
          <w:szCs w:val="24"/>
        </w:rPr>
        <w:t>Feder</w:t>
      </w:r>
      <w:r w:rsidRPr="00E51755">
        <w:rPr>
          <w:rFonts w:ascii="Arial" w:hAnsi="Arial" w:cs="Arial"/>
          <w:sz w:val="24"/>
          <w:szCs w:val="24"/>
        </w:rPr>
        <w:t xml:space="preserve"> JN, Gnirke A, Thomas W, Tsuchihashi Z, Ruddy DA, Basava A, Dormishian F, Domingo R Jr, Ellis MC, Fullan A, Hinton LM, Jones NL, Kimmel BE, Kronmal GS, Lauer P, Lee VK, Loeb DB, Mapa FA, McClelland E, Meyer NC, Mintier GA, Moeller N, Moore T, Morikang E, Prass CE, Quintana L, Starnes SM, Schatzman RC, Brunke KJ, Drayna DT, Risch NJ, Bacon BR, Wolff RK.  A novel MHC class I-like gene is mutated in patients with hereditary haemochromatosis..</w:t>
      </w:r>
      <w:r w:rsidRPr="00E51755">
        <w:rPr>
          <w:rStyle w:val="jrnl"/>
          <w:rFonts w:ascii="Arial" w:hAnsi="Arial" w:cs="Arial"/>
          <w:sz w:val="24"/>
          <w:szCs w:val="24"/>
        </w:rPr>
        <w:t>Nat Genet</w:t>
      </w:r>
      <w:r w:rsidRPr="00E51755">
        <w:rPr>
          <w:rFonts w:ascii="Arial" w:hAnsi="Arial" w:cs="Arial"/>
          <w:sz w:val="24"/>
          <w:szCs w:val="24"/>
        </w:rPr>
        <w:t>. 1996 Aug;13(4):399-408</w:t>
      </w:r>
    </w:p>
    <w:p w14:paraId="7F9B30B6" w14:textId="77777777" w:rsidR="00282D6D" w:rsidRPr="00E51755" w:rsidRDefault="00282D6D" w:rsidP="00282D6D">
      <w:pPr>
        <w:pStyle w:val="ListParagraph"/>
        <w:widowControl w:val="0"/>
        <w:numPr>
          <w:ilvl w:val="0"/>
          <w:numId w:val="1"/>
        </w:numPr>
        <w:autoSpaceDE w:val="0"/>
        <w:autoSpaceDN w:val="0"/>
        <w:adjustRightInd w:val="0"/>
        <w:spacing w:after="240" w:line="480" w:lineRule="auto"/>
        <w:rPr>
          <w:rFonts w:ascii="Arial" w:hAnsi="Arial" w:cs="Arial"/>
          <w:lang w:eastAsia="ja-JP"/>
        </w:rPr>
      </w:pPr>
      <w:r w:rsidRPr="00E51755">
        <w:rPr>
          <w:rFonts w:ascii="Arial" w:hAnsi="Arial" w:cs="Arial"/>
          <w:lang w:eastAsia="ja-JP"/>
        </w:rPr>
        <w:t>Distante S, Robson K.</w:t>
      </w:r>
      <w:r>
        <w:rPr>
          <w:rFonts w:ascii="Arial" w:hAnsi="Arial" w:cs="Arial"/>
          <w:lang w:eastAsia="ja-JP"/>
        </w:rPr>
        <w:t>J, ,</w:t>
      </w:r>
      <w:r w:rsidRPr="00E51755">
        <w:rPr>
          <w:rFonts w:ascii="Arial" w:hAnsi="Arial" w:cs="Arial"/>
          <w:lang w:eastAsia="ja-JP"/>
        </w:rPr>
        <w:t>Graham-Campbell J</w:t>
      </w:r>
      <w:r>
        <w:rPr>
          <w:rFonts w:ascii="Arial" w:hAnsi="Arial" w:cs="Arial"/>
          <w:lang w:eastAsia="ja-JP"/>
        </w:rPr>
        <w:t xml:space="preserve">, </w:t>
      </w:r>
      <w:r w:rsidRPr="00E51755">
        <w:rPr>
          <w:rFonts w:ascii="Arial" w:hAnsi="Arial" w:cs="Arial"/>
          <w:lang w:eastAsia="ja-JP"/>
        </w:rPr>
        <w:t xml:space="preserve"> Arnaiz-Villena A</w:t>
      </w:r>
      <w:r>
        <w:rPr>
          <w:rFonts w:ascii="Arial" w:hAnsi="Arial" w:cs="Arial"/>
          <w:lang w:eastAsia="ja-JP"/>
        </w:rPr>
        <w:t>,</w:t>
      </w:r>
      <w:r w:rsidRPr="00E51755">
        <w:rPr>
          <w:rFonts w:ascii="Arial" w:hAnsi="Arial" w:cs="Arial"/>
          <w:lang w:eastAsia="ja-JP"/>
        </w:rPr>
        <w:t xml:space="preserve"> Brissot P.</w:t>
      </w:r>
      <w:r>
        <w:rPr>
          <w:rFonts w:ascii="Arial" w:hAnsi="Arial" w:cs="Arial"/>
          <w:lang w:eastAsia="ja-JP"/>
        </w:rPr>
        <w:t xml:space="preserve">, </w:t>
      </w:r>
      <w:r w:rsidRPr="00E51755">
        <w:rPr>
          <w:rFonts w:ascii="Arial" w:hAnsi="Arial" w:cs="Arial"/>
          <w:lang w:eastAsia="ja-JP"/>
        </w:rPr>
        <w:t>Worwood M</w:t>
      </w:r>
      <w:r>
        <w:rPr>
          <w:rFonts w:ascii="Arial" w:hAnsi="Arial" w:cs="Arial"/>
          <w:lang w:eastAsia="ja-JP"/>
        </w:rPr>
        <w:t>.</w:t>
      </w:r>
      <w:r w:rsidRPr="00E51755">
        <w:rPr>
          <w:rFonts w:ascii="Arial" w:hAnsi="Arial" w:cs="Arial"/>
          <w:lang w:eastAsia="ja-JP"/>
        </w:rPr>
        <w:t xml:space="preserve"> The origin and spread of the HFE-C282Y haemochromatosis mutation. Hum. Genet. 2004;115:269-279</w:t>
      </w:r>
      <w:r w:rsidRPr="00E51755">
        <w:rPr>
          <w:rFonts w:ascii="Arial" w:hAnsi="Arial" w:cs="Arial"/>
          <w:color w:val="0000FF"/>
          <w:lang w:eastAsia="ja-JP"/>
        </w:rPr>
        <w:t xml:space="preserve"> </w:t>
      </w:r>
    </w:p>
    <w:p w14:paraId="7FA8B4AB" w14:textId="77777777" w:rsidR="00282D6D" w:rsidRPr="00E51755" w:rsidRDefault="00282D6D" w:rsidP="00282D6D">
      <w:pPr>
        <w:widowControl w:val="0"/>
        <w:numPr>
          <w:ilvl w:val="0"/>
          <w:numId w:val="1"/>
        </w:numPr>
        <w:autoSpaceDE w:val="0"/>
        <w:autoSpaceDN w:val="0"/>
        <w:adjustRightInd w:val="0"/>
        <w:spacing w:before="100" w:beforeAutospacing="1" w:afterAutospacing="1" w:line="480" w:lineRule="auto"/>
        <w:ind w:right="-720"/>
        <w:rPr>
          <w:rFonts w:cs="Arial"/>
        </w:rPr>
      </w:pPr>
      <w:r w:rsidRPr="00E51755">
        <w:rPr>
          <w:rFonts w:cs="Arial"/>
        </w:rPr>
        <w:t>Merryweather Clarke AT, Pointon JJ, Jouanolle AM, Rochette J, Robson KJH. Geography of HFE C282Y and H63D mutations. Genetic Testing. 2000; 4 (2) :183-191</w:t>
      </w:r>
    </w:p>
    <w:p w14:paraId="0627FC63" w14:textId="77777777" w:rsidR="00282D6D" w:rsidRPr="00E51755" w:rsidRDefault="00282D6D" w:rsidP="00282D6D">
      <w:pPr>
        <w:pStyle w:val="yiv6782687314msonormal"/>
        <w:numPr>
          <w:ilvl w:val="0"/>
          <w:numId w:val="1"/>
        </w:numPr>
        <w:spacing w:line="480" w:lineRule="auto"/>
        <w:rPr>
          <w:rFonts w:ascii="Arial" w:hAnsi="Arial" w:cs="Arial"/>
          <w:sz w:val="24"/>
          <w:szCs w:val="24"/>
        </w:rPr>
      </w:pPr>
      <w:r w:rsidRPr="00E51755">
        <w:rPr>
          <w:rFonts w:ascii="Arial" w:hAnsi="Arial" w:cs="Arial"/>
          <w:sz w:val="24"/>
          <w:szCs w:val="24"/>
          <w:lang w:val="en-US"/>
        </w:rPr>
        <w:t>Wallace DF, Dooley JS, Walker AP. A novel mutation of HFE explains the classical phenotype of genetic hemochromatosis in a C282Y heterozygote. Gastroenterology. 1999; 116:1409-12. PMID 10348824</w:t>
      </w:r>
    </w:p>
    <w:p w14:paraId="470A039C" w14:textId="77777777" w:rsidR="00282D6D" w:rsidRPr="00E51755" w:rsidRDefault="00282D6D" w:rsidP="00282D6D">
      <w:pPr>
        <w:pStyle w:val="Heading1"/>
        <w:numPr>
          <w:ilvl w:val="0"/>
          <w:numId w:val="1"/>
        </w:numPr>
        <w:spacing w:line="480" w:lineRule="auto"/>
        <w:rPr>
          <w:rFonts w:ascii="Arial" w:hAnsi="Arial" w:cs="Arial"/>
          <w:sz w:val="24"/>
          <w:szCs w:val="24"/>
        </w:rPr>
      </w:pPr>
      <w:r w:rsidRPr="00E51755">
        <w:rPr>
          <w:rFonts w:ascii="Arial" w:eastAsia="Times New Roman" w:hAnsi="Arial" w:cs="Arial"/>
          <w:b w:val="0"/>
          <w:sz w:val="24"/>
          <w:szCs w:val="24"/>
        </w:rPr>
        <w:t>Rochette J, Pointon JJ,  Fisher CA,  Perera G,  Arambepola M,  Arichchi DS,  De Silva S,  Vandwalle JL,  Monti, JP  Old JM,  Merryweather – Clarke AT,  Weatherall  DJ and  Robson KJ.</w:t>
      </w:r>
      <w:r w:rsidRPr="00E51755">
        <w:rPr>
          <w:rStyle w:val="cit"/>
          <w:rFonts w:ascii="Arial" w:eastAsia="Times New Roman" w:hAnsi="Arial" w:cs="Arial"/>
          <w:b w:val="0"/>
          <w:sz w:val="24"/>
          <w:szCs w:val="24"/>
        </w:rPr>
        <w:t xml:space="preserve"> </w:t>
      </w:r>
      <w:r w:rsidRPr="00E51755">
        <w:rPr>
          <w:rFonts w:ascii="Arial" w:eastAsia="Times New Roman" w:hAnsi="Arial" w:cs="Arial"/>
          <w:b w:val="0"/>
          <w:sz w:val="24"/>
          <w:szCs w:val="24"/>
        </w:rPr>
        <w:t>Multicentric origin of hemochromatosis gene (HFE) mutations.</w:t>
      </w:r>
      <w:r w:rsidRPr="00E51755">
        <w:rPr>
          <w:rStyle w:val="cit"/>
          <w:rFonts w:ascii="Arial" w:eastAsia="Times New Roman" w:hAnsi="Arial" w:cs="Arial"/>
          <w:b w:val="0"/>
          <w:sz w:val="24"/>
          <w:szCs w:val="24"/>
        </w:rPr>
        <w:t xml:space="preserve"> Am J Hum Genet. 1999 Apr; 64(4): 1056–1062.</w:t>
      </w:r>
    </w:p>
    <w:p w14:paraId="66394080" w14:textId="77777777" w:rsidR="00282D6D" w:rsidRPr="00E51755" w:rsidRDefault="00282D6D" w:rsidP="00282D6D">
      <w:pPr>
        <w:widowControl w:val="0"/>
        <w:numPr>
          <w:ilvl w:val="0"/>
          <w:numId w:val="1"/>
        </w:numPr>
        <w:autoSpaceDE w:val="0"/>
        <w:autoSpaceDN w:val="0"/>
        <w:adjustRightInd w:val="0"/>
        <w:spacing w:before="100" w:beforeAutospacing="1" w:afterAutospacing="1" w:line="480" w:lineRule="auto"/>
        <w:ind w:right="-720"/>
        <w:rPr>
          <w:rFonts w:cs="Arial"/>
        </w:rPr>
      </w:pPr>
      <w:r w:rsidRPr="00E51755">
        <w:rPr>
          <w:rFonts w:eastAsia="Times New Roman" w:cs="Arial"/>
        </w:rPr>
        <w:t xml:space="preserve">Premawardhena A, Allen A, Piel F, Fisher C, Perera L, Rodrigo R, Goonathilaka G, Ramees L, Peto T, Olivieri N, Weatherall D. The evolutionary and clinical </w:t>
      </w:r>
      <w:r w:rsidRPr="00E51755">
        <w:rPr>
          <w:rFonts w:eastAsia="Times New Roman" w:cs="Arial"/>
        </w:rPr>
        <w:lastRenderedPageBreak/>
        <w:t xml:space="preserve">implications of the uneven distribution of the frequency of the inherited haemoglobin variants over short geographical distances. </w:t>
      </w:r>
      <w:r w:rsidRPr="00E51755">
        <w:rPr>
          <w:rStyle w:val="jrnl"/>
          <w:rFonts w:eastAsia="Times New Roman" w:cs="Arial"/>
        </w:rPr>
        <w:t>Br J Haematol</w:t>
      </w:r>
      <w:r w:rsidRPr="00E51755">
        <w:rPr>
          <w:rFonts w:eastAsia="Times New Roman" w:cs="Arial"/>
        </w:rPr>
        <w:t>. 2017 Feb;176(3):475-484. doi: 10.1111/bjh.14437</w:t>
      </w:r>
    </w:p>
    <w:p w14:paraId="3D6C5D9E" w14:textId="77777777" w:rsidR="00282D6D" w:rsidRPr="00E51755" w:rsidRDefault="00282D6D" w:rsidP="00282D6D">
      <w:pPr>
        <w:pStyle w:val="desc"/>
        <w:numPr>
          <w:ilvl w:val="0"/>
          <w:numId w:val="1"/>
        </w:numPr>
        <w:spacing w:line="480" w:lineRule="auto"/>
        <w:rPr>
          <w:rFonts w:ascii="Arial" w:hAnsi="Arial" w:cs="Arial"/>
          <w:sz w:val="24"/>
          <w:szCs w:val="24"/>
        </w:rPr>
      </w:pPr>
      <w:r w:rsidRPr="00E51755">
        <w:rPr>
          <w:rFonts w:ascii="Arial" w:hAnsi="Arial" w:cs="Arial"/>
          <w:sz w:val="24"/>
          <w:szCs w:val="24"/>
        </w:rPr>
        <w:t xml:space="preserve">Allen A, Allen S, Rodrigo R, Perera L, Shao W, Li C, Wang D, Olivieri N, Weatherall DJ, Premawardhena A. </w:t>
      </w:r>
      <w:r w:rsidRPr="002962DF">
        <w:rPr>
          <w:rFonts w:ascii="Arial" w:hAnsi="Arial" w:cs="Arial"/>
          <w:bCs/>
          <w:sz w:val="24"/>
          <w:szCs w:val="24"/>
        </w:rPr>
        <w:t>Iron</w:t>
      </w:r>
      <w:r w:rsidRPr="00684998">
        <w:rPr>
          <w:rFonts w:ascii="Arial" w:hAnsi="Arial" w:cs="Arial"/>
          <w:sz w:val="24"/>
          <w:szCs w:val="24"/>
        </w:rPr>
        <w:t xml:space="preserve"> </w:t>
      </w:r>
      <w:r w:rsidRPr="002962DF">
        <w:rPr>
          <w:rFonts w:ascii="Arial" w:hAnsi="Arial" w:cs="Arial"/>
          <w:bCs/>
          <w:sz w:val="24"/>
          <w:szCs w:val="24"/>
        </w:rPr>
        <w:t>status</w:t>
      </w:r>
      <w:r w:rsidRPr="00684998">
        <w:rPr>
          <w:rFonts w:ascii="Arial" w:hAnsi="Arial" w:cs="Arial"/>
          <w:sz w:val="24"/>
          <w:szCs w:val="24"/>
        </w:rPr>
        <w:t xml:space="preserve"> and anaemia in </w:t>
      </w:r>
      <w:r w:rsidRPr="002962DF">
        <w:rPr>
          <w:rFonts w:ascii="Arial" w:hAnsi="Arial" w:cs="Arial"/>
          <w:bCs/>
          <w:sz w:val="24"/>
          <w:szCs w:val="24"/>
        </w:rPr>
        <w:t>Sri</w:t>
      </w:r>
      <w:r w:rsidRPr="00E51755">
        <w:rPr>
          <w:rFonts w:ascii="Arial" w:hAnsi="Arial" w:cs="Arial"/>
          <w:sz w:val="24"/>
          <w:szCs w:val="24"/>
        </w:rPr>
        <w:t xml:space="preserve"> Lankan secondary school children: A cross-sectional survey.</w:t>
      </w:r>
      <w:r w:rsidRPr="00E51755">
        <w:rPr>
          <w:rStyle w:val="jrnl"/>
          <w:rFonts w:ascii="Arial" w:hAnsi="Arial" w:cs="Arial"/>
          <w:sz w:val="24"/>
          <w:szCs w:val="24"/>
        </w:rPr>
        <w:t>PLoS One</w:t>
      </w:r>
      <w:r w:rsidRPr="00E51755">
        <w:rPr>
          <w:rFonts w:ascii="Arial" w:hAnsi="Arial" w:cs="Arial"/>
          <w:sz w:val="24"/>
          <w:szCs w:val="24"/>
        </w:rPr>
        <w:t>. 2017 Nov 20;12(11):e0188110.</w:t>
      </w:r>
    </w:p>
    <w:p w14:paraId="01505E8E" w14:textId="77777777" w:rsidR="00282D6D" w:rsidRPr="00E51755" w:rsidRDefault="00282D6D" w:rsidP="00282D6D">
      <w:pPr>
        <w:pStyle w:val="desc"/>
        <w:numPr>
          <w:ilvl w:val="0"/>
          <w:numId w:val="1"/>
        </w:numPr>
        <w:spacing w:line="480" w:lineRule="auto"/>
        <w:rPr>
          <w:rFonts w:ascii="Arial" w:hAnsi="Arial" w:cs="Arial"/>
          <w:sz w:val="24"/>
          <w:szCs w:val="24"/>
        </w:rPr>
      </w:pPr>
      <w:r w:rsidRPr="00E51755">
        <w:rPr>
          <w:rFonts w:ascii="Arial" w:hAnsi="Arial" w:cs="Arial"/>
          <w:sz w:val="24"/>
          <w:szCs w:val="24"/>
        </w:rPr>
        <w:t>Rodrigo R, Allen A, Manampreri A, Perera L, Fisher CA, Allen S, Weatherall DJ, Premawardhena A.</w:t>
      </w:r>
      <w:r>
        <w:rPr>
          <w:rFonts w:ascii="Arial" w:hAnsi="Arial" w:cs="Arial"/>
          <w:sz w:val="24"/>
          <w:szCs w:val="24"/>
        </w:rPr>
        <w:t xml:space="preserve"> </w:t>
      </w:r>
      <w:r w:rsidRPr="00E51755">
        <w:rPr>
          <w:rFonts w:ascii="Arial" w:hAnsi="Arial" w:cs="Arial"/>
          <w:sz w:val="24"/>
          <w:szCs w:val="24"/>
        </w:rPr>
        <w:t xml:space="preserve">Haemoglobin variants, iron status and anaemia in Sri Lankan adolescents with low red cell indices: A cross sectional survey. </w:t>
      </w:r>
      <w:r w:rsidRPr="00E51755">
        <w:rPr>
          <w:rStyle w:val="jrnl"/>
          <w:rFonts w:ascii="Arial" w:hAnsi="Arial" w:cs="Arial"/>
          <w:sz w:val="24"/>
          <w:szCs w:val="24"/>
        </w:rPr>
        <w:t>Blood Cells Mol Dis</w:t>
      </w:r>
      <w:r w:rsidRPr="00E51755">
        <w:rPr>
          <w:rFonts w:ascii="Arial" w:hAnsi="Arial" w:cs="Arial"/>
          <w:sz w:val="24"/>
          <w:szCs w:val="24"/>
        </w:rPr>
        <w:t xml:space="preserve">. 2018 Jul;71:11-15. doi: 10.1016/j.bcmd.2018.01.003. </w:t>
      </w:r>
    </w:p>
    <w:p w14:paraId="03480D23" w14:textId="77777777" w:rsidR="00282D6D" w:rsidRPr="00E51755" w:rsidRDefault="00282D6D" w:rsidP="00282D6D">
      <w:pPr>
        <w:widowControl w:val="0"/>
        <w:numPr>
          <w:ilvl w:val="0"/>
          <w:numId w:val="1"/>
        </w:numPr>
        <w:autoSpaceDE w:val="0"/>
        <w:autoSpaceDN w:val="0"/>
        <w:adjustRightInd w:val="0"/>
        <w:spacing w:before="100" w:beforeAutospacing="1" w:afterAutospacing="1" w:line="480" w:lineRule="auto"/>
        <w:ind w:right="-720"/>
        <w:rPr>
          <w:rFonts w:cs="Arial"/>
        </w:rPr>
      </w:pPr>
      <w:r w:rsidRPr="00E51755">
        <w:rPr>
          <w:rFonts w:cs="Arial"/>
        </w:rPr>
        <w:t>Wray K, Allen A, Evans E, Fisher C, Premawardhena A, Perera L, Rodrigo R, Goonathilaka G, Ramees L, Webster C, Armitage AE, Prentice AM, Weatherall DJ, Drakesmith H, Pasricha SR. Hepcidin detects iron deficiency in Sri Lankan adolescents with a high burden of hemoglobinopathy: A diagnostic test accuracy study. Am J Hematol</w:t>
      </w:r>
      <w:r w:rsidRPr="00E51755">
        <w:rPr>
          <w:rFonts w:eastAsia="Times New Roman" w:cs="Arial"/>
        </w:rPr>
        <w:t>. 2017 Feb;92(2):196-203. doi: 10.1002/ajh.24617.</w:t>
      </w:r>
    </w:p>
    <w:p w14:paraId="7E2C96E2" w14:textId="77777777" w:rsidR="00282D6D" w:rsidRPr="00E51755" w:rsidRDefault="00282D6D" w:rsidP="00282D6D">
      <w:pPr>
        <w:pStyle w:val="ListParagraph"/>
        <w:numPr>
          <w:ilvl w:val="0"/>
          <w:numId w:val="1"/>
        </w:numPr>
        <w:spacing w:line="480" w:lineRule="auto"/>
        <w:rPr>
          <w:rFonts w:ascii="Arial" w:hAnsi="Arial" w:cs="Arial"/>
          <w:bCs/>
        </w:rPr>
      </w:pPr>
      <w:r w:rsidRPr="00E51755">
        <w:rPr>
          <w:rFonts w:ascii="Arial" w:hAnsi="Arial" w:cs="Arial"/>
          <w:bCs/>
        </w:rPr>
        <w:t xml:space="preserve">Melis MA, Pirastu M, Galanello R, Furbetta M, Tuberi T, Cao A. Phenotypic effect of heterozygous α and β ̊ thalassaemia interaction. Blood. 1983; 62(1):226–9. </w:t>
      </w:r>
    </w:p>
    <w:p w14:paraId="0FA55706" w14:textId="77777777" w:rsidR="00282D6D" w:rsidRPr="00E51755" w:rsidRDefault="00282D6D" w:rsidP="00282D6D">
      <w:pPr>
        <w:pStyle w:val="ListParagraph"/>
        <w:numPr>
          <w:ilvl w:val="0"/>
          <w:numId w:val="1"/>
        </w:numPr>
        <w:spacing w:line="480" w:lineRule="auto"/>
        <w:rPr>
          <w:rFonts w:ascii="Arial" w:hAnsi="Arial" w:cs="Arial"/>
          <w:bCs/>
        </w:rPr>
      </w:pPr>
      <w:r w:rsidRPr="00E51755">
        <w:rPr>
          <w:rFonts w:ascii="Arial" w:hAnsi="Arial" w:cs="Arial"/>
          <w:bCs/>
        </w:rPr>
        <w:t xml:space="preserve">Lafferty J, Crowther M, Ali M, Levine ML. The evaluation of various mathematical RBC indices and their efficiency in discriminating between thalassaemia and non thalassaemia microcytosis. Am J Clin Pathol. 1996; 106(2):201–5. </w:t>
      </w:r>
    </w:p>
    <w:p w14:paraId="55083029" w14:textId="77777777" w:rsidR="00282D6D" w:rsidRPr="00E51755" w:rsidRDefault="00282D6D" w:rsidP="00282D6D">
      <w:pPr>
        <w:widowControl w:val="0"/>
        <w:numPr>
          <w:ilvl w:val="0"/>
          <w:numId w:val="1"/>
        </w:numPr>
        <w:tabs>
          <w:tab w:val="left" w:pos="220"/>
          <w:tab w:val="left" w:pos="720"/>
        </w:tabs>
        <w:autoSpaceDE w:val="0"/>
        <w:autoSpaceDN w:val="0"/>
        <w:adjustRightInd w:val="0"/>
        <w:spacing w:after="213" w:line="480" w:lineRule="auto"/>
        <w:rPr>
          <w:rFonts w:cs="Arial"/>
          <w:bCs/>
        </w:rPr>
      </w:pPr>
      <w:r w:rsidRPr="00E51755">
        <w:rPr>
          <w:rFonts w:cs="Arial"/>
          <w:bCs/>
        </w:rPr>
        <w:t>Clarke G, Higgins T. Laboratory investigation of hemoglobinopathies and thalassaemias: Review and update. Clin Chem. 2000; 46:8(B):1284–90.  </w:t>
      </w:r>
    </w:p>
    <w:p w14:paraId="362C6A77" w14:textId="77777777" w:rsidR="00282D6D" w:rsidRPr="00E51755" w:rsidRDefault="00282D6D" w:rsidP="00282D6D">
      <w:pPr>
        <w:widowControl w:val="0"/>
        <w:numPr>
          <w:ilvl w:val="0"/>
          <w:numId w:val="1"/>
        </w:numPr>
        <w:autoSpaceDE w:val="0"/>
        <w:autoSpaceDN w:val="0"/>
        <w:adjustRightInd w:val="0"/>
        <w:spacing w:before="100" w:beforeAutospacing="1" w:afterAutospacing="1" w:line="480" w:lineRule="auto"/>
        <w:ind w:right="-720"/>
        <w:rPr>
          <w:rFonts w:cs="Arial"/>
        </w:rPr>
      </w:pPr>
      <w:r w:rsidRPr="00E51755">
        <w:rPr>
          <w:rFonts w:cs="Arial"/>
        </w:rPr>
        <w:lastRenderedPageBreak/>
        <w:t>Merryweather-Clarke AT, Pointon JJ, Shearman JD and Robson KJH.</w:t>
      </w:r>
      <w:r>
        <w:rPr>
          <w:rFonts w:cs="Arial"/>
        </w:rPr>
        <w:t xml:space="preserve"> </w:t>
      </w:r>
      <w:r w:rsidRPr="00E51755">
        <w:rPr>
          <w:rFonts w:cs="Arial"/>
        </w:rPr>
        <w:t>Global prevalence of putative haemochromatosis mutations. J Med Genet 1997;34: 275-278.</w:t>
      </w:r>
    </w:p>
    <w:p w14:paraId="60FD1B57" w14:textId="77777777" w:rsidR="00282D6D" w:rsidRDefault="00282D6D" w:rsidP="00282D6D">
      <w:pPr>
        <w:pStyle w:val="ListParagraph"/>
        <w:numPr>
          <w:ilvl w:val="0"/>
          <w:numId w:val="1"/>
        </w:numPr>
        <w:spacing w:line="480" w:lineRule="auto"/>
        <w:rPr>
          <w:rFonts w:ascii="Arial" w:eastAsia="Times New Roman" w:hAnsi="Arial" w:cs="Arial"/>
        </w:rPr>
      </w:pPr>
      <w:r w:rsidRPr="00E51755">
        <w:rPr>
          <w:rFonts w:ascii="Arial" w:hAnsi="Arial" w:cs="Arial"/>
        </w:rPr>
        <w:t xml:space="preserve">WHO. </w:t>
      </w:r>
      <w:r w:rsidRPr="00E51755">
        <w:rPr>
          <w:rFonts w:ascii="Arial" w:eastAsia="Times New Roman" w:hAnsi="Arial" w:cs="Arial"/>
        </w:rPr>
        <w:t>Assessing the iron status of populations: including literature reviews: report of a Joint World Health Organization/ Centers for Disease Control and Prevention Technical Consultation on the Assessment of Iron Status at the Population Level, Geneva, 2004. – 2nd ed. World Health Organization 2007.</w:t>
      </w:r>
    </w:p>
    <w:p w14:paraId="1FC476F6" w14:textId="77777777" w:rsidR="00282D6D" w:rsidRPr="00E51755" w:rsidRDefault="00282D6D" w:rsidP="00282D6D">
      <w:pPr>
        <w:pStyle w:val="ListParagraph"/>
        <w:spacing w:line="480" w:lineRule="auto"/>
        <w:rPr>
          <w:rFonts w:ascii="Arial" w:eastAsia="Times New Roman" w:hAnsi="Arial" w:cs="Arial"/>
        </w:rPr>
      </w:pPr>
    </w:p>
    <w:p w14:paraId="690EB6B7" w14:textId="77777777" w:rsidR="00282D6D" w:rsidRPr="00E51755" w:rsidRDefault="00282D6D" w:rsidP="00282D6D">
      <w:pPr>
        <w:pStyle w:val="ListParagraph"/>
        <w:widowControl w:val="0"/>
        <w:numPr>
          <w:ilvl w:val="0"/>
          <w:numId w:val="1"/>
        </w:numPr>
        <w:autoSpaceDE w:val="0"/>
        <w:autoSpaceDN w:val="0"/>
        <w:adjustRightInd w:val="0"/>
        <w:spacing w:line="480" w:lineRule="auto"/>
        <w:ind w:right="-306"/>
        <w:rPr>
          <w:rFonts w:ascii="Arial" w:eastAsia="Times New Roman" w:hAnsi="Arial" w:cs="Arial"/>
          <w:bCs/>
        </w:rPr>
      </w:pPr>
      <w:r w:rsidRPr="00E51755">
        <w:rPr>
          <w:rFonts w:ascii="Arial" w:hAnsi="Arial" w:cs="Arial"/>
          <w:color w:val="000000" w:themeColor="text1"/>
        </w:rPr>
        <w:t xml:space="preserve">Jones </w:t>
      </w:r>
      <w:r w:rsidRPr="00E51755">
        <w:rPr>
          <w:rFonts w:ascii="Arial" w:eastAsia="Times New Roman" w:hAnsi="Arial" w:cs="Arial"/>
          <w:color w:val="000000" w:themeColor="text1"/>
        </w:rPr>
        <w:t>E, Pasricha SR, Allen A, Evans P, Fisher CA, Wray K, Premawardhena A, Bandara D, Perera A, Webster C, Sturges P, Olivieri NF, St Pierre T, Armitage AE, Porter JB, Weatherall DJ, Drakesmith H</w:t>
      </w:r>
      <w:r w:rsidRPr="00E51755">
        <w:rPr>
          <w:rFonts w:ascii="Arial" w:eastAsia="Times New Roman" w:hAnsi="Arial" w:cs="Arial"/>
        </w:rPr>
        <w:t xml:space="preserve">. </w:t>
      </w:r>
      <w:r w:rsidRPr="00E51755">
        <w:rPr>
          <w:rStyle w:val="highlight"/>
          <w:rFonts w:ascii="Arial" w:eastAsia="Times New Roman" w:hAnsi="Arial" w:cs="Arial"/>
        </w:rPr>
        <w:t>Hepcidin</w:t>
      </w:r>
      <w:r w:rsidRPr="00E51755">
        <w:rPr>
          <w:rFonts w:ascii="Arial" w:eastAsia="Times New Roman" w:hAnsi="Arial" w:cs="Arial"/>
        </w:rPr>
        <w:t xml:space="preserve"> is suppressed by erythropoiesis in hemoglobin E β-thalassemia and β-thalassemia trait. Blood. 2015 Jan 29;125(5):873-80</w:t>
      </w:r>
    </w:p>
    <w:p w14:paraId="748469B6" w14:textId="77777777" w:rsidR="00282D6D" w:rsidRPr="00E51755" w:rsidRDefault="00282D6D" w:rsidP="00282D6D">
      <w:pPr>
        <w:pStyle w:val="ListParagraph"/>
        <w:numPr>
          <w:ilvl w:val="0"/>
          <w:numId w:val="1"/>
        </w:numPr>
        <w:spacing w:line="480" w:lineRule="auto"/>
        <w:rPr>
          <w:rFonts w:ascii="Arial" w:eastAsia="Times New Roman" w:hAnsi="Arial" w:cs="Arial"/>
        </w:rPr>
      </w:pPr>
      <w:r w:rsidRPr="00E51755">
        <w:rPr>
          <w:rFonts w:ascii="Arial" w:eastAsia="Times New Roman" w:hAnsi="Arial" w:cs="Arial"/>
        </w:rPr>
        <w:t xml:space="preserve"> Parischa SR, Drakesmith H. Iron deficiency anaemia: Problems in diagnosis and Prevention at the Population level. Hematol Oncol Clin N Am 30 (2016) 309-325.http://dx.doi.org/10.1016/j.hoc2015.11.003</w:t>
      </w:r>
    </w:p>
    <w:p w14:paraId="06D3A38A" w14:textId="1DA8ABEF" w:rsidR="00282D6D" w:rsidRPr="00282D6D" w:rsidRDefault="00282D6D" w:rsidP="00282D6D">
      <w:pPr>
        <w:pStyle w:val="ListParagraph"/>
        <w:widowControl w:val="0"/>
        <w:numPr>
          <w:ilvl w:val="0"/>
          <w:numId w:val="1"/>
        </w:numPr>
        <w:autoSpaceDE w:val="0"/>
        <w:autoSpaceDN w:val="0"/>
        <w:adjustRightInd w:val="0"/>
        <w:spacing w:line="480" w:lineRule="auto"/>
        <w:ind w:right="-306"/>
        <w:rPr>
          <w:rFonts w:ascii="Arial" w:eastAsia="Times New Roman" w:hAnsi="Arial" w:cs="Arial"/>
          <w:lang w:val="en-US"/>
        </w:rPr>
      </w:pPr>
      <w:r w:rsidRPr="00E51755">
        <w:rPr>
          <w:rStyle w:val="jsauthors"/>
          <w:rFonts w:ascii="Arial" w:eastAsia="Times New Roman" w:hAnsi="Arial" w:cs="Arial"/>
        </w:rPr>
        <w:t xml:space="preserve">Tillyer ML, Tillyer CR. </w:t>
      </w:r>
      <w:r w:rsidRPr="00E51755">
        <w:rPr>
          <w:rFonts w:ascii="Arial" w:eastAsia="Times New Roman" w:hAnsi="Arial" w:cs="Arial"/>
        </w:rPr>
        <w:t xml:space="preserve">Zinc protoporphyrin assays in patients with alpha and beta thalassaemia trait. J Clin Pathol, </w:t>
      </w:r>
      <w:r w:rsidRPr="00E51755">
        <w:rPr>
          <w:rStyle w:val="jspublicationdate"/>
          <w:rFonts w:ascii="Arial" w:eastAsia="Times New Roman" w:hAnsi="Arial" w:cs="Arial"/>
        </w:rPr>
        <w:t>1994</w:t>
      </w:r>
      <w:r w:rsidRPr="00E51755">
        <w:rPr>
          <w:rFonts w:ascii="Arial" w:eastAsia="Times New Roman" w:hAnsi="Arial" w:cs="Arial"/>
        </w:rPr>
        <w:t xml:space="preserve"> ; 47 (3) 205-8.</w:t>
      </w:r>
    </w:p>
    <w:p w14:paraId="00358F8C" w14:textId="77777777" w:rsidR="00282D6D" w:rsidRPr="00E51755" w:rsidRDefault="00282D6D" w:rsidP="00282D6D">
      <w:pPr>
        <w:pStyle w:val="ListParagraph"/>
        <w:numPr>
          <w:ilvl w:val="0"/>
          <w:numId w:val="1"/>
        </w:numPr>
        <w:suppressLineNumbers/>
        <w:spacing w:line="480" w:lineRule="auto"/>
        <w:rPr>
          <w:rFonts w:ascii="Arial" w:hAnsi="Arial" w:cs="Arial"/>
        </w:rPr>
      </w:pPr>
      <w:r w:rsidRPr="00E51755">
        <w:rPr>
          <w:rFonts w:ascii="Arial" w:hAnsi="Arial" w:cs="Arial"/>
        </w:rPr>
        <w:t>WHO. Iron deficiency anaemia, assessment, prevention and control: a guide for Programme managers. Geneva: World Health Organization 2001.</w:t>
      </w:r>
    </w:p>
    <w:p w14:paraId="21D099FF" w14:textId="221F2468" w:rsidR="00282D6D" w:rsidRPr="00E51755" w:rsidRDefault="00282D6D" w:rsidP="00282D6D">
      <w:pPr>
        <w:pStyle w:val="ListParagraph"/>
        <w:numPr>
          <w:ilvl w:val="0"/>
          <w:numId w:val="1"/>
        </w:numPr>
        <w:spacing w:line="480" w:lineRule="auto"/>
        <w:rPr>
          <w:rFonts w:ascii="Arial" w:hAnsi="Arial" w:cs="Arial"/>
        </w:rPr>
      </w:pPr>
      <w:r w:rsidRPr="00E51755">
        <w:rPr>
          <w:rFonts w:ascii="Arial" w:hAnsi="Arial" w:cs="Arial"/>
        </w:rPr>
        <w:t>WHO. Serum transferrin receptor levels for the assessment of iron status and iron deficiency in populations. Vitamin and Mineral Nutrition Information System. Geneva: World Health Organizati</w:t>
      </w:r>
      <w:r>
        <w:rPr>
          <w:rFonts w:ascii="Arial" w:hAnsi="Arial" w:cs="Arial"/>
        </w:rPr>
        <w:t>on; 2014 (WHO/NMH/NHD/MNM/14.6;</w:t>
      </w:r>
      <w:r w:rsidRPr="00E51755">
        <w:rPr>
          <w:rFonts w:ascii="Arial" w:hAnsi="Arial" w:cs="Arial"/>
        </w:rPr>
        <w:t>http://apps.who.int/iris/bitstream/10665/133707/1/WHO_NMH_NHD_EPG_14.6_eng. pdf?ua=1. Accessed</w:t>
      </w:r>
      <w:r>
        <w:rPr>
          <w:rFonts w:ascii="Arial" w:hAnsi="Arial" w:cs="Arial"/>
        </w:rPr>
        <w:t xml:space="preserve"> 13</w:t>
      </w:r>
      <w:r w:rsidRPr="00282D6D">
        <w:rPr>
          <w:rFonts w:ascii="Arial" w:hAnsi="Arial" w:cs="Arial"/>
          <w:vertAlign w:val="superscript"/>
        </w:rPr>
        <w:t xml:space="preserve">th </w:t>
      </w:r>
      <w:r>
        <w:rPr>
          <w:rFonts w:ascii="Arial" w:hAnsi="Arial" w:cs="Arial"/>
        </w:rPr>
        <w:t>February 2019.</w:t>
      </w:r>
    </w:p>
    <w:p w14:paraId="5AB07E97" w14:textId="77777777" w:rsidR="00282D6D" w:rsidRPr="00E51755" w:rsidRDefault="00282D6D" w:rsidP="00282D6D">
      <w:pPr>
        <w:pStyle w:val="ListParagraph"/>
        <w:numPr>
          <w:ilvl w:val="0"/>
          <w:numId w:val="1"/>
        </w:numPr>
        <w:spacing w:line="480" w:lineRule="auto"/>
        <w:rPr>
          <w:rFonts w:ascii="Arial" w:eastAsia="Times New Roman" w:hAnsi="Arial" w:cs="Arial"/>
        </w:rPr>
      </w:pPr>
      <w:r w:rsidRPr="00E51755">
        <w:rPr>
          <w:rFonts w:ascii="Arial" w:eastAsia="Times New Roman" w:hAnsi="Arial" w:cs="Arial"/>
        </w:rPr>
        <w:lastRenderedPageBreak/>
        <w:t>Kaczorowska-Hac B, Luszczyk M, Antosiewicz J, Ziolkowski W, Adamkiewicz-Drozynska E, Mysliwiec M, Milosz E, Kaczor JJ. The impact of H63D HFE gene carriage on hemoglobin and iron status in children. Ann Hematol. 2016. 95:2043-2048.</w:t>
      </w:r>
    </w:p>
    <w:p w14:paraId="3FF53C80" w14:textId="77777777" w:rsidR="00282D6D" w:rsidRPr="00E51755" w:rsidRDefault="00282D6D" w:rsidP="00282D6D">
      <w:pPr>
        <w:pStyle w:val="Heading1"/>
        <w:numPr>
          <w:ilvl w:val="0"/>
          <w:numId w:val="1"/>
        </w:numPr>
        <w:spacing w:line="480" w:lineRule="auto"/>
        <w:rPr>
          <w:rFonts w:ascii="Arial" w:eastAsia="Times New Roman" w:hAnsi="Arial" w:cs="Arial"/>
          <w:b w:val="0"/>
          <w:sz w:val="24"/>
          <w:szCs w:val="24"/>
        </w:rPr>
      </w:pPr>
      <w:r w:rsidRPr="00E51755">
        <w:rPr>
          <w:rFonts w:ascii="Arial" w:eastAsia="Times New Roman" w:hAnsi="Arial" w:cs="Arial"/>
          <w:b w:val="0"/>
          <w:sz w:val="24"/>
          <w:szCs w:val="24"/>
        </w:rPr>
        <w:t xml:space="preserve">Kaczorowska-Hac B, </w:t>
      </w:r>
      <w:r w:rsidRPr="00E51755">
        <w:rPr>
          <w:rFonts w:ascii="Arial" w:hAnsi="Arial" w:cs="Arial"/>
          <w:b w:val="0"/>
          <w:sz w:val="24"/>
          <w:szCs w:val="24"/>
        </w:rPr>
        <w:t xml:space="preserve">Luszczyk M, Antosiewicz J, </w:t>
      </w:r>
      <w:r w:rsidRPr="00E51755">
        <w:rPr>
          <w:rFonts w:ascii="Arial" w:eastAsia="Times New Roman" w:hAnsi="Arial" w:cs="Arial"/>
          <w:b w:val="0"/>
          <w:sz w:val="24"/>
          <w:szCs w:val="24"/>
        </w:rPr>
        <w:t xml:space="preserve">Ziolkowski W, Adamkiewicz-Drozynska E, Mysliwiec M, Milosz E, Kaczor JJ.. </w:t>
      </w:r>
      <w:r w:rsidRPr="00E51755">
        <w:rPr>
          <w:rStyle w:val="Emphasis"/>
          <w:rFonts w:ascii="Arial" w:eastAsia="Times New Roman" w:hAnsi="Arial" w:cs="Arial"/>
          <w:b w:val="0"/>
          <w:sz w:val="24"/>
          <w:szCs w:val="24"/>
        </w:rPr>
        <w:t>HFE</w:t>
      </w:r>
      <w:r w:rsidRPr="00E51755">
        <w:rPr>
          <w:rFonts w:ascii="Arial" w:eastAsia="Times New Roman" w:hAnsi="Arial" w:cs="Arial"/>
          <w:b w:val="0"/>
          <w:sz w:val="24"/>
          <w:szCs w:val="24"/>
        </w:rPr>
        <w:t xml:space="preserve"> Gene</w:t>
      </w:r>
      <w:r w:rsidRPr="00E51755">
        <w:rPr>
          <w:rFonts w:ascii="Arial" w:eastAsia="Times New Roman" w:hAnsi="Arial" w:cs="Arial"/>
          <w:sz w:val="24"/>
          <w:szCs w:val="24"/>
        </w:rPr>
        <w:t xml:space="preserve"> </w:t>
      </w:r>
      <w:r w:rsidRPr="00E51755">
        <w:rPr>
          <w:rFonts w:ascii="Arial" w:eastAsia="Times New Roman" w:hAnsi="Arial" w:cs="Arial"/>
          <w:b w:val="0"/>
          <w:sz w:val="24"/>
          <w:szCs w:val="24"/>
        </w:rPr>
        <w:t>Mutations and Iron Status in 100 Healthy Polish Children. J Pediatr Hematol Oncol. 2017 Jul; 39 (5):e240-e243. doi:10.1097/MPH.0000000000000826.PMID:28406842</w:t>
      </w:r>
    </w:p>
    <w:p w14:paraId="3E1EC594" w14:textId="77777777" w:rsidR="00282D6D" w:rsidRPr="00E51755" w:rsidRDefault="00282D6D" w:rsidP="00282D6D">
      <w:pPr>
        <w:pStyle w:val="ListParagraph"/>
        <w:widowControl w:val="0"/>
        <w:numPr>
          <w:ilvl w:val="0"/>
          <w:numId w:val="1"/>
        </w:numPr>
        <w:autoSpaceDE w:val="0"/>
        <w:autoSpaceDN w:val="0"/>
        <w:adjustRightInd w:val="0"/>
        <w:spacing w:after="240" w:line="480" w:lineRule="auto"/>
        <w:rPr>
          <w:rFonts w:ascii="Arial" w:hAnsi="Arial" w:cs="Arial"/>
          <w:lang w:eastAsia="ja-JP"/>
        </w:rPr>
      </w:pPr>
      <w:r w:rsidRPr="00E51755">
        <w:rPr>
          <w:rFonts w:ascii="Arial" w:hAnsi="Arial" w:cs="Arial"/>
          <w:lang w:eastAsia="ja-JP"/>
        </w:rPr>
        <w:t>Njajou OT,  Houwing-Duistermaat JJ,  Osborne RH,  Vaessen N,  Vergeer J,  Heeringa J,  AP Pols H,  Hofman A,</w:t>
      </w:r>
      <w:r w:rsidRPr="00E51755">
        <w:rPr>
          <w:rFonts w:ascii="Arial" w:hAnsi="Arial" w:cs="Arial"/>
          <w:position w:val="13"/>
          <w:lang w:eastAsia="ja-JP"/>
        </w:rPr>
        <w:t xml:space="preserve"> </w:t>
      </w:r>
      <w:r w:rsidRPr="00E51755">
        <w:rPr>
          <w:rFonts w:ascii="Arial" w:hAnsi="Arial" w:cs="Arial"/>
          <w:lang w:eastAsia="ja-JP"/>
        </w:rPr>
        <w:t>and van Duijn CM</w:t>
      </w:r>
      <w:r w:rsidRPr="00E51755">
        <w:rPr>
          <w:rFonts w:ascii="Arial" w:hAnsi="Arial" w:cs="Arial"/>
          <w:position w:val="13"/>
          <w:lang w:eastAsia="ja-JP"/>
        </w:rPr>
        <w:t xml:space="preserve">. </w:t>
      </w:r>
      <w:r w:rsidRPr="00E51755">
        <w:rPr>
          <w:rFonts w:ascii="Arial" w:hAnsi="Arial" w:cs="Arial"/>
          <w:lang w:eastAsia="ja-JP"/>
        </w:rPr>
        <w:t xml:space="preserve">A population-based study of the effect of the HFE C282Y and H63D mutations on iron metabolism. </w:t>
      </w:r>
      <w:r w:rsidRPr="00E51755">
        <w:rPr>
          <w:rFonts w:ascii="Arial" w:hAnsi="Arial" w:cs="Arial"/>
          <w:i/>
          <w:iCs/>
          <w:lang w:eastAsia="ja-JP"/>
        </w:rPr>
        <w:t>J Gastroenterol Hepatol</w:t>
      </w:r>
      <w:r w:rsidRPr="00E51755">
        <w:rPr>
          <w:rFonts w:ascii="Arial" w:hAnsi="Arial" w:cs="Arial"/>
          <w:lang w:eastAsia="ja-JP"/>
        </w:rPr>
        <w:t xml:space="preserve">. 2015 April ; 30(4): 719–725. doi:10.1111/jgh.12804. </w:t>
      </w:r>
    </w:p>
    <w:p w14:paraId="3D8E98C1" w14:textId="77777777" w:rsidR="00282D6D" w:rsidRPr="00E51755" w:rsidRDefault="00282D6D" w:rsidP="00282D6D">
      <w:pPr>
        <w:pStyle w:val="details"/>
        <w:numPr>
          <w:ilvl w:val="0"/>
          <w:numId w:val="1"/>
        </w:numPr>
        <w:spacing w:line="480" w:lineRule="auto"/>
        <w:rPr>
          <w:rFonts w:ascii="Arial" w:hAnsi="Arial" w:cs="Arial"/>
          <w:sz w:val="24"/>
          <w:szCs w:val="24"/>
        </w:rPr>
      </w:pPr>
      <w:r w:rsidRPr="00E51755">
        <w:rPr>
          <w:rFonts w:ascii="Arial" w:hAnsi="Arial" w:cs="Arial"/>
          <w:bCs/>
          <w:sz w:val="24"/>
          <w:szCs w:val="24"/>
          <w:lang w:eastAsia="ja-JP"/>
        </w:rPr>
        <w:t>Zaloumis SG</w:t>
      </w:r>
      <w:r>
        <w:rPr>
          <w:rFonts w:ascii="Arial" w:hAnsi="Arial" w:cs="Arial"/>
          <w:sz w:val="24"/>
          <w:szCs w:val="24"/>
          <w:lang w:eastAsia="ja-JP"/>
        </w:rPr>
        <w:t>,</w:t>
      </w:r>
      <w:r>
        <w:rPr>
          <w:rFonts w:ascii="Arial" w:hAnsi="Arial" w:cs="Arial"/>
          <w:bCs/>
          <w:sz w:val="24"/>
          <w:szCs w:val="24"/>
          <w:lang w:eastAsia="ja-JP"/>
        </w:rPr>
        <w:t xml:space="preserve"> </w:t>
      </w:r>
      <w:r w:rsidRPr="00E51755">
        <w:rPr>
          <w:rFonts w:ascii="Arial" w:hAnsi="Arial" w:cs="Arial"/>
          <w:bCs/>
          <w:sz w:val="24"/>
          <w:szCs w:val="24"/>
          <w:lang w:eastAsia="ja-JP"/>
        </w:rPr>
        <w:t>Allen KJ</w:t>
      </w:r>
      <w:r w:rsidRPr="00E51755">
        <w:rPr>
          <w:rFonts w:ascii="Arial" w:hAnsi="Arial" w:cs="Arial"/>
          <w:sz w:val="24"/>
          <w:szCs w:val="24"/>
          <w:lang w:eastAsia="ja-JP"/>
        </w:rPr>
        <w:t>,</w:t>
      </w:r>
      <w:r w:rsidRPr="00E51755">
        <w:rPr>
          <w:rFonts w:ascii="Arial" w:hAnsi="Arial" w:cs="Arial"/>
          <w:bCs/>
          <w:sz w:val="24"/>
          <w:szCs w:val="24"/>
          <w:lang w:eastAsia="ja-JP"/>
        </w:rPr>
        <w:t xml:space="preserve"> Bertalli NA</w:t>
      </w:r>
      <w:r w:rsidRPr="00E51755">
        <w:rPr>
          <w:rFonts w:ascii="Arial" w:hAnsi="Arial" w:cs="Arial"/>
          <w:sz w:val="24"/>
          <w:szCs w:val="24"/>
          <w:lang w:eastAsia="ja-JP"/>
        </w:rPr>
        <w:t xml:space="preserve">, </w:t>
      </w:r>
      <w:r w:rsidRPr="00E51755">
        <w:rPr>
          <w:rFonts w:ascii="Arial" w:hAnsi="Arial" w:cs="Arial"/>
          <w:bCs/>
          <w:sz w:val="24"/>
          <w:szCs w:val="24"/>
          <w:lang w:eastAsia="ja-JP"/>
        </w:rPr>
        <w:t xml:space="preserve"> Turkovic L</w:t>
      </w:r>
      <w:r w:rsidRPr="00E51755">
        <w:rPr>
          <w:rFonts w:ascii="Arial" w:hAnsi="Arial" w:cs="Arial"/>
          <w:sz w:val="24"/>
          <w:szCs w:val="24"/>
          <w:lang w:eastAsia="ja-JP"/>
        </w:rPr>
        <w:t>,</w:t>
      </w:r>
      <w:r w:rsidRPr="00E51755">
        <w:rPr>
          <w:rFonts w:ascii="Arial" w:hAnsi="Arial" w:cs="Arial"/>
          <w:bCs/>
          <w:sz w:val="24"/>
          <w:szCs w:val="24"/>
          <w:lang w:eastAsia="ja-JP"/>
        </w:rPr>
        <w:t xml:space="preserve"> Delatycki</w:t>
      </w:r>
      <w:r>
        <w:rPr>
          <w:rFonts w:ascii="Arial" w:hAnsi="Arial" w:cs="Arial"/>
          <w:bCs/>
          <w:sz w:val="24"/>
          <w:szCs w:val="24"/>
          <w:lang w:eastAsia="ja-JP"/>
        </w:rPr>
        <w:t xml:space="preserve"> </w:t>
      </w:r>
      <w:r w:rsidRPr="00E51755">
        <w:rPr>
          <w:rFonts w:ascii="Arial" w:hAnsi="Arial" w:cs="Arial"/>
          <w:bCs/>
          <w:sz w:val="24"/>
          <w:szCs w:val="24"/>
          <w:lang w:eastAsia="ja-JP"/>
        </w:rPr>
        <w:t>MB</w:t>
      </w:r>
      <w:r w:rsidRPr="00E51755">
        <w:rPr>
          <w:rFonts w:ascii="Arial" w:hAnsi="Arial" w:cs="Arial"/>
          <w:sz w:val="24"/>
          <w:szCs w:val="24"/>
          <w:lang w:eastAsia="ja-JP"/>
        </w:rPr>
        <w:t xml:space="preserve">, </w:t>
      </w:r>
      <w:r w:rsidRPr="00E51755">
        <w:rPr>
          <w:rFonts w:ascii="Arial" w:hAnsi="Arial" w:cs="Arial"/>
          <w:bCs/>
          <w:sz w:val="24"/>
          <w:szCs w:val="24"/>
          <w:lang w:eastAsia="ja-JP"/>
        </w:rPr>
        <w:t xml:space="preserve"> Nicoll AJ</w:t>
      </w:r>
      <w:r w:rsidRPr="00E51755">
        <w:rPr>
          <w:rFonts w:ascii="Arial" w:hAnsi="Arial" w:cs="Arial"/>
          <w:sz w:val="24"/>
          <w:szCs w:val="24"/>
          <w:lang w:eastAsia="ja-JP"/>
        </w:rPr>
        <w:t xml:space="preserve">, </w:t>
      </w:r>
      <w:r w:rsidRPr="00E51755">
        <w:rPr>
          <w:rFonts w:ascii="Arial" w:hAnsi="Arial" w:cs="Arial"/>
          <w:bCs/>
          <w:sz w:val="24"/>
          <w:szCs w:val="24"/>
          <w:lang w:eastAsia="ja-JP"/>
        </w:rPr>
        <w:t xml:space="preserve"> McLaren CE</w:t>
      </w:r>
      <w:r w:rsidRPr="00E51755">
        <w:rPr>
          <w:rFonts w:ascii="Arial" w:hAnsi="Arial" w:cs="Arial"/>
          <w:sz w:val="24"/>
          <w:szCs w:val="24"/>
          <w:lang w:eastAsia="ja-JP"/>
        </w:rPr>
        <w:t xml:space="preserve">, </w:t>
      </w:r>
      <w:r w:rsidRPr="00E51755">
        <w:rPr>
          <w:rFonts w:ascii="Arial" w:hAnsi="Arial" w:cs="Arial"/>
          <w:bCs/>
          <w:sz w:val="24"/>
          <w:szCs w:val="24"/>
          <w:lang w:eastAsia="ja-JP"/>
        </w:rPr>
        <w:t xml:space="preserve"> English DR</w:t>
      </w:r>
      <w:r w:rsidRPr="00E51755">
        <w:rPr>
          <w:rFonts w:ascii="Arial" w:hAnsi="Arial" w:cs="Arial"/>
          <w:sz w:val="24"/>
          <w:szCs w:val="24"/>
          <w:lang w:eastAsia="ja-JP"/>
        </w:rPr>
        <w:t>,</w:t>
      </w:r>
      <w:r w:rsidRPr="00E51755">
        <w:rPr>
          <w:rFonts w:ascii="Arial" w:hAnsi="Arial" w:cs="Arial"/>
          <w:bCs/>
          <w:sz w:val="24"/>
          <w:szCs w:val="24"/>
          <w:lang w:eastAsia="ja-JP"/>
        </w:rPr>
        <w:t xml:space="preserve"> Hopper JL</w:t>
      </w:r>
      <w:r w:rsidRPr="00E51755">
        <w:rPr>
          <w:rFonts w:ascii="Arial" w:hAnsi="Arial" w:cs="Arial"/>
          <w:sz w:val="24"/>
          <w:szCs w:val="24"/>
          <w:lang w:eastAsia="ja-JP"/>
        </w:rPr>
        <w:t xml:space="preserve">, </w:t>
      </w:r>
      <w:r w:rsidRPr="00E51755">
        <w:rPr>
          <w:rFonts w:ascii="Arial" w:hAnsi="Arial" w:cs="Arial"/>
          <w:bCs/>
          <w:sz w:val="24"/>
          <w:szCs w:val="24"/>
          <w:lang w:eastAsia="ja-JP"/>
        </w:rPr>
        <w:t>Giles GG</w:t>
      </w:r>
      <w:r w:rsidRPr="00E51755">
        <w:rPr>
          <w:rFonts w:ascii="Arial" w:hAnsi="Arial" w:cs="Arial"/>
          <w:sz w:val="24"/>
          <w:szCs w:val="24"/>
          <w:lang w:eastAsia="ja-JP"/>
        </w:rPr>
        <w:t xml:space="preserve">, </w:t>
      </w:r>
      <w:r w:rsidRPr="00E51755">
        <w:rPr>
          <w:rFonts w:ascii="Arial" w:hAnsi="Arial" w:cs="Arial"/>
          <w:bCs/>
          <w:sz w:val="24"/>
          <w:szCs w:val="24"/>
          <w:lang w:eastAsia="ja-JP"/>
        </w:rPr>
        <w:t>Anderson GJ</w:t>
      </w:r>
      <w:r w:rsidRPr="00E51755">
        <w:rPr>
          <w:rFonts w:ascii="Arial" w:hAnsi="Arial" w:cs="Arial"/>
          <w:sz w:val="24"/>
          <w:szCs w:val="24"/>
          <w:lang w:eastAsia="ja-JP"/>
        </w:rPr>
        <w:t xml:space="preserve">, </w:t>
      </w:r>
      <w:r w:rsidRPr="00E51755">
        <w:rPr>
          <w:rFonts w:ascii="Arial" w:hAnsi="Arial" w:cs="Arial"/>
          <w:bCs/>
          <w:sz w:val="24"/>
          <w:szCs w:val="24"/>
          <w:lang w:eastAsia="ja-JP"/>
        </w:rPr>
        <w:t xml:space="preserve"> Olynyk JK</w:t>
      </w:r>
      <w:r w:rsidRPr="00E51755">
        <w:rPr>
          <w:rFonts w:ascii="Arial" w:hAnsi="Arial" w:cs="Arial"/>
          <w:sz w:val="24"/>
          <w:szCs w:val="24"/>
          <w:lang w:eastAsia="ja-JP"/>
        </w:rPr>
        <w:t xml:space="preserve">, </w:t>
      </w:r>
      <w:r w:rsidRPr="00E51755">
        <w:rPr>
          <w:rFonts w:ascii="Arial" w:hAnsi="Arial" w:cs="Arial"/>
          <w:bCs/>
          <w:sz w:val="24"/>
          <w:szCs w:val="24"/>
          <w:lang w:eastAsia="ja-JP"/>
        </w:rPr>
        <w:t>Powell LW</w:t>
      </w:r>
      <w:r w:rsidRPr="00E51755">
        <w:rPr>
          <w:rFonts w:ascii="Arial" w:hAnsi="Arial" w:cs="Arial"/>
          <w:sz w:val="24"/>
          <w:szCs w:val="24"/>
          <w:lang w:eastAsia="ja-JP"/>
        </w:rPr>
        <w:t>,</w:t>
      </w:r>
      <w:r w:rsidRPr="00E51755">
        <w:rPr>
          <w:rFonts w:ascii="Arial" w:hAnsi="Arial" w:cs="Arial"/>
          <w:bCs/>
          <w:sz w:val="24"/>
          <w:szCs w:val="24"/>
          <w:lang w:eastAsia="ja-JP"/>
        </w:rPr>
        <w:t xml:space="preserve"> Gurrin LC</w:t>
      </w:r>
      <w:r w:rsidRPr="00E51755">
        <w:rPr>
          <w:rFonts w:ascii="Arial" w:hAnsi="Arial" w:cs="Arial"/>
          <w:sz w:val="24"/>
          <w:szCs w:val="24"/>
          <w:lang w:eastAsia="ja-JP"/>
        </w:rPr>
        <w:t>, and</w:t>
      </w:r>
      <w:r w:rsidRPr="00E51755">
        <w:rPr>
          <w:rFonts w:ascii="Arial" w:hAnsi="Arial" w:cs="Arial"/>
          <w:bCs/>
          <w:sz w:val="24"/>
          <w:szCs w:val="24"/>
          <w:lang w:eastAsia="ja-JP"/>
        </w:rPr>
        <w:t xml:space="preserve"> HealthIron Study Investigators. The natural history of </w:t>
      </w:r>
      <w:r w:rsidRPr="00E51755">
        <w:rPr>
          <w:rFonts w:ascii="Arial" w:hAnsi="Arial" w:cs="Arial"/>
          <w:bCs/>
          <w:i/>
          <w:iCs/>
          <w:sz w:val="24"/>
          <w:szCs w:val="24"/>
          <w:lang w:eastAsia="ja-JP"/>
        </w:rPr>
        <w:t xml:space="preserve">HFE </w:t>
      </w:r>
      <w:r w:rsidRPr="00E51755">
        <w:rPr>
          <w:rFonts w:ascii="Arial" w:hAnsi="Arial" w:cs="Arial"/>
          <w:bCs/>
          <w:sz w:val="24"/>
          <w:szCs w:val="24"/>
          <w:lang w:eastAsia="ja-JP"/>
        </w:rPr>
        <w:t xml:space="preserve">simple heterozygosity for C282Y and H63D: a prospective twelve year study. </w:t>
      </w:r>
      <w:r w:rsidRPr="00E51755">
        <w:rPr>
          <w:rFonts w:ascii="Arial" w:hAnsi="Arial" w:cs="Arial"/>
          <w:sz w:val="24"/>
          <w:szCs w:val="24"/>
        </w:rPr>
        <w:t xml:space="preserve">J Gastroenterol Hepatol. 2015 Apr;30(4):719-25. doi: 10.1111/jgh.12804. </w:t>
      </w:r>
      <w:r w:rsidRPr="00E51755">
        <w:rPr>
          <w:rFonts w:ascii="Arial" w:eastAsia="Times New Roman" w:hAnsi="Arial" w:cs="Arial"/>
          <w:sz w:val="24"/>
          <w:szCs w:val="24"/>
        </w:rPr>
        <w:t>PMID:25311314</w:t>
      </w:r>
    </w:p>
    <w:p w14:paraId="228703B9" w14:textId="77777777" w:rsidR="00282D6D" w:rsidRPr="00E51755" w:rsidRDefault="00282D6D" w:rsidP="00282D6D">
      <w:pPr>
        <w:pStyle w:val="ListParagraph"/>
        <w:widowControl w:val="0"/>
        <w:numPr>
          <w:ilvl w:val="0"/>
          <w:numId w:val="1"/>
        </w:numPr>
        <w:autoSpaceDE w:val="0"/>
        <w:autoSpaceDN w:val="0"/>
        <w:adjustRightInd w:val="0"/>
        <w:spacing w:after="240" w:line="480" w:lineRule="auto"/>
        <w:ind w:left="714" w:hanging="357"/>
        <w:rPr>
          <w:rFonts w:ascii="Arial" w:hAnsi="Arial" w:cs="Arial"/>
          <w:position w:val="13"/>
          <w:lang w:eastAsia="ja-JP"/>
        </w:rPr>
      </w:pPr>
      <w:r w:rsidRPr="00E51755">
        <w:rPr>
          <w:rFonts w:ascii="Arial" w:hAnsi="Arial" w:cs="Arial"/>
          <w:lang w:eastAsia="ja-JP"/>
        </w:rPr>
        <w:t xml:space="preserve">Larsen SC. Biological changes in </w:t>
      </w:r>
      <w:r>
        <w:rPr>
          <w:rFonts w:ascii="Arial" w:hAnsi="Arial" w:cs="Arial"/>
          <w:lang w:eastAsia="ja-JP"/>
        </w:rPr>
        <w:t>human populations with agricul</w:t>
      </w:r>
      <w:r w:rsidRPr="00E51755">
        <w:rPr>
          <w:rFonts w:ascii="Arial" w:hAnsi="Arial" w:cs="Arial"/>
          <w:lang w:eastAsia="ja-JP"/>
        </w:rPr>
        <w:t>ture. Annu Rev Anthropol 1995;24:185–213.</w:t>
      </w:r>
    </w:p>
    <w:p w14:paraId="30A6A15B" w14:textId="77777777" w:rsidR="00282D6D" w:rsidRDefault="00282D6D" w:rsidP="00282D6D">
      <w:pPr>
        <w:pStyle w:val="ListParagraph"/>
        <w:numPr>
          <w:ilvl w:val="0"/>
          <w:numId w:val="1"/>
        </w:numPr>
        <w:spacing w:line="480" w:lineRule="auto"/>
        <w:rPr>
          <w:rFonts w:ascii="Arial" w:eastAsia="Times New Roman" w:hAnsi="Arial" w:cs="Arial"/>
        </w:rPr>
      </w:pPr>
      <w:r w:rsidRPr="00E51755">
        <w:rPr>
          <w:rFonts w:ascii="Arial" w:eastAsia="Times New Roman" w:hAnsi="Arial" w:cs="Arial"/>
        </w:rPr>
        <w:t xml:space="preserve">Denic S, Argarwal MM. Nutritional iron deficiency: an evolutionary perspective. </w:t>
      </w:r>
      <w:r w:rsidRPr="00E51755">
        <w:rPr>
          <w:rFonts w:ascii="Arial" w:hAnsi="Arial" w:cs="Arial"/>
        </w:rPr>
        <w:t xml:space="preserve">Nutrition. </w:t>
      </w:r>
      <w:r w:rsidRPr="002B1F3F">
        <w:rPr>
          <w:rFonts w:ascii="Arial" w:hAnsi="Arial" w:cs="Arial"/>
          <w:bCs/>
        </w:rPr>
        <w:t>2007</w:t>
      </w:r>
      <w:r w:rsidRPr="00E51755">
        <w:rPr>
          <w:rFonts w:ascii="Arial" w:hAnsi="Arial" w:cs="Arial"/>
        </w:rPr>
        <w:t xml:space="preserve"> Jul-Aug;23(7-8):603-14. Epub </w:t>
      </w:r>
      <w:r w:rsidRPr="002B1F3F">
        <w:rPr>
          <w:rFonts w:ascii="Arial" w:hAnsi="Arial" w:cs="Arial"/>
          <w:bCs/>
        </w:rPr>
        <w:t>2007</w:t>
      </w:r>
      <w:r w:rsidRPr="00E51755">
        <w:rPr>
          <w:rFonts w:ascii="Arial" w:hAnsi="Arial" w:cs="Arial"/>
        </w:rPr>
        <w:t xml:space="preserve"> Jun 20. Review.</w:t>
      </w:r>
      <w:r w:rsidRPr="00E51755">
        <w:rPr>
          <w:rFonts w:ascii="Arial" w:eastAsia="Times New Roman" w:hAnsi="Arial" w:cs="Arial"/>
        </w:rPr>
        <w:t>PMID: 17583479</w:t>
      </w:r>
    </w:p>
    <w:p w14:paraId="0388EF09" w14:textId="77777777" w:rsidR="00282D6D" w:rsidRDefault="00282D6D" w:rsidP="00282D6D">
      <w:pPr>
        <w:pStyle w:val="ListParagraph"/>
        <w:numPr>
          <w:ilvl w:val="0"/>
          <w:numId w:val="1"/>
        </w:numPr>
        <w:spacing w:line="480" w:lineRule="auto"/>
        <w:rPr>
          <w:rFonts w:ascii="Arial" w:eastAsia="Times New Roman" w:hAnsi="Arial" w:cs="Arial"/>
        </w:rPr>
      </w:pPr>
      <w:r w:rsidRPr="00D96B6B">
        <w:rPr>
          <w:rFonts w:ascii="Arial" w:eastAsia="Times New Roman" w:hAnsi="Arial" w:cs="Arial"/>
        </w:rPr>
        <w:lastRenderedPageBreak/>
        <w:t>Datz C, Haas T, Rinner H, Sandhofer F, Patsch W, Paulweber B.. Heterozygosity for the C282Y mutation in the</w:t>
      </w:r>
      <w:r>
        <w:rPr>
          <w:rFonts w:ascii="Arial" w:eastAsia="Times New Roman" w:hAnsi="Arial" w:cs="Arial"/>
        </w:rPr>
        <w:t xml:space="preserve"> </w:t>
      </w:r>
      <w:r w:rsidRPr="00D96B6B">
        <w:rPr>
          <w:rFonts w:ascii="Arial" w:eastAsia="Times New Roman" w:hAnsi="Arial" w:cs="Arial"/>
        </w:rPr>
        <w:t>hemochromatosis gene is associated with increased serum iron, transferrin saturation, and hemoglobin in young women: a protective role against iron deficiency? Clinical Chemistry</w:t>
      </w:r>
      <w:r>
        <w:rPr>
          <w:rFonts w:ascii="Arial" w:eastAsia="Times New Roman" w:hAnsi="Arial" w:cs="Arial"/>
        </w:rPr>
        <w:t>. 1998;</w:t>
      </w:r>
      <w:r w:rsidRPr="00D96B6B">
        <w:rPr>
          <w:rFonts w:ascii="Arial" w:eastAsia="Times New Roman" w:hAnsi="Arial" w:cs="Arial"/>
        </w:rPr>
        <w:t xml:space="preserve"> </w:t>
      </w:r>
      <w:r>
        <w:rPr>
          <w:rFonts w:ascii="Arial" w:eastAsia="Times New Roman" w:hAnsi="Arial" w:cs="Arial"/>
        </w:rPr>
        <w:t xml:space="preserve">44:122429 –2432 </w:t>
      </w:r>
    </w:p>
    <w:p w14:paraId="3746F0FB" w14:textId="77777777" w:rsidR="00282D6D" w:rsidRPr="00D96B6B" w:rsidRDefault="00282D6D" w:rsidP="00282D6D">
      <w:pPr>
        <w:pStyle w:val="ListParagraph"/>
        <w:numPr>
          <w:ilvl w:val="0"/>
          <w:numId w:val="1"/>
        </w:numPr>
        <w:spacing w:line="480" w:lineRule="auto"/>
        <w:rPr>
          <w:rFonts w:ascii="Arial" w:eastAsia="Times New Roman" w:hAnsi="Arial" w:cs="Arial"/>
        </w:rPr>
      </w:pPr>
      <w:r>
        <w:rPr>
          <w:rFonts w:ascii="Arial" w:eastAsia="Times New Roman" w:hAnsi="Arial" w:cs="Arial"/>
        </w:rPr>
        <w:t>Moalem S, Weinberg ED, Percy ME. Hemochromatosis and the enigma of misplaced iron: implications for infectious disease and survival. Biometals. 2004. Apr;17(2):135-9</w:t>
      </w:r>
    </w:p>
    <w:p w14:paraId="167C5D64" w14:textId="7963A83D" w:rsidR="00F85315" w:rsidRPr="00E51755" w:rsidRDefault="00F85315" w:rsidP="00F85315">
      <w:pPr>
        <w:pStyle w:val="details"/>
        <w:spacing w:line="480" w:lineRule="auto"/>
        <w:rPr>
          <w:rFonts w:ascii="Arial" w:hAnsi="Arial" w:cs="Arial"/>
          <w:sz w:val="24"/>
          <w:szCs w:val="24"/>
        </w:rPr>
      </w:pPr>
    </w:p>
    <w:p w14:paraId="3E1C6639" w14:textId="70C6309D" w:rsidR="00D64F1A" w:rsidRPr="00E51755" w:rsidRDefault="00D64F1A" w:rsidP="00F85315">
      <w:pPr>
        <w:spacing w:line="480" w:lineRule="auto"/>
        <w:rPr>
          <w:rFonts w:eastAsia="Times New Roman" w:cs="Arial"/>
        </w:rPr>
      </w:pPr>
    </w:p>
    <w:p w14:paraId="38B6F3F2" w14:textId="7C93DEF3" w:rsidR="00D14306" w:rsidRPr="007916DE" w:rsidRDefault="006350B5" w:rsidP="001B45F1">
      <w:pPr>
        <w:spacing w:line="480" w:lineRule="auto"/>
        <w:rPr>
          <w:rStyle w:val="refpages"/>
          <w:rFonts w:eastAsia="Times New Roman" w:cs="Arial"/>
        </w:rPr>
      </w:pPr>
      <w:r w:rsidRPr="007916DE">
        <w:rPr>
          <w:rFonts w:eastAsia="Times New Roman" w:cs="Arial"/>
        </w:rPr>
        <w:t xml:space="preserve"> </w:t>
      </w:r>
    </w:p>
    <w:p w14:paraId="55AE9B17" w14:textId="77777777" w:rsidR="006350B5" w:rsidRPr="007916DE" w:rsidRDefault="006350B5" w:rsidP="001B45F1">
      <w:pPr>
        <w:spacing w:before="100" w:beforeAutospacing="1" w:after="100" w:afterAutospacing="1" w:line="480" w:lineRule="auto"/>
        <w:rPr>
          <w:rFonts w:cs="Arial"/>
        </w:rPr>
      </w:pPr>
    </w:p>
    <w:p w14:paraId="0D91E62F" w14:textId="681D36E8" w:rsidR="00E3493E" w:rsidRPr="007916DE" w:rsidRDefault="00E3493E" w:rsidP="001B45F1">
      <w:pPr>
        <w:spacing w:line="480" w:lineRule="auto"/>
        <w:rPr>
          <w:rFonts w:eastAsia="Times New Roman" w:cs="Arial"/>
        </w:rPr>
      </w:pPr>
      <w:r w:rsidRPr="007916DE">
        <w:rPr>
          <w:rFonts w:eastAsia="Times New Roman" w:cs="Arial"/>
        </w:rPr>
        <w:br w:type="page"/>
      </w:r>
      <w:r w:rsidRPr="007916DE">
        <w:rPr>
          <w:rFonts w:eastAsia="Times New Roman" w:cs="Arial"/>
          <w:b/>
        </w:rPr>
        <w:lastRenderedPageBreak/>
        <w:t xml:space="preserve">Table 1: </w:t>
      </w:r>
      <w:r w:rsidR="00FE0BBA" w:rsidRPr="007916DE">
        <w:rPr>
          <w:rFonts w:eastAsia="Times New Roman" w:cs="Arial"/>
          <w:b/>
        </w:rPr>
        <w:t xml:space="preserve">Frequency of </w:t>
      </w:r>
      <w:r w:rsidRPr="007916DE">
        <w:rPr>
          <w:rFonts w:cs="Arial"/>
          <w:b/>
        </w:rPr>
        <w:t xml:space="preserve">H63D according to sex, ethnicity and red cell indices in students without a </w:t>
      </w:r>
      <w:r w:rsidR="00C77442">
        <w:rPr>
          <w:rFonts w:cs="Arial"/>
          <w:b/>
        </w:rPr>
        <w:t>hemoglobin</w:t>
      </w:r>
      <w:r w:rsidRPr="007916DE">
        <w:rPr>
          <w:rFonts w:cs="Arial"/>
          <w:b/>
        </w:rPr>
        <w:t>opathy trait</w:t>
      </w:r>
      <w:r w:rsidRPr="007916DE">
        <w:rPr>
          <w:rFonts w:cs="Arial"/>
          <w:b/>
          <w:vertAlign w:val="superscript"/>
        </w:rPr>
        <w:t>1</w:t>
      </w:r>
    </w:p>
    <w:p w14:paraId="31385E29" w14:textId="77777777" w:rsidR="00E3493E" w:rsidRPr="007916DE" w:rsidRDefault="00E3493E" w:rsidP="00755556">
      <w:pPr>
        <w:pStyle w:val="ListParagraph"/>
        <w:spacing w:line="276" w:lineRule="auto"/>
        <w:rPr>
          <w:rFonts w:ascii="Arial" w:hAnsi="Arial" w:cs="Arial"/>
        </w:rPr>
      </w:pPr>
    </w:p>
    <w:tbl>
      <w:tblPr>
        <w:tblStyle w:val="TableGrid"/>
        <w:tblW w:w="8647" w:type="dxa"/>
        <w:tblInd w:w="108" w:type="dxa"/>
        <w:tblLook w:val="04A0" w:firstRow="1" w:lastRow="0" w:firstColumn="1" w:lastColumn="0" w:noHBand="0" w:noVBand="1"/>
      </w:tblPr>
      <w:tblGrid>
        <w:gridCol w:w="2038"/>
        <w:gridCol w:w="1439"/>
        <w:gridCol w:w="1737"/>
        <w:gridCol w:w="1656"/>
        <w:gridCol w:w="817"/>
        <w:gridCol w:w="960"/>
      </w:tblGrid>
      <w:tr w:rsidR="00E3493E" w:rsidRPr="007916DE" w14:paraId="1BDD3C87" w14:textId="77777777" w:rsidTr="00EE1945">
        <w:tc>
          <w:tcPr>
            <w:tcW w:w="2127" w:type="dxa"/>
          </w:tcPr>
          <w:p w14:paraId="5A811080" w14:textId="77777777" w:rsidR="00E3493E" w:rsidRPr="007916DE" w:rsidRDefault="00E3493E" w:rsidP="00755556">
            <w:pPr>
              <w:pStyle w:val="ListParagraph"/>
              <w:spacing w:line="276" w:lineRule="auto"/>
              <w:ind w:left="0"/>
              <w:rPr>
                <w:rFonts w:ascii="Arial" w:hAnsi="Arial" w:cs="Arial"/>
              </w:rPr>
            </w:pPr>
          </w:p>
        </w:tc>
        <w:tc>
          <w:tcPr>
            <w:tcW w:w="4764" w:type="dxa"/>
            <w:gridSpan w:val="3"/>
          </w:tcPr>
          <w:p w14:paraId="2462F4E4" w14:textId="77777777" w:rsidR="00E3493E" w:rsidRPr="007916DE" w:rsidRDefault="00E3493E" w:rsidP="00755556">
            <w:pPr>
              <w:pStyle w:val="ListParagraph"/>
              <w:spacing w:line="276" w:lineRule="auto"/>
              <w:ind w:left="0"/>
              <w:jc w:val="center"/>
              <w:rPr>
                <w:rFonts w:ascii="Arial" w:hAnsi="Arial" w:cs="Arial"/>
                <w:b/>
              </w:rPr>
            </w:pPr>
            <w:r w:rsidRPr="007916DE">
              <w:rPr>
                <w:rFonts w:ascii="Arial" w:hAnsi="Arial" w:cs="Arial"/>
                <w:b/>
              </w:rPr>
              <w:t>H63D genotype</w:t>
            </w:r>
          </w:p>
        </w:tc>
        <w:tc>
          <w:tcPr>
            <w:tcW w:w="1756" w:type="dxa"/>
            <w:gridSpan w:val="2"/>
          </w:tcPr>
          <w:p w14:paraId="03598202" w14:textId="77777777" w:rsidR="00E3493E" w:rsidRPr="007916DE" w:rsidRDefault="00E3493E" w:rsidP="00755556">
            <w:pPr>
              <w:pStyle w:val="ListParagraph"/>
              <w:spacing w:line="276" w:lineRule="auto"/>
              <w:ind w:left="0"/>
              <w:rPr>
                <w:rFonts w:ascii="Arial" w:hAnsi="Arial" w:cs="Arial"/>
              </w:rPr>
            </w:pPr>
          </w:p>
        </w:tc>
      </w:tr>
      <w:tr w:rsidR="00E3493E" w:rsidRPr="007916DE" w14:paraId="495B0498" w14:textId="77777777" w:rsidTr="00EE1945">
        <w:tc>
          <w:tcPr>
            <w:tcW w:w="2127" w:type="dxa"/>
          </w:tcPr>
          <w:p w14:paraId="1167CA8E" w14:textId="77777777" w:rsidR="00E3493E" w:rsidRPr="007916DE" w:rsidRDefault="00E3493E" w:rsidP="00755556">
            <w:pPr>
              <w:pStyle w:val="ListParagraph"/>
              <w:spacing w:line="276" w:lineRule="auto"/>
              <w:ind w:left="0"/>
              <w:rPr>
                <w:rFonts w:ascii="Arial" w:hAnsi="Arial" w:cs="Arial"/>
                <w:b/>
              </w:rPr>
            </w:pPr>
            <w:r w:rsidRPr="007916DE">
              <w:rPr>
                <w:rFonts w:ascii="Arial" w:hAnsi="Arial" w:cs="Arial"/>
                <w:b/>
              </w:rPr>
              <w:t>Variable</w:t>
            </w:r>
          </w:p>
        </w:tc>
        <w:tc>
          <w:tcPr>
            <w:tcW w:w="1588" w:type="dxa"/>
          </w:tcPr>
          <w:p w14:paraId="55D27650" w14:textId="77777777" w:rsidR="00E3493E" w:rsidRPr="007916DE" w:rsidRDefault="00E3493E" w:rsidP="00755556">
            <w:pPr>
              <w:pStyle w:val="ListParagraph"/>
              <w:spacing w:line="276" w:lineRule="auto"/>
              <w:ind w:left="0"/>
              <w:jc w:val="center"/>
              <w:rPr>
                <w:rFonts w:ascii="Arial" w:hAnsi="Arial" w:cs="Arial"/>
                <w:b/>
              </w:rPr>
            </w:pPr>
            <w:r w:rsidRPr="007916DE">
              <w:rPr>
                <w:rFonts w:ascii="Arial" w:hAnsi="Arial" w:cs="Arial"/>
                <w:b/>
              </w:rPr>
              <w:t>Wild type</w:t>
            </w:r>
          </w:p>
          <w:p w14:paraId="0611B4E8" w14:textId="77777777" w:rsidR="00E3493E" w:rsidRPr="007916DE" w:rsidRDefault="00E3493E" w:rsidP="00755556">
            <w:pPr>
              <w:pStyle w:val="ListParagraph"/>
              <w:spacing w:line="276" w:lineRule="auto"/>
              <w:ind w:left="0"/>
              <w:jc w:val="center"/>
              <w:rPr>
                <w:rFonts w:ascii="Arial" w:hAnsi="Arial" w:cs="Arial"/>
              </w:rPr>
            </w:pPr>
            <w:r w:rsidRPr="007916DE">
              <w:rPr>
                <w:rFonts w:ascii="Arial" w:hAnsi="Arial" w:cs="Arial"/>
              </w:rPr>
              <w:t>N (%)</w:t>
            </w:r>
          </w:p>
        </w:tc>
        <w:tc>
          <w:tcPr>
            <w:tcW w:w="1588" w:type="dxa"/>
          </w:tcPr>
          <w:p w14:paraId="7055D396" w14:textId="77777777" w:rsidR="00E3493E" w:rsidRPr="007916DE" w:rsidRDefault="00E3493E" w:rsidP="00755556">
            <w:pPr>
              <w:pStyle w:val="ListParagraph"/>
              <w:spacing w:line="276" w:lineRule="auto"/>
              <w:ind w:left="0"/>
              <w:jc w:val="center"/>
              <w:rPr>
                <w:rFonts w:ascii="Arial" w:hAnsi="Arial" w:cs="Arial"/>
                <w:b/>
              </w:rPr>
            </w:pPr>
            <w:r w:rsidRPr="007916DE">
              <w:rPr>
                <w:rFonts w:ascii="Arial" w:hAnsi="Arial" w:cs="Arial"/>
                <w:b/>
              </w:rPr>
              <w:t>Heterozygote</w:t>
            </w:r>
          </w:p>
          <w:p w14:paraId="27A3213F" w14:textId="77777777" w:rsidR="00E3493E" w:rsidRPr="007916DE" w:rsidRDefault="00E3493E" w:rsidP="00755556">
            <w:pPr>
              <w:pStyle w:val="ListParagraph"/>
              <w:spacing w:line="276" w:lineRule="auto"/>
              <w:ind w:left="0"/>
              <w:jc w:val="center"/>
              <w:rPr>
                <w:rFonts w:ascii="Arial" w:hAnsi="Arial" w:cs="Arial"/>
              </w:rPr>
            </w:pPr>
            <w:r w:rsidRPr="007916DE">
              <w:rPr>
                <w:rFonts w:ascii="Arial" w:hAnsi="Arial" w:cs="Arial"/>
              </w:rPr>
              <w:t>N (%)</w:t>
            </w:r>
          </w:p>
        </w:tc>
        <w:tc>
          <w:tcPr>
            <w:tcW w:w="1588" w:type="dxa"/>
          </w:tcPr>
          <w:p w14:paraId="383F3C30" w14:textId="77777777" w:rsidR="00E3493E" w:rsidRPr="007916DE" w:rsidRDefault="00E3493E" w:rsidP="00755556">
            <w:pPr>
              <w:pStyle w:val="ListParagraph"/>
              <w:spacing w:line="276" w:lineRule="auto"/>
              <w:ind w:left="0"/>
              <w:jc w:val="center"/>
              <w:rPr>
                <w:rFonts w:ascii="Arial" w:hAnsi="Arial" w:cs="Arial"/>
                <w:b/>
              </w:rPr>
            </w:pPr>
            <w:r w:rsidRPr="007916DE">
              <w:rPr>
                <w:rFonts w:ascii="Arial" w:hAnsi="Arial" w:cs="Arial"/>
                <w:b/>
              </w:rPr>
              <w:t>Homozygote</w:t>
            </w:r>
          </w:p>
          <w:p w14:paraId="6CF4D028" w14:textId="77777777" w:rsidR="00E3493E" w:rsidRPr="007916DE" w:rsidRDefault="00E3493E" w:rsidP="00755556">
            <w:pPr>
              <w:pStyle w:val="ListParagraph"/>
              <w:spacing w:line="276" w:lineRule="auto"/>
              <w:ind w:left="0"/>
              <w:jc w:val="center"/>
              <w:rPr>
                <w:rFonts w:ascii="Arial" w:hAnsi="Arial" w:cs="Arial"/>
              </w:rPr>
            </w:pPr>
            <w:r w:rsidRPr="007916DE">
              <w:rPr>
                <w:rFonts w:ascii="Arial" w:hAnsi="Arial" w:cs="Arial"/>
              </w:rPr>
              <w:t>N (%)</w:t>
            </w:r>
          </w:p>
        </w:tc>
        <w:tc>
          <w:tcPr>
            <w:tcW w:w="764" w:type="dxa"/>
          </w:tcPr>
          <w:p w14:paraId="06E27CC1" w14:textId="77777777" w:rsidR="00E3493E" w:rsidRPr="007916DE" w:rsidRDefault="00E3493E" w:rsidP="00755556">
            <w:pPr>
              <w:pStyle w:val="ListParagraph"/>
              <w:spacing w:line="276" w:lineRule="auto"/>
              <w:ind w:left="0"/>
              <w:jc w:val="center"/>
              <w:rPr>
                <w:rFonts w:ascii="Arial" w:hAnsi="Arial" w:cs="Arial"/>
                <w:b/>
              </w:rPr>
            </w:pPr>
            <w:r w:rsidRPr="007916DE">
              <w:rPr>
                <w:rFonts w:ascii="Arial" w:hAnsi="Arial" w:cs="Arial"/>
                <w:b/>
              </w:rPr>
              <w:t>Χ</w:t>
            </w:r>
            <w:r w:rsidRPr="007916DE">
              <w:rPr>
                <w:rFonts w:ascii="Arial" w:hAnsi="Arial" w:cs="Arial"/>
                <w:b/>
                <w:bCs/>
                <w:vertAlign w:val="superscript"/>
              </w:rPr>
              <w:t>2</w:t>
            </w:r>
          </w:p>
        </w:tc>
        <w:tc>
          <w:tcPr>
            <w:tcW w:w="992" w:type="dxa"/>
          </w:tcPr>
          <w:p w14:paraId="39D8B315" w14:textId="77777777" w:rsidR="00E3493E" w:rsidRPr="007916DE" w:rsidRDefault="00E3493E" w:rsidP="00755556">
            <w:pPr>
              <w:pStyle w:val="ListParagraph"/>
              <w:spacing w:line="276" w:lineRule="auto"/>
              <w:ind w:left="0"/>
              <w:jc w:val="center"/>
              <w:rPr>
                <w:rFonts w:ascii="Arial" w:hAnsi="Arial" w:cs="Arial"/>
                <w:b/>
              </w:rPr>
            </w:pPr>
            <w:r w:rsidRPr="007916DE">
              <w:rPr>
                <w:rFonts w:ascii="Arial" w:hAnsi="Arial" w:cs="Arial"/>
                <w:b/>
              </w:rPr>
              <w:t>p value</w:t>
            </w:r>
          </w:p>
        </w:tc>
      </w:tr>
      <w:tr w:rsidR="00E3493E" w:rsidRPr="007916DE" w14:paraId="14DEDA2D" w14:textId="77777777" w:rsidTr="00EE1945">
        <w:tc>
          <w:tcPr>
            <w:tcW w:w="2127" w:type="dxa"/>
          </w:tcPr>
          <w:p w14:paraId="43CC1E80" w14:textId="77777777" w:rsidR="00E3493E" w:rsidRPr="007916DE" w:rsidRDefault="00E3493E" w:rsidP="00755556">
            <w:pPr>
              <w:pStyle w:val="ListParagraph"/>
              <w:spacing w:line="276" w:lineRule="auto"/>
              <w:ind w:left="0"/>
              <w:rPr>
                <w:rFonts w:ascii="Arial" w:hAnsi="Arial" w:cs="Arial"/>
                <w:b/>
              </w:rPr>
            </w:pPr>
            <w:r w:rsidRPr="007916DE">
              <w:rPr>
                <w:rFonts w:ascii="Arial" w:hAnsi="Arial" w:cs="Arial"/>
                <w:b/>
              </w:rPr>
              <w:t>Demography</w:t>
            </w:r>
          </w:p>
        </w:tc>
        <w:tc>
          <w:tcPr>
            <w:tcW w:w="1588" w:type="dxa"/>
          </w:tcPr>
          <w:p w14:paraId="08BAE1D4" w14:textId="77777777" w:rsidR="00E3493E" w:rsidRPr="007916DE" w:rsidRDefault="00E3493E" w:rsidP="00755556">
            <w:pPr>
              <w:pStyle w:val="ListParagraph"/>
              <w:spacing w:line="276" w:lineRule="auto"/>
              <w:ind w:left="0"/>
              <w:jc w:val="center"/>
              <w:rPr>
                <w:rFonts w:ascii="Arial" w:hAnsi="Arial" w:cs="Arial"/>
              </w:rPr>
            </w:pPr>
          </w:p>
        </w:tc>
        <w:tc>
          <w:tcPr>
            <w:tcW w:w="1588" w:type="dxa"/>
          </w:tcPr>
          <w:p w14:paraId="047646E1" w14:textId="77777777" w:rsidR="00E3493E" w:rsidRPr="007916DE" w:rsidRDefault="00E3493E" w:rsidP="00755556">
            <w:pPr>
              <w:pStyle w:val="ListParagraph"/>
              <w:spacing w:line="276" w:lineRule="auto"/>
              <w:ind w:left="0"/>
              <w:jc w:val="center"/>
              <w:rPr>
                <w:rFonts w:ascii="Arial" w:hAnsi="Arial" w:cs="Arial"/>
              </w:rPr>
            </w:pPr>
          </w:p>
        </w:tc>
        <w:tc>
          <w:tcPr>
            <w:tcW w:w="1588" w:type="dxa"/>
          </w:tcPr>
          <w:p w14:paraId="4889D671" w14:textId="77777777" w:rsidR="00E3493E" w:rsidRPr="007916DE" w:rsidRDefault="00E3493E" w:rsidP="00755556">
            <w:pPr>
              <w:pStyle w:val="ListParagraph"/>
              <w:spacing w:line="276" w:lineRule="auto"/>
              <w:ind w:left="0"/>
              <w:jc w:val="center"/>
              <w:rPr>
                <w:rFonts w:ascii="Arial" w:hAnsi="Arial" w:cs="Arial"/>
              </w:rPr>
            </w:pPr>
          </w:p>
        </w:tc>
        <w:tc>
          <w:tcPr>
            <w:tcW w:w="764" w:type="dxa"/>
          </w:tcPr>
          <w:p w14:paraId="6AF4896F" w14:textId="77777777" w:rsidR="00E3493E" w:rsidRPr="007916DE" w:rsidRDefault="00E3493E" w:rsidP="00755556">
            <w:pPr>
              <w:pStyle w:val="ListParagraph"/>
              <w:spacing w:line="276" w:lineRule="auto"/>
              <w:ind w:left="0"/>
              <w:jc w:val="center"/>
              <w:rPr>
                <w:rFonts w:ascii="Arial" w:hAnsi="Arial" w:cs="Arial"/>
              </w:rPr>
            </w:pPr>
          </w:p>
        </w:tc>
        <w:tc>
          <w:tcPr>
            <w:tcW w:w="992" w:type="dxa"/>
          </w:tcPr>
          <w:p w14:paraId="4249661A" w14:textId="77777777" w:rsidR="00E3493E" w:rsidRPr="007916DE" w:rsidRDefault="00E3493E" w:rsidP="00755556">
            <w:pPr>
              <w:pStyle w:val="ListParagraph"/>
              <w:spacing w:line="276" w:lineRule="auto"/>
              <w:ind w:left="0"/>
              <w:jc w:val="center"/>
              <w:rPr>
                <w:rFonts w:ascii="Arial" w:hAnsi="Arial" w:cs="Arial"/>
              </w:rPr>
            </w:pPr>
          </w:p>
        </w:tc>
      </w:tr>
      <w:tr w:rsidR="00E3493E" w:rsidRPr="007916DE" w14:paraId="1598BA2C" w14:textId="77777777" w:rsidTr="00EE1945">
        <w:trPr>
          <w:trHeight w:val="469"/>
        </w:trPr>
        <w:tc>
          <w:tcPr>
            <w:tcW w:w="2127" w:type="dxa"/>
            <w:vAlign w:val="bottom"/>
          </w:tcPr>
          <w:p w14:paraId="4464A4F3" w14:textId="77777777" w:rsidR="00E3493E" w:rsidRPr="007916DE" w:rsidRDefault="00E3493E" w:rsidP="00755556">
            <w:pPr>
              <w:pStyle w:val="ListParagraph"/>
              <w:spacing w:line="276" w:lineRule="auto"/>
              <w:ind w:left="0"/>
              <w:rPr>
                <w:rFonts w:ascii="Arial" w:hAnsi="Arial" w:cs="Arial"/>
                <w:b/>
              </w:rPr>
            </w:pPr>
            <w:r w:rsidRPr="007916DE">
              <w:rPr>
                <w:rFonts w:ascii="Arial" w:hAnsi="Arial" w:cs="Arial"/>
                <w:b/>
              </w:rPr>
              <w:t>Sex</w:t>
            </w:r>
          </w:p>
        </w:tc>
        <w:tc>
          <w:tcPr>
            <w:tcW w:w="1588" w:type="dxa"/>
          </w:tcPr>
          <w:p w14:paraId="6418C562" w14:textId="77777777" w:rsidR="00E3493E" w:rsidRPr="007916DE" w:rsidRDefault="00E3493E" w:rsidP="00755556">
            <w:pPr>
              <w:pStyle w:val="ListParagraph"/>
              <w:spacing w:line="276" w:lineRule="auto"/>
              <w:ind w:left="0"/>
              <w:jc w:val="center"/>
              <w:rPr>
                <w:rFonts w:ascii="Arial" w:hAnsi="Arial" w:cs="Arial"/>
              </w:rPr>
            </w:pPr>
          </w:p>
        </w:tc>
        <w:tc>
          <w:tcPr>
            <w:tcW w:w="1588" w:type="dxa"/>
          </w:tcPr>
          <w:p w14:paraId="255928E7" w14:textId="77777777" w:rsidR="00E3493E" w:rsidRPr="007916DE" w:rsidRDefault="00E3493E" w:rsidP="00755556">
            <w:pPr>
              <w:pStyle w:val="ListParagraph"/>
              <w:spacing w:line="276" w:lineRule="auto"/>
              <w:ind w:left="0"/>
              <w:jc w:val="center"/>
              <w:rPr>
                <w:rFonts w:ascii="Arial" w:hAnsi="Arial" w:cs="Arial"/>
              </w:rPr>
            </w:pPr>
          </w:p>
        </w:tc>
        <w:tc>
          <w:tcPr>
            <w:tcW w:w="1588" w:type="dxa"/>
          </w:tcPr>
          <w:p w14:paraId="6882F9C3" w14:textId="77777777" w:rsidR="00E3493E" w:rsidRPr="007916DE" w:rsidRDefault="00E3493E" w:rsidP="00755556">
            <w:pPr>
              <w:pStyle w:val="ListParagraph"/>
              <w:spacing w:line="276" w:lineRule="auto"/>
              <w:ind w:left="0"/>
              <w:jc w:val="center"/>
              <w:rPr>
                <w:rFonts w:ascii="Arial" w:hAnsi="Arial" w:cs="Arial"/>
              </w:rPr>
            </w:pPr>
          </w:p>
        </w:tc>
        <w:tc>
          <w:tcPr>
            <w:tcW w:w="764" w:type="dxa"/>
          </w:tcPr>
          <w:p w14:paraId="03B49180" w14:textId="77777777" w:rsidR="00E3493E" w:rsidRPr="007916DE" w:rsidRDefault="00E3493E" w:rsidP="00755556">
            <w:pPr>
              <w:pStyle w:val="ListParagraph"/>
              <w:spacing w:line="276" w:lineRule="auto"/>
              <w:ind w:left="0"/>
              <w:jc w:val="center"/>
              <w:rPr>
                <w:rFonts w:ascii="Arial" w:hAnsi="Arial" w:cs="Arial"/>
              </w:rPr>
            </w:pPr>
          </w:p>
        </w:tc>
        <w:tc>
          <w:tcPr>
            <w:tcW w:w="992" w:type="dxa"/>
          </w:tcPr>
          <w:p w14:paraId="413E7EF1" w14:textId="77777777" w:rsidR="00E3493E" w:rsidRPr="007916DE" w:rsidRDefault="00E3493E" w:rsidP="00755556">
            <w:pPr>
              <w:pStyle w:val="ListParagraph"/>
              <w:spacing w:line="276" w:lineRule="auto"/>
              <w:ind w:left="0"/>
              <w:jc w:val="center"/>
              <w:rPr>
                <w:rFonts w:ascii="Arial" w:hAnsi="Arial" w:cs="Arial"/>
              </w:rPr>
            </w:pPr>
          </w:p>
        </w:tc>
      </w:tr>
      <w:tr w:rsidR="00E3493E" w:rsidRPr="007916DE" w14:paraId="5C478710" w14:textId="77777777" w:rsidTr="00EE1945">
        <w:tc>
          <w:tcPr>
            <w:tcW w:w="2127" w:type="dxa"/>
            <w:vAlign w:val="bottom"/>
          </w:tcPr>
          <w:p w14:paraId="1F2ADC90" w14:textId="77777777" w:rsidR="00E3493E" w:rsidRPr="007916DE" w:rsidRDefault="00E3493E" w:rsidP="00755556">
            <w:pPr>
              <w:pStyle w:val="ListParagraph"/>
              <w:numPr>
                <w:ilvl w:val="0"/>
                <w:numId w:val="2"/>
              </w:numPr>
              <w:spacing w:line="276" w:lineRule="auto"/>
              <w:rPr>
                <w:rFonts w:ascii="Arial" w:hAnsi="Arial" w:cs="Arial"/>
              </w:rPr>
            </w:pPr>
            <w:r w:rsidRPr="007916DE">
              <w:rPr>
                <w:rFonts w:ascii="Arial" w:hAnsi="Arial" w:cs="Arial"/>
              </w:rPr>
              <w:t>Male</w:t>
            </w:r>
          </w:p>
        </w:tc>
        <w:tc>
          <w:tcPr>
            <w:tcW w:w="1588" w:type="dxa"/>
            <w:vAlign w:val="center"/>
          </w:tcPr>
          <w:p w14:paraId="4A5C4B17" w14:textId="77777777" w:rsidR="00E3493E" w:rsidRPr="007916DE" w:rsidRDefault="00E3493E" w:rsidP="00755556">
            <w:pPr>
              <w:pStyle w:val="ListParagraph"/>
              <w:spacing w:line="276" w:lineRule="auto"/>
              <w:ind w:left="0"/>
              <w:jc w:val="center"/>
              <w:rPr>
                <w:rFonts w:ascii="Arial" w:hAnsi="Arial" w:cs="Arial"/>
              </w:rPr>
            </w:pPr>
            <w:r w:rsidRPr="007916DE">
              <w:rPr>
                <w:rFonts w:ascii="Arial" w:hAnsi="Arial" w:cs="Arial"/>
              </w:rPr>
              <w:t>351 (86.9)</w:t>
            </w:r>
          </w:p>
        </w:tc>
        <w:tc>
          <w:tcPr>
            <w:tcW w:w="1588" w:type="dxa"/>
            <w:vAlign w:val="center"/>
          </w:tcPr>
          <w:p w14:paraId="51B995D5" w14:textId="77777777" w:rsidR="00E3493E" w:rsidRPr="007916DE" w:rsidRDefault="00E3493E" w:rsidP="00755556">
            <w:pPr>
              <w:pStyle w:val="ListParagraph"/>
              <w:spacing w:line="276" w:lineRule="auto"/>
              <w:ind w:left="0"/>
              <w:jc w:val="center"/>
              <w:rPr>
                <w:rFonts w:ascii="Arial" w:hAnsi="Arial" w:cs="Arial"/>
              </w:rPr>
            </w:pPr>
            <w:r w:rsidRPr="007916DE">
              <w:rPr>
                <w:rFonts w:ascii="Arial" w:hAnsi="Arial" w:cs="Arial"/>
              </w:rPr>
              <w:t>52 (12.9)</w:t>
            </w:r>
          </w:p>
        </w:tc>
        <w:tc>
          <w:tcPr>
            <w:tcW w:w="1588" w:type="dxa"/>
            <w:vAlign w:val="center"/>
          </w:tcPr>
          <w:p w14:paraId="57B5FC78" w14:textId="77777777" w:rsidR="00E3493E" w:rsidRPr="007916DE" w:rsidRDefault="00E3493E" w:rsidP="00755556">
            <w:pPr>
              <w:pStyle w:val="ListParagraph"/>
              <w:spacing w:line="276" w:lineRule="auto"/>
              <w:ind w:left="0"/>
              <w:jc w:val="center"/>
              <w:rPr>
                <w:rFonts w:ascii="Arial" w:hAnsi="Arial" w:cs="Arial"/>
              </w:rPr>
            </w:pPr>
            <w:r w:rsidRPr="007916DE">
              <w:rPr>
                <w:rFonts w:ascii="Arial" w:hAnsi="Arial" w:cs="Arial"/>
              </w:rPr>
              <w:t>1 (0.2)</w:t>
            </w:r>
          </w:p>
        </w:tc>
        <w:tc>
          <w:tcPr>
            <w:tcW w:w="764" w:type="dxa"/>
            <w:vMerge w:val="restart"/>
            <w:vAlign w:val="center"/>
          </w:tcPr>
          <w:p w14:paraId="7BA37D9A" w14:textId="77777777" w:rsidR="00E3493E" w:rsidRPr="007916DE" w:rsidRDefault="00E3493E" w:rsidP="00755556">
            <w:pPr>
              <w:pStyle w:val="ListParagraph"/>
              <w:spacing w:line="276" w:lineRule="auto"/>
              <w:ind w:left="0"/>
              <w:jc w:val="center"/>
              <w:rPr>
                <w:rFonts w:ascii="Arial" w:hAnsi="Arial" w:cs="Arial"/>
              </w:rPr>
            </w:pPr>
            <w:r w:rsidRPr="007916DE">
              <w:rPr>
                <w:rFonts w:ascii="Arial" w:hAnsi="Arial" w:cs="Arial"/>
              </w:rPr>
              <w:t>0.644</w:t>
            </w:r>
          </w:p>
        </w:tc>
        <w:tc>
          <w:tcPr>
            <w:tcW w:w="992" w:type="dxa"/>
            <w:vMerge w:val="restart"/>
            <w:vAlign w:val="center"/>
          </w:tcPr>
          <w:p w14:paraId="4A16805F" w14:textId="77777777" w:rsidR="00E3493E" w:rsidRPr="007916DE" w:rsidRDefault="00E3493E" w:rsidP="00755556">
            <w:pPr>
              <w:pStyle w:val="ListParagraph"/>
              <w:spacing w:line="276" w:lineRule="auto"/>
              <w:ind w:left="0"/>
              <w:jc w:val="center"/>
              <w:rPr>
                <w:rFonts w:ascii="Arial" w:hAnsi="Arial" w:cs="Arial"/>
              </w:rPr>
            </w:pPr>
            <w:r w:rsidRPr="007916DE">
              <w:rPr>
                <w:rFonts w:ascii="Arial" w:hAnsi="Arial" w:cs="Arial"/>
              </w:rPr>
              <w:t>0.725</w:t>
            </w:r>
          </w:p>
        </w:tc>
      </w:tr>
      <w:tr w:rsidR="00E3493E" w:rsidRPr="007916DE" w14:paraId="49B77C7A" w14:textId="77777777" w:rsidTr="00EE1945">
        <w:tc>
          <w:tcPr>
            <w:tcW w:w="2127" w:type="dxa"/>
            <w:vAlign w:val="bottom"/>
          </w:tcPr>
          <w:p w14:paraId="3F1566C0" w14:textId="77777777" w:rsidR="00E3493E" w:rsidRPr="007916DE" w:rsidRDefault="00E3493E" w:rsidP="00755556">
            <w:pPr>
              <w:pStyle w:val="ListParagraph"/>
              <w:numPr>
                <w:ilvl w:val="0"/>
                <w:numId w:val="2"/>
              </w:numPr>
              <w:spacing w:line="276" w:lineRule="auto"/>
              <w:rPr>
                <w:rFonts w:ascii="Arial" w:hAnsi="Arial" w:cs="Arial"/>
              </w:rPr>
            </w:pPr>
            <w:r w:rsidRPr="007916DE">
              <w:rPr>
                <w:rFonts w:ascii="Arial" w:hAnsi="Arial" w:cs="Arial"/>
              </w:rPr>
              <w:t>Female</w:t>
            </w:r>
          </w:p>
        </w:tc>
        <w:tc>
          <w:tcPr>
            <w:tcW w:w="1588" w:type="dxa"/>
            <w:vAlign w:val="center"/>
          </w:tcPr>
          <w:p w14:paraId="3313A9D8" w14:textId="77777777" w:rsidR="00E3493E" w:rsidRPr="007916DE" w:rsidRDefault="00E3493E" w:rsidP="00755556">
            <w:pPr>
              <w:pStyle w:val="ListParagraph"/>
              <w:spacing w:line="276" w:lineRule="auto"/>
              <w:ind w:left="0"/>
              <w:jc w:val="center"/>
              <w:rPr>
                <w:rFonts w:ascii="Arial" w:hAnsi="Arial" w:cs="Arial"/>
              </w:rPr>
            </w:pPr>
            <w:r w:rsidRPr="007916DE">
              <w:rPr>
                <w:rFonts w:ascii="Arial" w:hAnsi="Arial" w:cs="Arial"/>
              </w:rPr>
              <w:t>475 (85.7)</w:t>
            </w:r>
          </w:p>
        </w:tc>
        <w:tc>
          <w:tcPr>
            <w:tcW w:w="1588" w:type="dxa"/>
            <w:vAlign w:val="center"/>
          </w:tcPr>
          <w:p w14:paraId="146791FF" w14:textId="77777777" w:rsidR="00E3493E" w:rsidRPr="007916DE" w:rsidRDefault="00E3493E" w:rsidP="00755556">
            <w:pPr>
              <w:pStyle w:val="ListParagraph"/>
              <w:spacing w:line="276" w:lineRule="auto"/>
              <w:ind w:left="0"/>
              <w:jc w:val="center"/>
              <w:rPr>
                <w:rFonts w:ascii="Arial" w:hAnsi="Arial" w:cs="Arial"/>
              </w:rPr>
            </w:pPr>
            <w:r w:rsidRPr="007916DE">
              <w:rPr>
                <w:rFonts w:ascii="Arial" w:hAnsi="Arial" w:cs="Arial"/>
              </w:rPr>
              <w:t>76 (13.7)</w:t>
            </w:r>
          </w:p>
        </w:tc>
        <w:tc>
          <w:tcPr>
            <w:tcW w:w="1588" w:type="dxa"/>
            <w:vAlign w:val="center"/>
          </w:tcPr>
          <w:p w14:paraId="6458A4E6" w14:textId="77777777" w:rsidR="00E3493E" w:rsidRPr="007916DE" w:rsidRDefault="00E3493E" w:rsidP="00755556">
            <w:pPr>
              <w:pStyle w:val="ListParagraph"/>
              <w:spacing w:line="276" w:lineRule="auto"/>
              <w:ind w:left="0"/>
              <w:jc w:val="center"/>
              <w:rPr>
                <w:rFonts w:ascii="Arial" w:hAnsi="Arial" w:cs="Arial"/>
              </w:rPr>
            </w:pPr>
            <w:r w:rsidRPr="007916DE">
              <w:rPr>
                <w:rFonts w:ascii="Arial" w:hAnsi="Arial" w:cs="Arial"/>
              </w:rPr>
              <w:t>3 (0.5)</w:t>
            </w:r>
          </w:p>
        </w:tc>
        <w:tc>
          <w:tcPr>
            <w:tcW w:w="764" w:type="dxa"/>
            <w:vMerge/>
            <w:vAlign w:val="center"/>
          </w:tcPr>
          <w:p w14:paraId="37BAED69" w14:textId="77777777" w:rsidR="00E3493E" w:rsidRPr="007916DE" w:rsidRDefault="00E3493E" w:rsidP="00755556">
            <w:pPr>
              <w:pStyle w:val="ListParagraph"/>
              <w:spacing w:line="276" w:lineRule="auto"/>
              <w:ind w:left="0"/>
              <w:jc w:val="center"/>
              <w:rPr>
                <w:rFonts w:ascii="Arial" w:hAnsi="Arial" w:cs="Arial"/>
              </w:rPr>
            </w:pPr>
          </w:p>
        </w:tc>
        <w:tc>
          <w:tcPr>
            <w:tcW w:w="992" w:type="dxa"/>
            <w:vMerge/>
            <w:vAlign w:val="center"/>
          </w:tcPr>
          <w:p w14:paraId="1932B787" w14:textId="77777777" w:rsidR="00E3493E" w:rsidRPr="007916DE" w:rsidRDefault="00E3493E" w:rsidP="00755556">
            <w:pPr>
              <w:pStyle w:val="ListParagraph"/>
              <w:spacing w:line="276" w:lineRule="auto"/>
              <w:ind w:left="0"/>
              <w:jc w:val="center"/>
              <w:rPr>
                <w:rFonts w:ascii="Arial" w:hAnsi="Arial" w:cs="Arial"/>
              </w:rPr>
            </w:pPr>
          </w:p>
        </w:tc>
      </w:tr>
      <w:tr w:rsidR="00E3493E" w:rsidRPr="007916DE" w14:paraId="40D61610" w14:textId="77777777" w:rsidTr="00EE1945">
        <w:trPr>
          <w:trHeight w:val="383"/>
        </w:trPr>
        <w:tc>
          <w:tcPr>
            <w:tcW w:w="2127" w:type="dxa"/>
            <w:vAlign w:val="bottom"/>
          </w:tcPr>
          <w:p w14:paraId="1F2F2445" w14:textId="77777777" w:rsidR="00E3493E" w:rsidRPr="007916DE" w:rsidRDefault="00E3493E" w:rsidP="00755556">
            <w:pPr>
              <w:pStyle w:val="ListParagraph"/>
              <w:spacing w:line="276" w:lineRule="auto"/>
              <w:ind w:left="0"/>
              <w:rPr>
                <w:rFonts w:ascii="Arial" w:hAnsi="Arial" w:cs="Arial"/>
              </w:rPr>
            </w:pPr>
            <w:r w:rsidRPr="007916DE">
              <w:rPr>
                <w:rFonts w:ascii="Arial" w:hAnsi="Arial" w:cs="Arial"/>
                <w:b/>
              </w:rPr>
              <w:t>Ethnicity</w:t>
            </w:r>
          </w:p>
        </w:tc>
        <w:tc>
          <w:tcPr>
            <w:tcW w:w="1588" w:type="dxa"/>
            <w:vAlign w:val="center"/>
          </w:tcPr>
          <w:p w14:paraId="6E8F3DA3" w14:textId="77777777" w:rsidR="00E3493E" w:rsidRPr="007916DE" w:rsidRDefault="00E3493E" w:rsidP="00755556">
            <w:pPr>
              <w:pStyle w:val="ListParagraph"/>
              <w:spacing w:line="276" w:lineRule="auto"/>
              <w:ind w:left="0"/>
              <w:jc w:val="center"/>
              <w:rPr>
                <w:rFonts w:ascii="Arial" w:hAnsi="Arial" w:cs="Arial"/>
              </w:rPr>
            </w:pPr>
          </w:p>
        </w:tc>
        <w:tc>
          <w:tcPr>
            <w:tcW w:w="1588" w:type="dxa"/>
            <w:vAlign w:val="center"/>
          </w:tcPr>
          <w:p w14:paraId="083C7680" w14:textId="77777777" w:rsidR="00E3493E" w:rsidRPr="007916DE" w:rsidRDefault="00E3493E" w:rsidP="00755556">
            <w:pPr>
              <w:pStyle w:val="ListParagraph"/>
              <w:spacing w:line="276" w:lineRule="auto"/>
              <w:ind w:left="0"/>
              <w:jc w:val="center"/>
              <w:rPr>
                <w:rFonts w:ascii="Arial" w:hAnsi="Arial" w:cs="Arial"/>
              </w:rPr>
            </w:pPr>
          </w:p>
        </w:tc>
        <w:tc>
          <w:tcPr>
            <w:tcW w:w="1588" w:type="dxa"/>
            <w:vAlign w:val="center"/>
          </w:tcPr>
          <w:p w14:paraId="129ACFB7" w14:textId="77777777" w:rsidR="00E3493E" w:rsidRPr="007916DE" w:rsidRDefault="00E3493E" w:rsidP="00755556">
            <w:pPr>
              <w:pStyle w:val="ListParagraph"/>
              <w:spacing w:line="276" w:lineRule="auto"/>
              <w:ind w:left="0"/>
              <w:jc w:val="center"/>
              <w:rPr>
                <w:rFonts w:ascii="Arial" w:hAnsi="Arial" w:cs="Arial"/>
              </w:rPr>
            </w:pPr>
          </w:p>
        </w:tc>
        <w:tc>
          <w:tcPr>
            <w:tcW w:w="764" w:type="dxa"/>
            <w:vAlign w:val="center"/>
          </w:tcPr>
          <w:p w14:paraId="581F5055" w14:textId="77777777" w:rsidR="00E3493E" w:rsidRPr="007916DE" w:rsidRDefault="00E3493E" w:rsidP="00755556">
            <w:pPr>
              <w:pStyle w:val="ListParagraph"/>
              <w:spacing w:line="276" w:lineRule="auto"/>
              <w:ind w:left="0"/>
              <w:jc w:val="center"/>
              <w:rPr>
                <w:rFonts w:ascii="Arial" w:hAnsi="Arial" w:cs="Arial"/>
              </w:rPr>
            </w:pPr>
          </w:p>
        </w:tc>
        <w:tc>
          <w:tcPr>
            <w:tcW w:w="992" w:type="dxa"/>
            <w:vAlign w:val="center"/>
          </w:tcPr>
          <w:p w14:paraId="4459B734" w14:textId="77777777" w:rsidR="00E3493E" w:rsidRPr="007916DE" w:rsidRDefault="00E3493E" w:rsidP="00755556">
            <w:pPr>
              <w:pStyle w:val="ListParagraph"/>
              <w:spacing w:line="276" w:lineRule="auto"/>
              <w:ind w:left="0"/>
              <w:jc w:val="center"/>
              <w:rPr>
                <w:rFonts w:ascii="Arial" w:hAnsi="Arial" w:cs="Arial"/>
              </w:rPr>
            </w:pPr>
          </w:p>
        </w:tc>
      </w:tr>
      <w:tr w:rsidR="00E3493E" w:rsidRPr="007916DE" w14:paraId="3CE559AA" w14:textId="77777777" w:rsidTr="00EE1945">
        <w:tc>
          <w:tcPr>
            <w:tcW w:w="2127" w:type="dxa"/>
            <w:vAlign w:val="bottom"/>
          </w:tcPr>
          <w:p w14:paraId="70194B49" w14:textId="77777777" w:rsidR="00E3493E" w:rsidRPr="007916DE" w:rsidRDefault="00E3493E" w:rsidP="00755556">
            <w:pPr>
              <w:pStyle w:val="ListParagraph"/>
              <w:numPr>
                <w:ilvl w:val="0"/>
                <w:numId w:val="2"/>
              </w:numPr>
              <w:spacing w:line="276" w:lineRule="auto"/>
              <w:rPr>
                <w:rFonts w:ascii="Arial" w:hAnsi="Arial" w:cs="Arial"/>
              </w:rPr>
            </w:pPr>
            <w:r w:rsidRPr="007916DE">
              <w:rPr>
                <w:rFonts w:ascii="Arial" w:hAnsi="Arial" w:cs="Arial"/>
              </w:rPr>
              <w:t>Sinhalese</w:t>
            </w:r>
          </w:p>
        </w:tc>
        <w:tc>
          <w:tcPr>
            <w:tcW w:w="1588" w:type="dxa"/>
            <w:vAlign w:val="center"/>
          </w:tcPr>
          <w:p w14:paraId="156A29CE" w14:textId="475D4B03" w:rsidR="00E3493E" w:rsidRPr="007916DE" w:rsidRDefault="002B5261" w:rsidP="00755556">
            <w:pPr>
              <w:pStyle w:val="ListParagraph"/>
              <w:spacing w:line="276" w:lineRule="auto"/>
              <w:ind w:left="0"/>
              <w:jc w:val="center"/>
              <w:rPr>
                <w:rFonts w:ascii="Arial" w:hAnsi="Arial" w:cs="Arial"/>
              </w:rPr>
            </w:pPr>
            <w:r w:rsidRPr="007916DE">
              <w:rPr>
                <w:rFonts w:ascii="Arial" w:hAnsi="Arial" w:cs="Arial"/>
              </w:rPr>
              <w:t>522</w:t>
            </w:r>
            <w:r w:rsidR="00E3493E" w:rsidRPr="007916DE">
              <w:rPr>
                <w:rFonts w:ascii="Arial" w:hAnsi="Arial" w:cs="Arial"/>
              </w:rPr>
              <w:t xml:space="preserve"> (87.8)</w:t>
            </w:r>
          </w:p>
        </w:tc>
        <w:tc>
          <w:tcPr>
            <w:tcW w:w="1588" w:type="dxa"/>
            <w:vAlign w:val="center"/>
          </w:tcPr>
          <w:p w14:paraId="24D28819" w14:textId="77777777" w:rsidR="00E3493E" w:rsidRPr="007916DE" w:rsidRDefault="00E3493E" w:rsidP="00755556">
            <w:pPr>
              <w:pStyle w:val="ListParagraph"/>
              <w:spacing w:line="276" w:lineRule="auto"/>
              <w:ind w:left="0"/>
              <w:jc w:val="center"/>
              <w:rPr>
                <w:rFonts w:ascii="Arial" w:hAnsi="Arial" w:cs="Arial"/>
              </w:rPr>
            </w:pPr>
            <w:r w:rsidRPr="007916DE">
              <w:rPr>
                <w:rFonts w:ascii="Arial" w:hAnsi="Arial" w:cs="Arial"/>
              </w:rPr>
              <w:t>71 (11.9)</w:t>
            </w:r>
          </w:p>
        </w:tc>
        <w:tc>
          <w:tcPr>
            <w:tcW w:w="1588" w:type="dxa"/>
            <w:vAlign w:val="center"/>
          </w:tcPr>
          <w:p w14:paraId="3BBBECC4" w14:textId="77777777" w:rsidR="00E3493E" w:rsidRPr="007916DE" w:rsidRDefault="00E3493E" w:rsidP="00755556">
            <w:pPr>
              <w:pStyle w:val="ListParagraph"/>
              <w:spacing w:line="276" w:lineRule="auto"/>
              <w:ind w:left="0"/>
              <w:jc w:val="center"/>
              <w:rPr>
                <w:rFonts w:ascii="Arial" w:hAnsi="Arial" w:cs="Arial"/>
              </w:rPr>
            </w:pPr>
            <w:r w:rsidRPr="007916DE">
              <w:rPr>
                <w:rFonts w:ascii="Arial" w:hAnsi="Arial" w:cs="Arial"/>
              </w:rPr>
              <w:t>2 (0.3)</w:t>
            </w:r>
          </w:p>
        </w:tc>
        <w:tc>
          <w:tcPr>
            <w:tcW w:w="764" w:type="dxa"/>
            <w:vMerge w:val="restart"/>
            <w:vAlign w:val="center"/>
          </w:tcPr>
          <w:p w14:paraId="3376F232" w14:textId="77777777" w:rsidR="00E3493E" w:rsidRPr="007916DE" w:rsidRDefault="00E3493E" w:rsidP="00755556">
            <w:pPr>
              <w:pStyle w:val="ListParagraph"/>
              <w:spacing w:line="276" w:lineRule="auto"/>
              <w:ind w:left="0"/>
              <w:jc w:val="center"/>
              <w:rPr>
                <w:rFonts w:ascii="Arial" w:hAnsi="Arial" w:cs="Arial"/>
              </w:rPr>
            </w:pPr>
            <w:r w:rsidRPr="007916DE">
              <w:rPr>
                <w:rFonts w:ascii="Arial" w:hAnsi="Arial" w:cs="Arial"/>
              </w:rPr>
              <w:t>4.37</w:t>
            </w:r>
          </w:p>
        </w:tc>
        <w:tc>
          <w:tcPr>
            <w:tcW w:w="992" w:type="dxa"/>
            <w:vMerge w:val="restart"/>
            <w:vAlign w:val="center"/>
          </w:tcPr>
          <w:p w14:paraId="75363D94" w14:textId="77777777" w:rsidR="00E3493E" w:rsidRPr="007916DE" w:rsidRDefault="00E3493E" w:rsidP="00755556">
            <w:pPr>
              <w:pStyle w:val="ListParagraph"/>
              <w:spacing w:line="276" w:lineRule="auto"/>
              <w:ind w:left="0"/>
              <w:jc w:val="center"/>
              <w:rPr>
                <w:rFonts w:ascii="Arial" w:hAnsi="Arial" w:cs="Arial"/>
              </w:rPr>
            </w:pPr>
            <w:r w:rsidRPr="007916DE">
              <w:rPr>
                <w:rFonts w:ascii="Arial" w:hAnsi="Arial" w:cs="Arial"/>
              </w:rPr>
              <w:t>0.358</w:t>
            </w:r>
          </w:p>
        </w:tc>
      </w:tr>
      <w:tr w:rsidR="00E3493E" w:rsidRPr="007916DE" w14:paraId="5BDFE949" w14:textId="77777777" w:rsidTr="00EE1945">
        <w:tc>
          <w:tcPr>
            <w:tcW w:w="2127" w:type="dxa"/>
            <w:vAlign w:val="bottom"/>
          </w:tcPr>
          <w:p w14:paraId="45ADB52F" w14:textId="77777777" w:rsidR="00E3493E" w:rsidRPr="007916DE" w:rsidRDefault="00E3493E" w:rsidP="00755556">
            <w:pPr>
              <w:pStyle w:val="ListParagraph"/>
              <w:numPr>
                <w:ilvl w:val="0"/>
                <w:numId w:val="2"/>
              </w:numPr>
              <w:spacing w:line="276" w:lineRule="auto"/>
              <w:rPr>
                <w:rFonts w:ascii="Arial" w:hAnsi="Arial" w:cs="Arial"/>
              </w:rPr>
            </w:pPr>
            <w:r w:rsidRPr="007916DE">
              <w:rPr>
                <w:rFonts w:ascii="Arial" w:hAnsi="Arial" w:cs="Arial"/>
              </w:rPr>
              <w:t>Muslim</w:t>
            </w:r>
          </w:p>
        </w:tc>
        <w:tc>
          <w:tcPr>
            <w:tcW w:w="1588" w:type="dxa"/>
            <w:vAlign w:val="center"/>
          </w:tcPr>
          <w:p w14:paraId="340CB187" w14:textId="77777777" w:rsidR="00E3493E" w:rsidRPr="007916DE" w:rsidRDefault="00E3493E" w:rsidP="00755556">
            <w:pPr>
              <w:pStyle w:val="ListParagraph"/>
              <w:spacing w:line="276" w:lineRule="auto"/>
              <w:ind w:left="0"/>
              <w:jc w:val="center"/>
              <w:rPr>
                <w:rFonts w:ascii="Arial" w:hAnsi="Arial" w:cs="Arial"/>
              </w:rPr>
            </w:pPr>
            <w:r w:rsidRPr="007916DE">
              <w:rPr>
                <w:rFonts w:ascii="Arial" w:hAnsi="Arial" w:cs="Arial"/>
              </w:rPr>
              <w:t>56 (86.2)</w:t>
            </w:r>
          </w:p>
        </w:tc>
        <w:tc>
          <w:tcPr>
            <w:tcW w:w="1588" w:type="dxa"/>
            <w:vAlign w:val="center"/>
          </w:tcPr>
          <w:p w14:paraId="66035FA2" w14:textId="77777777" w:rsidR="00E3493E" w:rsidRPr="007916DE" w:rsidRDefault="00E3493E" w:rsidP="00755556">
            <w:pPr>
              <w:pStyle w:val="ListParagraph"/>
              <w:spacing w:line="276" w:lineRule="auto"/>
              <w:ind w:left="0"/>
              <w:jc w:val="center"/>
              <w:rPr>
                <w:rFonts w:ascii="Arial" w:hAnsi="Arial" w:cs="Arial"/>
              </w:rPr>
            </w:pPr>
            <w:r w:rsidRPr="007916DE">
              <w:rPr>
                <w:rFonts w:ascii="Arial" w:hAnsi="Arial" w:cs="Arial"/>
              </w:rPr>
              <w:t>9 (13.8)</w:t>
            </w:r>
          </w:p>
        </w:tc>
        <w:tc>
          <w:tcPr>
            <w:tcW w:w="1588" w:type="dxa"/>
            <w:vAlign w:val="center"/>
          </w:tcPr>
          <w:p w14:paraId="2A78B0A8" w14:textId="77777777" w:rsidR="00E3493E" w:rsidRPr="007916DE" w:rsidRDefault="00E3493E" w:rsidP="00755556">
            <w:pPr>
              <w:pStyle w:val="ListParagraph"/>
              <w:spacing w:line="276" w:lineRule="auto"/>
              <w:ind w:left="0"/>
              <w:jc w:val="center"/>
              <w:rPr>
                <w:rFonts w:ascii="Arial" w:hAnsi="Arial" w:cs="Arial"/>
              </w:rPr>
            </w:pPr>
            <w:r w:rsidRPr="007916DE">
              <w:rPr>
                <w:rFonts w:ascii="Arial" w:hAnsi="Arial" w:cs="Arial"/>
              </w:rPr>
              <w:t>0 (0.0)</w:t>
            </w:r>
          </w:p>
        </w:tc>
        <w:tc>
          <w:tcPr>
            <w:tcW w:w="764" w:type="dxa"/>
            <w:vMerge/>
            <w:vAlign w:val="center"/>
          </w:tcPr>
          <w:p w14:paraId="731DD899" w14:textId="77777777" w:rsidR="00E3493E" w:rsidRPr="007916DE" w:rsidRDefault="00E3493E" w:rsidP="00755556">
            <w:pPr>
              <w:pStyle w:val="ListParagraph"/>
              <w:spacing w:line="276" w:lineRule="auto"/>
              <w:ind w:left="0"/>
              <w:jc w:val="center"/>
              <w:rPr>
                <w:rFonts w:ascii="Arial" w:hAnsi="Arial" w:cs="Arial"/>
              </w:rPr>
            </w:pPr>
          </w:p>
        </w:tc>
        <w:tc>
          <w:tcPr>
            <w:tcW w:w="992" w:type="dxa"/>
            <w:vMerge/>
            <w:vAlign w:val="center"/>
          </w:tcPr>
          <w:p w14:paraId="5B0B4EEE" w14:textId="77777777" w:rsidR="00E3493E" w:rsidRPr="007916DE" w:rsidRDefault="00E3493E" w:rsidP="00755556">
            <w:pPr>
              <w:pStyle w:val="ListParagraph"/>
              <w:spacing w:line="276" w:lineRule="auto"/>
              <w:ind w:left="0"/>
              <w:jc w:val="center"/>
              <w:rPr>
                <w:rFonts w:ascii="Arial" w:hAnsi="Arial" w:cs="Arial"/>
              </w:rPr>
            </w:pPr>
          </w:p>
        </w:tc>
      </w:tr>
      <w:tr w:rsidR="00E3493E" w:rsidRPr="007916DE" w14:paraId="1769F159" w14:textId="77777777" w:rsidTr="00EE1945">
        <w:trPr>
          <w:trHeight w:val="338"/>
        </w:trPr>
        <w:tc>
          <w:tcPr>
            <w:tcW w:w="2127" w:type="dxa"/>
            <w:vAlign w:val="bottom"/>
          </w:tcPr>
          <w:p w14:paraId="380573C8" w14:textId="77777777" w:rsidR="00E3493E" w:rsidRPr="007916DE" w:rsidRDefault="00E3493E" w:rsidP="00755556">
            <w:pPr>
              <w:pStyle w:val="ListParagraph"/>
              <w:numPr>
                <w:ilvl w:val="0"/>
                <w:numId w:val="2"/>
              </w:numPr>
              <w:spacing w:line="276" w:lineRule="auto"/>
              <w:rPr>
                <w:rFonts w:ascii="Arial" w:hAnsi="Arial" w:cs="Arial"/>
              </w:rPr>
            </w:pPr>
            <w:r w:rsidRPr="007916DE">
              <w:rPr>
                <w:rFonts w:ascii="Arial" w:hAnsi="Arial" w:cs="Arial"/>
              </w:rPr>
              <w:t>Tamil</w:t>
            </w:r>
          </w:p>
        </w:tc>
        <w:tc>
          <w:tcPr>
            <w:tcW w:w="1588" w:type="dxa"/>
            <w:vAlign w:val="center"/>
          </w:tcPr>
          <w:p w14:paraId="44378677" w14:textId="77777777" w:rsidR="00E3493E" w:rsidRPr="007916DE" w:rsidRDefault="00E3493E" w:rsidP="00755556">
            <w:pPr>
              <w:pStyle w:val="ListParagraph"/>
              <w:spacing w:line="276" w:lineRule="auto"/>
              <w:ind w:left="0"/>
              <w:jc w:val="center"/>
              <w:rPr>
                <w:rFonts w:ascii="Arial" w:hAnsi="Arial" w:cs="Arial"/>
              </w:rPr>
            </w:pPr>
            <w:r w:rsidRPr="007916DE">
              <w:rPr>
                <w:rFonts w:ascii="Arial" w:hAnsi="Arial" w:cs="Arial"/>
              </w:rPr>
              <w:t>249 (83.0)</w:t>
            </w:r>
          </w:p>
        </w:tc>
        <w:tc>
          <w:tcPr>
            <w:tcW w:w="1588" w:type="dxa"/>
            <w:vAlign w:val="center"/>
          </w:tcPr>
          <w:p w14:paraId="212E4FA9" w14:textId="77777777" w:rsidR="00E3493E" w:rsidRPr="007916DE" w:rsidRDefault="00E3493E" w:rsidP="00755556">
            <w:pPr>
              <w:pStyle w:val="ListParagraph"/>
              <w:spacing w:line="276" w:lineRule="auto"/>
              <w:ind w:left="0"/>
              <w:jc w:val="center"/>
              <w:rPr>
                <w:rFonts w:ascii="Arial" w:hAnsi="Arial" w:cs="Arial"/>
              </w:rPr>
            </w:pPr>
            <w:r w:rsidRPr="007916DE">
              <w:rPr>
                <w:rFonts w:ascii="Arial" w:hAnsi="Arial" w:cs="Arial"/>
              </w:rPr>
              <w:t>49 (16.3)</w:t>
            </w:r>
          </w:p>
        </w:tc>
        <w:tc>
          <w:tcPr>
            <w:tcW w:w="1588" w:type="dxa"/>
            <w:vAlign w:val="center"/>
          </w:tcPr>
          <w:p w14:paraId="08B2C45D" w14:textId="77777777" w:rsidR="00E3493E" w:rsidRPr="007916DE" w:rsidRDefault="00E3493E" w:rsidP="00755556">
            <w:pPr>
              <w:pStyle w:val="ListParagraph"/>
              <w:spacing w:line="276" w:lineRule="auto"/>
              <w:ind w:left="0"/>
              <w:jc w:val="center"/>
              <w:rPr>
                <w:rFonts w:ascii="Arial" w:hAnsi="Arial" w:cs="Arial"/>
              </w:rPr>
            </w:pPr>
            <w:r w:rsidRPr="007916DE">
              <w:rPr>
                <w:rFonts w:ascii="Arial" w:hAnsi="Arial" w:cs="Arial"/>
              </w:rPr>
              <w:t>2 (0.7)</w:t>
            </w:r>
          </w:p>
        </w:tc>
        <w:tc>
          <w:tcPr>
            <w:tcW w:w="764" w:type="dxa"/>
            <w:vMerge/>
            <w:vAlign w:val="center"/>
          </w:tcPr>
          <w:p w14:paraId="4D23DF94" w14:textId="77777777" w:rsidR="00E3493E" w:rsidRPr="007916DE" w:rsidRDefault="00E3493E" w:rsidP="00755556">
            <w:pPr>
              <w:pStyle w:val="ListParagraph"/>
              <w:spacing w:line="276" w:lineRule="auto"/>
              <w:ind w:left="0"/>
              <w:jc w:val="center"/>
              <w:rPr>
                <w:rFonts w:ascii="Arial" w:hAnsi="Arial" w:cs="Arial"/>
              </w:rPr>
            </w:pPr>
          </w:p>
        </w:tc>
        <w:tc>
          <w:tcPr>
            <w:tcW w:w="992" w:type="dxa"/>
            <w:vMerge/>
            <w:vAlign w:val="center"/>
          </w:tcPr>
          <w:p w14:paraId="744508A7" w14:textId="77777777" w:rsidR="00E3493E" w:rsidRPr="007916DE" w:rsidRDefault="00E3493E" w:rsidP="00755556">
            <w:pPr>
              <w:pStyle w:val="ListParagraph"/>
              <w:spacing w:line="276" w:lineRule="auto"/>
              <w:ind w:left="0"/>
              <w:jc w:val="center"/>
              <w:rPr>
                <w:rFonts w:ascii="Arial" w:hAnsi="Arial" w:cs="Arial"/>
              </w:rPr>
            </w:pPr>
          </w:p>
        </w:tc>
      </w:tr>
      <w:tr w:rsidR="00E3493E" w:rsidRPr="007916DE" w14:paraId="49DFC108" w14:textId="77777777" w:rsidTr="00EE1945">
        <w:trPr>
          <w:trHeight w:val="557"/>
        </w:trPr>
        <w:tc>
          <w:tcPr>
            <w:tcW w:w="2127" w:type="dxa"/>
            <w:vAlign w:val="bottom"/>
          </w:tcPr>
          <w:p w14:paraId="565C8E6A" w14:textId="77777777" w:rsidR="00E3493E" w:rsidRPr="007916DE" w:rsidRDefault="00E3493E" w:rsidP="00755556">
            <w:pPr>
              <w:pStyle w:val="ListParagraph"/>
              <w:spacing w:line="276" w:lineRule="auto"/>
              <w:ind w:left="0"/>
              <w:rPr>
                <w:rFonts w:ascii="Arial" w:hAnsi="Arial" w:cs="Arial"/>
              </w:rPr>
            </w:pPr>
            <w:r w:rsidRPr="007916DE">
              <w:rPr>
                <w:rFonts w:ascii="Arial" w:hAnsi="Arial" w:cs="Arial"/>
                <w:b/>
              </w:rPr>
              <w:t>Red cell indices</w:t>
            </w:r>
          </w:p>
        </w:tc>
        <w:tc>
          <w:tcPr>
            <w:tcW w:w="1588" w:type="dxa"/>
            <w:vAlign w:val="center"/>
          </w:tcPr>
          <w:p w14:paraId="37D0635B" w14:textId="77777777" w:rsidR="00E3493E" w:rsidRPr="007916DE" w:rsidRDefault="00E3493E" w:rsidP="00755556">
            <w:pPr>
              <w:pStyle w:val="ListParagraph"/>
              <w:spacing w:line="276" w:lineRule="auto"/>
              <w:ind w:left="0"/>
              <w:jc w:val="center"/>
              <w:rPr>
                <w:rFonts w:ascii="Arial" w:hAnsi="Arial" w:cs="Arial"/>
              </w:rPr>
            </w:pPr>
          </w:p>
        </w:tc>
        <w:tc>
          <w:tcPr>
            <w:tcW w:w="1588" w:type="dxa"/>
            <w:vAlign w:val="center"/>
          </w:tcPr>
          <w:p w14:paraId="508074A5" w14:textId="77777777" w:rsidR="00E3493E" w:rsidRPr="007916DE" w:rsidRDefault="00E3493E" w:rsidP="00755556">
            <w:pPr>
              <w:pStyle w:val="ListParagraph"/>
              <w:spacing w:line="276" w:lineRule="auto"/>
              <w:ind w:left="0"/>
              <w:jc w:val="center"/>
              <w:rPr>
                <w:rFonts w:ascii="Arial" w:hAnsi="Arial" w:cs="Arial"/>
              </w:rPr>
            </w:pPr>
          </w:p>
        </w:tc>
        <w:tc>
          <w:tcPr>
            <w:tcW w:w="1588" w:type="dxa"/>
            <w:vAlign w:val="center"/>
          </w:tcPr>
          <w:p w14:paraId="6B07CEEE" w14:textId="77777777" w:rsidR="00E3493E" w:rsidRPr="007916DE" w:rsidRDefault="00E3493E" w:rsidP="00755556">
            <w:pPr>
              <w:pStyle w:val="ListParagraph"/>
              <w:spacing w:line="276" w:lineRule="auto"/>
              <w:ind w:left="0"/>
              <w:jc w:val="center"/>
              <w:rPr>
                <w:rFonts w:ascii="Arial" w:hAnsi="Arial" w:cs="Arial"/>
              </w:rPr>
            </w:pPr>
          </w:p>
        </w:tc>
        <w:tc>
          <w:tcPr>
            <w:tcW w:w="764" w:type="dxa"/>
            <w:vAlign w:val="center"/>
          </w:tcPr>
          <w:p w14:paraId="259A7D5E" w14:textId="77777777" w:rsidR="00E3493E" w:rsidRPr="007916DE" w:rsidRDefault="00E3493E" w:rsidP="00755556">
            <w:pPr>
              <w:pStyle w:val="ListParagraph"/>
              <w:spacing w:line="276" w:lineRule="auto"/>
              <w:ind w:left="0"/>
              <w:jc w:val="center"/>
              <w:rPr>
                <w:rFonts w:ascii="Arial" w:hAnsi="Arial" w:cs="Arial"/>
              </w:rPr>
            </w:pPr>
          </w:p>
        </w:tc>
        <w:tc>
          <w:tcPr>
            <w:tcW w:w="992" w:type="dxa"/>
            <w:vAlign w:val="center"/>
          </w:tcPr>
          <w:p w14:paraId="32C85132" w14:textId="77777777" w:rsidR="00E3493E" w:rsidRPr="007916DE" w:rsidRDefault="00E3493E" w:rsidP="00755556">
            <w:pPr>
              <w:pStyle w:val="ListParagraph"/>
              <w:spacing w:line="276" w:lineRule="auto"/>
              <w:ind w:left="0"/>
              <w:jc w:val="center"/>
              <w:rPr>
                <w:rFonts w:ascii="Arial" w:hAnsi="Arial" w:cs="Arial"/>
              </w:rPr>
            </w:pPr>
          </w:p>
        </w:tc>
      </w:tr>
      <w:tr w:rsidR="00E3493E" w:rsidRPr="007916DE" w14:paraId="1657D891" w14:textId="77777777" w:rsidTr="00EE1945">
        <w:tc>
          <w:tcPr>
            <w:tcW w:w="2127" w:type="dxa"/>
            <w:vAlign w:val="center"/>
          </w:tcPr>
          <w:p w14:paraId="27FD2FE4" w14:textId="77777777" w:rsidR="00E3493E" w:rsidRPr="007916DE" w:rsidRDefault="00E3493E" w:rsidP="00755556">
            <w:pPr>
              <w:pStyle w:val="ListParagraph"/>
              <w:numPr>
                <w:ilvl w:val="0"/>
                <w:numId w:val="2"/>
              </w:numPr>
              <w:spacing w:line="276" w:lineRule="auto"/>
              <w:rPr>
                <w:rFonts w:ascii="Arial" w:hAnsi="Arial" w:cs="Arial"/>
              </w:rPr>
            </w:pPr>
            <w:r w:rsidRPr="007916DE">
              <w:rPr>
                <w:rFonts w:ascii="Arial" w:hAnsi="Arial" w:cs="Arial"/>
              </w:rPr>
              <w:t xml:space="preserve">Low red cell indices </w:t>
            </w:r>
          </w:p>
        </w:tc>
        <w:tc>
          <w:tcPr>
            <w:tcW w:w="1588" w:type="dxa"/>
            <w:vAlign w:val="center"/>
          </w:tcPr>
          <w:p w14:paraId="37230B74" w14:textId="4B17395D" w:rsidR="00E3493E" w:rsidRPr="007916DE" w:rsidRDefault="00300DFF" w:rsidP="00755556">
            <w:pPr>
              <w:pStyle w:val="ListParagraph"/>
              <w:spacing w:line="276" w:lineRule="auto"/>
              <w:ind w:left="0"/>
              <w:jc w:val="center"/>
              <w:rPr>
                <w:rFonts w:ascii="Arial" w:hAnsi="Arial" w:cs="Arial"/>
              </w:rPr>
            </w:pPr>
            <w:r w:rsidRPr="007916DE">
              <w:rPr>
                <w:rFonts w:ascii="Arial" w:hAnsi="Arial" w:cs="Arial"/>
              </w:rPr>
              <w:t>476 (88.1</w:t>
            </w:r>
            <w:r w:rsidR="00E3493E" w:rsidRPr="007916DE">
              <w:rPr>
                <w:rFonts w:ascii="Arial" w:hAnsi="Arial" w:cs="Arial"/>
              </w:rPr>
              <w:t>)</w:t>
            </w:r>
          </w:p>
        </w:tc>
        <w:tc>
          <w:tcPr>
            <w:tcW w:w="1588" w:type="dxa"/>
            <w:vAlign w:val="center"/>
          </w:tcPr>
          <w:p w14:paraId="567B41DF" w14:textId="2B929B9A" w:rsidR="00E3493E" w:rsidRPr="007916DE" w:rsidRDefault="00300DFF" w:rsidP="00755556">
            <w:pPr>
              <w:pStyle w:val="ListParagraph"/>
              <w:spacing w:line="276" w:lineRule="auto"/>
              <w:ind w:left="0"/>
              <w:jc w:val="center"/>
              <w:rPr>
                <w:rFonts w:ascii="Arial" w:hAnsi="Arial" w:cs="Arial"/>
              </w:rPr>
            </w:pPr>
            <w:r w:rsidRPr="007916DE">
              <w:rPr>
                <w:rFonts w:ascii="Arial" w:hAnsi="Arial" w:cs="Arial"/>
              </w:rPr>
              <w:t>64 (11.9</w:t>
            </w:r>
            <w:r w:rsidR="00E3493E" w:rsidRPr="007916DE">
              <w:rPr>
                <w:rFonts w:ascii="Arial" w:hAnsi="Arial" w:cs="Arial"/>
              </w:rPr>
              <w:t>)</w:t>
            </w:r>
          </w:p>
        </w:tc>
        <w:tc>
          <w:tcPr>
            <w:tcW w:w="1588" w:type="dxa"/>
            <w:vAlign w:val="center"/>
          </w:tcPr>
          <w:p w14:paraId="519AF4F5" w14:textId="77777777" w:rsidR="00E3493E" w:rsidRPr="007916DE" w:rsidRDefault="00E3493E" w:rsidP="00755556">
            <w:pPr>
              <w:pStyle w:val="ListParagraph"/>
              <w:spacing w:line="276" w:lineRule="auto"/>
              <w:ind w:left="0"/>
              <w:jc w:val="center"/>
              <w:rPr>
                <w:rFonts w:ascii="Arial" w:hAnsi="Arial" w:cs="Arial"/>
              </w:rPr>
            </w:pPr>
            <w:r w:rsidRPr="007916DE">
              <w:rPr>
                <w:rFonts w:ascii="Arial" w:hAnsi="Arial" w:cs="Arial"/>
              </w:rPr>
              <w:t>0</w:t>
            </w:r>
          </w:p>
        </w:tc>
        <w:tc>
          <w:tcPr>
            <w:tcW w:w="764" w:type="dxa"/>
            <w:vMerge w:val="restart"/>
            <w:vAlign w:val="center"/>
          </w:tcPr>
          <w:p w14:paraId="40B438E4" w14:textId="77777777" w:rsidR="00E3493E" w:rsidRPr="007916DE" w:rsidRDefault="00E3493E" w:rsidP="00755556">
            <w:pPr>
              <w:pStyle w:val="ListParagraph"/>
              <w:spacing w:line="276" w:lineRule="auto"/>
              <w:ind w:left="0"/>
              <w:jc w:val="center"/>
              <w:rPr>
                <w:rFonts w:ascii="Arial" w:hAnsi="Arial" w:cs="Arial"/>
              </w:rPr>
            </w:pPr>
            <w:r w:rsidRPr="007916DE">
              <w:rPr>
                <w:rFonts w:ascii="Arial" w:hAnsi="Arial" w:cs="Arial"/>
              </w:rPr>
              <w:t>7.96</w:t>
            </w:r>
          </w:p>
        </w:tc>
        <w:tc>
          <w:tcPr>
            <w:tcW w:w="992" w:type="dxa"/>
            <w:vMerge w:val="restart"/>
            <w:vAlign w:val="center"/>
          </w:tcPr>
          <w:p w14:paraId="5CF74D28" w14:textId="77777777" w:rsidR="00E3493E" w:rsidRPr="007916DE" w:rsidRDefault="00E3493E" w:rsidP="00755556">
            <w:pPr>
              <w:pStyle w:val="ListParagraph"/>
              <w:spacing w:line="276" w:lineRule="auto"/>
              <w:ind w:left="0"/>
              <w:jc w:val="center"/>
              <w:rPr>
                <w:rFonts w:ascii="Arial" w:hAnsi="Arial" w:cs="Arial"/>
              </w:rPr>
            </w:pPr>
            <w:r w:rsidRPr="007916DE">
              <w:rPr>
                <w:rFonts w:ascii="Arial" w:hAnsi="Arial" w:cs="Arial"/>
                <w:b/>
              </w:rPr>
              <w:t>0.019</w:t>
            </w:r>
          </w:p>
        </w:tc>
      </w:tr>
      <w:tr w:rsidR="00E3493E" w:rsidRPr="007916DE" w14:paraId="5527438F" w14:textId="77777777" w:rsidTr="00EE1945">
        <w:tc>
          <w:tcPr>
            <w:tcW w:w="2127" w:type="dxa"/>
            <w:vAlign w:val="center"/>
          </w:tcPr>
          <w:p w14:paraId="431BEEC5" w14:textId="77777777" w:rsidR="00E3493E" w:rsidRPr="007916DE" w:rsidRDefault="00E3493E" w:rsidP="00755556">
            <w:pPr>
              <w:pStyle w:val="ListParagraph"/>
              <w:numPr>
                <w:ilvl w:val="0"/>
                <w:numId w:val="2"/>
              </w:numPr>
              <w:spacing w:line="276" w:lineRule="auto"/>
              <w:rPr>
                <w:rFonts w:ascii="Arial" w:hAnsi="Arial" w:cs="Arial"/>
              </w:rPr>
            </w:pPr>
            <w:r w:rsidRPr="007916DE">
              <w:rPr>
                <w:rFonts w:ascii="Arial" w:hAnsi="Arial" w:cs="Arial"/>
              </w:rPr>
              <w:t>Normal red cell indices</w:t>
            </w:r>
          </w:p>
        </w:tc>
        <w:tc>
          <w:tcPr>
            <w:tcW w:w="1588" w:type="dxa"/>
            <w:vAlign w:val="center"/>
          </w:tcPr>
          <w:p w14:paraId="21A3C8F8" w14:textId="0E85379F" w:rsidR="00E3493E" w:rsidRPr="007916DE" w:rsidRDefault="00300DFF" w:rsidP="00755556">
            <w:pPr>
              <w:pStyle w:val="ListParagraph"/>
              <w:spacing w:line="276" w:lineRule="auto"/>
              <w:ind w:left="0"/>
              <w:jc w:val="center"/>
              <w:rPr>
                <w:rFonts w:ascii="Arial" w:hAnsi="Arial" w:cs="Arial"/>
              </w:rPr>
            </w:pPr>
            <w:r w:rsidRPr="007916DE">
              <w:rPr>
                <w:rFonts w:ascii="Arial" w:hAnsi="Arial" w:cs="Arial"/>
              </w:rPr>
              <w:t>352 (83.6</w:t>
            </w:r>
            <w:r w:rsidR="00E3493E" w:rsidRPr="007916DE">
              <w:rPr>
                <w:rFonts w:ascii="Arial" w:hAnsi="Arial" w:cs="Arial"/>
              </w:rPr>
              <w:t>)</w:t>
            </w:r>
          </w:p>
        </w:tc>
        <w:tc>
          <w:tcPr>
            <w:tcW w:w="1588" w:type="dxa"/>
            <w:vAlign w:val="center"/>
          </w:tcPr>
          <w:p w14:paraId="23619DEC" w14:textId="6294EC57" w:rsidR="00E3493E" w:rsidRPr="007916DE" w:rsidRDefault="00300DFF" w:rsidP="00755556">
            <w:pPr>
              <w:pStyle w:val="ListParagraph"/>
              <w:spacing w:line="276" w:lineRule="auto"/>
              <w:ind w:left="0"/>
              <w:jc w:val="center"/>
              <w:rPr>
                <w:rFonts w:ascii="Arial" w:hAnsi="Arial" w:cs="Arial"/>
              </w:rPr>
            </w:pPr>
            <w:r w:rsidRPr="007916DE">
              <w:rPr>
                <w:rFonts w:ascii="Arial" w:hAnsi="Arial" w:cs="Arial"/>
              </w:rPr>
              <w:t>65 (15.4</w:t>
            </w:r>
            <w:r w:rsidR="00E3493E" w:rsidRPr="007916DE">
              <w:rPr>
                <w:rFonts w:ascii="Arial" w:hAnsi="Arial" w:cs="Arial"/>
              </w:rPr>
              <w:t>)</w:t>
            </w:r>
          </w:p>
        </w:tc>
        <w:tc>
          <w:tcPr>
            <w:tcW w:w="1588" w:type="dxa"/>
            <w:vAlign w:val="center"/>
          </w:tcPr>
          <w:p w14:paraId="72F439AD" w14:textId="3811841A" w:rsidR="00E3493E" w:rsidRPr="007916DE" w:rsidRDefault="00300DFF" w:rsidP="00755556">
            <w:pPr>
              <w:pStyle w:val="ListParagraph"/>
              <w:spacing w:line="276" w:lineRule="auto"/>
              <w:ind w:left="0"/>
              <w:jc w:val="center"/>
              <w:rPr>
                <w:rFonts w:ascii="Arial" w:hAnsi="Arial" w:cs="Arial"/>
              </w:rPr>
            </w:pPr>
            <w:r w:rsidRPr="007916DE">
              <w:rPr>
                <w:rFonts w:ascii="Arial" w:hAnsi="Arial" w:cs="Arial"/>
              </w:rPr>
              <w:t>4 (</w:t>
            </w:r>
            <w:r w:rsidR="000C33C0">
              <w:rPr>
                <w:rFonts w:ascii="Arial" w:hAnsi="Arial" w:cs="Arial"/>
              </w:rPr>
              <w:t>1.0</w:t>
            </w:r>
            <w:r w:rsidR="00E3493E" w:rsidRPr="007916DE">
              <w:rPr>
                <w:rFonts w:ascii="Arial" w:hAnsi="Arial" w:cs="Arial"/>
              </w:rPr>
              <w:t>)</w:t>
            </w:r>
          </w:p>
        </w:tc>
        <w:tc>
          <w:tcPr>
            <w:tcW w:w="764" w:type="dxa"/>
            <w:vMerge/>
            <w:vAlign w:val="center"/>
          </w:tcPr>
          <w:p w14:paraId="1E55A4F9" w14:textId="77777777" w:rsidR="00E3493E" w:rsidRPr="007916DE" w:rsidRDefault="00E3493E" w:rsidP="00755556">
            <w:pPr>
              <w:pStyle w:val="ListParagraph"/>
              <w:spacing w:line="276" w:lineRule="auto"/>
              <w:ind w:left="0"/>
              <w:jc w:val="center"/>
              <w:rPr>
                <w:rFonts w:ascii="Arial" w:hAnsi="Arial" w:cs="Arial"/>
              </w:rPr>
            </w:pPr>
          </w:p>
        </w:tc>
        <w:tc>
          <w:tcPr>
            <w:tcW w:w="992" w:type="dxa"/>
            <w:vMerge/>
            <w:vAlign w:val="center"/>
          </w:tcPr>
          <w:p w14:paraId="56A6B980" w14:textId="77777777" w:rsidR="00E3493E" w:rsidRPr="007916DE" w:rsidRDefault="00E3493E" w:rsidP="00755556">
            <w:pPr>
              <w:pStyle w:val="ListParagraph"/>
              <w:spacing w:line="276" w:lineRule="auto"/>
              <w:ind w:left="0"/>
              <w:jc w:val="center"/>
              <w:rPr>
                <w:rFonts w:ascii="Arial" w:hAnsi="Arial" w:cs="Arial"/>
              </w:rPr>
            </w:pPr>
          </w:p>
        </w:tc>
      </w:tr>
    </w:tbl>
    <w:p w14:paraId="5E57998B" w14:textId="77777777" w:rsidR="00E3493E" w:rsidRPr="007916DE" w:rsidRDefault="00E3493E" w:rsidP="00755556">
      <w:pPr>
        <w:pStyle w:val="ListParagraph"/>
        <w:spacing w:line="276" w:lineRule="auto"/>
        <w:rPr>
          <w:rFonts w:ascii="Arial" w:hAnsi="Arial" w:cs="Arial"/>
        </w:rPr>
      </w:pPr>
    </w:p>
    <w:p w14:paraId="61AA461B" w14:textId="3E785077" w:rsidR="00E3493E" w:rsidRPr="007916DE" w:rsidRDefault="00E3493E" w:rsidP="001B45F1">
      <w:pPr>
        <w:spacing w:line="480" w:lineRule="auto"/>
        <w:rPr>
          <w:rFonts w:cs="Arial"/>
        </w:rPr>
      </w:pPr>
      <w:r w:rsidRPr="007916DE">
        <w:rPr>
          <w:rFonts w:cs="Arial"/>
        </w:rPr>
        <w:t>1. Sex or ethn</w:t>
      </w:r>
      <w:r w:rsidR="008036D9" w:rsidRPr="007916DE">
        <w:rPr>
          <w:rFonts w:cs="Arial"/>
        </w:rPr>
        <w:t>ic group were not recorded for 4</w:t>
      </w:r>
      <w:r w:rsidRPr="007916DE">
        <w:rPr>
          <w:rFonts w:cs="Arial"/>
        </w:rPr>
        <w:t xml:space="preserve"> students. </w:t>
      </w:r>
    </w:p>
    <w:p w14:paraId="5C506721" w14:textId="77777777" w:rsidR="00E3493E" w:rsidRPr="007916DE" w:rsidRDefault="00E3493E" w:rsidP="001B45F1">
      <w:pPr>
        <w:spacing w:line="480" w:lineRule="auto"/>
        <w:rPr>
          <w:rFonts w:cs="Arial"/>
        </w:rPr>
      </w:pPr>
    </w:p>
    <w:p w14:paraId="1391375B" w14:textId="77777777" w:rsidR="00E3493E" w:rsidRPr="007916DE" w:rsidRDefault="00E3493E" w:rsidP="001B45F1">
      <w:pPr>
        <w:spacing w:line="480" w:lineRule="auto"/>
        <w:rPr>
          <w:rFonts w:cs="Arial"/>
        </w:rPr>
      </w:pPr>
      <w:r w:rsidRPr="007916DE">
        <w:rPr>
          <w:rFonts w:cs="Arial"/>
        </w:rPr>
        <w:br w:type="page"/>
      </w:r>
    </w:p>
    <w:p w14:paraId="450553C8" w14:textId="43D0481C" w:rsidR="00E3493E" w:rsidRDefault="00E3493E" w:rsidP="001B45F1">
      <w:pPr>
        <w:spacing w:line="480" w:lineRule="auto"/>
        <w:rPr>
          <w:rFonts w:cs="Arial"/>
          <w:b/>
        </w:rPr>
      </w:pPr>
      <w:r w:rsidRPr="007916DE">
        <w:rPr>
          <w:rFonts w:cs="Arial"/>
          <w:b/>
        </w:rPr>
        <w:lastRenderedPageBreak/>
        <w:t>Table 2: Red cell indices and iron biomarkers according to H63D genotype in</w:t>
      </w:r>
      <w:r w:rsidR="003E7D64">
        <w:rPr>
          <w:rFonts w:cs="Arial"/>
          <w:b/>
        </w:rPr>
        <w:t xml:space="preserve"> </w:t>
      </w:r>
      <w:r w:rsidRPr="007916DE">
        <w:rPr>
          <w:rFonts w:cs="Arial"/>
          <w:b/>
        </w:rPr>
        <w:t xml:space="preserve">students without a </w:t>
      </w:r>
      <w:r w:rsidR="00C77442">
        <w:rPr>
          <w:rFonts w:cs="Arial"/>
          <w:b/>
        </w:rPr>
        <w:t>hemoglobin</w:t>
      </w:r>
      <w:r w:rsidRPr="007916DE">
        <w:rPr>
          <w:rFonts w:cs="Arial"/>
          <w:b/>
        </w:rPr>
        <w:t>opathy trait</w:t>
      </w:r>
    </w:p>
    <w:tbl>
      <w:tblPr>
        <w:tblStyle w:val="TableGrid"/>
        <w:tblW w:w="0" w:type="auto"/>
        <w:tblLook w:val="04A0" w:firstRow="1" w:lastRow="0" w:firstColumn="1" w:lastColumn="0" w:noHBand="0" w:noVBand="1"/>
      </w:tblPr>
      <w:tblGrid>
        <w:gridCol w:w="1847"/>
        <w:gridCol w:w="1847"/>
        <w:gridCol w:w="1847"/>
        <w:gridCol w:w="1848"/>
        <w:gridCol w:w="1848"/>
      </w:tblGrid>
      <w:tr w:rsidR="00810EAA" w14:paraId="5F088328" w14:textId="77777777" w:rsidTr="008E7970">
        <w:tc>
          <w:tcPr>
            <w:tcW w:w="1847" w:type="dxa"/>
            <w:vMerge w:val="restart"/>
            <w:vAlign w:val="center"/>
          </w:tcPr>
          <w:p w14:paraId="147EAE55" w14:textId="6D2FDBC8" w:rsidR="00810EAA" w:rsidRPr="007916DE" w:rsidRDefault="00810EAA" w:rsidP="008E7970">
            <w:pPr>
              <w:spacing w:line="480" w:lineRule="auto"/>
              <w:jc w:val="center"/>
              <w:rPr>
                <w:rFonts w:cs="Arial"/>
                <w:b/>
              </w:rPr>
            </w:pPr>
            <w:r w:rsidRPr="007916DE">
              <w:rPr>
                <w:rFonts w:cs="Arial"/>
                <w:b/>
              </w:rPr>
              <w:t>Red cell indices /iron biomarker</w:t>
            </w:r>
          </w:p>
        </w:tc>
        <w:tc>
          <w:tcPr>
            <w:tcW w:w="5542" w:type="dxa"/>
            <w:gridSpan w:val="3"/>
            <w:vAlign w:val="center"/>
          </w:tcPr>
          <w:p w14:paraId="4FE923CB" w14:textId="7DE3E1F1" w:rsidR="00810EAA" w:rsidRDefault="00810EAA" w:rsidP="008E7970">
            <w:pPr>
              <w:spacing w:line="480" w:lineRule="auto"/>
              <w:jc w:val="center"/>
              <w:rPr>
                <w:rFonts w:cs="Arial"/>
                <w:b/>
              </w:rPr>
            </w:pPr>
            <w:r>
              <w:rPr>
                <w:rFonts w:cs="Arial"/>
                <w:b/>
              </w:rPr>
              <w:t>H63D genotype</w:t>
            </w:r>
          </w:p>
        </w:tc>
        <w:tc>
          <w:tcPr>
            <w:tcW w:w="1848" w:type="dxa"/>
            <w:vMerge w:val="restart"/>
            <w:vAlign w:val="center"/>
          </w:tcPr>
          <w:p w14:paraId="3E0EF637" w14:textId="162A1916" w:rsidR="00810EAA" w:rsidRDefault="00810EAA" w:rsidP="008E7970">
            <w:pPr>
              <w:spacing w:line="480" w:lineRule="auto"/>
              <w:jc w:val="center"/>
              <w:rPr>
                <w:rFonts w:cs="Arial"/>
                <w:b/>
              </w:rPr>
            </w:pPr>
            <w:r w:rsidRPr="007916DE">
              <w:rPr>
                <w:rFonts w:cs="Arial"/>
                <w:b/>
              </w:rPr>
              <w:t>P value</w:t>
            </w:r>
          </w:p>
        </w:tc>
      </w:tr>
      <w:tr w:rsidR="00810EAA" w14:paraId="145AFCC8" w14:textId="77777777" w:rsidTr="008E7970">
        <w:tc>
          <w:tcPr>
            <w:tcW w:w="1847" w:type="dxa"/>
            <w:vMerge/>
            <w:vAlign w:val="center"/>
          </w:tcPr>
          <w:p w14:paraId="518311C1" w14:textId="0AFED4A1" w:rsidR="00810EAA" w:rsidRPr="007916DE" w:rsidRDefault="00810EAA" w:rsidP="008E7970">
            <w:pPr>
              <w:spacing w:line="480" w:lineRule="auto"/>
              <w:jc w:val="center"/>
              <w:rPr>
                <w:rFonts w:cs="Arial"/>
                <w:b/>
              </w:rPr>
            </w:pPr>
          </w:p>
        </w:tc>
        <w:tc>
          <w:tcPr>
            <w:tcW w:w="1847" w:type="dxa"/>
            <w:vAlign w:val="center"/>
          </w:tcPr>
          <w:p w14:paraId="4E93B328" w14:textId="77777777" w:rsidR="00810EAA" w:rsidRPr="007916DE" w:rsidRDefault="00810EAA" w:rsidP="008E7970">
            <w:pPr>
              <w:pStyle w:val="ListParagraph"/>
              <w:spacing w:line="276" w:lineRule="auto"/>
              <w:ind w:left="0"/>
              <w:jc w:val="center"/>
              <w:rPr>
                <w:rFonts w:ascii="Arial" w:hAnsi="Arial" w:cs="Arial"/>
                <w:b/>
              </w:rPr>
            </w:pPr>
            <w:r w:rsidRPr="007916DE">
              <w:rPr>
                <w:rFonts w:ascii="Arial" w:hAnsi="Arial" w:cs="Arial"/>
                <w:b/>
              </w:rPr>
              <w:t>Wild type</w:t>
            </w:r>
          </w:p>
          <w:p w14:paraId="134CED3C" w14:textId="77777777" w:rsidR="00810EAA" w:rsidRPr="007916DE" w:rsidRDefault="00810EAA" w:rsidP="008E7970">
            <w:pPr>
              <w:pStyle w:val="ListParagraph"/>
              <w:spacing w:line="276" w:lineRule="auto"/>
              <w:ind w:left="0"/>
              <w:jc w:val="center"/>
              <w:rPr>
                <w:rFonts w:ascii="Arial" w:hAnsi="Arial" w:cs="Arial"/>
                <w:b/>
              </w:rPr>
            </w:pPr>
            <w:r w:rsidRPr="007916DE">
              <w:rPr>
                <w:rFonts w:ascii="Arial" w:hAnsi="Arial" w:cs="Arial"/>
                <w:b/>
              </w:rPr>
              <w:t>N</w:t>
            </w:r>
          </w:p>
          <w:p w14:paraId="0935D943" w14:textId="77777777" w:rsidR="00810EAA" w:rsidRPr="007916DE" w:rsidRDefault="00810EAA" w:rsidP="008E7970">
            <w:pPr>
              <w:pStyle w:val="ListParagraph"/>
              <w:spacing w:line="276" w:lineRule="auto"/>
              <w:ind w:left="0"/>
              <w:jc w:val="center"/>
              <w:rPr>
                <w:rFonts w:ascii="Arial" w:hAnsi="Arial" w:cs="Arial"/>
                <w:b/>
              </w:rPr>
            </w:pPr>
            <w:r w:rsidRPr="007916DE">
              <w:rPr>
                <w:rFonts w:ascii="Arial" w:hAnsi="Arial" w:cs="Arial"/>
                <w:b/>
              </w:rPr>
              <w:t>Median</w:t>
            </w:r>
          </w:p>
          <w:p w14:paraId="2C4CF799" w14:textId="71DC973C" w:rsidR="00810EAA" w:rsidRDefault="00810EAA" w:rsidP="008E7970">
            <w:pPr>
              <w:spacing w:line="480" w:lineRule="auto"/>
              <w:jc w:val="center"/>
              <w:rPr>
                <w:rFonts w:cs="Arial"/>
                <w:b/>
              </w:rPr>
            </w:pPr>
            <w:r w:rsidRPr="007916DE">
              <w:rPr>
                <w:rFonts w:cs="Arial"/>
                <w:b/>
              </w:rPr>
              <w:t>(IQR)</w:t>
            </w:r>
          </w:p>
        </w:tc>
        <w:tc>
          <w:tcPr>
            <w:tcW w:w="1847" w:type="dxa"/>
            <w:vAlign w:val="center"/>
          </w:tcPr>
          <w:p w14:paraId="36A2C5F8" w14:textId="77777777" w:rsidR="00810EAA" w:rsidRPr="007916DE" w:rsidRDefault="00810EAA" w:rsidP="008E7970">
            <w:pPr>
              <w:pStyle w:val="ListParagraph"/>
              <w:spacing w:line="276" w:lineRule="auto"/>
              <w:ind w:left="0"/>
              <w:jc w:val="center"/>
              <w:rPr>
                <w:rFonts w:ascii="Arial" w:hAnsi="Arial" w:cs="Arial"/>
                <w:b/>
              </w:rPr>
            </w:pPr>
            <w:r w:rsidRPr="007916DE">
              <w:rPr>
                <w:rFonts w:ascii="Arial" w:hAnsi="Arial" w:cs="Arial"/>
                <w:b/>
              </w:rPr>
              <w:t>Heterozygote</w:t>
            </w:r>
          </w:p>
          <w:p w14:paraId="1D918799" w14:textId="77777777" w:rsidR="00810EAA" w:rsidRPr="007916DE" w:rsidRDefault="00810EAA" w:rsidP="008E7970">
            <w:pPr>
              <w:pStyle w:val="ListParagraph"/>
              <w:spacing w:line="276" w:lineRule="auto"/>
              <w:ind w:left="0"/>
              <w:jc w:val="center"/>
              <w:rPr>
                <w:rFonts w:ascii="Arial" w:hAnsi="Arial" w:cs="Arial"/>
                <w:b/>
              </w:rPr>
            </w:pPr>
            <w:r w:rsidRPr="007916DE">
              <w:rPr>
                <w:rFonts w:ascii="Arial" w:hAnsi="Arial" w:cs="Arial"/>
                <w:b/>
              </w:rPr>
              <w:t>N</w:t>
            </w:r>
          </w:p>
          <w:p w14:paraId="730BBD83" w14:textId="77777777" w:rsidR="00810EAA" w:rsidRPr="007916DE" w:rsidRDefault="00810EAA" w:rsidP="008E7970">
            <w:pPr>
              <w:pStyle w:val="ListParagraph"/>
              <w:spacing w:line="276" w:lineRule="auto"/>
              <w:ind w:left="0"/>
              <w:jc w:val="center"/>
              <w:rPr>
                <w:rFonts w:ascii="Arial" w:hAnsi="Arial" w:cs="Arial"/>
                <w:b/>
              </w:rPr>
            </w:pPr>
            <w:r w:rsidRPr="007916DE">
              <w:rPr>
                <w:rFonts w:ascii="Arial" w:hAnsi="Arial" w:cs="Arial"/>
                <w:b/>
              </w:rPr>
              <w:t>Median</w:t>
            </w:r>
          </w:p>
          <w:p w14:paraId="1FC3844C" w14:textId="24724EFD" w:rsidR="00810EAA" w:rsidRDefault="00810EAA" w:rsidP="008E7970">
            <w:pPr>
              <w:spacing w:line="480" w:lineRule="auto"/>
              <w:jc w:val="center"/>
              <w:rPr>
                <w:rFonts w:cs="Arial"/>
                <w:b/>
              </w:rPr>
            </w:pPr>
            <w:r w:rsidRPr="007916DE">
              <w:rPr>
                <w:rFonts w:cs="Arial"/>
                <w:b/>
              </w:rPr>
              <w:t>(IQR)</w:t>
            </w:r>
          </w:p>
        </w:tc>
        <w:tc>
          <w:tcPr>
            <w:tcW w:w="1848" w:type="dxa"/>
            <w:vAlign w:val="center"/>
          </w:tcPr>
          <w:p w14:paraId="504D1840" w14:textId="77777777" w:rsidR="00810EAA" w:rsidRPr="007916DE" w:rsidRDefault="00810EAA" w:rsidP="008E7970">
            <w:pPr>
              <w:pStyle w:val="ListParagraph"/>
              <w:spacing w:line="276" w:lineRule="auto"/>
              <w:ind w:left="0"/>
              <w:jc w:val="center"/>
              <w:rPr>
                <w:rFonts w:ascii="Arial" w:hAnsi="Arial" w:cs="Arial"/>
                <w:b/>
              </w:rPr>
            </w:pPr>
            <w:r w:rsidRPr="007916DE">
              <w:rPr>
                <w:rFonts w:ascii="Arial" w:hAnsi="Arial" w:cs="Arial"/>
                <w:b/>
              </w:rPr>
              <w:t>Homozygote</w:t>
            </w:r>
          </w:p>
          <w:p w14:paraId="38A82F02" w14:textId="77777777" w:rsidR="00810EAA" w:rsidRPr="007916DE" w:rsidRDefault="00810EAA" w:rsidP="008E7970">
            <w:pPr>
              <w:pStyle w:val="ListParagraph"/>
              <w:spacing w:line="276" w:lineRule="auto"/>
              <w:ind w:left="0"/>
              <w:jc w:val="center"/>
              <w:rPr>
                <w:rFonts w:ascii="Arial" w:hAnsi="Arial" w:cs="Arial"/>
                <w:b/>
              </w:rPr>
            </w:pPr>
            <w:r w:rsidRPr="007916DE">
              <w:rPr>
                <w:rFonts w:ascii="Arial" w:hAnsi="Arial" w:cs="Arial"/>
                <w:b/>
              </w:rPr>
              <w:t>N</w:t>
            </w:r>
          </w:p>
          <w:p w14:paraId="27203ED0" w14:textId="77777777" w:rsidR="00810EAA" w:rsidRPr="007916DE" w:rsidRDefault="00810EAA" w:rsidP="008E7970">
            <w:pPr>
              <w:pStyle w:val="ListParagraph"/>
              <w:spacing w:line="276" w:lineRule="auto"/>
              <w:ind w:left="0"/>
              <w:jc w:val="center"/>
              <w:rPr>
                <w:rFonts w:ascii="Arial" w:hAnsi="Arial" w:cs="Arial"/>
                <w:b/>
              </w:rPr>
            </w:pPr>
            <w:r w:rsidRPr="007916DE">
              <w:rPr>
                <w:rFonts w:ascii="Arial" w:hAnsi="Arial" w:cs="Arial"/>
                <w:b/>
              </w:rPr>
              <w:t>Median</w:t>
            </w:r>
          </w:p>
          <w:p w14:paraId="2AB717AD" w14:textId="1B16784C" w:rsidR="00810EAA" w:rsidRDefault="00810EAA" w:rsidP="008E7970">
            <w:pPr>
              <w:spacing w:line="480" w:lineRule="auto"/>
              <w:jc w:val="center"/>
              <w:rPr>
                <w:rFonts w:cs="Arial"/>
                <w:b/>
              </w:rPr>
            </w:pPr>
            <w:r w:rsidRPr="007916DE">
              <w:rPr>
                <w:rFonts w:cs="Arial"/>
                <w:b/>
              </w:rPr>
              <w:t>(IQR)</w:t>
            </w:r>
          </w:p>
        </w:tc>
        <w:tc>
          <w:tcPr>
            <w:tcW w:w="1848" w:type="dxa"/>
            <w:vMerge/>
            <w:vAlign w:val="center"/>
          </w:tcPr>
          <w:p w14:paraId="4D1406F0" w14:textId="25B11973" w:rsidR="00810EAA" w:rsidRDefault="00810EAA" w:rsidP="008E7970">
            <w:pPr>
              <w:spacing w:line="480" w:lineRule="auto"/>
              <w:jc w:val="center"/>
              <w:rPr>
                <w:rFonts w:cs="Arial"/>
                <w:b/>
              </w:rPr>
            </w:pPr>
          </w:p>
        </w:tc>
      </w:tr>
      <w:tr w:rsidR="008E7970" w14:paraId="0099691C" w14:textId="77777777" w:rsidTr="008E7970">
        <w:tc>
          <w:tcPr>
            <w:tcW w:w="1847" w:type="dxa"/>
            <w:vAlign w:val="center"/>
          </w:tcPr>
          <w:p w14:paraId="383740F2" w14:textId="77777777" w:rsidR="008E7970" w:rsidRPr="007916DE" w:rsidRDefault="008E7970" w:rsidP="008E7970">
            <w:pPr>
              <w:pStyle w:val="ListParagraph"/>
              <w:spacing w:line="276" w:lineRule="auto"/>
              <w:ind w:left="0"/>
              <w:jc w:val="center"/>
              <w:rPr>
                <w:rFonts w:ascii="Arial" w:hAnsi="Arial" w:cs="Arial"/>
              </w:rPr>
            </w:pPr>
            <w:r w:rsidRPr="007916DE">
              <w:rPr>
                <w:rFonts w:ascii="Arial" w:hAnsi="Arial" w:cs="Arial"/>
              </w:rPr>
              <w:t>Mean Cell Volume</w:t>
            </w:r>
          </w:p>
          <w:p w14:paraId="036E7E57" w14:textId="3AC36698" w:rsidR="008E7970" w:rsidRDefault="008E7970" w:rsidP="008E7970">
            <w:pPr>
              <w:spacing w:line="480" w:lineRule="auto"/>
              <w:jc w:val="center"/>
              <w:rPr>
                <w:rFonts w:cs="Arial"/>
                <w:b/>
              </w:rPr>
            </w:pPr>
            <w:r w:rsidRPr="007916DE">
              <w:rPr>
                <w:rFonts w:cs="Arial"/>
              </w:rPr>
              <w:t>(fl)</w:t>
            </w:r>
          </w:p>
        </w:tc>
        <w:tc>
          <w:tcPr>
            <w:tcW w:w="1847" w:type="dxa"/>
            <w:vAlign w:val="center"/>
          </w:tcPr>
          <w:p w14:paraId="1BB9BCFD" w14:textId="77777777" w:rsidR="008E7970" w:rsidRPr="007916DE" w:rsidRDefault="008E7970" w:rsidP="008E7970">
            <w:pPr>
              <w:pStyle w:val="ListParagraph"/>
              <w:spacing w:line="276" w:lineRule="auto"/>
              <w:ind w:left="0"/>
              <w:jc w:val="center"/>
              <w:rPr>
                <w:rFonts w:ascii="Arial" w:hAnsi="Arial" w:cs="Arial"/>
              </w:rPr>
            </w:pPr>
            <w:r w:rsidRPr="007916DE">
              <w:rPr>
                <w:rFonts w:ascii="Arial" w:hAnsi="Arial" w:cs="Arial"/>
              </w:rPr>
              <w:t>814</w:t>
            </w:r>
          </w:p>
          <w:p w14:paraId="3F93E56A" w14:textId="77777777" w:rsidR="008E7970" w:rsidRPr="007916DE" w:rsidRDefault="008E7970" w:rsidP="008E7970">
            <w:pPr>
              <w:pStyle w:val="ListParagraph"/>
              <w:spacing w:line="276" w:lineRule="auto"/>
              <w:ind w:left="0"/>
              <w:jc w:val="center"/>
              <w:rPr>
                <w:rFonts w:ascii="Arial" w:hAnsi="Arial" w:cs="Arial"/>
              </w:rPr>
            </w:pPr>
            <w:r w:rsidRPr="007916DE">
              <w:rPr>
                <w:rFonts w:ascii="Arial" w:hAnsi="Arial" w:cs="Arial"/>
              </w:rPr>
              <w:t>81.7</w:t>
            </w:r>
          </w:p>
          <w:p w14:paraId="40F190F1" w14:textId="27D4F37E" w:rsidR="008E7970" w:rsidRDefault="008E7970" w:rsidP="008E7970">
            <w:pPr>
              <w:spacing w:line="480" w:lineRule="auto"/>
              <w:jc w:val="center"/>
              <w:rPr>
                <w:rFonts w:cs="Arial"/>
                <w:b/>
              </w:rPr>
            </w:pPr>
            <w:r w:rsidRPr="007916DE">
              <w:rPr>
                <w:rFonts w:cs="Arial"/>
              </w:rPr>
              <w:t>(78.1-84.8)</w:t>
            </w:r>
          </w:p>
        </w:tc>
        <w:tc>
          <w:tcPr>
            <w:tcW w:w="1847" w:type="dxa"/>
            <w:vAlign w:val="center"/>
          </w:tcPr>
          <w:p w14:paraId="2F8DF667" w14:textId="77777777" w:rsidR="008E7970" w:rsidRPr="007916DE" w:rsidRDefault="008E7970" w:rsidP="008E7970">
            <w:pPr>
              <w:pStyle w:val="ListParagraph"/>
              <w:spacing w:line="276" w:lineRule="auto"/>
              <w:ind w:left="0"/>
              <w:jc w:val="center"/>
              <w:rPr>
                <w:rFonts w:ascii="Arial" w:hAnsi="Arial" w:cs="Arial"/>
              </w:rPr>
            </w:pPr>
            <w:r w:rsidRPr="007916DE">
              <w:rPr>
                <w:rFonts w:ascii="Arial" w:hAnsi="Arial" w:cs="Arial"/>
              </w:rPr>
              <w:t>129</w:t>
            </w:r>
          </w:p>
          <w:p w14:paraId="743287C9" w14:textId="77777777" w:rsidR="008E7970" w:rsidRPr="007916DE" w:rsidRDefault="008E7970" w:rsidP="008E7970">
            <w:pPr>
              <w:pStyle w:val="ListParagraph"/>
              <w:spacing w:line="276" w:lineRule="auto"/>
              <w:ind w:left="0"/>
              <w:jc w:val="center"/>
              <w:rPr>
                <w:rFonts w:ascii="Arial" w:hAnsi="Arial" w:cs="Arial"/>
              </w:rPr>
            </w:pPr>
            <w:r w:rsidRPr="007916DE">
              <w:rPr>
                <w:rFonts w:ascii="Arial" w:hAnsi="Arial" w:cs="Arial"/>
              </w:rPr>
              <w:t>83.0</w:t>
            </w:r>
          </w:p>
          <w:p w14:paraId="0E525661" w14:textId="519016F7" w:rsidR="008E7970" w:rsidRDefault="008E7970" w:rsidP="008E7970">
            <w:pPr>
              <w:spacing w:line="480" w:lineRule="auto"/>
              <w:jc w:val="center"/>
              <w:rPr>
                <w:rFonts w:cs="Arial"/>
                <w:b/>
              </w:rPr>
            </w:pPr>
            <w:r w:rsidRPr="007916DE">
              <w:rPr>
                <w:rFonts w:cs="Arial"/>
              </w:rPr>
              <w:t>(77.9-85.5)</w:t>
            </w:r>
          </w:p>
        </w:tc>
        <w:tc>
          <w:tcPr>
            <w:tcW w:w="1848" w:type="dxa"/>
            <w:vAlign w:val="center"/>
          </w:tcPr>
          <w:p w14:paraId="1FCDDFC5" w14:textId="77777777" w:rsidR="008E7970" w:rsidRPr="007916DE" w:rsidRDefault="008E7970" w:rsidP="008E7970">
            <w:pPr>
              <w:pStyle w:val="ListParagraph"/>
              <w:spacing w:line="276" w:lineRule="auto"/>
              <w:ind w:left="0"/>
              <w:jc w:val="center"/>
              <w:rPr>
                <w:rFonts w:ascii="Arial" w:hAnsi="Arial" w:cs="Arial"/>
              </w:rPr>
            </w:pPr>
            <w:r w:rsidRPr="007916DE">
              <w:rPr>
                <w:rFonts w:ascii="Arial" w:hAnsi="Arial" w:cs="Arial"/>
              </w:rPr>
              <w:t>4</w:t>
            </w:r>
          </w:p>
          <w:p w14:paraId="380E3A78" w14:textId="77777777" w:rsidR="008E7970" w:rsidRPr="007916DE" w:rsidRDefault="008E7970" w:rsidP="008E7970">
            <w:pPr>
              <w:pStyle w:val="ListParagraph"/>
              <w:spacing w:line="276" w:lineRule="auto"/>
              <w:ind w:left="0"/>
              <w:jc w:val="center"/>
              <w:rPr>
                <w:rFonts w:ascii="Arial" w:hAnsi="Arial" w:cs="Arial"/>
              </w:rPr>
            </w:pPr>
            <w:r w:rsidRPr="007916DE">
              <w:rPr>
                <w:rFonts w:ascii="Arial" w:hAnsi="Arial" w:cs="Arial"/>
              </w:rPr>
              <w:t>88.8</w:t>
            </w:r>
          </w:p>
          <w:p w14:paraId="07C87F23" w14:textId="14E5E663" w:rsidR="008E7970" w:rsidRDefault="008E7970" w:rsidP="008E7970">
            <w:pPr>
              <w:spacing w:line="480" w:lineRule="auto"/>
              <w:jc w:val="center"/>
              <w:rPr>
                <w:rFonts w:cs="Arial"/>
                <w:b/>
              </w:rPr>
            </w:pPr>
            <w:r w:rsidRPr="007916DE">
              <w:rPr>
                <w:rFonts w:cs="Arial"/>
              </w:rPr>
              <w:t>(84.0-93.3)</w:t>
            </w:r>
          </w:p>
        </w:tc>
        <w:tc>
          <w:tcPr>
            <w:tcW w:w="1848" w:type="dxa"/>
            <w:vAlign w:val="center"/>
          </w:tcPr>
          <w:p w14:paraId="31C22886" w14:textId="52C420CE" w:rsidR="008E7970" w:rsidRDefault="008E7970" w:rsidP="008E7970">
            <w:pPr>
              <w:spacing w:line="480" w:lineRule="auto"/>
              <w:jc w:val="center"/>
              <w:rPr>
                <w:rFonts w:cs="Arial"/>
                <w:b/>
              </w:rPr>
            </w:pPr>
            <w:r w:rsidRPr="007916DE">
              <w:rPr>
                <w:rFonts w:cs="Arial"/>
                <w:b/>
              </w:rPr>
              <w:t>0.046</w:t>
            </w:r>
          </w:p>
        </w:tc>
      </w:tr>
      <w:tr w:rsidR="008E7970" w14:paraId="24F2F6C7" w14:textId="77777777" w:rsidTr="008E7970">
        <w:tc>
          <w:tcPr>
            <w:tcW w:w="1847" w:type="dxa"/>
            <w:vAlign w:val="center"/>
          </w:tcPr>
          <w:p w14:paraId="7543B786" w14:textId="286B2E3E" w:rsidR="008E7970" w:rsidRPr="007916DE" w:rsidRDefault="008E7970" w:rsidP="008E7970">
            <w:pPr>
              <w:pStyle w:val="ListParagraph"/>
              <w:spacing w:line="276" w:lineRule="auto"/>
              <w:ind w:left="0"/>
              <w:jc w:val="center"/>
              <w:rPr>
                <w:rFonts w:ascii="Arial" w:hAnsi="Arial" w:cs="Arial"/>
              </w:rPr>
            </w:pPr>
            <w:r w:rsidRPr="007916DE">
              <w:rPr>
                <w:rFonts w:ascii="Arial" w:hAnsi="Arial" w:cs="Arial"/>
              </w:rPr>
              <w:t xml:space="preserve">Mean Cell </w:t>
            </w:r>
            <w:r w:rsidR="00C77442">
              <w:rPr>
                <w:rFonts w:ascii="Arial" w:hAnsi="Arial" w:cs="Arial"/>
              </w:rPr>
              <w:t>Hemoglobin</w:t>
            </w:r>
          </w:p>
          <w:p w14:paraId="18621524" w14:textId="41E47582" w:rsidR="008E7970" w:rsidRDefault="008E7970" w:rsidP="008E7970">
            <w:pPr>
              <w:spacing w:line="480" w:lineRule="auto"/>
              <w:jc w:val="center"/>
              <w:rPr>
                <w:rFonts w:cs="Arial"/>
                <w:b/>
              </w:rPr>
            </w:pPr>
            <w:r w:rsidRPr="007916DE">
              <w:rPr>
                <w:rFonts w:cs="Arial"/>
              </w:rPr>
              <w:t>(pg)</w:t>
            </w:r>
          </w:p>
        </w:tc>
        <w:tc>
          <w:tcPr>
            <w:tcW w:w="1847" w:type="dxa"/>
            <w:vAlign w:val="center"/>
          </w:tcPr>
          <w:p w14:paraId="492B6B8F" w14:textId="77777777" w:rsidR="008E7970" w:rsidRPr="007916DE" w:rsidRDefault="008E7970" w:rsidP="008E7970">
            <w:pPr>
              <w:pStyle w:val="ListParagraph"/>
              <w:spacing w:line="276" w:lineRule="auto"/>
              <w:ind w:left="0"/>
              <w:jc w:val="center"/>
              <w:rPr>
                <w:rFonts w:ascii="Arial" w:hAnsi="Arial" w:cs="Arial"/>
              </w:rPr>
            </w:pPr>
            <w:r w:rsidRPr="007916DE">
              <w:rPr>
                <w:rFonts w:ascii="Arial" w:hAnsi="Arial" w:cs="Arial"/>
              </w:rPr>
              <w:t>828</w:t>
            </w:r>
          </w:p>
          <w:p w14:paraId="21CA15EE" w14:textId="77777777" w:rsidR="008E7970" w:rsidRPr="007916DE" w:rsidRDefault="008E7970" w:rsidP="008E7970">
            <w:pPr>
              <w:pStyle w:val="ListParagraph"/>
              <w:spacing w:line="276" w:lineRule="auto"/>
              <w:ind w:left="0"/>
              <w:jc w:val="center"/>
              <w:rPr>
                <w:rFonts w:ascii="Arial" w:hAnsi="Arial" w:cs="Arial"/>
              </w:rPr>
            </w:pPr>
            <w:r w:rsidRPr="007916DE">
              <w:rPr>
                <w:rFonts w:ascii="Arial" w:hAnsi="Arial" w:cs="Arial"/>
              </w:rPr>
              <w:t>27.9</w:t>
            </w:r>
          </w:p>
          <w:p w14:paraId="05D1C1E0" w14:textId="60B82227" w:rsidR="008E7970" w:rsidRDefault="008E7970" w:rsidP="008E7970">
            <w:pPr>
              <w:spacing w:line="480" w:lineRule="auto"/>
              <w:jc w:val="center"/>
              <w:rPr>
                <w:rFonts w:cs="Arial"/>
                <w:b/>
              </w:rPr>
            </w:pPr>
            <w:r w:rsidRPr="007916DE">
              <w:rPr>
                <w:rFonts w:cs="Arial"/>
              </w:rPr>
              <w:t>(26.2-29.7)</w:t>
            </w:r>
          </w:p>
        </w:tc>
        <w:tc>
          <w:tcPr>
            <w:tcW w:w="1847" w:type="dxa"/>
            <w:vAlign w:val="center"/>
          </w:tcPr>
          <w:p w14:paraId="13031214" w14:textId="77777777" w:rsidR="008E7970" w:rsidRPr="007916DE" w:rsidRDefault="008E7970" w:rsidP="008E7970">
            <w:pPr>
              <w:pStyle w:val="ListParagraph"/>
              <w:spacing w:line="276" w:lineRule="auto"/>
              <w:ind w:left="0"/>
              <w:jc w:val="center"/>
              <w:rPr>
                <w:rFonts w:ascii="Arial" w:hAnsi="Arial" w:cs="Arial"/>
              </w:rPr>
            </w:pPr>
            <w:r w:rsidRPr="007916DE">
              <w:rPr>
                <w:rFonts w:ascii="Arial" w:hAnsi="Arial" w:cs="Arial"/>
              </w:rPr>
              <w:t>129</w:t>
            </w:r>
          </w:p>
          <w:p w14:paraId="77D94FEC" w14:textId="77777777" w:rsidR="008E7970" w:rsidRPr="007916DE" w:rsidRDefault="008E7970" w:rsidP="008E7970">
            <w:pPr>
              <w:pStyle w:val="ListParagraph"/>
              <w:spacing w:line="276" w:lineRule="auto"/>
              <w:ind w:left="0"/>
              <w:jc w:val="center"/>
              <w:rPr>
                <w:rFonts w:ascii="Arial" w:hAnsi="Arial" w:cs="Arial"/>
              </w:rPr>
            </w:pPr>
            <w:r w:rsidRPr="007916DE">
              <w:rPr>
                <w:rFonts w:ascii="Arial" w:hAnsi="Arial" w:cs="Arial"/>
              </w:rPr>
              <w:t>28.1</w:t>
            </w:r>
          </w:p>
          <w:p w14:paraId="5B076B67" w14:textId="66DBF596" w:rsidR="008E7970" w:rsidRDefault="008E7970" w:rsidP="008E7970">
            <w:pPr>
              <w:spacing w:line="480" w:lineRule="auto"/>
              <w:jc w:val="center"/>
              <w:rPr>
                <w:rFonts w:cs="Arial"/>
                <w:b/>
              </w:rPr>
            </w:pPr>
            <w:r w:rsidRPr="007916DE">
              <w:rPr>
                <w:rFonts w:cs="Arial"/>
              </w:rPr>
              <w:t>(26.0-30.6)</w:t>
            </w:r>
          </w:p>
        </w:tc>
        <w:tc>
          <w:tcPr>
            <w:tcW w:w="1848" w:type="dxa"/>
            <w:vAlign w:val="center"/>
          </w:tcPr>
          <w:p w14:paraId="1F696837" w14:textId="77777777" w:rsidR="008E7970" w:rsidRPr="007916DE" w:rsidRDefault="008E7970" w:rsidP="008E7970">
            <w:pPr>
              <w:pStyle w:val="ListParagraph"/>
              <w:spacing w:line="276" w:lineRule="auto"/>
              <w:ind w:left="0"/>
              <w:jc w:val="center"/>
              <w:rPr>
                <w:rFonts w:ascii="Arial" w:hAnsi="Arial" w:cs="Arial"/>
              </w:rPr>
            </w:pPr>
            <w:r w:rsidRPr="007916DE">
              <w:rPr>
                <w:rFonts w:ascii="Arial" w:hAnsi="Arial" w:cs="Arial"/>
              </w:rPr>
              <w:t>4</w:t>
            </w:r>
          </w:p>
          <w:p w14:paraId="29CFCEF6" w14:textId="77777777" w:rsidR="008E7970" w:rsidRPr="007916DE" w:rsidRDefault="008E7970" w:rsidP="008E7970">
            <w:pPr>
              <w:pStyle w:val="ListParagraph"/>
              <w:spacing w:line="276" w:lineRule="auto"/>
              <w:ind w:left="0"/>
              <w:jc w:val="center"/>
              <w:rPr>
                <w:rFonts w:ascii="Arial" w:hAnsi="Arial" w:cs="Arial"/>
              </w:rPr>
            </w:pPr>
            <w:r w:rsidRPr="007916DE">
              <w:rPr>
                <w:rFonts w:ascii="Arial" w:hAnsi="Arial" w:cs="Arial"/>
              </w:rPr>
              <w:t>30.9</w:t>
            </w:r>
          </w:p>
          <w:p w14:paraId="46B03961" w14:textId="24438A10" w:rsidR="008E7970" w:rsidRDefault="008E7970" w:rsidP="008E7970">
            <w:pPr>
              <w:spacing w:line="480" w:lineRule="auto"/>
              <w:jc w:val="center"/>
              <w:rPr>
                <w:rFonts w:cs="Arial"/>
                <w:b/>
              </w:rPr>
            </w:pPr>
            <w:r w:rsidRPr="007916DE">
              <w:rPr>
                <w:rFonts w:cs="Arial"/>
              </w:rPr>
              <w:t>(29.1-31.2)</w:t>
            </w:r>
          </w:p>
        </w:tc>
        <w:tc>
          <w:tcPr>
            <w:tcW w:w="1848" w:type="dxa"/>
            <w:vAlign w:val="center"/>
          </w:tcPr>
          <w:p w14:paraId="7196100F" w14:textId="4E14415B" w:rsidR="008E7970" w:rsidRDefault="008E7970" w:rsidP="008E7970">
            <w:pPr>
              <w:spacing w:line="480" w:lineRule="auto"/>
              <w:jc w:val="center"/>
              <w:rPr>
                <w:rFonts w:cs="Arial"/>
                <w:b/>
              </w:rPr>
            </w:pPr>
            <w:r w:rsidRPr="007916DE">
              <w:rPr>
                <w:rFonts w:cs="Arial"/>
              </w:rPr>
              <w:t>0.126</w:t>
            </w:r>
          </w:p>
        </w:tc>
      </w:tr>
      <w:tr w:rsidR="008E7970" w14:paraId="23874F42" w14:textId="77777777" w:rsidTr="008E7970">
        <w:tc>
          <w:tcPr>
            <w:tcW w:w="1847" w:type="dxa"/>
            <w:vAlign w:val="center"/>
          </w:tcPr>
          <w:p w14:paraId="747CD05E" w14:textId="32D9D2B9" w:rsidR="008E7970" w:rsidRPr="007916DE" w:rsidRDefault="00C77442" w:rsidP="008E7970">
            <w:pPr>
              <w:pStyle w:val="ListParagraph"/>
              <w:spacing w:line="276" w:lineRule="auto"/>
              <w:ind w:left="0"/>
              <w:jc w:val="center"/>
              <w:rPr>
                <w:rFonts w:ascii="Arial" w:hAnsi="Arial" w:cs="Arial"/>
              </w:rPr>
            </w:pPr>
            <w:r>
              <w:rPr>
                <w:rFonts w:ascii="Arial" w:hAnsi="Arial" w:cs="Arial"/>
              </w:rPr>
              <w:t>Hemoglobin</w:t>
            </w:r>
          </w:p>
          <w:p w14:paraId="17F1F65B" w14:textId="7352A5AC" w:rsidR="008E7970" w:rsidRDefault="008E7970" w:rsidP="008E7970">
            <w:pPr>
              <w:spacing w:line="480" w:lineRule="auto"/>
              <w:jc w:val="center"/>
              <w:rPr>
                <w:rFonts w:cs="Arial"/>
                <w:b/>
              </w:rPr>
            </w:pPr>
            <w:r w:rsidRPr="007916DE">
              <w:rPr>
                <w:rFonts w:cs="Arial"/>
              </w:rPr>
              <w:t>(g/dl)</w:t>
            </w:r>
          </w:p>
        </w:tc>
        <w:tc>
          <w:tcPr>
            <w:tcW w:w="1847" w:type="dxa"/>
            <w:vAlign w:val="center"/>
          </w:tcPr>
          <w:p w14:paraId="7A1C2D13" w14:textId="77777777" w:rsidR="008E7970" w:rsidRPr="007916DE" w:rsidRDefault="008E7970" w:rsidP="008E7970">
            <w:pPr>
              <w:pStyle w:val="ListParagraph"/>
              <w:spacing w:line="276" w:lineRule="auto"/>
              <w:ind w:left="0"/>
              <w:jc w:val="center"/>
              <w:rPr>
                <w:rFonts w:ascii="Arial" w:hAnsi="Arial" w:cs="Arial"/>
              </w:rPr>
            </w:pPr>
            <w:r w:rsidRPr="007916DE">
              <w:rPr>
                <w:rFonts w:ascii="Arial" w:hAnsi="Arial" w:cs="Arial"/>
              </w:rPr>
              <w:t>802</w:t>
            </w:r>
          </w:p>
          <w:p w14:paraId="25FA3D1F" w14:textId="77777777" w:rsidR="008E7970" w:rsidRPr="007916DE" w:rsidRDefault="008E7970" w:rsidP="008E7970">
            <w:pPr>
              <w:pStyle w:val="ListParagraph"/>
              <w:spacing w:line="276" w:lineRule="auto"/>
              <w:ind w:left="0"/>
              <w:jc w:val="center"/>
              <w:rPr>
                <w:rFonts w:ascii="Arial" w:hAnsi="Arial" w:cs="Arial"/>
              </w:rPr>
            </w:pPr>
            <w:r w:rsidRPr="007916DE">
              <w:rPr>
                <w:rFonts w:ascii="Arial" w:hAnsi="Arial" w:cs="Arial"/>
              </w:rPr>
              <w:t>13.5</w:t>
            </w:r>
          </w:p>
          <w:p w14:paraId="3884AE2B" w14:textId="0C07949F" w:rsidR="008E7970" w:rsidRDefault="008E7970" w:rsidP="008E7970">
            <w:pPr>
              <w:spacing w:line="480" w:lineRule="auto"/>
              <w:jc w:val="center"/>
              <w:rPr>
                <w:rFonts w:cs="Arial"/>
                <w:b/>
              </w:rPr>
            </w:pPr>
            <w:r w:rsidRPr="007916DE">
              <w:rPr>
                <w:rFonts w:cs="Arial"/>
              </w:rPr>
              <w:t>(12.4-14.8)</w:t>
            </w:r>
          </w:p>
        </w:tc>
        <w:tc>
          <w:tcPr>
            <w:tcW w:w="1847" w:type="dxa"/>
            <w:vAlign w:val="center"/>
          </w:tcPr>
          <w:p w14:paraId="19DD60BF" w14:textId="77777777" w:rsidR="008E7970" w:rsidRPr="007916DE" w:rsidRDefault="008E7970" w:rsidP="008E7970">
            <w:pPr>
              <w:pStyle w:val="ListParagraph"/>
              <w:spacing w:line="276" w:lineRule="auto"/>
              <w:ind w:left="0"/>
              <w:jc w:val="center"/>
              <w:rPr>
                <w:rFonts w:ascii="Arial" w:hAnsi="Arial" w:cs="Arial"/>
              </w:rPr>
            </w:pPr>
            <w:r w:rsidRPr="007916DE">
              <w:rPr>
                <w:rFonts w:ascii="Arial" w:hAnsi="Arial" w:cs="Arial"/>
              </w:rPr>
              <w:t>124</w:t>
            </w:r>
          </w:p>
          <w:p w14:paraId="5CD52FB7" w14:textId="77777777" w:rsidR="008E7970" w:rsidRPr="007916DE" w:rsidRDefault="008E7970" w:rsidP="008E7970">
            <w:pPr>
              <w:pStyle w:val="ListParagraph"/>
              <w:spacing w:line="276" w:lineRule="auto"/>
              <w:ind w:left="0"/>
              <w:jc w:val="center"/>
              <w:rPr>
                <w:rFonts w:ascii="Arial" w:hAnsi="Arial" w:cs="Arial"/>
              </w:rPr>
            </w:pPr>
            <w:r w:rsidRPr="007916DE">
              <w:rPr>
                <w:rFonts w:ascii="Arial" w:hAnsi="Arial" w:cs="Arial"/>
              </w:rPr>
              <w:t>13.7</w:t>
            </w:r>
          </w:p>
          <w:p w14:paraId="551A686F" w14:textId="79945F63" w:rsidR="008E7970" w:rsidRDefault="008E7970" w:rsidP="008E7970">
            <w:pPr>
              <w:spacing w:line="480" w:lineRule="auto"/>
              <w:jc w:val="center"/>
              <w:rPr>
                <w:rFonts w:cs="Arial"/>
                <w:b/>
              </w:rPr>
            </w:pPr>
            <w:r w:rsidRPr="007916DE">
              <w:rPr>
                <w:rFonts w:cs="Arial"/>
              </w:rPr>
              <w:t>(12.3-15.1)</w:t>
            </w:r>
          </w:p>
        </w:tc>
        <w:tc>
          <w:tcPr>
            <w:tcW w:w="1848" w:type="dxa"/>
            <w:vAlign w:val="center"/>
          </w:tcPr>
          <w:p w14:paraId="4C1C45FC" w14:textId="77777777" w:rsidR="008E7970" w:rsidRPr="007916DE" w:rsidRDefault="008E7970" w:rsidP="008E7970">
            <w:pPr>
              <w:pStyle w:val="ListParagraph"/>
              <w:spacing w:line="276" w:lineRule="auto"/>
              <w:ind w:left="0"/>
              <w:jc w:val="center"/>
              <w:rPr>
                <w:rFonts w:ascii="Arial" w:hAnsi="Arial" w:cs="Arial"/>
              </w:rPr>
            </w:pPr>
            <w:r w:rsidRPr="007916DE">
              <w:rPr>
                <w:rFonts w:ascii="Arial" w:hAnsi="Arial" w:cs="Arial"/>
              </w:rPr>
              <w:t>4</w:t>
            </w:r>
          </w:p>
          <w:p w14:paraId="73B5B979" w14:textId="77777777" w:rsidR="008E7970" w:rsidRPr="007916DE" w:rsidRDefault="008E7970" w:rsidP="008E7970">
            <w:pPr>
              <w:pStyle w:val="ListParagraph"/>
              <w:spacing w:line="276" w:lineRule="auto"/>
              <w:ind w:left="0"/>
              <w:jc w:val="center"/>
              <w:rPr>
                <w:rFonts w:ascii="Arial" w:hAnsi="Arial" w:cs="Arial"/>
              </w:rPr>
            </w:pPr>
            <w:r w:rsidRPr="007916DE">
              <w:rPr>
                <w:rFonts w:ascii="Arial" w:hAnsi="Arial" w:cs="Arial"/>
              </w:rPr>
              <w:t>13.9</w:t>
            </w:r>
          </w:p>
          <w:p w14:paraId="712548BB" w14:textId="1D994A80" w:rsidR="008E7970" w:rsidRDefault="008E7970" w:rsidP="008E7970">
            <w:pPr>
              <w:spacing w:line="480" w:lineRule="auto"/>
              <w:jc w:val="center"/>
              <w:rPr>
                <w:rFonts w:cs="Arial"/>
                <w:b/>
              </w:rPr>
            </w:pPr>
            <w:r w:rsidRPr="007916DE">
              <w:rPr>
                <w:rFonts w:cs="Arial"/>
              </w:rPr>
              <w:t>(13.2-14.4)</w:t>
            </w:r>
          </w:p>
        </w:tc>
        <w:tc>
          <w:tcPr>
            <w:tcW w:w="1848" w:type="dxa"/>
            <w:vAlign w:val="center"/>
          </w:tcPr>
          <w:p w14:paraId="3E64290B" w14:textId="1CCBC793" w:rsidR="008E7970" w:rsidRDefault="008E7970" w:rsidP="008E7970">
            <w:pPr>
              <w:spacing w:line="480" w:lineRule="auto"/>
              <w:jc w:val="center"/>
              <w:rPr>
                <w:rFonts w:cs="Arial"/>
                <w:b/>
              </w:rPr>
            </w:pPr>
            <w:r w:rsidRPr="007916DE">
              <w:rPr>
                <w:rFonts w:cs="Arial"/>
              </w:rPr>
              <w:t>0.738</w:t>
            </w:r>
          </w:p>
        </w:tc>
      </w:tr>
      <w:tr w:rsidR="008E7970" w14:paraId="19CF94AA" w14:textId="77777777" w:rsidTr="008E7970">
        <w:tc>
          <w:tcPr>
            <w:tcW w:w="1847" w:type="dxa"/>
            <w:vAlign w:val="center"/>
          </w:tcPr>
          <w:p w14:paraId="44AABDAE" w14:textId="77777777" w:rsidR="008E7970" w:rsidRPr="007916DE" w:rsidRDefault="008E7970" w:rsidP="008E7970">
            <w:pPr>
              <w:pStyle w:val="ListParagraph"/>
              <w:spacing w:line="276" w:lineRule="auto"/>
              <w:ind w:left="0"/>
              <w:jc w:val="center"/>
              <w:rPr>
                <w:rFonts w:ascii="Arial" w:hAnsi="Arial" w:cs="Arial"/>
              </w:rPr>
            </w:pPr>
            <w:r w:rsidRPr="007916DE">
              <w:rPr>
                <w:rFonts w:ascii="Arial" w:hAnsi="Arial" w:cs="Arial"/>
              </w:rPr>
              <w:t>Ferritin</w:t>
            </w:r>
          </w:p>
          <w:p w14:paraId="18F85CAA" w14:textId="653BA256" w:rsidR="008E7970" w:rsidRDefault="008E7970" w:rsidP="008E7970">
            <w:pPr>
              <w:spacing w:line="480" w:lineRule="auto"/>
              <w:jc w:val="center"/>
              <w:rPr>
                <w:rFonts w:cs="Arial"/>
                <w:b/>
              </w:rPr>
            </w:pPr>
            <w:r w:rsidRPr="007916DE">
              <w:rPr>
                <w:rFonts w:cs="Arial"/>
              </w:rPr>
              <w:t>(ng/ml)</w:t>
            </w:r>
          </w:p>
        </w:tc>
        <w:tc>
          <w:tcPr>
            <w:tcW w:w="1847" w:type="dxa"/>
            <w:vAlign w:val="center"/>
          </w:tcPr>
          <w:p w14:paraId="50B41949" w14:textId="77777777" w:rsidR="008E7970" w:rsidRPr="007916DE" w:rsidRDefault="008E7970" w:rsidP="008E7970">
            <w:pPr>
              <w:pStyle w:val="ListParagraph"/>
              <w:spacing w:line="276" w:lineRule="auto"/>
              <w:ind w:left="0"/>
              <w:jc w:val="center"/>
              <w:rPr>
                <w:rFonts w:ascii="Arial" w:hAnsi="Arial" w:cs="Arial"/>
              </w:rPr>
            </w:pPr>
            <w:r w:rsidRPr="007916DE">
              <w:rPr>
                <w:rFonts w:ascii="Arial" w:hAnsi="Arial" w:cs="Arial"/>
              </w:rPr>
              <w:t>813</w:t>
            </w:r>
          </w:p>
          <w:p w14:paraId="283AD8EB" w14:textId="77777777" w:rsidR="008E7970" w:rsidRPr="007916DE" w:rsidRDefault="008E7970" w:rsidP="008E7970">
            <w:pPr>
              <w:pStyle w:val="ListParagraph"/>
              <w:spacing w:line="276" w:lineRule="auto"/>
              <w:ind w:left="0"/>
              <w:jc w:val="center"/>
              <w:rPr>
                <w:rFonts w:ascii="Arial" w:hAnsi="Arial" w:cs="Arial"/>
              </w:rPr>
            </w:pPr>
            <w:r w:rsidRPr="007916DE">
              <w:rPr>
                <w:rFonts w:ascii="Arial" w:hAnsi="Arial" w:cs="Arial"/>
              </w:rPr>
              <w:t>25.1</w:t>
            </w:r>
          </w:p>
          <w:p w14:paraId="0B079664" w14:textId="74A06936" w:rsidR="008E7970" w:rsidRDefault="008E7970" w:rsidP="008E7970">
            <w:pPr>
              <w:spacing w:line="480" w:lineRule="auto"/>
              <w:jc w:val="center"/>
              <w:rPr>
                <w:rFonts w:cs="Arial"/>
                <w:b/>
              </w:rPr>
            </w:pPr>
            <w:r w:rsidRPr="007916DE">
              <w:rPr>
                <w:rFonts w:cs="Arial"/>
              </w:rPr>
              <w:t>(11.9-42.5)</w:t>
            </w:r>
          </w:p>
        </w:tc>
        <w:tc>
          <w:tcPr>
            <w:tcW w:w="1847" w:type="dxa"/>
            <w:vAlign w:val="center"/>
          </w:tcPr>
          <w:p w14:paraId="48F14583" w14:textId="77777777" w:rsidR="008E7970" w:rsidRPr="007916DE" w:rsidRDefault="008E7970" w:rsidP="008E7970">
            <w:pPr>
              <w:pStyle w:val="ListParagraph"/>
              <w:spacing w:line="276" w:lineRule="auto"/>
              <w:ind w:left="0"/>
              <w:jc w:val="center"/>
              <w:rPr>
                <w:rFonts w:ascii="Arial" w:hAnsi="Arial" w:cs="Arial"/>
              </w:rPr>
            </w:pPr>
            <w:r w:rsidRPr="007916DE">
              <w:rPr>
                <w:rFonts w:ascii="Arial" w:hAnsi="Arial" w:cs="Arial"/>
              </w:rPr>
              <w:t>128</w:t>
            </w:r>
          </w:p>
          <w:p w14:paraId="6B048708" w14:textId="77777777" w:rsidR="008E7970" w:rsidRPr="007916DE" w:rsidRDefault="008E7970" w:rsidP="008E7970">
            <w:pPr>
              <w:pStyle w:val="ListParagraph"/>
              <w:spacing w:line="276" w:lineRule="auto"/>
              <w:ind w:left="0"/>
              <w:jc w:val="center"/>
              <w:rPr>
                <w:rFonts w:ascii="Arial" w:hAnsi="Arial" w:cs="Arial"/>
              </w:rPr>
            </w:pPr>
            <w:r w:rsidRPr="007916DE">
              <w:rPr>
                <w:rFonts w:ascii="Arial" w:hAnsi="Arial" w:cs="Arial"/>
              </w:rPr>
              <w:t>28.9</w:t>
            </w:r>
          </w:p>
          <w:p w14:paraId="3D212962" w14:textId="27BD32F2" w:rsidR="008E7970" w:rsidRDefault="008E7970" w:rsidP="008E7970">
            <w:pPr>
              <w:spacing w:line="480" w:lineRule="auto"/>
              <w:jc w:val="center"/>
              <w:rPr>
                <w:rFonts w:cs="Arial"/>
                <w:b/>
              </w:rPr>
            </w:pPr>
            <w:r w:rsidRPr="007916DE">
              <w:rPr>
                <w:rFonts w:cs="Arial"/>
              </w:rPr>
              <w:t>(12.4-46.9)</w:t>
            </w:r>
          </w:p>
        </w:tc>
        <w:tc>
          <w:tcPr>
            <w:tcW w:w="1848" w:type="dxa"/>
            <w:vAlign w:val="center"/>
          </w:tcPr>
          <w:p w14:paraId="20583D44" w14:textId="77777777" w:rsidR="008E7970" w:rsidRPr="007916DE" w:rsidRDefault="008E7970" w:rsidP="008E7970">
            <w:pPr>
              <w:pStyle w:val="ListParagraph"/>
              <w:spacing w:line="276" w:lineRule="auto"/>
              <w:ind w:left="0"/>
              <w:jc w:val="center"/>
              <w:rPr>
                <w:rFonts w:ascii="Arial" w:hAnsi="Arial" w:cs="Arial"/>
              </w:rPr>
            </w:pPr>
            <w:r w:rsidRPr="007916DE">
              <w:rPr>
                <w:rFonts w:ascii="Arial" w:hAnsi="Arial" w:cs="Arial"/>
              </w:rPr>
              <w:t>4</w:t>
            </w:r>
          </w:p>
          <w:p w14:paraId="74331AE3" w14:textId="77777777" w:rsidR="008E7970" w:rsidRPr="007916DE" w:rsidRDefault="008E7970" w:rsidP="008E7970">
            <w:pPr>
              <w:pStyle w:val="ListParagraph"/>
              <w:spacing w:line="276" w:lineRule="auto"/>
              <w:ind w:left="0"/>
              <w:jc w:val="center"/>
              <w:rPr>
                <w:rFonts w:ascii="Arial" w:hAnsi="Arial" w:cs="Arial"/>
              </w:rPr>
            </w:pPr>
            <w:r w:rsidRPr="007916DE">
              <w:rPr>
                <w:rFonts w:ascii="Arial" w:hAnsi="Arial" w:cs="Arial"/>
              </w:rPr>
              <w:t>21.1</w:t>
            </w:r>
          </w:p>
          <w:p w14:paraId="3C3D7123" w14:textId="679B77B7" w:rsidR="008E7970" w:rsidRDefault="008E7970" w:rsidP="008E7970">
            <w:pPr>
              <w:spacing w:line="480" w:lineRule="auto"/>
              <w:jc w:val="center"/>
              <w:rPr>
                <w:rFonts w:cs="Arial"/>
                <w:b/>
              </w:rPr>
            </w:pPr>
            <w:r w:rsidRPr="007916DE">
              <w:rPr>
                <w:rFonts w:cs="Arial"/>
              </w:rPr>
              <w:t>(16.9-34.2)</w:t>
            </w:r>
          </w:p>
        </w:tc>
        <w:tc>
          <w:tcPr>
            <w:tcW w:w="1848" w:type="dxa"/>
            <w:vAlign w:val="center"/>
          </w:tcPr>
          <w:p w14:paraId="1C2A3212" w14:textId="524C8E0E" w:rsidR="008E7970" w:rsidRDefault="008E7970" w:rsidP="008E7970">
            <w:pPr>
              <w:spacing w:line="480" w:lineRule="auto"/>
              <w:jc w:val="center"/>
              <w:rPr>
                <w:rFonts w:cs="Arial"/>
                <w:b/>
              </w:rPr>
            </w:pPr>
            <w:r w:rsidRPr="007916DE">
              <w:rPr>
                <w:rFonts w:cs="Arial"/>
              </w:rPr>
              <w:t>0.588</w:t>
            </w:r>
          </w:p>
        </w:tc>
      </w:tr>
      <w:tr w:rsidR="008E7970" w14:paraId="2735E237" w14:textId="77777777" w:rsidTr="008E7970">
        <w:tc>
          <w:tcPr>
            <w:tcW w:w="1847" w:type="dxa"/>
            <w:vAlign w:val="center"/>
          </w:tcPr>
          <w:p w14:paraId="3BCFAD30" w14:textId="77777777" w:rsidR="008E7970" w:rsidRPr="007916DE" w:rsidRDefault="008E7970" w:rsidP="008E7970">
            <w:pPr>
              <w:pStyle w:val="ListParagraph"/>
              <w:spacing w:line="276" w:lineRule="auto"/>
              <w:ind w:left="0"/>
              <w:jc w:val="center"/>
              <w:rPr>
                <w:rFonts w:ascii="Arial" w:hAnsi="Arial" w:cs="Arial"/>
              </w:rPr>
            </w:pPr>
            <w:r w:rsidRPr="007916DE">
              <w:rPr>
                <w:rFonts w:ascii="Arial" w:hAnsi="Arial" w:cs="Arial"/>
              </w:rPr>
              <w:t>Transferrin Receptor</w:t>
            </w:r>
          </w:p>
          <w:p w14:paraId="4B86F31B" w14:textId="2933CC27" w:rsidR="008E7970" w:rsidRDefault="008E7970" w:rsidP="008E7970">
            <w:pPr>
              <w:spacing w:line="480" w:lineRule="auto"/>
              <w:jc w:val="center"/>
              <w:rPr>
                <w:rFonts w:cs="Arial"/>
                <w:b/>
              </w:rPr>
            </w:pPr>
            <w:r w:rsidRPr="007916DE">
              <w:rPr>
                <w:rFonts w:cs="Arial"/>
              </w:rPr>
              <w:t>(nmol/l)</w:t>
            </w:r>
          </w:p>
        </w:tc>
        <w:tc>
          <w:tcPr>
            <w:tcW w:w="1847" w:type="dxa"/>
            <w:vAlign w:val="center"/>
          </w:tcPr>
          <w:p w14:paraId="5DF2A279" w14:textId="77777777" w:rsidR="008E7970" w:rsidRPr="007916DE" w:rsidRDefault="008E7970" w:rsidP="008E7970">
            <w:pPr>
              <w:pStyle w:val="ListParagraph"/>
              <w:spacing w:line="276" w:lineRule="auto"/>
              <w:ind w:left="0"/>
              <w:jc w:val="center"/>
              <w:rPr>
                <w:rFonts w:ascii="Arial" w:hAnsi="Arial" w:cs="Arial"/>
              </w:rPr>
            </w:pPr>
            <w:r w:rsidRPr="007916DE">
              <w:rPr>
                <w:rFonts w:ascii="Arial" w:hAnsi="Arial" w:cs="Arial"/>
              </w:rPr>
              <w:t>821</w:t>
            </w:r>
          </w:p>
          <w:p w14:paraId="404FF1AB" w14:textId="77777777" w:rsidR="008E7970" w:rsidRPr="007916DE" w:rsidRDefault="008E7970" w:rsidP="008E7970">
            <w:pPr>
              <w:pStyle w:val="ListParagraph"/>
              <w:spacing w:line="276" w:lineRule="auto"/>
              <w:ind w:left="0"/>
              <w:jc w:val="center"/>
              <w:rPr>
                <w:rFonts w:ascii="Arial" w:hAnsi="Arial" w:cs="Arial"/>
              </w:rPr>
            </w:pPr>
            <w:r w:rsidRPr="007916DE">
              <w:rPr>
                <w:rFonts w:ascii="Arial" w:hAnsi="Arial" w:cs="Arial"/>
              </w:rPr>
              <w:t>27.3</w:t>
            </w:r>
          </w:p>
          <w:p w14:paraId="1329393D" w14:textId="55F714AC" w:rsidR="008E7970" w:rsidRDefault="008E7970" w:rsidP="008E7970">
            <w:pPr>
              <w:spacing w:line="480" w:lineRule="auto"/>
              <w:jc w:val="center"/>
              <w:rPr>
                <w:rFonts w:cs="Arial"/>
                <w:b/>
              </w:rPr>
            </w:pPr>
            <w:r w:rsidRPr="007916DE">
              <w:rPr>
                <w:rFonts w:cs="Arial"/>
              </w:rPr>
              <w:t>(21.3-37.0)</w:t>
            </w:r>
          </w:p>
        </w:tc>
        <w:tc>
          <w:tcPr>
            <w:tcW w:w="1847" w:type="dxa"/>
            <w:vAlign w:val="center"/>
          </w:tcPr>
          <w:p w14:paraId="02E0E560" w14:textId="77777777" w:rsidR="008E7970" w:rsidRPr="007916DE" w:rsidRDefault="008E7970" w:rsidP="008E7970">
            <w:pPr>
              <w:pStyle w:val="ListParagraph"/>
              <w:spacing w:line="276" w:lineRule="auto"/>
              <w:ind w:left="0"/>
              <w:jc w:val="center"/>
              <w:rPr>
                <w:rFonts w:ascii="Arial" w:hAnsi="Arial" w:cs="Arial"/>
              </w:rPr>
            </w:pPr>
            <w:r w:rsidRPr="007916DE">
              <w:rPr>
                <w:rFonts w:ascii="Arial" w:hAnsi="Arial" w:cs="Arial"/>
              </w:rPr>
              <w:t>127</w:t>
            </w:r>
          </w:p>
          <w:p w14:paraId="08CC5404" w14:textId="77777777" w:rsidR="008E7970" w:rsidRPr="007916DE" w:rsidRDefault="008E7970" w:rsidP="008E7970">
            <w:pPr>
              <w:pStyle w:val="ListParagraph"/>
              <w:spacing w:line="276" w:lineRule="auto"/>
              <w:ind w:left="0"/>
              <w:jc w:val="center"/>
              <w:rPr>
                <w:rFonts w:ascii="Arial" w:hAnsi="Arial" w:cs="Arial"/>
              </w:rPr>
            </w:pPr>
            <w:r w:rsidRPr="007916DE">
              <w:rPr>
                <w:rFonts w:ascii="Arial" w:hAnsi="Arial" w:cs="Arial"/>
              </w:rPr>
              <w:t>28.5</w:t>
            </w:r>
          </w:p>
          <w:p w14:paraId="2F859840" w14:textId="21BFE384" w:rsidR="008E7970" w:rsidRDefault="008E7970" w:rsidP="008E7970">
            <w:pPr>
              <w:spacing w:line="480" w:lineRule="auto"/>
              <w:jc w:val="center"/>
              <w:rPr>
                <w:rFonts w:cs="Arial"/>
                <w:b/>
              </w:rPr>
            </w:pPr>
            <w:r w:rsidRPr="007916DE">
              <w:rPr>
                <w:rFonts w:cs="Arial"/>
              </w:rPr>
              <w:t>(22.4-37.1)</w:t>
            </w:r>
          </w:p>
        </w:tc>
        <w:tc>
          <w:tcPr>
            <w:tcW w:w="1848" w:type="dxa"/>
            <w:vAlign w:val="center"/>
          </w:tcPr>
          <w:p w14:paraId="5988030D" w14:textId="77777777" w:rsidR="008E7970" w:rsidRPr="007916DE" w:rsidRDefault="008E7970" w:rsidP="008E7970">
            <w:pPr>
              <w:pStyle w:val="ListParagraph"/>
              <w:spacing w:line="276" w:lineRule="auto"/>
              <w:ind w:left="0"/>
              <w:jc w:val="center"/>
              <w:rPr>
                <w:rFonts w:ascii="Arial" w:hAnsi="Arial" w:cs="Arial"/>
              </w:rPr>
            </w:pPr>
            <w:r w:rsidRPr="007916DE">
              <w:rPr>
                <w:rFonts w:ascii="Arial" w:hAnsi="Arial" w:cs="Arial"/>
              </w:rPr>
              <w:t>4</w:t>
            </w:r>
          </w:p>
          <w:p w14:paraId="51E9FEF2" w14:textId="77777777" w:rsidR="008E7970" w:rsidRPr="007916DE" w:rsidRDefault="008E7970" w:rsidP="008E7970">
            <w:pPr>
              <w:pStyle w:val="ListParagraph"/>
              <w:spacing w:line="276" w:lineRule="auto"/>
              <w:ind w:left="0"/>
              <w:jc w:val="center"/>
              <w:rPr>
                <w:rFonts w:ascii="Arial" w:hAnsi="Arial" w:cs="Arial"/>
              </w:rPr>
            </w:pPr>
            <w:r w:rsidRPr="007916DE">
              <w:rPr>
                <w:rFonts w:ascii="Arial" w:hAnsi="Arial" w:cs="Arial"/>
              </w:rPr>
              <w:t>28.1</w:t>
            </w:r>
          </w:p>
          <w:p w14:paraId="332EA6D8" w14:textId="18E67DC2" w:rsidR="008E7970" w:rsidRDefault="008E7970" w:rsidP="008E7970">
            <w:pPr>
              <w:spacing w:line="480" w:lineRule="auto"/>
              <w:jc w:val="center"/>
              <w:rPr>
                <w:rFonts w:cs="Arial"/>
                <w:b/>
              </w:rPr>
            </w:pPr>
            <w:r w:rsidRPr="007916DE">
              <w:rPr>
                <w:rFonts w:cs="Arial"/>
              </w:rPr>
              <w:t>(23.8-34.92)</w:t>
            </w:r>
          </w:p>
        </w:tc>
        <w:tc>
          <w:tcPr>
            <w:tcW w:w="1848" w:type="dxa"/>
            <w:vAlign w:val="center"/>
          </w:tcPr>
          <w:p w14:paraId="1FC36CE9" w14:textId="5D7327E8" w:rsidR="008E7970" w:rsidRDefault="008E7970" w:rsidP="008E7970">
            <w:pPr>
              <w:spacing w:line="480" w:lineRule="auto"/>
              <w:jc w:val="center"/>
              <w:rPr>
                <w:rFonts w:cs="Arial"/>
                <w:b/>
              </w:rPr>
            </w:pPr>
            <w:r w:rsidRPr="007916DE">
              <w:rPr>
                <w:rFonts w:cs="Arial"/>
              </w:rPr>
              <w:t>0.536</w:t>
            </w:r>
          </w:p>
        </w:tc>
      </w:tr>
      <w:tr w:rsidR="008E7970" w14:paraId="342A95F5" w14:textId="77777777" w:rsidTr="008E7970">
        <w:tc>
          <w:tcPr>
            <w:tcW w:w="1847" w:type="dxa"/>
            <w:vAlign w:val="center"/>
          </w:tcPr>
          <w:p w14:paraId="432BB31C" w14:textId="77777777" w:rsidR="008E7970" w:rsidRPr="007916DE" w:rsidRDefault="008E7970" w:rsidP="008E7970">
            <w:pPr>
              <w:pStyle w:val="ListParagraph"/>
              <w:spacing w:line="276" w:lineRule="auto"/>
              <w:ind w:left="0"/>
              <w:jc w:val="center"/>
              <w:rPr>
                <w:rFonts w:ascii="Arial" w:hAnsi="Arial" w:cs="Arial"/>
              </w:rPr>
            </w:pPr>
            <w:r w:rsidRPr="007916DE">
              <w:rPr>
                <w:rFonts w:ascii="Arial" w:hAnsi="Arial" w:cs="Arial"/>
              </w:rPr>
              <w:t>Iron</w:t>
            </w:r>
          </w:p>
          <w:p w14:paraId="59341AF7" w14:textId="7E8302D3" w:rsidR="008E7970" w:rsidRDefault="008E7970" w:rsidP="008E7970">
            <w:pPr>
              <w:spacing w:line="480" w:lineRule="auto"/>
              <w:jc w:val="center"/>
              <w:rPr>
                <w:rFonts w:cs="Arial"/>
                <w:b/>
              </w:rPr>
            </w:pPr>
            <w:r w:rsidRPr="007916DE">
              <w:rPr>
                <w:rFonts w:cs="Arial"/>
              </w:rPr>
              <w:t>(nmol/l)</w:t>
            </w:r>
          </w:p>
        </w:tc>
        <w:tc>
          <w:tcPr>
            <w:tcW w:w="1847" w:type="dxa"/>
            <w:vAlign w:val="center"/>
          </w:tcPr>
          <w:p w14:paraId="25CEE479" w14:textId="77777777" w:rsidR="008E7970" w:rsidRPr="007916DE" w:rsidRDefault="008E7970" w:rsidP="008E7970">
            <w:pPr>
              <w:pStyle w:val="ListParagraph"/>
              <w:spacing w:line="276" w:lineRule="auto"/>
              <w:ind w:left="0"/>
              <w:jc w:val="center"/>
              <w:rPr>
                <w:rFonts w:ascii="Arial" w:hAnsi="Arial" w:cs="Arial"/>
              </w:rPr>
            </w:pPr>
            <w:r w:rsidRPr="007916DE">
              <w:rPr>
                <w:rFonts w:ascii="Arial" w:hAnsi="Arial" w:cs="Arial"/>
              </w:rPr>
              <w:t>797</w:t>
            </w:r>
          </w:p>
          <w:p w14:paraId="0D1FACBC" w14:textId="77777777" w:rsidR="008E7970" w:rsidRPr="007916DE" w:rsidRDefault="008E7970" w:rsidP="008E7970">
            <w:pPr>
              <w:pStyle w:val="ListParagraph"/>
              <w:spacing w:line="276" w:lineRule="auto"/>
              <w:ind w:left="0"/>
              <w:jc w:val="center"/>
              <w:rPr>
                <w:rFonts w:ascii="Arial" w:hAnsi="Arial" w:cs="Arial"/>
              </w:rPr>
            </w:pPr>
            <w:r w:rsidRPr="007916DE">
              <w:rPr>
                <w:rFonts w:ascii="Arial" w:hAnsi="Arial" w:cs="Arial"/>
              </w:rPr>
              <w:t>13.5</w:t>
            </w:r>
          </w:p>
          <w:p w14:paraId="3EFB5E68" w14:textId="1332534F" w:rsidR="008E7970" w:rsidRDefault="008E7970" w:rsidP="008E7970">
            <w:pPr>
              <w:spacing w:line="480" w:lineRule="auto"/>
              <w:jc w:val="center"/>
              <w:rPr>
                <w:rFonts w:cs="Arial"/>
                <w:b/>
              </w:rPr>
            </w:pPr>
            <w:r w:rsidRPr="007916DE">
              <w:rPr>
                <w:rFonts w:cs="Arial"/>
              </w:rPr>
              <w:t>(9.1-18.3)</w:t>
            </w:r>
          </w:p>
        </w:tc>
        <w:tc>
          <w:tcPr>
            <w:tcW w:w="1847" w:type="dxa"/>
            <w:vAlign w:val="center"/>
          </w:tcPr>
          <w:p w14:paraId="0CB2BB38" w14:textId="77777777" w:rsidR="008E7970" w:rsidRPr="007916DE" w:rsidRDefault="008E7970" w:rsidP="008E7970">
            <w:pPr>
              <w:pStyle w:val="ListParagraph"/>
              <w:spacing w:line="276" w:lineRule="auto"/>
              <w:ind w:left="0"/>
              <w:jc w:val="center"/>
              <w:rPr>
                <w:rFonts w:ascii="Arial" w:hAnsi="Arial" w:cs="Arial"/>
              </w:rPr>
            </w:pPr>
            <w:r w:rsidRPr="007916DE">
              <w:rPr>
                <w:rFonts w:ascii="Arial" w:hAnsi="Arial" w:cs="Arial"/>
              </w:rPr>
              <w:t>124</w:t>
            </w:r>
          </w:p>
          <w:p w14:paraId="3FC50BB1" w14:textId="77777777" w:rsidR="008E7970" w:rsidRPr="007916DE" w:rsidRDefault="008E7970" w:rsidP="008E7970">
            <w:pPr>
              <w:pStyle w:val="ListParagraph"/>
              <w:spacing w:line="276" w:lineRule="auto"/>
              <w:ind w:left="0"/>
              <w:jc w:val="center"/>
              <w:rPr>
                <w:rFonts w:ascii="Arial" w:hAnsi="Arial" w:cs="Arial"/>
              </w:rPr>
            </w:pPr>
            <w:r w:rsidRPr="007916DE">
              <w:rPr>
                <w:rFonts w:ascii="Arial" w:hAnsi="Arial" w:cs="Arial"/>
              </w:rPr>
              <w:t>14.5</w:t>
            </w:r>
          </w:p>
          <w:p w14:paraId="4C618C1B" w14:textId="055E4F8F" w:rsidR="008E7970" w:rsidRDefault="008E7970" w:rsidP="008E7970">
            <w:pPr>
              <w:spacing w:line="480" w:lineRule="auto"/>
              <w:jc w:val="center"/>
              <w:rPr>
                <w:rFonts w:cs="Arial"/>
                <w:b/>
              </w:rPr>
            </w:pPr>
            <w:r w:rsidRPr="007916DE">
              <w:rPr>
                <w:rFonts w:cs="Arial"/>
              </w:rPr>
              <w:t>(8.4-19.1)</w:t>
            </w:r>
          </w:p>
        </w:tc>
        <w:tc>
          <w:tcPr>
            <w:tcW w:w="1848" w:type="dxa"/>
            <w:vAlign w:val="center"/>
          </w:tcPr>
          <w:p w14:paraId="0E1ED4A7" w14:textId="77777777" w:rsidR="008E7970" w:rsidRPr="007916DE" w:rsidRDefault="008E7970" w:rsidP="008E7970">
            <w:pPr>
              <w:pStyle w:val="ListParagraph"/>
              <w:spacing w:line="276" w:lineRule="auto"/>
              <w:ind w:left="0"/>
              <w:jc w:val="center"/>
              <w:rPr>
                <w:rFonts w:ascii="Arial" w:hAnsi="Arial" w:cs="Arial"/>
              </w:rPr>
            </w:pPr>
            <w:r w:rsidRPr="007916DE">
              <w:rPr>
                <w:rFonts w:ascii="Arial" w:hAnsi="Arial" w:cs="Arial"/>
              </w:rPr>
              <w:t>4</w:t>
            </w:r>
          </w:p>
          <w:p w14:paraId="4FD0CAE2" w14:textId="77777777" w:rsidR="008E7970" w:rsidRPr="007916DE" w:rsidRDefault="008E7970" w:rsidP="008E7970">
            <w:pPr>
              <w:pStyle w:val="ListParagraph"/>
              <w:spacing w:line="276" w:lineRule="auto"/>
              <w:ind w:left="0"/>
              <w:jc w:val="center"/>
              <w:rPr>
                <w:rFonts w:ascii="Arial" w:hAnsi="Arial" w:cs="Arial"/>
              </w:rPr>
            </w:pPr>
            <w:r w:rsidRPr="007916DE">
              <w:rPr>
                <w:rFonts w:ascii="Arial" w:hAnsi="Arial" w:cs="Arial"/>
              </w:rPr>
              <w:t>20.3</w:t>
            </w:r>
          </w:p>
          <w:p w14:paraId="5548B6DB" w14:textId="18040D21" w:rsidR="008E7970" w:rsidRDefault="008E7970" w:rsidP="008E7970">
            <w:pPr>
              <w:spacing w:line="480" w:lineRule="auto"/>
              <w:jc w:val="center"/>
              <w:rPr>
                <w:rFonts w:cs="Arial"/>
                <w:b/>
              </w:rPr>
            </w:pPr>
            <w:r w:rsidRPr="007916DE">
              <w:rPr>
                <w:rFonts w:cs="Arial"/>
              </w:rPr>
              <w:t>(16.2-23.7)</w:t>
            </w:r>
          </w:p>
        </w:tc>
        <w:tc>
          <w:tcPr>
            <w:tcW w:w="1848" w:type="dxa"/>
            <w:vAlign w:val="center"/>
          </w:tcPr>
          <w:p w14:paraId="619BE199" w14:textId="6E787A56" w:rsidR="008E7970" w:rsidRDefault="008E7970" w:rsidP="008E7970">
            <w:pPr>
              <w:spacing w:line="480" w:lineRule="auto"/>
              <w:jc w:val="center"/>
              <w:rPr>
                <w:rFonts w:cs="Arial"/>
                <w:b/>
              </w:rPr>
            </w:pPr>
            <w:r w:rsidRPr="007916DE">
              <w:rPr>
                <w:rFonts w:cs="Arial"/>
              </w:rPr>
              <w:t>0.107</w:t>
            </w:r>
          </w:p>
        </w:tc>
      </w:tr>
      <w:tr w:rsidR="008E7970" w14:paraId="2CA55AF0" w14:textId="77777777" w:rsidTr="008E7970">
        <w:tc>
          <w:tcPr>
            <w:tcW w:w="1847" w:type="dxa"/>
            <w:vAlign w:val="center"/>
          </w:tcPr>
          <w:p w14:paraId="031047B3" w14:textId="77777777" w:rsidR="008E7970" w:rsidRPr="007916DE" w:rsidRDefault="008E7970" w:rsidP="008E7970">
            <w:pPr>
              <w:pStyle w:val="ListParagraph"/>
              <w:spacing w:line="276" w:lineRule="auto"/>
              <w:ind w:left="0"/>
              <w:jc w:val="center"/>
              <w:rPr>
                <w:rFonts w:ascii="Arial" w:hAnsi="Arial" w:cs="Arial"/>
              </w:rPr>
            </w:pPr>
            <w:r w:rsidRPr="007916DE">
              <w:rPr>
                <w:rFonts w:ascii="Arial" w:hAnsi="Arial" w:cs="Arial"/>
              </w:rPr>
              <w:t>ZPP</w:t>
            </w:r>
          </w:p>
          <w:p w14:paraId="60C796A4" w14:textId="229B58FF" w:rsidR="008E7970" w:rsidRDefault="008E7970" w:rsidP="008E7970">
            <w:pPr>
              <w:spacing w:line="480" w:lineRule="auto"/>
              <w:jc w:val="center"/>
              <w:rPr>
                <w:rFonts w:cs="Arial"/>
                <w:b/>
              </w:rPr>
            </w:pPr>
            <w:r w:rsidRPr="007916DE">
              <w:rPr>
                <w:rFonts w:cs="Arial"/>
              </w:rPr>
              <w:t>(umol/mol heme)</w:t>
            </w:r>
          </w:p>
        </w:tc>
        <w:tc>
          <w:tcPr>
            <w:tcW w:w="1847" w:type="dxa"/>
            <w:vAlign w:val="center"/>
          </w:tcPr>
          <w:p w14:paraId="1EFA1CCC" w14:textId="77777777" w:rsidR="008E7970" w:rsidRPr="007916DE" w:rsidRDefault="008E7970" w:rsidP="008E7970">
            <w:pPr>
              <w:pStyle w:val="ListParagraph"/>
              <w:spacing w:line="276" w:lineRule="auto"/>
              <w:ind w:left="0"/>
              <w:jc w:val="center"/>
              <w:rPr>
                <w:rFonts w:ascii="Arial" w:hAnsi="Arial" w:cs="Arial"/>
              </w:rPr>
            </w:pPr>
            <w:r w:rsidRPr="007916DE">
              <w:rPr>
                <w:rFonts w:ascii="Arial" w:hAnsi="Arial" w:cs="Arial"/>
              </w:rPr>
              <w:t>267</w:t>
            </w:r>
          </w:p>
          <w:p w14:paraId="7C2F72C8" w14:textId="77777777" w:rsidR="008E7970" w:rsidRPr="007916DE" w:rsidRDefault="008E7970" w:rsidP="008E7970">
            <w:pPr>
              <w:pStyle w:val="ListParagraph"/>
              <w:spacing w:line="276" w:lineRule="auto"/>
              <w:ind w:left="0"/>
              <w:jc w:val="center"/>
              <w:rPr>
                <w:rFonts w:ascii="Arial" w:hAnsi="Arial" w:cs="Arial"/>
              </w:rPr>
            </w:pPr>
            <w:r w:rsidRPr="007916DE">
              <w:rPr>
                <w:rFonts w:ascii="Arial" w:hAnsi="Arial" w:cs="Arial"/>
              </w:rPr>
              <w:t>58.0</w:t>
            </w:r>
          </w:p>
          <w:p w14:paraId="63EB0C16" w14:textId="43535718" w:rsidR="008E7970" w:rsidRDefault="008E7970" w:rsidP="008E7970">
            <w:pPr>
              <w:spacing w:line="480" w:lineRule="auto"/>
              <w:jc w:val="center"/>
              <w:rPr>
                <w:rFonts w:cs="Arial"/>
                <w:b/>
              </w:rPr>
            </w:pPr>
            <w:r w:rsidRPr="007916DE">
              <w:rPr>
                <w:rFonts w:cs="Arial"/>
              </w:rPr>
              <w:t>(42.0-86.0)</w:t>
            </w:r>
          </w:p>
        </w:tc>
        <w:tc>
          <w:tcPr>
            <w:tcW w:w="1847" w:type="dxa"/>
            <w:vAlign w:val="center"/>
          </w:tcPr>
          <w:p w14:paraId="6F41180C" w14:textId="77777777" w:rsidR="008E7970" w:rsidRPr="007916DE" w:rsidRDefault="008E7970" w:rsidP="008E7970">
            <w:pPr>
              <w:pStyle w:val="ListParagraph"/>
              <w:spacing w:line="276" w:lineRule="auto"/>
              <w:ind w:left="0"/>
              <w:jc w:val="center"/>
              <w:rPr>
                <w:rFonts w:ascii="Arial" w:hAnsi="Arial" w:cs="Arial"/>
              </w:rPr>
            </w:pPr>
            <w:r w:rsidRPr="007916DE">
              <w:rPr>
                <w:rFonts w:ascii="Arial" w:hAnsi="Arial" w:cs="Arial"/>
              </w:rPr>
              <w:t>39</w:t>
            </w:r>
          </w:p>
          <w:p w14:paraId="2F446684" w14:textId="77777777" w:rsidR="008E7970" w:rsidRPr="007916DE" w:rsidRDefault="008E7970" w:rsidP="008E7970">
            <w:pPr>
              <w:pStyle w:val="ListParagraph"/>
              <w:spacing w:line="276" w:lineRule="auto"/>
              <w:ind w:left="0"/>
              <w:jc w:val="center"/>
              <w:rPr>
                <w:rFonts w:ascii="Arial" w:hAnsi="Arial" w:cs="Arial"/>
              </w:rPr>
            </w:pPr>
            <w:r w:rsidRPr="007916DE">
              <w:rPr>
                <w:rFonts w:ascii="Arial" w:hAnsi="Arial" w:cs="Arial"/>
              </w:rPr>
              <w:t>57.0</w:t>
            </w:r>
          </w:p>
          <w:p w14:paraId="4B3B8128" w14:textId="6E1DADFE" w:rsidR="008E7970" w:rsidRDefault="008E7970" w:rsidP="008E7970">
            <w:pPr>
              <w:spacing w:line="480" w:lineRule="auto"/>
              <w:jc w:val="center"/>
              <w:rPr>
                <w:rFonts w:cs="Arial"/>
                <w:b/>
              </w:rPr>
            </w:pPr>
            <w:r w:rsidRPr="007916DE">
              <w:rPr>
                <w:rFonts w:cs="Arial"/>
              </w:rPr>
              <w:t>(45.0-110.0)</w:t>
            </w:r>
          </w:p>
        </w:tc>
        <w:tc>
          <w:tcPr>
            <w:tcW w:w="1848" w:type="dxa"/>
            <w:vAlign w:val="center"/>
          </w:tcPr>
          <w:p w14:paraId="03A8D387" w14:textId="77777777" w:rsidR="008E7970" w:rsidRPr="007916DE" w:rsidRDefault="008E7970" w:rsidP="008E7970">
            <w:pPr>
              <w:pStyle w:val="ListParagraph"/>
              <w:spacing w:line="276" w:lineRule="auto"/>
              <w:ind w:left="0"/>
              <w:jc w:val="center"/>
              <w:rPr>
                <w:rFonts w:ascii="Arial" w:hAnsi="Arial" w:cs="Arial"/>
              </w:rPr>
            </w:pPr>
            <w:r w:rsidRPr="007916DE">
              <w:rPr>
                <w:rFonts w:ascii="Arial" w:hAnsi="Arial" w:cs="Arial"/>
              </w:rPr>
              <w:t>0</w:t>
            </w:r>
          </w:p>
          <w:p w14:paraId="7EC78508" w14:textId="77777777" w:rsidR="008E7970" w:rsidRPr="007916DE" w:rsidRDefault="008E7970" w:rsidP="008E7970">
            <w:pPr>
              <w:pStyle w:val="ListParagraph"/>
              <w:spacing w:line="276" w:lineRule="auto"/>
              <w:ind w:left="0"/>
              <w:jc w:val="center"/>
              <w:rPr>
                <w:rFonts w:ascii="Arial" w:hAnsi="Arial" w:cs="Arial"/>
              </w:rPr>
            </w:pPr>
            <w:r w:rsidRPr="007916DE">
              <w:rPr>
                <w:rFonts w:ascii="Arial" w:hAnsi="Arial" w:cs="Arial"/>
              </w:rPr>
              <w:t>-</w:t>
            </w:r>
          </w:p>
          <w:p w14:paraId="44D6BB37" w14:textId="47477D71" w:rsidR="008E7970" w:rsidRDefault="008E7970" w:rsidP="008E7970">
            <w:pPr>
              <w:spacing w:line="480" w:lineRule="auto"/>
              <w:jc w:val="center"/>
              <w:rPr>
                <w:rFonts w:cs="Arial"/>
                <w:b/>
              </w:rPr>
            </w:pPr>
            <w:r w:rsidRPr="007916DE">
              <w:rPr>
                <w:rFonts w:cs="Arial"/>
              </w:rPr>
              <w:t>-</w:t>
            </w:r>
          </w:p>
        </w:tc>
        <w:tc>
          <w:tcPr>
            <w:tcW w:w="1848" w:type="dxa"/>
            <w:vAlign w:val="center"/>
          </w:tcPr>
          <w:p w14:paraId="7CD90518" w14:textId="1CA42382" w:rsidR="008E7970" w:rsidRDefault="008E7970" w:rsidP="008E7970">
            <w:pPr>
              <w:spacing w:line="480" w:lineRule="auto"/>
              <w:jc w:val="center"/>
              <w:rPr>
                <w:rFonts w:cs="Arial"/>
                <w:b/>
              </w:rPr>
            </w:pPr>
            <w:r w:rsidRPr="007916DE">
              <w:rPr>
                <w:rFonts w:cs="Arial"/>
              </w:rPr>
              <w:t>0.586</w:t>
            </w:r>
          </w:p>
        </w:tc>
      </w:tr>
      <w:tr w:rsidR="008E7970" w14:paraId="141CAE33" w14:textId="77777777" w:rsidTr="008E7970">
        <w:tc>
          <w:tcPr>
            <w:tcW w:w="1847" w:type="dxa"/>
            <w:vAlign w:val="center"/>
          </w:tcPr>
          <w:p w14:paraId="3CB2069B" w14:textId="77777777" w:rsidR="008E7970" w:rsidRPr="007916DE" w:rsidRDefault="008E7970" w:rsidP="008E7970">
            <w:pPr>
              <w:pStyle w:val="ListParagraph"/>
              <w:spacing w:line="276" w:lineRule="auto"/>
              <w:ind w:left="0"/>
              <w:jc w:val="center"/>
              <w:rPr>
                <w:rFonts w:ascii="Arial" w:hAnsi="Arial" w:cs="Arial"/>
              </w:rPr>
            </w:pPr>
            <w:r w:rsidRPr="007916DE">
              <w:rPr>
                <w:rFonts w:ascii="Arial" w:hAnsi="Arial" w:cs="Arial"/>
              </w:rPr>
              <w:t>Hepcidin</w:t>
            </w:r>
          </w:p>
          <w:p w14:paraId="5E9E6E58" w14:textId="14B43C3B" w:rsidR="008E7970" w:rsidRDefault="008E7970" w:rsidP="008E7970">
            <w:pPr>
              <w:spacing w:line="480" w:lineRule="auto"/>
              <w:jc w:val="center"/>
              <w:rPr>
                <w:rFonts w:cs="Arial"/>
                <w:b/>
              </w:rPr>
            </w:pPr>
            <w:r w:rsidRPr="007916DE">
              <w:rPr>
                <w:rFonts w:cs="Arial"/>
              </w:rPr>
              <w:t>(ng/ml)</w:t>
            </w:r>
          </w:p>
        </w:tc>
        <w:tc>
          <w:tcPr>
            <w:tcW w:w="1847" w:type="dxa"/>
            <w:vAlign w:val="center"/>
          </w:tcPr>
          <w:p w14:paraId="5FF2E254" w14:textId="77777777" w:rsidR="008E7970" w:rsidRPr="007916DE" w:rsidRDefault="008E7970" w:rsidP="008E7970">
            <w:pPr>
              <w:pStyle w:val="ListParagraph"/>
              <w:spacing w:line="276" w:lineRule="auto"/>
              <w:ind w:left="0"/>
              <w:jc w:val="center"/>
              <w:rPr>
                <w:rFonts w:ascii="Arial" w:hAnsi="Arial" w:cs="Arial"/>
              </w:rPr>
            </w:pPr>
            <w:r w:rsidRPr="007916DE">
              <w:rPr>
                <w:rFonts w:ascii="Arial" w:hAnsi="Arial" w:cs="Arial"/>
              </w:rPr>
              <w:t>728</w:t>
            </w:r>
          </w:p>
          <w:p w14:paraId="03E1A1E3" w14:textId="77777777" w:rsidR="008E7970" w:rsidRPr="007916DE" w:rsidRDefault="008E7970" w:rsidP="008E7970">
            <w:pPr>
              <w:pStyle w:val="ListParagraph"/>
              <w:spacing w:line="276" w:lineRule="auto"/>
              <w:ind w:left="0"/>
              <w:jc w:val="center"/>
              <w:rPr>
                <w:rFonts w:ascii="Arial" w:hAnsi="Arial" w:cs="Arial"/>
              </w:rPr>
            </w:pPr>
            <w:r w:rsidRPr="007916DE">
              <w:rPr>
                <w:rFonts w:ascii="Arial" w:hAnsi="Arial" w:cs="Arial"/>
              </w:rPr>
              <w:t>3.73</w:t>
            </w:r>
          </w:p>
          <w:p w14:paraId="7EFC18E8" w14:textId="020C2E20" w:rsidR="008E7970" w:rsidRDefault="008E7970" w:rsidP="008E7970">
            <w:pPr>
              <w:spacing w:line="480" w:lineRule="auto"/>
              <w:jc w:val="center"/>
              <w:rPr>
                <w:rFonts w:cs="Arial"/>
                <w:b/>
              </w:rPr>
            </w:pPr>
            <w:r w:rsidRPr="007916DE">
              <w:rPr>
                <w:rFonts w:cs="Arial"/>
              </w:rPr>
              <w:t>(2.15-5.89)</w:t>
            </w:r>
          </w:p>
        </w:tc>
        <w:tc>
          <w:tcPr>
            <w:tcW w:w="1847" w:type="dxa"/>
            <w:vAlign w:val="center"/>
          </w:tcPr>
          <w:p w14:paraId="28523EFE" w14:textId="77777777" w:rsidR="008E7970" w:rsidRPr="007916DE" w:rsidRDefault="008E7970" w:rsidP="008E7970">
            <w:pPr>
              <w:pStyle w:val="ListParagraph"/>
              <w:spacing w:line="276" w:lineRule="auto"/>
              <w:ind w:left="0"/>
              <w:jc w:val="center"/>
              <w:rPr>
                <w:rFonts w:ascii="Arial" w:hAnsi="Arial" w:cs="Arial"/>
              </w:rPr>
            </w:pPr>
            <w:r w:rsidRPr="007916DE">
              <w:rPr>
                <w:rFonts w:ascii="Arial" w:hAnsi="Arial" w:cs="Arial"/>
              </w:rPr>
              <w:t>104</w:t>
            </w:r>
          </w:p>
          <w:p w14:paraId="7647670C" w14:textId="77777777" w:rsidR="008E7970" w:rsidRPr="007916DE" w:rsidRDefault="008E7970" w:rsidP="008E7970">
            <w:pPr>
              <w:pStyle w:val="ListParagraph"/>
              <w:spacing w:line="276" w:lineRule="auto"/>
              <w:ind w:left="0"/>
              <w:jc w:val="center"/>
              <w:rPr>
                <w:rFonts w:ascii="Arial" w:hAnsi="Arial" w:cs="Arial"/>
              </w:rPr>
            </w:pPr>
            <w:r w:rsidRPr="007916DE">
              <w:rPr>
                <w:rFonts w:ascii="Arial" w:hAnsi="Arial" w:cs="Arial"/>
              </w:rPr>
              <w:t>3.07</w:t>
            </w:r>
          </w:p>
          <w:p w14:paraId="28546E8C" w14:textId="2C4920DC" w:rsidR="008E7970" w:rsidRDefault="008E7970" w:rsidP="008E7970">
            <w:pPr>
              <w:spacing w:line="480" w:lineRule="auto"/>
              <w:jc w:val="center"/>
              <w:rPr>
                <w:rFonts w:cs="Arial"/>
                <w:b/>
              </w:rPr>
            </w:pPr>
            <w:r w:rsidRPr="007916DE">
              <w:rPr>
                <w:rFonts w:cs="Arial"/>
              </w:rPr>
              <w:t>(1.8-5.84)</w:t>
            </w:r>
          </w:p>
        </w:tc>
        <w:tc>
          <w:tcPr>
            <w:tcW w:w="1848" w:type="dxa"/>
            <w:vAlign w:val="center"/>
          </w:tcPr>
          <w:p w14:paraId="0C7E682C" w14:textId="77777777" w:rsidR="008E7970" w:rsidRPr="007916DE" w:rsidRDefault="008E7970" w:rsidP="008E7970">
            <w:pPr>
              <w:pStyle w:val="ListParagraph"/>
              <w:spacing w:line="276" w:lineRule="auto"/>
              <w:ind w:left="0"/>
              <w:jc w:val="center"/>
              <w:rPr>
                <w:rFonts w:ascii="Arial" w:hAnsi="Arial" w:cs="Arial"/>
              </w:rPr>
            </w:pPr>
            <w:r w:rsidRPr="007916DE">
              <w:rPr>
                <w:rFonts w:ascii="Arial" w:hAnsi="Arial" w:cs="Arial"/>
              </w:rPr>
              <w:t>4</w:t>
            </w:r>
          </w:p>
          <w:p w14:paraId="686F2810" w14:textId="77777777" w:rsidR="008E7970" w:rsidRPr="007916DE" w:rsidRDefault="008E7970" w:rsidP="008E7970">
            <w:pPr>
              <w:pStyle w:val="ListParagraph"/>
              <w:spacing w:line="276" w:lineRule="auto"/>
              <w:ind w:left="0"/>
              <w:jc w:val="center"/>
              <w:rPr>
                <w:rFonts w:ascii="Arial" w:hAnsi="Arial" w:cs="Arial"/>
              </w:rPr>
            </w:pPr>
            <w:r w:rsidRPr="007916DE">
              <w:rPr>
                <w:rFonts w:ascii="Arial" w:hAnsi="Arial" w:cs="Arial"/>
              </w:rPr>
              <w:t>3.04</w:t>
            </w:r>
          </w:p>
          <w:p w14:paraId="4A21CAD9" w14:textId="0B60E3FA" w:rsidR="008E7970" w:rsidRDefault="008E7970" w:rsidP="008E7970">
            <w:pPr>
              <w:spacing w:line="480" w:lineRule="auto"/>
              <w:jc w:val="center"/>
              <w:rPr>
                <w:rFonts w:cs="Arial"/>
                <w:b/>
              </w:rPr>
            </w:pPr>
            <w:r w:rsidRPr="007916DE">
              <w:rPr>
                <w:rFonts w:cs="Arial"/>
              </w:rPr>
              <w:t>(2.23-3.75)</w:t>
            </w:r>
          </w:p>
        </w:tc>
        <w:tc>
          <w:tcPr>
            <w:tcW w:w="1848" w:type="dxa"/>
            <w:vAlign w:val="center"/>
          </w:tcPr>
          <w:p w14:paraId="0D6FC672" w14:textId="1F16B275" w:rsidR="008E7970" w:rsidRDefault="008E7970" w:rsidP="008E7970">
            <w:pPr>
              <w:spacing w:line="480" w:lineRule="auto"/>
              <w:jc w:val="center"/>
              <w:rPr>
                <w:rFonts w:cs="Arial"/>
                <w:b/>
              </w:rPr>
            </w:pPr>
            <w:r w:rsidRPr="007916DE">
              <w:rPr>
                <w:rFonts w:cs="Arial"/>
              </w:rPr>
              <w:t>0.461</w:t>
            </w:r>
          </w:p>
        </w:tc>
      </w:tr>
    </w:tbl>
    <w:p w14:paraId="0B43CB31" w14:textId="77777777" w:rsidR="008E7970" w:rsidRPr="007916DE" w:rsidRDefault="008E7970" w:rsidP="001B45F1">
      <w:pPr>
        <w:spacing w:line="480" w:lineRule="auto"/>
        <w:rPr>
          <w:rFonts w:cs="Arial"/>
          <w:b/>
        </w:rPr>
      </w:pPr>
    </w:p>
    <w:p w14:paraId="5D975929" w14:textId="656C780B" w:rsidR="00E3493E" w:rsidRPr="007916DE" w:rsidRDefault="00E3493E" w:rsidP="00755556">
      <w:pPr>
        <w:spacing w:line="276" w:lineRule="auto"/>
        <w:rPr>
          <w:rFonts w:cs="Arial"/>
          <w:b/>
        </w:rPr>
      </w:pPr>
      <w:r w:rsidRPr="007916DE">
        <w:rPr>
          <w:rFonts w:cs="Arial"/>
          <w:b/>
        </w:rPr>
        <w:br w:type="page"/>
      </w:r>
      <w:r w:rsidRPr="007916DE">
        <w:rPr>
          <w:rFonts w:cs="Arial"/>
          <w:b/>
        </w:rPr>
        <w:lastRenderedPageBreak/>
        <w:t xml:space="preserve">Table 3: Iron status according to H63D genotype in students without a </w:t>
      </w:r>
      <w:r w:rsidR="00C77442">
        <w:rPr>
          <w:rFonts w:cs="Arial"/>
          <w:b/>
        </w:rPr>
        <w:t>hemoglobin</w:t>
      </w:r>
      <w:r w:rsidRPr="007916DE">
        <w:rPr>
          <w:rFonts w:cs="Arial"/>
          <w:b/>
        </w:rPr>
        <w:t>opathy trait</w:t>
      </w:r>
    </w:p>
    <w:p w14:paraId="124455C2" w14:textId="77777777" w:rsidR="00E3493E" w:rsidRPr="007916DE" w:rsidRDefault="00E3493E" w:rsidP="00755556">
      <w:pPr>
        <w:pStyle w:val="ListParagraph"/>
        <w:spacing w:line="276" w:lineRule="auto"/>
        <w:rPr>
          <w:rFonts w:ascii="Arial" w:hAnsi="Arial" w:cs="Arial"/>
        </w:rPr>
      </w:pPr>
    </w:p>
    <w:tbl>
      <w:tblPr>
        <w:tblStyle w:val="TableGrid"/>
        <w:tblW w:w="8647" w:type="dxa"/>
        <w:tblInd w:w="108" w:type="dxa"/>
        <w:tblLook w:val="04A0" w:firstRow="1" w:lastRow="0" w:firstColumn="1" w:lastColumn="0" w:noHBand="0" w:noVBand="1"/>
      </w:tblPr>
      <w:tblGrid>
        <w:gridCol w:w="2155"/>
        <w:gridCol w:w="1434"/>
        <w:gridCol w:w="1737"/>
        <w:gridCol w:w="1656"/>
        <w:gridCol w:w="704"/>
        <w:gridCol w:w="961"/>
      </w:tblGrid>
      <w:tr w:rsidR="00E3493E" w:rsidRPr="007916DE" w14:paraId="3CAC9887" w14:textId="77777777" w:rsidTr="00755556">
        <w:tc>
          <w:tcPr>
            <w:tcW w:w="2155" w:type="dxa"/>
          </w:tcPr>
          <w:p w14:paraId="629AC17A" w14:textId="77777777" w:rsidR="00E3493E" w:rsidRPr="007916DE" w:rsidRDefault="00E3493E" w:rsidP="00755556">
            <w:pPr>
              <w:pStyle w:val="ListParagraph"/>
              <w:spacing w:line="276" w:lineRule="auto"/>
              <w:ind w:left="0"/>
              <w:rPr>
                <w:rFonts w:ascii="Arial" w:hAnsi="Arial" w:cs="Arial"/>
              </w:rPr>
            </w:pPr>
          </w:p>
        </w:tc>
        <w:tc>
          <w:tcPr>
            <w:tcW w:w="4827" w:type="dxa"/>
            <w:gridSpan w:val="3"/>
          </w:tcPr>
          <w:p w14:paraId="65FD4287" w14:textId="77777777" w:rsidR="00E3493E" w:rsidRPr="007916DE" w:rsidRDefault="00E3493E" w:rsidP="00755556">
            <w:pPr>
              <w:pStyle w:val="ListParagraph"/>
              <w:spacing w:line="276" w:lineRule="auto"/>
              <w:ind w:left="0"/>
              <w:jc w:val="center"/>
              <w:rPr>
                <w:rFonts w:ascii="Arial" w:hAnsi="Arial" w:cs="Arial"/>
                <w:b/>
              </w:rPr>
            </w:pPr>
            <w:r w:rsidRPr="007916DE">
              <w:rPr>
                <w:rFonts w:ascii="Arial" w:hAnsi="Arial" w:cs="Arial"/>
                <w:b/>
              </w:rPr>
              <w:t>H63D genotype</w:t>
            </w:r>
          </w:p>
        </w:tc>
        <w:tc>
          <w:tcPr>
            <w:tcW w:w="704" w:type="dxa"/>
          </w:tcPr>
          <w:p w14:paraId="3FEE33BF" w14:textId="77777777" w:rsidR="00E3493E" w:rsidRPr="007916DE" w:rsidRDefault="00E3493E" w:rsidP="00755556">
            <w:pPr>
              <w:pStyle w:val="ListParagraph"/>
              <w:spacing w:line="276" w:lineRule="auto"/>
              <w:ind w:left="0"/>
              <w:rPr>
                <w:rFonts w:ascii="Arial" w:hAnsi="Arial" w:cs="Arial"/>
              </w:rPr>
            </w:pPr>
          </w:p>
        </w:tc>
        <w:tc>
          <w:tcPr>
            <w:tcW w:w="961" w:type="dxa"/>
          </w:tcPr>
          <w:p w14:paraId="30440625" w14:textId="77777777" w:rsidR="00E3493E" w:rsidRPr="007916DE" w:rsidRDefault="00E3493E" w:rsidP="00755556">
            <w:pPr>
              <w:pStyle w:val="ListParagraph"/>
              <w:spacing w:line="276" w:lineRule="auto"/>
              <w:ind w:left="0"/>
              <w:rPr>
                <w:rFonts w:ascii="Arial" w:hAnsi="Arial" w:cs="Arial"/>
              </w:rPr>
            </w:pPr>
          </w:p>
        </w:tc>
      </w:tr>
      <w:tr w:rsidR="00E3493E" w:rsidRPr="007916DE" w14:paraId="354FB200" w14:textId="77777777" w:rsidTr="00755556">
        <w:tc>
          <w:tcPr>
            <w:tcW w:w="2155" w:type="dxa"/>
          </w:tcPr>
          <w:p w14:paraId="446439C6" w14:textId="77777777" w:rsidR="00E3493E" w:rsidRPr="007916DE" w:rsidRDefault="00E3493E" w:rsidP="00755556">
            <w:pPr>
              <w:pStyle w:val="ListParagraph"/>
              <w:spacing w:line="276" w:lineRule="auto"/>
              <w:ind w:left="0"/>
              <w:rPr>
                <w:rFonts w:ascii="Arial" w:hAnsi="Arial" w:cs="Arial"/>
                <w:b/>
              </w:rPr>
            </w:pPr>
            <w:r w:rsidRPr="007916DE">
              <w:rPr>
                <w:rFonts w:ascii="Arial" w:hAnsi="Arial" w:cs="Arial"/>
                <w:b/>
              </w:rPr>
              <w:t>Iron status</w:t>
            </w:r>
          </w:p>
        </w:tc>
        <w:tc>
          <w:tcPr>
            <w:tcW w:w="1434" w:type="dxa"/>
          </w:tcPr>
          <w:p w14:paraId="54094CC0" w14:textId="77777777" w:rsidR="00E3493E" w:rsidRPr="007916DE" w:rsidRDefault="00E3493E" w:rsidP="00755556">
            <w:pPr>
              <w:pStyle w:val="ListParagraph"/>
              <w:spacing w:line="276" w:lineRule="auto"/>
              <w:ind w:left="0"/>
              <w:jc w:val="center"/>
              <w:rPr>
                <w:rFonts w:ascii="Arial" w:hAnsi="Arial" w:cs="Arial"/>
                <w:b/>
              </w:rPr>
            </w:pPr>
            <w:r w:rsidRPr="007916DE">
              <w:rPr>
                <w:rFonts w:ascii="Arial" w:hAnsi="Arial" w:cs="Arial"/>
                <w:b/>
              </w:rPr>
              <w:t>Wild type</w:t>
            </w:r>
          </w:p>
          <w:p w14:paraId="03D24A34" w14:textId="77777777" w:rsidR="00E3493E" w:rsidRPr="007916DE" w:rsidRDefault="00E3493E" w:rsidP="00755556">
            <w:pPr>
              <w:pStyle w:val="ListParagraph"/>
              <w:spacing w:line="276" w:lineRule="auto"/>
              <w:ind w:left="0"/>
              <w:jc w:val="center"/>
              <w:rPr>
                <w:rFonts w:ascii="Arial" w:hAnsi="Arial" w:cs="Arial"/>
              </w:rPr>
            </w:pPr>
            <w:r w:rsidRPr="007916DE">
              <w:rPr>
                <w:rFonts w:ascii="Arial" w:hAnsi="Arial" w:cs="Arial"/>
              </w:rPr>
              <w:t>N (%)</w:t>
            </w:r>
          </w:p>
        </w:tc>
        <w:tc>
          <w:tcPr>
            <w:tcW w:w="1737" w:type="dxa"/>
          </w:tcPr>
          <w:p w14:paraId="3575684F" w14:textId="77777777" w:rsidR="00E3493E" w:rsidRPr="007916DE" w:rsidRDefault="00E3493E" w:rsidP="00755556">
            <w:pPr>
              <w:pStyle w:val="ListParagraph"/>
              <w:spacing w:line="276" w:lineRule="auto"/>
              <w:ind w:left="0"/>
              <w:jc w:val="center"/>
              <w:rPr>
                <w:rFonts w:ascii="Arial" w:hAnsi="Arial" w:cs="Arial"/>
                <w:b/>
              </w:rPr>
            </w:pPr>
            <w:r w:rsidRPr="007916DE">
              <w:rPr>
                <w:rFonts w:ascii="Arial" w:hAnsi="Arial" w:cs="Arial"/>
                <w:b/>
              </w:rPr>
              <w:t>Heterozygote</w:t>
            </w:r>
          </w:p>
          <w:p w14:paraId="742F7A1C" w14:textId="77777777" w:rsidR="00E3493E" w:rsidRPr="007916DE" w:rsidRDefault="00E3493E" w:rsidP="00755556">
            <w:pPr>
              <w:pStyle w:val="ListParagraph"/>
              <w:spacing w:line="276" w:lineRule="auto"/>
              <w:ind w:left="0"/>
              <w:jc w:val="center"/>
              <w:rPr>
                <w:rFonts w:ascii="Arial" w:hAnsi="Arial" w:cs="Arial"/>
              </w:rPr>
            </w:pPr>
            <w:r w:rsidRPr="007916DE">
              <w:rPr>
                <w:rFonts w:ascii="Arial" w:hAnsi="Arial" w:cs="Arial"/>
              </w:rPr>
              <w:t>N (%)</w:t>
            </w:r>
          </w:p>
        </w:tc>
        <w:tc>
          <w:tcPr>
            <w:tcW w:w="1656" w:type="dxa"/>
          </w:tcPr>
          <w:p w14:paraId="5C6C7516" w14:textId="77777777" w:rsidR="00E3493E" w:rsidRPr="007916DE" w:rsidRDefault="00E3493E" w:rsidP="00755556">
            <w:pPr>
              <w:pStyle w:val="ListParagraph"/>
              <w:spacing w:line="276" w:lineRule="auto"/>
              <w:ind w:left="0"/>
              <w:jc w:val="center"/>
              <w:rPr>
                <w:rFonts w:ascii="Arial" w:hAnsi="Arial" w:cs="Arial"/>
                <w:b/>
              </w:rPr>
            </w:pPr>
            <w:r w:rsidRPr="007916DE">
              <w:rPr>
                <w:rFonts w:ascii="Arial" w:hAnsi="Arial" w:cs="Arial"/>
                <w:b/>
              </w:rPr>
              <w:t>Homozygote</w:t>
            </w:r>
          </w:p>
          <w:p w14:paraId="47D4C301" w14:textId="77777777" w:rsidR="00E3493E" w:rsidRPr="007916DE" w:rsidRDefault="00E3493E" w:rsidP="00755556">
            <w:pPr>
              <w:pStyle w:val="ListParagraph"/>
              <w:spacing w:line="276" w:lineRule="auto"/>
              <w:ind w:left="0"/>
              <w:jc w:val="center"/>
              <w:rPr>
                <w:rFonts w:ascii="Arial" w:hAnsi="Arial" w:cs="Arial"/>
              </w:rPr>
            </w:pPr>
            <w:r w:rsidRPr="007916DE">
              <w:rPr>
                <w:rFonts w:ascii="Arial" w:hAnsi="Arial" w:cs="Arial"/>
              </w:rPr>
              <w:t>N (%)</w:t>
            </w:r>
          </w:p>
        </w:tc>
        <w:tc>
          <w:tcPr>
            <w:tcW w:w="704" w:type="dxa"/>
          </w:tcPr>
          <w:p w14:paraId="4849DA6D" w14:textId="77777777" w:rsidR="00E3493E" w:rsidRPr="007916DE" w:rsidRDefault="00E3493E" w:rsidP="00755556">
            <w:pPr>
              <w:pStyle w:val="ListParagraph"/>
              <w:spacing w:line="276" w:lineRule="auto"/>
              <w:ind w:left="0"/>
              <w:jc w:val="center"/>
              <w:rPr>
                <w:rFonts w:ascii="Arial" w:hAnsi="Arial" w:cs="Arial"/>
                <w:b/>
              </w:rPr>
            </w:pPr>
            <w:r w:rsidRPr="007916DE">
              <w:rPr>
                <w:rFonts w:ascii="Arial" w:hAnsi="Arial" w:cs="Arial"/>
                <w:b/>
              </w:rPr>
              <w:t>Χ</w:t>
            </w:r>
            <w:r w:rsidRPr="007916DE">
              <w:rPr>
                <w:rFonts w:ascii="Arial" w:hAnsi="Arial" w:cs="Arial"/>
                <w:b/>
                <w:bCs/>
                <w:vertAlign w:val="superscript"/>
              </w:rPr>
              <w:t>2</w:t>
            </w:r>
          </w:p>
        </w:tc>
        <w:tc>
          <w:tcPr>
            <w:tcW w:w="961" w:type="dxa"/>
          </w:tcPr>
          <w:p w14:paraId="544D5200" w14:textId="77777777" w:rsidR="00E3493E" w:rsidRPr="007916DE" w:rsidRDefault="00E3493E" w:rsidP="00755556">
            <w:pPr>
              <w:pStyle w:val="ListParagraph"/>
              <w:spacing w:line="276" w:lineRule="auto"/>
              <w:ind w:left="0"/>
              <w:jc w:val="center"/>
              <w:rPr>
                <w:rFonts w:ascii="Arial" w:hAnsi="Arial" w:cs="Arial"/>
                <w:b/>
              </w:rPr>
            </w:pPr>
            <w:r w:rsidRPr="007916DE">
              <w:rPr>
                <w:rFonts w:ascii="Arial" w:hAnsi="Arial" w:cs="Arial"/>
                <w:b/>
              </w:rPr>
              <w:t>p value</w:t>
            </w:r>
          </w:p>
        </w:tc>
      </w:tr>
      <w:tr w:rsidR="00E3493E" w:rsidRPr="007916DE" w14:paraId="121AA183" w14:textId="77777777" w:rsidTr="00755556">
        <w:tc>
          <w:tcPr>
            <w:tcW w:w="2155" w:type="dxa"/>
            <w:vAlign w:val="center"/>
          </w:tcPr>
          <w:p w14:paraId="4D6C8856" w14:textId="4D48045F" w:rsidR="00E3493E" w:rsidRPr="007916DE" w:rsidRDefault="00E3493E" w:rsidP="00755556">
            <w:pPr>
              <w:pStyle w:val="ListParagraph"/>
              <w:spacing w:line="276" w:lineRule="auto"/>
              <w:ind w:left="0"/>
              <w:rPr>
                <w:rFonts w:ascii="Arial" w:hAnsi="Arial" w:cs="Arial"/>
              </w:rPr>
            </w:pPr>
            <w:r w:rsidRPr="007916DE">
              <w:rPr>
                <w:rFonts w:ascii="Arial" w:hAnsi="Arial" w:cs="Arial"/>
              </w:rPr>
              <w:t>Iron replete</w:t>
            </w:r>
            <w:r w:rsidR="00810EAA">
              <w:rPr>
                <w:rFonts w:ascii="Arial" w:hAnsi="Arial" w:cs="Arial"/>
              </w:rPr>
              <w:t>*</w:t>
            </w:r>
          </w:p>
        </w:tc>
        <w:tc>
          <w:tcPr>
            <w:tcW w:w="1434" w:type="dxa"/>
            <w:vAlign w:val="center"/>
          </w:tcPr>
          <w:p w14:paraId="57B71904" w14:textId="77777777" w:rsidR="00E3493E" w:rsidRPr="007916DE" w:rsidRDefault="00E3493E" w:rsidP="00755556">
            <w:pPr>
              <w:pStyle w:val="ListParagraph"/>
              <w:spacing w:line="276" w:lineRule="auto"/>
              <w:ind w:left="0"/>
              <w:jc w:val="center"/>
              <w:rPr>
                <w:rFonts w:ascii="Arial" w:hAnsi="Arial" w:cs="Arial"/>
              </w:rPr>
            </w:pPr>
            <w:r w:rsidRPr="007916DE">
              <w:rPr>
                <w:rFonts w:ascii="Arial" w:hAnsi="Arial" w:cs="Arial"/>
              </w:rPr>
              <w:t>201 (81.4)</w:t>
            </w:r>
          </w:p>
        </w:tc>
        <w:tc>
          <w:tcPr>
            <w:tcW w:w="1737" w:type="dxa"/>
            <w:vAlign w:val="center"/>
          </w:tcPr>
          <w:p w14:paraId="26479D20" w14:textId="77777777" w:rsidR="00E3493E" w:rsidRPr="007916DE" w:rsidRDefault="00E3493E" w:rsidP="00755556">
            <w:pPr>
              <w:pStyle w:val="ListParagraph"/>
              <w:spacing w:line="276" w:lineRule="auto"/>
              <w:ind w:left="0"/>
              <w:jc w:val="center"/>
              <w:rPr>
                <w:rFonts w:ascii="Arial" w:hAnsi="Arial" w:cs="Arial"/>
              </w:rPr>
            </w:pPr>
            <w:r w:rsidRPr="007916DE">
              <w:rPr>
                <w:rFonts w:ascii="Arial" w:hAnsi="Arial" w:cs="Arial"/>
              </w:rPr>
              <w:t>44 (17.8)</w:t>
            </w:r>
          </w:p>
        </w:tc>
        <w:tc>
          <w:tcPr>
            <w:tcW w:w="1656" w:type="dxa"/>
            <w:vAlign w:val="center"/>
          </w:tcPr>
          <w:p w14:paraId="246392F8" w14:textId="77777777" w:rsidR="00E3493E" w:rsidRPr="007916DE" w:rsidRDefault="00E3493E" w:rsidP="00755556">
            <w:pPr>
              <w:pStyle w:val="ListParagraph"/>
              <w:spacing w:line="276" w:lineRule="auto"/>
              <w:ind w:left="0"/>
              <w:jc w:val="center"/>
              <w:rPr>
                <w:rFonts w:ascii="Arial" w:hAnsi="Arial" w:cs="Arial"/>
              </w:rPr>
            </w:pPr>
            <w:r w:rsidRPr="007916DE">
              <w:rPr>
                <w:rFonts w:ascii="Arial" w:hAnsi="Arial" w:cs="Arial"/>
              </w:rPr>
              <w:t>2 (0.9)</w:t>
            </w:r>
          </w:p>
        </w:tc>
        <w:tc>
          <w:tcPr>
            <w:tcW w:w="704" w:type="dxa"/>
            <w:vMerge w:val="restart"/>
            <w:vAlign w:val="center"/>
          </w:tcPr>
          <w:p w14:paraId="1B09EC5E" w14:textId="77777777" w:rsidR="00E3493E" w:rsidRPr="007916DE" w:rsidRDefault="00E3493E" w:rsidP="00755556">
            <w:pPr>
              <w:pStyle w:val="ListParagraph"/>
              <w:spacing w:line="276" w:lineRule="auto"/>
              <w:ind w:left="0"/>
              <w:jc w:val="center"/>
              <w:rPr>
                <w:rFonts w:ascii="Arial" w:hAnsi="Arial" w:cs="Arial"/>
              </w:rPr>
            </w:pPr>
            <w:r w:rsidRPr="007916DE">
              <w:rPr>
                <w:rFonts w:ascii="Arial" w:hAnsi="Arial" w:cs="Arial"/>
              </w:rPr>
              <w:t>3.87</w:t>
            </w:r>
          </w:p>
        </w:tc>
        <w:tc>
          <w:tcPr>
            <w:tcW w:w="961" w:type="dxa"/>
            <w:vMerge w:val="restart"/>
            <w:vAlign w:val="center"/>
          </w:tcPr>
          <w:p w14:paraId="66BD956F" w14:textId="5BD8B368" w:rsidR="00E3493E" w:rsidRPr="007916DE" w:rsidRDefault="00E3493E" w:rsidP="00755556">
            <w:pPr>
              <w:pStyle w:val="ListParagraph"/>
              <w:spacing w:line="276" w:lineRule="auto"/>
              <w:ind w:left="0"/>
              <w:jc w:val="center"/>
              <w:rPr>
                <w:rFonts w:ascii="Arial" w:hAnsi="Arial" w:cs="Arial"/>
                <w:b/>
              </w:rPr>
            </w:pPr>
            <w:r w:rsidRPr="007916DE">
              <w:rPr>
                <w:rFonts w:ascii="Arial" w:hAnsi="Arial" w:cs="Arial"/>
                <w:b/>
              </w:rPr>
              <w:t>0.04</w:t>
            </w:r>
            <w:r w:rsidR="000C33C0">
              <w:rPr>
                <w:rFonts w:ascii="Arial" w:hAnsi="Arial" w:cs="Arial"/>
                <w:b/>
              </w:rPr>
              <w:t>1</w:t>
            </w:r>
          </w:p>
        </w:tc>
      </w:tr>
      <w:tr w:rsidR="00E3493E" w:rsidRPr="007916DE" w14:paraId="5D2C3564" w14:textId="77777777" w:rsidTr="00755556">
        <w:tc>
          <w:tcPr>
            <w:tcW w:w="2155" w:type="dxa"/>
            <w:vAlign w:val="center"/>
          </w:tcPr>
          <w:p w14:paraId="22B2DE6E" w14:textId="77777777" w:rsidR="00E3493E" w:rsidRPr="007916DE" w:rsidRDefault="00E3493E" w:rsidP="00755556">
            <w:pPr>
              <w:pStyle w:val="ListParagraph"/>
              <w:spacing w:line="276" w:lineRule="auto"/>
              <w:ind w:left="0"/>
              <w:rPr>
                <w:rFonts w:ascii="Arial" w:hAnsi="Arial" w:cs="Arial"/>
              </w:rPr>
            </w:pPr>
            <w:r w:rsidRPr="007916DE">
              <w:rPr>
                <w:rFonts w:ascii="Arial" w:hAnsi="Arial" w:cs="Arial"/>
              </w:rPr>
              <w:t>Low iron stores (serum ferritin &lt;15ng/ml)</w:t>
            </w:r>
          </w:p>
        </w:tc>
        <w:tc>
          <w:tcPr>
            <w:tcW w:w="1434" w:type="dxa"/>
            <w:vAlign w:val="center"/>
          </w:tcPr>
          <w:p w14:paraId="430BF282" w14:textId="365BE5FB" w:rsidR="00E3493E" w:rsidRPr="007916DE" w:rsidRDefault="00E3493E" w:rsidP="00755556">
            <w:pPr>
              <w:pStyle w:val="ListParagraph"/>
              <w:spacing w:line="276" w:lineRule="auto"/>
              <w:ind w:left="0"/>
              <w:jc w:val="center"/>
              <w:rPr>
                <w:rFonts w:ascii="Arial" w:hAnsi="Arial" w:cs="Arial"/>
              </w:rPr>
            </w:pPr>
            <w:r w:rsidRPr="007916DE">
              <w:rPr>
                <w:rFonts w:ascii="Arial" w:hAnsi="Arial" w:cs="Arial"/>
              </w:rPr>
              <w:t>260 (87.</w:t>
            </w:r>
            <w:r w:rsidR="000C33C0">
              <w:rPr>
                <w:rFonts w:ascii="Arial" w:hAnsi="Arial" w:cs="Arial"/>
              </w:rPr>
              <w:t>8</w:t>
            </w:r>
            <w:r w:rsidRPr="007916DE">
              <w:rPr>
                <w:rFonts w:ascii="Arial" w:hAnsi="Arial" w:cs="Arial"/>
              </w:rPr>
              <w:t>)</w:t>
            </w:r>
          </w:p>
        </w:tc>
        <w:tc>
          <w:tcPr>
            <w:tcW w:w="1737" w:type="dxa"/>
            <w:vAlign w:val="center"/>
          </w:tcPr>
          <w:p w14:paraId="3C63492E" w14:textId="57650C78" w:rsidR="00E3493E" w:rsidRPr="007916DE" w:rsidRDefault="00E3493E" w:rsidP="00755556">
            <w:pPr>
              <w:pStyle w:val="ListParagraph"/>
              <w:spacing w:line="276" w:lineRule="auto"/>
              <w:ind w:left="0"/>
              <w:jc w:val="center"/>
              <w:rPr>
                <w:rFonts w:ascii="Arial" w:hAnsi="Arial" w:cs="Arial"/>
              </w:rPr>
            </w:pPr>
            <w:r w:rsidRPr="007916DE">
              <w:rPr>
                <w:rFonts w:ascii="Arial" w:hAnsi="Arial" w:cs="Arial"/>
              </w:rPr>
              <w:t>3</w:t>
            </w:r>
            <w:r w:rsidR="000C33C0">
              <w:rPr>
                <w:rFonts w:ascii="Arial" w:hAnsi="Arial" w:cs="Arial"/>
              </w:rPr>
              <w:t>6</w:t>
            </w:r>
            <w:r w:rsidRPr="007916DE">
              <w:rPr>
                <w:rFonts w:ascii="Arial" w:hAnsi="Arial" w:cs="Arial"/>
              </w:rPr>
              <w:t xml:space="preserve"> (12.</w:t>
            </w:r>
            <w:r w:rsidR="000C33C0">
              <w:rPr>
                <w:rFonts w:ascii="Arial" w:hAnsi="Arial" w:cs="Arial"/>
              </w:rPr>
              <w:t>2</w:t>
            </w:r>
            <w:r w:rsidRPr="007916DE">
              <w:rPr>
                <w:rFonts w:ascii="Arial" w:hAnsi="Arial" w:cs="Arial"/>
              </w:rPr>
              <w:t>%)</w:t>
            </w:r>
          </w:p>
        </w:tc>
        <w:tc>
          <w:tcPr>
            <w:tcW w:w="1656" w:type="dxa"/>
            <w:vAlign w:val="center"/>
          </w:tcPr>
          <w:p w14:paraId="47FB4F63" w14:textId="77777777" w:rsidR="00E3493E" w:rsidRPr="007916DE" w:rsidRDefault="00E3493E" w:rsidP="00755556">
            <w:pPr>
              <w:pStyle w:val="ListParagraph"/>
              <w:spacing w:line="276" w:lineRule="auto"/>
              <w:ind w:left="0"/>
              <w:jc w:val="center"/>
              <w:rPr>
                <w:rFonts w:ascii="Arial" w:hAnsi="Arial" w:cs="Arial"/>
              </w:rPr>
            </w:pPr>
            <w:r w:rsidRPr="007916DE">
              <w:rPr>
                <w:rFonts w:ascii="Arial" w:hAnsi="Arial" w:cs="Arial"/>
              </w:rPr>
              <w:t>0 (0.0)</w:t>
            </w:r>
          </w:p>
        </w:tc>
        <w:tc>
          <w:tcPr>
            <w:tcW w:w="704" w:type="dxa"/>
            <w:vMerge/>
          </w:tcPr>
          <w:p w14:paraId="0F217577" w14:textId="77777777" w:rsidR="00E3493E" w:rsidRPr="007916DE" w:rsidRDefault="00E3493E" w:rsidP="00755556">
            <w:pPr>
              <w:pStyle w:val="ListParagraph"/>
              <w:spacing w:line="276" w:lineRule="auto"/>
              <w:ind w:left="0"/>
              <w:jc w:val="center"/>
              <w:rPr>
                <w:rFonts w:ascii="Arial" w:hAnsi="Arial" w:cs="Arial"/>
              </w:rPr>
            </w:pPr>
          </w:p>
        </w:tc>
        <w:tc>
          <w:tcPr>
            <w:tcW w:w="961" w:type="dxa"/>
            <w:vMerge/>
          </w:tcPr>
          <w:p w14:paraId="11A40A4F" w14:textId="77777777" w:rsidR="00E3493E" w:rsidRPr="007916DE" w:rsidRDefault="00E3493E" w:rsidP="00755556">
            <w:pPr>
              <w:pStyle w:val="ListParagraph"/>
              <w:spacing w:line="276" w:lineRule="auto"/>
              <w:ind w:left="0"/>
              <w:jc w:val="center"/>
              <w:rPr>
                <w:rFonts w:ascii="Arial" w:hAnsi="Arial" w:cs="Arial"/>
              </w:rPr>
            </w:pPr>
          </w:p>
        </w:tc>
      </w:tr>
    </w:tbl>
    <w:p w14:paraId="04091C1E" w14:textId="77777777" w:rsidR="00E3493E" w:rsidRPr="007916DE" w:rsidRDefault="00E3493E" w:rsidP="00755556">
      <w:pPr>
        <w:pStyle w:val="ListParagraph"/>
        <w:spacing w:line="276" w:lineRule="auto"/>
        <w:rPr>
          <w:rFonts w:ascii="Arial" w:hAnsi="Arial" w:cs="Arial"/>
        </w:rPr>
      </w:pPr>
    </w:p>
    <w:p w14:paraId="5EDC9837" w14:textId="77777777" w:rsidR="00810EAA" w:rsidRDefault="00810EAA" w:rsidP="00810EAA">
      <w:pPr>
        <w:spacing w:before="240" w:line="480" w:lineRule="auto"/>
        <w:jc w:val="both"/>
        <w:rPr>
          <w:rFonts w:cs="Arial"/>
        </w:rPr>
      </w:pPr>
      <w:r>
        <w:rPr>
          <w:rFonts w:cs="Arial"/>
          <w:lang w:val="en-GB"/>
        </w:rPr>
        <w:t>* Red cell indices and iron biomarkers all within the normal range.</w:t>
      </w:r>
    </w:p>
    <w:p w14:paraId="36FFEA22" w14:textId="55A8A533" w:rsidR="00647949" w:rsidRDefault="00647949" w:rsidP="00C24BD0">
      <w:pPr>
        <w:spacing w:before="240" w:line="360" w:lineRule="auto"/>
        <w:jc w:val="both"/>
        <w:rPr>
          <w:rFonts w:cs="Arial"/>
        </w:rPr>
      </w:pPr>
    </w:p>
    <w:p w14:paraId="46924A06" w14:textId="77777777" w:rsidR="000E3315" w:rsidRDefault="000E3315" w:rsidP="001B45F1">
      <w:pPr>
        <w:spacing w:before="240" w:line="480" w:lineRule="auto"/>
        <w:jc w:val="both"/>
        <w:rPr>
          <w:rFonts w:cs="Arial"/>
        </w:rPr>
      </w:pPr>
    </w:p>
    <w:p w14:paraId="752EA8C2" w14:textId="77777777" w:rsidR="000E3315" w:rsidRDefault="000E3315" w:rsidP="001B45F1">
      <w:pPr>
        <w:spacing w:before="240" w:line="480" w:lineRule="auto"/>
        <w:jc w:val="both"/>
        <w:rPr>
          <w:rFonts w:cs="Arial"/>
        </w:rPr>
      </w:pPr>
    </w:p>
    <w:p w14:paraId="1A0D1FDA" w14:textId="77777777" w:rsidR="000E3315" w:rsidRDefault="000E3315" w:rsidP="001B45F1">
      <w:pPr>
        <w:spacing w:before="240" w:line="480" w:lineRule="auto"/>
        <w:jc w:val="both"/>
        <w:rPr>
          <w:rFonts w:cs="Arial"/>
        </w:rPr>
      </w:pPr>
    </w:p>
    <w:p w14:paraId="048BADF7" w14:textId="77777777" w:rsidR="000E3315" w:rsidRPr="007916DE" w:rsidRDefault="000E3315" w:rsidP="001B45F1">
      <w:pPr>
        <w:spacing w:before="240" w:line="480" w:lineRule="auto"/>
        <w:jc w:val="both"/>
        <w:rPr>
          <w:rFonts w:cs="Arial"/>
        </w:rPr>
      </w:pPr>
    </w:p>
    <w:sectPr w:rsidR="000E3315" w:rsidRPr="007916DE" w:rsidSect="005912C5">
      <w:footerReference w:type="even" r:id="rId8"/>
      <w:footerReference w:type="default" r:id="rId9"/>
      <w:pgSz w:w="11901" w:h="16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3D9A7" w14:textId="77777777" w:rsidR="00ED473F" w:rsidRDefault="00ED473F" w:rsidP="00731654">
      <w:r>
        <w:separator/>
      </w:r>
    </w:p>
  </w:endnote>
  <w:endnote w:type="continuationSeparator" w:id="0">
    <w:p w14:paraId="7AF7DE6B" w14:textId="77777777" w:rsidR="00ED473F" w:rsidRDefault="00ED473F" w:rsidP="00731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FBBAA" w14:textId="77777777" w:rsidR="00ED473F" w:rsidRDefault="00ED473F" w:rsidP="007316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18F79A" w14:textId="77777777" w:rsidR="00ED473F" w:rsidRDefault="00ED473F" w:rsidP="007316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2829F" w14:textId="77777777" w:rsidR="00ED473F" w:rsidRDefault="00ED473F" w:rsidP="007316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7854">
      <w:rPr>
        <w:rStyle w:val="PageNumber"/>
        <w:noProof/>
      </w:rPr>
      <w:t>4</w:t>
    </w:r>
    <w:r>
      <w:rPr>
        <w:rStyle w:val="PageNumber"/>
      </w:rPr>
      <w:fldChar w:fldCharType="end"/>
    </w:r>
  </w:p>
  <w:p w14:paraId="6C53B423" w14:textId="77777777" w:rsidR="00ED473F" w:rsidRDefault="00ED473F" w:rsidP="0073165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5BA66" w14:textId="77777777" w:rsidR="00ED473F" w:rsidRDefault="00ED473F" w:rsidP="00731654">
      <w:r>
        <w:separator/>
      </w:r>
    </w:p>
  </w:footnote>
  <w:footnote w:type="continuationSeparator" w:id="0">
    <w:p w14:paraId="5494B838" w14:textId="77777777" w:rsidR="00ED473F" w:rsidRDefault="00ED473F" w:rsidP="00731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D57C2"/>
    <w:multiLevelType w:val="multilevel"/>
    <w:tmpl w:val="D1A44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D655C"/>
    <w:multiLevelType w:val="hybridMultilevel"/>
    <w:tmpl w:val="015445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9138D"/>
    <w:multiLevelType w:val="multilevel"/>
    <w:tmpl w:val="424E00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CF4AD1"/>
    <w:multiLevelType w:val="hybridMultilevel"/>
    <w:tmpl w:val="E8BC07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80226"/>
    <w:multiLevelType w:val="hybridMultilevel"/>
    <w:tmpl w:val="8AE2A2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EC5569"/>
    <w:multiLevelType w:val="multilevel"/>
    <w:tmpl w:val="B43C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FB730C"/>
    <w:multiLevelType w:val="hybridMultilevel"/>
    <w:tmpl w:val="40FA41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996A9A"/>
    <w:multiLevelType w:val="hybridMultilevel"/>
    <w:tmpl w:val="BEBE3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DC6EEB"/>
    <w:multiLevelType w:val="hybridMultilevel"/>
    <w:tmpl w:val="015445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6"/>
  </w:num>
  <w:num w:numId="5">
    <w:abstractNumId w:val="7"/>
  </w:num>
  <w:num w:numId="6">
    <w:abstractNumId w:val="3"/>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49"/>
    <w:rsid w:val="00014258"/>
    <w:rsid w:val="00041A18"/>
    <w:rsid w:val="00055CC6"/>
    <w:rsid w:val="0006086F"/>
    <w:rsid w:val="00071668"/>
    <w:rsid w:val="00087854"/>
    <w:rsid w:val="000A325B"/>
    <w:rsid w:val="000B0D87"/>
    <w:rsid w:val="000B733F"/>
    <w:rsid w:val="000C33C0"/>
    <w:rsid w:val="000C49A6"/>
    <w:rsid w:val="000C67C7"/>
    <w:rsid w:val="000C7630"/>
    <w:rsid w:val="000D6B27"/>
    <w:rsid w:val="000E3315"/>
    <w:rsid w:val="000F2E29"/>
    <w:rsid w:val="000F6276"/>
    <w:rsid w:val="0010118E"/>
    <w:rsid w:val="00101E3A"/>
    <w:rsid w:val="001136B1"/>
    <w:rsid w:val="001149A8"/>
    <w:rsid w:val="00121EA8"/>
    <w:rsid w:val="00123159"/>
    <w:rsid w:val="001244DD"/>
    <w:rsid w:val="001359AE"/>
    <w:rsid w:val="00135E70"/>
    <w:rsid w:val="00140309"/>
    <w:rsid w:val="00143DB3"/>
    <w:rsid w:val="0015526F"/>
    <w:rsid w:val="001638AA"/>
    <w:rsid w:val="0017215C"/>
    <w:rsid w:val="00191194"/>
    <w:rsid w:val="001B45F1"/>
    <w:rsid w:val="001D1D70"/>
    <w:rsid w:val="001D2667"/>
    <w:rsid w:val="001D2AD3"/>
    <w:rsid w:val="001D399C"/>
    <w:rsid w:val="001E600F"/>
    <w:rsid w:val="001F0FED"/>
    <w:rsid w:val="00226E1C"/>
    <w:rsid w:val="00240D97"/>
    <w:rsid w:val="00254658"/>
    <w:rsid w:val="00276885"/>
    <w:rsid w:val="00276FF3"/>
    <w:rsid w:val="002829A6"/>
    <w:rsid w:val="00282A5C"/>
    <w:rsid w:val="00282D6D"/>
    <w:rsid w:val="00286882"/>
    <w:rsid w:val="00292DB3"/>
    <w:rsid w:val="002962DF"/>
    <w:rsid w:val="002B0B55"/>
    <w:rsid w:val="002B5261"/>
    <w:rsid w:val="002C0C9A"/>
    <w:rsid w:val="002D6080"/>
    <w:rsid w:val="002E1AFE"/>
    <w:rsid w:val="00300DFF"/>
    <w:rsid w:val="003242CE"/>
    <w:rsid w:val="003465E4"/>
    <w:rsid w:val="0035118F"/>
    <w:rsid w:val="003609B3"/>
    <w:rsid w:val="00362C54"/>
    <w:rsid w:val="003B077B"/>
    <w:rsid w:val="003C2CDD"/>
    <w:rsid w:val="003C649E"/>
    <w:rsid w:val="003E7D64"/>
    <w:rsid w:val="003F22D3"/>
    <w:rsid w:val="0040279D"/>
    <w:rsid w:val="00406FC4"/>
    <w:rsid w:val="00423327"/>
    <w:rsid w:val="00426D24"/>
    <w:rsid w:val="0044176F"/>
    <w:rsid w:val="00465A53"/>
    <w:rsid w:val="00466BFD"/>
    <w:rsid w:val="00475CEA"/>
    <w:rsid w:val="004A0514"/>
    <w:rsid w:val="004B534B"/>
    <w:rsid w:val="004B53DB"/>
    <w:rsid w:val="004B6850"/>
    <w:rsid w:val="004B74F4"/>
    <w:rsid w:val="004C4184"/>
    <w:rsid w:val="004C47DC"/>
    <w:rsid w:val="004D092B"/>
    <w:rsid w:val="004E4A8C"/>
    <w:rsid w:val="00517442"/>
    <w:rsid w:val="0052393A"/>
    <w:rsid w:val="00542CC5"/>
    <w:rsid w:val="005435D7"/>
    <w:rsid w:val="005628DE"/>
    <w:rsid w:val="00572BE3"/>
    <w:rsid w:val="0057316B"/>
    <w:rsid w:val="00573723"/>
    <w:rsid w:val="00573DE1"/>
    <w:rsid w:val="00575A17"/>
    <w:rsid w:val="00580A1E"/>
    <w:rsid w:val="005836E8"/>
    <w:rsid w:val="005912C5"/>
    <w:rsid w:val="005978B5"/>
    <w:rsid w:val="005A230A"/>
    <w:rsid w:val="005A5E77"/>
    <w:rsid w:val="005B53FC"/>
    <w:rsid w:val="005B69A7"/>
    <w:rsid w:val="005D3B1C"/>
    <w:rsid w:val="005D6948"/>
    <w:rsid w:val="005F002F"/>
    <w:rsid w:val="005F0E25"/>
    <w:rsid w:val="005F109C"/>
    <w:rsid w:val="005F145D"/>
    <w:rsid w:val="00600A66"/>
    <w:rsid w:val="006037C8"/>
    <w:rsid w:val="00605A64"/>
    <w:rsid w:val="00617052"/>
    <w:rsid w:val="0062178A"/>
    <w:rsid w:val="00622B22"/>
    <w:rsid w:val="006350B5"/>
    <w:rsid w:val="00647949"/>
    <w:rsid w:val="006543ED"/>
    <w:rsid w:val="00675D35"/>
    <w:rsid w:val="00684998"/>
    <w:rsid w:val="00692204"/>
    <w:rsid w:val="006A0CE9"/>
    <w:rsid w:val="006B08B5"/>
    <w:rsid w:val="006D2213"/>
    <w:rsid w:val="006D4C8F"/>
    <w:rsid w:val="006D5232"/>
    <w:rsid w:val="006D76B9"/>
    <w:rsid w:val="006E5DF4"/>
    <w:rsid w:val="006E65C0"/>
    <w:rsid w:val="006F4283"/>
    <w:rsid w:val="007050D2"/>
    <w:rsid w:val="00717485"/>
    <w:rsid w:val="00726B06"/>
    <w:rsid w:val="00731654"/>
    <w:rsid w:val="00742A7D"/>
    <w:rsid w:val="00755556"/>
    <w:rsid w:val="00775E8F"/>
    <w:rsid w:val="007916DE"/>
    <w:rsid w:val="00797425"/>
    <w:rsid w:val="007A2641"/>
    <w:rsid w:val="007A5515"/>
    <w:rsid w:val="007A7312"/>
    <w:rsid w:val="007B0D8E"/>
    <w:rsid w:val="007D77DC"/>
    <w:rsid w:val="007E1E53"/>
    <w:rsid w:val="007F381E"/>
    <w:rsid w:val="00800FFF"/>
    <w:rsid w:val="008036D9"/>
    <w:rsid w:val="00810EAA"/>
    <w:rsid w:val="00811385"/>
    <w:rsid w:val="00820ADC"/>
    <w:rsid w:val="0082507D"/>
    <w:rsid w:val="00827917"/>
    <w:rsid w:val="00842B62"/>
    <w:rsid w:val="00846D48"/>
    <w:rsid w:val="0085685A"/>
    <w:rsid w:val="008610A9"/>
    <w:rsid w:val="0086342E"/>
    <w:rsid w:val="00867990"/>
    <w:rsid w:val="008744D8"/>
    <w:rsid w:val="00891C2F"/>
    <w:rsid w:val="008A67B5"/>
    <w:rsid w:val="008B2842"/>
    <w:rsid w:val="008C42AB"/>
    <w:rsid w:val="008C481C"/>
    <w:rsid w:val="008D025D"/>
    <w:rsid w:val="008E1317"/>
    <w:rsid w:val="008E4B59"/>
    <w:rsid w:val="008E70A9"/>
    <w:rsid w:val="008E7970"/>
    <w:rsid w:val="008E7EFB"/>
    <w:rsid w:val="008F1D4C"/>
    <w:rsid w:val="008F702D"/>
    <w:rsid w:val="008F7B20"/>
    <w:rsid w:val="00905246"/>
    <w:rsid w:val="0090681E"/>
    <w:rsid w:val="00916C3A"/>
    <w:rsid w:val="00921D13"/>
    <w:rsid w:val="0093048C"/>
    <w:rsid w:val="00935062"/>
    <w:rsid w:val="009552D3"/>
    <w:rsid w:val="009814D8"/>
    <w:rsid w:val="0098166B"/>
    <w:rsid w:val="009839D1"/>
    <w:rsid w:val="00985CBB"/>
    <w:rsid w:val="0099331B"/>
    <w:rsid w:val="0099332B"/>
    <w:rsid w:val="009A097E"/>
    <w:rsid w:val="009A7898"/>
    <w:rsid w:val="009B356B"/>
    <w:rsid w:val="009D2123"/>
    <w:rsid w:val="009E1113"/>
    <w:rsid w:val="009E2957"/>
    <w:rsid w:val="009F0552"/>
    <w:rsid w:val="00A03C59"/>
    <w:rsid w:val="00A05C2C"/>
    <w:rsid w:val="00A2732D"/>
    <w:rsid w:val="00A34527"/>
    <w:rsid w:val="00A347FF"/>
    <w:rsid w:val="00A3763C"/>
    <w:rsid w:val="00A4201E"/>
    <w:rsid w:val="00A632E7"/>
    <w:rsid w:val="00A679CD"/>
    <w:rsid w:val="00A7321A"/>
    <w:rsid w:val="00A77884"/>
    <w:rsid w:val="00A82369"/>
    <w:rsid w:val="00A82D5D"/>
    <w:rsid w:val="00A84BD9"/>
    <w:rsid w:val="00A87580"/>
    <w:rsid w:val="00A906FD"/>
    <w:rsid w:val="00AA20A7"/>
    <w:rsid w:val="00AA2770"/>
    <w:rsid w:val="00AB08A7"/>
    <w:rsid w:val="00AB16CC"/>
    <w:rsid w:val="00AC4CD3"/>
    <w:rsid w:val="00AD0A6F"/>
    <w:rsid w:val="00AE2BFA"/>
    <w:rsid w:val="00AF3FF6"/>
    <w:rsid w:val="00AF7551"/>
    <w:rsid w:val="00B0665F"/>
    <w:rsid w:val="00B15951"/>
    <w:rsid w:val="00B2408F"/>
    <w:rsid w:val="00B278CB"/>
    <w:rsid w:val="00B311F8"/>
    <w:rsid w:val="00B46176"/>
    <w:rsid w:val="00B5725A"/>
    <w:rsid w:val="00B77532"/>
    <w:rsid w:val="00B82DCC"/>
    <w:rsid w:val="00BA7B1E"/>
    <w:rsid w:val="00BD05BE"/>
    <w:rsid w:val="00BD1116"/>
    <w:rsid w:val="00BD5ACA"/>
    <w:rsid w:val="00BF237C"/>
    <w:rsid w:val="00BF590B"/>
    <w:rsid w:val="00C0160E"/>
    <w:rsid w:val="00C2425C"/>
    <w:rsid w:val="00C248C0"/>
    <w:rsid w:val="00C24BD0"/>
    <w:rsid w:val="00C25025"/>
    <w:rsid w:val="00C326C2"/>
    <w:rsid w:val="00C326EF"/>
    <w:rsid w:val="00C44AE4"/>
    <w:rsid w:val="00C649A1"/>
    <w:rsid w:val="00C66B5A"/>
    <w:rsid w:val="00C67461"/>
    <w:rsid w:val="00C70B0C"/>
    <w:rsid w:val="00C77442"/>
    <w:rsid w:val="00C779B8"/>
    <w:rsid w:val="00C82DF4"/>
    <w:rsid w:val="00C83163"/>
    <w:rsid w:val="00C91E85"/>
    <w:rsid w:val="00CA15E3"/>
    <w:rsid w:val="00CA74D3"/>
    <w:rsid w:val="00CB47AE"/>
    <w:rsid w:val="00CB5F7E"/>
    <w:rsid w:val="00CC25D7"/>
    <w:rsid w:val="00CC4850"/>
    <w:rsid w:val="00CE7E33"/>
    <w:rsid w:val="00D13FB4"/>
    <w:rsid w:val="00D14306"/>
    <w:rsid w:val="00D2114F"/>
    <w:rsid w:val="00D2173F"/>
    <w:rsid w:val="00D26FED"/>
    <w:rsid w:val="00D31C75"/>
    <w:rsid w:val="00D32B59"/>
    <w:rsid w:val="00D4407B"/>
    <w:rsid w:val="00D45400"/>
    <w:rsid w:val="00D6223C"/>
    <w:rsid w:val="00D64F1A"/>
    <w:rsid w:val="00D67C70"/>
    <w:rsid w:val="00D96B6B"/>
    <w:rsid w:val="00DA185B"/>
    <w:rsid w:val="00DA4A74"/>
    <w:rsid w:val="00DD5BA7"/>
    <w:rsid w:val="00DE4BC6"/>
    <w:rsid w:val="00DE761F"/>
    <w:rsid w:val="00E10DA7"/>
    <w:rsid w:val="00E337C2"/>
    <w:rsid w:val="00E3493E"/>
    <w:rsid w:val="00E411D9"/>
    <w:rsid w:val="00E51755"/>
    <w:rsid w:val="00E551A7"/>
    <w:rsid w:val="00E7079A"/>
    <w:rsid w:val="00E73F64"/>
    <w:rsid w:val="00E7433A"/>
    <w:rsid w:val="00E75309"/>
    <w:rsid w:val="00E76E5C"/>
    <w:rsid w:val="00EA3D00"/>
    <w:rsid w:val="00EB15D1"/>
    <w:rsid w:val="00ED473F"/>
    <w:rsid w:val="00ED72DF"/>
    <w:rsid w:val="00EE14AA"/>
    <w:rsid w:val="00EE1945"/>
    <w:rsid w:val="00EF1CE8"/>
    <w:rsid w:val="00EF771A"/>
    <w:rsid w:val="00F10B3A"/>
    <w:rsid w:val="00F13329"/>
    <w:rsid w:val="00F21657"/>
    <w:rsid w:val="00F51091"/>
    <w:rsid w:val="00F57D72"/>
    <w:rsid w:val="00F60BE8"/>
    <w:rsid w:val="00F71B5F"/>
    <w:rsid w:val="00F71C2F"/>
    <w:rsid w:val="00F80A57"/>
    <w:rsid w:val="00F8141A"/>
    <w:rsid w:val="00F85315"/>
    <w:rsid w:val="00F937A0"/>
    <w:rsid w:val="00F95434"/>
    <w:rsid w:val="00FD3AAB"/>
    <w:rsid w:val="00FE0BBA"/>
    <w:rsid w:val="00FE0CA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B30BBC5"/>
  <w14:defaultImageDpi w14:val="300"/>
  <w15:docId w15:val="{B0601E7C-7398-46A9-89F3-A2A820B11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774E"/>
    <w:rPr>
      <w:rFonts w:ascii="Arial" w:hAnsi="Arial"/>
      <w:sz w:val="24"/>
      <w:szCs w:val="24"/>
      <w:lang w:val="en-US" w:eastAsia="en-US"/>
    </w:rPr>
  </w:style>
  <w:style w:type="paragraph" w:styleId="Heading1">
    <w:name w:val="heading 1"/>
    <w:basedOn w:val="Normal"/>
    <w:link w:val="Heading1Char"/>
    <w:uiPriority w:val="9"/>
    <w:qFormat/>
    <w:rsid w:val="00B278CB"/>
    <w:pPr>
      <w:spacing w:before="100" w:beforeAutospacing="1" w:after="100" w:afterAutospacing="1"/>
      <w:outlineLvl w:val="0"/>
    </w:pPr>
    <w:rPr>
      <w:rFonts w:ascii="Times" w:hAnsi="Times"/>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D5FD0"/>
    <w:rPr>
      <w:rFonts w:ascii="Lucida Grande" w:hAnsi="Lucida Grande"/>
      <w:sz w:val="18"/>
      <w:szCs w:val="18"/>
    </w:rPr>
  </w:style>
  <w:style w:type="paragraph" w:styleId="ListParagraph">
    <w:name w:val="List Paragraph"/>
    <w:basedOn w:val="Normal"/>
    <w:uiPriority w:val="34"/>
    <w:qFormat/>
    <w:rsid w:val="00E3493E"/>
    <w:pPr>
      <w:ind w:left="720"/>
      <w:contextualSpacing/>
    </w:pPr>
    <w:rPr>
      <w:rFonts w:asciiTheme="minorHAnsi" w:hAnsiTheme="minorHAnsi" w:cstheme="minorBidi"/>
      <w:lang w:val="en-GB"/>
    </w:rPr>
  </w:style>
  <w:style w:type="character" w:customStyle="1" w:styleId="jrnl">
    <w:name w:val="jrnl"/>
    <w:basedOn w:val="DefaultParagraphFont"/>
    <w:rsid w:val="00E3493E"/>
  </w:style>
  <w:style w:type="character" w:styleId="Hyperlink">
    <w:name w:val="Hyperlink"/>
    <w:basedOn w:val="DefaultParagraphFont"/>
    <w:uiPriority w:val="99"/>
    <w:rsid w:val="00E3493E"/>
    <w:rPr>
      <w:color w:val="0000FF"/>
      <w:u w:val="single"/>
    </w:rPr>
  </w:style>
  <w:style w:type="character" w:customStyle="1" w:styleId="highlight">
    <w:name w:val="highlight"/>
    <w:basedOn w:val="DefaultParagraphFont"/>
    <w:rsid w:val="00E3493E"/>
  </w:style>
  <w:style w:type="character" w:customStyle="1" w:styleId="jsauthors">
    <w:name w:val="js_authors"/>
    <w:basedOn w:val="DefaultParagraphFont"/>
    <w:rsid w:val="00E3493E"/>
  </w:style>
  <w:style w:type="character" w:customStyle="1" w:styleId="jspublicationdate">
    <w:name w:val="js_publication_date"/>
    <w:basedOn w:val="DefaultParagraphFont"/>
    <w:rsid w:val="00E3493E"/>
  </w:style>
  <w:style w:type="table" w:styleId="TableGrid">
    <w:name w:val="Table Grid"/>
    <w:basedOn w:val="TableNormal"/>
    <w:uiPriority w:val="59"/>
    <w:rsid w:val="00E3493E"/>
    <w:rPr>
      <w:rFonts w:ascii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itle"/>
    <w:basedOn w:val="Normal"/>
    <w:link w:val="TitleChar"/>
    <w:uiPriority w:val="10"/>
    <w:qFormat/>
    <w:rsid w:val="00D2173F"/>
    <w:pPr>
      <w:spacing w:before="100" w:beforeAutospacing="1" w:after="100" w:afterAutospacing="1"/>
    </w:pPr>
    <w:rPr>
      <w:rFonts w:ascii="Times" w:hAnsi="Times"/>
      <w:sz w:val="20"/>
      <w:szCs w:val="20"/>
      <w:lang w:val="en-GB"/>
    </w:rPr>
  </w:style>
  <w:style w:type="character" w:customStyle="1" w:styleId="TitleChar">
    <w:name w:val="Title Char"/>
    <w:aliases w:val="title Char"/>
    <w:basedOn w:val="DefaultParagraphFont"/>
    <w:link w:val="Title"/>
    <w:uiPriority w:val="10"/>
    <w:rsid w:val="00D2173F"/>
    <w:rPr>
      <w:rFonts w:ascii="Times" w:hAnsi="Times"/>
      <w:lang w:eastAsia="en-US"/>
    </w:rPr>
  </w:style>
  <w:style w:type="paragraph" w:customStyle="1" w:styleId="desc">
    <w:name w:val="desc"/>
    <w:basedOn w:val="Normal"/>
    <w:rsid w:val="00D2173F"/>
    <w:pPr>
      <w:spacing w:before="100" w:beforeAutospacing="1" w:after="100" w:afterAutospacing="1"/>
    </w:pPr>
    <w:rPr>
      <w:rFonts w:ascii="Times" w:hAnsi="Times"/>
      <w:sz w:val="20"/>
      <w:szCs w:val="20"/>
      <w:lang w:val="en-GB"/>
    </w:rPr>
  </w:style>
  <w:style w:type="paragraph" w:customStyle="1" w:styleId="details">
    <w:name w:val="details"/>
    <w:basedOn w:val="Normal"/>
    <w:rsid w:val="00D2173F"/>
    <w:pPr>
      <w:spacing w:before="100" w:beforeAutospacing="1" w:after="100" w:afterAutospacing="1"/>
    </w:pPr>
    <w:rPr>
      <w:rFonts w:ascii="Times" w:hAnsi="Times"/>
      <w:sz w:val="20"/>
      <w:szCs w:val="20"/>
      <w:lang w:val="en-GB"/>
    </w:rPr>
  </w:style>
  <w:style w:type="character" w:styleId="FollowedHyperlink">
    <w:name w:val="FollowedHyperlink"/>
    <w:basedOn w:val="DefaultParagraphFont"/>
    <w:uiPriority w:val="99"/>
    <w:semiHidden/>
    <w:unhideWhenUsed/>
    <w:rsid w:val="007A2641"/>
    <w:rPr>
      <w:color w:val="800080" w:themeColor="followedHyperlink"/>
      <w:u w:val="single"/>
    </w:rPr>
  </w:style>
  <w:style w:type="character" w:customStyle="1" w:styleId="Heading1Char">
    <w:name w:val="Heading 1 Char"/>
    <w:basedOn w:val="DefaultParagraphFont"/>
    <w:link w:val="Heading1"/>
    <w:uiPriority w:val="9"/>
    <w:rsid w:val="00B278CB"/>
    <w:rPr>
      <w:rFonts w:ascii="Times" w:hAnsi="Times"/>
      <w:b/>
      <w:bCs/>
      <w:kern w:val="36"/>
      <w:sz w:val="48"/>
      <w:szCs w:val="48"/>
      <w:lang w:eastAsia="en-US"/>
    </w:rPr>
  </w:style>
  <w:style w:type="character" w:customStyle="1" w:styleId="cit">
    <w:name w:val="cit"/>
    <w:basedOn w:val="DefaultParagraphFont"/>
    <w:rsid w:val="00B278CB"/>
  </w:style>
  <w:style w:type="character" w:customStyle="1" w:styleId="fm-citation-ids-label">
    <w:name w:val="fm-citation-ids-label"/>
    <w:basedOn w:val="DefaultParagraphFont"/>
    <w:rsid w:val="00B278CB"/>
  </w:style>
  <w:style w:type="character" w:customStyle="1" w:styleId="fm-vol-iss-date">
    <w:name w:val="fm-vol-iss-date"/>
    <w:basedOn w:val="DefaultParagraphFont"/>
    <w:rsid w:val="0006086F"/>
  </w:style>
  <w:style w:type="character" w:customStyle="1" w:styleId="doi">
    <w:name w:val="doi"/>
    <w:basedOn w:val="DefaultParagraphFont"/>
    <w:rsid w:val="0006086F"/>
  </w:style>
  <w:style w:type="character" w:styleId="Emphasis">
    <w:name w:val="Emphasis"/>
    <w:basedOn w:val="DefaultParagraphFont"/>
    <w:uiPriority w:val="20"/>
    <w:qFormat/>
    <w:rsid w:val="0006086F"/>
    <w:rPr>
      <w:i/>
      <w:iCs/>
    </w:rPr>
  </w:style>
  <w:style w:type="character" w:customStyle="1" w:styleId="reference">
    <w:name w:val="reference"/>
    <w:basedOn w:val="DefaultParagraphFont"/>
    <w:rsid w:val="006350B5"/>
  </w:style>
  <w:style w:type="character" w:customStyle="1" w:styleId="refauthors">
    <w:name w:val="refauthors"/>
    <w:basedOn w:val="DefaultParagraphFont"/>
    <w:rsid w:val="006350B5"/>
  </w:style>
  <w:style w:type="character" w:customStyle="1" w:styleId="reftitle">
    <w:name w:val="reftitle"/>
    <w:basedOn w:val="DefaultParagraphFont"/>
    <w:rsid w:val="006350B5"/>
  </w:style>
  <w:style w:type="character" w:customStyle="1" w:styleId="refseriestitle">
    <w:name w:val="refseriestitle"/>
    <w:basedOn w:val="DefaultParagraphFont"/>
    <w:rsid w:val="006350B5"/>
  </w:style>
  <w:style w:type="character" w:customStyle="1" w:styleId="refseriesdate">
    <w:name w:val="refseriesdate"/>
    <w:basedOn w:val="DefaultParagraphFont"/>
    <w:rsid w:val="006350B5"/>
  </w:style>
  <w:style w:type="character" w:customStyle="1" w:styleId="refseriesvolume">
    <w:name w:val="refseriesvolume"/>
    <w:basedOn w:val="DefaultParagraphFont"/>
    <w:rsid w:val="006350B5"/>
  </w:style>
  <w:style w:type="character" w:customStyle="1" w:styleId="refpages">
    <w:name w:val="refpages"/>
    <w:basedOn w:val="DefaultParagraphFont"/>
    <w:rsid w:val="006350B5"/>
  </w:style>
  <w:style w:type="character" w:customStyle="1" w:styleId="mixed-citation">
    <w:name w:val="mixed-citation"/>
    <w:basedOn w:val="DefaultParagraphFont"/>
    <w:rsid w:val="00B82DCC"/>
  </w:style>
  <w:style w:type="character" w:customStyle="1" w:styleId="ref-title">
    <w:name w:val="ref-title"/>
    <w:basedOn w:val="DefaultParagraphFont"/>
    <w:rsid w:val="00B82DCC"/>
  </w:style>
  <w:style w:type="character" w:customStyle="1" w:styleId="ref-journal">
    <w:name w:val="ref-journal"/>
    <w:basedOn w:val="DefaultParagraphFont"/>
    <w:rsid w:val="00B82DCC"/>
  </w:style>
  <w:style w:type="character" w:customStyle="1" w:styleId="ref-vol">
    <w:name w:val="ref-vol"/>
    <w:basedOn w:val="DefaultParagraphFont"/>
    <w:rsid w:val="00B82DCC"/>
  </w:style>
  <w:style w:type="character" w:customStyle="1" w:styleId="ref-iss">
    <w:name w:val="ref-iss"/>
    <w:basedOn w:val="DefaultParagraphFont"/>
    <w:rsid w:val="00B82DCC"/>
  </w:style>
  <w:style w:type="character" w:customStyle="1" w:styleId="nowrap">
    <w:name w:val="nowrap"/>
    <w:basedOn w:val="DefaultParagraphFont"/>
    <w:rsid w:val="00B82DCC"/>
  </w:style>
  <w:style w:type="paragraph" w:styleId="NormalWeb">
    <w:name w:val="Normal (Web)"/>
    <w:basedOn w:val="Normal"/>
    <w:uiPriority w:val="99"/>
    <w:semiHidden/>
    <w:unhideWhenUsed/>
    <w:rsid w:val="00AE2BFA"/>
    <w:pPr>
      <w:spacing w:before="100" w:beforeAutospacing="1" w:after="100" w:afterAutospacing="1"/>
    </w:pPr>
    <w:rPr>
      <w:rFonts w:ascii="Times" w:hAnsi="Times"/>
      <w:sz w:val="20"/>
      <w:szCs w:val="20"/>
      <w:lang w:val="en-GB"/>
    </w:rPr>
  </w:style>
  <w:style w:type="character" w:customStyle="1" w:styleId="a">
    <w:name w:val="_"/>
    <w:basedOn w:val="DefaultParagraphFont"/>
    <w:rsid w:val="0044176F"/>
  </w:style>
  <w:style w:type="character" w:customStyle="1" w:styleId="pg-1ff2">
    <w:name w:val="pg-1ff2"/>
    <w:basedOn w:val="DefaultParagraphFont"/>
    <w:rsid w:val="0044176F"/>
  </w:style>
  <w:style w:type="character" w:customStyle="1" w:styleId="pg-1ff1">
    <w:name w:val="pg-1ff1"/>
    <w:basedOn w:val="DefaultParagraphFont"/>
    <w:rsid w:val="0044176F"/>
  </w:style>
  <w:style w:type="character" w:customStyle="1" w:styleId="pg-1ff4">
    <w:name w:val="pg-1ff4"/>
    <w:basedOn w:val="DefaultParagraphFont"/>
    <w:rsid w:val="0044176F"/>
  </w:style>
  <w:style w:type="character" w:customStyle="1" w:styleId="pg-1ff5">
    <w:name w:val="pg-1ff5"/>
    <w:basedOn w:val="DefaultParagraphFont"/>
    <w:rsid w:val="0044176F"/>
  </w:style>
  <w:style w:type="paragraph" w:customStyle="1" w:styleId="yiv6782687314msonormal">
    <w:name w:val="yiv6782687314msonormal"/>
    <w:basedOn w:val="Normal"/>
    <w:rsid w:val="007916DE"/>
    <w:pPr>
      <w:spacing w:before="100" w:beforeAutospacing="1" w:after="100" w:afterAutospacing="1"/>
    </w:pPr>
    <w:rPr>
      <w:rFonts w:ascii="Times" w:hAnsi="Times"/>
      <w:sz w:val="20"/>
      <w:szCs w:val="20"/>
      <w:lang w:val="en-GB"/>
    </w:rPr>
  </w:style>
  <w:style w:type="paragraph" w:styleId="BodyText">
    <w:name w:val="Body Text"/>
    <w:basedOn w:val="Normal"/>
    <w:link w:val="BodyTextChar"/>
    <w:uiPriority w:val="99"/>
    <w:unhideWhenUsed/>
    <w:rsid w:val="007916DE"/>
    <w:pPr>
      <w:spacing w:after="120"/>
    </w:pPr>
  </w:style>
  <w:style w:type="character" w:customStyle="1" w:styleId="BodyTextChar">
    <w:name w:val="Body Text Char"/>
    <w:basedOn w:val="DefaultParagraphFont"/>
    <w:link w:val="BodyText"/>
    <w:uiPriority w:val="99"/>
    <w:rsid w:val="007916DE"/>
    <w:rPr>
      <w:rFonts w:ascii="Arial" w:hAnsi="Arial"/>
      <w:sz w:val="24"/>
      <w:szCs w:val="24"/>
      <w:lang w:val="en-US" w:eastAsia="en-US"/>
    </w:rPr>
  </w:style>
  <w:style w:type="character" w:styleId="CommentReference">
    <w:name w:val="annotation reference"/>
    <w:basedOn w:val="DefaultParagraphFont"/>
    <w:uiPriority w:val="99"/>
    <w:semiHidden/>
    <w:unhideWhenUsed/>
    <w:rsid w:val="00D6223C"/>
    <w:rPr>
      <w:sz w:val="16"/>
      <w:szCs w:val="16"/>
    </w:rPr>
  </w:style>
  <w:style w:type="paragraph" w:styleId="CommentText">
    <w:name w:val="annotation text"/>
    <w:basedOn w:val="Normal"/>
    <w:link w:val="CommentTextChar"/>
    <w:uiPriority w:val="99"/>
    <w:semiHidden/>
    <w:unhideWhenUsed/>
    <w:rsid w:val="00D6223C"/>
    <w:rPr>
      <w:sz w:val="20"/>
      <w:szCs w:val="20"/>
    </w:rPr>
  </w:style>
  <w:style w:type="character" w:customStyle="1" w:styleId="CommentTextChar">
    <w:name w:val="Comment Text Char"/>
    <w:basedOn w:val="DefaultParagraphFont"/>
    <w:link w:val="CommentText"/>
    <w:uiPriority w:val="99"/>
    <w:semiHidden/>
    <w:rsid w:val="00D6223C"/>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D6223C"/>
    <w:rPr>
      <w:b/>
      <w:bCs/>
    </w:rPr>
  </w:style>
  <w:style w:type="character" w:customStyle="1" w:styleId="CommentSubjectChar">
    <w:name w:val="Comment Subject Char"/>
    <w:basedOn w:val="CommentTextChar"/>
    <w:link w:val="CommentSubject"/>
    <w:uiPriority w:val="99"/>
    <w:semiHidden/>
    <w:rsid w:val="00D6223C"/>
    <w:rPr>
      <w:rFonts w:ascii="Arial" w:hAnsi="Arial"/>
      <w:b/>
      <w:bCs/>
      <w:lang w:val="en-US" w:eastAsia="en-US"/>
    </w:rPr>
  </w:style>
  <w:style w:type="paragraph" w:styleId="DocumentMap">
    <w:name w:val="Document Map"/>
    <w:basedOn w:val="Normal"/>
    <w:link w:val="DocumentMapChar"/>
    <w:uiPriority w:val="99"/>
    <w:semiHidden/>
    <w:unhideWhenUsed/>
    <w:rsid w:val="00A906FD"/>
    <w:rPr>
      <w:rFonts w:ascii="Lucida Grande" w:hAnsi="Lucida Grande" w:cs="Lucida Grande"/>
    </w:rPr>
  </w:style>
  <w:style w:type="character" w:customStyle="1" w:styleId="DocumentMapChar">
    <w:name w:val="Document Map Char"/>
    <w:basedOn w:val="DefaultParagraphFont"/>
    <w:link w:val="DocumentMap"/>
    <w:uiPriority w:val="99"/>
    <w:semiHidden/>
    <w:rsid w:val="00A906FD"/>
    <w:rPr>
      <w:rFonts w:ascii="Lucida Grande" w:hAnsi="Lucida Grande" w:cs="Lucida Grande"/>
      <w:sz w:val="24"/>
      <w:szCs w:val="24"/>
      <w:lang w:val="en-US" w:eastAsia="en-US"/>
    </w:rPr>
  </w:style>
  <w:style w:type="paragraph" w:styleId="Footer">
    <w:name w:val="footer"/>
    <w:basedOn w:val="Normal"/>
    <w:link w:val="FooterChar"/>
    <w:uiPriority w:val="99"/>
    <w:unhideWhenUsed/>
    <w:rsid w:val="00731654"/>
    <w:pPr>
      <w:tabs>
        <w:tab w:val="center" w:pos="4320"/>
        <w:tab w:val="right" w:pos="8640"/>
      </w:tabs>
    </w:pPr>
  </w:style>
  <w:style w:type="character" w:customStyle="1" w:styleId="FooterChar">
    <w:name w:val="Footer Char"/>
    <w:basedOn w:val="DefaultParagraphFont"/>
    <w:link w:val="Footer"/>
    <w:uiPriority w:val="99"/>
    <w:rsid w:val="00731654"/>
    <w:rPr>
      <w:rFonts w:ascii="Arial" w:hAnsi="Arial"/>
      <w:sz w:val="24"/>
      <w:szCs w:val="24"/>
      <w:lang w:val="en-US" w:eastAsia="en-US"/>
    </w:rPr>
  </w:style>
  <w:style w:type="character" w:styleId="PageNumber">
    <w:name w:val="page number"/>
    <w:basedOn w:val="DefaultParagraphFont"/>
    <w:uiPriority w:val="99"/>
    <w:semiHidden/>
    <w:unhideWhenUsed/>
    <w:rsid w:val="00731654"/>
  </w:style>
  <w:style w:type="paragraph" w:customStyle="1" w:styleId="yiv2463752005ydp2c536873msonormal">
    <w:name w:val="yiv2463752005ydp2c536873msonormal"/>
    <w:basedOn w:val="Normal"/>
    <w:rsid w:val="00846D48"/>
    <w:pPr>
      <w:spacing w:before="100" w:beforeAutospacing="1" w:after="100" w:afterAutospacing="1"/>
    </w:pPr>
    <w:rPr>
      <w:rFonts w:ascii="Times" w:hAnsi="Times"/>
      <w:sz w:val="20"/>
      <w:szCs w:val="20"/>
      <w:lang w:val="en-GB"/>
    </w:rPr>
  </w:style>
  <w:style w:type="paragraph" w:customStyle="1" w:styleId="ydpfdadffeamsonormal">
    <w:name w:val="ydpfdadffeamsonormal"/>
    <w:basedOn w:val="Normal"/>
    <w:rsid w:val="00C83163"/>
    <w:pPr>
      <w:spacing w:before="100" w:beforeAutospacing="1" w:after="100" w:afterAutospacing="1"/>
    </w:pPr>
    <w:rPr>
      <w:rFonts w:ascii="Times New Roman" w:eastAsia="Times New Roman" w:hAnsi="Times New Roman"/>
      <w:lang w:val="en-GB"/>
    </w:rPr>
  </w:style>
  <w:style w:type="character" w:customStyle="1" w:styleId="apple-converted-space">
    <w:name w:val="apple-converted-space"/>
    <w:basedOn w:val="DefaultParagraphFont"/>
    <w:rsid w:val="00C83163"/>
  </w:style>
  <w:style w:type="paragraph" w:customStyle="1" w:styleId="ydp4bcff3ddmsonormal">
    <w:name w:val="ydp4bcff3ddmsonormal"/>
    <w:basedOn w:val="Normal"/>
    <w:rsid w:val="00C83163"/>
    <w:pPr>
      <w:spacing w:before="100" w:beforeAutospacing="1" w:after="100" w:afterAutospacing="1"/>
    </w:pPr>
    <w:rPr>
      <w:rFonts w:ascii="Times New Roman" w:eastAsia="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95106">
      <w:bodyDiv w:val="1"/>
      <w:marLeft w:val="0"/>
      <w:marRight w:val="0"/>
      <w:marTop w:val="0"/>
      <w:marBottom w:val="0"/>
      <w:divBdr>
        <w:top w:val="none" w:sz="0" w:space="0" w:color="auto"/>
        <w:left w:val="none" w:sz="0" w:space="0" w:color="auto"/>
        <w:bottom w:val="none" w:sz="0" w:space="0" w:color="auto"/>
        <w:right w:val="none" w:sz="0" w:space="0" w:color="auto"/>
      </w:divBdr>
      <w:divsChild>
        <w:div w:id="405884743">
          <w:marLeft w:val="0"/>
          <w:marRight w:val="0"/>
          <w:marTop w:val="0"/>
          <w:marBottom w:val="0"/>
          <w:divBdr>
            <w:top w:val="none" w:sz="0" w:space="0" w:color="auto"/>
            <w:left w:val="none" w:sz="0" w:space="0" w:color="auto"/>
            <w:bottom w:val="none" w:sz="0" w:space="0" w:color="auto"/>
            <w:right w:val="none" w:sz="0" w:space="0" w:color="auto"/>
          </w:divBdr>
        </w:div>
        <w:div w:id="118033876">
          <w:marLeft w:val="0"/>
          <w:marRight w:val="0"/>
          <w:marTop w:val="0"/>
          <w:marBottom w:val="0"/>
          <w:divBdr>
            <w:top w:val="none" w:sz="0" w:space="0" w:color="auto"/>
            <w:left w:val="none" w:sz="0" w:space="0" w:color="auto"/>
            <w:bottom w:val="none" w:sz="0" w:space="0" w:color="auto"/>
            <w:right w:val="none" w:sz="0" w:space="0" w:color="auto"/>
          </w:divBdr>
        </w:div>
        <w:div w:id="2043893468">
          <w:marLeft w:val="0"/>
          <w:marRight w:val="0"/>
          <w:marTop w:val="0"/>
          <w:marBottom w:val="0"/>
          <w:divBdr>
            <w:top w:val="none" w:sz="0" w:space="0" w:color="auto"/>
            <w:left w:val="none" w:sz="0" w:space="0" w:color="auto"/>
            <w:bottom w:val="none" w:sz="0" w:space="0" w:color="auto"/>
            <w:right w:val="none" w:sz="0" w:space="0" w:color="auto"/>
          </w:divBdr>
        </w:div>
        <w:div w:id="1240554795">
          <w:marLeft w:val="0"/>
          <w:marRight w:val="0"/>
          <w:marTop w:val="0"/>
          <w:marBottom w:val="0"/>
          <w:divBdr>
            <w:top w:val="none" w:sz="0" w:space="0" w:color="auto"/>
            <w:left w:val="none" w:sz="0" w:space="0" w:color="auto"/>
            <w:bottom w:val="none" w:sz="0" w:space="0" w:color="auto"/>
            <w:right w:val="none" w:sz="0" w:space="0" w:color="auto"/>
          </w:divBdr>
        </w:div>
        <w:div w:id="1427118922">
          <w:marLeft w:val="0"/>
          <w:marRight w:val="0"/>
          <w:marTop w:val="0"/>
          <w:marBottom w:val="0"/>
          <w:divBdr>
            <w:top w:val="none" w:sz="0" w:space="0" w:color="auto"/>
            <w:left w:val="none" w:sz="0" w:space="0" w:color="auto"/>
            <w:bottom w:val="none" w:sz="0" w:space="0" w:color="auto"/>
            <w:right w:val="none" w:sz="0" w:space="0" w:color="auto"/>
          </w:divBdr>
        </w:div>
      </w:divsChild>
    </w:div>
    <w:div w:id="70398033">
      <w:bodyDiv w:val="1"/>
      <w:marLeft w:val="0"/>
      <w:marRight w:val="0"/>
      <w:marTop w:val="0"/>
      <w:marBottom w:val="0"/>
      <w:divBdr>
        <w:top w:val="none" w:sz="0" w:space="0" w:color="auto"/>
        <w:left w:val="none" w:sz="0" w:space="0" w:color="auto"/>
        <w:bottom w:val="none" w:sz="0" w:space="0" w:color="auto"/>
        <w:right w:val="none" w:sz="0" w:space="0" w:color="auto"/>
      </w:divBdr>
      <w:divsChild>
        <w:div w:id="982348388">
          <w:marLeft w:val="0"/>
          <w:marRight w:val="0"/>
          <w:marTop w:val="0"/>
          <w:marBottom w:val="0"/>
          <w:divBdr>
            <w:top w:val="none" w:sz="0" w:space="0" w:color="auto"/>
            <w:left w:val="none" w:sz="0" w:space="0" w:color="auto"/>
            <w:bottom w:val="none" w:sz="0" w:space="0" w:color="auto"/>
            <w:right w:val="none" w:sz="0" w:space="0" w:color="auto"/>
          </w:divBdr>
        </w:div>
        <w:div w:id="441076931">
          <w:marLeft w:val="0"/>
          <w:marRight w:val="0"/>
          <w:marTop w:val="0"/>
          <w:marBottom w:val="0"/>
          <w:divBdr>
            <w:top w:val="none" w:sz="0" w:space="0" w:color="auto"/>
            <w:left w:val="none" w:sz="0" w:space="0" w:color="auto"/>
            <w:bottom w:val="none" w:sz="0" w:space="0" w:color="auto"/>
            <w:right w:val="none" w:sz="0" w:space="0" w:color="auto"/>
          </w:divBdr>
        </w:div>
        <w:div w:id="2105032421">
          <w:marLeft w:val="0"/>
          <w:marRight w:val="0"/>
          <w:marTop w:val="0"/>
          <w:marBottom w:val="0"/>
          <w:divBdr>
            <w:top w:val="none" w:sz="0" w:space="0" w:color="auto"/>
            <w:left w:val="none" w:sz="0" w:space="0" w:color="auto"/>
            <w:bottom w:val="none" w:sz="0" w:space="0" w:color="auto"/>
            <w:right w:val="none" w:sz="0" w:space="0" w:color="auto"/>
          </w:divBdr>
        </w:div>
        <w:div w:id="1647933945">
          <w:marLeft w:val="0"/>
          <w:marRight w:val="0"/>
          <w:marTop w:val="0"/>
          <w:marBottom w:val="0"/>
          <w:divBdr>
            <w:top w:val="none" w:sz="0" w:space="0" w:color="auto"/>
            <w:left w:val="none" w:sz="0" w:space="0" w:color="auto"/>
            <w:bottom w:val="none" w:sz="0" w:space="0" w:color="auto"/>
            <w:right w:val="none" w:sz="0" w:space="0" w:color="auto"/>
          </w:divBdr>
        </w:div>
        <w:div w:id="1812478059">
          <w:marLeft w:val="0"/>
          <w:marRight w:val="0"/>
          <w:marTop w:val="0"/>
          <w:marBottom w:val="0"/>
          <w:divBdr>
            <w:top w:val="none" w:sz="0" w:space="0" w:color="auto"/>
            <w:left w:val="none" w:sz="0" w:space="0" w:color="auto"/>
            <w:bottom w:val="none" w:sz="0" w:space="0" w:color="auto"/>
            <w:right w:val="none" w:sz="0" w:space="0" w:color="auto"/>
          </w:divBdr>
        </w:div>
        <w:div w:id="1813019082">
          <w:marLeft w:val="0"/>
          <w:marRight w:val="0"/>
          <w:marTop w:val="0"/>
          <w:marBottom w:val="0"/>
          <w:divBdr>
            <w:top w:val="none" w:sz="0" w:space="0" w:color="auto"/>
            <w:left w:val="none" w:sz="0" w:space="0" w:color="auto"/>
            <w:bottom w:val="none" w:sz="0" w:space="0" w:color="auto"/>
            <w:right w:val="none" w:sz="0" w:space="0" w:color="auto"/>
          </w:divBdr>
        </w:div>
        <w:div w:id="1538008227">
          <w:marLeft w:val="0"/>
          <w:marRight w:val="0"/>
          <w:marTop w:val="0"/>
          <w:marBottom w:val="0"/>
          <w:divBdr>
            <w:top w:val="none" w:sz="0" w:space="0" w:color="auto"/>
            <w:left w:val="none" w:sz="0" w:space="0" w:color="auto"/>
            <w:bottom w:val="none" w:sz="0" w:space="0" w:color="auto"/>
            <w:right w:val="none" w:sz="0" w:space="0" w:color="auto"/>
          </w:divBdr>
        </w:div>
        <w:div w:id="58866859">
          <w:marLeft w:val="0"/>
          <w:marRight w:val="0"/>
          <w:marTop w:val="0"/>
          <w:marBottom w:val="0"/>
          <w:divBdr>
            <w:top w:val="none" w:sz="0" w:space="0" w:color="auto"/>
            <w:left w:val="none" w:sz="0" w:space="0" w:color="auto"/>
            <w:bottom w:val="none" w:sz="0" w:space="0" w:color="auto"/>
            <w:right w:val="none" w:sz="0" w:space="0" w:color="auto"/>
          </w:divBdr>
        </w:div>
        <w:div w:id="58402011">
          <w:marLeft w:val="0"/>
          <w:marRight w:val="0"/>
          <w:marTop w:val="0"/>
          <w:marBottom w:val="0"/>
          <w:divBdr>
            <w:top w:val="none" w:sz="0" w:space="0" w:color="auto"/>
            <w:left w:val="none" w:sz="0" w:space="0" w:color="auto"/>
            <w:bottom w:val="none" w:sz="0" w:space="0" w:color="auto"/>
            <w:right w:val="none" w:sz="0" w:space="0" w:color="auto"/>
          </w:divBdr>
        </w:div>
        <w:div w:id="2072728794">
          <w:marLeft w:val="0"/>
          <w:marRight w:val="0"/>
          <w:marTop w:val="0"/>
          <w:marBottom w:val="0"/>
          <w:divBdr>
            <w:top w:val="none" w:sz="0" w:space="0" w:color="auto"/>
            <w:left w:val="none" w:sz="0" w:space="0" w:color="auto"/>
            <w:bottom w:val="none" w:sz="0" w:space="0" w:color="auto"/>
            <w:right w:val="none" w:sz="0" w:space="0" w:color="auto"/>
          </w:divBdr>
        </w:div>
        <w:div w:id="1188062162">
          <w:marLeft w:val="0"/>
          <w:marRight w:val="0"/>
          <w:marTop w:val="0"/>
          <w:marBottom w:val="0"/>
          <w:divBdr>
            <w:top w:val="none" w:sz="0" w:space="0" w:color="auto"/>
            <w:left w:val="none" w:sz="0" w:space="0" w:color="auto"/>
            <w:bottom w:val="none" w:sz="0" w:space="0" w:color="auto"/>
            <w:right w:val="none" w:sz="0" w:space="0" w:color="auto"/>
          </w:divBdr>
        </w:div>
        <w:div w:id="423692062">
          <w:marLeft w:val="0"/>
          <w:marRight w:val="0"/>
          <w:marTop w:val="0"/>
          <w:marBottom w:val="0"/>
          <w:divBdr>
            <w:top w:val="none" w:sz="0" w:space="0" w:color="auto"/>
            <w:left w:val="none" w:sz="0" w:space="0" w:color="auto"/>
            <w:bottom w:val="none" w:sz="0" w:space="0" w:color="auto"/>
            <w:right w:val="none" w:sz="0" w:space="0" w:color="auto"/>
          </w:divBdr>
        </w:div>
        <w:div w:id="52048230">
          <w:marLeft w:val="0"/>
          <w:marRight w:val="0"/>
          <w:marTop w:val="0"/>
          <w:marBottom w:val="0"/>
          <w:divBdr>
            <w:top w:val="none" w:sz="0" w:space="0" w:color="auto"/>
            <w:left w:val="none" w:sz="0" w:space="0" w:color="auto"/>
            <w:bottom w:val="none" w:sz="0" w:space="0" w:color="auto"/>
            <w:right w:val="none" w:sz="0" w:space="0" w:color="auto"/>
          </w:divBdr>
        </w:div>
        <w:div w:id="467935993">
          <w:marLeft w:val="0"/>
          <w:marRight w:val="0"/>
          <w:marTop w:val="0"/>
          <w:marBottom w:val="0"/>
          <w:divBdr>
            <w:top w:val="none" w:sz="0" w:space="0" w:color="auto"/>
            <w:left w:val="none" w:sz="0" w:space="0" w:color="auto"/>
            <w:bottom w:val="none" w:sz="0" w:space="0" w:color="auto"/>
            <w:right w:val="none" w:sz="0" w:space="0" w:color="auto"/>
          </w:divBdr>
        </w:div>
        <w:div w:id="1133475189">
          <w:marLeft w:val="0"/>
          <w:marRight w:val="0"/>
          <w:marTop w:val="0"/>
          <w:marBottom w:val="0"/>
          <w:divBdr>
            <w:top w:val="none" w:sz="0" w:space="0" w:color="auto"/>
            <w:left w:val="none" w:sz="0" w:space="0" w:color="auto"/>
            <w:bottom w:val="none" w:sz="0" w:space="0" w:color="auto"/>
            <w:right w:val="none" w:sz="0" w:space="0" w:color="auto"/>
          </w:divBdr>
        </w:div>
        <w:div w:id="1124276464">
          <w:marLeft w:val="0"/>
          <w:marRight w:val="0"/>
          <w:marTop w:val="0"/>
          <w:marBottom w:val="0"/>
          <w:divBdr>
            <w:top w:val="none" w:sz="0" w:space="0" w:color="auto"/>
            <w:left w:val="none" w:sz="0" w:space="0" w:color="auto"/>
            <w:bottom w:val="none" w:sz="0" w:space="0" w:color="auto"/>
            <w:right w:val="none" w:sz="0" w:space="0" w:color="auto"/>
          </w:divBdr>
        </w:div>
        <w:div w:id="809590545">
          <w:marLeft w:val="0"/>
          <w:marRight w:val="0"/>
          <w:marTop w:val="0"/>
          <w:marBottom w:val="0"/>
          <w:divBdr>
            <w:top w:val="none" w:sz="0" w:space="0" w:color="auto"/>
            <w:left w:val="none" w:sz="0" w:space="0" w:color="auto"/>
            <w:bottom w:val="none" w:sz="0" w:space="0" w:color="auto"/>
            <w:right w:val="none" w:sz="0" w:space="0" w:color="auto"/>
          </w:divBdr>
        </w:div>
        <w:div w:id="741104836">
          <w:marLeft w:val="0"/>
          <w:marRight w:val="0"/>
          <w:marTop w:val="0"/>
          <w:marBottom w:val="0"/>
          <w:divBdr>
            <w:top w:val="none" w:sz="0" w:space="0" w:color="auto"/>
            <w:left w:val="none" w:sz="0" w:space="0" w:color="auto"/>
            <w:bottom w:val="none" w:sz="0" w:space="0" w:color="auto"/>
            <w:right w:val="none" w:sz="0" w:space="0" w:color="auto"/>
          </w:divBdr>
        </w:div>
        <w:div w:id="1641306587">
          <w:marLeft w:val="0"/>
          <w:marRight w:val="0"/>
          <w:marTop w:val="0"/>
          <w:marBottom w:val="0"/>
          <w:divBdr>
            <w:top w:val="none" w:sz="0" w:space="0" w:color="auto"/>
            <w:left w:val="none" w:sz="0" w:space="0" w:color="auto"/>
            <w:bottom w:val="none" w:sz="0" w:space="0" w:color="auto"/>
            <w:right w:val="none" w:sz="0" w:space="0" w:color="auto"/>
          </w:divBdr>
        </w:div>
        <w:div w:id="1136490406">
          <w:marLeft w:val="0"/>
          <w:marRight w:val="0"/>
          <w:marTop w:val="0"/>
          <w:marBottom w:val="0"/>
          <w:divBdr>
            <w:top w:val="none" w:sz="0" w:space="0" w:color="auto"/>
            <w:left w:val="none" w:sz="0" w:space="0" w:color="auto"/>
            <w:bottom w:val="none" w:sz="0" w:space="0" w:color="auto"/>
            <w:right w:val="none" w:sz="0" w:space="0" w:color="auto"/>
          </w:divBdr>
        </w:div>
        <w:div w:id="930357707">
          <w:marLeft w:val="0"/>
          <w:marRight w:val="0"/>
          <w:marTop w:val="0"/>
          <w:marBottom w:val="0"/>
          <w:divBdr>
            <w:top w:val="none" w:sz="0" w:space="0" w:color="auto"/>
            <w:left w:val="none" w:sz="0" w:space="0" w:color="auto"/>
            <w:bottom w:val="none" w:sz="0" w:space="0" w:color="auto"/>
            <w:right w:val="none" w:sz="0" w:space="0" w:color="auto"/>
          </w:divBdr>
        </w:div>
        <w:div w:id="2122406990">
          <w:marLeft w:val="0"/>
          <w:marRight w:val="0"/>
          <w:marTop w:val="0"/>
          <w:marBottom w:val="0"/>
          <w:divBdr>
            <w:top w:val="none" w:sz="0" w:space="0" w:color="auto"/>
            <w:left w:val="none" w:sz="0" w:space="0" w:color="auto"/>
            <w:bottom w:val="none" w:sz="0" w:space="0" w:color="auto"/>
            <w:right w:val="none" w:sz="0" w:space="0" w:color="auto"/>
          </w:divBdr>
        </w:div>
        <w:div w:id="1079982388">
          <w:marLeft w:val="0"/>
          <w:marRight w:val="0"/>
          <w:marTop w:val="0"/>
          <w:marBottom w:val="0"/>
          <w:divBdr>
            <w:top w:val="none" w:sz="0" w:space="0" w:color="auto"/>
            <w:left w:val="none" w:sz="0" w:space="0" w:color="auto"/>
            <w:bottom w:val="none" w:sz="0" w:space="0" w:color="auto"/>
            <w:right w:val="none" w:sz="0" w:space="0" w:color="auto"/>
          </w:divBdr>
        </w:div>
        <w:div w:id="168914596">
          <w:marLeft w:val="0"/>
          <w:marRight w:val="0"/>
          <w:marTop w:val="0"/>
          <w:marBottom w:val="0"/>
          <w:divBdr>
            <w:top w:val="none" w:sz="0" w:space="0" w:color="auto"/>
            <w:left w:val="none" w:sz="0" w:space="0" w:color="auto"/>
            <w:bottom w:val="none" w:sz="0" w:space="0" w:color="auto"/>
            <w:right w:val="none" w:sz="0" w:space="0" w:color="auto"/>
          </w:divBdr>
        </w:div>
        <w:div w:id="762074005">
          <w:marLeft w:val="0"/>
          <w:marRight w:val="0"/>
          <w:marTop w:val="0"/>
          <w:marBottom w:val="0"/>
          <w:divBdr>
            <w:top w:val="none" w:sz="0" w:space="0" w:color="auto"/>
            <w:left w:val="none" w:sz="0" w:space="0" w:color="auto"/>
            <w:bottom w:val="none" w:sz="0" w:space="0" w:color="auto"/>
            <w:right w:val="none" w:sz="0" w:space="0" w:color="auto"/>
          </w:divBdr>
        </w:div>
        <w:div w:id="355888776">
          <w:marLeft w:val="0"/>
          <w:marRight w:val="0"/>
          <w:marTop w:val="0"/>
          <w:marBottom w:val="0"/>
          <w:divBdr>
            <w:top w:val="none" w:sz="0" w:space="0" w:color="auto"/>
            <w:left w:val="none" w:sz="0" w:space="0" w:color="auto"/>
            <w:bottom w:val="none" w:sz="0" w:space="0" w:color="auto"/>
            <w:right w:val="none" w:sz="0" w:space="0" w:color="auto"/>
          </w:divBdr>
        </w:div>
        <w:div w:id="2130080607">
          <w:marLeft w:val="0"/>
          <w:marRight w:val="0"/>
          <w:marTop w:val="0"/>
          <w:marBottom w:val="0"/>
          <w:divBdr>
            <w:top w:val="none" w:sz="0" w:space="0" w:color="auto"/>
            <w:left w:val="none" w:sz="0" w:space="0" w:color="auto"/>
            <w:bottom w:val="none" w:sz="0" w:space="0" w:color="auto"/>
            <w:right w:val="none" w:sz="0" w:space="0" w:color="auto"/>
          </w:divBdr>
        </w:div>
        <w:div w:id="477380814">
          <w:marLeft w:val="0"/>
          <w:marRight w:val="0"/>
          <w:marTop w:val="0"/>
          <w:marBottom w:val="0"/>
          <w:divBdr>
            <w:top w:val="none" w:sz="0" w:space="0" w:color="auto"/>
            <w:left w:val="none" w:sz="0" w:space="0" w:color="auto"/>
            <w:bottom w:val="none" w:sz="0" w:space="0" w:color="auto"/>
            <w:right w:val="none" w:sz="0" w:space="0" w:color="auto"/>
          </w:divBdr>
        </w:div>
        <w:div w:id="706182333">
          <w:marLeft w:val="0"/>
          <w:marRight w:val="0"/>
          <w:marTop w:val="0"/>
          <w:marBottom w:val="0"/>
          <w:divBdr>
            <w:top w:val="none" w:sz="0" w:space="0" w:color="auto"/>
            <w:left w:val="none" w:sz="0" w:space="0" w:color="auto"/>
            <w:bottom w:val="none" w:sz="0" w:space="0" w:color="auto"/>
            <w:right w:val="none" w:sz="0" w:space="0" w:color="auto"/>
          </w:divBdr>
        </w:div>
        <w:div w:id="295646021">
          <w:marLeft w:val="0"/>
          <w:marRight w:val="0"/>
          <w:marTop w:val="0"/>
          <w:marBottom w:val="0"/>
          <w:divBdr>
            <w:top w:val="none" w:sz="0" w:space="0" w:color="auto"/>
            <w:left w:val="none" w:sz="0" w:space="0" w:color="auto"/>
            <w:bottom w:val="none" w:sz="0" w:space="0" w:color="auto"/>
            <w:right w:val="none" w:sz="0" w:space="0" w:color="auto"/>
          </w:divBdr>
        </w:div>
        <w:div w:id="1784306177">
          <w:marLeft w:val="0"/>
          <w:marRight w:val="0"/>
          <w:marTop w:val="0"/>
          <w:marBottom w:val="0"/>
          <w:divBdr>
            <w:top w:val="none" w:sz="0" w:space="0" w:color="auto"/>
            <w:left w:val="none" w:sz="0" w:space="0" w:color="auto"/>
            <w:bottom w:val="none" w:sz="0" w:space="0" w:color="auto"/>
            <w:right w:val="none" w:sz="0" w:space="0" w:color="auto"/>
          </w:divBdr>
        </w:div>
        <w:div w:id="180824516">
          <w:marLeft w:val="0"/>
          <w:marRight w:val="0"/>
          <w:marTop w:val="0"/>
          <w:marBottom w:val="0"/>
          <w:divBdr>
            <w:top w:val="none" w:sz="0" w:space="0" w:color="auto"/>
            <w:left w:val="none" w:sz="0" w:space="0" w:color="auto"/>
            <w:bottom w:val="none" w:sz="0" w:space="0" w:color="auto"/>
            <w:right w:val="none" w:sz="0" w:space="0" w:color="auto"/>
          </w:divBdr>
        </w:div>
        <w:div w:id="1354262889">
          <w:marLeft w:val="0"/>
          <w:marRight w:val="0"/>
          <w:marTop w:val="0"/>
          <w:marBottom w:val="0"/>
          <w:divBdr>
            <w:top w:val="none" w:sz="0" w:space="0" w:color="auto"/>
            <w:left w:val="none" w:sz="0" w:space="0" w:color="auto"/>
            <w:bottom w:val="none" w:sz="0" w:space="0" w:color="auto"/>
            <w:right w:val="none" w:sz="0" w:space="0" w:color="auto"/>
          </w:divBdr>
        </w:div>
      </w:divsChild>
    </w:div>
    <w:div w:id="133452526">
      <w:bodyDiv w:val="1"/>
      <w:marLeft w:val="0"/>
      <w:marRight w:val="0"/>
      <w:marTop w:val="0"/>
      <w:marBottom w:val="0"/>
      <w:divBdr>
        <w:top w:val="none" w:sz="0" w:space="0" w:color="auto"/>
        <w:left w:val="none" w:sz="0" w:space="0" w:color="auto"/>
        <w:bottom w:val="none" w:sz="0" w:space="0" w:color="auto"/>
        <w:right w:val="none" w:sz="0" w:space="0" w:color="auto"/>
      </w:divBdr>
      <w:divsChild>
        <w:div w:id="1692101660">
          <w:marLeft w:val="0"/>
          <w:marRight w:val="0"/>
          <w:marTop w:val="0"/>
          <w:marBottom w:val="0"/>
          <w:divBdr>
            <w:top w:val="none" w:sz="0" w:space="0" w:color="auto"/>
            <w:left w:val="none" w:sz="0" w:space="0" w:color="auto"/>
            <w:bottom w:val="none" w:sz="0" w:space="0" w:color="auto"/>
            <w:right w:val="none" w:sz="0" w:space="0" w:color="auto"/>
          </w:divBdr>
        </w:div>
      </w:divsChild>
    </w:div>
    <w:div w:id="310065088">
      <w:bodyDiv w:val="1"/>
      <w:marLeft w:val="0"/>
      <w:marRight w:val="0"/>
      <w:marTop w:val="0"/>
      <w:marBottom w:val="0"/>
      <w:divBdr>
        <w:top w:val="none" w:sz="0" w:space="0" w:color="auto"/>
        <w:left w:val="none" w:sz="0" w:space="0" w:color="auto"/>
        <w:bottom w:val="none" w:sz="0" w:space="0" w:color="auto"/>
        <w:right w:val="none" w:sz="0" w:space="0" w:color="auto"/>
      </w:divBdr>
    </w:div>
    <w:div w:id="338317763">
      <w:bodyDiv w:val="1"/>
      <w:marLeft w:val="0"/>
      <w:marRight w:val="0"/>
      <w:marTop w:val="0"/>
      <w:marBottom w:val="0"/>
      <w:divBdr>
        <w:top w:val="none" w:sz="0" w:space="0" w:color="auto"/>
        <w:left w:val="none" w:sz="0" w:space="0" w:color="auto"/>
        <w:bottom w:val="none" w:sz="0" w:space="0" w:color="auto"/>
        <w:right w:val="none" w:sz="0" w:space="0" w:color="auto"/>
      </w:divBdr>
      <w:divsChild>
        <w:div w:id="1632662332">
          <w:marLeft w:val="0"/>
          <w:marRight w:val="0"/>
          <w:marTop w:val="0"/>
          <w:marBottom w:val="0"/>
          <w:divBdr>
            <w:top w:val="none" w:sz="0" w:space="0" w:color="auto"/>
            <w:left w:val="none" w:sz="0" w:space="0" w:color="auto"/>
            <w:bottom w:val="none" w:sz="0" w:space="0" w:color="auto"/>
            <w:right w:val="none" w:sz="0" w:space="0" w:color="auto"/>
          </w:divBdr>
        </w:div>
        <w:div w:id="1860502832">
          <w:marLeft w:val="0"/>
          <w:marRight w:val="0"/>
          <w:marTop w:val="0"/>
          <w:marBottom w:val="0"/>
          <w:divBdr>
            <w:top w:val="none" w:sz="0" w:space="0" w:color="auto"/>
            <w:left w:val="none" w:sz="0" w:space="0" w:color="auto"/>
            <w:bottom w:val="none" w:sz="0" w:space="0" w:color="auto"/>
            <w:right w:val="none" w:sz="0" w:space="0" w:color="auto"/>
          </w:divBdr>
        </w:div>
      </w:divsChild>
    </w:div>
    <w:div w:id="375355238">
      <w:bodyDiv w:val="1"/>
      <w:marLeft w:val="0"/>
      <w:marRight w:val="0"/>
      <w:marTop w:val="0"/>
      <w:marBottom w:val="0"/>
      <w:divBdr>
        <w:top w:val="none" w:sz="0" w:space="0" w:color="auto"/>
        <w:left w:val="none" w:sz="0" w:space="0" w:color="auto"/>
        <w:bottom w:val="none" w:sz="0" w:space="0" w:color="auto"/>
        <w:right w:val="none" w:sz="0" w:space="0" w:color="auto"/>
      </w:divBdr>
      <w:divsChild>
        <w:div w:id="1501001871">
          <w:marLeft w:val="0"/>
          <w:marRight w:val="0"/>
          <w:marTop w:val="0"/>
          <w:marBottom w:val="0"/>
          <w:divBdr>
            <w:top w:val="none" w:sz="0" w:space="0" w:color="auto"/>
            <w:left w:val="none" w:sz="0" w:space="0" w:color="auto"/>
            <w:bottom w:val="none" w:sz="0" w:space="0" w:color="auto"/>
            <w:right w:val="none" w:sz="0" w:space="0" w:color="auto"/>
          </w:divBdr>
          <w:divsChild>
            <w:div w:id="1786727098">
              <w:marLeft w:val="0"/>
              <w:marRight w:val="0"/>
              <w:marTop w:val="0"/>
              <w:marBottom w:val="0"/>
              <w:divBdr>
                <w:top w:val="none" w:sz="0" w:space="0" w:color="auto"/>
                <w:left w:val="none" w:sz="0" w:space="0" w:color="auto"/>
                <w:bottom w:val="none" w:sz="0" w:space="0" w:color="auto"/>
                <w:right w:val="none" w:sz="0" w:space="0" w:color="auto"/>
              </w:divBdr>
              <w:divsChild>
                <w:div w:id="868833843">
                  <w:marLeft w:val="0"/>
                  <w:marRight w:val="0"/>
                  <w:marTop w:val="0"/>
                  <w:marBottom w:val="0"/>
                  <w:divBdr>
                    <w:top w:val="none" w:sz="0" w:space="0" w:color="auto"/>
                    <w:left w:val="none" w:sz="0" w:space="0" w:color="auto"/>
                    <w:bottom w:val="none" w:sz="0" w:space="0" w:color="auto"/>
                    <w:right w:val="none" w:sz="0" w:space="0" w:color="auto"/>
                  </w:divBdr>
                  <w:divsChild>
                    <w:div w:id="2118137373">
                      <w:marLeft w:val="0"/>
                      <w:marRight w:val="0"/>
                      <w:marTop w:val="0"/>
                      <w:marBottom w:val="0"/>
                      <w:divBdr>
                        <w:top w:val="none" w:sz="0" w:space="0" w:color="auto"/>
                        <w:left w:val="none" w:sz="0" w:space="0" w:color="auto"/>
                        <w:bottom w:val="none" w:sz="0" w:space="0" w:color="auto"/>
                        <w:right w:val="none" w:sz="0" w:space="0" w:color="auto"/>
                      </w:divBdr>
                    </w:div>
                    <w:div w:id="45529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41258">
              <w:marLeft w:val="0"/>
              <w:marRight w:val="0"/>
              <w:marTop w:val="0"/>
              <w:marBottom w:val="0"/>
              <w:divBdr>
                <w:top w:val="none" w:sz="0" w:space="0" w:color="auto"/>
                <w:left w:val="none" w:sz="0" w:space="0" w:color="auto"/>
                <w:bottom w:val="none" w:sz="0" w:space="0" w:color="auto"/>
                <w:right w:val="none" w:sz="0" w:space="0" w:color="auto"/>
              </w:divBdr>
              <w:divsChild>
                <w:div w:id="1843347622">
                  <w:marLeft w:val="0"/>
                  <w:marRight w:val="0"/>
                  <w:marTop w:val="0"/>
                  <w:marBottom w:val="0"/>
                  <w:divBdr>
                    <w:top w:val="none" w:sz="0" w:space="0" w:color="auto"/>
                    <w:left w:val="none" w:sz="0" w:space="0" w:color="auto"/>
                    <w:bottom w:val="none" w:sz="0" w:space="0" w:color="auto"/>
                    <w:right w:val="none" w:sz="0" w:space="0" w:color="auto"/>
                  </w:divBdr>
                  <w:divsChild>
                    <w:div w:id="1330870412">
                      <w:marLeft w:val="0"/>
                      <w:marRight w:val="0"/>
                      <w:marTop w:val="0"/>
                      <w:marBottom w:val="0"/>
                      <w:divBdr>
                        <w:top w:val="none" w:sz="0" w:space="0" w:color="auto"/>
                        <w:left w:val="none" w:sz="0" w:space="0" w:color="auto"/>
                        <w:bottom w:val="none" w:sz="0" w:space="0" w:color="auto"/>
                        <w:right w:val="none" w:sz="0" w:space="0" w:color="auto"/>
                      </w:divBdr>
                    </w:div>
                    <w:div w:id="11086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07892">
          <w:marLeft w:val="0"/>
          <w:marRight w:val="0"/>
          <w:marTop w:val="0"/>
          <w:marBottom w:val="0"/>
          <w:divBdr>
            <w:top w:val="none" w:sz="0" w:space="0" w:color="auto"/>
            <w:left w:val="none" w:sz="0" w:space="0" w:color="auto"/>
            <w:bottom w:val="none" w:sz="0" w:space="0" w:color="auto"/>
            <w:right w:val="none" w:sz="0" w:space="0" w:color="auto"/>
          </w:divBdr>
          <w:divsChild>
            <w:div w:id="101793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89721">
      <w:bodyDiv w:val="1"/>
      <w:marLeft w:val="0"/>
      <w:marRight w:val="0"/>
      <w:marTop w:val="0"/>
      <w:marBottom w:val="0"/>
      <w:divBdr>
        <w:top w:val="none" w:sz="0" w:space="0" w:color="auto"/>
        <w:left w:val="none" w:sz="0" w:space="0" w:color="auto"/>
        <w:bottom w:val="none" w:sz="0" w:space="0" w:color="auto"/>
        <w:right w:val="none" w:sz="0" w:space="0" w:color="auto"/>
      </w:divBdr>
      <w:divsChild>
        <w:div w:id="1434351880">
          <w:marLeft w:val="0"/>
          <w:marRight w:val="0"/>
          <w:marTop w:val="0"/>
          <w:marBottom w:val="0"/>
          <w:divBdr>
            <w:top w:val="none" w:sz="0" w:space="0" w:color="auto"/>
            <w:left w:val="none" w:sz="0" w:space="0" w:color="auto"/>
            <w:bottom w:val="none" w:sz="0" w:space="0" w:color="auto"/>
            <w:right w:val="none" w:sz="0" w:space="0" w:color="auto"/>
          </w:divBdr>
        </w:div>
        <w:div w:id="1303074959">
          <w:marLeft w:val="0"/>
          <w:marRight w:val="0"/>
          <w:marTop w:val="0"/>
          <w:marBottom w:val="0"/>
          <w:divBdr>
            <w:top w:val="none" w:sz="0" w:space="0" w:color="auto"/>
            <w:left w:val="none" w:sz="0" w:space="0" w:color="auto"/>
            <w:bottom w:val="none" w:sz="0" w:space="0" w:color="auto"/>
            <w:right w:val="none" w:sz="0" w:space="0" w:color="auto"/>
          </w:divBdr>
        </w:div>
        <w:div w:id="2033529811">
          <w:marLeft w:val="0"/>
          <w:marRight w:val="0"/>
          <w:marTop w:val="0"/>
          <w:marBottom w:val="0"/>
          <w:divBdr>
            <w:top w:val="none" w:sz="0" w:space="0" w:color="auto"/>
            <w:left w:val="none" w:sz="0" w:space="0" w:color="auto"/>
            <w:bottom w:val="none" w:sz="0" w:space="0" w:color="auto"/>
            <w:right w:val="none" w:sz="0" w:space="0" w:color="auto"/>
          </w:divBdr>
        </w:div>
        <w:div w:id="1295023917">
          <w:marLeft w:val="0"/>
          <w:marRight w:val="0"/>
          <w:marTop w:val="0"/>
          <w:marBottom w:val="0"/>
          <w:divBdr>
            <w:top w:val="none" w:sz="0" w:space="0" w:color="auto"/>
            <w:left w:val="none" w:sz="0" w:space="0" w:color="auto"/>
            <w:bottom w:val="none" w:sz="0" w:space="0" w:color="auto"/>
            <w:right w:val="none" w:sz="0" w:space="0" w:color="auto"/>
          </w:divBdr>
        </w:div>
      </w:divsChild>
    </w:div>
    <w:div w:id="631710033">
      <w:bodyDiv w:val="1"/>
      <w:marLeft w:val="0"/>
      <w:marRight w:val="0"/>
      <w:marTop w:val="0"/>
      <w:marBottom w:val="0"/>
      <w:divBdr>
        <w:top w:val="none" w:sz="0" w:space="0" w:color="auto"/>
        <w:left w:val="none" w:sz="0" w:space="0" w:color="auto"/>
        <w:bottom w:val="none" w:sz="0" w:space="0" w:color="auto"/>
        <w:right w:val="none" w:sz="0" w:space="0" w:color="auto"/>
      </w:divBdr>
    </w:div>
    <w:div w:id="658341306">
      <w:bodyDiv w:val="1"/>
      <w:marLeft w:val="0"/>
      <w:marRight w:val="0"/>
      <w:marTop w:val="0"/>
      <w:marBottom w:val="0"/>
      <w:divBdr>
        <w:top w:val="none" w:sz="0" w:space="0" w:color="auto"/>
        <w:left w:val="none" w:sz="0" w:space="0" w:color="auto"/>
        <w:bottom w:val="none" w:sz="0" w:space="0" w:color="auto"/>
        <w:right w:val="none" w:sz="0" w:space="0" w:color="auto"/>
      </w:divBdr>
      <w:divsChild>
        <w:div w:id="1400059325">
          <w:marLeft w:val="0"/>
          <w:marRight w:val="0"/>
          <w:marTop w:val="0"/>
          <w:marBottom w:val="0"/>
          <w:divBdr>
            <w:top w:val="none" w:sz="0" w:space="0" w:color="auto"/>
            <w:left w:val="none" w:sz="0" w:space="0" w:color="auto"/>
            <w:bottom w:val="none" w:sz="0" w:space="0" w:color="auto"/>
            <w:right w:val="none" w:sz="0" w:space="0" w:color="auto"/>
          </w:divBdr>
        </w:div>
        <w:div w:id="660235569">
          <w:marLeft w:val="0"/>
          <w:marRight w:val="0"/>
          <w:marTop w:val="0"/>
          <w:marBottom w:val="0"/>
          <w:divBdr>
            <w:top w:val="none" w:sz="0" w:space="0" w:color="auto"/>
            <w:left w:val="none" w:sz="0" w:space="0" w:color="auto"/>
            <w:bottom w:val="none" w:sz="0" w:space="0" w:color="auto"/>
            <w:right w:val="none" w:sz="0" w:space="0" w:color="auto"/>
          </w:divBdr>
        </w:div>
      </w:divsChild>
    </w:div>
    <w:div w:id="1493334500">
      <w:bodyDiv w:val="1"/>
      <w:marLeft w:val="0"/>
      <w:marRight w:val="0"/>
      <w:marTop w:val="0"/>
      <w:marBottom w:val="0"/>
      <w:divBdr>
        <w:top w:val="none" w:sz="0" w:space="0" w:color="auto"/>
        <w:left w:val="none" w:sz="0" w:space="0" w:color="auto"/>
        <w:bottom w:val="none" w:sz="0" w:space="0" w:color="auto"/>
        <w:right w:val="none" w:sz="0" w:space="0" w:color="auto"/>
      </w:divBdr>
    </w:div>
    <w:div w:id="1644314620">
      <w:bodyDiv w:val="1"/>
      <w:marLeft w:val="0"/>
      <w:marRight w:val="0"/>
      <w:marTop w:val="0"/>
      <w:marBottom w:val="0"/>
      <w:divBdr>
        <w:top w:val="none" w:sz="0" w:space="0" w:color="auto"/>
        <w:left w:val="none" w:sz="0" w:space="0" w:color="auto"/>
        <w:bottom w:val="none" w:sz="0" w:space="0" w:color="auto"/>
        <w:right w:val="none" w:sz="0" w:space="0" w:color="auto"/>
      </w:divBdr>
      <w:divsChild>
        <w:div w:id="1883013048">
          <w:marLeft w:val="0"/>
          <w:marRight w:val="0"/>
          <w:marTop w:val="0"/>
          <w:marBottom w:val="0"/>
          <w:divBdr>
            <w:top w:val="none" w:sz="0" w:space="0" w:color="auto"/>
            <w:left w:val="none" w:sz="0" w:space="0" w:color="auto"/>
            <w:bottom w:val="none" w:sz="0" w:space="0" w:color="auto"/>
            <w:right w:val="none" w:sz="0" w:space="0" w:color="auto"/>
          </w:divBdr>
          <w:divsChild>
            <w:div w:id="2097899049">
              <w:marLeft w:val="0"/>
              <w:marRight w:val="0"/>
              <w:marTop w:val="0"/>
              <w:marBottom w:val="0"/>
              <w:divBdr>
                <w:top w:val="none" w:sz="0" w:space="0" w:color="auto"/>
                <w:left w:val="none" w:sz="0" w:space="0" w:color="auto"/>
                <w:bottom w:val="none" w:sz="0" w:space="0" w:color="auto"/>
                <w:right w:val="none" w:sz="0" w:space="0" w:color="auto"/>
              </w:divBdr>
              <w:divsChild>
                <w:div w:id="568266796">
                  <w:marLeft w:val="0"/>
                  <w:marRight w:val="0"/>
                  <w:marTop w:val="0"/>
                  <w:marBottom w:val="0"/>
                  <w:divBdr>
                    <w:top w:val="none" w:sz="0" w:space="0" w:color="auto"/>
                    <w:left w:val="none" w:sz="0" w:space="0" w:color="auto"/>
                    <w:bottom w:val="none" w:sz="0" w:space="0" w:color="auto"/>
                    <w:right w:val="none" w:sz="0" w:space="0" w:color="auto"/>
                  </w:divBdr>
                  <w:divsChild>
                    <w:div w:id="62739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88668">
              <w:marLeft w:val="0"/>
              <w:marRight w:val="0"/>
              <w:marTop w:val="0"/>
              <w:marBottom w:val="0"/>
              <w:divBdr>
                <w:top w:val="none" w:sz="0" w:space="0" w:color="auto"/>
                <w:left w:val="none" w:sz="0" w:space="0" w:color="auto"/>
                <w:bottom w:val="none" w:sz="0" w:space="0" w:color="auto"/>
                <w:right w:val="none" w:sz="0" w:space="0" w:color="auto"/>
              </w:divBdr>
              <w:divsChild>
                <w:div w:id="358704558">
                  <w:marLeft w:val="0"/>
                  <w:marRight w:val="0"/>
                  <w:marTop w:val="0"/>
                  <w:marBottom w:val="0"/>
                  <w:divBdr>
                    <w:top w:val="none" w:sz="0" w:space="0" w:color="auto"/>
                    <w:left w:val="none" w:sz="0" w:space="0" w:color="auto"/>
                    <w:bottom w:val="none" w:sz="0" w:space="0" w:color="auto"/>
                    <w:right w:val="none" w:sz="0" w:space="0" w:color="auto"/>
                  </w:divBdr>
                  <w:divsChild>
                    <w:div w:id="1201556051">
                      <w:marLeft w:val="0"/>
                      <w:marRight w:val="0"/>
                      <w:marTop w:val="0"/>
                      <w:marBottom w:val="0"/>
                      <w:divBdr>
                        <w:top w:val="none" w:sz="0" w:space="0" w:color="auto"/>
                        <w:left w:val="none" w:sz="0" w:space="0" w:color="auto"/>
                        <w:bottom w:val="none" w:sz="0" w:space="0" w:color="auto"/>
                        <w:right w:val="none" w:sz="0" w:space="0" w:color="auto"/>
                      </w:divBdr>
                    </w:div>
                    <w:div w:id="19971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475832">
          <w:marLeft w:val="0"/>
          <w:marRight w:val="0"/>
          <w:marTop w:val="0"/>
          <w:marBottom w:val="0"/>
          <w:divBdr>
            <w:top w:val="none" w:sz="0" w:space="0" w:color="auto"/>
            <w:left w:val="none" w:sz="0" w:space="0" w:color="auto"/>
            <w:bottom w:val="none" w:sz="0" w:space="0" w:color="auto"/>
            <w:right w:val="none" w:sz="0" w:space="0" w:color="auto"/>
          </w:divBdr>
          <w:divsChild>
            <w:div w:id="17151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15802">
      <w:bodyDiv w:val="1"/>
      <w:marLeft w:val="0"/>
      <w:marRight w:val="0"/>
      <w:marTop w:val="0"/>
      <w:marBottom w:val="0"/>
      <w:divBdr>
        <w:top w:val="none" w:sz="0" w:space="0" w:color="auto"/>
        <w:left w:val="none" w:sz="0" w:space="0" w:color="auto"/>
        <w:bottom w:val="none" w:sz="0" w:space="0" w:color="auto"/>
        <w:right w:val="none" w:sz="0" w:space="0" w:color="auto"/>
      </w:divBdr>
      <w:divsChild>
        <w:div w:id="1175345056">
          <w:marLeft w:val="0"/>
          <w:marRight w:val="0"/>
          <w:marTop w:val="0"/>
          <w:marBottom w:val="0"/>
          <w:divBdr>
            <w:top w:val="none" w:sz="0" w:space="0" w:color="auto"/>
            <w:left w:val="none" w:sz="0" w:space="0" w:color="auto"/>
            <w:bottom w:val="none" w:sz="0" w:space="0" w:color="auto"/>
            <w:right w:val="none" w:sz="0" w:space="0" w:color="auto"/>
          </w:divBdr>
        </w:div>
        <w:div w:id="1512179591">
          <w:marLeft w:val="0"/>
          <w:marRight w:val="0"/>
          <w:marTop w:val="0"/>
          <w:marBottom w:val="0"/>
          <w:divBdr>
            <w:top w:val="none" w:sz="0" w:space="0" w:color="auto"/>
            <w:left w:val="none" w:sz="0" w:space="0" w:color="auto"/>
            <w:bottom w:val="none" w:sz="0" w:space="0" w:color="auto"/>
            <w:right w:val="none" w:sz="0" w:space="0" w:color="auto"/>
          </w:divBdr>
          <w:divsChild>
            <w:div w:id="81861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9434">
      <w:bodyDiv w:val="1"/>
      <w:marLeft w:val="0"/>
      <w:marRight w:val="0"/>
      <w:marTop w:val="0"/>
      <w:marBottom w:val="0"/>
      <w:divBdr>
        <w:top w:val="none" w:sz="0" w:space="0" w:color="auto"/>
        <w:left w:val="none" w:sz="0" w:space="0" w:color="auto"/>
        <w:bottom w:val="none" w:sz="0" w:space="0" w:color="auto"/>
        <w:right w:val="none" w:sz="0" w:space="0" w:color="auto"/>
      </w:divBdr>
    </w:div>
    <w:div w:id="1847860670">
      <w:bodyDiv w:val="1"/>
      <w:marLeft w:val="0"/>
      <w:marRight w:val="0"/>
      <w:marTop w:val="0"/>
      <w:marBottom w:val="0"/>
      <w:divBdr>
        <w:top w:val="none" w:sz="0" w:space="0" w:color="auto"/>
        <w:left w:val="none" w:sz="0" w:space="0" w:color="auto"/>
        <w:bottom w:val="none" w:sz="0" w:space="0" w:color="auto"/>
        <w:right w:val="none" w:sz="0" w:space="0" w:color="auto"/>
      </w:divBdr>
      <w:divsChild>
        <w:div w:id="2076976417">
          <w:marLeft w:val="0"/>
          <w:marRight w:val="0"/>
          <w:marTop w:val="0"/>
          <w:marBottom w:val="0"/>
          <w:divBdr>
            <w:top w:val="none" w:sz="0" w:space="0" w:color="auto"/>
            <w:left w:val="none" w:sz="0" w:space="0" w:color="auto"/>
            <w:bottom w:val="none" w:sz="0" w:space="0" w:color="auto"/>
            <w:right w:val="none" w:sz="0" w:space="0" w:color="auto"/>
          </w:divBdr>
        </w:div>
        <w:div w:id="2118862676">
          <w:marLeft w:val="0"/>
          <w:marRight w:val="0"/>
          <w:marTop w:val="0"/>
          <w:marBottom w:val="0"/>
          <w:divBdr>
            <w:top w:val="none" w:sz="0" w:space="0" w:color="auto"/>
            <w:left w:val="none" w:sz="0" w:space="0" w:color="auto"/>
            <w:bottom w:val="none" w:sz="0" w:space="0" w:color="auto"/>
            <w:right w:val="none" w:sz="0" w:space="0" w:color="auto"/>
          </w:divBdr>
          <w:divsChild>
            <w:div w:id="18174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78034">
      <w:bodyDiv w:val="1"/>
      <w:marLeft w:val="0"/>
      <w:marRight w:val="0"/>
      <w:marTop w:val="0"/>
      <w:marBottom w:val="0"/>
      <w:divBdr>
        <w:top w:val="none" w:sz="0" w:space="0" w:color="auto"/>
        <w:left w:val="none" w:sz="0" w:space="0" w:color="auto"/>
        <w:bottom w:val="none" w:sz="0" w:space="0" w:color="auto"/>
        <w:right w:val="none" w:sz="0" w:space="0" w:color="auto"/>
      </w:divBdr>
      <w:divsChild>
        <w:div w:id="1596523400">
          <w:marLeft w:val="0"/>
          <w:marRight w:val="0"/>
          <w:marTop w:val="0"/>
          <w:marBottom w:val="0"/>
          <w:divBdr>
            <w:top w:val="none" w:sz="0" w:space="0" w:color="auto"/>
            <w:left w:val="none" w:sz="0" w:space="0" w:color="auto"/>
            <w:bottom w:val="none" w:sz="0" w:space="0" w:color="auto"/>
            <w:right w:val="none" w:sz="0" w:space="0" w:color="auto"/>
          </w:divBdr>
        </w:div>
      </w:divsChild>
    </w:div>
    <w:div w:id="2003504328">
      <w:bodyDiv w:val="1"/>
      <w:marLeft w:val="0"/>
      <w:marRight w:val="0"/>
      <w:marTop w:val="0"/>
      <w:marBottom w:val="0"/>
      <w:divBdr>
        <w:top w:val="none" w:sz="0" w:space="0" w:color="auto"/>
        <w:left w:val="none" w:sz="0" w:space="0" w:color="auto"/>
        <w:bottom w:val="none" w:sz="0" w:space="0" w:color="auto"/>
        <w:right w:val="none" w:sz="0" w:space="0" w:color="auto"/>
      </w:divBdr>
      <w:divsChild>
        <w:div w:id="182827706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EE563-CFBE-41DC-B6D1-42DF60F07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3642</Words>
  <Characters>20761</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WIMM</Company>
  <LinksUpToDate>false</LinksUpToDate>
  <CharactersWithSpaces>24355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Rose</dc:creator>
  <cp:keywords/>
  <dc:description/>
  <cp:lastModifiedBy>Julie Franco</cp:lastModifiedBy>
  <cp:revision>2</cp:revision>
  <dcterms:created xsi:type="dcterms:W3CDTF">2019-03-11T11:20:00Z</dcterms:created>
  <dcterms:modified xsi:type="dcterms:W3CDTF">2019-03-11T11:20:00Z</dcterms:modified>
</cp:coreProperties>
</file>