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6C" w:rsidRDefault="00FE1E6C" w:rsidP="00873766">
      <w:pPr>
        <w:spacing w:line="360" w:lineRule="auto"/>
        <w:rPr>
          <w:color w:val="A50021"/>
          <w:sz w:val="28"/>
          <w:szCs w:val="28"/>
        </w:rPr>
      </w:pPr>
    </w:p>
    <w:p w:rsidR="00F02F2D" w:rsidRPr="0002765C" w:rsidRDefault="0065097C" w:rsidP="00873766">
      <w:pPr>
        <w:spacing w:line="360" w:lineRule="auto"/>
        <w:rPr>
          <w:b/>
          <w:sz w:val="28"/>
          <w:szCs w:val="28"/>
        </w:rPr>
      </w:pPr>
      <w:r>
        <w:rPr>
          <w:b/>
          <w:color w:val="A50021"/>
          <w:sz w:val="28"/>
          <w:szCs w:val="28"/>
        </w:rPr>
        <w:t>Cost-per</w:t>
      </w:r>
      <w:r w:rsidR="00B35D18">
        <w:rPr>
          <w:b/>
          <w:color w:val="A50021"/>
          <w:sz w:val="28"/>
          <w:szCs w:val="28"/>
        </w:rPr>
        <w:t>-</w:t>
      </w:r>
      <w:r>
        <w:rPr>
          <w:b/>
          <w:color w:val="A50021"/>
          <w:sz w:val="28"/>
          <w:szCs w:val="28"/>
        </w:rPr>
        <w:t>diagnosis</w:t>
      </w:r>
      <w:r w:rsidR="00F02F2D" w:rsidRPr="0002765C">
        <w:rPr>
          <w:b/>
          <w:color w:val="A50021"/>
          <w:sz w:val="28"/>
          <w:szCs w:val="28"/>
        </w:rPr>
        <w:t xml:space="preserve"> as a metric for monitoring cost effectiveness of </w:t>
      </w:r>
      <w:r w:rsidR="00452F32">
        <w:rPr>
          <w:b/>
          <w:color w:val="A50021"/>
          <w:sz w:val="28"/>
          <w:szCs w:val="28"/>
        </w:rPr>
        <w:t xml:space="preserve">HIV </w:t>
      </w:r>
      <w:r w:rsidR="00F02F2D" w:rsidRPr="0002765C">
        <w:rPr>
          <w:b/>
          <w:color w:val="A50021"/>
          <w:sz w:val="28"/>
          <w:szCs w:val="28"/>
        </w:rPr>
        <w:t>testing programmes in low income settings in southern Africa: health economic and modelling analysis</w:t>
      </w:r>
    </w:p>
    <w:p w:rsidR="00F02F2D" w:rsidRPr="001B5D3E" w:rsidRDefault="00F02F2D" w:rsidP="00873766">
      <w:pPr>
        <w:spacing w:line="360" w:lineRule="auto"/>
      </w:pPr>
    </w:p>
    <w:p w:rsidR="0024583A" w:rsidRPr="0003789B" w:rsidRDefault="0024583A" w:rsidP="00873766">
      <w:pPr>
        <w:spacing w:line="360" w:lineRule="auto"/>
        <w:rPr>
          <w:color w:val="000000" w:themeColor="text1"/>
        </w:rPr>
      </w:pPr>
    </w:p>
    <w:p w:rsidR="0003789B" w:rsidRPr="0003789B" w:rsidRDefault="0003789B" w:rsidP="00873766">
      <w:pPr>
        <w:spacing w:line="360" w:lineRule="auto"/>
        <w:rPr>
          <w:b/>
          <w:color w:val="000000" w:themeColor="text1"/>
          <w:sz w:val="26"/>
          <w:szCs w:val="26"/>
        </w:rPr>
      </w:pPr>
      <w:r w:rsidRPr="0003789B">
        <w:rPr>
          <w:b/>
          <w:color w:val="000000" w:themeColor="text1"/>
          <w:sz w:val="26"/>
          <w:szCs w:val="26"/>
        </w:rPr>
        <w:t>Working group on cost effectiveness of HIV testing in low income settings in southern Africa</w:t>
      </w:r>
    </w:p>
    <w:p w:rsidR="0003789B" w:rsidRPr="000C4624" w:rsidRDefault="0003789B" w:rsidP="00873766">
      <w:pPr>
        <w:autoSpaceDE w:val="0"/>
        <w:autoSpaceDN w:val="0"/>
        <w:adjustRightInd w:val="0"/>
        <w:spacing w:after="0" w:line="360" w:lineRule="auto"/>
        <w:rPr>
          <w:rFonts w:ascii="Calibri" w:hAnsi="Calibri" w:cs="Arial"/>
        </w:rPr>
      </w:pPr>
      <w:r w:rsidRPr="000C4624">
        <w:rPr>
          <w:rFonts w:ascii="Calibri" w:hAnsi="Calibri" w:cs="Arial"/>
        </w:rPr>
        <w:t xml:space="preserve">Andrew </w:t>
      </w:r>
      <w:r w:rsidR="00586B33">
        <w:rPr>
          <w:rFonts w:ascii="Calibri" w:hAnsi="Calibri" w:cs="Arial"/>
        </w:rPr>
        <w:t xml:space="preserve">N </w:t>
      </w:r>
      <w:r w:rsidRPr="000C4624">
        <w:rPr>
          <w:rFonts w:ascii="Calibri" w:hAnsi="Calibri" w:cs="Arial"/>
        </w:rPr>
        <w:t>Phillips</w:t>
      </w:r>
      <w:r w:rsidRPr="000C4624">
        <w:rPr>
          <w:rFonts w:ascii="Calibri" w:hAnsi="Calibri" w:cs="Arial"/>
          <w:vertAlign w:val="superscript"/>
        </w:rPr>
        <w:t>1</w:t>
      </w:r>
      <w:r w:rsidR="00C75F5A">
        <w:rPr>
          <w:rFonts w:ascii="Calibri" w:hAnsi="Calibri" w:cs="Arial"/>
          <w:vertAlign w:val="superscript"/>
        </w:rPr>
        <w:t>$</w:t>
      </w:r>
      <w:r w:rsidRPr="000C4624">
        <w:rPr>
          <w:rFonts w:ascii="Calibri" w:hAnsi="Calibri" w:cs="Arial"/>
        </w:rPr>
        <w:t>, Valentina Cambiano</w:t>
      </w:r>
      <w:r w:rsidRPr="000C4624">
        <w:rPr>
          <w:rFonts w:ascii="Calibri" w:hAnsi="Calibri" w:cs="Arial"/>
          <w:vertAlign w:val="superscript"/>
        </w:rPr>
        <w:t>1</w:t>
      </w:r>
      <w:r w:rsidRPr="000C4624">
        <w:rPr>
          <w:rFonts w:ascii="Calibri" w:hAnsi="Calibri" w:cs="Arial"/>
        </w:rPr>
        <w:t>, Fumiyo Nakagawa</w:t>
      </w:r>
      <w:r w:rsidRPr="000C4624">
        <w:rPr>
          <w:rFonts w:ascii="Calibri" w:hAnsi="Calibri" w:cs="Arial"/>
          <w:vertAlign w:val="superscript"/>
        </w:rPr>
        <w:t>1</w:t>
      </w:r>
      <w:r w:rsidRPr="000C4624">
        <w:rPr>
          <w:rFonts w:ascii="Calibri" w:hAnsi="Calibri" w:cs="Arial"/>
        </w:rPr>
        <w:t>, Loveleen Bansi-Matharu</w:t>
      </w:r>
      <w:r w:rsidRPr="000C4624">
        <w:rPr>
          <w:rFonts w:ascii="Calibri" w:hAnsi="Calibri" w:cs="Arial"/>
          <w:vertAlign w:val="superscript"/>
        </w:rPr>
        <w:t>1</w:t>
      </w:r>
      <w:r w:rsidRPr="000C4624">
        <w:rPr>
          <w:rFonts w:ascii="Calibri" w:hAnsi="Calibri" w:cs="Arial"/>
        </w:rPr>
        <w:t>,</w:t>
      </w:r>
    </w:p>
    <w:p w:rsidR="0003789B" w:rsidRDefault="0003789B" w:rsidP="00873766">
      <w:pPr>
        <w:autoSpaceDE w:val="0"/>
        <w:autoSpaceDN w:val="0"/>
        <w:adjustRightInd w:val="0"/>
        <w:spacing w:after="0" w:line="360" w:lineRule="auto"/>
        <w:rPr>
          <w:rFonts w:ascii="Calibri" w:hAnsi="Calibri" w:cs="Arial"/>
        </w:rPr>
      </w:pPr>
      <w:r w:rsidRPr="000C4624">
        <w:rPr>
          <w:rFonts w:ascii="Calibri" w:hAnsi="Calibri" w:cs="Arial"/>
        </w:rPr>
        <w:t>David Wilson</w:t>
      </w:r>
      <w:r w:rsidRPr="000C4624">
        <w:rPr>
          <w:rFonts w:ascii="Calibri" w:hAnsi="Calibri" w:cs="Arial"/>
          <w:vertAlign w:val="superscript"/>
        </w:rPr>
        <w:t>2</w:t>
      </w:r>
      <w:r w:rsidRPr="000C4624">
        <w:rPr>
          <w:rFonts w:ascii="Calibri" w:hAnsi="Calibri" w:cs="Arial"/>
        </w:rPr>
        <w:t>, Ilesh Jani</w:t>
      </w:r>
      <w:r w:rsidRPr="000C4624">
        <w:rPr>
          <w:rFonts w:ascii="Calibri" w:hAnsi="Calibri" w:cs="Arial"/>
          <w:vertAlign w:val="superscript"/>
        </w:rPr>
        <w:t>3</w:t>
      </w:r>
      <w:r w:rsidRPr="000C4624">
        <w:rPr>
          <w:rFonts w:ascii="Calibri" w:hAnsi="Calibri" w:cs="Arial"/>
        </w:rPr>
        <w:t>, Tsitsi Apollo</w:t>
      </w:r>
      <w:r w:rsidRPr="000C4624">
        <w:rPr>
          <w:rFonts w:ascii="Calibri" w:hAnsi="Calibri" w:cs="Arial"/>
          <w:vertAlign w:val="superscript"/>
        </w:rPr>
        <w:t>4</w:t>
      </w:r>
      <w:r w:rsidRPr="000C4624">
        <w:rPr>
          <w:rFonts w:ascii="Calibri" w:hAnsi="Calibri" w:cs="Arial"/>
        </w:rPr>
        <w:t>, Mark Sculpher</w:t>
      </w:r>
      <w:r w:rsidRPr="000C4624">
        <w:rPr>
          <w:rFonts w:ascii="Calibri" w:hAnsi="Calibri" w:cs="Arial"/>
          <w:vertAlign w:val="superscript"/>
        </w:rPr>
        <w:t>5</w:t>
      </w:r>
      <w:r w:rsidRPr="000C4624">
        <w:rPr>
          <w:rFonts w:ascii="Calibri" w:hAnsi="Calibri" w:cs="Arial"/>
        </w:rPr>
        <w:t>, Timothy Hallett</w:t>
      </w:r>
      <w:r w:rsidRPr="000C4624">
        <w:rPr>
          <w:rFonts w:ascii="Calibri" w:hAnsi="Calibri" w:cs="Arial"/>
          <w:vertAlign w:val="superscript"/>
        </w:rPr>
        <w:t>6</w:t>
      </w:r>
      <w:r w:rsidRPr="000C4624">
        <w:rPr>
          <w:rFonts w:ascii="Calibri" w:hAnsi="Calibri" w:cs="Arial"/>
        </w:rPr>
        <w:t>, Cliff Kerr</w:t>
      </w:r>
      <w:r w:rsidR="009B101A" w:rsidRPr="000C4624">
        <w:rPr>
          <w:rFonts w:ascii="Calibri" w:hAnsi="Calibri" w:cs="Arial"/>
          <w:vertAlign w:val="superscript"/>
        </w:rPr>
        <w:t>2,7</w:t>
      </w:r>
      <w:r w:rsidRPr="000C4624">
        <w:rPr>
          <w:rFonts w:ascii="Calibri" w:hAnsi="Calibri" w:cs="Arial"/>
        </w:rPr>
        <w:t xml:space="preserve">, Joep </w:t>
      </w:r>
      <w:r w:rsidR="005A7693" w:rsidRPr="000C4624">
        <w:rPr>
          <w:rFonts w:ascii="Calibri" w:hAnsi="Calibri" w:cs="Arial"/>
        </w:rPr>
        <w:t xml:space="preserve">J </w:t>
      </w:r>
      <w:r w:rsidRPr="000C4624">
        <w:rPr>
          <w:rFonts w:ascii="Calibri" w:hAnsi="Calibri" w:cs="Arial"/>
        </w:rPr>
        <w:t>van Oosterhout</w:t>
      </w:r>
      <w:r w:rsidRPr="000C4624">
        <w:rPr>
          <w:rFonts w:ascii="Calibri" w:hAnsi="Calibri" w:cs="Arial"/>
          <w:vertAlign w:val="superscript"/>
        </w:rPr>
        <w:t>8</w:t>
      </w:r>
      <w:r w:rsidR="00C75557" w:rsidRPr="000C4624">
        <w:rPr>
          <w:rFonts w:ascii="Calibri" w:hAnsi="Calibri" w:cs="Arial"/>
          <w:vertAlign w:val="superscript"/>
        </w:rPr>
        <w:t>,9</w:t>
      </w:r>
      <w:r w:rsidRPr="000C4624">
        <w:rPr>
          <w:rFonts w:ascii="Calibri" w:hAnsi="Calibri" w:cs="Arial"/>
        </w:rPr>
        <w:t xml:space="preserve">, Jeffrey </w:t>
      </w:r>
      <w:r w:rsidR="00D320AF" w:rsidRPr="000C4624">
        <w:rPr>
          <w:rFonts w:ascii="Calibri" w:hAnsi="Calibri" w:cs="Arial"/>
        </w:rPr>
        <w:t xml:space="preserve">W </w:t>
      </w:r>
      <w:r w:rsidRPr="000C4624">
        <w:rPr>
          <w:rFonts w:ascii="Calibri" w:hAnsi="Calibri" w:cs="Arial"/>
        </w:rPr>
        <w:t>Eaton</w:t>
      </w:r>
      <w:r w:rsidRPr="000C4624">
        <w:rPr>
          <w:rFonts w:ascii="Calibri" w:hAnsi="Calibri" w:cs="Arial"/>
          <w:vertAlign w:val="superscript"/>
        </w:rPr>
        <w:t>6</w:t>
      </w:r>
      <w:r w:rsidRPr="000C4624">
        <w:rPr>
          <w:rFonts w:ascii="Calibri" w:hAnsi="Calibri" w:cs="Arial"/>
        </w:rPr>
        <w:t>, Janne Estill</w:t>
      </w:r>
      <w:r w:rsidR="00C75557" w:rsidRPr="000C4624">
        <w:rPr>
          <w:rFonts w:ascii="Calibri" w:hAnsi="Calibri" w:cs="Arial"/>
          <w:vertAlign w:val="superscript"/>
        </w:rPr>
        <w:t>10</w:t>
      </w:r>
      <w:r w:rsidR="00DE1FE5" w:rsidRPr="000C4624">
        <w:rPr>
          <w:rFonts w:ascii="Calibri" w:hAnsi="Calibri" w:cs="Arial"/>
          <w:vertAlign w:val="superscript"/>
        </w:rPr>
        <w:t>,11</w:t>
      </w:r>
      <w:r w:rsidRPr="000C4624">
        <w:rPr>
          <w:rFonts w:ascii="Calibri" w:hAnsi="Calibri" w:cs="Arial"/>
        </w:rPr>
        <w:t>, Brian Williams</w:t>
      </w:r>
      <w:r w:rsidR="00C75557" w:rsidRPr="000C4624">
        <w:rPr>
          <w:rFonts w:ascii="Calibri" w:hAnsi="Calibri" w:cs="Arial"/>
          <w:vertAlign w:val="superscript"/>
        </w:rPr>
        <w:t>1</w:t>
      </w:r>
      <w:r w:rsidR="00147E85" w:rsidRPr="000C4624">
        <w:rPr>
          <w:rFonts w:ascii="Calibri" w:hAnsi="Calibri" w:cs="Arial"/>
          <w:vertAlign w:val="superscript"/>
        </w:rPr>
        <w:t>2</w:t>
      </w:r>
      <w:r w:rsidRPr="000C4624">
        <w:rPr>
          <w:rFonts w:ascii="Calibri" w:hAnsi="Calibri" w:cs="Arial"/>
        </w:rPr>
        <w:t xml:space="preserve">, Naoko </w:t>
      </w:r>
      <w:r w:rsidRPr="00E35541">
        <w:rPr>
          <w:rFonts w:ascii="Calibri" w:hAnsi="Calibri" w:cs="Arial"/>
        </w:rPr>
        <w:t>Doi</w:t>
      </w:r>
      <w:r w:rsidRPr="00E35541">
        <w:rPr>
          <w:rFonts w:ascii="Calibri" w:hAnsi="Calibri" w:cs="Arial"/>
          <w:vertAlign w:val="superscript"/>
        </w:rPr>
        <w:t>1</w:t>
      </w:r>
      <w:r w:rsidR="00147E85">
        <w:rPr>
          <w:rFonts w:ascii="Calibri" w:hAnsi="Calibri" w:cs="Arial"/>
          <w:vertAlign w:val="superscript"/>
        </w:rPr>
        <w:t>3</w:t>
      </w:r>
      <w:r w:rsidRPr="00E35541">
        <w:rPr>
          <w:rFonts w:ascii="Calibri" w:hAnsi="Calibri" w:cs="Arial"/>
        </w:rPr>
        <w:t>, F</w:t>
      </w:r>
      <w:r>
        <w:rPr>
          <w:rFonts w:ascii="Calibri" w:hAnsi="Calibri" w:cs="Arial"/>
        </w:rPr>
        <w:t xml:space="preserve">rances </w:t>
      </w:r>
      <w:r w:rsidRPr="00E35541">
        <w:rPr>
          <w:rFonts w:ascii="Calibri" w:hAnsi="Calibri" w:cs="Arial"/>
        </w:rPr>
        <w:t>Cowan</w:t>
      </w:r>
      <w:r w:rsidR="00147E85">
        <w:rPr>
          <w:rFonts w:ascii="Calibri" w:hAnsi="Calibri" w:cs="Arial"/>
          <w:vertAlign w:val="superscript"/>
        </w:rPr>
        <w:t>14,15</w:t>
      </w:r>
      <w:r>
        <w:rPr>
          <w:rFonts w:ascii="Calibri" w:hAnsi="Calibri" w:cs="Arial"/>
        </w:rPr>
        <w:t>, Olivia</w:t>
      </w:r>
      <w:r w:rsidRPr="00E35541">
        <w:rPr>
          <w:rFonts w:ascii="Calibri" w:hAnsi="Calibri" w:cs="Arial"/>
        </w:rPr>
        <w:t xml:space="preserve"> Keiser</w:t>
      </w:r>
      <w:r w:rsidR="00147E85">
        <w:rPr>
          <w:rFonts w:ascii="Calibri" w:hAnsi="Calibri" w:cs="Arial"/>
          <w:vertAlign w:val="superscript"/>
        </w:rPr>
        <w:t>10</w:t>
      </w:r>
      <w:r>
        <w:rPr>
          <w:rFonts w:ascii="Calibri" w:hAnsi="Calibri" w:cs="Arial"/>
        </w:rPr>
        <w:t>, Deborah</w:t>
      </w:r>
      <w:r w:rsidRPr="00E35541">
        <w:rPr>
          <w:rFonts w:ascii="Calibri" w:hAnsi="Calibri" w:cs="Arial"/>
        </w:rPr>
        <w:t xml:space="preserve"> Ford</w:t>
      </w:r>
      <w:r w:rsidR="00147E85">
        <w:rPr>
          <w:rFonts w:ascii="Calibri" w:hAnsi="Calibri" w:cs="Arial"/>
          <w:vertAlign w:val="superscript"/>
        </w:rPr>
        <w:t>16</w:t>
      </w:r>
      <w:r>
        <w:rPr>
          <w:rFonts w:ascii="Calibri" w:hAnsi="Calibri" w:cs="Arial"/>
        </w:rPr>
        <w:t>, Karin</w:t>
      </w:r>
      <w:r w:rsidRPr="00E35541">
        <w:rPr>
          <w:rFonts w:ascii="Calibri" w:hAnsi="Calibri" w:cs="Arial"/>
        </w:rPr>
        <w:t xml:space="preserve"> Hatzold</w:t>
      </w:r>
      <w:r w:rsidR="00147E85">
        <w:rPr>
          <w:rFonts w:ascii="Calibri" w:hAnsi="Calibri" w:cs="Arial"/>
          <w:vertAlign w:val="superscript"/>
        </w:rPr>
        <w:t>17</w:t>
      </w:r>
      <w:r>
        <w:rPr>
          <w:rFonts w:ascii="Calibri" w:hAnsi="Calibri" w:cs="Arial"/>
        </w:rPr>
        <w:t>, Ruanne</w:t>
      </w:r>
      <w:r w:rsidRPr="00E35541">
        <w:rPr>
          <w:rFonts w:ascii="Calibri" w:hAnsi="Calibri" w:cs="Arial"/>
        </w:rPr>
        <w:t xml:space="preserve"> Barnabas</w:t>
      </w:r>
      <w:r w:rsidR="00147E85">
        <w:rPr>
          <w:rFonts w:ascii="Calibri" w:hAnsi="Calibri" w:cs="Arial"/>
          <w:vertAlign w:val="superscript"/>
        </w:rPr>
        <w:t>18</w:t>
      </w:r>
      <w:r>
        <w:rPr>
          <w:rFonts w:ascii="Calibri" w:hAnsi="Calibri" w:cs="Arial"/>
        </w:rPr>
        <w:t>, Helen</w:t>
      </w:r>
      <w:r w:rsidRPr="00E35541">
        <w:rPr>
          <w:rFonts w:ascii="Calibri" w:hAnsi="Calibri" w:cs="Arial"/>
        </w:rPr>
        <w:t xml:space="preserve"> Ayles</w:t>
      </w:r>
      <w:r w:rsidR="00147E85">
        <w:rPr>
          <w:rFonts w:ascii="Calibri" w:hAnsi="Calibri" w:cs="Arial"/>
          <w:vertAlign w:val="superscript"/>
        </w:rPr>
        <w:t>19</w:t>
      </w:r>
      <w:r>
        <w:rPr>
          <w:rFonts w:ascii="Calibri" w:hAnsi="Calibri" w:cs="Arial"/>
        </w:rPr>
        <w:t>, Gesine</w:t>
      </w:r>
      <w:r w:rsidRPr="00E35541">
        <w:rPr>
          <w:rFonts w:ascii="Calibri" w:hAnsi="Calibri" w:cs="Arial"/>
        </w:rPr>
        <w:t xml:space="preserve"> Meyer</w:t>
      </w:r>
      <w:r>
        <w:rPr>
          <w:rFonts w:ascii="Calibri" w:hAnsi="Calibri" w:cs="Arial"/>
        </w:rPr>
        <w:t>-</w:t>
      </w:r>
      <w:r w:rsidRPr="00E35541">
        <w:rPr>
          <w:rFonts w:ascii="Calibri" w:hAnsi="Calibri" w:cs="Arial"/>
        </w:rPr>
        <w:t>Rath</w:t>
      </w:r>
      <w:r w:rsidR="00147E85">
        <w:rPr>
          <w:rFonts w:ascii="Calibri" w:hAnsi="Calibri" w:cs="Arial"/>
          <w:vertAlign w:val="superscript"/>
        </w:rPr>
        <w:t>20,21</w:t>
      </w:r>
      <w:r w:rsidRPr="00E35541">
        <w:rPr>
          <w:rFonts w:ascii="Calibri" w:hAnsi="Calibri" w:cs="Arial"/>
        </w:rPr>
        <w:t>,</w:t>
      </w:r>
      <w:r>
        <w:rPr>
          <w:rFonts w:ascii="Calibri" w:hAnsi="Calibri" w:cs="Arial"/>
        </w:rPr>
        <w:t xml:space="preserve"> Lisa </w:t>
      </w:r>
      <w:r w:rsidRPr="00E35541">
        <w:rPr>
          <w:rFonts w:ascii="Calibri" w:hAnsi="Calibri" w:cs="Arial"/>
        </w:rPr>
        <w:t>Nelson</w:t>
      </w:r>
      <w:r w:rsidR="00147E85">
        <w:rPr>
          <w:rFonts w:ascii="Calibri" w:hAnsi="Calibri" w:cs="Arial"/>
          <w:vertAlign w:val="superscript"/>
        </w:rPr>
        <w:t>22</w:t>
      </w:r>
      <w:r>
        <w:rPr>
          <w:rFonts w:ascii="Calibri" w:hAnsi="Calibri" w:cs="Arial"/>
        </w:rPr>
        <w:t>, Cheryl</w:t>
      </w:r>
      <w:r w:rsidRPr="00E35541">
        <w:rPr>
          <w:rFonts w:ascii="Calibri" w:hAnsi="Calibri" w:cs="Arial"/>
        </w:rPr>
        <w:t xml:space="preserve"> Johnson</w:t>
      </w:r>
      <w:r w:rsidR="00147E85">
        <w:rPr>
          <w:rFonts w:ascii="Calibri" w:hAnsi="Calibri" w:cs="Arial"/>
          <w:vertAlign w:val="superscript"/>
        </w:rPr>
        <w:t>23</w:t>
      </w:r>
      <w:r w:rsidRPr="00E35541">
        <w:rPr>
          <w:rFonts w:ascii="Calibri" w:hAnsi="Calibri" w:cs="Arial"/>
        </w:rPr>
        <w:t>, R</w:t>
      </w:r>
      <w:r>
        <w:rPr>
          <w:rFonts w:ascii="Calibri" w:hAnsi="Calibri" w:cs="Arial"/>
        </w:rPr>
        <w:t>achel</w:t>
      </w:r>
      <w:r w:rsidRPr="00E35541">
        <w:rPr>
          <w:rFonts w:ascii="Calibri" w:hAnsi="Calibri" w:cs="Arial"/>
        </w:rPr>
        <w:t xml:space="preserve"> Baggaley</w:t>
      </w:r>
      <w:r w:rsidR="00C75557">
        <w:rPr>
          <w:rFonts w:ascii="Calibri" w:hAnsi="Calibri" w:cs="Arial"/>
          <w:vertAlign w:val="superscript"/>
        </w:rPr>
        <w:t>23</w:t>
      </w:r>
      <w:r>
        <w:rPr>
          <w:rFonts w:ascii="Calibri" w:hAnsi="Calibri" w:cs="Arial"/>
        </w:rPr>
        <w:t>, Ade</w:t>
      </w:r>
      <w:r w:rsidRPr="00E35541">
        <w:rPr>
          <w:rFonts w:ascii="Calibri" w:hAnsi="Calibri" w:cs="Arial"/>
        </w:rPr>
        <w:t xml:space="preserve"> Fakoya</w:t>
      </w:r>
      <w:r w:rsidR="00C75557">
        <w:rPr>
          <w:rFonts w:ascii="Calibri" w:hAnsi="Calibri" w:cs="Arial"/>
          <w:vertAlign w:val="superscript"/>
        </w:rPr>
        <w:t>24</w:t>
      </w:r>
      <w:r>
        <w:rPr>
          <w:rFonts w:ascii="Calibri" w:hAnsi="Calibri" w:cs="Arial"/>
        </w:rPr>
        <w:t>, Andreas</w:t>
      </w:r>
      <w:r w:rsidRPr="00E35541">
        <w:rPr>
          <w:rFonts w:ascii="Calibri" w:hAnsi="Calibri" w:cs="Arial"/>
        </w:rPr>
        <w:t xml:space="preserve"> Jahn</w:t>
      </w:r>
      <w:r w:rsidR="00C75557">
        <w:rPr>
          <w:rFonts w:ascii="Calibri" w:hAnsi="Calibri" w:cs="Arial"/>
          <w:vertAlign w:val="superscript"/>
        </w:rPr>
        <w:t>25</w:t>
      </w:r>
      <w:r>
        <w:rPr>
          <w:rFonts w:ascii="Calibri" w:hAnsi="Calibri" w:cs="Arial"/>
        </w:rPr>
        <w:t>, Paul</w:t>
      </w:r>
      <w:r w:rsidRPr="00E35541">
        <w:rPr>
          <w:rFonts w:ascii="Calibri" w:hAnsi="Calibri" w:cs="Arial"/>
        </w:rPr>
        <w:t xml:space="preserve"> Revill</w:t>
      </w:r>
      <w:r w:rsidRPr="00E35541">
        <w:rPr>
          <w:rFonts w:ascii="Calibri" w:hAnsi="Calibri" w:cs="Arial"/>
          <w:vertAlign w:val="superscript"/>
        </w:rPr>
        <w:t>5</w:t>
      </w:r>
    </w:p>
    <w:p w:rsidR="0003789B" w:rsidRPr="00E35541" w:rsidRDefault="0003789B" w:rsidP="00873766">
      <w:pPr>
        <w:autoSpaceDE w:val="0"/>
        <w:autoSpaceDN w:val="0"/>
        <w:adjustRightInd w:val="0"/>
        <w:spacing w:after="0" w:line="360" w:lineRule="auto"/>
        <w:rPr>
          <w:rFonts w:ascii="Calibri" w:hAnsi="Calibri" w:cs="Arial"/>
        </w:rPr>
      </w:pPr>
    </w:p>
    <w:p w:rsidR="0003789B" w:rsidRPr="00E35541" w:rsidRDefault="0003789B" w:rsidP="00873766">
      <w:pPr>
        <w:autoSpaceDE w:val="0"/>
        <w:autoSpaceDN w:val="0"/>
        <w:adjustRightInd w:val="0"/>
        <w:spacing w:after="0" w:line="360" w:lineRule="auto"/>
        <w:rPr>
          <w:rFonts w:ascii="Calibri" w:hAnsi="Calibri" w:cs="Arial"/>
          <w:i/>
          <w:iCs/>
          <w:lang w:bidi="he-IL"/>
        </w:rPr>
      </w:pPr>
      <w:r w:rsidRPr="00E35541">
        <w:rPr>
          <w:rFonts w:ascii="Calibri" w:hAnsi="Calibri" w:cs="Arial"/>
          <w:i/>
          <w:iCs/>
          <w:lang w:bidi="he-IL"/>
        </w:rPr>
        <w:t>1</w:t>
      </w:r>
      <w:r>
        <w:rPr>
          <w:rFonts w:ascii="Calibri" w:hAnsi="Calibri" w:cs="Arial"/>
          <w:i/>
          <w:iCs/>
          <w:lang w:bidi="he-IL"/>
        </w:rPr>
        <w:t xml:space="preserve"> </w:t>
      </w:r>
      <w:r w:rsidRPr="00E35541">
        <w:rPr>
          <w:rFonts w:ascii="Calibri" w:hAnsi="Calibri" w:cs="Arial"/>
          <w:i/>
          <w:iCs/>
          <w:lang w:bidi="he-IL"/>
        </w:rPr>
        <w:t>Institute for Global Health, UCL, London,</w:t>
      </w:r>
      <w:r>
        <w:rPr>
          <w:rFonts w:ascii="Calibri" w:hAnsi="Calibri" w:cs="Arial"/>
          <w:i/>
          <w:iCs/>
          <w:lang w:bidi="he-IL"/>
        </w:rPr>
        <w:t xml:space="preserve"> United Kingdom;</w:t>
      </w:r>
      <w:r w:rsidRPr="00E35541">
        <w:rPr>
          <w:rFonts w:ascii="Calibri" w:hAnsi="Calibri" w:cs="Arial"/>
          <w:i/>
          <w:iCs/>
          <w:lang w:bidi="he-IL"/>
        </w:rPr>
        <w:t xml:space="preserve"> 2</w:t>
      </w:r>
      <w:r>
        <w:rPr>
          <w:rFonts w:ascii="Calibri" w:hAnsi="Calibri" w:cs="Arial"/>
          <w:i/>
          <w:iCs/>
          <w:lang w:bidi="he-IL"/>
        </w:rPr>
        <w:t xml:space="preserve"> </w:t>
      </w:r>
      <w:r w:rsidRPr="00E35541">
        <w:rPr>
          <w:rFonts w:ascii="Calibri" w:hAnsi="Calibri" w:cs="Arial"/>
          <w:i/>
          <w:iCs/>
          <w:lang w:bidi="he-IL"/>
        </w:rPr>
        <w:t xml:space="preserve">Burnet </w:t>
      </w:r>
      <w:r>
        <w:rPr>
          <w:rFonts w:ascii="Calibri" w:hAnsi="Calibri" w:cs="Arial"/>
          <w:i/>
          <w:iCs/>
          <w:lang w:bidi="he-IL"/>
        </w:rPr>
        <w:t>Institute, Melbourne, Australia;</w:t>
      </w:r>
    </w:p>
    <w:p w:rsidR="0003789B" w:rsidRPr="00E35541" w:rsidRDefault="0003789B" w:rsidP="00873766">
      <w:pPr>
        <w:autoSpaceDE w:val="0"/>
        <w:autoSpaceDN w:val="0"/>
        <w:adjustRightInd w:val="0"/>
        <w:spacing w:after="0" w:line="360" w:lineRule="auto"/>
        <w:rPr>
          <w:rFonts w:ascii="Calibri" w:hAnsi="Calibri" w:cs="Arial"/>
          <w:i/>
          <w:iCs/>
          <w:lang w:bidi="he-IL"/>
        </w:rPr>
      </w:pPr>
      <w:r w:rsidRPr="00E35541">
        <w:rPr>
          <w:rFonts w:ascii="Calibri" w:hAnsi="Calibri" w:cs="Arial"/>
          <w:i/>
          <w:iCs/>
          <w:lang w:bidi="he-IL"/>
        </w:rPr>
        <w:t>3</w:t>
      </w:r>
      <w:r>
        <w:rPr>
          <w:rFonts w:ascii="Calibri" w:hAnsi="Calibri" w:cs="Arial"/>
          <w:i/>
          <w:iCs/>
          <w:lang w:bidi="he-IL"/>
        </w:rPr>
        <w:t xml:space="preserve"> </w:t>
      </w:r>
      <w:r w:rsidRPr="00E35541">
        <w:rPr>
          <w:rFonts w:ascii="Calibri" w:hAnsi="Calibri" w:cs="Arial"/>
          <w:i/>
          <w:iCs/>
          <w:lang w:bidi="he-IL"/>
        </w:rPr>
        <w:t>National Institut</w:t>
      </w:r>
      <w:r>
        <w:rPr>
          <w:rFonts w:ascii="Calibri" w:hAnsi="Calibri" w:cs="Arial"/>
          <w:i/>
          <w:iCs/>
          <w:lang w:bidi="he-IL"/>
        </w:rPr>
        <w:t>e of Health, Maputo, Mozambique]</w:t>
      </w:r>
      <w:r w:rsidRPr="00E35541">
        <w:rPr>
          <w:rFonts w:ascii="Calibri" w:hAnsi="Calibri" w:cs="Arial"/>
          <w:i/>
          <w:iCs/>
          <w:lang w:bidi="he-IL"/>
        </w:rPr>
        <w:t xml:space="preserve"> 4</w:t>
      </w:r>
      <w:r>
        <w:rPr>
          <w:rFonts w:ascii="Calibri" w:hAnsi="Calibri" w:cs="Arial"/>
          <w:i/>
          <w:iCs/>
          <w:lang w:bidi="he-IL"/>
        </w:rPr>
        <w:t xml:space="preserve"> Mi</w:t>
      </w:r>
      <w:r w:rsidRPr="00E35541">
        <w:rPr>
          <w:rFonts w:ascii="Calibri" w:hAnsi="Calibri" w:cs="Arial"/>
          <w:i/>
          <w:iCs/>
          <w:lang w:bidi="he-IL"/>
        </w:rPr>
        <w:t>nistry of Health, Zimbabwe, Harare,</w:t>
      </w:r>
    </w:p>
    <w:p w:rsidR="0003789B" w:rsidRDefault="0003789B" w:rsidP="00873766">
      <w:pPr>
        <w:autoSpaceDE w:val="0"/>
        <w:autoSpaceDN w:val="0"/>
        <w:adjustRightInd w:val="0"/>
        <w:spacing w:after="0" w:line="360" w:lineRule="auto"/>
        <w:rPr>
          <w:rFonts w:ascii="Calibri" w:hAnsi="Calibri" w:cs="Arial"/>
          <w:i/>
          <w:iCs/>
          <w:lang w:bidi="he-IL"/>
        </w:rPr>
      </w:pPr>
      <w:r>
        <w:rPr>
          <w:rFonts w:ascii="Calibri" w:hAnsi="Calibri" w:cs="Arial"/>
          <w:i/>
          <w:iCs/>
          <w:lang w:bidi="he-IL"/>
        </w:rPr>
        <w:t>Zimbabwe;</w:t>
      </w:r>
      <w:r w:rsidRPr="00E35541">
        <w:rPr>
          <w:rFonts w:ascii="Calibri" w:hAnsi="Calibri" w:cs="Arial"/>
          <w:i/>
          <w:iCs/>
          <w:lang w:bidi="he-IL"/>
        </w:rPr>
        <w:t xml:space="preserve"> 5</w:t>
      </w:r>
      <w:r>
        <w:rPr>
          <w:rFonts w:ascii="Calibri" w:hAnsi="Calibri" w:cs="Arial"/>
          <w:i/>
          <w:iCs/>
          <w:lang w:bidi="he-IL"/>
        </w:rPr>
        <w:t xml:space="preserve"> </w:t>
      </w:r>
      <w:r w:rsidR="00392E66" w:rsidRPr="00392E66">
        <w:rPr>
          <w:rFonts w:ascii="Calibri" w:hAnsi="Calibri" w:cs="Arial"/>
          <w:i/>
          <w:iCs/>
          <w:lang w:bidi="he-IL"/>
        </w:rPr>
        <w:t>Centre for Health Economics</w:t>
      </w:r>
      <w:r w:rsidR="00392E66">
        <w:rPr>
          <w:rFonts w:ascii="Calibri" w:hAnsi="Calibri" w:cs="Arial"/>
          <w:i/>
          <w:iCs/>
          <w:lang w:bidi="he-IL"/>
        </w:rPr>
        <w:t>,</w:t>
      </w:r>
      <w:r w:rsidR="00392E66" w:rsidRPr="00392E66">
        <w:rPr>
          <w:rFonts w:ascii="Calibri" w:hAnsi="Calibri" w:cs="Arial"/>
          <w:i/>
          <w:iCs/>
          <w:lang w:bidi="he-IL"/>
        </w:rPr>
        <w:t xml:space="preserve"> </w:t>
      </w:r>
      <w:r w:rsidRPr="00E35541">
        <w:rPr>
          <w:rFonts w:ascii="Calibri" w:hAnsi="Calibri" w:cs="Arial"/>
          <w:i/>
          <w:iCs/>
          <w:lang w:bidi="he-IL"/>
        </w:rPr>
        <w:t>Universit</w:t>
      </w:r>
      <w:r>
        <w:rPr>
          <w:rFonts w:ascii="Calibri" w:hAnsi="Calibri" w:cs="Arial"/>
          <w:i/>
          <w:iCs/>
          <w:lang w:bidi="he-IL"/>
        </w:rPr>
        <w:t>y of York, York, United Kingdom;</w:t>
      </w:r>
      <w:r w:rsidRPr="00E35541">
        <w:rPr>
          <w:rFonts w:ascii="Calibri" w:hAnsi="Calibri" w:cs="Arial"/>
          <w:i/>
          <w:iCs/>
          <w:lang w:bidi="he-IL"/>
        </w:rPr>
        <w:t xml:space="preserve"> 6</w:t>
      </w:r>
      <w:r w:rsidR="00AD7E0F">
        <w:rPr>
          <w:rFonts w:ascii="Calibri" w:hAnsi="Calibri" w:cs="Arial"/>
          <w:i/>
          <w:iCs/>
          <w:lang w:bidi="he-IL"/>
        </w:rPr>
        <w:t xml:space="preserve"> </w:t>
      </w:r>
      <w:r w:rsidR="00AD7E0F" w:rsidRPr="00AD7E0F">
        <w:rPr>
          <w:rFonts w:ascii="Calibri" w:hAnsi="Calibri" w:cs="Arial"/>
          <w:i/>
          <w:iCs/>
          <w:lang w:bidi="he-IL"/>
        </w:rPr>
        <w:t xml:space="preserve">Department of Infectious Disease Epidemiology, </w:t>
      </w:r>
      <w:r w:rsidRPr="00E35541">
        <w:rPr>
          <w:rFonts w:ascii="Calibri" w:hAnsi="Calibri" w:cs="Arial"/>
          <w:i/>
          <w:iCs/>
          <w:lang w:bidi="he-IL"/>
        </w:rPr>
        <w:t>Imperial College London, London, United</w:t>
      </w:r>
      <w:r w:rsidR="00AD7E0F">
        <w:rPr>
          <w:rFonts w:ascii="Calibri" w:hAnsi="Calibri" w:cs="Arial"/>
          <w:i/>
          <w:iCs/>
          <w:lang w:bidi="he-IL"/>
        </w:rPr>
        <w:t xml:space="preserve"> </w:t>
      </w:r>
      <w:r>
        <w:rPr>
          <w:rFonts w:ascii="Calibri" w:hAnsi="Calibri" w:cs="Arial"/>
          <w:i/>
          <w:iCs/>
          <w:lang w:bidi="he-IL"/>
        </w:rPr>
        <w:t>Kingdom;</w:t>
      </w:r>
      <w:r w:rsidRPr="00E35541">
        <w:rPr>
          <w:rFonts w:ascii="Calibri" w:hAnsi="Calibri" w:cs="Arial"/>
          <w:i/>
          <w:iCs/>
          <w:lang w:bidi="he-IL"/>
        </w:rPr>
        <w:t xml:space="preserve"> 7</w:t>
      </w:r>
      <w:r>
        <w:rPr>
          <w:rFonts w:ascii="Calibri" w:hAnsi="Calibri" w:cs="Arial"/>
          <w:i/>
          <w:iCs/>
          <w:lang w:bidi="he-IL"/>
        </w:rPr>
        <w:t xml:space="preserve"> </w:t>
      </w:r>
      <w:r w:rsidRPr="00E35541">
        <w:rPr>
          <w:rFonts w:ascii="Calibri" w:hAnsi="Calibri" w:cs="Arial"/>
          <w:i/>
          <w:iCs/>
          <w:lang w:bidi="he-IL"/>
        </w:rPr>
        <w:t>Universi</w:t>
      </w:r>
      <w:r>
        <w:rPr>
          <w:rFonts w:ascii="Calibri" w:hAnsi="Calibri" w:cs="Arial"/>
          <w:i/>
          <w:iCs/>
          <w:lang w:bidi="he-IL"/>
        </w:rPr>
        <w:t>ty of Sydney, Sydney, Australia;</w:t>
      </w:r>
      <w:r w:rsidRPr="00E35541">
        <w:rPr>
          <w:rFonts w:ascii="Calibri" w:hAnsi="Calibri" w:cs="Arial"/>
          <w:i/>
          <w:iCs/>
          <w:lang w:bidi="he-IL"/>
        </w:rPr>
        <w:t xml:space="preserve"> 8</w:t>
      </w:r>
      <w:r>
        <w:rPr>
          <w:rFonts w:ascii="Calibri" w:hAnsi="Calibri" w:cs="Arial"/>
          <w:i/>
          <w:iCs/>
          <w:lang w:bidi="he-IL"/>
        </w:rPr>
        <w:t xml:space="preserve"> </w:t>
      </w:r>
      <w:r w:rsidRPr="00E35541">
        <w:rPr>
          <w:rFonts w:ascii="Calibri" w:hAnsi="Calibri" w:cs="Arial"/>
          <w:i/>
          <w:iCs/>
          <w:lang w:bidi="he-IL"/>
        </w:rPr>
        <w:t>Dignit</w:t>
      </w:r>
      <w:r>
        <w:rPr>
          <w:rFonts w:ascii="Calibri" w:hAnsi="Calibri" w:cs="Arial"/>
          <w:i/>
          <w:iCs/>
          <w:lang w:bidi="he-IL"/>
        </w:rPr>
        <w:t>as International, Zomba, Malawi;</w:t>
      </w:r>
      <w:r w:rsidR="00C75557">
        <w:rPr>
          <w:rFonts w:ascii="Calibri" w:hAnsi="Calibri" w:cs="Arial"/>
          <w:i/>
          <w:iCs/>
          <w:lang w:bidi="he-IL"/>
        </w:rPr>
        <w:t xml:space="preserve"> 9 College of Medicine, Malawi; 10</w:t>
      </w:r>
      <w:r>
        <w:rPr>
          <w:rFonts w:ascii="Calibri" w:hAnsi="Calibri" w:cs="Arial"/>
          <w:i/>
          <w:iCs/>
          <w:lang w:bidi="he-IL"/>
        </w:rPr>
        <w:t xml:space="preserve"> Institute of Global Health, </w:t>
      </w:r>
      <w:r w:rsidRPr="00E35541">
        <w:rPr>
          <w:rFonts w:ascii="Calibri" w:hAnsi="Calibri" w:cs="Arial"/>
          <w:i/>
          <w:iCs/>
          <w:lang w:bidi="he-IL"/>
        </w:rPr>
        <w:t>University</w:t>
      </w:r>
      <w:r>
        <w:rPr>
          <w:rFonts w:ascii="Calibri" w:hAnsi="Calibri" w:cs="Arial"/>
          <w:i/>
          <w:iCs/>
          <w:lang w:bidi="he-IL"/>
        </w:rPr>
        <w:t xml:space="preserve"> of Geneva, Geneva, Switzerland;</w:t>
      </w:r>
      <w:r w:rsidR="00C75557">
        <w:rPr>
          <w:rFonts w:ascii="Calibri" w:hAnsi="Calibri" w:cs="Arial"/>
          <w:i/>
          <w:iCs/>
          <w:lang w:bidi="he-IL"/>
        </w:rPr>
        <w:t xml:space="preserve"> 11</w:t>
      </w:r>
      <w:r>
        <w:rPr>
          <w:rFonts w:ascii="Calibri" w:hAnsi="Calibri" w:cs="Arial"/>
          <w:i/>
          <w:iCs/>
          <w:lang w:bidi="he-IL"/>
        </w:rPr>
        <w:t xml:space="preserve"> </w:t>
      </w:r>
      <w:r w:rsidR="00DE1FE5" w:rsidRPr="00935778">
        <w:rPr>
          <w:i/>
        </w:rPr>
        <w:t>Institute of Mathematical Statistics and Actuarial Science, University of Bern, Bern, Switzerland</w:t>
      </w:r>
      <w:r w:rsidR="00DE1FE5">
        <w:t xml:space="preserve">; 12 </w:t>
      </w:r>
      <w:r w:rsidRPr="00E35541">
        <w:rPr>
          <w:rFonts w:ascii="Calibri" w:hAnsi="Calibri" w:cs="Arial"/>
          <w:i/>
          <w:iCs/>
          <w:lang w:bidi="he-IL"/>
        </w:rPr>
        <w:t>SACEMA, Stellenbosch University, Stellenbosch,</w:t>
      </w:r>
      <w:r>
        <w:rPr>
          <w:rFonts w:ascii="Calibri" w:hAnsi="Calibri" w:cs="Arial"/>
          <w:i/>
          <w:iCs/>
          <w:lang w:bidi="he-IL"/>
        </w:rPr>
        <w:t xml:space="preserve"> South Africa;</w:t>
      </w:r>
      <w:r w:rsidR="00DE1FE5">
        <w:rPr>
          <w:rFonts w:ascii="Calibri" w:hAnsi="Calibri" w:cs="Arial"/>
          <w:i/>
          <w:iCs/>
          <w:lang w:bidi="he-IL"/>
        </w:rPr>
        <w:t xml:space="preserve"> 13</w:t>
      </w:r>
      <w:r>
        <w:rPr>
          <w:rFonts w:ascii="Calibri" w:hAnsi="Calibri" w:cs="Arial"/>
          <w:i/>
          <w:iCs/>
          <w:lang w:bidi="he-IL"/>
        </w:rPr>
        <w:t xml:space="preserve"> Clinton Health Access Initiative (</w:t>
      </w:r>
      <w:r w:rsidRPr="00E35541">
        <w:rPr>
          <w:rFonts w:ascii="Calibri" w:hAnsi="Calibri" w:cs="Arial"/>
          <w:i/>
          <w:iCs/>
          <w:lang w:bidi="he-IL"/>
        </w:rPr>
        <w:t>CHAI</w:t>
      </w:r>
      <w:r>
        <w:rPr>
          <w:rFonts w:ascii="Calibri" w:hAnsi="Calibri" w:cs="Arial"/>
          <w:i/>
          <w:iCs/>
          <w:lang w:bidi="he-IL"/>
        </w:rPr>
        <w:t>), New York, United States;</w:t>
      </w:r>
      <w:r w:rsidR="00DE1FE5">
        <w:rPr>
          <w:rFonts w:ascii="Calibri" w:hAnsi="Calibri" w:cs="Arial"/>
          <w:i/>
          <w:iCs/>
          <w:lang w:bidi="he-IL"/>
        </w:rPr>
        <w:t xml:space="preserve"> 14 CeSHHAR, Harare, Zimbabwe; 15</w:t>
      </w:r>
      <w:r>
        <w:rPr>
          <w:rFonts w:ascii="Calibri" w:hAnsi="Calibri" w:cs="Arial"/>
          <w:i/>
          <w:iCs/>
          <w:lang w:bidi="he-IL"/>
        </w:rPr>
        <w:t xml:space="preserve"> Liverpool School of Trop</w:t>
      </w:r>
      <w:r w:rsidR="00DE1FE5">
        <w:rPr>
          <w:rFonts w:ascii="Calibri" w:hAnsi="Calibri" w:cs="Arial"/>
          <w:i/>
          <w:iCs/>
          <w:lang w:bidi="he-IL"/>
        </w:rPr>
        <w:t>ical Medicine, Liverpool, UK; 16</w:t>
      </w:r>
      <w:r>
        <w:rPr>
          <w:rFonts w:ascii="Calibri" w:hAnsi="Calibri" w:cs="Arial"/>
          <w:i/>
          <w:iCs/>
          <w:lang w:bidi="he-IL"/>
        </w:rPr>
        <w:t xml:space="preserve"> MRC Clinical Trials Unit at </w:t>
      </w:r>
      <w:r w:rsidRPr="00E35541">
        <w:rPr>
          <w:rFonts w:ascii="Calibri" w:hAnsi="Calibri" w:cs="Arial"/>
          <w:i/>
          <w:iCs/>
          <w:lang w:bidi="he-IL"/>
        </w:rPr>
        <w:t xml:space="preserve">UCL, </w:t>
      </w:r>
      <w:r>
        <w:rPr>
          <w:rFonts w:ascii="Calibri" w:hAnsi="Calibri" w:cs="Arial"/>
          <w:i/>
          <w:iCs/>
          <w:lang w:bidi="he-IL"/>
        </w:rPr>
        <w:t xml:space="preserve">UCL, </w:t>
      </w:r>
      <w:r w:rsidRPr="00E35541">
        <w:rPr>
          <w:rFonts w:ascii="Calibri" w:hAnsi="Calibri" w:cs="Arial"/>
          <w:i/>
          <w:iCs/>
          <w:lang w:bidi="he-IL"/>
        </w:rPr>
        <w:t>London,</w:t>
      </w:r>
      <w:r w:rsidR="00DE1FE5">
        <w:rPr>
          <w:rFonts w:ascii="Calibri" w:hAnsi="Calibri" w:cs="Arial"/>
          <w:i/>
          <w:iCs/>
          <w:lang w:bidi="he-IL"/>
        </w:rPr>
        <w:t xml:space="preserve"> United Kingdom; 17 PSI, Harare, Zimbabwe; 18</w:t>
      </w:r>
      <w:r>
        <w:rPr>
          <w:rFonts w:ascii="Calibri" w:hAnsi="Calibri" w:cs="Arial"/>
          <w:i/>
          <w:iCs/>
          <w:lang w:bidi="he-IL"/>
        </w:rPr>
        <w:t xml:space="preserve"> </w:t>
      </w:r>
      <w:r w:rsidRPr="00E35541">
        <w:rPr>
          <w:rFonts w:ascii="Calibri" w:hAnsi="Calibri" w:cs="Arial"/>
          <w:i/>
          <w:iCs/>
          <w:lang w:bidi="he-IL"/>
        </w:rPr>
        <w:t>University of Was</w:t>
      </w:r>
      <w:r>
        <w:rPr>
          <w:rFonts w:ascii="Calibri" w:hAnsi="Calibri" w:cs="Arial"/>
          <w:i/>
          <w:iCs/>
          <w:lang w:bidi="he-IL"/>
        </w:rPr>
        <w:t>hin</w:t>
      </w:r>
      <w:r w:rsidR="00DE1FE5">
        <w:rPr>
          <w:rFonts w:ascii="Calibri" w:hAnsi="Calibri" w:cs="Arial"/>
          <w:i/>
          <w:iCs/>
          <w:lang w:bidi="he-IL"/>
        </w:rPr>
        <w:t>gton, Seattle, United States; 19</w:t>
      </w:r>
      <w:r w:rsidR="00C75557">
        <w:rPr>
          <w:rFonts w:ascii="Calibri" w:hAnsi="Calibri" w:cs="Arial"/>
          <w:i/>
          <w:iCs/>
          <w:lang w:bidi="he-IL"/>
        </w:rPr>
        <w:t xml:space="preserve"> ZAMBART, Lusaka, </w:t>
      </w:r>
      <w:r w:rsidR="00DE1FE5">
        <w:rPr>
          <w:rFonts w:ascii="Calibri" w:hAnsi="Calibri" w:cs="Arial"/>
          <w:i/>
          <w:iCs/>
          <w:lang w:bidi="he-IL"/>
        </w:rPr>
        <w:t>Zambia;  20</w:t>
      </w:r>
      <w:r>
        <w:rPr>
          <w:rFonts w:ascii="Calibri" w:hAnsi="Calibri" w:cs="Arial"/>
          <w:i/>
          <w:iCs/>
          <w:lang w:bidi="he-IL"/>
        </w:rPr>
        <w:t xml:space="preserve"> </w:t>
      </w:r>
      <w:r w:rsidR="00935778" w:rsidRPr="00935778">
        <w:rPr>
          <w:rFonts w:ascii="Calibri" w:hAnsi="Calibri" w:cs="Arial"/>
          <w:i/>
          <w:iCs/>
          <w:lang w:bidi="he-IL"/>
        </w:rPr>
        <w:t>Health Economics and Epidemiology Research Office, Department of Internal Medicine, Faculty of Health Sciences, University of the Witwatersrand, Johannesburg, South Africa</w:t>
      </w:r>
      <w:r w:rsidR="00DE1FE5" w:rsidRPr="00935778">
        <w:rPr>
          <w:rFonts w:ascii="Calibri" w:hAnsi="Calibri" w:cs="Arial"/>
          <w:i/>
          <w:iCs/>
          <w:lang w:bidi="he-IL"/>
        </w:rPr>
        <w:t>; 21</w:t>
      </w:r>
      <w:r>
        <w:rPr>
          <w:rFonts w:ascii="Calibri" w:hAnsi="Calibri" w:cs="Arial"/>
          <w:i/>
          <w:iCs/>
          <w:lang w:bidi="he-IL"/>
        </w:rPr>
        <w:t xml:space="preserve"> </w:t>
      </w:r>
      <w:r w:rsidR="00935778" w:rsidRPr="00935778">
        <w:rPr>
          <w:rFonts w:ascii="Calibri" w:hAnsi="Calibri" w:cs="Arial"/>
          <w:i/>
          <w:iCs/>
          <w:lang w:bidi="he-IL"/>
        </w:rPr>
        <w:t>Department for Global Health, Boston University, Boston, MA, USA</w:t>
      </w:r>
      <w:r w:rsidR="00DE1FE5">
        <w:rPr>
          <w:rFonts w:ascii="Calibri" w:hAnsi="Calibri" w:cs="Arial"/>
          <w:i/>
          <w:iCs/>
          <w:lang w:bidi="he-IL"/>
        </w:rPr>
        <w:t>; 22 CDC Uganda, Kampala, Uganda; 23</w:t>
      </w:r>
      <w:r>
        <w:rPr>
          <w:rFonts w:ascii="Calibri" w:hAnsi="Calibri" w:cs="Arial"/>
          <w:i/>
          <w:iCs/>
          <w:lang w:bidi="he-IL"/>
        </w:rPr>
        <w:t xml:space="preserve"> </w:t>
      </w:r>
      <w:r w:rsidRPr="00E35541">
        <w:rPr>
          <w:rFonts w:ascii="Calibri" w:hAnsi="Calibri" w:cs="Arial"/>
          <w:i/>
          <w:iCs/>
          <w:lang w:bidi="he-IL"/>
        </w:rPr>
        <w:t>World</w:t>
      </w:r>
      <w:r>
        <w:rPr>
          <w:rFonts w:ascii="Calibri" w:hAnsi="Calibri" w:cs="Arial"/>
          <w:i/>
          <w:iCs/>
          <w:lang w:bidi="he-IL"/>
        </w:rPr>
        <w:t xml:space="preserve"> </w:t>
      </w:r>
      <w:r w:rsidRPr="00E35541">
        <w:rPr>
          <w:rFonts w:ascii="Calibri" w:hAnsi="Calibri" w:cs="Arial"/>
          <w:i/>
          <w:iCs/>
          <w:lang w:bidi="he-IL"/>
        </w:rPr>
        <w:t>Health Organisation, Geneva, Switzerland,</w:t>
      </w:r>
      <w:r w:rsidR="00DE1FE5">
        <w:rPr>
          <w:rFonts w:ascii="Calibri" w:hAnsi="Calibri" w:cs="Arial"/>
          <w:i/>
          <w:iCs/>
          <w:lang w:bidi="he-IL"/>
        </w:rPr>
        <w:t xml:space="preserve"> 24</w:t>
      </w:r>
      <w:r>
        <w:rPr>
          <w:rFonts w:ascii="Calibri" w:hAnsi="Calibri" w:cs="Arial"/>
          <w:i/>
          <w:iCs/>
          <w:lang w:bidi="he-IL"/>
        </w:rPr>
        <w:t xml:space="preserve"> </w:t>
      </w:r>
      <w:r w:rsidRPr="00E35541">
        <w:rPr>
          <w:rFonts w:ascii="Calibri" w:hAnsi="Calibri" w:cs="Arial"/>
          <w:i/>
          <w:iCs/>
          <w:lang w:bidi="he-IL"/>
        </w:rPr>
        <w:t>The Global Fund, Geneva, Switzerland</w:t>
      </w:r>
      <w:r w:rsidR="00DE1FE5">
        <w:rPr>
          <w:rFonts w:ascii="Calibri" w:hAnsi="Calibri" w:cs="Arial"/>
          <w:i/>
          <w:iCs/>
          <w:lang w:bidi="he-IL"/>
        </w:rPr>
        <w:t>; 25</w:t>
      </w:r>
      <w:r>
        <w:rPr>
          <w:rFonts w:ascii="Calibri" w:hAnsi="Calibri" w:cs="Arial"/>
          <w:i/>
          <w:iCs/>
          <w:lang w:bidi="he-IL"/>
        </w:rPr>
        <w:t xml:space="preserve"> </w:t>
      </w:r>
      <w:r w:rsidRPr="00E35541">
        <w:rPr>
          <w:rFonts w:ascii="Calibri" w:hAnsi="Calibri" w:cs="Arial"/>
          <w:i/>
          <w:iCs/>
          <w:lang w:bidi="he-IL"/>
        </w:rPr>
        <w:t>Ministry of</w:t>
      </w:r>
      <w:r>
        <w:rPr>
          <w:rFonts w:ascii="Calibri" w:hAnsi="Calibri" w:cs="Arial"/>
          <w:i/>
          <w:iCs/>
          <w:lang w:bidi="he-IL"/>
        </w:rPr>
        <w:t xml:space="preserve"> </w:t>
      </w:r>
      <w:r w:rsidRPr="00E35541">
        <w:rPr>
          <w:rFonts w:ascii="Calibri" w:hAnsi="Calibri" w:cs="Arial"/>
          <w:i/>
          <w:iCs/>
          <w:lang w:bidi="he-IL"/>
        </w:rPr>
        <w:t>Health, Malawi, Lilongwe, Malawi</w:t>
      </w:r>
      <w:r>
        <w:rPr>
          <w:rFonts w:ascii="Calibri" w:hAnsi="Calibri" w:cs="Arial"/>
          <w:i/>
          <w:iCs/>
          <w:lang w:bidi="he-IL"/>
        </w:rPr>
        <w:t>.</w:t>
      </w:r>
    </w:p>
    <w:p w:rsidR="0003789B" w:rsidRDefault="0003789B" w:rsidP="00873766">
      <w:pPr>
        <w:autoSpaceDE w:val="0"/>
        <w:autoSpaceDN w:val="0"/>
        <w:adjustRightInd w:val="0"/>
        <w:spacing w:after="0" w:line="360" w:lineRule="auto"/>
        <w:rPr>
          <w:rFonts w:ascii="Calibri" w:hAnsi="Calibri" w:cs="Arial"/>
          <w:i/>
          <w:iCs/>
          <w:lang w:bidi="he-IL"/>
        </w:rPr>
      </w:pPr>
    </w:p>
    <w:p w:rsidR="0003789B" w:rsidRDefault="00C75F5A" w:rsidP="00873766">
      <w:pPr>
        <w:spacing w:line="360" w:lineRule="auto"/>
      </w:pPr>
      <w:r>
        <w:t>$ Corresponding author: Prof Andrew Phillips, Institute for Global Health, UCL, London (Royal Free Campus, Rowland Hill Street, London NW3 2PF); email: andrew.phillips@ucl.ac.uk</w:t>
      </w:r>
    </w:p>
    <w:p w:rsidR="008B40AB" w:rsidRDefault="008B40AB" w:rsidP="00873766">
      <w:pPr>
        <w:spacing w:line="360" w:lineRule="auto"/>
        <w:rPr>
          <w:b/>
          <w:color w:val="A50021"/>
          <w:sz w:val="24"/>
          <w:szCs w:val="24"/>
        </w:rPr>
      </w:pPr>
    </w:p>
    <w:p w:rsidR="00D20E38" w:rsidRDefault="00D20E38" w:rsidP="00873766">
      <w:pPr>
        <w:spacing w:line="360" w:lineRule="auto"/>
        <w:rPr>
          <w:b/>
          <w:color w:val="A50021"/>
          <w:sz w:val="24"/>
          <w:szCs w:val="24"/>
        </w:rPr>
      </w:pPr>
      <w:r>
        <w:rPr>
          <w:b/>
          <w:color w:val="A50021"/>
          <w:sz w:val="24"/>
          <w:szCs w:val="24"/>
        </w:rPr>
        <w:t xml:space="preserve">Running head: </w:t>
      </w:r>
      <w:r w:rsidR="0065097C">
        <w:t>Cost-per-diagnosis</w:t>
      </w:r>
    </w:p>
    <w:p w:rsidR="00C75F5A" w:rsidRPr="00C75F5A" w:rsidRDefault="00C75F5A" w:rsidP="00873766">
      <w:pPr>
        <w:spacing w:line="360" w:lineRule="auto"/>
      </w:pPr>
      <w:r>
        <w:rPr>
          <w:b/>
          <w:color w:val="A50021"/>
          <w:sz w:val="24"/>
          <w:szCs w:val="24"/>
        </w:rPr>
        <w:t xml:space="preserve">Key words:  </w:t>
      </w:r>
      <w:r>
        <w:t xml:space="preserve">testing; </w:t>
      </w:r>
      <w:r w:rsidR="00E63C21">
        <w:t xml:space="preserve">HIV; </w:t>
      </w:r>
      <w:r>
        <w:t xml:space="preserve">cost-effectiveness; modelling; </w:t>
      </w:r>
      <w:r w:rsidR="00346C1E">
        <w:t>health systems</w:t>
      </w:r>
      <w:r>
        <w:t xml:space="preserve"> </w:t>
      </w:r>
    </w:p>
    <w:p w:rsidR="0030793D" w:rsidRDefault="0030793D" w:rsidP="00873766">
      <w:pPr>
        <w:spacing w:line="360" w:lineRule="auto"/>
      </w:pPr>
    </w:p>
    <w:p w:rsidR="0030793D" w:rsidRDefault="0030793D" w:rsidP="00873766">
      <w:pPr>
        <w:spacing w:line="360" w:lineRule="auto"/>
      </w:pPr>
      <w:r w:rsidRPr="007D5C15">
        <w:t xml:space="preserve">Word Count:  </w:t>
      </w:r>
      <w:r w:rsidR="008B40AB" w:rsidRPr="00EB337A">
        <w:t>3</w:t>
      </w:r>
      <w:r w:rsidR="00EB337A">
        <w:t xml:space="preserve">622 </w:t>
      </w:r>
    </w:p>
    <w:p w:rsidR="00000282" w:rsidRDefault="00000282" w:rsidP="00873766">
      <w:pPr>
        <w:spacing w:line="360" w:lineRule="auto"/>
      </w:pPr>
    </w:p>
    <w:p w:rsidR="002B028F" w:rsidRDefault="002B028F" w:rsidP="00873766">
      <w:pPr>
        <w:spacing w:line="360" w:lineRule="auto"/>
      </w:pPr>
    </w:p>
    <w:p w:rsidR="00873766" w:rsidRDefault="00873766">
      <w:pPr>
        <w:rPr>
          <w:b/>
          <w:color w:val="A50021"/>
          <w:sz w:val="26"/>
          <w:szCs w:val="26"/>
        </w:rPr>
      </w:pPr>
      <w:r>
        <w:rPr>
          <w:b/>
          <w:color w:val="A50021"/>
          <w:sz w:val="26"/>
          <w:szCs w:val="26"/>
        </w:rPr>
        <w:br w:type="page"/>
      </w:r>
    </w:p>
    <w:p w:rsidR="00F9235C" w:rsidRPr="00955FB2" w:rsidRDefault="00F9235C" w:rsidP="00873766">
      <w:pPr>
        <w:spacing w:after="120" w:line="360" w:lineRule="auto"/>
        <w:rPr>
          <w:b/>
          <w:color w:val="A50021"/>
          <w:sz w:val="26"/>
          <w:szCs w:val="26"/>
        </w:rPr>
      </w:pPr>
      <w:r>
        <w:rPr>
          <w:b/>
          <w:color w:val="A50021"/>
          <w:sz w:val="26"/>
          <w:szCs w:val="26"/>
        </w:rPr>
        <w:lastRenderedPageBreak/>
        <w:t>Abstract</w:t>
      </w:r>
      <w:r w:rsidR="005B1EE0">
        <w:rPr>
          <w:b/>
          <w:color w:val="A50021"/>
          <w:sz w:val="26"/>
          <w:szCs w:val="26"/>
        </w:rPr>
        <w:t xml:space="preserve">   </w:t>
      </w:r>
    </w:p>
    <w:p w:rsidR="00F9235C" w:rsidRDefault="00B956BB" w:rsidP="00873766">
      <w:pPr>
        <w:spacing w:after="120" w:line="360" w:lineRule="auto"/>
      </w:pPr>
      <w:r>
        <w:rPr>
          <w:b/>
          <w:color w:val="9E0000"/>
        </w:rPr>
        <w:t>Introduction</w:t>
      </w:r>
      <w:r w:rsidR="00F9235C" w:rsidRPr="00BB108A">
        <w:rPr>
          <w:b/>
          <w:color w:val="9E0000"/>
        </w:rPr>
        <w:t>:</w:t>
      </w:r>
      <w:r w:rsidR="00F9235C" w:rsidRPr="00BB108A">
        <w:rPr>
          <w:color w:val="C00000"/>
        </w:rPr>
        <w:t xml:space="preserve">  </w:t>
      </w:r>
      <w:r w:rsidR="00433DB2">
        <w:t>A</w:t>
      </w:r>
      <w:r w:rsidR="00F9235C">
        <w:t>s prevalence of undiagnosed HIV declines, it is unclear whether testing programmes will be cost effective.  T</w:t>
      </w:r>
      <w:r w:rsidR="00F9235C" w:rsidRPr="004F6F31">
        <w:rPr>
          <w:color w:val="000000" w:themeColor="text1"/>
        </w:rPr>
        <w:t>o guide their HIV testing</w:t>
      </w:r>
      <w:r w:rsidR="00F9235C">
        <w:rPr>
          <w:color w:val="000000" w:themeColor="text1"/>
        </w:rPr>
        <w:t xml:space="preserve"> programmes,</w:t>
      </w:r>
      <w:r w:rsidR="00F9235C" w:rsidRPr="004F6F31">
        <w:rPr>
          <w:color w:val="000000" w:themeColor="text1"/>
        </w:rPr>
        <w:t xml:space="preserve"> </w:t>
      </w:r>
      <w:r w:rsidR="00F9235C">
        <w:rPr>
          <w:color w:val="000000" w:themeColor="text1"/>
        </w:rPr>
        <w:t>c</w:t>
      </w:r>
      <w:r w:rsidR="00F9235C" w:rsidRPr="004F6F31">
        <w:rPr>
          <w:color w:val="000000" w:themeColor="text1"/>
        </w:rPr>
        <w:t xml:space="preserve">ountries require </w:t>
      </w:r>
      <w:r w:rsidR="00F9235C">
        <w:rPr>
          <w:color w:val="000000" w:themeColor="text1"/>
        </w:rPr>
        <w:t>appropriate</w:t>
      </w:r>
      <w:r w:rsidR="00F9235C" w:rsidRPr="004F6F31">
        <w:rPr>
          <w:color w:val="000000" w:themeColor="text1"/>
        </w:rPr>
        <w:t xml:space="preserve"> metrics </w:t>
      </w:r>
      <w:r w:rsidR="00F9235C">
        <w:rPr>
          <w:color w:val="000000" w:themeColor="text1"/>
        </w:rPr>
        <w:t xml:space="preserve">that can be measured.   The </w:t>
      </w:r>
      <w:r w:rsidR="0065097C">
        <w:t>cost-per-diagnosis</w:t>
      </w:r>
      <w:r w:rsidR="00F9235C">
        <w:t xml:space="preserve"> is potentially </w:t>
      </w:r>
      <w:r w:rsidR="00433DB2">
        <w:t xml:space="preserve">a </w:t>
      </w:r>
      <w:r w:rsidR="00F9235C">
        <w:t xml:space="preserve">useful metric.  </w:t>
      </w:r>
    </w:p>
    <w:p w:rsidR="00F9235C" w:rsidRDefault="00F9235C" w:rsidP="00873766">
      <w:pPr>
        <w:spacing w:after="120" w:line="360" w:lineRule="auto"/>
      </w:pPr>
      <w:r w:rsidRPr="00BB108A">
        <w:rPr>
          <w:b/>
          <w:color w:val="C00000"/>
        </w:rPr>
        <w:t>Methods:</w:t>
      </w:r>
      <w:r w:rsidRPr="00BB108A">
        <w:rPr>
          <w:color w:val="C00000"/>
        </w:rPr>
        <w:t xml:space="preserve">  </w:t>
      </w:r>
      <w:r>
        <w:t xml:space="preserve">We simulated a series of setting-scenarios for </w:t>
      </w:r>
      <w:r w:rsidR="003B001D">
        <w:t xml:space="preserve">adult </w:t>
      </w:r>
      <w:r>
        <w:t>HIV epidemics and ART programmes typical of settings in southern Africa using an individual-based model and projected forward from 2018 under two policies</w:t>
      </w:r>
      <w:r w:rsidR="00433DB2">
        <w:t xml:space="preserve">: (i) </w:t>
      </w:r>
      <w:r>
        <w:t>a minimum package of “core” testing (i.e. testing in pregnant women, for diagnosis of symptoms, in sex workers, and in men coming forward for circumcision) is conducted</w:t>
      </w:r>
      <w:r w:rsidR="00433DB2">
        <w:t>, and (ii) “core” testing as above plus “</w:t>
      </w:r>
      <w:r w:rsidR="00DB639A">
        <w:t>additional-testing</w:t>
      </w:r>
      <w:r w:rsidR="00433DB2">
        <w:t xml:space="preserve">”, </w:t>
      </w:r>
      <w:r>
        <w:t xml:space="preserve">for which we specify different rates of testing and various degrees to which those with HIV are more likely to test than those without HIV. </w:t>
      </w:r>
      <w:r w:rsidRPr="00084073">
        <w:t xml:space="preserve"> </w:t>
      </w:r>
      <w:r w:rsidR="009727CE">
        <w:t xml:space="preserve">We also considered a plausible range of unit test costs.  </w:t>
      </w:r>
      <w:r w:rsidR="00433DB2">
        <w:t xml:space="preserve">The </w:t>
      </w:r>
      <w:r w:rsidRPr="00084073">
        <w:t xml:space="preserve">aim was to </w:t>
      </w:r>
      <w:r>
        <w:t xml:space="preserve">assess the relationship between </w:t>
      </w:r>
      <w:r w:rsidR="0065097C">
        <w:t>cost-per-diagnosis</w:t>
      </w:r>
      <w:r w:rsidRPr="00084073">
        <w:t xml:space="preserve"> </w:t>
      </w:r>
      <w:r>
        <w:t xml:space="preserve">and the </w:t>
      </w:r>
      <w:r w:rsidRPr="00084073">
        <w:t xml:space="preserve"> incremental cost-effectiveness ratio</w:t>
      </w:r>
      <w:r w:rsidR="00C75F5A">
        <w:t xml:space="preserve"> (</w:t>
      </w:r>
      <w:r w:rsidRPr="00084073">
        <w:t xml:space="preserve">ICER) of the </w:t>
      </w:r>
      <w:r w:rsidR="00DB639A">
        <w:t>additional-testing</w:t>
      </w:r>
      <w:r>
        <w:t xml:space="preserve"> policy</w:t>
      </w:r>
      <w:r w:rsidR="00C75F5A">
        <w:t xml:space="preserve">.  Discount rate </w:t>
      </w:r>
      <w:r w:rsidRPr="00084073">
        <w:t>3%</w:t>
      </w:r>
      <w:r w:rsidR="00C75F5A">
        <w:t xml:space="preserve">; costs in 2018 $US. </w:t>
      </w:r>
    </w:p>
    <w:p w:rsidR="00F9235C" w:rsidRDefault="00C75F5A" w:rsidP="00873766">
      <w:pPr>
        <w:pStyle w:val="PlainText"/>
        <w:spacing w:after="120" w:line="360" w:lineRule="auto"/>
      </w:pPr>
      <w:r w:rsidRPr="00C75F5A">
        <w:rPr>
          <w:b/>
          <w:color w:val="C00000"/>
        </w:rPr>
        <w:t>Results:</w:t>
      </w:r>
      <w:r w:rsidRPr="00C75F5A">
        <w:rPr>
          <w:color w:val="C00000"/>
        </w:rPr>
        <w:t xml:space="preserve">  </w:t>
      </w:r>
      <w:r w:rsidR="00F9235C" w:rsidRPr="00C51FDA">
        <w:t xml:space="preserve">There was a strong graded relationship between the </w:t>
      </w:r>
      <w:r w:rsidR="0065097C">
        <w:t>cost-per-diagnosis</w:t>
      </w:r>
      <w:r w:rsidR="00F9235C" w:rsidRPr="00C51FDA">
        <w:t xml:space="preserve"> and the ICER.</w:t>
      </w:r>
      <w:r w:rsidR="00F9235C">
        <w:t xml:space="preserve"> </w:t>
      </w:r>
      <w:r w:rsidR="00F9235C" w:rsidRPr="007364F4">
        <w:t xml:space="preserve">  </w:t>
      </w:r>
      <w:r w:rsidR="00F9235C">
        <w:t>Overall, t</w:t>
      </w:r>
      <w:r w:rsidR="00F9235C" w:rsidRPr="001131D5">
        <w:t>he ICER</w:t>
      </w:r>
      <w:r w:rsidR="00433DB2">
        <w:t xml:space="preserve"> was below $500 per-DALY-</w:t>
      </w:r>
      <w:r w:rsidR="00F9235C">
        <w:t>a</w:t>
      </w:r>
      <w:r w:rsidR="00F9235C" w:rsidRPr="006B41F6">
        <w:t xml:space="preserve">verted </w:t>
      </w:r>
      <w:r>
        <w:t xml:space="preserve">(the cost effectiveness threshold used in primary analysis) </w:t>
      </w:r>
      <w:r w:rsidR="00F9235C" w:rsidRPr="006B41F6">
        <w:t xml:space="preserve">so long as </w:t>
      </w:r>
      <w:r w:rsidR="00F9235C">
        <w:t>the</w:t>
      </w:r>
      <w:r w:rsidR="00F9235C" w:rsidRPr="00084073">
        <w:t xml:space="preserve"> </w:t>
      </w:r>
      <w:r w:rsidR="0065097C">
        <w:t>cost-per-diagnosis</w:t>
      </w:r>
      <w:r w:rsidR="00F9235C">
        <w:t xml:space="preserve"> </w:t>
      </w:r>
      <w:r w:rsidR="00F9235C" w:rsidRPr="006B41F6">
        <w:t xml:space="preserve">was </w:t>
      </w:r>
      <w:r w:rsidR="00F9235C" w:rsidRPr="007364F4">
        <w:t xml:space="preserve">below $315.  </w:t>
      </w:r>
      <w:r w:rsidR="00433DB2">
        <w:t>T</w:t>
      </w:r>
      <w:r w:rsidR="00F9235C" w:rsidRPr="007364F4">
        <w:t xml:space="preserve">his </w:t>
      </w:r>
      <w:r w:rsidR="00F9235C" w:rsidRPr="006B41F6">
        <w:t>threshold</w:t>
      </w:r>
      <w:r w:rsidR="00F9235C" w:rsidRPr="006A0240">
        <w:t xml:space="preserve"> </w:t>
      </w:r>
      <w:r w:rsidR="0065097C">
        <w:t>cost-per-diagnosis</w:t>
      </w:r>
      <w:r w:rsidR="00A60286">
        <w:t xml:space="preserve"> </w:t>
      </w:r>
      <w:r w:rsidR="00433DB2">
        <w:t xml:space="preserve">was </w:t>
      </w:r>
      <w:r w:rsidR="00F9235C">
        <w:t>similar according to epidemic and programmatic features including the prevalence of undiagnosed HIV, the HIV incidence and a measure of HIV programme quality (the proportion of HIV diagnos</w:t>
      </w:r>
      <w:r w:rsidR="00433DB2">
        <w:t>ed people having a viral load &lt;</w:t>
      </w:r>
      <w:r w:rsidR="00F9235C">
        <w:t xml:space="preserve">1000 </w:t>
      </w:r>
      <w:r w:rsidR="00433DB2">
        <w:t xml:space="preserve">copies/mL).   </w:t>
      </w:r>
      <w:r w:rsidR="00A60286">
        <w:t>However, r</w:t>
      </w:r>
      <w:r w:rsidR="00433DB2">
        <w:t>estrict</w:t>
      </w:r>
      <w:r w:rsidR="00A60286">
        <w:t>ing</w:t>
      </w:r>
      <w:r w:rsidR="00433DB2">
        <w:t xml:space="preserve"> to  women, </w:t>
      </w:r>
      <w:r w:rsidR="00DB639A">
        <w:t>additional-testing</w:t>
      </w:r>
      <w:r w:rsidR="00F9235C">
        <w:t xml:space="preserve"> </w:t>
      </w:r>
      <w:r w:rsidR="00505AC7">
        <w:t xml:space="preserve">did not appear cost-effective  </w:t>
      </w:r>
      <w:r w:rsidR="006A4485">
        <w:t>even at a</w:t>
      </w:r>
      <w:r w:rsidR="006A4485" w:rsidRPr="006A4485">
        <w:t xml:space="preserve"> </w:t>
      </w:r>
      <w:r w:rsidR="0065097C">
        <w:t>cost-per-diagnosis</w:t>
      </w:r>
      <w:r w:rsidR="006A4485">
        <w:t xml:space="preserve"> of below $50</w:t>
      </w:r>
      <w:r w:rsidR="00433DB2">
        <w:t>, while restrict</w:t>
      </w:r>
      <w:r w:rsidR="00A60286">
        <w:t>ing</w:t>
      </w:r>
      <w:r w:rsidR="00433DB2">
        <w:t xml:space="preserve"> to men </w:t>
      </w:r>
      <w:r w:rsidR="00F9235C" w:rsidRPr="00210BF9">
        <w:t xml:space="preserve"> </w:t>
      </w:r>
      <w:r w:rsidR="00DB639A">
        <w:t>additional-testing</w:t>
      </w:r>
      <w:r w:rsidR="00433DB2" w:rsidRPr="00210BF9">
        <w:t xml:space="preserve"> </w:t>
      </w:r>
      <w:r w:rsidR="009727CE">
        <w:t xml:space="preserve">was </w:t>
      </w:r>
      <w:r w:rsidR="00F9235C" w:rsidRPr="00210BF9">
        <w:t xml:space="preserve"> cost effective up to a </w:t>
      </w:r>
      <w:r w:rsidR="0065097C">
        <w:t>cost-per-diagnosis</w:t>
      </w:r>
      <w:r w:rsidR="00433DB2">
        <w:t xml:space="preserve"> of $585</w:t>
      </w:r>
      <w:r w:rsidR="00F9235C" w:rsidRPr="007364F4">
        <w:t xml:space="preserve">. </w:t>
      </w:r>
      <w:r w:rsidR="00F9235C">
        <w:t xml:space="preserve"> </w:t>
      </w:r>
      <w:r w:rsidR="00F9235C" w:rsidRPr="007364F4">
        <w:t>Th</w:t>
      </w:r>
      <w:r w:rsidR="00F9235C">
        <w:t>e</w:t>
      </w:r>
      <w:r w:rsidR="00F9235C" w:rsidRPr="007364F4">
        <w:t xml:space="preserve"> threshold cost for testing in men fell to $256 when </w:t>
      </w:r>
      <w:r w:rsidR="00F9235C" w:rsidRPr="00B04AF5">
        <w:t>the cost effectiveness threshold was $300</w:t>
      </w:r>
      <w:r w:rsidR="00F9235C">
        <w:t xml:space="preserve"> instead of $500, and to $81 </w:t>
      </w:r>
      <w:r w:rsidR="00F9235C" w:rsidRPr="00B04AF5">
        <w:t xml:space="preserve">when considering a discount rate </w:t>
      </w:r>
      <w:r w:rsidR="00F9235C" w:rsidRPr="00234E4A">
        <w:t>of 10% per</w:t>
      </w:r>
      <w:r w:rsidR="00F9235C">
        <w:t xml:space="preserve"> annum</w:t>
      </w:r>
      <w:r w:rsidR="00F9235C" w:rsidRPr="00B04AF5">
        <w:t>.</w:t>
      </w:r>
      <w:r w:rsidR="00F9235C">
        <w:t xml:space="preserve">  </w:t>
      </w:r>
    </w:p>
    <w:p w:rsidR="00F9235C" w:rsidRPr="004452B9" w:rsidRDefault="00F9235C" w:rsidP="00873766">
      <w:pPr>
        <w:spacing w:after="120" w:line="360" w:lineRule="auto"/>
      </w:pPr>
      <w:r>
        <w:rPr>
          <w:b/>
          <w:color w:val="C00000"/>
        </w:rPr>
        <w:t>Co</w:t>
      </w:r>
      <w:r w:rsidRPr="00BB108A">
        <w:rPr>
          <w:b/>
          <w:color w:val="C00000"/>
        </w:rPr>
        <w:t>n</w:t>
      </w:r>
      <w:r>
        <w:rPr>
          <w:b/>
          <w:color w:val="C00000"/>
        </w:rPr>
        <w:t>clusions</w:t>
      </w:r>
      <w:r w:rsidRPr="00BB108A">
        <w:rPr>
          <w:b/>
          <w:color w:val="C00000"/>
        </w:rPr>
        <w:t>:</w:t>
      </w:r>
      <w:r w:rsidRPr="00BB108A">
        <w:rPr>
          <w:color w:val="C00000"/>
        </w:rPr>
        <w:t xml:space="preserve">   </w:t>
      </w:r>
      <w:r w:rsidRPr="0096399F">
        <w:t>For testing program</w:t>
      </w:r>
      <w:r>
        <w:t>mes</w:t>
      </w:r>
      <w:r w:rsidRPr="0096399F">
        <w:t xml:space="preserve"> in low income settings in southern African there is an extremely stron</w:t>
      </w:r>
      <w:r>
        <w:t xml:space="preserve">g relationship between the </w:t>
      </w:r>
      <w:r w:rsidR="0065097C">
        <w:t>cost-per-diagnosis</w:t>
      </w:r>
      <w:r>
        <w:t xml:space="preserve"> </w:t>
      </w:r>
      <w:r w:rsidRPr="0096399F">
        <w:t>and t</w:t>
      </w:r>
      <w:r>
        <w:t>he cost per DALY averted</w:t>
      </w:r>
      <w:r w:rsidRPr="0096399F">
        <w:t xml:space="preserve">, indicating </w:t>
      </w:r>
      <w:r w:rsidRPr="00B41CB9">
        <w:t xml:space="preserve">that the </w:t>
      </w:r>
      <w:r w:rsidR="0065097C">
        <w:t>cost-per-diagnosis</w:t>
      </w:r>
      <w:r w:rsidRPr="00B41CB9">
        <w:t xml:space="preserve"> can be used to monitor the cost effectiveness of testing programmes.  </w:t>
      </w:r>
    </w:p>
    <w:p w:rsidR="00F9235C" w:rsidRDefault="00F9235C" w:rsidP="00873766">
      <w:pPr>
        <w:spacing w:line="360" w:lineRule="auto"/>
      </w:pPr>
    </w:p>
    <w:p w:rsidR="00A5451A" w:rsidRPr="00A5451A" w:rsidRDefault="00A60802" w:rsidP="00873766">
      <w:pPr>
        <w:spacing w:after="120" w:line="360" w:lineRule="auto"/>
      </w:pPr>
      <w:r w:rsidRPr="00A60802">
        <w:rPr>
          <w:b/>
        </w:rPr>
        <w:t>Funding:</w:t>
      </w:r>
      <w:r>
        <w:t xml:space="preserve"> </w:t>
      </w:r>
      <w:r w:rsidR="001C7409">
        <w:t xml:space="preserve"> </w:t>
      </w:r>
      <w:r>
        <w:t xml:space="preserve">Higher Education Funding Council for England; Bill &amp; Melinda Gates Foundation (HIV Modelling Consortium); UNITAID. </w:t>
      </w:r>
      <w:r w:rsidR="001C7409">
        <w:t xml:space="preserve"> OK is supported by the Swiss National Science Foundation (grant no 163878). </w:t>
      </w:r>
      <w:r w:rsidR="00A5451A">
        <w:t xml:space="preserve"> </w:t>
      </w:r>
      <w:r w:rsidR="00A5451A" w:rsidRPr="00A5451A">
        <w:t>DF is supported by the Medical Research Council (MC_UU_12023/23).     </w:t>
      </w:r>
    </w:p>
    <w:p w:rsidR="00FF4C4E" w:rsidRDefault="00FF4C4E" w:rsidP="00873766">
      <w:pPr>
        <w:spacing w:after="120" w:line="360" w:lineRule="auto"/>
        <w:rPr>
          <w:b/>
          <w:color w:val="A50021"/>
          <w:sz w:val="24"/>
          <w:szCs w:val="24"/>
        </w:rPr>
      </w:pPr>
    </w:p>
    <w:p w:rsidR="004F417B" w:rsidRPr="00955FB2" w:rsidRDefault="004F417B" w:rsidP="00873766">
      <w:pPr>
        <w:spacing w:after="120" w:line="360" w:lineRule="auto"/>
        <w:rPr>
          <w:b/>
          <w:color w:val="A50021"/>
          <w:sz w:val="24"/>
          <w:szCs w:val="24"/>
        </w:rPr>
      </w:pPr>
      <w:r w:rsidRPr="00955FB2">
        <w:rPr>
          <w:b/>
          <w:color w:val="A50021"/>
          <w:sz w:val="24"/>
          <w:szCs w:val="24"/>
        </w:rPr>
        <w:lastRenderedPageBreak/>
        <w:t>Introduction</w:t>
      </w:r>
    </w:p>
    <w:p w:rsidR="003C1DAE" w:rsidRDefault="00EB060B" w:rsidP="00873766">
      <w:pPr>
        <w:spacing w:after="120" w:line="360" w:lineRule="auto"/>
      </w:pPr>
      <w:r>
        <w:t xml:space="preserve">A key strategy in global efforts to reduce incidence of HIV infection is to aim for high levels of diagnosis of HIV positive individuals and to </w:t>
      </w:r>
      <w:r w:rsidR="006220F5">
        <w:t>help</w:t>
      </w:r>
      <w:r>
        <w:t xml:space="preserve"> people with diagnosed HIV to </w:t>
      </w:r>
      <w:r w:rsidRPr="004F6F31">
        <w:rPr>
          <w:color w:val="000000" w:themeColor="text1"/>
        </w:rPr>
        <w:t>initiate and rem</w:t>
      </w:r>
      <w:r w:rsidR="003C1DAE">
        <w:rPr>
          <w:color w:val="000000" w:themeColor="text1"/>
        </w:rPr>
        <w:t>ain on ART with high adherence</w:t>
      </w:r>
      <w:r w:rsidR="000820E0">
        <w:rPr>
          <w:color w:val="000000" w:themeColor="text1"/>
          <w:vertAlign w:val="superscript"/>
        </w:rPr>
        <w:t>1-3</w:t>
      </w:r>
      <w:r w:rsidR="00E04EE7">
        <w:rPr>
          <w:color w:val="000000" w:themeColor="text1"/>
        </w:rPr>
        <w:t xml:space="preserve">. </w:t>
      </w:r>
      <w:r w:rsidRPr="004F6F31">
        <w:rPr>
          <w:color w:val="000000" w:themeColor="text1"/>
        </w:rPr>
        <w:t xml:space="preserve">  Countries are being encouraged to </w:t>
      </w:r>
      <w:r w:rsidR="001C7409">
        <w:rPr>
          <w:color w:val="000000" w:themeColor="text1"/>
        </w:rPr>
        <w:t>set up</w:t>
      </w:r>
      <w:r w:rsidRPr="004F6F31">
        <w:rPr>
          <w:color w:val="000000" w:themeColor="text1"/>
        </w:rPr>
        <w:t xml:space="preserve"> large scale testing </w:t>
      </w:r>
      <w:r>
        <w:rPr>
          <w:color w:val="000000" w:themeColor="text1"/>
        </w:rPr>
        <w:t>programme</w:t>
      </w:r>
      <w:r w:rsidRPr="004F6F31">
        <w:rPr>
          <w:color w:val="000000" w:themeColor="text1"/>
        </w:rPr>
        <w:t xml:space="preserve">s to </w:t>
      </w:r>
      <w:r w:rsidR="00723404">
        <w:rPr>
          <w:color w:val="000000" w:themeColor="text1"/>
        </w:rPr>
        <w:t>attain the target of at least 90% of people living with HIV being diagnosed</w:t>
      </w:r>
      <w:r w:rsidR="000073B0">
        <w:rPr>
          <w:color w:val="000000" w:themeColor="text1"/>
        </w:rPr>
        <w:t xml:space="preserve"> by 2020 and at le</w:t>
      </w:r>
      <w:r w:rsidR="006F2F90">
        <w:rPr>
          <w:color w:val="000000" w:themeColor="text1"/>
        </w:rPr>
        <w:t>a</w:t>
      </w:r>
      <w:r w:rsidR="000073B0">
        <w:rPr>
          <w:color w:val="000000" w:themeColor="text1"/>
        </w:rPr>
        <w:t>st 95% by 2025</w:t>
      </w:r>
      <w:r w:rsidRPr="004F6F31">
        <w:rPr>
          <w:color w:val="000000" w:themeColor="text1"/>
        </w:rPr>
        <w:t xml:space="preserve">. </w:t>
      </w:r>
      <w:r>
        <w:t>However, as the prevalence of undiagnosed HIV declines over time, the proportion of HIV tests that result in diagnosis of an HIV infected person will also decline</w:t>
      </w:r>
      <w:r w:rsidR="006220F5">
        <w:t xml:space="preserve">.  Thus, </w:t>
      </w:r>
      <w:r>
        <w:t xml:space="preserve">the cost-effectiveness of HIV testing strategies becomes increasingly uncertain. </w:t>
      </w:r>
      <w:r w:rsidR="006220F5">
        <w:t xml:space="preserve"> </w:t>
      </w:r>
      <w:r>
        <w:t xml:space="preserve">Various HIV testing approaches </w:t>
      </w:r>
      <w:r w:rsidR="00723404">
        <w:t xml:space="preserve">have been used </w:t>
      </w:r>
      <w:r>
        <w:t xml:space="preserve">and they differ </w:t>
      </w:r>
      <w:r w:rsidRPr="004F6F31">
        <w:rPr>
          <w:color w:val="000000" w:themeColor="text1"/>
        </w:rPr>
        <w:t xml:space="preserve">in the extent </w:t>
      </w:r>
      <w:r>
        <w:rPr>
          <w:color w:val="000000" w:themeColor="text1"/>
        </w:rPr>
        <w:t xml:space="preserve">to </w:t>
      </w:r>
      <w:r w:rsidRPr="004F6F31">
        <w:rPr>
          <w:color w:val="000000" w:themeColor="text1"/>
        </w:rPr>
        <w:t>which tests are more likely to be conducted in people with HIV than in those without, and in their cost per test conducted</w:t>
      </w:r>
      <w:r w:rsidR="000820E0">
        <w:rPr>
          <w:color w:val="000000" w:themeColor="text1"/>
          <w:vertAlign w:val="superscript"/>
        </w:rPr>
        <w:t>4-6</w:t>
      </w:r>
      <w:r w:rsidR="006F2F90">
        <w:rPr>
          <w:color w:val="000000" w:themeColor="text1"/>
        </w:rPr>
        <w:t xml:space="preserve">. </w:t>
      </w:r>
      <w:r w:rsidRPr="004F6F31">
        <w:rPr>
          <w:color w:val="000000" w:themeColor="text1"/>
        </w:rPr>
        <w:t xml:space="preserve"> For example, testing </w:t>
      </w:r>
      <w:r>
        <w:rPr>
          <w:color w:val="000000" w:themeColor="text1"/>
        </w:rPr>
        <w:t>programme</w:t>
      </w:r>
      <w:r w:rsidRPr="004F6F31">
        <w:rPr>
          <w:color w:val="000000" w:themeColor="text1"/>
        </w:rPr>
        <w:t>s based on partner notification might have a high co</w:t>
      </w:r>
      <w:r w:rsidR="00C51E32">
        <w:rPr>
          <w:color w:val="000000" w:themeColor="text1"/>
        </w:rPr>
        <w:t xml:space="preserve">st per HIV test but </w:t>
      </w:r>
      <w:r w:rsidR="00DB639A">
        <w:rPr>
          <w:color w:val="000000" w:themeColor="text1"/>
        </w:rPr>
        <w:t xml:space="preserve">also </w:t>
      </w:r>
      <w:r w:rsidR="00C51E32">
        <w:rPr>
          <w:color w:val="000000" w:themeColor="text1"/>
        </w:rPr>
        <w:t>a high test-</w:t>
      </w:r>
      <w:r w:rsidRPr="004F6F31">
        <w:rPr>
          <w:color w:val="000000" w:themeColor="text1"/>
        </w:rPr>
        <w:t>positive rate</w:t>
      </w:r>
      <w:r w:rsidR="006220F5">
        <w:rPr>
          <w:color w:val="000000" w:themeColor="text1"/>
        </w:rPr>
        <w:t xml:space="preserve"> (sometimes referred to as “yield”)</w:t>
      </w:r>
      <w:r w:rsidRPr="004F6F31">
        <w:rPr>
          <w:color w:val="000000" w:themeColor="text1"/>
        </w:rPr>
        <w:t xml:space="preserve">.  Some testing approaches </w:t>
      </w:r>
      <w:r w:rsidR="00703F25">
        <w:rPr>
          <w:color w:val="000000" w:themeColor="text1"/>
        </w:rPr>
        <w:t xml:space="preserve">that are currently implemented </w:t>
      </w:r>
      <w:r w:rsidRPr="004F6F31">
        <w:rPr>
          <w:color w:val="000000" w:themeColor="text1"/>
        </w:rPr>
        <w:t>may not be cost effective</w:t>
      </w:r>
      <w:r w:rsidR="00862E7E">
        <w:rPr>
          <w:color w:val="000000" w:themeColor="text1"/>
        </w:rPr>
        <w:t>.  C</w:t>
      </w:r>
      <w:r w:rsidR="00BD52A6">
        <w:rPr>
          <w:color w:val="000000" w:themeColor="text1"/>
        </w:rPr>
        <w:t>ountries require appropriate</w:t>
      </w:r>
      <w:r w:rsidRPr="004F6F31">
        <w:rPr>
          <w:color w:val="000000" w:themeColor="text1"/>
        </w:rPr>
        <w:t xml:space="preserve"> metrics </w:t>
      </w:r>
      <w:r w:rsidR="008F7D33">
        <w:rPr>
          <w:color w:val="000000" w:themeColor="text1"/>
        </w:rPr>
        <w:t xml:space="preserve">that </w:t>
      </w:r>
      <w:r w:rsidR="009E461C">
        <w:rPr>
          <w:color w:val="000000" w:themeColor="text1"/>
        </w:rPr>
        <w:t xml:space="preserve">can be </w:t>
      </w:r>
      <w:r w:rsidR="00F564D5">
        <w:rPr>
          <w:color w:val="000000" w:themeColor="text1"/>
        </w:rPr>
        <w:t xml:space="preserve">feasibly </w:t>
      </w:r>
      <w:r w:rsidR="009E461C">
        <w:rPr>
          <w:color w:val="000000" w:themeColor="text1"/>
        </w:rPr>
        <w:t>measured to</w:t>
      </w:r>
      <w:r w:rsidRPr="004F6F31">
        <w:rPr>
          <w:color w:val="000000" w:themeColor="text1"/>
        </w:rPr>
        <w:t xml:space="preserve"> guide their HIV testing</w:t>
      </w:r>
      <w:r>
        <w:rPr>
          <w:color w:val="000000" w:themeColor="text1"/>
        </w:rPr>
        <w:t xml:space="preserve"> programmes</w:t>
      </w:r>
      <w:r w:rsidRPr="004F6F31">
        <w:rPr>
          <w:color w:val="000000" w:themeColor="text1"/>
        </w:rPr>
        <w:t>.  A key metric of</w:t>
      </w:r>
      <w:r w:rsidR="006220F5">
        <w:rPr>
          <w:color w:val="000000" w:themeColor="text1"/>
        </w:rPr>
        <w:t xml:space="preserve"> potential</w:t>
      </w:r>
      <w:r w:rsidR="00F02F2D">
        <w:rPr>
          <w:color w:val="000000" w:themeColor="text1"/>
        </w:rPr>
        <w:t xml:space="preserve"> interest is the </w:t>
      </w:r>
      <w:r w:rsidR="0065097C">
        <w:rPr>
          <w:color w:val="000000" w:themeColor="text1"/>
        </w:rPr>
        <w:t>cost-per-diagnosis</w:t>
      </w:r>
      <w:r w:rsidR="00F02F2D">
        <w:rPr>
          <w:color w:val="000000" w:themeColor="text1"/>
        </w:rPr>
        <w:t xml:space="preserve"> </w:t>
      </w:r>
      <w:r w:rsidR="00F02F2D">
        <w:t>(i.e. diagnosis in persons never previously having had a positive test)</w:t>
      </w:r>
      <w:r w:rsidR="006220F5">
        <w:rPr>
          <w:color w:val="000000" w:themeColor="text1"/>
        </w:rPr>
        <w:t xml:space="preserve">.  </w:t>
      </w:r>
      <w:r w:rsidR="00836118">
        <w:rPr>
          <w:color w:val="000000" w:themeColor="text1"/>
        </w:rPr>
        <w:t>However</w:t>
      </w:r>
      <w:r w:rsidR="00836118">
        <w:t xml:space="preserve">, it is not intuitively clear what is the maximum </w:t>
      </w:r>
      <w:r w:rsidR="0065097C">
        <w:rPr>
          <w:color w:val="000000" w:themeColor="text1"/>
        </w:rPr>
        <w:t>cost-per-diagnosis</w:t>
      </w:r>
      <w:r w:rsidR="00836118">
        <w:rPr>
          <w:color w:val="000000" w:themeColor="text1"/>
        </w:rPr>
        <w:t xml:space="preserve"> </w:t>
      </w:r>
      <w:r w:rsidR="00836118">
        <w:t>at which HIV testing in low income countries in southern Africa re</w:t>
      </w:r>
      <w:r w:rsidR="00836118" w:rsidRPr="00205743">
        <w:t>main</w:t>
      </w:r>
      <w:r w:rsidR="00836118">
        <w:t>s</w:t>
      </w:r>
      <w:r w:rsidR="00836118" w:rsidRPr="00205743">
        <w:t xml:space="preserve"> cost-effective</w:t>
      </w:r>
      <w:r w:rsidR="00C51FDA">
        <w:t xml:space="preserve">.  Nor is it clear whether the value of this threshold depends substantially on epidemic or programmatic features. </w:t>
      </w:r>
      <w:r w:rsidRPr="00205743">
        <w:t xml:space="preserve"> In this</w:t>
      </w:r>
      <w:r>
        <w:t xml:space="preserve"> paper we </w:t>
      </w:r>
      <w:r w:rsidR="00896D62">
        <w:t xml:space="preserve">make use of simulation modelling of HIV epidemics and testing programmes to </w:t>
      </w:r>
      <w:r w:rsidR="00862E7E">
        <w:t>consider the</w:t>
      </w:r>
      <w:r>
        <w:t>s</w:t>
      </w:r>
      <w:r w:rsidR="00862E7E">
        <w:t>e</w:t>
      </w:r>
      <w:r>
        <w:t xml:space="preserve"> question</w:t>
      </w:r>
      <w:r w:rsidR="00862E7E">
        <w:t>s</w:t>
      </w:r>
      <w:r>
        <w:t xml:space="preserve"> to provide guidance to HIV testing programmes.  </w:t>
      </w:r>
    </w:p>
    <w:p w:rsidR="004452B9" w:rsidRPr="004452B9" w:rsidRDefault="004452B9" w:rsidP="00873766">
      <w:pPr>
        <w:spacing w:after="120" w:line="360" w:lineRule="auto"/>
      </w:pPr>
    </w:p>
    <w:p w:rsidR="00653EBC" w:rsidRPr="00955FB2" w:rsidRDefault="004F417B" w:rsidP="00873766">
      <w:pPr>
        <w:spacing w:after="120" w:line="360" w:lineRule="auto"/>
        <w:rPr>
          <w:b/>
          <w:color w:val="A50021"/>
          <w:sz w:val="24"/>
          <w:szCs w:val="24"/>
        </w:rPr>
      </w:pPr>
      <w:r w:rsidRPr="00955FB2">
        <w:rPr>
          <w:b/>
          <w:color w:val="A50021"/>
          <w:sz w:val="24"/>
          <w:szCs w:val="24"/>
        </w:rPr>
        <w:t>Methods</w:t>
      </w:r>
    </w:p>
    <w:p w:rsidR="00F8262E" w:rsidRDefault="005E396E" w:rsidP="00873766">
      <w:pPr>
        <w:autoSpaceDE w:val="0"/>
        <w:autoSpaceDN w:val="0"/>
        <w:adjustRightInd w:val="0"/>
        <w:spacing w:after="120" w:line="360" w:lineRule="auto"/>
      </w:pPr>
      <w:r>
        <w:t xml:space="preserve">We used </w:t>
      </w:r>
      <w:r w:rsidR="00F91DC3">
        <w:t xml:space="preserve">an individual-based </w:t>
      </w:r>
      <w:r w:rsidR="00A25B8F">
        <w:t xml:space="preserve">stochastic simulation </w:t>
      </w:r>
      <w:r w:rsidR="00F91DC3">
        <w:t xml:space="preserve">model of HIV transmission, progression and the effect of ART </w:t>
      </w:r>
      <w:r w:rsidR="004D33CC">
        <w:t>in adult populations</w:t>
      </w:r>
      <w:r w:rsidR="00E73823">
        <w:t xml:space="preserve"> in </w:t>
      </w:r>
      <w:r w:rsidR="001A6413">
        <w:t>southern</w:t>
      </w:r>
      <w:r w:rsidR="00E73823">
        <w:t xml:space="preserve"> Africa</w:t>
      </w:r>
      <w:r w:rsidR="00473F51">
        <w:t>,</w:t>
      </w:r>
      <w:r w:rsidR="004C56FE">
        <w:t xml:space="preserve"> which h</w:t>
      </w:r>
      <w:r w:rsidR="00F23396">
        <w:t>as been previously described</w:t>
      </w:r>
      <w:r w:rsidR="000820E0">
        <w:rPr>
          <w:vertAlign w:val="superscript"/>
        </w:rPr>
        <w:t>7,8</w:t>
      </w:r>
      <w:r w:rsidR="004B3B7D">
        <w:t xml:space="preserve"> and is detailed in </w:t>
      </w:r>
      <w:r w:rsidR="0043757B">
        <w:t>supplementary materials</w:t>
      </w:r>
      <w:r w:rsidR="004B3B7D">
        <w:t xml:space="preserve">.   </w:t>
      </w:r>
      <w:r w:rsidR="004B3B7D" w:rsidRPr="00E86C32">
        <w:t xml:space="preserve">Each time the model is run it simulates data in 3-monthly time steps on whether the person has an on-going primary condomless sex partner, the number of other condomless sex partners, </w:t>
      </w:r>
      <w:r w:rsidR="004B3B7D">
        <w:t xml:space="preserve">HIV testing, </w:t>
      </w:r>
      <w:r w:rsidR="004B3B7D" w:rsidRPr="00E86C32">
        <w:t xml:space="preserve">HIV acquisition </w:t>
      </w:r>
      <w:r w:rsidR="004B3B7D">
        <w:t xml:space="preserve">risk </w:t>
      </w:r>
      <w:r w:rsidR="004B3B7D" w:rsidRPr="00D3547F">
        <w:rPr>
          <w:color w:val="000000" w:themeColor="text1"/>
        </w:rPr>
        <w:t>and, in people with HIV, viral load, CD4 count, use of specific ART drugs, adherence</w:t>
      </w:r>
      <w:r w:rsidR="004B3B7D">
        <w:rPr>
          <w:color w:val="000000" w:themeColor="text1"/>
        </w:rPr>
        <w:t xml:space="preserve">, resistance </w:t>
      </w:r>
      <w:r w:rsidR="004B3B7D" w:rsidRPr="00D3547F">
        <w:rPr>
          <w:color w:val="000000" w:themeColor="text1"/>
        </w:rPr>
        <w:t>and risk of HIV-related death</w:t>
      </w:r>
      <w:r w:rsidR="004B3B7D">
        <w:rPr>
          <w:color w:val="000000" w:themeColor="text1"/>
        </w:rPr>
        <w:t xml:space="preserve">. </w:t>
      </w:r>
      <w:r w:rsidR="004B3B7D" w:rsidRPr="00D3547F">
        <w:rPr>
          <w:color w:val="000000" w:themeColor="text1"/>
        </w:rPr>
        <w:t xml:space="preserve"> </w:t>
      </w:r>
      <w:r w:rsidR="006F3F1C">
        <w:t>In addition to the health benefit to the individual of being diagnosed earlier, t</w:t>
      </w:r>
      <w:r w:rsidR="00CD0AA2">
        <w:t xml:space="preserve">he model provides a means by which the effects of testing on increasing the proportion of HIV positive people who are on ART translate into greater health for the individual and lower </w:t>
      </w:r>
      <w:r w:rsidR="008B08A8">
        <w:t xml:space="preserve">onward </w:t>
      </w:r>
      <w:r w:rsidR="00626EE5">
        <w:t>transmission</w:t>
      </w:r>
      <w:r w:rsidR="00CD0AA2">
        <w:t>, and of estimating the overall number of disability adjusted life years (DALYs) averted in t</w:t>
      </w:r>
      <w:r w:rsidR="008C7B40">
        <w:t>he adult population as a whole</w:t>
      </w:r>
      <w:r w:rsidR="00CD0AA2">
        <w:t xml:space="preserve">. </w:t>
      </w:r>
      <w:r w:rsidR="000B5A38">
        <w:t xml:space="preserve"> </w:t>
      </w:r>
    </w:p>
    <w:p w:rsidR="00653EBC" w:rsidRPr="00205743" w:rsidRDefault="005E396E" w:rsidP="00873766">
      <w:pPr>
        <w:autoSpaceDE w:val="0"/>
        <w:autoSpaceDN w:val="0"/>
        <w:adjustRightInd w:val="0"/>
        <w:spacing w:after="120" w:line="360" w:lineRule="auto"/>
      </w:pPr>
      <w:r>
        <w:lastRenderedPageBreak/>
        <w:t>We initially based the model</w:t>
      </w:r>
      <w:r w:rsidR="000B5A38">
        <w:t>led scenario</w:t>
      </w:r>
      <w:r w:rsidR="00E73823">
        <w:t>s</w:t>
      </w:r>
      <w:r w:rsidR="001B33D1">
        <w:t xml:space="preserve"> on</w:t>
      </w:r>
      <w:r>
        <w:t xml:space="preserve"> </w:t>
      </w:r>
      <w:r w:rsidR="001B33D1">
        <w:t xml:space="preserve">data from </w:t>
      </w:r>
      <w:r>
        <w:t>Malawi but varied parameter values</w:t>
      </w:r>
      <w:r w:rsidR="008C786E">
        <w:t xml:space="preserve"> (i.e. </w:t>
      </w:r>
      <w:r w:rsidR="00F8262E">
        <w:t xml:space="preserve">we </w:t>
      </w:r>
      <w:r w:rsidR="008A6D41">
        <w:t xml:space="preserve">independently </w:t>
      </w:r>
      <w:r w:rsidR="008C786E">
        <w:t xml:space="preserve">sampled </w:t>
      </w:r>
      <w:r w:rsidR="00E2388C">
        <w:t xml:space="preserve">randomly </w:t>
      </w:r>
      <w:r w:rsidR="008C786E">
        <w:t>from the distributions shown in section 9 of the Supplementary Appendix)</w:t>
      </w:r>
      <w:r>
        <w:t xml:space="preserve"> </w:t>
      </w:r>
      <w:r w:rsidR="00837FE8">
        <w:t xml:space="preserve">for each model run </w:t>
      </w:r>
      <w:r>
        <w:t xml:space="preserve">in order to generate a range of </w:t>
      </w:r>
      <w:r w:rsidR="00F8262E">
        <w:t>“setting-</w:t>
      </w:r>
      <w:r>
        <w:t>scenar</w:t>
      </w:r>
      <w:r w:rsidR="00FA5F00">
        <w:t>ios</w:t>
      </w:r>
      <w:r w:rsidR="00F8262E">
        <w:t>”.  These</w:t>
      </w:r>
      <w:r w:rsidR="00FA5F00">
        <w:t xml:space="preserve"> </w:t>
      </w:r>
      <w:r w:rsidR="00F8262E">
        <w:t>reflect the range of situations in low</w:t>
      </w:r>
      <w:r w:rsidR="001B4404">
        <w:t xml:space="preserve"> and low-middle</w:t>
      </w:r>
      <w:r w:rsidR="00F8262E">
        <w:t xml:space="preserve"> income settings in southern Africa in terms of epidemic, HIV testing and ART programme characteristics.  </w:t>
      </w:r>
      <w:r w:rsidR="00311EC1">
        <w:t xml:space="preserve">We generated </w:t>
      </w:r>
      <w:r w:rsidR="00672795">
        <w:t>1</w:t>
      </w:r>
      <w:r w:rsidR="002E5EE3">
        <w:t xml:space="preserve">000 </w:t>
      </w:r>
      <w:r w:rsidR="00F8262E">
        <w:t xml:space="preserve">such </w:t>
      </w:r>
      <w:r w:rsidR="00473F51">
        <w:t>setting-scenario</w:t>
      </w:r>
      <w:r w:rsidR="002E5EE3">
        <w:t xml:space="preserve">s </w:t>
      </w:r>
      <w:r w:rsidR="00F8262E">
        <w:t>in which we</w:t>
      </w:r>
      <w:r w:rsidR="002E5EE3">
        <w:t xml:space="preserve"> track </w:t>
      </w:r>
      <w:r w:rsidR="00572A68">
        <w:t>a</w:t>
      </w:r>
      <w:r w:rsidR="00B06A1C">
        <w:t xml:space="preserve">n </w:t>
      </w:r>
      <w:r w:rsidR="002E5EE3">
        <w:t xml:space="preserve">adult population </w:t>
      </w:r>
      <w:r w:rsidR="00B31A76">
        <w:t>initial</w:t>
      </w:r>
      <w:r w:rsidR="0080777C">
        <w:t>l</w:t>
      </w:r>
      <w:r w:rsidR="00B31A76">
        <w:t xml:space="preserve">y </w:t>
      </w:r>
      <w:r w:rsidR="00B06A1C">
        <w:t>of approximately 20,000 people</w:t>
      </w:r>
      <w:r w:rsidR="00572A68">
        <w:t xml:space="preserve"> </w:t>
      </w:r>
      <w:r w:rsidR="00B31A76">
        <w:t xml:space="preserve">(with population growth accounted for) </w:t>
      </w:r>
      <w:r w:rsidR="00572A68">
        <w:t>and th</w:t>
      </w:r>
      <w:r w:rsidR="00572A68" w:rsidRPr="00D62E9B">
        <w:t>en scaled up</w:t>
      </w:r>
      <w:r w:rsidR="00DC716F" w:rsidRPr="00D62E9B">
        <w:t xml:space="preserve"> the</w:t>
      </w:r>
      <w:r w:rsidR="00572A68" w:rsidRPr="00D62E9B">
        <w:t xml:space="preserve"> </w:t>
      </w:r>
      <w:r w:rsidR="00B06A1C" w:rsidRPr="00D62E9B">
        <w:t xml:space="preserve">outputs </w:t>
      </w:r>
      <w:r w:rsidR="00572A68" w:rsidRPr="00D62E9B">
        <w:t>to</w:t>
      </w:r>
      <w:r w:rsidR="00650917" w:rsidRPr="00D62E9B">
        <w:t xml:space="preserve"> a</w:t>
      </w:r>
      <w:r w:rsidR="00FF5586">
        <w:t>n adult</w:t>
      </w:r>
      <w:r w:rsidR="00B06A1C" w:rsidRPr="00D62E9B">
        <w:t xml:space="preserve"> population the size of Malawi (approximately 10 million)</w:t>
      </w:r>
      <w:r w:rsidR="002E5EE3" w:rsidRPr="00D62E9B">
        <w:t>.</w:t>
      </w:r>
      <w:r w:rsidR="00D018C2" w:rsidRPr="00D62E9B">
        <w:t xml:space="preserve"> </w:t>
      </w:r>
      <w:r w:rsidR="00672795" w:rsidRPr="00D62E9B">
        <w:t xml:space="preserve"> </w:t>
      </w:r>
      <w:r w:rsidR="00F8262E" w:rsidRPr="00F8262E">
        <w:rPr>
          <w:color w:val="000000" w:themeColor="text1"/>
        </w:rPr>
        <w:t xml:space="preserve">The only constraints beyond those arising from the parameter distributions are that we excluded setting scenarios outside the following ranges:  HIV prevalence in 2017 3%-35%; relative prevalence in 25-35 year old women &gt;  1.5 times greater than that in 25-35 year old men; probability of an HIV test when HIV-related symptoms are present &gt;  0.30; number of </w:t>
      </w:r>
      <w:r w:rsidR="00564C04">
        <w:rPr>
          <w:color w:val="000000" w:themeColor="text1"/>
        </w:rPr>
        <w:t xml:space="preserve">sex </w:t>
      </w:r>
      <w:r w:rsidR="00F8262E" w:rsidRPr="00F8262E">
        <w:rPr>
          <w:color w:val="000000" w:themeColor="text1"/>
        </w:rPr>
        <w:t xml:space="preserve">workers who have condomless sex </w:t>
      </w:r>
      <w:r w:rsidR="00FB5FD1">
        <w:t xml:space="preserve">(in our model a sex worker is defined as a woman having had five or more condomless sex partners in any one three month period in the past year) </w:t>
      </w:r>
      <w:r w:rsidR="00F8262E" w:rsidRPr="00F8262E">
        <w:rPr>
          <w:color w:val="000000" w:themeColor="text1"/>
        </w:rPr>
        <w:t xml:space="preserve">2,500 -  200,000.  </w:t>
      </w:r>
      <w:r w:rsidR="00672795" w:rsidRPr="00D62E9B">
        <w:t>The characteristics of the 1</w:t>
      </w:r>
      <w:r w:rsidR="004A309C" w:rsidRPr="00D62E9B">
        <w:t xml:space="preserve">000 </w:t>
      </w:r>
      <w:r w:rsidR="00473F51" w:rsidRPr="00D62E9B">
        <w:t>setting-scenario</w:t>
      </w:r>
      <w:r w:rsidR="004A309C" w:rsidRPr="00D62E9B">
        <w:t>s in 2017 are presented in Table 1, along with examples of observed</w:t>
      </w:r>
      <w:r w:rsidR="004A309C" w:rsidRPr="00205743">
        <w:t xml:space="preserve"> data. </w:t>
      </w:r>
      <w:r w:rsidR="00257915">
        <w:t xml:space="preserve"> </w:t>
      </w:r>
      <w:r w:rsidR="0043757B">
        <w:t>We consider it plausible that each of the setting</w:t>
      </w:r>
      <w:r w:rsidR="00DB639A">
        <w:t>-</w:t>
      </w:r>
      <w:r w:rsidR="0043757B">
        <w:t>scenarios represent the real situation in certain sub-settings in sub Saharan Africa defined by geography and demographics.</w:t>
      </w:r>
      <w:r w:rsidR="009365FE">
        <w:t xml:space="preserve">  </w:t>
      </w:r>
    </w:p>
    <w:p w:rsidR="00E60B08" w:rsidRDefault="00B940A8" w:rsidP="00873766">
      <w:pPr>
        <w:spacing w:after="120" w:line="360" w:lineRule="auto"/>
      </w:pPr>
      <w:r>
        <w:t>F</w:t>
      </w:r>
      <w:r w:rsidR="008B08A8" w:rsidRPr="00205743">
        <w:t xml:space="preserve">or each </w:t>
      </w:r>
      <w:r w:rsidR="00473F51" w:rsidRPr="00205743">
        <w:t>setting-scenario</w:t>
      </w:r>
      <w:r w:rsidR="008B08A8" w:rsidRPr="00205743">
        <w:t xml:space="preserve">, </w:t>
      </w:r>
      <w:r w:rsidR="00E8195F" w:rsidRPr="00205743">
        <w:t xml:space="preserve">we </w:t>
      </w:r>
      <w:r>
        <w:t xml:space="preserve">used the model to make </w:t>
      </w:r>
      <w:r w:rsidR="00E8195F" w:rsidRPr="00205743">
        <w:t>project</w:t>
      </w:r>
      <w:r>
        <w:t>ions for 50 years from 2018</w:t>
      </w:r>
      <w:r w:rsidR="00E8195F" w:rsidRPr="00205743">
        <w:t xml:space="preserve"> </w:t>
      </w:r>
      <w:r>
        <w:t xml:space="preserve">to 2068 </w:t>
      </w:r>
      <w:r w:rsidR="00E8195F" w:rsidRPr="00205743">
        <w:t xml:space="preserve">under two policies.  Under </w:t>
      </w:r>
      <w:r w:rsidR="00E8195F" w:rsidRPr="00191F73">
        <w:t>both policies</w:t>
      </w:r>
      <w:r w:rsidR="000D7D18" w:rsidRPr="00191F73">
        <w:t>,</w:t>
      </w:r>
      <w:r w:rsidR="00E8195F" w:rsidRPr="00191F73">
        <w:t xml:space="preserve"> </w:t>
      </w:r>
      <w:r w:rsidR="00191F73">
        <w:t>“</w:t>
      </w:r>
      <w:r w:rsidR="00E8195F" w:rsidRPr="00191F73">
        <w:t>core</w:t>
      </w:r>
      <w:r w:rsidR="00191F73">
        <w:t>”</w:t>
      </w:r>
      <w:r w:rsidR="00E8195F" w:rsidRPr="00191F73">
        <w:t xml:space="preserve"> testing </w:t>
      </w:r>
      <w:r w:rsidR="00DB639A">
        <w:t xml:space="preserve">(hereafter referred to as core-testing) </w:t>
      </w:r>
      <w:r w:rsidR="00191F73" w:rsidRPr="00191F73">
        <w:t>is assumed to be offered</w:t>
      </w:r>
      <w:r w:rsidR="00191F73">
        <w:t xml:space="preserve">; </w:t>
      </w:r>
      <w:r w:rsidR="00E8195F" w:rsidRPr="00191F73">
        <w:t>i.e. testing in pregnant women</w:t>
      </w:r>
      <w:r w:rsidR="00191F73">
        <w:t xml:space="preserve"> (</w:t>
      </w:r>
      <w:r w:rsidR="00696C57" w:rsidRPr="00191F73">
        <w:t>one per pregnancy</w:t>
      </w:r>
      <w:r w:rsidR="007D4503" w:rsidRPr="00191F73">
        <w:t xml:space="preserve">, although many countries </w:t>
      </w:r>
      <w:r w:rsidR="008263FD" w:rsidRPr="00191F73">
        <w:t>aim for two or three</w:t>
      </w:r>
      <w:r w:rsidR="00F44ABB" w:rsidRPr="00191F73">
        <w:t xml:space="preserve"> tests per pregnancy</w:t>
      </w:r>
      <w:r w:rsidR="00191F73">
        <w:t>)</w:t>
      </w:r>
      <w:r w:rsidR="00E8195F" w:rsidRPr="00191F73">
        <w:t xml:space="preserve">, for diagnosis of symptoms, </w:t>
      </w:r>
      <w:r w:rsidR="00FB5FD1" w:rsidRPr="00191F73">
        <w:t xml:space="preserve">every 6 months </w:t>
      </w:r>
      <w:r w:rsidR="00E8195F" w:rsidRPr="00191F73">
        <w:t>in sex workers</w:t>
      </w:r>
      <w:r w:rsidR="00634C9C" w:rsidRPr="00191F73">
        <w:t xml:space="preserve"> </w:t>
      </w:r>
      <w:r w:rsidR="00FB5FD1" w:rsidRPr="00191F73">
        <w:t>who have condomless sex</w:t>
      </w:r>
      <w:r w:rsidR="0007345A" w:rsidRPr="00191F73">
        <w:t xml:space="preserve"> (although this is not </w:t>
      </w:r>
      <w:r w:rsidR="00191F73" w:rsidRPr="00191F73">
        <w:t xml:space="preserve">currently </w:t>
      </w:r>
      <w:r w:rsidR="0007345A" w:rsidRPr="00191F73">
        <w:t xml:space="preserve">happening in </w:t>
      </w:r>
      <w:r w:rsidR="00191F73">
        <w:t xml:space="preserve">many </w:t>
      </w:r>
      <w:r w:rsidR="0007345A" w:rsidRPr="00191F73">
        <w:t>settings)</w:t>
      </w:r>
      <w:r w:rsidR="00E8195F" w:rsidRPr="00191F73">
        <w:t xml:space="preserve">, and in men </w:t>
      </w:r>
      <w:r w:rsidR="00191F73">
        <w:t>coming forward for circumcision</w:t>
      </w:r>
      <w:r w:rsidR="00E8195F" w:rsidRPr="00191F73">
        <w:t xml:space="preserve">. </w:t>
      </w:r>
      <w:r w:rsidR="0007345A" w:rsidRPr="00191F73">
        <w:t xml:space="preserve"> </w:t>
      </w:r>
      <w:r w:rsidR="00E8195F" w:rsidRPr="00191F73">
        <w:t xml:space="preserve"> In the reference policy</w:t>
      </w:r>
      <w:r w:rsidR="000D7D18" w:rsidRPr="00191F73">
        <w:t>,</w:t>
      </w:r>
      <w:r w:rsidR="00E8195F" w:rsidRPr="00191F73">
        <w:t xml:space="preserve"> there is no additional HIV testing</w:t>
      </w:r>
      <w:r w:rsidR="007B3ABE" w:rsidRPr="00191F73">
        <w:t xml:space="preserve"> beyond </w:t>
      </w:r>
      <w:r w:rsidR="00DB639A">
        <w:t>core-testing</w:t>
      </w:r>
      <w:r w:rsidR="007B3ABE" w:rsidRPr="00191F73">
        <w:t xml:space="preserve"> (so in some </w:t>
      </w:r>
      <w:r w:rsidR="00473F51" w:rsidRPr="00191F73">
        <w:t>setting-scenario</w:t>
      </w:r>
      <w:r w:rsidR="007B3ABE" w:rsidRPr="00191F73">
        <w:t>s this means less testing than pre-2018)</w:t>
      </w:r>
      <w:r w:rsidR="00E8195F" w:rsidRPr="00191F73">
        <w:t xml:space="preserve">, while in the </w:t>
      </w:r>
      <w:r w:rsidR="00E548B6">
        <w:t>“</w:t>
      </w:r>
      <w:r w:rsidR="00DB639A">
        <w:t>additional testing</w:t>
      </w:r>
      <w:r w:rsidR="00E548B6">
        <w:t>”</w:t>
      </w:r>
      <w:r w:rsidR="00306590" w:rsidRPr="00191F73">
        <w:t xml:space="preserve"> </w:t>
      </w:r>
      <w:r w:rsidR="00E8195F" w:rsidRPr="00191F73">
        <w:t xml:space="preserve">policy </w:t>
      </w:r>
      <w:r w:rsidR="00DB639A">
        <w:t xml:space="preserve">(policy hereafter referred to as additional-testing) </w:t>
      </w:r>
      <w:r w:rsidR="00E8195F" w:rsidRPr="00191F73">
        <w:t xml:space="preserve">there is </w:t>
      </w:r>
      <w:r w:rsidR="00DB639A">
        <w:t>additional testing</w:t>
      </w:r>
      <w:r w:rsidRPr="00191F73">
        <w:t>.  The characteristics of</w:t>
      </w:r>
      <w:r>
        <w:t xml:space="preserve"> the </w:t>
      </w:r>
      <w:r w:rsidR="00DB639A">
        <w:t>additional testing</w:t>
      </w:r>
      <w:r>
        <w:t xml:space="preserve"> differed for each setting-scenario; </w:t>
      </w:r>
      <w:r w:rsidR="007B3ABE" w:rsidRPr="00205743">
        <w:t xml:space="preserve">we selected at random </w:t>
      </w:r>
      <w:r w:rsidR="000B5A38" w:rsidRPr="00205743">
        <w:t>a rate of testing</w:t>
      </w:r>
      <w:r w:rsidR="007A2352" w:rsidRPr="00205743">
        <w:t xml:space="preserve"> per 3 month period</w:t>
      </w:r>
      <w:r w:rsidR="006F2F90">
        <w:t xml:space="preserve"> </w:t>
      </w:r>
      <w:r w:rsidR="000B5A38" w:rsidRPr="00205743">
        <w:t>and a relative probability of HIV positive people being tested</w:t>
      </w:r>
      <w:r>
        <w:t xml:space="preserve"> compared with HIV negative people (which is possible as the true status of a “person” in the model is known).  </w:t>
      </w:r>
      <w:r w:rsidR="000B5A38" w:rsidRPr="00205743">
        <w:t xml:space="preserve"> </w:t>
      </w:r>
      <w:r>
        <w:t xml:space="preserve">This random selection was from </w:t>
      </w:r>
      <w:r>
        <w:rPr>
          <w:color w:val="000000" w:themeColor="text1"/>
        </w:rPr>
        <w:t>r</w:t>
      </w:r>
      <w:r w:rsidRPr="00205743">
        <w:t xml:space="preserve">elative rates of </w:t>
      </w:r>
      <w:r>
        <w:t xml:space="preserve">testing of </w:t>
      </w:r>
      <w:r w:rsidRPr="00205743">
        <w:t>0.1, 0.333, 1, 3, 10 and 30 times the existing testing rate in 2017</w:t>
      </w:r>
      <w:r>
        <w:t>, and relative probabilities</w:t>
      </w:r>
      <w:r w:rsidRPr="00205743">
        <w:t xml:space="preserve"> of HIV positive people being tested</w:t>
      </w:r>
      <w:r>
        <w:t xml:space="preserve"> </w:t>
      </w:r>
      <w:r w:rsidRPr="00205743">
        <w:rPr>
          <w:color w:val="000000" w:themeColor="text1"/>
        </w:rPr>
        <w:t>ranging from 1, to 10, 100 and 1000 times the probab</w:t>
      </w:r>
      <w:r w:rsidRPr="00205743">
        <w:t xml:space="preserve">ility of </w:t>
      </w:r>
      <w:r w:rsidRPr="00205743">
        <w:rPr>
          <w:color w:val="000000" w:themeColor="text1"/>
        </w:rPr>
        <w:t xml:space="preserve">HIV negative people being tested. </w:t>
      </w:r>
      <w:r>
        <w:rPr>
          <w:color w:val="000000" w:themeColor="text1"/>
        </w:rPr>
        <w:t xml:space="preserve"> </w:t>
      </w:r>
      <w:r w:rsidR="007A2352" w:rsidRPr="00205743">
        <w:rPr>
          <w:color w:val="000000" w:themeColor="text1"/>
        </w:rPr>
        <w:t xml:space="preserve">This </w:t>
      </w:r>
      <w:r w:rsidR="00306590">
        <w:rPr>
          <w:color w:val="000000" w:themeColor="text1"/>
        </w:rPr>
        <w:t xml:space="preserve">was done in order to generate </w:t>
      </w:r>
      <w:r w:rsidR="006F2F90">
        <w:rPr>
          <w:color w:val="000000" w:themeColor="text1"/>
        </w:rPr>
        <w:t>across setting-</w:t>
      </w:r>
      <w:r>
        <w:rPr>
          <w:color w:val="000000" w:themeColor="text1"/>
        </w:rPr>
        <w:t xml:space="preserve">scenarios </w:t>
      </w:r>
      <w:r w:rsidR="00306590">
        <w:rPr>
          <w:color w:val="000000" w:themeColor="text1"/>
        </w:rPr>
        <w:t xml:space="preserve">various different proportions of tests which result in diagnosis.  </w:t>
      </w:r>
      <w:r w:rsidR="002038E6">
        <w:rPr>
          <w:color w:val="000000" w:themeColor="text1"/>
        </w:rPr>
        <w:t xml:space="preserve"> </w:t>
      </w:r>
      <w:r w:rsidR="00DB639A">
        <w:rPr>
          <w:color w:val="000000" w:themeColor="text1"/>
        </w:rPr>
        <w:t>We chose core-</w:t>
      </w:r>
      <w:r w:rsidR="00433DB2">
        <w:rPr>
          <w:color w:val="000000" w:themeColor="text1"/>
        </w:rPr>
        <w:t xml:space="preserve">testing as the reference policy rather than the </w:t>
      </w:r>
      <w:r w:rsidR="008B40AB">
        <w:rPr>
          <w:color w:val="000000" w:themeColor="text1"/>
        </w:rPr>
        <w:t>current testing</w:t>
      </w:r>
      <w:r w:rsidR="00433DB2">
        <w:rPr>
          <w:color w:val="000000" w:themeColor="text1"/>
        </w:rPr>
        <w:t xml:space="preserve"> because we did not want to make any implicit assumption about cost effectiveness of </w:t>
      </w:r>
      <w:r w:rsidR="00433DB2">
        <w:rPr>
          <w:color w:val="000000" w:themeColor="text1"/>
        </w:rPr>
        <w:lastRenderedPageBreak/>
        <w:t xml:space="preserve">current testing beyond </w:t>
      </w:r>
      <w:r w:rsidR="00DB639A">
        <w:rPr>
          <w:color w:val="000000" w:themeColor="text1"/>
        </w:rPr>
        <w:t>core-testing</w:t>
      </w:r>
      <w:r w:rsidR="00433DB2">
        <w:rPr>
          <w:color w:val="000000" w:themeColor="text1"/>
        </w:rPr>
        <w:t xml:space="preserve">. </w:t>
      </w:r>
      <w:r w:rsidR="008B40AB">
        <w:rPr>
          <w:color w:val="000000" w:themeColor="text1"/>
        </w:rPr>
        <w:t xml:space="preserve"> </w:t>
      </w:r>
      <w:r w:rsidR="002038E6">
        <w:rPr>
          <w:color w:val="000000" w:themeColor="text1"/>
        </w:rPr>
        <w:t xml:space="preserve">We </w:t>
      </w:r>
      <w:r w:rsidR="0080777C">
        <w:rPr>
          <w:color w:val="000000" w:themeColor="text1"/>
        </w:rPr>
        <w:t xml:space="preserve">only included </w:t>
      </w:r>
      <w:r w:rsidR="002038E6">
        <w:rPr>
          <w:color w:val="000000" w:themeColor="text1"/>
        </w:rPr>
        <w:t xml:space="preserve"> setting scenarios in which the number of additional new HIV diagnoses per year is at least 5000.  </w:t>
      </w:r>
      <w:r w:rsidR="00306590">
        <w:rPr>
          <w:color w:val="000000" w:themeColor="text1"/>
        </w:rPr>
        <w:t xml:space="preserve"> </w:t>
      </w:r>
      <w:r w:rsidR="0017796A">
        <w:t xml:space="preserve">In </w:t>
      </w:r>
      <w:r w:rsidR="00D6054E">
        <w:t xml:space="preserve">two thirds of </w:t>
      </w:r>
      <w:r w:rsidR="00672795">
        <w:t>the 1</w:t>
      </w:r>
      <w:r w:rsidR="00660B4B">
        <w:t xml:space="preserve">000 model </w:t>
      </w:r>
      <w:r w:rsidR="00D6054E">
        <w:t>runs</w:t>
      </w:r>
      <w:r w:rsidR="00660B4B">
        <w:t xml:space="preserve"> (</w:t>
      </w:r>
      <w:r w:rsidR="00473F51">
        <w:t>setting-scenario</w:t>
      </w:r>
      <w:r w:rsidR="00660B4B">
        <w:t>s)</w:t>
      </w:r>
      <w:r w:rsidR="00D6054E">
        <w:t>,</w:t>
      </w:r>
      <w:r w:rsidR="0017796A">
        <w:t xml:space="preserve"> we restricted</w:t>
      </w:r>
      <w:r w:rsidR="00723053">
        <w:t xml:space="preserve"> </w:t>
      </w:r>
      <w:r w:rsidR="00DB639A">
        <w:t>additional-testing</w:t>
      </w:r>
      <w:r w:rsidR="0017796A">
        <w:t xml:space="preserve"> </w:t>
      </w:r>
      <w:r w:rsidR="00723053">
        <w:t xml:space="preserve">to </w:t>
      </w:r>
      <w:r w:rsidR="0017796A">
        <w:t>men or women only</w:t>
      </w:r>
      <w:r w:rsidR="00FB661A">
        <w:t>,</w:t>
      </w:r>
      <w:r w:rsidR="00723053">
        <w:t xml:space="preserve"> while in the remainder </w:t>
      </w:r>
      <w:r w:rsidR="00DB639A">
        <w:t>additional-testing</w:t>
      </w:r>
      <w:r w:rsidR="00723053">
        <w:t xml:space="preserve"> was in both </w:t>
      </w:r>
      <w:r w:rsidR="00245FDD">
        <w:t>sexes</w:t>
      </w:r>
      <w:r w:rsidR="0017796A">
        <w:t xml:space="preserve">.  </w:t>
      </w:r>
      <w:r w:rsidR="00245FDD">
        <w:t xml:space="preserve"> </w:t>
      </w:r>
      <w:r w:rsidR="003A6E50">
        <w:t xml:space="preserve">We assume that the criteria for ART initiation followed those from Malawi </w:t>
      </w:r>
      <w:r w:rsidR="000166AF">
        <w:t xml:space="preserve">up </w:t>
      </w:r>
      <w:r w:rsidR="00F23396">
        <w:t xml:space="preserve">to 2017 </w:t>
      </w:r>
      <w:r w:rsidR="003A6E50">
        <w:t>and that all people are eligible for ART at diagnosis from 2017</w:t>
      </w:r>
      <w:r w:rsidR="00FA5F00">
        <w:t xml:space="preserve"> and that viral load monitoring </w:t>
      </w:r>
      <w:r w:rsidR="00650917">
        <w:t xml:space="preserve">is </w:t>
      </w:r>
      <w:r w:rsidR="00FA5F00">
        <w:t xml:space="preserve">used </w:t>
      </w:r>
      <w:r w:rsidR="00650917">
        <w:t xml:space="preserve">from </w:t>
      </w:r>
      <w:r w:rsidR="00FA5F00">
        <w:t>2017</w:t>
      </w:r>
      <w:r w:rsidR="003A6E50">
        <w:t xml:space="preserve">.  </w:t>
      </w:r>
      <w:r w:rsidR="00A25B8F">
        <w:t>For each of the setting scenarios we ran 10 replicat</w:t>
      </w:r>
      <w:r w:rsidR="00E06276">
        <w:t xml:space="preserve">ions </w:t>
      </w:r>
      <w:r w:rsidR="00A25B8F">
        <w:t xml:space="preserve"> of each policy to </w:t>
      </w:r>
      <w:r w:rsidR="000F1DF7">
        <w:t>reduce influence of stochastic effects</w:t>
      </w:r>
      <w:r w:rsidR="00BE4552">
        <w:t xml:space="preserve">, which was adjudged to be sufficient based on the relative smoothness of the derived relationship between cost-per-diagnosis and the median ICER (Table 3). </w:t>
      </w:r>
    </w:p>
    <w:p w:rsidR="00653EBC" w:rsidRDefault="006220F5" w:rsidP="00873766">
      <w:pPr>
        <w:spacing w:after="120" w:line="360" w:lineRule="auto"/>
      </w:pPr>
      <w:r>
        <w:t xml:space="preserve">We describe the effect of the </w:t>
      </w:r>
      <w:r w:rsidR="00DB639A">
        <w:t>additional-testing</w:t>
      </w:r>
      <w:r>
        <w:t xml:space="preserve"> policy on intermediate measures</w:t>
      </w:r>
      <w:r w:rsidR="008D1945">
        <w:t xml:space="preserve"> including t</w:t>
      </w:r>
      <w:r w:rsidR="0096431C">
        <w:t xml:space="preserve">he mean proportion of </w:t>
      </w:r>
      <w:r w:rsidR="005576AE">
        <w:t>people te</w:t>
      </w:r>
      <w:r w:rsidR="0096431C">
        <w:t xml:space="preserve">sting in the past year, the proportion of HIV tests </w:t>
      </w:r>
      <w:r w:rsidR="0087602F">
        <w:t xml:space="preserve">resulting in a diagnosis, the </w:t>
      </w:r>
      <w:r w:rsidR="00B35D18">
        <w:rPr>
          <w:color w:val="000000" w:themeColor="text1"/>
        </w:rPr>
        <w:t>cost of HIV testing per new diagnosis (hereafter referred to as cost-per-diagnosis)</w:t>
      </w:r>
      <w:r w:rsidR="00BC0A5F">
        <w:t xml:space="preserve">, </w:t>
      </w:r>
      <w:r w:rsidR="0087602F">
        <w:t>and the percentage of HIV positive</w:t>
      </w:r>
      <w:r w:rsidR="0087602F" w:rsidRPr="0087602F">
        <w:t xml:space="preserve"> people diagnosed</w:t>
      </w:r>
      <w:r>
        <w:t xml:space="preserve"> over the 5 year period from 2018-2023</w:t>
      </w:r>
      <w:r w:rsidR="00306590">
        <w:t xml:space="preserve">.  </w:t>
      </w:r>
      <w:r w:rsidR="00BC0A5F">
        <w:t>The cost-per-new-diagnosis was based on the assumed testing cost of $3.70 (</w:t>
      </w:r>
      <w:r w:rsidR="00BC0A5F" w:rsidRPr="006A675A">
        <w:t>C</w:t>
      </w:r>
      <w:r w:rsidR="00BC0A5F">
        <w:t>linton Health Access Initiative,</w:t>
      </w:r>
      <w:r w:rsidR="00BC0A5F" w:rsidRPr="006A675A">
        <w:t xml:space="preserve"> personal communication</w:t>
      </w:r>
      <w:r w:rsidR="00E04EE7">
        <w:t>, which is consistent with previous costs in the region at h</w:t>
      </w:r>
      <w:r w:rsidR="000820E0">
        <w:t>igh volume facilities</w:t>
      </w:r>
      <w:r w:rsidR="000820E0">
        <w:rPr>
          <w:vertAlign w:val="superscript"/>
        </w:rPr>
        <w:t>9</w:t>
      </w:r>
      <w:r w:rsidR="00BC0A5F">
        <w:t xml:space="preserve">), with a total testing cost of $25 for people diagnosed positive, due </w:t>
      </w:r>
      <w:r w:rsidR="005359E2">
        <w:t>to</w:t>
      </w:r>
      <w:r w:rsidR="00BC0A5F">
        <w:t xml:space="preserve"> the need for confirmatory testing and appropriate counselling.</w:t>
      </w:r>
      <w:r w:rsidR="0052525D">
        <w:t xml:space="preserve">  Costs are in 2018 US$.</w:t>
      </w:r>
      <w:r w:rsidR="0080777C">
        <w:t xml:space="preserve">  </w:t>
      </w:r>
      <w:r w:rsidR="00306590">
        <w:t xml:space="preserve">A 5 year </w:t>
      </w:r>
      <w:r>
        <w:t>period w</w:t>
      </w:r>
      <w:r w:rsidR="00A17EFC">
        <w:t xml:space="preserve">as chosen to allow a sufficient time to fully characterize the </w:t>
      </w:r>
      <w:r w:rsidR="00DB639A">
        <w:t>additional-testing</w:t>
      </w:r>
      <w:r w:rsidR="00A17EFC">
        <w:t xml:space="preserve"> policy.</w:t>
      </w:r>
      <w:r w:rsidR="0083612B">
        <w:t xml:space="preserve"> </w:t>
      </w:r>
      <w:r w:rsidR="00B81126">
        <w:t xml:space="preserve"> </w:t>
      </w:r>
      <w:r w:rsidR="00B81126" w:rsidRPr="00B47A51">
        <w:t>The testing costs included in the analys</w:t>
      </w:r>
      <w:r w:rsidR="00B81126">
        <w:t>i</w:t>
      </w:r>
      <w:r w:rsidR="00B81126" w:rsidRPr="00B47A51">
        <w:t xml:space="preserve">s are </w:t>
      </w:r>
      <w:r w:rsidR="00306590">
        <w:t xml:space="preserve">conceived of as </w:t>
      </w:r>
      <w:r w:rsidR="00B81126" w:rsidRPr="00B47A51">
        <w:t>the fully loaded costs of a test being done</w:t>
      </w:r>
      <w:r w:rsidR="00B81126">
        <w:t xml:space="preserve">, including any demand generation, supply chain, fuel, wastage, human resources in </w:t>
      </w:r>
      <w:r w:rsidR="00B81126" w:rsidRPr="002F3269">
        <w:t xml:space="preserve">administering the test as well as the kit itself. </w:t>
      </w:r>
      <w:r w:rsidR="00306590">
        <w:t xml:space="preserve"> </w:t>
      </w:r>
      <w:r w:rsidR="00B31A76">
        <w:t>T</w:t>
      </w:r>
      <w:r w:rsidR="000D0DF9" w:rsidRPr="002F3269">
        <w:t>he</w:t>
      </w:r>
      <w:r w:rsidR="00F75520" w:rsidRPr="002F3269">
        <w:t xml:space="preserve"> annual cost</w:t>
      </w:r>
      <w:r w:rsidR="00DB61F6">
        <w:t xml:space="preserve"> </w:t>
      </w:r>
      <w:r w:rsidR="00F75520" w:rsidRPr="002F3269">
        <w:t>of the first-line reg</w:t>
      </w:r>
      <w:r w:rsidR="000D0DF9" w:rsidRPr="002F3269">
        <w:t>imen of efavirenz, lamivudine</w:t>
      </w:r>
      <w:r w:rsidR="00F75520" w:rsidRPr="002F3269">
        <w:t xml:space="preserve">, </w:t>
      </w:r>
      <w:r w:rsidR="00F75520" w:rsidRPr="00DB61F6">
        <w:t>tenofovir is $1</w:t>
      </w:r>
      <w:r w:rsidR="00DB61F6" w:rsidRPr="00DB61F6">
        <w:t>0</w:t>
      </w:r>
      <w:r w:rsidR="000D0DF9" w:rsidRPr="00DB61F6">
        <w:t>0 per person</w:t>
      </w:r>
      <w:r w:rsidR="000D0DF9">
        <w:t xml:space="preserve"> per year</w:t>
      </w:r>
      <w:r w:rsidR="002F3269">
        <w:t xml:space="preserve"> (with dolutegravir replacing efavirenz by 2019, </w:t>
      </w:r>
      <w:r w:rsidR="00DB61F6">
        <w:t>with a total regimen cost of $75</w:t>
      </w:r>
      <w:r w:rsidR="002F3269">
        <w:t xml:space="preserve"> per person year)</w:t>
      </w:r>
      <w:r>
        <w:t>, p</w:t>
      </w:r>
      <w:r w:rsidR="00F75520" w:rsidRPr="00E6456C">
        <w:t>rogramme costs for clinic visits</w:t>
      </w:r>
      <w:r w:rsidR="00E21FDA">
        <w:t xml:space="preserve">, </w:t>
      </w:r>
      <w:r w:rsidR="00F75520" w:rsidRPr="00E6456C">
        <w:t>not including drug</w:t>
      </w:r>
      <w:r w:rsidR="00E21FDA">
        <w:t xml:space="preserve">, </w:t>
      </w:r>
      <w:r w:rsidR="00F75520" w:rsidRPr="00E6456C">
        <w:t>viral load</w:t>
      </w:r>
      <w:r w:rsidR="00E21FDA">
        <w:t xml:space="preserve">, or </w:t>
      </w:r>
      <w:r w:rsidR="00F75520" w:rsidRPr="00E6456C">
        <w:t>CD4 coun</w:t>
      </w:r>
      <w:r w:rsidR="003C1DAE">
        <w:t>t tests</w:t>
      </w:r>
      <w:r w:rsidR="00E21FDA">
        <w:t>,</w:t>
      </w:r>
      <w:r w:rsidR="003C1DAE">
        <w:t xml:space="preserve"> are $20 per 3 months</w:t>
      </w:r>
      <w:r w:rsidR="000820E0">
        <w:rPr>
          <w:vertAlign w:val="superscript"/>
        </w:rPr>
        <w:t>10,11</w:t>
      </w:r>
      <w:r w:rsidR="00F75520" w:rsidRPr="003C1DAE">
        <w:rPr>
          <w:vertAlign w:val="superscript"/>
        </w:rPr>
        <w:t xml:space="preserve"> </w:t>
      </w:r>
      <w:r w:rsidR="00F75520" w:rsidRPr="00E6456C">
        <w:t xml:space="preserve">with an assumed reduction to $10 per 3 months when </w:t>
      </w:r>
      <w:r w:rsidR="00E21FDA">
        <w:t xml:space="preserve">viral load is </w:t>
      </w:r>
      <w:r w:rsidR="000D0DF9">
        <w:t>&lt; 1000 copies/mL</w:t>
      </w:r>
      <w:r w:rsidR="000820E0">
        <w:rPr>
          <w:vertAlign w:val="superscript"/>
        </w:rPr>
        <w:t>8</w:t>
      </w:r>
      <w:r w:rsidR="000D0DF9">
        <w:t xml:space="preserve">.  </w:t>
      </w:r>
      <w:r w:rsidR="000D0DF9" w:rsidRPr="00E6456C">
        <w:t>Disabil</w:t>
      </w:r>
      <w:r w:rsidR="000D0DF9">
        <w:t>ity weights to calculate DALYs w</w:t>
      </w:r>
      <w:r w:rsidR="000D0DF9" w:rsidRPr="00E6456C">
        <w:t>ere deri</w:t>
      </w:r>
      <w:r w:rsidR="003C1DAE">
        <w:t>ved from a comprehensive study</w:t>
      </w:r>
      <w:r w:rsidR="000820E0">
        <w:rPr>
          <w:vertAlign w:val="superscript"/>
        </w:rPr>
        <w:t>12</w:t>
      </w:r>
      <w:r w:rsidR="000D0DF9">
        <w:t>.</w:t>
      </w:r>
      <w:r w:rsidR="004452B9">
        <w:t xml:space="preserve">  </w:t>
      </w:r>
    </w:p>
    <w:p w:rsidR="00826952" w:rsidRPr="00B74309" w:rsidRDefault="00205743" w:rsidP="00873766">
      <w:pPr>
        <w:spacing w:after="120" w:line="360" w:lineRule="auto"/>
        <w:rPr>
          <w:color w:val="000000" w:themeColor="text1"/>
        </w:rPr>
      </w:pPr>
      <w:r>
        <w:t>In order to generate a range of situations with regard to cost per unit test w</w:t>
      </w:r>
      <w:r w:rsidR="00826952" w:rsidRPr="00205743">
        <w:t xml:space="preserve">e considered </w:t>
      </w:r>
      <w:r w:rsidR="00FC1183">
        <w:t xml:space="preserve">a range of plausible </w:t>
      </w:r>
      <w:r w:rsidR="00826952" w:rsidRPr="00205743">
        <w:t xml:space="preserve">unit costs of </w:t>
      </w:r>
      <w:r w:rsidR="00F75520" w:rsidRPr="00205743">
        <w:t xml:space="preserve">HIV </w:t>
      </w:r>
      <w:r w:rsidR="00826952" w:rsidRPr="00205743">
        <w:t xml:space="preserve">tests </w:t>
      </w:r>
      <w:r w:rsidR="00305202" w:rsidRPr="00205743">
        <w:t xml:space="preserve">in </w:t>
      </w:r>
      <w:r w:rsidR="00356307" w:rsidRPr="00205743">
        <w:t>addition</w:t>
      </w:r>
      <w:r w:rsidR="00305202" w:rsidRPr="00205743">
        <w:t xml:space="preserve"> </w:t>
      </w:r>
      <w:r w:rsidR="00826952" w:rsidRPr="00205743">
        <w:t xml:space="preserve">to the </w:t>
      </w:r>
      <w:r w:rsidR="00305202" w:rsidRPr="00205743">
        <w:t xml:space="preserve">baseline cost of </w:t>
      </w:r>
      <w:r w:rsidR="00826952" w:rsidRPr="00205743">
        <w:t>$3.70</w:t>
      </w:r>
      <w:r w:rsidR="00B74309">
        <w:t xml:space="preserve">: </w:t>
      </w:r>
      <w:r w:rsidR="00826952" w:rsidRPr="00205743">
        <w:t xml:space="preserve">$1, $2, $5, $7, $10, $12, </w:t>
      </w:r>
      <w:r w:rsidR="00305202" w:rsidRPr="00205743">
        <w:t xml:space="preserve">and increments of $3 up to </w:t>
      </w:r>
      <w:r w:rsidR="00B74309">
        <w:t>$36</w:t>
      </w:r>
      <w:r w:rsidR="00826952" w:rsidRPr="00205743">
        <w:t>.</w:t>
      </w:r>
      <w:r w:rsidR="000A6438">
        <w:t xml:space="preserve">  </w:t>
      </w:r>
      <w:r w:rsidR="00FC1183">
        <w:t>The higher unit costs are conceived of as relating to situations in which there are substantial costs in identifying and reaching people to target for testing</w:t>
      </w:r>
      <w:r w:rsidR="008D7CC1">
        <w:t xml:space="preserve"> (e.g. contact tracing)</w:t>
      </w:r>
      <w:r w:rsidR="00E06276">
        <w:t>.</w:t>
      </w:r>
      <w:r w:rsidR="00FC1183">
        <w:t xml:space="preserve"> </w:t>
      </w:r>
      <w:r w:rsidR="00564C04">
        <w:t xml:space="preserve">  This was applied for all HIV tests, not just the additional tests</w:t>
      </w:r>
      <w:r w:rsidR="002F68A6">
        <w:t xml:space="preserve"> and includes all costs relating to performing a test, not just the cost for the kit itself</w:t>
      </w:r>
      <w:r w:rsidR="00564C04">
        <w:t>.</w:t>
      </w:r>
      <w:r w:rsidR="00826952" w:rsidRPr="00205743">
        <w:t xml:space="preserve">  </w:t>
      </w:r>
      <w:r w:rsidR="00D5217F">
        <w:t>A</w:t>
      </w:r>
      <w:r w:rsidR="00D5217F" w:rsidRPr="00205743">
        <w:rPr>
          <w:color w:val="000000" w:themeColor="text1"/>
        </w:rPr>
        <w:t xml:space="preserve"> total of </w:t>
      </w:r>
      <w:r w:rsidR="00D5217F">
        <w:rPr>
          <w:color w:val="000000" w:themeColor="text1"/>
        </w:rPr>
        <w:t>16</w:t>
      </w:r>
      <w:r w:rsidR="00D5217F" w:rsidRPr="00205743">
        <w:rPr>
          <w:color w:val="000000" w:themeColor="text1"/>
        </w:rPr>
        <w:t>,000 setting-scenario</w:t>
      </w:r>
      <w:r w:rsidR="008D1945">
        <w:rPr>
          <w:color w:val="000000" w:themeColor="text1"/>
        </w:rPr>
        <w:t xml:space="preserve"> </w:t>
      </w:r>
      <w:r w:rsidR="00D5217F">
        <w:rPr>
          <w:color w:val="000000" w:themeColor="text1"/>
        </w:rPr>
        <w:t>/</w:t>
      </w:r>
      <w:r w:rsidR="008D1945">
        <w:rPr>
          <w:color w:val="000000" w:themeColor="text1"/>
        </w:rPr>
        <w:t xml:space="preserve"> </w:t>
      </w:r>
      <w:r w:rsidR="00D5217F" w:rsidRPr="00205743">
        <w:rPr>
          <w:color w:val="000000" w:themeColor="text1"/>
        </w:rPr>
        <w:t>test unit cost combinations</w:t>
      </w:r>
      <w:r w:rsidR="00D5217F">
        <w:rPr>
          <w:color w:val="000000" w:themeColor="text1"/>
        </w:rPr>
        <w:t xml:space="preserve"> were therefore considered (16 different unit costs for each of 1000 setting-scenarios)</w:t>
      </w:r>
      <w:r w:rsidR="00D5217F" w:rsidRPr="00205743">
        <w:rPr>
          <w:color w:val="000000" w:themeColor="text1"/>
        </w:rPr>
        <w:t xml:space="preserve">.  </w:t>
      </w:r>
      <w:r w:rsidR="00706C32">
        <w:rPr>
          <w:color w:val="000000" w:themeColor="text1"/>
        </w:rPr>
        <w:t>For each of the</w:t>
      </w:r>
      <w:r w:rsidR="00DB639A">
        <w:rPr>
          <w:color w:val="000000" w:themeColor="text1"/>
        </w:rPr>
        <w:t xml:space="preserve">se we calculate the </w:t>
      </w:r>
      <w:r w:rsidR="00B35D18">
        <w:rPr>
          <w:color w:val="000000" w:themeColor="text1"/>
        </w:rPr>
        <w:t>cost-per-diagnosis</w:t>
      </w:r>
      <w:r w:rsidR="0065097C">
        <w:rPr>
          <w:color w:val="000000" w:themeColor="text1"/>
        </w:rPr>
        <w:t xml:space="preserve"> </w:t>
      </w:r>
      <w:r w:rsidR="00706C32">
        <w:rPr>
          <w:color w:val="000000" w:themeColor="text1"/>
        </w:rPr>
        <w:t xml:space="preserve">resulting from the </w:t>
      </w:r>
      <w:r w:rsidR="00DB639A">
        <w:rPr>
          <w:color w:val="000000" w:themeColor="text1"/>
        </w:rPr>
        <w:t>additional-testing</w:t>
      </w:r>
      <w:r w:rsidR="009E6E2C" w:rsidRPr="0011241C">
        <w:rPr>
          <w:color w:val="000000" w:themeColor="text1"/>
        </w:rPr>
        <w:t xml:space="preserve"> </w:t>
      </w:r>
      <w:r w:rsidR="009E6E2C" w:rsidRPr="0011241C">
        <w:t xml:space="preserve">as the ratio between the cumulative (undiscounted) cost of </w:t>
      </w:r>
      <w:r w:rsidR="00DB639A">
        <w:t>additional-testing</w:t>
      </w:r>
      <w:r w:rsidR="009E6E2C" w:rsidRPr="0011241C">
        <w:t xml:space="preserve"> and the </w:t>
      </w:r>
      <w:r w:rsidR="009E6E2C" w:rsidRPr="0011241C">
        <w:lastRenderedPageBreak/>
        <w:t xml:space="preserve">number of </w:t>
      </w:r>
      <w:r w:rsidR="0011241C" w:rsidRPr="0011241C">
        <w:t>d</w:t>
      </w:r>
      <w:r w:rsidR="009E6E2C" w:rsidRPr="0011241C">
        <w:t xml:space="preserve">iagnoses </w:t>
      </w:r>
      <w:r w:rsidR="0011241C" w:rsidRPr="0011241C">
        <w:t>du</w:t>
      </w:r>
      <w:r w:rsidR="00E548B6">
        <w:t xml:space="preserve">e to </w:t>
      </w:r>
      <w:r w:rsidR="00DB639A">
        <w:t>additional-testing</w:t>
      </w:r>
      <w:r w:rsidR="00E548B6">
        <w:t>, averag</w:t>
      </w:r>
      <w:r w:rsidR="0011241C" w:rsidRPr="0011241C">
        <w:t>ed over the 5 years 2018-2023</w:t>
      </w:r>
      <w:r w:rsidR="00706C32" w:rsidRPr="0011241C">
        <w:rPr>
          <w:color w:val="000000" w:themeColor="text1"/>
        </w:rPr>
        <w:t xml:space="preserve">. </w:t>
      </w:r>
      <w:r w:rsidR="00826952" w:rsidRPr="0011241C">
        <w:rPr>
          <w:color w:val="000000" w:themeColor="text1"/>
        </w:rPr>
        <w:t xml:space="preserve">  </w:t>
      </w:r>
      <w:r w:rsidR="00826952" w:rsidRPr="0011241C">
        <w:t>We then assess</w:t>
      </w:r>
      <w:r w:rsidR="00305202" w:rsidRPr="0011241C">
        <w:t>ed</w:t>
      </w:r>
      <w:r w:rsidR="00826952" w:rsidRPr="00205743">
        <w:t xml:space="preserve"> th</w:t>
      </w:r>
      <w:r w:rsidR="00B74309">
        <w:t xml:space="preserve">e relationship between the </w:t>
      </w:r>
      <w:r w:rsidR="0065097C">
        <w:t>cost-per-diagnosis</w:t>
      </w:r>
      <w:r w:rsidR="00826952" w:rsidRPr="00205743">
        <w:t xml:space="preserve"> and the incremental cost effectiveness</w:t>
      </w:r>
      <w:r w:rsidR="00826952">
        <w:t xml:space="preserve"> ratio (ICER) for </w:t>
      </w:r>
      <w:r w:rsidR="00DB639A">
        <w:t>additional-testing</w:t>
      </w:r>
      <w:r w:rsidR="00826952">
        <w:t xml:space="preserve"> over </w:t>
      </w:r>
      <w:r w:rsidR="00DB639A">
        <w:t>core-testing</w:t>
      </w:r>
      <w:r w:rsidR="006821BD">
        <w:t xml:space="preserve"> alone</w:t>
      </w:r>
      <w:r w:rsidR="00511171">
        <w:t>, with the ICER</w:t>
      </w:r>
      <w:r w:rsidR="00826952">
        <w:t xml:space="preserve"> calculated over </w:t>
      </w:r>
      <w:r w:rsidR="00511171">
        <w:t>the 50 year time horizon</w:t>
      </w:r>
      <w:r w:rsidR="00826952" w:rsidRPr="00B74309">
        <w:t xml:space="preserve">.   </w:t>
      </w:r>
      <w:r w:rsidR="00B74309" w:rsidRPr="00B74309">
        <w:rPr>
          <w:color w:val="000000" w:themeColor="text1"/>
        </w:rPr>
        <w:t>The ICER takes account of all costs, including downstream costs (and potential savings in downstream costs) resulting from the testing and diagnosis.</w:t>
      </w:r>
      <w:r w:rsidR="00520FCF">
        <w:rPr>
          <w:color w:val="000000" w:themeColor="text1"/>
        </w:rPr>
        <w:t xml:space="preserve">  Unlike</w:t>
      </w:r>
      <w:r w:rsidR="00B74309">
        <w:rPr>
          <w:color w:val="000000" w:themeColor="text1"/>
        </w:rPr>
        <w:t xml:space="preserve"> the </w:t>
      </w:r>
      <w:r w:rsidR="0065097C">
        <w:rPr>
          <w:color w:val="000000" w:themeColor="text1"/>
        </w:rPr>
        <w:t>cost-per-diagnosis</w:t>
      </w:r>
      <w:r w:rsidR="00D5217F">
        <w:rPr>
          <w:color w:val="000000" w:themeColor="text1"/>
        </w:rPr>
        <w:t>, the cost-per-DALY-averted</w:t>
      </w:r>
      <w:r w:rsidR="00B74309">
        <w:rPr>
          <w:color w:val="000000" w:themeColor="text1"/>
        </w:rPr>
        <w:t xml:space="preserve"> cannot be readily measured </w:t>
      </w:r>
      <w:r w:rsidR="00D5217F">
        <w:rPr>
          <w:color w:val="000000" w:themeColor="text1"/>
        </w:rPr>
        <w:t xml:space="preserve">by programmes </w:t>
      </w:r>
      <w:r w:rsidR="00B74309">
        <w:rPr>
          <w:color w:val="000000" w:themeColor="text1"/>
        </w:rPr>
        <w:t>and used</w:t>
      </w:r>
      <w:r w:rsidR="00D5217F">
        <w:rPr>
          <w:color w:val="000000" w:themeColor="text1"/>
        </w:rPr>
        <w:t xml:space="preserve"> directly to monitor them</w:t>
      </w:r>
      <w:r w:rsidR="00B74309">
        <w:rPr>
          <w:color w:val="000000" w:themeColor="text1"/>
        </w:rPr>
        <w:t xml:space="preserve">.   </w:t>
      </w:r>
    </w:p>
    <w:p w:rsidR="00826952" w:rsidRDefault="00305202" w:rsidP="00873766">
      <w:pPr>
        <w:spacing w:after="120" w:line="360" w:lineRule="auto"/>
        <w:rPr>
          <w:rFonts w:ascii="Calibri" w:hAnsi="Calibri"/>
          <w:color w:val="000000"/>
        </w:rPr>
      </w:pPr>
      <w:r>
        <w:t>We take a health</w:t>
      </w:r>
      <w:r w:rsidR="00766BDE">
        <w:t xml:space="preserve"> care </w:t>
      </w:r>
      <w:r w:rsidR="00826952">
        <w:t xml:space="preserve">perspective for our cost effectiveness analysis.  </w:t>
      </w:r>
      <w:r w:rsidR="00B72F38">
        <w:t xml:space="preserve">The health-financing environment for HIV in Malawi and other countries is complex, with international funding initiatives channelled particularly to support HIV testing.  </w:t>
      </w:r>
      <w:r w:rsidR="00826952">
        <w:t xml:space="preserve">In each </w:t>
      </w:r>
      <w:r w:rsidR="00473F51">
        <w:t>setting-scenario</w:t>
      </w:r>
      <w:r w:rsidR="005B69C8">
        <w:t xml:space="preserve"> /</w:t>
      </w:r>
      <w:r w:rsidR="00826952">
        <w:t xml:space="preserve"> unit test cost combination, </w:t>
      </w:r>
      <w:r w:rsidR="00DB639A">
        <w:t>additional-testing</w:t>
      </w:r>
      <w:r w:rsidR="00826952">
        <w:t xml:space="preserve"> was deemed</w:t>
      </w:r>
      <w:r w:rsidR="008D1945">
        <w:t xml:space="preserve"> to be cost effective if the ICER</w:t>
      </w:r>
      <w:r w:rsidR="00826952">
        <w:t xml:space="preserve"> was below $500 per DALY averted</w:t>
      </w:r>
      <w:r w:rsidR="00826952" w:rsidDel="00A71262">
        <w:t xml:space="preserve"> </w:t>
      </w:r>
      <w:r w:rsidR="00826952">
        <w:t xml:space="preserve">or if there was a saving in cost with the </w:t>
      </w:r>
      <w:r w:rsidR="00DB639A">
        <w:t>additional-testing</w:t>
      </w:r>
      <w:r w:rsidR="00826952">
        <w:t xml:space="preserve"> policy and DALYs were averted.  This use of the cost-effectiveness threshold reflects the health foregone (opportunity costs) due to resources committed to HIV testing consequentially being unavailable to provide other </w:t>
      </w:r>
      <w:r w:rsidR="00B72F38">
        <w:t xml:space="preserve">HIV </w:t>
      </w:r>
      <w:r w:rsidR="00826952">
        <w:t>interventions (</w:t>
      </w:r>
      <w:r>
        <w:t xml:space="preserve">so that </w:t>
      </w:r>
      <w:r w:rsidR="00826952">
        <w:t>$500 reflects the cost-per-DALY-averted of these foregone activities)</w:t>
      </w:r>
      <w:r w:rsidR="00BC15BF">
        <w:rPr>
          <w:vertAlign w:val="superscript"/>
        </w:rPr>
        <w:t>1</w:t>
      </w:r>
      <w:r w:rsidR="006B04DD">
        <w:rPr>
          <w:vertAlign w:val="superscript"/>
        </w:rPr>
        <w:t>3</w:t>
      </w:r>
      <w:r w:rsidR="00BC15BF">
        <w:rPr>
          <w:vertAlign w:val="superscript"/>
        </w:rPr>
        <w:t>,1</w:t>
      </w:r>
      <w:r w:rsidR="006B04DD">
        <w:rPr>
          <w:vertAlign w:val="superscript"/>
        </w:rPr>
        <w:t>4</w:t>
      </w:r>
      <w:r w:rsidR="00826952">
        <w:t xml:space="preserve">.  </w:t>
      </w:r>
      <w:r w:rsidR="00826952">
        <w:rPr>
          <w:rFonts w:ascii="Calibri" w:hAnsi="Calibri"/>
          <w:color w:val="000000"/>
        </w:rPr>
        <w:t>Severe constraints on overall healthcare spending in low income count</w:t>
      </w:r>
      <w:r w:rsidR="00BE5560">
        <w:rPr>
          <w:rFonts w:ascii="Calibri" w:hAnsi="Calibri"/>
          <w:color w:val="000000"/>
        </w:rPr>
        <w:t>ries in the region, and Malawi</w:t>
      </w:r>
      <w:r w:rsidR="00BE5560" w:rsidRPr="00BE5560">
        <w:rPr>
          <w:rFonts w:ascii="Calibri" w:hAnsi="Calibri"/>
          <w:color w:val="000000"/>
          <w:vertAlign w:val="superscript"/>
        </w:rPr>
        <w:t>1</w:t>
      </w:r>
      <w:r w:rsidR="006B04DD">
        <w:rPr>
          <w:rFonts w:ascii="Calibri" w:hAnsi="Calibri"/>
          <w:color w:val="000000"/>
          <w:vertAlign w:val="superscript"/>
        </w:rPr>
        <w:t>5</w:t>
      </w:r>
      <w:r w:rsidR="00826952">
        <w:rPr>
          <w:rFonts w:ascii="Calibri" w:hAnsi="Calibri"/>
          <w:color w:val="000000"/>
        </w:rPr>
        <w:t xml:space="preserve"> in particular, mean that this cost effectiveness threshold is only likely to be relevant for resource allocation within the HIV programme which is overwhel</w:t>
      </w:r>
      <w:r w:rsidR="00BE5560">
        <w:rPr>
          <w:rFonts w:ascii="Calibri" w:hAnsi="Calibri"/>
          <w:color w:val="000000"/>
        </w:rPr>
        <w:t>mingly reliant on overseas aid</w:t>
      </w:r>
      <w:r w:rsidR="00BE5560" w:rsidRPr="00BE5560">
        <w:rPr>
          <w:rFonts w:ascii="Calibri" w:hAnsi="Calibri"/>
          <w:color w:val="000000"/>
          <w:vertAlign w:val="superscript"/>
        </w:rPr>
        <w:t>1</w:t>
      </w:r>
      <w:r w:rsidR="006B04DD">
        <w:rPr>
          <w:rFonts w:ascii="Calibri" w:hAnsi="Calibri"/>
          <w:color w:val="000000"/>
          <w:vertAlign w:val="superscript"/>
        </w:rPr>
        <w:t>6</w:t>
      </w:r>
      <w:r w:rsidR="00826952">
        <w:rPr>
          <w:rFonts w:ascii="Calibri" w:hAnsi="Calibri"/>
          <w:color w:val="000000"/>
        </w:rPr>
        <w:t xml:space="preserve">.  </w:t>
      </w:r>
      <w:r w:rsidR="00B72F38">
        <w:rPr>
          <w:rFonts w:ascii="Calibri" w:hAnsi="Calibri"/>
          <w:color w:val="000000"/>
        </w:rPr>
        <w:t xml:space="preserve">The Ministry of Health in Malawi also has to support the delivery of </w:t>
      </w:r>
      <w:r w:rsidR="00826952">
        <w:rPr>
          <w:rFonts w:ascii="Calibri" w:hAnsi="Calibri"/>
          <w:color w:val="000000"/>
        </w:rPr>
        <w:t>other (non-HIV) health care interventions that generate health gains at less than this amount remain, for example</w:t>
      </w:r>
      <w:r w:rsidR="00826952" w:rsidRPr="00DB04BC">
        <w:t xml:space="preserve"> </w:t>
      </w:r>
      <w:r w:rsidR="00826952" w:rsidRPr="00DB04BC">
        <w:rPr>
          <w:rFonts w:ascii="Calibri" w:hAnsi="Calibri"/>
          <w:color w:val="000000"/>
        </w:rPr>
        <w:t>diagnosis and treatment for hypertension</w:t>
      </w:r>
      <w:r w:rsidR="00B72F38">
        <w:rPr>
          <w:rFonts w:ascii="Calibri" w:hAnsi="Calibri"/>
          <w:color w:val="000000"/>
        </w:rPr>
        <w:t>.  T</w:t>
      </w:r>
      <w:r w:rsidR="00826952">
        <w:rPr>
          <w:rFonts w:ascii="Calibri" w:hAnsi="Calibri"/>
          <w:color w:val="000000"/>
        </w:rPr>
        <w:t xml:space="preserve">he cost effectiveness threshold </w:t>
      </w:r>
      <w:r w:rsidR="00B72F38">
        <w:rPr>
          <w:rFonts w:ascii="Calibri" w:hAnsi="Calibri"/>
          <w:color w:val="000000"/>
        </w:rPr>
        <w:t xml:space="preserve">reflecting the resource allocation decisions it faces </w:t>
      </w:r>
      <w:r w:rsidR="00826952">
        <w:rPr>
          <w:rFonts w:ascii="Calibri" w:hAnsi="Calibri"/>
          <w:color w:val="000000"/>
        </w:rPr>
        <w:t xml:space="preserve">is </w:t>
      </w:r>
      <w:r w:rsidR="00B72F38">
        <w:rPr>
          <w:rFonts w:ascii="Calibri" w:hAnsi="Calibri"/>
          <w:color w:val="000000"/>
        </w:rPr>
        <w:t xml:space="preserve">therefore </w:t>
      </w:r>
      <w:r w:rsidR="00826952">
        <w:rPr>
          <w:rFonts w:ascii="Calibri" w:hAnsi="Calibri"/>
          <w:color w:val="000000"/>
        </w:rPr>
        <w:t>likely to be much lower.  This</w:t>
      </w:r>
      <w:r w:rsidR="00826952">
        <w:t xml:space="preserve"> implies more health could be gai</w:t>
      </w:r>
      <w:r>
        <w:t>ned by using some HIV funding for</w:t>
      </w:r>
      <w:r w:rsidR="00826952">
        <w:t xml:space="preserve"> other pressing health care needs.</w:t>
      </w:r>
      <w:r w:rsidR="00826952">
        <w:rPr>
          <w:rFonts w:ascii="Calibri" w:hAnsi="Calibri"/>
          <w:color w:val="000000"/>
        </w:rPr>
        <w:t xml:space="preserve">  </w:t>
      </w:r>
      <w:r w:rsidR="00637C5C">
        <w:rPr>
          <w:rFonts w:ascii="Calibri" w:hAnsi="Calibri"/>
          <w:color w:val="000000"/>
        </w:rPr>
        <w:t>Wh</w:t>
      </w:r>
      <w:r w:rsidR="00826952">
        <w:rPr>
          <w:rFonts w:ascii="Calibri" w:hAnsi="Calibri"/>
          <w:color w:val="000000"/>
        </w:rPr>
        <w:t xml:space="preserve">ere delivery of HIV interventions draws upon resources that would otherwise be used for other health activities </w:t>
      </w:r>
      <w:r>
        <w:rPr>
          <w:rFonts w:ascii="Calibri" w:hAnsi="Calibri"/>
          <w:color w:val="000000"/>
        </w:rPr>
        <w:t xml:space="preserve">such as the </w:t>
      </w:r>
      <w:r w:rsidR="00826952">
        <w:rPr>
          <w:rFonts w:ascii="Calibri" w:hAnsi="Calibri"/>
          <w:color w:val="000000"/>
        </w:rPr>
        <w:t xml:space="preserve">use of staff resources a lower threshold would </w:t>
      </w:r>
      <w:r>
        <w:rPr>
          <w:rFonts w:ascii="Calibri" w:hAnsi="Calibri"/>
          <w:color w:val="000000"/>
        </w:rPr>
        <w:t xml:space="preserve">probably </w:t>
      </w:r>
      <w:r w:rsidR="00826952">
        <w:rPr>
          <w:rFonts w:ascii="Calibri" w:hAnsi="Calibri"/>
          <w:color w:val="000000"/>
        </w:rPr>
        <w:t xml:space="preserve">be required, </w:t>
      </w:r>
      <w:r w:rsidR="00826952" w:rsidRPr="00A22FEF">
        <w:rPr>
          <w:rFonts w:ascii="Calibri" w:hAnsi="Calibri"/>
          <w:color w:val="000000"/>
        </w:rPr>
        <w:t xml:space="preserve">and we use $300 </w:t>
      </w:r>
      <w:r w:rsidR="00156A3B" w:rsidRPr="00A22FEF">
        <w:rPr>
          <w:rFonts w:ascii="Calibri" w:hAnsi="Calibri"/>
          <w:color w:val="000000"/>
        </w:rPr>
        <w:t xml:space="preserve">and $150 </w:t>
      </w:r>
      <w:r w:rsidR="007F4972">
        <w:rPr>
          <w:rFonts w:ascii="Calibri" w:hAnsi="Calibri"/>
          <w:color w:val="000000"/>
        </w:rPr>
        <w:t>in sensitivity analyse</w:t>
      </w:r>
      <w:r w:rsidR="00826952" w:rsidRPr="00A22FEF">
        <w:rPr>
          <w:rFonts w:ascii="Calibri" w:hAnsi="Calibri"/>
          <w:color w:val="000000"/>
        </w:rPr>
        <w:t>s.</w:t>
      </w:r>
      <w:r w:rsidR="00826952">
        <w:rPr>
          <w:rFonts w:ascii="Calibri" w:hAnsi="Calibri"/>
          <w:color w:val="000000"/>
        </w:rPr>
        <w:t xml:space="preserve">   </w:t>
      </w:r>
      <w:r w:rsidR="00BF4D90" w:rsidRPr="00146AD9">
        <w:t xml:space="preserve">We follow convention and </w:t>
      </w:r>
      <w:r w:rsidR="00BF4D90" w:rsidRPr="00E60B08">
        <w:t>use a discount rate of 3% per annum for both costs and outcomes in the main analysis</w:t>
      </w:r>
      <w:r w:rsidR="00BC15BF">
        <w:rPr>
          <w:vertAlign w:val="superscript"/>
        </w:rPr>
        <w:t>17</w:t>
      </w:r>
      <w:r w:rsidR="00BF4D90" w:rsidRPr="00E60B08">
        <w:t>, although real rates of interest faced by governments in the region are often much higher than thi</w:t>
      </w:r>
      <w:r w:rsidR="009E6E2C">
        <w:t>s.  Therefore we also consider</w:t>
      </w:r>
      <w:r w:rsidR="00BF4D90" w:rsidRPr="00E60B08">
        <w:t xml:space="preserve"> discount rate</w:t>
      </w:r>
      <w:r w:rsidR="009E6E2C">
        <w:t>s</w:t>
      </w:r>
      <w:r w:rsidR="00BF4D90" w:rsidRPr="00E60B08">
        <w:t xml:space="preserve"> of </w:t>
      </w:r>
      <w:r w:rsidR="009E6E2C">
        <w:t xml:space="preserve">0% and </w:t>
      </w:r>
      <w:r w:rsidR="00BF4D90" w:rsidRPr="00E60B08">
        <w:t>10% in sensitivity analyses.  All costs are in United States $.</w:t>
      </w:r>
    </w:p>
    <w:p w:rsidR="00BF4D90" w:rsidRPr="00030747" w:rsidRDefault="004D133C" w:rsidP="00873766">
      <w:pPr>
        <w:spacing w:after="120" w:line="360" w:lineRule="auto"/>
      </w:pPr>
      <w:r>
        <w:rPr>
          <w:rFonts w:ascii="Calibri" w:hAnsi="Calibri"/>
          <w:color w:val="000000"/>
        </w:rPr>
        <w:t xml:space="preserve">We </w:t>
      </w:r>
      <w:r w:rsidR="0091584A">
        <w:rPr>
          <w:rFonts w:ascii="Calibri" w:hAnsi="Calibri"/>
          <w:color w:val="000000"/>
        </w:rPr>
        <w:t>fitted</w:t>
      </w:r>
      <w:r w:rsidR="00833514">
        <w:rPr>
          <w:rFonts w:ascii="Calibri" w:hAnsi="Calibri"/>
          <w:color w:val="000000"/>
        </w:rPr>
        <w:t xml:space="preserve"> </w:t>
      </w:r>
      <w:r w:rsidR="00305202">
        <w:rPr>
          <w:rFonts w:ascii="Calibri" w:hAnsi="Calibri"/>
          <w:color w:val="000000"/>
        </w:rPr>
        <w:t xml:space="preserve">a </w:t>
      </w:r>
      <w:r w:rsidR="00833514">
        <w:rPr>
          <w:rFonts w:ascii="Calibri" w:hAnsi="Calibri"/>
          <w:color w:val="000000"/>
        </w:rPr>
        <w:t xml:space="preserve">logistic </w:t>
      </w:r>
      <w:r w:rsidR="00305202">
        <w:rPr>
          <w:rFonts w:ascii="Calibri" w:hAnsi="Calibri"/>
          <w:color w:val="000000"/>
        </w:rPr>
        <w:t xml:space="preserve">curve for the relationship over </w:t>
      </w:r>
      <w:r w:rsidR="00305202" w:rsidRPr="00B41CB9">
        <w:rPr>
          <w:rFonts w:ascii="Calibri" w:hAnsi="Calibri"/>
          <w:color w:val="000000"/>
        </w:rPr>
        <w:t xml:space="preserve">setting-scenarios between </w:t>
      </w:r>
      <w:r w:rsidRPr="00B41CB9">
        <w:rPr>
          <w:rFonts w:ascii="Calibri" w:hAnsi="Calibri"/>
          <w:color w:val="000000"/>
        </w:rPr>
        <w:t xml:space="preserve">the </w:t>
      </w:r>
      <w:r w:rsidR="0065097C">
        <w:rPr>
          <w:rFonts w:ascii="Calibri" w:hAnsi="Calibri"/>
          <w:color w:val="000000"/>
        </w:rPr>
        <w:t>cost-per-diagnosis</w:t>
      </w:r>
      <w:r w:rsidRPr="00B41CB9">
        <w:t xml:space="preserve"> </w:t>
      </w:r>
      <w:r w:rsidR="00825BF3" w:rsidRPr="00B41CB9">
        <w:t xml:space="preserve">and </w:t>
      </w:r>
      <w:r w:rsidR="00BF4D90" w:rsidRPr="00B41CB9">
        <w:t>whether the ICER was below $500</w:t>
      </w:r>
      <w:r w:rsidR="009E6E2C" w:rsidRPr="00B41CB9">
        <w:t xml:space="preserve"> or not (the </w:t>
      </w:r>
      <w:r w:rsidR="00451E37" w:rsidRPr="00B41CB9">
        <w:t>binary outcome variable</w:t>
      </w:r>
      <w:r w:rsidR="009E6E2C" w:rsidRPr="00B41CB9">
        <w:t>),</w:t>
      </w:r>
      <w:r w:rsidR="00BF4D90" w:rsidRPr="00B41CB9">
        <w:t xml:space="preserve"> </w:t>
      </w:r>
      <w:r w:rsidR="00305202" w:rsidRPr="00B41CB9">
        <w:t xml:space="preserve">in order to derive the </w:t>
      </w:r>
      <w:r w:rsidR="00B0226F">
        <w:t xml:space="preserve">median (and 80% centile) </w:t>
      </w:r>
      <w:r w:rsidR="00305202" w:rsidRPr="00B41CB9">
        <w:t>cost</w:t>
      </w:r>
      <w:r w:rsidR="00505AC7">
        <w:t>-of-testing-</w:t>
      </w:r>
      <w:r w:rsidR="00305202" w:rsidRPr="00B41CB9">
        <w:t>per</w:t>
      </w:r>
      <w:r w:rsidR="00505AC7">
        <w:t>-new-HIV-</w:t>
      </w:r>
      <w:r w:rsidR="00305202" w:rsidRPr="00B41CB9">
        <w:t>diagnosis a</w:t>
      </w:r>
      <w:r w:rsidR="00B0226F">
        <w:t xml:space="preserve">cross setting scenario / unit test cost combinations </w:t>
      </w:r>
      <w:r w:rsidR="00BE2CA3" w:rsidRPr="00B41CB9">
        <w:t xml:space="preserve">.  </w:t>
      </w:r>
    </w:p>
    <w:p w:rsidR="00520FCF" w:rsidRDefault="00520FCF" w:rsidP="00873766">
      <w:pPr>
        <w:spacing w:after="120" w:line="360" w:lineRule="auto"/>
      </w:pPr>
      <w:r w:rsidRPr="00F317D4">
        <w:lastRenderedPageBreak/>
        <w:t xml:space="preserve">Finally, </w:t>
      </w:r>
      <w:r w:rsidRPr="00C578F1">
        <w:t xml:space="preserve">since </w:t>
      </w:r>
      <w:r w:rsidRPr="00F317D4">
        <w:t xml:space="preserve">our </w:t>
      </w:r>
      <w:r w:rsidR="00DB639A">
        <w:t>core-testing</w:t>
      </w:r>
      <w:r w:rsidRPr="00F317D4">
        <w:t xml:space="preserve"> comparison includes 6 monthly testing in sex workers</w:t>
      </w:r>
      <w:r w:rsidRPr="00C578F1">
        <w:t>,</w:t>
      </w:r>
      <w:r w:rsidRPr="00F317D4">
        <w:t xml:space="preserve"> we repeated the above described process but instead</w:t>
      </w:r>
      <w:r>
        <w:t xml:space="preserve"> of comparing core-testing-only with core-testing-plus-additional-testing we compared core-testing with core-testing-minus-targeted-testing-in-sex workers.  This was to assess our assumption that testing in sex workers is cost-effective.</w:t>
      </w:r>
    </w:p>
    <w:p w:rsidR="00BF4D90" w:rsidRDefault="008A629D" w:rsidP="00873766">
      <w:pPr>
        <w:spacing w:after="120" w:line="360" w:lineRule="auto"/>
      </w:pPr>
      <w:r>
        <w:t>Ethical approval was not relevant for this study as it does not involve human subjects.</w:t>
      </w:r>
    </w:p>
    <w:p w:rsidR="008A629D" w:rsidRDefault="008A629D" w:rsidP="00873766">
      <w:pPr>
        <w:spacing w:after="120" w:line="360" w:lineRule="auto"/>
      </w:pPr>
    </w:p>
    <w:p w:rsidR="004F417B" w:rsidRPr="008B40AB" w:rsidRDefault="004F417B" w:rsidP="00873766">
      <w:pPr>
        <w:spacing w:after="120" w:line="360" w:lineRule="auto"/>
        <w:rPr>
          <w:sz w:val="24"/>
          <w:szCs w:val="24"/>
        </w:rPr>
      </w:pPr>
      <w:r w:rsidRPr="00955FB2">
        <w:rPr>
          <w:b/>
          <w:color w:val="A50021"/>
          <w:sz w:val="24"/>
          <w:szCs w:val="24"/>
        </w:rPr>
        <w:t>Results</w:t>
      </w:r>
      <w:r w:rsidR="008B40AB">
        <w:rPr>
          <w:b/>
          <w:color w:val="A50021"/>
          <w:sz w:val="24"/>
          <w:szCs w:val="24"/>
        </w:rPr>
        <w:t xml:space="preserve">    </w:t>
      </w:r>
    </w:p>
    <w:p w:rsidR="00A80CBC" w:rsidRDefault="001D4C51" w:rsidP="00873766">
      <w:pPr>
        <w:spacing w:after="120" w:line="360" w:lineRule="auto"/>
      </w:pPr>
      <w:r w:rsidRPr="004109A8">
        <w:rPr>
          <w:color w:val="000000" w:themeColor="text1"/>
        </w:rPr>
        <w:t xml:space="preserve">The characteristics of the </w:t>
      </w:r>
      <w:r w:rsidR="002254FF">
        <w:rPr>
          <w:color w:val="000000" w:themeColor="text1"/>
        </w:rPr>
        <w:t>1</w:t>
      </w:r>
      <w:r w:rsidRPr="004109A8">
        <w:rPr>
          <w:color w:val="000000" w:themeColor="text1"/>
        </w:rPr>
        <w:t xml:space="preserve">000 </w:t>
      </w:r>
      <w:r w:rsidR="00473F51">
        <w:rPr>
          <w:color w:val="000000" w:themeColor="text1"/>
        </w:rPr>
        <w:t>setting-scenario</w:t>
      </w:r>
      <w:r w:rsidRPr="004109A8">
        <w:rPr>
          <w:color w:val="000000" w:themeColor="text1"/>
        </w:rPr>
        <w:t>s in 2017</w:t>
      </w:r>
      <w:r>
        <w:rPr>
          <w:color w:val="000000" w:themeColor="text1"/>
        </w:rPr>
        <w:t xml:space="preserve">, before the introduction of our </w:t>
      </w:r>
      <w:r w:rsidR="00435A34">
        <w:rPr>
          <w:color w:val="000000" w:themeColor="text1"/>
        </w:rPr>
        <w:t xml:space="preserve">specified </w:t>
      </w:r>
      <w:r>
        <w:rPr>
          <w:color w:val="000000" w:themeColor="text1"/>
        </w:rPr>
        <w:t xml:space="preserve"> testing policies</w:t>
      </w:r>
      <w:r w:rsidR="0067234B">
        <w:rPr>
          <w:color w:val="000000" w:themeColor="text1"/>
        </w:rPr>
        <w:t xml:space="preserve"> of </w:t>
      </w:r>
      <w:r w:rsidR="00DB639A">
        <w:rPr>
          <w:color w:val="000000" w:themeColor="text1"/>
        </w:rPr>
        <w:t>core-testing</w:t>
      </w:r>
      <w:r w:rsidR="0067234B">
        <w:rPr>
          <w:color w:val="000000" w:themeColor="text1"/>
        </w:rPr>
        <w:t xml:space="preserve"> and </w:t>
      </w:r>
      <w:r w:rsidR="00DB639A">
        <w:rPr>
          <w:color w:val="000000" w:themeColor="text1"/>
        </w:rPr>
        <w:t>core-testing</w:t>
      </w:r>
      <w:r w:rsidR="0067234B">
        <w:rPr>
          <w:color w:val="000000" w:themeColor="text1"/>
        </w:rPr>
        <w:t xml:space="preserve"> plus </w:t>
      </w:r>
      <w:r w:rsidR="00DB639A">
        <w:rPr>
          <w:color w:val="000000" w:themeColor="text1"/>
        </w:rPr>
        <w:t>additional-testing</w:t>
      </w:r>
      <w:r>
        <w:rPr>
          <w:color w:val="000000" w:themeColor="text1"/>
        </w:rPr>
        <w:t>,</w:t>
      </w:r>
      <w:r w:rsidR="007F4972">
        <w:rPr>
          <w:color w:val="000000" w:themeColor="text1"/>
        </w:rPr>
        <w:t xml:space="preserve"> are</w:t>
      </w:r>
      <w:r w:rsidRPr="004109A8">
        <w:rPr>
          <w:color w:val="000000" w:themeColor="text1"/>
        </w:rPr>
        <w:t xml:space="preserve"> presen</w:t>
      </w:r>
      <w:r w:rsidRPr="007364F4">
        <w:t xml:space="preserve">ted in Table 1.  </w:t>
      </w:r>
      <w:r w:rsidR="007A7B62" w:rsidRPr="00F47DE6">
        <w:t xml:space="preserve">Table 2 shows the undiscounted median and 90% range over setting-scenarios of the effect of the </w:t>
      </w:r>
      <w:r w:rsidR="00DB639A">
        <w:t>additional-testing</w:t>
      </w:r>
      <w:r w:rsidR="007A7B62" w:rsidRPr="00F47DE6">
        <w:t xml:space="preserve"> policy on a range of outputs </w:t>
      </w:r>
      <w:r w:rsidR="007A7B62" w:rsidRPr="00F47DE6">
        <w:rPr>
          <w:color w:val="000000" w:themeColor="text1"/>
        </w:rPr>
        <w:t>over the first</w:t>
      </w:r>
      <w:r w:rsidR="007A7B62">
        <w:rPr>
          <w:color w:val="000000" w:themeColor="text1"/>
        </w:rPr>
        <w:t xml:space="preserve"> 5 years from initiation of the policy (i.e. </w:t>
      </w:r>
      <w:r w:rsidR="007A7B62" w:rsidRPr="004109A8">
        <w:rPr>
          <w:color w:val="000000" w:themeColor="text1"/>
        </w:rPr>
        <w:t>2018</w:t>
      </w:r>
      <w:r w:rsidR="007A7B62">
        <w:rPr>
          <w:color w:val="000000" w:themeColor="text1"/>
        </w:rPr>
        <w:t>-2023)</w:t>
      </w:r>
      <w:r w:rsidR="007A7B62" w:rsidRPr="004109A8">
        <w:rPr>
          <w:color w:val="000000" w:themeColor="text1"/>
        </w:rPr>
        <w:t xml:space="preserve">. </w:t>
      </w:r>
      <w:r w:rsidR="007A7B62">
        <w:rPr>
          <w:color w:val="000000" w:themeColor="text1"/>
        </w:rPr>
        <w:t xml:space="preserve"> For women, results are based only on setting-scenarios in which there is </w:t>
      </w:r>
      <w:r w:rsidR="00DB639A">
        <w:rPr>
          <w:color w:val="000000" w:themeColor="text1"/>
        </w:rPr>
        <w:t>additional-testing</w:t>
      </w:r>
      <w:r w:rsidR="007A7B62">
        <w:rPr>
          <w:color w:val="000000" w:themeColor="text1"/>
        </w:rPr>
        <w:t xml:space="preserve"> in women, irrespective of whether or </w:t>
      </w:r>
      <w:r w:rsidR="007A7B62" w:rsidRPr="00A80CBC">
        <w:t xml:space="preserve">not there is also </w:t>
      </w:r>
      <w:r w:rsidR="00DB639A">
        <w:t>additional-testing</w:t>
      </w:r>
      <w:r w:rsidR="007A7B62" w:rsidRPr="00A80CBC">
        <w:t xml:space="preserve"> in men.  The same applies to men.  The number of additional tests </w:t>
      </w:r>
      <w:r w:rsidR="007A7B62">
        <w:t xml:space="preserve">over and above </w:t>
      </w:r>
      <w:r w:rsidR="00DB639A">
        <w:t>core-testing</w:t>
      </w:r>
      <w:r w:rsidR="007A7B62">
        <w:t xml:space="preserve"> </w:t>
      </w:r>
      <w:r w:rsidR="007A7B62" w:rsidRPr="00A80CBC">
        <w:t xml:space="preserve">of 496,000 (27,000 – 4,211,000) in women and 371,000 (25,000 – 4,295,000) in men represents </w:t>
      </w:r>
      <w:r w:rsidR="007A7B62" w:rsidRPr="00892EFF">
        <w:t>a</w:t>
      </w:r>
      <w:r w:rsidR="007A7B62">
        <w:t>n</w:t>
      </w:r>
      <w:r w:rsidR="007A7B62" w:rsidRPr="00892EFF">
        <w:t xml:space="preserve"> 8% (</w:t>
      </w:r>
      <w:r w:rsidR="007A7B62">
        <w:t xml:space="preserve">90% range </w:t>
      </w:r>
      <w:r w:rsidR="007A7B62" w:rsidRPr="00892EFF">
        <w:t xml:space="preserve">+0.4% - 67%) </w:t>
      </w:r>
      <w:r w:rsidR="007A7B62">
        <w:t>higher proportion of</w:t>
      </w:r>
      <w:r w:rsidR="007A7B62" w:rsidRPr="00892EFF">
        <w:t xml:space="preserve"> women</w:t>
      </w:r>
      <w:r w:rsidR="007A7B62">
        <w:t xml:space="preserve"> tested per year, and </w:t>
      </w:r>
      <w:r w:rsidR="007A7B62" w:rsidRPr="00892EFF">
        <w:t xml:space="preserve">6% (90% range +0.4% - 75%) </w:t>
      </w:r>
      <w:r w:rsidR="007A7B62">
        <w:t>higher proportion of men tested per year respectively</w:t>
      </w:r>
      <w:r w:rsidR="007A7B62" w:rsidRPr="00892EFF">
        <w:t xml:space="preserve">.   </w:t>
      </w:r>
      <w:r w:rsidR="007A7B62">
        <w:t>W</w:t>
      </w:r>
      <w:r w:rsidR="007A7B62" w:rsidRPr="00892EFF">
        <w:t xml:space="preserve">ith the policy of </w:t>
      </w:r>
      <w:r w:rsidR="00DB639A">
        <w:t>additional-testing</w:t>
      </w:r>
      <w:r w:rsidR="007A7B62">
        <w:t xml:space="preserve">, the </w:t>
      </w:r>
      <w:r w:rsidR="007A7B62" w:rsidRPr="00892EFF">
        <w:t xml:space="preserve">proportion of people with HIV who are diagnosed </w:t>
      </w:r>
      <w:r w:rsidR="007A7B62">
        <w:t xml:space="preserve">(average 2018-2023) </w:t>
      </w:r>
      <w:r w:rsidR="007A7B62" w:rsidRPr="00892EFF">
        <w:t xml:space="preserve">is </w:t>
      </w:r>
      <w:r w:rsidR="007A7B62">
        <w:t xml:space="preserve">a median of </w:t>
      </w:r>
      <w:r w:rsidR="007A7B62" w:rsidRPr="00892EFF">
        <w:t xml:space="preserve">7% </w:t>
      </w:r>
      <w:r w:rsidR="007A7B62">
        <w:t xml:space="preserve">higher </w:t>
      </w:r>
      <w:r w:rsidR="007A7B62" w:rsidRPr="00892EFF">
        <w:t xml:space="preserve">in women and 21% in men.  The median </w:t>
      </w:r>
      <w:r w:rsidR="0065097C">
        <w:t>cost-per-diagnosis</w:t>
      </w:r>
      <w:r w:rsidR="007A7B62">
        <w:t xml:space="preserve"> </w:t>
      </w:r>
      <w:r w:rsidR="007A7B62" w:rsidRPr="00892EFF">
        <w:t xml:space="preserve">of </w:t>
      </w:r>
      <w:r w:rsidR="00DB639A">
        <w:t>additional-testing</w:t>
      </w:r>
      <w:r w:rsidR="007A7B62" w:rsidRPr="00892EFF">
        <w:t xml:space="preserve"> was $399 (90% range $25 - $7,187) in women and $288 ($21 - $4,975) in me</w:t>
      </w:r>
      <w:r w:rsidR="007A7B62" w:rsidRPr="00CF518A">
        <w:t xml:space="preserve">n.   </w:t>
      </w:r>
      <w:r w:rsidRPr="00CF518A">
        <w:t xml:space="preserve">We also calculated the undiscounted </w:t>
      </w:r>
      <w:r w:rsidR="0065097C">
        <w:t>cost-per-diagnosis</w:t>
      </w:r>
      <w:r w:rsidR="00CD2D74">
        <w:t xml:space="preserve"> </w:t>
      </w:r>
      <w:r w:rsidRPr="00CF518A">
        <w:t xml:space="preserve">over the full 50 years from 2018-2068 and </w:t>
      </w:r>
      <w:r w:rsidR="00564791" w:rsidRPr="00CF518A">
        <w:t xml:space="preserve">the </w:t>
      </w:r>
      <w:r w:rsidRPr="00CF518A">
        <w:t xml:space="preserve">median </w:t>
      </w:r>
      <w:r w:rsidR="00993F94">
        <w:t xml:space="preserve">cost </w:t>
      </w:r>
      <w:r w:rsidR="00564791" w:rsidRPr="00436F0E">
        <w:t xml:space="preserve">was </w:t>
      </w:r>
      <w:r w:rsidRPr="00436F0E">
        <w:t>1.</w:t>
      </w:r>
      <w:r w:rsidR="00436F0E" w:rsidRPr="00436F0E">
        <w:t>24</w:t>
      </w:r>
      <w:r w:rsidRPr="00436F0E">
        <w:t xml:space="preserve"> times </w:t>
      </w:r>
      <w:r w:rsidRPr="00CF518A">
        <w:t>greater than the cost over the first five years.</w:t>
      </w:r>
      <w:r w:rsidRPr="00892EFF">
        <w:t xml:space="preserve">  </w:t>
      </w:r>
      <w:r w:rsidR="007A7B62">
        <w:t xml:space="preserve"> </w:t>
      </w:r>
    </w:p>
    <w:p w:rsidR="00F27607" w:rsidRPr="00435A34" w:rsidRDefault="001316A2" w:rsidP="00873766">
      <w:pPr>
        <w:pStyle w:val="PlainText"/>
        <w:spacing w:after="120" w:line="360" w:lineRule="auto"/>
        <w:rPr>
          <w:color w:val="000000" w:themeColor="text1"/>
        </w:rPr>
      </w:pPr>
      <w:r>
        <w:rPr>
          <w:color w:val="000000" w:themeColor="text1"/>
        </w:rPr>
        <w:t>I</w:t>
      </w:r>
      <w:r w:rsidRPr="004109A8">
        <w:rPr>
          <w:color w:val="000000" w:themeColor="text1"/>
        </w:rPr>
        <w:t>n Table 3</w:t>
      </w:r>
      <w:r w:rsidR="009708ED">
        <w:rPr>
          <w:color w:val="000000" w:themeColor="text1"/>
        </w:rPr>
        <w:t xml:space="preserve"> and Figure 1</w:t>
      </w:r>
      <w:r w:rsidRPr="004109A8">
        <w:rPr>
          <w:color w:val="000000" w:themeColor="text1"/>
        </w:rPr>
        <w:t xml:space="preserve"> we present</w:t>
      </w:r>
      <w:r w:rsidR="005964CB">
        <w:rPr>
          <w:color w:val="000000" w:themeColor="text1"/>
        </w:rPr>
        <w:t xml:space="preserve"> the median </w:t>
      </w:r>
      <w:r w:rsidR="00055411">
        <w:rPr>
          <w:color w:val="000000" w:themeColor="text1"/>
        </w:rPr>
        <w:t xml:space="preserve">ICER </w:t>
      </w:r>
      <w:r w:rsidR="00435A34">
        <w:rPr>
          <w:color w:val="000000" w:themeColor="text1"/>
        </w:rPr>
        <w:t xml:space="preserve"> (</w:t>
      </w:r>
      <w:r w:rsidR="005964CB">
        <w:rPr>
          <w:color w:val="000000" w:themeColor="text1"/>
        </w:rPr>
        <w:t>cost per DALY averted) across setting-scenario</w:t>
      </w:r>
      <w:r w:rsidR="00435A34">
        <w:rPr>
          <w:color w:val="000000" w:themeColor="text1"/>
        </w:rPr>
        <w:t xml:space="preserve"> </w:t>
      </w:r>
      <w:r w:rsidR="005B69C8">
        <w:rPr>
          <w:color w:val="000000" w:themeColor="text1"/>
        </w:rPr>
        <w:t>/</w:t>
      </w:r>
      <w:r w:rsidR="00435A34">
        <w:rPr>
          <w:color w:val="000000" w:themeColor="text1"/>
        </w:rPr>
        <w:t xml:space="preserve"> </w:t>
      </w:r>
      <w:r w:rsidR="005964CB">
        <w:rPr>
          <w:color w:val="000000" w:themeColor="text1"/>
        </w:rPr>
        <w:t xml:space="preserve">test unit cost combinations </w:t>
      </w:r>
      <w:r w:rsidRPr="004109A8">
        <w:rPr>
          <w:color w:val="000000" w:themeColor="text1"/>
        </w:rPr>
        <w:t xml:space="preserve">according to the </w:t>
      </w:r>
      <w:r w:rsidR="0065097C">
        <w:t>cost-per-diagnosis</w:t>
      </w:r>
      <w:r w:rsidR="005964CB">
        <w:rPr>
          <w:color w:val="000000" w:themeColor="text1"/>
        </w:rPr>
        <w:t xml:space="preserve">.  We also show the proportion of such combinations in which </w:t>
      </w:r>
      <w:r w:rsidR="00DB639A">
        <w:rPr>
          <w:color w:val="000000" w:themeColor="text1"/>
        </w:rPr>
        <w:t>additional-testing</w:t>
      </w:r>
      <w:r w:rsidR="005964CB">
        <w:rPr>
          <w:color w:val="000000" w:themeColor="text1"/>
        </w:rPr>
        <w:t xml:space="preserve"> is cost effective</w:t>
      </w:r>
      <w:r w:rsidR="00736616">
        <w:rPr>
          <w:color w:val="000000" w:themeColor="text1"/>
        </w:rPr>
        <w:t>, based on a cost-effectiveness threshold of $500</w:t>
      </w:r>
      <w:r w:rsidR="009708ED">
        <w:rPr>
          <w:color w:val="000000" w:themeColor="text1"/>
        </w:rPr>
        <w:t xml:space="preserve"> (also shown in Figure 2)</w:t>
      </w:r>
      <w:r w:rsidR="005964CB">
        <w:rPr>
          <w:color w:val="000000" w:themeColor="text1"/>
        </w:rPr>
        <w:t xml:space="preserve">.  Considering </w:t>
      </w:r>
      <w:r w:rsidR="00DB639A">
        <w:rPr>
          <w:color w:val="000000" w:themeColor="text1"/>
        </w:rPr>
        <w:t>additional-testing</w:t>
      </w:r>
      <w:r w:rsidR="005964CB">
        <w:rPr>
          <w:color w:val="000000" w:themeColor="text1"/>
        </w:rPr>
        <w:t xml:space="preserve"> overall </w:t>
      </w:r>
      <w:r w:rsidR="00F27607" w:rsidRPr="005964CB">
        <w:rPr>
          <w:color w:val="000000" w:themeColor="text1"/>
        </w:rPr>
        <w:t>(</w:t>
      </w:r>
      <w:r w:rsidR="00DB639A">
        <w:rPr>
          <w:color w:val="000000" w:themeColor="text1"/>
        </w:rPr>
        <w:t>additional-testing</w:t>
      </w:r>
      <w:r w:rsidR="00F27607" w:rsidRPr="005964CB">
        <w:rPr>
          <w:color w:val="000000" w:themeColor="text1"/>
        </w:rPr>
        <w:t xml:space="preserve"> in both men and </w:t>
      </w:r>
      <w:r w:rsidR="00F27607" w:rsidRPr="00B41CB9">
        <w:rPr>
          <w:color w:val="000000" w:themeColor="text1"/>
        </w:rPr>
        <w:t>women, in women alone, or in men alone), t</w:t>
      </w:r>
      <w:r w:rsidR="005964CB" w:rsidRPr="00B41CB9">
        <w:rPr>
          <w:color w:val="000000" w:themeColor="text1"/>
        </w:rPr>
        <w:t xml:space="preserve">here is a strong graded relationship between the </w:t>
      </w:r>
      <w:r w:rsidR="0065097C">
        <w:t>cost-per-diagnosis</w:t>
      </w:r>
      <w:r w:rsidR="00CD2D74" w:rsidRPr="00B41CB9">
        <w:t xml:space="preserve"> </w:t>
      </w:r>
      <w:r w:rsidR="005964CB" w:rsidRPr="00B41CB9">
        <w:rPr>
          <w:color w:val="000000" w:themeColor="text1"/>
        </w:rPr>
        <w:t>and the ICER.</w:t>
      </w:r>
      <w:r w:rsidR="00F27607" w:rsidRPr="00B41CB9">
        <w:rPr>
          <w:color w:val="000000" w:themeColor="text1"/>
        </w:rPr>
        <w:t xml:space="preserve">   I</w:t>
      </w:r>
      <w:r w:rsidRPr="00B41CB9">
        <w:rPr>
          <w:color w:val="000000" w:themeColor="text1"/>
        </w:rPr>
        <w:t xml:space="preserve">n around 50% of combinations </w:t>
      </w:r>
      <w:r w:rsidR="00DB639A">
        <w:rPr>
          <w:color w:val="000000" w:themeColor="text1"/>
        </w:rPr>
        <w:t>additional-testing</w:t>
      </w:r>
      <w:r w:rsidRPr="00B41CB9">
        <w:rPr>
          <w:color w:val="000000" w:themeColor="text1"/>
        </w:rPr>
        <w:t xml:space="preserve"> is cost effective when the </w:t>
      </w:r>
      <w:r w:rsidR="0065097C">
        <w:t>cost-per-diagnosis</w:t>
      </w:r>
      <w:r w:rsidR="00D56EDF" w:rsidRPr="00B41CB9">
        <w:t xml:space="preserve"> </w:t>
      </w:r>
      <w:r w:rsidRPr="00B41CB9">
        <w:t xml:space="preserve">is $300-$400 per </w:t>
      </w:r>
      <w:r w:rsidRPr="00B41CB9">
        <w:rPr>
          <w:color w:val="000000" w:themeColor="text1"/>
        </w:rPr>
        <w:t>new diagnosis</w:t>
      </w:r>
      <w:r w:rsidR="00A05232">
        <w:rPr>
          <w:color w:val="000000" w:themeColor="text1"/>
        </w:rPr>
        <w:t xml:space="preserve"> ($315 based on f</w:t>
      </w:r>
      <w:r w:rsidRPr="00B41CB9">
        <w:rPr>
          <w:color w:val="000000" w:themeColor="text1"/>
        </w:rPr>
        <w:t xml:space="preserve">itting a logistic </w:t>
      </w:r>
      <w:r w:rsidR="00564791" w:rsidRPr="00B41CB9">
        <w:rPr>
          <w:color w:val="000000" w:themeColor="text1"/>
        </w:rPr>
        <w:t>curve</w:t>
      </w:r>
      <w:r w:rsidR="00A05232">
        <w:rPr>
          <w:color w:val="000000" w:themeColor="text1"/>
        </w:rPr>
        <w:t>;</w:t>
      </w:r>
      <w:r w:rsidRPr="00B41CB9">
        <w:rPr>
          <w:color w:val="000000" w:themeColor="text1"/>
        </w:rPr>
        <w:t xml:space="preserve"> </w:t>
      </w:r>
      <w:r w:rsidR="00A05232">
        <w:t xml:space="preserve">80% centile </w:t>
      </w:r>
      <w:r w:rsidR="00274A95" w:rsidRPr="00B41CB9">
        <w:t xml:space="preserve"> </w:t>
      </w:r>
      <w:r w:rsidR="00D406D1" w:rsidRPr="00B41CB9">
        <w:t>$</w:t>
      </w:r>
      <w:r w:rsidR="00892EFF" w:rsidRPr="00B41CB9">
        <w:t>17</w:t>
      </w:r>
      <w:r w:rsidR="00A05232">
        <w:t xml:space="preserve">). </w:t>
      </w:r>
      <w:r w:rsidRPr="00892EFF">
        <w:t xml:space="preserve">  </w:t>
      </w:r>
    </w:p>
    <w:p w:rsidR="007A7B62" w:rsidRDefault="009708ED" w:rsidP="00873766">
      <w:pPr>
        <w:pStyle w:val="PlainText"/>
        <w:spacing w:after="120" w:line="360" w:lineRule="auto"/>
        <w:rPr>
          <w:color w:val="0070C0"/>
        </w:rPr>
      </w:pPr>
      <w:r>
        <w:rPr>
          <w:color w:val="000000" w:themeColor="text1"/>
        </w:rPr>
        <w:t>Figure 3</w:t>
      </w:r>
      <w:r w:rsidR="00183202" w:rsidRPr="004109A8">
        <w:rPr>
          <w:color w:val="000000" w:themeColor="text1"/>
        </w:rPr>
        <w:t xml:space="preserve"> shows the </w:t>
      </w:r>
      <w:r w:rsidR="00A05232">
        <w:rPr>
          <w:color w:val="000000" w:themeColor="text1"/>
        </w:rPr>
        <w:t xml:space="preserve">median (80% centile) across setting scenario / unit test cost combinations for the </w:t>
      </w:r>
      <w:r w:rsidR="00183202" w:rsidRPr="004109A8">
        <w:rPr>
          <w:color w:val="000000" w:themeColor="text1"/>
        </w:rPr>
        <w:t xml:space="preserve">maximum </w:t>
      </w:r>
      <w:r w:rsidR="0065097C">
        <w:rPr>
          <w:color w:val="000000" w:themeColor="text1"/>
        </w:rPr>
        <w:t>cost-per-diagnosis</w:t>
      </w:r>
      <w:r w:rsidR="00183202" w:rsidRPr="004109A8">
        <w:rPr>
          <w:color w:val="000000" w:themeColor="text1"/>
        </w:rPr>
        <w:t xml:space="preserve"> </w:t>
      </w:r>
      <w:r w:rsidR="00183202">
        <w:rPr>
          <w:color w:val="000000" w:themeColor="text1"/>
        </w:rPr>
        <w:t xml:space="preserve">that allowed </w:t>
      </w:r>
      <w:r w:rsidR="00DB639A">
        <w:rPr>
          <w:color w:val="000000" w:themeColor="text1"/>
        </w:rPr>
        <w:t>additional-testing</w:t>
      </w:r>
      <w:r w:rsidR="00183202">
        <w:rPr>
          <w:color w:val="000000" w:themeColor="text1"/>
        </w:rPr>
        <w:t xml:space="preserve"> </w:t>
      </w:r>
      <w:r w:rsidR="00183202" w:rsidRPr="004109A8">
        <w:rPr>
          <w:color w:val="000000" w:themeColor="text1"/>
        </w:rPr>
        <w:t xml:space="preserve">to </w:t>
      </w:r>
      <w:r w:rsidR="00183202">
        <w:rPr>
          <w:color w:val="000000" w:themeColor="text1"/>
        </w:rPr>
        <w:t xml:space="preserve">still </w:t>
      </w:r>
      <w:r w:rsidR="00183202" w:rsidRPr="004109A8">
        <w:rPr>
          <w:color w:val="000000" w:themeColor="text1"/>
        </w:rPr>
        <w:t xml:space="preserve">be cost-effective according to various factors.  </w:t>
      </w:r>
      <w:r w:rsidR="00D56EDF">
        <w:rPr>
          <w:color w:val="000000" w:themeColor="text1"/>
        </w:rPr>
        <w:t xml:space="preserve"> Importantly, t</w:t>
      </w:r>
      <w:r w:rsidR="00183202" w:rsidRPr="006B41F6">
        <w:t>his threshold</w:t>
      </w:r>
      <w:r w:rsidR="00183202" w:rsidRPr="006A0240">
        <w:t xml:space="preserve"> </w:t>
      </w:r>
      <w:r w:rsidR="0065097C">
        <w:t>cost-per-diagnosis</w:t>
      </w:r>
      <w:r w:rsidR="00CD2D74">
        <w:t xml:space="preserve"> </w:t>
      </w:r>
      <w:r w:rsidR="00183202" w:rsidRPr="006A0240">
        <w:t xml:space="preserve">did not vary substantially according </w:t>
      </w:r>
      <w:r w:rsidR="002D7BDD">
        <w:lastRenderedPageBreak/>
        <w:t xml:space="preserve">to </w:t>
      </w:r>
      <w:r w:rsidR="003B13EB">
        <w:t xml:space="preserve">several </w:t>
      </w:r>
      <w:r w:rsidR="00D56EDF">
        <w:t>epidemic and programmatic features</w:t>
      </w:r>
      <w:r w:rsidR="003B13EB">
        <w:t xml:space="preserve"> in 2017, namely </w:t>
      </w:r>
      <w:r w:rsidR="00183202">
        <w:t>the proportion of diagnosed people with viral suppression</w:t>
      </w:r>
      <w:r w:rsidR="00D56EDF">
        <w:t xml:space="preserve"> (a measure of the overall quality of on ART programme)</w:t>
      </w:r>
      <w:r w:rsidR="00892EFF">
        <w:t xml:space="preserve">, </w:t>
      </w:r>
      <w:r w:rsidR="00183202">
        <w:t xml:space="preserve">proportion of people with symptoms due to HIV who are tested as a result, </w:t>
      </w:r>
      <w:r w:rsidR="00183202" w:rsidRPr="00D65DDC">
        <w:t>the prevalence of undiagnosed HIV</w:t>
      </w:r>
      <w:r w:rsidR="003B13EB">
        <w:t>,</w:t>
      </w:r>
      <w:r w:rsidR="00892EFF">
        <w:t xml:space="preserve"> and HIV</w:t>
      </w:r>
      <w:r w:rsidR="00F27607">
        <w:t xml:space="preserve"> incidence in 2017</w:t>
      </w:r>
      <w:r w:rsidR="003B13EB">
        <w:t xml:space="preserve">.  </w:t>
      </w:r>
      <w:r w:rsidR="0094649D">
        <w:t xml:space="preserve">It also does not vary substantially according to the test unit cost. </w:t>
      </w:r>
      <w:r w:rsidR="00F27607">
        <w:t xml:space="preserve"> </w:t>
      </w:r>
      <w:r w:rsidR="007A7B62">
        <w:t xml:space="preserve">This result suggests that the relationship we describe is likely to hold across the diverse settings in southern Africa shown in Table 1.  </w:t>
      </w:r>
      <w:r w:rsidR="007A7B62" w:rsidRPr="00E60B08">
        <w:rPr>
          <w:color w:val="0070C0"/>
        </w:rPr>
        <w:t xml:space="preserve"> </w:t>
      </w:r>
    </w:p>
    <w:p w:rsidR="00F27607" w:rsidRDefault="00183202" w:rsidP="00873766">
      <w:pPr>
        <w:pStyle w:val="PlainText"/>
        <w:spacing w:after="120" w:line="360" w:lineRule="auto"/>
      </w:pPr>
      <w:r w:rsidRPr="00183202">
        <w:t xml:space="preserve">When we restricted </w:t>
      </w:r>
      <w:r w:rsidR="00DB639A">
        <w:t>additional-testing</w:t>
      </w:r>
      <w:r w:rsidRPr="00183202">
        <w:t xml:space="preserve"> to women</w:t>
      </w:r>
      <w:r>
        <w:t xml:space="preserve"> only</w:t>
      </w:r>
      <w:r w:rsidRPr="00183202">
        <w:t>,</w:t>
      </w:r>
      <w:r w:rsidR="00F27607">
        <w:t xml:space="preserve"> there remained a strong relationship between the </w:t>
      </w:r>
      <w:r w:rsidR="0065097C">
        <w:t>cost-per-diagnosis</w:t>
      </w:r>
      <w:r w:rsidR="00F27607">
        <w:t xml:space="preserve"> and the ICER, but</w:t>
      </w:r>
      <w:r w:rsidRPr="00183202">
        <w:t xml:space="preserve"> </w:t>
      </w:r>
      <w:r w:rsidR="00F27607">
        <w:t xml:space="preserve">the median ICER was above the $500 threshold even in the lowest category of </w:t>
      </w:r>
      <w:r w:rsidR="0065097C">
        <w:t>cost-per-diagnosis</w:t>
      </w:r>
      <w:r w:rsidR="00D56EDF">
        <w:t xml:space="preserve"> </w:t>
      </w:r>
      <w:r w:rsidR="00C92041">
        <w:t>and the proportion of setting-</w:t>
      </w:r>
      <w:r w:rsidR="00F27607">
        <w:t>scenario</w:t>
      </w:r>
      <w:r w:rsidR="005B69C8">
        <w:t>/</w:t>
      </w:r>
      <w:r w:rsidR="00C92041">
        <w:t>test-</w:t>
      </w:r>
      <w:r w:rsidR="00F27607">
        <w:t xml:space="preserve">cost combinations in which </w:t>
      </w:r>
      <w:r w:rsidR="00DB639A">
        <w:t>additional-testing</w:t>
      </w:r>
      <w:r w:rsidR="00F27607">
        <w:t xml:space="preserve"> was cost effective was </w:t>
      </w:r>
      <w:r w:rsidR="00CC31E2">
        <w:t xml:space="preserve">always </w:t>
      </w:r>
      <w:r w:rsidR="00F27607">
        <w:t xml:space="preserve">below 50%.   This implies that </w:t>
      </w:r>
      <w:r w:rsidR="00DB639A">
        <w:t>additional-testing</w:t>
      </w:r>
      <w:r w:rsidR="00F27607">
        <w:t xml:space="preserve"> </w:t>
      </w:r>
      <w:r w:rsidRPr="00183202">
        <w:t xml:space="preserve">was not cost effective regardless of the </w:t>
      </w:r>
      <w:r w:rsidR="0065097C">
        <w:t>cost-per-diagnosis</w:t>
      </w:r>
      <w:r w:rsidR="00D56EDF">
        <w:t xml:space="preserve"> </w:t>
      </w:r>
      <w:r w:rsidR="00C953D1">
        <w:t>(</w:t>
      </w:r>
      <w:r w:rsidR="00EB0142">
        <w:t>Table 3</w:t>
      </w:r>
      <w:r w:rsidR="009708ED">
        <w:t>(b) and Figure 3</w:t>
      </w:r>
      <w:r w:rsidR="00EB0142">
        <w:t>)</w:t>
      </w:r>
      <w:r w:rsidRPr="00183202">
        <w:t>.</w:t>
      </w:r>
      <w:r w:rsidR="002D7BDD">
        <w:t xml:space="preserve">  </w:t>
      </w:r>
      <w:r w:rsidRPr="00183202">
        <w:t xml:space="preserve">In contrast, </w:t>
      </w:r>
      <w:r w:rsidR="00DB639A">
        <w:t>additional-testing</w:t>
      </w:r>
      <w:r w:rsidRPr="00183202">
        <w:t xml:space="preserve"> in men </w:t>
      </w:r>
      <w:r>
        <w:t xml:space="preserve">only </w:t>
      </w:r>
      <w:r w:rsidRPr="00183202">
        <w:t xml:space="preserve">was cost effective up </w:t>
      </w:r>
      <w:r w:rsidRPr="00CB52AB">
        <w:t xml:space="preserve">to a </w:t>
      </w:r>
      <w:r w:rsidR="0065097C">
        <w:t>cost-per-diagnosis</w:t>
      </w:r>
      <w:r w:rsidR="00A66931">
        <w:t xml:space="preserve"> </w:t>
      </w:r>
      <w:r w:rsidRPr="00CB52AB">
        <w:t xml:space="preserve">of </w:t>
      </w:r>
      <w:r w:rsidR="00892EFF" w:rsidRPr="00CB52AB">
        <w:t>$585</w:t>
      </w:r>
      <w:r w:rsidR="00D406D1" w:rsidRPr="00CB52AB">
        <w:t xml:space="preserve"> </w:t>
      </w:r>
      <w:r w:rsidR="00A05232">
        <w:t xml:space="preserve">(median;  80% </w:t>
      </w:r>
      <w:r w:rsidR="00FF5586">
        <w:t>per</w:t>
      </w:r>
      <w:r w:rsidR="00A05232">
        <w:t>centile</w:t>
      </w:r>
      <w:r w:rsidR="00401721">
        <w:t xml:space="preserve"> </w:t>
      </w:r>
      <w:r w:rsidR="00892EFF" w:rsidRPr="00CB52AB">
        <w:t>$312</w:t>
      </w:r>
      <w:r w:rsidR="00A05232">
        <w:t xml:space="preserve">) </w:t>
      </w:r>
      <w:r w:rsidRPr="00CB52AB">
        <w:t>.</w:t>
      </w:r>
      <w:r w:rsidR="00F27607">
        <w:t xml:space="preserve">  Again, there remained a strong relationship between the cost per new diagnosis and the ICER. </w:t>
      </w:r>
      <w:r w:rsidRPr="00CB52AB">
        <w:t xml:space="preserve">   </w:t>
      </w:r>
    </w:p>
    <w:p w:rsidR="009A5530" w:rsidRPr="00DD46BE" w:rsidRDefault="009A5530" w:rsidP="00873766">
      <w:pPr>
        <w:pStyle w:val="PlainText"/>
        <w:spacing w:after="120" w:line="360" w:lineRule="auto"/>
        <w:rPr>
          <w:color w:val="000000" w:themeColor="text1"/>
        </w:rPr>
      </w:pPr>
      <w:r w:rsidRPr="00CB52AB">
        <w:t>The</w:t>
      </w:r>
      <w:r w:rsidRPr="00B04AF5">
        <w:t xml:space="preserve"> </w:t>
      </w:r>
      <w:r>
        <w:t xml:space="preserve">maximum </w:t>
      </w:r>
      <w:r w:rsidR="0065097C">
        <w:t>cost-per-diagnosis</w:t>
      </w:r>
      <w:r>
        <w:t xml:space="preserve"> for </w:t>
      </w:r>
      <w:r w:rsidR="00DB639A">
        <w:t>additional-testing</w:t>
      </w:r>
      <w:r>
        <w:t xml:space="preserve"> to remain cost effective </w:t>
      </w:r>
      <w:r w:rsidRPr="00892EFF">
        <w:t xml:space="preserve">fell to $256 </w:t>
      </w:r>
      <w:r w:rsidR="00A05232">
        <w:t xml:space="preserve">(median;  80% centile </w:t>
      </w:r>
      <w:r w:rsidRPr="00892EFF">
        <w:t>$46</w:t>
      </w:r>
      <w:r>
        <w:t xml:space="preserve">) </w:t>
      </w:r>
      <w:r w:rsidRPr="00B04AF5">
        <w:t xml:space="preserve">when the cost effectiveness threshold was </w:t>
      </w:r>
      <w:r>
        <w:t xml:space="preserve">set to </w:t>
      </w:r>
      <w:r w:rsidRPr="00B04AF5">
        <w:t>$300</w:t>
      </w:r>
      <w:r>
        <w:t xml:space="preserve"> per DALY averted; with a cost effectiveness threshold of $150, </w:t>
      </w:r>
      <w:r w:rsidR="00DB639A">
        <w:t>additional-testing</w:t>
      </w:r>
      <w:r>
        <w:t xml:space="preserve"> in men was not cost effective.  W</w:t>
      </w:r>
      <w:r w:rsidRPr="00B04AF5">
        <w:t xml:space="preserve">hen considering a discount rate </w:t>
      </w:r>
      <w:r w:rsidRPr="00234E4A">
        <w:t>of 10% per</w:t>
      </w:r>
      <w:r w:rsidRPr="00B04AF5">
        <w:t xml:space="preserve"> annum or a shorter time horizon of 20 years</w:t>
      </w:r>
      <w:r>
        <w:t xml:space="preserve"> for testing, the maximum </w:t>
      </w:r>
      <w:r w:rsidR="0065097C">
        <w:t>cost-per-diagnosis</w:t>
      </w:r>
      <w:r>
        <w:t xml:space="preserve"> for </w:t>
      </w:r>
      <w:r w:rsidR="00DB639A">
        <w:t>additional-testing</w:t>
      </w:r>
      <w:r>
        <w:t xml:space="preserve"> in men to remain cost effective was below $100 (</w:t>
      </w:r>
      <w:r w:rsidR="00A05232">
        <w:t>median</w:t>
      </w:r>
      <w:r w:rsidRPr="00FC78EB">
        <w:t>).</w:t>
      </w:r>
      <w:r w:rsidRPr="00FC78EB">
        <w:rPr>
          <w:color w:val="000000" w:themeColor="text1"/>
        </w:rPr>
        <w:t xml:space="preserve">  In sensitivity analyses in which we used a 0% discount rate instead of 3%</w:t>
      </w:r>
      <w:r>
        <w:rPr>
          <w:color w:val="000000" w:themeColor="text1"/>
        </w:rPr>
        <w:t>,</w:t>
      </w:r>
      <w:r w:rsidRPr="00FC78EB">
        <w:rPr>
          <w:color w:val="000000" w:themeColor="text1"/>
        </w:rPr>
        <w:t xml:space="preserve"> the </w:t>
      </w:r>
      <w:r w:rsidR="00A05232">
        <w:rPr>
          <w:color w:val="000000" w:themeColor="text1"/>
        </w:rPr>
        <w:t xml:space="preserve">median for the </w:t>
      </w:r>
      <w:r>
        <w:t>maximum</w:t>
      </w:r>
      <w:r w:rsidRPr="00FC78EB">
        <w:t xml:space="preserve"> </w:t>
      </w:r>
      <w:r w:rsidR="0065097C">
        <w:t>cost-per-diagnosis</w:t>
      </w:r>
      <w:r w:rsidRPr="00FC78EB">
        <w:t xml:space="preserve"> for testing in men  was $821.</w:t>
      </w:r>
    </w:p>
    <w:p w:rsidR="00E15325" w:rsidRPr="00616AB8" w:rsidRDefault="00AC53FC" w:rsidP="00873766">
      <w:pPr>
        <w:spacing w:after="120" w:line="360" w:lineRule="auto"/>
        <w:rPr>
          <w:color w:val="000000" w:themeColor="text1"/>
        </w:rPr>
      </w:pPr>
      <w:r>
        <w:rPr>
          <w:color w:val="000000" w:themeColor="text1"/>
        </w:rPr>
        <w:t xml:space="preserve">Lastly, in our comparison of </w:t>
      </w:r>
      <w:r>
        <w:t>core-testing with core-testing-minus-targeted-testin</w:t>
      </w:r>
      <w:r w:rsidR="00F63E39">
        <w:t>g</w:t>
      </w:r>
      <w:r>
        <w:t>-in-sex workers, we found mean incremental cost effectiveness ratio which ranged from $115 per DALY averted, if the unit cost of testing is $1, to $249, if the unit cost of testing is $36</w:t>
      </w:r>
      <w:r w:rsidR="00C16CB5">
        <w:t>, suggesting that 6 monthly testing in sex workers is indeed cost-effective</w:t>
      </w:r>
      <w:r>
        <w:t>.</w:t>
      </w:r>
    </w:p>
    <w:p w:rsidR="00616AB8" w:rsidRDefault="00616AB8" w:rsidP="00873766">
      <w:pPr>
        <w:spacing w:after="120" w:line="360" w:lineRule="auto"/>
        <w:rPr>
          <w:b/>
          <w:color w:val="A50021"/>
          <w:sz w:val="24"/>
          <w:szCs w:val="24"/>
        </w:rPr>
      </w:pPr>
    </w:p>
    <w:p w:rsidR="004470D0" w:rsidRDefault="004470D0" w:rsidP="00873766">
      <w:pPr>
        <w:spacing w:after="120" w:line="360" w:lineRule="auto"/>
        <w:rPr>
          <w:b/>
          <w:color w:val="A50021"/>
          <w:sz w:val="24"/>
          <w:szCs w:val="24"/>
        </w:rPr>
      </w:pPr>
    </w:p>
    <w:p w:rsidR="004F417B" w:rsidRPr="00CC7BEA" w:rsidRDefault="004F417B" w:rsidP="00873766">
      <w:pPr>
        <w:spacing w:after="120" w:line="360" w:lineRule="auto"/>
      </w:pPr>
      <w:r w:rsidRPr="00955FB2">
        <w:rPr>
          <w:b/>
          <w:color w:val="A50021"/>
          <w:sz w:val="24"/>
          <w:szCs w:val="24"/>
        </w:rPr>
        <w:t>Discussion</w:t>
      </w:r>
    </w:p>
    <w:p w:rsidR="004B2953" w:rsidRPr="007D5C15" w:rsidRDefault="00AE191D" w:rsidP="00873766">
      <w:pPr>
        <w:spacing w:after="120" w:line="360" w:lineRule="auto"/>
        <w:rPr>
          <w:color w:val="000000" w:themeColor="text1"/>
        </w:rPr>
      </w:pPr>
      <w:r>
        <w:rPr>
          <w:color w:val="000000" w:themeColor="text1"/>
        </w:rPr>
        <w:t>Countries require appropriate</w:t>
      </w:r>
      <w:r w:rsidR="004B2953" w:rsidRPr="009800FC">
        <w:rPr>
          <w:color w:val="000000" w:themeColor="text1"/>
        </w:rPr>
        <w:t xml:space="preserve"> metrics to </w:t>
      </w:r>
      <w:r w:rsidR="00E15325">
        <w:rPr>
          <w:color w:val="000000" w:themeColor="text1"/>
        </w:rPr>
        <w:t>assess</w:t>
      </w:r>
      <w:r w:rsidR="004B2953" w:rsidRPr="009800FC">
        <w:rPr>
          <w:color w:val="000000" w:themeColor="text1"/>
        </w:rPr>
        <w:t xml:space="preserve"> their HIV testing </w:t>
      </w:r>
      <w:r w:rsidR="004B2953">
        <w:rPr>
          <w:color w:val="000000" w:themeColor="text1"/>
        </w:rPr>
        <w:t>programme</w:t>
      </w:r>
      <w:r w:rsidR="004B2953" w:rsidRPr="009800FC">
        <w:rPr>
          <w:color w:val="000000" w:themeColor="text1"/>
        </w:rPr>
        <w:t>s</w:t>
      </w:r>
      <w:r>
        <w:rPr>
          <w:color w:val="000000" w:themeColor="text1"/>
        </w:rPr>
        <w:t xml:space="preserve"> that </w:t>
      </w:r>
      <w:r w:rsidR="00564791">
        <w:rPr>
          <w:color w:val="000000" w:themeColor="text1"/>
        </w:rPr>
        <w:t xml:space="preserve">can be </w:t>
      </w:r>
      <w:r>
        <w:rPr>
          <w:color w:val="000000" w:themeColor="text1"/>
        </w:rPr>
        <w:t>measure</w:t>
      </w:r>
      <w:r w:rsidR="00564791">
        <w:rPr>
          <w:color w:val="000000" w:themeColor="text1"/>
        </w:rPr>
        <w:t>d</w:t>
      </w:r>
      <w:r w:rsidR="004B2953" w:rsidRPr="009800FC">
        <w:rPr>
          <w:color w:val="000000" w:themeColor="text1"/>
        </w:rPr>
        <w:t xml:space="preserve">.  </w:t>
      </w:r>
      <w:r w:rsidR="004B2953">
        <w:rPr>
          <w:color w:val="000000" w:themeColor="text1"/>
        </w:rPr>
        <w:t xml:space="preserve">Our analysis confirms that the </w:t>
      </w:r>
      <w:r w:rsidR="0065097C">
        <w:t>cost-per-diagnosis</w:t>
      </w:r>
      <w:r w:rsidR="00CD2D74" w:rsidRPr="00350EC3">
        <w:t xml:space="preserve"> </w:t>
      </w:r>
      <w:r w:rsidR="004B2953" w:rsidRPr="00350EC3">
        <w:rPr>
          <w:color w:val="000000" w:themeColor="text1"/>
        </w:rPr>
        <w:t>is a key metric that is strongly predictive of the overall cost effectiveness of a</w:t>
      </w:r>
      <w:r w:rsidR="007F6BD5" w:rsidRPr="00350EC3">
        <w:rPr>
          <w:color w:val="000000" w:themeColor="text1"/>
        </w:rPr>
        <w:t>n HIV testing</w:t>
      </w:r>
      <w:r w:rsidR="004B2953" w:rsidRPr="00350EC3">
        <w:rPr>
          <w:color w:val="000000" w:themeColor="text1"/>
        </w:rPr>
        <w:t xml:space="preserve"> programme.  </w:t>
      </w:r>
      <w:r w:rsidR="00B13D96" w:rsidRPr="00350EC3">
        <w:rPr>
          <w:color w:val="000000"/>
        </w:rPr>
        <w:t xml:space="preserve">We found that </w:t>
      </w:r>
      <w:r w:rsidR="00B13D96" w:rsidRPr="00350EC3">
        <w:t xml:space="preserve">HIV </w:t>
      </w:r>
      <w:r w:rsidR="00B13D96" w:rsidRPr="00350EC3">
        <w:rPr>
          <w:color w:val="000000" w:themeColor="text1"/>
        </w:rPr>
        <w:t>testing p</w:t>
      </w:r>
      <w:r w:rsidR="00616AB8" w:rsidRPr="00350EC3">
        <w:rPr>
          <w:color w:val="000000" w:themeColor="text1"/>
        </w:rPr>
        <w:t>rogrammes increasing testing in</w:t>
      </w:r>
      <w:r w:rsidR="00B13D96" w:rsidRPr="00350EC3">
        <w:rPr>
          <w:color w:val="000000" w:themeColor="text1"/>
        </w:rPr>
        <w:t xml:space="preserve"> men in low income settings in southern Africa </w:t>
      </w:r>
      <w:r w:rsidR="009727CE">
        <w:rPr>
          <w:color w:val="000000" w:themeColor="text1"/>
        </w:rPr>
        <w:t xml:space="preserve">are on average </w:t>
      </w:r>
      <w:r w:rsidR="00B13D96" w:rsidRPr="00350EC3">
        <w:rPr>
          <w:color w:val="000000" w:themeColor="text1"/>
        </w:rPr>
        <w:t xml:space="preserve"> cost effective if </w:t>
      </w:r>
      <w:r w:rsidR="00B13D96" w:rsidRPr="00350EC3">
        <w:rPr>
          <w:color w:val="000000" w:themeColor="text1"/>
        </w:rPr>
        <w:lastRenderedPageBreak/>
        <w:t xml:space="preserve">they cost below $585 per new diagnosis.  </w:t>
      </w:r>
      <w:r w:rsidR="00616AB8" w:rsidRPr="00350EC3">
        <w:rPr>
          <w:color w:val="000000" w:themeColor="text1"/>
        </w:rPr>
        <w:t xml:space="preserve">If </w:t>
      </w:r>
      <w:r w:rsidR="00B13D96" w:rsidRPr="00350EC3">
        <w:rPr>
          <w:color w:val="000000" w:themeColor="text1"/>
        </w:rPr>
        <w:t>testing due to symptoms, in pregnancy and in female sex workers having condomless sex</w:t>
      </w:r>
      <w:r w:rsidR="00616AB8" w:rsidRPr="00350EC3">
        <w:rPr>
          <w:color w:val="000000" w:themeColor="text1"/>
        </w:rPr>
        <w:t xml:space="preserve"> (100% testing every 6 months) </w:t>
      </w:r>
      <w:r w:rsidR="00B13D96" w:rsidRPr="00350EC3">
        <w:rPr>
          <w:color w:val="000000" w:themeColor="text1"/>
        </w:rPr>
        <w:t xml:space="preserve">is in place, testing women as part of further population testing programmes is </w:t>
      </w:r>
      <w:r w:rsidR="00F53928">
        <w:rPr>
          <w:color w:val="000000" w:themeColor="text1"/>
        </w:rPr>
        <w:t xml:space="preserve">generally </w:t>
      </w:r>
      <w:r w:rsidR="00B13D96" w:rsidRPr="00350EC3">
        <w:rPr>
          <w:color w:val="000000" w:themeColor="text1"/>
        </w:rPr>
        <w:t>unlikely to be cost effective. This is due both to the fact that a majority of women are likely to test due to pregnancy, and also because those women having the highest number of partners – due to transactional sex – are assumed to be already testing regularly as part of a minimum testing package.   </w:t>
      </w:r>
      <w:r w:rsidR="009A5530" w:rsidRPr="00350EC3">
        <w:rPr>
          <w:color w:val="000000" w:themeColor="text1"/>
        </w:rPr>
        <w:t xml:space="preserve">In reality, programmes </w:t>
      </w:r>
      <w:r w:rsidR="009A5530">
        <w:rPr>
          <w:color w:val="000000" w:themeColor="text1"/>
        </w:rPr>
        <w:t>providing</w:t>
      </w:r>
      <w:r w:rsidR="009A5530" w:rsidRPr="00350EC3">
        <w:rPr>
          <w:color w:val="000000" w:themeColor="text1"/>
        </w:rPr>
        <w:t xml:space="preserve"> regular </w:t>
      </w:r>
      <w:r w:rsidR="009A5530">
        <w:rPr>
          <w:color w:val="000000" w:themeColor="text1"/>
        </w:rPr>
        <w:t>testing for sex workers</w:t>
      </w:r>
      <w:r w:rsidR="009A5530" w:rsidRPr="00350EC3">
        <w:rPr>
          <w:color w:val="000000" w:themeColor="text1"/>
        </w:rPr>
        <w:t xml:space="preserve"> are not as widespread as recommended.  If such </w:t>
      </w:r>
      <w:r w:rsidR="009A5530" w:rsidRPr="00350EC3">
        <w:t>a testing programme in sex workers is not in place then</w:t>
      </w:r>
      <w:r w:rsidR="009A5530" w:rsidRPr="009A5530">
        <w:t xml:space="preserve"> </w:t>
      </w:r>
      <w:r w:rsidR="009A5530">
        <w:t xml:space="preserve">our results indicate such programmes should be introduced.  Our estimates for the </w:t>
      </w:r>
      <w:r w:rsidR="0065097C">
        <w:t>cost-per-diagnosis</w:t>
      </w:r>
      <w:r w:rsidR="00A66931" w:rsidRPr="00350EC3">
        <w:t xml:space="preserve"> did not vary substantially according to </w:t>
      </w:r>
      <w:r w:rsidR="008D4A06" w:rsidRPr="00350EC3">
        <w:t>epidemiologic and programmatic characteristics</w:t>
      </w:r>
      <w:r w:rsidR="00A66931" w:rsidRPr="00350EC3">
        <w:t xml:space="preserve"> and</w:t>
      </w:r>
      <w:r w:rsidR="00260923" w:rsidRPr="00350EC3">
        <w:t xml:space="preserve"> so </w:t>
      </w:r>
      <w:r w:rsidR="00A66931" w:rsidRPr="00350EC3">
        <w:t xml:space="preserve">appear to be </w:t>
      </w:r>
      <w:r w:rsidR="00260923" w:rsidRPr="00350EC3">
        <w:t>generalize</w:t>
      </w:r>
      <w:r w:rsidR="00A66931" w:rsidRPr="00350EC3">
        <w:t>able</w:t>
      </w:r>
      <w:r w:rsidR="00260923" w:rsidRPr="00350EC3">
        <w:t xml:space="preserve"> to lower income countries in </w:t>
      </w:r>
      <w:r w:rsidR="00164794" w:rsidRPr="00350EC3">
        <w:t xml:space="preserve">southern </w:t>
      </w:r>
      <w:r w:rsidR="00260923" w:rsidRPr="00350EC3">
        <w:t>Africa</w:t>
      </w:r>
      <w:r w:rsidR="00164794" w:rsidRPr="00350EC3">
        <w:t>, and likely elsewhere in sub-Saharan Africa</w:t>
      </w:r>
      <w:r w:rsidR="008D4A06" w:rsidRPr="00A66931">
        <w:t>.</w:t>
      </w:r>
      <w:r w:rsidR="008D4A06">
        <w:t xml:space="preserve"> </w:t>
      </w:r>
      <w:r w:rsidR="00934E12">
        <w:t xml:space="preserve">  This is a measure that is increasingly being reported by </w:t>
      </w:r>
      <w:r w:rsidR="00934E12" w:rsidRPr="006B04DD">
        <w:t>studies</w:t>
      </w:r>
      <w:r w:rsidR="006B04DD" w:rsidRPr="006B04DD">
        <w:rPr>
          <w:vertAlign w:val="superscript"/>
        </w:rPr>
        <w:t>9,18-21</w:t>
      </w:r>
      <w:r w:rsidR="006B04DD">
        <w:t>.</w:t>
      </w:r>
    </w:p>
    <w:p w:rsidR="000F3870" w:rsidRDefault="00B31A76" w:rsidP="00873766">
      <w:pPr>
        <w:spacing w:after="120" w:line="360" w:lineRule="auto"/>
      </w:pPr>
      <w:r>
        <w:t>In addition to $500, w</w:t>
      </w:r>
      <w:r w:rsidR="00614C62">
        <w:t>e also considered a cost effectiveness threshold of $300, which recognise</w:t>
      </w:r>
      <w:r w:rsidR="00303399">
        <w:t>s</w:t>
      </w:r>
      <w:r w:rsidR="00614C62">
        <w:t xml:space="preserve"> that HIV programmes can draw resources from other health care areas</w:t>
      </w:r>
      <w:r w:rsidR="001C6EC9">
        <w:t xml:space="preserve">.  A threshold of $300 </w:t>
      </w:r>
      <w:r w:rsidR="00614C62">
        <w:t>is still high from an overall perspective of health care provision in Malawi and this suggest</w:t>
      </w:r>
      <w:r w:rsidR="001C6EC9">
        <w:t xml:space="preserve">s </w:t>
      </w:r>
      <w:r w:rsidR="00D35F52">
        <w:t xml:space="preserve">that </w:t>
      </w:r>
      <w:r w:rsidR="00614C62">
        <w:t xml:space="preserve">new </w:t>
      </w:r>
      <w:r w:rsidR="00D35F52">
        <w:t>HIV diagnose</w:t>
      </w:r>
      <w:r w:rsidR="00614C62">
        <w:t xml:space="preserve">s in men </w:t>
      </w:r>
      <w:r w:rsidR="00D35F52">
        <w:t>need</w:t>
      </w:r>
      <w:r w:rsidR="006234CC">
        <w:t xml:space="preserve"> to </w:t>
      </w:r>
      <w:r w:rsidR="00614C62">
        <w:t xml:space="preserve">be achieved at </w:t>
      </w:r>
      <w:r w:rsidR="00D35F52">
        <w:t xml:space="preserve">an average cost </w:t>
      </w:r>
      <w:r w:rsidR="00614C62" w:rsidRPr="00CF518A">
        <w:t>below $2</w:t>
      </w:r>
      <w:r w:rsidR="00CF518A" w:rsidRPr="00CF518A">
        <w:t>56</w:t>
      </w:r>
      <w:r w:rsidR="003B5F28" w:rsidRPr="00CF518A">
        <w:t xml:space="preserve"> (</w:t>
      </w:r>
      <w:r w:rsidR="009727CE">
        <w:t xml:space="preserve">median over setting scenario / unit test cost combinations) </w:t>
      </w:r>
      <w:r w:rsidR="00614C62">
        <w:t>.</w:t>
      </w:r>
      <w:r w:rsidR="00303399">
        <w:t xml:space="preserve"> With a cost effectiveness threshold of $150, which is closer to that which applies in Malawi for overall health care </w:t>
      </w:r>
      <w:r w:rsidR="00303399" w:rsidRPr="00FB5FD1">
        <w:t>provision</w:t>
      </w:r>
      <w:r w:rsidR="00DB412A">
        <w:rPr>
          <w:vertAlign w:val="superscript"/>
        </w:rPr>
        <w:t>15</w:t>
      </w:r>
      <w:r w:rsidR="00303399" w:rsidRPr="00FB5FD1">
        <w:t xml:space="preserve">, </w:t>
      </w:r>
      <w:r w:rsidR="00DB639A">
        <w:t>additional-testing</w:t>
      </w:r>
      <w:r w:rsidR="00303399">
        <w:t xml:space="preserve"> was not cost effective.</w:t>
      </w:r>
      <w:r w:rsidR="00614C62">
        <w:t xml:space="preserve"> </w:t>
      </w:r>
      <w:r w:rsidR="00614C62" w:rsidRPr="008A62D7">
        <w:t xml:space="preserve"> </w:t>
      </w:r>
      <w:r w:rsidR="00614C62">
        <w:t xml:space="preserve"> </w:t>
      </w:r>
      <w:r w:rsidR="007D2D4E">
        <w:t xml:space="preserve">Since we present the relationship between the </w:t>
      </w:r>
      <w:r w:rsidR="0065097C">
        <w:t>cost-per-diagnosis</w:t>
      </w:r>
      <w:r w:rsidR="007D2D4E">
        <w:t xml:space="preserve"> and the ICER, country programmes can apply other cost effectiveness thresholds and may have evidence on opportunity costs in their particular setting.  </w:t>
      </w:r>
      <w:r w:rsidR="007A43D9">
        <w:t xml:space="preserve">We calculated the </w:t>
      </w:r>
      <w:r w:rsidR="0065097C">
        <w:t>cost-per-diagnosis</w:t>
      </w:r>
      <w:r w:rsidR="007A43D9">
        <w:t xml:space="preserve"> </w:t>
      </w:r>
      <w:r w:rsidR="007A43D9" w:rsidRPr="009A6EBA">
        <w:t xml:space="preserve">over the first 5 years (2018-2023) but this can change over the subsequent 45 years of the total projection; over the full 50 years this was a median </w:t>
      </w:r>
      <w:r w:rsidR="007A43D9" w:rsidRPr="00436F0E">
        <w:t xml:space="preserve">of 1.24 times </w:t>
      </w:r>
      <w:r w:rsidR="007A43D9" w:rsidRPr="009A6EBA">
        <w:t>greater than the</w:t>
      </w:r>
      <w:r w:rsidR="007A43D9">
        <w:t xml:space="preserve"> cost over the first five years</w:t>
      </w:r>
      <w:r w:rsidR="007A43D9" w:rsidRPr="009A6EBA">
        <w:t xml:space="preserve">.   For this reason it is </w:t>
      </w:r>
      <w:r w:rsidR="007A43D9">
        <w:t xml:space="preserve">conceivable that short-term </w:t>
      </w:r>
      <w:r w:rsidR="007A43D9" w:rsidRPr="009A6EBA">
        <w:t xml:space="preserve">testing programmes </w:t>
      </w:r>
      <w:r w:rsidR="007A43D9">
        <w:t xml:space="preserve">(e.g. lasting 5 years and stopping in 2023) </w:t>
      </w:r>
      <w:r w:rsidR="007A43D9" w:rsidRPr="009A6EBA">
        <w:t xml:space="preserve">in men that cost </w:t>
      </w:r>
      <w:r w:rsidR="007A43D9">
        <w:t xml:space="preserve">somewhat more </w:t>
      </w:r>
      <w:r w:rsidR="007A43D9" w:rsidRPr="00CF518A">
        <w:t xml:space="preserve">than $585 per </w:t>
      </w:r>
      <w:r w:rsidR="007A43D9" w:rsidRPr="009A6EBA">
        <w:t xml:space="preserve">newly diagnosed man </w:t>
      </w:r>
      <w:r w:rsidR="009727CE">
        <w:t xml:space="preserve">may nevertheless be </w:t>
      </w:r>
      <w:r w:rsidR="007A43D9">
        <w:t xml:space="preserve"> cost-</w:t>
      </w:r>
      <w:r w:rsidR="007A43D9" w:rsidRPr="009A6EBA">
        <w:t>effective.</w:t>
      </w:r>
      <w:r w:rsidR="007A43D9">
        <w:t xml:space="preserve">   </w:t>
      </w:r>
    </w:p>
    <w:p w:rsidR="00121CB1" w:rsidRDefault="0054791D" w:rsidP="00873766">
      <w:pPr>
        <w:spacing w:after="120" w:line="360" w:lineRule="auto"/>
      </w:pPr>
      <w:r>
        <w:t xml:space="preserve">Implementation of </w:t>
      </w:r>
      <w:r w:rsidR="006A7D35">
        <w:t>our</w:t>
      </w:r>
      <w:r>
        <w:t xml:space="preserve"> results requires that, besides being able to estimate the full cost of testing, programmes can also reliably estimate the number of new HIV diagnoses in a given period (i.e. without inclusion of people who are being re-diagnosed having earlier been tested positive).  </w:t>
      </w:r>
      <w:r w:rsidR="00B60839">
        <w:t>T</w:t>
      </w:r>
      <w:r>
        <w:t xml:space="preserve">esting programmes </w:t>
      </w:r>
      <w:r w:rsidR="007434F1">
        <w:t xml:space="preserve">rely on self-report </w:t>
      </w:r>
      <w:r>
        <w:t>to separate positive tests done in people who have previously received an HIV diagnosis from those done in peopl</w:t>
      </w:r>
      <w:r w:rsidR="007434F1">
        <w:t>e who have never been diagnosed</w:t>
      </w:r>
      <w:r>
        <w:t xml:space="preserve">.  In some cases an individual may not </w:t>
      </w:r>
      <w:r w:rsidR="007D61A1">
        <w:t>wish to disclose a previous positive test</w:t>
      </w:r>
      <w:r>
        <w:t>, which makes this information challenging to collect reliably</w:t>
      </w:r>
      <w:r w:rsidRPr="00E77028">
        <w:t xml:space="preserve">.  When estimating the number of new diagnoses that a programme makes, adjustment will have to be made to account for the fact that a proportion of apparent new diagnoses are in fact not, otherwise cost-effectiveness will be over-estimated. </w:t>
      </w:r>
      <w:r w:rsidR="00E77028" w:rsidRPr="00E77028">
        <w:t xml:space="preserve"> That adjustment </w:t>
      </w:r>
      <w:r w:rsidR="00E77028" w:rsidRPr="00E77028">
        <w:lastRenderedPageBreak/>
        <w:t>factor might be informed by data on the ratio of the increase over a period of time in the number of people on ART</w:t>
      </w:r>
      <w:r w:rsidR="009517CD">
        <w:t>,</w:t>
      </w:r>
      <w:r w:rsidR="00E77028" w:rsidRPr="00E77028">
        <w:t xml:space="preserve"> compared with the number of new positive tests in that period.  </w:t>
      </w:r>
      <w:r w:rsidR="009517CD">
        <w:t>This</w:t>
      </w:r>
      <w:r w:rsidR="00A46BFD" w:rsidRPr="00E77028">
        <w:t xml:space="preserve"> said, the effect of such over ascertainment of new diagnoses </w:t>
      </w:r>
      <w:r w:rsidR="009A6EBA" w:rsidRPr="00E77028">
        <w:t xml:space="preserve">could </w:t>
      </w:r>
      <w:r w:rsidR="00A46BFD" w:rsidRPr="00E77028">
        <w:t>be less important if this diagnosis is the one that leads the</w:t>
      </w:r>
      <w:r w:rsidR="009517CD">
        <w:t xml:space="preserve"> person</w:t>
      </w:r>
      <w:r w:rsidR="00A46BFD" w:rsidRPr="00E77028">
        <w:t xml:space="preserve"> to link to care and start</w:t>
      </w:r>
      <w:r w:rsidR="00A46BFD" w:rsidRPr="009A6EBA">
        <w:t xml:space="preserve"> ART.</w:t>
      </w:r>
      <w:r w:rsidR="00835837" w:rsidRPr="009A6EBA">
        <w:t xml:space="preserve">  </w:t>
      </w:r>
      <w:r w:rsidR="009A6EBA" w:rsidRPr="009A6EBA">
        <w:t>Like</w:t>
      </w:r>
      <w:r w:rsidR="00835837" w:rsidRPr="009A6EBA">
        <w:t>wise</w:t>
      </w:r>
      <w:r w:rsidR="009A6EBA">
        <w:t>,</w:t>
      </w:r>
      <w:r w:rsidR="00835837" w:rsidRPr="009A6EBA">
        <w:t xml:space="preserve"> if testing programmes can demonstr</w:t>
      </w:r>
      <w:r w:rsidR="006A7D35">
        <w:t>ate linkage of people testing negative</w:t>
      </w:r>
      <w:r w:rsidR="00835837" w:rsidRPr="009A6EBA">
        <w:t xml:space="preserve"> to effective prevention this will likely enhance cost </w:t>
      </w:r>
      <w:r w:rsidR="00835837" w:rsidRPr="00616AB8">
        <w:t>effectiveness.</w:t>
      </w:r>
      <w:r w:rsidR="00616AB8">
        <w:t xml:space="preserve">  </w:t>
      </w:r>
      <w:r w:rsidR="00121CB1" w:rsidRPr="00616AB8">
        <w:rPr>
          <w:color w:val="000000" w:themeColor="text1"/>
        </w:rPr>
        <w:t xml:space="preserve">We have not explicitly considered that </w:t>
      </w:r>
      <w:r w:rsidR="00DB639A">
        <w:rPr>
          <w:color w:val="000000" w:themeColor="text1"/>
        </w:rPr>
        <w:t>additional-testing</w:t>
      </w:r>
      <w:r w:rsidR="00121CB1" w:rsidRPr="00616AB8">
        <w:rPr>
          <w:color w:val="000000" w:themeColor="text1"/>
        </w:rPr>
        <w:t xml:space="preserve"> may be based on distributing self tests.   </w:t>
      </w:r>
      <w:r w:rsidR="00121CB1">
        <w:rPr>
          <w:color w:val="000000" w:themeColor="text1"/>
        </w:rPr>
        <w:t xml:space="preserve">In the analyses we assume that </w:t>
      </w:r>
      <w:r w:rsidR="00121CB1" w:rsidRPr="00616AB8">
        <w:rPr>
          <w:color w:val="000000" w:themeColor="text1"/>
        </w:rPr>
        <w:t xml:space="preserve">5% of people </w:t>
      </w:r>
      <w:r w:rsidR="00121CB1">
        <w:rPr>
          <w:color w:val="000000" w:themeColor="text1"/>
        </w:rPr>
        <w:t>will not agree to test unless they are symptomatic.  If self testing is more effective at being able to reach such individuals than conventional testing, or if there are settings were the size of this group is greater than 5%, self testing may have some benefits that are currently not fully captured by this analysis.</w:t>
      </w:r>
    </w:p>
    <w:p w:rsidR="008B40AB" w:rsidRPr="00FB5FD1" w:rsidRDefault="00C50F8F" w:rsidP="00873766">
      <w:pPr>
        <w:spacing w:after="120" w:line="360" w:lineRule="auto"/>
      </w:pPr>
      <w:r w:rsidRPr="00616AB8">
        <w:t xml:space="preserve">Our work has </w:t>
      </w:r>
      <w:r w:rsidR="004124B1">
        <w:t xml:space="preserve">other </w:t>
      </w:r>
      <w:r w:rsidRPr="00616AB8">
        <w:t>limitations</w:t>
      </w:r>
      <w:r w:rsidRPr="004570DE">
        <w:t xml:space="preserve">.  </w:t>
      </w:r>
      <w:r w:rsidR="009A6EBA" w:rsidRPr="004570DE">
        <w:t>M</w:t>
      </w:r>
      <w:r w:rsidR="00366B62" w:rsidRPr="004570DE">
        <w:t xml:space="preserve">odelling is inevitably an imperfect representation of reality, although we have attempted to </w:t>
      </w:r>
      <w:r w:rsidR="003A6A46" w:rsidRPr="004570DE">
        <w:t xml:space="preserve">convey </w:t>
      </w:r>
      <w:r w:rsidR="00366B62" w:rsidRPr="004570DE">
        <w:t>uncertainty</w:t>
      </w:r>
      <w:r w:rsidR="009A6EBA" w:rsidRPr="004570DE">
        <w:t>.</w:t>
      </w:r>
      <w:r w:rsidR="00D25C1A" w:rsidRPr="004570DE">
        <w:t xml:space="preserve">  </w:t>
      </w:r>
      <w:r w:rsidR="004570DE" w:rsidRPr="004570DE">
        <w:t xml:space="preserve"> Future changes in ART programmes are taken into account in so far as we allow the HIV epidemic to play out with people being put onto treatment, </w:t>
      </w:r>
      <w:r w:rsidR="0089702F" w:rsidRPr="004570DE">
        <w:t>interrupting</w:t>
      </w:r>
      <w:r w:rsidR="004570DE" w:rsidRPr="004570DE">
        <w:t xml:space="preserve"> treatment at various possible rates, experiencing resistance mutations so that virologic failure occurs, switching to second line </w:t>
      </w:r>
      <w:r w:rsidR="004570DE" w:rsidRPr="00FB5FD1">
        <w:t xml:space="preserve">regimens at a range of rates, etc.   </w:t>
      </w:r>
      <w:r w:rsidR="005F6582" w:rsidRPr="00FB5FD1">
        <w:t>However, we cannot know which other changes might occu</w:t>
      </w:r>
      <w:r w:rsidR="00331CB5" w:rsidRPr="00FB5FD1">
        <w:t>r over the coming 50 years</w:t>
      </w:r>
      <w:r w:rsidR="007C0E86">
        <w:t>, including possibly changes in costs of testing</w:t>
      </w:r>
      <w:r w:rsidR="00331CB5" w:rsidRPr="00FB5FD1">
        <w:t xml:space="preserve">. </w:t>
      </w:r>
      <w:r w:rsidR="00D54FFE">
        <w:t xml:space="preserve"> As significant changes from the assumptions occur, this analysis would need up-dating.  </w:t>
      </w:r>
      <w:r w:rsidR="00331CB5" w:rsidRPr="00FB5FD1">
        <w:t xml:space="preserve"> In addition, we sampled from an array of parameter distributions and then applied some filtering in order to generate a range of setting-scenarios which appear to broadly represent the distribution of a number of characteristics.  </w:t>
      </w:r>
    </w:p>
    <w:p w:rsidR="00433DB2" w:rsidRPr="009708ED" w:rsidRDefault="00433DB2" w:rsidP="00873766">
      <w:pPr>
        <w:spacing w:after="120" w:line="360" w:lineRule="auto"/>
        <w:rPr>
          <w:b/>
          <w:color w:val="9E0000"/>
          <w:sz w:val="24"/>
          <w:szCs w:val="24"/>
        </w:rPr>
      </w:pPr>
      <w:r w:rsidRPr="009708ED">
        <w:rPr>
          <w:b/>
          <w:color w:val="9E0000"/>
          <w:sz w:val="24"/>
          <w:szCs w:val="24"/>
        </w:rPr>
        <w:t>Conclusion</w:t>
      </w:r>
    </w:p>
    <w:p w:rsidR="00E14E7B" w:rsidRDefault="00433DB2" w:rsidP="00873766">
      <w:pPr>
        <w:spacing w:after="120" w:line="360" w:lineRule="auto"/>
      </w:pPr>
      <w:r>
        <w:t>F</w:t>
      </w:r>
      <w:r w:rsidR="00E14E7B" w:rsidRPr="00FB5FD1">
        <w:t xml:space="preserve">or testing </w:t>
      </w:r>
      <w:r w:rsidR="0068407C" w:rsidRPr="00FB5FD1">
        <w:t>programmes</w:t>
      </w:r>
      <w:r w:rsidR="00E14E7B" w:rsidRPr="00FB5FD1">
        <w:t xml:space="preserve"> in low inc</w:t>
      </w:r>
      <w:r w:rsidR="00A07B0F" w:rsidRPr="00FB5FD1">
        <w:t>ome settings in southern</w:t>
      </w:r>
      <w:r w:rsidR="00A07B0F">
        <w:t xml:space="preserve"> Africa that implement universal eligibility for ART</w:t>
      </w:r>
      <w:r w:rsidR="00E14E7B" w:rsidRPr="0096399F">
        <w:t xml:space="preserve"> there is an extremely stron</w:t>
      </w:r>
      <w:r w:rsidR="00E14E7B">
        <w:t xml:space="preserve">g relationship between the </w:t>
      </w:r>
      <w:r w:rsidR="0065097C">
        <w:t>cost-per-diagnosis</w:t>
      </w:r>
      <w:r w:rsidR="00E14E7B">
        <w:t xml:space="preserve"> </w:t>
      </w:r>
      <w:r w:rsidR="00E14E7B" w:rsidRPr="0096399F">
        <w:t xml:space="preserve">and the cost per DALYs averted (ICER), indicating that that the </w:t>
      </w:r>
      <w:r w:rsidR="0065097C">
        <w:t>cost-per-diagnosis</w:t>
      </w:r>
      <w:r w:rsidR="00E14E7B">
        <w:t xml:space="preserve"> </w:t>
      </w:r>
      <w:r w:rsidR="00E14E7B" w:rsidRPr="0096399F">
        <w:t xml:space="preserve">can be used to monitor the cost effectiveness of testing programmes.  </w:t>
      </w:r>
    </w:p>
    <w:p w:rsidR="009806C9" w:rsidRDefault="009806C9" w:rsidP="00873766">
      <w:pPr>
        <w:spacing w:after="120" w:line="360" w:lineRule="auto"/>
      </w:pPr>
    </w:p>
    <w:p w:rsidR="009517CD" w:rsidRDefault="009517CD" w:rsidP="00873766">
      <w:pPr>
        <w:spacing w:line="360" w:lineRule="auto"/>
        <w:rPr>
          <w:b/>
          <w:color w:val="A50021"/>
          <w:sz w:val="26"/>
          <w:szCs w:val="26"/>
        </w:rPr>
      </w:pPr>
    </w:p>
    <w:p w:rsidR="00B9521F" w:rsidRDefault="00B9521F" w:rsidP="00873766">
      <w:pPr>
        <w:spacing w:line="360" w:lineRule="auto"/>
        <w:rPr>
          <w:b/>
          <w:color w:val="A50021"/>
          <w:sz w:val="26"/>
          <w:szCs w:val="26"/>
        </w:rPr>
      </w:pPr>
      <w:r>
        <w:rPr>
          <w:b/>
          <w:color w:val="A50021"/>
          <w:sz w:val="26"/>
          <w:szCs w:val="26"/>
        </w:rPr>
        <w:t>Acknowledgements</w:t>
      </w:r>
    </w:p>
    <w:p w:rsidR="00EF0C90" w:rsidRDefault="003C7FF3" w:rsidP="00873766">
      <w:pPr>
        <w:spacing w:line="360" w:lineRule="auto"/>
      </w:pPr>
      <w:r>
        <w:t xml:space="preserve">We </w:t>
      </w:r>
      <w:r w:rsidR="00356307">
        <w:t>acknowledge</w:t>
      </w:r>
      <w:r>
        <w:t xml:space="preserve"> use of the </w:t>
      </w:r>
      <w:r w:rsidR="00C97AEF">
        <w:t>l</w:t>
      </w:r>
      <w:r w:rsidR="00B9521F">
        <w:t xml:space="preserve">egion@ucl </w:t>
      </w:r>
      <w:r>
        <w:t xml:space="preserve">computing cluster. </w:t>
      </w:r>
      <w:r w:rsidR="00B9521F">
        <w:t xml:space="preserve">  </w:t>
      </w:r>
      <w:r>
        <w:t>We thank L</w:t>
      </w:r>
      <w:r w:rsidR="00B9521F">
        <w:t>eigh Johnson</w:t>
      </w:r>
      <w:r>
        <w:t xml:space="preserve"> for helpful comments</w:t>
      </w:r>
      <w:r w:rsidR="00B9521F">
        <w:t xml:space="preserve">. </w:t>
      </w:r>
      <w:r w:rsidR="009F7E79">
        <w:t xml:space="preserve"> </w:t>
      </w:r>
      <w:r w:rsidR="009F7E79" w:rsidRPr="00AF4670">
        <w:t xml:space="preserve">DF received </w:t>
      </w:r>
      <w:r w:rsidR="009F7E79" w:rsidRPr="00AF4670">
        <w:rPr>
          <w:rFonts w:cs="Arial"/>
          <w:bCs/>
        </w:rPr>
        <w:t>core support from the UK Medical Research Council [MC_UU_12023/23].</w:t>
      </w:r>
    </w:p>
    <w:p w:rsidR="00275E5C" w:rsidRDefault="00275E5C" w:rsidP="00873766">
      <w:pPr>
        <w:autoSpaceDE w:val="0"/>
        <w:autoSpaceDN w:val="0"/>
        <w:adjustRightInd w:val="0"/>
        <w:spacing w:after="0" w:line="360" w:lineRule="auto"/>
        <w:rPr>
          <w:b/>
          <w:color w:val="A50021"/>
          <w:sz w:val="26"/>
          <w:szCs w:val="26"/>
        </w:rPr>
      </w:pPr>
    </w:p>
    <w:p w:rsidR="00275E5C" w:rsidRDefault="00433DB2" w:rsidP="00873766">
      <w:pPr>
        <w:autoSpaceDE w:val="0"/>
        <w:autoSpaceDN w:val="0"/>
        <w:adjustRightInd w:val="0"/>
        <w:spacing w:after="0" w:line="360" w:lineRule="auto"/>
        <w:rPr>
          <w:b/>
          <w:color w:val="A50021"/>
          <w:sz w:val="26"/>
          <w:szCs w:val="26"/>
        </w:rPr>
      </w:pPr>
      <w:r>
        <w:rPr>
          <w:b/>
          <w:color w:val="A50021"/>
          <w:sz w:val="26"/>
          <w:szCs w:val="26"/>
        </w:rPr>
        <w:lastRenderedPageBreak/>
        <w:t>Author Contributions</w:t>
      </w:r>
    </w:p>
    <w:p w:rsidR="00275E5C" w:rsidRDefault="00275E5C" w:rsidP="00873766">
      <w:pPr>
        <w:autoSpaceDE w:val="0"/>
        <w:autoSpaceDN w:val="0"/>
        <w:adjustRightInd w:val="0"/>
        <w:spacing w:after="0" w:line="360" w:lineRule="auto"/>
      </w:pPr>
    </w:p>
    <w:p w:rsidR="00275E5C" w:rsidRPr="00A01424" w:rsidRDefault="00A01424" w:rsidP="00873766">
      <w:pPr>
        <w:autoSpaceDE w:val="0"/>
        <w:autoSpaceDN w:val="0"/>
        <w:adjustRightInd w:val="0"/>
        <w:spacing w:after="0" w:line="360" w:lineRule="auto"/>
      </w:pPr>
      <w:r w:rsidRPr="00A01424">
        <w:t>I</w:t>
      </w:r>
      <w:r>
        <w:t>nput into analysis concept</w:t>
      </w:r>
      <w:r w:rsidR="00C97AEF">
        <w:t>: all</w:t>
      </w:r>
    </w:p>
    <w:p w:rsidR="00A01424" w:rsidRDefault="00A01424" w:rsidP="00873766">
      <w:pPr>
        <w:autoSpaceDE w:val="0"/>
        <w:autoSpaceDN w:val="0"/>
        <w:adjustRightInd w:val="0"/>
        <w:spacing w:after="0" w:line="360" w:lineRule="auto"/>
      </w:pPr>
      <w:r>
        <w:t>Input into identifying data to inform modelling</w:t>
      </w:r>
      <w:r w:rsidR="00C97AEF">
        <w:t>: all</w:t>
      </w:r>
    </w:p>
    <w:p w:rsidR="00C97AEF" w:rsidRDefault="00C97AEF" w:rsidP="00873766">
      <w:pPr>
        <w:autoSpaceDE w:val="0"/>
        <w:autoSpaceDN w:val="0"/>
        <w:adjustRightInd w:val="0"/>
        <w:spacing w:after="0" w:line="360" w:lineRule="auto"/>
      </w:pPr>
      <w:r>
        <w:t>Relating of direct experience of country testing programmes: IJ, TA, CK, JvO, ND, FC, OK, DF, KH,RB, HA, LN, CJ, RB, AF, AJ.</w:t>
      </w:r>
    </w:p>
    <w:p w:rsidR="00C97AEF" w:rsidRDefault="00C97AEF" w:rsidP="00873766">
      <w:pPr>
        <w:autoSpaceDE w:val="0"/>
        <w:autoSpaceDN w:val="0"/>
        <w:adjustRightInd w:val="0"/>
        <w:spacing w:after="0" w:line="360" w:lineRule="auto"/>
      </w:pPr>
      <w:r>
        <w:t>Development of the underlying transmission model: AP, VC, FN, LB-M.</w:t>
      </w:r>
    </w:p>
    <w:p w:rsidR="00C97AEF" w:rsidRDefault="00C97AEF" w:rsidP="00873766">
      <w:pPr>
        <w:autoSpaceDE w:val="0"/>
        <w:autoSpaceDN w:val="0"/>
        <w:adjustRightInd w:val="0"/>
        <w:spacing w:after="0" w:line="360" w:lineRule="auto"/>
      </w:pPr>
      <w:r>
        <w:t>Running of the model: AP</w:t>
      </w:r>
    </w:p>
    <w:p w:rsidR="00C97AEF" w:rsidRDefault="00C97AEF" w:rsidP="00873766">
      <w:pPr>
        <w:autoSpaceDE w:val="0"/>
        <w:autoSpaceDN w:val="0"/>
        <w:adjustRightInd w:val="0"/>
        <w:spacing w:after="0" w:line="360" w:lineRule="auto"/>
      </w:pPr>
      <w:r>
        <w:t>Substantive input into manuscript text: all</w:t>
      </w:r>
    </w:p>
    <w:p w:rsidR="00C97AEF" w:rsidRDefault="00C97AEF" w:rsidP="00873766">
      <w:pPr>
        <w:autoSpaceDE w:val="0"/>
        <w:autoSpaceDN w:val="0"/>
        <w:adjustRightInd w:val="0"/>
        <w:spacing w:after="0" w:line="360" w:lineRule="auto"/>
      </w:pPr>
      <w:r>
        <w:t xml:space="preserve">Review and approval of final version: all </w:t>
      </w:r>
    </w:p>
    <w:p w:rsidR="0024421F" w:rsidRDefault="0024421F" w:rsidP="00873766">
      <w:pPr>
        <w:spacing w:line="360" w:lineRule="auto"/>
        <w:rPr>
          <w:b/>
          <w:color w:val="A50021"/>
          <w:sz w:val="26"/>
          <w:szCs w:val="26"/>
        </w:rPr>
      </w:pPr>
    </w:p>
    <w:p w:rsidR="0003789B" w:rsidRDefault="0003789B" w:rsidP="00873766">
      <w:pPr>
        <w:spacing w:line="360" w:lineRule="auto"/>
        <w:rPr>
          <w:b/>
          <w:color w:val="A50021"/>
          <w:sz w:val="26"/>
          <w:szCs w:val="26"/>
        </w:rPr>
      </w:pPr>
      <w:r>
        <w:rPr>
          <w:b/>
          <w:color w:val="A50021"/>
          <w:sz w:val="26"/>
          <w:szCs w:val="26"/>
        </w:rPr>
        <w:t>Conflicts of Interest</w:t>
      </w:r>
    </w:p>
    <w:p w:rsidR="0003789B" w:rsidRDefault="000E75FD" w:rsidP="00873766">
      <w:pPr>
        <w:autoSpaceDE w:val="0"/>
        <w:autoSpaceDN w:val="0"/>
        <w:adjustRightInd w:val="0"/>
        <w:spacing w:after="0" w:line="360" w:lineRule="auto"/>
      </w:pPr>
      <w:r w:rsidRPr="000E75FD">
        <w:t>No conflicts to declare.</w:t>
      </w:r>
    </w:p>
    <w:p w:rsidR="00873766" w:rsidRDefault="00873766">
      <w:pPr>
        <w:rPr>
          <w:b/>
          <w:color w:val="A50021"/>
          <w:sz w:val="26"/>
          <w:szCs w:val="26"/>
        </w:rPr>
      </w:pPr>
      <w:r>
        <w:rPr>
          <w:b/>
          <w:color w:val="A50021"/>
          <w:sz w:val="26"/>
          <w:szCs w:val="26"/>
        </w:rPr>
        <w:br w:type="page"/>
      </w:r>
    </w:p>
    <w:p w:rsidR="00934E12" w:rsidRDefault="004F417B" w:rsidP="000820E0">
      <w:pPr>
        <w:autoSpaceDE w:val="0"/>
        <w:autoSpaceDN w:val="0"/>
        <w:adjustRightInd w:val="0"/>
        <w:spacing w:after="0" w:line="240" w:lineRule="auto"/>
        <w:rPr>
          <w:b/>
          <w:sz w:val="24"/>
          <w:szCs w:val="24"/>
        </w:rPr>
      </w:pPr>
      <w:r w:rsidRPr="00263D91">
        <w:rPr>
          <w:b/>
          <w:color w:val="A50021"/>
          <w:sz w:val="26"/>
          <w:szCs w:val="26"/>
        </w:rPr>
        <w:lastRenderedPageBreak/>
        <w:t>References</w:t>
      </w:r>
      <w:r w:rsidR="007B38E5">
        <w:rPr>
          <w:b/>
          <w:sz w:val="24"/>
          <w:szCs w:val="24"/>
        </w:rPr>
        <w:t xml:space="preserve"> </w:t>
      </w:r>
    </w:p>
    <w:p w:rsidR="000820E0" w:rsidRPr="000820E0" w:rsidRDefault="000820E0" w:rsidP="000820E0">
      <w:pPr>
        <w:autoSpaceDE w:val="0"/>
        <w:autoSpaceDN w:val="0"/>
        <w:adjustRightInd w:val="0"/>
        <w:spacing w:after="0" w:line="240" w:lineRule="auto"/>
        <w:rPr>
          <w:b/>
          <w:sz w:val="24"/>
          <w:szCs w:val="24"/>
        </w:rPr>
      </w:pPr>
    </w:p>
    <w:p w:rsidR="000820E0" w:rsidRDefault="000820E0" w:rsidP="000820E0">
      <w:pPr>
        <w:pStyle w:val="ListParagraph"/>
        <w:numPr>
          <w:ilvl w:val="0"/>
          <w:numId w:val="6"/>
        </w:numPr>
        <w:spacing w:after="0"/>
      </w:pPr>
      <w:r w:rsidRPr="00934E12">
        <w:t>De Cock KM,  Barker JL, Baggaley R, El Sadr WM.  Where are the positives? HIV testing in sub-Saharan Africa in the era of test and treat.  AIDS 2019, 33:349–352</w:t>
      </w:r>
    </w:p>
    <w:p w:rsidR="004C56FE" w:rsidRDefault="004C56FE" w:rsidP="003C1DAE">
      <w:pPr>
        <w:pStyle w:val="ListParagraph"/>
        <w:numPr>
          <w:ilvl w:val="0"/>
          <w:numId w:val="6"/>
        </w:numPr>
      </w:pPr>
      <w:r>
        <w:t xml:space="preserve">UNAIDS.  90-90-90 An ambitious treatment target to help end the AIDS epidemic.  2014.  </w:t>
      </w:r>
      <w:hyperlink r:id="rId8" w:history="1">
        <w:r w:rsidRPr="00FD3422">
          <w:rPr>
            <w:rStyle w:val="Hyperlink"/>
          </w:rPr>
          <w:t>http://www.unaids.org/sites/default/files/media_asset/90-90-90_en_0.pdf</w:t>
        </w:r>
      </w:hyperlink>
    </w:p>
    <w:p w:rsidR="008B2551" w:rsidRDefault="00DE2622" w:rsidP="008B2551">
      <w:pPr>
        <w:pStyle w:val="ListParagraph"/>
        <w:numPr>
          <w:ilvl w:val="0"/>
          <w:numId w:val="6"/>
        </w:numPr>
        <w:spacing w:after="0"/>
      </w:pPr>
      <w:r>
        <w:t xml:space="preserve">UNAIDS.  Fast-track update on investments needed in the AIDS response.  </w:t>
      </w:r>
      <w:r w:rsidR="004C56FE">
        <w:t xml:space="preserve">2016 </w:t>
      </w:r>
      <w:hyperlink r:id="rId9" w:history="1">
        <w:r w:rsidRPr="00FD3422">
          <w:rPr>
            <w:rStyle w:val="Hyperlink"/>
          </w:rPr>
          <w:t>http://www.unaids.org/en/resources/documents/2014/JC2686_WAD2014report</w:t>
        </w:r>
      </w:hyperlink>
    </w:p>
    <w:p w:rsidR="00DE2622" w:rsidRDefault="00DE2622" w:rsidP="008B2551">
      <w:pPr>
        <w:pStyle w:val="ListParagraph"/>
        <w:numPr>
          <w:ilvl w:val="0"/>
          <w:numId w:val="6"/>
        </w:numPr>
        <w:spacing w:after="0"/>
      </w:pPr>
      <w:r>
        <w:t>Suthar, Amitabh B.; Ford, Nathan; Bachanas, Pamela J.; et al.  Towards Universal Voluntary HIV Testing and Counselling: A Systematic Review and Meta-Analysis of Community-Based Approaches   PLOS MEDICINE  Volume: 10   Issue: 8     Article Number: e1001496   Published: AUG 2013</w:t>
      </w:r>
    </w:p>
    <w:p w:rsidR="00DE2622" w:rsidRDefault="00DE2622" w:rsidP="003C1DAE">
      <w:pPr>
        <w:pStyle w:val="ListParagraph"/>
        <w:numPr>
          <w:ilvl w:val="0"/>
          <w:numId w:val="6"/>
        </w:numPr>
      </w:pPr>
      <w:r>
        <w:t>Sharma M, Ying R, Tarr G, Barnabas R.  Systematic review and meta-analysis of community and facility-based HIV testing to address linkage to care gaps in sub-Saharan Africa Nature 2015</w:t>
      </w:r>
    </w:p>
    <w:p w:rsidR="008531E6" w:rsidRPr="004F417B" w:rsidRDefault="008531E6" w:rsidP="003C1DAE">
      <w:pPr>
        <w:pStyle w:val="ListParagraph"/>
        <w:numPr>
          <w:ilvl w:val="0"/>
          <w:numId w:val="6"/>
        </w:numPr>
      </w:pPr>
      <w:r>
        <w:t xml:space="preserve">Cherutich, Peter; Bunnell, Rebecca; Mermin, Jonathan.   HIV Testing: Current Practice and Future Directions   CURRENT HIV/AIDS REPORTS  Volume: 10   Issue: 2   Pages: 134-141   Published: JUN 2013.  </w:t>
      </w:r>
    </w:p>
    <w:p w:rsidR="004C56FE" w:rsidRPr="003C1DAE" w:rsidRDefault="004C56FE" w:rsidP="003C1DAE">
      <w:pPr>
        <w:pStyle w:val="ListParagraph"/>
        <w:numPr>
          <w:ilvl w:val="0"/>
          <w:numId w:val="6"/>
        </w:numPr>
        <w:rPr>
          <w:bCs/>
        </w:rPr>
      </w:pPr>
      <w:r w:rsidRPr="003C1DAE">
        <w:rPr>
          <w:bCs/>
        </w:rPr>
        <w:t>Cambiano V, Ford D, Mabugu T, et al.  Assessment of the potential impact and cost-effectiveness of self-testing for HIV in low-income countries.  J Infect Dis 2015  Volume: 212 Issue: 4 Pages: 570-577 Published: AUG 15 2015 </w:t>
      </w:r>
    </w:p>
    <w:p w:rsidR="000820E0" w:rsidRDefault="004C56FE" w:rsidP="00934E12">
      <w:pPr>
        <w:pStyle w:val="ListParagraph"/>
        <w:numPr>
          <w:ilvl w:val="0"/>
          <w:numId w:val="6"/>
        </w:numPr>
        <w:spacing w:after="0"/>
      </w:pPr>
      <w:r w:rsidRPr="004C56FE">
        <w:t>Working Group on Modelling of Antiretroviral Therapy Monitoring Strategies in Sub-Saharan Africa Sustainable HIV treatment in Africa through viral-load-informed differentiated care.  Nature 2015 528, S68-S76 (3 December 2015), DOI: 10.1038/nature16046</w:t>
      </w:r>
    </w:p>
    <w:p w:rsidR="00934E12" w:rsidRDefault="00934E12" w:rsidP="00934E12">
      <w:pPr>
        <w:pStyle w:val="ListParagraph"/>
        <w:numPr>
          <w:ilvl w:val="0"/>
          <w:numId w:val="6"/>
        </w:numPr>
        <w:spacing w:after="0"/>
      </w:pPr>
      <w:r w:rsidRPr="00934E12">
        <w:t>Mwenge L, Sande L, Mangenah C, Ahmed N, Kanema S, d’Elbe´e M, et al. Costs of facility-based HIV testing in Malawi, Zambia and Zimbabwe. PLoS ONE  2017 12(10): e0185740. https:// doi.org/10.1371/journal.pone.0185740</w:t>
      </w:r>
    </w:p>
    <w:p w:rsidR="003C7FF3" w:rsidRDefault="003C7FF3" w:rsidP="00934E12">
      <w:pPr>
        <w:pStyle w:val="ListParagraph"/>
        <w:numPr>
          <w:ilvl w:val="0"/>
          <w:numId w:val="6"/>
        </w:numPr>
        <w:spacing w:after="0"/>
      </w:pPr>
      <w:r>
        <w:t>Siapka, Mariana; Remme, Michelle; Obure, Carol Dayo; et al.  Is there scope for cost savings and efficiency gains in HIV services? A systematic review of the evidence from low- and middle-income countries    BULLETIN OF THE WORLD HEALTH ORGANIZATION  Volume: 92   Issue: 7   Pages: 499-511   Published: JUL 2014</w:t>
      </w:r>
    </w:p>
    <w:p w:rsidR="009C5678" w:rsidRPr="009C5678" w:rsidRDefault="009C5678" w:rsidP="003C1DAE">
      <w:pPr>
        <w:pStyle w:val="ListParagraph"/>
        <w:numPr>
          <w:ilvl w:val="0"/>
          <w:numId w:val="6"/>
        </w:numPr>
      </w:pPr>
      <w:r w:rsidRPr="009C5678">
        <w:t>Tagar E, Sundaram M, Condliffe K, Matatiyo B, Chimbwandira F, et al. (2014) Multi-Country Analysis of Treatment Costs for HIV/AIDS (MATCH): Facility-Level ART Unit Cost Analysis in Ethiopia, Malawi, Rwanda, South Africa and Zambia. PLoS ONE 9(11): e108304. doi:10.1371/journal.pone.0108304</w:t>
      </w:r>
    </w:p>
    <w:p w:rsidR="003C7FF3" w:rsidRPr="003C1DAE" w:rsidRDefault="009C5678" w:rsidP="003C1DAE">
      <w:pPr>
        <w:pStyle w:val="ListParagraph"/>
        <w:numPr>
          <w:ilvl w:val="0"/>
          <w:numId w:val="6"/>
        </w:numPr>
      </w:pPr>
      <w:r w:rsidRPr="009C5678">
        <w:t xml:space="preserve">Salomon JA, Vos T, Hogan DR, et al. Common values in assessing  health outcomes from </w:t>
      </w:r>
      <w:r w:rsidRPr="003C1DAE">
        <w:t>disease and injury: disability weights measurement study for the Global Burden of Disease Study 2010.  Lancet 2012; 380: 2129–4310.</w:t>
      </w:r>
    </w:p>
    <w:p w:rsidR="009C5678" w:rsidRDefault="009C5678" w:rsidP="003C1DAE">
      <w:pPr>
        <w:pStyle w:val="ListParagraph"/>
        <w:numPr>
          <w:ilvl w:val="0"/>
          <w:numId w:val="6"/>
        </w:numPr>
      </w:pPr>
      <w:r w:rsidRPr="003C1DAE">
        <w:t xml:space="preserve">Claxton K, Walker S, Palmer S, Sculpher M.  ‘Appropriate Perspectives for Health Care Decisions’ </w:t>
      </w:r>
      <w:r>
        <w:t>Centre for Health Economics Research Paper 54 University of York 2010</w:t>
      </w:r>
    </w:p>
    <w:p w:rsidR="009C5678" w:rsidRDefault="009C5678" w:rsidP="003C1DAE">
      <w:pPr>
        <w:pStyle w:val="ListParagraph"/>
        <w:numPr>
          <w:ilvl w:val="0"/>
          <w:numId w:val="6"/>
        </w:numPr>
      </w:pPr>
      <w:r>
        <w:t>Woods E, Revill P, Sculpher M, Claxton K.  Country-Level Cost- Effectiveness Thresholds: Initial Estimates and the Need for Further Research.   https://www.york.ac.uk/media/che/documents/papers/researchpapers/CHERP109_cost-effectiveness_threshold_LMICs.pdf</w:t>
      </w:r>
    </w:p>
    <w:p w:rsidR="009C5678" w:rsidRPr="00447FD4" w:rsidRDefault="009C5678" w:rsidP="003C1DAE">
      <w:pPr>
        <w:pStyle w:val="ListParagraph"/>
        <w:numPr>
          <w:ilvl w:val="0"/>
          <w:numId w:val="6"/>
        </w:numPr>
      </w:pPr>
      <w:r w:rsidRPr="00447FD4">
        <w:t>Ochalek, JM, Claxton, KP, Revill, P, Sculpher, MJ &amp; Rollinger, A 2016 'Supporting the development of an essential health package: principles and initial assessment for Malawi' CHE Research Paper, no. 136, Centre for Health Economics, University of York, York, UK, pp. 1-90.</w:t>
      </w:r>
    </w:p>
    <w:p w:rsidR="008B2551" w:rsidRDefault="009C5678" w:rsidP="008B2551">
      <w:pPr>
        <w:pStyle w:val="ListParagraph"/>
        <w:numPr>
          <w:ilvl w:val="0"/>
          <w:numId w:val="6"/>
        </w:numPr>
        <w:spacing w:after="0"/>
      </w:pPr>
      <w:r w:rsidRPr="00447FD4">
        <w:lastRenderedPageBreak/>
        <w:t>Ministry of Health, 2016. Malawi National Heath Accounts Report for Fiscal Years 2012/13, 2013/14 and 2014/15. Ministry of Health, Department of Planning and Policy Development, Lilongwe, Malawi</w:t>
      </w:r>
    </w:p>
    <w:p w:rsidR="006B04DD" w:rsidRDefault="006B04DD" w:rsidP="006B04DD">
      <w:pPr>
        <w:pStyle w:val="ListParagraph"/>
        <w:numPr>
          <w:ilvl w:val="0"/>
          <w:numId w:val="6"/>
        </w:numPr>
        <w:rPr>
          <w:rStyle w:val="Hyperlink"/>
          <w:color w:val="auto"/>
        </w:rPr>
      </w:pPr>
      <w:r w:rsidRPr="003C1DAE">
        <w:t>Wilkinson, T, Sculpher, MJ, Claxton, K, Revill, P, Briggs, A, Cairns, JA, Teerawattananon, Y, Asfaw, E, Lopert, R, Culyer, AJ &amp; Walker, DG 2016, 'The International Decision Support Initiative Reference Case for Economic Evaluation: An Aid to Thought' </w:t>
      </w:r>
      <w:r w:rsidRPr="003C1DAE">
        <w:rPr>
          <w:i/>
          <w:iCs/>
        </w:rPr>
        <w:t>Value in Health</w:t>
      </w:r>
      <w:r w:rsidRPr="003C1DAE">
        <w:t>, vol 19, no. 8, pp. 921-928. DOI: </w:t>
      </w:r>
      <w:hyperlink r:id="rId10" w:history="1">
        <w:r w:rsidRPr="003C1DAE">
          <w:rPr>
            <w:rStyle w:val="Hyperlink"/>
            <w:color w:val="auto"/>
            <w:u w:val="none"/>
          </w:rPr>
          <w:t>10.1016/j.jval.2016.04.015</w:t>
        </w:r>
      </w:hyperlink>
    </w:p>
    <w:p w:rsidR="006B04DD" w:rsidRPr="006B04DD" w:rsidRDefault="006A1732" w:rsidP="006B04DD">
      <w:pPr>
        <w:pStyle w:val="ListParagraph"/>
        <w:numPr>
          <w:ilvl w:val="0"/>
          <w:numId w:val="6"/>
        </w:numPr>
        <w:rPr>
          <w:u w:val="single"/>
        </w:rPr>
      </w:pPr>
      <w:r w:rsidRPr="006A1732">
        <w:t xml:space="preserve">Bautista-Arredondoa S, Sosa-Rubı SG , Opuni M, Contreras-Loya D, Kwana A, Chaumonta C, et al on behalf of the ORPHEA study team.  </w:t>
      </w:r>
      <w:r w:rsidR="00CE5808" w:rsidRPr="006A1732">
        <w:t>Costs along the service cascades for HIV testing and counselling and prevention of mother-to-child transmission</w:t>
      </w:r>
      <w:r w:rsidRPr="006A1732">
        <w:t xml:space="preserve">. </w:t>
      </w:r>
      <w:r w:rsidR="00CE5808" w:rsidRPr="006A1732">
        <w:t xml:space="preserve"> AIDS 2016, 30:2495–2504</w:t>
      </w:r>
    </w:p>
    <w:p w:rsidR="006B04DD" w:rsidRDefault="006A1732" w:rsidP="006B04DD">
      <w:pPr>
        <w:pStyle w:val="ListParagraph"/>
        <w:numPr>
          <w:ilvl w:val="0"/>
          <w:numId w:val="6"/>
        </w:numPr>
        <w:rPr>
          <w:u w:val="single"/>
        </w:rPr>
      </w:pPr>
      <w:r w:rsidRPr="006B04DD">
        <w:rPr>
          <w:color w:val="000000" w:themeColor="text1"/>
        </w:rPr>
        <w:t xml:space="preserve">Offorjebe O, Dovel K, Shaba F, Balakasi K, Hoffman RM, Rosen S, Nichols BE.  </w:t>
      </w:r>
      <w:r w:rsidR="008B2551" w:rsidRPr="006B04DD">
        <w:rPr>
          <w:color w:val="000000" w:themeColor="text1"/>
        </w:rPr>
        <w:t>C</w:t>
      </w:r>
      <w:r w:rsidRPr="006B04DD">
        <w:rPr>
          <w:color w:val="000000" w:themeColor="text1"/>
        </w:rPr>
        <w:t>ost</w:t>
      </w:r>
      <w:r w:rsidR="008B2551" w:rsidRPr="006B04DD">
        <w:rPr>
          <w:color w:val="000000" w:themeColor="text1"/>
        </w:rPr>
        <w:t>-</w:t>
      </w:r>
      <w:r w:rsidRPr="006B04DD">
        <w:rPr>
          <w:color w:val="000000" w:themeColor="text1"/>
        </w:rPr>
        <w:t>effectiveness and national impacts of index HIV self-testing in Malawi.  Conference on Retroviruses and Opportunistic Infections.  Abstract Number: 1081; March 4–7, 2019 | Seattle, Washington</w:t>
      </w:r>
    </w:p>
    <w:p w:rsidR="006B04DD" w:rsidRPr="006B04DD" w:rsidRDefault="006A1732" w:rsidP="006B04DD">
      <w:pPr>
        <w:pStyle w:val="ListParagraph"/>
        <w:numPr>
          <w:ilvl w:val="0"/>
          <w:numId w:val="6"/>
        </w:numPr>
        <w:rPr>
          <w:u w:val="single"/>
        </w:rPr>
      </w:pPr>
      <w:r w:rsidRPr="006B04DD">
        <w:rPr>
          <w:color w:val="000000" w:themeColor="text1"/>
        </w:rPr>
        <w:t>Nichols BE, Cele R, Chasela C, Siwale Z, Lungu AS, Long L, et al.  Cost and impact of community-based, assisted HIV self-testing amongst youth in Zambia.   Conference on Retroviruses and Opportunistic Infections. Absrract number 1080.   March 4–7, 2019 | Seattle, Washington</w:t>
      </w:r>
    </w:p>
    <w:p w:rsidR="006A1732" w:rsidRDefault="00934E12" w:rsidP="008B2551">
      <w:pPr>
        <w:pStyle w:val="ListParagraph"/>
        <w:numPr>
          <w:ilvl w:val="0"/>
          <w:numId w:val="6"/>
        </w:numPr>
        <w:spacing w:after="0"/>
      </w:pPr>
      <w:r>
        <w:t xml:space="preserve">Cambiano V, Johnson C, Hatzold K, Terris-Prestholt F, Maheswaran H, Thirumurthy H  et al.  The impact and cost-effectiveness of community-based HIV self-testing in sub-Saharan Africa: A health economic and modelling analysis.  </w:t>
      </w:r>
      <w:r w:rsidRPr="00934E12">
        <w:t>Journal of the International AIDS Society 2019, 22:e25243</w:t>
      </w:r>
      <w:r w:rsidR="006B04DD">
        <w:t xml:space="preserve"> </w:t>
      </w:r>
      <w:r w:rsidRPr="00934E12">
        <w:t>http://onlinelibrary.wiley.com/doi/10.1002/jia2.25243/full | https://doi.org/10.1002/jia2.25243</w:t>
      </w:r>
    </w:p>
    <w:p w:rsidR="00FB3394" w:rsidRDefault="00773D61" w:rsidP="008B2551">
      <w:pPr>
        <w:pStyle w:val="ListParagraph"/>
        <w:numPr>
          <w:ilvl w:val="0"/>
          <w:numId w:val="6"/>
        </w:numPr>
        <w:spacing w:after="0"/>
      </w:pPr>
      <w:r w:rsidRPr="00773D61">
        <w:t xml:space="preserve">DHS </w:t>
      </w:r>
      <w:hyperlink r:id="rId11" w:history="1">
        <w:r w:rsidRPr="00773D61">
          <w:rPr>
            <w:rStyle w:val="Hyperlink"/>
          </w:rPr>
          <w:t>http://dhsprogramme.com/publications/publication-FR293-DHS-Final-Reports.cfm</w:t>
        </w:r>
      </w:hyperlink>
      <w:r w:rsidR="00FB3394">
        <w:t xml:space="preserve">  </w:t>
      </w:r>
    </w:p>
    <w:p w:rsidR="00FB3394" w:rsidRDefault="00773D61" w:rsidP="008B2551">
      <w:pPr>
        <w:pStyle w:val="ListParagraph"/>
        <w:numPr>
          <w:ilvl w:val="0"/>
          <w:numId w:val="6"/>
        </w:numPr>
        <w:spacing w:after="0"/>
      </w:pPr>
      <w:r w:rsidRPr="00773D61">
        <w:t xml:space="preserve">PHIA surveys </w:t>
      </w:r>
      <w:hyperlink r:id="rId12" w:history="1">
        <w:r w:rsidRPr="00773D61">
          <w:rPr>
            <w:rStyle w:val="Hyperlink"/>
          </w:rPr>
          <w:t>http://phia.icap.columbia.edu/</w:t>
        </w:r>
      </w:hyperlink>
      <w:r w:rsidR="00FB3394">
        <w:t xml:space="preserve">  </w:t>
      </w:r>
    </w:p>
    <w:p w:rsidR="00FB3394" w:rsidRDefault="00FB3394" w:rsidP="00FB3394">
      <w:pPr>
        <w:pStyle w:val="ListParagraph"/>
        <w:numPr>
          <w:ilvl w:val="0"/>
          <w:numId w:val="6"/>
        </w:numPr>
      </w:pPr>
      <w:r>
        <w:t>N</w:t>
      </w:r>
      <w:r w:rsidRPr="00E06A54">
        <w:t>sanzimana</w:t>
      </w:r>
      <w:r>
        <w:t xml:space="preserve"> S, </w:t>
      </w:r>
      <w:r w:rsidRPr="00E06A54">
        <w:t>Kanters</w:t>
      </w:r>
      <w:r>
        <w:t xml:space="preserve"> S</w:t>
      </w:r>
      <w:r w:rsidRPr="00E06A54">
        <w:t>, Remera</w:t>
      </w:r>
      <w:r>
        <w:t xml:space="preserve"> E</w:t>
      </w:r>
      <w:r w:rsidRPr="00E06A54">
        <w:t>, Forrest</w:t>
      </w:r>
      <w:r>
        <w:t xml:space="preserve"> JI</w:t>
      </w:r>
      <w:r w:rsidRPr="00E06A54">
        <w:t>, Binagwaho</w:t>
      </w:r>
      <w:r>
        <w:t xml:space="preserve"> A</w:t>
      </w:r>
      <w:r w:rsidRPr="00E06A54">
        <w:t>, Condo</w:t>
      </w:r>
      <w:r>
        <w:t xml:space="preserve"> J</w:t>
      </w:r>
      <w:r w:rsidRPr="00E06A54">
        <w:t>, Mills</w:t>
      </w:r>
      <w:r>
        <w:t xml:space="preserve"> EJ.  HIV care continuum in Rwanda: a cross-sectional analysis of the national programme.  </w:t>
      </w:r>
      <w:r w:rsidRPr="00E06A54">
        <w:t>Lancet HIV 2015; 2: e208–15</w:t>
      </w:r>
    </w:p>
    <w:p w:rsidR="00FB3394" w:rsidRDefault="00FB3394" w:rsidP="00FB3394">
      <w:pPr>
        <w:pStyle w:val="ListParagraph"/>
        <w:numPr>
          <w:ilvl w:val="0"/>
          <w:numId w:val="6"/>
        </w:numPr>
      </w:pPr>
      <w:r>
        <w:t xml:space="preserve">Kim AA , Mukui I, Young PW, Mirjahangir J, Mwanyumbad S, Wamicwe J, et al.  Undisclosed HIV infection and antiretroviral therapy use in the Kenya AIDS indicator survey 2012: relevance to national targets for HIV diagnosis and treatment.  </w:t>
      </w:r>
      <w:r w:rsidRPr="00C83339">
        <w:t>AIDS 2016, 30:2685–2695</w:t>
      </w:r>
      <w:r>
        <w:t>.</w:t>
      </w:r>
    </w:p>
    <w:p w:rsidR="00FB3394" w:rsidRPr="00447FD4" w:rsidRDefault="00FB3394" w:rsidP="00FB3394">
      <w:pPr>
        <w:pStyle w:val="ListParagraph"/>
        <w:numPr>
          <w:ilvl w:val="0"/>
          <w:numId w:val="6"/>
        </w:numPr>
        <w:spacing w:line="276" w:lineRule="auto"/>
      </w:pPr>
      <w:r>
        <w:t>Justman J, Reed JB, Bicego G, Donnell D, Li K, Bock N, Koler A, et al.  Swaziland HIV Incidence Measurement Survey (SHIMS): a prospective national cohort study.   Lancet HIV 2016 http://dx.doi.org/10.1016/S2352-3018(16)30190-4</w:t>
      </w:r>
    </w:p>
    <w:p w:rsidR="00FB3394" w:rsidRDefault="00FB3394" w:rsidP="00FB3394">
      <w:pPr>
        <w:pStyle w:val="ListParagraph"/>
        <w:numPr>
          <w:ilvl w:val="0"/>
          <w:numId w:val="6"/>
        </w:numPr>
      </w:pPr>
      <w:r>
        <w:t xml:space="preserve">Huerga H.  MSF.  </w:t>
      </w:r>
      <w:r w:rsidRPr="00F13118">
        <w:t>Mbongolwane and Eshowe HIV Impact in Population Survey</w:t>
      </w:r>
      <w:r>
        <w:t xml:space="preserve"> </w:t>
      </w:r>
      <w:hyperlink r:id="rId13" w:history="1">
        <w:r w:rsidRPr="008B1E4B">
          <w:rPr>
            <w:rStyle w:val="Hyperlink"/>
          </w:rPr>
          <w:t>http://www.epicentre.msf.org/en/mbongolwane-and-eshowe-hiv-impact-population-survey-0</w:t>
        </w:r>
      </w:hyperlink>
    </w:p>
    <w:p w:rsidR="00FB3394" w:rsidRDefault="00FB3394" w:rsidP="00FB3394">
      <w:pPr>
        <w:pStyle w:val="ListParagraph"/>
        <w:numPr>
          <w:ilvl w:val="0"/>
          <w:numId w:val="6"/>
        </w:numPr>
      </w:pPr>
      <w:r w:rsidRPr="00773D61">
        <w:t xml:space="preserve">Zimbabwe Global AIDS Response Progress Report.  </w:t>
      </w:r>
    </w:p>
    <w:p w:rsidR="00FB3394" w:rsidRDefault="00FB3394" w:rsidP="00FB3394">
      <w:pPr>
        <w:pStyle w:val="ListParagraph"/>
        <w:numPr>
          <w:ilvl w:val="0"/>
          <w:numId w:val="6"/>
        </w:numPr>
      </w:pPr>
      <w:r w:rsidRPr="00773D61">
        <w:t xml:space="preserve">Government of Malawi, Integrated HIV Programme Report.  </w:t>
      </w:r>
    </w:p>
    <w:p w:rsidR="00FB3394" w:rsidRDefault="00FB3394" w:rsidP="00FB3394">
      <w:pPr>
        <w:pStyle w:val="ListParagraph"/>
        <w:numPr>
          <w:ilvl w:val="0"/>
          <w:numId w:val="6"/>
        </w:numPr>
      </w:pPr>
      <w:r>
        <w:t xml:space="preserve">Bogart LM, Wagner GJ, Musoke W, Naigino R, Linnemayr S, Maistrellis E, et al.   A Comparison of Home-Based Versus Outreach Event-Based Community HIV Testing in Ugandan Fisherfolk Communities.  </w:t>
      </w:r>
      <w:r w:rsidRPr="0014033F">
        <w:t>AIDS Behav (2017) 21:547–560</w:t>
      </w:r>
      <w:r>
        <w:t xml:space="preserve"> </w:t>
      </w:r>
      <w:r w:rsidRPr="0014033F">
        <w:t>DOI 10.1007/s10461-016-1629-x</w:t>
      </w:r>
      <w:r>
        <w:t>.</w:t>
      </w:r>
    </w:p>
    <w:p w:rsidR="00FB3394" w:rsidRDefault="00FB3394" w:rsidP="00FB3394">
      <w:pPr>
        <w:pStyle w:val="ListParagraph"/>
        <w:numPr>
          <w:ilvl w:val="0"/>
          <w:numId w:val="6"/>
        </w:numPr>
      </w:pPr>
      <w:r>
        <w:t>Rutstein SE, Brown LB, Biddle AK,  Wheeler SB, Kamanga G, Mmodziet P, et al.   Cost-effectiveness of provider-based HIV partner notification in urban Malawi  HEALTH POLICY AND PLANNING  Volume: 29   Issue: 1   Pages: 115-126   Published: JAN 2014</w:t>
      </w:r>
    </w:p>
    <w:p w:rsidR="00B11481" w:rsidRDefault="00B11481" w:rsidP="00B11481">
      <w:pPr>
        <w:pStyle w:val="ListParagraph"/>
        <w:numPr>
          <w:ilvl w:val="0"/>
          <w:numId w:val="6"/>
        </w:numPr>
      </w:pPr>
      <w:r w:rsidRPr="0007104D">
        <w:lastRenderedPageBreak/>
        <w:t>Grabbe</w:t>
      </w:r>
      <w:r>
        <w:t xml:space="preserve"> KL</w:t>
      </w:r>
      <w:r w:rsidRPr="0007104D">
        <w:t>,</w:t>
      </w:r>
      <w:r>
        <w:t xml:space="preserve"> </w:t>
      </w:r>
      <w:r w:rsidRPr="0007104D">
        <w:t>Menzies</w:t>
      </w:r>
      <w:r>
        <w:t xml:space="preserve"> N</w:t>
      </w:r>
      <w:r w:rsidRPr="0007104D">
        <w:t xml:space="preserve">, </w:t>
      </w:r>
      <w:r>
        <w:t xml:space="preserve">Taegtmeyer M, </w:t>
      </w:r>
      <w:r w:rsidRPr="0007104D">
        <w:t>Emukule</w:t>
      </w:r>
      <w:r>
        <w:t xml:space="preserve"> G</w:t>
      </w:r>
      <w:r w:rsidRPr="0007104D">
        <w:t>,</w:t>
      </w:r>
      <w:r>
        <w:t xml:space="preserve"> </w:t>
      </w:r>
      <w:r w:rsidRPr="0007104D">
        <w:t>Angala</w:t>
      </w:r>
      <w:r>
        <w:t xml:space="preserve"> P</w:t>
      </w:r>
      <w:r w:rsidRPr="0007104D">
        <w:t>,</w:t>
      </w:r>
      <w:r>
        <w:t xml:space="preserve"> </w:t>
      </w:r>
      <w:r w:rsidRPr="0007104D">
        <w:t>Mwega</w:t>
      </w:r>
      <w:r>
        <w:t xml:space="preserve"> I, et al</w:t>
      </w:r>
      <w:r w:rsidRPr="0007104D">
        <w:t>.   Increasing Access to HIV Counseling and Testing</w:t>
      </w:r>
      <w:r>
        <w:t xml:space="preserve"> </w:t>
      </w:r>
      <w:r w:rsidRPr="0007104D">
        <w:t>Through Mobile Services in Kenya: Strategies,</w:t>
      </w:r>
      <w:r>
        <w:t xml:space="preserve"> </w:t>
      </w:r>
      <w:r w:rsidRPr="0007104D">
        <w:t>Utilization, and Cost-Effectiveness</w:t>
      </w:r>
      <w:r>
        <w:t xml:space="preserve"> </w:t>
      </w:r>
      <w:r w:rsidRPr="0007104D">
        <w:t>J Acquir Immune Defic Syndr 2010;54:317–323</w:t>
      </w:r>
    </w:p>
    <w:p w:rsidR="00B11481" w:rsidRDefault="00B11481" w:rsidP="00B11481">
      <w:pPr>
        <w:pStyle w:val="ListParagraph"/>
        <w:numPr>
          <w:ilvl w:val="0"/>
          <w:numId w:val="6"/>
        </w:numPr>
      </w:pPr>
      <w:r>
        <w:t>Maheswaran H, Petrou Stavros, MacPherson P, Choko</w:t>
      </w:r>
      <w:r w:rsidRPr="009F6BAE">
        <w:t xml:space="preserve"> AT</w:t>
      </w:r>
      <w:r>
        <w:t>, Kumwenda</w:t>
      </w:r>
      <w:r w:rsidRPr="009F6BAE">
        <w:t xml:space="preserve"> F</w:t>
      </w:r>
      <w:r>
        <w:t>, Lalloo</w:t>
      </w:r>
      <w:r w:rsidRPr="009F6BAE">
        <w:t xml:space="preserve"> DG </w:t>
      </w:r>
      <w:r>
        <w:t xml:space="preserve">et al.  Cost and quality of life analysis of HIV self-testing and facility-based HIV testing and counselling in Blantyre, Malawi.   BMC MEDICINE  2016; 14.  </w:t>
      </w:r>
      <w:r w:rsidRPr="009F6BAE">
        <w:t>DOI: 10.1186/s12916-016-0577-7</w:t>
      </w:r>
    </w:p>
    <w:p w:rsidR="00FB3394" w:rsidRDefault="00FB3394" w:rsidP="00FB3394">
      <w:pPr>
        <w:pStyle w:val="ListParagraph"/>
        <w:numPr>
          <w:ilvl w:val="0"/>
          <w:numId w:val="6"/>
        </w:numPr>
      </w:pPr>
      <w:r>
        <w:t xml:space="preserve">Maman D, Chilima B, Masiku C, Ayouba A, Masson S, Szumilin E, et al.  Closer to 90:90:90. The cascade of care after 10 years of ART scale-up in rural Malawi: a population study.  JIAS 2016  19:20673  </w:t>
      </w:r>
      <w:hyperlink r:id="rId14" w:history="1">
        <w:r w:rsidRPr="008B1E4B">
          <w:rPr>
            <w:rStyle w:val="Hyperlink"/>
          </w:rPr>
          <w:t>http://dx.doi.org/10.7448/IAS.19.1.20673</w:t>
        </w:r>
      </w:hyperlink>
    </w:p>
    <w:p w:rsidR="008B2551" w:rsidRDefault="00FB3394" w:rsidP="008B2551">
      <w:pPr>
        <w:pStyle w:val="ListParagraph"/>
        <w:numPr>
          <w:ilvl w:val="0"/>
          <w:numId w:val="6"/>
        </w:numPr>
      </w:pPr>
      <w:r w:rsidRPr="00D838B7">
        <w:t>Gaolathe</w:t>
      </w:r>
      <w:r>
        <w:t xml:space="preserve"> T</w:t>
      </w:r>
      <w:r w:rsidRPr="00D838B7">
        <w:t>, Wirth</w:t>
      </w:r>
      <w:r>
        <w:t xml:space="preserve"> KE</w:t>
      </w:r>
      <w:r w:rsidRPr="00D838B7">
        <w:t>, Pretorius Holme</w:t>
      </w:r>
      <w:r>
        <w:t xml:space="preserve"> M</w:t>
      </w:r>
      <w:r w:rsidRPr="00D838B7">
        <w:t>, Makhema</w:t>
      </w:r>
      <w:r>
        <w:t xml:space="preserve"> J</w:t>
      </w:r>
      <w:r w:rsidRPr="00D838B7">
        <w:t xml:space="preserve">, </w:t>
      </w:r>
      <w:r>
        <w:t>M</w:t>
      </w:r>
      <w:r w:rsidRPr="00D838B7">
        <w:t>oyo</w:t>
      </w:r>
      <w:r>
        <w:t xml:space="preserve"> S</w:t>
      </w:r>
      <w:r w:rsidRPr="00D838B7">
        <w:t>, Chakalisa</w:t>
      </w:r>
      <w:r>
        <w:t xml:space="preserve"> U et al.  Botswana’s progress toward achieving the 2020 UNAIDS 90-90-90 antiretroviral therapy and virological suppression goals: a population-based survey.  </w:t>
      </w:r>
      <w:r w:rsidRPr="00D838B7">
        <w:t>Lancet HIV 2016; 3: e221–30</w:t>
      </w:r>
      <w:r w:rsidR="008B2551">
        <w:br w:type="page"/>
      </w:r>
    </w:p>
    <w:p w:rsidR="00FB3394" w:rsidRPr="008B2551" w:rsidRDefault="00FB3394" w:rsidP="008B2551">
      <w:pPr>
        <w:spacing w:after="0"/>
        <w:rPr>
          <w:b/>
          <w:color w:val="A50021"/>
        </w:rPr>
      </w:pPr>
      <w:r w:rsidRPr="008B2551">
        <w:rPr>
          <w:b/>
          <w:color w:val="A50021"/>
        </w:rPr>
        <w:lastRenderedPageBreak/>
        <w:br w:type="page"/>
      </w:r>
    </w:p>
    <w:p w:rsidR="00F90B4D" w:rsidRPr="00E467ED" w:rsidRDefault="00FA4377" w:rsidP="009B7687">
      <w:pPr>
        <w:spacing w:after="0" w:line="240" w:lineRule="auto"/>
        <w:rPr>
          <w:sz w:val="20"/>
          <w:szCs w:val="20"/>
          <w:highlight w:val="lightGray"/>
        </w:rPr>
      </w:pPr>
      <w:r w:rsidRPr="000473F0">
        <w:rPr>
          <w:b/>
          <w:color w:val="A50021"/>
        </w:rPr>
        <w:lastRenderedPageBreak/>
        <w:t>Table 1.</w:t>
      </w:r>
      <w:r w:rsidRPr="00D25C1A">
        <w:rPr>
          <w:color w:val="A50021"/>
        </w:rPr>
        <w:t xml:space="preserve">  </w:t>
      </w:r>
      <w:r w:rsidR="009C7681" w:rsidRPr="00D25C1A">
        <w:rPr>
          <w:sz w:val="20"/>
          <w:szCs w:val="20"/>
        </w:rPr>
        <w:t>C</w:t>
      </w:r>
      <w:r w:rsidRPr="00D25C1A">
        <w:rPr>
          <w:sz w:val="20"/>
          <w:szCs w:val="20"/>
        </w:rPr>
        <w:t>haracteristics</w:t>
      </w:r>
      <w:r w:rsidRPr="00824921">
        <w:rPr>
          <w:sz w:val="20"/>
          <w:szCs w:val="20"/>
        </w:rPr>
        <w:t xml:space="preserve"> of </w:t>
      </w:r>
      <w:r w:rsidR="009C7681">
        <w:rPr>
          <w:sz w:val="20"/>
          <w:szCs w:val="20"/>
        </w:rPr>
        <w:t xml:space="preserve">the </w:t>
      </w:r>
      <w:r w:rsidR="00F91D37">
        <w:rPr>
          <w:sz w:val="20"/>
          <w:szCs w:val="20"/>
        </w:rPr>
        <w:t>1</w:t>
      </w:r>
      <w:r w:rsidR="005920F0">
        <w:rPr>
          <w:sz w:val="20"/>
          <w:szCs w:val="20"/>
        </w:rPr>
        <w:t xml:space="preserve">000 </w:t>
      </w:r>
      <w:r w:rsidR="00F22AA4" w:rsidRPr="00824921">
        <w:rPr>
          <w:sz w:val="20"/>
          <w:szCs w:val="20"/>
        </w:rPr>
        <w:t xml:space="preserve">HIV epidemic </w:t>
      </w:r>
      <w:r w:rsidR="009C7681">
        <w:rPr>
          <w:sz w:val="20"/>
          <w:szCs w:val="20"/>
        </w:rPr>
        <w:t xml:space="preserve">/ ART </w:t>
      </w:r>
      <w:r w:rsidR="00D424E0">
        <w:rPr>
          <w:sz w:val="20"/>
          <w:szCs w:val="20"/>
        </w:rPr>
        <w:t>programme</w:t>
      </w:r>
      <w:r w:rsidR="005920F0">
        <w:rPr>
          <w:sz w:val="20"/>
          <w:szCs w:val="20"/>
        </w:rPr>
        <w:t xml:space="preserve"> </w:t>
      </w:r>
      <w:r w:rsidR="00473F51">
        <w:rPr>
          <w:sz w:val="20"/>
          <w:szCs w:val="20"/>
        </w:rPr>
        <w:t>setting-scenario</w:t>
      </w:r>
      <w:r w:rsidR="009C7681">
        <w:rPr>
          <w:sz w:val="20"/>
          <w:szCs w:val="20"/>
        </w:rPr>
        <w:t xml:space="preserve">s in 2017  </w:t>
      </w:r>
      <w:r w:rsidR="000473F0">
        <w:rPr>
          <w:sz w:val="20"/>
          <w:szCs w:val="20"/>
        </w:rPr>
        <w:t>(median; 90% range</w:t>
      </w:r>
      <w:r w:rsidR="008C786E">
        <w:rPr>
          <w:sz w:val="20"/>
          <w:szCs w:val="20"/>
        </w:rPr>
        <w:t>, reflecting variability across setting</w:t>
      </w:r>
      <w:r w:rsidR="002B5FC5">
        <w:rPr>
          <w:sz w:val="20"/>
          <w:szCs w:val="20"/>
        </w:rPr>
        <w:t>-</w:t>
      </w:r>
      <w:r w:rsidR="008C786E">
        <w:rPr>
          <w:sz w:val="20"/>
          <w:szCs w:val="20"/>
        </w:rPr>
        <w:t>scenarios</w:t>
      </w:r>
      <w:r w:rsidR="00C44B2A" w:rsidRPr="00824921">
        <w:rPr>
          <w:sz w:val="20"/>
          <w:szCs w:val="20"/>
        </w:rPr>
        <w:t>)</w:t>
      </w:r>
      <w:r w:rsidR="00833514">
        <w:rPr>
          <w:sz w:val="20"/>
          <w:szCs w:val="20"/>
        </w:rPr>
        <w:t xml:space="preserve">, </w:t>
      </w:r>
      <w:r w:rsidR="00833514" w:rsidRPr="00E467ED">
        <w:rPr>
          <w:sz w:val="20"/>
          <w:szCs w:val="20"/>
        </w:rPr>
        <w:t>in context of country the size of Malawi (adult population age 15-65 app</w:t>
      </w:r>
      <w:r w:rsidR="000473F0" w:rsidRPr="00E467ED">
        <w:rPr>
          <w:sz w:val="20"/>
          <w:szCs w:val="20"/>
        </w:rPr>
        <w:t>r</w:t>
      </w:r>
      <w:r w:rsidR="00833514" w:rsidRPr="00E467ED">
        <w:rPr>
          <w:sz w:val="20"/>
          <w:szCs w:val="20"/>
        </w:rPr>
        <w:t>ox</w:t>
      </w:r>
      <w:r w:rsidR="000473F0" w:rsidRPr="00E467ED">
        <w:rPr>
          <w:sz w:val="20"/>
          <w:szCs w:val="20"/>
        </w:rPr>
        <w:t>.</w:t>
      </w:r>
      <w:r w:rsidR="00833514" w:rsidRPr="00E467ED">
        <w:rPr>
          <w:sz w:val="20"/>
          <w:szCs w:val="20"/>
        </w:rPr>
        <w:t xml:space="preserve"> 10 million)</w:t>
      </w:r>
      <w:r w:rsidRPr="00E467ED">
        <w:rPr>
          <w:sz w:val="20"/>
          <w:szCs w:val="20"/>
        </w:rPr>
        <w:t>.</w:t>
      </w:r>
      <w:r w:rsidR="0097452E" w:rsidRPr="00E467ED">
        <w:rPr>
          <w:sz w:val="20"/>
          <w:szCs w:val="20"/>
        </w:rPr>
        <w:t xml:space="preserve">  </w:t>
      </w:r>
    </w:p>
    <w:p w:rsidR="00C17E22" w:rsidRPr="00E467ED" w:rsidRDefault="00A26392" w:rsidP="009B7687">
      <w:pPr>
        <w:spacing w:after="0" w:line="240" w:lineRule="auto"/>
        <w:rPr>
          <w:sz w:val="18"/>
          <w:szCs w:val="18"/>
        </w:rPr>
      </w:pPr>
      <w:r w:rsidRPr="00E467ED">
        <w:rPr>
          <w:sz w:val="18"/>
          <w:szCs w:val="18"/>
        </w:rPr>
        <w:tab/>
      </w:r>
      <w:r w:rsidR="00C17E22" w:rsidRPr="00E467ED">
        <w:rPr>
          <w:sz w:val="18"/>
          <w:szCs w:val="18"/>
        </w:rPr>
        <w:tab/>
      </w:r>
    </w:p>
    <w:tbl>
      <w:tblPr>
        <w:tblStyle w:val="TableGrid"/>
        <w:tblW w:w="96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3260"/>
        <w:gridCol w:w="3402"/>
      </w:tblGrid>
      <w:tr w:rsidR="00E467ED" w:rsidRPr="00E467ED" w:rsidTr="00833514">
        <w:trPr>
          <w:trHeight w:val="846"/>
        </w:trPr>
        <w:tc>
          <w:tcPr>
            <w:tcW w:w="2977" w:type="dxa"/>
          </w:tcPr>
          <w:p w:rsidR="00824921" w:rsidRPr="00E467ED" w:rsidRDefault="00824921" w:rsidP="009B7687">
            <w:pPr>
              <w:rPr>
                <w:sz w:val="18"/>
                <w:szCs w:val="18"/>
              </w:rPr>
            </w:pPr>
          </w:p>
        </w:tc>
        <w:tc>
          <w:tcPr>
            <w:tcW w:w="3260" w:type="dxa"/>
          </w:tcPr>
          <w:p w:rsidR="00824921" w:rsidRPr="00E467ED" w:rsidRDefault="00824921" w:rsidP="009B7687">
            <w:pPr>
              <w:rPr>
                <w:sz w:val="18"/>
                <w:szCs w:val="18"/>
              </w:rPr>
            </w:pPr>
          </w:p>
          <w:p w:rsidR="00824921" w:rsidRPr="00E467ED" w:rsidRDefault="00824921" w:rsidP="009B7687">
            <w:pPr>
              <w:rPr>
                <w:b/>
                <w:sz w:val="18"/>
                <w:szCs w:val="18"/>
              </w:rPr>
            </w:pPr>
            <w:r w:rsidRPr="00E467ED">
              <w:rPr>
                <w:b/>
                <w:sz w:val="18"/>
                <w:szCs w:val="18"/>
              </w:rPr>
              <w:t xml:space="preserve">Median (90% range) across </w:t>
            </w:r>
          </w:p>
          <w:p w:rsidR="00824921" w:rsidRPr="00E467ED" w:rsidRDefault="005425DB" w:rsidP="00672795">
            <w:pPr>
              <w:rPr>
                <w:b/>
                <w:sz w:val="18"/>
                <w:szCs w:val="18"/>
              </w:rPr>
            </w:pPr>
            <w:r w:rsidRPr="00E467ED">
              <w:rPr>
                <w:b/>
                <w:sz w:val="18"/>
                <w:szCs w:val="18"/>
              </w:rPr>
              <w:t>s</w:t>
            </w:r>
            <w:r w:rsidR="005F107C" w:rsidRPr="00E467ED">
              <w:rPr>
                <w:b/>
                <w:sz w:val="18"/>
                <w:szCs w:val="18"/>
              </w:rPr>
              <w:t>etting-s</w:t>
            </w:r>
            <w:r w:rsidR="00A01C0E" w:rsidRPr="00E467ED">
              <w:rPr>
                <w:b/>
                <w:sz w:val="18"/>
                <w:szCs w:val="18"/>
              </w:rPr>
              <w:t xml:space="preserve">cenarios (n = </w:t>
            </w:r>
            <w:r w:rsidR="00672795" w:rsidRPr="00E467ED">
              <w:rPr>
                <w:b/>
                <w:sz w:val="18"/>
                <w:szCs w:val="18"/>
              </w:rPr>
              <w:t>1</w:t>
            </w:r>
            <w:r w:rsidR="00824921" w:rsidRPr="00E467ED">
              <w:rPr>
                <w:b/>
                <w:sz w:val="18"/>
                <w:szCs w:val="18"/>
              </w:rPr>
              <w:t>000)</w:t>
            </w:r>
          </w:p>
        </w:tc>
        <w:tc>
          <w:tcPr>
            <w:tcW w:w="3402" w:type="dxa"/>
          </w:tcPr>
          <w:p w:rsidR="00824921" w:rsidRPr="00E467ED" w:rsidRDefault="00824921" w:rsidP="009B7687">
            <w:pPr>
              <w:rPr>
                <w:sz w:val="18"/>
                <w:szCs w:val="18"/>
              </w:rPr>
            </w:pPr>
          </w:p>
          <w:p w:rsidR="00824921" w:rsidRPr="00E467ED" w:rsidRDefault="004C1E44" w:rsidP="004C1E44">
            <w:pPr>
              <w:rPr>
                <w:b/>
                <w:sz w:val="18"/>
                <w:szCs w:val="18"/>
              </w:rPr>
            </w:pPr>
            <w:r w:rsidRPr="00E467ED">
              <w:rPr>
                <w:b/>
                <w:sz w:val="18"/>
                <w:szCs w:val="18"/>
              </w:rPr>
              <w:t>Examples of o</w:t>
            </w:r>
            <w:r w:rsidR="00824921" w:rsidRPr="00E467ED">
              <w:rPr>
                <w:b/>
                <w:sz w:val="18"/>
                <w:szCs w:val="18"/>
              </w:rPr>
              <w:t>bserved data</w:t>
            </w:r>
          </w:p>
        </w:tc>
      </w:tr>
      <w:tr w:rsidR="00E467ED" w:rsidRPr="00E467ED" w:rsidTr="00833514">
        <w:trPr>
          <w:trHeight w:val="660"/>
        </w:trPr>
        <w:tc>
          <w:tcPr>
            <w:tcW w:w="2977" w:type="dxa"/>
          </w:tcPr>
          <w:p w:rsidR="00824921" w:rsidRPr="00E467ED" w:rsidRDefault="00824921" w:rsidP="00833514">
            <w:pPr>
              <w:spacing w:before="120"/>
              <w:rPr>
                <w:sz w:val="18"/>
                <w:szCs w:val="18"/>
              </w:rPr>
            </w:pPr>
            <w:r w:rsidRPr="00E467ED">
              <w:rPr>
                <w:sz w:val="18"/>
                <w:szCs w:val="18"/>
              </w:rPr>
              <w:t>HIV prevalence</w:t>
            </w:r>
            <w:r w:rsidR="00833514" w:rsidRPr="00E467ED">
              <w:rPr>
                <w:sz w:val="18"/>
                <w:szCs w:val="18"/>
              </w:rPr>
              <w:t xml:space="preserve"> </w:t>
            </w:r>
            <w:r w:rsidRPr="00E467ED">
              <w:rPr>
                <w:sz w:val="18"/>
                <w:szCs w:val="18"/>
              </w:rPr>
              <w:t xml:space="preserve">(age 15-49)        </w:t>
            </w:r>
          </w:p>
        </w:tc>
        <w:tc>
          <w:tcPr>
            <w:tcW w:w="3260" w:type="dxa"/>
          </w:tcPr>
          <w:p w:rsidR="00824921" w:rsidRPr="00E467ED" w:rsidRDefault="00CC0A95" w:rsidP="00DA5429">
            <w:pPr>
              <w:spacing w:before="120"/>
              <w:rPr>
                <w:sz w:val="18"/>
                <w:szCs w:val="18"/>
              </w:rPr>
            </w:pPr>
            <w:r w:rsidRPr="00E467ED">
              <w:rPr>
                <w:sz w:val="18"/>
                <w:szCs w:val="18"/>
              </w:rPr>
              <w:t>8.</w:t>
            </w:r>
            <w:r w:rsidR="00555F51" w:rsidRPr="00E467ED">
              <w:rPr>
                <w:sz w:val="18"/>
                <w:szCs w:val="18"/>
              </w:rPr>
              <w:t>2</w:t>
            </w:r>
            <w:r w:rsidR="00F91D37" w:rsidRPr="00E467ED">
              <w:rPr>
                <w:sz w:val="18"/>
                <w:szCs w:val="18"/>
              </w:rPr>
              <w:t>% (4</w:t>
            </w:r>
            <w:r w:rsidRPr="00E467ED">
              <w:rPr>
                <w:sz w:val="18"/>
                <w:szCs w:val="18"/>
              </w:rPr>
              <w:t>.</w:t>
            </w:r>
            <w:r w:rsidR="00F91D37" w:rsidRPr="00E467ED">
              <w:rPr>
                <w:sz w:val="18"/>
                <w:szCs w:val="18"/>
              </w:rPr>
              <w:t>7% - 17</w:t>
            </w:r>
            <w:r w:rsidR="00F03CA9" w:rsidRPr="00E467ED">
              <w:rPr>
                <w:sz w:val="18"/>
                <w:szCs w:val="18"/>
              </w:rPr>
              <w:t>.</w:t>
            </w:r>
            <w:r w:rsidR="00555F51" w:rsidRPr="00E467ED">
              <w:rPr>
                <w:sz w:val="18"/>
                <w:szCs w:val="18"/>
              </w:rPr>
              <w:t>4</w:t>
            </w:r>
            <w:r w:rsidR="00824921" w:rsidRPr="00E467ED">
              <w:rPr>
                <w:sz w:val="18"/>
                <w:szCs w:val="18"/>
              </w:rPr>
              <w:t>%)</w:t>
            </w:r>
          </w:p>
          <w:p w:rsidR="00824921" w:rsidRPr="00E467ED" w:rsidRDefault="00824921" w:rsidP="00DA5429">
            <w:pPr>
              <w:rPr>
                <w:sz w:val="18"/>
                <w:szCs w:val="18"/>
                <w:highlight w:val="lightGray"/>
              </w:rPr>
            </w:pPr>
          </w:p>
        </w:tc>
        <w:tc>
          <w:tcPr>
            <w:tcW w:w="3402" w:type="dxa"/>
          </w:tcPr>
          <w:p w:rsidR="00824921" w:rsidRPr="00E467ED" w:rsidRDefault="00833514" w:rsidP="009B7687">
            <w:pPr>
              <w:rPr>
                <w:sz w:val="18"/>
                <w:szCs w:val="18"/>
              </w:rPr>
            </w:pPr>
            <w:r w:rsidRPr="00E467ED">
              <w:rPr>
                <w:sz w:val="18"/>
                <w:szCs w:val="18"/>
              </w:rPr>
              <w:t>Zimbabwe DHS (2015) 14%, Tanzania (2011) 5%, Uganda (2011) 9%, Lesotho (2014 )25%</w:t>
            </w:r>
            <w:r w:rsidR="00E72A14" w:rsidRPr="00E467ED">
              <w:rPr>
                <w:sz w:val="18"/>
                <w:szCs w:val="18"/>
              </w:rPr>
              <w:t xml:space="preserve"> </w:t>
            </w:r>
            <w:r w:rsidR="000820E0">
              <w:rPr>
                <w:sz w:val="18"/>
                <w:szCs w:val="18"/>
                <w:vertAlign w:val="superscript"/>
              </w:rPr>
              <w:t>22</w:t>
            </w:r>
            <w:r w:rsidRPr="00E467ED">
              <w:rPr>
                <w:sz w:val="18"/>
                <w:szCs w:val="18"/>
              </w:rPr>
              <w:t>.</w:t>
            </w:r>
          </w:p>
          <w:p w:rsidR="00833514" w:rsidRPr="00E467ED" w:rsidRDefault="00833514" w:rsidP="009B7687">
            <w:pPr>
              <w:rPr>
                <w:sz w:val="18"/>
                <w:szCs w:val="18"/>
              </w:rPr>
            </w:pPr>
          </w:p>
        </w:tc>
      </w:tr>
      <w:tr w:rsidR="00E467ED" w:rsidRPr="00E467ED" w:rsidTr="00E06A54">
        <w:trPr>
          <w:trHeight w:val="1673"/>
        </w:trPr>
        <w:tc>
          <w:tcPr>
            <w:tcW w:w="2977" w:type="dxa"/>
          </w:tcPr>
          <w:p w:rsidR="00E06A54" w:rsidRPr="00E467ED" w:rsidRDefault="00E06A54" w:rsidP="00E06A54">
            <w:pPr>
              <w:spacing w:before="120"/>
              <w:rPr>
                <w:sz w:val="18"/>
                <w:szCs w:val="18"/>
              </w:rPr>
            </w:pPr>
            <w:r w:rsidRPr="00E467ED">
              <w:rPr>
                <w:sz w:val="18"/>
                <w:szCs w:val="18"/>
              </w:rPr>
              <w:t xml:space="preserve">Relative </w:t>
            </w:r>
            <w:r w:rsidR="004D3046" w:rsidRPr="00E467ED">
              <w:rPr>
                <w:sz w:val="18"/>
                <w:szCs w:val="18"/>
              </w:rPr>
              <w:t>HIV prevalence by age and sex</w:t>
            </w:r>
            <w:r w:rsidRPr="00E467ED">
              <w:rPr>
                <w:sz w:val="18"/>
                <w:szCs w:val="18"/>
              </w:rPr>
              <w:t xml:space="preserve"> (relative to men age 25-34</w:t>
            </w:r>
            <w:r w:rsidR="004C2B55" w:rsidRPr="00E467ED">
              <w:rPr>
                <w:sz w:val="18"/>
                <w:szCs w:val="18"/>
              </w:rPr>
              <w:t>)</w:t>
            </w:r>
          </w:p>
          <w:p w:rsidR="00E06A54" w:rsidRPr="00E467ED" w:rsidRDefault="00E06A54" w:rsidP="00E06A54">
            <w:pPr>
              <w:rPr>
                <w:sz w:val="18"/>
                <w:szCs w:val="18"/>
              </w:rPr>
            </w:pPr>
            <w:r w:rsidRPr="00E467ED">
              <w:rPr>
                <w:sz w:val="18"/>
                <w:szCs w:val="18"/>
              </w:rPr>
              <w:t xml:space="preserve">                       15-24     </w:t>
            </w:r>
          </w:p>
          <w:p w:rsidR="00E06A54" w:rsidRPr="00E467ED" w:rsidRDefault="00E06A54" w:rsidP="00E06A54">
            <w:pPr>
              <w:rPr>
                <w:sz w:val="18"/>
                <w:szCs w:val="18"/>
              </w:rPr>
            </w:pPr>
            <w:r w:rsidRPr="00E467ED">
              <w:rPr>
                <w:sz w:val="18"/>
                <w:szCs w:val="18"/>
              </w:rPr>
              <w:t xml:space="preserve">                       25-34</w:t>
            </w:r>
          </w:p>
          <w:p w:rsidR="00E06A54" w:rsidRPr="00E467ED" w:rsidRDefault="00E06A54" w:rsidP="00E06A54">
            <w:pPr>
              <w:rPr>
                <w:sz w:val="18"/>
                <w:szCs w:val="18"/>
              </w:rPr>
            </w:pPr>
            <w:r w:rsidRPr="00E467ED">
              <w:rPr>
                <w:sz w:val="18"/>
                <w:szCs w:val="18"/>
              </w:rPr>
              <w:t xml:space="preserve">                       35-44</w:t>
            </w:r>
          </w:p>
          <w:p w:rsidR="00E06A54" w:rsidRPr="00E467ED" w:rsidRDefault="00E06A54" w:rsidP="00E06A54">
            <w:pPr>
              <w:rPr>
                <w:sz w:val="18"/>
                <w:szCs w:val="18"/>
              </w:rPr>
            </w:pPr>
            <w:r w:rsidRPr="00E467ED">
              <w:rPr>
                <w:sz w:val="18"/>
                <w:szCs w:val="18"/>
              </w:rPr>
              <w:t xml:space="preserve">                       45-54</w:t>
            </w:r>
          </w:p>
          <w:p w:rsidR="00E06A54" w:rsidRPr="00E467ED" w:rsidRDefault="00E06A54" w:rsidP="00E06A54">
            <w:pPr>
              <w:rPr>
                <w:sz w:val="18"/>
                <w:szCs w:val="18"/>
              </w:rPr>
            </w:pPr>
            <w:r w:rsidRPr="00E467ED">
              <w:rPr>
                <w:sz w:val="18"/>
                <w:szCs w:val="18"/>
              </w:rPr>
              <w:t xml:space="preserve">                       55-64</w:t>
            </w:r>
          </w:p>
        </w:tc>
        <w:tc>
          <w:tcPr>
            <w:tcW w:w="3260" w:type="dxa"/>
          </w:tcPr>
          <w:p w:rsidR="00E06A54" w:rsidRPr="00E467ED" w:rsidRDefault="00E06A54" w:rsidP="00E06A54">
            <w:pPr>
              <w:rPr>
                <w:sz w:val="18"/>
                <w:szCs w:val="18"/>
              </w:rPr>
            </w:pPr>
          </w:p>
          <w:p w:rsidR="00E06A54" w:rsidRPr="00E467ED" w:rsidRDefault="007B4A36" w:rsidP="00E06A54">
            <w:pPr>
              <w:spacing w:before="120"/>
              <w:rPr>
                <w:sz w:val="18"/>
                <w:szCs w:val="18"/>
              </w:rPr>
            </w:pPr>
            <w:r w:rsidRPr="00E467ED">
              <w:rPr>
                <w:sz w:val="18"/>
                <w:szCs w:val="18"/>
              </w:rPr>
              <w:t>Women</w:t>
            </w:r>
            <w:r w:rsidR="00E06A54" w:rsidRPr="00E467ED">
              <w:rPr>
                <w:sz w:val="18"/>
                <w:szCs w:val="18"/>
              </w:rPr>
              <w:t xml:space="preserve">                  </w:t>
            </w:r>
            <w:r w:rsidR="00BA3B6F" w:rsidRPr="00E467ED">
              <w:rPr>
                <w:sz w:val="18"/>
                <w:szCs w:val="18"/>
              </w:rPr>
              <w:t xml:space="preserve">  </w:t>
            </w:r>
            <w:r w:rsidR="00E06A54" w:rsidRPr="00E467ED">
              <w:rPr>
                <w:sz w:val="18"/>
                <w:szCs w:val="18"/>
              </w:rPr>
              <w:t xml:space="preserve"> Men</w:t>
            </w:r>
          </w:p>
          <w:p w:rsidR="00E06A54" w:rsidRPr="00E467ED" w:rsidRDefault="00F91D37" w:rsidP="00E06A54">
            <w:pPr>
              <w:rPr>
                <w:sz w:val="18"/>
                <w:szCs w:val="18"/>
              </w:rPr>
            </w:pPr>
            <w:r w:rsidRPr="00E467ED">
              <w:rPr>
                <w:sz w:val="18"/>
                <w:szCs w:val="18"/>
              </w:rPr>
              <w:t>0.52</w:t>
            </w:r>
            <w:r w:rsidR="00E06A54" w:rsidRPr="00E467ED">
              <w:rPr>
                <w:sz w:val="18"/>
                <w:szCs w:val="18"/>
              </w:rPr>
              <w:t xml:space="preserve">  (</w:t>
            </w:r>
            <w:r w:rsidR="00555F51" w:rsidRPr="00E467ED">
              <w:rPr>
                <w:sz w:val="18"/>
                <w:szCs w:val="18"/>
              </w:rPr>
              <w:t>0.28</w:t>
            </w:r>
            <w:r w:rsidR="00BA3B6F" w:rsidRPr="00E467ED">
              <w:rPr>
                <w:sz w:val="18"/>
                <w:szCs w:val="18"/>
              </w:rPr>
              <w:t xml:space="preserve"> – 0</w:t>
            </w:r>
            <w:r w:rsidR="00E06A54" w:rsidRPr="00E467ED">
              <w:rPr>
                <w:sz w:val="18"/>
                <w:szCs w:val="18"/>
              </w:rPr>
              <w:t>.</w:t>
            </w:r>
            <w:r w:rsidRPr="00E467ED">
              <w:rPr>
                <w:sz w:val="18"/>
                <w:szCs w:val="18"/>
              </w:rPr>
              <w:t>77</w:t>
            </w:r>
            <w:r w:rsidR="00E06A54" w:rsidRPr="00E467ED">
              <w:rPr>
                <w:sz w:val="18"/>
                <w:szCs w:val="18"/>
              </w:rPr>
              <w:t xml:space="preserve">)    </w:t>
            </w:r>
            <w:r w:rsidRPr="00E467ED">
              <w:rPr>
                <w:sz w:val="18"/>
                <w:szCs w:val="18"/>
              </w:rPr>
              <w:t>0.22</w:t>
            </w:r>
            <w:r w:rsidR="00E06A54" w:rsidRPr="00E467ED">
              <w:rPr>
                <w:sz w:val="18"/>
                <w:szCs w:val="18"/>
              </w:rPr>
              <w:t xml:space="preserve"> (</w:t>
            </w:r>
            <w:r w:rsidRPr="00E467ED">
              <w:rPr>
                <w:sz w:val="18"/>
                <w:szCs w:val="18"/>
              </w:rPr>
              <w:t>0.12</w:t>
            </w:r>
            <w:r w:rsidR="00E06A54" w:rsidRPr="00E467ED">
              <w:rPr>
                <w:sz w:val="18"/>
                <w:szCs w:val="18"/>
              </w:rPr>
              <w:t xml:space="preserve"> – </w:t>
            </w:r>
            <w:r w:rsidR="00BA3B6F" w:rsidRPr="00E467ED">
              <w:rPr>
                <w:sz w:val="18"/>
                <w:szCs w:val="18"/>
              </w:rPr>
              <w:t>0.</w:t>
            </w:r>
            <w:r w:rsidRPr="00E467ED">
              <w:rPr>
                <w:sz w:val="18"/>
                <w:szCs w:val="18"/>
              </w:rPr>
              <w:t>33</w:t>
            </w:r>
            <w:r w:rsidR="00E06A54" w:rsidRPr="00E467ED">
              <w:rPr>
                <w:sz w:val="18"/>
                <w:szCs w:val="18"/>
              </w:rPr>
              <w:t>)</w:t>
            </w:r>
          </w:p>
          <w:p w:rsidR="00E06A54" w:rsidRPr="00E467ED" w:rsidRDefault="00F91D37" w:rsidP="00E06A54">
            <w:pPr>
              <w:rPr>
                <w:sz w:val="18"/>
                <w:szCs w:val="18"/>
              </w:rPr>
            </w:pPr>
            <w:r w:rsidRPr="00E467ED">
              <w:rPr>
                <w:sz w:val="18"/>
                <w:szCs w:val="18"/>
              </w:rPr>
              <w:t>1.8</w:t>
            </w:r>
            <w:r w:rsidR="00555F51" w:rsidRPr="00E467ED">
              <w:rPr>
                <w:sz w:val="18"/>
                <w:szCs w:val="18"/>
              </w:rPr>
              <w:t>8</w:t>
            </w:r>
            <w:r w:rsidR="00E06A54" w:rsidRPr="00E467ED">
              <w:rPr>
                <w:sz w:val="18"/>
                <w:szCs w:val="18"/>
              </w:rPr>
              <w:t xml:space="preserve"> (</w:t>
            </w:r>
            <w:r w:rsidR="00BA3B6F" w:rsidRPr="00E467ED">
              <w:rPr>
                <w:sz w:val="18"/>
                <w:szCs w:val="18"/>
              </w:rPr>
              <w:t>1.</w:t>
            </w:r>
            <w:r w:rsidR="00555F51" w:rsidRPr="00E467ED">
              <w:rPr>
                <w:sz w:val="18"/>
                <w:szCs w:val="18"/>
              </w:rPr>
              <w:t>56</w:t>
            </w:r>
            <w:r w:rsidR="00E06A54" w:rsidRPr="00E467ED">
              <w:rPr>
                <w:sz w:val="18"/>
                <w:szCs w:val="18"/>
              </w:rPr>
              <w:t xml:space="preserve"> – </w:t>
            </w:r>
            <w:r w:rsidRPr="00E467ED">
              <w:rPr>
                <w:sz w:val="18"/>
                <w:szCs w:val="18"/>
              </w:rPr>
              <w:t>2.38</w:t>
            </w:r>
            <w:r w:rsidR="00E06A54" w:rsidRPr="00E467ED">
              <w:rPr>
                <w:sz w:val="18"/>
                <w:szCs w:val="18"/>
              </w:rPr>
              <w:t xml:space="preserve">)    1.00 </w:t>
            </w:r>
          </w:p>
          <w:p w:rsidR="00E06A54" w:rsidRPr="00E467ED" w:rsidRDefault="00F91D37" w:rsidP="00E06A54">
            <w:pPr>
              <w:rPr>
                <w:sz w:val="18"/>
                <w:szCs w:val="18"/>
              </w:rPr>
            </w:pPr>
            <w:r w:rsidRPr="00E467ED">
              <w:rPr>
                <w:sz w:val="18"/>
                <w:szCs w:val="18"/>
              </w:rPr>
              <w:t>3.1</w:t>
            </w:r>
            <w:r w:rsidR="00555F51" w:rsidRPr="00E467ED">
              <w:rPr>
                <w:sz w:val="18"/>
                <w:szCs w:val="18"/>
              </w:rPr>
              <w:t>1</w:t>
            </w:r>
            <w:r w:rsidR="00E06A54" w:rsidRPr="00E467ED">
              <w:rPr>
                <w:sz w:val="18"/>
                <w:szCs w:val="18"/>
              </w:rPr>
              <w:t xml:space="preserve">  (</w:t>
            </w:r>
            <w:r w:rsidR="00617B4D" w:rsidRPr="00E467ED">
              <w:rPr>
                <w:sz w:val="18"/>
                <w:szCs w:val="18"/>
              </w:rPr>
              <w:t>2.</w:t>
            </w:r>
            <w:r w:rsidR="00555F51" w:rsidRPr="00E467ED">
              <w:rPr>
                <w:sz w:val="18"/>
                <w:szCs w:val="18"/>
              </w:rPr>
              <w:t>37</w:t>
            </w:r>
            <w:r w:rsidR="00E06A54" w:rsidRPr="00E467ED">
              <w:rPr>
                <w:sz w:val="18"/>
                <w:szCs w:val="18"/>
              </w:rPr>
              <w:t xml:space="preserve"> – </w:t>
            </w:r>
            <w:r w:rsidRPr="00E467ED">
              <w:rPr>
                <w:sz w:val="18"/>
                <w:szCs w:val="18"/>
              </w:rPr>
              <w:t>4.4</w:t>
            </w:r>
            <w:r w:rsidR="00555F51" w:rsidRPr="00E467ED">
              <w:rPr>
                <w:sz w:val="18"/>
                <w:szCs w:val="18"/>
              </w:rPr>
              <w:t>1</w:t>
            </w:r>
            <w:r w:rsidR="00E06A54" w:rsidRPr="00E467ED">
              <w:rPr>
                <w:sz w:val="18"/>
                <w:szCs w:val="18"/>
              </w:rPr>
              <w:t xml:space="preserve">)    </w:t>
            </w:r>
            <w:r w:rsidR="001978D6" w:rsidRPr="00E467ED">
              <w:rPr>
                <w:sz w:val="18"/>
                <w:szCs w:val="18"/>
              </w:rPr>
              <w:t>2.</w:t>
            </w:r>
            <w:r w:rsidRPr="00E467ED">
              <w:rPr>
                <w:sz w:val="18"/>
                <w:szCs w:val="18"/>
              </w:rPr>
              <w:t>1</w:t>
            </w:r>
            <w:r w:rsidR="00555F51" w:rsidRPr="00E467ED">
              <w:rPr>
                <w:sz w:val="18"/>
                <w:szCs w:val="18"/>
              </w:rPr>
              <w:t>5</w:t>
            </w:r>
            <w:r w:rsidR="00E06A54" w:rsidRPr="00E467ED">
              <w:rPr>
                <w:sz w:val="18"/>
                <w:szCs w:val="18"/>
              </w:rPr>
              <w:t xml:space="preserve"> (</w:t>
            </w:r>
            <w:r w:rsidR="001978D6" w:rsidRPr="00E467ED">
              <w:rPr>
                <w:sz w:val="18"/>
                <w:szCs w:val="18"/>
              </w:rPr>
              <w:t>1.6</w:t>
            </w:r>
            <w:r w:rsidR="00555F51" w:rsidRPr="00E467ED">
              <w:rPr>
                <w:sz w:val="18"/>
                <w:szCs w:val="18"/>
              </w:rPr>
              <w:t>7</w:t>
            </w:r>
            <w:r w:rsidR="001978D6" w:rsidRPr="00E467ED">
              <w:rPr>
                <w:sz w:val="18"/>
                <w:szCs w:val="18"/>
              </w:rPr>
              <w:t xml:space="preserve"> – </w:t>
            </w:r>
            <w:r w:rsidRPr="00E467ED">
              <w:rPr>
                <w:sz w:val="18"/>
                <w:szCs w:val="18"/>
              </w:rPr>
              <w:t>3.01</w:t>
            </w:r>
            <w:r w:rsidR="001978D6" w:rsidRPr="00E467ED">
              <w:rPr>
                <w:sz w:val="18"/>
                <w:szCs w:val="18"/>
              </w:rPr>
              <w:t>)</w:t>
            </w:r>
          </w:p>
          <w:p w:rsidR="00E06A54" w:rsidRPr="00E467ED" w:rsidRDefault="00F91D37" w:rsidP="00E06A54">
            <w:pPr>
              <w:rPr>
                <w:sz w:val="18"/>
                <w:szCs w:val="18"/>
              </w:rPr>
            </w:pPr>
            <w:r w:rsidRPr="00E467ED">
              <w:rPr>
                <w:sz w:val="18"/>
                <w:szCs w:val="18"/>
              </w:rPr>
              <w:t>2.6</w:t>
            </w:r>
            <w:r w:rsidR="00555F51" w:rsidRPr="00E467ED">
              <w:rPr>
                <w:sz w:val="18"/>
                <w:szCs w:val="18"/>
              </w:rPr>
              <w:t>2</w:t>
            </w:r>
            <w:r w:rsidR="00617B4D" w:rsidRPr="00E467ED">
              <w:rPr>
                <w:sz w:val="18"/>
                <w:szCs w:val="18"/>
              </w:rPr>
              <w:t xml:space="preserve">  (1</w:t>
            </w:r>
            <w:r w:rsidR="00BA3B6F" w:rsidRPr="00E467ED">
              <w:rPr>
                <w:sz w:val="18"/>
                <w:szCs w:val="18"/>
              </w:rPr>
              <w:t>.</w:t>
            </w:r>
            <w:r w:rsidRPr="00E467ED">
              <w:rPr>
                <w:sz w:val="18"/>
                <w:szCs w:val="18"/>
              </w:rPr>
              <w:t>8</w:t>
            </w:r>
            <w:r w:rsidR="00555F51" w:rsidRPr="00E467ED">
              <w:rPr>
                <w:sz w:val="18"/>
                <w:szCs w:val="18"/>
              </w:rPr>
              <w:t>5</w:t>
            </w:r>
            <w:r w:rsidR="00E06A54" w:rsidRPr="00E467ED">
              <w:rPr>
                <w:sz w:val="18"/>
                <w:szCs w:val="18"/>
              </w:rPr>
              <w:t xml:space="preserve"> – </w:t>
            </w:r>
            <w:r w:rsidRPr="00E467ED">
              <w:rPr>
                <w:sz w:val="18"/>
                <w:szCs w:val="18"/>
              </w:rPr>
              <w:t>4.</w:t>
            </w:r>
            <w:r w:rsidR="00555F51" w:rsidRPr="00E467ED">
              <w:rPr>
                <w:sz w:val="18"/>
                <w:szCs w:val="18"/>
              </w:rPr>
              <w:t>16</w:t>
            </w:r>
            <w:r w:rsidR="00E06A54" w:rsidRPr="00E467ED">
              <w:rPr>
                <w:sz w:val="18"/>
                <w:szCs w:val="18"/>
              </w:rPr>
              <w:t xml:space="preserve">)    </w:t>
            </w:r>
            <w:r w:rsidRPr="00E467ED">
              <w:rPr>
                <w:sz w:val="18"/>
                <w:szCs w:val="18"/>
              </w:rPr>
              <w:t>1.91</w:t>
            </w:r>
            <w:r w:rsidR="00E06A54" w:rsidRPr="00E467ED">
              <w:rPr>
                <w:sz w:val="18"/>
                <w:szCs w:val="18"/>
              </w:rPr>
              <w:t xml:space="preserve"> (</w:t>
            </w:r>
            <w:r w:rsidR="001978D6" w:rsidRPr="00E467ED">
              <w:rPr>
                <w:sz w:val="18"/>
                <w:szCs w:val="18"/>
              </w:rPr>
              <w:t>1.</w:t>
            </w:r>
            <w:r w:rsidRPr="00E467ED">
              <w:rPr>
                <w:sz w:val="18"/>
                <w:szCs w:val="18"/>
              </w:rPr>
              <w:t>37</w:t>
            </w:r>
            <w:r w:rsidR="00E06A54" w:rsidRPr="00E467ED">
              <w:rPr>
                <w:sz w:val="18"/>
                <w:szCs w:val="18"/>
              </w:rPr>
              <w:t xml:space="preserve"> – </w:t>
            </w:r>
            <w:r w:rsidRPr="00E467ED">
              <w:rPr>
                <w:sz w:val="18"/>
                <w:szCs w:val="18"/>
              </w:rPr>
              <w:t>2.</w:t>
            </w:r>
            <w:r w:rsidR="00555F51" w:rsidRPr="00E467ED">
              <w:rPr>
                <w:sz w:val="18"/>
                <w:szCs w:val="18"/>
              </w:rPr>
              <w:t>90</w:t>
            </w:r>
            <w:r w:rsidR="00E06A54" w:rsidRPr="00E467ED">
              <w:rPr>
                <w:sz w:val="18"/>
                <w:szCs w:val="18"/>
              </w:rPr>
              <w:t>)</w:t>
            </w:r>
          </w:p>
          <w:p w:rsidR="00E06A54" w:rsidRPr="00E467ED" w:rsidRDefault="00BA3B6F" w:rsidP="00555F51">
            <w:pPr>
              <w:rPr>
                <w:sz w:val="18"/>
                <w:szCs w:val="18"/>
              </w:rPr>
            </w:pPr>
            <w:r w:rsidRPr="00E467ED">
              <w:rPr>
                <w:sz w:val="18"/>
                <w:szCs w:val="18"/>
              </w:rPr>
              <w:t>1</w:t>
            </w:r>
            <w:r w:rsidR="00E06A54" w:rsidRPr="00E467ED">
              <w:rPr>
                <w:sz w:val="18"/>
                <w:szCs w:val="18"/>
              </w:rPr>
              <w:t>.</w:t>
            </w:r>
            <w:r w:rsidR="00F91D37" w:rsidRPr="00E467ED">
              <w:rPr>
                <w:sz w:val="18"/>
                <w:szCs w:val="18"/>
              </w:rPr>
              <w:t>1</w:t>
            </w:r>
            <w:r w:rsidR="00555F51" w:rsidRPr="00E467ED">
              <w:rPr>
                <w:sz w:val="18"/>
                <w:szCs w:val="18"/>
              </w:rPr>
              <w:t>2</w:t>
            </w:r>
            <w:r w:rsidR="00E06A54" w:rsidRPr="00E467ED">
              <w:rPr>
                <w:sz w:val="18"/>
                <w:szCs w:val="18"/>
              </w:rPr>
              <w:t xml:space="preserve">  (</w:t>
            </w:r>
            <w:r w:rsidR="00AA537F" w:rsidRPr="00E467ED">
              <w:rPr>
                <w:sz w:val="18"/>
                <w:szCs w:val="18"/>
              </w:rPr>
              <w:t>0.</w:t>
            </w:r>
            <w:r w:rsidR="00F91D37" w:rsidRPr="00E467ED">
              <w:rPr>
                <w:sz w:val="18"/>
                <w:szCs w:val="18"/>
              </w:rPr>
              <w:t>6</w:t>
            </w:r>
            <w:r w:rsidR="00555F51" w:rsidRPr="00E467ED">
              <w:rPr>
                <w:sz w:val="18"/>
                <w:szCs w:val="18"/>
              </w:rPr>
              <w:t>9</w:t>
            </w:r>
            <w:r w:rsidRPr="00E467ED">
              <w:rPr>
                <w:sz w:val="18"/>
                <w:szCs w:val="18"/>
              </w:rPr>
              <w:t xml:space="preserve"> </w:t>
            </w:r>
            <w:r w:rsidR="00E06A54" w:rsidRPr="00E467ED">
              <w:rPr>
                <w:sz w:val="18"/>
                <w:szCs w:val="18"/>
              </w:rPr>
              <w:t xml:space="preserve">– </w:t>
            </w:r>
            <w:r w:rsidR="00F91D37" w:rsidRPr="00E467ED">
              <w:rPr>
                <w:sz w:val="18"/>
                <w:szCs w:val="18"/>
              </w:rPr>
              <w:t>1.</w:t>
            </w:r>
            <w:r w:rsidR="00555F51" w:rsidRPr="00E467ED">
              <w:rPr>
                <w:sz w:val="18"/>
                <w:szCs w:val="18"/>
              </w:rPr>
              <w:t>88</w:t>
            </w:r>
            <w:r w:rsidR="00E06A54" w:rsidRPr="00E467ED">
              <w:rPr>
                <w:sz w:val="18"/>
                <w:szCs w:val="18"/>
              </w:rPr>
              <w:t xml:space="preserve">)    </w:t>
            </w:r>
            <w:r w:rsidR="00AA537F" w:rsidRPr="00E467ED">
              <w:rPr>
                <w:sz w:val="18"/>
                <w:szCs w:val="18"/>
              </w:rPr>
              <w:t>1.</w:t>
            </w:r>
            <w:r w:rsidR="00555F51" w:rsidRPr="00E467ED">
              <w:rPr>
                <w:sz w:val="18"/>
                <w:szCs w:val="18"/>
              </w:rPr>
              <w:t>12</w:t>
            </w:r>
            <w:r w:rsidR="001978D6" w:rsidRPr="00E467ED">
              <w:rPr>
                <w:sz w:val="18"/>
                <w:szCs w:val="18"/>
              </w:rPr>
              <w:t xml:space="preserve"> (0</w:t>
            </w:r>
            <w:r w:rsidR="00E06A54" w:rsidRPr="00E467ED">
              <w:rPr>
                <w:sz w:val="18"/>
                <w:szCs w:val="18"/>
              </w:rPr>
              <w:t>.</w:t>
            </w:r>
            <w:r w:rsidR="00555F51" w:rsidRPr="00E467ED">
              <w:rPr>
                <w:sz w:val="18"/>
                <w:szCs w:val="18"/>
              </w:rPr>
              <w:t>73</w:t>
            </w:r>
            <w:r w:rsidR="00E06A54" w:rsidRPr="00E467ED">
              <w:rPr>
                <w:sz w:val="18"/>
                <w:szCs w:val="18"/>
              </w:rPr>
              <w:t xml:space="preserve"> – </w:t>
            </w:r>
            <w:r w:rsidR="00F91D37" w:rsidRPr="00E467ED">
              <w:rPr>
                <w:sz w:val="18"/>
                <w:szCs w:val="18"/>
              </w:rPr>
              <w:t>1.</w:t>
            </w:r>
            <w:r w:rsidR="00555F51" w:rsidRPr="00E467ED">
              <w:rPr>
                <w:sz w:val="18"/>
                <w:szCs w:val="18"/>
              </w:rPr>
              <w:t>69</w:t>
            </w:r>
            <w:r w:rsidR="00E06A54" w:rsidRPr="00E467ED">
              <w:rPr>
                <w:sz w:val="18"/>
                <w:szCs w:val="18"/>
              </w:rPr>
              <w:t>)</w:t>
            </w:r>
          </w:p>
        </w:tc>
        <w:tc>
          <w:tcPr>
            <w:tcW w:w="3402" w:type="dxa"/>
          </w:tcPr>
          <w:p w:rsidR="00E06A54" w:rsidRPr="00E467ED" w:rsidRDefault="00E06A54" w:rsidP="009B7687">
            <w:pPr>
              <w:rPr>
                <w:sz w:val="18"/>
                <w:szCs w:val="18"/>
              </w:rPr>
            </w:pPr>
          </w:p>
          <w:p w:rsidR="0098490B" w:rsidRPr="00E467ED" w:rsidRDefault="00650AE8" w:rsidP="009B7687">
            <w:pPr>
              <w:rPr>
                <w:sz w:val="18"/>
                <w:szCs w:val="18"/>
              </w:rPr>
            </w:pPr>
            <w:r w:rsidRPr="00E467ED">
              <w:rPr>
                <w:sz w:val="18"/>
                <w:szCs w:val="18"/>
              </w:rPr>
              <w:t xml:space="preserve">Zimbabwe DHS 2015 men </w:t>
            </w:r>
            <w:r w:rsidR="00150040" w:rsidRPr="00E467ED">
              <w:rPr>
                <w:sz w:val="18"/>
                <w:szCs w:val="18"/>
              </w:rPr>
              <w:t xml:space="preserve">age </w:t>
            </w:r>
            <w:r w:rsidRPr="00E467ED">
              <w:rPr>
                <w:sz w:val="18"/>
                <w:szCs w:val="18"/>
              </w:rPr>
              <w:t>15-24 0.29,</w:t>
            </w:r>
            <w:r w:rsidR="00150040" w:rsidRPr="00E467ED">
              <w:rPr>
                <w:sz w:val="18"/>
                <w:szCs w:val="18"/>
              </w:rPr>
              <w:t xml:space="preserve"> age 35-44 </w:t>
            </w:r>
            <w:r w:rsidRPr="00E467ED">
              <w:rPr>
                <w:sz w:val="18"/>
                <w:szCs w:val="18"/>
              </w:rPr>
              <w:t xml:space="preserve"> </w:t>
            </w:r>
            <w:r w:rsidR="00150040" w:rsidRPr="00E467ED">
              <w:rPr>
                <w:sz w:val="18"/>
                <w:szCs w:val="18"/>
              </w:rPr>
              <w:t>2.18, age 45-54 2.52; women age 15-24 0.69,</w:t>
            </w:r>
            <w:r w:rsidR="00E72A14" w:rsidRPr="00E467ED">
              <w:rPr>
                <w:sz w:val="18"/>
                <w:szCs w:val="18"/>
              </w:rPr>
              <w:t xml:space="preserve"> age 25-34 1.82, age 35-45 2.88 </w:t>
            </w:r>
            <w:r w:rsidR="000820E0">
              <w:rPr>
                <w:sz w:val="18"/>
                <w:szCs w:val="18"/>
                <w:vertAlign w:val="superscript"/>
              </w:rPr>
              <w:t>22</w:t>
            </w:r>
            <w:r w:rsidR="00E72A14" w:rsidRPr="00E467ED">
              <w:rPr>
                <w:sz w:val="18"/>
                <w:szCs w:val="18"/>
              </w:rPr>
              <w:t>.</w:t>
            </w:r>
            <w:r w:rsidR="00150040" w:rsidRPr="00E467ED">
              <w:rPr>
                <w:sz w:val="18"/>
                <w:szCs w:val="18"/>
              </w:rPr>
              <w:t xml:space="preserve"> </w:t>
            </w:r>
          </w:p>
        </w:tc>
      </w:tr>
      <w:tr w:rsidR="00E467ED" w:rsidRPr="00E467ED" w:rsidTr="00ED724A">
        <w:trPr>
          <w:trHeight w:val="1225"/>
        </w:trPr>
        <w:tc>
          <w:tcPr>
            <w:tcW w:w="2977" w:type="dxa"/>
          </w:tcPr>
          <w:p w:rsidR="00ED724A" w:rsidRPr="00E467ED" w:rsidRDefault="00833514" w:rsidP="00F622C6">
            <w:pPr>
              <w:spacing w:before="120"/>
              <w:rPr>
                <w:sz w:val="18"/>
                <w:szCs w:val="18"/>
              </w:rPr>
            </w:pPr>
            <w:r w:rsidRPr="00E467ED">
              <w:rPr>
                <w:sz w:val="18"/>
                <w:szCs w:val="18"/>
              </w:rPr>
              <w:t>Prevalence of undiagnosed HIV</w:t>
            </w:r>
            <w:r w:rsidR="00ED724A" w:rsidRPr="00E467ED">
              <w:rPr>
                <w:sz w:val="18"/>
                <w:szCs w:val="18"/>
              </w:rPr>
              <w:t xml:space="preserve">                  </w:t>
            </w:r>
          </w:p>
          <w:p w:rsidR="00ED724A" w:rsidRPr="00E467ED" w:rsidRDefault="00ED724A" w:rsidP="00ED724A">
            <w:pPr>
              <w:rPr>
                <w:sz w:val="18"/>
                <w:szCs w:val="18"/>
              </w:rPr>
            </w:pPr>
            <w:r w:rsidRPr="00E467ED">
              <w:rPr>
                <w:sz w:val="18"/>
                <w:szCs w:val="18"/>
              </w:rPr>
              <w:t xml:space="preserve">                      Overall</w:t>
            </w:r>
          </w:p>
          <w:p w:rsidR="00ED724A" w:rsidRPr="00E467ED" w:rsidRDefault="00ED724A" w:rsidP="00ED724A">
            <w:pPr>
              <w:rPr>
                <w:sz w:val="18"/>
                <w:szCs w:val="18"/>
              </w:rPr>
            </w:pPr>
            <w:r w:rsidRPr="00E467ED">
              <w:rPr>
                <w:sz w:val="18"/>
                <w:szCs w:val="18"/>
              </w:rPr>
              <w:t xml:space="preserve">                      Women</w:t>
            </w:r>
          </w:p>
          <w:p w:rsidR="00687084" w:rsidRPr="00E467ED" w:rsidRDefault="00ED724A" w:rsidP="00ED724A">
            <w:pPr>
              <w:rPr>
                <w:sz w:val="18"/>
                <w:szCs w:val="18"/>
              </w:rPr>
            </w:pPr>
            <w:r w:rsidRPr="00E467ED">
              <w:rPr>
                <w:sz w:val="18"/>
                <w:szCs w:val="18"/>
              </w:rPr>
              <w:t xml:space="preserve">                      Men</w:t>
            </w:r>
          </w:p>
        </w:tc>
        <w:tc>
          <w:tcPr>
            <w:tcW w:w="3260" w:type="dxa"/>
          </w:tcPr>
          <w:p w:rsidR="00ED724A" w:rsidRPr="00E467ED" w:rsidRDefault="00ED724A" w:rsidP="00ED724A">
            <w:pPr>
              <w:rPr>
                <w:sz w:val="18"/>
                <w:szCs w:val="18"/>
              </w:rPr>
            </w:pPr>
          </w:p>
          <w:p w:rsidR="00833514" w:rsidRPr="00E467ED" w:rsidRDefault="008400A7" w:rsidP="00325ADE">
            <w:pPr>
              <w:spacing w:before="120"/>
              <w:rPr>
                <w:sz w:val="18"/>
                <w:szCs w:val="18"/>
              </w:rPr>
            </w:pPr>
            <w:r w:rsidRPr="00E467ED">
              <w:rPr>
                <w:sz w:val="18"/>
                <w:szCs w:val="18"/>
              </w:rPr>
              <w:t>1.</w:t>
            </w:r>
            <w:r w:rsidR="007671D3" w:rsidRPr="00E467ED">
              <w:rPr>
                <w:sz w:val="18"/>
                <w:szCs w:val="18"/>
              </w:rPr>
              <w:t>5</w:t>
            </w:r>
            <w:r w:rsidRPr="00E467ED">
              <w:rPr>
                <w:sz w:val="18"/>
                <w:szCs w:val="18"/>
              </w:rPr>
              <w:t>% (0.</w:t>
            </w:r>
            <w:r w:rsidR="007671D3" w:rsidRPr="00E467ED">
              <w:rPr>
                <w:sz w:val="18"/>
                <w:szCs w:val="18"/>
              </w:rPr>
              <w:t>7</w:t>
            </w:r>
            <w:r w:rsidR="00CC0A95" w:rsidRPr="00E467ED">
              <w:rPr>
                <w:sz w:val="18"/>
                <w:szCs w:val="18"/>
              </w:rPr>
              <w:t>% - 3.</w:t>
            </w:r>
            <w:r w:rsidR="00384D11" w:rsidRPr="00E467ED">
              <w:rPr>
                <w:sz w:val="18"/>
                <w:szCs w:val="18"/>
              </w:rPr>
              <w:t>5</w:t>
            </w:r>
            <w:r w:rsidR="00833514" w:rsidRPr="00E467ED">
              <w:rPr>
                <w:sz w:val="18"/>
                <w:szCs w:val="18"/>
              </w:rPr>
              <w:t>%)</w:t>
            </w:r>
          </w:p>
          <w:p w:rsidR="00687084" w:rsidRPr="00E467ED" w:rsidRDefault="00384D11" w:rsidP="00ED724A">
            <w:pPr>
              <w:rPr>
                <w:sz w:val="18"/>
                <w:szCs w:val="18"/>
              </w:rPr>
            </w:pPr>
            <w:r w:rsidRPr="00E467ED">
              <w:rPr>
                <w:sz w:val="18"/>
                <w:szCs w:val="18"/>
              </w:rPr>
              <w:t>1.2% (0.5</w:t>
            </w:r>
            <w:r w:rsidR="00687084" w:rsidRPr="00E467ED">
              <w:rPr>
                <w:sz w:val="18"/>
                <w:szCs w:val="18"/>
              </w:rPr>
              <w:t>% - 2</w:t>
            </w:r>
            <w:r w:rsidRPr="00E467ED">
              <w:rPr>
                <w:sz w:val="18"/>
                <w:szCs w:val="18"/>
              </w:rPr>
              <w:t>.9</w:t>
            </w:r>
            <w:r w:rsidR="00687084" w:rsidRPr="00E467ED">
              <w:rPr>
                <w:sz w:val="18"/>
                <w:szCs w:val="18"/>
              </w:rPr>
              <w:t>%)</w:t>
            </w:r>
          </w:p>
          <w:p w:rsidR="00687084" w:rsidRPr="00E467ED" w:rsidRDefault="00384D11" w:rsidP="00ED724A">
            <w:pPr>
              <w:rPr>
                <w:sz w:val="18"/>
                <w:szCs w:val="18"/>
              </w:rPr>
            </w:pPr>
            <w:r w:rsidRPr="00E467ED">
              <w:rPr>
                <w:sz w:val="18"/>
                <w:szCs w:val="18"/>
              </w:rPr>
              <w:t>1.9% (0.8% - 4.3</w:t>
            </w:r>
            <w:r w:rsidR="00687084" w:rsidRPr="00E467ED">
              <w:rPr>
                <w:sz w:val="18"/>
                <w:szCs w:val="18"/>
              </w:rPr>
              <w:t>%)</w:t>
            </w:r>
          </w:p>
        </w:tc>
        <w:tc>
          <w:tcPr>
            <w:tcW w:w="3402" w:type="dxa"/>
          </w:tcPr>
          <w:p w:rsidR="00833514" w:rsidRPr="00E467ED" w:rsidRDefault="00B21123" w:rsidP="00E72A14">
            <w:pPr>
              <w:spacing w:before="120"/>
              <w:rPr>
                <w:sz w:val="18"/>
                <w:szCs w:val="18"/>
              </w:rPr>
            </w:pPr>
            <w:r w:rsidRPr="00E467ED">
              <w:rPr>
                <w:sz w:val="18"/>
                <w:szCs w:val="18"/>
              </w:rPr>
              <w:t>Malawi 2.9%,  Zimbabwe 3.8%, Zambia 4.0 (PHIA 20</w:t>
            </w:r>
            <w:r w:rsidR="00AA43A9" w:rsidRPr="00E467ED">
              <w:rPr>
                <w:sz w:val="18"/>
                <w:szCs w:val="18"/>
              </w:rPr>
              <w:t>1</w:t>
            </w:r>
            <w:r w:rsidRPr="00E467ED">
              <w:rPr>
                <w:sz w:val="18"/>
                <w:szCs w:val="18"/>
              </w:rPr>
              <w:t>6)</w:t>
            </w:r>
            <w:r w:rsidR="000820E0">
              <w:rPr>
                <w:sz w:val="18"/>
                <w:szCs w:val="18"/>
                <w:vertAlign w:val="superscript"/>
              </w:rPr>
              <w:t>23</w:t>
            </w:r>
            <w:r w:rsidRPr="00E467ED">
              <w:rPr>
                <w:sz w:val="18"/>
                <w:szCs w:val="18"/>
                <w:vertAlign w:val="superscript"/>
              </w:rPr>
              <w:t>.</w:t>
            </w:r>
            <w:r w:rsidRPr="00E467ED">
              <w:rPr>
                <w:sz w:val="18"/>
                <w:szCs w:val="18"/>
              </w:rPr>
              <w:t xml:space="preserve">  </w:t>
            </w:r>
            <w:r w:rsidR="00173E50" w:rsidRPr="00E467ED">
              <w:rPr>
                <w:sz w:val="18"/>
                <w:szCs w:val="18"/>
              </w:rPr>
              <w:t>Rwanda ~ 0.3%</w:t>
            </w:r>
            <w:r w:rsidRPr="00E467ED">
              <w:rPr>
                <w:sz w:val="18"/>
                <w:szCs w:val="18"/>
              </w:rPr>
              <w:t xml:space="preserve">  </w:t>
            </w:r>
            <w:r w:rsidR="00173E50" w:rsidRPr="00E467ED">
              <w:rPr>
                <w:sz w:val="18"/>
                <w:szCs w:val="18"/>
              </w:rPr>
              <w:t>(</w:t>
            </w:r>
            <w:r w:rsidR="00E06A54" w:rsidRPr="00E467ED">
              <w:rPr>
                <w:sz w:val="18"/>
                <w:szCs w:val="18"/>
              </w:rPr>
              <w:t>Nsanzimana</w:t>
            </w:r>
            <w:r w:rsidR="000820E0">
              <w:rPr>
                <w:sz w:val="18"/>
                <w:szCs w:val="18"/>
                <w:vertAlign w:val="superscript"/>
              </w:rPr>
              <w:t>24</w:t>
            </w:r>
            <w:r w:rsidR="00E06A54" w:rsidRPr="00E467ED">
              <w:rPr>
                <w:sz w:val="18"/>
                <w:szCs w:val="18"/>
              </w:rPr>
              <w:t>)</w:t>
            </w:r>
            <w:r w:rsidR="00F70965" w:rsidRPr="00E467ED">
              <w:rPr>
                <w:sz w:val="18"/>
                <w:szCs w:val="18"/>
              </w:rPr>
              <w:t xml:space="preserve">  </w:t>
            </w:r>
            <w:r w:rsidR="00E72A14" w:rsidRPr="00E467ED">
              <w:rPr>
                <w:sz w:val="18"/>
                <w:szCs w:val="18"/>
              </w:rPr>
              <w:t>(Survey estimates could be over-estimates due to undisclosed diagnosed HIV; Kim et al</w:t>
            </w:r>
            <w:r w:rsidR="000820E0">
              <w:rPr>
                <w:sz w:val="18"/>
                <w:szCs w:val="18"/>
                <w:vertAlign w:val="superscript"/>
              </w:rPr>
              <w:t>25</w:t>
            </w:r>
            <w:r w:rsidR="00E72A14" w:rsidRPr="00E467ED">
              <w:rPr>
                <w:sz w:val="18"/>
                <w:szCs w:val="18"/>
              </w:rPr>
              <w:t>)</w:t>
            </w:r>
          </w:p>
        </w:tc>
      </w:tr>
      <w:tr w:rsidR="00E467ED" w:rsidRPr="00E467ED" w:rsidTr="00ED724A">
        <w:trPr>
          <w:trHeight w:val="1225"/>
        </w:trPr>
        <w:tc>
          <w:tcPr>
            <w:tcW w:w="2977" w:type="dxa"/>
          </w:tcPr>
          <w:p w:rsidR="00495242" w:rsidRPr="00E467ED" w:rsidRDefault="00495242" w:rsidP="00495242">
            <w:pPr>
              <w:rPr>
                <w:sz w:val="18"/>
                <w:szCs w:val="18"/>
              </w:rPr>
            </w:pPr>
            <w:r w:rsidRPr="00E467ED">
              <w:rPr>
                <w:sz w:val="18"/>
                <w:szCs w:val="18"/>
              </w:rPr>
              <w:t>Time since infection amongst undiagnosed population</w:t>
            </w:r>
            <w:r w:rsidR="005A4D2C" w:rsidRPr="00E467ED">
              <w:rPr>
                <w:sz w:val="18"/>
                <w:szCs w:val="18"/>
              </w:rPr>
              <w:t xml:space="preserve"> </w:t>
            </w:r>
          </w:p>
          <w:p w:rsidR="00495242" w:rsidRPr="00E467ED" w:rsidRDefault="00495242" w:rsidP="00495242">
            <w:pPr>
              <w:rPr>
                <w:sz w:val="18"/>
                <w:szCs w:val="18"/>
              </w:rPr>
            </w:pPr>
            <w:r w:rsidRPr="00E467ED">
              <w:rPr>
                <w:sz w:val="18"/>
                <w:szCs w:val="18"/>
              </w:rPr>
              <w:t xml:space="preserve">                      Women</w:t>
            </w:r>
          </w:p>
          <w:p w:rsidR="00495242" w:rsidRPr="00E467ED" w:rsidRDefault="00495242" w:rsidP="00495242">
            <w:pPr>
              <w:rPr>
                <w:sz w:val="18"/>
                <w:szCs w:val="18"/>
              </w:rPr>
            </w:pPr>
            <w:r w:rsidRPr="00E467ED">
              <w:rPr>
                <w:sz w:val="18"/>
                <w:szCs w:val="18"/>
              </w:rPr>
              <w:t xml:space="preserve">                            &lt; 1 year</w:t>
            </w:r>
          </w:p>
          <w:p w:rsidR="00495242" w:rsidRPr="00E467ED" w:rsidRDefault="00495242" w:rsidP="00495242">
            <w:pPr>
              <w:rPr>
                <w:sz w:val="18"/>
                <w:szCs w:val="18"/>
              </w:rPr>
            </w:pPr>
            <w:r w:rsidRPr="00E467ED">
              <w:rPr>
                <w:sz w:val="18"/>
                <w:szCs w:val="18"/>
              </w:rPr>
              <w:t xml:space="preserve">                            1-5 years</w:t>
            </w:r>
          </w:p>
          <w:p w:rsidR="00495242" w:rsidRPr="00E467ED" w:rsidRDefault="00495242" w:rsidP="00495242">
            <w:pPr>
              <w:rPr>
                <w:sz w:val="18"/>
                <w:szCs w:val="18"/>
              </w:rPr>
            </w:pPr>
            <w:r w:rsidRPr="00E467ED">
              <w:rPr>
                <w:sz w:val="18"/>
                <w:szCs w:val="18"/>
              </w:rPr>
              <w:t xml:space="preserve">                            </w:t>
            </w:r>
            <w:r w:rsidRPr="00E467ED">
              <w:rPr>
                <w:sz w:val="18"/>
                <w:szCs w:val="18"/>
                <w:u w:val="single"/>
              </w:rPr>
              <w:t>&gt;</w:t>
            </w:r>
            <w:r w:rsidRPr="00E467ED">
              <w:rPr>
                <w:sz w:val="18"/>
                <w:szCs w:val="18"/>
              </w:rPr>
              <w:t xml:space="preserve"> 5 years</w:t>
            </w:r>
          </w:p>
          <w:p w:rsidR="00495242" w:rsidRPr="00E467ED" w:rsidRDefault="00495242" w:rsidP="00495242">
            <w:pPr>
              <w:rPr>
                <w:sz w:val="18"/>
                <w:szCs w:val="18"/>
              </w:rPr>
            </w:pPr>
            <w:r w:rsidRPr="00E467ED">
              <w:rPr>
                <w:sz w:val="18"/>
                <w:szCs w:val="18"/>
              </w:rPr>
              <w:t xml:space="preserve">                       Men</w:t>
            </w:r>
          </w:p>
          <w:p w:rsidR="00495242" w:rsidRPr="00E467ED" w:rsidRDefault="00495242" w:rsidP="00495242">
            <w:pPr>
              <w:rPr>
                <w:sz w:val="18"/>
                <w:szCs w:val="18"/>
              </w:rPr>
            </w:pPr>
            <w:r w:rsidRPr="00E467ED">
              <w:rPr>
                <w:sz w:val="18"/>
                <w:szCs w:val="18"/>
              </w:rPr>
              <w:t xml:space="preserve">                            &lt; 1 year</w:t>
            </w:r>
          </w:p>
          <w:p w:rsidR="00495242" w:rsidRPr="00E467ED" w:rsidRDefault="00495242" w:rsidP="00495242">
            <w:pPr>
              <w:rPr>
                <w:sz w:val="18"/>
                <w:szCs w:val="18"/>
              </w:rPr>
            </w:pPr>
            <w:r w:rsidRPr="00E467ED">
              <w:rPr>
                <w:sz w:val="18"/>
                <w:szCs w:val="18"/>
              </w:rPr>
              <w:t xml:space="preserve">                            1-5 years</w:t>
            </w:r>
          </w:p>
          <w:p w:rsidR="00495242" w:rsidRPr="00E467ED" w:rsidRDefault="00495242" w:rsidP="00495242">
            <w:pPr>
              <w:rPr>
                <w:sz w:val="18"/>
                <w:szCs w:val="18"/>
              </w:rPr>
            </w:pPr>
            <w:r w:rsidRPr="00E467ED">
              <w:rPr>
                <w:sz w:val="18"/>
                <w:szCs w:val="18"/>
              </w:rPr>
              <w:t xml:space="preserve">                            </w:t>
            </w:r>
            <w:r w:rsidRPr="00E467ED">
              <w:rPr>
                <w:sz w:val="18"/>
                <w:szCs w:val="18"/>
                <w:u w:val="single"/>
              </w:rPr>
              <w:t>&gt;</w:t>
            </w:r>
            <w:r w:rsidRPr="00E467ED">
              <w:rPr>
                <w:sz w:val="18"/>
                <w:szCs w:val="18"/>
              </w:rPr>
              <w:t xml:space="preserve"> 5 years</w:t>
            </w:r>
          </w:p>
          <w:p w:rsidR="00495242" w:rsidRPr="00E467ED" w:rsidRDefault="00495242" w:rsidP="00495242">
            <w:pPr>
              <w:rPr>
                <w:sz w:val="18"/>
                <w:szCs w:val="18"/>
              </w:rPr>
            </w:pPr>
          </w:p>
        </w:tc>
        <w:tc>
          <w:tcPr>
            <w:tcW w:w="3260" w:type="dxa"/>
          </w:tcPr>
          <w:p w:rsidR="00495242" w:rsidRPr="00E467ED" w:rsidRDefault="00495242" w:rsidP="00ED724A">
            <w:pPr>
              <w:rPr>
                <w:sz w:val="18"/>
                <w:szCs w:val="18"/>
              </w:rPr>
            </w:pPr>
          </w:p>
          <w:p w:rsidR="00495242" w:rsidRPr="00E467ED" w:rsidRDefault="00495242" w:rsidP="00ED724A">
            <w:pPr>
              <w:rPr>
                <w:sz w:val="18"/>
                <w:szCs w:val="18"/>
              </w:rPr>
            </w:pPr>
          </w:p>
          <w:p w:rsidR="00495242" w:rsidRPr="00E467ED" w:rsidRDefault="00495242" w:rsidP="00ED724A">
            <w:pPr>
              <w:rPr>
                <w:sz w:val="18"/>
                <w:szCs w:val="18"/>
              </w:rPr>
            </w:pPr>
          </w:p>
          <w:p w:rsidR="00495242" w:rsidRPr="00E467ED" w:rsidRDefault="00537063" w:rsidP="00ED724A">
            <w:pPr>
              <w:rPr>
                <w:sz w:val="18"/>
                <w:szCs w:val="18"/>
              </w:rPr>
            </w:pPr>
            <w:r w:rsidRPr="00E467ED">
              <w:rPr>
                <w:sz w:val="18"/>
                <w:szCs w:val="18"/>
              </w:rPr>
              <w:t>38</w:t>
            </w:r>
            <w:r w:rsidR="00495242" w:rsidRPr="00E467ED">
              <w:rPr>
                <w:sz w:val="18"/>
                <w:szCs w:val="18"/>
              </w:rPr>
              <w:t>%</w:t>
            </w:r>
            <w:r w:rsidR="005A4D2C" w:rsidRPr="00E467ED">
              <w:rPr>
                <w:sz w:val="18"/>
                <w:szCs w:val="18"/>
              </w:rPr>
              <w:t xml:space="preserve"> (2</w:t>
            </w:r>
            <w:r w:rsidRPr="00E467ED">
              <w:rPr>
                <w:sz w:val="18"/>
                <w:szCs w:val="18"/>
              </w:rPr>
              <w:t>5</w:t>
            </w:r>
            <w:r w:rsidR="005A4D2C" w:rsidRPr="00E467ED">
              <w:rPr>
                <w:sz w:val="18"/>
                <w:szCs w:val="18"/>
              </w:rPr>
              <w:t>% - 5</w:t>
            </w:r>
            <w:r w:rsidR="00384D11" w:rsidRPr="00E467ED">
              <w:rPr>
                <w:sz w:val="18"/>
                <w:szCs w:val="18"/>
              </w:rPr>
              <w:t>1</w:t>
            </w:r>
            <w:r w:rsidR="005A4D2C" w:rsidRPr="00E467ED">
              <w:rPr>
                <w:sz w:val="18"/>
                <w:szCs w:val="18"/>
              </w:rPr>
              <w:t>%)</w:t>
            </w:r>
          </w:p>
          <w:p w:rsidR="00495242" w:rsidRPr="00E467ED" w:rsidRDefault="00537063" w:rsidP="00ED724A">
            <w:pPr>
              <w:rPr>
                <w:sz w:val="18"/>
                <w:szCs w:val="18"/>
              </w:rPr>
            </w:pPr>
            <w:r w:rsidRPr="00E467ED">
              <w:rPr>
                <w:sz w:val="18"/>
                <w:szCs w:val="18"/>
              </w:rPr>
              <w:t>41</w:t>
            </w:r>
            <w:r w:rsidR="00495242" w:rsidRPr="00E467ED">
              <w:rPr>
                <w:sz w:val="18"/>
                <w:szCs w:val="18"/>
              </w:rPr>
              <w:t>%</w:t>
            </w:r>
            <w:r w:rsidR="00384D11" w:rsidRPr="00E467ED">
              <w:rPr>
                <w:sz w:val="18"/>
                <w:szCs w:val="18"/>
              </w:rPr>
              <w:t xml:space="preserve"> (32</w:t>
            </w:r>
            <w:r w:rsidRPr="00E467ED">
              <w:rPr>
                <w:sz w:val="18"/>
                <w:szCs w:val="18"/>
              </w:rPr>
              <w:t>% - 52</w:t>
            </w:r>
            <w:r w:rsidR="005A4D2C" w:rsidRPr="00E467ED">
              <w:rPr>
                <w:sz w:val="18"/>
                <w:szCs w:val="18"/>
              </w:rPr>
              <w:t>%)</w:t>
            </w:r>
          </w:p>
          <w:p w:rsidR="00495242" w:rsidRPr="00E467ED" w:rsidRDefault="005A4D2C" w:rsidP="00ED724A">
            <w:pPr>
              <w:rPr>
                <w:sz w:val="18"/>
                <w:szCs w:val="18"/>
              </w:rPr>
            </w:pPr>
            <w:r w:rsidRPr="00E467ED">
              <w:rPr>
                <w:sz w:val="18"/>
                <w:szCs w:val="18"/>
              </w:rPr>
              <w:t>2</w:t>
            </w:r>
            <w:r w:rsidR="00537063" w:rsidRPr="00E467ED">
              <w:rPr>
                <w:sz w:val="18"/>
                <w:szCs w:val="18"/>
              </w:rPr>
              <w:t>0</w:t>
            </w:r>
            <w:r w:rsidR="00495242" w:rsidRPr="00E467ED">
              <w:rPr>
                <w:sz w:val="18"/>
                <w:szCs w:val="18"/>
              </w:rPr>
              <w:t>%</w:t>
            </w:r>
            <w:r w:rsidRPr="00E467ED">
              <w:rPr>
                <w:sz w:val="18"/>
                <w:szCs w:val="18"/>
              </w:rPr>
              <w:t xml:space="preserve"> (1</w:t>
            </w:r>
            <w:r w:rsidR="00537063" w:rsidRPr="00E467ED">
              <w:rPr>
                <w:sz w:val="18"/>
                <w:szCs w:val="18"/>
              </w:rPr>
              <w:t>1</w:t>
            </w:r>
            <w:r w:rsidRPr="00E467ED">
              <w:rPr>
                <w:sz w:val="18"/>
                <w:szCs w:val="18"/>
              </w:rPr>
              <w:t>% - 3</w:t>
            </w:r>
            <w:r w:rsidR="00537063" w:rsidRPr="00E467ED">
              <w:rPr>
                <w:sz w:val="18"/>
                <w:szCs w:val="18"/>
              </w:rPr>
              <w:t>3</w:t>
            </w:r>
            <w:r w:rsidRPr="00E467ED">
              <w:rPr>
                <w:sz w:val="18"/>
                <w:szCs w:val="18"/>
              </w:rPr>
              <w:t>%)</w:t>
            </w:r>
          </w:p>
          <w:p w:rsidR="00495242" w:rsidRPr="00E467ED" w:rsidRDefault="00495242" w:rsidP="00ED724A">
            <w:pPr>
              <w:rPr>
                <w:sz w:val="18"/>
                <w:szCs w:val="18"/>
              </w:rPr>
            </w:pPr>
          </w:p>
          <w:p w:rsidR="00495242" w:rsidRPr="00E467ED" w:rsidRDefault="00495242" w:rsidP="00ED724A">
            <w:pPr>
              <w:rPr>
                <w:sz w:val="18"/>
                <w:szCs w:val="18"/>
              </w:rPr>
            </w:pPr>
            <w:r w:rsidRPr="00E467ED">
              <w:rPr>
                <w:sz w:val="18"/>
                <w:szCs w:val="18"/>
              </w:rPr>
              <w:t>24%</w:t>
            </w:r>
            <w:r w:rsidR="005A4D2C" w:rsidRPr="00E467ED">
              <w:rPr>
                <w:sz w:val="18"/>
                <w:szCs w:val="18"/>
              </w:rPr>
              <w:t xml:space="preserve"> (1</w:t>
            </w:r>
            <w:r w:rsidR="00384D11" w:rsidRPr="00E467ED">
              <w:rPr>
                <w:sz w:val="18"/>
                <w:szCs w:val="18"/>
              </w:rPr>
              <w:t>5</w:t>
            </w:r>
            <w:r w:rsidR="005A4D2C" w:rsidRPr="00E467ED">
              <w:rPr>
                <w:sz w:val="18"/>
                <w:szCs w:val="18"/>
              </w:rPr>
              <w:t>% - 3</w:t>
            </w:r>
            <w:r w:rsidR="00C25391" w:rsidRPr="00E467ED">
              <w:rPr>
                <w:sz w:val="18"/>
                <w:szCs w:val="18"/>
              </w:rPr>
              <w:t>4</w:t>
            </w:r>
            <w:r w:rsidR="005A4D2C" w:rsidRPr="00E467ED">
              <w:rPr>
                <w:sz w:val="18"/>
                <w:szCs w:val="18"/>
              </w:rPr>
              <w:t>%)</w:t>
            </w:r>
          </w:p>
          <w:p w:rsidR="00495242" w:rsidRPr="00E467ED" w:rsidRDefault="00C25391" w:rsidP="00ED724A">
            <w:pPr>
              <w:rPr>
                <w:sz w:val="18"/>
                <w:szCs w:val="18"/>
              </w:rPr>
            </w:pPr>
            <w:r w:rsidRPr="00E467ED">
              <w:rPr>
                <w:sz w:val="18"/>
                <w:szCs w:val="18"/>
              </w:rPr>
              <w:t>50</w:t>
            </w:r>
            <w:r w:rsidR="00495242" w:rsidRPr="00E467ED">
              <w:rPr>
                <w:sz w:val="18"/>
                <w:szCs w:val="18"/>
              </w:rPr>
              <w:t>%</w:t>
            </w:r>
            <w:r w:rsidRPr="00E467ED">
              <w:rPr>
                <w:sz w:val="18"/>
                <w:szCs w:val="18"/>
              </w:rPr>
              <w:t xml:space="preserve"> (41% - 57</w:t>
            </w:r>
            <w:r w:rsidR="005A4D2C" w:rsidRPr="00E467ED">
              <w:rPr>
                <w:sz w:val="18"/>
                <w:szCs w:val="18"/>
              </w:rPr>
              <w:t>%)</w:t>
            </w:r>
          </w:p>
          <w:p w:rsidR="00495242" w:rsidRPr="00E467ED" w:rsidRDefault="005A4D2C" w:rsidP="00C25391">
            <w:pPr>
              <w:rPr>
                <w:sz w:val="18"/>
                <w:szCs w:val="18"/>
              </w:rPr>
            </w:pPr>
            <w:r w:rsidRPr="00E467ED">
              <w:rPr>
                <w:sz w:val="18"/>
                <w:szCs w:val="18"/>
              </w:rPr>
              <w:t>2</w:t>
            </w:r>
            <w:r w:rsidR="00C25391" w:rsidRPr="00E467ED">
              <w:rPr>
                <w:sz w:val="18"/>
                <w:szCs w:val="18"/>
              </w:rPr>
              <w:t>6</w:t>
            </w:r>
            <w:r w:rsidR="00495242" w:rsidRPr="00E467ED">
              <w:rPr>
                <w:sz w:val="18"/>
                <w:szCs w:val="18"/>
              </w:rPr>
              <w:t>%</w:t>
            </w:r>
            <w:r w:rsidR="00C25391" w:rsidRPr="00E467ED">
              <w:rPr>
                <w:sz w:val="18"/>
                <w:szCs w:val="18"/>
              </w:rPr>
              <w:t xml:space="preserve"> (14</w:t>
            </w:r>
            <w:r w:rsidRPr="00E467ED">
              <w:rPr>
                <w:sz w:val="18"/>
                <w:szCs w:val="18"/>
              </w:rPr>
              <w:t>% - 4</w:t>
            </w:r>
            <w:r w:rsidR="00C25391" w:rsidRPr="00E467ED">
              <w:rPr>
                <w:sz w:val="18"/>
                <w:szCs w:val="18"/>
              </w:rPr>
              <w:t>0</w:t>
            </w:r>
            <w:r w:rsidRPr="00E467ED">
              <w:rPr>
                <w:sz w:val="18"/>
                <w:szCs w:val="18"/>
              </w:rPr>
              <w:t>%)</w:t>
            </w:r>
          </w:p>
        </w:tc>
        <w:tc>
          <w:tcPr>
            <w:tcW w:w="3402" w:type="dxa"/>
          </w:tcPr>
          <w:p w:rsidR="00495242" w:rsidRPr="00E467ED" w:rsidRDefault="005A4D2C" w:rsidP="00E72A14">
            <w:pPr>
              <w:spacing w:before="120"/>
              <w:rPr>
                <w:sz w:val="18"/>
                <w:szCs w:val="18"/>
              </w:rPr>
            </w:pPr>
            <w:r w:rsidRPr="00E467ED">
              <w:rPr>
                <w:sz w:val="18"/>
                <w:szCs w:val="18"/>
              </w:rPr>
              <w:t>No data known to be available</w:t>
            </w:r>
          </w:p>
        </w:tc>
      </w:tr>
      <w:tr w:rsidR="00E467ED" w:rsidRPr="00E467ED" w:rsidTr="00833514">
        <w:trPr>
          <w:trHeight w:val="544"/>
        </w:trPr>
        <w:tc>
          <w:tcPr>
            <w:tcW w:w="2977" w:type="dxa"/>
          </w:tcPr>
          <w:p w:rsidR="00824921" w:rsidRPr="00E467ED" w:rsidRDefault="00824921" w:rsidP="009B7687">
            <w:pPr>
              <w:spacing w:before="120"/>
              <w:rPr>
                <w:sz w:val="18"/>
                <w:szCs w:val="18"/>
              </w:rPr>
            </w:pPr>
            <w:r w:rsidRPr="00E467ED">
              <w:rPr>
                <w:sz w:val="18"/>
                <w:szCs w:val="18"/>
              </w:rPr>
              <w:t>HIV incidence (age 15-49) per 100 person years</w:t>
            </w:r>
          </w:p>
        </w:tc>
        <w:tc>
          <w:tcPr>
            <w:tcW w:w="3260" w:type="dxa"/>
          </w:tcPr>
          <w:p w:rsidR="00824921" w:rsidRPr="00E467ED" w:rsidRDefault="00824921" w:rsidP="0006506C">
            <w:pPr>
              <w:spacing w:before="120"/>
              <w:rPr>
                <w:sz w:val="18"/>
                <w:szCs w:val="18"/>
              </w:rPr>
            </w:pPr>
            <w:r w:rsidRPr="00E467ED">
              <w:rPr>
                <w:sz w:val="18"/>
                <w:szCs w:val="18"/>
              </w:rPr>
              <w:t>0.</w:t>
            </w:r>
            <w:r w:rsidR="00384D11" w:rsidRPr="00E467ED">
              <w:rPr>
                <w:sz w:val="18"/>
                <w:szCs w:val="18"/>
              </w:rPr>
              <w:t>64</w:t>
            </w:r>
            <w:r w:rsidR="00CC0A95" w:rsidRPr="00E467ED">
              <w:rPr>
                <w:sz w:val="18"/>
                <w:szCs w:val="18"/>
              </w:rPr>
              <w:t xml:space="preserve"> (0</w:t>
            </w:r>
            <w:r w:rsidR="00DB640B" w:rsidRPr="00E467ED">
              <w:rPr>
                <w:sz w:val="18"/>
                <w:szCs w:val="18"/>
              </w:rPr>
              <w:t>.25</w:t>
            </w:r>
            <w:r w:rsidRPr="00E467ED">
              <w:rPr>
                <w:sz w:val="18"/>
                <w:szCs w:val="18"/>
              </w:rPr>
              <w:t xml:space="preserve"> – 1.</w:t>
            </w:r>
            <w:r w:rsidR="00DB640B" w:rsidRPr="00E467ED">
              <w:rPr>
                <w:sz w:val="18"/>
                <w:szCs w:val="18"/>
              </w:rPr>
              <w:t>52</w:t>
            </w:r>
            <w:r w:rsidRPr="00E467ED">
              <w:rPr>
                <w:sz w:val="18"/>
                <w:szCs w:val="18"/>
              </w:rPr>
              <w:t>)</w:t>
            </w:r>
          </w:p>
          <w:p w:rsidR="00824921" w:rsidRPr="00E467ED" w:rsidRDefault="00824921" w:rsidP="0006506C">
            <w:pPr>
              <w:spacing w:before="120"/>
              <w:rPr>
                <w:sz w:val="18"/>
                <w:szCs w:val="18"/>
              </w:rPr>
            </w:pPr>
          </w:p>
        </w:tc>
        <w:tc>
          <w:tcPr>
            <w:tcW w:w="3402" w:type="dxa"/>
          </w:tcPr>
          <w:p w:rsidR="00824921" w:rsidRPr="00E467ED" w:rsidRDefault="00ED6BDF" w:rsidP="00773D61">
            <w:pPr>
              <w:rPr>
                <w:sz w:val="18"/>
                <w:szCs w:val="18"/>
              </w:rPr>
            </w:pPr>
            <w:r w:rsidRPr="00E467ED">
              <w:rPr>
                <w:sz w:val="18"/>
                <w:szCs w:val="18"/>
              </w:rPr>
              <w:t>MPHIA (0.37%), ZAMPHIA (0.66%), ZIMPHIA (0.45%)</w:t>
            </w:r>
            <w:r w:rsidR="000820E0">
              <w:rPr>
                <w:sz w:val="18"/>
                <w:szCs w:val="18"/>
                <w:vertAlign w:val="superscript"/>
              </w:rPr>
              <w:t>23</w:t>
            </w:r>
            <w:r w:rsidRPr="00E467ED">
              <w:rPr>
                <w:sz w:val="18"/>
                <w:szCs w:val="18"/>
              </w:rPr>
              <w:t xml:space="preserve">, </w:t>
            </w:r>
            <w:r w:rsidR="00F622C6" w:rsidRPr="00E467ED">
              <w:rPr>
                <w:sz w:val="18"/>
                <w:szCs w:val="18"/>
              </w:rPr>
              <w:t>Swaziland 2.4% (Justman</w:t>
            </w:r>
            <w:r w:rsidR="004F2601" w:rsidRPr="00E467ED">
              <w:rPr>
                <w:sz w:val="18"/>
                <w:szCs w:val="18"/>
                <w:vertAlign w:val="superscript"/>
              </w:rPr>
              <w:t>2</w:t>
            </w:r>
            <w:r w:rsidR="000820E0">
              <w:rPr>
                <w:sz w:val="18"/>
                <w:szCs w:val="18"/>
                <w:vertAlign w:val="superscript"/>
              </w:rPr>
              <w:t>6</w:t>
            </w:r>
            <w:r w:rsidR="00F622C6" w:rsidRPr="00E467ED">
              <w:rPr>
                <w:sz w:val="18"/>
                <w:szCs w:val="18"/>
              </w:rPr>
              <w:t>), Mbongolwane and Eshowe, KZN 1.2% (Huerga</w:t>
            </w:r>
            <w:r w:rsidR="004F2601" w:rsidRPr="00E467ED">
              <w:rPr>
                <w:sz w:val="18"/>
                <w:szCs w:val="18"/>
                <w:vertAlign w:val="superscript"/>
              </w:rPr>
              <w:t>2</w:t>
            </w:r>
            <w:r w:rsidR="000820E0">
              <w:rPr>
                <w:sz w:val="18"/>
                <w:szCs w:val="18"/>
                <w:vertAlign w:val="superscript"/>
              </w:rPr>
              <w:t>7</w:t>
            </w:r>
            <w:r w:rsidR="00F622C6" w:rsidRPr="00E467ED">
              <w:rPr>
                <w:sz w:val="18"/>
                <w:szCs w:val="18"/>
              </w:rPr>
              <w:t>)</w:t>
            </w:r>
          </w:p>
        </w:tc>
      </w:tr>
      <w:tr w:rsidR="00E467ED" w:rsidRPr="00E467ED" w:rsidTr="001F50C0">
        <w:trPr>
          <w:trHeight w:val="2941"/>
        </w:trPr>
        <w:tc>
          <w:tcPr>
            <w:tcW w:w="2977" w:type="dxa"/>
          </w:tcPr>
          <w:p w:rsidR="00824921" w:rsidRPr="00E467ED" w:rsidRDefault="00824921" w:rsidP="0010709A">
            <w:pPr>
              <w:spacing w:before="120"/>
              <w:rPr>
                <w:sz w:val="18"/>
                <w:szCs w:val="18"/>
              </w:rPr>
            </w:pPr>
            <w:r w:rsidRPr="00E467ED">
              <w:rPr>
                <w:sz w:val="18"/>
                <w:szCs w:val="18"/>
              </w:rPr>
              <w:t>Number of HIV tests in year</w:t>
            </w:r>
          </w:p>
          <w:p w:rsidR="00824921" w:rsidRPr="00E467ED" w:rsidRDefault="00824921" w:rsidP="0010709A">
            <w:pPr>
              <w:rPr>
                <w:sz w:val="18"/>
                <w:szCs w:val="18"/>
              </w:rPr>
            </w:pPr>
            <w:r w:rsidRPr="00E467ED">
              <w:rPr>
                <w:sz w:val="18"/>
                <w:szCs w:val="18"/>
              </w:rPr>
              <w:t xml:space="preserve">               All adults</w:t>
            </w:r>
            <w:r w:rsidR="0067234B" w:rsidRPr="00E467ED">
              <w:rPr>
                <w:sz w:val="18"/>
                <w:szCs w:val="18"/>
                <w:vertAlign w:val="superscript"/>
              </w:rPr>
              <w:t xml:space="preserve"> o</w:t>
            </w:r>
          </w:p>
          <w:p w:rsidR="00824921" w:rsidRPr="00E467ED" w:rsidRDefault="00824921" w:rsidP="0010709A">
            <w:pPr>
              <w:rPr>
                <w:sz w:val="18"/>
                <w:szCs w:val="18"/>
              </w:rPr>
            </w:pPr>
            <w:bookmarkStart w:id="0" w:name="_GoBack"/>
            <w:bookmarkEnd w:id="0"/>
            <w:r w:rsidRPr="00E467ED">
              <w:rPr>
                <w:sz w:val="18"/>
                <w:szCs w:val="18"/>
              </w:rPr>
              <w:t xml:space="preserve">               </w:t>
            </w:r>
            <w:r w:rsidR="007B4A36" w:rsidRPr="00E467ED">
              <w:rPr>
                <w:sz w:val="18"/>
                <w:szCs w:val="18"/>
              </w:rPr>
              <w:t>Women</w:t>
            </w:r>
            <w:r w:rsidRPr="00E467ED">
              <w:rPr>
                <w:sz w:val="18"/>
                <w:szCs w:val="18"/>
              </w:rPr>
              <w:t xml:space="preserve"> overall</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 xml:space="preserve">               Men overall</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 xml:space="preserve">               ANC</w:t>
            </w:r>
          </w:p>
          <w:p w:rsidR="00824921" w:rsidRPr="00E467ED" w:rsidRDefault="00824921" w:rsidP="0010709A">
            <w:pPr>
              <w:rPr>
                <w:sz w:val="18"/>
                <w:szCs w:val="18"/>
              </w:rPr>
            </w:pPr>
            <w:r w:rsidRPr="00E467ED">
              <w:rPr>
                <w:sz w:val="18"/>
                <w:szCs w:val="18"/>
              </w:rPr>
              <w:t xml:space="preserve">               FSW</w:t>
            </w:r>
          </w:p>
          <w:p w:rsidR="00824921" w:rsidRPr="00E467ED" w:rsidRDefault="00824921" w:rsidP="0010709A">
            <w:pPr>
              <w:rPr>
                <w:sz w:val="18"/>
                <w:szCs w:val="18"/>
              </w:rPr>
            </w:pPr>
            <w:r w:rsidRPr="00E467ED">
              <w:rPr>
                <w:sz w:val="18"/>
                <w:szCs w:val="18"/>
              </w:rPr>
              <w:t xml:space="preserve">               Symptomatic</w:t>
            </w:r>
          </w:p>
          <w:p w:rsidR="00681A84" w:rsidRPr="00E467ED" w:rsidRDefault="00681A84" w:rsidP="00681A84">
            <w:pPr>
              <w:rPr>
                <w:sz w:val="18"/>
                <w:szCs w:val="18"/>
              </w:rPr>
            </w:pPr>
            <w:r w:rsidRPr="00E467ED">
              <w:rPr>
                <w:sz w:val="18"/>
                <w:szCs w:val="18"/>
              </w:rPr>
              <w:t xml:space="preserve">               Men for VMMC</w:t>
            </w:r>
          </w:p>
          <w:p w:rsidR="00681A84" w:rsidRPr="00E467ED" w:rsidRDefault="00681A84" w:rsidP="00681A84">
            <w:pPr>
              <w:rPr>
                <w:sz w:val="18"/>
                <w:szCs w:val="18"/>
              </w:rPr>
            </w:pPr>
            <w:r w:rsidRPr="00E467ED">
              <w:rPr>
                <w:sz w:val="18"/>
                <w:szCs w:val="18"/>
              </w:rPr>
              <w:t xml:space="preserve">Testing beyond </w:t>
            </w:r>
            <w:r w:rsidR="00DB639A">
              <w:rPr>
                <w:sz w:val="18"/>
                <w:szCs w:val="18"/>
              </w:rPr>
              <w:t>core-testing</w:t>
            </w:r>
            <w:r w:rsidR="0067234B" w:rsidRPr="00E467ED">
              <w:rPr>
                <w:sz w:val="18"/>
                <w:szCs w:val="18"/>
              </w:rPr>
              <w:t xml:space="preserve"> </w:t>
            </w:r>
            <w:r w:rsidRPr="00E467ED">
              <w:rPr>
                <w:sz w:val="18"/>
                <w:szCs w:val="18"/>
                <w:vertAlign w:val="superscript"/>
              </w:rPr>
              <w:t>=</w:t>
            </w:r>
          </w:p>
          <w:p w:rsidR="00681A84" w:rsidRPr="00E467ED" w:rsidRDefault="00681A84" w:rsidP="00681A84">
            <w:pPr>
              <w:rPr>
                <w:sz w:val="18"/>
                <w:szCs w:val="18"/>
              </w:rPr>
            </w:pPr>
            <w:r w:rsidRPr="00E467ED">
              <w:rPr>
                <w:sz w:val="18"/>
                <w:szCs w:val="18"/>
              </w:rPr>
              <w:t xml:space="preserve">                        All adults                     </w:t>
            </w:r>
          </w:p>
          <w:p w:rsidR="00681A84" w:rsidRPr="00E467ED" w:rsidRDefault="00681A84" w:rsidP="00681A84">
            <w:pPr>
              <w:rPr>
                <w:sz w:val="18"/>
                <w:szCs w:val="18"/>
                <w:vertAlign w:val="superscript"/>
              </w:rPr>
            </w:pPr>
            <w:r w:rsidRPr="00E467ED">
              <w:rPr>
                <w:sz w:val="18"/>
                <w:szCs w:val="18"/>
              </w:rPr>
              <w:t xml:space="preserve">                        </w:t>
            </w:r>
            <w:r w:rsidR="007B4A36" w:rsidRPr="00E467ED">
              <w:rPr>
                <w:sz w:val="18"/>
                <w:szCs w:val="18"/>
              </w:rPr>
              <w:t>Women</w:t>
            </w:r>
            <w:r w:rsidRPr="00E467ED">
              <w:rPr>
                <w:sz w:val="18"/>
                <w:szCs w:val="18"/>
              </w:rPr>
              <w:t xml:space="preserve"> </w:t>
            </w:r>
          </w:p>
          <w:p w:rsidR="00824921" w:rsidRPr="00E467ED" w:rsidRDefault="00681A84" w:rsidP="00681A84">
            <w:pPr>
              <w:rPr>
                <w:sz w:val="18"/>
                <w:szCs w:val="18"/>
              </w:rPr>
            </w:pPr>
            <w:r w:rsidRPr="00E467ED">
              <w:rPr>
                <w:sz w:val="18"/>
                <w:szCs w:val="18"/>
                <w:vertAlign w:val="superscript"/>
              </w:rPr>
              <w:t xml:space="preserve">               </w:t>
            </w:r>
            <w:r w:rsidRPr="00E467ED">
              <w:rPr>
                <w:sz w:val="18"/>
                <w:szCs w:val="18"/>
              </w:rPr>
              <w:t xml:space="preserve">              Men</w:t>
            </w:r>
          </w:p>
        </w:tc>
        <w:tc>
          <w:tcPr>
            <w:tcW w:w="3260" w:type="dxa"/>
          </w:tcPr>
          <w:p w:rsidR="00824921" w:rsidRPr="00E467ED" w:rsidRDefault="00824921" w:rsidP="0010709A">
            <w:pPr>
              <w:rPr>
                <w:sz w:val="18"/>
                <w:szCs w:val="18"/>
              </w:rPr>
            </w:pPr>
          </w:p>
          <w:p w:rsidR="00824921" w:rsidRPr="00E467ED" w:rsidRDefault="00EB552C" w:rsidP="0010709A">
            <w:pPr>
              <w:spacing w:before="120"/>
              <w:rPr>
                <w:sz w:val="18"/>
                <w:szCs w:val="18"/>
              </w:rPr>
            </w:pPr>
            <w:r w:rsidRPr="00E467ED">
              <w:rPr>
                <w:rFonts w:cs="SAS Monospace"/>
                <w:sz w:val="18"/>
                <w:szCs w:val="18"/>
              </w:rPr>
              <w:t>2,</w:t>
            </w:r>
            <w:r w:rsidR="00FE003D" w:rsidRPr="00E467ED">
              <w:rPr>
                <w:rFonts w:cs="SAS Monospace"/>
                <w:sz w:val="18"/>
                <w:szCs w:val="18"/>
              </w:rPr>
              <w:t>6</w:t>
            </w:r>
            <w:r w:rsidR="003D17AA" w:rsidRPr="00E467ED">
              <w:rPr>
                <w:rFonts w:cs="SAS Monospace"/>
                <w:sz w:val="18"/>
                <w:szCs w:val="18"/>
              </w:rPr>
              <w:t>41</w:t>
            </w:r>
            <w:r w:rsidRPr="00E467ED">
              <w:rPr>
                <w:rFonts w:cs="SAS Monospace"/>
                <w:sz w:val="18"/>
                <w:szCs w:val="18"/>
              </w:rPr>
              <w:t xml:space="preserve">,000 </w:t>
            </w:r>
            <w:r w:rsidR="00824921" w:rsidRPr="00E467ED">
              <w:rPr>
                <w:sz w:val="18"/>
                <w:szCs w:val="18"/>
              </w:rPr>
              <w:t>(</w:t>
            </w:r>
            <w:r w:rsidRPr="00E467ED">
              <w:rPr>
                <w:rFonts w:cs="SAS Monospace"/>
                <w:sz w:val="18"/>
                <w:szCs w:val="18"/>
              </w:rPr>
              <w:t>1,</w:t>
            </w:r>
            <w:r w:rsidR="00FE003D" w:rsidRPr="00E467ED">
              <w:rPr>
                <w:rFonts w:cs="SAS Monospace"/>
                <w:sz w:val="18"/>
                <w:szCs w:val="18"/>
              </w:rPr>
              <w:t>39</w:t>
            </w:r>
            <w:r w:rsidR="009F37C7" w:rsidRPr="00E467ED">
              <w:rPr>
                <w:rFonts w:cs="SAS Monospace"/>
                <w:sz w:val="18"/>
                <w:szCs w:val="18"/>
              </w:rPr>
              <w:t>7</w:t>
            </w:r>
            <w:r w:rsidR="00FE003D" w:rsidRPr="00E467ED">
              <w:rPr>
                <w:rFonts w:cs="SAS Monospace"/>
                <w:sz w:val="18"/>
                <w:szCs w:val="18"/>
              </w:rPr>
              <w:t>,</w:t>
            </w:r>
            <w:r w:rsidRPr="00E467ED">
              <w:rPr>
                <w:rFonts w:cs="SAS Monospace"/>
                <w:sz w:val="18"/>
                <w:szCs w:val="18"/>
              </w:rPr>
              <w:t>000</w:t>
            </w:r>
            <w:r w:rsidR="00824921" w:rsidRPr="00E467ED">
              <w:rPr>
                <w:sz w:val="18"/>
                <w:szCs w:val="18"/>
              </w:rPr>
              <w:t xml:space="preserve"> </w:t>
            </w:r>
            <w:r w:rsidRPr="00E467ED">
              <w:rPr>
                <w:sz w:val="18"/>
                <w:szCs w:val="18"/>
              </w:rPr>
              <w:t>–</w:t>
            </w:r>
            <w:r w:rsidR="00824921" w:rsidRPr="00E467ED">
              <w:rPr>
                <w:sz w:val="18"/>
                <w:szCs w:val="18"/>
              </w:rPr>
              <w:t xml:space="preserve"> </w:t>
            </w:r>
            <w:r w:rsidRPr="00E467ED">
              <w:rPr>
                <w:rFonts w:cs="SAS Monospace"/>
                <w:sz w:val="18"/>
                <w:szCs w:val="18"/>
              </w:rPr>
              <w:t>3,</w:t>
            </w:r>
            <w:r w:rsidR="009F37C7" w:rsidRPr="00E467ED">
              <w:rPr>
                <w:rFonts w:cs="SAS Monospace"/>
                <w:sz w:val="18"/>
                <w:szCs w:val="18"/>
              </w:rPr>
              <w:t>710</w:t>
            </w:r>
            <w:r w:rsidRPr="00E467ED">
              <w:rPr>
                <w:rFonts w:cs="SAS Monospace"/>
                <w:sz w:val="18"/>
                <w:szCs w:val="18"/>
              </w:rPr>
              <w:t>,000</w:t>
            </w:r>
            <w:r w:rsidR="00824921" w:rsidRPr="00E467ED">
              <w:rPr>
                <w:sz w:val="18"/>
                <w:szCs w:val="18"/>
              </w:rPr>
              <w:t>)</w:t>
            </w:r>
          </w:p>
          <w:p w:rsidR="00824921" w:rsidRPr="00E467ED" w:rsidRDefault="009A376C" w:rsidP="0010709A">
            <w:pPr>
              <w:rPr>
                <w:sz w:val="18"/>
                <w:szCs w:val="18"/>
              </w:rPr>
            </w:pPr>
            <w:r w:rsidRPr="00E467ED">
              <w:rPr>
                <w:rFonts w:cs="SAS Monospace"/>
                <w:sz w:val="18"/>
                <w:szCs w:val="18"/>
              </w:rPr>
              <w:t>1</w:t>
            </w:r>
            <w:r w:rsidR="00681A84" w:rsidRPr="00E467ED">
              <w:rPr>
                <w:rFonts w:cs="SAS Monospace"/>
                <w:sz w:val="18"/>
                <w:szCs w:val="18"/>
              </w:rPr>
              <w:t>,</w:t>
            </w:r>
            <w:r w:rsidRPr="00E467ED">
              <w:rPr>
                <w:rFonts w:cs="SAS Monospace"/>
                <w:sz w:val="18"/>
                <w:szCs w:val="18"/>
              </w:rPr>
              <w:t>7</w:t>
            </w:r>
            <w:r w:rsidR="003D17AA" w:rsidRPr="00E467ED">
              <w:rPr>
                <w:rFonts w:cs="SAS Monospace"/>
                <w:sz w:val="18"/>
                <w:szCs w:val="18"/>
              </w:rPr>
              <w:t>87</w:t>
            </w:r>
            <w:r w:rsidR="00681A84" w:rsidRPr="00E467ED">
              <w:rPr>
                <w:rFonts w:cs="SAS Monospace"/>
                <w:sz w:val="18"/>
                <w:szCs w:val="18"/>
              </w:rPr>
              <w:t>,000</w:t>
            </w:r>
            <w:r w:rsidR="00824921" w:rsidRPr="00E467ED">
              <w:rPr>
                <w:sz w:val="18"/>
                <w:szCs w:val="18"/>
              </w:rPr>
              <w:t xml:space="preserve"> (</w:t>
            </w:r>
            <w:r w:rsidR="003D17AA" w:rsidRPr="00E467ED">
              <w:rPr>
                <w:sz w:val="18"/>
                <w:szCs w:val="18"/>
              </w:rPr>
              <w:t>1,004</w:t>
            </w:r>
            <w:r w:rsidR="00681A84" w:rsidRPr="00E467ED">
              <w:rPr>
                <w:rFonts w:cs="SAS Monospace"/>
                <w:sz w:val="18"/>
                <w:szCs w:val="18"/>
              </w:rPr>
              <w:t>,000</w:t>
            </w:r>
            <w:r w:rsidR="00824921" w:rsidRPr="00E467ED">
              <w:rPr>
                <w:rFonts w:cs="SAS Monospace"/>
                <w:sz w:val="18"/>
                <w:szCs w:val="18"/>
              </w:rPr>
              <w:t xml:space="preserve"> </w:t>
            </w:r>
            <w:r w:rsidR="00824921" w:rsidRPr="00E467ED">
              <w:rPr>
                <w:sz w:val="18"/>
                <w:szCs w:val="18"/>
              </w:rPr>
              <w:t xml:space="preserve">-  </w:t>
            </w:r>
            <w:r w:rsidR="00824921" w:rsidRPr="00E467ED">
              <w:rPr>
                <w:rFonts w:cs="SAS Monospace"/>
                <w:sz w:val="18"/>
                <w:szCs w:val="18"/>
              </w:rPr>
              <w:t>2</w:t>
            </w:r>
            <w:r w:rsidR="00681A84" w:rsidRPr="00E467ED">
              <w:rPr>
                <w:rFonts w:cs="SAS Monospace"/>
                <w:sz w:val="18"/>
                <w:szCs w:val="18"/>
              </w:rPr>
              <w:t>,</w:t>
            </w:r>
            <w:r w:rsidRPr="00E467ED">
              <w:rPr>
                <w:rFonts w:cs="SAS Monospace"/>
                <w:sz w:val="18"/>
                <w:szCs w:val="18"/>
              </w:rPr>
              <w:t>4</w:t>
            </w:r>
            <w:r w:rsidR="003D17AA" w:rsidRPr="00E467ED">
              <w:rPr>
                <w:rFonts w:cs="SAS Monospace"/>
                <w:sz w:val="18"/>
                <w:szCs w:val="18"/>
              </w:rPr>
              <w:t>55</w:t>
            </w:r>
            <w:r w:rsidR="00681A84" w:rsidRPr="00E467ED">
              <w:rPr>
                <w:rFonts w:cs="SAS Monospace"/>
                <w:sz w:val="18"/>
                <w:szCs w:val="18"/>
              </w:rPr>
              <w:t>,</w:t>
            </w:r>
            <w:r w:rsidR="00824921" w:rsidRPr="00E467ED">
              <w:rPr>
                <w:rFonts w:cs="SAS Monospace"/>
                <w:sz w:val="18"/>
                <w:szCs w:val="18"/>
              </w:rPr>
              <w:t>000</w:t>
            </w:r>
            <w:r w:rsidR="00824921" w:rsidRPr="00E467ED">
              <w:rPr>
                <w:sz w:val="18"/>
                <w:szCs w:val="18"/>
              </w:rPr>
              <w:t xml:space="preserve">) </w:t>
            </w:r>
          </w:p>
          <w:p w:rsidR="00824921" w:rsidRPr="00E467ED" w:rsidRDefault="005C33A0" w:rsidP="0010709A">
            <w:pPr>
              <w:rPr>
                <w:sz w:val="18"/>
                <w:szCs w:val="18"/>
              </w:rPr>
            </w:pPr>
            <w:r w:rsidRPr="00E467ED">
              <w:rPr>
                <w:rFonts w:cs="SAS Monospace"/>
                <w:sz w:val="18"/>
                <w:szCs w:val="18"/>
              </w:rPr>
              <w:t xml:space="preserve">   </w:t>
            </w:r>
            <w:r w:rsidR="009A376C" w:rsidRPr="00E467ED">
              <w:rPr>
                <w:rFonts w:cs="SAS Monospace"/>
                <w:sz w:val="18"/>
                <w:szCs w:val="18"/>
              </w:rPr>
              <w:t>8</w:t>
            </w:r>
            <w:r w:rsidR="009F37C7" w:rsidRPr="00E467ED">
              <w:rPr>
                <w:rFonts w:cs="SAS Monospace"/>
                <w:sz w:val="18"/>
                <w:szCs w:val="18"/>
              </w:rPr>
              <w:t>35</w:t>
            </w:r>
            <w:r w:rsidR="00EB552C" w:rsidRPr="00E467ED">
              <w:rPr>
                <w:rFonts w:cs="SAS Monospace"/>
                <w:sz w:val="18"/>
                <w:szCs w:val="18"/>
              </w:rPr>
              <w:t>,000</w:t>
            </w:r>
            <w:r w:rsidR="00824921" w:rsidRPr="00E467ED">
              <w:rPr>
                <w:sz w:val="18"/>
                <w:szCs w:val="18"/>
              </w:rPr>
              <w:t xml:space="preserve"> (</w:t>
            </w:r>
            <w:r w:rsidR="008400A7" w:rsidRPr="00E467ED">
              <w:rPr>
                <w:rFonts w:cs="SAS Monospace"/>
                <w:sz w:val="18"/>
                <w:szCs w:val="18"/>
              </w:rPr>
              <w:t>3</w:t>
            </w:r>
            <w:r w:rsidR="009A376C" w:rsidRPr="00E467ED">
              <w:rPr>
                <w:rFonts w:cs="SAS Monospace"/>
                <w:sz w:val="18"/>
                <w:szCs w:val="18"/>
              </w:rPr>
              <w:t>63</w:t>
            </w:r>
            <w:r w:rsidR="00EB552C" w:rsidRPr="00E467ED">
              <w:rPr>
                <w:rFonts w:cs="SAS Monospace"/>
                <w:sz w:val="18"/>
                <w:szCs w:val="18"/>
              </w:rPr>
              <w:t>,000</w:t>
            </w:r>
            <w:r w:rsidR="00824921" w:rsidRPr="00E467ED">
              <w:rPr>
                <w:rFonts w:cs="SAS Monospace"/>
                <w:sz w:val="18"/>
                <w:szCs w:val="18"/>
              </w:rPr>
              <w:t xml:space="preserve"> </w:t>
            </w:r>
            <w:r w:rsidR="00824921" w:rsidRPr="00E467ED">
              <w:rPr>
                <w:sz w:val="18"/>
                <w:szCs w:val="18"/>
              </w:rPr>
              <w:t xml:space="preserve">– </w:t>
            </w:r>
            <w:r w:rsidR="00007340" w:rsidRPr="00E467ED">
              <w:rPr>
                <w:rFonts w:cs="SAS Monospace"/>
                <w:sz w:val="18"/>
                <w:szCs w:val="18"/>
              </w:rPr>
              <w:t>1,</w:t>
            </w:r>
            <w:r w:rsidR="009F37C7" w:rsidRPr="00E467ED">
              <w:rPr>
                <w:rFonts w:cs="SAS Monospace"/>
                <w:sz w:val="18"/>
                <w:szCs w:val="18"/>
              </w:rPr>
              <w:t>298</w:t>
            </w:r>
            <w:r w:rsidR="00EB552C" w:rsidRPr="00E467ED">
              <w:rPr>
                <w:rFonts w:cs="SAS Monospace"/>
                <w:sz w:val="18"/>
                <w:szCs w:val="18"/>
              </w:rPr>
              <w:t>,000</w:t>
            </w:r>
            <w:r w:rsidR="00824921" w:rsidRPr="00E467ED">
              <w:rPr>
                <w:sz w:val="18"/>
                <w:szCs w:val="18"/>
              </w:rPr>
              <w:t>)</w:t>
            </w:r>
          </w:p>
          <w:p w:rsidR="00824921" w:rsidRPr="00E467ED" w:rsidRDefault="009A376C" w:rsidP="0010709A">
            <w:pPr>
              <w:rPr>
                <w:rFonts w:cs="SAS Monospace"/>
                <w:sz w:val="18"/>
                <w:szCs w:val="18"/>
              </w:rPr>
            </w:pPr>
            <w:r w:rsidRPr="00E467ED">
              <w:rPr>
                <w:rFonts w:cs="SAS Monospace"/>
                <w:sz w:val="18"/>
                <w:szCs w:val="18"/>
              </w:rPr>
              <w:t xml:space="preserve">   65</w:t>
            </w:r>
            <w:r w:rsidR="009F37C7" w:rsidRPr="00E467ED">
              <w:rPr>
                <w:rFonts w:cs="SAS Monospace"/>
                <w:sz w:val="18"/>
                <w:szCs w:val="18"/>
              </w:rPr>
              <w:t>0</w:t>
            </w:r>
            <w:r w:rsidR="00EB552C" w:rsidRPr="00E467ED">
              <w:rPr>
                <w:rFonts w:cs="SAS Monospace"/>
                <w:sz w:val="18"/>
                <w:szCs w:val="18"/>
              </w:rPr>
              <w:t>,000</w:t>
            </w:r>
            <w:r w:rsidR="005C33A0" w:rsidRPr="00E467ED">
              <w:rPr>
                <w:rFonts w:cs="SAS Monospace"/>
                <w:sz w:val="18"/>
                <w:szCs w:val="18"/>
              </w:rPr>
              <w:t xml:space="preserve"> </w:t>
            </w:r>
            <w:r w:rsidR="00824921" w:rsidRPr="00E467ED">
              <w:rPr>
                <w:rFonts w:cs="SAS Monospace"/>
                <w:sz w:val="18"/>
                <w:szCs w:val="18"/>
              </w:rPr>
              <w:t>(</w:t>
            </w:r>
            <w:r w:rsidR="009F37C7" w:rsidRPr="00E467ED">
              <w:rPr>
                <w:rFonts w:cs="SAS Monospace"/>
                <w:sz w:val="18"/>
                <w:szCs w:val="18"/>
              </w:rPr>
              <w:t>317</w:t>
            </w:r>
            <w:r w:rsidR="00EB552C" w:rsidRPr="00E467ED">
              <w:rPr>
                <w:rFonts w:cs="SAS Monospace"/>
                <w:sz w:val="18"/>
                <w:szCs w:val="18"/>
              </w:rPr>
              <w:t>,000</w:t>
            </w:r>
            <w:r w:rsidR="00824921" w:rsidRPr="00E467ED">
              <w:rPr>
                <w:rFonts w:cs="SAS Monospace"/>
                <w:sz w:val="18"/>
                <w:szCs w:val="18"/>
              </w:rPr>
              <w:t xml:space="preserve"> </w:t>
            </w:r>
            <w:r w:rsidR="00824921" w:rsidRPr="00E467ED">
              <w:rPr>
                <w:sz w:val="18"/>
                <w:szCs w:val="18"/>
              </w:rPr>
              <w:t>–</w:t>
            </w:r>
            <w:r w:rsidR="00824921" w:rsidRPr="00E467ED">
              <w:rPr>
                <w:rFonts w:cs="SAS Monospace"/>
                <w:sz w:val="18"/>
                <w:szCs w:val="18"/>
              </w:rPr>
              <w:t xml:space="preserve"> </w:t>
            </w:r>
            <w:r w:rsidR="00EB552C" w:rsidRPr="00E467ED">
              <w:rPr>
                <w:rFonts w:cs="SAS Monospace"/>
                <w:sz w:val="18"/>
                <w:szCs w:val="18"/>
              </w:rPr>
              <w:t>1,</w:t>
            </w:r>
            <w:r w:rsidR="009F37C7" w:rsidRPr="00E467ED">
              <w:rPr>
                <w:rFonts w:cs="SAS Monospace"/>
                <w:sz w:val="18"/>
                <w:szCs w:val="18"/>
              </w:rPr>
              <w:t>115</w:t>
            </w:r>
            <w:r w:rsidR="00EB552C" w:rsidRPr="00E467ED">
              <w:rPr>
                <w:rFonts w:cs="SAS Monospace"/>
                <w:sz w:val="18"/>
                <w:szCs w:val="18"/>
              </w:rPr>
              <w:t>,000</w:t>
            </w:r>
            <w:r w:rsidR="00824921" w:rsidRPr="00E467ED">
              <w:rPr>
                <w:rFonts w:cs="SAS Monospace"/>
                <w:sz w:val="18"/>
                <w:szCs w:val="18"/>
              </w:rPr>
              <w:t>)</w:t>
            </w:r>
          </w:p>
          <w:p w:rsidR="00824921" w:rsidRPr="00E467ED" w:rsidRDefault="008F2FF1" w:rsidP="0010709A">
            <w:pPr>
              <w:rPr>
                <w:rFonts w:cs="SAS Monospace"/>
                <w:sz w:val="18"/>
                <w:szCs w:val="18"/>
              </w:rPr>
            </w:pPr>
            <w:r w:rsidRPr="00E467ED">
              <w:rPr>
                <w:rFonts w:cs="SAS Monospace"/>
                <w:sz w:val="18"/>
                <w:szCs w:val="18"/>
              </w:rPr>
              <w:t xml:space="preserve">  </w:t>
            </w:r>
            <w:r w:rsidR="005C33A0" w:rsidRPr="00E467ED">
              <w:rPr>
                <w:rFonts w:cs="SAS Monospace"/>
                <w:sz w:val="18"/>
                <w:szCs w:val="18"/>
              </w:rPr>
              <w:t xml:space="preserve">   </w:t>
            </w:r>
            <w:r w:rsidR="00384D11" w:rsidRPr="00E467ED">
              <w:rPr>
                <w:rFonts w:cs="SAS Monospace"/>
                <w:sz w:val="18"/>
                <w:szCs w:val="18"/>
              </w:rPr>
              <w:t>32</w:t>
            </w:r>
            <w:r w:rsidR="000A5DB6" w:rsidRPr="00E467ED">
              <w:rPr>
                <w:rFonts w:cs="SAS Monospace"/>
                <w:sz w:val="18"/>
                <w:szCs w:val="18"/>
              </w:rPr>
              <w:t>,000</w:t>
            </w:r>
            <w:r w:rsidRPr="00E467ED">
              <w:rPr>
                <w:rFonts w:cs="SAS Monospace"/>
                <w:sz w:val="18"/>
                <w:szCs w:val="18"/>
              </w:rPr>
              <w:t xml:space="preserve"> (</w:t>
            </w:r>
            <w:r w:rsidR="009A376C" w:rsidRPr="00E467ED">
              <w:rPr>
                <w:rFonts w:cs="SAS Monospace"/>
                <w:sz w:val="18"/>
                <w:szCs w:val="18"/>
              </w:rPr>
              <w:t>9</w:t>
            </w:r>
            <w:r w:rsidR="00681A84" w:rsidRPr="00E467ED">
              <w:rPr>
                <w:rFonts w:cs="SAS Monospace"/>
                <w:sz w:val="18"/>
                <w:szCs w:val="18"/>
              </w:rPr>
              <w:t>,00</w:t>
            </w:r>
            <w:r w:rsidR="00824921" w:rsidRPr="00E467ED">
              <w:rPr>
                <w:rFonts w:cs="SAS Monospace"/>
                <w:sz w:val="18"/>
                <w:szCs w:val="18"/>
              </w:rPr>
              <w:t xml:space="preserve">0 </w:t>
            </w:r>
            <w:r w:rsidR="00824921" w:rsidRPr="00E467ED">
              <w:rPr>
                <w:sz w:val="18"/>
                <w:szCs w:val="18"/>
              </w:rPr>
              <w:t>–</w:t>
            </w:r>
            <w:r w:rsidR="00384D11" w:rsidRPr="00E467ED">
              <w:rPr>
                <w:rFonts w:cs="SAS Monospace"/>
                <w:sz w:val="18"/>
                <w:szCs w:val="18"/>
              </w:rPr>
              <w:t xml:space="preserve"> 93</w:t>
            </w:r>
            <w:r w:rsidRPr="00E467ED">
              <w:rPr>
                <w:rFonts w:cs="SAS Monospace"/>
                <w:sz w:val="18"/>
                <w:szCs w:val="18"/>
              </w:rPr>
              <w:t>,000</w:t>
            </w:r>
            <w:r w:rsidR="00824921" w:rsidRPr="00E467ED">
              <w:rPr>
                <w:rFonts w:cs="SAS Monospace"/>
                <w:sz w:val="18"/>
                <w:szCs w:val="18"/>
              </w:rPr>
              <w:t>)</w:t>
            </w:r>
          </w:p>
          <w:p w:rsidR="00824921" w:rsidRPr="00E467ED" w:rsidRDefault="00681A84" w:rsidP="0010709A">
            <w:pPr>
              <w:rPr>
                <w:rFonts w:cs="SAS Monospace"/>
                <w:sz w:val="18"/>
                <w:szCs w:val="18"/>
              </w:rPr>
            </w:pPr>
            <w:r w:rsidRPr="00E467ED">
              <w:rPr>
                <w:rFonts w:cs="SAS Monospace"/>
                <w:sz w:val="18"/>
                <w:szCs w:val="18"/>
              </w:rPr>
              <w:t xml:space="preserve"> </w:t>
            </w:r>
            <w:r w:rsidR="005C33A0" w:rsidRPr="00E467ED">
              <w:rPr>
                <w:rFonts w:cs="SAS Monospace"/>
                <w:sz w:val="18"/>
                <w:szCs w:val="18"/>
              </w:rPr>
              <w:t xml:space="preserve">  </w:t>
            </w:r>
            <w:r w:rsidR="009A376C" w:rsidRPr="00E467ED">
              <w:rPr>
                <w:rFonts w:cs="SAS Monospace"/>
                <w:sz w:val="18"/>
                <w:szCs w:val="18"/>
              </w:rPr>
              <w:t>2</w:t>
            </w:r>
            <w:r w:rsidR="00A00F77" w:rsidRPr="00E467ED">
              <w:rPr>
                <w:rFonts w:cs="SAS Monospace"/>
                <w:sz w:val="18"/>
                <w:szCs w:val="18"/>
              </w:rPr>
              <w:t>3</w:t>
            </w:r>
            <w:r w:rsidR="003D17AA" w:rsidRPr="00E467ED">
              <w:rPr>
                <w:rFonts w:cs="SAS Monospace"/>
                <w:sz w:val="18"/>
                <w:szCs w:val="18"/>
              </w:rPr>
              <w:t>2</w:t>
            </w:r>
            <w:r w:rsidRPr="00E467ED">
              <w:rPr>
                <w:rFonts w:cs="SAS Monospace"/>
                <w:sz w:val="18"/>
                <w:szCs w:val="18"/>
              </w:rPr>
              <w:t>,000</w:t>
            </w:r>
            <w:r w:rsidR="000A5DB6" w:rsidRPr="00E467ED">
              <w:rPr>
                <w:rFonts w:cs="SAS Monospace"/>
                <w:sz w:val="18"/>
                <w:szCs w:val="18"/>
              </w:rPr>
              <w:t xml:space="preserve"> </w:t>
            </w:r>
            <w:r w:rsidR="003D17AA" w:rsidRPr="00E467ED">
              <w:rPr>
                <w:rFonts w:cs="SAS Monospace"/>
                <w:sz w:val="18"/>
                <w:szCs w:val="18"/>
              </w:rPr>
              <w:t>(221</w:t>
            </w:r>
            <w:r w:rsidRPr="00E467ED">
              <w:rPr>
                <w:rFonts w:cs="SAS Monospace"/>
                <w:sz w:val="18"/>
                <w:szCs w:val="18"/>
              </w:rPr>
              <w:t>,000</w:t>
            </w:r>
            <w:r w:rsidR="00824921" w:rsidRPr="00E467ED">
              <w:rPr>
                <w:rFonts w:cs="SAS Monospace"/>
                <w:sz w:val="18"/>
                <w:szCs w:val="18"/>
              </w:rPr>
              <w:t xml:space="preserve"> </w:t>
            </w:r>
            <w:r w:rsidR="00824921" w:rsidRPr="00E467ED">
              <w:rPr>
                <w:sz w:val="18"/>
                <w:szCs w:val="18"/>
              </w:rPr>
              <w:t>–</w:t>
            </w:r>
            <w:r w:rsidR="00824921" w:rsidRPr="00E467ED">
              <w:rPr>
                <w:rFonts w:cs="SAS Monospace"/>
                <w:sz w:val="18"/>
                <w:szCs w:val="18"/>
              </w:rPr>
              <w:t xml:space="preserve"> 2</w:t>
            </w:r>
            <w:r w:rsidR="009A376C" w:rsidRPr="00E467ED">
              <w:rPr>
                <w:rFonts w:cs="SAS Monospace"/>
                <w:sz w:val="18"/>
                <w:szCs w:val="18"/>
              </w:rPr>
              <w:t>47</w:t>
            </w:r>
            <w:r w:rsidR="00781F63" w:rsidRPr="00E467ED">
              <w:rPr>
                <w:rFonts w:cs="SAS Monospace"/>
                <w:sz w:val="18"/>
                <w:szCs w:val="18"/>
              </w:rPr>
              <w:t>,0</w:t>
            </w:r>
            <w:r w:rsidRPr="00E467ED">
              <w:rPr>
                <w:rFonts w:cs="SAS Monospace"/>
                <w:sz w:val="18"/>
                <w:szCs w:val="18"/>
              </w:rPr>
              <w:t>00</w:t>
            </w:r>
            <w:r w:rsidR="00824921" w:rsidRPr="00E467ED">
              <w:rPr>
                <w:rFonts w:cs="SAS Monospace"/>
                <w:sz w:val="18"/>
                <w:szCs w:val="18"/>
              </w:rPr>
              <w:t xml:space="preserve">) </w:t>
            </w:r>
          </w:p>
          <w:p w:rsidR="00824921" w:rsidRPr="00E467ED" w:rsidRDefault="00824921" w:rsidP="0010709A">
            <w:pPr>
              <w:rPr>
                <w:rFonts w:ascii="Calibri" w:hAnsi="Calibri" w:cs="SAS Monospace"/>
                <w:sz w:val="18"/>
                <w:szCs w:val="18"/>
              </w:rPr>
            </w:pPr>
            <w:r w:rsidRPr="00E467ED">
              <w:rPr>
                <w:rFonts w:cs="SAS Monospace"/>
                <w:sz w:val="18"/>
                <w:szCs w:val="18"/>
              </w:rPr>
              <w:t xml:space="preserve">   </w:t>
            </w:r>
            <w:r w:rsidR="005C33A0" w:rsidRPr="00E467ED">
              <w:rPr>
                <w:rFonts w:cs="SAS Monospace"/>
                <w:sz w:val="18"/>
                <w:szCs w:val="18"/>
              </w:rPr>
              <w:t xml:space="preserve">  </w:t>
            </w:r>
            <w:r w:rsidR="00384D11" w:rsidRPr="00E467ED">
              <w:rPr>
                <w:rFonts w:ascii="Calibri" w:hAnsi="Calibri" w:cs="SAS Monospace"/>
                <w:sz w:val="18"/>
                <w:szCs w:val="18"/>
              </w:rPr>
              <w:t>72</w:t>
            </w:r>
            <w:r w:rsidR="000A5DB6" w:rsidRPr="00E467ED">
              <w:rPr>
                <w:rFonts w:ascii="Calibri" w:hAnsi="Calibri" w:cs="SAS Monospace"/>
                <w:sz w:val="18"/>
                <w:szCs w:val="18"/>
              </w:rPr>
              <w:t>,000</w:t>
            </w:r>
            <w:r w:rsidRPr="00E467ED">
              <w:rPr>
                <w:rFonts w:ascii="Calibri" w:hAnsi="Calibri" w:cs="SAS Monospace"/>
                <w:sz w:val="18"/>
                <w:szCs w:val="18"/>
              </w:rPr>
              <w:t xml:space="preserve"> (6</w:t>
            </w:r>
            <w:r w:rsidR="009A376C" w:rsidRPr="00E467ED">
              <w:rPr>
                <w:rFonts w:ascii="Calibri" w:hAnsi="Calibri" w:cs="SAS Monospace"/>
                <w:sz w:val="18"/>
                <w:szCs w:val="18"/>
              </w:rPr>
              <w:t>6</w:t>
            </w:r>
            <w:r w:rsidR="000A5DB6" w:rsidRPr="00E467ED">
              <w:rPr>
                <w:rFonts w:ascii="Calibri" w:hAnsi="Calibri" w:cs="SAS Monospace"/>
                <w:sz w:val="18"/>
                <w:szCs w:val="18"/>
              </w:rPr>
              <w:t>,000</w:t>
            </w:r>
            <w:r w:rsidRPr="00E467ED">
              <w:rPr>
                <w:rFonts w:ascii="Calibri" w:hAnsi="Calibri" w:cs="SAS Monospace"/>
                <w:sz w:val="18"/>
                <w:szCs w:val="18"/>
              </w:rPr>
              <w:t xml:space="preserve"> </w:t>
            </w:r>
            <w:r w:rsidRPr="00E467ED">
              <w:rPr>
                <w:rFonts w:ascii="Calibri" w:hAnsi="Calibri"/>
                <w:sz w:val="18"/>
                <w:szCs w:val="18"/>
              </w:rPr>
              <w:t>–</w:t>
            </w:r>
            <w:r w:rsidR="009A376C" w:rsidRPr="00E467ED">
              <w:rPr>
                <w:rFonts w:ascii="Calibri" w:hAnsi="Calibri" w:cs="SAS Monospace"/>
                <w:sz w:val="18"/>
                <w:szCs w:val="18"/>
              </w:rPr>
              <w:t xml:space="preserve"> 76</w:t>
            </w:r>
            <w:r w:rsidR="000A5DB6" w:rsidRPr="00E467ED">
              <w:rPr>
                <w:rFonts w:ascii="Calibri" w:hAnsi="Calibri" w:cs="SAS Monospace"/>
                <w:sz w:val="18"/>
                <w:szCs w:val="18"/>
              </w:rPr>
              <w:t>,</w:t>
            </w:r>
            <w:r w:rsidRPr="00E467ED">
              <w:rPr>
                <w:rFonts w:ascii="Calibri" w:hAnsi="Calibri" w:cs="SAS Monospace"/>
                <w:sz w:val="18"/>
                <w:szCs w:val="18"/>
              </w:rPr>
              <w:t>000)</w:t>
            </w:r>
          </w:p>
          <w:p w:rsidR="00681A84" w:rsidRPr="00E467ED" w:rsidRDefault="00681A84" w:rsidP="0010709A">
            <w:pPr>
              <w:rPr>
                <w:rFonts w:ascii="Calibri" w:hAnsi="Calibri" w:cs="SAS Monospace"/>
                <w:sz w:val="18"/>
                <w:szCs w:val="18"/>
              </w:rPr>
            </w:pPr>
          </w:p>
          <w:p w:rsidR="00681A84" w:rsidRPr="00E467ED" w:rsidRDefault="00D63426" w:rsidP="0010709A">
            <w:pPr>
              <w:rPr>
                <w:rFonts w:ascii="Calibri" w:hAnsi="Calibri" w:cs="SAS Monospace"/>
                <w:sz w:val="18"/>
                <w:szCs w:val="18"/>
              </w:rPr>
            </w:pPr>
            <w:r w:rsidRPr="00E467ED">
              <w:rPr>
                <w:rFonts w:ascii="Calibri" w:hAnsi="Calibri" w:cs="SAS Monospace"/>
                <w:sz w:val="18"/>
                <w:szCs w:val="18"/>
              </w:rPr>
              <w:t>1,</w:t>
            </w:r>
            <w:r w:rsidR="005455DC" w:rsidRPr="00E467ED">
              <w:rPr>
                <w:rFonts w:ascii="Calibri" w:hAnsi="Calibri" w:cs="SAS Monospace"/>
                <w:sz w:val="18"/>
                <w:szCs w:val="18"/>
              </w:rPr>
              <w:t>6</w:t>
            </w:r>
            <w:r w:rsidR="003D17AA" w:rsidRPr="00E467ED">
              <w:rPr>
                <w:rFonts w:ascii="Calibri" w:hAnsi="Calibri" w:cs="SAS Monospace"/>
                <w:sz w:val="18"/>
                <w:szCs w:val="18"/>
              </w:rPr>
              <w:t>02</w:t>
            </w:r>
            <w:r w:rsidR="005455DC" w:rsidRPr="00E467ED">
              <w:rPr>
                <w:rFonts w:ascii="Calibri" w:hAnsi="Calibri" w:cs="SAS Monospace"/>
                <w:sz w:val="18"/>
                <w:szCs w:val="18"/>
              </w:rPr>
              <w:t>,000 (4</w:t>
            </w:r>
            <w:r w:rsidR="003D17AA" w:rsidRPr="00E467ED">
              <w:rPr>
                <w:rFonts w:ascii="Calibri" w:hAnsi="Calibri" w:cs="SAS Monospace"/>
                <w:sz w:val="18"/>
                <w:szCs w:val="18"/>
              </w:rPr>
              <w:t>38</w:t>
            </w:r>
            <w:r w:rsidR="005744A6" w:rsidRPr="00E467ED">
              <w:rPr>
                <w:rFonts w:ascii="Calibri" w:hAnsi="Calibri" w:cs="SAS Monospace"/>
                <w:sz w:val="18"/>
                <w:szCs w:val="18"/>
              </w:rPr>
              <w:t>,000 –</w:t>
            </w:r>
            <w:r w:rsidRPr="00E467ED">
              <w:rPr>
                <w:rFonts w:ascii="Calibri" w:hAnsi="Calibri" w:cs="SAS Monospace"/>
                <w:sz w:val="18"/>
                <w:szCs w:val="18"/>
              </w:rPr>
              <w:t xml:space="preserve"> 2,</w:t>
            </w:r>
            <w:r w:rsidR="005455DC" w:rsidRPr="00E467ED">
              <w:rPr>
                <w:rFonts w:ascii="Calibri" w:hAnsi="Calibri" w:cs="SAS Monospace"/>
                <w:sz w:val="18"/>
                <w:szCs w:val="18"/>
              </w:rPr>
              <w:t>6</w:t>
            </w:r>
            <w:r w:rsidR="003D17AA" w:rsidRPr="00E467ED">
              <w:rPr>
                <w:rFonts w:ascii="Calibri" w:hAnsi="Calibri" w:cs="SAS Monospace"/>
                <w:sz w:val="18"/>
                <w:szCs w:val="18"/>
              </w:rPr>
              <w:t>5</w:t>
            </w:r>
            <w:r w:rsidR="005455DC" w:rsidRPr="00E467ED">
              <w:rPr>
                <w:rFonts w:ascii="Calibri" w:hAnsi="Calibri" w:cs="SAS Monospace"/>
                <w:sz w:val="18"/>
                <w:szCs w:val="18"/>
              </w:rPr>
              <w:t>2</w:t>
            </w:r>
            <w:r w:rsidR="005744A6" w:rsidRPr="00E467ED">
              <w:rPr>
                <w:rFonts w:ascii="Calibri" w:hAnsi="Calibri" w:cs="SAS Monospace"/>
                <w:sz w:val="18"/>
                <w:szCs w:val="18"/>
              </w:rPr>
              <w:t>,000)</w:t>
            </w:r>
          </w:p>
          <w:p w:rsidR="00681A84" w:rsidRPr="00E467ED" w:rsidRDefault="005C33A0" w:rsidP="00681A84">
            <w:pPr>
              <w:rPr>
                <w:rFonts w:cs="SAS Monospace"/>
                <w:sz w:val="18"/>
                <w:szCs w:val="18"/>
              </w:rPr>
            </w:pPr>
            <w:r w:rsidRPr="00E467ED">
              <w:rPr>
                <w:rFonts w:ascii="Calibri" w:hAnsi="Calibri" w:cs="SAS Monospace"/>
                <w:sz w:val="18"/>
                <w:szCs w:val="18"/>
              </w:rPr>
              <w:t xml:space="preserve">   </w:t>
            </w:r>
            <w:r w:rsidR="00384D11" w:rsidRPr="00E467ED">
              <w:rPr>
                <w:rFonts w:ascii="Calibri" w:hAnsi="Calibri" w:cs="SAS Monospace"/>
                <w:sz w:val="18"/>
                <w:szCs w:val="18"/>
              </w:rPr>
              <w:t>961</w:t>
            </w:r>
            <w:r w:rsidR="005744A6" w:rsidRPr="00E467ED">
              <w:rPr>
                <w:rFonts w:ascii="Calibri" w:hAnsi="Calibri" w:cs="SAS Monospace"/>
                <w:sz w:val="18"/>
                <w:szCs w:val="18"/>
              </w:rPr>
              <w:t>,000</w:t>
            </w:r>
            <w:r w:rsidR="005744A6" w:rsidRPr="00E467ED">
              <w:rPr>
                <w:rFonts w:cs="SAS Monospace"/>
                <w:sz w:val="18"/>
                <w:szCs w:val="18"/>
              </w:rPr>
              <w:t xml:space="preserve"> (</w:t>
            </w:r>
            <w:r w:rsidR="00384D11" w:rsidRPr="00E467ED">
              <w:rPr>
                <w:rFonts w:cs="SAS Monospace"/>
                <w:sz w:val="18"/>
                <w:szCs w:val="18"/>
              </w:rPr>
              <w:t>271</w:t>
            </w:r>
            <w:r w:rsidR="00681A84" w:rsidRPr="00E467ED">
              <w:rPr>
                <w:rFonts w:cs="SAS Monospace"/>
                <w:sz w:val="18"/>
                <w:szCs w:val="18"/>
              </w:rPr>
              <w:t>,000 – 1,</w:t>
            </w:r>
            <w:r w:rsidR="00384D11" w:rsidRPr="00E467ED">
              <w:rPr>
                <w:rFonts w:cs="SAS Monospace"/>
                <w:sz w:val="18"/>
                <w:szCs w:val="18"/>
              </w:rPr>
              <w:t>552</w:t>
            </w:r>
            <w:r w:rsidR="00681A84" w:rsidRPr="00E467ED">
              <w:rPr>
                <w:rFonts w:cs="SAS Monospace"/>
                <w:sz w:val="18"/>
                <w:szCs w:val="18"/>
              </w:rPr>
              <w:t>,000)</w:t>
            </w:r>
          </w:p>
          <w:p w:rsidR="00681A84" w:rsidRPr="00E467ED" w:rsidRDefault="005C33A0" w:rsidP="00384D11">
            <w:pPr>
              <w:rPr>
                <w:rFonts w:cs="SAS Monospace"/>
                <w:sz w:val="18"/>
                <w:szCs w:val="18"/>
              </w:rPr>
            </w:pPr>
            <w:r w:rsidRPr="00E467ED">
              <w:rPr>
                <w:rFonts w:cs="SAS Monospace"/>
                <w:sz w:val="18"/>
                <w:szCs w:val="18"/>
              </w:rPr>
              <w:t xml:space="preserve">   </w:t>
            </w:r>
            <w:r w:rsidR="00B00F6C" w:rsidRPr="00E467ED">
              <w:rPr>
                <w:rFonts w:cs="SAS Monospace"/>
                <w:sz w:val="18"/>
                <w:szCs w:val="18"/>
              </w:rPr>
              <w:t>6</w:t>
            </w:r>
            <w:r w:rsidR="00384D11" w:rsidRPr="00E467ED">
              <w:rPr>
                <w:rFonts w:cs="SAS Monospace"/>
                <w:sz w:val="18"/>
                <w:szCs w:val="18"/>
              </w:rPr>
              <w:t>49</w:t>
            </w:r>
            <w:r w:rsidRPr="00E467ED">
              <w:rPr>
                <w:rFonts w:cs="SAS Monospace"/>
                <w:sz w:val="18"/>
                <w:szCs w:val="18"/>
              </w:rPr>
              <w:t xml:space="preserve">,000 </w:t>
            </w:r>
            <w:r w:rsidR="00B00F6C" w:rsidRPr="00E467ED">
              <w:rPr>
                <w:rFonts w:cs="SAS Monospace"/>
                <w:sz w:val="18"/>
                <w:szCs w:val="18"/>
              </w:rPr>
              <w:t>(1</w:t>
            </w:r>
            <w:r w:rsidR="005455DC" w:rsidRPr="00E467ED">
              <w:rPr>
                <w:rFonts w:cs="SAS Monospace"/>
                <w:sz w:val="18"/>
                <w:szCs w:val="18"/>
              </w:rPr>
              <w:t>6</w:t>
            </w:r>
            <w:r w:rsidR="00384D11" w:rsidRPr="00E467ED">
              <w:rPr>
                <w:rFonts w:cs="SAS Monospace"/>
                <w:sz w:val="18"/>
                <w:szCs w:val="18"/>
              </w:rPr>
              <w:t>5</w:t>
            </w:r>
            <w:r w:rsidR="00B00F6C" w:rsidRPr="00E467ED">
              <w:rPr>
                <w:rFonts w:cs="SAS Monospace"/>
                <w:sz w:val="18"/>
                <w:szCs w:val="18"/>
              </w:rPr>
              <w:t>,000 – 1,</w:t>
            </w:r>
            <w:r w:rsidR="005455DC" w:rsidRPr="00E467ED">
              <w:rPr>
                <w:rFonts w:cs="SAS Monospace"/>
                <w:sz w:val="18"/>
                <w:szCs w:val="18"/>
              </w:rPr>
              <w:t>1</w:t>
            </w:r>
            <w:r w:rsidR="00384D11" w:rsidRPr="00E467ED">
              <w:rPr>
                <w:rFonts w:cs="SAS Monospace"/>
                <w:sz w:val="18"/>
                <w:szCs w:val="18"/>
              </w:rPr>
              <w:t>15</w:t>
            </w:r>
            <w:r w:rsidR="005744A6" w:rsidRPr="00E467ED">
              <w:rPr>
                <w:rFonts w:cs="SAS Monospace"/>
                <w:sz w:val="18"/>
                <w:szCs w:val="18"/>
              </w:rPr>
              <w:t>,</w:t>
            </w:r>
            <w:r w:rsidR="00681A84" w:rsidRPr="00E467ED">
              <w:rPr>
                <w:rFonts w:cs="SAS Monospace"/>
                <w:sz w:val="18"/>
                <w:szCs w:val="18"/>
              </w:rPr>
              <w:t>000)</w:t>
            </w:r>
          </w:p>
        </w:tc>
        <w:tc>
          <w:tcPr>
            <w:tcW w:w="3402" w:type="dxa"/>
          </w:tcPr>
          <w:p w:rsidR="00ED6BDF" w:rsidRPr="00E467ED" w:rsidRDefault="00ED6BDF" w:rsidP="0010709A">
            <w:pPr>
              <w:rPr>
                <w:sz w:val="18"/>
                <w:szCs w:val="18"/>
              </w:rPr>
            </w:pPr>
          </w:p>
          <w:p w:rsidR="00824921" w:rsidRPr="00E467ED" w:rsidRDefault="00173E50" w:rsidP="00AA43A9">
            <w:pPr>
              <w:rPr>
                <w:sz w:val="18"/>
                <w:szCs w:val="18"/>
              </w:rPr>
            </w:pPr>
            <w:r w:rsidRPr="00E467ED">
              <w:rPr>
                <w:sz w:val="18"/>
                <w:szCs w:val="18"/>
              </w:rPr>
              <w:t>Zimbabwe 2.</w:t>
            </w:r>
            <w:r w:rsidR="00AA43A9" w:rsidRPr="00E467ED">
              <w:rPr>
                <w:sz w:val="18"/>
                <w:szCs w:val="18"/>
              </w:rPr>
              <w:t>1m (2016</w:t>
            </w:r>
            <w:r w:rsidRPr="00E467ED">
              <w:rPr>
                <w:sz w:val="18"/>
                <w:szCs w:val="18"/>
              </w:rPr>
              <w:t>)</w:t>
            </w:r>
            <w:r w:rsidR="000820E0">
              <w:rPr>
                <w:sz w:val="18"/>
                <w:szCs w:val="18"/>
                <w:vertAlign w:val="superscript"/>
              </w:rPr>
              <w:t>28</w:t>
            </w:r>
            <w:r w:rsidR="004C1E44" w:rsidRPr="00E467ED">
              <w:rPr>
                <w:sz w:val="18"/>
                <w:szCs w:val="18"/>
              </w:rPr>
              <w:t>, Malawi 2.2m (2015)</w:t>
            </w:r>
            <w:r w:rsidR="000820E0">
              <w:rPr>
                <w:sz w:val="18"/>
                <w:szCs w:val="18"/>
                <w:vertAlign w:val="superscript"/>
              </w:rPr>
              <w:t>29</w:t>
            </w:r>
          </w:p>
        </w:tc>
      </w:tr>
      <w:tr w:rsidR="00E467ED" w:rsidRPr="00E467ED" w:rsidTr="008C53CB">
        <w:trPr>
          <w:trHeight w:val="3064"/>
        </w:trPr>
        <w:tc>
          <w:tcPr>
            <w:tcW w:w="2977" w:type="dxa"/>
          </w:tcPr>
          <w:p w:rsidR="00824921" w:rsidRPr="00E467ED" w:rsidRDefault="00824921" w:rsidP="0010709A">
            <w:pPr>
              <w:spacing w:before="120"/>
              <w:rPr>
                <w:sz w:val="18"/>
                <w:szCs w:val="18"/>
              </w:rPr>
            </w:pPr>
            <w:r w:rsidRPr="00E467ED">
              <w:rPr>
                <w:sz w:val="18"/>
                <w:szCs w:val="18"/>
              </w:rPr>
              <w:lastRenderedPageBreak/>
              <w:t>Percentage of tests resulting in HIV diagnosis</w:t>
            </w:r>
          </w:p>
          <w:p w:rsidR="00824921" w:rsidRPr="00E467ED" w:rsidRDefault="00824921" w:rsidP="0010709A">
            <w:pPr>
              <w:rPr>
                <w:sz w:val="18"/>
                <w:szCs w:val="18"/>
              </w:rPr>
            </w:pPr>
            <w:r w:rsidRPr="00E467ED">
              <w:rPr>
                <w:sz w:val="18"/>
                <w:szCs w:val="18"/>
              </w:rPr>
              <w:t xml:space="preserve">               All adults</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 xml:space="preserve">               </w:t>
            </w:r>
            <w:r w:rsidR="007B4A36" w:rsidRPr="00E467ED">
              <w:rPr>
                <w:sz w:val="18"/>
                <w:szCs w:val="18"/>
              </w:rPr>
              <w:t>Women</w:t>
            </w:r>
            <w:r w:rsidRPr="00E467ED">
              <w:rPr>
                <w:sz w:val="18"/>
                <w:szCs w:val="18"/>
              </w:rPr>
              <w:t xml:space="preserve"> overall</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 xml:space="preserve">               Men overall</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 xml:space="preserve">               ANC</w:t>
            </w:r>
          </w:p>
          <w:p w:rsidR="00824921" w:rsidRPr="00E467ED" w:rsidRDefault="00824921" w:rsidP="0010709A">
            <w:pPr>
              <w:rPr>
                <w:sz w:val="18"/>
                <w:szCs w:val="18"/>
              </w:rPr>
            </w:pPr>
            <w:r w:rsidRPr="00E467ED">
              <w:rPr>
                <w:sz w:val="18"/>
                <w:szCs w:val="18"/>
              </w:rPr>
              <w:t xml:space="preserve">               FSW</w:t>
            </w:r>
          </w:p>
          <w:p w:rsidR="00824921" w:rsidRPr="00E467ED" w:rsidRDefault="00824921" w:rsidP="0010709A">
            <w:pPr>
              <w:rPr>
                <w:sz w:val="18"/>
                <w:szCs w:val="18"/>
              </w:rPr>
            </w:pPr>
            <w:r w:rsidRPr="00E467ED">
              <w:rPr>
                <w:sz w:val="18"/>
                <w:szCs w:val="18"/>
              </w:rPr>
              <w:t xml:space="preserve">               Symptomatic</w:t>
            </w:r>
          </w:p>
          <w:p w:rsidR="00824921" w:rsidRPr="00E467ED" w:rsidRDefault="00824921" w:rsidP="0010709A">
            <w:pPr>
              <w:rPr>
                <w:sz w:val="18"/>
                <w:szCs w:val="18"/>
              </w:rPr>
            </w:pPr>
            <w:r w:rsidRPr="00E467ED">
              <w:rPr>
                <w:sz w:val="18"/>
                <w:szCs w:val="18"/>
              </w:rPr>
              <w:t xml:space="preserve">               Men for VMMC</w:t>
            </w:r>
          </w:p>
          <w:p w:rsidR="00824921" w:rsidRPr="00E467ED" w:rsidRDefault="00824921" w:rsidP="0010709A">
            <w:pPr>
              <w:rPr>
                <w:sz w:val="18"/>
                <w:szCs w:val="18"/>
              </w:rPr>
            </w:pPr>
            <w:r w:rsidRPr="00E467ED">
              <w:rPr>
                <w:sz w:val="18"/>
                <w:szCs w:val="18"/>
              </w:rPr>
              <w:t xml:space="preserve">               </w:t>
            </w:r>
            <w:r w:rsidR="00687589" w:rsidRPr="00E467ED">
              <w:rPr>
                <w:sz w:val="18"/>
                <w:szCs w:val="18"/>
              </w:rPr>
              <w:t xml:space="preserve">Testing beyond </w:t>
            </w:r>
            <w:r w:rsidR="00DB639A">
              <w:rPr>
                <w:sz w:val="18"/>
                <w:szCs w:val="18"/>
              </w:rPr>
              <w:t>core-testing</w:t>
            </w:r>
            <w:r w:rsidR="0067234B" w:rsidRPr="00E467ED">
              <w:rPr>
                <w:sz w:val="18"/>
                <w:szCs w:val="18"/>
              </w:rPr>
              <w:t xml:space="preserve"> </w:t>
            </w:r>
            <w:r w:rsidRPr="00E467ED">
              <w:rPr>
                <w:sz w:val="18"/>
                <w:szCs w:val="18"/>
                <w:vertAlign w:val="superscript"/>
              </w:rPr>
              <w:t>=</w:t>
            </w:r>
          </w:p>
          <w:p w:rsidR="00687589" w:rsidRPr="00E467ED" w:rsidRDefault="00687589" w:rsidP="0010709A">
            <w:pPr>
              <w:rPr>
                <w:sz w:val="18"/>
                <w:szCs w:val="18"/>
              </w:rPr>
            </w:pPr>
            <w:r w:rsidRPr="00E467ED">
              <w:rPr>
                <w:sz w:val="18"/>
                <w:szCs w:val="18"/>
              </w:rPr>
              <w:t xml:space="preserve">                        All adults</w:t>
            </w:r>
            <w:r w:rsidR="00824921" w:rsidRPr="00E467ED">
              <w:rPr>
                <w:sz w:val="18"/>
                <w:szCs w:val="18"/>
              </w:rPr>
              <w:t xml:space="preserve">               </w:t>
            </w:r>
            <w:r w:rsidRPr="00E467ED">
              <w:rPr>
                <w:sz w:val="18"/>
                <w:szCs w:val="18"/>
              </w:rPr>
              <w:t xml:space="preserve">      </w:t>
            </w:r>
          </w:p>
          <w:p w:rsidR="00824921" w:rsidRPr="00E467ED" w:rsidRDefault="00687589" w:rsidP="00687589">
            <w:pPr>
              <w:rPr>
                <w:sz w:val="18"/>
                <w:szCs w:val="18"/>
                <w:vertAlign w:val="superscript"/>
              </w:rPr>
            </w:pPr>
            <w:r w:rsidRPr="00E467ED">
              <w:rPr>
                <w:sz w:val="18"/>
                <w:szCs w:val="18"/>
              </w:rPr>
              <w:t xml:space="preserve">                        </w:t>
            </w:r>
            <w:r w:rsidR="00746842" w:rsidRPr="00E467ED">
              <w:rPr>
                <w:sz w:val="18"/>
                <w:szCs w:val="18"/>
              </w:rPr>
              <w:t>Women</w:t>
            </w:r>
            <w:r w:rsidR="00824921" w:rsidRPr="00E467ED">
              <w:rPr>
                <w:sz w:val="18"/>
                <w:szCs w:val="18"/>
              </w:rPr>
              <w:t xml:space="preserve"> </w:t>
            </w:r>
          </w:p>
          <w:p w:rsidR="00687589" w:rsidRPr="00E467ED" w:rsidRDefault="00687589" w:rsidP="00687589">
            <w:pPr>
              <w:rPr>
                <w:sz w:val="18"/>
                <w:szCs w:val="18"/>
              </w:rPr>
            </w:pPr>
            <w:r w:rsidRPr="00E467ED">
              <w:rPr>
                <w:sz w:val="18"/>
                <w:szCs w:val="18"/>
                <w:vertAlign w:val="superscript"/>
              </w:rPr>
              <w:t xml:space="preserve">               </w:t>
            </w:r>
            <w:r w:rsidRPr="00E467ED">
              <w:rPr>
                <w:sz w:val="18"/>
                <w:szCs w:val="18"/>
              </w:rPr>
              <w:t xml:space="preserve">              Men</w:t>
            </w:r>
          </w:p>
        </w:tc>
        <w:tc>
          <w:tcPr>
            <w:tcW w:w="3260" w:type="dxa"/>
          </w:tcPr>
          <w:p w:rsidR="00824921" w:rsidRPr="00E467ED" w:rsidRDefault="00824921" w:rsidP="0010709A">
            <w:pPr>
              <w:rPr>
                <w:sz w:val="18"/>
                <w:szCs w:val="18"/>
              </w:rPr>
            </w:pPr>
          </w:p>
          <w:p w:rsidR="00824921" w:rsidRPr="00E467ED" w:rsidRDefault="00824921" w:rsidP="0010709A">
            <w:pPr>
              <w:rPr>
                <w:sz w:val="18"/>
                <w:szCs w:val="18"/>
              </w:rPr>
            </w:pPr>
          </w:p>
          <w:p w:rsidR="00824921" w:rsidRPr="00E467ED" w:rsidRDefault="005C33A0" w:rsidP="0010709A">
            <w:pPr>
              <w:spacing w:before="120"/>
              <w:rPr>
                <w:sz w:val="18"/>
                <w:szCs w:val="18"/>
              </w:rPr>
            </w:pPr>
            <w:r w:rsidRPr="00E467ED">
              <w:rPr>
                <w:sz w:val="18"/>
                <w:szCs w:val="18"/>
              </w:rPr>
              <w:t xml:space="preserve">  </w:t>
            </w:r>
            <w:r w:rsidR="00687589" w:rsidRPr="00E467ED">
              <w:rPr>
                <w:sz w:val="18"/>
                <w:szCs w:val="18"/>
              </w:rPr>
              <w:t>2.</w:t>
            </w:r>
            <w:r w:rsidR="005455DC" w:rsidRPr="00E467ED">
              <w:rPr>
                <w:sz w:val="18"/>
                <w:szCs w:val="18"/>
              </w:rPr>
              <w:t>9% (1.</w:t>
            </w:r>
            <w:r w:rsidR="00100393" w:rsidRPr="00E467ED">
              <w:rPr>
                <w:sz w:val="18"/>
                <w:szCs w:val="18"/>
              </w:rPr>
              <w:t>2</w:t>
            </w:r>
            <w:r w:rsidR="005455DC" w:rsidRPr="00E467ED">
              <w:rPr>
                <w:sz w:val="18"/>
                <w:szCs w:val="18"/>
              </w:rPr>
              <w:t>% - 7</w:t>
            </w:r>
            <w:r w:rsidR="008400A7" w:rsidRPr="00E467ED">
              <w:rPr>
                <w:sz w:val="18"/>
                <w:szCs w:val="18"/>
              </w:rPr>
              <w:t>.</w:t>
            </w:r>
            <w:r w:rsidR="00100393" w:rsidRPr="00E467ED">
              <w:rPr>
                <w:sz w:val="18"/>
                <w:szCs w:val="18"/>
              </w:rPr>
              <w:t>7</w:t>
            </w:r>
            <w:r w:rsidR="00824921" w:rsidRPr="00E467ED">
              <w:rPr>
                <w:sz w:val="18"/>
                <w:szCs w:val="18"/>
              </w:rPr>
              <w:t>%)</w:t>
            </w:r>
          </w:p>
          <w:p w:rsidR="00824921" w:rsidRPr="00E467ED" w:rsidRDefault="005C33A0" w:rsidP="0010709A">
            <w:pPr>
              <w:rPr>
                <w:sz w:val="18"/>
                <w:szCs w:val="18"/>
              </w:rPr>
            </w:pPr>
            <w:r w:rsidRPr="00E467ED">
              <w:rPr>
                <w:sz w:val="18"/>
                <w:szCs w:val="18"/>
              </w:rPr>
              <w:t xml:space="preserve">  </w:t>
            </w:r>
            <w:r w:rsidR="00100393" w:rsidRPr="00E467ED">
              <w:rPr>
                <w:sz w:val="18"/>
                <w:szCs w:val="18"/>
              </w:rPr>
              <w:t>2.6</w:t>
            </w:r>
            <w:r w:rsidR="005455DC" w:rsidRPr="00E467ED">
              <w:rPr>
                <w:sz w:val="18"/>
                <w:szCs w:val="18"/>
              </w:rPr>
              <w:t xml:space="preserve">% (1.0% - </w:t>
            </w:r>
            <w:r w:rsidR="00100393" w:rsidRPr="00E467ED">
              <w:rPr>
                <w:sz w:val="18"/>
                <w:szCs w:val="18"/>
              </w:rPr>
              <w:t>7.7%</w:t>
            </w:r>
            <w:r w:rsidR="00824921" w:rsidRPr="00E467ED">
              <w:rPr>
                <w:sz w:val="18"/>
                <w:szCs w:val="18"/>
              </w:rPr>
              <w:t>)</w:t>
            </w:r>
          </w:p>
          <w:p w:rsidR="00824921" w:rsidRPr="00E467ED" w:rsidRDefault="005C33A0" w:rsidP="0010709A">
            <w:pPr>
              <w:rPr>
                <w:sz w:val="18"/>
                <w:szCs w:val="18"/>
              </w:rPr>
            </w:pPr>
            <w:r w:rsidRPr="00E467ED">
              <w:rPr>
                <w:sz w:val="18"/>
                <w:szCs w:val="18"/>
              </w:rPr>
              <w:t xml:space="preserve">  </w:t>
            </w:r>
            <w:r w:rsidR="00100393" w:rsidRPr="00E467ED">
              <w:rPr>
                <w:sz w:val="18"/>
                <w:szCs w:val="18"/>
              </w:rPr>
              <w:t>3.5% (1.4</w:t>
            </w:r>
            <w:r w:rsidR="005455DC" w:rsidRPr="00E467ED">
              <w:rPr>
                <w:sz w:val="18"/>
                <w:szCs w:val="18"/>
              </w:rPr>
              <w:t>% - 9.1</w:t>
            </w:r>
            <w:r w:rsidR="00824921" w:rsidRPr="00E467ED">
              <w:rPr>
                <w:sz w:val="18"/>
                <w:szCs w:val="18"/>
              </w:rPr>
              <w:t>%)</w:t>
            </w:r>
          </w:p>
          <w:p w:rsidR="00824921" w:rsidRPr="00E467ED" w:rsidRDefault="005C33A0" w:rsidP="0010709A">
            <w:pPr>
              <w:rPr>
                <w:sz w:val="18"/>
                <w:szCs w:val="18"/>
              </w:rPr>
            </w:pPr>
            <w:r w:rsidRPr="00E467ED">
              <w:rPr>
                <w:sz w:val="18"/>
                <w:szCs w:val="18"/>
              </w:rPr>
              <w:t xml:space="preserve">  </w:t>
            </w:r>
            <w:r w:rsidR="00100393" w:rsidRPr="00E467ED">
              <w:rPr>
                <w:sz w:val="18"/>
                <w:szCs w:val="18"/>
              </w:rPr>
              <w:t>2.8</w:t>
            </w:r>
            <w:r w:rsidR="005455DC" w:rsidRPr="00E467ED">
              <w:rPr>
                <w:sz w:val="18"/>
                <w:szCs w:val="18"/>
              </w:rPr>
              <w:t>% (0.8% - 2</w:t>
            </w:r>
            <w:r w:rsidR="00100393" w:rsidRPr="00E467ED">
              <w:rPr>
                <w:sz w:val="18"/>
                <w:szCs w:val="18"/>
              </w:rPr>
              <w:t>2.9</w:t>
            </w:r>
            <w:r w:rsidR="00824921" w:rsidRPr="00E467ED">
              <w:rPr>
                <w:sz w:val="18"/>
                <w:szCs w:val="18"/>
              </w:rPr>
              <w:t>%)</w:t>
            </w:r>
          </w:p>
          <w:p w:rsidR="00824921" w:rsidRPr="00E467ED" w:rsidRDefault="005455DC" w:rsidP="0010709A">
            <w:pPr>
              <w:rPr>
                <w:sz w:val="18"/>
                <w:szCs w:val="18"/>
              </w:rPr>
            </w:pPr>
            <w:r w:rsidRPr="00E467ED">
              <w:rPr>
                <w:sz w:val="18"/>
                <w:szCs w:val="18"/>
              </w:rPr>
              <w:t>33.</w:t>
            </w:r>
            <w:r w:rsidR="00100393" w:rsidRPr="00E467ED">
              <w:rPr>
                <w:sz w:val="18"/>
                <w:szCs w:val="18"/>
              </w:rPr>
              <w:t>7</w:t>
            </w:r>
            <w:r w:rsidRPr="00E467ED">
              <w:rPr>
                <w:sz w:val="18"/>
                <w:szCs w:val="18"/>
              </w:rPr>
              <w:t>% (1</w:t>
            </w:r>
            <w:r w:rsidR="00100393" w:rsidRPr="00E467ED">
              <w:rPr>
                <w:sz w:val="18"/>
                <w:szCs w:val="18"/>
              </w:rPr>
              <w:t>0.8</w:t>
            </w:r>
            <w:r w:rsidR="00824921" w:rsidRPr="00E467ED">
              <w:rPr>
                <w:sz w:val="18"/>
                <w:szCs w:val="18"/>
              </w:rPr>
              <w:t xml:space="preserve">% - </w:t>
            </w:r>
            <w:r w:rsidRPr="00E467ED">
              <w:rPr>
                <w:sz w:val="18"/>
                <w:szCs w:val="18"/>
              </w:rPr>
              <w:t>49.</w:t>
            </w:r>
            <w:r w:rsidR="00100393" w:rsidRPr="00E467ED">
              <w:rPr>
                <w:sz w:val="18"/>
                <w:szCs w:val="18"/>
              </w:rPr>
              <w:t>2</w:t>
            </w:r>
            <w:r w:rsidR="00824921" w:rsidRPr="00E467ED">
              <w:rPr>
                <w:sz w:val="18"/>
                <w:szCs w:val="18"/>
              </w:rPr>
              <w:t>%)</w:t>
            </w:r>
          </w:p>
          <w:p w:rsidR="00824921" w:rsidRPr="00E467ED" w:rsidRDefault="005C33A0" w:rsidP="0010709A">
            <w:pPr>
              <w:rPr>
                <w:sz w:val="18"/>
                <w:szCs w:val="18"/>
              </w:rPr>
            </w:pPr>
            <w:r w:rsidRPr="00E467ED">
              <w:rPr>
                <w:sz w:val="18"/>
                <w:szCs w:val="18"/>
              </w:rPr>
              <w:t xml:space="preserve">  </w:t>
            </w:r>
            <w:r w:rsidR="00C42CB4" w:rsidRPr="00E467ED">
              <w:rPr>
                <w:sz w:val="18"/>
                <w:szCs w:val="18"/>
              </w:rPr>
              <w:t>7.</w:t>
            </w:r>
            <w:r w:rsidR="005455DC" w:rsidRPr="00E467ED">
              <w:rPr>
                <w:sz w:val="18"/>
                <w:szCs w:val="18"/>
              </w:rPr>
              <w:t>7% (3.3</w:t>
            </w:r>
            <w:r w:rsidR="00824921" w:rsidRPr="00E467ED">
              <w:rPr>
                <w:sz w:val="18"/>
                <w:szCs w:val="18"/>
              </w:rPr>
              <w:t xml:space="preserve">% - </w:t>
            </w:r>
            <w:r w:rsidR="005455DC" w:rsidRPr="00E467ED">
              <w:rPr>
                <w:sz w:val="18"/>
                <w:szCs w:val="18"/>
              </w:rPr>
              <w:t>16</w:t>
            </w:r>
            <w:r w:rsidR="00A20058" w:rsidRPr="00E467ED">
              <w:rPr>
                <w:sz w:val="18"/>
                <w:szCs w:val="18"/>
              </w:rPr>
              <w:t>.</w:t>
            </w:r>
            <w:r w:rsidR="00100393" w:rsidRPr="00E467ED">
              <w:rPr>
                <w:sz w:val="18"/>
                <w:szCs w:val="18"/>
              </w:rPr>
              <w:t>6</w:t>
            </w:r>
            <w:r w:rsidR="00824921" w:rsidRPr="00E467ED">
              <w:rPr>
                <w:sz w:val="18"/>
                <w:szCs w:val="18"/>
              </w:rPr>
              <w:t>%)</w:t>
            </w:r>
          </w:p>
          <w:p w:rsidR="00824921" w:rsidRPr="00E467ED" w:rsidRDefault="005C33A0" w:rsidP="0010709A">
            <w:pPr>
              <w:rPr>
                <w:sz w:val="18"/>
                <w:szCs w:val="18"/>
              </w:rPr>
            </w:pPr>
            <w:r w:rsidRPr="00E467ED">
              <w:rPr>
                <w:sz w:val="18"/>
                <w:szCs w:val="18"/>
              </w:rPr>
              <w:t xml:space="preserve">  </w:t>
            </w:r>
            <w:r w:rsidR="00687589" w:rsidRPr="00E467ED">
              <w:rPr>
                <w:sz w:val="18"/>
                <w:szCs w:val="18"/>
              </w:rPr>
              <w:t>1.</w:t>
            </w:r>
            <w:r w:rsidR="005455DC" w:rsidRPr="00E467ED">
              <w:rPr>
                <w:sz w:val="18"/>
                <w:szCs w:val="18"/>
              </w:rPr>
              <w:t>3% (0.4</w:t>
            </w:r>
            <w:r w:rsidR="00824921" w:rsidRPr="00E467ED">
              <w:rPr>
                <w:sz w:val="18"/>
                <w:szCs w:val="18"/>
              </w:rPr>
              <w:t xml:space="preserve">% - </w:t>
            </w:r>
            <w:r w:rsidR="007B4A36" w:rsidRPr="00E467ED">
              <w:rPr>
                <w:sz w:val="18"/>
                <w:szCs w:val="18"/>
              </w:rPr>
              <w:t>3</w:t>
            </w:r>
            <w:r w:rsidR="005455DC" w:rsidRPr="00E467ED">
              <w:rPr>
                <w:sz w:val="18"/>
                <w:szCs w:val="18"/>
              </w:rPr>
              <w:t>.6</w:t>
            </w:r>
            <w:r w:rsidR="00824921" w:rsidRPr="00E467ED">
              <w:rPr>
                <w:sz w:val="18"/>
                <w:szCs w:val="18"/>
              </w:rPr>
              <w:t>%)</w:t>
            </w:r>
          </w:p>
          <w:p w:rsidR="00687589" w:rsidRPr="00E467ED" w:rsidRDefault="00687589" w:rsidP="00BC3218">
            <w:pPr>
              <w:rPr>
                <w:sz w:val="18"/>
                <w:szCs w:val="18"/>
              </w:rPr>
            </w:pPr>
          </w:p>
          <w:p w:rsidR="00824921" w:rsidRPr="00E467ED" w:rsidRDefault="005C33A0" w:rsidP="00BC3218">
            <w:pPr>
              <w:rPr>
                <w:sz w:val="18"/>
                <w:szCs w:val="18"/>
              </w:rPr>
            </w:pPr>
            <w:r w:rsidRPr="00E467ED">
              <w:rPr>
                <w:sz w:val="18"/>
                <w:szCs w:val="18"/>
              </w:rPr>
              <w:t xml:space="preserve"> </w:t>
            </w:r>
            <w:r w:rsidR="005455DC" w:rsidRPr="00E467ED">
              <w:rPr>
                <w:sz w:val="18"/>
                <w:szCs w:val="18"/>
              </w:rPr>
              <w:t>1.7% (0.8</w:t>
            </w:r>
            <w:r w:rsidR="00687589" w:rsidRPr="00E467ED">
              <w:rPr>
                <w:sz w:val="18"/>
                <w:szCs w:val="18"/>
              </w:rPr>
              <w:t xml:space="preserve">% - </w:t>
            </w:r>
            <w:r w:rsidR="008400A7" w:rsidRPr="00E467ED">
              <w:rPr>
                <w:sz w:val="18"/>
                <w:szCs w:val="18"/>
              </w:rPr>
              <w:t>4.</w:t>
            </w:r>
            <w:r w:rsidR="00100393" w:rsidRPr="00E467ED">
              <w:rPr>
                <w:sz w:val="18"/>
                <w:szCs w:val="18"/>
              </w:rPr>
              <w:t>1</w:t>
            </w:r>
            <w:r w:rsidR="00824921" w:rsidRPr="00E467ED">
              <w:rPr>
                <w:sz w:val="18"/>
                <w:szCs w:val="18"/>
              </w:rPr>
              <w:t>%)</w:t>
            </w:r>
          </w:p>
          <w:p w:rsidR="00687589" w:rsidRPr="00E467ED" w:rsidRDefault="005C33A0" w:rsidP="00BC3218">
            <w:pPr>
              <w:rPr>
                <w:sz w:val="18"/>
                <w:szCs w:val="18"/>
              </w:rPr>
            </w:pPr>
            <w:r w:rsidRPr="00E467ED">
              <w:rPr>
                <w:sz w:val="18"/>
                <w:szCs w:val="18"/>
              </w:rPr>
              <w:t xml:space="preserve"> </w:t>
            </w:r>
            <w:r w:rsidR="005455DC" w:rsidRPr="00E467ED">
              <w:rPr>
                <w:sz w:val="18"/>
                <w:szCs w:val="18"/>
              </w:rPr>
              <w:t>1.4% (0.6</w:t>
            </w:r>
            <w:r w:rsidR="007E4EF5" w:rsidRPr="00E467ED">
              <w:rPr>
                <w:sz w:val="18"/>
                <w:szCs w:val="18"/>
              </w:rPr>
              <w:t xml:space="preserve">% - </w:t>
            </w:r>
            <w:r w:rsidR="005455DC" w:rsidRPr="00E467ED">
              <w:rPr>
                <w:sz w:val="18"/>
                <w:szCs w:val="18"/>
              </w:rPr>
              <w:t>3.6</w:t>
            </w:r>
            <w:r w:rsidR="00687589" w:rsidRPr="00E467ED">
              <w:rPr>
                <w:sz w:val="18"/>
                <w:szCs w:val="18"/>
              </w:rPr>
              <w:t>%)</w:t>
            </w:r>
          </w:p>
          <w:p w:rsidR="00687589" w:rsidRPr="00E467ED" w:rsidRDefault="005C33A0" w:rsidP="00100393">
            <w:pPr>
              <w:rPr>
                <w:sz w:val="18"/>
                <w:szCs w:val="18"/>
              </w:rPr>
            </w:pPr>
            <w:r w:rsidRPr="00E467ED">
              <w:rPr>
                <w:sz w:val="18"/>
                <w:szCs w:val="18"/>
              </w:rPr>
              <w:t xml:space="preserve"> </w:t>
            </w:r>
            <w:r w:rsidR="005455DC" w:rsidRPr="00E467ED">
              <w:rPr>
                <w:sz w:val="18"/>
                <w:szCs w:val="18"/>
              </w:rPr>
              <w:t>2.2% (1.0% - 5.</w:t>
            </w:r>
            <w:r w:rsidR="00100393" w:rsidRPr="00E467ED">
              <w:rPr>
                <w:sz w:val="18"/>
                <w:szCs w:val="18"/>
              </w:rPr>
              <w:t>3</w:t>
            </w:r>
            <w:r w:rsidR="004D00CB" w:rsidRPr="00E467ED">
              <w:rPr>
                <w:sz w:val="18"/>
                <w:szCs w:val="18"/>
              </w:rPr>
              <w:t>%)</w:t>
            </w:r>
          </w:p>
        </w:tc>
        <w:tc>
          <w:tcPr>
            <w:tcW w:w="3402" w:type="dxa"/>
          </w:tcPr>
          <w:p w:rsidR="00ED6BDF" w:rsidRPr="00E467ED" w:rsidRDefault="00ED6BDF" w:rsidP="0010709A">
            <w:pPr>
              <w:rPr>
                <w:sz w:val="18"/>
                <w:szCs w:val="18"/>
              </w:rPr>
            </w:pPr>
          </w:p>
          <w:p w:rsidR="00824921" w:rsidRPr="00E467ED" w:rsidRDefault="00ED6BDF" w:rsidP="004C1E44">
            <w:pPr>
              <w:rPr>
                <w:sz w:val="18"/>
                <w:szCs w:val="18"/>
              </w:rPr>
            </w:pPr>
            <w:r w:rsidRPr="00E467ED">
              <w:rPr>
                <w:sz w:val="18"/>
                <w:szCs w:val="18"/>
              </w:rPr>
              <w:t>Estimates are susceptible to bias due to re-diagnosis of people who d</w:t>
            </w:r>
            <w:r w:rsidR="004C1E44" w:rsidRPr="00E467ED">
              <w:rPr>
                <w:sz w:val="18"/>
                <w:szCs w:val="18"/>
              </w:rPr>
              <w:t xml:space="preserve">o not report previous diagnosis.  </w:t>
            </w:r>
            <w:r w:rsidR="003127BE" w:rsidRPr="00E467ED">
              <w:rPr>
                <w:sz w:val="18"/>
                <w:szCs w:val="18"/>
              </w:rPr>
              <w:t>6%-55% depending on group (Sharma et al</w:t>
            </w:r>
            <w:r w:rsidR="000820E0">
              <w:rPr>
                <w:sz w:val="18"/>
                <w:szCs w:val="18"/>
                <w:vertAlign w:val="superscript"/>
              </w:rPr>
              <w:t>5</w:t>
            </w:r>
            <w:r w:rsidR="003127BE" w:rsidRPr="00E467ED">
              <w:rPr>
                <w:sz w:val="18"/>
                <w:szCs w:val="18"/>
              </w:rPr>
              <w:t>).</w:t>
            </w:r>
            <w:r w:rsidRPr="00E467ED">
              <w:rPr>
                <w:sz w:val="18"/>
                <w:szCs w:val="18"/>
              </w:rPr>
              <w:t xml:space="preserve"> </w:t>
            </w:r>
          </w:p>
        </w:tc>
      </w:tr>
      <w:tr w:rsidR="00E467ED" w:rsidRPr="00E467ED" w:rsidTr="001F50C0">
        <w:trPr>
          <w:trHeight w:val="3251"/>
        </w:trPr>
        <w:tc>
          <w:tcPr>
            <w:tcW w:w="2977" w:type="dxa"/>
          </w:tcPr>
          <w:p w:rsidR="00824921" w:rsidRPr="00E467ED" w:rsidRDefault="00824921" w:rsidP="0010709A">
            <w:pPr>
              <w:spacing w:before="120"/>
              <w:rPr>
                <w:sz w:val="18"/>
                <w:szCs w:val="18"/>
              </w:rPr>
            </w:pPr>
            <w:r w:rsidRPr="00E467ED">
              <w:rPr>
                <w:sz w:val="18"/>
                <w:szCs w:val="18"/>
              </w:rPr>
              <w:t>Cost of testing per new HIV diagnosis</w:t>
            </w:r>
            <w:r w:rsidRPr="00E467ED">
              <w:rPr>
                <w:sz w:val="18"/>
                <w:szCs w:val="18"/>
                <w:vertAlign w:val="superscript"/>
              </w:rPr>
              <w:t xml:space="preserve">&amp; </w:t>
            </w:r>
            <w:r w:rsidRPr="00E467ED">
              <w:rPr>
                <w:sz w:val="18"/>
                <w:szCs w:val="18"/>
              </w:rPr>
              <w:t xml:space="preserve">               </w:t>
            </w:r>
          </w:p>
          <w:p w:rsidR="00824921" w:rsidRPr="00E467ED" w:rsidRDefault="00824921" w:rsidP="0010709A">
            <w:pPr>
              <w:spacing w:before="120"/>
              <w:rPr>
                <w:sz w:val="18"/>
                <w:szCs w:val="18"/>
              </w:rPr>
            </w:pPr>
            <w:r w:rsidRPr="00E467ED">
              <w:rPr>
                <w:sz w:val="18"/>
                <w:szCs w:val="18"/>
              </w:rPr>
              <w:t>All adults</w:t>
            </w:r>
            <w:r w:rsidR="0067234B" w:rsidRPr="00E467ED">
              <w:rPr>
                <w:sz w:val="18"/>
                <w:szCs w:val="18"/>
              </w:rPr>
              <w:t xml:space="preserve"> </w:t>
            </w:r>
            <w:r w:rsidR="0067234B" w:rsidRPr="00E467ED">
              <w:rPr>
                <w:sz w:val="18"/>
                <w:szCs w:val="18"/>
                <w:vertAlign w:val="superscript"/>
              </w:rPr>
              <w:t>o</w:t>
            </w:r>
          </w:p>
          <w:p w:rsidR="00824921" w:rsidRPr="00E467ED" w:rsidRDefault="007B4A36" w:rsidP="0010709A">
            <w:pPr>
              <w:rPr>
                <w:sz w:val="18"/>
                <w:szCs w:val="18"/>
              </w:rPr>
            </w:pPr>
            <w:r w:rsidRPr="00E467ED">
              <w:rPr>
                <w:sz w:val="18"/>
                <w:szCs w:val="18"/>
              </w:rPr>
              <w:t>Women</w:t>
            </w:r>
            <w:r w:rsidR="00824921" w:rsidRPr="00E467ED">
              <w:rPr>
                <w:sz w:val="18"/>
                <w:szCs w:val="18"/>
              </w:rPr>
              <w:t xml:space="preserve"> overall </w:t>
            </w:r>
            <w:r w:rsidR="0067234B" w:rsidRPr="00E467ED">
              <w:rPr>
                <w:sz w:val="18"/>
                <w:szCs w:val="18"/>
                <w:vertAlign w:val="superscript"/>
              </w:rPr>
              <w:t>o</w:t>
            </w:r>
          </w:p>
          <w:p w:rsidR="00824921" w:rsidRPr="00E467ED" w:rsidRDefault="00824921" w:rsidP="0010709A">
            <w:pPr>
              <w:rPr>
                <w:sz w:val="18"/>
                <w:szCs w:val="18"/>
              </w:rPr>
            </w:pPr>
            <w:r w:rsidRPr="00E467ED">
              <w:rPr>
                <w:sz w:val="18"/>
                <w:szCs w:val="18"/>
              </w:rPr>
              <w:t>Men overall</w:t>
            </w:r>
            <w:r w:rsidR="0067234B" w:rsidRPr="00E467ED">
              <w:rPr>
                <w:sz w:val="18"/>
                <w:szCs w:val="18"/>
                <w:vertAlign w:val="superscript"/>
              </w:rPr>
              <w:t xml:space="preserve"> o</w:t>
            </w:r>
          </w:p>
          <w:p w:rsidR="00824921" w:rsidRPr="00E467ED" w:rsidRDefault="00824921" w:rsidP="0010709A">
            <w:pPr>
              <w:rPr>
                <w:sz w:val="18"/>
                <w:szCs w:val="18"/>
              </w:rPr>
            </w:pPr>
            <w:r w:rsidRPr="00E467ED">
              <w:rPr>
                <w:sz w:val="18"/>
                <w:szCs w:val="18"/>
              </w:rPr>
              <w:t>ANC</w:t>
            </w:r>
          </w:p>
          <w:p w:rsidR="00824921" w:rsidRPr="00E467ED" w:rsidRDefault="00824921" w:rsidP="0010709A">
            <w:pPr>
              <w:rPr>
                <w:sz w:val="18"/>
                <w:szCs w:val="18"/>
              </w:rPr>
            </w:pPr>
            <w:r w:rsidRPr="00E467ED">
              <w:rPr>
                <w:sz w:val="18"/>
                <w:szCs w:val="18"/>
              </w:rPr>
              <w:t>FSW</w:t>
            </w:r>
          </w:p>
          <w:p w:rsidR="00824921" w:rsidRPr="00E467ED" w:rsidRDefault="00824921" w:rsidP="0010709A">
            <w:pPr>
              <w:rPr>
                <w:sz w:val="18"/>
                <w:szCs w:val="18"/>
              </w:rPr>
            </w:pPr>
            <w:r w:rsidRPr="00E467ED">
              <w:rPr>
                <w:sz w:val="18"/>
                <w:szCs w:val="18"/>
              </w:rPr>
              <w:t>Symptomatic</w:t>
            </w:r>
          </w:p>
          <w:p w:rsidR="00824921" w:rsidRPr="00E467ED" w:rsidRDefault="00824921" w:rsidP="0010709A">
            <w:pPr>
              <w:rPr>
                <w:sz w:val="18"/>
                <w:szCs w:val="18"/>
              </w:rPr>
            </w:pPr>
            <w:r w:rsidRPr="00E467ED">
              <w:rPr>
                <w:sz w:val="18"/>
                <w:szCs w:val="18"/>
              </w:rPr>
              <w:t>Men for VMMC</w:t>
            </w:r>
          </w:p>
          <w:p w:rsidR="009003E7" w:rsidRPr="00E467ED" w:rsidRDefault="009003E7" w:rsidP="009003E7">
            <w:pPr>
              <w:rPr>
                <w:sz w:val="18"/>
                <w:szCs w:val="18"/>
              </w:rPr>
            </w:pPr>
            <w:r w:rsidRPr="00E467ED">
              <w:rPr>
                <w:sz w:val="18"/>
                <w:szCs w:val="18"/>
              </w:rPr>
              <w:t xml:space="preserve">Testing beyond </w:t>
            </w:r>
            <w:r w:rsidR="00DB639A">
              <w:rPr>
                <w:sz w:val="18"/>
                <w:szCs w:val="18"/>
              </w:rPr>
              <w:t>core-testing</w:t>
            </w:r>
            <w:r w:rsidR="0067234B" w:rsidRPr="00E467ED">
              <w:rPr>
                <w:sz w:val="18"/>
                <w:szCs w:val="18"/>
              </w:rPr>
              <w:t xml:space="preserve"> </w:t>
            </w:r>
            <w:r w:rsidRPr="00E467ED">
              <w:rPr>
                <w:sz w:val="18"/>
                <w:szCs w:val="18"/>
                <w:vertAlign w:val="superscript"/>
              </w:rPr>
              <w:t>=</w:t>
            </w:r>
          </w:p>
          <w:p w:rsidR="009003E7" w:rsidRPr="00E467ED" w:rsidRDefault="009003E7" w:rsidP="009003E7">
            <w:pPr>
              <w:rPr>
                <w:sz w:val="18"/>
                <w:szCs w:val="18"/>
              </w:rPr>
            </w:pPr>
            <w:r w:rsidRPr="00E467ED">
              <w:rPr>
                <w:sz w:val="18"/>
                <w:szCs w:val="18"/>
              </w:rPr>
              <w:t xml:space="preserve">                All adults                     </w:t>
            </w:r>
          </w:p>
          <w:p w:rsidR="009003E7" w:rsidRPr="00E467ED" w:rsidRDefault="009003E7" w:rsidP="009003E7">
            <w:pPr>
              <w:rPr>
                <w:sz w:val="18"/>
                <w:szCs w:val="18"/>
                <w:vertAlign w:val="superscript"/>
              </w:rPr>
            </w:pPr>
            <w:r w:rsidRPr="00E467ED">
              <w:rPr>
                <w:sz w:val="18"/>
                <w:szCs w:val="18"/>
              </w:rPr>
              <w:t xml:space="preserve">                </w:t>
            </w:r>
            <w:r w:rsidR="007B4A36" w:rsidRPr="00E467ED">
              <w:rPr>
                <w:sz w:val="18"/>
                <w:szCs w:val="18"/>
              </w:rPr>
              <w:t>Women</w:t>
            </w:r>
            <w:r w:rsidRPr="00E467ED">
              <w:rPr>
                <w:sz w:val="18"/>
                <w:szCs w:val="18"/>
              </w:rPr>
              <w:t xml:space="preserve"> </w:t>
            </w:r>
          </w:p>
          <w:p w:rsidR="00824921" w:rsidRPr="00E467ED" w:rsidRDefault="009003E7" w:rsidP="009003E7">
            <w:pPr>
              <w:rPr>
                <w:sz w:val="18"/>
                <w:szCs w:val="18"/>
              </w:rPr>
            </w:pPr>
            <w:r w:rsidRPr="00E467ED">
              <w:rPr>
                <w:sz w:val="18"/>
                <w:szCs w:val="18"/>
                <w:vertAlign w:val="superscript"/>
              </w:rPr>
              <w:t xml:space="preserve">   </w:t>
            </w:r>
            <w:r w:rsidRPr="00E467ED">
              <w:rPr>
                <w:sz w:val="18"/>
                <w:szCs w:val="18"/>
              </w:rPr>
              <w:t xml:space="preserve">              Men</w:t>
            </w:r>
          </w:p>
        </w:tc>
        <w:tc>
          <w:tcPr>
            <w:tcW w:w="3260" w:type="dxa"/>
          </w:tcPr>
          <w:p w:rsidR="00824921" w:rsidRPr="00E467ED" w:rsidRDefault="00824921" w:rsidP="0010709A">
            <w:pPr>
              <w:rPr>
                <w:sz w:val="18"/>
                <w:szCs w:val="18"/>
              </w:rPr>
            </w:pPr>
          </w:p>
          <w:p w:rsidR="00824921" w:rsidRPr="00E467ED" w:rsidRDefault="00824921" w:rsidP="0010709A">
            <w:pPr>
              <w:rPr>
                <w:sz w:val="18"/>
                <w:szCs w:val="18"/>
              </w:rPr>
            </w:pPr>
          </w:p>
          <w:p w:rsidR="00824921" w:rsidRPr="00E467ED" w:rsidRDefault="00824921" w:rsidP="0010709A">
            <w:pPr>
              <w:rPr>
                <w:sz w:val="18"/>
                <w:szCs w:val="18"/>
              </w:rPr>
            </w:pPr>
          </w:p>
          <w:p w:rsidR="00824921" w:rsidRPr="00E467ED" w:rsidRDefault="00824921" w:rsidP="0010709A">
            <w:pPr>
              <w:rPr>
                <w:sz w:val="18"/>
                <w:szCs w:val="18"/>
              </w:rPr>
            </w:pPr>
            <w:r w:rsidRPr="00E467ED">
              <w:rPr>
                <w:sz w:val="18"/>
                <w:szCs w:val="18"/>
              </w:rPr>
              <w:t>$</w:t>
            </w:r>
            <w:r w:rsidR="009003E7" w:rsidRPr="00E467ED">
              <w:rPr>
                <w:sz w:val="18"/>
                <w:szCs w:val="18"/>
              </w:rPr>
              <w:t>1</w:t>
            </w:r>
            <w:r w:rsidR="00720976" w:rsidRPr="00E467ED">
              <w:rPr>
                <w:sz w:val="18"/>
                <w:szCs w:val="18"/>
              </w:rPr>
              <w:t>5</w:t>
            </w:r>
            <w:r w:rsidR="002E05E9" w:rsidRPr="00E467ED">
              <w:rPr>
                <w:sz w:val="18"/>
                <w:szCs w:val="18"/>
              </w:rPr>
              <w:t>9</w:t>
            </w:r>
            <w:r w:rsidR="00720976" w:rsidRPr="00E467ED">
              <w:rPr>
                <w:sz w:val="18"/>
                <w:szCs w:val="18"/>
              </w:rPr>
              <w:t xml:space="preserve"> ($73</w:t>
            </w:r>
            <w:r w:rsidRPr="00E467ED">
              <w:rPr>
                <w:sz w:val="18"/>
                <w:szCs w:val="18"/>
              </w:rPr>
              <w:t xml:space="preserve"> - $</w:t>
            </w:r>
            <w:r w:rsidR="002E05E9" w:rsidRPr="00E467ED">
              <w:rPr>
                <w:sz w:val="18"/>
                <w:szCs w:val="18"/>
              </w:rPr>
              <w:t>357</w:t>
            </w:r>
            <w:r w:rsidRPr="00E467ED">
              <w:rPr>
                <w:sz w:val="18"/>
                <w:szCs w:val="18"/>
              </w:rPr>
              <w:t>)</w:t>
            </w:r>
          </w:p>
          <w:p w:rsidR="007E4EF5" w:rsidRPr="00E467ED" w:rsidRDefault="00720976" w:rsidP="007E4EF5">
            <w:pPr>
              <w:rPr>
                <w:sz w:val="18"/>
                <w:szCs w:val="18"/>
              </w:rPr>
            </w:pPr>
            <w:r w:rsidRPr="00E467ED">
              <w:rPr>
                <w:sz w:val="18"/>
                <w:szCs w:val="18"/>
              </w:rPr>
              <w:t>$18</w:t>
            </w:r>
            <w:r w:rsidR="002E05E9" w:rsidRPr="00E467ED">
              <w:rPr>
                <w:sz w:val="18"/>
                <w:szCs w:val="18"/>
              </w:rPr>
              <w:t>8</w:t>
            </w:r>
            <w:r w:rsidR="007E4EF5" w:rsidRPr="00E467ED">
              <w:rPr>
                <w:sz w:val="18"/>
                <w:szCs w:val="18"/>
              </w:rPr>
              <w:t xml:space="preserve"> ($</w:t>
            </w:r>
            <w:r w:rsidR="002E05E9" w:rsidRPr="00E467ED">
              <w:rPr>
                <w:sz w:val="18"/>
                <w:szCs w:val="18"/>
              </w:rPr>
              <w:t>81</w:t>
            </w:r>
            <w:r w:rsidR="007E4EF5" w:rsidRPr="00E467ED">
              <w:rPr>
                <w:sz w:val="18"/>
                <w:szCs w:val="18"/>
              </w:rPr>
              <w:t xml:space="preserve"> - $</w:t>
            </w:r>
            <w:r w:rsidRPr="00E467ED">
              <w:rPr>
                <w:sz w:val="18"/>
                <w:szCs w:val="18"/>
              </w:rPr>
              <w:t>45</w:t>
            </w:r>
            <w:r w:rsidR="002E05E9" w:rsidRPr="00E467ED">
              <w:rPr>
                <w:sz w:val="18"/>
                <w:szCs w:val="18"/>
              </w:rPr>
              <w:t>2</w:t>
            </w:r>
            <w:r w:rsidR="007E4EF5" w:rsidRPr="00E467ED">
              <w:rPr>
                <w:sz w:val="18"/>
                <w:szCs w:val="18"/>
              </w:rPr>
              <w:t>)</w:t>
            </w:r>
          </w:p>
          <w:p w:rsidR="00824921" w:rsidRPr="00E467ED" w:rsidRDefault="00824921" w:rsidP="0010709A">
            <w:pPr>
              <w:rPr>
                <w:sz w:val="18"/>
                <w:szCs w:val="18"/>
              </w:rPr>
            </w:pPr>
            <w:r w:rsidRPr="00E467ED">
              <w:rPr>
                <w:sz w:val="18"/>
                <w:szCs w:val="18"/>
              </w:rPr>
              <w:t>$</w:t>
            </w:r>
            <w:r w:rsidR="00720976" w:rsidRPr="00E467ED">
              <w:rPr>
                <w:sz w:val="18"/>
                <w:szCs w:val="18"/>
              </w:rPr>
              <w:t>13</w:t>
            </w:r>
            <w:r w:rsidR="002E05E9" w:rsidRPr="00E467ED">
              <w:rPr>
                <w:sz w:val="18"/>
                <w:szCs w:val="18"/>
              </w:rPr>
              <w:t>3</w:t>
            </w:r>
            <w:r w:rsidR="00720976" w:rsidRPr="00E467ED">
              <w:rPr>
                <w:sz w:val="18"/>
                <w:szCs w:val="18"/>
              </w:rPr>
              <w:t xml:space="preserve"> ($</w:t>
            </w:r>
            <w:r w:rsidR="007E4EF5" w:rsidRPr="00E467ED">
              <w:rPr>
                <w:sz w:val="18"/>
                <w:szCs w:val="18"/>
              </w:rPr>
              <w:t>6</w:t>
            </w:r>
            <w:r w:rsidR="002E05E9" w:rsidRPr="00E467ED">
              <w:rPr>
                <w:sz w:val="18"/>
                <w:szCs w:val="18"/>
              </w:rPr>
              <w:t>3</w:t>
            </w:r>
            <w:r w:rsidRPr="00E467ED">
              <w:rPr>
                <w:sz w:val="18"/>
                <w:szCs w:val="18"/>
              </w:rPr>
              <w:t xml:space="preserve"> - $</w:t>
            </w:r>
            <w:r w:rsidR="00720976" w:rsidRPr="00E467ED">
              <w:rPr>
                <w:sz w:val="18"/>
                <w:szCs w:val="18"/>
              </w:rPr>
              <w:t>31</w:t>
            </w:r>
            <w:r w:rsidR="002E05E9" w:rsidRPr="00E467ED">
              <w:rPr>
                <w:sz w:val="18"/>
                <w:szCs w:val="18"/>
              </w:rPr>
              <w:t>4</w:t>
            </w:r>
            <w:r w:rsidRPr="00E467ED">
              <w:rPr>
                <w:sz w:val="18"/>
                <w:szCs w:val="18"/>
              </w:rPr>
              <w:t>)</w:t>
            </w:r>
          </w:p>
          <w:p w:rsidR="00824921" w:rsidRPr="00E467ED" w:rsidRDefault="00824921" w:rsidP="0010709A">
            <w:pPr>
              <w:rPr>
                <w:sz w:val="18"/>
                <w:szCs w:val="18"/>
              </w:rPr>
            </w:pPr>
            <w:r w:rsidRPr="00E467ED">
              <w:rPr>
                <w:sz w:val="18"/>
                <w:szCs w:val="18"/>
              </w:rPr>
              <w:t>$</w:t>
            </w:r>
            <w:r w:rsidR="00BD2B32" w:rsidRPr="00E467ED">
              <w:rPr>
                <w:sz w:val="18"/>
                <w:szCs w:val="18"/>
              </w:rPr>
              <w:t>2</w:t>
            </w:r>
            <w:r w:rsidR="00C66BE3" w:rsidRPr="00E467ED">
              <w:rPr>
                <w:sz w:val="18"/>
                <w:szCs w:val="18"/>
              </w:rPr>
              <w:t>33</w:t>
            </w:r>
            <w:r w:rsidR="009003E7" w:rsidRPr="00E467ED">
              <w:rPr>
                <w:sz w:val="18"/>
                <w:szCs w:val="18"/>
              </w:rPr>
              <w:t xml:space="preserve"> </w:t>
            </w:r>
            <w:r w:rsidRPr="00E467ED">
              <w:rPr>
                <w:sz w:val="18"/>
                <w:szCs w:val="18"/>
              </w:rPr>
              <w:t>($</w:t>
            </w:r>
            <w:r w:rsidR="006F1E3C" w:rsidRPr="00E467ED">
              <w:rPr>
                <w:sz w:val="18"/>
                <w:szCs w:val="18"/>
              </w:rPr>
              <w:t>9</w:t>
            </w:r>
            <w:r w:rsidR="00C66BE3" w:rsidRPr="00E467ED">
              <w:rPr>
                <w:sz w:val="18"/>
                <w:szCs w:val="18"/>
              </w:rPr>
              <w:t>5</w:t>
            </w:r>
            <w:r w:rsidRPr="00E467ED">
              <w:rPr>
                <w:sz w:val="18"/>
                <w:szCs w:val="18"/>
              </w:rPr>
              <w:t xml:space="preserve"> - $</w:t>
            </w:r>
            <w:r w:rsidR="00BD2B32" w:rsidRPr="00E467ED">
              <w:rPr>
                <w:sz w:val="18"/>
                <w:szCs w:val="18"/>
              </w:rPr>
              <w:t>65</w:t>
            </w:r>
            <w:r w:rsidR="00C66BE3" w:rsidRPr="00E467ED">
              <w:rPr>
                <w:sz w:val="18"/>
                <w:szCs w:val="18"/>
              </w:rPr>
              <w:t>0</w:t>
            </w:r>
            <w:r w:rsidRPr="00E467ED">
              <w:rPr>
                <w:sz w:val="18"/>
                <w:szCs w:val="18"/>
              </w:rPr>
              <w:t>)</w:t>
            </w:r>
          </w:p>
          <w:p w:rsidR="00824921" w:rsidRPr="00E467ED" w:rsidRDefault="00824921" w:rsidP="0010709A">
            <w:pPr>
              <w:rPr>
                <w:sz w:val="18"/>
                <w:szCs w:val="18"/>
              </w:rPr>
            </w:pPr>
            <w:r w:rsidRPr="00E467ED">
              <w:rPr>
                <w:sz w:val="18"/>
                <w:szCs w:val="18"/>
              </w:rPr>
              <w:t xml:space="preserve"> </w:t>
            </w:r>
            <w:r w:rsidR="009003E7" w:rsidRPr="00E467ED">
              <w:rPr>
                <w:sz w:val="18"/>
                <w:szCs w:val="18"/>
              </w:rPr>
              <w:t xml:space="preserve"> </w:t>
            </w:r>
            <w:r w:rsidRPr="00E467ED">
              <w:rPr>
                <w:sz w:val="18"/>
                <w:szCs w:val="18"/>
              </w:rPr>
              <w:t>$</w:t>
            </w:r>
            <w:r w:rsidR="00C66BE3" w:rsidRPr="00E467ED">
              <w:rPr>
                <w:sz w:val="18"/>
                <w:szCs w:val="18"/>
              </w:rPr>
              <w:t>30 ($27 - $48</w:t>
            </w:r>
            <w:r w:rsidRPr="00E467ED">
              <w:rPr>
                <w:sz w:val="18"/>
                <w:szCs w:val="18"/>
              </w:rPr>
              <w:t>)</w:t>
            </w:r>
          </w:p>
          <w:p w:rsidR="009003E7" w:rsidRPr="00E467ED" w:rsidRDefault="009003E7" w:rsidP="0010709A">
            <w:pPr>
              <w:rPr>
                <w:sz w:val="18"/>
                <w:szCs w:val="18"/>
              </w:rPr>
            </w:pPr>
            <w:r w:rsidRPr="00E467ED">
              <w:rPr>
                <w:sz w:val="18"/>
                <w:szCs w:val="18"/>
              </w:rPr>
              <w:t xml:space="preserve"> </w:t>
            </w:r>
            <w:r w:rsidR="00824921" w:rsidRPr="00E467ED">
              <w:rPr>
                <w:sz w:val="18"/>
                <w:szCs w:val="18"/>
              </w:rPr>
              <w:t xml:space="preserve"> $</w:t>
            </w:r>
            <w:r w:rsidR="007E4EF5" w:rsidRPr="00E467ED">
              <w:rPr>
                <w:sz w:val="18"/>
                <w:szCs w:val="18"/>
              </w:rPr>
              <w:t>7</w:t>
            </w:r>
            <w:r w:rsidR="00720976" w:rsidRPr="00E467ED">
              <w:rPr>
                <w:sz w:val="18"/>
                <w:szCs w:val="18"/>
              </w:rPr>
              <w:t>1</w:t>
            </w:r>
            <w:r w:rsidR="00B92B36" w:rsidRPr="00E467ED">
              <w:rPr>
                <w:sz w:val="18"/>
                <w:szCs w:val="18"/>
              </w:rPr>
              <w:t xml:space="preserve"> ($4</w:t>
            </w:r>
            <w:r w:rsidR="002E05E9" w:rsidRPr="00E467ED">
              <w:rPr>
                <w:sz w:val="18"/>
                <w:szCs w:val="18"/>
              </w:rPr>
              <w:t>2</w:t>
            </w:r>
            <w:r w:rsidR="00824921" w:rsidRPr="00E467ED">
              <w:rPr>
                <w:sz w:val="18"/>
                <w:szCs w:val="18"/>
              </w:rPr>
              <w:t xml:space="preserve"> - $</w:t>
            </w:r>
            <w:r w:rsidR="00720976" w:rsidRPr="00E467ED">
              <w:rPr>
                <w:sz w:val="18"/>
                <w:szCs w:val="18"/>
              </w:rPr>
              <w:t>15</w:t>
            </w:r>
            <w:r w:rsidR="002E05E9" w:rsidRPr="00E467ED">
              <w:rPr>
                <w:sz w:val="18"/>
                <w:szCs w:val="18"/>
              </w:rPr>
              <w:t>7</w:t>
            </w:r>
            <w:r w:rsidRPr="00E467ED">
              <w:rPr>
                <w:sz w:val="18"/>
                <w:szCs w:val="18"/>
              </w:rPr>
              <w:t xml:space="preserve">) </w:t>
            </w:r>
          </w:p>
          <w:p w:rsidR="00824921" w:rsidRPr="00E467ED" w:rsidRDefault="00824921" w:rsidP="0010709A">
            <w:pPr>
              <w:rPr>
                <w:sz w:val="18"/>
                <w:szCs w:val="18"/>
              </w:rPr>
            </w:pPr>
            <w:r w:rsidRPr="00E467ED">
              <w:rPr>
                <w:sz w:val="18"/>
                <w:szCs w:val="18"/>
              </w:rPr>
              <w:t>$</w:t>
            </w:r>
            <w:r w:rsidR="007E4EF5" w:rsidRPr="00E467ED">
              <w:rPr>
                <w:sz w:val="18"/>
                <w:szCs w:val="18"/>
              </w:rPr>
              <w:t>13</w:t>
            </w:r>
            <w:r w:rsidR="00BD2B32" w:rsidRPr="00E467ED">
              <w:rPr>
                <w:sz w:val="18"/>
                <w:szCs w:val="18"/>
              </w:rPr>
              <w:t>9</w:t>
            </w:r>
            <w:r w:rsidR="007E4EF5" w:rsidRPr="00E467ED">
              <w:rPr>
                <w:sz w:val="18"/>
                <w:szCs w:val="18"/>
              </w:rPr>
              <w:t xml:space="preserve"> ($</w:t>
            </w:r>
            <w:r w:rsidR="00BD2B32" w:rsidRPr="00E467ED">
              <w:rPr>
                <w:sz w:val="18"/>
                <w:szCs w:val="18"/>
              </w:rPr>
              <w:t>112</w:t>
            </w:r>
            <w:r w:rsidR="007E4EF5" w:rsidRPr="00E467ED">
              <w:rPr>
                <w:sz w:val="18"/>
                <w:szCs w:val="18"/>
              </w:rPr>
              <w:t xml:space="preserve"> - $1</w:t>
            </w:r>
            <w:r w:rsidR="00BD2B32" w:rsidRPr="00E467ED">
              <w:rPr>
                <w:sz w:val="18"/>
                <w:szCs w:val="18"/>
              </w:rPr>
              <w:t>61</w:t>
            </w:r>
            <w:r w:rsidRPr="00E467ED">
              <w:rPr>
                <w:sz w:val="18"/>
                <w:szCs w:val="18"/>
              </w:rPr>
              <w:t>)</w:t>
            </w:r>
          </w:p>
          <w:p w:rsidR="009003E7" w:rsidRPr="00E467ED" w:rsidRDefault="009003E7" w:rsidP="0010709A">
            <w:pPr>
              <w:rPr>
                <w:sz w:val="18"/>
                <w:szCs w:val="18"/>
              </w:rPr>
            </w:pPr>
          </w:p>
          <w:p w:rsidR="00824921" w:rsidRPr="00E467ED" w:rsidRDefault="00824921" w:rsidP="0010709A">
            <w:pPr>
              <w:rPr>
                <w:sz w:val="18"/>
                <w:szCs w:val="18"/>
              </w:rPr>
            </w:pPr>
            <w:r w:rsidRPr="00E467ED">
              <w:rPr>
                <w:sz w:val="18"/>
                <w:szCs w:val="18"/>
              </w:rPr>
              <w:t>$</w:t>
            </w:r>
            <w:r w:rsidR="00720976" w:rsidRPr="00E467ED">
              <w:rPr>
                <w:sz w:val="18"/>
                <w:szCs w:val="18"/>
              </w:rPr>
              <w:t>25</w:t>
            </w:r>
            <w:r w:rsidR="00C66BE3" w:rsidRPr="00E467ED">
              <w:rPr>
                <w:sz w:val="18"/>
                <w:szCs w:val="18"/>
              </w:rPr>
              <w:t>3</w:t>
            </w:r>
            <w:r w:rsidRPr="00E467ED">
              <w:rPr>
                <w:sz w:val="18"/>
                <w:szCs w:val="18"/>
              </w:rPr>
              <w:t xml:space="preserve"> ($</w:t>
            </w:r>
            <w:r w:rsidR="00720976" w:rsidRPr="00E467ED">
              <w:rPr>
                <w:sz w:val="18"/>
                <w:szCs w:val="18"/>
              </w:rPr>
              <w:t>11</w:t>
            </w:r>
            <w:r w:rsidR="00B23886" w:rsidRPr="00E467ED">
              <w:rPr>
                <w:sz w:val="18"/>
                <w:szCs w:val="18"/>
              </w:rPr>
              <w:t>5</w:t>
            </w:r>
            <w:r w:rsidRPr="00E467ED">
              <w:rPr>
                <w:sz w:val="18"/>
                <w:szCs w:val="18"/>
              </w:rPr>
              <w:t xml:space="preserve"> - $</w:t>
            </w:r>
            <w:r w:rsidR="00720976" w:rsidRPr="00E467ED">
              <w:rPr>
                <w:sz w:val="18"/>
                <w:szCs w:val="18"/>
              </w:rPr>
              <w:t>540</w:t>
            </w:r>
            <w:r w:rsidRPr="00E467ED">
              <w:rPr>
                <w:sz w:val="18"/>
                <w:szCs w:val="18"/>
              </w:rPr>
              <w:t>)</w:t>
            </w:r>
          </w:p>
          <w:p w:rsidR="00824921" w:rsidRPr="00E467ED" w:rsidRDefault="00824921" w:rsidP="00BC3218">
            <w:pPr>
              <w:rPr>
                <w:sz w:val="18"/>
                <w:szCs w:val="18"/>
              </w:rPr>
            </w:pPr>
            <w:r w:rsidRPr="00E467ED">
              <w:rPr>
                <w:sz w:val="18"/>
                <w:szCs w:val="18"/>
              </w:rPr>
              <w:t>$</w:t>
            </w:r>
            <w:r w:rsidR="00C66BE3" w:rsidRPr="00E467ED">
              <w:rPr>
                <w:sz w:val="18"/>
                <w:szCs w:val="18"/>
              </w:rPr>
              <w:t>336</w:t>
            </w:r>
            <w:r w:rsidR="007E4EF5" w:rsidRPr="00E467ED">
              <w:rPr>
                <w:sz w:val="18"/>
                <w:szCs w:val="18"/>
              </w:rPr>
              <w:t xml:space="preserve"> ($1</w:t>
            </w:r>
            <w:r w:rsidR="00B61DC8" w:rsidRPr="00E467ED">
              <w:rPr>
                <w:sz w:val="18"/>
                <w:szCs w:val="18"/>
              </w:rPr>
              <w:t>35</w:t>
            </w:r>
            <w:r w:rsidRPr="00E467ED">
              <w:rPr>
                <w:sz w:val="18"/>
                <w:szCs w:val="18"/>
              </w:rPr>
              <w:t xml:space="preserve"> - $</w:t>
            </w:r>
            <w:r w:rsidR="00C66BE3" w:rsidRPr="00E467ED">
              <w:rPr>
                <w:sz w:val="18"/>
                <w:szCs w:val="18"/>
              </w:rPr>
              <w:t>792</w:t>
            </w:r>
            <w:r w:rsidRPr="00E467ED">
              <w:rPr>
                <w:sz w:val="18"/>
                <w:szCs w:val="18"/>
              </w:rPr>
              <w:t>)</w:t>
            </w:r>
          </w:p>
          <w:p w:rsidR="009003E7" w:rsidRPr="00E467ED" w:rsidRDefault="002E05E9" w:rsidP="002E05E9">
            <w:pPr>
              <w:rPr>
                <w:sz w:val="18"/>
                <w:szCs w:val="18"/>
              </w:rPr>
            </w:pPr>
            <w:r w:rsidRPr="00E467ED">
              <w:rPr>
                <w:sz w:val="18"/>
                <w:szCs w:val="18"/>
              </w:rPr>
              <w:t>$214</w:t>
            </w:r>
            <w:r w:rsidR="00720976" w:rsidRPr="00E467ED">
              <w:rPr>
                <w:sz w:val="18"/>
                <w:szCs w:val="18"/>
              </w:rPr>
              <w:t xml:space="preserve"> ($</w:t>
            </w:r>
            <w:r w:rsidRPr="00E467ED">
              <w:rPr>
                <w:sz w:val="18"/>
                <w:szCs w:val="18"/>
              </w:rPr>
              <w:t>101</w:t>
            </w:r>
            <w:r w:rsidR="007E4EF5" w:rsidRPr="00E467ED">
              <w:rPr>
                <w:sz w:val="18"/>
                <w:szCs w:val="18"/>
              </w:rPr>
              <w:t xml:space="preserve"> - $</w:t>
            </w:r>
            <w:r w:rsidR="00C66BE3" w:rsidRPr="00E467ED">
              <w:rPr>
                <w:sz w:val="18"/>
                <w:szCs w:val="18"/>
              </w:rPr>
              <w:t>472</w:t>
            </w:r>
            <w:r w:rsidR="009003E7" w:rsidRPr="00E467ED">
              <w:rPr>
                <w:sz w:val="18"/>
                <w:szCs w:val="18"/>
              </w:rPr>
              <w:t>)</w:t>
            </w:r>
          </w:p>
        </w:tc>
        <w:tc>
          <w:tcPr>
            <w:tcW w:w="3402" w:type="dxa"/>
          </w:tcPr>
          <w:p w:rsidR="00ED6BDF" w:rsidRPr="00E467ED" w:rsidRDefault="00ED6BDF" w:rsidP="0010709A">
            <w:pPr>
              <w:rPr>
                <w:sz w:val="18"/>
                <w:szCs w:val="18"/>
              </w:rPr>
            </w:pPr>
          </w:p>
          <w:p w:rsidR="00824921" w:rsidRPr="00E467ED" w:rsidRDefault="00A67C53" w:rsidP="00A67C53">
            <w:pPr>
              <w:rPr>
                <w:sz w:val="18"/>
                <w:szCs w:val="18"/>
              </w:rPr>
            </w:pPr>
            <w:r w:rsidRPr="00E467ED">
              <w:rPr>
                <w:sz w:val="18"/>
                <w:szCs w:val="18"/>
              </w:rPr>
              <w:t xml:space="preserve">Few estimates reported.  Estimates are </w:t>
            </w:r>
            <w:r w:rsidR="00ED6BDF" w:rsidRPr="00E467ED">
              <w:rPr>
                <w:sz w:val="18"/>
                <w:szCs w:val="18"/>
              </w:rPr>
              <w:t>susceptib</w:t>
            </w:r>
            <w:r w:rsidRPr="00E467ED">
              <w:rPr>
                <w:sz w:val="18"/>
                <w:szCs w:val="18"/>
              </w:rPr>
              <w:t xml:space="preserve">le </w:t>
            </w:r>
            <w:r w:rsidR="00ED6BDF" w:rsidRPr="00E467ED">
              <w:rPr>
                <w:sz w:val="18"/>
                <w:szCs w:val="18"/>
              </w:rPr>
              <w:t>to bias described above.</w:t>
            </w:r>
            <w:r w:rsidRPr="00E467ED">
              <w:rPr>
                <w:sz w:val="18"/>
                <w:szCs w:val="18"/>
              </w:rPr>
              <w:t xml:space="preserve"> </w:t>
            </w:r>
          </w:p>
          <w:p w:rsidR="00A67C53" w:rsidRPr="00E467ED" w:rsidRDefault="00A67C53" w:rsidP="00773D61">
            <w:pPr>
              <w:rPr>
                <w:sz w:val="18"/>
                <w:szCs w:val="18"/>
              </w:rPr>
            </w:pPr>
            <w:r w:rsidRPr="00E467ED">
              <w:rPr>
                <w:sz w:val="18"/>
                <w:szCs w:val="18"/>
              </w:rPr>
              <w:t>&gt;$500 (Bogart 2017; fisher folk Uganda</w:t>
            </w:r>
            <w:r w:rsidR="000820E0">
              <w:rPr>
                <w:sz w:val="18"/>
                <w:szCs w:val="18"/>
                <w:vertAlign w:val="superscript"/>
              </w:rPr>
              <w:t>30</w:t>
            </w:r>
            <w:r w:rsidRPr="00E467ED">
              <w:rPr>
                <w:sz w:val="18"/>
                <w:szCs w:val="18"/>
              </w:rPr>
              <w:t>).  $36 (Rutstein 2014; partner notification Malawi</w:t>
            </w:r>
            <w:r w:rsidR="000820E0">
              <w:rPr>
                <w:sz w:val="18"/>
                <w:szCs w:val="18"/>
                <w:vertAlign w:val="superscript"/>
              </w:rPr>
              <w:t>31</w:t>
            </w:r>
            <w:r w:rsidRPr="00E467ED">
              <w:rPr>
                <w:sz w:val="18"/>
                <w:szCs w:val="18"/>
              </w:rPr>
              <w:t>); $157-$189 in 2010 (Grabbe;  mobile and stand-alone HIV counselling and testing approaches in Kenya</w:t>
            </w:r>
            <w:r w:rsidR="000820E0">
              <w:rPr>
                <w:sz w:val="18"/>
                <w:szCs w:val="18"/>
                <w:vertAlign w:val="superscript"/>
              </w:rPr>
              <w:t>32</w:t>
            </w:r>
            <w:r w:rsidRPr="00E467ED">
              <w:rPr>
                <w:sz w:val="18"/>
                <w:szCs w:val="18"/>
              </w:rPr>
              <w:t>); $25-$76 (Maheswaran; facility based testing in Malawi</w:t>
            </w:r>
            <w:r w:rsidR="000820E0">
              <w:rPr>
                <w:sz w:val="18"/>
                <w:szCs w:val="18"/>
                <w:vertAlign w:val="superscript"/>
              </w:rPr>
              <w:t>33</w:t>
            </w:r>
            <w:r w:rsidRPr="00E467ED">
              <w:rPr>
                <w:sz w:val="18"/>
                <w:szCs w:val="18"/>
              </w:rPr>
              <w:t>).</w:t>
            </w:r>
          </w:p>
        </w:tc>
      </w:tr>
      <w:tr w:rsidR="00E467ED" w:rsidRPr="00E467ED" w:rsidTr="00A01C0E">
        <w:trPr>
          <w:trHeight w:val="2142"/>
        </w:trPr>
        <w:tc>
          <w:tcPr>
            <w:tcW w:w="2977" w:type="dxa"/>
          </w:tcPr>
          <w:p w:rsidR="00824921" w:rsidRPr="00E467ED" w:rsidRDefault="00824921" w:rsidP="00763039">
            <w:pPr>
              <w:rPr>
                <w:sz w:val="18"/>
                <w:szCs w:val="18"/>
              </w:rPr>
            </w:pPr>
          </w:p>
          <w:p w:rsidR="00824921" w:rsidRPr="00E467ED" w:rsidRDefault="00824921" w:rsidP="00763039">
            <w:pPr>
              <w:rPr>
                <w:sz w:val="18"/>
                <w:szCs w:val="18"/>
              </w:rPr>
            </w:pPr>
            <w:r w:rsidRPr="00E467ED">
              <w:rPr>
                <w:sz w:val="18"/>
                <w:szCs w:val="18"/>
              </w:rPr>
              <w:t>Proportion tested</w:t>
            </w:r>
          </w:p>
          <w:p w:rsidR="00824921" w:rsidRPr="00E467ED" w:rsidRDefault="00824921" w:rsidP="00D60E75">
            <w:pPr>
              <w:rPr>
                <w:sz w:val="17"/>
                <w:szCs w:val="17"/>
              </w:rPr>
            </w:pPr>
            <w:r w:rsidRPr="00E467ED">
              <w:rPr>
                <w:sz w:val="18"/>
                <w:szCs w:val="18"/>
              </w:rPr>
              <w:t xml:space="preserve">Overall in past year </w:t>
            </w:r>
            <w:r w:rsidR="007B4A36" w:rsidRPr="00E467ED">
              <w:rPr>
                <w:sz w:val="18"/>
                <w:szCs w:val="18"/>
              </w:rPr>
              <w:t>women</w:t>
            </w:r>
            <w:r w:rsidR="00996EBB" w:rsidRPr="00E467ED">
              <w:rPr>
                <w:sz w:val="17"/>
                <w:szCs w:val="17"/>
              </w:rPr>
              <w:t xml:space="preserve"> age 15-49</w:t>
            </w:r>
            <w:r w:rsidR="0067234B" w:rsidRPr="00E467ED">
              <w:rPr>
                <w:sz w:val="18"/>
                <w:szCs w:val="18"/>
                <w:vertAlign w:val="superscript"/>
              </w:rPr>
              <w:t xml:space="preserve"> </w:t>
            </w:r>
          </w:p>
          <w:p w:rsidR="00824921" w:rsidRPr="00E467ED" w:rsidRDefault="00824921" w:rsidP="00D60E75">
            <w:pPr>
              <w:rPr>
                <w:sz w:val="18"/>
                <w:szCs w:val="18"/>
              </w:rPr>
            </w:pPr>
            <w:r w:rsidRPr="00E467ED">
              <w:rPr>
                <w:sz w:val="18"/>
                <w:szCs w:val="18"/>
              </w:rPr>
              <w:t xml:space="preserve">Overall in past year males </w:t>
            </w:r>
            <w:r w:rsidR="00996EBB" w:rsidRPr="00E467ED">
              <w:rPr>
                <w:sz w:val="18"/>
                <w:szCs w:val="18"/>
              </w:rPr>
              <w:t>age 15-49</w:t>
            </w:r>
          </w:p>
          <w:p w:rsidR="009003E7" w:rsidRPr="00E467ED" w:rsidRDefault="00824921" w:rsidP="00D60E75">
            <w:pPr>
              <w:rPr>
                <w:sz w:val="18"/>
                <w:szCs w:val="18"/>
              </w:rPr>
            </w:pPr>
            <w:r w:rsidRPr="00E467ED">
              <w:rPr>
                <w:sz w:val="18"/>
                <w:szCs w:val="18"/>
              </w:rPr>
              <w:t xml:space="preserve">Amongst those symptomatic with </w:t>
            </w:r>
          </w:p>
          <w:p w:rsidR="00824921" w:rsidRPr="00E467ED" w:rsidRDefault="009003E7" w:rsidP="00D60E75">
            <w:pPr>
              <w:rPr>
                <w:sz w:val="18"/>
                <w:szCs w:val="18"/>
              </w:rPr>
            </w:pPr>
            <w:r w:rsidRPr="00E467ED">
              <w:rPr>
                <w:sz w:val="18"/>
                <w:szCs w:val="18"/>
              </w:rPr>
              <w:t>HIV</w:t>
            </w:r>
            <w:r w:rsidR="00824921" w:rsidRPr="00E467ED">
              <w:rPr>
                <w:sz w:val="18"/>
                <w:szCs w:val="18"/>
              </w:rPr>
              <w:t xml:space="preserve"> symptoms</w:t>
            </w:r>
            <w:r w:rsidRPr="00E467ED">
              <w:rPr>
                <w:sz w:val="18"/>
                <w:szCs w:val="18"/>
              </w:rPr>
              <w:t>^</w:t>
            </w:r>
            <w:r w:rsidR="00824921" w:rsidRPr="00E467ED">
              <w:rPr>
                <w:sz w:val="18"/>
                <w:szCs w:val="18"/>
              </w:rPr>
              <w:t xml:space="preserve"> </w:t>
            </w:r>
          </w:p>
          <w:p w:rsidR="00824921" w:rsidRPr="00E467ED" w:rsidRDefault="005C33A0" w:rsidP="00D60E75">
            <w:pPr>
              <w:rPr>
                <w:sz w:val="18"/>
                <w:szCs w:val="18"/>
              </w:rPr>
            </w:pPr>
            <w:r w:rsidRPr="00E467ED">
              <w:rPr>
                <w:sz w:val="18"/>
                <w:szCs w:val="18"/>
              </w:rPr>
              <w:t>In</w:t>
            </w:r>
            <w:r w:rsidR="00824921" w:rsidRPr="00E467ED">
              <w:rPr>
                <w:sz w:val="18"/>
                <w:szCs w:val="18"/>
              </w:rPr>
              <w:t xml:space="preserve"> pregnancy</w:t>
            </w:r>
          </w:p>
          <w:p w:rsidR="00824921" w:rsidRPr="00E467ED" w:rsidRDefault="00824921" w:rsidP="00D60E75">
            <w:pPr>
              <w:rPr>
                <w:sz w:val="18"/>
                <w:szCs w:val="18"/>
              </w:rPr>
            </w:pPr>
            <w:r w:rsidRPr="00E467ED">
              <w:rPr>
                <w:sz w:val="18"/>
                <w:szCs w:val="18"/>
              </w:rPr>
              <w:t xml:space="preserve">FSW </w:t>
            </w:r>
            <w:r w:rsidR="009003E7" w:rsidRPr="00E467ED">
              <w:rPr>
                <w:sz w:val="18"/>
                <w:szCs w:val="18"/>
              </w:rPr>
              <w:t>(</w:t>
            </w:r>
            <w:r w:rsidRPr="00E467ED">
              <w:rPr>
                <w:sz w:val="18"/>
                <w:szCs w:val="18"/>
              </w:rPr>
              <w:t>p</w:t>
            </w:r>
            <w:r w:rsidR="009003E7" w:rsidRPr="00E467ED">
              <w:rPr>
                <w:sz w:val="18"/>
                <w:szCs w:val="18"/>
              </w:rPr>
              <w:t>roportion tested in each 3 month period)</w:t>
            </w:r>
          </w:p>
          <w:p w:rsidR="00824921" w:rsidRPr="00E467ED" w:rsidRDefault="00824921" w:rsidP="00D60E75">
            <w:pPr>
              <w:rPr>
                <w:sz w:val="18"/>
                <w:szCs w:val="18"/>
              </w:rPr>
            </w:pPr>
          </w:p>
        </w:tc>
        <w:tc>
          <w:tcPr>
            <w:tcW w:w="3260" w:type="dxa"/>
          </w:tcPr>
          <w:p w:rsidR="00824921" w:rsidRPr="00E467ED" w:rsidRDefault="00824921" w:rsidP="00F13ADD">
            <w:pPr>
              <w:rPr>
                <w:sz w:val="18"/>
                <w:szCs w:val="18"/>
              </w:rPr>
            </w:pPr>
          </w:p>
          <w:p w:rsidR="00824921" w:rsidRPr="00E467ED" w:rsidRDefault="00824921" w:rsidP="00F13ADD">
            <w:pPr>
              <w:rPr>
                <w:sz w:val="18"/>
                <w:szCs w:val="18"/>
              </w:rPr>
            </w:pPr>
          </w:p>
          <w:p w:rsidR="00824921" w:rsidRPr="00E467ED" w:rsidRDefault="007D66C9" w:rsidP="00F13ADD">
            <w:pPr>
              <w:rPr>
                <w:sz w:val="18"/>
                <w:szCs w:val="18"/>
              </w:rPr>
            </w:pPr>
            <w:r w:rsidRPr="00E467ED">
              <w:rPr>
                <w:sz w:val="18"/>
                <w:szCs w:val="18"/>
              </w:rPr>
              <w:t>37</w:t>
            </w:r>
            <w:r w:rsidR="00824921" w:rsidRPr="00E467ED">
              <w:rPr>
                <w:sz w:val="18"/>
                <w:szCs w:val="18"/>
              </w:rPr>
              <w:t>%</w:t>
            </w:r>
            <w:r w:rsidRPr="00E467ED">
              <w:rPr>
                <w:sz w:val="18"/>
                <w:szCs w:val="18"/>
              </w:rPr>
              <w:t xml:space="preserve"> (22% - 48</w:t>
            </w:r>
            <w:r w:rsidR="00EB552C" w:rsidRPr="00E467ED">
              <w:rPr>
                <w:sz w:val="18"/>
                <w:szCs w:val="18"/>
              </w:rPr>
              <w:t>%)</w:t>
            </w:r>
          </w:p>
          <w:p w:rsidR="00824921" w:rsidRPr="00E467ED" w:rsidRDefault="007D66C9" w:rsidP="00F13ADD">
            <w:pPr>
              <w:rPr>
                <w:sz w:val="18"/>
                <w:szCs w:val="18"/>
              </w:rPr>
            </w:pPr>
            <w:r w:rsidRPr="00E467ED">
              <w:rPr>
                <w:sz w:val="18"/>
                <w:szCs w:val="18"/>
              </w:rPr>
              <w:t>1</w:t>
            </w:r>
            <w:r w:rsidR="005D029B" w:rsidRPr="00E467ED">
              <w:rPr>
                <w:sz w:val="18"/>
                <w:szCs w:val="18"/>
              </w:rPr>
              <w:t>6</w:t>
            </w:r>
            <w:r w:rsidR="00007340" w:rsidRPr="00E467ED">
              <w:rPr>
                <w:sz w:val="18"/>
                <w:szCs w:val="18"/>
              </w:rPr>
              <w:t>% (7</w:t>
            </w:r>
            <w:r w:rsidR="004B3D7E" w:rsidRPr="00E467ED">
              <w:rPr>
                <w:sz w:val="18"/>
                <w:szCs w:val="18"/>
              </w:rPr>
              <w:t>% - 25</w:t>
            </w:r>
            <w:r w:rsidR="00EB552C" w:rsidRPr="00E467ED">
              <w:rPr>
                <w:sz w:val="18"/>
                <w:szCs w:val="18"/>
              </w:rPr>
              <w:t>%)</w:t>
            </w:r>
          </w:p>
          <w:p w:rsidR="00824921" w:rsidRPr="00E467ED" w:rsidRDefault="00824921" w:rsidP="00F13ADD">
            <w:pPr>
              <w:rPr>
                <w:sz w:val="18"/>
                <w:szCs w:val="18"/>
              </w:rPr>
            </w:pPr>
          </w:p>
          <w:p w:rsidR="00824921" w:rsidRPr="00E467ED" w:rsidRDefault="000F3B45" w:rsidP="00F13ADD">
            <w:pPr>
              <w:rPr>
                <w:sz w:val="18"/>
                <w:szCs w:val="18"/>
              </w:rPr>
            </w:pPr>
            <w:r w:rsidRPr="00E467ED">
              <w:rPr>
                <w:sz w:val="18"/>
                <w:szCs w:val="18"/>
              </w:rPr>
              <w:t>90% (4</w:t>
            </w:r>
            <w:r w:rsidR="005D029B" w:rsidRPr="00E467ED">
              <w:rPr>
                <w:sz w:val="18"/>
                <w:szCs w:val="18"/>
              </w:rPr>
              <w:t>6</w:t>
            </w:r>
            <w:r w:rsidRPr="00E467ED">
              <w:rPr>
                <w:sz w:val="18"/>
                <w:szCs w:val="18"/>
              </w:rPr>
              <w:t>% - 93</w:t>
            </w:r>
            <w:r w:rsidR="009003E7" w:rsidRPr="00E467ED">
              <w:rPr>
                <w:sz w:val="18"/>
                <w:szCs w:val="18"/>
              </w:rPr>
              <w:t>%)</w:t>
            </w:r>
          </w:p>
          <w:p w:rsidR="00824921" w:rsidRPr="00E467ED" w:rsidRDefault="007E4EF5" w:rsidP="00F13ADD">
            <w:pPr>
              <w:rPr>
                <w:sz w:val="18"/>
                <w:szCs w:val="18"/>
              </w:rPr>
            </w:pPr>
            <w:r w:rsidRPr="00E467ED">
              <w:rPr>
                <w:sz w:val="18"/>
                <w:szCs w:val="18"/>
              </w:rPr>
              <w:t>92</w:t>
            </w:r>
            <w:r w:rsidR="00824921" w:rsidRPr="00E467ED">
              <w:rPr>
                <w:sz w:val="18"/>
                <w:szCs w:val="18"/>
              </w:rPr>
              <w:t>%</w:t>
            </w:r>
            <w:r w:rsidR="000F3B45" w:rsidRPr="00E467ED">
              <w:rPr>
                <w:sz w:val="18"/>
                <w:szCs w:val="18"/>
              </w:rPr>
              <w:t xml:space="preserve"> (8</w:t>
            </w:r>
            <w:r w:rsidR="005D029B" w:rsidRPr="00E467ED">
              <w:rPr>
                <w:sz w:val="18"/>
                <w:szCs w:val="18"/>
              </w:rPr>
              <w:t>9</w:t>
            </w:r>
            <w:r w:rsidR="000F3B45" w:rsidRPr="00E467ED">
              <w:rPr>
                <w:sz w:val="18"/>
                <w:szCs w:val="18"/>
              </w:rPr>
              <w:t>% - 9</w:t>
            </w:r>
            <w:r w:rsidR="005D029B" w:rsidRPr="00E467ED">
              <w:rPr>
                <w:sz w:val="18"/>
                <w:szCs w:val="18"/>
              </w:rPr>
              <w:t>3</w:t>
            </w:r>
            <w:r w:rsidR="00117AD5" w:rsidRPr="00E467ED">
              <w:rPr>
                <w:sz w:val="18"/>
                <w:szCs w:val="18"/>
              </w:rPr>
              <w:t xml:space="preserve">%) </w:t>
            </w:r>
          </w:p>
          <w:p w:rsidR="00824921" w:rsidRPr="00E467ED" w:rsidRDefault="000F3B45" w:rsidP="005D029B">
            <w:pPr>
              <w:rPr>
                <w:sz w:val="18"/>
                <w:szCs w:val="18"/>
              </w:rPr>
            </w:pPr>
            <w:r w:rsidRPr="00E467ED">
              <w:rPr>
                <w:sz w:val="18"/>
                <w:szCs w:val="18"/>
              </w:rPr>
              <w:t>25</w:t>
            </w:r>
            <w:r w:rsidR="00824921" w:rsidRPr="00E467ED">
              <w:rPr>
                <w:sz w:val="18"/>
                <w:szCs w:val="18"/>
              </w:rPr>
              <w:t>%</w:t>
            </w:r>
            <w:r w:rsidRPr="00E467ED">
              <w:rPr>
                <w:sz w:val="18"/>
                <w:szCs w:val="18"/>
              </w:rPr>
              <w:t xml:space="preserve"> (1</w:t>
            </w:r>
            <w:r w:rsidR="005D029B" w:rsidRPr="00E467ED">
              <w:rPr>
                <w:sz w:val="18"/>
                <w:szCs w:val="18"/>
              </w:rPr>
              <w:t>7</w:t>
            </w:r>
            <w:r w:rsidR="009003E7" w:rsidRPr="00E467ED">
              <w:rPr>
                <w:sz w:val="18"/>
                <w:szCs w:val="18"/>
              </w:rPr>
              <w:t xml:space="preserve">% - </w:t>
            </w:r>
            <w:r w:rsidR="009C4262" w:rsidRPr="00E467ED">
              <w:rPr>
                <w:sz w:val="18"/>
                <w:szCs w:val="18"/>
              </w:rPr>
              <w:t>4</w:t>
            </w:r>
            <w:r w:rsidR="005D029B" w:rsidRPr="00E467ED">
              <w:rPr>
                <w:sz w:val="18"/>
                <w:szCs w:val="18"/>
              </w:rPr>
              <w:t>1</w:t>
            </w:r>
            <w:r w:rsidR="00117AD5" w:rsidRPr="00E467ED">
              <w:rPr>
                <w:sz w:val="18"/>
                <w:szCs w:val="18"/>
              </w:rPr>
              <w:t>%)</w:t>
            </w:r>
          </w:p>
        </w:tc>
        <w:tc>
          <w:tcPr>
            <w:tcW w:w="3402" w:type="dxa"/>
          </w:tcPr>
          <w:p w:rsidR="00562A57" w:rsidRPr="00E467ED" w:rsidRDefault="00562A57" w:rsidP="0010709A">
            <w:pPr>
              <w:rPr>
                <w:sz w:val="18"/>
                <w:szCs w:val="18"/>
              </w:rPr>
            </w:pPr>
          </w:p>
          <w:p w:rsidR="00996EBB" w:rsidRPr="00E467ED" w:rsidRDefault="00996EBB" w:rsidP="0010709A">
            <w:pPr>
              <w:rPr>
                <w:sz w:val="18"/>
                <w:szCs w:val="18"/>
              </w:rPr>
            </w:pPr>
          </w:p>
          <w:p w:rsidR="004D56D5" w:rsidRPr="00E467ED" w:rsidRDefault="004D56D5" w:rsidP="004D56D5">
            <w:pPr>
              <w:rPr>
                <w:sz w:val="18"/>
                <w:szCs w:val="18"/>
              </w:rPr>
            </w:pPr>
            <w:r w:rsidRPr="00E467ED">
              <w:rPr>
                <w:sz w:val="18"/>
                <w:szCs w:val="18"/>
              </w:rPr>
              <w:t>Zimbabwe DHS 2015 49% women, 36% men (age 15-49). Namibia DHS 2013 49% women, 38% men (age 15-49).  Nigeria DHS 2013 10% women, 10% men</w:t>
            </w:r>
            <w:r w:rsidR="000820E0">
              <w:rPr>
                <w:sz w:val="18"/>
                <w:szCs w:val="18"/>
                <w:vertAlign w:val="superscript"/>
              </w:rPr>
              <w:t xml:space="preserve"> 22</w:t>
            </w:r>
            <w:r w:rsidR="00E72A14" w:rsidRPr="00E467ED">
              <w:rPr>
                <w:sz w:val="18"/>
                <w:szCs w:val="18"/>
              </w:rPr>
              <w:t>.</w:t>
            </w:r>
          </w:p>
          <w:p w:rsidR="00824921" w:rsidRPr="00E467ED" w:rsidRDefault="00824921" w:rsidP="0010709A">
            <w:pPr>
              <w:rPr>
                <w:sz w:val="18"/>
                <w:szCs w:val="18"/>
              </w:rPr>
            </w:pPr>
          </w:p>
        </w:tc>
      </w:tr>
      <w:tr w:rsidR="00E467ED" w:rsidRPr="00E467ED" w:rsidTr="00CD2A48">
        <w:trPr>
          <w:trHeight w:val="1174"/>
        </w:trPr>
        <w:tc>
          <w:tcPr>
            <w:tcW w:w="2977" w:type="dxa"/>
          </w:tcPr>
          <w:p w:rsidR="00A01C0E" w:rsidRPr="00E467ED" w:rsidRDefault="00A01C0E" w:rsidP="00A01C0E">
            <w:pPr>
              <w:rPr>
                <w:sz w:val="18"/>
                <w:szCs w:val="18"/>
              </w:rPr>
            </w:pPr>
          </w:p>
          <w:p w:rsidR="00824921" w:rsidRPr="00E467ED" w:rsidRDefault="005E1B3C" w:rsidP="00A01C0E">
            <w:pPr>
              <w:rPr>
                <w:sz w:val="18"/>
                <w:szCs w:val="18"/>
              </w:rPr>
            </w:pPr>
            <w:r w:rsidRPr="00E467ED">
              <w:rPr>
                <w:sz w:val="18"/>
                <w:szCs w:val="18"/>
              </w:rPr>
              <w:t>Of</w:t>
            </w:r>
            <w:r w:rsidR="00824921" w:rsidRPr="00E467ED">
              <w:rPr>
                <w:sz w:val="18"/>
                <w:szCs w:val="18"/>
              </w:rPr>
              <w:t xml:space="preserve"> HIV positive people</w:t>
            </w:r>
            <w:r w:rsidRPr="00E467ED">
              <w:rPr>
                <w:sz w:val="18"/>
                <w:szCs w:val="18"/>
              </w:rPr>
              <w:t>, proportion</w:t>
            </w:r>
            <w:r w:rsidR="00824921" w:rsidRPr="00E467ED">
              <w:rPr>
                <w:sz w:val="18"/>
                <w:szCs w:val="18"/>
              </w:rPr>
              <w:t xml:space="preserve"> diagnosed</w:t>
            </w:r>
          </w:p>
          <w:p w:rsidR="006A2053" w:rsidRPr="00E467ED" w:rsidRDefault="00A01C0E" w:rsidP="00A01C0E">
            <w:pPr>
              <w:rPr>
                <w:sz w:val="18"/>
                <w:szCs w:val="18"/>
              </w:rPr>
            </w:pPr>
            <w:r w:rsidRPr="00E467ED">
              <w:rPr>
                <w:sz w:val="18"/>
                <w:szCs w:val="18"/>
              </w:rPr>
              <w:t xml:space="preserve">                 </w:t>
            </w:r>
            <w:r w:rsidR="006A2053" w:rsidRPr="00E467ED">
              <w:rPr>
                <w:sz w:val="18"/>
                <w:szCs w:val="18"/>
              </w:rPr>
              <w:t>Men</w:t>
            </w:r>
          </w:p>
          <w:p w:rsidR="006A2053" w:rsidRPr="00E467ED" w:rsidRDefault="00A01C0E" w:rsidP="00A01C0E">
            <w:pPr>
              <w:rPr>
                <w:sz w:val="18"/>
                <w:szCs w:val="18"/>
              </w:rPr>
            </w:pPr>
            <w:r w:rsidRPr="00E467ED">
              <w:rPr>
                <w:sz w:val="18"/>
                <w:szCs w:val="18"/>
              </w:rPr>
              <w:t xml:space="preserve">                 Women</w:t>
            </w:r>
          </w:p>
        </w:tc>
        <w:tc>
          <w:tcPr>
            <w:tcW w:w="3260" w:type="dxa"/>
          </w:tcPr>
          <w:p w:rsidR="006A2053" w:rsidRPr="00E467ED" w:rsidRDefault="006A2053" w:rsidP="0010709A">
            <w:pPr>
              <w:spacing w:before="120"/>
              <w:rPr>
                <w:sz w:val="18"/>
                <w:szCs w:val="18"/>
              </w:rPr>
            </w:pPr>
          </w:p>
          <w:p w:rsidR="00084FCB" w:rsidRPr="00E467ED" w:rsidRDefault="00084FCB" w:rsidP="00A01C0E">
            <w:pPr>
              <w:rPr>
                <w:sz w:val="18"/>
                <w:szCs w:val="18"/>
              </w:rPr>
            </w:pPr>
          </w:p>
          <w:p w:rsidR="00824921" w:rsidRPr="00E467ED" w:rsidRDefault="0075625C" w:rsidP="00EC254F">
            <w:pPr>
              <w:spacing w:before="120"/>
              <w:rPr>
                <w:sz w:val="18"/>
                <w:szCs w:val="18"/>
              </w:rPr>
            </w:pPr>
            <w:r w:rsidRPr="00E467ED">
              <w:rPr>
                <w:sz w:val="18"/>
                <w:szCs w:val="18"/>
              </w:rPr>
              <w:t>73% (59% - 82</w:t>
            </w:r>
            <w:r w:rsidR="00824921" w:rsidRPr="00E467ED">
              <w:rPr>
                <w:sz w:val="18"/>
                <w:szCs w:val="18"/>
              </w:rPr>
              <w:t>%)</w:t>
            </w:r>
          </w:p>
          <w:p w:rsidR="006A2053" w:rsidRPr="00E467ED" w:rsidRDefault="00E9032D" w:rsidP="00E9032D">
            <w:pPr>
              <w:rPr>
                <w:sz w:val="18"/>
                <w:szCs w:val="18"/>
              </w:rPr>
            </w:pPr>
            <w:r w:rsidRPr="00E467ED">
              <w:rPr>
                <w:sz w:val="18"/>
                <w:szCs w:val="18"/>
              </w:rPr>
              <w:t>89% (82</w:t>
            </w:r>
            <w:r w:rsidR="00BC4731" w:rsidRPr="00E467ED">
              <w:rPr>
                <w:sz w:val="18"/>
                <w:szCs w:val="18"/>
              </w:rPr>
              <w:t>% - 9</w:t>
            </w:r>
            <w:r w:rsidR="0075625C" w:rsidRPr="00E467ED">
              <w:rPr>
                <w:sz w:val="18"/>
                <w:szCs w:val="18"/>
              </w:rPr>
              <w:t>3</w:t>
            </w:r>
            <w:r w:rsidR="006A2053" w:rsidRPr="00E467ED">
              <w:rPr>
                <w:sz w:val="18"/>
                <w:szCs w:val="18"/>
              </w:rPr>
              <w:t>%)</w:t>
            </w:r>
          </w:p>
        </w:tc>
        <w:tc>
          <w:tcPr>
            <w:tcW w:w="3402" w:type="dxa"/>
          </w:tcPr>
          <w:p w:rsidR="00824921" w:rsidRPr="00E467ED" w:rsidRDefault="00562A57" w:rsidP="004C2B55">
            <w:pPr>
              <w:rPr>
                <w:sz w:val="18"/>
                <w:szCs w:val="18"/>
              </w:rPr>
            </w:pPr>
            <w:r w:rsidRPr="00E467ED">
              <w:rPr>
                <w:sz w:val="18"/>
                <w:szCs w:val="18"/>
              </w:rPr>
              <w:t xml:space="preserve">MPHIA </w:t>
            </w:r>
            <w:r w:rsidR="00084FCB" w:rsidRPr="00E467ED">
              <w:rPr>
                <w:sz w:val="18"/>
                <w:szCs w:val="18"/>
              </w:rPr>
              <w:t xml:space="preserve">2016 Malawi </w:t>
            </w:r>
            <w:r w:rsidRPr="00E467ED">
              <w:rPr>
                <w:sz w:val="18"/>
                <w:szCs w:val="18"/>
              </w:rPr>
              <w:t>(73%</w:t>
            </w:r>
            <w:r w:rsidR="00084FCB" w:rsidRPr="00E467ED">
              <w:rPr>
                <w:sz w:val="18"/>
                <w:szCs w:val="18"/>
              </w:rPr>
              <w:t>; 76% in women, 67% in men</w:t>
            </w:r>
            <w:r w:rsidRPr="00E467ED">
              <w:rPr>
                <w:sz w:val="18"/>
                <w:szCs w:val="18"/>
              </w:rPr>
              <w:t xml:space="preserve">), ZAMPHIA </w:t>
            </w:r>
            <w:r w:rsidR="00084FCB" w:rsidRPr="00E467ED">
              <w:rPr>
                <w:sz w:val="18"/>
                <w:szCs w:val="18"/>
              </w:rPr>
              <w:t xml:space="preserve">2016 Zambia </w:t>
            </w:r>
            <w:r w:rsidRPr="00E467ED">
              <w:rPr>
                <w:sz w:val="18"/>
                <w:szCs w:val="18"/>
              </w:rPr>
              <w:t xml:space="preserve">(67%), ZIMPHIA </w:t>
            </w:r>
            <w:r w:rsidR="00084FCB" w:rsidRPr="00E467ED">
              <w:rPr>
                <w:sz w:val="18"/>
                <w:szCs w:val="18"/>
              </w:rPr>
              <w:t xml:space="preserve">2016 Zimbabwe </w:t>
            </w:r>
            <w:r w:rsidRPr="00E467ED">
              <w:rPr>
                <w:sz w:val="18"/>
                <w:szCs w:val="18"/>
              </w:rPr>
              <w:t>(74%)</w:t>
            </w:r>
            <w:r w:rsidR="000820E0">
              <w:rPr>
                <w:sz w:val="18"/>
                <w:szCs w:val="18"/>
                <w:vertAlign w:val="superscript"/>
              </w:rPr>
              <w:t>23</w:t>
            </w:r>
            <w:r w:rsidRPr="00E467ED">
              <w:rPr>
                <w:sz w:val="18"/>
                <w:szCs w:val="18"/>
              </w:rPr>
              <w:t>, Huerga (75%)</w:t>
            </w:r>
            <w:r w:rsidR="000820E0">
              <w:rPr>
                <w:sz w:val="18"/>
                <w:szCs w:val="18"/>
                <w:vertAlign w:val="superscript"/>
              </w:rPr>
              <w:t>27</w:t>
            </w:r>
            <w:r w:rsidRPr="00E467ED">
              <w:rPr>
                <w:sz w:val="18"/>
                <w:szCs w:val="18"/>
              </w:rPr>
              <w:t>, Maman (77%)</w:t>
            </w:r>
            <w:r w:rsidR="000820E0">
              <w:rPr>
                <w:sz w:val="18"/>
                <w:szCs w:val="18"/>
                <w:vertAlign w:val="superscript"/>
              </w:rPr>
              <w:t>34</w:t>
            </w:r>
            <w:r w:rsidR="00084FCB" w:rsidRPr="00E467ED">
              <w:rPr>
                <w:sz w:val="18"/>
                <w:szCs w:val="18"/>
              </w:rPr>
              <w:t>, Gaolathe (78%, higher in women than men)</w:t>
            </w:r>
            <w:r w:rsidR="00172BC9" w:rsidRPr="00E467ED">
              <w:rPr>
                <w:sz w:val="18"/>
                <w:szCs w:val="18"/>
                <w:vertAlign w:val="superscript"/>
              </w:rPr>
              <w:t xml:space="preserve"> </w:t>
            </w:r>
            <w:r w:rsidR="000820E0">
              <w:rPr>
                <w:sz w:val="18"/>
                <w:szCs w:val="18"/>
                <w:vertAlign w:val="superscript"/>
              </w:rPr>
              <w:t>35</w:t>
            </w:r>
            <w:r w:rsidR="00084FCB" w:rsidRPr="00E467ED">
              <w:rPr>
                <w:sz w:val="18"/>
                <w:szCs w:val="18"/>
              </w:rPr>
              <w:t>. (</w:t>
            </w:r>
            <w:r w:rsidR="00E72A14" w:rsidRPr="00E467ED">
              <w:rPr>
                <w:sz w:val="18"/>
                <w:szCs w:val="18"/>
              </w:rPr>
              <w:t xml:space="preserve">Survey estimates </w:t>
            </w:r>
            <w:r w:rsidR="004C2B55" w:rsidRPr="00E467ED">
              <w:rPr>
                <w:sz w:val="18"/>
                <w:szCs w:val="18"/>
              </w:rPr>
              <w:t xml:space="preserve">likely </w:t>
            </w:r>
            <w:r w:rsidR="00E72A14" w:rsidRPr="00E467ED">
              <w:rPr>
                <w:sz w:val="18"/>
                <w:szCs w:val="18"/>
              </w:rPr>
              <w:t xml:space="preserve">to be over-estimates due to </w:t>
            </w:r>
            <w:r w:rsidR="00084FCB" w:rsidRPr="00E467ED">
              <w:rPr>
                <w:sz w:val="18"/>
                <w:szCs w:val="18"/>
              </w:rPr>
              <w:t>undisclosed diagnosed HIV</w:t>
            </w:r>
            <w:r w:rsidR="00E72A14" w:rsidRPr="00E467ED">
              <w:rPr>
                <w:sz w:val="18"/>
                <w:szCs w:val="18"/>
              </w:rPr>
              <w:t>; Kim et al</w:t>
            </w:r>
            <w:r w:rsidR="000820E0">
              <w:rPr>
                <w:sz w:val="18"/>
                <w:szCs w:val="18"/>
                <w:vertAlign w:val="superscript"/>
              </w:rPr>
              <w:t>25</w:t>
            </w:r>
            <w:r w:rsidR="00084FCB" w:rsidRPr="00E467ED">
              <w:rPr>
                <w:sz w:val="18"/>
                <w:szCs w:val="18"/>
              </w:rPr>
              <w:t>)</w:t>
            </w:r>
          </w:p>
        </w:tc>
      </w:tr>
      <w:tr w:rsidR="00E467ED" w:rsidRPr="00E467ED" w:rsidTr="00833514">
        <w:trPr>
          <w:trHeight w:val="618"/>
        </w:trPr>
        <w:tc>
          <w:tcPr>
            <w:tcW w:w="2977" w:type="dxa"/>
          </w:tcPr>
          <w:p w:rsidR="00824921" w:rsidRPr="00E467ED" w:rsidRDefault="00824921" w:rsidP="0010709A">
            <w:pPr>
              <w:spacing w:before="120"/>
              <w:rPr>
                <w:sz w:val="18"/>
                <w:szCs w:val="18"/>
              </w:rPr>
            </w:pPr>
            <w:r w:rsidRPr="00E467ED">
              <w:rPr>
                <w:sz w:val="18"/>
                <w:szCs w:val="18"/>
              </w:rPr>
              <w:t>Proportion of diagnosed people on ART</w:t>
            </w:r>
          </w:p>
        </w:tc>
        <w:tc>
          <w:tcPr>
            <w:tcW w:w="3260" w:type="dxa"/>
          </w:tcPr>
          <w:p w:rsidR="00824921" w:rsidRPr="00E467ED" w:rsidRDefault="00824921" w:rsidP="008400A7">
            <w:pPr>
              <w:spacing w:before="120"/>
              <w:rPr>
                <w:sz w:val="18"/>
                <w:szCs w:val="18"/>
              </w:rPr>
            </w:pPr>
            <w:r w:rsidRPr="00E467ED">
              <w:rPr>
                <w:sz w:val="18"/>
                <w:szCs w:val="18"/>
              </w:rPr>
              <w:t>8</w:t>
            </w:r>
            <w:r w:rsidR="0075625C" w:rsidRPr="00E467ED">
              <w:rPr>
                <w:sz w:val="18"/>
                <w:szCs w:val="18"/>
              </w:rPr>
              <w:t>3</w:t>
            </w:r>
            <w:r w:rsidR="000D6534" w:rsidRPr="00E467ED">
              <w:rPr>
                <w:sz w:val="18"/>
                <w:szCs w:val="18"/>
              </w:rPr>
              <w:t>% (66</w:t>
            </w:r>
            <w:r w:rsidR="00007340" w:rsidRPr="00E467ED">
              <w:rPr>
                <w:sz w:val="18"/>
                <w:szCs w:val="18"/>
              </w:rPr>
              <w:t>% - 9</w:t>
            </w:r>
            <w:r w:rsidR="0075625C" w:rsidRPr="00E467ED">
              <w:rPr>
                <w:sz w:val="18"/>
                <w:szCs w:val="18"/>
              </w:rPr>
              <w:t>2</w:t>
            </w:r>
            <w:r w:rsidRPr="00E467ED">
              <w:rPr>
                <w:sz w:val="18"/>
                <w:szCs w:val="18"/>
              </w:rPr>
              <w:t>%)</w:t>
            </w:r>
          </w:p>
        </w:tc>
        <w:tc>
          <w:tcPr>
            <w:tcW w:w="3402" w:type="dxa"/>
          </w:tcPr>
          <w:p w:rsidR="00824921" w:rsidRPr="00E467ED" w:rsidRDefault="004D56D5" w:rsidP="0010709A">
            <w:pPr>
              <w:rPr>
                <w:sz w:val="18"/>
                <w:szCs w:val="18"/>
              </w:rPr>
            </w:pPr>
            <w:r w:rsidRPr="00E467ED">
              <w:rPr>
                <w:sz w:val="18"/>
                <w:szCs w:val="18"/>
              </w:rPr>
              <w:t xml:space="preserve">Zimbabwe 87% (ZIMPHIA), Malawi 89% (MPHIA), </w:t>
            </w:r>
            <w:r w:rsidR="00D25E86" w:rsidRPr="00E467ED">
              <w:rPr>
                <w:sz w:val="18"/>
                <w:szCs w:val="18"/>
              </w:rPr>
              <w:t>Zambia 85% (ZAMPHIA)</w:t>
            </w:r>
            <w:r w:rsidR="00172BC9" w:rsidRPr="00E467ED">
              <w:rPr>
                <w:sz w:val="18"/>
                <w:szCs w:val="18"/>
              </w:rPr>
              <w:t xml:space="preserve"> </w:t>
            </w:r>
            <w:r w:rsidR="000820E0">
              <w:rPr>
                <w:sz w:val="18"/>
                <w:szCs w:val="18"/>
                <w:vertAlign w:val="superscript"/>
              </w:rPr>
              <w:t>23</w:t>
            </w:r>
            <w:r w:rsidR="00084FCB" w:rsidRPr="00E467ED">
              <w:rPr>
                <w:sz w:val="18"/>
                <w:szCs w:val="18"/>
              </w:rPr>
              <w:t>, Botswana 85% (Gaolathe)</w:t>
            </w:r>
            <w:r w:rsidR="00172BC9" w:rsidRPr="00E467ED">
              <w:rPr>
                <w:sz w:val="18"/>
                <w:szCs w:val="18"/>
                <w:vertAlign w:val="superscript"/>
              </w:rPr>
              <w:t xml:space="preserve"> </w:t>
            </w:r>
            <w:r w:rsidR="000820E0">
              <w:rPr>
                <w:sz w:val="18"/>
                <w:szCs w:val="18"/>
                <w:vertAlign w:val="superscript"/>
              </w:rPr>
              <w:t>35</w:t>
            </w:r>
            <w:r w:rsidR="00084FCB" w:rsidRPr="00E467ED">
              <w:rPr>
                <w:sz w:val="18"/>
                <w:szCs w:val="18"/>
              </w:rPr>
              <w:t>.</w:t>
            </w:r>
          </w:p>
        </w:tc>
      </w:tr>
      <w:tr w:rsidR="00E467ED" w:rsidRPr="00E467ED" w:rsidTr="001F50C0">
        <w:trPr>
          <w:trHeight w:val="1094"/>
        </w:trPr>
        <w:tc>
          <w:tcPr>
            <w:tcW w:w="2977" w:type="dxa"/>
          </w:tcPr>
          <w:p w:rsidR="00824921" w:rsidRPr="00E467ED" w:rsidRDefault="00824921" w:rsidP="0010709A">
            <w:pPr>
              <w:spacing w:before="120"/>
              <w:rPr>
                <w:sz w:val="18"/>
                <w:szCs w:val="18"/>
              </w:rPr>
            </w:pPr>
            <w:r w:rsidRPr="00E467ED">
              <w:rPr>
                <w:sz w:val="18"/>
                <w:szCs w:val="18"/>
              </w:rPr>
              <w:t>Proportion of people on ART with VL &lt; 1000 cps/mL</w:t>
            </w:r>
          </w:p>
        </w:tc>
        <w:tc>
          <w:tcPr>
            <w:tcW w:w="3260" w:type="dxa"/>
          </w:tcPr>
          <w:p w:rsidR="00824921" w:rsidRPr="00E467ED" w:rsidRDefault="00824921" w:rsidP="000D6534">
            <w:pPr>
              <w:spacing w:before="120"/>
              <w:rPr>
                <w:sz w:val="18"/>
                <w:szCs w:val="18"/>
              </w:rPr>
            </w:pPr>
            <w:r w:rsidRPr="00E467ED">
              <w:rPr>
                <w:sz w:val="18"/>
                <w:szCs w:val="18"/>
              </w:rPr>
              <w:t>8</w:t>
            </w:r>
            <w:r w:rsidR="000D6534" w:rsidRPr="00E467ED">
              <w:rPr>
                <w:sz w:val="18"/>
                <w:szCs w:val="18"/>
              </w:rPr>
              <w:t>8% (84% - 92</w:t>
            </w:r>
            <w:r w:rsidRPr="00E467ED">
              <w:rPr>
                <w:sz w:val="18"/>
                <w:szCs w:val="18"/>
              </w:rPr>
              <w:t>%)</w:t>
            </w:r>
          </w:p>
        </w:tc>
        <w:tc>
          <w:tcPr>
            <w:tcW w:w="3402" w:type="dxa"/>
          </w:tcPr>
          <w:p w:rsidR="00824921" w:rsidRPr="00E467ED" w:rsidRDefault="00562A57" w:rsidP="00172BC9">
            <w:pPr>
              <w:rPr>
                <w:sz w:val="18"/>
                <w:szCs w:val="18"/>
              </w:rPr>
            </w:pPr>
            <w:r w:rsidRPr="00E467ED">
              <w:rPr>
                <w:sz w:val="18"/>
                <w:szCs w:val="18"/>
              </w:rPr>
              <w:t>World Bank South Africa (60%-88% over districts), ZAMPHIA (89%), MPHIA (91%), ZIMPHIA (87%)</w:t>
            </w:r>
            <w:r w:rsidR="000820E0">
              <w:rPr>
                <w:sz w:val="18"/>
                <w:szCs w:val="18"/>
                <w:vertAlign w:val="superscript"/>
              </w:rPr>
              <w:t>22</w:t>
            </w:r>
            <w:r w:rsidRPr="00E467ED">
              <w:rPr>
                <w:sz w:val="18"/>
                <w:szCs w:val="18"/>
              </w:rPr>
              <w:t>, Maman (91%)</w:t>
            </w:r>
            <w:r w:rsidR="000820E0">
              <w:rPr>
                <w:sz w:val="18"/>
                <w:szCs w:val="18"/>
                <w:vertAlign w:val="superscript"/>
              </w:rPr>
              <w:t>34</w:t>
            </w:r>
            <w:r w:rsidRPr="00E467ED">
              <w:rPr>
                <w:sz w:val="18"/>
                <w:szCs w:val="18"/>
              </w:rPr>
              <w:t>, Huerga (90%)</w:t>
            </w:r>
            <w:r w:rsidR="00D577EA" w:rsidRPr="00E467ED">
              <w:rPr>
                <w:sz w:val="18"/>
                <w:szCs w:val="18"/>
                <w:vertAlign w:val="superscript"/>
              </w:rPr>
              <w:t>2</w:t>
            </w:r>
            <w:r w:rsidR="000820E0">
              <w:rPr>
                <w:sz w:val="18"/>
                <w:szCs w:val="18"/>
                <w:vertAlign w:val="superscript"/>
              </w:rPr>
              <w:t>7</w:t>
            </w:r>
            <w:r w:rsidRPr="00E467ED">
              <w:rPr>
                <w:sz w:val="18"/>
                <w:szCs w:val="18"/>
              </w:rPr>
              <w:t>, Brown (90%)</w:t>
            </w:r>
            <w:r w:rsidR="00D577EA" w:rsidRPr="00E467ED">
              <w:rPr>
                <w:sz w:val="18"/>
                <w:szCs w:val="18"/>
                <w:vertAlign w:val="superscript"/>
              </w:rPr>
              <w:t>3</w:t>
            </w:r>
            <w:r w:rsidR="000820E0">
              <w:rPr>
                <w:sz w:val="18"/>
                <w:szCs w:val="18"/>
                <w:vertAlign w:val="superscript"/>
              </w:rPr>
              <w:t>6</w:t>
            </w:r>
            <w:r w:rsidR="00084FCB" w:rsidRPr="00E467ED">
              <w:rPr>
                <w:sz w:val="18"/>
                <w:szCs w:val="18"/>
              </w:rPr>
              <w:t>, Botswana 94%  (Gaolathe; among citzens of Botswana)</w:t>
            </w:r>
            <w:r w:rsidR="00172BC9" w:rsidRPr="00E467ED">
              <w:rPr>
                <w:sz w:val="18"/>
                <w:szCs w:val="18"/>
                <w:vertAlign w:val="superscript"/>
              </w:rPr>
              <w:t xml:space="preserve"> </w:t>
            </w:r>
            <w:r w:rsidR="000820E0">
              <w:rPr>
                <w:sz w:val="18"/>
                <w:szCs w:val="18"/>
                <w:vertAlign w:val="superscript"/>
              </w:rPr>
              <w:t>35</w:t>
            </w:r>
          </w:p>
        </w:tc>
      </w:tr>
    </w:tbl>
    <w:p w:rsidR="00173E50" w:rsidRPr="00E467ED" w:rsidRDefault="006C1580" w:rsidP="004D3046">
      <w:pPr>
        <w:spacing w:after="0" w:line="240" w:lineRule="auto"/>
        <w:rPr>
          <w:sz w:val="18"/>
          <w:szCs w:val="18"/>
        </w:rPr>
      </w:pPr>
      <w:r w:rsidRPr="00E467ED">
        <w:rPr>
          <w:sz w:val="18"/>
          <w:szCs w:val="18"/>
          <w:vertAlign w:val="superscript"/>
        </w:rPr>
        <w:t>&amp;</w:t>
      </w:r>
      <w:r w:rsidRPr="00E467ED">
        <w:rPr>
          <w:sz w:val="18"/>
          <w:szCs w:val="18"/>
        </w:rPr>
        <w:t xml:space="preserve"> if cost per test = $3.70; </w:t>
      </w:r>
      <w:r w:rsidR="007A5485" w:rsidRPr="00E467ED">
        <w:rPr>
          <w:sz w:val="18"/>
          <w:szCs w:val="18"/>
        </w:rPr>
        <w:t xml:space="preserve">  </w:t>
      </w:r>
      <w:r w:rsidR="007A5485" w:rsidRPr="00E467ED">
        <w:rPr>
          <w:sz w:val="18"/>
          <w:szCs w:val="18"/>
          <w:vertAlign w:val="superscript"/>
        </w:rPr>
        <w:t xml:space="preserve">= </w:t>
      </w:r>
      <w:r w:rsidR="007A5485" w:rsidRPr="00E467ED">
        <w:rPr>
          <w:sz w:val="18"/>
          <w:szCs w:val="18"/>
        </w:rPr>
        <w:t>testing apart from  in FSW, symptomatic, ANC, VM</w:t>
      </w:r>
      <w:r w:rsidR="006176C6" w:rsidRPr="00E467ED">
        <w:rPr>
          <w:sz w:val="18"/>
          <w:szCs w:val="18"/>
        </w:rPr>
        <w:t>MC</w:t>
      </w:r>
      <w:r w:rsidR="009003E7" w:rsidRPr="00E467ED">
        <w:rPr>
          <w:sz w:val="18"/>
          <w:szCs w:val="18"/>
        </w:rPr>
        <w:t xml:space="preserve">. </w:t>
      </w:r>
      <w:r w:rsidR="0067234B" w:rsidRPr="00E467ED">
        <w:rPr>
          <w:sz w:val="18"/>
          <w:szCs w:val="18"/>
          <w:vertAlign w:val="superscript"/>
        </w:rPr>
        <w:t xml:space="preserve">o </w:t>
      </w:r>
      <w:r w:rsidR="0067234B" w:rsidRPr="00E467ED">
        <w:rPr>
          <w:sz w:val="18"/>
          <w:szCs w:val="18"/>
        </w:rPr>
        <w:t>this relates to all testing, not</w:t>
      </w:r>
      <w:r w:rsidR="009003E7" w:rsidRPr="00E467ED">
        <w:rPr>
          <w:sz w:val="18"/>
          <w:szCs w:val="18"/>
        </w:rPr>
        <w:t xml:space="preserve"> </w:t>
      </w:r>
      <w:r w:rsidR="0067234B" w:rsidRPr="00E467ED">
        <w:rPr>
          <w:sz w:val="18"/>
          <w:szCs w:val="18"/>
        </w:rPr>
        <w:t xml:space="preserve">only </w:t>
      </w:r>
      <w:r w:rsidR="00DB639A">
        <w:rPr>
          <w:sz w:val="18"/>
          <w:szCs w:val="18"/>
        </w:rPr>
        <w:t>core-testing</w:t>
      </w:r>
      <w:r w:rsidR="0067234B" w:rsidRPr="00E467ED">
        <w:rPr>
          <w:sz w:val="18"/>
          <w:szCs w:val="18"/>
        </w:rPr>
        <w:t xml:space="preserve">; </w:t>
      </w:r>
      <w:r w:rsidR="009003E7" w:rsidRPr="00E467ED">
        <w:rPr>
          <w:sz w:val="18"/>
          <w:szCs w:val="18"/>
        </w:rPr>
        <w:t>^ symptoms of  a WHO stage 3 or  4 condition.</w:t>
      </w:r>
      <w:r w:rsidR="00E72A14" w:rsidRPr="00E467ED">
        <w:rPr>
          <w:sz w:val="18"/>
          <w:szCs w:val="18"/>
        </w:rPr>
        <w:t xml:space="preserve"> </w:t>
      </w:r>
      <w:r w:rsidR="004D3046" w:rsidRPr="00E467ED">
        <w:rPr>
          <w:sz w:val="18"/>
          <w:szCs w:val="18"/>
        </w:rPr>
        <w:t>ANC – ante-natal clinic, FSW – female sex worker, VMMC – voluntary medical male circumcision.</w:t>
      </w:r>
    </w:p>
    <w:p w:rsidR="00173E50" w:rsidRPr="00E467ED" w:rsidRDefault="00173E50" w:rsidP="007A5485">
      <w:pPr>
        <w:spacing w:after="0" w:line="240" w:lineRule="auto"/>
        <w:rPr>
          <w:sz w:val="18"/>
          <w:szCs w:val="18"/>
        </w:rPr>
      </w:pPr>
    </w:p>
    <w:p w:rsidR="00173E50" w:rsidRPr="00E467ED" w:rsidRDefault="00173E50" w:rsidP="007A5485">
      <w:pPr>
        <w:spacing w:after="0" w:line="240" w:lineRule="auto"/>
        <w:rPr>
          <w:sz w:val="18"/>
          <w:szCs w:val="18"/>
        </w:rPr>
      </w:pPr>
    </w:p>
    <w:p w:rsidR="00173E50" w:rsidRPr="00E467ED" w:rsidRDefault="00173E50" w:rsidP="007A5485">
      <w:pPr>
        <w:spacing w:after="0" w:line="240" w:lineRule="auto"/>
        <w:rPr>
          <w:sz w:val="18"/>
          <w:szCs w:val="18"/>
        </w:rPr>
      </w:pPr>
    </w:p>
    <w:p w:rsidR="00173E50" w:rsidRPr="00E467ED" w:rsidRDefault="00173E50" w:rsidP="007A5485">
      <w:pPr>
        <w:spacing w:after="0" w:line="240" w:lineRule="auto"/>
        <w:rPr>
          <w:sz w:val="18"/>
          <w:szCs w:val="18"/>
        </w:rPr>
      </w:pPr>
    </w:p>
    <w:p w:rsidR="00773D61" w:rsidRPr="00E467ED" w:rsidRDefault="00773D61">
      <w:pPr>
        <w:rPr>
          <w:b/>
        </w:rPr>
      </w:pPr>
      <w:r w:rsidRPr="00E467ED">
        <w:rPr>
          <w:b/>
        </w:rPr>
        <w:br w:type="page"/>
      </w:r>
    </w:p>
    <w:p w:rsidR="00760B7A" w:rsidRDefault="0038693A" w:rsidP="006A2053">
      <w:pPr>
        <w:spacing w:after="0" w:line="240" w:lineRule="auto"/>
        <w:rPr>
          <w:color w:val="000000" w:themeColor="text1"/>
          <w:sz w:val="20"/>
          <w:szCs w:val="20"/>
        </w:rPr>
      </w:pPr>
      <w:r w:rsidRPr="009708ED">
        <w:rPr>
          <w:b/>
          <w:color w:val="9E0000"/>
        </w:rPr>
        <w:lastRenderedPageBreak/>
        <w:t xml:space="preserve">Table </w:t>
      </w:r>
      <w:r w:rsidR="005A280F" w:rsidRPr="009708ED">
        <w:rPr>
          <w:b/>
          <w:color w:val="9E0000"/>
        </w:rPr>
        <w:t>2</w:t>
      </w:r>
      <w:r w:rsidRPr="009708ED">
        <w:rPr>
          <w:b/>
          <w:color w:val="9E0000"/>
        </w:rPr>
        <w:t xml:space="preserve">.  </w:t>
      </w:r>
      <w:r w:rsidR="005E1B3C" w:rsidRPr="005E1B3C">
        <w:rPr>
          <w:color w:val="000000" w:themeColor="text1"/>
          <w:sz w:val="20"/>
          <w:szCs w:val="20"/>
        </w:rPr>
        <w:t xml:space="preserve">Effect of </w:t>
      </w:r>
      <w:r w:rsidR="00DB639A">
        <w:rPr>
          <w:color w:val="000000" w:themeColor="text1"/>
          <w:sz w:val="20"/>
          <w:szCs w:val="20"/>
        </w:rPr>
        <w:t>additional-testing</w:t>
      </w:r>
      <w:r w:rsidR="005E1B3C" w:rsidRPr="005E1B3C">
        <w:rPr>
          <w:color w:val="000000" w:themeColor="text1"/>
          <w:sz w:val="20"/>
          <w:szCs w:val="20"/>
        </w:rPr>
        <w:t xml:space="preserve"> on</w:t>
      </w:r>
      <w:r w:rsidR="00723053" w:rsidRPr="005E1B3C">
        <w:rPr>
          <w:color w:val="000000" w:themeColor="text1"/>
          <w:sz w:val="20"/>
          <w:szCs w:val="20"/>
        </w:rPr>
        <w:t xml:space="preserve"> </w:t>
      </w:r>
      <w:r w:rsidR="00723053" w:rsidRPr="008C786E">
        <w:rPr>
          <w:color w:val="000000" w:themeColor="text1"/>
          <w:sz w:val="20"/>
          <w:szCs w:val="20"/>
        </w:rPr>
        <w:t>number</w:t>
      </w:r>
      <w:r w:rsidR="006A2053" w:rsidRPr="008C786E">
        <w:rPr>
          <w:color w:val="000000" w:themeColor="text1"/>
          <w:sz w:val="20"/>
          <w:szCs w:val="20"/>
        </w:rPr>
        <w:t xml:space="preserve"> of test</w:t>
      </w:r>
      <w:r w:rsidR="00723053" w:rsidRPr="008C786E">
        <w:rPr>
          <w:color w:val="000000" w:themeColor="text1"/>
          <w:sz w:val="20"/>
          <w:szCs w:val="20"/>
        </w:rPr>
        <w:t>s</w:t>
      </w:r>
      <w:r w:rsidR="006A2053" w:rsidRPr="008C786E">
        <w:rPr>
          <w:color w:val="000000" w:themeColor="text1"/>
          <w:sz w:val="20"/>
          <w:szCs w:val="20"/>
        </w:rPr>
        <w:t>, testing rates and proportion diagnosed 2018 – 2</w:t>
      </w:r>
      <w:r w:rsidR="00311EC1" w:rsidRPr="008C786E">
        <w:rPr>
          <w:color w:val="000000" w:themeColor="text1"/>
          <w:sz w:val="20"/>
          <w:szCs w:val="20"/>
        </w:rPr>
        <w:t xml:space="preserve">023 (median &amp; 90% range </w:t>
      </w:r>
      <w:r w:rsidR="00311EC1" w:rsidRPr="00B41CB9">
        <w:rPr>
          <w:color w:val="000000" w:themeColor="text1"/>
          <w:sz w:val="20"/>
          <w:szCs w:val="20"/>
        </w:rPr>
        <w:t>a</w:t>
      </w:r>
      <w:r w:rsidR="00746D02" w:rsidRPr="00B41CB9">
        <w:rPr>
          <w:color w:val="000000" w:themeColor="text1"/>
          <w:sz w:val="20"/>
          <w:szCs w:val="20"/>
        </w:rPr>
        <w:t>cross 1</w:t>
      </w:r>
      <w:r w:rsidR="00635CA5" w:rsidRPr="00B41CB9">
        <w:rPr>
          <w:color w:val="000000" w:themeColor="text1"/>
          <w:sz w:val="20"/>
          <w:szCs w:val="20"/>
        </w:rPr>
        <w:t xml:space="preserve">000 </w:t>
      </w:r>
      <w:r w:rsidR="00473F51" w:rsidRPr="00B41CB9">
        <w:rPr>
          <w:color w:val="000000" w:themeColor="text1"/>
          <w:sz w:val="20"/>
          <w:szCs w:val="20"/>
        </w:rPr>
        <w:t>setting-scenario</w:t>
      </w:r>
      <w:r w:rsidR="00635CA5" w:rsidRPr="00B41CB9">
        <w:rPr>
          <w:color w:val="000000" w:themeColor="text1"/>
          <w:sz w:val="20"/>
          <w:szCs w:val="20"/>
        </w:rPr>
        <w:t>s</w:t>
      </w:r>
      <w:r w:rsidR="006A0240" w:rsidRPr="00B41CB9">
        <w:rPr>
          <w:color w:val="000000" w:themeColor="text1"/>
          <w:sz w:val="20"/>
          <w:szCs w:val="20"/>
        </w:rPr>
        <w:t xml:space="preserve"> of the mean value </w:t>
      </w:r>
      <w:r w:rsidR="005E1B3C" w:rsidRPr="00B41CB9">
        <w:rPr>
          <w:color w:val="000000" w:themeColor="text1"/>
          <w:sz w:val="20"/>
          <w:szCs w:val="20"/>
        </w:rPr>
        <w:t xml:space="preserve">over </w:t>
      </w:r>
      <w:r w:rsidR="006A0240" w:rsidRPr="00B41CB9">
        <w:rPr>
          <w:color w:val="000000" w:themeColor="text1"/>
          <w:sz w:val="20"/>
          <w:szCs w:val="20"/>
        </w:rPr>
        <w:t>2018-2023</w:t>
      </w:r>
      <w:r w:rsidR="008C786E" w:rsidRPr="00B41CB9">
        <w:rPr>
          <w:color w:val="000000" w:themeColor="text1"/>
          <w:sz w:val="20"/>
          <w:szCs w:val="20"/>
        </w:rPr>
        <w:t>, reflecting variability across setting scenarios</w:t>
      </w:r>
      <w:r w:rsidRPr="00B41CB9">
        <w:rPr>
          <w:color w:val="000000" w:themeColor="text1"/>
          <w:sz w:val="20"/>
          <w:szCs w:val="20"/>
        </w:rPr>
        <w:t>).</w:t>
      </w:r>
      <w:r w:rsidR="005920F0">
        <w:rPr>
          <w:color w:val="000000" w:themeColor="text1"/>
          <w:sz w:val="20"/>
          <w:szCs w:val="20"/>
        </w:rPr>
        <w:t xml:space="preserve"> </w:t>
      </w:r>
      <w:r w:rsidR="00414E07">
        <w:rPr>
          <w:color w:val="000000" w:themeColor="text1"/>
          <w:sz w:val="20"/>
          <w:szCs w:val="20"/>
        </w:rPr>
        <w:t xml:space="preserve"> </w:t>
      </w:r>
    </w:p>
    <w:p w:rsidR="00056FFE" w:rsidRDefault="00056FFE" w:rsidP="006A2053">
      <w:pPr>
        <w:spacing w:after="0" w:line="240" w:lineRule="auto"/>
        <w:rPr>
          <w:color w:val="000000" w:themeColor="text1"/>
          <w:sz w:val="20"/>
          <w:szCs w:val="20"/>
        </w:rPr>
      </w:pPr>
    </w:p>
    <w:tbl>
      <w:tblPr>
        <w:tblStyle w:val="TableGrid"/>
        <w:tblW w:w="6663" w:type="dxa"/>
        <w:tblCellMar>
          <w:top w:w="85" w:type="dxa"/>
          <w:left w:w="170" w:type="dxa"/>
          <w:bottom w:w="85" w:type="dxa"/>
          <w:right w:w="170" w:type="dxa"/>
        </w:tblCellMar>
        <w:tblLook w:val="04A0" w:firstRow="1" w:lastRow="0" w:firstColumn="1" w:lastColumn="0" w:noHBand="0" w:noVBand="1"/>
      </w:tblPr>
      <w:tblGrid>
        <w:gridCol w:w="3119"/>
        <w:gridCol w:w="3544"/>
      </w:tblGrid>
      <w:tr w:rsidR="009A2BFC" w:rsidTr="006A2053">
        <w:tc>
          <w:tcPr>
            <w:tcW w:w="3119" w:type="dxa"/>
            <w:tcBorders>
              <w:top w:val="nil"/>
              <w:left w:val="nil"/>
              <w:right w:val="nil"/>
            </w:tcBorders>
          </w:tcPr>
          <w:p w:rsidR="009A2BFC" w:rsidRPr="002E219D" w:rsidRDefault="009A2BFC" w:rsidP="00447FD4">
            <w:pPr>
              <w:rPr>
                <w:sz w:val="20"/>
                <w:szCs w:val="20"/>
              </w:rPr>
            </w:pPr>
            <w:r w:rsidRPr="002E219D">
              <w:rPr>
                <w:sz w:val="20"/>
                <w:szCs w:val="20"/>
              </w:rPr>
              <w:t xml:space="preserve">                           </w:t>
            </w:r>
          </w:p>
        </w:tc>
        <w:tc>
          <w:tcPr>
            <w:tcW w:w="3544" w:type="dxa"/>
            <w:tcBorders>
              <w:top w:val="nil"/>
              <w:left w:val="nil"/>
              <w:right w:val="nil"/>
            </w:tcBorders>
          </w:tcPr>
          <w:p w:rsidR="009A2BFC" w:rsidRDefault="009A2BFC" w:rsidP="00447FD4">
            <w:pPr>
              <w:rPr>
                <w:b/>
                <w:color w:val="C00000"/>
                <w:sz w:val="20"/>
                <w:szCs w:val="20"/>
              </w:rPr>
            </w:pPr>
          </w:p>
          <w:p w:rsidR="009A2BFC" w:rsidRDefault="006C1DB1" w:rsidP="006A2053">
            <w:pPr>
              <w:rPr>
                <w:b/>
                <w:color w:val="C00000"/>
                <w:sz w:val="20"/>
                <w:szCs w:val="20"/>
              </w:rPr>
            </w:pPr>
            <w:r w:rsidRPr="009708ED">
              <w:rPr>
                <w:b/>
                <w:color w:val="9E0000"/>
                <w:sz w:val="20"/>
                <w:szCs w:val="20"/>
              </w:rPr>
              <w:t>Effect of</w:t>
            </w:r>
            <w:r w:rsidR="009A2BFC" w:rsidRPr="009708ED">
              <w:rPr>
                <w:b/>
                <w:color w:val="9E0000"/>
                <w:sz w:val="20"/>
                <w:szCs w:val="20"/>
              </w:rPr>
              <w:t xml:space="preserve"> </w:t>
            </w:r>
            <w:r w:rsidR="00DB639A">
              <w:rPr>
                <w:b/>
                <w:color w:val="9E0000"/>
                <w:sz w:val="20"/>
                <w:szCs w:val="20"/>
              </w:rPr>
              <w:t>additional-testing</w:t>
            </w:r>
            <w:r w:rsidR="009A2BFC" w:rsidRPr="006A2053">
              <w:rPr>
                <w:sz w:val="20"/>
                <w:szCs w:val="20"/>
              </w:rPr>
              <w:t>^</w:t>
            </w:r>
            <w:r w:rsidR="009A2BFC" w:rsidRPr="002E219D">
              <w:rPr>
                <w:b/>
                <w:color w:val="C00000"/>
                <w:sz w:val="20"/>
                <w:szCs w:val="20"/>
              </w:rPr>
              <w:t xml:space="preserve"> </w:t>
            </w:r>
          </w:p>
          <w:p w:rsidR="009A2BFC" w:rsidRPr="002E219D" w:rsidRDefault="009A2BFC" w:rsidP="00447FD4">
            <w:pPr>
              <w:rPr>
                <w:b/>
                <w:color w:val="C00000"/>
                <w:sz w:val="20"/>
                <w:szCs w:val="20"/>
              </w:rPr>
            </w:pPr>
          </w:p>
        </w:tc>
      </w:tr>
      <w:tr w:rsidR="009A2BFC" w:rsidRPr="006D6B62" w:rsidTr="006A2053">
        <w:tc>
          <w:tcPr>
            <w:tcW w:w="3119" w:type="dxa"/>
            <w:tcBorders>
              <w:left w:val="nil"/>
              <w:right w:val="nil"/>
            </w:tcBorders>
          </w:tcPr>
          <w:p w:rsidR="009A2BFC" w:rsidRPr="00547CDC" w:rsidRDefault="009A2BFC" w:rsidP="00DA365E">
            <w:pPr>
              <w:rPr>
                <w:b/>
                <w:sz w:val="18"/>
                <w:szCs w:val="18"/>
              </w:rPr>
            </w:pPr>
            <w:r w:rsidRPr="00547CDC">
              <w:rPr>
                <w:b/>
                <w:sz w:val="18"/>
                <w:szCs w:val="18"/>
              </w:rPr>
              <w:t xml:space="preserve">Number of HIV tests </w:t>
            </w:r>
            <w:r>
              <w:rPr>
                <w:b/>
                <w:sz w:val="18"/>
                <w:szCs w:val="18"/>
              </w:rPr>
              <w:t xml:space="preserve">/ </w:t>
            </w:r>
            <w:r w:rsidRPr="00547CDC">
              <w:rPr>
                <w:b/>
                <w:sz w:val="18"/>
                <w:szCs w:val="18"/>
              </w:rPr>
              <w:t>year</w:t>
            </w:r>
          </w:p>
          <w:p w:rsidR="009A2BFC" w:rsidRDefault="009A2BFC" w:rsidP="00DA365E">
            <w:pPr>
              <w:rPr>
                <w:sz w:val="18"/>
                <w:szCs w:val="18"/>
                <w:vertAlign w:val="superscript"/>
              </w:rPr>
            </w:pPr>
            <w:r>
              <w:rPr>
                <w:sz w:val="18"/>
                <w:szCs w:val="18"/>
              </w:rPr>
              <w:t xml:space="preserve">              </w:t>
            </w:r>
            <w:r w:rsidR="006A2053">
              <w:rPr>
                <w:sz w:val="18"/>
                <w:szCs w:val="18"/>
              </w:rPr>
              <w:t>Women</w:t>
            </w:r>
            <w:r>
              <w:rPr>
                <w:sz w:val="18"/>
                <w:szCs w:val="18"/>
              </w:rPr>
              <w:t>*</w:t>
            </w:r>
          </w:p>
          <w:p w:rsidR="009A2BFC" w:rsidRPr="00382918" w:rsidRDefault="009A2BFC" w:rsidP="006A2053">
            <w:pPr>
              <w:rPr>
                <w:sz w:val="18"/>
                <w:szCs w:val="18"/>
              </w:rPr>
            </w:pPr>
            <w:r>
              <w:rPr>
                <w:sz w:val="18"/>
                <w:szCs w:val="18"/>
                <w:vertAlign w:val="superscript"/>
              </w:rPr>
              <w:t xml:space="preserve">   </w:t>
            </w:r>
            <w:r>
              <w:rPr>
                <w:sz w:val="18"/>
                <w:szCs w:val="18"/>
              </w:rPr>
              <w:t xml:space="preserve">            Men**</w:t>
            </w:r>
          </w:p>
        </w:tc>
        <w:tc>
          <w:tcPr>
            <w:tcW w:w="3544" w:type="dxa"/>
            <w:tcBorders>
              <w:left w:val="nil"/>
              <w:right w:val="nil"/>
            </w:tcBorders>
          </w:tcPr>
          <w:p w:rsidR="006A2053" w:rsidRPr="00FE430E" w:rsidRDefault="006A2053" w:rsidP="00E81FB8">
            <w:pPr>
              <w:tabs>
                <w:tab w:val="left" w:pos="1685"/>
              </w:tabs>
              <w:rPr>
                <w:color w:val="000000" w:themeColor="text1"/>
                <w:sz w:val="16"/>
                <w:szCs w:val="16"/>
              </w:rPr>
            </w:pPr>
          </w:p>
          <w:p w:rsidR="009A2BFC" w:rsidRPr="00746D02" w:rsidRDefault="009A2BFC" w:rsidP="00E81FB8">
            <w:pPr>
              <w:tabs>
                <w:tab w:val="left" w:pos="1685"/>
              </w:tabs>
              <w:rPr>
                <w:rFonts w:cs="SAS Monospace"/>
                <w:color w:val="0070C0"/>
                <w:sz w:val="18"/>
                <w:szCs w:val="18"/>
              </w:rPr>
            </w:pPr>
            <w:r w:rsidRPr="00746D02">
              <w:rPr>
                <w:rFonts w:cs="SAS Monospace"/>
                <w:color w:val="0070C0"/>
                <w:sz w:val="18"/>
                <w:szCs w:val="18"/>
              </w:rPr>
              <w:t xml:space="preserve">   </w:t>
            </w:r>
            <w:r w:rsidRPr="006F108F">
              <w:rPr>
                <w:rFonts w:cs="SAS Monospace"/>
                <w:sz w:val="18"/>
                <w:szCs w:val="18"/>
              </w:rPr>
              <w:t>+</w:t>
            </w:r>
            <w:r w:rsidR="00746D02" w:rsidRPr="006F108F">
              <w:rPr>
                <w:rFonts w:cs="SAS Monospace"/>
                <w:sz w:val="18"/>
                <w:szCs w:val="18"/>
              </w:rPr>
              <w:t>4</w:t>
            </w:r>
            <w:r w:rsidR="006F108F" w:rsidRPr="006F108F">
              <w:rPr>
                <w:rFonts w:cs="SAS Monospace"/>
                <w:sz w:val="18"/>
                <w:szCs w:val="18"/>
              </w:rPr>
              <w:t>96</w:t>
            </w:r>
            <w:r w:rsidR="00746D02" w:rsidRPr="006F108F">
              <w:rPr>
                <w:rFonts w:cs="SAS Monospace"/>
                <w:sz w:val="18"/>
                <w:szCs w:val="18"/>
              </w:rPr>
              <w:t>,</w:t>
            </w:r>
            <w:r w:rsidRPr="006F108F">
              <w:rPr>
                <w:rFonts w:cs="SAS Monospace"/>
                <w:sz w:val="18"/>
                <w:szCs w:val="18"/>
              </w:rPr>
              <w:t>000 (</w:t>
            </w:r>
            <w:r w:rsidR="00314282">
              <w:rPr>
                <w:rFonts w:cs="SAS Monospace"/>
                <w:sz w:val="18"/>
                <w:szCs w:val="18"/>
              </w:rPr>
              <w:t>+</w:t>
            </w:r>
            <w:r w:rsidR="00746D02" w:rsidRPr="006F108F">
              <w:rPr>
                <w:rFonts w:cs="SAS Monospace"/>
                <w:sz w:val="18"/>
                <w:szCs w:val="18"/>
              </w:rPr>
              <w:t>27</w:t>
            </w:r>
            <w:r w:rsidR="00FE430E" w:rsidRPr="006F108F">
              <w:rPr>
                <w:rFonts w:cs="SAS Monospace"/>
                <w:sz w:val="18"/>
                <w:szCs w:val="18"/>
              </w:rPr>
              <w:t>,00</w:t>
            </w:r>
            <w:r w:rsidRPr="006F108F">
              <w:rPr>
                <w:rFonts w:cs="SAS Monospace"/>
                <w:sz w:val="18"/>
                <w:szCs w:val="18"/>
              </w:rPr>
              <w:t xml:space="preserve">0 </w:t>
            </w:r>
            <w:r w:rsidRPr="006F108F">
              <w:rPr>
                <w:sz w:val="18"/>
                <w:szCs w:val="18"/>
              </w:rPr>
              <w:t>–</w:t>
            </w:r>
            <w:r w:rsidR="00746D02" w:rsidRPr="006F108F">
              <w:rPr>
                <w:rFonts w:cs="SAS Monospace"/>
                <w:sz w:val="18"/>
                <w:szCs w:val="18"/>
              </w:rPr>
              <w:t xml:space="preserve"> </w:t>
            </w:r>
            <w:r w:rsidR="00314282">
              <w:rPr>
                <w:rFonts w:cs="SAS Monospace"/>
                <w:sz w:val="18"/>
                <w:szCs w:val="18"/>
              </w:rPr>
              <w:t>+</w:t>
            </w:r>
            <w:r w:rsidR="00746D02" w:rsidRPr="006F108F">
              <w:rPr>
                <w:rFonts w:cs="SAS Monospace"/>
                <w:sz w:val="18"/>
                <w:szCs w:val="18"/>
              </w:rPr>
              <w:t>4</w:t>
            </w:r>
            <w:r w:rsidRPr="006F108F">
              <w:rPr>
                <w:rFonts w:cs="SAS Monospace"/>
                <w:sz w:val="18"/>
                <w:szCs w:val="18"/>
              </w:rPr>
              <w:t>,</w:t>
            </w:r>
            <w:r w:rsidR="006F108F" w:rsidRPr="006F108F">
              <w:rPr>
                <w:rFonts w:cs="SAS Monospace"/>
                <w:sz w:val="18"/>
                <w:szCs w:val="18"/>
              </w:rPr>
              <w:t>211</w:t>
            </w:r>
            <w:r w:rsidRPr="006F108F">
              <w:rPr>
                <w:rFonts w:cs="SAS Monospace"/>
                <w:sz w:val="18"/>
                <w:szCs w:val="18"/>
              </w:rPr>
              <w:t>,000)</w:t>
            </w:r>
          </w:p>
          <w:p w:rsidR="009A2BFC" w:rsidRPr="006A2053" w:rsidRDefault="009A2BFC" w:rsidP="006F108F">
            <w:pPr>
              <w:rPr>
                <w:rFonts w:cs="SAS Monospace"/>
                <w:color w:val="A6A6A6" w:themeColor="background1" w:themeShade="A6"/>
                <w:sz w:val="16"/>
                <w:szCs w:val="16"/>
              </w:rPr>
            </w:pPr>
            <w:r w:rsidRPr="006F108F">
              <w:rPr>
                <w:rFonts w:cs="SAS Monospace"/>
                <w:sz w:val="18"/>
                <w:szCs w:val="18"/>
              </w:rPr>
              <w:t xml:space="preserve">   </w:t>
            </w:r>
            <w:r w:rsidR="00CF4852" w:rsidRPr="006F108F">
              <w:rPr>
                <w:rFonts w:cs="SAS Monospace"/>
                <w:sz w:val="18"/>
                <w:szCs w:val="18"/>
              </w:rPr>
              <w:t>+</w:t>
            </w:r>
            <w:r w:rsidR="00746D02" w:rsidRPr="006F108F">
              <w:rPr>
                <w:rFonts w:cs="SAS Monospace"/>
                <w:sz w:val="18"/>
                <w:szCs w:val="18"/>
              </w:rPr>
              <w:t>3</w:t>
            </w:r>
            <w:r w:rsidR="006F108F" w:rsidRPr="006F108F">
              <w:rPr>
                <w:rFonts w:cs="SAS Monospace"/>
                <w:sz w:val="18"/>
                <w:szCs w:val="18"/>
              </w:rPr>
              <w:t>71</w:t>
            </w:r>
            <w:r w:rsidR="00746D02" w:rsidRPr="006F108F">
              <w:rPr>
                <w:rFonts w:cs="SAS Monospace"/>
                <w:sz w:val="18"/>
                <w:szCs w:val="18"/>
              </w:rPr>
              <w:t>,000 (</w:t>
            </w:r>
            <w:r w:rsidR="00314282">
              <w:rPr>
                <w:rFonts w:cs="SAS Monospace"/>
                <w:sz w:val="18"/>
                <w:szCs w:val="18"/>
              </w:rPr>
              <w:t>+</w:t>
            </w:r>
            <w:r w:rsidR="00746D02" w:rsidRPr="006F108F">
              <w:rPr>
                <w:rFonts w:cs="SAS Monospace"/>
                <w:sz w:val="18"/>
                <w:szCs w:val="18"/>
              </w:rPr>
              <w:t>2</w:t>
            </w:r>
            <w:r w:rsidR="006F108F" w:rsidRPr="006F108F">
              <w:rPr>
                <w:rFonts w:cs="SAS Monospace"/>
                <w:sz w:val="18"/>
                <w:szCs w:val="18"/>
              </w:rPr>
              <w:t>5</w:t>
            </w:r>
            <w:r w:rsidR="00FE430E" w:rsidRPr="006F108F">
              <w:rPr>
                <w:rFonts w:cs="SAS Monospace"/>
                <w:sz w:val="18"/>
                <w:szCs w:val="18"/>
              </w:rPr>
              <w:t>,000</w:t>
            </w:r>
            <w:r w:rsidRPr="006F108F">
              <w:rPr>
                <w:rFonts w:cs="SAS Monospace"/>
                <w:sz w:val="18"/>
                <w:szCs w:val="18"/>
              </w:rPr>
              <w:t xml:space="preserve"> </w:t>
            </w:r>
            <w:r w:rsidRPr="006F108F">
              <w:rPr>
                <w:sz w:val="18"/>
                <w:szCs w:val="18"/>
              </w:rPr>
              <w:t>–</w:t>
            </w:r>
            <w:r w:rsidR="00746D02" w:rsidRPr="006F108F">
              <w:rPr>
                <w:rFonts w:cs="SAS Monospace"/>
                <w:sz w:val="18"/>
                <w:szCs w:val="18"/>
              </w:rPr>
              <w:t xml:space="preserve"> </w:t>
            </w:r>
            <w:r w:rsidR="00314282">
              <w:rPr>
                <w:rFonts w:cs="SAS Monospace"/>
                <w:sz w:val="18"/>
                <w:szCs w:val="18"/>
              </w:rPr>
              <w:t>+</w:t>
            </w:r>
            <w:r w:rsidR="00746D02" w:rsidRPr="006F108F">
              <w:rPr>
                <w:rFonts w:cs="SAS Monospace"/>
                <w:sz w:val="18"/>
                <w:szCs w:val="18"/>
              </w:rPr>
              <w:t>4</w:t>
            </w:r>
            <w:r w:rsidR="007749A6" w:rsidRPr="006F108F">
              <w:rPr>
                <w:rFonts w:cs="SAS Monospace"/>
                <w:sz w:val="18"/>
                <w:szCs w:val="18"/>
              </w:rPr>
              <w:t>,</w:t>
            </w:r>
            <w:r w:rsidR="006F108F" w:rsidRPr="006F108F">
              <w:rPr>
                <w:rFonts w:cs="SAS Monospace"/>
                <w:sz w:val="18"/>
                <w:szCs w:val="18"/>
              </w:rPr>
              <w:t>295</w:t>
            </w:r>
            <w:r w:rsidRPr="006F108F">
              <w:rPr>
                <w:rFonts w:cs="SAS Monospace"/>
                <w:sz w:val="18"/>
                <w:szCs w:val="18"/>
              </w:rPr>
              <w:t>,000)</w:t>
            </w:r>
          </w:p>
        </w:tc>
      </w:tr>
      <w:tr w:rsidR="0075625C" w:rsidRPr="006D6B62" w:rsidTr="006A2053">
        <w:tc>
          <w:tcPr>
            <w:tcW w:w="3119" w:type="dxa"/>
            <w:tcBorders>
              <w:left w:val="nil"/>
              <w:right w:val="nil"/>
            </w:tcBorders>
          </w:tcPr>
          <w:p w:rsidR="0075625C" w:rsidRPr="00547CDC" w:rsidRDefault="0075625C" w:rsidP="0075625C">
            <w:pPr>
              <w:rPr>
                <w:b/>
                <w:sz w:val="18"/>
                <w:szCs w:val="18"/>
              </w:rPr>
            </w:pPr>
            <w:r w:rsidRPr="00547CDC">
              <w:rPr>
                <w:b/>
                <w:sz w:val="18"/>
                <w:szCs w:val="18"/>
              </w:rPr>
              <w:t xml:space="preserve">Number of </w:t>
            </w:r>
            <w:r>
              <w:rPr>
                <w:b/>
                <w:sz w:val="18"/>
                <w:szCs w:val="18"/>
              </w:rPr>
              <w:t>new diagnoses per year</w:t>
            </w:r>
          </w:p>
          <w:p w:rsidR="0075625C" w:rsidRDefault="0075625C" w:rsidP="0075625C">
            <w:pPr>
              <w:rPr>
                <w:sz w:val="18"/>
                <w:szCs w:val="18"/>
                <w:vertAlign w:val="superscript"/>
              </w:rPr>
            </w:pPr>
            <w:r>
              <w:rPr>
                <w:sz w:val="18"/>
                <w:szCs w:val="18"/>
              </w:rPr>
              <w:t xml:space="preserve">              Women*</w:t>
            </w:r>
          </w:p>
          <w:p w:rsidR="0075625C" w:rsidRPr="00382918" w:rsidRDefault="0075625C" w:rsidP="0075625C">
            <w:pPr>
              <w:rPr>
                <w:sz w:val="18"/>
                <w:szCs w:val="18"/>
              </w:rPr>
            </w:pPr>
            <w:r>
              <w:rPr>
                <w:sz w:val="18"/>
                <w:szCs w:val="18"/>
                <w:vertAlign w:val="superscript"/>
              </w:rPr>
              <w:t xml:space="preserve">   </w:t>
            </w:r>
            <w:r>
              <w:rPr>
                <w:sz w:val="18"/>
                <w:szCs w:val="18"/>
              </w:rPr>
              <w:t xml:space="preserve">            Men**</w:t>
            </w:r>
          </w:p>
        </w:tc>
        <w:tc>
          <w:tcPr>
            <w:tcW w:w="3544" w:type="dxa"/>
            <w:tcBorders>
              <w:left w:val="nil"/>
              <w:right w:val="nil"/>
            </w:tcBorders>
          </w:tcPr>
          <w:p w:rsidR="0075625C" w:rsidRPr="00FE430E" w:rsidRDefault="0075625C" w:rsidP="0075625C">
            <w:pPr>
              <w:tabs>
                <w:tab w:val="left" w:pos="1685"/>
              </w:tabs>
              <w:rPr>
                <w:color w:val="000000" w:themeColor="text1"/>
                <w:sz w:val="16"/>
                <w:szCs w:val="16"/>
              </w:rPr>
            </w:pPr>
          </w:p>
          <w:p w:rsidR="0075625C" w:rsidRPr="006833B2" w:rsidRDefault="0075625C" w:rsidP="0075625C">
            <w:pPr>
              <w:tabs>
                <w:tab w:val="left" w:pos="1685"/>
              </w:tabs>
              <w:rPr>
                <w:rFonts w:cs="SAS Monospace"/>
                <w:sz w:val="18"/>
                <w:szCs w:val="18"/>
              </w:rPr>
            </w:pPr>
            <w:r w:rsidRPr="006833B2">
              <w:rPr>
                <w:rFonts w:cs="SAS Monospace"/>
                <w:sz w:val="18"/>
                <w:szCs w:val="18"/>
              </w:rPr>
              <w:t xml:space="preserve">   +</w:t>
            </w:r>
            <w:r w:rsidR="006F108F" w:rsidRPr="006833B2">
              <w:rPr>
                <w:rFonts w:cs="SAS Monospace"/>
                <w:sz w:val="18"/>
                <w:szCs w:val="18"/>
              </w:rPr>
              <w:t>20</w:t>
            </w:r>
            <w:r w:rsidRPr="006833B2">
              <w:rPr>
                <w:rFonts w:cs="SAS Monospace"/>
                <w:sz w:val="18"/>
                <w:szCs w:val="18"/>
              </w:rPr>
              <w:t>,</w:t>
            </w:r>
            <w:r w:rsidR="006833B2" w:rsidRPr="006833B2">
              <w:rPr>
                <w:rFonts w:cs="SAS Monospace"/>
                <w:sz w:val="18"/>
                <w:szCs w:val="18"/>
              </w:rPr>
              <w:t>370</w:t>
            </w:r>
            <w:r w:rsidRPr="006833B2">
              <w:rPr>
                <w:rFonts w:cs="SAS Monospace"/>
                <w:sz w:val="18"/>
                <w:szCs w:val="18"/>
              </w:rPr>
              <w:t xml:space="preserve"> (</w:t>
            </w:r>
            <w:r w:rsidR="00314282">
              <w:rPr>
                <w:rFonts w:cs="SAS Monospace"/>
                <w:sz w:val="18"/>
                <w:szCs w:val="18"/>
              </w:rPr>
              <w:t>+</w:t>
            </w:r>
            <w:r w:rsidR="006833B2" w:rsidRPr="006833B2">
              <w:rPr>
                <w:rFonts w:cs="SAS Monospace"/>
                <w:sz w:val="18"/>
                <w:szCs w:val="18"/>
              </w:rPr>
              <w:t>7</w:t>
            </w:r>
            <w:r w:rsidRPr="006833B2">
              <w:rPr>
                <w:rFonts w:cs="SAS Monospace"/>
                <w:sz w:val="18"/>
                <w:szCs w:val="18"/>
              </w:rPr>
              <w:t>,</w:t>
            </w:r>
            <w:r w:rsidR="006833B2" w:rsidRPr="006833B2">
              <w:rPr>
                <w:rFonts w:cs="SAS Monospace"/>
                <w:sz w:val="18"/>
                <w:szCs w:val="18"/>
              </w:rPr>
              <w:t>2</w:t>
            </w:r>
            <w:r w:rsidRPr="006833B2">
              <w:rPr>
                <w:rFonts w:cs="SAS Monospace"/>
                <w:sz w:val="18"/>
                <w:szCs w:val="18"/>
              </w:rPr>
              <w:t xml:space="preserve">00 </w:t>
            </w:r>
            <w:r w:rsidRPr="006833B2">
              <w:rPr>
                <w:sz w:val="18"/>
                <w:szCs w:val="18"/>
              </w:rPr>
              <w:t>–</w:t>
            </w:r>
            <w:r w:rsidRPr="006833B2">
              <w:rPr>
                <w:rFonts w:cs="SAS Monospace"/>
                <w:sz w:val="18"/>
                <w:szCs w:val="18"/>
              </w:rPr>
              <w:t xml:space="preserve"> </w:t>
            </w:r>
            <w:r w:rsidR="00314282">
              <w:rPr>
                <w:rFonts w:cs="SAS Monospace"/>
                <w:sz w:val="18"/>
                <w:szCs w:val="18"/>
              </w:rPr>
              <w:t>+</w:t>
            </w:r>
            <w:r w:rsidRPr="006833B2">
              <w:rPr>
                <w:rFonts w:cs="SAS Monospace"/>
                <w:sz w:val="18"/>
                <w:szCs w:val="18"/>
              </w:rPr>
              <w:t>4</w:t>
            </w:r>
            <w:r w:rsidR="006833B2" w:rsidRPr="006833B2">
              <w:rPr>
                <w:rFonts w:cs="SAS Monospace"/>
                <w:sz w:val="18"/>
                <w:szCs w:val="18"/>
              </w:rPr>
              <w:t>9</w:t>
            </w:r>
            <w:r w:rsidRPr="006833B2">
              <w:rPr>
                <w:rFonts w:cs="SAS Monospace"/>
                <w:sz w:val="18"/>
                <w:szCs w:val="18"/>
              </w:rPr>
              <w:t>,</w:t>
            </w:r>
            <w:r w:rsidR="006833B2" w:rsidRPr="006833B2">
              <w:rPr>
                <w:rFonts w:cs="SAS Monospace"/>
                <w:sz w:val="18"/>
                <w:szCs w:val="18"/>
              </w:rPr>
              <w:t>47</w:t>
            </w:r>
            <w:r w:rsidRPr="006833B2">
              <w:rPr>
                <w:rFonts w:cs="SAS Monospace"/>
                <w:sz w:val="18"/>
                <w:szCs w:val="18"/>
              </w:rPr>
              <w:t>0)</w:t>
            </w:r>
          </w:p>
          <w:p w:rsidR="0075625C" w:rsidRPr="006A2053" w:rsidRDefault="0075625C" w:rsidP="006833B2">
            <w:pPr>
              <w:rPr>
                <w:rFonts w:cs="SAS Monospace"/>
                <w:color w:val="A6A6A6" w:themeColor="background1" w:themeShade="A6"/>
                <w:sz w:val="16"/>
                <w:szCs w:val="16"/>
              </w:rPr>
            </w:pPr>
            <w:r w:rsidRPr="006833B2">
              <w:rPr>
                <w:rFonts w:cs="SAS Monospace"/>
                <w:sz w:val="18"/>
                <w:szCs w:val="18"/>
              </w:rPr>
              <w:t xml:space="preserve">   +</w:t>
            </w:r>
            <w:r w:rsidR="006833B2" w:rsidRPr="006833B2">
              <w:rPr>
                <w:rFonts w:cs="SAS Monospace"/>
                <w:sz w:val="18"/>
                <w:szCs w:val="18"/>
              </w:rPr>
              <w:t>28</w:t>
            </w:r>
            <w:r w:rsidRPr="006833B2">
              <w:rPr>
                <w:rFonts w:cs="SAS Monospace"/>
                <w:sz w:val="18"/>
                <w:szCs w:val="18"/>
              </w:rPr>
              <w:t>,</w:t>
            </w:r>
            <w:r w:rsidR="006833B2" w:rsidRPr="006833B2">
              <w:rPr>
                <w:rFonts w:cs="SAS Monospace"/>
                <w:sz w:val="18"/>
                <w:szCs w:val="18"/>
              </w:rPr>
              <w:t>890 (</w:t>
            </w:r>
            <w:r w:rsidR="00314282">
              <w:rPr>
                <w:rFonts w:cs="SAS Monospace"/>
                <w:sz w:val="18"/>
                <w:szCs w:val="18"/>
              </w:rPr>
              <w:t>+</w:t>
            </w:r>
            <w:r w:rsidR="006833B2" w:rsidRPr="006833B2">
              <w:rPr>
                <w:rFonts w:cs="SAS Monospace"/>
                <w:sz w:val="18"/>
                <w:szCs w:val="18"/>
              </w:rPr>
              <w:t>8</w:t>
            </w:r>
            <w:r w:rsidRPr="006833B2">
              <w:rPr>
                <w:rFonts w:cs="SAS Monospace"/>
                <w:sz w:val="18"/>
                <w:szCs w:val="18"/>
              </w:rPr>
              <w:t>,</w:t>
            </w:r>
            <w:r w:rsidR="006833B2" w:rsidRPr="006833B2">
              <w:rPr>
                <w:rFonts w:cs="SAS Monospace"/>
                <w:sz w:val="18"/>
                <w:szCs w:val="18"/>
              </w:rPr>
              <w:t>980</w:t>
            </w:r>
            <w:r w:rsidRPr="006833B2">
              <w:rPr>
                <w:rFonts w:cs="SAS Monospace"/>
                <w:sz w:val="18"/>
                <w:szCs w:val="18"/>
              </w:rPr>
              <w:t xml:space="preserve"> </w:t>
            </w:r>
            <w:r w:rsidRPr="006833B2">
              <w:rPr>
                <w:sz w:val="18"/>
                <w:szCs w:val="18"/>
              </w:rPr>
              <w:t>–</w:t>
            </w:r>
            <w:r w:rsidRPr="006833B2">
              <w:rPr>
                <w:rFonts w:cs="SAS Monospace"/>
                <w:sz w:val="18"/>
                <w:szCs w:val="18"/>
              </w:rPr>
              <w:t xml:space="preserve"> </w:t>
            </w:r>
            <w:r w:rsidR="00314282">
              <w:rPr>
                <w:rFonts w:cs="SAS Monospace"/>
                <w:sz w:val="18"/>
                <w:szCs w:val="18"/>
              </w:rPr>
              <w:t>+</w:t>
            </w:r>
            <w:r w:rsidR="006833B2" w:rsidRPr="006833B2">
              <w:rPr>
                <w:rFonts w:cs="SAS Monospace"/>
                <w:sz w:val="18"/>
                <w:szCs w:val="18"/>
              </w:rPr>
              <w:t>67,21</w:t>
            </w:r>
            <w:r w:rsidRPr="006833B2">
              <w:rPr>
                <w:rFonts w:cs="SAS Monospace"/>
                <w:sz w:val="18"/>
                <w:szCs w:val="18"/>
              </w:rPr>
              <w:t>0)</w:t>
            </w:r>
          </w:p>
        </w:tc>
      </w:tr>
      <w:tr w:rsidR="0075625C" w:rsidRPr="006D6B62" w:rsidTr="006A2053">
        <w:trPr>
          <w:trHeight w:val="1026"/>
        </w:trPr>
        <w:tc>
          <w:tcPr>
            <w:tcW w:w="3119" w:type="dxa"/>
            <w:tcBorders>
              <w:left w:val="nil"/>
              <w:right w:val="nil"/>
            </w:tcBorders>
          </w:tcPr>
          <w:p w:rsidR="0075625C" w:rsidRPr="00FE430E" w:rsidRDefault="0075625C" w:rsidP="0075625C">
            <w:pPr>
              <w:spacing w:before="120"/>
              <w:rPr>
                <w:b/>
                <w:color w:val="000000" w:themeColor="text1"/>
                <w:sz w:val="18"/>
                <w:szCs w:val="18"/>
              </w:rPr>
            </w:pPr>
            <w:r w:rsidRPr="00FE430E">
              <w:rPr>
                <w:b/>
                <w:color w:val="000000" w:themeColor="text1"/>
                <w:sz w:val="18"/>
                <w:szCs w:val="18"/>
              </w:rPr>
              <w:t>Proportion tested in the past year (age 15-49):</w:t>
            </w:r>
          </w:p>
          <w:p w:rsidR="0075625C" w:rsidRPr="00FE430E" w:rsidRDefault="0075625C" w:rsidP="0075625C">
            <w:pPr>
              <w:rPr>
                <w:color w:val="000000" w:themeColor="text1"/>
                <w:sz w:val="18"/>
                <w:szCs w:val="18"/>
              </w:rPr>
            </w:pPr>
            <w:r w:rsidRPr="00FE430E">
              <w:rPr>
                <w:color w:val="000000" w:themeColor="text1"/>
                <w:sz w:val="18"/>
                <w:szCs w:val="18"/>
              </w:rPr>
              <w:t xml:space="preserve">              Women* </w:t>
            </w:r>
          </w:p>
          <w:p w:rsidR="0075625C" w:rsidRPr="00FE430E" w:rsidRDefault="0075625C" w:rsidP="0075625C">
            <w:pPr>
              <w:rPr>
                <w:color w:val="000000" w:themeColor="text1"/>
                <w:sz w:val="18"/>
                <w:szCs w:val="18"/>
              </w:rPr>
            </w:pPr>
            <w:r w:rsidRPr="00FE430E">
              <w:rPr>
                <w:color w:val="000000" w:themeColor="text1"/>
                <w:sz w:val="18"/>
                <w:szCs w:val="18"/>
              </w:rPr>
              <w:t xml:space="preserve">              Men**</w:t>
            </w:r>
          </w:p>
        </w:tc>
        <w:tc>
          <w:tcPr>
            <w:tcW w:w="3544" w:type="dxa"/>
            <w:tcBorders>
              <w:left w:val="nil"/>
              <w:right w:val="nil"/>
            </w:tcBorders>
          </w:tcPr>
          <w:p w:rsidR="0075625C" w:rsidRPr="00FE430E" w:rsidRDefault="0075625C" w:rsidP="0075625C">
            <w:pPr>
              <w:rPr>
                <w:color w:val="000000" w:themeColor="text1"/>
                <w:sz w:val="18"/>
                <w:szCs w:val="18"/>
              </w:rPr>
            </w:pPr>
          </w:p>
          <w:p w:rsidR="0075625C" w:rsidRPr="00FE430E" w:rsidRDefault="0075625C" w:rsidP="0075625C">
            <w:pPr>
              <w:rPr>
                <w:color w:val="000000" w:themeColor="text1"/>
                <w:sz w:val="18"/>
                <w:szCs w:val="18"/>
              </w:rPr>
            </w:pPr>
          </w:p>
          <w:p w:rsidR="0075625C" w:rsidRPr="006833B2" w:rsidRDefault="0075625C" w:rsidP="0075625C">
            <w:pPr>
              <w:spacing w:before="120"/>
              <w:rPr>
                <w:sz w:val="18"/>
                <w:szCs w:val="18"/>
              </w:rPr>
            </w:pPr>
            <w:r w:rsidRPr="006833B2">
              <w:rPr>
                <w:sz w:val="18"/>
                <w:szCs w:val="18"/>
              </w:rPr>
              <w:t xml:space="preserve">            </w:t>
            </w:r>
            <w:r w:rsidR="006833B2" w:rsidRPr="006833B2">
              <w:rPr>
                <w:sz w:val="18"/>
                <w:szCs w:val="18"/>
              </w:rPr>
              <w:t>+8% (+0.4% - +67</w:t>
            </w:r>
            <w:r w:rsidRPr="006833B2">
              <w:rPr>
                <w:sz w:val="18"/>
                <w:szCs w:val="18"/>
              </w:rPr>
              <w:t>%)</w:t>
            </w:r>
          </w:p>
          <w:p w:rsidR="0075625C" w:rsidRPr="00FE430E" w:rsidRDefault="0075625C" w:rsidP="006833B2">
            <w:pPr>
              <w:rPr>
                <w:color w:val="000000" w:themeColor="text1"/>
                <w:sz w:val="18"/>
                <w:szCs w:val="18"/>
              </w:rPr>
            </w:pPr>
            <w:r w:rsidRPr="006833B2">
              <w:rPr>
                <w:sz w:val="18"/>
                <w:szCs w:val="18"/>
              </w:rPr>
              <w:t xml:space="preserve">            +6% (+0.4% - +7</w:t>
            </w:r>
            <w:r w:rsidR="006833B2" w:rsidRPr="006833B2">
              <w:rPr>
                <w:sz w:val="18"/>
                <w:szCs w:val="18"/>
              </w:rPr>
              <w:t>5</w:t>
            </w:r>
            <w:r w:rsidRPr="006833B2">
              <w:rPr>
                <w:sz w:val="18"/>
                <w:szCs w:val="18"/>
              </w:rPr>
              <w:t>%)</w:t>
            </w:r>
          </w:p>
        </w:tc>
      </w:tr>
      <w:tr w:rsidR="0075625C" w:rsidRPr="006D6B62" w:rsidTr="006A2053">
        <w:tc>
          <w:tcPr>
            <w:tcW w:w="3119" w:type="dxa"/>
            <w:tcBorders>
              <w:left w:val="nil"/>
              <w:right w:val="nil"/>
            </w:tcBorders>
          </w:tcPr>
          <w:p w:rsidR="0075625C" w:rsidRPr="00A71C0B" w:rsidRDefault="005E1B3C" w:rsidP="0075625C">
            <w:pPr>
              <w:spacing w:before="120"/>
              <w:rPr>
                <w:b/>
                <w:sz w:val="18"/>
                <w:szCs w:val="18"/>
              </w:rPr>
            </w:pPr>
            <w:r>
              <w:rPr>
                <w:b/>
                <w:sz w:val="18"/>
                <w:szCs w:val="18"/>
              </w:rPr>
              <w:t>O</w:t>
            </w:r>
            <w:r w:rsidR="0075625C" w:rsidRPr="00A71C0B">
              <w:rPr>
                <w:b/>
                <w:sz w:val="18"/>
                <w:szCs w:val="18"/>
              </w:rPr>
              <w:t>f HIV positive people</w:t>
            </w:r>
            <w:r>
              <w:rPr>
                <w:b/>
                <w:sz w:val="18"/>
                <w:szCs w:val="18"/>
              </w:rPr>
              <w:t>, proportion</w:t>
            </w:r>
            <w:r w:rsidR="0075625C" w:rsidRPr="00A71C0B">
              <w:rPr>
                <w:b/>
                <w:sz w:val="18"/>
                <w:szCs w:val="18"/>
              </w:rPr>
              <w:t xml:space="preserve"> diagnosed</w:t>
            </w:r>
            <w:r w:rsidR="0075625C">
              <w:rPr>
                <w:b/>
                <w:sz w:val="18"/>
                <w:szCs w:val="18"/>
              </w:rPr>
              <w:t xml:space="preserve"> </w:t>
            </w:r>
            <w:r w:rsidR="0075625C" w:rsidRPr="002314FA">
              <w:rPr>
                <w:b/>
                <w:sz w:val="18"/>
                <w:szCs w:val="18"/>
                <w:vertAlign w:val="superscript"/>
              </w:rPr>
              <w:t>+</w:t>
            </w:r>
          </w:p>
          <w:p w:rsidR="0075625C" w:rsidRPr="00A71C0B" w:rsidRDefault="0075625C" w:rsidP="0075625C">
            <w:pPr>
              <w:rPr>
                <w:sz w:val="18"/>
                <w:szCs w:val="18"/>
              </w:rPr>
            </w:pPr>
            <w:r w:rsidRPr="00A71C0B">
              <w:rPr>
                <w:sz w:val="18"/>
                <w:szCs w:val="18"/>
              </w:rPr>
              <w:t xml:space="preserve">              Women*</w:t>
            </w:r>
          </w:p>
          <w:p w:rsidR="0075625C" w:rsidRDefault="0075625C" w:rsidP="0075625C">
            <w:pPr>
              <w:rPr>
                <w:sz w:val="18"/>
                <w:szCs w:val="18"/>
              </w:rPr>
            </w:pPr>
            <w:r w:rsidRPr="00A71C0B">
              <w:rPr>
                <w:sz w:val="18"/>
                <w:szCs w:val="18"/>
              </w:rPr>
              <w:t xml:space="preserve">              Men**</w:t>
            </w:r>
          </w:p>
          <w:p w:rsidR="0075625C" w:rsidRPr="00A71C0B" w:rsidRDefault="0075625C" w:rsidP="0075625C">
            <w:pPr>
              <w:rPr>
                <w:b/>
                <w:sz w:val="18"/>
                <w:szCs w:val="18"/>
              </w:rPr>
            </w:pPr>
          </w:p>
        </w:tc>
        <w:tc>
          <w:tcPr>
            <w:tcW w:w="3544" w:type="dxa"/>
            <w:tcBorders>
              <w:left w:val="nil"/>
              <w:right w:val="nil"/>
            </w:tcBorders>
          </w:tcPr>
          <w:p w:rsidR="0075625C" w:rsidRPr="00A71C0B" w:rsidRDefault="0075625C" w:rsidP="0075625C">
            <w:pPr>
              <w:rPr>
                <w:color w:val="A6A6A6" w:themeColor="background1" w:themeShade="A6"/>
                <w:sz w:val="18"/>
                <w:szCs w:val="18"/>
              </w:rPr>
            </w:pPr>
          </w:p>
          <w:p w:rsidR="0075625C" w:rsidRPr="00A71C0B" w:rsidRDefault="0075625C" w:rsidP="0075625C">
            <w:pPr>
              <w:rPr>
                <w:color w:val="A6A6A6" w:themeColor="background1" w:themeShade="A6"/>
                <w:sz w:val="18"/>
                <w:szCs w:val="18"/>
              </w:rPr>
            </w:pPr>
          </w:p>
          <w:p w:rsidR="0075625C" w:rsidRPr="006833B2" w:rsidRDefault="0075625C" w:rsidP="0075625C">
            <w:pPr>
              <w:spacing w:before="120"/>
              <w:rPr>
                <w:sz w:val="18"/>
                <w:szCs w:val="18"/>
              </w:rPr>
            </w:pPr>
            <w:r w:rsidRPr="006833B2">
              <w:rPr>
                <w:sz w:val="18"/>
                <w:szCs w:val="18"/>
              </w:rPr>
              <w:t xml:space="preserve">            +</w:t>
            </w:r>
            <w:r w:rsidR="006833B2" w:rsidRPr="006833B2">
              <w:rPr>
                <w:sz w:val="18"/>
                <w:szCs w:val="18"/>
              </w:rPr>
              <w:t>7% (+2% - +12</w:t>
            </w:r>
            <w:r w:rsidRPr="006833B2">
              <w:rPr>
                <w:sz w:val="18"/>
                <w:szCs w:val="18"/>
              </w:rPr>
              <w:t>%)</w:t>
            </w:r>
          </w:p>
          <w:p w:rsidR="0075625C" w:rsidRPr="002314FA" w:rsidRDefault="0075625C" w:rsidP="0075625C">
            <w:pPr>
              <w:rPr>
                <w:color w:val="000000" w:themeColor="text1"/>
                <w:sz w:val="18"/>
                <w:szCs w:val="18"/>
              </w:rPr>
            </w:pPr>
            <w:r w:rsidRPr="006833B2">
              <w:rPr>
                <w:sz w:val="18"/>
                <w:szCs w:val="18"/>
              </w:rPr>
              <w:t xml:space="preserve">            +21% (+5% - +33%)</w:t>
            </w:r>
          </w:p>
        </w:tc>
      </w:tr>
      <w:tr w:rsidR="0075625C" w:rsidRPr="006D6B62" w:rsidTr="006A2053">
        <w:tc>
          <w:tcPr>
            <w:tcW w:w="3119" w:type="dxa"/>
            <w:tcBorders>
              <w:left w:val="nil"/>
              <w:right w:val="nil"/>
            </w:tcBorders>
          </w:tcPr>
          <w:p w:rsidR="0075625C" w:rsidRPr="002771E5" w:rsidRDefault="0065097C" w:rsidP="0075625C">
            <w:pPr>
              <w:rPr>
                <w:sz w:val="18"/>
                <w:szCs w:val="18"/>
              </w:rPr>
            </w:pPr>
            <w:r>
              <w:rPr>
                <w:b/>
                <w:sz w:val="18"/>
                <w:szCs w:val="18"/>
              </w:rPr>
              <w:t>Cost-per-diagnosis</w:t>
            </w:r>
            <w:r w:rsidR="0075625C">
              <w:rPr>
                <w:b/>
                <w:sz w:val="18"/>
                <w:szCs w:val="18"/>
              </w:rPr>
              <w:t xml:space="preserve"> with </w:t>
            </w:r>
            <w:r w:rsidR="00DB639A">
              <w:rPr>
                <w:b/>
                <w:sz w:val="18"/>
                <w:szCs w:val="18"/>
              </w:rPr>
              <w:t>additional-testing</w:t>
            </w:r>
            <w:r w:rsidR="0075625C" w:rsidRPr="00BA7DF8">
              <w:rPr>
                <w:b/>
                <w:sz w:val="18"/>
                <w:szCs w:val="18"/>
                <w:vertAlign w:val="superscript"/>
              </w:rPr>
              <w:t>&amp;</w:t>
            </w:r>
          </w:p>
          <w:p w:rsidR="0075625C" w:rsidRDefault="0075625C" w:rsidP="0075625C">
            <w:pPr>
              <w:rPr>
                <w:sz w:val="18"/>
                <w:szCs w:val="18"/>
              </w:rPr>
            </w:pPr>
            <w:r w:rsidRPr="002771E5">
              <w:rPr>
                <w:sz w:val="18"/>
                <w:szCs w:val="18"/>
              </w:rPr>
              <w:t xml:space="preserve">             Women</w:t>
            </w:r>
            <w:r>
              <w:rPr>
                <w:sz w:val="18"/>
                <w:szCs w:val="18"/>
              </w:rPr>
              <w:t>*</w:t>
            </w:r>
          </w:p>
          <w:p w:rsidR="0075625C" w:rsidRPr="002771E5" w:rsidRDefault="0075625C" w:rsidP="0075625C">
            <w:pPr>
              <w:rPr>
                <w:sz w:val="18"/>
                <w:szCs w:val="18"/>
              </w:rPr>
            </w:pPr>
            <w:r>
              <w:rPr>
                <w:sz w:val="18"/>
                <w:szCs w:val="18"/>
              </w:rPr>
              <w:t xml:space="preserve">             Men**</w:t>
            </w:r>
          </w:p>
        </w:tc>
        <w:tc>
          <w:tcPr>
            <w:tcW w:w="3544" w:type="dxa"/>
            <w:tcBorders>
              <w:left w:val="nil"/>
              <w:right w:val="nil"/>
            </w:tcBorders>
          </w:tcPr>
          <w:p w:rsidR="0075625C" w:rsidRDefault="0075625C" w:rsidP="0075625C">
            <w:pPr>
              <w:rPr>
                <w:color w:val="A6A6A6" w:themeColor="background1" w:themeShade="A6"/>
                <w:sz w:val="18"/>
                <w:szCs w:val="18"/>
              </w:rPr>
            </w:pPr>
          </w:p>
          <w:p w:rsidR="0075625C" w:rsidRDefault="0075625C" w:rsidP="0075625C">
            <w:pPr>
              <w:rPr>
                <w:color w:val="A6A6A6" w:themeColor="background1" w:themeShade="A6"/>
                <w:sz w:val="18"/>
                <w:szCs w:val="18"/>
              </w:rPr>
            </w:pPr>
          </w:p>
          <w:p w:rsidR="0075625C" w:rsidRPr="006833B2" w:rsidRDefault="0075625C" w:rsidP="0075625C">
            <w:pPr>
              <w:rPr>
                <w:sz w:val="18"/>
                <w:szCs w:val="18"/>
              </w:rPr>
            </w:pPr>
            <w:r w:rsidRPr="006833B2">
              <w:rPr>
                <w:sz w:val="18"/>
                <w:szCs w:val="18"/>
              </w:rPr>
              <w:t xml:space="preserve">          $3</w:t>
            </w:r>
            <w:r w:rsidR="006833B2" w:rsidRPr="006833B2">
              <w:rPr>
                <w:sz w:val="18"/>
                <w:szCs w:val="18"/>
              </w:rPr>
              <w:t>99</w:t>
            </w:r>
            <w:r w:rsidRPr="006833B2">
              <w:rPr>
                <w:sz w:val="18"/>
                <w:szCs w:val="18"/>
              </w:rPr>
              <w:t xml:space="preserve"> ($25 - $7,</w:t>
            </w:r>
            <w:r w:rsidR="006833B2" w:rsidRPr="006833B2">
              <w:rPr>
                <w:sz w:val="18"/>
                <w:szCs w:val="18"/>
              </w:rPr>
              <w:t>187</w:t>
            </w:r>
            <w:r w:rsidRPr="006833B2">
              <w:rPr>
                <w:sz w:val="18"/>
                <w:szCs w:val="18"/>
              </w:rPr>
              <w:t>)</w:t>
            </w:r>
          </w:p>
          <w:p w:rsidR="0075625C" w:rsidRPr="00A71C0B" w:rsidRDefault="0075625C" w:rsidP="006833B2">
            <w:pPr>
              <w:rPr>
                <w:color w:val="A6A6A6" w:themeColor="background1" w:themeShade="A6"/>
                <w:sz w:val="18"/>
                <w:szCs w:val="18"/>
              </w:rPr>
            </w:pPr>
            <w:r w:rsidRPr="006833B2">
              <w:rPr>
                <w:sz w:val="18"/>
                <w:szCs w:val="18"/>
              </w:rPr>
              <w:t xml:space="preserve">          $</w:t>
            </w:r>
            <w:r w:rsidR="006833B2" w:rsidRPr="006833B2">
              <w:rPr>
                <w:sz w:val="18"/>
                <w:szCs w:val="18"/>
              </w:rPr>
              <w:t>288</w:t>
            </w:r>
            <w:r w:rsidRPr="006833B2">
              <w:rPr>
                <w:sz w:val="18"/>
                <w:szCs w:val="18"/>
              </w:rPr>
              <w:t xml:space="preserve"> ($21 - $4,</w:t>
            </w:r>
            <w:r w:rsidR="006833B2" w:rsidRPr="006833B2">
              <w:rPr>
                <w:sz w:val="18"/>
                <w:szCs w:val="18"/>
              </w:rPr>
              <w:t>975</w:t>
            </w:r>
            <w:r w:rsidRPr="006833B2">
              <w:rPr>
                <w:sz w:val="18"/>
                <w:szCs w:val="18"/>
              </w:rPr>
              <w:t>)</w:t>
            </w:r>
          </w:p>
        </w:tc>
      </w:tr>
    </w:tbl>
    <w:p w:rsidR="009A2BFC" w:rsidRDefault="009A2BFC">
      <w:pPr>
        <w:rPr>
          <w:sz w:val="20"/>
          <w:szCs w:val="20"/>
        </w:rPr>
      </w:pPr>
    </w:p>
    <w:p w:rsidR="00CC7BEA" w:rsidRPr="002314FA" w:rsidRDefault="009A2BFC" w:rsidP="006A2053">
      <w:pPr>
        <w:spacing w:after="0" w:line="240" w:lineRule="auto"/>
        <w:rPr>
          <w:sz w:val="20"/>
          <w:szCs w:val="20"/>
        </w:rPr>
      </w:pPr>
      <w:r>
        <w:rPr>
          <w:sz w:val="20"/>
          <w:szCs w:val="20"/>
        </w:rPr>
        <w:t>^</w:t>
      </w:r>
      <w:r w:rsidR="00CC7BEA" w:rsidRPr="00382918">
        <w:rPr>
          <w:sz w:val="20"/>
          <w:szCs w:val="20"/>
        </w:rPr>
        <w:t xml:space="preserve"> within-</w:t>
      </w:r>
      <w:r w:rsidR="00356DBB">
        <w:rPr>
          <w:sz w:val="20"/>
          <w:szCs w:val="20"/>
        </w:rPr>
        <w:t>scenario (model run)</w:t>
      </w:r>
      <w:r w:rsidR="00CC7BEA" w:rsidRPr="00382918">
        <w:rPr>
          <w:sz w:val="20"/>
          <w:szCs w:val="20"/>
        </w:rPr>
        <w:t xml:space="preserve"> difference</w:t>
      </w:r>
      <w:r>
        <w:rPr>
          <w:sz w:val="20"/>
          <w:szCs w:val="20"/>
        </w:rPr>
        <w:t xml:space="preserve">; * across </w:t>
      </w:r>
      <w:r w:rsidR="00524304">
        <w:rPr>
          <w:sz w:val="20"/>
          <w:szCs w:val="20"/>
        </w:rPr>
        <w:t>667</w:t>
      </w:r>
      <w:r>
        <w:rPr>
          <w:sz w:val="20"/>
          <w:szCs w:val="20"/>
        </w:rPr>
        <w:t xml:space="preserve"> </w:t>
      </w:r>
      <w:r w:rsidR="00473F51">
        <w:rPr>
          <w:sz w:val="20"/>
          <w:szCs w:val="20"/>
        </w:rPr>
        <w:t>setting-scenario</w:t>
      </w:r>
      <w:r>
        <w:rPr>
          <w:sz w:val="20"/>
          <w:szCs w:val="20"/>
        </w:rPr>
        <w:t xml:space="preserve">s in which </w:t>
      </w:r>
      <w:r w:rsidR="00DB639A">
        <w:rPr>
          <w:sz w:val="20"/>
          <w:szCs w:val="20"/>
        </w:rPr>
        <w:t>additional-testing</w:t>
      </w:r>
      <w:r>
        <w:rPr>
          <w:sz w:val="20"/>
          <w:szCs w:val="20"/>
        </w:rPr>
        <w:t xml:space="preserve"> is done in women and men </w:t>
      </w:r>
      <w:r w:rsidR="00524304">
        <w:rPr>
          <w:sz w:val="20"/>
          <w:szCs w:val="20"/>
        </w:rPr>
        <w:t>or in women only; ** across 667</w:t>
      </w:r>
      <w:r>
        <w:rPr>
          <w:sz w:val="20"/>
          <w:szCs w:val="20"/>
        </w:rPr>
        <w:t xml:space="preserve"> </w:t>
      </w:r>
      <w:r w:rsidR="00473F51">
        <w:rPr>
          <w:sz w:val="20"/>
          <w:szCs w:val="20"/>
        </w:rPr>
        <w:t>setting-scenario</w:t>
      </w:r>
      <w:r>
        <w:rPr>
          <w:sz w:val="20"/>
          <w:szCs w:val="20"/>
        </w:rPr>
        <w:t xml:space="preserve">s in which </w:t>
      </w:r>
      <w:r w:rsidR="00DB639A">
        <w:rPr>
          <w:sz w:val="20"/>
          <w:szCs w:val="20"/>
        </w:rPr>
        <w:t>additional-testing</w:t>
      </w:r>
      <w:r>
        <w:rPr>
          <w:sz w:val="20"/>
          <w:szCs w:val="20"/>
        </w:rPr>
        <w:t xml:space="preserve"> is done in </w:t>
      </w:r>
      <w:r w:rsidRPr="002314FA">
        <w:rPr>
          <w:sz w:val="20"/>
          <w:szCs w:val="20"/>
        </w:rPr>
        <w:t xml:space="preserve">women and men or in men only; </w:t>
      </w:r>
      <w:r w:rsidR="00BA7DF8" w:rsidRPr="002314FA">
        <w:rPr>
          <w:sz w:val="20"/>
          <w:szCs w:val="20"/>
          <w:vertAlign w:val="superscript"/>
        </w:rPr>
        <w:t>&amp;</w:t>
      </w:r>
      <w:r w:rsidRPr="002314FA">
        <w:rPr>
          <w:sz w:val="20"/>
          <w:szCs w:val="20"/>
        </w:rPr>
        <w:t xml:space="preserve"> </w:t>
      </w:r>
      <w:r w:rsidR="00BA7DF8" w:rsidRPr="002314FA">
        <w:rPr>
          <w:sz w:val="20"/>
          <w:szCs w:val="20"/>
        </w:rPr>
        <w:t xml:space="preserve">over </w:t>
      </w:r>
      <w:r w:rsidR="00524304">
        <w:rPr>
          <w:sz w:val="20"/>
          <w:szCs w:val="20"/>
        </w:rPr>
        <w:t>10,672</w:t>
      </w:r>
      <w:r w:rsidR="00BA7DF8" w:rsidRPr="002314FA">
        <w:rPr>
          <w:sz w:val="20"/>
          <w:szCs w:val="20"/>
        </w:rPr>
        <w:t xml:space="preserve"> (= </w:t>
      </w:r>
      <w:r w:rsidR="00524304">
        <w:rPr>
          <w:sz w:val="20"/>
          <w:szCs w:val="20"/>
        </w:rPr>
        <w:t>667</w:t>
      </w:r>
      <w:r w:rsidR="00BA7DF8" w:rsidRPr="002314FA">
        <w:rPr>
          <w:sz w:val="20"/>
          <w:szCs w:val="20"/>
        </w:rPr>
        <w:t xml:space="preserve"> x 16) </w:t>
      </w:r>
      <w:r w:rsidR="00473F51" w:rsidRPr="002314FA">
        <w:rPr>
          <w:sz w:val="20"/>
          <w:szCs w:val="20"/>
        </w:rPr>
        <w:t>setting-scenario</w:t>
      </w:r>
      <w:r w:rsidR="005B69C8">
        <w:rPr>
          <w:sz w:val="20"/>
          <w:szCs w:val="20"/>
        </w:rPr>
        <w:t xml:space="preserve"> /</w:t>
      </w:r>
      <w:r w:rsidR="00BA7DF8" w:rsidRPr="002314FA">
        <w:rPr>
          <w:sz w:val="20"/>
          <w:szCs w:val="20"/>
        </w:rPr>
        <w:t xml:space="preserve"> test unit cost combinations. </w:t>
      </w:r>
      <w:r w:rsidRPr="002314FA">
        <w:rPr>
          <w:sz w:val="20"/>
          <w:szCs w:val="20"/>
        </w:rPr>
        <w:t xml:space="preserve"> </w:t>
      </w:r>
    </w:p>
    <w:p w:rsidR="002314FA" w:rsidRPr="002314FA" w:rsidRDefault="002314FA" w:rsidP="002314FA">
      <w:pPr>
        <w:rPr>
          <w:sz w:val="18"/>
          <w:szCs w:val="18"/>
        </w:rPr>
      </w:pPr>
      <w:r w:rsidRPr="002314FA">
        <w:rPr>
          <w:sz w:val="18"/>
          <w:szCs w:val="18"/>
        </w:rPr>
        <w:t xml:space="preserve">+ </w:t>
      </w:r>
      <w:r>
        <w:rPr>
          <w:sz w:val="18"/>
          <w:szCs w:val="18"/>
        </w:rPr>
        <w:t xml:space="preserve">The effect of </w:t>
      </w:r>
      <w:r w:rsidR="00DB639A">
        <w:rPr>
          <w:sz w:val="18"/>
          <w:szCs w:val="18"/>
        </w:rPr>
        <w:t>additional-testing</w:t>
      </w:r>
      <w:r>
        <w:rPr>
          <w:sz w:val="18"/>
          <w:szCs w:val="18"/>
        </w:rPr>
        <w:t xml:space="preserve"> is for the p</w:t>
      </w:r>
      <w:r w:rsidRPr="002314FA">
        <w:rPr>
          <w:sz w:val="18"/>
          <w:szCs w:val="18"/>
        </w:rPr>
        <w:t xml:space="preserve">roportion of setting scenarios in which </w:t>
      </w:r>
      <w:r w:rsidR="005E1B3C">
        <w:rPr>
          <w:sz w:val="18"/>
          <w:szCs w:val="18"/>
        </w:rPr>
        <w:t xml:space="preserve">the </w:t>
      </w:r>
      <w:r w:rsidRPr="002314FA">
        <w:rPr>
          <w:sz w:val="18"/>
          <w:szCs w:val="18"/>
        </w:rPr>
        <w:t xml:space="preserve">proportion diagnosed is &gt; 90% </w:t>
      </w:r>
      <w:r>
        <w:rPr>
          <w:sz w:val="18"/>
          <w:szCs w:val="18"/>
        </w:rPr>
        <w:t>to increase</w:t>
      </w:r>
      <w:r w:rsidRPr="002314FA">
        <w:rPr>
          <w:sz w:val="18"/>
          <w:szCs w:val="18"/>
        </w:rPr>
        <w:t xml:space="preserve"> </w:t>
      </w:r>
      <w:r w:rsidRPr="006833B2">
        <w:rPr>
          <w:color w:val="000000" w:themeColor="text1"/>
          <w:sz w:val="18"/>
          <w:szCs w:val="18"/>
        </w:rPr>
        <w:t>from 0% to 6</w:t>
      </w:r>
      <w:r w:rsidR="006833B2" w:rsidRPr="006833B2">
        <w:rPr>
          <w:color w:val="000000" w:themeColor="text1"/>
          <w:sz w:val="18"/>
          <w:szCs w:val="18"/>
        </w:rPr>
        <w:t>5</w:t>
      </w:r>
      <w:r w:rsidRPr="006833B2">
        <w:rPr>
          <w:color w:val="000000" w:themeColor="text1"/>
          <w:sz w:val="18"/>
          <w:szCs w:val="18"/>
        </w:rPr>
        <w:t xml:space="preserve">% in men, and from </w:t>
      </w:r>
      <w:r w:rsidR="006833B2" w:rsidRPr="006833B2">
        <w:rPr>
          <w:color w:val="000000" w:themeColor="text1"/>
          <w:sz w:val="18"/>
          <w:szCs w:val="18"/>
        </w:rPr>
        <w:t>29</w:t>
      </w:r>
      <w:r w:rsidRPr="006833B2">
        <w:rPr>
          <w:color w:val="000000" w:themeColor="text1"/>
          <w:sz w:val="18"/>
          <w:szCs w:val="18"/>
        </w:rPr>
        <w:t>% to 9</w:t>
      </w:r>
      <w:r w:rsidR="006833B2" w:rsidRPr="006833B2">
        <w:rPr>
          <w:color w:val="000000" w:themeColor="text1"/>
          <w:sz w:val="18"/>
          <w:szCs w:val="18"/>
        </w:rPr>
        <w:t>4</w:t>
      </w:r>
      <w:r w:rsidRPr="006833B2">
        <w:rPr>
          <w:color w:val="000000" w:themeColor="text1"/>
          <w:sz w:val="18"/>
          <w:szCs w:val="18"/>
        </w:rPr>
        <w:t>% in</w:t>
      </w:r>
      <w:r w:rsidRPr="00653EBC">
        <w:rPr>
          <w:color w:val="000000" w:themeColor="text1"/>
          <w:sz w:val="18"/>
          <w:szCs w:val="18"/>
        </w:rPr>
        <w:t xml:space="preserve"> </w:t>
      </w:r>
      <w:r>
        <w:rPr>
          <w:sz w:val="18"/>
          <w:szCs w:val="18"/>
        </w:rPr>
        <w:t>women.</w:t>
      </w:r>
    </w:p>
    <w:p w:rsidR="002314FA" w:rsidRPr="002314FA" w:rsidRDefault="002314FA" w:rsidP="006A2053">
      <w:pPr>
        <w:spacing w:after="0" w:line="240" w:lineRule="auto"/>
        <w:rPr>
          <w:color w:val="A50021"/>
        </w:rPr>
      </w:pPr>
    </w:p>
    <w:p w:rsidR="008B40AB" w:rsidRDefault="008B40AB">
      <w:pPr>
        <w:rPr>
          <w:b/>
          <w:color w:val="A50021"/>
        </w:rPr>
      </w:pPr>
      <w:r>
        <w:rPr>
          <w:b/>
          <w:color w:val="A50021"/>
        </w:rPr>
        <w:br w:type="page"/>
      </w:r>
    </w:p>
    <w:p w:rsidR="008B40AB" w:rsidRDefault="008B40AB" w:rsidP="008B40AB">
      <w:pPr>
        <w:spacing w:after="0" w:line="240" w:lineRule="auto"/>
        <w:rPr>
          <w:sz w:val="20"/>
          <w:szCs w:val="20"/>
        </w:rPr>
      </w:pPr>
      <w:r w:rsidRPr="008C786E">
        <w:rPr>
          <w:b/>
          <w:color w:val="A50021"/>
        </w:rPr>
        <w:lastRenderedPageBreak/>
        <w:t>Table 3.</w:t>
      </w:r>
      <w:r w:rsidRPr="008C786E">
        <w:rPr>
          <w:color w:val="A50021"/>
        </w:rPr>
        <w:t xml:space="preserve">  </w:t>
      </w:r>
      <w:r w:rsidRPr="008C786E">
        <w:rPr>
          <w:sz w:val="20"/>
          <w:szCs w:val="20"/>
        </w:rPr>
        <w:t>Cost-effectiveness</w:t>
      </w:r>
      <w:r w:rsidRPr="009853DF">
        <w:rPr>
          <w:sz w:val="20"/>
          <w:szCs w:val="20"/>
        </w:rPr>
        <w:t xml:space="preserve"> of </w:t>
      </w:r>
      <w:r w:rsidR="00DB639A">
        <w:rPr>
          <w:i/>
          <w:sz w:val="20"/>
          <w:szCs w:val="20"/>
        </w:rPr>
        <w:t>additional-testing</w:t>
      </w:r>
      <w:r>
        <w:rPr>
          <w:i/>
          <w:sz w:val="20"/>
          <w:szCs w:val="20"/>
        </w:rPr>
        <w:t xml:space="preserve"> </w:t>
      </w:r>
      <w:r w:rsidRPr="006A17FE">
        <w:rPr>
          <w:sz w:val="20"/>
          <w:szCs w:val="20"/>
        </w:rPr>
        <w:t xml:space="preserve">beyond </w:t>
      </w:r>
      <w:r w:rsidR="00DB639A">
        <w:rPr>
          <w:sz w:val="20"/>
          <w:szCs w:val="20"/>
        </w:rPr>
        <w:t>core-testing</w:t>
      </w:r>
      <w:r>
        <w:rPr>
          <w:i/>
          <w:sz w:val="20"/>
          <w:szCs w:val="20"/>
        </w:rPr>
        <w:t xml:space="preserve"> </w:t>
      </w:r>
      <w:r>
        <w:rPr>
          <w:sz w:val="20"/>
          <w:szCs w:val="20"/>
        </w:rPr>
        <w:t xml:space="preserve">and median incremental cost effectiveness ratio (ICER; cost per DALY averted) </w:t>
      </w:r>
      <w:r w:rsidRPr="009853DF">
        <w:rPr>
          <w:sz w:val="20"/>
          <w:szCs w:val="20"/>
        </w:rPr>
        <w:t>accord</w:t>
      </w:r>
      <w:r w:rsidRPr="00170BF6">
        <w:rPr>
          <w:sz w:val="20"/>
          <w:szCs w:val="20"/>
        </w:rPr>
        <w:t>ing to cost</w:t>
      </w:r>
      <w:r w:rsidR="004124B1">
        <w:rPr>
          <w:sz w:val="20"/>
          <w:szCs w:val="20"/>
        </w:rPr>
        <w:t>-of -testing</w:t>
      </w:r>
      <w:r w:rsidRPr="00170BF6">
        <w:rPr>
          <w:sz w:val="20"/>
          <w:szCs w:val="20"/>
        </w:rPr>
        <w:t>per</w:t>
      </w:r>
      <w:r w:rsidR="004124B1">
        <w:rPr>
          <w:sz w:val="20"/>
          <w:szCs w:val="20"/>
        </w:rPr>
        <w:t>-</w:t>
      </w:r>
      <w:r w:rsidRPr="00170BF6">
        <w:rPr>
          <w:sz w:val="20"/>
          <w:szCs w:val="20"/>
        </w:rPr>
        <w:t>new</w:t>
      </w:r>
      <w:r w:rsidR="004124B1">
        <w:rPr>
          <w:sz w:val="20"/>
          <w:szCs w:val="20"/>
        </w:rPr>
        <w:t>-</w:t>
      </w:r>
      <w:r w:rsidRPr="00170BF6">
        <w:rPr>
          <w:sz w:val="20"/>
          <w:szCs w:val="20"/>
        </w:rPr>
        <w:t>HIV</w:t>
      </w:r>
      <w:r w:rsidR="004124B1">
        <w:rPr>
          <w:sz w:val="20"/>
          <w:szCs w:val="20"/>
        </w:rPr>
        <w:t>-</w:t>
      </w:r>
      <w:r w:rsidRPr="00170BF6">
        <w:rPr>
          <w:sz w:val="20"/>
          <w:szCs w:val="20"/>
        </w:rPr>
        <w:t xml:space="preserve">diagnosis.  </w:t>
      </w:r>
      <w:r>
        <w:rPr>
          <w:sz w:val="20"/>
          <w:szCs w:val="20"/>
        </w:rPr>
        <w:t>Considering 16,000 setting-scenario / test unit cost combinations (1000 setting-scenarios x 16 different unit costs for testing)</w:t>
      </w:r>
      <w:r w:rsidRPr="00170BF6">
        <w:rPr>
          <w:sz w:val="20"/>
          <w:szCs w:val="20"/>
        </w:rPr>
        <w:t xml:space="preserve">, </w:t>
      </w:r>
      <w:r>
        <w:rPr>
          <w:sz w:val="20"/>
          <w:szCs w:val="20"/>
        </w:rPr>
        <w:t xml:space="preserve">5344 (334 x 16) </w:t>
      </w:r>
      <w:r w:rsidRPr="00170BF6">
        <w:rPr>
          <w:sz w:val="20"/>
          <w:szCs w:val="20"/>
        </w:rPr>
        <w:t xml:space="preserve">in which </w:t>
      </w:r>
      <w:r w:rsidR="00DB639A">
        <w:rPr>
          <w:sz w:val="20"/>
          <w:szCs w:val="20"/>
        </w:rPr>
        <w:t>additional-testing</w:t>
      </w:r>
      <w:r w:rsidRPr="00170BF6">
        <w:rPr>
          <w:sz w:val="20"/>
          <w:szCs w:val="20"/>
        </w:rPr>
        <w:t xml:space="preserve"> in both m</w:t>
      </w:r>
      <w:r>
        <w:rPr>
          <w:sz w:val="20"/>
          <w:szCs w:val="20"/>
        </w:rPr>
        <w:t xml:space="preserve">en and women is introduced; 5328 (333 x 16)  </w:t>
      </w:r>
      <w:r w:rsidRPr="00170BF6">
        <w:rPr>
          <w:sz w:val="20"/>
          <w:szCs w:val="20"/>
        </w:rPr>
        <w:t>each in which it is only in</w:t>
      </w:r>
      <w:r>
        <w:rPr>
          <w:sz w:val="20"/>
          <w:szCs w:val="20"/>
        </w:rPr>
        <w:t xml:space="preserve">troduced in </w:t>
      </w:r>
      <w:r w:rsidRPr="00170BF6">
        <w:rPr>
          <w:sz w:val="20"/>
          <w:szCs w:val="20"/>
        </w:rPr>
        <w:t>women</w:t>
      </w:r>
      <w:r>
        <w:rPr>
          <w:sz w:val="20"/>
          <w:szCs w:val="20"/>
        </w:rPr>
        <w:t xml:space="preserve">; 5328 (333 x 16) </w:t>
      </w:r>
      <w:r w:rsidRPr="00170BF6">
        <w:rPr>
          <w:sz w:val="20"/>
          <w:szCs w:val="20"/>
        </w:rPr>
        <w:t>each in which it is only in</w:t>
      </w:r>
      <w:r>
        <w:rPr>
          <w:sz w:val="20"/>
          <w:szCs w:val="20"/>
        </w:rPr>
        <w:t>troduced in men</w:t>
      </w:r>
      <w:r w:rsidRPr="00170BF6">
        <w:rPr>
          <w:sz w:val="20"/>
          <w:szCs w:val="20"/>
        </w:rPr>
        <w:t>.</w:t>
      </w: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88"/>
        <w:gridCol w:w="1716"/>
        <w:gridCol w:w="524"/>
        <w:gridCol w:w="1984"/>
      </w:tblGrid>
      <w:tr w:rsidR="008B40AB" w:rsidRPr="008C53CB" w:rsidTr="00346C1E">
        <w:trPr>
          <w:trHeight w:val="1166"/>
        </w:trPr>
        <w:tc>
          <w:tcPr>
            <w:tcW w:w="1588" w:type="dxa"/>
            <w:tcBorders>
              <w:bottom w:val="single" w:sz="12" w:space="0" w:color="auto"/>
            </w:tcBorders>
          </w:tcPr>
          <w:p w:rsidR="008B40AB" w:rsidRPr="00496632" w:rsidRDefault="008B40AB" w:rsidP="00346C1E">
            <w:pPr>
              <w:rPr>
                <w:b/>
                <w:sz w:val="18"/>
                <w:szCs w:val="18"/>
              </w:rPr>
            </w:pPr>
          </w:p>
          <w:p w:rsidR="008B40AB" w:rsidRPr="00496632" w:rsidRDefault="0065097C" w:rsidP="00346C1E">
            <w:pPr>
              <w:rPr>
                <w:b/>
                <w:sz w:val="18"/>
                <w:szCs w:val="18"/>
              </w:rPr>
            </w:pPr>
            <w:r>
              <w:rPr>
                <w:b/>
                <w:sz w:val="18"/>
                <w:szCs w:val="18"/>
              </w:rPr>
              <w:t>Cost-per-diagnosis</w:t>
            </w:r>
            <w:r w:rsidR="008B40AB" w:rsidRPr="00496632">
              <w:rPr>
                <w:b/>
                <w:sz w:val="18"/>
                <w:szCs w:val="18"/>
              </w:rPr>
              <w:t xml:space="preserve"> (2018-2023)^</w:t>
            </w:r>
          </w:p>
          <w:p w:rsidR="008B40AB" w:rsidRPr="00496632" w:rsidRDefault="008B40AB" w:rsidP="00346C1E">
            <w:pPr>
              <w:rPr>
                <w:b/>
                <w:sz w:val="18"/>
                <w:szCs w:val="18"/>
              </w:rPr>
            </w:pPr>
          </w:p>
        </w:tc>
        <w:tc>
          <w:tcPr>
            <w:tcW w:w="1716" w:type="dxa"/>
            <w:tcBorders>
              <w:bottom w:val="single" w:sz="12" w:space="0" w:color="auto"/>
            </w:tcBorders>
          </w:tcPr>
          <w:p w:rsidR="008B40AB" w:rsidRPr="00496632" w:rsidRDefault="008B40AB" w:rsidP="00346C1E">
            <w:pPr>
              <w:rPr>
                <w:b/>
                <w:sz w:val="18"/>
                <w:szCs w:val="18"/>
                <w:highlight w:val="lightGray"/>
              </w:rPr>
            </w:pPr>
          </w:p>
          <w:p w:rsidR="008B40AB" w:rsidRPr="00496632" w:rsidRDefault="008B40AB" w:rsidP="00346C1E">
            <w:pPr>
              <w:rPr>
                <w:b/>
                <w:sz w:val="18"/>
                <w:szCs w:val="18"/>
                <w:highlight w:val="lightGray"/>
              </w:rPr>
            </w:pPr>
            <w:r w:rsidRPr="00496632">
              <w:rPr>
                <w:b/>
                <w:sz w:val="18"/>
                <w:szCs w:val="18"/>
              </w:rPr>
              <w:t xml:space="preserve">Percent of </w:t>
            </w:r>
            <w:r>
              <w:rPr>
                <w:b/>
                <w:sz w:val="18"/>
                <w:szCs w:val="18"/>
              </w:rPr>
              <w:t>setting-scenario</w:t>
            </w:r>
            <w:r w:rsidRPr="00496632">
              <w:rPr>
                <w:b/>
                <w:sz w:val="18"/>
                <w:szCs w:val="18"/>
              </w:rPr>
              <w:t xml:space="preserve">s in which </w:t>
            </w:r>
            <w:r w:rsidR="00DB639A">
              <w:rPr>
                <w:b/>
                <w:sz w:val="18"/>
                <w:szCs w:val="18"/>
              </w:rPr>
              <w:t>additional-testing</w:t>
            </w:r>
            <w:r w:rsidRPr="00496632">
              <w:rPr>
                <w:b/>
                <w:sz w:val="18"/>
                <w:szCs w:val="18"/>
              </w:rPr>
              <w:t xml:space="preserve"> is cost effective</w:t>
            </w:r>
          </w:p>
        </w:tc>
        <w:tc>
          <w:tcPr>
            <w:tcW w:w="524" w:type="dxa"/>
            <w:tcBorders>
              <w:bottom w:val="single" w:sz="12" w:space="0" w:color="auto"/>
            </w:tcBorders>
          </w:tcPr>
          <w:p w:rsidR="008B40AB" w:rsidRPr="002254FF" w:rsidRDefault="008B40AB" w:rsidP="00346C1E">
            <w:pPr>
              <w:rPr>
                <w:b/>
                <w:sz w:val="18"/>
                <w:szCs w:val="18"/>
              </w:rPr>
            </w:pPr>
          </w:p>
          <w:p w:rsidR="008B40AB" w:rsidRPr="002254FF" w:rsidRDefault="008B40AB" w:rsidP="00346C1E">
            <w:pPr>
              <w:rPr>
                <w:b/>
                <w:sz w:val="18"/>
                <w:szCs w:val="18"/>
              </w:rPr>
            </w:pPr>
          </w:p>
        </w:tc>
        <w:tc>
          <w:tcPr>
            <w:tcW w:w="1984" w:type="dxa"/>
            <w:tcBorders>
              <w:bottom w:val="single" w:sz="12" w:space="0" w:color="auto"/>
            </w:tcBorders>
          </w:tcPr>
          <w:p w:rsidR="008B40AB" w:rsidRPr="002254FF" w:rsidRDefault="008B40AB" w:rsidP="00346C1E">
            <w:pPr>
              <w:rPr>
                <w:b/>
                <w:sz w:val="18"/>
                <w:szCs w:val="18"/>
              </w:rPr>
            </w:pPr>
          </w:p>
          <w:p w:rsidR="008B40AB" w:rsidRPr="002254FF" w:rsidRDefault="008B40AB" w:rsidP="00346C1E">
            <w:pPr>
              <w:rPr>
                <w:b/>
                <w:sz w:val="18"/>
                <w:szCs w:val="18"/>
              </w:rPr>
            </w:pPr>
            <w:r w:rsidRPr="002254FF">
              <w:rPr>
                <w:b/>
                <w:sz w:val="18"/>
                <w:szCs w:val="18"/>
              </w:rPr>
              <w:t>Median ICER</w:t>
            </w:r>
          </w:p>
        </w:tc>
      </w:tr>
      <w:tr w:rsidR="008B40AB" w:rsidRPr="008C53CB" w:rsidTr="00346C1E">
        <w:trPr>
          <w:trHeight w:val="613"/>
        </w:trPr>
        <w:tc>
          <w:tcPr>
            <w:tcW w:w="5812" w:type="dxa"/>
            <w:gridSpan w:val="4"/>
            <w:tcBorders>
              <w:bottom w:val="single" w:sz="12" w:space="0" w:color="auto"/>
            </w:tcBorders>
          </w:tcPr>
          <w:p w:rsidR="008B40AB" w:rsidRDefault="008B40AB" w:rsidP="00346C1E">
            <w:pPr>
              <w:rPr>
                <w:b/>
                <w:color w:val="C00000"/>
                <w:sz w:val="20"/>
                <w:szCs w:val="20"/>
              </w:rPr>
            </w:pPr>
          </w:p>
          <w:p w:rsidR="008B40AB" w:rsidRDefault="008B40AB" w:rsidP="00346C1E">
            <w:pPr>
              <w:rPr>
                <w:color w:val="000000" w:themeColor="text1"/>
                <w:sz w:val="20"/>
                <w:szCs w:val="20"/>
              </w:rPr>
            </w:pPr>
            <w:r w:rsidRPr="00333D72">
              <w:rPr>
                <w:b/>
                <w:color w:val="000000" w:themeColor="text1"/>
                <w:sz w:val="20"/>
                <w:szCs w:val="20"/>
              </w:rPr>
              <w:t>(a) overall</w:t>
            </w:r>
            <w:r>
              <w:rPr>
                <w:b/>
                <w:color w:val="000000" w:themeColor="text1"/>
                <w:sz w:val="20"/>
                <w:szCs w:val="20"/>
              </w:rPr>
              <w:t xml:space="preserve"> </w:t>
            </w:r>
            <w:r w:rsidRPr="00822488">
              <w:rPr>
                <w:color w:val="000000" w:themeColor="text1"/>
                <w:sz w:val="20"/>
                <w:szCs w:val="20"/>
              </w:rPr>
              <w:t>(</w:t>
            </w:r>
            <w:r w:rsidR="00DB639A">
              <w:rPr>
                <w:color w:val="000000" w:themeColor="text1"/>
                <w:sz w:val="20"/>
                <w:szCs w:val="20"/>
              </w:rPr>
              <w:t>additional-testing</w:t>
            </w:r>
            <w:r w:rsidRPr="00822488">
              <w:rPr>
                <w:color w:val="000000" w:themeColor="text1"/>
                <w:sz w:val="20"/>
                <w:szCs w:val="20"/>
              </w:rPr>
              <w:t xml:space="preserve"> in both men and women, </w:t>
            </w:r>
            <w:r>
              <w:rPr>
                <w:color w:val="000000" w:themeColor="text1"/>
                <w:sz w:val="20"/>
                <w:szCs w:val="20"/>
              </w:rPr>
              <w:t xml:space="preserve">in </w:t>
            </w:r>
            <w:r w:rsidRPr="00822488">
              <w:rPr>
                <w:color w:val="000000" w:themeColor="text1"/>
                <w:sz w:val="20"/>
                <w:szCs w:val="20"/>
              </w:rPr>
              <w:t>women alone, or in men alone )</w:t>
            </w:r>
          </w:p>
          <w:p w:rsidR="008B40AB" w:rsidRDefault="008B40AB" w:rsidP="00346C1E">
            <w:pPr>
              <w:rPr>
                <w:b/>
                <w:color w:val="C00000"/>
                <w:sz w:val="20"/>
                <w:szCs w:val="20"/>
              </w:rPr>
            </w:pPr>
          </w:p>
        </w:tc>
      </w:tr>
      <w:tr w:rsidR="008B40AB" w:rsidRPr="008C53CB" w:rsidTr="00346C1E">
        <w:trPr>
          <w:trHeight w:val="329"/>
        </w:trPr>
        <w:tc>
          <w:tcPr>
            <w:tcW w:w="1588" w:type="dxa"/>
            <w:tcBorders>
              <w:top w:val="single" w:sz="12" w:space="0" w:color="auto"/>
              <w:bottom w:val="single" w:sz="12" w:space="0" w:color="D9D9D9" w:themeColor="background1" w:themeShade="D9"/>
            </w:tcBorders>
          </w:tcPr>
          <w:p w:rsidR="008B40AB" w:rsidRPr="00496632" w:rsidRDefault="008B40AB" w:rsidP="00346C1E">
            <w:pPr>
              <w:spacing w:before="120"/>
              <w:rPr>
                <w:sz w:val="18"/>
                <w:szCs w:val="18"/>
              </w:rPr>
            </w:pPr>
            <w:r w:rsidRPr="00496632">
              <w:rPr>
                <w:sz w:val="18"/>
                <w:szCs w:val="18"/>
              </w:rPr>
              <w:t>&lt; $50</w:t>
            </w:r>
          </w:p>
        </w:tc>
        <w:tc>
          <w:tcPr>
            <w:tcW w:w="1716" w:type="dxa"/>
            <w:tcBorders>
              <w:top w:val="single" w:sz="12" w:space="0" w:color="auto"/>
              <w:bottom w:val="single" w:sz="12" w:space="0" w:color="D9D9D9" w:themeColor="background1" w:themeShade="D9"/>
            </w:tcBorders>
          </w:tcPr>
          <w:p w:rsidR="008B40AB" w:rsidRPr="00496632" w:rsidRDefault="008B40AB" w:rsidP="00346C1E">
            <w:pPr>
              <w:spacing w:before="120"/>
              <w:rPr>
                <w:sz w:val="18"/>
                <w:szCs w:val="18"/>
              </w:rPr>
            </w:pPr>
            <w:r>
              <w:rPr>
                <w:sz w:val="18"/>
                <w:szCs w:val="18"/>
              </w:rPr>
              <w:t>77</w:t>
            </w:r>
            <w:r w:rsidRPr="00496632">
              <w:rPr>
                <w:sz w:val="18"/>
                <w:szCs w:val="18"/>
              </w:rPr>
              <w:t>% (</w:t>
            </w:r>
            <w:r>
              <w:rPr>
                <w:sz w:val="18"/>
                <w:szCs w:val="18"/>
              </w:rPr>
              <w:t>1701</w:t>
            </w:r>
            <w:r w:rsidRPr="00496632">
              <w:rPr>
                <w:sz w:val="18"/>
                <w:szCs w:val="18"/>
              </w:rPr>
              <w:t>/</w:t>
            </w:r>
            <w:r>
              <w:rPr>
                <w:sz w:val="18"/>
                <w:szCs w:val="18"/>
              </w:rPr>
              <w:t>2203</w:t>
            </w:r>
            <w:r w:rsidRPr="00496632">
              <w:rPr>
                <w:sz w:val="18"/>
                <w:szCs w:val="18"/>
              </w:rPr>
              <w:t>)</w:t>
            </w:r>
          </w:p>
        </w:tc>
        <w:tc>
          <w:tcPr>
            <w:tcW w:w="524" w:type="dxa"/>
            <w:tcBorders>
              <w:top w:val="single" w:sz="12" w:space="0" w:color="auto"/>
              <w:bottom w:val="single" w:sz="12" w:space="0" w:color="D9D9D9" w:themeColor="background1" w:themeShade="D9"/>
            </w:tcBorders>
          </w:tcPr>
          <w:p w:rsidR="008B40AB" w:rsidRPr="00496632" w:rsidRDefault="008B40AB" w:rsidP="00346C1E">
            <w:pPr>
              <w:spacing w:before="120"/>
              <w:rPr>
                <w:color w:val="00B050"/>
                <w:sz w:val="18"/>
                <w:szCs w:val="18"/>
              </w:rPr>
            </w:pPr>
          </w:p>
        </w:tc>
        <w:tc>
          <w:tcPr>
            <w:tcW w:w="1984" w:type="dxa"/>
            <w:tcBorders>
              <w:top w:val="single" w:sz="12" w:space="0" w:color="auto"/>
              <w:bottom w:val="single" w:sz="12" w:space="0" w:color="D9D9D9" w:themeColor="background1" w:themeShade="D9"/>
            </w:tcBorders>
          </w:tcPr>
          <w:p w:rsidR="008B40AB" w:rsidRPr="006833B2" w:rsidRDefault="008B40AB" w:rsidP="00346C1E">
            <w:pPr>
              <w:spacing w:before="120"/>
              <w:rPr>
                <w:color w:val="2E74B5" w:themeColor="accent1" w:themeShade="BF"/>
                <w:sz w:val="18"/>
                <w:szCs w:val="18"/>
              </w:rPr>
            </w:pPr>
            <w:r w:rsidRPr="006833B2">
              <w:rPr>
                <w:color w:val="2E74B5" w:themeColor="accent1" w:themeShade="BF"/>
                <w:sz w:val="18"/>
                <w:szCs w:val="18"/>
              </w:rPr>
              <w:t xml:space="preserve"> </w:t>
            </w:r>
            <w:r w:rsidRPr="00105EE8">
              <w:rPr>
                <w:sz w:val="18"/>
                <w:szCs w:val="18"/>
              </w:rPr>
              <w:t>$287</w:t>
            </w:r>
          </w:p>
        </w:tc>
      </w:tr>
      <w:tr w:rsidR="008B40AB" w:rsidRPr="008C53CB" w:rsidTr="00346C1E">
        <w:trPr>
          <w:trHeight w:val="151"/>
        </w:trPr>
        <w:tc>
          <w:tcPr>
            <w:tcW w:w="158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$50 - $100</w:t>
            </w:r>
          </w:p>
        </w:tc>
        <w:tc>
          <w:tcPr>
            <w:tcW w:w="1716"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75% (1062/1411)</w:t>
            </w:r>
          </w:p>
        </w:tc>
        <w:tc>
          <w:tcPr>
            <w:tcW w:w="524"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84"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 xml:space="preserve"> $316</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$100 - $200</w:t>
            </w:r>
          </w:p>
        </w:tc>
        <w:tc>
          <w:tcPr>
            <w:tcW w:w="1716"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71% (1612/2283)</w:t>
            </w:r>
          </w:p>
        </w:tc>
        <w:tc>
          <w:tcPr>
            <w:tcW w:w="524"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84"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 xml:space="preserve"> $354</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$200 - $300</w:t>
            </w:r>
          </w:p>
        </w:tc>
        <w:tc>
          <w:tcPr>
            <w:tcW w:w="1716"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62% (1159/1872)</w:t>
            </w:r>
          </w:p>
        </w:tc>
        <w:tc>
          <w:tcPr>
            <w:tcW w:w="524"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84"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 xml:space="preserve"> $423</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$300 - $400</w:t>
            </w:r>
          </w:p>
        </w:tc>
        <w:tc>
          <w:tcPr>
            <w:tcW w:w="1716"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46% (481/1053)</w:t>
            </w:r>
          </w:p>
        </w:tc>
        <w:tc>
          <w:tcPr>
            <w:tcW w:w="52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Pr>
                <w:color w:val="2E74B5" w:themeColor="accent1" w:themeShade="BF"/>
                <w:sz w:val="18"/>
                <w:szCs w:val="18"/>
              </w:rPr>
              <w:t xml:space="preserve"> </w:t>
            </w:r>
            <w:r w:rsidRPr="00105EE8">
              <w:rPr>
                <w:sz w:val="18"/>
                <w:szCs w:val="18"/>
              </w:rPr>
              <w:t>$529</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$400 - $500</w:t>
            </w:r>
          </w:p>
        </w:tc>
        <w:tc>
          <w:tcPr>
            <w:tcW w:w="1716"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30% (218/734)</w:t>
            </w:r>
          </w:p>
        </w:tc>
        <w:tc>
          <w:tcPr>
            <w:tcW w:w="52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 xml:space="preserve"> $635</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sidRPr="00496632">
              <w:rPr>
                <w:sz w:val="18"/>
                <w:szCs w:val="18"/>
              </w:rPr>
              <w:t>$500 - $</w:t>
            </w:r>
            <w:r>
              <w:rPr>
                <w:sz w:val="18"/>
                <w:szCs w:val="18"/>
              </w:rPr>
              <w:t>600</w:t>
            </w:r>
          </w:p>
        </w:tc>
        <w:tc>
          <w:tcPr>
            <w:tcW w:w="1716"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20% (125/618)</w:t>
            </w:r>
          </w:p>
        </w:tc>
        <w:tc>
          <w:tcPr>
            <w:tcW w:w="52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 xml:space="preserve"> $737</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$600 - $700</w:t>
            </w:r>
          </w:p>
        </w:tc>
        <w:tc>
          <w:tcPr>
            <w:tcW w:w="1716"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13% (60/454)</w:t>
            </w:r>
          </w:p>
        </w:tc>
        <w:tc>
          <w:tcPr>
            <w:tcW w:w="52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Pr>
                <w:color w:val="2E74B5" w:themeColor="accent1" w:themeShade="BF"/>
                <w:sz w:val="18"/>
                <w:szCs w:val="18"/>
              </w:rPr>
              <w:t xml:space="preserve"> </w:t>
            </w:r>
            <w:r w:rsidRPr="00105EE8">
              <w:rPr>
                <w:sz w:val="18"/>
                <w:szCs w:val="18"/>
              </w:rPr>
              <w:t>$845</w:t>
            </w:r>
          </w:p>
        </w:tc>
      </w:tr>
      <w:tr w:rsidR="008B40AB" w:rsidRPr="008C53CB" w:rsidTr="00346C1E">
        <w:tc>
          <w:tcPr>
            <w:tcW w:w="158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$700 - $1000</w:t>
            </w:r>
          </w:p>
        </w:tc>
        <w:tc>
          <w:tcPr>
            <w:tcW w:w="1716"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 xml:space="preserve">  9% (81/937)</w:t>
            </w:r>
          </w:p>
        </w:tc>
        <w:tc>
          <w:tcPr>
            <w:tcW w:w="52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$1014</w:t>
            </w:r>
          </w:p>
        </w:tc>
      </w:tr>
      <w:tr w:rsidR="008B40AB" w:rsidRPr="008C53CB" w:rsidTr="00346C1E">
        <w:trPr>
          <w:trHeight w:val="261"/>
        </w:trPr>
        <w:tc>
          <w:tcPr>
            <w:tcW w:w="1588" w:type="dxa"/>
            <w:tcBorders>
              <w:top w:val="single" w:sz="12" w:space="0" w:color="D9D9D9" w:themeColor="background1" w:themeShade="D9"/>
              <w:bottom w:val="single" w:sz="12" w:space="0" w:color="auto"/>
            </w:tcBorders>
            <w:shd w:val="clear" w:color="auto" w:fill="FFFFFF" w:themeFill="background1"/>
          </w:tcPr>
          <w:p w:rsidR="008B40AB" w:rsidRPr="00105EE8" w:rsidRDefault="008B40AB" w:rsidP="00346C1E">
            <w:pPr>
              <w:rPr>
                <w:sz w:val="18"/>
                <w:szCs w:val="18"/>
              </w:rPr>
            </w:pPr>
            <w:r w:rsidRPr="00105EE8">
              <w:rPr>
                <w:sz w:val="18"/>
                <w:szCs w:val="18"/>
              </w:rPr>
              <w:t xml:space="preserve">&gt; $1000  </w:t>
            </w:r>
          </w:p>
        </w:tc>
        <w:tc>
          <w:tcPr>
            <w:tcW w:w="1716" w:type="dxa"/>
            <w:tcBorders>
              <w:top w:val="single" w:sz="12" w:space="0" w:color="D9D9D9" w:themeColor="background1" w:themeShade="D9"/>
              <w:bottom w:val="single" w:sz="12" w:space="0" w:color="auto"/>
            </w:tcBorders>
            <w:shd w:val="clear" w:color="auto" w:fill="FFFFFF" w:themeFill="background1"/>
          </w:tcPr>
          <w:p w:rsidR="008B40AB" w:rsidRPr="00105EE8" w:rsidRDefault="008B40AB" w:rsidP="00346C1E">
            <w:pPr>
              <w:rPr>
                <w:sz w:val="18"/>
                <w:szCs w:val="18"/>
              </w:rPr>
            </w:pPr>
            <w:r w:rsidRPr="00105EE8">
              <w:rPr>
                <w:sz w:val="18"/>
                <w:szCs w:val="18"/>
              </w:rPr>
              <w:t xml:space="preserve">  1% (35/4435)</w:t>
            </w:r>
          </w:p>
        </w:tc>
        <w:tc>
          <w:tcPr>
            <w:tcW w:w="524" w:type="dxa"/>
            <w:tcBorders>
              <w:top w:val="single" w:sz="12" w:space="0" w:color="D9D9D9" w:themeColor="background1" w:themeShade="D9"/>
              <w:bottom w:val="single" w:sz="12" w:space="0" w:color="auto"/>
            </w:tcBorders>
            <w:shd w:val="clear" w:color="auto" w:fill="FFFFFF" w:themeFill="background1"/>
          </w:tcPr>
          <w:p w:rsidR="008B40AB" w:rsidRPr="00496632" w:rsidRDefault="008B40AB" w:rsidP="00346C1E">
            <w:pPr>
              <w:rPr>
                <w:color w:val="FF0000"/>
                <w:sz w:val="18"/>
                <w:szCs w:val="18"/>
              </w:rPr>
            </w:pPr>
          </w:p>
        </w:tc>
        <w:tc>
          <w:tcPr>
            <w:tcW w:w="1984" w:type="dxa"/>
            <w:tcBorders>
              <w:top w:val="single" w:sz="12" w:space="0" w:color="D9D9D9" w:themeColor="background1" w:themeShade="D9"/>
              <w:bottom w:val="single" w:sz="12" w:space="0" w:color="auto"/>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$3069</w:t>
            </w:r>
          </w:p>
        </w:tc>
      </w:tr>
    </w:tbl>
    <w:p w:rsidR="008B40AB" w:rsidRDefault="008B40AB" w:rsidP="008B40AB">
      <w:pPr>
        <w:spacing w:after="0" w:line="240" w:lineRule="auto"/>
        <w:rPr>
          <w:b/>
          <w:color w:val="C00000"/>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97"/>
        <w:gridCol w:w="1723"/>
        <w:gridCol w:w="508"/>
        <w:gridCol w:w="1950"/>
      </w:tblGrid>
      <w:tr w:rsidR="008B40AB" w:rsidRPr="00496632" w:rsidTr="00346C1E">
        <w:trPr>
          <w:trHeight w:val="465"/>
        </w:trPr>
        <w:tc>
          <w:tcPr>
            <w:tcW w:w="3828" w:type="dxa"/>
            <w:gridSpan w:val="3"/>
            <w:tcBorders>
              <w:bottom w:val="single" w:sz="12" w:space="0" w:color="auto"/>
            </w:tcBorders>
          </w:tcPr>
          <w:p w:rsidR="008B40AB" w:rsidRPr="00496632" w:rsidRDefault="008B40AB" w:rsidP="00346C1E">
            <w:pPr>
              <w:rPr>
                <w:b/>
                <w:sz w:val="18"/>
                <w:szCs w:val="18"/>
                <w:highlight w:val="lightGray"/>
              </w:rPr>
            </w:pPr>
            <w:r>
              <w:rPr>
                <w:b/>
                <w:color w:val="000000" w:themeColor="text1"/>
                <w:sz w:val="20"/>
                <w:szCs w:val="20"/>
              </w:rPr>
              <w:t>(b</w:t>
            </w:r>
            <w:r w:rsidRPr="00333D72">
              <w:rPr>
                <w:b/>
                <w:color w:val="000000" w:themeColor="text1"/>
                <w:sz w:val="20"/>
                <w:szCs w:val="20"/>
              </w:rPr>
              <w:t xml:space="preserve">) </w:t>
            </w:r>
            <w:r w:rsidR="00DB639A">
              <w:rPr>
                <w:b/>
                <w:color w:val="000000" w:themeColor="text1"/>
                <w:sz w:val="20"/>
                <w:szCs w:val="20"/>
              </w:rPr>
              <w:t>additional-testing</w:t>
            </w:r>
            <w:r>
              <w:rPr>
                <w:b/>
                <w:color w:val="000000" w:themeColor="text1"/>
                <w:sz w:val="20"/>
                <w:szCs w:val="20"/>
              </w:rPr>
              <w:t xml:space="preserve"> in women only</w:t>
            </w:r>
          </w:p>
        </w:tc>
        <w:tc>
          <w:tcPr>
            <w:tcW w:w="1950" w:type="dxa"/>
            <w:tcBorders>
              <w:bottom w:val="single" w:sz="12" w:space="0" w:color="auto"/>
            </w:tcBorders>
          </w:tcPr>
          <w:p w:rsidR="008B40AB" w:rsidRDefault="008B40AB" w:rsidP="00346C1E">
            <w:pPr>
              <w:rPr>
                <w:b/>
                <w:color w:val="000000" w:themeColor="text1"/>
                <w:sz w:val="20"/>
                <w:szCs w:val="20"/>
              </w:rPr>
            </w:pPr>
          </w:p>
        </w:tc>
      </w:tr>
      <w:tr w:rsidR="008B40AB" w:rsidRPr="00496632" w:rsidTr="00346C1E">
        <w:trPr>
          <w:trHeight w:val="329"/>
        </w:trPr>
        <w:tc>
          <w:tcPr>
            <w:tcW w:w="1597" w:type="dxa"/>
            <w:tcBorders>
              <w:top w:val="single" w:sz="12" w:space="0" w:color="auto"/>
              <w:bottom w:val="single" w:sz="12" w:space="0" w:color="D9D9D9" w:themeColor="background1" w:themeShade="D9"/>
            </w:tcBorders>
          </w:tcPr>
          <w:p w:rsidR="008B40AB" w:rsidRPr="00496632" w:rsidRDefault="008B40AB" w:rsidP="00346C1E">
            <w:pPr>
              <w:spacing w:before="120"/>
              <w:rPr>
                <w:sz w:val="18"/>
                <w:szCs w:val="18"/>
              </w:rPr>
            </w:pPr>
            <w:r w:rsidRPr="00496632">
              <w:rPr>
                <w:sz w:val="18"/>
                <w:szCs w:val="18"/>
              </w:rPr>
              <w:t>&lt; $50</w:t>
            </w:r>
          </w:p>
        </w:tc>
        <w:tc>
          <w:tcPr>
            <w:tcW w:w="1723" w:type="dxa"/>
            <w:tcBorders>
              <w:top w:val="single" w:sz="12" w:space="0" w:color="auto"/>
              <w:bottom w:val="single" w:sz="12" w:space="0" w:color="D9D9D9" w:themeColor="background1" w:themeShade="D9"/>
            </w:tcBorders>
          </w:tcPr>
          <w:p w:rsidR="008B40AB" w:rsidRPr="00105EE8" w:rsidRDefault="008B40AB" w:rsidP="00346C1E">
            <w:pPr>
              <w:spacing w:before="120"/>
              <w:rPr>
                <w:sz w:val="18"/>
                <w:szCs w:val="18"/>
              </w:rPr>
            </w:pPr>
            <w:r w:rsidRPr="00105EE8">
              <w:rPr>
                <w:sz w:val="18"/>
                <w:szCs w:val="18"/>
              </w:rPr>
              <w:t>43% (321/741)</w:t>
            </w:r>
          </w:p>
        </w:tc>
        <w:tc>
          <w:tcPr>
            <w:tcW w:w="508" w:type="dxa"/>
            <w:tcBorders>
              <w:top w:val="single" w:sz="12" w:space="0" w:color="auto"/>
              <w:bottom w:val="single" w:sz="12" w:space="0" w:color="D9D9D9" w:themeColor="background1" w:themeShade="D9"/>
            </w:tcBorders>
          </w:tcPr>
          <w:p w:rsidR="008B40AB" w:rsidRPr="00496632" w:rsidRDefault="008B40AB" w:rsidP="00346C1E">
            <w:pPr>
              <w:spacing w:before="120"/>
              <w:rPr>
                <w:color w:val="00B050"/>
                <w:sz w:val="18"/>
                <w:szCs w:val="18"/>
              </w:rPr>
            </w:pPr>
          </w:p>
        </w:tc>
        <w:tc>
          <w:tcPr>
            <w:tcW w:w="1950" w:type="dxa"/>
            <w:tcBorders>
              <w:top w:val="single" w:sz="12" w:space="0" w:color="auto"/>
              <w:bottom w:val="single" w:sz="12" w:space="0" w:color="D9D9D9" w:themeColor="background1" w:themeShade="D9"/>
            </w:tcBorders>
          </w:tcPr>
          <w:p w:rsidR="008B40AB" w:rsidRPr="006833B2" w:rsidRDefault="008B40AB" w:rsidP="00346C1E">
            <w:pPr>
              <w:spacing w:before="120"/>
              <w:rPr>
                <w:color w:val="2E74B5" w:themeColor="accent1" w:themeShade="BF"/>
                <w:sz w:val="18"/>
                <w:szCs w:val="18"/>
              </w:rPr>
            </w:pPr>
            <w:r w:rsidRPr="00105EE8">
              <w:rPr>
                <w:sz w:val="18"/>
                <w:szCs w:val="18"/>
              </w:rPr>
              <w:t xml:space="preserve"> $541</w:t>
            </w:r>
          </w:p>
        </w:tc>
      </w:tr>
      <w:tr w:rsidR="008B40AB" w:rsidRPr="00496632" w:rsidTr="00346C1E">
        <w:trPr>
          <w:trHeight w:val="151"/>
        </w:trPr>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$50 - $100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35% (163/454)</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 xml:space="preserve"> $602</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$100 - $200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33% (246/748)</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Pr>
                <w:color w:val="2E74B5" w:themeColor="accent1" w:themeShade="BF"/>
                <w:sz w:val="18"/>
                <w:szCs w:val="18"/>
              </w:rPr>
              <w:t xml:space="preserve"> </w:t>
            </w:r>
            <w:r w:rsidRPr="00105EE8">
              <w:rPr>
                <w:sz w:val="18"/>
                <w:szCs w:val="18"/>
              </w:rPr>
              <w:t>$661</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$200 - $300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25% (154/619)</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6833B2" w:rsidRDefault="008B40AB" w:rsidP="00346C1E">
            <w:pPr>
              <w:rPr>
                <w:color w:val="2E74B5" w:themeColor="accent1" w:themeShade="BF"/>
                <w:sz w:val="18"/>
                <w:szCs w:val="18"/>
              </w:rPr>
            </w:pPr>
            <w:r w:rsidRPr="00105EE8">
              <w:rPr>
                <w:sz w:val="18"/>
                <w:szCs w:val="18"/>
              </w:rPr>
              <w:t xml:space="preserve"> $751</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$300 - $400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10% (32/333)</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$1049</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$400 - $500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 xml:space="preserve">  5% (13/238)</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$1173</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sidRPr="00496632">
              <w:rPr>
                <w:sz w:val="18"/>
                <w:szCs w:val="18"/>
              </w:rPr>
              <w:t>$500 - $</w:t>
            </w:r>
            <w:r>
              <w:rPr>
                <w:sz w:val="18"/>
                <w:szCs w:val="18"/>
              </w:rPr>
              <w:t>600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 xml:space="preserve">  5% (10/204)</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$1282</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$600 - $700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 xml:space="preserve">  3% (5/148)</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$1403</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$700 - $1000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 xml:space="preserve">  1% (2/311)</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$1710</w:t>
            </w:r>
          </w:p>
        </w:tc>
      </w:tr>
      <w:tr w:rsidR="008B40AB" w:rsidRPr="00496632" w:rsidTr="00346C1E">
        <w:trPr>
          <w:trHeight w:val="261"/>
        </w:trPr>
        <w:tc>
          <w:tcPr>
            <w:tcW w:w="1597" w:type="dxa"/>
            <w:tcBorders>
              <w:top w:val="single" w:sz="12" w:space="0" w:color="D9D9D9" w:themeColor="background1" w:themeShade="D9"/>
              <w:bottom w:val="single" w:sz="12" w:space="0" w:color="auto"/>
            </w:tcBorders>
            <w:shd w:val="clear" w:color="auto" w:fill="FFFFFF" w:themeFill="background1"/>
          </w:tcPr>
          <w:p w:rsidR="008B40AB" w:rsidRPr="00496632" w:rsidRDefault="008B40AB" w:rsidP="00346C1E">
            <w:pPr>
              <w:rPr>
                <w:sz w:val="18"/>
                <w:szCs w:val="18"/>
              </w:rPr>
            </w:pPr>
            <w:r>
              <w:rPr>
                <w:sz w:val="18"/>
                <w:szCs w:val="18"/>
              </w:rPr>
              <w:t xml:space="preserve">&gt; $1000 - $1500 </w:t>
            </w:r>
          </w:p>
        </w:tc>
        <w:tc>
          <w:tcPr>
            <w:tcW w:w="1723" w:type="dxa"/>
            <w:tcBorders>
              <w:top w:val="single" w:sz="12" w:space="0" w:color="D9D9D9" w:themeColor="background1" w:themeShade="D9"/>
              <w:bottom w:val="single" w:sz="12" w:space="0" w:color="auto"/>
            </w:tcBorders>
            <w:shd w:val="clear" w:color="auto" w:fill="FFFFFF" w:themeFill="background1"/>
          </w:tcPr>
          <w:p w:rsidR="008B40AB" w:rsidRPr="00105EE8" w:rsidRDefault="008B40AB" w:rsidP="00346C1E">
            <w:pPr>
              <w:rPr>
                <w:sz w:val="18"/>
                <w:szCs w:val="18"/>
              </w:rPr>
            </w:pPr>
            <w:r w:rsidRPr="00105EE8">
              <w:rPr>
                <w:sz w:val="18"/>
                <w:szCs w:val="18"/>
              </w:rPr>
              <w:t xml:space="preserve">  0% (0/1532)</w:t>
            </w:r>
          </w:p>
        </w:tc>
        <w:tc>
          <w:tcPr>
            <w:tcW w:w="508" w:type="dxa"/>
            <w:tcBorders>
              <w:top w:val="single" w:sz="12" w:space="0" w:color="D9D9D9" w:themeColor="background1" w:themeShade="D9"/>
              <w:bottom w:val="single" w:sz="12" w:space="0" w:color="auto"/>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auto"/>
            </w:tcBorders>
            <w:shd w:val="clear" w:color="auto" w:fill="FFFFFF" w:themeFill="background1"/>
          </w:tcPr>
          <w:p w:rsidR="008B40AB" w:rsidRPr="00565ADF" w:rsidRDefault="008B40AB" w:rsidP="00346C1E">
            <w:pPr>
              <w:rPr>
                <w:sz w:val="18"/>
                <w:szCs w:val="18"/>
              </w:rPr>
            </w:pPr>
            <w:r w:rsidRPr="00565ADF">
              <w:rPr>
                <w:sz w:val="18"/>
                <w:szCs w:val="18"/>
              </w:rPr>
              <w:t>$4871</w:t>
            </w:r>
          </w:p>
        </w:tc>
      </w:tr>
      <w:tr w:rsidR="008B40AB" w:rsidRPr="00496632" w:rsidTr="00346C1E">
        <w:trPr>
          <w:trHeight w:val="652"/>
        </w:trPr>
        <w:tc>
          <w:tcPr>
            <w:tcW w:w="3828" w:type="dxa"/>
            <w:gridSpan w:val="3"/>
            <w:tcBorders>
              <w:bottom w:val="single" w:sz="12" w:space="0" w:color="auto"/>
            </w:tcBorders>
          </w:tcPr>
          <w:p w:rsidR="008B40AB" w:rsidRDefault="008B40AB" w:rsidP="00346C1E">
            <w:pPr>
              <w:rPr>
                <w:b/>
                <w:color w:val="000000" w:themeColor="text1"/>
                <w:sz w:val="20"/>
                <w:szCs w:val="20"/>
              </w:rPr>
            </w:pPr>
          </w:p>
          <w:p w:rsidR="008B40AB" w:rsidRPr="00496632" w:rsidRDefault="008B40AB" w:rsidP="00346C1E">
            <w:pPr>
              <w:rPr>
                <w:b/>
                <w:sz w:val="18"/>
                <w:szCs w:val="18"/>
                <w:highlight w:val="lightGray"/>
              </w:rPr>
            </w:pPr>
            <w:r>
              <w:rPr>
                <w:b/>
                <w:color w:val="000000" w:themeColor="text1"/>
                <w:sz w:val="20"/>
                <w:szCs w:val="20"/>
              </w:rPr>
              <w:t>(c</w:t>
            </w:r>
            <w:r w:rsidRPr="00333D72">
              <w:rPr>
                <w:b/>
                <w:color w:val="000000" w:themeColor="text1"/>
                <w:sz w:val="20"/>
                <w:szCs w:val="20"/>
              </w:rPr>
              <w:t xml:space="preserve">) </w:t>
            </w:r>
            <w:r w:rsidR="00DB639A">
              <w:rPr>
                <w:b/>
                <w:color w:val="000000" w:themeColor="text1"/>
                <w:sz w:val="20"/>
                <w:szCs w:val="20"/>
              </w:rPr>
              <w:t>additional-testing</w:t>
            </w:r>
            <w:r>
              <w:rPr>
                <w:b/>
                <w:color w:val="000000" w:themeColor="text1"/>
                <w:sz w:val="20"/>
                <w:szCs w:val="20"/>
              </w:rPr>
              <w:t xml:space="preserve"> in men only</w:t>
            </w:r>
          </w:p>
        </w:tc>
        <w:tc>
          <w:tcPr>
            <w:tcW w:w="1950" w:type="dxa"/>
            <w:tcBorders>
              <w:bottom w:val="single" w:sz="12" w:space="0" w:color="auto"/>
            </w:tcBorders>
          </w:tcPr>
          <w:p w:rsidR="008B40AB" w:rsidRPr="006833B2" w:rsidRDefault="008B40AB" w:rsidP="00346C1E">
            <w:pPr>
              <w:rPr>
                <w:b/>
                <w:color w:val="2E74B5" w:themeColor="accent1" w:themeShade="BF"/>
                <w:sz w:val="20"/>
                <w:szCs w:val="20"/>
              </w:rPr>
            </w:pPr>
          </w:p>
        </w:tc>
      </w:tr>
      <w:tr w:rsidR="008B40AB" w:rsidRPr="00496632" w:rsidTr="00346C1E">
        <w:trPr>
          <w:trHeight w:val="329"/>
        </w:trPr>
        <w:tc>
          <w:tcPr>
            <w:tcW w:w="1597" w:type="dxa"/>
            <w:tcBorders>
              <w:top w:val="single" w:sz="12" w:space="0" w:color="auto"/>
              <w:bottom w:val="single" w:sz="12" w:space="0" w:color="D9D9D9" w:themeColor="background1" w:themeShade="D9"/>
            </w:tcBorders>
          </w:tcPr>
          <w:p w:rsidR="008B40AB" w:rsidRPr="00496632" w:rsidRDefault="008B40AB" w:rsidP="00346C1E">
            <w:pPr>
              <w:spacing w:before="120"/>
              <w:rPr>
                <w:sz w:val="18"/>
                <w:szCs w:val="18"/>
              </w:rPr>
            </w:pPr>
            <w:r w:rsidRPr="00496632">
              <w:rPr>
                <w:sz w:val="18"/>
                <w:szCs w:val="18"/>
              </w:rPr>
              <w:t>&lt; $50</w:t>
            </w:r>
          </w:p>
        </w:tc>
        <w:tc>
          <w:tcPr>
            <w:tcW w:w="1723" w:type="dxa"/>
            <w:tcBorders>
              <w:top w:val="single" w:sz="12" w:space="0" w:color="auto"/>
              <w:bottom w:val="single" w:sz="12" w:space="0" w:color="D9D9D9" w:themeColor="background1" w:themeShade="D9"/>
            </w:tcBorders>
          </w:tcPr>
          <w:p w:rsidR="008B40AB" w:rsidRPr="00105EE8" w:rsidRDefault="008B40AB" w:rsidP="00346C1E">
            <w:pPr>
              <w:spacing w:before="120"/>
              <w:rPr>
                <w:sz w:val="18"/>
                <w:szCs w:val="18"/>
              </w:rPr>
            </w:pPr>
            <w:r w:rsidRPr="00105EE8">
              <w:rPr>
                <w:sz w:val="18"/>
                <w:szCs w:val="18"/>
              </w:rPr>
              <w:t>94% (742/791)</w:t>
            </w:r>
          </w:p>
        </w:tc>
        <w:tc>
          <w:tcPr>
            <w:tcW w:w="508" w:type="dxa"/>
            <w:tcBorders>
              <w:top w:val="single" w:sz="12" w:space="0" w:color="auto"/>
              <w:bottom w:val="single" w:sz="12" w:space="0" w:color="D9D9D9" w:themeColor="background1" w:themeShade="D9"/>
            </w:tcBorders>
          </w:tcPr>
          <w:p w:rsidR="008B40AB" w:rsidRPr="00496632" w:rsidRDefault="008B40AB" w:rsidP="00346C1E">
            <w:pPr>
              <w:spacing w:before="120"/>
              <w:rPr>
                <w:color w:val="00B050"/>
                <w:sz w:val="18"/>
                <w:szCs w:val="18"/>
              </w:rPr>
            </w:pPr>
          </w:p>
        </w:tc>
        <w:tc>
          <w:tcPr>
            <w:tcW w:w="1950" w:type="dxa"/>
            <w:tcBorders>
              <w:top w:val="single" w:sz="12" w:space="0" w:color="auto"/>
              <w:bottom w:val="single" w:sz="12" w:space="0" w:color="D9D9D9" w:themeColor="background1" w:themeShade="D9"/>
            </w:tcBorders>
          </w:tcPr>
          <w:p w:rsidR="008B40AB" w:rsidRPr="00565ADF" w:rsidRDefault="008B40AB" w:rsidP="00346C1E">
            <w:pPr>
              <w:spacing w:before="120"/>
              <w:rPr>
                <w:sz w:val="18"/>
                <w:szCs w:val="18"/>
              </w:rPr>
            </w:pPr>
            <w:r w:rsidRPr="00565ADF">
              <w:rPr>
                <w:sz w:val="18"/>
                <w:szCs w:val="18"/>
              </w:rPr>
              <w:t xml:space="preserve"> $189</w:t>
            </w:r>
          </w:p>
        </w:tc>
      </w:tr>
      <w:tr w:rsidR="008B40AB" w:rsidRPr="00496632" w:rsidTr="00346C1E">
        <w:trPr>
          <w:trHeight w:val="151"/>
        </w:trPr>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$50 - $100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95% (462/487)</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565ADF" w:rsidRDefault="008B40AB" w:rsidP="00346C1E">
            <w:pPr>
              <w:rPr>
                <w:sz w:val="18"/>
                <w:szCs w:val="18"/>
              </w:rPr>
            </w:pPr>
            <w:r w:rsidRPr="00565ADF">
              <w:rPr>
                <w:sz w:val="18"/>
                <w:szCs w:val="18"/>
              </w:rPr>
              <w:t xml:space="preserve"> $215</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$100 - $200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91% (743/814)</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565ADF" w:rsidRDefault="008B40AB" w:rsidP="00346C1E">
            <w:pPr>
              <w:rPr>
                <w:sz w:val="18"/>
                <w:szCs w:val="18"/>
              </w:rPr>
            </w:pPr>
            <w:r w:rsidRPr="00565ADF">
              <w:rPr>
                <w:sz w:val="18"/>
                <w:szCs w:val="18"/>
              </w:rPr>
              <w:t xml:space="preserve"> $243</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sz w:val="18"/>
                <w:szCs w:val="18"/>
              </w:rPr>
            </w:pPr>
            <w:r>
              <w:rPr>
                <w:sz w:val="18"/>
                <w:szCs w:val="18"/>
              </w:rPr>
              <w:t>$200 - $300</w:t>
            </w:r>
          </w:p>
        </w:tc>
        <w:tc>
          <w:tcPr>
            <w:tcW w:w="1723" w:type="dxa"/>
            <w:tcBorders>
              <w:top w:val="single" w:sz="12" w:space="0" w:color="D9D9D9" w:themeColor="background1" w:themeShade="D9"/>
              <w:bottom w:val="single" w:sz="12" w:space="0" w:color="D9D9D9" w:themeColor="background1" w:themeShade="D9"/>
            </w:tcBorders>
          </w:tcPr>
          <w:p w:rsidR="008B40AB" w:rsidRPr="00105EE8" w:rsidRDefault="008B40AB" w:rsidP="00346C1E">
            <w:pPr>
              <w:rPr>
                <w:sz w:val="18"/>
                <w:szCs w:val="18"/>
              </w:rPr>
            </w:pPr>
            <w:r w:rsidRPr="00105EE8">
              <w:rPr>
                <w:sz w:val="18"/>
                <w:szCs w:val="18"/>
              </w:rPr>
              <w:t>89% (581/652)</w:t>
            </w:r>
          </w:p>
        </w:tc>
        <w:tc>
          <w:tcPr>
            <w:tcW w:w="508" w:type="dxa"/>
            <w:tcBorders>
              <w:top w:val="single" w:sz="12" w:space="0" w:color="D9D9D9" w:themeColor="background1" w:themeShade="D9"/>
              <w:bottom w:val="single" w:sz="12" w:space="0" w:color="D9D9D9" w:themeColor="background1" w:themeShade="D9"/>
            </w:tcBorders>
          </w:tcPr>
          <w:p w:rsidR="008B40AB" w:rsidRPr="00496632" w:rsidRDefault="008B40AB" w:rsidP="00346C1E">
            <w:pPr>
              <w:rPr>
                <w:color w:val="00B050"/>
                <w:sz w:val="18"/>
                <w:szCs w:val="18"/>
              </w:rPr>
            </w:pPr>
          </w:p>
        </w:tc>
        <w:tc>
          <w:tcPr>
            <w:tcW w:w="1950" w:type="dxa"/>
            <w:tcBorders>
              <w:top w:val="single" w:sz="12" w:space="0" w:color="D9D9D9" w:themeColor="background1" w:themeShade="D9"/>
              <w:bottom w:val="single" w:sz="12" w:space="0" w:color="D9D9D9" w:themeColor="background1" w:themeShade="D9"/>
            </w:tcBorders>
          </w:tcPr>
          <w:p w:rsidR="008B40AB" w:rsidRPr="00565ADF" w:rsidRDefault="008B40AB" w:rsidP="00346C1E">
            <w:pPr>
              <w:rPr>
                <w:sz w:val="18"/>
                <w:szCs w:val="18"/>
              </w:rPr>
            </w:pPr>
            <w:r w:rsidRPr="00565ADF">
              <w:rPr>
                <w:sz w:val="18"/>
                <w:szCs w:val="18"/>
              </w:rPr>
              <w:t xml:space="preserve"> $288</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sz w:val="18"/>
                <w:szCs w:val="18"/>
              </w:rPr>
            </w:pPr>
            <w:r>
              <w:rPr>
                <w:sz w:val="18"/>
                <w:szCs w:val="18"/>
              </w:rPr>
              <w:t>$300 - $400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105EE8">
              <w:rPr>
                <w:sz w:val="18"/>
                <w:szCs w:val="18"/>
              </w:rPr>
              <w:t>78% (260/333)</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565ADF" w:rsidRDefault="008B40AB" w:rsidP="00346C1E">
            <w:pPr>
              <w:rPr>
                <w:sz w:val="18"/>
                <w:szCs w:val="18"/>
              </w:rPr>
            </w:pPr>
            <w:r w:rsidRPr="00565ADF">
              <w:rPr>
                <w:sz w:val="18"/>
                <w:szCs w:val="18"/>
              </w:rPr>
              <w:t xml:space="preserve"> $372</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$400 - $500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58% (135/232)</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6833B2">
              <w:rPr>
                <w:color w:val="2E74B5" w:themeColor="accent1" w:themeShade="BF"/>
                <w:sz w:val="18"/>
                <w:szCs w:val="18"/>
              </w:rPr>
              <w:t xml:space="preserve"> </w:t>
            </w:r>
            <w:r w:rsidRPr="00565ADF">
              <w:rPr>
                <w:sz w:val="18"/>
                <w:szCs w:val="18"/>
              </w:rPr>
              <w:t xml:space="preserve">$463 </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$500 - $600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44% (84/193)</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6833B2">
              <w:rPr>
                <w:color w:val="2E74B5" w:themeColor="accent1" w:themeShade="BF"/>
                <w:sz w:val="18"/>
                <w:szCs w:val="18"/>
              </w:rPr>
              <w:t xml:space="preserve"> </w:t>
            </w:r>
            <w:r w:rsidRPr="00565ADF">
              <w:rPr>
                <w:sz w:val="18"/>
                <w:szCs w:val="18"/>
              </w:rPr>
              <w:t>$542</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$600 - $700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29% (40/140)</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6833B2" w:rsidRDefault="008B40AB" w:rsidP="00346C1E">
            <w:pPr>
              <w:rPr>
                <w:color w:val="2E74B5" w:themeColor="accent1" w:themeShade="BF"/>
                <w:sz w:val="18"/>
                <w:szCs w:val="18"/>
              </w:rPr>
            </w:pPr>
            <w:r w:rsidRPr="00565ADF">
              <w:rPr>
                <w:sz w:val="18"/>
                <w:szCs w:val="18"/>
              </w:rPr>
              <w:t xml:space="preserve"> $623</w:t>
            </w:r>
          </w:p>
        </w:tc>
      </w:tr>
      <w:tr w:rsidR="008B40AB" w:rsidRPr="00496632" w:rsidTr="00346C1E">
        <w:tc>
          <w:tcPr>
            <w:tcW w:w="1597"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$700 - $1000</w:t>
            </w:r>
          </w:p>
        </w:tc>
        <w:tc>
          <w:tcPr>
            <w:tcW w:w="1723"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105EE8" w:rsidRDefault="008B40AB" w:rsidP="00346C1E">
            <w:pPr>
              <w:rPr>
                <w:sz w:val="18"/>
                <w:szCs w:val="18"/>
              </w:rPr>
            </w:pPr>
            <w:r w:rsidRPr="00105EE8">
              <w:rPr>
                <w:sz w:val="18"/>
                <w:szCs w:val="18"/>
              </w:rPr>
              <w:t>21% (66/308)</w:t>
            </w:r>
          </w:p>
        </w:tc>
        <w:tc>
          <w:tcPr>
            <w:tcW w:w="508"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D9D9D9" w:themeColor="background1" w:themeShade="D9"/>
            </w:tcBorders>
            <w:shd w:val="clear" w:color="auto" w:fill="FFFFFF" w:themeFill="background1"/>
          </w:tcPr>
          <w:p w:rsidR="008B40AB" w:rsidRPr="00565ADF" w:rsidRDefault="008B40AB" w:rsidP="00346C1E">
            <w:pPr>
              <w:rPr>
                <w:sz w:val="18"/>
                <w:szCs w:val="18"/>
              </w:rPr>
            </w:pPr>
            <w:r w:rsidRPr="00565ADF">
              <w:rPr>
                <w:sz w:val="18"/>
                <w:szCs w:val="18"/>
              </w:rPr>
              <w:t xml:space="preserve"> $704</w:t>
            </w:r>
          </w:p>
        </w:tc>
      </w:tr>
      <w:tr w:rsidR="008B40AB" w:rsidRPr="00496632" w:rsidTr="00346C1E">
        <w:trPr>
          <w:trHeight w:val="261"/>
        </w:trPr>
        <w:tc>
          <w:tcPr>
            <w:tcW w:w="1597" w:type="dxa"/>
            <w:tcBorders>
              <w:top w:val="single" w:sz="12" w:space="0" w:color="D9D9D9" w:themeColor="background1" w:themeShade="D9"/>
              <w:bottom w:val="single" w:sz="12" w:space="0" w:color="auto"/>
            </w:tcBorders>
            <w:shd w:val="clear" w:color="auto" w:fill="FFFFFF" w:themeFill="background1"/>
          </w:tcPr>
          <w:p w:rsidR="008B40AB" w:rsidRPr="00105EE8" w:rsidRDefault="008B40AB" w:rsidP="00346C1E">
            <w:pPr>
              <w:rPr>
                <w:sz w:val="18"/>
                <w:szCs w:val="18"/>
              </w:rPr>
            </w:pPr>
            <w:r w:rsidRPr="00105EE8">
              <w:rPr>
                <w:sz w:val="18"/>
                <w:szCs w:val="18"/>
              </w:rPr>
              <w:t xml:space="preserve">&gt; $1000 - $1500 </w:t>
            </w:r>
          </w:p>
        </w:tc>
        <w:tc>
          <w:tcPr>
            <w:tcW w:w="1723" w:type="dxa"/>
            <w:tcBorders>
              <w:top w:val="single" w:sz="12" w:space="0" w:color="D9D9D9" w:themeColor="background1" w:themeShade="D9"/>
              <w:bottom w:val="single" w:sz="12" w:space="0" w:color="auto"/>
            </w:tcBorders>
            <w:shd w:val="clear" w:color="auto" w:fill="FFFFFF" w:themeFill="background1"/>
          </w:tcPr>
          <w:p w:rsidR="008B40AB" w:rsidRPr="00105EE8" w:rsidRDefault="008B40AB" w:rsidP="00346C1E">
            <w:pPr>
              <w:rPr>
                <w:sz w:val="18"/>
                <w:szCs w:val="18"/>
              </w:rPr>
            </w:pPr>
            <w:r w:rsidRPr="00105EE8">
              <w:rPr>
                <w:sz w:val="18"/>
                <w:szCs w:val="18"/>
              </w:rPr>
              <w:t xml:space="preserve">  2% (34/1378)</w:t>
            </w:r>
          </w:p>
        </w:tc>
        <w:tc>
          <w:tcPr>
            <w:tcW w:w="508" w:type="dxa"/>
            <w:tcBorders>
              <w:top w:val="single" w:sz="12" w:space="0" w:color="D9D9D9" w:themeColor="background1" w:themeShade="D9"/>
              <w:bottom w:val="single" w:sz="12" w:space="0" w:color="auto"/>
            </w:tcBorders>
            <w:shd w:val="clear" w:color="auto" w:fill="FFFFFF" w:themeFill="background1"/>
          </w:tcPr>
          <w:p w:rsidR="008B40AB" w:rsidRPr="00496632" w:rsidRDefault="008B40AB" w:rsidP="00346C1E">
            <w:pPr>
              <w:rPr>
                <w:color w:val="FF0000"/>
                <w:sz w:val="18"/>
                <w:szCs w:val="18"/>
              </w:rPr>
            </w:pPr>
          </w:p>
        </w:tc>
        <w:tc>
          <w:tcPr>
            <w:tcW w:w="1950" w:type="dxa"/>
            <w:tcBorders>
              <w:top w:val="single" w:sz="12" w:space="0" w:color="D9D9D9" w:themeColor="background1" w:themeShade="D9"/>
              <w:bottom w:val="single" w:sz="12" w:space="0" w:color="auto"/>
            </w:tcBorders>
            <w:shd w:val="clear" w:color="auto" w:fill="FFFFFF" w:themeFill="background1"/>
          </w:tcPr>
          <w:p w:rsidR="008B40AB" w:rsidRPr="00565ADF" w:rsidRDefault="008B40AB" w:rsidP="00346C1E">
            <w:pPr>
              <w:rPr>
                <w:sz w:val="18"/>
                <w:szCs w:val="18"/>
              </w:rPr>
            </w:pPr>
            <w:r w:rsidRPr="00565ADF">
              <w:rPr>
                <w:sz w:val="18"/>
                <w:szCs w:val="18"/>
              </w:rPr>
              <w:t>$1914</w:t>
            </w:r>
          </w:p>
        </w:tc>
      </w:tr>
    </w:tbl>
    <w:p w:rsidR="008B40AB" w:rsidRDefault="008B40AB" w:rsidP="008B40AB">
      <w:pPr>
        <w:spacing w:before="120" w:after="0" w:line="240" w:lineRule="auto"/>
        <w:rPr>
          <w:sz w:val="18"/>
          <w:szCs w:val="18"/>
        </w:rPr>
      </w:pPr>
      <w:r w:rsidRPr="008C53CB">
        <w:rPr>
          <w:sz w:val="18"/>
          <w:szCs w:val="18"/>
        </w:rPr>
        <w:t xml:space="preserve">^ not discounted;  * using $500 / DALY cost effectiveness threshold. </w:t>
      </w:r>
    </w:p>
    <w:p w:rsidR="008B40AB" w:rsidRDefault="008B40AB" w:rsidP="008B40AB">
      <w:pPr>
        <w:rPr>
          <w:sz w:val="18"/>
          <w:szCs w:val="18"/>
        </w:rPr>
      </w:pPr>
      <w:r>
        <w:rPr>
          <w:sz w:val="18"/>
          <w:szCs w:val="18"/>
        </w:rPr>
        <w:br w:type="page"/>
      </w:r>
    </w:p>
    <w:p w:rsidR="00C6544F" w:rsidRDefault="00C6544F" w:rsidP="00873766">
      <w:pPr>
        <w:spacing w:after="0" w:line="360" w:lineRule="auto"/>
        <w:rPr>
          <w:color w:val="000000" w:themeColor="text1"/>
        </w:rPr>
      </w:pPr>
      <w:r w:rsidRPr="009708ED">
        <w:rPr>
          <w:b/>
          <w:color w:val="9E0000"/>
        </w:rPr>
        <w:lastRenderedPageBreak/>
        <w:t>Figure 1</w:t>
      </w:r>
      <w:r w:rsidRPr="00C6544F">
        <w:rPr>
          <w:b/>
          <w:color w:val="C00000"/>
        </w:rPr>
        <w:t>.</w:t>
      </w:r>
      <w:r w:rsidRPr="00C6544F">
        <w:rPr>
          <w:color w:val="C00000"/>
        </w:rPr>
        <w:t xml:space="preserve">  </w:t>
      </w:r>
      <w:r w:rsidRPr="00C6544F">
        <w:rPr>
          <w:color w:val="000000" w:themeColor="text1"/>
        </w:rPr>
        <w:t xml:space="preserve">Relationship between cost-per-diagnosis and cost per DALY averted for </w:t>
      </w:r>
      <w:r w:rsidR="00DB639A">
        <w:rPr>
          <w:color w:val="000000" w:themeColor="text1"/>
        </w:rPr>
        <w:t>additional-testing</w:t>
      </w:r>
      <w:r w:rsidRPr="00C6544F">
        <w:rPr>
          <w:color w:val="000000" w:themeColor="text1"/>
        </w:rPr>
        <w:t xml:space="preserve">  Over 16,000 setting-scenario - test unit cost combinations</w:t>
      </w:r>
    </w:p>
    <w:p w:rsidR="00873766" w:rsidRDefault="00873766" w:rsidP="00873766">
      <w:pPr>
        <w:spacing w:after="0" w:line="360" w:lineRule="auto"/>
        <w:rPr>
          <w:color w:val="000000" w:themeColor="text1"/>
        </w:rPr>
      </w:pPr>
    </w:p>
    <w:p w:rsidR="00873766" w:rsidRDefault="00873766" w:rsidP="00873766">
      <w:pPr>
        <w:spacing w:after="0" w:line="360" w:lineRule="auto"/>
        <w:rPr>
          <w:color w:val="000000" w:themeColor="text1"/>
        </w:rPr>
      </w:pPr>
      <w:r w:rsidRPr="009708ED">
        <w:rPr>
          <w:b/>
          <w:color w:val="9E0000"/>
        </w:rPr>
        <w:t>Figure 2.</w:t>
      </w:r>
      <w:r w:rsidRPr="009708ED">
        <w:rPr>
          <w:color w:val="9E0000"/>
        </w:rPr>
        <w:t xml:space="preserve">  </w:t>
      </w:r>
      <w:r w:rsidR="00973487">
        <w:rPr>
          <w:color w:val="000000" w:themeColor="text1"/>
        </w:rPr>
        <w:t>Relationship between cost-per-</w:t>
      </w:r>
      <w:r w:rsidRPr="00C6544F">
        <w:rPr>
          <w:color w:val="000000" w:themeColor="text1"/>
        </w:rPr>
        <w:t xml:space="preserve">diagnosis and cost effectiveness of </w:t>
      </w:r>
      <w:r w:rsidR="00DB639A">
        <w:rPr>
          <w:color w:val="000000" w:themeColor="text1"/>
        </w:rPr>
        <w:t>additional-testing</w:t>
      </w:r>
      <w:r w:rsidRPr="00C6544F">
        <w:rPr>
          <w:color w:val="000000" w:themeColor="text1"/>
        </w:rPr>
        <w:t xml:space="preserve">  Over 16,000 setting-scenario - test unit cost combinations</w:t>
      </w:r>
    </w:p>
    <w:p w:rsidR="00873766" w:rsidRPr="00C6544F" w:rsidRDefault="00873766" w:rsidP="00873766">
      <w:pPr>
        <w:spacing w:after="0" w:line="360" w:lineRule="auto"/>
        <w:rPr>
          <w:color w:val="000000" w:themeColor="text1"/>
        </w:rPr>
      </w:pPr>
    </w:p>
    <w:p w:rsidR="00873766" w:rsidRPr="00873766" w:rsidRDefault="00873766" w:rsidP="00873766">
      <w:pPr>
        <w:spacing w:after="0" w:line="360" w:lineRule="auto"/>
        <w:rPr>
          <w:color w:val="000000" w:themeColor="text1"/>
        </w:rPr>
      </w:pPr>
      <w:r w:rsidRPr="00873766">
        <w:rPr>
          <w:b/>
          <w:bCs/>
          <w:color w:val="9E0000"/>
        </w:rPr>
        <w:t xml:space="preserve">Figure 3.  </w:t>
      </w:r>
      <w:r w:rsidRPr="00873766">
        <w:rPr>
          <w:color w:val="000000" w:themeColor="text1"/>
        </w:rPr>
        <w:t>Maximum cost-per-diagnosis for testing beyond key groups to be cost-effective.</w:t>
      </w:r>
    </w:p>
    <w:p w:rsidR="00873766" w:rsidRPr="00873766" w:rsidRDefault="00873766" w:rsidP="00873766">
      <w:pPr>
        <w:spacing w:after="0" w:line="360" w:lineRule="auto"/>
        <w:rPr>
          <w:color w:val="000000" w:themeColor="text1"/>
        </w:rPr>
      </w:pPr>
      <w:r w:rsidRPr="00873766">
        <w:rPr>
          <w:color w:val="000000" w:themeColor="text1"/>
        </w:rPr>
        <w:t>Variations in sensitivity analysis.</w:t>
      </w:r>
      <w:r w:rsidR="00E06276">
        <w:rPr>
          <w:color w:val="000000" w:themeColor="text1"/>
        </w:rPr>
        <w:t xml:space="preserve">  </w:t>
      </w:r>
    </w:p>
    <w:sectPr w:rsidR="00873766" w:rsidRPr="00873766" w:rsidSect="009708ED">
      <w:footerReference w:type="defaul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00" w:rsidRDefault="00270B00" w:rsidP="00E2388C">
      <w:pPr>
        <w:spacing w:after="0" w:line="240" w:lineRule="auto"/>
      </w:pPr>
      <w:r>
        <w:separator/>
      </w:r>
    </w:p>
  </w:endnote>
  <w:endnote w:type="continuationSeparator" w:id="0">
    <w:p w:rsidR="00270B00" w:rsidRDefault="00270B00" w:rsidP="00E2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81701"/>
      <w:docPartObj>
        <w:docPartGallery w:val="Page Numbers (Bottom of Page)"/>
        <w:docPartUnique/>
      </w:docPartObj>
    </w:sdtPr>
    <w:sdtEndPr>
      <w:rPr>
        <w:noProof/>
      </w:rPr>
    </w:sdtEndPr>
    <w:sdtContent>
      <w:p w:rsidR="00552327" w:rsidRDefault="00552327">
        <w:pPr>
          <w:pStyle w:val="Footer"/>
          <w:jc w:val="right"/>
        </w:pPr>
        <w:r>
          <w:fldChar w:fldCharType="begin"/>
        </w:r>
        <w:r>
          <w:instrText xml:space="preserve"> PAGE   \* MERGEFORMAT </w:instrText>
        </w:r>
        <w:r>
          <w:fldChar w:fldCharType="separate"/>
        </w:r>
        <w:r w:rsidR="002E2CED">
          <w:rPr>
            <w:noProof/>
          </w:rPr>
          <w:t>17</w:t>
        </w:r>
        <w:r>
          <w:rPr>
            <w:noProof/>
          </w:rPr>
          <w:fldChar w:fldCharType="end"/>
        </w:r>
      </w:p>
    </w:sdtContent>
  </w:sdt>
  <w:p w:rsidR="00552327" w:rsidRDefault="00552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00" w:rsidRDefault="00270B00" w:rsidP="00E2388C">
      <w:pPr>
        <w:spacing w:after="0" w:line="240" w:lineRule="auto"/>
      </w:pPr>
      <w:r>
        <w:separator/>
      </w:r>
    </w:p>
  </w:footnote>
  <w:footnote w:type="continuationSeparator" w:id="0">
    <w:p w:rsidR="00270B00" w:rsidRDefault="00270B00" w:rsidP="00E2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2BB"/>
    <w:multiLevelType w:val="hybridMultilevel"/>
    <w:tmpl w:val="F74A64A8"/>
    <w:lvl w:ilvl="0" w:tplc="5EC62E5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8715DB"/>
    <w:multiLevelType w:val="multilevel"/>
    <w:tmpl w:val="53E84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869EF"/>
    <w:multiLevelType w:val="hybridMultilevel"/>
    <w:tmpl w:val="FA6C9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C529D"/>
    <w:multiLevelType w:val="hybridMultilevel"/>
    <w:tmpl w:val="0DF8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323D2"/>
    <w:multiLevelType w:val="hybridMultilevel"/>
    <w:tmpl w:val="F62818B6"/>
    <w:lvl w:ilvl="0" w:tplc="6A4427B6">
      <w:start w:val="27"/>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0427A"/>
    <w:multiLevelType w:val="multilevel"/>
    <w:tmpl w:val="04EC3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E2A84"/>
    <w:multiLevelType w:val="hybridMultilevel"/>
    <w:tmpl w:val="FA6C9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42740"/>
    <w:multiLevelType w:val="hybridMultilevel"/>
    <w:tmpl w:val="FA6C9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1155D"/>
    <w:multiLevelType w:val="hybridMultilevel"/>
    <w:tmpl w:val="8944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3"/>
    <w:rsid w:val="00000282"/>
    <w:rsid w:val="000023BC"/>
    <w:rsid w:val="00003B46"/>
    <w:rsid w:val="00005587"/>
    <w:rsid w:val="00007340"/>
    <w:rsid w:val="00007399"/>
    <w:rsid w:val="000073B0"/>
    <w:rsid w:val="00010037"/>
    <w:rsid w:val="000166AF"/>
    <w:rsid w:val="0002060E"/>
    <w:rsid w:val="000257A3"/>
    <w:rsid w:val="0002765C"/>
    <w:rsid w:val="00030747"/>
    <w:rsid w:val="00030AD0"/>
    <w:rsid w:val="0003789B"/>
    <w:rsid w:val="00037CEA"/>
    <w:rsid w:val="000403F3"/>
    <w:rsid w:val="0004084B"/>
    <w:rsid w:val="000409A2"/>
    <w:rsid w:val="000430CA"/>
    <w:rsid w:val="000431AE"/>
    <w:rsid w:val="00045440"/>
    <w:rsid w:val="000473F0"/>
    <w:rsid w:val="00052AFC"/>
    <w:rsid w:val="00053B1D"/>
    <w:rsid w:val="00055411"/>
    <w:rsid w:val="00056018"/>
    <w:rsid w:val="00056FFE"/>
    <w:rsid w:val="000632FA"/>
    <w:rsid w:val="00064F3F"/>
    <w:rsid w:val="0006506C"/>
    <w:rsid w:val="000709DC"/>
    <w:rsid w:val="00070D2F"/>
    <w:rsid w:val="0007104D"/>
    <w:rsid w:val="00072C09"/>
    <w:rsid w:val="0007345A"/>
    <w:rsid w:val="00073E4C"/>
    <w:rsid w:val="000773CE"/>
    <w:rsid w:val="0008145B"/>
    <w:rsid w:val="000820E0"/>
    <w:rsid w:val="00082C28"/>
    <w:rsid w:val="0008329D"/>
    <w:rsid w:val="00084073"/>
    <w:rsid w:val="00084FCB"/>
    <w:rsid w:val="00090AB6"/>
    <w:rsid w:val="00090AF0"/>
    <w:rsid w:val="00090FCE"/>
    <w:rsid w:val="000939E1"/>
    <w:rsid w:val="00094AEF"/>
    <w:rsid w:val="00095367"/>
    <w:rsid w:val="000966C3"/>
    <w:rsid w:val="0009724B"/>
    <w:rsid w:val="00097A83"/>
    <w:rsid w:val="000A086F"/>
    <w:rsid w:val="000A0B73"/>
    <w:rsid w:val="000A374C"/>
    <w:rsid w:val="000A5844"/>
    <w:rsid w:val="000A5DB6"/>
    <w:rsid w:val="000A6438"/>
    <w:rsid w:val="000A70A3"/>
    <w:rsid w:val="000A7E9D"/>
    <w:rsid w:val="000B129D"/>
    <w:rsid w:val="000B1964"/>
    <w:rsid w:val="000B251D"/>
    <w:rsid w:val="000B5A38"/>
    <w:rsid w:val="000B736F"/>
    <w:rsid w:val="000B77BC"/>
    <w:rsid w:val="000C0076"/>
    <w:rsid w:val="000C3F38"/>
    <w:rsid w:val="000C4624"/>
    <w:rsid w:val="000C4A2C"/>
    <w:rsid w:val="000C7E88"/>
    <w:rsid w:val="000D0C7E"/>
    <w:rsid w:val="000D0DF9"/>
    <w:rsid w:val="000D2EE1"/>
    <w:rsid w:val="000D486B"/>
    <w:rsid w:val="000D5783"/>
    <w:rsid w:val="000D6534"/>
    <w:rsid w:val="000D6C5B"/>
    <w:rsid w:val="000D7D18"/>
    <w:rsid w:val="000E183E"/>
    <w:rsid w:val="000E2AB0"/>
    <w:rsid w:val="000E75FD"/>
    <w:rsid w:val="000F1DF7"/>
    <w:rsid w:val="000F26A7"/>
    <w:rsid w:val="000F3870"/>
    <w:rsid w:val="000F3B45"/>
    <w:rsid w:val="000F5C2B"/>
    <w:rsid w:val="000F5CEE"/>
    <w:rsid w:val="000F60F2"/>
    <w:rsid w:val="00100393"/>
    <w:rsid w:val="0010067F"/>
    <w:rsid w:val="00102519"/>
    <w:rsid w:val="001030B8"/>
    <w:rsid w:val="00103A96"/>
    <w:rsid w:val="00104967"/>
    <w:rsid w:val="00105EE8"/>
    <w:rsid w:val="00106570"/>
    <w:rsid w:val="0010709A"/>
    <w:rsid w:val="00110837"/>
    <w:rsid w:val="00111229"/>
    <w:rsid w:val="0011241C"/>
    <w:rsid w:val="001131D5"/>
    <w:rsid w:val="00114766"/>
    <w:rsid w:val="00115144"/>
    <w:rsid w:val="0011764A"/>
    <w:rsid w:val="00117AD5"/>
    <w:rsid w:val="00120C56"/>
    <w:rsid w:val="00120EEB"/>
    <w:rsid w:val="00120F4D"/>
    <w:rsid w:val="00121CB1"/>
    <w:rsid w:val="00124C35"/>
    <w:rsid w:val="00130999"/>
    <w:rsid w:val="001316A2"/>
    <w:rsid w:val="001348A7"/>
    <w:rsid w:val="00136000"/>
    <w:rsid w:val="0014033F"/>
    <w:rsid w:val="00143CAF"/>
    <w:rsid w:val="001454D8"/>
    <w:rsid w:val="00147E85"/>
    <w:rsid w:val="00150040"/>
    <w:rsid w:val="001554AF"/>
    <w:rsid w:val="00156A3B"/>
    <w:rsid w:val="001572FB"/>
    <w:rsid w:val="0015742C"/>
    <w:rsid w:val="00164794"/>
    <w:rsid w:val="00164EB0"/>
    <w:rsid w:val="00170BF6"/>
    <w:rsid w:val="00172BC9"/>
    <w:rsid w:val="00173E50"/>
    <w:rsid w:val="00175D97"/>
    <w:rsid w:val="0017796A"/>
    <w:rsid w:val="001802D0"/>
    <w:rsid w:val="0018232B"/>
    <w:rsid w:val="0018304F"/>
    <w:rsid w:val="00183202"/>
    <w:rsid w:val="00185682"/>
    <w:rsid w:val="00190389"/>
    <w:rsid w:val="001909D2"/>
    <w:rsid w:val="00191F73"/>
    <w:rsid w:val="00191F76"/>
    <w:rsid w:val="00193821"/>
    <w:rsid w:val="00194846"/>
    <w:rsid w:val="00195E52"/>
    <w:rsid w:val="001970E1"/>
    <w:rsid w:val="001978D6"/>
    <w:rsid w:val="001A06A5"/>
    <w:rsid w:val="001A129D"/>
    <w:rsid w:val="001A6094"/>
    <w:rsid w:val="001A6413"/>
    <w:rsid w:val="001A6A57"/>
    <w:rsid w:val="001B0368"/>
    <w:rsid w:val="001B188F"/>
    <w:rsid w:val="001B2643"/>
    <w:rsid w:val="001B33D1"/>
    <w:rsid w:val="001B42C2"/>
    <w:rsid w:val="001B4404"/>
    <w:rsid w:val="001B5D3E"/>
    <w:rsid w:val="001C1408"/>
    <w:rsid w:val="001C3D65"/>
    <w:rsid w:val="001C6EC9"/>
    <w:rsid w:val="001C7409"/>
    <w:rsid w:val="001D183F"/>
    <w:rsid w:val="001D4C51"/>
    <w:rsid w:val="001D680A"/>
    <w:rsid w:val="001E2C1A"/>
    <w:rsid w:val="001E4EC3"/>
    <w:rsid w:val="001F1A5C"/>
    <w:rsid w:val="001F50A8"/>
    <w:rsid w:val="001F50C0"/>
    <w:rsid w:val="001F6894"/>
    <w:rsid w:val="001F7B3F"/>
    <w:rsid w:val="00203685"/>
    <w:rsid w:val="002038E6"/>
    <w:rsid w:val="00204453"/>
    <w:rsid w:val="00205743"/>
    <w:rsid w:val="00210BF9"/>
    <w:rsid w:val="002112AD"/>
    <w:rsid w:val="0021685C"/>
    <w:rsid w:val="002200EA"/>
    <w:rsid w:val="002254FF"/>
    <w:rsid w:val="002261B5"/>
    <w:rsid w:val="002314FA"/>
    <w:rsid w:val="00231FA5"/>
    <w:rsid w:val="00234149"/>
    <w:rsid w:val="002345CC"/>
    <w:rsid w:val="00234E4A"/>
    <w:rsid w:val="00236739"/>
    <w:rsid w:val="00236FB5"/>
    <w:rsid w:val="0024421F"/>
    <w:rsid w:val="0024583A"/>
    <w:rsid w:val="00245FDD"/>
    <w:rsid w:val="00246A90"/>
    <w:rsid w:val="00251594"/>
    <w:rsid w:val="00253AEE"/>
    <w:rsid w:val="00257915"/>
    <w:rsid w:val="00260580"/>
    <w:rsid w:val="00260923"/>
    <w:rsid w:val="00260A62"/>
    <w:rsid w:val="0026362B"/>
    <w:rsid w:val="00263D91"/>
    <w:rsid w:val="00265BAA"/>
    <w:rsid w:val="00266634"/>
    <w:rsid w:val="00270B00"/>
    <w:rsid w:val="00273247"/>
    <w:rsid w:val="00273F38"/>
    <w:rsid w:val="00274A95"/>
    <w:rsid w:val="00275E5C"/>
    <w:rsid w:val="002771E5"/>
    <w:rsid w:val="0028333E"/>
    <w:rsid w:val="00284E7B"/>
    <w:rsid w:val="00293FAC"/>
    <w:rsid w:val="002960FF"/>
    <w:rsid w:val="002A000A"/>
    <w:rsid w:val="002A2036"/>
    <w:rsid w:val="002B028F"/>
    <w:rsid w:val="002B5538"/>
    <w:rsid w:val="002B5FC5"/>
    <w:rsid w:val="002B6029"/>
    <w:rsid w:val="002C3428"/>
    <w:rsid w:val="002C563B"/>
    <w:rsid w:val="002C6688"/>
    <w:rsid w:val="002D11F5"/>
    <w:rsid w:val="002D30FB"/>
    <w:rsid w:val="002D3E0C"/>
    <w:rsid w:val="002D550D"/>
    <w:rsid w:val="002D6FA9"/>
    <w:rsid w:val="002D7BDD"/>
    <w:rsid w:val="002E05E9"/>
    <w:rsid w:val="002E219D"/>
    <w:rsid w:val="002E2CED"/>
    <w:rsid w:val="002E4390"/>
    <w:rsid w:val="002E51ED"/>
    <w:rsid w:val="002E5EE3"/>
    <w:rsid w:val="002E6E07"/>
    <w:rsid w:val="002F0D9B"/>
    <w:rsid w:val="002F3269"/>
    <w:rsid w:val="002F3284"/>
    <w:rsid w:val="002F68A6"/>
    <w:rsid w:val="00303399"/>
    <w:rsid w:val="00305202"/>
    <w:rsid w:val="00306590"/>
    <w:rsid w:val="00307348"/>
    <w:rsid w:val="0030793D"/>
    <w:rsid w:val="0031073C"/>
    <w:rsid w:val="00311EC1"/>
    <w:rsid w:val="003127BE"/>
    <w:rsid w:val="003136B5"/>
    <w:rsid w:val="00314282"/>
    <w:rsid w:val="00325ADE"/>
    <w:rsid w:val="00331CB5"/>
    <w:rsid w:val="00333CFE"/>
    <w:rsid w:val="00333D72"/>
    <w:rsid w:val="0033411E"/>
    <w:rsid w:val="003348C1"/>
    <w:rsid w:val="00336BE3"/>
    <w:rsid w:val="00345A1E"/>
    <w:rsid w:val="00346C1E"/>
    <w:rsid w:val="00350EC3"/>
    <w:rsid w:val="003519E2"/>
    <w:rsid w:val="00352462"/>
    <w:rsid w:val="003558B3"/>
    <w:rsid w:val="00355E5E"/>
    <w:rsid w:val="00356307"/>
    <w:rsid w:val="00356DBB"/>
    <w:rsid w:val="003645A2"/>
    <w:rsid w:val="00365630"/>
    <w:rsid w:val="003664EC"/>
    <w:rsid w:val="00366B62"/>
    <w:rsid w:val="00376E53"/>
    <w:rsid w:val="003778DF"/>
    <w:rsid w:val="00381AD6"/>
    <w:rsid w:val="00381DBC"/>
    <w:rsid w:val="00382463"/>
    <w:rsid w:val="00382918"/>
    <w:rsid w:val="0038379C"/>
    <w:rsid w:val="00384D11"/>
    <w:rsid w:val="00385A5D"/>
    <w:rsid w:val="0038693A"/>
    <w:rsid w:val="00386E80"/>
    <w:rsid w:val="003878B1"/>
    <w:rsid w:val="00392E66"/>
    <w:rsid w:val="00397E89"/>
    <w:rsid w:val="003A1BD5"/>
    <w:rsid w:val="003A40ED"/>
    <w:rsid w:val="003A5BD0"/>
    <w:rsid w:val="003A6932"/>
    <w:rsid w:val="003A6A46"/>
    <w:rsid w:val="003A6E50"/>
    <w:rsid w:val="003B001D"/>
    <w:rsid w:val="003B13EB"/>
    <w:rsid w:val="003B1D81"/>
    <w:rsid w:val="003B2AAD"/>
    <w:rsid w:val="003B47AB"/>
    <w:rsid w:val="003B5F28"/>
    <w:rsid w:val="003B7CC7"/>
    <w:rsid w:val="003C0F14"/>
    <w:rsid w:val="003C1DAE"/>
    <w:rsid w:val="003C28BF"/>
    <w:rsid w:val="003C41D2"/>
    <w:rsid w:val="003C550F"/>
    <w:rsid w:val="003C61A1"/>
    <w:rsid w:val="003C7DDD"/>
    <w:rsid w:val="003C7FF3"/>
    <w:rsid w:val="003D0A0F"/>
    <w:rsid w:val="003D0AFD"/>
    <w:rsid w:val="003D15E7"/>
    <w:rsid w:val="003D17AA"/>
    <w:rsid w:val="003E0F60"/>
    <w:rsid w:val="003E1B58"/>
    <w:rsid w:val="003E2221"/>
    <w:rsid w:val="003E5290"/>
    <w:rsid w:val="003E5F24"/>
    <w:rsid w:val="003F1F3C"/>
    <w:rsid w:val="003F298E"/>
    <w:rsid w:val="003F69AE"/>
    <w:rsid w:val="0040016E"/>
    <w:rsid w:val="00400B20"/>
    <w:rsid w:val="00401721"/>
    <w:rsid w:val="004034E2"/>
    <w:rsid w:val="00403568"/>
    <w:rsid w:val="004109A8"/>
    <w:rsid w:val="004124B1"/>
    <w:rsid w:val="0041251F"/>
    <w:rsid w:val="00413794"/>
    <w:rsid w:val="00414BED"/>
    <w:rsid w:val="00414E07"/>
    <w:rsid w:val="004163D6"/>
    <w:rsid w:val="00416C30"/>
    <w:rsid w:val="00422BD7"/>
    <w:rsid w:val="0042750C"/>
    <w:rsid w:val="00433DB2"/>
    <w:rsid w:val="0043525F"/>
    <w:rsid w:val="00435A34"/>
    <w:rsid w:val="004360B5"/>
    <w:rsid w:val="004369D2"/>
    <w:rsid w:val="00436F0E"/>
    <w:rsid w:val="0043757B"/>
    <w:rsid w:val="00440597"/>
    <w:rsid w:val="004419C1"/>
    <w:rsid w:val="00442250"/>
    <w:rsid w:val="004452B9"/>
    <w:rsid w:val="004458A7"/>
    <w:rsid w:val="004470D0"/>
    <w:rsid w:val="00447BC8"/>
    <w:rsid w:val="00447FD4"/>
    <w:rsid w:val="00451E37"/>
    <w:rsid w:val="00452F32"/>
    <w:rsid w:val="004530D6"/>
    <w:rsid w:val="004570DE"/>
    <w:rsid w:val="00460F8B"/>
    <w:rsid w:val="00461370"/>
    <w:rsid w:val="004639E4"/>
    <w:rsid w:val="004664E1"/>
    <w:rsid w:val="00470A73"/>
    <w:rsid w:val="00471F01"/>
    <w:rsid w:val="004728B0"/>
    <w:rsid w:val="00473F51"/>
    <w:rsid w:val="004744B0"/>
    <w:rsid w:val="00474877"/>
    <w:rsid w:val="004754DE"/>
    <w:rsid w:val="00476E58"/>
    <w:rsid w:val="0048257C"/>
    <w:rsid w:val="004846DA"/>
    <w:rsid w:val="00485954"/>
    <w:rsid w:val="00493030"/>
    <w:rsid w:val="00495242"/>
    <w:rsid w:val="0049638E"/>
    <w:rsid w:val="00496632"/>
    <w:rsid w:val="004A309C"/>
    <w:rsid w:val="004A3EA5"/>
    <w:rsid w:val="004B2953"/>
    <w:rsid w:val="004B3B7D"/>
    <w:rsid w:val="004B3D7E"/>
    <w:rsid w:val="004B60B8"/>
    <w:rsid w:val="004C1E44"/>
    <w:rsid w:val="004C2B55"/>
    <w:rsid w:val="004C4E9A"/>
    <w:rsid w:val="004C56FE"/>
    <w:rsid w:val="004C5F39"/>
    <w:rsid w:val="004D00CB"/>
    <w:rsid w:val="004D133C"/>
    <w:rsid w:val="004D3046"/>
    <w:rsid w:val="004D33CC"/>
    <w:rsid w:val="004D5345"/>
    <w:rsid w:val="004D56D5"/>
    <w:rsid w:val="004D613A"/>
    <w:rsid w:val="004E13AA"/>
    <w:rsid w:val="004F2601"/>
    <w:rsid w:val="004F2DF7"/>
    <w:rsid w:val="004F3662"/>
    <w:rsid w:val="004F417B"/>
    <w:rsid w:val="004F5D79"/>
    <w:rsid w:val="004F6F31"/>
    <w:rsid w:val="00501D9F"/>
    <w:rsid w:val="00502134"/>
    <w:rsid w:val="00502A68"/>
    <w:rsid w:val="00504E48"/>
    <w:rsid w:val="0050528C"/>
    <w:rsid w:val="00505AC7"/>
    <w:rsid w:val="0050663E"/>
    <w:rsid w:val="00510E78"/>
    <w:rsid w:val="00511171"/>
    <w:rsid w:val="00514A6C"/>
    <w:rsid w:val="00517C3D"/>
    <w:rsid w:val="00520FCF"/>
    <w:rsid w:val="00524304"/>
    <w:rsid w:val="00524ABF"/>
    <w:rsid w:val="0052525D"/>
    <w:rsid w:val="005359E2"/>
    <w:rsid w:val="00537063"/>
    <w:rsid w:val="00540726"/>
    <w:rsid w:val="00541620"/>
    <w:rsid w:val="00541787"/>
    <w:rsid w:val="005425DB"/>
    <w:rsid w:val="005455DC"/>
    <w:rsid w:val="0054791D"/>
    <w:rsid w:val="00547CDC"/>
    <w:rsid w:val="005501CD"/>
    <w:rsid w:val="00552327"/>
    <w:rsid w:val="00555F51"/>
    <w:rsid w:val="005575EF"/>
    <w:rsid w:val="005576AE"/>
    <w:rsid w:val="00561077"/>
    <w:rsid w:val="005612D0"/>
    <w:rsid w:val="00562A57"/>
    <w:rsid w:val="00564791"/>
    <w:rsid w:val="005649E0"/>
    <w:rsid w:val="00564C04"/>
    <w:rsid w:val="00565ADF"/>
    <w:rsid w:val="00566A89"/>
    <w:rsid w:val="00572A68"/>
    <w:rsid w:val="005744A6"/>
    <w:rsid w:val="00574B51"/>
    <w:rsid w:val="005762B1"/>
    <w:rsid w:val="005764A4"/>
    <w:rsid w:val="00576BE6"/>
    <w:rsid w:val="005774F9"/>
    <w:rsid w:val="005778FF"/>
    <w:rsid w:val="00584282"/>
    <w:rsid w:val="00585D7A"/>
    <w:rsid w:val="00586B33"/>
    <w:rsid w:val="0059000E"/>
    <w:rsid w:val="00591C57"/>
    <w:rsid w:val="00591D71"/>
    <w:rsid w:val="005920F0"/>
    <w:rsid w:val="00594211"/>
    <w:rsid w:val="005964CB"/>
    <w:rsid w:val="005A280F"/>
    <w:rsid w:val="005A4D2C"/>
    <w:rsid w:val="005A7693"/>
    <w:rsid w:val="005B1EE0"/>
    <w:rsid w:val="005B22EF"/>
    <w:rsid w:val="005B69C8"/>
    <w:rsid w:val="005B6E45"/>
    <w:rsid w:val="005C175B"/>
    <w:rsid w:val="005C1929"/>
    <w:rsid w:val="005C1E1F"/>
    <w:rsid w:val="005C22E0"/>
    <w:rsid w:val="005C33A0"/>
    <w:rsid w:val="005C4637"/>
    <w:rsid w:val="005C75F7"/>
    <w:rsid w:val="005D029B"/>
    <w:rsid w:val="005D46D5"/>
    <w:rsid w:val="005D4D7D"/>
    <w:rsid w:val="005E05BA"/>
    <w:rsid w:val="005E198A"/>
    <w:rsid w:val="005E1B3C"/>
    <w:rsid w:val="005E2DF9"/>
    <w:rsid w:val="005E396E"/>
    <w:rsid w:val="005E4C2C"/>
    <w:rsid w:val="005E5867"/>
    <w:rsid w:val="005E5DC1"/>
    <w:rsid w:val="005F107C"/>
    <w:rsid w:val="005F2519"/>
    <w:rsid w:val="005F2D91"/>
    <w:rsid w:val="005F50D5"/>
    <w:rsid w:val="005F6582"/>
    <w:rsid w:val="00603F17"/>
    <w:rsid w:val="00605246"/>
    <w:rsid w:val="00605E61"/>
    <w:rsid w:val="006074E3"/>
    <w:rsid w:val="006101AF"/>
    <w:rsid w:val="00614C62"/>
    <w:rsid w:val="00616AB8"/>
    <w:rsid w:val="006176C6"/>
    <w:rsid w:val="00617B4D"/>
    <w:rsid w:val="006220F5"/>
    <w:rsid w:val="006234CC"/>
    <w:rsid w:val="006252A6"/>
    <w:rsid w:val="00626EE5"/>
    <w:rsid w:val="006276F6"/>
    <w:rsid w:val="00627B88"/>
    <w:rsid w:val="006335AB"/>
    <w:rsid w:val="00634C9C"/>
    <w:rsid w:val="00635767"/>
    <w:rsid w:val="00635CA5"/>
    <w:rsid w:val="00636D39"/>
    <w:rsid w:val="00637C5C"/>
    <w:rsid w:val="0064128E"/>
    <w:rsid w:val="00644C2A"/>
    <w:rsid w:val="00646A5F"/>
    <w:rsid w:val="00647516"/>
    <w:rsid w:val="00650917"/>
    <w:rsid w:val="0065097C"/>
    <w:rsid w:val="00650AE8"/>
    <w:rsid w:val="0065288F"/>
    <w:rsid w:val="00653EBC"/>
    <w:rsid w:val="00655BCC"/>
    <w:rsid w:val="00660B4B"/>
    <w:rsid w:val="00662257"/>
    <w:rsid w:val="00664674"/>
    <w:rsid w:val="00665C66"/>
    <w:rsid w:val="006715EE"/>
    <w:rsid w:val="0067234B"/>
    <w:rsid w:val="00672795"/>
    <w:rsid w:val="00673AF3"/>
    <w:rsid w:val="006777EC"/>
    <w:rsid w:val="00677840"/>
    <w:rsid w:val="00680B3D"/>
    <w:rsid w:val="00681A84"/>
    <w:rsid w:val="006821BD"/>
    <w:rsid w:val="00682678"/>
    <w:rsid w:val="006833B2"/>
    <w:rsid w:val="0068407C"/>
    <w:rsid w:val="00684420"/>
    <w:rsid w:val="0068640C"/>
    <w:rsid w:val="00687084"/>
    <w:rsid w:val="00687589"/>
    <w:rsid w:val="00687E64"/>
    <w:rsid w:val="00690BFA"/>
    <w:rsid w:val="00692706"/>
    <w:rsid w:val="0069673C"/>
    <w:rsid w:val="00696C57"/>
    <w:rsid w:val="006A0240"/>
    <w:rsid w:val="006A0DF7"/>
    <w:rsid w:val="006A1732"/>
    <w:rsid w:val="006A17FE"/>
    <w:rsid w:val="006A1C29"/>
    <w:rsid w:val="006A2053"/>
    <w:rsid w:val="006A4485"/>
    <w:rsid w:val="006A5837"/>
    <w:rsid w:val="006A62ED"/>
    <w:rsid w:val="006A675A"/>
    <w:rsid w:val="006A7D35"/>
    <w:rsid w:val="006B04DD"/>
    <w:rsid w:val="006B0CAC"/>
    <w:rsid w:val="006B33E4"/>
    <w:rsid w:val="006B38A7"/>
    <w:rsid w:val="006B41F6"/>
    <w:rsid w:val="006B5D04"/>
    <w:rsid w:val="006B7087"/>
    <w:rsid w:val="006C1580"/>
    <w:rsid w:val="006C1DB1"/>
    <w:rsid w:val="006C44F3"/>
    <w:rsid w:val="006C56E1"/>
    <w:rsid w:val="006C7A60"/>
    <w:rsid w:val="006C7DE9"/>
    <w:rsid w:val="006D6B62"/>
    <w:rsid w:val="006D6C12"/>
    <w:rsid w:val="006D7879"/>
    <w:rsid w:val="006E0E61"/>
    <w:rsid w:val="006E3591"/>
    <w:rsid w:val="006E451C"/>
    <w:rsid w:val="006E49E8"/>
    <w:rsid w:val="006E55F3"/>
    <w:rsid w:val="006E5E4E"/>
    <w:rsid w:val="006E6770"/>
    <w:rsid w:val="006E6BEC"/>
    <w:rsid w:val="006F108F"/>
    <w:rsid w:val="006F1CEB"/>
    <w:rsid w:val="006F1E2F"/>
    <w:rsid w:val="006F1E3C"/>
    <w:rsid w:val="006F2F90"/>
    <w:rsid w:val="006F3F1C"/>
    <w:rsid w:val="007011B1"/>
    <w:rsid w:val="0070316B"/>
    <w:rsid w:val="00703F25"/>
    <w:rsid w:val="007043F9"/>
    <w:rsid w:val="00706346"/>
    <w:rsid w:val="00706C32"/>
    <w:rsid w:val="0070710E"/>
    <w:rsid w:val="007078DA"/>
    <w:rsid w:val="00710226"/>
    <w:rsid w:val="00710278"/>
    <w:rsid w:val="007144C6"/>
    <w:rsid w:val="00715798"/>
    <w:rsid w:val="00716C89"/>
    <w:rsid w:val="00717EB3"/>
    <w:rsid w:val="0072004E"/>
    <w:rsid w:val="00720976"/>
    <w:rsid w:val="00723053"/>
    <w:rsid w:val="00723404"/>
    <w:rsid w:val="00723AFE"/>
    <w:rsid w:val="00727872"/>
    <w:rsid w:val="00732538"/>
    <w:rsid w:val="007364F4"/>
    <w:rsid w:val="00736616"/>
    <w:rsid w:val="00737F24"/>
    <w:rsid w:val="00740FEA"/>
    <w:rsid w:val="00743446"/>
    <w:rsid w:val="007434F1"/>
    <w:rsid w:val="00746693"/>
    <w:rsid w:val="00746842"/>
    <w:rsid w:val="00746D02"/>
    <w:rsid w:val="007475B6"/>
    <w:rsid w:val="007523FB"/>
    <w:rsid w:val="007558B2"/>
    <w:rsid w:val="0075625C"/>
    <w:rsid w:val="00757BB8"/>
    <w:rsid w:val="00757DBD"/>
    <w:rsid w:val="0076025A"/>
    <w:rsid w:val="00760B7A"/>
    <w:rsid w:val="00763039"/>
    <w:rsid w:val="00765974"/>
    <w:rsid w:val="00766BDE"/>
    <w:rsid w:val="007671D3"/>
    <w:rsid w:val="00771136"/>
    <w:rsid w:val="007726E1"/>
    <w:rsid w:val="007729EB"/>
    <w:rsid w:val="00773D61"/>
    <w:rsid w:val="007749A6"/>
    <w:rsid w:val="00774A4B"/>
    <w:rsid w:val="00780775"/>
    <w:rsid w:val="00781F63"/>
    <w:rsid w:val="007852FE"/>
    <w:rsid w:val="00785A40"/>
    <w:rsid w:val="00785EB9"/>
    <w:rsid w:val="0078603F"/>
    <w:rsid w:val="007924B7"/>
    <w:rsid w:val="00793702"/>
    <w:rsid w:val="007A2243"/>
    <w:rsid w:val="007A2352"/>
    <w:rsid w:val="007A43D9"/>
    <w:rsid w:val="007A5179"/>
    <w:rsid w:val="007A5485"/>
    <w:rsid w:val="007A7B62"/>
    <w:rsid w:val="007B38E5"/>
    <w:rsid w:val="007B3ABE"/>
    <w:rsid w:val="007B4A36"/>
    <w:rsid w:val="007B5851"/>
    <w:rsid w:val="007B5B19"/>
    <w:rsid w:val="007B5F32"/>
    <w:rsid w:val="007C0E86"/>
    <w:rsid w:val="007C1059"/>
    <w:rsid w:val="007C11FD"/>
    <w:rsid w:val="007C7308"/>
    <w:rsid w:val="007D1D31"/>
    <w:rsid w:val="007D2D4E"/>
    <w:rsid w:val="007D4503"/>
    <w:rsid w:val="007D5C15"/>
    <w:rsid w:val="007D61A1"/>
    <w:rsid w:val="007D66C9"/>
    <w:rsid w:val="007E36A8"/>
    <w:rsid w:val="007E4D0A"/>
    <w:rsid w:val="007E4EF5"/>
    <w:rsid w:val="007F1960"/>
    <w:rsid w:val="007F2348"/>
    <w:rsid w:val="007F3FE8"/>
    <w:rsid w:val="007F4972"/>
    <w:rsid w:val="007F5D91"/>
    <w:rsid w:val="007F6261"/>
    <w:rsid w:val="007F6BD5"/>
    <w:rsid w:val="007F7A0E"/>
    <w:rsid w:val="00807638"/>
    <w:rsid w:val="0080777C"/>
    <w:rsid w:val="00812ECA"/>
    <w:rsid w:val="00813796"/>
    <w:rsid w:val="0082153A"/>
    <w:rsid w:val="00822488"/>
    <w:rsid w:val="00824921"/>
    <w:rsid w:val="00825BF3"/>
    <w:rsid w:val="008263FD"/>
    <w:rsid w:val="008267B2"/>
    <w:rsid w:val="00826952"/>
    <w:rsid w:val="008328E0"/>
    <w:rsid w:val="00833514"/>
    <w:rsid w:val="00835837"/>
    <w:rsid w:val="00836118"/>
    <w:rsid w:val="0083612B"/>
    <w:rsid w:val="00837FE8"/>
    <w:rsid w:val="008400A7"/>
    <w:rsid w:val="00840198"/>
    <w:rsid w:val="008402F3"/>
    <w:rsid w:val="00840531"/>
    <w:rsid w:val="00844066"/>
    <w:rsid w:val="008440A1"/>
    <w:rsid w:val="0084705C"/>
    <w:rsid w:val="00847219"/>
    <w:rsid w:val="0085038F"/>
    <w:rsid w:val="00850A3E"/>
    <w:rsid w:val="008531E6"/>
    <w:rsid w:val="00853838"/>
    <w:rsid w:val="00853E67"/>
    <w:rsid w:val="00853EF1"/>
    <w:rsid w:val="008554D0"/>
    <w:rsid w:val="00856D00"/>
    <w:rsid w:val="00862E7E"/>
    <w:rsid w:val="00864829"/>
    <w:rsid w:val="008667CE"/>
    <w:rsid w:val="008705E5"/>
    <w:rsid w:val="008724F1"/>
    <w:rsid w:val="00873766"/>
    <w:rsid w:val="008745C6"/>
    <w:rsid w:val="00874FE3"/>
    <w:rsid w:val="00875B2E"/>
    <w:rsid w:val="0087602F"/>
    <w:rsid w:val="00877670"/>
    <w:rsid w:val="0088222C"/>
    <w:rsid w:val="0088294E"/>
    <w:rsid w:val="00882FD9"/>
    <w:rsid w:val="00886D90"/>
    <w:rsid w:val="00891D30"/>
    <w:rsid w:val="00892EFF"/>
    <w:rsid w:val="00895E7E"/>
    <w:rsid w:val="00896D62"/>
    <w:rsid w:val="0089702F"/>
    <w:rsid w:val="00897D90"/>
    <w:rsid w:val="008A05AE"/>
    <w:rsid w:val="008A574D"/>
    <w:rsid w:val="008A629D"/>
    <w:rsid w:val="008A62D7"/>
    <w:rsid w:val="008A6D41"/>
    <w:rsid w:val="008B08A8"/>
    <w:rsid w:val="008B2551"/>
    <w:rsid w:val="008B2833"/>
    <w:rsid w:val="008B40AB"/>
    <w:rsid w:val="008C0876"/>
    <w:rsid w:val="008C0DE5"/>
    <w:rsid w:val="008C0E09"/>
    <w:rsid w:val="008C2250"/>
    <w:rsid w:val="008C2975"/>
    <w:rsid w:val="008C4FE9"/>
    <w:rsid w:val="008C53CB"/>
    <w:rsid w:val="008C786E"/>
    <w:rsid w:val="008C7B0F"/>
    <w:rsid w:val="008C7B40"/>
    <w:rsid w:val="008D16BC"/>
    <w:rsid w:val="008D1945"/>
    <w:rsid w:val="008D4A06"/>
    <w:rsid w:val="008D6BA7"/>
    <w:rsid w:val="008D7CC1"/>
    <w:rsid w:val="008E1DF3"/>
    <w:rsid w:val="008E2CAB"/>
    <w:rsid w:val="008E3155"/>
    <w:rsid w:val="008E7D74"/>
    <w:rsid w:val="008E7E1F"/>
    <w:rsid w:val="008F2FF1"/>
    <w:rsid w:val="008F7D33"/>
    <w:rsid w:val="009003E7"/>
    <w:rsid w:val="00901BEC"/>
    <w:rsid w:val="00902451"/>
    <w:rsid w:val="00902A3A"/>
    <w:rsid w:val="00903536"/>
    <w:rsid w:val="00905A89"/>
    <w:rsid w:val="00910308"/>
    <w:rsid w:val="0091584A"/>
    <w:rsid w:val="0092079F"/>
    <w:rsid w:val="009229EC"/>
    <w:rsid w:val="00923475"/>
    <w:rsid w:val="009341CC"/>
    <w:rsid w:val="00934E12"/>
    <w:rsid w:val="00935778"/>
    <w:rsid w:val="009365FE"/>
    <w:rsid w:val="00941519"/>
    <w:rsid w:val="00941EDF"/>
    <w:rsid w:val="009423EE"/>
    <w:rsid w:val="0094649D"/>
    <w:rsid w:val="00946832"/>
    <w:rsid w:val="009475C8"/>
    <w:rsid w:val="00950B3E"/>
    <w:rsid w:val="009517CD"/>
    <w:rsid w:val="00955CAB"/>
    <w:rsid w:val="00955FB2"/>
    <w:rsid w:val="00961F03"/>
    <w:rsid w:val="0096399F"/>
    <w:rsid w:val="0096431C"/>
    <w:rsid w:val="00964F1E"/>
    <w:rsid w:val="00967ABB"/>
    <w:rsid w:val="00967E44"/>
    <w:rsid w:val="009700C5"/>
    <w:rsid w:val="009708ED"/>
    <w:rsid w:val="00972690"/>
    <w:rsid w:val="009727CE"/>
    <w:rsid w:val="00973487"/>
    <w:rsid w:val="0097452E"/>
    <w:rsid w:val="009800FC"/>
    <w:rsid w:val="009806C9"/>
    <w:rsid w:val="00982785"/>
    <w:rsid w:val="0098371D"/>
    <w:rsid w:val="0098490B"/>
    <w:rsid w:val="009853DF"/>
    <w:rsid w:val="009869AF"/>
    <w:rsid w:val="009870AA"/>
    <w:rsid w:val="00991F7E"/>
    <w:rsid w:val="009925D3"/>
    <w:rsid w:val="00992785"/>
    <w:rsid w:val="00993F94"/>
    <w:rsid w:val="00996EBB"/>
    <w:rsid w:val="009974E7"/>
    <w:rsid w:val="009A037B"/>
    <w:rsid w:val="009A0D35"/>
    <w:rsid w:val="009A2BFC"/>
    <w:rsid w:val="009A376C"/>
    <w:rsid w:val="009A3D33"/>
    <w:rsid w:val="009A3E6F"/>
    <w:rsid w:val="009A5530"/>
    <w:rsid w:val="009A6EBA"/>
    <w:rsid w:val="009B101A"/>
    <w:rsid w:val="009B3E44"/>
    <w:rsid w:val="009B41EA"/>
    <w:rsid w:val="009B54B8"/>
    <w:rsid w:val="009B7687"/>
    <w:rsid w:val="009C304D"/>
    <w:rsid w:val="009C370D"/>
    <w:rsid w:val="009C3A30"/>
    <w:rsid w:val="009C4262"/>
    <w:rsid w:val="009C53EF"/>
    <w:rsid w:val="009C5678"/>
    <w:rsid w:val="009C702B"/>
    <w:rsid w:val="009C7681"/>
    <w:rsid w:val="009D007F"/>
    <w:rsid w:val="009D2F35"/>
    <w:rsid w:val="009D4502"/>
    <w:rsid w:val="009D59DD"/>
    <w:rsid w:val="009D6D44"/>
    <w:rsid w:val="009E461C"/>
    <w:rsid w:val="009E5009"/>
    <w:rsid w:val="009E6E2C"/>
    <w:rsid w:val="009E727D"/>
    <w:rsid w:val="009F0F06"/>
    <w:rsid w:val="009F27CA"/>
    <w:rsid w:val="009F2875"/>
    <w:rsid w:val="009F2AEC"/>
    <w:rsid w:val="009F37C7"/>
    <w:rsid w:val="009F37D6"/>
    <w:rsid w:val="009F4893"/>
    <w:rsid w:val="009F69A1"/>
    <w:rsid w:val="009F6BAE"/>
    <w:rsid w:val="009F7E79"/>
    <w:rsid w:val="00A00F77"/>
    <w:rsid w:val="00A01424"/>
    <w:rsid w:val="00A01C0E"/>
    <w:rsid w:val="00A032FB"/>
    <w:rsid w:val="00A04524"/>
    <w:rsid w:val="00A04A8F"/>
    <w:rsid w:val="00A05232"/>
    <w:rsid w:val="00A06953"/>
    <w:rsid w:val="00A07B0F"/>
    <w:rsid w:val="00A10E27"/>
    <w:rsid w:val="00A16299"/>
    <w:rsid w:val="00A17EFC"/>
    <w:rsid w:val="00A20058"/>
    <w:rsid w:val="00A22FEF"/>
    <w:rsid w:val="00A2513A"/>
    <w:rsid w:val="00A25B8F"/>
    <w:rsid w:val="00A26392"/>
    <w:rsid w:val="00A34169"/>
    <w:rsid w:val="00A3662E"/>
    <w:rsid w:val="00A37597"/>
    <w:rsid w:val="00A4080C"/>
    <w:rsid w:val="00A445AD"/>
    <w:rsid w:val="00A448C7"/>
    <w:rsid w:val="00A46BFD"/>
    <w:rsid w:val="00A543D6"/>
    <w:rsid w:val="00A5451A"/>
    <w:rsid w:val="00A60286"/>
    <w:rsid w:val="00A60802"/>
    <w:rsid w:val="00A62A18"/>
    <w:rsid w:val="00A64FFF"/>
    <w:rsid w:val="00A65D83"/>
    <w:rsid w:val="00A66931"/>
    <w:rsid w:val="00A67304"/>
    <w:rsid w:val="00A67C53"/>
    <w:rsid w:val="00A71C0B"/>
    <w:rsid w:val="00A72422"/>
    <w:rsid w:val="00A72A90"/>
    <w:rsid w:val="00A72F46"/>
    <w:rsid w:val="00A75799"/>
    <w:rsid w:val="00A80014"/>
    <w:rsid w:val="00A80B15"/>
    <w:rsid w:val="00A80CBC"/>
    <w:rsid w:val="00A84849"/>
    <w:rsid w:val="00A935B2"/>
    <w:rsid w:val="00A936E1"/>
    <w:rsid w:val="00A97792"/>
    <w:rsid w:val="00AA1631"/>
    <w:rsid w:val="00AA1FED"/>
    <w:rsid w:val="00AA3984"/>
    <w:rsid w:val="00AA3AE8"/>
    <w:rsid w:val="00AA43A9"/>
    <w:rsid w:val="00AA537F"/>
    <w:rsid w:val="00AA69EA"/>
    <w:rsid w:val="00AB0ED5"/>
    <w:rsid w:val="00AB2B1F"/>
    <w:rsid w:val="00AB35F8"/>
    <w:rsid w:val="00AB481B"/>
    <w:rsid w:val="00AC02E4"/>
    <w:rsid w:val="00AC3BF6"/>
    <w:rsid w:val="00AC53FC"/>
    <w:rsid w:val="00AD05D6"/>
    <w:rsid w:val="00AD1686"/>
    <w:rsid w:val="00AD43DA"/>
    <w:rsid w:val="00AD6594"/>
    <w:rsid w:val="00AD7E0F"/>
    <w:rsid w:val="00AE1456"/>
    <w:rsid w:val="00AE191D"/>
    <w:rsid w:val="00AE66D6"/>
    <w:rsid w:val="00AF3BF9"/>
    <w:rsid w:val="00AF423E"/>
    <w:rsid w:val="00AF55DE"/>
    <w:rsid w:val="00AF5EFB"/>
    <w:rsid w:val="00B00F6C"/>
    <w:rsid w:val="00B01627"/>
    <w:rsid w:val="00B0226F"/>
    <w:rsid w:val="00B02F4E"/>
    <w:rsid w:val="00B0430A"/>
    <w:rsid w:val="00B04AF5"/>
    <w:rsid w:val="00B0527A"/>
    <w:rsid w:val="00B0582F"/>
    <w:rsid w:val="00B06A1C"/>
    <w:rsid w:val="00B11481"/>
    <w:rsid w:val="00B13270"/>
    <w:rsid w:val="00B136C1"/>
    <w:rsid w:val="00B13D96"/>
    <w:rsid w:val="00B16C54"/>
    <w:rsid w:val="00B17B2F"/>
    <w:rsid w:val="00B20F06"/>
    <w:rsid w:val="00B21123"/>
    <w:rsid w:val="00B22720"/>
    <w:rsid w:val="00B23886"/>
    <w:rsid w:val="00B23E07"/>
    <w:rsid w:val="00B31A76"/>
    <w:rsid w:val="00B32EFA"/>
    <w:rsid w:val="00B34291"/>
    <w:rsid w:val="00B34457"/>
    <w:rsid w:val="00B35D18"/>
    <w:rsid w:val="00B3727C"/>
    <w:rsid w:val="00B37942"/>
    <w:rsid w:val="00B41CB9"/>
    <w:rsid w:val="00B4555A"/>
    <w:rsid w:val="00B456C3"/>
    <w:rsid w:val="00B458D4"/>
    <w:rsid w:val="00B47A51"/>
    <w:rsid w:val="00B53102"/>
    <w:rsid w:val="00B550C5"/>
    <w:rsid w:val="00B60839"/>
    <w:rsid w:val="00B61DC8"/>
    <w:rsid w:val="00B6397E"/>
    <w:rsid w:val="00B66FC4"/>
    <w:rsid w:val="00B702D0"/>
    <w:rsid w:val="00B70E4F"/>
    <w:rsid w:val="00B71AF2"/>
    <w:rsid w:val="00B721D5"/>
    <w:rsid w:val="00B72350"/>
    <w:rsid w:val="00B72F38"/>
    <w:rsid w:val="00B73FF6"/>
    <w:rsid w:val="00B74309"/>
    <w:rsid w:val="00B74F1D"/>
    <w:rsid w:val="00B75E6A"/>
    <w:rsid w:val="00B81126"/>
    <w:rsid w:val="00B821A8"/>
    <w:rsid w:val="00B82835"/>
    <w:rsid w:val="00B843BC"/>
    <w:rsid w:val="00B903CD"/>
    <w:rsid w:val="00B92B36"/>
    <w:rsid w:val="00B940A8"/>
    <w:rsid w:val="00B9521F"/>
    <w:rsid w:val="00B956BB"/>
    <w:rsid w:val="00B97BB2"/>
    <w:rsid w:val="00BA3851"/>
    <w:rsid w:val="00BA3B6F"/>
    <w:rsid w:val="00BA7DF8"/>
    <w:rsid w:val="00BB108A"/>
    <w:rsid w:val="00BB273C"/>
    <w:rsid w:val="00BB7060"/>
    <w:rsid w:val="00BB7FB4"/>
    <w:rsid w:val="00BC0A5F"/>
    <w:rsid w:val="00BC15BF"/>
    <w:rsid w:val="00BC243D"/>
    <w:rsid w:val="00BC3218"/>
    <w:rsid w:val="00BC332E"/>
    <w:rsid w:val="00BC4731"/>
    <w:rsid w:val="00BC55B5"/>
    <w:rsid w:val="00BD0CC8"/>
    <w:rsid w:val="00BD18A9"/>
    <w:rsid w:val="00BD2B32"/>
    <w:rsid w:val="00BD52A6"/>
    <w:rsid w:val="00BD6342"/>
    <w:rsid w:val="00BD6E24"/>
    <w:rsid w:val="00BE0285"/>
    <w:rsid w:val="00BE2CA3"/>
    <w:rsid w:val="00BE4552"/>
    <w:rsid w:val="00BE5560"/>
    <w:rsid w:val="00BE7F30"/>
    <w:rsid w:val="00BF1A66"/>
    <w:rsid w:val="00BF378F"/>
    <w:rsid w:val="00BF4871"/>
    <w:rsid w:val="00BF4D90"/>
    <w:rsid w:val="00C01A0B"/>
    <w:rsid w:val="00C01A3A"/>
    <w:rsid w:val="00C0203B"/>
    <w:rsid w:val="00C030BF"/>
    <w:rsid w:val="00C040DD"/>
    <w:rsid w:val="00C07540"/>
    <w:rsid w:val="00C10DC4"/>
    <w:rsid w:val="00C13F63"/>
    <w:rsid w:val="00C145B1"/>
    <w:rsid w:val="00C147F6"/>
    <w:rsid w:val="00C157E9"/>
    <w:rsid w:val="00C16CB5"/>
    <w:rsid w:val="00C17300"/>
    <w:rsid w:val="00C17E22"/>
    <w:rsid w:val="00C20D6E"/>
    <w:rsid w:val="00C25391"/>
    <w:rsid w:val="00C3015F"/>
    <w:rsid w:val="00C31BA0"/>
    <w:rsid w:val="00C33358"/>
    <w:rsid w:val="00C378BE"/>
    <w:rsid w:val="00C42CB4"/>
    <w:rsid w:val="00C43FCC"/>
    <w:rsid w:val="00C44B2A"/>
    <w:rsid w:val="00C47B23"/>
    <w:rsid w:val="00C502ED"/>
    <w:rsid w:val="00C50555"/>
    <w:rsid w:val="00C50ACD"/>
    <w:rsid w:val="00C50F8F"/>
    <w:rsid w:val="00C51D2B"/>
    <w:rsid w:val="00C51E32"/>
    <w:rsid w:val="00C51FDA"/>
    <w:rsid w:val="00C57FDF"/>
    <w:rsid w:val="00C6031A"/>
    <w:rsid w:val="00C63EE9"/>
    <w:rsid w:val="00C63F80"/>
    <w:rsid w:val="00C6544F"/>
    <w:rsid w:val="00C66BE3"/>
    <w:rsid w:val="00C70E64"/>
    <w:rsid w:val="00C72AB0"/>
    <w:rsid w:val="00C75557"/>
    <w:rsid w:val="00C75F5A"/>
    <w:rsid w:val="00C915FF"/>
    <w:rsid w:val="00C92041"/>
    <w:rsid w:val="00C953D1"/>
    <w:rsid w:val="00C975F1"/>
    <w:rsid w:val="00C97AEF"/>
    <w:rsid w:val="00CA07F5"/>
    <w:rsid w:val="00CA1D36"/>
    <w:rsid w:val="00CA37F5"/>
    <w:rsid w:val="00CA4CF5"/>
    <w:rsid w:val="00CB1497"/>
    <w:rsid w:val="00CB2937"/>
    <w:rsid w:val="00CB521F"/>
    <w:rsid w:val="00CB52AB"/>
    <w:rsid w:val="00CC0267"/>
    <w:rsid w:val="00CC0A95"/>
    <w:rsid w:val="00CC2EBB"/>
    <w:rsid w:val="00CC31E2"/>
    <w:rsid w:val="00CC4EC9"/>
    <w:rsid w:val="00CC54C5"/>
    <w:rsid w:val="00CC7B27"/>
    <w:rsid w:val="00CC7BEA"/>
    <w:rsid w:val="00CD0AA2"/>
    <w:rsid w:val="00CD2A48"/>
    <w:rsid w:val="00CD2D74"/>
    <w:rsid w:val="00CD37BC"/>
    <w:rsid w:val="00CD4A47"/>
    <w:rsid w:val="00CD5749"/>
    <w:rsid w:val="00CE278A"/>
    <w:rsid w:val="00CE376B"/>
    <w:rsid w:val="00CE3CB6"/>
    <w:rsid w:val="00CE506A"/>
    <w:rsid w:val="00CE5808"/>
    <w:rsid w:val="00CE66B3"/>
    <w:rsid w:val="00CF0409"/>
    <w:rsid w:val="00CF25EE"/>
    <w:rsid w:val="00CF4852"/>
    <w:rsid w:val="00CF518A"/>
    <w:rsid w:val="00CF72E7"/>
    <w:rsid w:val="00D018C2"/>
    <w:rsid w:val="00D151D5"/>
    <w:rsid w:val="00D165B0"/>
    <w:rsid w:val="00D20BF7"/>
    <w:rsid w:val="00D20E38"/>
    <w:rsid w:val="00D2409A"/>
    <w:rsid w:val="00D246F9"/>
    <w:rsid w:val="00D24F64"/>
    <w:rsid w:val="00D25C1A"/>
    <w:rsid w:val="00D25E86"/>
    <w:rsid w:val="00D27ACD"/>
    <w:rsid w:val="00D319BF"/>
    <w:rsid w:val="00D320AF"/>
    <w:rsid w:val="00D3527E"/>
    <w:rsid w:val="00D35F52"/>
    <w:rsid w:val="00D36B2A"/>
    <w:rsid w:val="00D37512"/>
    <w:rsid w:val="00D37CE0"/>
    <w:rsid w:val="00D406D1"/>
    <w:rsid w:val="00D424E0"/>
    <w:rsid w:val="00D428B9"/>
    <w:rsid w:val="00D42D7B"/>
    <w:rsid w:val="00D4770D"/>
    <w:rsid w:val="00D5217F"/>
    <w:rsid w:val="00D52CD6"/>
    <w:rsid w:val="00D54C2D"/>
    <w:rsid w:val="00D54FFE"/>
    <w:rsid w:val="00D5546F"/>
    <w:rsid w:val="00D562AD"/>
    <w:rsid w:val="00D56EDF"/>
    <w:rsid w:val="00D577EA"/>
    <w:rsid w:val="00D6054E"/>
    <w:rsid w:val="00D60E75"/>
    <w:rsid w:val="00D60F26"/>
    <w:rsid w:val="00D62D51"/>
    <w:rsid w:val="00D62E9B"/>
    <w:rsid w:val="00D63426"/>
    <w:rsid w:val="00D63B52"/>
    <w:rsid w:val="00D6538B"/>
    <w:rsid w:val="00D65DDC"/>
    <w:rsid w:val="00D72E09"/>
    <w:rsid w:val="00D76406"/>
    <w:rsid w:val="00D770E5"/>
    <w:rsid w:val="00D8091F"/>
    <w:rsid w:val="00D8106D"/>
    <w:rsid w:val="00D838B7"/>
    <w:rsid w:val="00D85723"/>
    <w:rsid w:val="00D85BC5"/>
    <w:rsid w:val="00D863F1"/>
    <w:rsid w:val="00D90365"/>
    <w:rsid w:val="00D9319D"/>
    <w:rsid w:val="00D950E5"/>
    <w:rsid w:val="00DA0514"/>
    <w:rsid w:val="00DA365E"/>
    <w:rsid w:val="00DA5429"/>
    <w:rsid w:val="00DB0A80"/>
    <w:rsid w:val="00DB412A"/>
    <w:rsid w:val="00DB61F6"/>
    <w:rsid w:val="00DB630C"/>
    <w:rsid w:val="00DB639A"/>
    <w:rsid w:val="00DB640B"/>
    <w:rsid w:val="00DB6F95"/>
    <w:rsid w:val="00DB799E"/>
    <w:rsid w:val="00DC363F"/>
    <w:rsid w:val="00DC6572"/>
    <w:rsid w:val="00DC716F"/>
    <w:rsid w:val="00DC7E09"/>
    <w:rsid w:val="00DD27A7"/>
    <w:rsid w:val="00DD2FB5"/>
    <w:rsid w:val="00DD46BE"/>
    <w:rsid w:val="00DD50B6"/>
    <w:rsid w:val="00DD66A9"/>
    <w:rsid w:val="00DD78D1"/>
    <w:rsid w:val="00DD7FE9"/>
    <w:rsid w:val="00DE1FE5"/>
    <w:rsid w:val="00DE2622"/>
    <w:rsid w:val="00DE617B"/>
    <w:rsid w:val="00DE67DA"/>
    <w:rsid w:val="00DF24C5"/>
    <w:rsid w:val="00E0415E"/>
    <w:rsid w:val="00E04EE7"/>
    <w:rsid w:val="00E06276"/>
    <w:rsid w:val="00E06A54"/>
    <w:rsid w:val="00E13E6A"/>
    <w:rsid w:val="00E14E7B"/>
    <w:rsid w:val="00E15325"/>
    <w:rsid w:val="00E15561"/>
    <w:rsid w:val="00E2183E"/>
    <w:rsid w:val="00E21FDA"/>
    <w:rsid w:val="00E22294"/>
    <w:rsid w:val="00E2340B"/>
    <w:rsid w:val="00E2388C"/>
    <w:rsid w:val="00E2397D"/>
    <w:rsid w:val="00E248A9"/>
    <w:rsid w:val="00E30D48"/>
    <w:rsid w:val="00E312E1"/>
    <w:rsid w:val="00E31B38"/>
    <w:rsid w:val="00E35541"/>
    <w:rsid w:val="00E35CCB"/>
    <w:rsid w:val="00E403E6"/>
    <w:rsid w:val="00E41C05"/>
    <w:rsid w:val="00E46147"/>
    <w:rsid w:val="00E467ED"/>
    <w:rsid w:val="00E46817"/>
    <w:rsid w:val="00E5123C"/>
    <w:rsid w:val="00E52125"/>
    <w:rsid w:val="00E522CF"/>
    <w:rsid w:val="00E548B6"/>
    <w:rsid w:val="00E5498C"/>
    <w:rsid w:val="00E554D7"/>
    <w:rsid w:val="00E5624C"/>
    <w:rsid w:val="00E60B08"/>
    <w:rsid w:val="00E63516"/>
    <w:rsid w:val="00E63C21"/>
    <w:rsid w:val="00E6636C"/>
    <w:rsid w:val="00E71D7D"/>
    <w:rsid w:val="00E725DB"/>
    <w:rsid w:val="00E72A14"/>
    <w:rsid w:val="00E73823"/>
    <w:rsid w:val="00E77028"/>
    <w:rsid w:val="00E804E7"/>
    <w:rsid w:val="00E80EB3"/>
    <w:rsid w:val="00E8195F"/>
    <w:rsid w:val="00E81FB8"/>
    <w:rsid w:val="00E8466C"/>
    <w:rsid w:val="00E9032D"/>
    <w:rsid w:val="00E90386"/>
    <w:rsid w:val="00EA0BDA"/>
    <w:rsid w:val="00EA2D85"/>
    <w:rsid w:val="00EA35DF"/>
    <w:rsid w:val="00EA4F94"/>
    <w:rsid w:val="00EB0142"/>
    <w:rsid w:val="00EB060B"/>
    <w:rsid w:val="00EB2EBA"/>
    <w:rsid w:val="00EB337A"/>
    <w:rsid w:val="00EB361F"/>
    <w:rsid w:val="00EB552C"/>
    <w:rsid w:val="00EB6343"/>
    <w:rsid w:val="00EB7235"/>
    <w:rsid w:val="00EB7FA2"/>
    <w:rsid w:val="00EC0824"/>
    <w:rsid w:val="00EC254F"/>
    <w:rsid w:val="00EC362F"/>
    <w:rsid w:val="00EC3AFC"/>
    <w:rsid w:val="00ED21FB"/>
    <w:rsid w:val="00ED40AB"/>
    <w:rsid w:val="00ED5D58"/>
    <w:rsid w:val="00ED6BDF"/>
    <w:rsid w:val="00ED724A"/>
    <w:rsid w:val="00EE3E8B"/>
    <w:rsid w:val="00EE6507"/>
    <w:rsid w:val="00EE72BB"/>
    <w:rsid w:val="00EF067B"/>
    <w:rsid w:val="00EF0C90"/>
    <w:rsid w:val="00EF6BC1"/>
    <w:rsid w:val="00EF6F9E"/>
    <w:rsid w:val="00EF7239"/>
    <w:rsid w:val="00F02F2D"/>
    <w:rsid w:val="00F03CA9"/>
    <w:rsid w:val="00F05B99"/>
    <w:rsid w:val="00F0706F"/>
    <w:rsid w:val="00F10FC1"/>
    <w:rsid w:val="00F1199B"/>
    <w:rsid w:val="00F12A19"/>
    <w:rsid w:val="00F13ADD"/>
    <w:rsid w:val="00F21B5D"/>
    <w:rsid w:val="00F22191"/>
    <w:rsid w:val="00F2284E"/>
    <w:rsid w:val="00F22AA4"/>
    <w:rsid w:val="00F23396"/>
    <w:rsid w:val="00F23F2C"/>
    <w:rsid w:val="00F2409D"/>
    <w:rsid w:val="00F245B2"/>
    <w:rsid w:val="00F27607"/>
    <w:rsid w:val="00F27619"/>
    <w:rsid w:val="00F31665"/>
    <w:rsid w:val="00F34663"/>
    <w:rsid w:val="00F35E70"/>
    <w:rsid w:val="00F42963"/>
    <w:rsid w:val="00F44ABB"/>
    <w:rsid w:val="00F45AD5"/>
    <w:rsid w:val="00F47DE6"/>
    <w:rsid w:val="00F53928"/>
    <w:rsid w:val="00F540F6"/>
    <w:rsid w:val="00F55155"/>
    <w:rsid w:val="00F55942"/>
    <w:rsid w:val="00F564D5"/>
    <w:rsid w:val="00F5693D"/>
    <w:rsid w:val="00F622C6"/>
    <w:rsid w:val="00F63E39"/>
    <w:rsid w:val="00F6555B"/>
    <w:rsid w:val="00F665A2"/>
    <w:rsid w:val="00F70965"/>
    <w:rsid w:val="00F70E16"/>
    <w:rsid w:val="00F75520"/>
    <w:rsid w:val="00F8262E"/>
    <w:rsid w:val="00F90289"/>
    <w:rsid w:val="00F90B4D"/>
    <w:rsid w:val="00F91228"/>
    <w:rsid w:val="00F91D37"/>
    <w:rsid w:val="00F91DC3"/>
    <w:rsid w:val="00F92245"/>
    <w:rsid w:val="00F9235C"/>
    <w:rsid w:val="00F93DC0"/>
    <w:rsid w:val="00F96B8A"/>
    <w:rsid w:val="00FA1E0E"/>
    <w:rsid w:val="00FA3C3E"/>
    <w:rsid w:val="00FA4377"/>
    <w:rsid w:val="00FA5F00"/>
    <w:rsid w:val="00FB1257"/>
    <w:rsid w:val="00FB2A2A"/>
    <w:rsid w:val="00FB3394"/>
    <w:rsid w:val="00FB3AE3"/>
    <w:rsid w:val="00FB3FBC"/>
    <w:rsid w:val="00FB5FD1"/>
    <w:rsid w:val="00FB6412"/>
    <w:rsid w:val="00FB661A"/>
    <w:rsid w:val="00FB6C34"/>
    <w:rsid w:val="00FC0091"/>
    <w:rsid w:val="00FC0BDD"/>
    <w:rsid w:val="00FC1183"/>
    <w:rsid w:val="00FC26E1"/>
    <w:rsid w:val="00FC2C6C"/>
    <w:rsid w:val="00FC5768"/>
    <w:rsid w:val="00FC78EB"/>
    <w:rsid w:val="00FC7F18"/>
    <w:rsid w:val="00FD1EE5"/>
    <w:rsid w:val="00FD203E"/>
    <w:rsid w:val="00FD252A"/>
    <w:rsid w:val="00FD2992"/>
    <w:rsid w:val="00FD3166"/>
    <w:rsid w:val="00FD3E4F"/>
    <w:rsid w:val="00FD4551"/>
    <w:rsid w:val="00FE003D"/>
    <w:rsid w:val="00FE1E6C"/>
    <w:rsid w:val="00FE3863"/>
    <w:rsid w:val="00FE430E"/>
    <w:rsid w:val="00FE7C2F"/>
    <w:rsid w:val="00FF34CB"/>
    <w:rsid w:val="00FF40EC"/>
    <w:rsid w:val="00FF4C4E"/>
    <w:rsid w:val="00FF5249"/>
    <w:rsid w:val="00FF55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050023-DC8C-418F-B20C-E9F0B9E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7B"/>
    <w:rPr>
      <w:rFonts w:ascii="Segoe UI" w:hAnsi="Segoe UI" w:cs="Segoe UI"/>
      <w:sz w:val="18"/>
      <w:szCs w:val="18"/>
    </w:rPr>
  </w:style>
  <w:style w:type="paragraph" w:styleId="NormalWeb">
    <w:name w:val="Normal (Web)"/>
    <w:basedOn w:val="Normal"/>
    <w:uiPriority w:val="99"/>
    <w:semiHidden/>
    <w:unhideWhenUsed/>
    <w:rsid w:val="002E21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F06"/>
    <w:rPr>
      <w:color w:val="0000FF"/>
      <w:u w:val="single"/>
    </w:rPr>
  </w:style>
  <w:style w:type="character" w:customStyle="1" w:styleId="gmail-harvardtitle">
    <w:name w:val="gmail-harvard_title"/>
    <w:basedOn w:val="DefaultParagraphFont"/>
    <w:rsid w:val="00B20F06"/>
  </w:style>
  <w:style w:type="character" w:styleId="Emphasis">
    <w:name w:val="Emphasis"/>
    <w:basedOn w:val="DefaultParagraphFont"/>
    <w:uiPriority w:val="20"/>
    <w:qFormat/>
    <w:rsid w:val="00B20F06"/>
    <w:rPr>
      <w:i/>
      <w:iCs/>
    </w:rPr>
  </w:style>
  <w:style w:type="character" w:styleId="FollowedHyperlink">
    <w:name w:val="FollowedHyperlink"/>
    <w:basedOn w:val="DefaultParagraphFont"/>
    <w:uiPriority w:val="99"/>
    <w:semiHidden/>
    <w:unhideWhenUsed/>
    <w:rsid w:val="00F622C6"/>
    <w:rPr>
      <w:color w:val="954F72" w:themeColor="followedHyperlink"/>
      <w:u w:val="single"/>
    </w:rPr>
  </w:style>
  <w:style w:type="character" w:styleId="CommentReference">
    <w:name w:val="annotation reference"/>
    <w:basedOn w:val="DefaultParagraphFont"/>
    <w:uiPriority w:val="99"/>
    <w:semiHidden/>
    <w:unhideWhenUsed/>
    <w:rsid w:val="00584282"/>
    <w:rPr>
      <w:sz w:val="16"/>
      <w:szCs w:val="16"/>
    </w:rPr>
  </w:style>
  <w:style w:type="paragraph" w:styleId="CommentText">
    <w:name w:val="annotation text"/>
    <w:basedOn w:val="Normal"/>
    <w:link w:val="CommentTextChar"/>
    <w:uiPriority w:val="99"/>
    <w:semiHidden/>
    <w:unhideWhenUsed/>
    <w:rsid w:val="00584282"/>
    <w:pPr>
      <w:spacing w:line="240" w:lineRule="auto"/>
    </w:pPr>
    <w:rPr>
      <w:sz w:val="20"/>
      <w:szCs w:val="20"/>
    </w:rPr>
  </w:style>
  <w:style w:type="character" w:customStyle="1" w:styleId="CommentTextChar">
    <w:name w:val="Comment Text Char"/>
    <w:basedOn w:val="DefaultParagraphFont"/>
    <w:link w:val="CommentText"/>
    <w:uiPriority w:val="99"/>
    <w:semiHidden/>
    <w:rsid w:val="00584282"/>
    <w:rPr>
      <w:sz w:val="20"/>
      <w:szCs w:val="20"/>
    </w:rPr>
  </w:style>
  <w:style w:type="paragraph" w:styleId="ListParagraph">
    <w:name w:val="List Paragraph"/>
    <w:basedOn w:val="Normal"/>
    <w:uiPriority w:val="34"/>
    <w:qFormat/>
    <w:rsid w:val="003C1DAE"/>
    <w:pPr>
      <w:ind w:left="720"/>
      <w:contextualSpacing/>
    </w:pPr>
  </w:style>
  <w:style w:type="paragraph" w:styleId="PlainText">
    <w:name w:val="Plain Text"/>
    <w:basedOn w:val="Normal"/>
    <w:link w:val="PlainTextChar"/>
    <w:uiPriority w:val="99"/>
    <w:unhideWhenUsed/>
    <w:rsid w:val="005D4D7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D4D7D"/>
    <w:rPr>
      <w:rFonts w:ascii="Calibri" w:hAnsi="Calibri" w:cs="Calibri"/>
    </w:rPr>
  </w:style>
  <w:style w:type="paragraph" w:styleId="Header">
    <w:name w:val="header"/>
    <w:basedOn w:val="Normal"/>
    <w:link w:val="HeaderChar"/>
    <w:uiPriority w:val="99"/>
    <w:unhideWhenUsed/>
    <w:rsid w:val="00E2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88C"/>
  </w:style>
  <w:style w:type="paragraph" w:styleId="Footer">
    <w:name w:val="footer"/>
    <w:basedOn w:val="Normal"/>
    <w:link w:val="FooterChar"/>
    <w:uiPriority w:val="99"/>
    <w:unhideWhenUsed/>
    <w:rsid w:val="00E2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88C"/>
  </w:style>
  <w:style w:type="character" w:styleId="Strong">
    <w:name w:val="Strong"/>
    <w:basedOn w:val="DefaultParagraphFont"/>
    <w:uiPriority w:val="22"/>
    <w:qFormat/>
    <w:rsid w:val="005B1EE0"/>
    <w:rPr>
      <w:b/>
      <w:bCs/>
    </w:rPr>
  </w:style>
  <w:style w:type="character" w:styleId="LineNumber">
    <w:name w:val="line number"/>
    <w:basedOn w:val="DefaultParagraphFont"/>
    <w:uiPriority w:val="99"/>
    <w:semiHidden/>
    <w:unhideWhenUsed/>
    <w:rsid w:val="0097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513">
      <w:bodyDiv w:val="1"/>
      <w:marLeft w:val="0"/>
      <w:marRight w:val="0"/>
      <w:marTop w:val="0"/>
      <w:marBottom w:val="0"/>
      <w:divBdr>
        <w:top w:val="none" w:sz="0" w:space="0" w:color="auto"/>
        <w:left w:val="none" w:sz="0" w:space="0" w:color="auto"/>
        <w:bottom w:val="none" w:sz="0" w:space="0" w:color="auto"/>
        <w:right w:val="none" w:sz="0" w:space="0" w:color="auto"/>
      </w:divBdr>
    </w:div>
    <w:div w:id="12416470">
      <w:bodyDiv w:val="1"/>
      <w:marLeft w:val="0"/>
      <w:marRight w:val="0"/>
      <w:marTop w:val="0"/>
      <w:marBottom w:val="0"/>
      <w:divBdr>
        <w:top w:val="none" w:sz="0" w:space="0" w:color="auto"/>
        <w:left w:val="none" w:sz="0" w:space="0" w:color="auto"/>
        <w:bottom w:val="none" w:sz="0" w:space="0" w:color="auto"/>
        <w:right w:val="none" w:sz="0" w:space="0" w:color="auto"/>
      </w:divBdr>
      <w:divsChild>
        <w:div w:id="480780379">
          <w:marLeft w:val="0"/>
          <w:marRight w:val="0"/>
          <w:marTop w:val="0"/>
          <w:marBottom w:val="0"/>
          <w:divBdr>
            <w:top w:val="none" w:sz="0" w:space="0" w:color="auto"/>
            <w:left w:val="none" w:sz="0" w:space="0" w:color="auto"/>
            <w:bottom w:val="none" w:sz="0" w:space="0" w:color="auto"/>
            <w:right w:val="none" w:sz="0" w:space="0" w:color="auto"/>
          </w:divBdr>
          <w:divsChild>
            <w:div w:id="1349138320">
              <w:marLeft w:val="0"/>
              <w:marRight w:val="0"/>
              <w:marTop w:val="0"/>
              <w:marBottom w:val="0"/>
              <w:divBdr>
                <w:top w:val="none" w:sz="0" w:space="0" w:color="auto"/>
                <w:left w:val="none" w:sz="0" w:space="0" w:color="auto"/>
                <w:bottom w:val="none" w:sz="0" w:space="0" w:color="auto"/>
                <w:right w:val="none" w:sz="0" w:space="0" w:color="auto"/>
              </w:divBdr>
            </w:div>
            <w:div w:id="1346637132">
              <w:marLeft w:val="0"/>
              <w:marRight w:val="0"/>
              <w:marTop w:val="0"/>
              <w:marBottom w:val="300"/>
              <w:divBdr>
                <w:top w:val="none" w:sz="0" w:space="0" w:color="auto"/>
                <w:left w:val="none" w:sz="0" w:space="0" w:color="auto"/>
                <w:bottom w:val="none" w:sz="0" w:space="0" w:color="auto"/>
                <w:right w:val="none" w:sz="0" w:space="0" w:color="auto"/>
              </w:divBdr>
              <w:divsChild>
                <w:div w:id="6802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448">
          <w:marLeft w:val="0"/>
          <w:marRight w:val="0"/>
          <w:marTop w:val="0"/>
          <w:marBottom w:val="0"/>
          <w:divBdr>
            <w:top w:val="none" w:sz="0" w:space="0" w:color="auto"/>
            <w:left w:val="none" w:sz="0" w:space="0" w:color="auto"/>
            <w:bottom w:val="none" w:sz="0" w:space="0" w:color="auto"/>
            <w:right w:val="none" w:sz="0" w:space="0" w:color="auto"/>
          </w:divBdr>
          <w:divsChild>
            <w:div w:id="1370691850">
              <w:marLeft w:val="0"/>
              <w:marRight w:val="0"/>
              <w:marTop w:val="0"/>
              <w:marBottom w:val="0"/>
              <w:divBdr>
                <w:top w:val="none" w:sz="0" w:space="0" w:color="auto"/>
                <w:left w:val="none" w:sz="0" w:space="0" w:color="auto"/>
                <w:bottom w:val="none" w:sz="0" w:space="0" w:color="auto"/>
                <w:right w:val="none" w:sz="0" w:space="0" w:color="auto"/>
              </w:divBdr>
            </w:div>
            <w:div w:id="351420130">
              <w:marLeft w:val="0"/>
              <w:marRight w:val="0"/>
              <w:marTop w:val="0"/>
              <w:marBottom w:val="300"/>
              <w:divBdr>
                <w:top w:val="none" w:sz="0" w:space="0" w:color="auto"/>
                <w:left w:val="none" w:sz="0" w:space="0" w:color="auto"/>
                <w:bottom w:val="none" w:sz="0" w:space="0" w:color="auto"/>
                <w:right w:val="none" w:sz="0" w:space="0" w:color="auto"/>
              </w:divBdr>
              <w:divsChild>
                <w:div w:id="357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872">
          <w:marLeft w:val="0"/>
          <w:marRight w:val="0"/>
          <w:marTop w:val="0"/>
          <w:marBottom w:val="0"/>
          <w:divBdr>
            <w:top w:val="none" w:sz="0" w:space="0" w:color="auto"/>
            <w:left w:val="none" w:sz="0" w:space="0" w:color="auto"/>
            <w:bottom w:val="none" w:sz="0" w:space="0" w:color="auto"/>
            <w:right w:val="none" w:sz="0" w:space="0" w:color="auto"/>
          </w:divBdr>
          <w:divsChild>
            <w:div w:id="366563951">
              <w:marLeft w:val="0"/>
              <w:marRight w:val="0"/>
              <w:marTop w:val="0"/>
              <w:marBottom w:val="300"/>
              <w:divBdr>
                <w:top w:val="none" w:sz="0" w:space="0" w:color="auto"/>
                <w:left w:val="none" w:sz="0" w:space="0" w:color="auto"/>
                <w:bottom w:val="none" w:sz="0" w:space="0" w:color="auto"/>
                <w:right w:val="none" w:sz="0" w:space="0" w:color="auto"/>
              </w:divBdr>
              <w:divsChild>
                <w:div w:id="2430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7985">
          <w:marLeft w:val="0"/>
          <w:marRight w:val="0"/>
          <w:marTop w:val="0"/>
          <w:marBottom w:val="0"/>
          <w:divBdr>
            <w:top w:val="none" w:sz="0" w:space="0" w:color="auto"/>
            <w:left w:val="none" w:sz="0" w:space="0" w:color="auto"/>
            <w:bottom w:val="none" w:sz="0" w:space="0" w:color="auto"/>
            <w:right w:val="none" w:sz="0" w:space="0" w:color="auto"/>
          </w:divBdr>
          <w:divsChild>
            <w:div w:id="696153031">
              <w:marLeft w:val="0"/>
              <w:marRight w:val="0"/>
              <w:marTop w:val="0"/>
              <w:marBottom w:val="0"/>
              <w:divBdr>
                <w:top w:val="none" w:sz="0" w:space="0" w:color="auto"/>
                <w:left w:val="none" w:sz="0" w:space="0" w:color="auto"/>
                <w:bottom w:val="none" w:sz="0" w:space="0" w:color="auto"/>
                <w:right w:val="none" w:sz="0" w:space="0" w:color="auto"/>
              </w:divBdr>
            </w:div>
            <w:div w:id="476650150">
              <w:marLeft w:val="0"/>
              <w:marRight w:val="0"/>
              <w:marTop w:val="0"/>
              <w:marBottom w:val="300"/>
              <w:divBdr>
                <w:top w:val="none" w:sz="0" w:space="0" w:color="auto"/>
                <w:left w:val="none" w:sz="0" w:space="0" w:color="auto"/>
                <w:bottom w:val="none" w:sz="0" w:space="0" w:color="auto"/>
                <w:right w:val="none" w:sz="0" w:space="0" w:color="auto"/>
              </w:divBdr>
              <w:divsChild>
                <w:div w:id="1046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6398">
      <w:bodyDiv w:val="1"/>
      <w:marLeft w:val="0"/>
      <w:marRight w:val="0"/>
      <w:marTop w:val="0"/>
      <w:marBottom w:val="0"/>
      <w:divBdr>
        <w:top w:val="none" w:sz="0" w:space="0" w:color="auto"/>
        <w:left w:val="none" w:sz="0" w:space="0" w:color="auto"/>
        <w:bottom w:val="none" w:sz="0" w:space="0" w:color="auto"/>
        <w:right w:val="none" w:sz="0" w:space="0" w:color="auto"/>
      </w:divBdr>
      <w:divsChild>
        <w:div w:id="165748234">
          <w:marLeft w:val="0"/>
          <w:marRight w:val="0"/>
          <w:marTop w:val="0"/>
          <w:marBottom w:val="0"/>
          <w:divBdr>
            <w:top w:val="none" w:sz="0" w:space="0" w:color="auto"/>
            <w:left w:val="none" w:sz="0" w:space="0" w:color="auto"/>
            <w:bottom w:val="none" w:sz="0" w:space="0" w:color="auto"/>
            <w:right w:val="none" w:sz="0" w:space="0" w:color="auto"/>
          </w:divBdr>
          <w:divsChild>
            <w:div w:id="1335496475">
              <w:marLeft w:val="0"/>
              <w:marRight w:val="0"/>
              <w:marTop w:val="0"/>
              <w:marBottom w:val="0"/>
              <w:divBdr>
                <w:top w:val="none" w:sz="0" w:space="0" w:color="auto"/>
                <w:left w:val="none" w:sz="0" w:space="0" w:color="auto"/>
                <w:bottom w:val="none" w:sz="0" w:space="0" w:color="auto"/>
                <w:right w:val="none" w:sz="0" w:space="0" w:color="auto"/>
              </w:divBdr>
            </w:div>
            <w:div w:id="1499735381">
              <w:marLeft w:val="0"/>
              <w:marRight w:val="0"/>
              <w:marTop w:val="0"/>
              <w:marBottom w:val="0"/>
              <w:divBdr>
                <w:top w:val="none" w:sz="0" w:space="0" w:color="auto"/>
                <w:left w:val="none" w:sz="0" w:space="0" w:color="auto"/>
                <w:bottom w:val="none" w:sz="0" w:space="0" w:color="auto"/>
                <w:right w:val="none" w:sz="0" w:space="0" w:color="auto"/>
              </w:divBdr>
            </w:div>
            <w:div w:id="2124035542">
              <w:marLeft w:val="0"/>
              <w:marRight w:val="0"/>
              <w:marTop w:val="0"/>
              <w:marBottom w:val="0"/>
              <w:divBdr>
                <w:top w:val="none" w:sz="0" w:space="0" w:color="auto"/>
                <w:left w:val="none" w:sz="0" w:space="0" w:color="auto"/>
                <w:bottom w:val="none" w:sz="0" w:space="0" w:color="auto"/>
                <w:right w:val="none" w:sz="0" w:space="0" w:color="auto"/>
              </w:divBdr>
              <w:divsChild>
                <w:div w:id="11968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789">
          <w:marLeft w:val="0"/>
          <w:marRight w:val="0"/>
          <w:marTop w:val="0"/>
          <w:marBottom w:val="0"/>
          <w:divBdr>
            <w:top w:val="none" w:sz="0" w:space="0" w:color="auto"/>
            <w:left w:val="none" w:sz="0" w:space="0" w:color="auto"/>
            <w:bottom w:val="none" w:sz="0" w:space="0" w:color="auto"/>
            <w:right w:val="none" w:sz="0" w:space="0" w:color="auto"/>
          </w:divBdr>
          <w:divsChild>
            <w:div w:id="84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7263">
      <w:bodyDiv w:val="1"/>
      <w:marLeft w:val="0"/>
      <w:marRight w:val="0"/>
      <w:marTop w:val="0"/>
      <w:marBottom w:val="0"/>
      <w:divBdr>
        <w:top w:val="none" w:sz="0" w:space="0" w:color="auto"/>
        <w:left w:val="none" w:sz="0" w:space="0" w:color="auto"/>
        <w:bottom w:val="none" w:sz="0" w:space="0" w:color="auto"/>
        <w:right w:val="none" w:sz="0" w:space="0" w:color="auto"/>
      </w:divBdr>
    </w:div>
    <w:div w:id="229970968">
      <w:bodyDiv w:val="1"/>
      <w:marLeft w:val="0"/>
      <w:marRight w:val="0"/>
      <w:marTop w:val="0"/>
      <w:marBottom w:val="0"/>
      <w:divBdr>
        <w:top w:val="none" w:sz="0" w:space="0" w:color="auto"/>
        <w:left w:val="none" w:sz="0" w:space="0" w:color="auto"/>
        <w:bottom w:val="none" w:sz="0" w:space="0" w:color="auto"/>
        <w:right w:val="none" w:sz="0" w:space="0" w:color="auto"/>
      </w:divBdr>
      <w:divsChild>
        <w:div w:id="248541576">
          <w:marLeft w:val="0"/>
          <w:marRight w:val="0"/>
          <w:marTop w:val="0"/>
          <w:marBottom w:val="0"/>
          <w:divBdr>
            <w:top w:val="none" w:sz="0" w:space="0" w:color="auto"/>
            <w:left w:val="none" w:sz="0" w:space="0" w:color="auto"/>
            <w:bottom w:val="none" w:sz="0" w:space="0" w:color="auto"/>
            <w:right w:val="none" w:sz="0" w:space="0" w:color="auto"/>
          </w:divBdr>
          <w:divsChild>
            <w:div w:id="889150415">
              <w:marLeft w:val="0"/>
              <w:marRight w:val="0"/>
              <w:marTop w:val="0"/>
              <w:marBottom w:val="0"/>
              <w:divBdr>
                <w:top w:val="none" w:sz="0" w:space="0" w:color="auto"/>
                <w:left w:val="none" w:sz="0" w:space="0" w:color="auto"/>
                <w:bottom w:val="none" w:sz="0" w:space="0" w:color="auto"/>
                <w:right w:val="none" w:sz="0" w:space="0" w:color="auto"/>
              </w:divBdr>
            </w:div>
            <w:div w:id="1037387314">
              <w:marLeft w:val="0"/>
              <w:marRight w:val="0"/>
              <w:marTop w:val="0"/>
              <w:marBottom w:val="0"/>
              <w:divBdr>
                <w:top w:val="none" w:sz="0" w:space="0" w:color="auto"/>
                <w:left w:val="none" w:sz="0" w:space="0" w:color="auto"/>
                <w:bottom w:val="none" w:sz="0" w:space="0" w:color="auto"/>
                <w:right w:val="none" w:sz="0" w:space="0" w:color="auto"/>
              </w:divBdr>
            </w:div>
            <w:div w:id="1590383680">
              <w:marLeft w:val="0"/>
              <w:marRight w:val="0"/>
              <w:marTop w:val="0"/>
              <w:marBottom w:val="0"/>
              <w:divBdr>
                <w:top w:val="none" w:sz="0" w:space="0" w:color="auto"/>
                <w:left w:val="none" w:sz="0" w:space="0" w:color="auto"/>
                <w:bottom w:val="none" w:sz="0" w:space="0" w:color="auto"/>
                <w:right w:val="none" w:sz="0" w:space="0" w:color="auto"/>
              </w:divBdr>
              <w:divsChild>
                <w:div w:id="5992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3303">
          <w:marLeft w:val="0"/>
          <w:marRight w:val="0"/>
          <w:marTop w:val="0"/>
          <w:marBottom w:val="0"/>
          <w:divBdr>
            <w:top w:val="none" w:sz="0" w:space="0" w:color="auto"/>
            <w:left w:val="none" w:sz="0" w:space="0" w:color="auto"/>
            <w:bottom w:val="none" w:sz="0" w:space="0" w:color="auto"/>
            <w:right w:val="none" w:sz="0" w:space="0" w:color="auto"/>
          </w:divBdr>
          <w:divsChild>
            <w:div w:id="210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1287">
      <w:bodyDiv w:val="1"/>
      <w:marLeft w:val="0"/>
      <w:marRight w:val="0"/>
      <w:marTop w:val="0"/>
      <w:marBottom w:val="0"/>
      <w:divBdr>
        <w:top w:val="none" w:sz="0" w:space="0" w:color="auto"/>
        <w:left w:val="none" w:sz="0" w:space="0" w:color="auto"/>
        <w:bottom w:val="none" w:sz="0" w:space="0" w:color="auto"/>
        <w:right w:val="none" w:sz="0" w:space="0" w:color="auto"/>
      </w:divBdr>
      <w:divsChild>
        <w:div w:id="330372637">
          <w:marLeft w:val="0"/>
          <w:marRight w:val="0"/>
          <w:marTop w:val="0"/>
          <w:marBottom w:val="0"/>
          <w:divBdr>
            <w:top w:val="none" w:sz="0" w:space="0" w:color="auto"/>
            <w:left w:val="none" w:sz="0" w:space="0" w:color="auto"/>
            <w:bottom w:val="none" w:sz="0" w:space="0" w:color="auto"/>
            <w:right w:val="none" w:sz="0" w:space="0" w:color="auto"/>
          </w:divBdr>
          <w:divsChild>
            <w:div w:id="672995881">
              <w:marLeft w:val="0"/>
              <w:marRight w:val="0"/>
              <w:marTop w:val="0"/>
              <w:marBottom w:val="0"/>
              <w:divBdr>
                <w:top w:val="none" w:sz="0" w:space="0" w:color="auto"/>
                <w:left w:val="none" w:sz="0" w:space="0" w:color="auto"/>
                <w:bottom w:val="none" w:sz="0" w:space="0" w:color="auto"/>
                <w:right w:val="none" w:sz="0" w:space="0" w:color="auto"/>
              </w:divBdr>
            </w:div>
          </w:divsChild>
        </w:div>
        <w:div w:id="389620716">
          <w:marLeft w:val="0"/>
          <w:marRight w:val="0"/>
          <w:marTop w:val="0"/>
          <w:marBottom w:val="0"/>
          <w:divBdr>
            <w:top w:val="none" w:sz="0" w:space="0" w:color="auto"/>
            <w:left w:val="none" w:sz="0" w:space="0" w:color="auto"/>
            <w:bottom w:val="none" w:sz="0" w:space="0" w:color="auto"/>
            <w:right w:val="none" w:sz="0" w:space="0" w:color="auto"/>
          </w:divBdr>
          <w:divsChild>
            <w:div w:id="750784547">
              <w:marLeft w:val="0"/>
              <w:marRight w:val="0"/>
              <w:marTop w:val="0"/>
              <w:marBottom w:val="0"/>
              <w:divBdr>
                <w:top w:val="none" w:sz="0" w:space="0" w:color="auto"/>
                <w:left w:val="none" w:sz="0" w:space="0" w:color="auto"/>
                <w:bottom w:val="none" w:sz="0" w:space="0" w:color="auto"/>
                <w:right w:val="none" w:sz="0" w:space="0" w:color="auto"/>
              </w:divBdr>
            </w:div>
            <w:div w:id="1092436147">
              <w:marLeft w:val="0"/>
              <w:marRight w:val="0"/>
              <w:marTop w:val="0"/>
              <w:marBottom w:val="0"/>
              <w:divBdr>
                <w:top w:val="none" w:sz="0" w:space="0" w:color="auto"/>
                <w:left w:val="none" w:sz="0" w:space="0" w:color="auto"/>
                <w:bottom w:val="none" w:sz="0" w:space="0" w:color="auto"/>
                <w:right w:val="none" w:sz="0" w:space="0" w:color="auto"/>
              </w:divBdr>
            </w:div>
            <w:div w:id="1120027064">
              <w:marLeft w:val="0"/>
              <w:marRight w:val="0"/>
              <w:marTop w:val="0"/>
              <w:marBottom w:val="0"/>
              <w:divBdr>
                <w:top w:val="none" w:sz="0" w:space="0" w:color="auto"/>
                <w:left w:val="none" w:sz="0" w:space="0" w:color="auto"/>
                <w:bottom w:val="none" w:sz="0" w:space="0" w:color="auto"/>
                <w:right w:val="none" w:sz="0" w:space="0" w:color="auto"/>
              </w:divBdr>
              <w:divsChild>
                <w:div w:id="1392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6345">
      <w:bodyDiv w:val="1"/>
      <w:marLeft w:val="0"/>
      <w:marRight w:val="0"/>
      <w:marTop w:val="0"/>
      <w:marBottom w:val="0"/>
      <w:divBdr>
        <w:top w:val="none" w:sz="0" w:space="0" w:color="auto"/>
        <w:left w:val="none" w:sz="0" w:space="0" w:color="auto"/>
        <w:bottom w:val="none" w:sz="0" w:space="0" w:color="auto"/>
        <w:right w:val="none" w:sz="0" w:space="0" w:color="auto"/>
      </w:divBdr>
    </w:div>
    <w:div w:id="510681408">
      <w:bodyDiv w:val="1"/>
      <w:marLeft w:val="0"/>
      <w:marRight w:val="0"/>
      <w:marTop w:val="0"/>
      <w:marBottom w:val="0"/>
      <w:divBdr>
        <w:top w:val="none" w:sz="0" w:space="0" w:color="auto"/>
        <w:left w:val="none" w:sz="0" w:space="0" w:color="auto"/>
        <w:bottom w:val="none" w:sz="0" w:space="0" w:color="auto"/>
        <w:right w:val="none" w:sz="0" w:space="0" w:color="auto"/>
      </w:divBdr>
    </w:div>
    <w:div w:id="553661837">
      <w:bodyDiv w:val="1"/>
      <w:marLeft w:val="0"/>
      <w:marRight w:val="0"/>
      <w:marTop w:val="0"/>
      <w:marBottom w:val="0"/>
      <w:divBdr>
        <w:top w:val="none" w:sz="0" w:space="0" w:color="auto"/>
        <w:left w:val="none" w:sz="0" w:space="0" w:color="auto"/>
        <w:bottom w:val="none" w:sz="0" w:space="0" w:color="auto"/>
        <w:right w:val="none" w:sz="0" w:space="0" w:color="auto"/>
      </w:divBdr>
    </w:div>
    <w:div w:id="643311283">
      <w:bodyDiv w:val="1"/>
      <w:marLeft w:val="0"/>
      <w:marRight w:val="0"/>
      <w:marTop w:val="0"/>
      <w:marBottom w:val="0"/>
      <w:divBdr>
        <w:top w:val="none" w:sz="0" w:space="0" w:color="auto"/>
        <w:left w:val="none" w:sz="0" w:space="0" w:color="auto"/>
        <w:bottom w:val="none" w:sz="0" w:space="0" w:color="auto"/>
        <w:right w:val="none" w:sz="0" w:space="0" w:color="auto"/>
      </w:divBdr>
      <w:divsChild>
        <w:div w:id="767000121">
          <w:marLeft w:val="0"/>
          <w:marRight w:val="0"/>
          <w:marTop w:val="0"/>
          <w:marBottom w:val="0"/>
          <w:divBdr>
            <w:top w:val="none" w:sz="0" w:space="0" w:color="auto"/>
            <w:left w:val="none" w:sz="0" w:space="0" w:color="auto"/>
            <w:bottom w:val="none" w:sz="0" w:space="0" w:color="auto"/>
            <w:right w:val="none" w:sz="0" w:space="0" w:color="auto"/>
          </w:divBdr>
          <w:divsChild>
            <w:div w:id="535653748">
              <w:marLeft w:val="0"/>
              <w:marRight w:val="0"/>
              <w:marTop w:val="0"/>
              <w:marBottom w:val="0"/>
              <w:divBdr>
                <w:top w:val="none" w:sz="0" w:space="0" w:color="auto"/>
                <w:left w:val="none" w:sz="0" w:space="0" w:color="auto"/>
                <w:bottom w:val="none" w:sz="0" w:space="0" w:color="auto"/>
                <w:right w:val="none" w:sz="0" w:space="0" w:color="auto"/>
              </w:divBdr>
            </w:div>
          </w:divsChild>
        </w:div>
        <w:div w:id="1179269912">
          <w:marLeft w:val="0"/>
          <w:marRight w:val="0"/>
          <w:marTop w:val="0"/>
          <w:marBottom w:val="0"/>
          <w:divBdr>
            <w:top w:val="none" w:sz="0" w:space="0" w:color="auto"/>
            <w:left w:val="none" w:sz="0" w:space="0" w:color="auto"/>
            <w:bottom w:val="none" w:sz="0" w:space="0" w:color="auto"/>
            <w:right w:val="none" w:sz="0" w:space="0" w:color="auto"/>
          </w:divBdr>
          <w:divsChild>
            <w:div w:id="161315255">
              <w:marLeft w:val="0"/>
              <w:marRight w:val="0"/>
              <w:marTop w:val="0"/>
              <w:marBottom w:val="0"/>
              <w:divBdr>
                <w:top w:val="none" w:sz="0" w:space="0" w:color="auto"/>
                <w:left w:val="none" w:sz="0" w:space="0" w:color="auto"/>
                <w:bottom w:val="none" w:sz="0" w:space="0" w:color="auto"/>
                <w:right w:val="none" w:sz="0" w:space="0" w:color="auto"/>
              </w:divBdr>
            </w:div>
            <w:div w:id="1937443811">
              <w:marLeft w:val="0"/>
              <w:marRight w:val="0"/>
              <w:marTop w:val="0"/>
              <w:marBottom w:val="0"/>
              <w:divBdr>
                <w:top w:val="none" w:sz="0" w:space="0" w:color="auto"/>
                <w:left w:val="none" w:sz="0" w:space="0" w:color="auto"/>
                <w:bottom w:val="none" w:sz="0" w:space="0" w:color="auto"/>
                <w:right w:val="none" w:sz="0" w:space="0" w:color="auto"/>
              </w:divBdr>
              <w:divsChild>
                <w:div w:id="1941831686">
                  <w:marLeft w:val="0"/>
                  <w:marRight w:val="0"/>
                  <w:marTop w:val="0"/>
                  <w:marBottom w:val="0"/>
                  <w:divBdr>
                    <w:top w:val="none" w:sz="0" w:space="0" w:color="auto"/>
                    <w:left w:val="none" w:sz="0" w:space="0" w:color="auto"/>
                    <w:bottom w:val="none" w:sz="0" w:space="0" w:color="auto"/>
                    <w:right w:val="none" w:sz="0" w:space="0" w:color="auto"/>
                  </w:divBdr>
                </w:div>
              </w:divsChild>
            </w:div>
            <w:div w:id="21379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6870">
      <w:bodyDiv w:val="1"/>
      <w:marLeft w:val="0"/>
      <w:marRight w:val="0"/>
      <w:marTop w:val="0"/>
      <w:marBottom w:val="0"/>
      <w:divBdr>
        <w:top w:val="none" w:sz="0" w:space="0" w:color="auto"/>
        <w:left w:val="none" w:sz="0" w:space="0" w:color="auto"/>
        <w:bottom w:val="none" w:sz="0" w:space="0" w:color="auto"/>
        <w:right w:val="none" w:sz="0" w:space="0" w:color="auto"/>
      </w:divBdr>
    </w:div>
    <w:div w:id="787437051">
      <w:bodyDiv w:val="1"/>
      <w:marLeft w:val="0"/>
      <w:marRight w:val="0"/>
      <w:marTop w:val="0"/>
      <w:marBottom w:val="0"/>
      <w:divBdr>
        <w:top w:val="none" w:sz="0" w:space="0" w:color="auto"/>
        <w:left w:val="none" w:sz="0" w:space="0" w:color="auto"/>
        <w:bottom w:val="none" w:sz="0" w:space="0" w:color="auto"/>
        <w:right w:val="none" w:sz="0" w:space="0" w:color="auto"/>
      </w:divBdr>
      <w:divsChild>
        <w:div w:id="1980500760">
          <w:marLeft w:val="0"/>
          <w:marRight w:val="0"/>
          <w:marTop w:val="0"/>
          <w:marBottom w:val="0"/>
          <w:divBdr>
            <w:top w:val="none" w:sz="0" w:space="0" w:color="auto"/>
            <w:left w:val="none" w:sz="0" w:space="0" w:color="auto"/>
            <w:bottom w:val="none" w:sz="0" w:space="0" w:color="auto"/>
            <w:right w:val="none" w:sz="0" w:space="0" w:color="auto"/>
          </w:divBdr>
          <w:divsChild>
            <w:div w:id="837237393">
              <w:marLeft w:val="0"/>
              <w:marRight w:val="0"/>
              <w:marTop w:val="0"/>
              <w:marBottom w:val="0"/>
              <w:divBdr>
                <w:top w:val="none" w:sz="0" w:space="0" w:color="auto"/>
                <w:left w:val="none" w:sz="0" w:space="0" w:color="auto"/>
                <w:bottom w:val="none" w:sz="0" w:space="0" w:color="auto"/>
                <w:right w:val="none" w:sz="0" w:space="0" w:color="auto"/>
              </w:divBdr>
            </w:div>
          </w:divsChild>
        </w:div>
        <w:div w:id="2127579269">
          <w:marLeft w:val="0"/>
          <w:marRight w:val="0"/>
          <w:marTop w:val="0"/>
          <w:marBottom w:val="0"/>
          <w:divBdr>
            <w:top w:val="none" w:sz="0" w:space="0" w:color="auto"/>
            <w:left w:val="none" w:sz="0" w:space="0" w:color="auto"/>
            <w:bottom w:val="none" w:sz="0" w:space="0" w:color="auto"/>
            <w:right w:val="none" w:sz="0" w:space="0" w:color="auto"/>
          </w:divBdr>
          <w:divsChild>
            <w:div w:id="950169237">
              <w:marLeft w:val="0"/>
              <w:marRight w:val="0"/>
              <w:marTop w:val="0"/>
              <w:marBottom w:val="0"/>
              <w:divBdr>
                <w:top w:val="none" w:sz="0" w:space="0" w:color="auto"/>
                <w:left w:val="none" w:sz="0" w:space="0" w:color="auto"/>
                <w:bottom w:val="none" w:sz="0" w:space="0" w:color="auto"/>
                <w:right w:val="none" w:sz="0" w:space="0" w:color="auto"/>
              </w:divBdr>
            </w:div>
            <w:div w:id="1149784004">
              <w:marLeft w:val="0"/>
              <w:marRight w:val="0"/>
              <w:marTop w:val="0"/>
              <w:marBottom w:val="0"/>
              <w:divBdr>
                <w:top w:val="none" w:sz="0" w:space="0" w:color="auto"/>
                <w:left w:val="none" w:sz="0" w:space="0" w:color="auto"/>
                <w:bottom w:val="none" w:sz="0" w:space="0" w:color="auto"/>
                <w:right w:val="none" w:sz="0" w:space="0" w:color="auto"/>
              </w:divBdr>
            </w:div>
            <w:div w:id="1519542207">
              <w:marLeft w:val="0"/>
              <w:marRight w:val="0"/>
              <w:marTop w:val="0"/>
              <w:marBottom w:val="0"/>
              <w:divBdr>
                <w:top w:val="none" w:sz="0" w:space="0" w:color="auto"/>
                <w:left w:val="none" w:sz="0" w:space="0" w:color="auto"/>
                <w:bottom w:val="none" w:sz="0" w:space="0" w:color="auto"/>
                <w:right w:val="none" w:sz="0" w:space="0" w:color="auto"/>
              </w:divBdr>
              <w:divsChild>
                <w:div w:id="5164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4133">
      <w:bodyDiv w:val="1"/>
      <w:marLeft w:val="0"/>
      <w:marRight w:val="0"/>
      <w:marTop w:val="0"/>
      <w:marBottom w:val="0"/>
      <w:divBdr>
        <w:top w:val="none" w:sz="0" w:space="0" w:color="auto"/>
        <w:left w:val="none" w:sz="0" w:space="0" w:color="auto"/>
        <w:bottom w:val="none" w:sz="0" w:space="0" w:color="auto"/>
        <w:right w:val="none" w:sz="0" w:space="0" w:color="auto"/>
      </w:divBdr>
    </w:div>
    <w:div w:id="877012124">
      <w:bodyDiv w:val="1"/>
      <w:marLeft w:val="0"/>
      <w:marRight w:val="0"/>
      <w:marTop w:val="0"/>
      <w:marBottom w:val="0"/>
      <w:divBdr>
        <w:top w:val="none" w:sz="0" w:space="0" w:color="auto"/>
        <w:left w:val="none" w:sz="0" w:space="0" w:color="auto"/>
        <w:bottom w:val="none" w:sz="0" w:space="0" w:color="auto"/>
        <w:right w:val="none" w:sz="0" w:space="0" w:color="auto"/>
      </w:divBdr>
    </w:div>
    <w:div w:id="883636559">
      <w:bodyDiv w:val="1"/>
      <w:marLeft w:val="0"/>
      <w:marRight w:val="0"/>
      <w:marTop w:val="0"/>
      <w:marBottom w:val="0"/>
      <w:divBdr>
        <w:top w:val="none" w:sz="0" w:space="0" w:color="auto"/>
        <w:left w:val="none" w:sz="0" w:space="0" w:color="auto"/>
        <w:bottom w:val="none" w:sz="0" w:space="0" w:color="auto"/>
        <w:right w:val="none" w:sz="0" w:space="0" w:color="auto"/>
      </w:divBdr>
      <w:divsChild>
        <w:div w:id="323316540">
          <w:marLeft w:val="0"/>
          <w:marRight w:val="0"/>
          <w:marTop w:val="0"/>
          <w:marBottom w:val="0"/>
          <w:divBdr>
            <w:top w:val="none" w:sz="0" w:space="0" w:color="auto"/>
            <w:left w:val="none" w:sz="0" w:space="0" w:color="auto"/>
            <w:bottom w:val="none" w:sz="0" w:space="0" w:color="auto"/>
            <w:right w:val="none" w:sz="0" w:space="0" w:color="auto"/>
          </w:divBdr>
        </w:div>
        <w:div w:id="367340965">
          <w:marLeft w:val="0"/>
          <w:marRight w:val="0"/>
          <w:marTop w:val="0"/>
          <w:marBottom w:val="0"/>
          <w:divBdr>
            <w:top w:val="none" w:sz="0" w:space="0" w:color="auto"/>
            <w:left w:val="none" w:sz="0" w:space="0" w:color="auto"/>
            <w:bottom w:val="none" w:sz="0" w:space="0" w:color="auto"/>
            <w:right w:val="none" w:sz="0" w:space="0" w:color="auto"/>
          </w:divBdr>
        </w:div>
        <w:div w:id="1089085296">
          <w:marLeft w:val="0"/>
          <w:marRight w:val="0"/>
          <w:marTop w:val="0"/>
          <w:marBottom w:val="0"/>
          <w:divBdr>
            <w:top w:val="none" w:sz="0" w:space="0" w:color="auto"/>
            <w:left w:val="none" w:sz="0" w:space="0" w:color="auto"/>
            <w:bottom w:val="none" w:sz="0" w:space="0" w:color="auto"/>
            <w:right w:val="none" w:sz="0" w:space="0" w:color="auto"/>
          </w:divBdr>
          <w:divsChild>
            <w:div w:id="400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828">
      <w:bodyDiv w:val="1"/>
      <w:marLeft w:val="0"/>
      <w:marRight w:val="0"/>
      <w:marTop w:val="0"/>
      <w:marBottom w:val="0"/>
      <w:divBdr>
        <w:top w:val="none" w:sz="0" w:space="0" w:color="auto"/>
        <w:left w:val="none" w:sz="0" w:space="0" w:color="auto"/>
        <w:bottom w:val="none" w:sz="0" w:space="0" w:color="auto"/>
        <w:right w:val="none" w:sz="0" w:space="0" w:color="auto"/>
      </w:divBdr>
    </w:div>
    <w:div w:id="1199511787">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0"/>
          <w:marTop w:val="0"/>
          <w:marBottom w:val="0"/>
          <w:divBdr>
            <w:top w:val="none" w:sz="0" w:space="0" w:color="auto"/>
            <w:left w:val="none" w:sz="0" w:space="0" w:color="auto"/>
            <w:bottom w:val="none" w:sz="0" w:space="0" w:color="auto"/>
            <w:right w:val="none" w:sz="0" w:space="0" w:color="auto"/>
          </w:divBdr>
          <w:divsChild>
            <w:div w:id="1742870077">
              <w:marLeft w:val="0"/>
              <w:marRight w:val="0"/>
              <w:marTop w:val="0"/>
              <w:marBottom w:val="0"/>
              <w:divBdr>
                <w:top w:val="none" w:sz="0" w:space="0" w:color="auto"/>
                <w:left w:val="none" w:sz="0" w:space="0" w:color="auto"/>
                <w:bottom w:val="none" w:sz="0" w:space="0" w:color="auto"/>
                <w:right w:val="none" w:sz="0" w:space="0" w:color="auto"/>
              </w:divBdr>
            </w:div>
          </w:divsChild>
        </w:div>
        <w:div w:id="1441953008">
          <w:marLeft w:val="0"/>
          <w:marRight w:val="0"/>
          <w:marTop w:val="0"/>
          <w:marBottom w:val="0"/>
          <w:divBdr>
            <w:top w:val="none" w:sz="0" w:space="0" w:color="auto"/>
            <w:left w:val="none" w:sz="0" w:space="0" w:color="auto"/>
            <w:bottom w:val="none" w:sz="0" w:space="0" w:color="auto"/>
            <w:right w:val="none" w:sz="0" w:space="0" w:color="auto"/>
          </w:divBdr>
          <w:divsChild>
            <w:div w:id="85619045">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sChild>
                <w:div w:id="716780993">
                  <w:marLeft w:val="0"/>
                  <w:marRight w:val="0"/>
                  <w:marTop w:val="0"/>
                  <w:marBottom w:val="0"/>
                  <w:divBdr>
                    <w:top w:val="none" w:sz="0" w:space="0" w:color="auto"/>
                    <w:left w:val="none" w:sz="0" w:space="0" w:color="auto"/>
                    <w:bottom w:val="none" w:sz="0" w:space="0" w:color="auto"/>
                    <w:right w:val="none" w:sz="0" w:space="0" w:color="auto"/>
                  </w:divBdr>
                </w:div>
              </w:divsChild>
            </w:div>
            <w:div w:id="17762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952">
      <w:bodyDiv w:val="1"/>
      <w:marLeft w:val="0"/>
      <w:marRight w:val="0"/>
      <w:marTop w:val="0"/>
      <w:marBottom w:val="0"/>
      <w:divBdr>
        <w:top w:val="none" w:sz="0" w:space="0" w:color="auto"/>
        <w:left w:val="none" w:sz="0" w:space="0" w:color="auto"/>
        <w:bottom w:val="none" w:sz="0" w:space="0" w:color="auto"/>
        <w:right w:val="none" w:sz="0" w:space="0" w:color="auto"/>
      </w:divBdr>
    </w:div>
    <w:div w:id="1263955651">
      <w:bodyDiv w:val="1"/>
      <w:marLeft w:val="0"/>
      <w:marRight w:val="0"/>
      <w:marTop w:val="0"/>
      <w:marBottom w:val="0"/>
      <w:divBdr>
        <w:top w:val="none" w:sz="0" w:space="0" w:color="auto"/>
        <w:left w:val="none" w:sz="0" w:space="0" w:color="auto"/>
        <w:bottom w:val="none" w:sz="0" w:space="0" w:color="auto"/>
        <w:right w:val="none" w:sz="0" w:space="0" w:color="auto"/>
      </w:divBdr>
    </w:div>
    <w:div w:id="1271356973">
      <w:bodyDiv w:val="1"/>
      <w:marLeft w:val="0"/>
      <w:marRight w:val="0"/>
      <w:marTop w:val="0"/>
      <w:marBottom w:val="0"/>
      <w:divBdr>
        <w:top w:val="none" w:sz="0" w:space="0" w:color="auto"/>
        <w:left w:val="none" w:sz="0" w:space="0" w:color="auto"/>
        <w:bottom w:val="none" w:sz="0" w:space="0" w:color="auto"/>
        <w:right w:val="none" w:sz="0" w:space="0" w:color="auto"/>
      </w:divBdr>
    </w:div>
    <w:div w:id="1315137575">
      <w:bodyDiv w:val="1"/>
      <w:marLeft w:val="0"/>
      <w:marRight w:val="0"/>
      <w:marTop w:val="0"/>
      <w:marBottom w:val="0"/>
      <w:divBdr>
        <w:top w:val="none" w:sz="0" w:space="0" w:color="auto"/>
        <w:left w:val="none" w:sz="0" w:space="0" w:color="auto"/>
        <w:bottom w:val="none" w:sz="0" w:space="0" w:color="auto"/>
        <w:right w:val="none" w:sz="0" w:space="0" w:color="auto"/>
      </w:divBdr>
    </w:div>
    <w:div w:id="1342584809">
      <w:bodyDiv w:val="1"/>
      <w:marLeft w:val="0"/>
      <w:marRight w:val="0"/>
      <w:marTop w:val="0"/>
      <w:marBottom w:val="0"/>
      <w:divBdr>
        <w:top w:val="none" w:sz="0" w:space="0" w:color="auto"/>
        <w:left w:val="none" w:sz="0" w:space="0" w:color="auto"/>
        <w:bottom w:val="none" w:sz="0" w:space="0" w:color="auto"/>
        <w:right w:val="none" w:sz="0" w:space="0" w:color="auto"/>
      </w:divBdr>
    </w:div>
    <w:div w:id="1362585080">
      <w:bodyDiv w:val="1"/>
      <w:marLeft w:val="0"/>
      <w:marRight w:val="0"/>
      <w:marTop w:val="0"/>
      <w:marBottom w:val="0"/>
      <w:divBdr>
        <w:top w:val="none" w:sz="0" w:space="0" w:color="auto"/>
        <w:left w:val="none" w:sz="0" w:space="0" w:color="auto"/>
        <w:bottom w:val="none" w:sz="0" w:space="0" w:color="auto"/>
        <w:right w:val="none" w:sz="0" w:space="0" w:color="auto"/>
      </w:divBdr>
      <w:divsChild>
        <w:div w:id="556626517">
          <w:marLeft w:val="0"/>
          <w:marRight w:val="0"/>
          <w:marTop w:val="0"/>
          <w:marBottom w:val="0"/>
          <w:divBdr>
            <w:top w:val="none" w:sz="0" w:space="0" w:color="auto"/>
            <w:left w:val="none" w:sz="0" w:space="0" w:color="auto"/>
            <w:bottom w:val="none" w:sz="0" w:space="0" w:color="auto"/>
            <w:right w:val="none" w:sz="0" w:space="0" w:color="auto"/>
          </w:divBdr>
          <w:divsChild>
            <w:div w:id="407775786">
              <w:marLeft w:val="0"/>
              <w:marRight w:val="0"/>
              <w:marTop w:val="0"/>
              <w:marBottom w:val="0"/>
              <w:divBdr>
                <w:top w:val="none" w:sz="0" w:space="0" w:color="auto"/>
                <w:left w:val="none" w:sz="0" w:space="0" w:color="auto"/>
                <w:bottom w:val="none" w:sz="0" w:space="0" w:color="auto"/>
                <w:right w:val="none" w:sz="0" w:space="0" w:color="auto"/>
              </w:divBdr>
            </w:div>
            <w:div w:id="873032703">
              <w:marLeft w:val="0"/>
              <w:marRight w:val="0"/>
              <w:marTop w:val="0"/>
              <w:marBottom w:val="0"/>
              <w:divBdr>
                <w:top w:val="none" w:sz="0" w:space="0" w:color="auto"/>
                <w:left w:val="none" w:sz="0" w:space="0" w:color="auto"/>
                <w:bottom w:val="none" w:sz="0" w:space="0" w:color="auto"/>
                <w:right w:val="none" w:sz="0" w:space="0" w:color="auto"/>
              </w:divBdr>
              <w:divsChild>
                <w:div w:id="2113470936">
                  <w:marLeft w:val="0"/>
                  <w:marRight w:val="0"/>
                  <w:marTop w:val="0"/>
                  <w:marBottom w:val="0"/>
                  <w:divBdr>
                    <w:top w:val="none" w:sz="0" w:space="0" w:color="auto"/>
                    <w:left w:val="none" w:sz="0" w:space="0" w:color="auto"/>
                    <w:bottom w:val="none" w:sz="0" w:space="0" w:color="auto"/>
                    <w:right w:val="none" w:sz="0" w:space="0" w:color="auto"/>
                  </w:divBdr>
                </w:div>
              </w:divsChild>
            </w:div>
            <w:div w:id="1179930653">
              <w:marLeft w:val="0"/>
              <w:marRight w:val="0"/>
              <w:marTop w:val="0"/>
              <w:marBottom w:val="0"/>
              <w:divBdr>
                <w:top w:val="none" w:sz="0" w:space="0" w:color="auto"/>
                <w:left w:val="none" w:sz="0" w:space="0" w:color="auto"/>
                <w:bottom w:val="none" w:sz="0" w:space="0" w:color="auto"/>
                <w:right w:val="none" w:sz="0" w:space="0" w:color="auto"/>
              </w:divBdr>
            </w:div>
          </w:divsChild>
        </w:div>
        <w:div w:id="612636113">
          <w:marLeft w:val="0"/>
          <w:marRight w:val="0"/>
          <w:marTop w:val="0"/>
          <w:marBottom w:val="0"/>
          <w:divBdr>
            <w:top w:val="none" w:sz="0" w:space="0" w:color="auto"/>
            <w:left w:val="none" w:sz="0" w:space="0" w:color="auto"/>
            <w:bottom w:val="none" w:sz="0" w:space="0" w:color="auto"/>
            <w:right w:val="none" w:sz="0" w:space="0" w:color="auto"/>
          </w:divBdr>
          <w:divsChild>
            <w:div w:id="7254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5104">
      <w:bodyDiv w:val="1"/>
      <w:marLeft w:val="0"/>
      <w:marRight w:val="0"/>
      <w:marTop w:val="0"/>
      <w:marBottom w:val="0"/>
      <w:divBdr>
        <w:top w:val="none" w:sz="0" w:space="0" w:color="auto"/>
        <w:left w:val="none" w:sz="0" w:space="0" w:color="auto"/>
        <w:bottom w:val="none" w:sz="0" w:space="0" w:color="auto"/>
        <w:right w:val="none" w:sz="0" w:space="0" w:color="auto"/>
      </w:divBdr>
    </w:div>
    <w:div w:id="1417895752">
      <w:bodyDiv w:val="1"/>
      <w:marLeft w:val="0"/>
      <w:marRight w:val="0"/>
      <w:marTop w:val="0"/>
      <w:marBottom w:val="0"/>
      <w:divBdr>
        <w:top w:val="none" w:sz="0" w:space="0" w:color="auto"/>
        <w:left w:val="none" w:sz="0" w:space="0" w:color="auto"/>
        <w:bottom w:val="none" w:sz="0" w:space="0" w:color="auto"/>
        <w:right w:val="none" w:sz="0" w:space="0" w:color="auto"/>
      </w:divBdr>
      <w:divsChild>
        <w:div w:id="1191801931">
          <w:marLeft w:val="0"/>
          <w:marRight w:val="0"/>
          <w:marTop w:val="0"/>
          <w:marBottom w:val="0"/>
          <w:divBdr>
            <w:top w:val="none" w:sz="0" w:space="0" w:color="auto"/>
            <w:left w:val="none" w:sz="0" w:space="0" w:color="auto"/>
            <w:bottom w:val="none" w:sz="0" w:space="0" w:color="auto"/>
            <w:right w:val="none" w:sz="0" w:space="0" w:color="auto"/>
          </w:divBdr>
          <w:divsChild>
            <w:div w:id="545727018">
              <w:marLeft w:val="0"/>
              <w:marRight w:val="0"/>
              <w:marTop w:val="0"/>
              <w:marBottom w:val="0"/>
              <w:divBdr>
                <w:top w:val="none" w:sz="0" w:space="0" w:color="auto"/>
                <w:left w:val="none" w:sz="0" w:space="0" w:color="auto"/>
                <w:bottom w:val="none" w:sz="0" w:space="0" w:color="auto"/>
                <w:right w:val="none" w:sz="0" w:space="0" w:color="auto"/>
              </w:divBdr>
            </w:div>
          </w:divsChild>
        </w:div>
        <w:div w:id="1743672885">
          <w:marLeft w:val="0"/>
          <w:marRight w:val="0"/>
          <w:marTop w:val="0"/>
          <w:marBottom w:val="0"/>
          <w:divBdr>
            <w:top w:val="none" w:sz="0" w:space="0" w:color="auto"/>
            <w:left w:val="none" w:sz="0" w:space="0" w:color="auto"/>
            <w:bottom w:val="none" w:sz="0" w:space="0" w:color="auto"/>
            <w:right w:val="none" w:sz="0" w:space="0" w:color="auto"/>
          </w:divBdr>
          <w:divsChild>
            <w:div w:id="342249096">
              <w:marLeft w:val="0"/>
              <w:marRight w:val="0"/>
              <w:marTop w:val="0"/>
              <w:marBottom w:val="0"/>
              <w:divBdr>
                <w:top w:val="none" w:sz="0" w:space="0" w:color="auto"/>
                <w:left w:val="none" w:sz="0" w:space="0" w:color="auto"/>
                <w:bottom w:val="none" w:sz="0" w:space="0" w:color="auto"/>
                <w:right w:val="none" w:sz="0" w:space="0" w:color="auto"/>
              </w:divBdr>
            </w:div>
            <w:div w:id="493959683">
              <w:marLeft w:val="0"/>
              <w:marRight w:val="0"/>
              <w:marTop w:val="0"/>
              <w:marBottom w:val="0"/>
              <w:divBdr>
                <w:top w:val="none" w:sz="0" w:space="0" w:color="auto"/>
                <w:left w:val="none" w:sz="0" w:space="0" w:color="auto"/>
                <w:bottom w:val="none" w:sz="0" w:space="0" w:color="auto"/>
                <w:right w:val="none" w:sz="0" w:space="0" w:color="auto"/>
              </w:divBdr>
              <w:divsChild>
                <w:div w:id="221478288">
                  <w:marLeft w:val="0"/>
                  <w:marRight w:val="0"/>
                  <w:marTop w:val="0"/>
                  <w:marBottom w:val="0"/>
                  <w:divBdr>
                    <w:top w:val="none" w:sz="0" w:space="0" w:color="auto"/>
                    <w:left w:val="none" w:sz="0" w:space="0" w:color="auto"/>
                    <w:bottom w:val="none" w:sz="0" w:space="0" w:color="auto"/>
                    <w:right w:val="none" w:sz="0" w:space="0" w:color="auto"/>
                  </w:divBdr>
                </w:div>
              </w:divsChild>
            </w:div>
            <w:div w:id="1609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1664">
      <w:bodyDiv w:val="1"/>
      <w:marLeft w:val="0"/>
      <w:marRight w:val="0"/>
      <w:marTop w:val="0"/>
      <w:marBottom w:val="0"/>
      <w:divBdr>
        <w:top w:val="none" w:sz="0" w:space="0" w:color="auto"/>
        <w:left w:val="none" w:sz="0" w:space="0" w:color="auto"/>
        <w:bottom w:val="none" w:sz="0" w:space="0" w:color="auto"/>
        <w:right w:val="none" w:sz="0" w:space="0" w:color="auto"/>
      </w:divBdr>
      <w:divsChild>
        <w:div w:id="1382561465">
          <w:marLeft w:val="330"/>
          <w:marRight w:val="330"/>
          <w:marTop w:val="30"/>
          <w:marBottom w:val="180"/>
          <w:divBdr>
            <w:top w:val="none" w:sz="0" w:space="0" w:color="auto"/>
            <w:left w:val="none" w:sz="0" w:space="0" w:color="auto"/>
            <w:bottom w:val="none" w:sz="0" w:space="0" w:color="auto"/>
            <w:right w:val="none" w:sz="0" w:space="0" w:color="auto"/>
          </w:divBdr>
        </w:div>
        <w:div w:id="1633365125">
          <w:marLeft w:val="330"/>
          <w:marRight w:val="330"/>
          <w:marTop w:val="0"/>
          <w:marBottom w:val="330"/>
          <w:divBdr>
            <w:top w:val="none" w:sz="0" w:space="0" w:color="auto"/>
            <w:left w:val="none" w:sz="0" w:space="0" w:color="auto"/>
            <w:bottom w:val="none" w:sz="0" w:space="0" w:color="auto"/>
            <w:right w:val="none" w:sz="0" w:space="0" w:color="auto"/>
          </w:divBdr>
        </w:div>
        <w:div w:id="1648241516">
          <w:marLeft w:val="330"/>
          <w:marRight w:val="330"/>
          <w:marTop w:val="0"/>
          <w:marBottom w:val="330"/>
          <w:divBdr>
            <w:top w:val="none" w:sz="0" w:space="0" w:color="auto"/>
            <w:left w:val="none" w:sz="0" w:space="0" w:color="auto"/>
            <w:bottom w:val="none" w:sz="0" w:space="0" w:color="auto"/>
            <w:right w:val="none" w:sz="0" w:space="0" w:color="auto"/>
          </w:divBdr>
          <w:divsChild>
            <w:div w:id="20904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9523">
      <w:bodyDiv w:val="1"/>
      <w:marLeft w:val="0"/>
      <w:marRight w:val="0"/>
      <w:marTop w:val="0"/>
      <w:marBottom w:val="0"/>
      <w:divBdr>
        <w:top w:val="none" w:sz="0" w:space="0" w:color="auto"/>
        <w:left w:val="none" w:sz="0" w:space="0" w:color="auto"/>
        <w:bottom w:val="none" w:sz="0" w:space="0" w:color="auto"/>
        <w:right w:val="none" w:sz="0" w:space="0" w:color="auto"/>
      </w:divBdr>
    </w:div>
    <w:div w:id="1478063605">
      <w:bodyDiv w:val="1"/>
      <w:marLeft w:val="0"/>
      <w:marRight w:val="0"/>
      <w:marTop w:val="0"/>
      <w:marBottom w:val="0"/>
      <w:divBdr>
        <w:top w:val="none" w:sz="0" w:space="0" w:color="auto"/>
        <w:left w:val="none" w:sz="0" w:space="0" w:color="auto"/>
        <w:bottom w:val="none" w:sz="0" w:space="0" w:color="auto"/>
        <w:right w:val="none" w:sz="0" w:space="0" w:color="auto"/>
      </w:divBdr>
    </w:div>
    <w:div w:id="1518809618">
      <w:bodyDiv w:val="1"/>
      <w:marLeft w:val="0"/>
      <w:marRight w:val="0"/>
      <w:marTop w:val="0"/>
      <w:marBottom w:val="0"/>
      <w:divBdr>
        <w:top w:val="none" w:sz="0" w:space="0" w:color="auto"/>
        <w:left w:val="none" w:sz="0" w:space="0" w:color="auto"/>
        <w:bottom w:val="none" w:sz="0" w:space="0" w:color="auto"/>
        <w:right w:val="none" w:sz="0" w:space="0" w:color="auto"/>
      </w:divBdr>
    </w:div>
    <w:div w:id="1712220029">
      <w:bodyDiv w:val="1"/>
      <w:marLeft w:val="0"/>
      <w:marRight w:val="0"/>
      <w:marTop w:val="0"/>
      <w:marBottom w:val="0"/>
      <w:divBdr>
        <w:top w:val="none" w:sz="0" w:space="0" w:color="auto"/>
        <w:left w:val="none" w:sz="0" w:space="0" w:color="auto"/>
        <w:bottom w:val="none" w:sz="0" w:space="0" w:color="auto"/>
        <w:right w:val="none" w:sz="0" w:space="0" w:color="auto"/>
      </w:divBdr>
      <w:divsChild>
        <w:div w:id="1247955516">
          <w:marLeft w:val="0"/>
          <w:marRight w:val="0"/>
          <w:marTop w:val="0"/>
          <w:marBottom w:val="0"/>
          <w:divBdr>
            <w:top w:val="none" w:sz="0" w:space="0" w:color="auto"/>
            <w:left w:val="none" w:sz="0" w:space="0" w:color="auto"/>
            <w:bottom w:val="none" w:sz="0" w:space="0" w:color="auto"/>
            <w:right w:val="none" w:sz="0" w:space="0" w:color="auto"/>
          </w:divBdr>
          <w:divsChild>
            <w:div w:id="1295602436">
              <w:marLeft w:val="0"/>
              <w:marRight w:val="0"/>
              <w:marTop w:val="0"/>
              <w:marBottom w:val="0"/>
              <w:divBdr>
                <w:top w:val="none" w:sz="0" w:space="0" w:color="auto"/>
                <w:left w:val="none" w:sz="0" w:space="0" w:color="auto"/>
                <w:bottom w:val="none" w:sz="0" w:space="0" w:color="auto"/>
                <w:right w:val="none" w:sz="0" w:space="0" w:color="auto"/>
              </w:divBdr>
            </w:div>
            <w:div w:id="693766587">
              <w:marLeft w:val="0"/>
              <w:marRight w:val="0"/>
              <w:marTop w:val="0"/>
              <w:marBottom w:val="300"/>
              <w:divBdr>
                <w:top w:val="none" w:sz="0" w:space="0" w:color="auto"/>
                <w:left w:val="none" w:sz="0" w:space="0" w:color="auto"/>
                <w:bottom w:val="none" w:sz="0" w:space="0" w:color="auto"/>
                <w:right w:val="none" w:sz="0" w:space="0" w:color="auto"/>
              </w:divBdr>
              <w:divsChild>
                <w:div w:id="13689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89">
          <w:marLeft w:val="0"/>
          <w:marRight w:val="0"/>
          <w:marTop w:val="0"/>
          <w:marBottom w:val="0"/>
          <w:divBdr>
            <w:top w:val="none" w:sz="0" w:space="0" w:color="auto"/>
            <w:left w:val="none" w:sz="0" w:space="0" w:color="auto"/>
            <w:bottom w:val="none" w:sz="0" w:space="0" w:color="auto"/>
            <w:right w:val="none" w:sz="0" w:space="0" w:color="auto"/>
          </w:divBdr>
          <w:divsChild>
            <w:div w:id="180514452">
              <w:marLeft w:val="0"/>
              <w:marRight w:val="0"/>
              <w:marTop w:val="0"/>
              <w:marBottom w:val="0"/>
              <w:divBdr>
                <w:top w:val="none" w:sz="0" w:space="0" w:color="auto"/>
                <w:left w:val="none" w:sz="0" w:space="0" w:color="auto"/>
                <w:bottom w:val="none" w:sz="0" w:space="0" w:color="auto"/>
                <w:right w:val="none" w:sz="0" w:space="0" w:color="auto"/>
              </w:divBdr>
            </w:div>
            <w:div w:id="1833373256">
              <w:marLeft w:val="0"/>
              <w:marRight w:val="0"/>
              <w:marTop w:val="0"/>
              <w:marBottom w:val="300"/>
              <w:divBdr>
                <w:top w:val="none" w:sz="0" w:space="0" w:color="auto"/>
                <w:left w:val="none" w:sz="0" w:space="0" w:color="auto"/>
                <w:bottom w:val="none" w:sz="0" w:space="0" w:color="auto"/>
                <w:right w:val="none" w:sz="0" w:space="0" w:color="auto"/>
              </w:divBdr>
              <w:divsChild>
                <w:div w:id="12063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7068">
          <w:marLeft w:val="0"/>
          <w:marRight w:val="0"/>
          <w:marTop w:val="0"/>
          <w:marBottom w:val="0"/>
          <w:divBdr>
            <w:top w:val="none" w:sz="0" w:space="0" w:color="auto"/>
            <w:left w:val="none" w:sz="0" w:space="0" w:color="auto"/>
            <w:bottom w:val="none" w:sz="0" w:space="0" w:color="auto"/>
            <w:right w:val="none" w:sz="0" w:space="0" w:color="auto"/>
          </w:divBdr>
          <w:divsChild>
            <w:div w:id="669218053">
              <w:marLeft w:val="0"/>
              <w:marRight w:val="0"/>
              <w:marTop w:val="0"/>
              <w:marBottom w:val="300"/>
              <w:divBdr>
                <w:top w:val="none" w:sz="0" w:space="0" w:color="auto"/>
                <w:left w:val="none" w:sz="0" w:space="0" w:color="auto"/>
                <w:bottom w:val="none" w:sz="0" w:space="0" w:color="auto"/>
                <w:right w:val="none" w:sz="0" w:space="0" w:color="auto"/>
              </w:divBdr>
              <w:divsChild>
                <w:div w:id="1055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443">
          <w:marLeft w:val="0"/>
          <w:marRight w:val="0"/>
          <w:marTop w:val="0"/>
          <w:marBottom w:val="0"/>
          <w:divBdr>
            <w:top w:val="none" w:sz="0" w:space="0" w:color="auto"/>
            <w:left w:val="none" w:sz="0" w:space="0" w:color="auto"/>
            <w:bottom w:val="none" w:sz="0" w:space="0" w:color="auto"/>
            <w:right w:val="none" w:sz="0" w:space="0" w:color="auto"/>
          </w:divBdr>
          <w:divsChild>
            <w:div w:id="1093086432">
              <w:marLeft w:val="0"/>
              <w:marRight w:val="0"/>
              <w:marTop w:val="0"/>
              <w:marBottom w:val="0"/>
              <w:divBdr>
                <w:top w:val="none" w:sz="0" w:space="0" w:color="auto"/>
                <w:left w:val="none" w:sz="0" w:space="0" w:color="auto"/>
                <w:bottom w:val="none" w:sz="0" w:space="0" w:color="auto"/>
                <w:right w:val="none" w:sz="0" w:space="0" w:color="auto"/>
              </w:divBdr>
            </w:div>
            <w:div w:id="1609580869">
              <w:marLeft w:val="0"/>
              <w:marRight w:val="0"/>
              <w:marTop w:val="0"/>
              <w:marBottom w:val="300"/>
              <w:divBdr>
                <w:top w:val="none" w:sz="0" w:space="0" w:color="auto"/>
                <w:left w:val="none" w:sz="0" w:space="0" w:color="auto"/>
                <w:bottom w:val="none" w:sz="0" w:space="0" w:color="auto"/>
                <w:right w:val="none" w:sz="0" w:space="0" w:color="auto"/>
              </w:divBdr>
              <w:divsChild>
                <w:div w:id="555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0634">
      <w:bodyDiv w:val="1"/>
      <w:marLeft w:val="0"/>
      <w:marRight w:val="0"/>
      <w:marTop w:val="0"/>
      <w:marBottom w:val="0"/>
      <w:divBdr>
        <w:top w:val="none" w:sz="0" w:space="0" w:color="auto"/>
        <w:left w:val="none" w:sz="0" w:space="0" w:color="auto"/>
        <w:bottom w:val="none" w:sz="0" w:space="0" w:color="auto"/>
        <w:right w:val="none" w:sz="0" w:space="0" w:color="auto"/>
      </w:divBdr>
      <w:divsChild>
        <w:div w:id="293364592">
          <w:marLeft w:val="0"/>
          <w:marRight w:val="0"/>
          <w:marTop w:val="0"/>
          <w:marBottom w:val="0"/>
          <w:divBdr>
            <w:top w:val="none" w:sz="0" w:space="0" w:color="auto"/>
            <w:left w:val="none" w:sz="0" w:space="0" w:color="auto"/>
            <w:bottom w:val="none" w:sz="0" w:space="0" w:color="auto"/>
            <w:right w:val="none" w:sz="0" w:space="0" w:color="auto"/>
          </w:divBdr>
          <w:divsChild>
            <w:div w:id="965626565">
              <w:marLeft w:val="0"/>
              <w:marRight w:val="0"/>
              <w:marTop w:val="0"/>
              <w:marBottom w:val="0"/>
              <w:divBdr>
                <w:top w:val="none" w:sz="0" w:space="0" w:color="auto"/>
                <w:left w:val="none" w:sz="0" w:space="0" w:color="auto"/>
                <w:bottom w:val="none" w:sz="0" w:space="0" w:color="auto"/>
                <w:right w:val="none" w:sz="0" w:space="0" w:color="auto"/>
              </w:divBdr>
            </w:div>
            <w:div w:id="1110473372">
              <w:marLeft w:val="0"/>
              <w:marRight w:val="0"/>
              <w:marTop w:val="0"/>
              <w:marBottom w:val="0"/>
              <w:divBdr>
                <w:top w:val="none" w:sz="0" w:space="0" w:color="auto"/>
                <w:left w:val="none" w:sz="0" w:space="0" w:color="auto"/>
                <w:bottom w:val="none" w:sz="0" w:space="0" w:color="auto"/>
                <w:right w:val="none" w:sz="0" w:space="0" w:color="auto"/>
              </w:divBdr>
              <w:divsChild>
                <w:div w:id="1353335197">
                  <w:marLeft w:val="0"/>
                  <w:marRight w:val="0"/>
                  <w:marTop w:val="0"/>
                  <w:marBottom w:val="0"/>
                  <w:divBdr>
                    <w:top w:val="none" w:sz="0" w:space="0" w:color="auto"/>
                    <w:left w:val="none" w:sz="0" w:space="0" w:color="auto"/>
                    <w:bottom w:val="none" w:sz="0" w:space="0" w:color="auto"/>
                    <w:right w:val="none" w:sz="0" w:space="0" w:color="auto"/>
                  </w:divBdr>
                </w:div>
              </w:divsChild>
            </w:div>
            <w:div w:id="1514761282">
              <w:marLeft w:val="0"/>
              <w:marRight w:val="0"/>
              <w:marTop w:val="0"/>
              <w:marBottom w:val="0"/>
              <w:divBdr>
                <w:top w:val="none" w:sz="0" w:space="0" w:color="auto"/>
                <w:left w:val="none" w:sz="0" w:space="0" w:color="auto"/>
                <w:bottom w:val="none" w:sz="0" w:space="0" w:color="auto"/>
                <w:right w:val="none" w:sz="0" w:space="0" w:color="auto"/>
              </w:divBdr>
            </w:div>
          </w:divsChild>
        </w:div>
        <w:div w:id="383213420">
          <w:marLeft w:val="0"/>
          <w:marRight w:val="0"/>
          <w:marTop w:val="0"/>
          <w:marBottom w:val="0"/>
          <w:divBdr>
            <w:top w:val="none" w:sz="0" w:space="0" w:color="auto"/>
            <w:left w:val="none" w:sz="0" w:space="0" w:color="auto"/>
            <w:bottom w:val="none" w:sz="0" w:space="0" w:color="auto"/>
            <w:right w:val="none" w:sz="0" w:space="0" w:color="auto"/>
          </w:divBdr>
          <w:divsChild>
            <w:div w:id="1152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689">
      <w:bodyDiv w:val="1"/>
      <w:marLeft w:val="0"/>
      <w:marRight w:val="0"/>
      <w:marTop w:val="0"/>
      <w:marBottom w:val="0"/>
      <w:divBdr>
        <w:top w:val="none" w:sz="0" w:space="0" w:color="auto"/>
        <w:left w:val="none" w:sz="0" w:space="0" w:color="auto"/>
        <w:bottom w:val="none" w:sz="0" w:space="0" w:color="auto"/>
        <w:right w:val="none" w:sz="0" w:space="0" w:color="auto"/>
      </w:divBdr>
    </w:div>
    <w:div w:id="1825005401">
      <w:bodyDiv w:val="1"/>
      <w:marLeft w:val="0"/>
      <w:marRight w:val="0"/>
      <w:marTop w:val="0"/>
      <w:marBottom w:val="0"/>
      <w:divBdr>
        <w:top w:val="none" w:sz="0" w:space="0" w:color="auto"/>
        <w:left w:val="none" w:sz="0" w:space="0" w:color="auto"/>
        <w:bottom w:val="none" w:sz="0" w:space="0" w:color="auto"/>
        <w:right w:val="none" w:sz="0" w:space="0" w:color="auto"/>
      </w:divBdr>
    </w:div>
    <w:div w:id="1872298378">
      <w:bodyDiv w:val="1"/>
      <w:marLeft w:val="0"/>
      <w:marRight w:val="0"/>
      <w:marTop w:val="0"/>
      <w:marBottom w:val="0"/>
      <w:divBdr>
        <w:top w:val="none" w:sz="0" w:space="0" w:color="auto"/>
        <w:left w:val="none" w:sz="0" w:space="0" w:color="auto"/>
        <w:bottom w:val="none" w:sz="0" w:space="0" w:color="auto"/>
        <w:right w:val="none" w:sz="0" w:space="0" w:color="auto"/>
      </w:divBdr>
      <w:divsChild>
        <w:div w:id="1240140210">
          <w:marLeft w:val="0"/>
          <w:marRight w:val="0"/>
          <w:marTop w:val="0"/>
          <w:marBottom w:val="0"/>
          <w:divBdr>
            <w:top w:val="none" w:sz="0" w:space="0" w:color="auto"/>
            <w:left w:val="none" w:sz="0" w:space="0" w:color="auto"/>
            <w:bottom w:val="none" w:sz="0" w:space="0" w:color="auto"/>
            <w:right w:val="none" w:sz="0" w:space="0" w:color="auto"/>
          </w:divBdr>
          <w:divsChild>
            <w:div w:id="772364561">
              <w:marLeft w:val="0"/>
              <w:marRight w:val="0"/>
              <w:marTop w:val="0"/>
              <w:marBottom w:val="0"/>
              <w:divBdr>
                <w:top w:val="none" w:sz="0" w:space="0" w:color="auto"/>
                <w:left w:val="none" w:sz="0" w:space="0" w:color="auto"/>
                <w:bottom w:val="none" w:sz="0" w:space="0" w:color="auto"/>
                <w:right w:val="none" w:sz="0" w:space="0" w:color="auto"/>
              </w:divBdr>
            </w:div>
            <w:div w:id="1027366353">
              <w:marLeft w:val="0"/>
              <w:marRight w:val="0"/>
              <w:marTop w:val="0"/>
              <w:marBottom w:val="0"/>
              <w:divBdr>
                <w:top w:val="none" w:sz="0" w:space="0" w:color="auto"/>
                <w:left w:val="none" w:sz="0" w:space="0" w:color="auto"/>
                <w:bottom w:val="none" w:sz="0" w:space="0" w:color="auto"/>
                <w:right w:val="none" w:sz="0" w:space="0" w:color="auto"/>
              </w:divBdr>
              <w:divsChild>
                <w:div w:id="415829351">
                  <w:marLeft w:val="0"/>
                  <w:marRight w:val="0"/>
                  <w:marTop w:val="0"/>
                  <w:marBottom w:val="0"/>
                  <w:divBdr>
                    <w:top w:val="none" w:sz="0" w:space="0" w:color="auto"/>
                    <w:left w:val="none" w:sz="0" w:space="0" w:color="auto"/>
                    <w:bottom w:val="none" w:sz="0" w:space="0" w:color="auto"/>
                    <w:right w:val="none" w:sz="0" w:space="0" w:color="auto"/>
                  </w:divBdr>
                </w:div>
              </w:divsChild>
            </w:div>
            <w:div w:id="2057199725">
              <w:marLeft w:val="0"/>
              <w:marRight w:val="0"/>
              <w:marTop w:val="0"/>
              <w:marBottom w:val="0"/>
              <w:divBdr>
                <w:top w:val="none" w:sz="0" w:space="0" w:color="auto"/>
                <w:left w:val="none" w:sz="0" w:space="0" w:color="auto"/>
                <w:bottom w:val="none" w:sz="0" w:space="0" w:color="auto"/>
                <w:right w:val="none" w:sz="0" w:space="0" w:color="auto"/>
              </w:divBdr>
            </w:div>
          </w:divsChild>
        </w:div>
        <w:div w:id="1836146658">
          <w:marLeft w:val="0"/>
          <w:marRight w:val="0"/>
          <w:marTop w:val="0"/>
          <w:marBottom w:val="0"/>
          <w:divBdr>
            <w:top w:val="none" w:sz="0" w:space="0" w:color="auto"/>
            <w:left w:val="none" w:sz="0" w:space="0" w:color="auto"/>
            <w:bottom w:val="none" w:sz="0" w:space="0" w:color="auto"/>
            <w:right w:val="none" w:sz="0" w:space="0" w:color="auto"/>
          </w:divBdr>
          <w:divsChild>
            <w:div w:id="11061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243">
      <w:bodyDiv w:val="1"/>
      <w:marLeft w:val="0"/>
      <w:marRight w:val="0"/>
      <w:marTop w:val="0"/>
      <w:marBottom w:val="0"/>
      <w:divBdr>
        <w:top w:val="none" w:sz="0" w:space="0" w:color="auto"/>
        <w:left w:val="none" w:sz="0" w:space="0" w:color="auto"/>
        <w:bottom w:val="none" w:sz="0" w:space="0" w:color="auto"/>
        <w:right w:val="none" w:sz="0" w:space="0" w:color="auto"/>
      </w:divBdr>
    </w:div>
    <w:div w:id="1884367533">
      <w:bodyDiv w:val="1"/>
      <w:marLeft w:val="0"/>
      <w:marRight w:val="0"/>
      <w:marTop w:val="0"/>
      <w:marBottom w:val="0"/>
      <w:divBdr>
        <w:top w:val="none" w:sz="0" w:space="0" w:color="auto"/>
        <w:left w:val="none" w:sz="0" w:space="0" w:color="auto"/>
        <w:bottom w:val="none" w:sz="0" w:space="0" w:color="auto"/>
        <w:right w:val="none" w:sz="0" w:space="0" w:color="auto"/>
      </w:divBdr>
    </w:div>
    <w:div w:id="1910771699">
      <w:bodyDiv w:val="1"/>
      <w:marLeft w:val="0"/>
      <w:marRight w:val="0"/>
      <w:marTop w:val="0"/>
      <w:marBottom w:val="0"/>
      <w:divBdr>
        <w:top w:val="none" w:sz="0" w:space="0" w:color="auto"/>
        <w:left w:val="none" w:sz="0" w:space="0" w:color="auto"/>
        <w:bottom w:val="none" w:sz="0" w:space="0" w:color="auto"/>
        <w:right w:val="none" w:sz="0" w:space="0" w:color="auto"/>
      </w:divBdr>
      <w:divsChild>
        <w:div w:id="311566631">
          <w:marLeft w:val="0"/>
          <w:marRight w:val="0"/>
          <w:marTop w:val="0"/>
          <w:marBottom w:val="0"/>
          <w:divBdr>
            <w:top w:val="none" w:sz="0" w:space="0" w:color="auto"/>
            <w:left w:val="none" w:sz="0" w:space="0" w:color="auto"/>
            <w:bottom w:val="none" w:sz="0" w:space="0" w:color="auto"/>
            <w:right w:val="none" w:sz="0" w:space="0" w:color="auto"/>
          </w:divBdr>
          <w:divsChild>
            <w:div w:id="660079583">
              <w:marLeft w:val="0"/>
              <w:marRight w:val="0"/>
              <w:marTop w:val="0"/>
              <w:marBottom w:val="0"/>
              <w:divBdr>
                <w:top w:val="none" w:sz="0" w:space="0" w:color="auto"/>
                <w:left w:val="none" w:sz="0" w:space="0" w:color="auto"/>
                <w:bottom w:val="none" w:sz="0" w:space="0" w:color="auto"/>
                <w:right w:val="none" w:sz="0" w:space="0" w:color="auto"/>
              </w:divBdr>
            </w:div>
            <w:div w:id="1492671650">
              <w:marLeft w:val="0"/>
              <w:marRight w:val="0"/>
              <w:marTop w:val="0"/>
              <w:marBottom w:val="0"/>
              <w:divBdr>
                <w:top w:val="none" w:sz="0" w:space="0" w:color="auto"/>
                <w:left w:val="none" w:sz="0" w:space="0" w:color="auto"/>
                <w:bottom w:val="none" w:sz="0" w:space="0" w:color="auto"/>
                <w:right w:val="none" w:sz="0" w:space="0" w:color="auto"/>
              </w:divBdr>
              <w:divsChild>
                <w:div w:id="903417629">
                  <w:marLeft w:val="0"/>
                  <w:marRight w:val="0"/>
                  <w:marTop w:val="0"/>
                  <w:marBottom w:val="0"/>
                  <w:divBdr>
                    <w:top w:val="none" w:sz="0" w:space="0" w:color="auto"/>
                    <w:left w:val="none" w:sz="0" w:space="0" w:color="auto"/>
                    <w:bottom w:val="none" w:sz="0" w:space="0" w:color="auto"/>
                    <w:right w:val="none" w:sz="0" w:space="0" w:color="auto"/>
                  </w:divBdr>
                </w:div>
              </w:divsChild>
            </w:div>
            <w:div w:id="1558470537">
              <w:marLeft w:val="0"/>
              <w:marRight w:val="0"/>
              <w:marTop w:val="0"/>
              <w:marBottom w:val="0"/>
              <w:divBdr>
                <w:top w:val="none" w:sz="0" w:space="0" w:color="auto"/>
                <w:left w:val="none" w:sz="0" w:space="0" w:color="auto"/>
                <w:bottom w:val="none" w:sz="0" w:space="0" w:color="auto"/>
                <w:right w:val="none" w:sz="0" w:space="0" w:color="auto"/>
              </w:divBdr>
            </w:div>
          </w:divsChild>
        </w:div>
        <w:div w:id="1112171148">
          <w:marLeft w:val="0"/>
          <w:marRight w:val="0"/>
          <w:marTop w:val="0"/>
          <w:marBottom w:val="0"/>
          <w:divBdr>
            <w:top w:val="none" w:sz="0" w:space="0" w:color="auto"/>
            <w:left w:val="none" w:sz="0" w:space="0" w:color="auto"/>
            <w:bottom w:val="none" w:sz="0" w:space="0" w:color="auto"/>
            <w:right w:val="none" w:sz="0" w:space="0" w:color="auto"/>
          </w:divBdr>
          <w:divsChild>
            <w:div w:id="10523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210">
      <w:bodyDiv w:val="1"/>
      <w:marLeft w:val="120"/>
      <w:marRight w:val="120"/>
      <w:marTop w:val="0"/>
      <w:marBottom w:val="0"/>
      <w:divBdr>
        <w:top w:val="none" w:sz="0" w:space="0" w:color="auto"/>
        <w:left w:val="none" w:sz="0" w:space="0" w:color="auto"/>
        <w:bottom w:val="none" w:sz="0" w:space="0" w:color="auto"/>
        <w:right w:val="none" w:sz="0" w:space="0" w:color="auto"/>
      </w:divBdr>
      <w:divsChild>
        <w:div w:id="1081563986">
          <w:marLeft w:val="0"/>
          <w:marRight w:val="0"/>
          <w:marTop w:val="0"/>
          <w:marBottom w:val="0"/>
          <w:divBdr>
            <w:top w:val="none" w:sz="0" w:space="0" w:color="auto"/>
            <w:left w:val="none" w:sz="0" w:space="0" w:color="auto"/>
            <w:bottom w:val="none" w:sz="0" w:space="0" w:color="auto"/>
            <w:right w:val="none" w:sz="0" w:space="0" w:color="auto"/>
          </w:divBdr>
          <w:divsChild>
            <w:div w:id="6973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4713">
      <w:bodyDiv w:val="1"/>
      <w:marLeft w:val="0"/>
      <w:marRight w:val="0"/>
      <w:marTop w:val="0"/>
      <w:marBottom w:val="0"/>
      <w:divBdr>
        <w:top w:val="none" w:sz="0" w:space="0" w:color="auto"/>
        <w:left w:val="none" w:sz="0" w:space="0" w:color="auto"/>
        <w:bottom w:val="none" w:sz="0" w:space="0" w:color="auto"/>
        <w:right w:val="none" w:sz="0" w:space="0" w:color="auto"/>
      </w:divBdr>
      <w:divsChild>
        <w:div w:id="271327701">
          <w:marLeft w:val="330"/>
          <w:marRight w:val="330"/>
          <w:marTop w:val="0"/>
          <w:marBottom w:val="330"/>
          <w:divBdr>
            <w:top w:val="none" w:sz="0" w:space="0" w:color="auto"/>
            <w:left w:val="none" w:sz="0" w:space="0" w:color="auto"/>
            <w:bottom w:val="none" w:sz="0" w:space="0" w:color="auto"/>
            <w:right w:val="none" w:sz="0" w:space="0" w:color="auto"/>
          </w:divBdr>
          <w:divsChild>
            <w:div w:id="777800293">
              <w:marLeft w:val="0"/>
              <w:marRight w:val="0"/>
              <w:marTop w:val="0"/>
              <w:marBottom w:val="0"/>
              <w:divBdr>
                <w:top w:val="none" w:sz="0" w:space="0" w:color="auto"/>
                <w:left w:val="none" w:sz="0" w:space="0" w:color="auto"/>
                <w:bottom w:val="none" w:sz="0" w:space="0" w:color="auto"/>
                <w:right w:val="none" w:sz="0" w:space="0" w:color="auto"/>
              </w:divBdr>
            </w:div>
          </w:divsChild>
        </w:div>
        <w:div w:id="810753939">
          <w:marLeft w:val="330"/>
          <w:marRight w:val="330"/>
          <w:marTop w:val="30"/>
          <w:marBottom w:val="180"/>
          <w:divBdr>
            <w:top w:val="none" w:sz="0" w:space="0" w:color="auto"/>
            <w:left w:val="none" w:sz="0" w:space="0" w:color="auto"/>
            <w:bottom w:val="none" w:sz="0" w:space="0" w:color="auto"/>
            <w:right w:val="none" w:sz="0" w:space="0" w:color="auto"/>
          </w:divBdr>
        </w:div>
        <w:div w:id="1290748006">
          <w:marLeft w:val="330"/>
          <w:marRight w:val="330"/>
          <w:marTop w:val="0"/>
          <w:marBottom w:val="330"/>
          <w:divBdr>
            <w:top w:val="none" w:sz="0" w:space="0" w:color="auto"/>
            <w:left w:val="none" w:sz="0" w:space="0" w:color="auto"/>
            <w:bottom w:val="none" w:sz="0" w:space="0" w:color="auto"/>
            <w:right w:val="none" w:sz="0" w:space="0" w:color="auto"/>
          </w:divBdr>
        </w:div>
      </w:divsChild>
    </w:div>
    <w:div w:id="2051569453">
      <w:bodyDiv w:val="1"/>
      <w:marLeft w:val="0"/>
      <w:marRight w:val="0"/>
      <w:marTop w:val="0"/>
      <w:marBottom w:val="0"/>
      <w:divBdr>
        <w:top w:val="none" w:sz="0" w:space="0" w:color="auto"/>
        <w:left w:val="none" w:sz="0" w:space="0" w:color="auto"/>
        <w:bottom w:val="none" w:sz="0" w:space="0" w:color="auto"/>
        <w:right w:val="none" w:sz="0" w:space="0" w:color="auto"/>
      </w:divBdr>
    </w:div>
    <w:div w:id="2114007490">
      <w:bodyDiv w:val="1"/>
      <w:marLeft w:val="0"/>
      <w:marRight w:val="0"/>
      <w:marTop w:val="0"/>
      <w:marBottom w:val="0"/>
      <w:divBdr>
        <w:top w:val="none" w:sz="0" w:space="0" w:color="auto"/>
        <w:left w:val="none" w:sz="0" w:space="0" w:color="auto"/>
        <w:bottom w:val="none" w:sz="0" w:space="0" w:color="auto"/>
        <w:right w:val="none" w:sz="0" w:space="0" w:color="auto"/>
      </w:divBdr>
      <w:divsChild>
        <w:div w:id="459617867">
          <w:marLeft w:val="0"/>
          <w:marRight w:val="0"/>
          <w:marTop w:val="120"/>
          <w:marBottom w:val="360"/>
          <w:divBdr>
            <w:top w:val="none" w:sz="0" w:space="0" w:color="auto"/>
            <w:left w:val="none" w:sz="0" w:space="0" w:color="auto"/>
            <w:bottom w:val="none" w:sz="0" w:space="0" w:color="auto"/>
            <w:right w:val="none" w:sz="0" w:space="0" w:color="auto"/>
          </w:divBdr>
          <w:divsChild>
            <w:div w:id="519860322">
              <w:marLeft w:val="0"/>
              <w:marRight w:val="0"/>
              <w:marTop w:val="0"/>
              <w:marBottom w:val="0"/>
              <w:divBdr>
                <w:top w:val="none" w:sz="0" w:space="0" w:color="auto"/>
                <w:left w:val="none" w:sz="0" w:space="0" w:color="auto"/>
                <w:bottom w:val="none" w:sz="0" w:space="0" w:color="auto"/>
                <w:right w:val="none" w:sz="0" w:space="0" w:color="auto"/>
              </w:divBdr>
            </w:div>
            <w:div w:id="1709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ids.org/sites/default/files/media_asset/90-90-90_en_0.pdf" TargetMode="External"/><Relationship Id="rId13" Type="http://schemas.openxmlformats.org/officeDocument/2006/relationships/hyperlink" Target="http://www.epicentre.msf.org/en/mbongolwane-and-eshowe-hiv-impact-population-survey-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a.icap.columbi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sprogram.com/publications/publication-FR293-DHS-Final-Report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16/j.jval.2016.04.015" TargetMode="External"/><Relationship Id="rId4" Type="http://schemas.openxmlformats.org/officeDocument/2006/relationships/settings" Target="settings.xml"/><Relationship Id="rId9" Type="http://schemas.openxmlformats.org/officeDocument/2006/relationships/hyperlink" Target="http://www.unaids.org/en/resources/documents/2014/JC2686_WAD2014report" TargetMode="External"/><Relationship Id="rId14" Type="http://schemas.openxmlformats.org/officeDocument/2006/relationships/hyperlink" Target="http://dx.doi.org/10.7448/IAS.19.1.20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F7C7-FEB8-4D1A-9D52-F4705B74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Phillips</cp:lastModifiedBy>
  <cp:revision>2</cp:revision>
  <dcterms:created xsi:type="dcterms:W3CDTF">2019-05-17T12:38:00Z</dcterms:created>
  <dcterms:modified xsi:type="dcterms:W3CDTF">2019-05-17T12:38:00Z</dcterms:modified>
</cp:coreProperties>
</file>