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5982" w14:textId="47938FA4" w:rsidR="001E18F3" w:rsidRDefault="002B5D0B" w:rsidP="00BB67BF">
      <w:pPr>
        <w:tabs>
          <w:tab w:val="left" w:pos="5954"/>
          <w:tab w:val="left" w:pos="9923"/>
        </w:tabs>
        <w:spacing w:line="480" w:lineRule="auto"/>
        <w:ind w:left="227" w:right="227"/>
        <w:jc w:val="center"/>
        <w:rPr>
          <w:rFonts w:ascii="Times New Roman" w:hAnsi="Times New Roman" w:cs="Times New Roman"/>
          <w:b/>
          <w:sz w:val="28"/>
          <w:szCs w:val="28"/>
        </w:rPr>
      </w:pPr>
      <w:bookmarkStart w:id="0" w:name="_GoBack"/>
      <w:bookmarkEnd w:id="0"/>
      <w:r w:rsidRPr="008C59EA">
        <w:rPr>
          <w:rFonts w:ascii="Times New Roman" w:hAnsi="Times New Roman" w:cs="Times New Roman"/>
          <w:b/>
          <w:sz w:val="28"/>
          <w:szCs w:val="28"/>
        </w:rPr>
        <w:t>Mucosal l</w:t>
      </w:r>
      <w:r w:rsidR="00DB6EBD" w:rsidRPr="008C59EA">
        <w:rPr>
          <w:rFonts w:ascii="Times New Roman" w:hAnsi="Times New Roman" w:cs="Times New Roman"/>
          <w:b/>
          <w:sz w:val="28"/>
          <w:szCs w:val="28"/>
        </w:rPr>
        <w:t>actoferrin response to genital tract infection</w:t>
      </w:r>
      <w:r w:rsidRPr="008C59EA">
        <w:rPr>
          <w:rFonts w:ascii="Times New Roman" w:hAnsi="Times New Roman" w:cs="Times New Roman"/>
          <w:b/>
          <w:sz w:val="28"/>
          <w:szCs w:val="28"/>
        </w:rPr>
        <w:t>s</w:t>
      </w:r>
      <w:r w:rsidR="00DB6EBD" w:rsidRPr="008C59EA">
        <w:rPr>
          <w:rFonts w:ascii="Times New Roman" w:hAnsi="Times New Roman" w:cs="Times New Roman"/>
          <w:b/>
          <w:sz w:val="28"/>
          <w:szCs w:val="28"/>
        </w:rPr>
        <w:t xml:space="preserve"> </w:t>
      </w:r>
      <w:r w:rsidR="00B626E3" w:rsidRPr="008C59EA">
        <w:rPr>
          <w:rFonts w:ascii="Times New Roman" w:hAnsi="Times New Roman" w:cs="Times New Roman"/>
          <w:b/>
          <w:sz w:val="28"/>
          <w:szCs w:val="28"/>
        </w:rPr>
        <w:t>is</w:t>
      </w:r>
      <w:r w:rsidRPr="008C59EA">
        <w:rPr>
          <w:rFonts w:ascii="Times New Roman" w:hAnsi="Times New Roman" w:cs="Times New Roman"/>
          <w:b/>
          <w:sz w:val="28"/>
          <w:szCs w:val="28"/>
        </w:rPr>
        <w:t xml:space="preserve"> associated with iron </w:t>
      </w:r>
      <w:r w:rsidR="00C61073" w:rsidRPr="008C59EA">
        <w:rPr>
          <w:rFonts w:ascii="Times New Roman" w:hAnsi="Times New Roman" w:cs="Times New Roman"/>
          <w:b/>
          <w:sz w:val="28"/>
          <w:szCs w:val="28"/>
        </w:rPr>
        <w:t xml:space="preserve">and nutritional </w:t>
      </w:r>
      <w:r w:rsidRPr="008C59EA">
        <w:rPr>
          <w:rFonts w:ascii="Times New Roman" w:hAnsi="Times New Roman" w:cs="Times New Roman"/>
          <w:b/>
          <w:sz w:val="28"/>
          <w:szCs w:val="28"/>
        </w:rPr>
        <w:t>biomarkers</w:t>
      </w:r>
      <w:r w:rsidR="005E128D" w:rsidRPr="008C59EA">
        <w:rPr>
          <w:rFonts w:ascii="Times New Roman" w:hAnsi="Times New Roman" w:cs="Times New Roman"/>
          <w:b/>
          <w:sz w:val="28"/>
          <w:szCs w:val="28"/>
        </w:rPr>
        <w:t xml:space="preserve"> in</w:t>
      </w:r>
      <w:r w:rsidR="00015B86" w:rsidRPr="008C59EA">
        <w:rPr>
          <w:rFonts w:ascii="Times New Roman" w:hAnsi="Times New Roman" w:cs="Times New Roman"/>
          <w:b/>
          <w:sz w:val="28"/>
          <w:szCs w:val="28"/>
        </w:rPr>
        <w:t xml:space="preserve"> </w:t>
      </w:r>
      <w:r w:rsidRPr="008C59EA">
        <w:rPr>
          <w:rFonts w:ascii="Times New Roman" w:hAnsi="Times New Roman" w:cs="Times New Roman"/>
          <w:b/>
          <w:sz w:val="28"/>
          <w:szCs w:val="28"/>
        </w:rPr>
        <w:t>young Burkinabé women</w:t>
      </w:r>
    </w:p>
    <w:p w14:paraId="189C02FA" w14:textId="4FCA9850" w:rsidR="00D62298" w:rsidRPr="009E3792" w:rsidRDefault="00D62298" w:rsidP="008C59EA">
      <w:pPr>
        <w:pStyle w:val="Default"/>
        <w:tabs>
          <w:tab w:val="left" w:pos="9923"/>
        </w:tabs>
        <w:spacing w:line="480" w:lineRule="auto"/>
        <w:ind w:left="227" w:right="227"/>
        <w:rPr>
          <w:rFonts w:ascii="Times New Roman" w:hAnsi="Times New Roman" w:cs="Times New Roman"/>
        </w:rPr>
      </w:pPr>
      <w:r w:rsidRPr="00817257">
        <w:rPr>
          <w:rFonts w:ascii="Times New Roman" w:hAnsi="Times New Roman" w:cs="Times New Roman"/>
        </w:rPr>
        <w:t>S</w:t>
      </w:r>
      <w:r w:rsidR="00E25CFE">
        <w:rPr>
          <w:rFonts w:ascii="Times New Roman" w:hAnsi="Times New Roman" w:cs="Times New Roman"/>
        </w:rPr>
        <w:t>A</w:t>
      </w:r>
      <w:r w:rsidR="00F50E13">
        <w:rPr>
          <w:rFonts w:ascii="Times New Roman" w:hAnsi="Times New Roman" w:cs="Times New Roman"/>
        </w:rPr>
        <w:t xml:space="preserve"> </w:t>
      </w:r>
      <w:r w:rsidRPr="00817257">
        <w:rPr>
          <w:rFonts w:ascii="Times New Roman" w:hAnsi="Times New Roman" w:cs="Times New Roman"/>
        </w:rPr>
        <w:t>Roberts</w:t>
      </w:r>
      <w:r w:rsidR="00925DF6" w:rsidRPr="00817257">
        <w:rPr>
          <w:rFonts w:ascii="Times New Roman" w:hAnsi="Times New Roman" w:cs="Times New Roman"/>
          <w:vertAlign w:val="superscript"/>
        </w:rPr>
        <w:t>1</w:t>
      </w:r>
      <w:r w:rsidRPr="00817257">
        <w:rPr>
          <w:rFonts w:ascii="Times New Roman" w:hAnsi="Times New Roman" w:cs="Times New Roman"/>
        </w:rPr>
        <w:t>, L Brabin</w:t>
      </w:r>
      <w:r w:rsidR="00925DF6" w:rsidRPr="00817257">
        <w:rPr>
          <w:rFonts w:ascii="Times New Roman" w:hAnsi="Times New Roman" w:cs="Times New Roman"/>
          <w:vertAlign w:val="superscript"/>
        </w:rPr>
        <w:t>2</w:t>
      </w:r>
      <w:r w:rsidRPr="00817257">
        <w:rPr>
          <w:rFonts w:ascii="Times New Roman" w:hAnsi="Times New Roman" w:cs="Times New Roman"/>
        </w:rPr>
        <w:t xml:space="preserve">, </w:t>
      </w:r>
      <w:r w:rsidR="00E25CFE">
        <w:rPr>
          <w:rFonts w:ascii="Times New Roman" w:hAnsi="Times New Roman" w:cs="Times New Roman"/>
        </w:rPr>
        <w:t>S</w:t>
      </w:r>
      <w:r w:rsidR="00B24F3C" w:rsidRPr="00B24F3C">
        <w:rPr>
          <w:rFonts w:ascii="Times New Roman" w:hAnsi="Times New Roman" w:cs="Times New Roman"/>
        </w:rPr>
        <w:t xml:space="preserve"> Diallo</w:t>
      </w:r>
      <w:r w:rsidR="00B24F3C">
        <w:rPr>
          <w:rFonts w:ascii="Times New Roman" w:hAnsi="Times New Roman" w:cs="Times New Roman"/>
          <w:vertAlign w:val="superscript"/>
        </w:rPr>
        <w:t>3</w:t>
      </w:r>
      <w:r w:rsidRPr="00817257">
        <w:rPr>
          <w:rFonts w:ascii="Times New Roman" w:hAnsi="Times New Roman" w:cs="Times New Roman"/>
        </w:rPr>
        <w:t>,</w:t>
      </w:r>
      <w:r w:rsidR="00B24F3C" w:rsidRPr="00B24F3C">
        <w:rPr>
          <w:rFonts w:ascii="Times New Roman" w:hAnsi="Times New Roman" w:cs="Times New Roman"/>
        </w:rPr>
        <w:t xml:space="preserve"> </w:t>
      </w:r>
      <w:r w:rsidR="00B24F3C" w:rsidRPr="00817257">
        <w:rPr>
          <w:rFonts w:ascii="Times New Roman" w:hAnsi="Times New Roman" w:cs="Times New Roman"/>
        </w:rPr>
        <w:t>S Gies</w:t>
      </w:r>
      <w:r w:rsidR="00925DF6" w:rsidRPr="00817257">
        <w:rPr>
          <w:rFonts w:ascii="Times New Roman" w:hAnsi="Times New Roman" w:cs="Times New Roman"/>
          <w:vertAlign w:val="superscript"/>
        </w:rPr>
        <w:t>4</w:t>
      </w:r>
      <w:r w:rsidRPr="00817257">
        <w:rPr>
          <w:rFonts w:ascii="Times New Roman" w:hAnsi="Times New Roman" w:cs="Times New Roman"/>
        </w:rPr>
        <w:t>, A Nelson</w:t>
      </w:r>
      <w:r w:rsidR="00925DF6" w:rsidRPr="00817257">
        <w:rPr>
          <w:rFonts w:ascii="Times New Roman" w:hAnsi="Times New Roman" w:cs="Times New Roman"/>
          <w:vertAlign w:val="superscript"/>
        </w:rPr>
        <w:t>5</w:t>
      </w:r>
      <w:r w:rsidRPr="00817257">
        <w:rPr>
          <w:rFonts w:ascii="Times New Roman" w:hAnsi="Times New Roman" w:cs="Times New Roman"/>
        </w:rPr>
        <w:t xml:space="preserve">, </w:t>
      </w:r>
      <w:r w:rsidR="00797786" w:rsidRPr="00817257">
        <w:rPr>
          <w:rFonts w:ascii="Times New Roman" w:hAnsi="Times New Roman" w:cs="Times New Roman"/>
        </w:rPr>
        <w:t xml:space="preserve">C </w:t>
      </w:r>
      <w:r w:rsidR="00435688" w:rsidRPr="00817257">
        <w:rPr>
          <w:rFonts w:ascii="Times New Roman" w:hAnsi="Times New Roman" w:cs="Times New Roman"/>
        </w:rPr>
        <w:t xml:space="preserve">Stewart </w:t>
      </w:r>
      <w:r w:rsidR="00C81AED">
        <w:rPr>
          <w:rFonts w:ascii="Times New Roman" w:hAnsi="Times New Roman" w:cs="Times New Roman"/>
          <w:vertAlign w:val="superscript"/>
        </w:rPr>
        <w:t>6</w:t>
      </w:r>
      <w:r w:rsidR="00435688" w:rsidRPr="00817257">
        <w:rPr>
          <w:rFonts w:ascii="Times New Roman" w:hAnsi="Times New Roman" w:cs="Times New Roman"/>
        </w:rPr>
        <w:t xml:space="preserve">, </w:t>
      </w:r>
      <w:r w:rsidR="00925DF6" w:rsidRPr="00817257">
        <w:rPr>
          <w:rFonts w:ascii="Times New Roman" w:hAnsi="Times New Roman" w:cs="Times New Roman"/>
          <w:bCs/>
        </w:rPr>
        <w:t>D</w:t>
      </w:r>
      <w:r w:rsidR="00E25CFE">
        <w:rPr>
          <w:rFonts w:ascii="Times New Roman" w:hAnsi="Times New Roman" w:cs="Times New Roman"/>
          <w:bCs/>
        </w:rPr>
        <w:t>W</w:t>
      </w:r>
      <w:r w:rsidR="00925DF6" w:rsidRPr="00817257">
        <w:rPr>
          <w:rFonts w:ascii="Times New Roman" w:hAnsi="Times New Roman" w:cs="Times New Roman"/>
          <w:bCs/>
        </w:rPr>
        <w:t xml:space="preserve"> Swinkels</w:t>
      </w:r>
      <w:r w:rsidR="00925DF6" w:rsidRPr="00817257">
        <w:rPr>
          <w:rFonts w:ascii="Times New Roman" w:hAnsi="Times New Roman" w:cs="Times New Roman"/>
          <w:bCs/>
          <w:vertAlign w:val="superscript"/>
        </w:rPr>
        <w:t>7</w:t>
      </w:r>
      <w:r w:rsidR="00C81AED">
        <w:rPr>
          <w:rFonts w:ascii="Times New Roman" w:hAnsi="Times New Roman" w:cs="Times New Roman"/>
          <w:bCs/>
          <w:vertAlign w:val="superscript"/>
        </w:rPr>
        <w:t>,8</w:t>
      </w:r>
      <w:r w:rsidR="00925DF6" w:rsidRPr="00817257">
        <w:rPr>
          <w:rFonts w:ascii="Times New Roman" w:hAnsi="Times New Roman" w:cs="Times New Roman"/>
          <w:bCs/>
        </w:rPr>
        <w:t>, A</w:t>
      </w:r>
      <w:r w:rsidR="00E25CFE">
        <w:rPr>
          <w:rFonts w:ascii="Times New Roman" w:hAnsi="Times New Roman" w:cs="Times New Roman"/>
          <w:bCs/>
        </w:rPr>
        <w:t>J</w:t>
      </w:r>
      <w:r w:rsidR="00925DF6" w:rsidRPr="00817257">
        <w:rPr>
          <w:rFonts w:ascii="Times New Roman" w:hAnsi="Times New Roman" w:cs="Times New Roman"/>
          <w:bCs/>
        </w:rPr>
        <w:t xml:space="preserve"> Geurts-Moespot</w:t>
      </w:r>
      <w:r w:rsidR="00C81AED">
        <w:rPr>
          <w:rFonts w:ascii="Times New Roman" w:hAnsi="Times New Roman" w:cs="Times New Roman"/>
          <w:bCs/>
          <w:vertAlign w:val="superscript"/>
        </w:rPr>
        <w:t>7</w:t>
      </w:r>
      <w:r w:rsidR="00925DF6" w:rsidRPr="00817257">
        <w:rPr>
          <w:rFonts w:ascii="Times New Roman" w:hAnsi="Times New Roman" w:cs="Times New Roman"/>
          <w:bCs/>
        </w:rPr>
        <w:t xml:space="preserve">, </w:t>
      </w:r>
      <w:r w:rsidRPr="00817257">
        <w:rPr>
          <w:rFonts w:ascii="Times New Roman" w:hAnsi="Times New Roman" w:cs="Times New Roman"/>
        </w:rPr>
        <w:t>A Kazienga</w:t>
      </w:r>
      <w:r w:rsidR="00E35D99">
        <w:rPr>
          <w:rFonts w:ascii="Times New Roman" w:hAnsi="Times New Roman" w:cs="Times New Roman"/>
          <w:vertAlign w:val="superscript"/>
        </w:rPr>
        <w:t>3</w:t>
      </w:r>
      <w:r w:rsidRPr="00817257">
        <w:rPr>
          <w:rFonts w:ascii="Times New Roman" w:hAnsi="Times New Roman" w:cs="Times New Roman"/>
        </w:rPr>
        <w:t>,</w:t>
      </w:r>
      <w:r w:rsidR="00EF58D8" w:rsidRPr="00817257">
        <w:rPr>
          <w:rFonts w:ascii="Times New Roman" w:hAnsi="Times New Roman" w:cs="Times New Roman"/>
        </w:rPr>
        <w:t xml:space="preserve"> </w:t>
      </w:r>
      <w:r w:rsidRPr="00817257">
        <w:rPr>
          <w:rFonts w:ascii="Times New Roman" w:hAnsi="Times New Roman" w:cs="Times New Roman"/>
        </w:rPr>
        <w:t>S Ouedraogo</w:t>
      </w:r>
      <w:r w:rsidR="00E35D99">
        <w:rPr>
          <w:rFonts w:ascii="Times New Roman" w:hAnsi="Times New Roman" w:cs="Times New Roman"/>
          <w:vertAlign w:val="superscript"/>
        </w:rPr>
        <w:t>3</w:t>
      </w:r>
      <w:r w:rsidRPr="00817257">
        <w:rPr>
          <w:rFonts w:ascii="Times New Roman" w:hAnsi="Times New Roman" w:cs="Times New Roman"/>
        </w:rPr>
        <w:t>,</w:t>
      </w:r>
      <w:r w:rsidR="00E25CFE">
        <w:rPr>
          <w:rFonts w:ascii="Times New Roman" w:hAnsi="Times New Roman" w:cs="Times New Roman"/>
        </w:rPr>
        <w:t xml:space="preserve"> U </w:t>
      </w:r>
      <w:r w:rsidR="00C81AED">
        <w:rPr>
          <w:rFonts w:ascii="Times New Roman" w:hAnsi="Times New Roman" w:cs="Times New Roman"/>
        </w:rPr>
        <w:t>D’Alessandro</w:t>
      </w:r>
      <w:r w:rsidR="003142B6">
        <w:rPr>
          <w:rFonts w:ascii="Times New Roman" w:hAnsi="Times New Roman" w:cs="Times New Roman"/>
          <w:vertAlign w:val="superscript"/>
        </w:rPr>
        <w:t>9</w:t>
      </w:r>
      <w:r w:rsidRPr="00817257">
        <w:rPr>
          <w:rFonts w:ascii="Times New Roman" w:hAnsi="Times New Roman" w:cs="Times New Roman"/>
        </w:rPr>
        <w:t>, H Tinto</w:t>
      </w:r>
      <w:r w:rsidR="00E35D99">
        <w:rPr>
          <w:rFonts w:ascii="Times New Roman" w:hAnsi="Times New Roman" w:cs="Times New Roman"/>
          <w:vertAlign w:val="superscript"/>
        </w:rPr>
        <w:t>3</w:t>
      </w:r>
      <w:r w:rsidRPr="00817257">
        <w:rPr>
          <w:rFonts w:ascii="Times New Roman" w:hAnsi="Times New Roman" w:cs="Times New Roman"/>
        </w:rPr>
        <w:t>, B</w:t>
      </w:r>
      <w:r w:rsidR="008C10E1">
        <w:rPr>
          <w:rFonts w:ascii="Times New Roman" w:hAnsi="Times New Roman" w:cs="Times New Roman"/>
        </w:rPr>
        <w:t>J</w:t>
      </w:r>
      <w:r w:rsidRPr="00817257">
        <w:rPr>
          <w:rFonts w:ascii="Times New Roman" w:hAnsi="Times New Roman" w:cs="Times New Roman"/>
        </w:rPr>
        <w:t xml:space="preserve"> Brabin</w:t>
      </w:r>
      <w:r w:rsidR="00F26102">
        <w:rPr>
          <w:rFonts w:ascii="Times New Roman" w:hAnsi="Times New Roman" w:cs="Times New Roman"/>
          <w:vertAlign w:val="superscript"/>
        </w:rPr>
        <w:t>1</w:t>
      </w:r>
      <w:r w:rsidR="003142B6">
        <w:rPr>
          <w:rFonts w:ascii="Times New Roman" w:hAnsi="Times New Roman" w:cs="Times New Roman"/>
          <w:vertAlign w:val="superscript"/>
        </w:rPr>
        <w:t>0</w:t>
      </w:r>
      <w:r w:rsidR="00330AF5">
        <w:rPr>
          <w:rFonts w:ascii="Times New Roman" w:hAnsi="Times New Roman" w:cs="Times New Roman"/>
          <w:vertAlign w:val="superscript"/>
        </w:rPr>
        <w:t>*</w:t>
      </w:r>
      <w:r w:rsidR="009E3792">
        <w:rPr>
          <w:rFonts w:ascii="Times New Roman" w:hAnsi="Times New Roman" w:cs="Times New Roman"/>
        </w:rPr>
        <w:t>.</w:t>
      </w:r>
    </w:p>
    <w:p w14:paraId="44D8C9D1" w14:textId="77777777" w:rsidR="00E25CFE" w:rsidRDefault="00E25CFE" w:rsidP="00BB67BF">
      <w:pPr>
        <w:pStyle w:val="Default"/>
        <w:tabs>
          <w:tab w:val="left" w:pos="9923"/>
        </w:tabs>
        <w:spacing w:line="480" w:lineRule="auto"/>
        <w:ind w:right="227"/>
        <w:rPr>
          <w:rFonts w:ascii="Times New Roman" w:hAnsi="Times New Roman" w:cs="Times New Roman"/>
          <w:vertAlign w:val="superscript"/>
        </w:rPr>
      </w:pPr>
    </w:p>
    <w:p w14:paraId="6D674B5B" w14:textId="7307EE02" w:rsidR="00324E48" w:rsidRDefault="00324E48" w:rsidP="008C59EA">
      <w:pPr>
        <w:pStyle w:val="Default"/>
        <w:tabs>
          <w:tab w:val="left" w:pos="9923"/>
        </w:tabs>
        <w:spacing w:line="480" w:lineRule="auto"/>
        <w:ind w:left="227" w:right="227"/>
        <w:rPr>
          <w:rFonts w:ascii="Times New Roman" w:hAnsi="Times New Roman" w:cs="Times New Roman"/>
          <w:color w:val="auto"/>
        </w:rPr>
      </w:pPr>
      <w:r w:rsidRPr="00B24F3C">
        <w:rPr>
          <w:rFonts w:ascii="Times New Roman" w:hAnsi="Times New Roman" w:cs="Times New Roman"/>
          <w:vertAlign w:val="superscript"/>
        </w:rPr>
        <w:t>1</w:t>
      </w:r>
      <w:r w:rsidRPr="00817257">
        <w:rPr>
          <w:rFonts w:ascii="Times New Roman" w:hAnsi="Times New Roman" w:cs="Times New Roman"/>
          <w:color w:val="auto"/>
        </w:rPr>
        <w:t xml:space="preserve"> Centre for Biostatistics</w:t>
      </w:r>
      <w:r w:rsidR="00281F19">
        <w:rPr>
          <w:rFonts w:ascii="Times New Roman" w:hAnsi="Times New Roman" w:cs="Times New Roman"/>
          <w:color w:val="auto"/>
        </w:rPr>
        <w:t xml:space="preserve">, </w:t>
      </w:r>
      <w:r w:rsidR="00281F19" w:rsidRPr="00281F19">
        <w:rPr>
          <w:rFonts w:ascii="Times New Roman" w:hAnsi="Times New Roman" w:cs="Times New Roman"/>
          <w:color w:val="auto"/>
        </w:rPr>
        <w:t>Division of Population Health, Health Ser</w:t>
      </w:r>
      <w:r w:rsidR="00281F19">
        <w:rPr>
          <w:rFonts w:ascii="Times New Roman" w:hAnsi="Times New Roman" w:cs="Times New Roman"/>
          <w:color w:val="auto"/>
        </w:rPr>
        <w:t>vices Research and Primary Care, F</w:t>
      </w:r>
      <w:r w:rsidRPr="00817257">
        <w:rPr>
          <w:rFonts w:ascii="Times New Roman" w:hAnsi="Times New Roman" w:cs="Times New Roman"/>
          <w:color w:val="auto"/>
        </w:rPr>
        <w:t xml:space="preserve">aculty of Biology, Medicine and Health, </w:t>
      </w:r>
      <w:r w:rsidR="00F1501D" w:rsidRPr="00F1501D">
        <w:rPr>
          <w:rFonts w:ascii="Times New Roman" w:hAnsi="Times New Roman" w:cs="Times New Roman"/>
          <w:color w:val="auto"/>
        </w:rPr>
        <w:t xml:space="preserve">School of Medical Sciences, </w:t>
      </w:r>
      <w:r w:rsidRPr="00817257">
        <w:rPr>
          <w:rFonts w:ascii="Times New Roman" w:hAnsi="Times New Roman" w:cs="Times New Roman"/>
          <w:color w:val="auto"/>
        </w:rPr>
        <w:t xml:space="preserve">University of Manchester, </w:t>
      </w:r>
      <w:r w:rsidR="00F1501D" w:rsidRPr="00F1501D">
        <w:rPr>
          <w:rFonts w:ascii="Times New Roman" w:hAnsi="Times New Roman" w:cs="Times New Roman"/>
          <w:color w:val="auto"/>
        </w:rPr>
        <w:t>Manchester Academic Health Science Centre</w:t>
      </w:r>
      <w:r w:rsidR="00F1501D">
        <w:rPr>
          <w:rFonts w:ascii="Times New Roman" w:hAnsi="Times New Roman" w:cs="Times New Roman"/>
          <w:color w:val="auto"/>
        </w:rPr>
        <w:t>,</w:t>
      </w:r>
      <w:r w:rsidR="00F1501D" w:rsidRPr="00F1501D">
        <w:rPr>
          <w:rFonts w:ascii="Times New Roman" w:hAnsi="Times New Roman" w:cs="Times New Roman"/>
          <w:color w:val="auto"/>
        </w:rPr>
        <w:t xml:space="preserve"> </w:t>
      </w:r>
      <w:r w:rsidRPr="00817257">
        <w:rPr>
          <w:rFonts w:ascii="Times New Roman" w:hAnsi="Times New Roman" w:cs="Times New Roman"/>
          <w:color w:val="auto"/>
        </w:rPr>
        <w:t xml:space="preserve">Manchester, UK.  </w:t>
      </w:r>
    </w:p>
    <w:p w14:paraId="562D3B47" w14:textId="1242B9A4" w:rsidR="00A5442B" w:rsidRDefault="00925DF6" w:rsidP="008C59EA">
      <w:pPr>
        <w:tabs>
          <w:tab w:val="left" w:pos="9923"/>
        </w:tabs>
        <w:spacing w:after="0" w:line="480" w:lineRule="auto"/>
        <w:ind w:left="227" w:right="227"/>
        <w:rPr>
          <w:rFonts w:ascii="Times New Roman" w:hAnsi="Times New Roman" w:cs="Times New Roman"/>
          <w:sz w:val="24"/>
          <w:szCs w:val="24"/>
        </w:rPr>
      </w:pPr>
      <w:r w:rsidRPr="00B24F3C">
        <w:rPr>
          <w:rFonts w:ascii="Times New Roman" w:hAnsi="Times New Roman" w:cs="Times New Roman"/>
          <w:sz w:val="24"/>
          <w:szCs w:val="24"/>
          <w:vertAlign w:val="superscript"/>
        </w:rPr>
        <w:t>2</w:t>
      </w:r>
      <w:r w:rsidR="00797786" w:rsidRPr="00817257">
        <w:rPr>
          <w:rFonts w:ascii="Times New Roman" w:hAnsi="Times New Roman" w:cs="Times New Roman"/>
          <w:sz w:val="24"/>
          <w:szCs w:val="24"/>
        </w:rPr>
        <w:t xml:space="preserve"> </w:t>
      </w:r>
      <w:r w:rsidR="002B5D0B">
        <w:rPr>
          <w:rFonts w:ascii="Times New Roman" w:hAnsi="Times New Roman" w:cs="Times New Roman"/>
          <w:sz w:val="24"/>
          <w:szCs w:val="24"/>
        </w:rPr>
        <w:t>Division</w:t>
      </w:r>
      <w:r w:rsidR="00A5442B" w:rsidRPr="00817257">
        <w:rPr>
          <w:rFonts w:ascii="Times New Roman" w:hAnsi="Times New Roman" w:cs="Times New Roman"/>
          <w:sz w:val="24"/>
          <w:szCs w:val="24"/>
        </w:rPr>
        <w:t xml:space="preserve"> of Cancer Sciences</w:t>
      </w:r>
      <w:r w:rsidR="002B5D0B">
        <w:rPr>
          <w:rFonts w:ascii="Times New Roman" w:hAnsi="Times New Roman" w:cs="Times New Roman"/>
          <w:sz w:val="24"/>
          <w:szCs w:val="24"/>
        </w:rPr>
        <w:t>,</w:t>
      </w:r>
      <w:r w:rsidR="00324E48" w:rsidRPr="00817257">
        <w:rPr>
          <w:rFonts w:ascii="Times New Roman" w:hAnsi="Times New Roman" w:cs="Times New Roman"/>
          <w:sz w:val="24"/>
          <w:szCs w:val="24"/>
        </w:rPr>
        <w:t xml:space="preserve"> </w:t>
      </w:r>
      <w:r w:rsidR="00F1501D">
        <w:rPr>
          <w:rFonts w:ascii="Times New Roman" w:hAnsi="Times New Roman" w:cs="Times New Roman"/>
          <w:sz w:val="24"/>
          <w:szCs w:val="24"/>
        </w:rPr>
        <w:t xml:space="preserve">School of Medical Sciences, </w:t>
      </w:r>
      <w:r w:rsidR="00A5442B" w:rsidRPr="00817257">
        <w:rPr>
          <w:rFonts w:ascii="Times New Roman" w:hAnsi="Times New Roman" w:cs="Times New Roman"/>
          <w:sz w:val="24"/>
          <w:szCs w:val="24"/>
        </w:rPr>
        <w:t xml:space="preserve">Faculty of Biology, Medicine and Health, </w:t>
      </w:r>
      <w:r w:rsidR="00D42C4B">
        <w:rPr>
          <w:rFonts w:ascii="Times New Roman" w:hAnsi="Times New Roman" w:cs="Times New Roman"/>
          <w:sz w:val="24"/>
          <w:szCs w:val="24"/>
        </w:rPr>
        <w:t xml:space="preserve">University of Manchester, </w:t>
      </w:r>
      <w:r w:rsidR="00F1501D">
        <w:rPr>
          <w:rFonts w:ascii="Times New Roman" w:hAnsi="Times New Roman" w:cs="Times New Roman"/>
          <w:sz w:val="24"/>
          <w:szCs w:val="24"/>
        </w:rPr>
        <w:t xml:space="preserve">Manchester Academic Health Science Centre, </w:t>
      </w:r>
      <w:r w:rsidR="00797786" w:rsidRPr="00817257">
        <w:rPr>
          <w:rFonts w:ascii="Times New Roman" w:hAnsi="Times New Roman" w:cs="Times New Roman"/>
          <w:sz w:val="24"/>
          <w:szCs w:val="24"/>
        </w:rPr>
        <w:t>Manchester, UK.</w:t>
      </w:r>
      <w:r w:rsidR="00E371E4" w:rsidRPr="00817257">
        <w:rPr>
          <w:rFonts w:ascii="Times New Roman" w:hAnsi="Times New Roman" w:cs="Times New Roman"/>
          <w:sz w:val="24"/>
          <w:szCs w:val="24"/>
        </w:rPr>
        <w:t xml:space="preserve"> </w:t>
      </w:r>
    </w:p>
    <w:p w14:paraId="1703E1DD" w14:textId="3FA50D48" w:rsidR="00925DF6" w:rsidRPr="00F1501D" w:rsidRDefault="00925DF6" w:rsidP="008C59EA">
      <w:pPr>
        <w:tabs>
          <w:tab w:val="left" w:pos="9923"/>
        </w:tabs>
        <w:spacing w:after="0" w:line="480" w:lineRule="auto"/>
        <w:ind w:left="227" w:right="227"/>
        <w:rPr>
          <w:rFonts w:ascii="Times New Roman" w:hAnsi="Times New Roman" w:cs="Times New Roman"/>
          <w:sz w:val="24"/>
          <w:szCs w:val="24"/>
          <w:u w:val="single"/>
        </w:rPr>
      </w:pPr>
      <w:r w:rsidRPr="00F1501D">
        <w:rPr>
          <w:rFonts w:ascii="Times New Roman" w:hAnsi="Times New Roman" w:cs="Times New Roman"/>
          <w:sz w:val="24"/>
          <w:szCs w:val="24"/>
          <w:vertAlign w:val="superscript"/>
        </w:rPr>
        <w:t>3</w:t>
      </w:r>
      <w:r w:rsidR="00B24F3C" w:rsidRPr="00F1501D">
        <w:rPr>
          <w:rFonts w:ascii="Times New Roman" w:hAnsi="Times New Roman" w:cs="Times New Roman"/>
          <w:sz w:val="24"/>
          <w:szCs w:val="24"/>
        </w:rPr>
        <w:t xml:space="preserve"> </w:t>
      </w:r>
      <w:r w:rsidR="00E63B94" w:rsidRPr="00F1501D">
        <w:rPr>
          <w:rFonts w:ascii="Times New Roman" w:hAnsi="Times New Roman" w:cs="Times New Roman"/>
          <w:sz w:val="24"/>
          <w:szCs w:val="24"/>
        </w:rPr>
        <w:t>Clinical R</w:t>
      </w:r>
      <w:r w:rsidR="00797786" w:rsidRPr="00F1501D">
        <w:rPr>
          <w:rFonts w:ascii="Times New Roman" w:hAnsi="Times New Roman" w:cs="Times New Roman"/>
          <w:sz w:val="24"/>
          <w:szCs w:val="24"/>
        </w:rPr>
        <w:t xml:space="preserve">esearch Unit of Nanoro (URCN/IRSS), Nanoro, Burkina Faso.                                                                                             </w:t>
      </w:r>
      <w:r w:rsidR="00E371E4" w:rsidRPr="00F1501D">
        <w:rPr>
          <w:rFonts w:ascii="Times New Roman" w:hAnsi="Times New Roman" w:cs="Times New Roman"/>
          <w:sz w:val="24"/>
          <w:szCs w:val="24"/>
        </w:rPr>
        <w:t xml:space="preserve">     </w:t>
      </w:r>
      <w:r w:rsidR="00797786" w:rsidRPr="00F1501D">
        <w:rPr>
          <w:rFonts w:ascii="Times New Roman" w:hAnsi="Times New Roman" w:cs="Times New Roman"/>
          <w:sz w:val="24"/>
          <w:szCs w:val="24"/>
        </w:rPr>
        <w:t xml:space="preserve"> </w:t>
      </w:r>
      <w:r w:rsidR="00E371E4" w:rsidRPr="00F1501D">
        <w:rPr>
          <w:rFonts w:ascii="Times New Roman" w:hAnsi="Times New Roman" w:cs="Times New Roman"/>
          <w:sz w:val="24"/>
          <w:szCs w:val="24"/>
        </w:rPr>
        <w:t xml:space="preserve">                 </w:t>
      </w:r>
    </w:p>
    <w:p w14:paraId="09F7EE61" w14:textId="5245E45B" w:rsidR="00B24F3C" w:rsidRDefault="00B24F3C" w:rsidP="008C59EA">
      <w:pPr>
        <w:tabs>
          <w:tab w:val="left" w:pos="9923"/>
        </w:tabs>
        <w:spacing w:after="0" w:line="480" w:lineRule="auto"/>
        <w:ind w:left="227" w:right="227"/>
        <w:rPr>
          <w:rFonts w:ascii="Times New Roman" w:hAnsi="Times New Roman" w:cs="Times New Roman"/>
          <w:sz w:val="24"/>
          <w:szCs w:val="24"/>
        </w:rPr>
      </w:pPr>
      <w:r w:rsidRPr="00B24F3C">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B24F3C">
        <w:rPr>
          <w:rFonts w:ascii="Times New Roman" w:hAnsi="Times New Roman" w:cs="Times New Roman"/>
          <w:sz w:val="24"/>
          <w:szCs w:val="24"/>
        </w:rPr>
        <w:t xml:space="preserve">Department of Biomedical Sciences, Prince Leopold Institute of Tropical Medicine, Antwerp, Belgium and Medical Mission Institute, Würzburg, Germany. </w:t>
      </w:r>
    </w:p>
    <w:p w14:paraId="1822A7D0" w14:textId="61D87E69" w:rsidR="00324E48" w:rsidRDefault="00925DF6" w:rsidP="008C59EA">
      <w:pPr>
        <w:pStyle w:val="Default"/>
        <w:tabs>
          <w:tab w:val="left" w:pos="9923"/>
        </w:tabs>
        <w:spacing w:line="480" w:lineRule="auto"/>
        <w:ind w:left="227" w:right="227"/>
        <w:rPr>
          <w:rFonts w:ascii="Times New Roman" w:hAnsi="Times New Roman" w:cs="Times New Roman"/>
        </w:rPr>
      </w:pPr>
      <w:r w:rsidRPr="00B24F3C">
        <w:rPr>
          <w:rFonts w:ascii="Times New Roman" w:hAnsi="Times New Roman" w:cs="Times New Roman"/>
          <w:vertAlign w:val="superscript"/>
        </w:rPr>
        <w:t>5</w:t>
      </w:r>
      <w:r w:rsidR="00B24F3C">
        <w:rPr>
          <w:rFonts w:ascii="Times New Roman" w:hAnsi="Times New Roman" w:cs="Times New Roman"/>
        </w:rPr>
        <w:t xml:space="preserve"> </w:t>
      </w:r>
      <w:r w:rsidR="00E371E4" w:rsidRPr="00817257">
        <w:rPr>
          <w:rFonts w:ascii="Times New Roman" w:hAnsi="Times New Roman" w:cs="Times New Roman"/>
        </w:rPr>
        <w:t>Faculty of Health and Life Sciences, Northumberland Building, University of Northumbria, Newcastle-upon-Tyne</w:t>
      </w:r>
      <w:r w:rsidR="00324E48" w:rsidRPr="00817257">
        <w:rPr>
          <w:rFonts w:ascii="Times New Roman" w:hAnsi="Times New Roman" w:cs="Times New Roman"/>
        </w:rPr>
        <w:t>.</w:t>
      </w:r>
    </w:p>
    <w:p w14:paraId="07961585" w14:textId="10AFE61B" w:rsidR="00C81AED" w:rsidRDefault="00C81AED" w:rsidP="008C59EA">
      <w:pPr>
        <w:tabs>
          <w:tab w:val="left" w:pos="9923"/>
        </w:tabs>
        <w:spacing w:line="480" w:lineRule="auto"/>
        <w:ind w:left="227" w:right="227"/>
        <w:rPr>
          <w:rFonts w:ascii="Times New Roman" w:hAnsi="Times New Roman" w:cs="Times New Roman"/>
          <w:sz w:val="24"/>
          <w:szCs w:val="24"/>
        </w:rPr>
      </w:pPr>
      <w:r w:rsidRPr="00B24F3C">
        <w:rPr>
          <w:rFonts w:ascii="Times New Roman" w:hAnsi="Times New Roman" w:cs="Times New Roman"/>
          <w:sz w:val="24"/>
          <w:szCs w:val="24"/>
          <w:vertAlign w:val="superscript"/>
        </w:rPr>
        <w:t>6</w:t>
      </w:r>
      <w:r w:rsidR="006851D8">
        <w:rPr>
          <w:rFonts w:ascii="Times New Roman" w:hAnsi="Times New Roman" w:cs="Times New Roman"/>
          <w:sz w:val="24"/>
          <w:szCs w:val="24"/>
        </w:rPr>
        <w:t xml:space="preserve"> </w:t>
      </w:r>
      <w:r>
        <w:rPr>
          <w:rFonts w:ascii="Times New Roman" w:hAnsi="Times New Roman" w:cs="Times New Roman"/>
          <w:sz w:val="24"/>
          <w:szCs w:val="24"/>
        </w:rPr>
        <w:t xml:space="preserve">Molecular Virology and Microbiology, Baylor College </w:t>
      </w:r>
      <w:r w:rsidR="008A1E5C">
        <w:rPr>
          <w:rFonts w:ascii="Times New Roman" w:hAnsi="Times New Roman" w:cs="Times New Roman"/>
          <w:sz w:val="24"/>
          <w:szCs w:val="24"/>
        </w:rPr>
        <w:t>of Medicine, Houston Texas, USA.</w:t>
      </w:r>
    </w:p>
    <w:p w14:paraId="79361EC6" w14:textId="71FFCBF6" w:rsidR="00281F19" w:rsidRPr="00281F19" w:rsidRDefault="00281F19" w:rsidP="008C59EA">
      <w:pPr>
        <w:tabs>
          <w:tab w:val="left" w:pos="9923"/>
        </w:tabs>
        <w:spacing w:line="480" w:lineRule="auto"/>
        <w:ind w:left="227" w:right="227"/>
        <w:rPr>
          <w:rFonts w:ascii="Times New Roman" w:hAnsi="Times New Roman" w:cs="Times New Roman"/>
          <w:sz w:val="24"/>
          <w:szCs w:val="24"/>
        </w:rPr>
      </w:pPr>
      <w:r w:rsidRPr="00281F19">
        <w:rPr>
          <w:rFonts w:ascii="Times New Roman" w:hAnsi="Times New Roman" w:cs="Times New Roman"/>
          <w:sz w:val="24"/>
          <w:szCs w:val="24"/>
          <w:vertAlign w:val="superscript"/>
        </w:rPr>
        <w:t>7</w:t>
      </w:r>
      <w:r w:rsidR="00535BDC">
        <w:rPr>
          <w:rFonts w:ascii="Times New Roman" w:hAnsi="Times New Roman" w:cs="Times New Roman"/>
          <w:sz w:val="24"/>
          <w:szCs w:val="24"/>
        </w:rPr>
        <w:t xml:space="preserve"> </w:t>
      </w:r>
      <w:r w:rsidRPr="00281F19">
        <w:rPr>
          <w:rFonts w:ascii="Times New Roman" w:hAnsi="Times New Roman" w:cs="Times New Roman"/>
          <w:sz w:val="24"/>
          <w:szCs w:val="24"/>
        </w:rPr>
        <w:t>Department of Laboratory Medicine (TLM 830), Radboud University Nijmegen Medical Center, Nijmegen, The Netherlands</w:t>
      </w:r>
      <w:r w:rsidR="008A1E5C">
        <w:rPr>
          <w:rFonts w:ascii="Times New Roman" w:hAnsi="Times New Roman" w:cs="Times New Roman"/>
          <w:sz w:val="24"/>
          <w:szCs w:val="24"/>
        </w:rPr>
        <w:t>.</w:t>
      </w:r>
    </w:p>
    <w:p w14:paraId="2C477F1A" w14:textId="0E9AC30C" w:rsidR="00281F19" w:rsidRPr="00281F19" w:rsidRDefault="00281F19" w:rsidP="008C59EA">
      <w:pPr>
        <w:tabs>
          <w:tab w:val="left" w:pos="9923"/>
        </w:tabs>
        <w:spacing w:line="480" w:lineRule="auto"/>
        <w:ind w:left="227" w:right="227"/>
        <w:rPr>
          <w:rFonts w:ascii="Times New Roman" w:hAnsi="Times New Roman" w:cs="Times New Roman"/>
          <w:sz w:val="24"/>
          <w:szCs w:val="24"/>
        </w:rPr>
      </w:pPr>
      <w:r w:rsidRPr="00281F19">
        <w:rPr>
          <w:rFonts w:ascii="Times New Roman" w:hAnsi="Times New Roman" w:cs="Times New Roman"/>
          <w:sz w:val="24"/>
          <w:szCs w:val="24"/>
          <w:vertAlign w:val="superscript"/>
        </w:rPr>
        <w:t>8</w:t>
      </w:r>
      <w:r w:rsidRPr="00281F19">
        <w:rPr>
          <w:rFonts w:ascii="Times New Roman" w:hAnsi="Times New Roman" w:cs="Times New Roman"/>
          <w:sz w:val="24"/>
          <w:szCs w:val="24"/>
        </w:rPr>
        <w:t xml:space="preserve"> Hepcidinanalysis.com</w:t>
      </w:r>
      <w:r w:rsidR="008A1E5C">
        <w:rPr>
          <w:rFonts w:ascii="Times New Roman" w:hAnsi="Times New Roman" w:cs="Times New Roman"/>
          <w:sz w:val="24"/>
          <w:szCs w:val="24"/>
        </w:rPr>
        <w:t xml:space="preserve">., </w:t>
      </w:r>
      <w:r w:rsidRPr="00281F19">
        <w:rPr>
          <w:rFonts w:ascii="Times New Roman" w:hAnsi="Times New Roman" w:cs="Times New Roman"/>
          <w:sz w:val="24"/>
          <w:szCs w:val="24"/>
        </w:rPr>
        <w:t>Nijmegen, The Netherlands.</w:t>
      </w:r>
    </w:p>
    <w:p w14:paraId="386D3336" w14:textId="1E95C7DD" w:rsidR="00281F19" w:rsidRPr="00281F19" w:rsidRDefault="00E25CFE" w:rsidP="008C59EA">
      <w:pPr>
        <w:spacing w:line="480" w:lineRule="auto"/>
        <w:ind w:left="227" w:right="227"/>
        <w:rPr>
          <w:rFonts w:ascii="Times New Roman" w:hAnsi="Times New Roman" w:cs="Times New Roman"/>
          <w:sz w:val="24"/>
          <w:szCs w:val="24"/>
        </w:rPr>
      </w:pPr>
      <w:r>
        <w:rPr>
          <w:rFonts w:ascii="Times New Roman" w:hAnsi="Times New Roman" w:cs="Times New Roman"/>
          <w:sz w:val="24"/>
          <w:szCs w:val="24"/>
          <w:vertAlign w:val="superscript"/>
        </w:rPr>
        <w:t>9</w:t>
      </w:r>
      <w:r w:rsidR="00281F19" w:rsidRPr="00281F19">
        <w:rPr>
          <w:rFonts w:ascii="Times New Roman" w:hAnsi="Times New Roman" w:cs="Times New Roman"/>
          <w:sz w:val="24"/>
          <w:szCs w:val="24"/>
        </w:rPr>
        <w:t xml:space="preserve"> Medical Research Council Unit (MRC), Fajara, The Gambia; London School of Hygiene and Tropical Medicine, UK.                                             </w:t>
      </w:r>
    </w:p>
    <w:p w14:paraId="1135AB9E" w14:textId="19F2BBA8" w:rsidR="00281F19" w:rsidRPr="00BB67BF" w:rsidRDefault="00281F19" w:rsidP="00BB67BF">
      <w:pPr>
        <w:spacing w:line="480" w:lineRule="auto"/>
        <w:ind w:left="227" w:right="227"/>
        <w:rPr>
          <w:rFonts w:ascii="Times New Roman" w:hAnsi="Times New Roman" w:cs="Times New Roman"/>
          <w:sz w:val="24"/>
          <w:szCs w:val="24"/>
        </w:rPr>
      </w:pPr>
      <w:r w:rsidRPr="00281F19">
        <w:rPr>
          <w:rFonts w:ascii="Times New Roman" w:hAnsi="Times New Roman" w:cs="Times New Roman"/>
          <w:sz w:val="24"/>
          <w:szCs w:val="24"/>
          <w:vertAlign w:val="superscript"/>
        </w:rPr>
        <w:t>1</w:t>
      </w:r>
      <w:r w:rsidR="00E25CFE">
        <w:rPr>
          <w:rFonts w:ascii="Times New Roman" w:hAnsi="Times New Roman" w:cs="Times New Roman"/>
          <w:sz w:val="24"/>
          <w:szCs w:val="24"/>
          <w:vertAlign w:val="superscript"/>
        </w:rPr>
        <w:t>0</w:t>
      </w:r>
      <w:r w:rsidRPr="00281F19">
        <w:rPr>
          <w:rFonts w:ascii="Times New Roman" w:hAnsi="Times New Roman" w:cs="Times New Roman"/>
          <w:sz w:val="24"/>
          <w:szCs w:val="24"/>
        </w:rPr>
        <w:t xml:space="preserve"> Liverpool School of Tropical Medicine</w:t>
      </w:r>
      <w:r w:rsidR="008C10E1">
        <w:rPr>
          <w:rFonts w:ascii="Times New Roman" w:hAnsi="Times New Roman" w:cs="Times New Roman"/>
          <w:sz w:val="24"/>
          <w:szCs w:val="24"/>
        </w:rPr>
        <w:t>,</w:t>
      </w:r>
      <w:r w:rsidRPr="00281F19">
        <w:rPr>
          <w:rFonts w:ascii="Times New Roman" w:hAnsi="Times New Roman" w:cs="Times New Roman"/>
          <w:sz w:val="24"/>
          <w:szCs w:val="24"/>
        </w:rPr>
        <w:t xml:space="preserve"> and Institute of Infection and Global Health, University of Liverpool, UK; Global Child Health Group, Academic Medical Centre, University of Amsterdam, the Netherlands. </w:t>
      </w:r>
    </w:p>
    <w:p w14:paraId="7667D51C" w14:textId="583E3ADB" w:rsidR="008A1E5C" w:rsidRDefault="00592E37" w:rsidP="008C59EA">
      <w:pPr>
        <w:spacing w:line="480" w:lineRule="auto"/>
        <w:ind w:left="227" w:right="227"/>
        <w:rPr>
          <w:rFonts w:ascii="Times New Roman" w:hAnsi="Times New Roman" w:cs="Times New Roman"/>
          <w:sz w:val="24"/>
          <w:szCs w:val="24"/>
        </w:rPr>
      </w:pPr>
      <w:r>
        <w:rPr>
          <w:rFonts w:ascii="Times New Roman" w:hAnsi="Times New Roman" w:cs="Times New Roman"/>
          <w:b/>
          <w:sz w:val="24"/>
          <w:szCs w:val="24"/>
        </w:rPr>
        <w:lastRenderedPageBreak/>
        <w:t>*</w:t>
      </w:r>
      <w:r w:rsidR="00281F19" w:rsidRPr="00281F19">
        <w:rPr>
          <w:rFonts w:ascii="Times New Roman" w:hAnsi="Times New Roman" w:cs="Times New Roman"/>
          <w:b/>
          <w:sz w:val="24"/>
          <w:szCs w:val="24"/>
        </w:rPr>
        <w:t>Correspond</w:t>
      </w:r>
      <w:r w:rsidR="00E87745">
        <w:rPr>
          <w:rFonts w:ascii="Times New Roman" w:hAnsi="Times New Roman" w:cs="Times New Roman"/>
          <w:b/>
          <w:sz w:val="24"/>
          <w:szCs w:val="24"/>
        </w:rPr>
        <w:t>ence</w:t>
      </w:r>
      <w:r w:rsidR="00281F19" w:rsidRPr="00281F19">
        <w:rPr>
          <w:rFonts w:ascii="Times New Roman" w:hAnsi="Times New Roman" w:cs="Times New Roman"/>
          <w:sz w:val="24"/>
          <w:szCs w:val="24"/>
        </w:rPr>
        <w:t>: Professor B.J.Brabin</w:t>
      </w:r>
    </w:p>
    <w:p w14:paraId="5305893D" w14:textId="3C9F1302" w:rsidR="00281F19" w:rsidRPr="00281F19" w:rsidRDefault="00330AF5" w:rsidP="008C59EA">
      <w:pPr>
        <w:spacing w:line="480" w:lineRule="auto"/>
        <w:ind w:left="227" w:right="227"/>
        <w:rPr>
          <w:rFonts w:ascii="Times New Roman" w:hAnsi="Times New Roman" w:cs="Times New Roman"/>
          <w:sz w:val="24"/>
          <w:szCs w:val="24"/>
        </w:rPr>
      </w:pPr>
      <w:r>
        <w:rPr>
          <w:rFonts w:ascii="Times New Roman" w:hAnsi="Times New Roman" w:cs="Times New Roman"/>
          <w:bCs/>
          <w:sz w:val="24"/>
          <w:szCs w:val="24"/>
          <w:vertAlign w:val="superscript"/>
        </w:rPr>
        <w:t xml:space="preserve"> </w:t>
      </w:r>
      <w:r w:rsidR="00281F19" w:rsidRPr="00281F19">
        <w:rPr>
          <w:rFonts w:ascii="Times New Roman" w:hAnsi="Times New Roman" w:cs="Times New Roman"/>
          <w:bCs/>
          <w:sz w:val="24"/>
          <w:szCs w:val="24"/>
        </w:rPr>
        <w:t>E-mail:</w:t>
      </w:r>
      <w:r w:rsidR="00281F19" w:rsidRPr="00281F19">
        <w:rPr>
          <w:rFonts w:ascii="Times New Roman" w:hAnsi="Times New Roman" w:cs="Times New Roman"/>
          <w:sz w:val="24"/>
          <w:szCs w:val="24"/>
        </w:rPr>
        <w:t xml:space="preserve">  </w:t>
      </w:r>
      <w:hyperlink r:id="rId8" w:history="1">
        <w:r w:rsidR="00281F19" w:rsidRPr="00281F19">
          <w:rPr>
            <w:rStyle w:val="Hyperlink"/>
            <w:rFonts w:ascii="Times New Roman" w:hAnsi="Times New Roman" w:cs="Times New Roman"/>
            <w:sz w:val="24"/>
            <w:szCs w:val="24"/>
            <w:lang w:val="it-IT"/>
          </w:rPr>
          <w:t>b.j.brabin@liverpool.ac.uk</w:t>
        </w:r>
      </w:hyperlink>
      <w:r w:rsidR="00281F19" w:rsidRPr="00281F19">
        <w:rPr>
          <w:rFonts w:ascii="Times New Roman" w:hAnsi="Times New Roman" w:cs="Times New Roman"/>
          <w:sz w:val="24"/>
          <w:szCs w:val="24"/>
          <w:u w:val="single"/>
          <w:lang w:val="it-IT"/>
        </w:rPr>
        <w:t xml:space="preserve">; </w:t>
      </w:r>
    </w:p>
    <w:p w14:paraId="166ED5E2" w14:textId="77777777" w:rsidR="00281F19" w:rsidRPr="00281F19" w:rsidRDefault="00281F19" w:rsidP="008C59EA">
      <w:pPr>
        <w:spacing w:line="480" w:lineRule="auto"/>
        <w:ind w:left="227" w:right="227"/>
        <w:rPr>
          <w:rFonts w:ascii="Times New Roman" w:hAnsi="Times New Roman" w:cs="Times New Roman"/>
          <w:b/>
          <w:sz w:val="24"/>
          <w:szCs w:val="24"/>
        </w:rPr>
      </w:pPr>
    </w:p>
    <w:p w14:paraId="678A82AF" w14:textId="23B1CAD3" w:rsidR="00281F19" w:rsidRDefault="00E25CFE" w:rsidP="008C59EA">
      <w:pPr>
        <w:spacing w:line="480" w:lineRule="auto"/>
        <w:ind w:left="227" w:right="227"/>
        <w:rPr>
          <w:rFonts w:ascii="Times New Roman" w:hAnsi="Times New Roman" w:cs="Times New Roman"/>
          <w:b/>
          <w:sz w:val="24"/>
          <w:szCs w:val="24"/>
        </w:rPr>
      </w:pPr>
      <w:r>
        <w:rPr>
          <w:rFonts w:ascii="Times New Roman" w:hAnsi="Times New Roman" w:cs="Times New Roman"/>
          <w:b/>
          <w:sz w:val="24"/>
          <w:szCs w:val="24"/>
        </w:rPr>
        <w:t>Running title:</w:t>
      </w:r>
    </w:p>
    <w:p w14:paraId="3401DB7A" w14:textId="39AF8A89" w:rsidR="00BC47A4" w:rsidRPr="008C59EA" w:rsidRDefault="00E25CFE" w:rsidP="008C59EA">
      <w:pPr>
        <w:spacing w:line="480" w:lineRule="auto"/>
        <w:ind w:left="227" w:right="227"/>
        <w:rPr>
          <w:rFonts w:ascii="Times New Roman" w:hAnsi="Times New Roman" w:cs="Times New Roman"/>
          <w:sz w:val="24"/>
          <w:szCs w:val="24"/>
        </w:rPr>
      </w:pPr>
      <w:r>
        <w:rPr>
          <w:rFonts w:ascii="Times New Roman" w:hAnsi="Times New Roman" w:cs="Times New Roman"/>
          <w:sz w:val="24"/>
          <w:szCs w:val="24"/>
        </w:rPr>
        <w:t>Host factors influencing vaginal lactoferrin</w:t>
      </w:r>
    </w:p>
    <w:p w14:paraId="6A57E87F" w14:textId="77777777" w:rsidR="00E25CFE" w:rsidRDefault="00E25CFE" w:rsidP="008C59EA">
      <w:pPr>
        <w:spacing w:line="480" w:lineRule="auto"/>
        <w:ind w:left="227" w:right="227"/>
        <w:rPr>
          <w:rFonts w:ascii="Times New Roman" w:hAnsi="Times New Roman" w:cs="Times New Roman"/>
          <w:b/>
          <w:sz w:val="24"/>
          <w:szCs w:val="24"/>
        </w:rPr>
      </w:pPr>
    </w:p>
    <w:p w14:paraId="131F69D2" w14:textId="77777777" w:rsidR="00E25CFE" w:rsidRDefault="00E25CFE" w:rsidP="008C59EA">
      <w:pPr>
        <w:spacing w:line="480" w:lineRule="auto"/>
        <w:ind w:left="227" w:right="227"/>
        <w:rPr>
          <w:rFonts w:ascii="Times New Roman" w:hAnsi="Times New Roman" w:cs="Times New Roman"/>
          <w:b/>
          <w:sz w:val="24"/>
          <w:szCs w:val="24"/>
        </w:rPr>
      </w:pPr>
    </w:p>
    <w:p w14:paraId="06AFADDB" w14:textId="77777777" w:rsidR="001F5247" w:rsidRDefault="001F5247" w:rsidP="008C59EA">
      <w:pPr>
        <w:spacing w:line="480" w:lineRule="auto"/>
        <w:ind w:left="227" w:right="227"/>
        <w:rPr>
          <w:rFonts w:ascii="Times New Roman" w:hAnsi="Times New Roman" w:cs="Times New Roman"/>
          <w:b/>
          <w:sz w:val="24"/>
          <w:szCs w:val="24"/>
        </w:rPr>
      </w:pPr>
    </w:p>
    <w:p w14:paraId="30DF73A9" w14:textId="77777777" w:rsidR="001F5247" w:rsidRDefault="001F5247" w:rsidP="008C59EA">
      <w:pPr>
        <w:spacing w:line="480" w:lineRule="auto"/>
        <w:ind w:left="227" w:right="227"/>
        <w:rPr>
          <w:rFonts w:ascii="Times New Roman" w:hAnsi="Times New Roman" w:cs="Times New Roman"/>
          <w:b/>
          <w:sz w:val="24"/>
          <w:szCs w:val="24"/>
        </w:rPr>
      </w:pPr>
    </w:p>
    <w:p w14:paraId="3C9EE5A5" w14:textId="77777777" w:rsidR="001F5247" w:rsidRDefault="001F5247" w:rsidP="008C59EA">
      <w:pPr>
        <w:spacing w:line="480" w:lineRule="auto"/>
        <w:ind w:left="227" w:right="227"/>
        <w:rPr>
          <w:rFonts w:ascii="Times New Roman" w:hAnsi="Times New Roman" w:cs="Times New Roman"/>
          <w:b/>
          <w:sz w:val="24"/>
          <w:szCs w:val="24"/>
        </w:rPr>
      </w:pPr>
    </w:p>
    <w:p w14:paraId="620FFFBC" w14:textId="77777777" w:rsidR="001F5247" w:rsidRDefault="001F5247" w:rsidP="008C59EA">
      <w:pPr>
        <w:spacing w:line="480" w:lineRule="auto"/>
        <w:ind w:left="227" w:right="227"/>
        <w:rPr>
          <w:rFonts w:ascii="Times New Roman" w:hAnsi="Times New Roman" w:cs="Times New Roman"/>
          <w:b/>
          <w:sz w:val="24"/>
          <w:szCs w:val="24"/>
        </w:rPr>
      </w:pPr>
    </w:p>
    <w:p w14:paraId="757D0615" w14:textId="77777777" w:rsidR="001F5247" w:rsidRDefault="001F5247" w:rsidP="008C59EA">
      <w:pPr>
        <w:spacing w:line="480" w:lineRule="auto"/>
        <w:ind w:left="227" w:right="227"/>
        <w:rPr>
          <w:rFonts w:ascii="Times New Roman" w:hAnsi="Times New Roman" w:cs="Times New Roman"/>
          <w:b/>
          <w:sz w:val="24"/>
          <w:szCs w:val="24"/>
        </w:rPr>
      </w:pPr>
    </w:p>
    <w:p w14:paraId="78ECBFFC" w14:textId="77777777" w:rsidR="001F5247" w:rsidRDefault="001F5247" w:rsidP="008C59EA">
      <w:pPr>
        <w:spacing w:line="480" w:lineRule="auto"/>
        <w:ind w:left="227" w:right="227"/>
        <w:rPr>
          <w:rFonts w:ascii="Times New Roman" w:hAnsi="Times New Roman" w:cs="Times New Roman"/>
          <w:b/>
          <w:sz w:val="24"/>
          <w:szCs w:val="24"/>
        </w:rPr>
      </w:pPr>
    </w:p>
    <w:p w14:paraId="5EB3D851" w14:textId="77777777" w:rsidR="001F5247" w:rsidRDefault="001F5247" w:rsidP="008C59EA">
      <w:pPr>
        <w:spacing w:line="480" w:lineRule="auto"/>
        <w:ind w:left="227" w:right="227"/>
        <w:rPr>
          <w:rFonts w:ascii="Times New Roman" w:hAnsi="Times New Roman" w:cs="Times New Roman"/>
          <w:b/>
          <w:sz w:val="24"/>
          <w:szCs w:val="24"/>
        </w:rPr>
      </w:pPr>
    </w:p>
    <w:p w14:paraId="24088C01" w14:textId="77777777" w:rsidR="001F5247" w:rsidRDefault="001F5247" w:rsidP="008C59EA">
      <w:pPr>
        <w:spacing w:line="480" w:lineRule="auto"/>
        <w:ind w:left="227" w:right="227"/>
        <w:rPr>
          <w:rFonts w:ascii="Times New Roman" w:hAnsi="Times New Roman" w:cs="Times New Roman"/>
          <w:b/>
          <w:sz w:val="24"/>
          <w:szCs w:val="24"/>
        </w:rPr>
      </w:pPr>
    </w:p>
    <w:p w14:paraId="30270858" w14:textId="77777777" w:rsidR="00BB67BF" w:rsidRDefault="00BB67BF" w:rsidP="008C59EA">
      <w:pPr>
        <w:spacing w:line="480" w:lineRule="auto"/>
        <w:ind w:left="227" w:right="227"/>
        <w:rPr>
          <w:rFonts w:ascii="Times New Roman" w:hAnsi="Times New Roman" w:cs="Times New Roman"/>
          <w:b/>
          <w:sz w:val="24"/>
          <w:szCs w:val="24"/>
        </w:rPr>
      </w:pPr>
    </w:p>
    <w:p w14:paraId="3538F131" w14:textId="77777777" w:rsidR="00BB67BF" w:rsidRDefault="00BB67BF" w:rsidP="008C59EA">
      <w:pPr>
        <w:spacing w:line="480" w:lineRule="auto"/>
        <w:ind w:left="227" w:right="227"/>
        <w:rPr>
          <w:rFonts w:ascii="Times New Roman" w:hAnsi="Times New Roman" w:cs="Times New Roman"/>
          <w:b/>
          <w:sz w:val="24"/>
          <w:szCs w:val="24"/>
        </w:rPr>
      </w:pPr>
    </w:p>
    <w:p w14:paraId="0D25222B" w14:textId="77777777" w:rsidR="00BB67BF" w:rsidRDefault="00BB67BF" w:rsidP="008C59EA">
      <w:pPr>
        <w:spacing w:line="480" w:lineRule="auto"/>
        <w:ind w:left="227" w:right="227"/>
        <w:rPr>
          <w:rFonts w:ascii="Times New Roman" w:hAnsi="Times New Roman" w:cs="Times New Roman"/>
          <w:b/>
          <w:sz w:val="24"/>
          <w:szCs w:val="24"/>
        </w:rPr>
      </w:pPr>
    </w:p>
    <w:p w14:paraId="7DD691FB" w14:textId="77777777" w:rsidR="00BB67BF" w:rsidRDefault="00BB67BF" w:rsidP="008C59EA">
      <w:pPr>
        <w:spacing w:line="480" w:lineRule="auto"/>
        <w:ind w:left="227" w:right="227"/>
        <w:rPr>
          <w:rFonts w:ascii="Times New Roman" w:hAnsi="Times New Roman" w:cs="Times New Roman"/>
          <w:b/>
          <w:sz w:val="24"/>
          <w:szCs w:val="24"/>
        </w:rPr>
      </w:pPr>
    </w:p>
    <w:p w14:paraId="0EA1F18A" w14:textId="77777777" w:rsidR="00BB67BF" w:rsidRDefault="00BB67BF" w:rsidP="008C59EA">
      <w:pPr>
        <w:spacing w:line="480" w:lineRule="auto"/>
        <w:ind w:left="227" w:right="227"/>
        <w:rPr>
          <w:rFonts w:ascii="Times New Roman" w:hAnsi="Times New Roman" w:cs="Times New Roman"/>
          <w:b/>
          <w:sz w:val="24"/>
          <w:szCs w:val="24"/>
        </w:rPr>
      </w:pPr>
    </w:p>
    <w:p w14:paraId="166528A5" w14:textId="4489B222" w:rsidR="00641BF2" w:rsidRDefault="00281F19" w:rsidP="008C59EA">
      <w:pPr>
        <w:spacing w:line="480" w:lineRule="auto"/>
        <w:ind w:right="227"/>
        <w:rPr>
          <w:rFonts w:ascii="Times New Roman" w:hAnsi="Times New Roman" w:cs="Times New Roman"/>
          <w:b/>
          <w:sz w:val="24"/>
          <w:szCs w:val="24"/>
        </w:rPr>
      </w:pPr>
      <w:r w:rsidRPr="00281F19">
        <w:rPr>
          <w:rFonts w:ascii="Times New Roman" w:hAnsi="Times New Roman" w:cs="Times New Roman"/>
          <w:b/>
          <w:sz w:val="24"/>
          <w:szCs w:val="24"/>
        </w:rPr>
        <w:lastRenderedPageBreak/>
        <w:t>ABSTRACT</w:t>
      </w:r>
    </w:p>
    <w:p w14:paraId="507A8118" w14:textId="310DD0FB" w:rsidR="00E25CFE" w:rsidRPr="0052360E" w:rsidRDefault="00E25CFE" w:rsidP="008C59EA">
      <w:pPr>
        <w:spacing w:line="480" w:lineRule="auto"/>
        <w:rPr>
          <w:rFonts w:ascii="Times New Roman" w:hAnsi="Times New Roman" w:cs="Times New Roman"/>
          <w:sz w:val="24"/>
          <w:szCs w:val="24"/>
        </w:rPr>
      </w:pPr>
      <w:r w:rsidRPr="0052360E">
        <w:rPr>
          <w:rFonts w:ascii="Times New Roman" w:hAnsi="Times New Roman" w:cs="Times New Roman"/>
          <w:b/>
          <w:sz w:val="24"/>
          <w:szCs w:val="24"/>
        </w:rPr>
        <w:t>BACKGROUND/OBJECTIVES:</w:t>
      </w:r>
      <w:r w:rsidR="00AC2B7E" w:rsidRPr="0052360E">
        <w:rPr>
          <w:rFonts w:ascii="Times New Roman" w:hAnsi="Times New Roman" w:cs="Times New Roman"/>
          <w:sz w:val="24"/>
          <w:szCs w:val="24"/>
        </w:rPr>
        <w:t xml:space="preserve">  The iron-binding affinity of vaginal lactoferrin (Lf) reduces iron available to genital pathogens. We describe host reproductive, nutritional, infection and iron biomarker profiles affecting vaginal Lf concentration in young nulliparous and primigravid women in Burkina Faso.</w:t>
      </w:r>
    </w:p>
    <w:p w14:paraId="75B63EFE" w14:textId="60553A64" w:rsidR="00E25CFE" w:rsidRPr="0052360E" w:rsidRDefault="00E25CFE" w:rsidP="008C59EA">
      <w:pPr>
        <w:spacing w:line="480" w:lineRule="auto"/>
        <w:rPr>
          <w:rFonts w:ascii="Times New Roman" w:hAnsi="Times New Roman" w:cs="Times New Roman"/>
          <w:sz w:val="24"/>
          <w:szCs w:val="24"/>
        </w:rPr>
      </w:pPr>
      <w:r w:rsidRPr="0052360E">
        <w:rPr>
          <w:rFonts w:ascii="Times New Roman" w:hAnsi="Times New Roman" w:cs="Times New Roman"/>
          <w:b/>
          <w:sz w:val="24"/>
          <w:szCs w:val="24"/>
        </w:rPr>
        <w:t>SUBJECTS/METHODS:</w:t>
      </w:r>
      <w:r w:rsidR="00AC2B7E" w:rsidRPr="0052360E">
        <w:rPr>
          <w:rFonts w:ascii="Times New Roman" w:hAnsi="Times New Roman" w:cs="Times New Roman"/>
          <w:b/>
          <w:sz w:val="24"/>
          <w:szCs w:val="24"/>
        </w:rPr>
        <w:t xml:space="preserve"> </w:t>
      </w:r>
      <w:r w:rsidR="00AC2B7E" w:rsidRPr="0052360E">
        <w:rPr>
          <w:rFonts w:ascii="Times New Roman" w:hAnsi="Times New Roman" w:cs="Times New Roman"/>
          <w:sz w:val="24"/>
          <w:szCs w:val="24"/>
        </w:rPr>
        <w:t>Vaginal eluates from women who had participated in a randomized, controlled periconceptional iron supplementation trial were used to measure Lf using a competitive double sandwich ELISA. For this analysis samples from both trial arms were combined and pregnant and non-pregnant cohorts compared.</w:t>
      </w:r>
      <w:r w:rsidR="00E651A4" w:rsidRPr="0052360E">
        <w:rPr>
          <w:rFonts w:ascii="Times New Roman" w:hAnsi="Times New Roman" w:cs="Times New Roman"/>
          <w:sz w:val="24"/>
          <w:szCs w:val="24"/>
        </w:rPr>
        <w:t xml:space="preserve"> </w:t>
      </w:r>
      <w:r w:rsidR="00B32E40" w:rsidRPr="0052360E">
        <w:rPr>
          <w:rFonts w:ascii="Times New Roman" w:hAnsi="Times New Roman" w:cs="Times New Roman"/>
          <w:sz w:val="24"/>
          <w:szCs w:val="24"/>
        </w:rPr>
        <w:t>Following randomi</w:t>
      </w:r>
      <w:r w:rsidR="004D582E" w:rsidRPr="0052360E">
        <w:rPr>
          <w:rFonts w:ascii="Times New Roman" w:hAnsi="Times New Roman" w:cs="Times New Roman"/>
          <w:sz w:val="24"/>
          <w:szCs w:val="24"/>
        </w:rPr>
        <w:t>z</w:t>
      </w:r>
      <w:r w:rsidR="00B32E40" w:rsidRPr="0052360E">
        <w:rPr>
          <w:rFonts w:ascii="Times New Roman" w:hAnsi="Times New Roman" w:cs="Times New Roman"/>
          <w:sz w:val="24"/>
          <w:szCs w:val="24"/>
        </w:rPr>
        <w:t xml:space="preserve">ation </w:t>
      </w:r>
      <w:r w:rsidR="00AC2B7E" w:rsidRPr="0052360E">
        <w:rPr>
          <w:rFonts w:ascii="Times New Roman" w:hAnsi="Times New Roman" w:cs="Times New Roman"/>
          <w:sz w:val="24"/>
          <w:szCs w:val="24"/>
        </w:rPr>
        <w:t>Lf was measured</w:t>
      </w:r>
      <w:r w:rsidR="00B32E40" w:rsidRPr="0052360E">
        <w:rPr>
          <w:rFonts w:ascii="Times New Roman" w:hAnsi="Times New Roman" w:cs="Times New Roman"/>
          <w:sz w:val="24"/>
          <w:szCs w:val="24"/>
        </w:rPr>
        <w:t xml:space="preserve"> </w:t>
      </w:r>
      <w:r w:rsidR="00AC2B7E" w:rsidRPr="0052360E">
        <w:rPr>
          <w:rFonts w:ascii="Times New Roman" w:hAnsi="Times New Roman" w:cs="Times New Roman"/>
          <w:sz w:val="24"/>
          <w:szCs w:val="24"/>
        </w:rPr>
        <w:t>after 18 months (end assessment) for women remaining non</w:t>
      </w:r>
      <w:r w:rsidR="00F44D9E" w:rsidRPr="0052360E">
        <w:rPr>
          <w:rFonts w:ascii="Times New Roman" w:hAnsi="Times New Roman" w:cs="Times New Roman"/>
          <w:sz w:val="24"/>
          <w:szCs w:val="24"/>
        </w:rPr>
        <w:t>-</w:t>
      </w:r>
      <w:r w:rsidR="00AC2B7E" w:rsidRPr="0052360E">
        <w:rPr>
          <w:rFonts w:ascii="Times New Roman" w:hAnsi="Times New Roman" w:cs="Times New Roman"/>
          <w:sz w:val="24"/>
          <w:szCs w:val="24"/>
        </w:rPr>
        <w:t>pregnant, and at two antenatal visits for those becoming pregnant. Associations between log Lf levels and demographic, anthropometric, infection and iron biomarker variables were assessed using linear mixed model</w:t>
      </w:r>
      <w:r w:rsidR="000C2725" w:rsidRPr="0052360E">
        <w:rPr>
          <w:rFonts w:ascii="Times New Roman" w:hAnsi="Times New Roman" w:cs="Times New Roman"/>
          <w:sz w:val="24"/>
          <w:szCs w:val="24"/>
        </w:rPr>
        <w:t>s</w:t>
      </w:r>
      <w:r w:rsidR="00AC2B7E" w:rsidRPr="0052360E">
        <w:rPr>
          <w:rFonts w:ascii="Times New Roman" w:hAnsi="Times New Roman" w:cs="Times New Roman"/>
          <w:sz w:val="24"/>
          <w:szCs w:val="24"/>
        </w:rPr>
        <w:t xml:space="preserve">.  </w:t>
      </w:r>
    </w:p>
    <w:p w14:paraId="5BBE5FB4" w14:textId="21A2E52C" w:rsidR="00E25CFE" w:rsidRPr="0052360E" w:rsidRDefault="00E25CFE" w:rsidP="008C59EA">
      <w:pPr>
        <w:spacing w:line="480" w:lineRule="auto"/>
        <w:rPr>
          <w:rFonts w:ascii="Times New Roman" w:hAnsi="Times New Roman" w:cs="Times New Roman"/>
          <w:sz w:val="24"/>
          <w:szCs w:val="24"/>
        </w:rPr>
      </w:pPr>
      <w:r w:rsidRPr="0052360E">
        <w:rPr>
          <w:rFonts w:ascii="Times New Roman" w:hAnsi="Times New Roman" w:cs="Times New Roman"/>
          <w:b/>
          <w:sz w:val="24"/>
          <w:szCs w:val="24"/>
        </w:rPr>
        <w:t>RESULTS:</w:t>
      </w:r>
      <w:r w:rsidR="00AC2B7E" w:rsidRPr="0052360E">
        <w:rPr>
          <w:rFonts w:ascii="Times New Roman" w:hAnsi="Times New Roman" w:cs="Times New Roman"/>
          <w:sz w:val="24"/>
          <w:szCs w:val="24"/>
        </w:rPr>
        <w:t xml:space="preserve"> Lf samples were available for 712 non-pregnant women at end assessment and for 303 women seen at an antenatal visit. Lf concentrations of pregnant women were comparable to those of non-pregnant, sexually active women.  Lf concentration increased with mid-upper-arm-circumference, (P=0.047), body mass index, (P=0.018), </w:t>
      </w:r>
      <w:r w:rsidR="00AC2B7E" w:rsidRPr="0052360E">
        <w:rPr>
          <w:rFonts w:ascii="Times New Roman" w:hAnsi="Times New Roman" w:cs="Times New Roman"/>
          <w:i/>
          <w:sz w:val="24"/>
          <w:szCs w:val="24"/>
        </w:rPr>
        <w:t>T</w:t>
      </w:r>
      <w:r w:rsidR="00920982" w:rsidRPr="0052360E">
        <w:rPr>
          <w:rFonts w:ascii="Times New Roman" w:hAnsi="Times New Roman" w:cs="Times New Roman"/>
          <w:i/>
          <w:sz w:val="24"/>
          <w:szCs w:val="24"/>
        </w:rPr>
        <w:t>richomonas</w:t>
      </w:r>
      <w:r w:rsidR="00AC2B7E" w:rsidRPr="0052360E">
        <w:rPr>
          <w:rFonts w:ascii="Times New Roman" w:hAnsi="Times New Roman" w:cs="Times New Roman"/>
          <w:i/>
          <w:sz w:val="24"/>
          <w:szCs w:val="24"/>
        </w:rPr>
        <w:t xml:space="preserve"> vaginalis</w:t>
      </w:r>
      <w:r w:rsidR="00AC2B7E" w:rsidRPr="0052360E">
        <w:rPr>
          <w:rFonts w:ascii="Times New Roman" w:hAnsi="Times New Roman" w:cs="Times New Roman"/>
          <w:sz w:val="24"/>
          <w:szCs w:val="24"/>
        </w:rPr>
        <w:t xml:space="preserve"> (P&lt;0.001) infection, bacterial vaginosis (P&lt;0.001), serum C-reactive protein (P=0.048) and with microbiota community state types III/IV. Adjusted Lf concentration was positively associated with serum hepcidin (P=0.047), serum ferritin (P=0.0</w:t>
      </w:r>
      <w:r w:rsidR="00D11CE6" w:rsidRPr="0052360E">
        <w:rPr>
          <w:rFonts w:ascii="Times New Roman" w:hAnsi="Times New Roman" w:cs="Times New Roman"/>
          <w:sz w:val="24"/>
          <w:szCs w:val="24"/>
        </w:rPr>
        <w:t>18</w:t>
      </w:r>
      <w:r w:rsidR="00AC2B7E" w:rsidRPr="0052360E">
        <w:rPr>
          <w:rFonts w:ascii="Times New Roman" w:hAnsi="Times New Roman" w:cs="Times New Roman"/>
          <w:sz w:val="24"/>
          <w:szCs w:val="24"/>
        </w:rPr>
        <w:t>) and total body iron stores (P= 0.0</w:t>
      </w:r>
      <w:r w:rsidR="00D11CE6" w:rsidRPr="0052360E">
        <w:rPr>
          <w:rFonts w:ascii="Times New Roman" w:hAnsi="Times New Roman" w:cs="Times New Roman"/>
          <w:sz w:val="24"/>
          <w:szCs w:val="24"/>
        </w:rPr>
        <w:t>42</w:t>
      </w:r>
      <w:r w:rsidR="00AC2B7E" w:rsidRPr="0052360E">
        <w:rPr>
          <w:rFonts w:ascii="Times New Roman" w:hAnsi="Times New Roman" w:cs="Times New Roman"/>
          <w:sz w:val="24"/>
          <w:szCs w:val="24"/>
        </w:rPr>
        <w:t>). There was evidence that some women maintained persistently high or low Lf concentrations from before, and through, pregnancy.</w:t>
      </w:r>
    </w:p>
    <w:p w14:paraId="69A053E9" w14:textId="5E6C0587" w:rsidR="00DA18B5" w:rsidRPr="0052360E" w:rsidRDefault="00E25CFE" w:rsidP="00DA18B5">
      <w:pPr>
        <w:spacing w:line="480" w:lineRule="auto"/>
        <w:rPr>
          <w:rFonts w:ascii="Times New Roman" w:hAnsi="Times New Roman" w:cs="Times New Roman"/>
          <w:sz w:val="24"/>
          <w:szCs w:val="24"/>
        </w:rPr>
      </w:pPr>
      <w:r w:rsidRPr="0052360E">
        <w:rPr>
          <w:rFonts w:ascii="Times New Roman" w:hAnsi="Times New Roman" w:cs="Times New Roman"/>
          <w:b/>
          <w:sz w:val="24"/>
          <w:szCs w:val="24"/>
        </w:rPr>
        <w:t>CONCLUSION:</w:t>
      </w:r>
      <w:r w:rsidR="00AC2B7E" w:rsidRPr="0052360E">
        <w:rPr>
          <w:rFonts w:ascii="Times New Roman" w:hAnsi="Times New Roman" w:cs="Times New Roman"/>
          <w:b/>
          <w:sz w:val="24"/>
          <w:szCs w:val="24"/>
        </w:rPr>
        <w:t xml:space="preserve"> </w:t>
      </w:r>
      <w:r w:rsidR="00DA18B5" w:rsidRPr="0052360E">
        <w:rPr>
          <w:rFonts w:ascii="Times New Roman" w:hAnsi="Times New Roman" w:cs="Times New Roman"/>
          <w:sz w:val="24"/>
          <w:szCs w:val="24"/>
        </w:rPr>
        <w:t xml:space="preserve"> Lf concentrations increased with genital infection, higher BMI, MUAC, body iron stores and hepcidin suggesting nutritional and iron status influence homeostatic mechanisms controlling vaginal Lf responses.,</w:t>
      </w:r>
    </w:p>
    <w:p w14:paraId="7F37567B" w14:textId="06DD0F4B" w:rsidR="00E25CFE" w:rsidRPr="0052360E" w:rsidRDefault="00E25CFE" w:rsidP="008C59EA">
      <w:pPr>
        <w:spacing w:line="480" w:lineRule="auto"/>
        <w:rPr>
          <w:rFonts w:ascii="Times New Roman" w:hAnsi="Times New Roman" w:cs="Times New Roman"/>
          <w:sz w:val="24"/>
          <w:szCs w:val="24"/>
        </w:rPr>
      </w:pPr>
    </w:p>
    <w:p w14:paraId="6E1D8DB8" w14:textId="6C71A1B5" w:rsidR="00DC0126" w:rsidRPr="0052360E" w:rsidRDefault="002E6578" w:rsidP="002E6578">
      <w:pPr>
        <w:spacing w:line="480" w:lineRule="auto"/>
        <w:ind w:right="227"/>
        <w:rPr>
          <w:rFonts w:ascii="Times New Roman" w:hAnsi="Times New Roman" w:cs="Times New Roman"/>
          <w:b/>
          <w:sz w:val="24"/>
          <w:szCs w:val="24"/>
        </w:rPr>
      </w:pPr>
      <w:r w:rsidRPr="0052360E">
        <w:rPr>
          <w:rFonts w:ascii="Times New Roman" w:hAnsi="Times New Roman" w:cs="Times New Roman"/>
          <w:sz w:val="24"/>
          <w:szCs w:val="24"/>
        </w:rPr>
        <w:t xml:space="preserve">    </w:t>
      </w:r>
      <w:r w:rsidR="00FD69B2" w:rsidRPr="0052360E">
        <w:rPr>
          <w:rFonts w:ascii="Times New Roman" w:hAnsi="Times New Roman" w:cs="Times New Roman"/>
          <w:b/>
          <w:sz w:val="24"/>
          <w:szCs w:val="24"/>
        </w:rPr>
        <w:t>I</w:t>
      </w:r>
      <w:r w:rsidR="006E294B" w:rsidRPr="0052360E">
        <w:rPr>
          <w:rFonts w:ascii="Times New Roman" w:hAnsi="Times New Roman" w:cs="Times New Roman"/>
          <w:b/>
          <w:sz w:val="24"/>
          <w:szCs w:val="24"/>
        </w:rPr>
        <w:t>NTRODUCTION</w:t>
      </w:r>
      <w:r w:rsidR="00920982" w:rsidRPr="0052360E">
        <w:rPr>
          <w:rFonts w:ascii="Times New Roman" w:hAnsi="Times New Roman" w:cs="Times New Roman"/>
          <w:b/>
          <w:sz w:val="24"/>
          <w:szCs w:val="24"/>
        </w:rPr>
        <w:t xml:space="preserve"> </w:t>
      </w:r>
    </w:p>
    <w:p w14:paraId="162F9197" w14:textId="2D383430" w:rsidR="001C5CA5" w:rsidRPr="0052360E" w:rsidRDefault="009326B6" w:rsidP="008C59EA">
      <w:pPr>
        <w:spacing w:line="480" w:lineRule="auto"/>
        <w:ind w:left="227" w:right="227"/>
        <w:rPr>
          <w:rFonts w:ascii="Times New Roman" w:hAnsi="Times New Roman" w:cs="Times New Roman"/>
          <w:sz w:val="24"/>
          <w:szCs w:val="24"/>
        </w:rPr>
      </w:pPr>
      <w:r w:rsidRPr="0052360E">
        <w:rPr>
          <w:rFonts w:ascii="Times New Roman" w:hAnsi="Times New Roman" w:cs="Times New Roman"/>
          <w:sz w:val="24"/>
          <w:szCs w:val="24"/>
        </w:rPr>
        <w:lastRenderedPageBreak/>
        <w:t xml:space="preserve">An essential </w:t>
      </w:r>
      <w:r w:rsidR="00DC0126" w:rsidRPr="0052360E">
        <w:rPr>
          <w:rFonts w:ascii="Times New Roman" w:hAnsi="Times New Roman" w:cs="Times New Roman"/>
          <w:sz w:val="24"/>
          <w:szCs w:val="24"/>
        </w:rPr>
        <w:t xml:space="preserve">role of </w:t>
      </w:r>
      <w:r w:rsidRPr="0052360E">
        <w:rPr>
          <w:rFonts w:ascii="Times New Roman" w:hAnsi="Times New Roman" w:cs="Times New Roman"/>
          <w:sz w:val="24"/>
          <w:szCs w:val="24"/>
        </w:rPr>
        <w:t>human lactoferrin (Lf)</w:t>
      </w:r>
      <w:r w:rsidR="00DC0126" w:rsidRPr="0052360E">
        <w:rPr>
          <w:rFonts w:ascii="Times New Roman" w:hAnsi="Times New Roman" w:cs="Times New Roman"/>
          <w:sz w:val="24"/>
          <w:szCs w:val="24"/>
        </w:rPr>
        <w:t xml:space="preserve"> </w:t>
      </w:r>
      <w:r w:rsidRPr="0052360E">
        <w:rPr>
          <w:rFonts w:ascii="Times New Roman" w:hAnsi="Times New Roman" w:cs="Times New Roman"/>
          <w:sz w:val="24"/>
          <w:szCs w:val="24"/>
        </w:rPr>
        <w:t xml:space="preserve">is to prevent </w:t>
      </w:r>
      <w:r w:rsidR="00DC0126" w:rsidRPr="0052360E">
        <w:rPr>
          <w:rFonts w:ascii="Times New Roman" w:hAnsi="Times New Roman" w:cs="Times New Roman"/>
          <w:sz w:val="24"/>
          <w:szCs w:val="24"/>
        </w:rPr>
        <w:t>accumulation of free iron at muco</w:t>
      </w:r>
      <w:r w:rsidR="0023665B" w:rsidRPr="0052360E">
        <w:rPr>
          <w:rFonts w:ascii="Times New Roman" w:hAnsi="Times New Roman" w:cs="Times New Roman"/>
          <w:sz w:val="24"/>
          <w:szCs w:val="24"/>
        </w:rPr>
        <w:t>s</w:t>
      </w:r>
      <w:r w:rsidR="00DC0126" w:rsidRPr="0052360E">
        <w:rPr>
          <w:rFonts w:ascii="Times New Roman" w:hAnsi="Times New Roman" w:cs="Times New Roman"/>
          <w:sz w:val="24"/>
          <w:szCs w:val="24"/>
        </w:rPr>
        <w:t>al sites</w:t>
      </w:r>
      <w:r w:rsidRPr="0052360E">
        <w:rPr>
          <w:rFonts w:ascii="Times New Roman" w:hAnsi="Times New Roman" w:cs="Times New Roman"/>
          <w:sz w:val="24"/>
          <w:szCs w:val="24"/>
        </w:rPr>
        <w:t>.</w:t>
      </w:r>
      <w:r w:rsidR="00DC0126" w:rsidRPr="0052360E">
        <w:rPr>
          <w:rFonts w:ascii="Times New Roman" w:hAnsi="Times New Roman" w:cs="Times New Roman"/>
          <w:sz w:val="24"/>
          <w:szCs w:val="24"/>
        </w:rPr>
        <w:t xml:space="preserve"> </w:t>
      </w:r>
      <w:r w:rsidR="00F513B5" w:rsidRPr="0052360E">
        <w:rPr>
          <w:rFonts w:ascii="Times New Roman" w:hAnsi="Times New Roman" w:cs="Times New Roman"/>
          <w:sz w:val="24"/>
          <w:szCs w:val="24"/>
        </w:rPr>
        <w:t xml:space="preserve">Lf </w:t>
      </w:r>
      <w:r w:rsidR="00DC0126" w:rsidRPr="0052360E">
        <w:rPr>
          <w:rFonts w:ascii="Times New Roman" w:hAnsi="Times New Roman" w:cs="Times New Roman"/>
          <w:sz w:val="24"/>
          <w:szCs w:val="24"/>
        </w:rPr>
        <w:t>demonstrates</w:t>
      </w:r>
      <w:r w:rsidR="002B467F" w:rsidRPr="0052360E">
        <w:rPr>
          <w:rFonts w:ascii="Times New Roman" w:hAnsi="Times New Roman" w:cs="Times New Roman"/>
          <w:sz w:val="24"/>
          <w:szCs w:val="24"/>
        </w:rPr>
        <w:t xml:space="preserve"> a bacteriostatic effect related to its iron bindi</w:t>
      </w:r>
      <w:r w:rsidR="00265168" w:rsidRPr="0052360E">
        <w:rPr>
          <w:rFonts w:ascii="Times New Roman" w:hAnsi="Times New Roman" w:cs="Times New Roman"/>
          <w:sz w:val="24"/>
          <w:szCs w:val="24"/>
        </w:rPr>
        <w:t>ng affinity</w:t>
      </w:r>
      <w:r w:rsidR="00073CF4" w:rsidRPr="0052360E">
        <w:rPr>
          <w:rFonts w:ascii="Times New Roman" w:hAnsi="Times New Roman" w:cs="Times New Roman"/>
          <w:sz w:val="24"/>
          <w:szCs w:val="24"/>
          <w:vertAlign w:val="superscript"/>
        </w:rPr>
        <w:t>1</w:t>
      </w:r>
      <w:r w:rsidR="00265168" w:rsidRPr="0052360E">
        <w:rPr>
          <w:rFonts w:ascii="Times New Roman" w:hAnsi="Times New Roman" w:cs="Times New Roman"/>
          <w:sz w:val="24"/>
          <w:szCs w:val="24"/>
        </w:rPr>
        <w:t xml:space="preserve"> as well as</w:t>
      </w:r>
      <w:r w:rsidR="002B467F" w:rsidRPr="0052360E">
        <w:rPr>
          <w:rFonts w:ascii="Times New Roman" w:hAnsi="Times New Roman" w:cs="Times New Roman"/>
          <w:sz w:val="24"/>
          <w:szCs w:val="24"/>
        </w:rPr>
        <w:t xml:space="preserve"> </w:t>
      </w:r>
      <w:r w:rsidR="00DC0126" w:rsidRPr="0052360E">
        <w:rPr>
          <w:rFonts w:ascii="Times New Roman" w:hAnsi="Times New Roman" w:cs="Times New Roman"/>
          <w:sz w:val="24"/>
          <w:szCs w:val="24"/>
        </w:rPr>
        <w:t xml:space="preserve">antimicrobial </w:t>
      </w:r>
      <w:r w:rsidRPr="0052360E">
        <w:rPr>
          <w:rFonts w:ascii="Times New Roman" w:hAnsi="Times New Roman" w:cs="Times New Roman"/>
          <w:sz w:val="24"/>
          <w:szCs w:val="24"/>
        </w:rPr>
        <w:t>activity</w:t>
      </w:r>
      <w:r w:rsidR="002B467F" w:rsidRPr="0052360E">
        <w:rPr>
          <w:rFonts w:ascii="Times New Roman" w:hAnsi="Times New Roman" w:cs="Times New Roman"/>
          <w:sz w:val="24"/>
          <w:szCs w:val="24"/>
        </w:rPr>
        <w:t xml:space="preserve"> that</w:t>
      </w:r>
      <w:r w:rsidRPr="0052360E">
        <w:rPr>
          <w:rFonts w:ascii="Times New Roman" w:hAnsi="Times New Roman" w:cs="Times New Roman"/>
          <w:sz w:val="24"/>
          <w:szCs w:val="24"/>
        </w:rPr>
        <w:t xml:space="preserve"> </w:t>
      </w:r>
      <w:r w:rsidR="00DC0126" w:rsidRPr="0052360E">
        <w:rPr>
          <w:rFonts w:ascii="Times New Roman" w:hAnsi="Times New Roman" w:cs="Times New Roman"/>
          <w:sz w:val="24"/>
          <w:szCs w:val="24"/>
        </w:rPr>
        <w:t>reduc</w:t>
      </w:r>
      <w:r w:rsidR="002B467F" w:rsidRPr="0052360E">
        <w:rPr>
          <w:rFonts w:ascii="Times New Roman" w:hAnsi="Times New Roman" w:cs="Times New Roman"/>
          <w:sz w:val="24"/>
          <w:szCs w:val="24"/>
        </w:rPr>
        <w:t>es</w:t>
      </w:r>
      <w:r w:rsidR="00DC0126" w:rsidRPr="0052360E">
        <w:rPr>
          <w:rFonts w:ascii="Times New Roman" w:hAnsi="Times New Roman" w:cs="Times New Roman"/>
          <w:sz w:val="24"/>
          <w:szCs w:val="24"/>
        </w:rPr>
        <w:t xml:space="preserve"> bacterial virulence</w:t>
      </w:r>
      <w:r w:rsidR="00ED398A" w:rsidRPr="0052360E">
        <w:rPr>
          <w:rFonts w:ascii="Times New Roman" w:hAnsi="Times New Roman" w:cs="Times New Roman"/>
          <w:sz w:val="24"/>
          <w:szCs w:val="24"/>
        </w:rPr>
        <w:t>,</w:t>
      </w:r>
      <w:r w:rsidR="00073CF4" w:rsidRPr="0052360E">
        <w:rPr>
          <w:rFonts w:ascii="Times New Roman" w:hAnsi="Times New Roman" w:cs="Times New Roman"/>
          <w:sz w:val="24"/>
          <w:szCs w:val="24"/>
          <w:vertAlign w:val="superscript"/>
        </w:rPr>
        <w:t>2</w:t>
      </w:r>
      <w:r w:rsidR="00ED398A" w:rsidRPr="0052360E">
        <w:rPr>
          <w:rFonts w:ascii="Times New Roman" w:hAnsi="Times New Roman" w:cs="Times New Roman"/>
          <w:sz w:val="24"/>
          <w:szCs w:val="24"/>
        </w:rPr>
        <w:t xml:space="preserve"> </w:t>
      </w:r>
      <w:r w:rsidR="00DC0126" w:rsidRPr="0052360E">
        <w:rPr>
          <w:rFonts w:ascii="Times New Roman" w:hAnsi="Times New Roman" w:cs="Times New Roman"/>
          <w:sz w:val="24"/>
          <w:szCs w:val="24"/>
        </w:rPr>
        <w:t>inhibitory effects on bacterial adhesion and cell invasion, and ability to in</w:t>
      </w:r>
      <w:r w:rsidR="0023665B" w:rsidRPr="0052360E">
        <w:rPr>
          <w:rFonts w:ascii="Times New Roman" w:hAnsi="Times New Roman" w:cs="Times New Roman"/>
          <w:sz w:val="24"/>
          <w:szCs w:val="24"/>
        </w:rPr>
        <w:t>duce bacterial lysis</w:t>
      </w:r>
      <w:r w:rsidR="00C8451A" w:rsidRPr="0052360E">
        <w:rPr>
          <w:rFonts w:ascii="Times New Roman" w:hAnsi="Times New Roman" w:cs="Times New Roman"/>
          <w:sz w:val="24"/>
          <w:szCs w:val="24"/>
        </w:rPr>
        <w:t>.</w:t>
      </w:r>
      <w:r w:rsidR="00073CF4" w:rsidRPr="0052360E">
        <w:rPr>
          <w:rFonts w:ascii="Times New Roman" w:hAnsi="Times New Roman" w:cs="Times New Roman"/>
          <w:sz w:val="24"/>
          <w:szCs w:val="24"/>
          <w:vertAlign w:val="superscript"/>
        </w:rPr>
        <w:t>3,4</w:t>
      </w:r>
      <w:r w:rsidR="00265168" w:rsidRPr="0052360E">
        <w:rPr>
          <w:rFonts w:ascii="Times New Roman" w:hAnsi="Times New Roman" w:cs="Times New Roman"/>
          <w:sz w:val="24"/>
          <w:szCs w:val="24"/>
        </w:rPr>
        <w:t xml:space="preserve"> Lf is </w:t>
      </w:r>
      <w:r w:rsidR="00F513B5" w:rsidRPr="0052360E">
        <w:rPr>
          <w:rFonts w:ascii="Times New Roman" w:hAnsi="Times New Roman" w:cs="Times New Roman"/>
          <w:sz w:val="24"/>
          <w:szCs w:val="24"/>
        </w:rPr>
        <w:t>expressed in the</w:t>
      </w:r>
      <w:r w:rsidR="00265168" w:rsidRPr="0052360E">
        <w:rPr>
          <w:rFonts w:ascii="Times New Roman" w:hAnsi="Times New Roman" w:cs="Times New Roman"/>
          <w:sz w:val="24"/>
          <w:szCs w:val="24"/>
        </w:rPr>
        <w:t xml:space="preserve"> genital tract as</w:t>
      </w:r>
      <w:r w:rsidR="00F513B5" w:rsidRPr="0052360E">
        <w:rPr>
          <w:rFonts w:ascii="Times New Roman" w:hAnsi="Times New Roman" w:cs="Times New Roman"/>
          <w:sz w:val="24"/>
          <w:szCs w:val="24"/>
        </w:rPr>
        <w:t xml:space="preserve"> part of the innate immune system, </w:t>
      </w:r>
      <w:r w:rsidR="00265168" w:rsidRPr="0052360E">
        <w:rPr>
          <w:rFonts w:ascii="Times New Roman" w:hAnsi="Times New Roman" w:cs="Times New Roman"/>
          <w:sz w:val="24"/>
          <w:szCs w:val="24"/>
        </w:rPr>
        <w:t xml:space="preserve">active </w:t>
      </w:r>
      <w:r w:rsidR="002B467F" w:rsidRPr="0052360E">
        <w:rPr>
          <w:rFonts w:ascii="Times New Roman" w:hAnsi="Times New Roman" w:cs="Times New Roman"/>
          <w:sz w:val="24"/>
          <w:szCs w:val="24"/>
        </w:rPr>
        <w:t xml:space="preserve">against </w:t>
      </w:r>
      <w:r w:rsidR="00265168" w:rsidRPr="0052360E">
        <w:rPr>
          <w:rFonts w:ascii="Times New Roman" w:hAnsi="Times New Roman" w:cs="Times New Roman"/>
          <w:sz w:val="24"/>
          <w:szCs w:val="24"/>
        </w:rPr>
        <w:t xml:space="preserve">common </w:t>
      </w:r>
      <w:r w:rsidR="002B467F" w:rsidRPr="0052360E">
        <w:rPr>
          <w:rFonts w:ascii="Times New Roman" w:hAnsi="Times New Roman" w:cs="Times New Roman"/>
          <w:sz w:val="24"/>
          <w:szCs w:val="24"/>
        </w:rPr>
        <w:t xml:space="preserve">genital tract infections such as </w:t>
      </w:r>
      <w:r w:rsidR="002B467F" w:rsidRPr="0052360E">
        <w:rPr>
          <w:rFonts w:ascii="Times New Roman" w:hAnsi="Times New Roman" w:cs="Times New Roman"/>
          <w:i/>
          <w:sz w:val="24"/>
          <w:szCs w:val="24"/>
        </w:rPr>
        <w:t xml:space="preserve">Trichomonas (T) vaginalis, </w:t>
      </w:r>
      <w:r w:rsidR="002B467F" w:rsidRPr="0052360E">
        <w:rPr>
          <w:rFonts w:ascii="Times New Roman" w:hAnsi="Times New Roman" w:cs="Times New Roman"/>
          <w:sz w:val="24"/>
          <w:szCs w:val="24"/>
        </w:rPr>
        <w:t>bacterial vaginosis</w:t>
      </w:r>
      <w:r w:rsidR="002B467F" w:rsidRPr="0052360E">
        <w:rPr>
          <w:rFonts w:ascii="Times New Roman" w:hAnsi="Times New Roman" w:cs="Times New Roman"/>
          <w:i/>
          <w:sz w:val="24"/>
          <w:szCs w:val="24"/>
        </w:rPr>
        <w:t xml:space="preserve"> </w:t>
      </w:r>
      <w:r w:rsidR="002B467F" w:rsidRPr="0052360E">
        <w:rPr>
          <w:rFonts w:ascii="Times New Roman" w:hAnsi="Times New Roman" w:cs="Times New Roman"/>
          <w:sz w:val="24"/>
          <w:szCs w:val="24"/>
        </w:rPr>
        <w:t xml:space="preserve">(BV) related species, and </w:t>
      </w:r>
      <w:r w:rsidR="002B467F" w:rsidRPr="0052360E">
        <w:rPr>
          <w:rFonts w:ascii="Times New Roman" w:hAnsi="Times New Roman" w:cs="Times New Roman"/>
          <w:i/>
          <w:sz w:val="24"/>
          <w:szCs w:val="24"/>
        </w:rPr>
        <w:t>candida spp.</w:t>
      </w:r>
      <w:r w:rsidR="002B467F" w:rsidRPr="0052360E">
        <w:rPr>
          <w:rFonts w:ascii="Times New Roman" w:hAnsi="Times New Roman" w:cs="Times New Roman"/>
          <w:sz w:val="24"/>
          <w:szCs w:val="24"/>
        </w:rPr>
        <w:t xml:space="preserve"> Iron is an essential nutrient for </w:t>
      </w:r>
      <w:r w:rsidR="00ED398A" w:rsidRPr="0052360E">
        <w:rPr>
          <w:rFonts w:ascii="Times New Roman" w:hAnsi="Times New Roman" w:cs="Times New Roman"/>
          <w:sz w:val="24"/>
          <w:szCs w:val="24"/>
        </w:rPr>
        <w:t xml:space="preserve">many </w:t>
      </w:r>
      <w:r w:rsidR="002B467F" w:rsidRPr="0052360E">
        <w:rPr>
          <w:rFonts w:ascii="Times New Roman" w:hAnsi="Times New Roman" w:cs="Times New Roman"/>
          <w:sz w:val="24"/>
          <w:szCs w:val="24"/>
        </w:rPr>
        <w:t>genital tract bacteria,</w:t>
      </w:r>
      <w:r w:rsidR="00073CF4" w:rsidRPr="0052360E">
        <w:rPr>
          <w:rFonts w:ascii="Times New Roman" w:hAnsi="Times New Roman" w:cs="Times New Roman"/>
          <w:sz w:val="24"/>
          <w:szCs w:val="24"/>
          <w:vertAlign w:val="superscript"/>
        </w:rPr>
        <w:t>5</w:t>
      </w:r>
      <w:r w:rsidR="002B467F" w:rsidRPr="0052360E">
        <w:rPr>
          <w:rFonts w:ascii="Times New Roman" w:hAnsi="Times New Roman" w:cs="Times New Roman"/>
          <w:sz w:val="24"/>
          <w:szCs w:val="24"/>
        </w:rPr>
        <w:t xml:space="preserve"> which have developed specialised mechanisms for obtaining iron from host tissues and</w:t>
      </w:r>
      <w:r w:rsidR="00073CF4" w:rsidRPr="0052360E">
        <w:rPr>
          <w:rFonts w:ascii="Times New Roman" w:hAnsi="Times New Roman" w:cs="Times New Roman"/>
          <w:sz w:val="24"/>
          <w:szCs w:val="24"/>
        </w:rPr>
        <w:t xml:space="preserve"> extracellular fluid</w:t>
      </w:r>
      <w:r w:rsidR="002B467F" w:rsidRPr="0052360E">
        <w:rPr>
          <w:rFonts w:ascii="Times New Roman" w:hAnsi="Times New Roman" w:cs="Times New Roman"/>
          <w:sz w:val="24"/>
          <w:szCs w:val="24"/>
        </w:rPr>
        <w:t>.</w:t>
      </w:r>
      <w:r w:rsidR="00073CF4" w:rsidRPr="0052360E">
        <w:rPr>
          <w:rFonts w:ascii="Times New Roman" w:hAnsi="Times New Roman" w:cs="Times New Roman"/>
          <w:sz w:val="24"/>
          <w:szCs w:val="24"/>
          <w:vertAlign w:val="superscript"/>
        </w:rPr>
        <w:t>6</w:t>
      </w:r>
      <w:r w:rsidR="002B467F" w:rsidRPr="0052360E">
        <w:rPr>
          <w:rFonts w:ascii="Times New Roman" w:hAnsi="Times New Roman" w:cs="Times New Roman"/>
          <w:sz w:val="24"/>
          <w:szCs w:val="24"/>
        </w:rPr>
        <w:t xml:space="preserve"> Iron is </w:t>
      </w:r>
      <w:r w:rsidR="0011188C" w:rsidRPr="0052360E">
        <w:rPr>
          <w:rFonts w:ascii="Times New Roman" w:hAnsi="Times New Roman" w:cs="Times New Roman"/>
          <w:sz w:val="24"/>
          <w:szCs w:val="24"/>
        </w:rPr>
        <w:t>readily available</w:t>
      </w:r>
      <w:r w:rsidR="002B467F" w:rsidRPr="0052360E">
        <w:rPr>
          <w:rFonts w:ascii="Times New Roman" w:hAnsi="Times New Roman" w:cs="Times New Roman"/>
          <w:sz w:val="24"/>
          <w:szCs w:val="24"/>
        </w:rPr>
        <w:t xml:space="preserve"> from heme during menses</w:t>
      </w:r>
      <w:r w:rsidR="0011188C" w:rsidRPr="0052360E">
        <w:rPr>
          <w:rFonts w:ascii="Times New Roman" w:hAnsi="Times New Roman" w:cs="Times New Roman"/>
          <w:sz w:val="24"/>
          <w:szCs w:val="24"/>
        </w:rPr>
        <w:t>,</w:t>
      </w:r>
      <w:r w:rsidR="00085F10" w:rsidRPr="0052360E">
        <w:rPr>
          <w:rFonts w:ascii="Times New Roman" w:hAnsi="Times New Roman" w:cs="Times New Roman"/>
          <w:sz w:val="24"/>
          <w:szCs w:val="24"/>
        </w:rPr>
        <w:t xml:space="preserve"> while transferrin and ferritin are</w:t>
      </w:r>
      <w:r w:rsidR="002B467F" w:rsidRPr="0052360E">
        <w:rPr>
          <w:rFonts w:ascii="Times New Roman" w:hAnsi="Times New Roman" w:cs="Times New Roman"/>
          <w:sz w:val="24"/>
          <w:szCs w:val="24"/>
        </w:rPr>
        <w:t xml:space="preserve"> trans</w:t>
      </w:r>
      <w:r w:rsidR="00085F10" w:rsidRPr="0052360E">
        <w:rPr>
          <w:rFonts w:ascii="Times New Roman" w:hAnsi="Times New Roman" w:cs="Times New Roman"/>
          <w:sz w:val="24"/>
          <w:szCs w:val="24"/>
        </w:rPr>
        <w:t>udated</w:t>
      </w:r>
      <w:r w:rsidR="002B467F" w:rsidRPr="0052360E">
        <w:rPr>
          <w:rFonts w:ascii="Times New Roman" w:hAnsi="Times New Roman" w:cs="Times New Roman"/>
          <w:sz w:val="24"/>
          <w:szCs w:val="24"/>
        </w:rPr>
        <w:t xml:space="preserve"> across the vagina lamina prop</w:t>
      </w:r>
      <w:r w:rsidR="00073CF4" w:rsidRPr="0052360E">
        <w:rPr>
          <w:rFonts w:ascii="Times New Roman" w:hAnsi="Times New Roman" w:cs="Times New Roman"/>
          <w:sz w:val="24"/>
          <w:szCs w:val="24"/>
        </w:rPr>
        <w:t>ria</w:t>
      </w:r>
      <w:r w:rsidR="002B467F" w:rsidRPr="0052360E">
        <w:rPr>
          <w:rFonts w:ascii="Times New Roman" w:hAnsi="Times New Roman" w:cs="Times New Roman"/>
          <w:sz w:val="24"/>
          <w:szCs w:val="24"/>
        </w:rPr>
        <w:t>.</w:t>
      </w:r>
      <w:r w:rsidR="00073CF4" w:rsidRPr="0052360E">
        <w:rPr>
          <w:rFonts w:ascii="Times New Roman" w:hAnsi="Times New Roman" w:cs="Times New Roman"/>
          <w:sz w:val="24"/>
          <w:szCs w:val="24"/>
          <w:vertAlign w:val="superscript"/>
        </w:rPr>
        <w:t>7</w:t>
      </w:r>
      <w:r w:rsidR="002B467F" w:rsidRPr="0052360E">
        <w:rPr>
          <w:rFonts w:ascii="Times New Roman" w:hAnsi="Times New Roman" w:cs="Times New Roman"/>
          <w:sz w:val="24"/>
          <w:szCs w:val="24"/>
        </w:rPr>
        <w:t xml:space="preserve">  </w:t>
      </w:r>
      <w:r w:rsidR="002A33E3" w:rsidRPr="0052360E">
        <w:rPr>
          <w:rFonts w:ascii="Times New Roman" w:hAnsi="Times New Roman" w:cs="Times New Roman"/>
          <w:sz w:val="24"/>
          <w:szCs w:val="24"/>
        </w:rPr>
        <w:t>Lf concentrations rise with genital infection</w:t>
      </w:r>
      <w:r w:rsidR="00073CF4" w:rsidRPr="0052360E">
        <w:rPr>
          <w:rFonts w:ascii="Times New Roman" w:hAnsi="Times New Roman" w:cs="Times New Roman"/>
          <w:sz w:val="24"/>
          <w:szCs w:val="24"/>
          <w:vertAlign w:val="superscript"/>
        </w:rPr>
        <w:t>8,9</w:t>
      </w:r>
      <w:r w:rsidR="002A33E3" w:rsidRPr="0052360E">
        <w:rPr>
          <w:rFonts w:ascii="Times New Roman" w:hAnsi="Times New Roman" w:cs="Times New Roman"/>
          <w:sz w:val="24"/>
          <w:szCs w:val="24"/>
        </w:rPr>
        <w:t xml:space="preserve"> </w:t>
      </w:r>
      <w:r w:rsidR="0021708F" w:rsidRPr="0052360E">
        <w:rPr>
          <w:rFonts w:ascii="Times New Roman" w:hAnsi="Times New Roman" w:cs="Times New Roman"/>
          <w:sz w:val="24"/>
          <w:szCs w:val="24"/>
        </w:rPr>
        <w:t>because</w:t>
      </w:r>
      <w:r w:rsidR="002A33E3" w:rsidRPr="0052360E">
        <w:rPr>
          <w:rFonts w:ascii="Times New Roman" w:hAnsi="Times New Roman" w:cs="Times New Roman"/>
          <w:sz w:val="24"/>
          <w:szCs w:val="24"/>
        </w:rPr>
        <w:t xml:space="preserve"> neutrophils release Lf from their sec</w:t>
      </w:r>
      <w:r w:rsidR="00085F10" w:rsidRPr="0052360E">
        <w:rPr>
          <w:rFonts w:ascii="Times New Roman" w:hAnsi="Times New Roman" w:cs="Times New Roman"/>
          <w:sz w:val="24"/>
          <w:szCs w:val="24"/>
        </w:rPr>
        <w:t>ondary compartment to</w:t>
      </w:r>
      <w:r w:rsidR="002A33E3" w:rsidRPr="0052360E">
        <w:rPr>
          <w:rFonts w:ascii="Times New Roman" w:hAnsi="Times New Roman" w:cs="Times New Roman"/>
          <w:sz w:val="24"/>
          <w:szCs w:val="24"/>
        </w:rPr>
        <w:t xml:space="preserve"> sites of infection.</w:t>
      </w:r>
      <w:r w:rsidR="00265168" w:rsidRPr="0052360E">
        <w:rPr>
          <w:rFonts w:ascii="Times New Roman" w:hAnsi="Times New Roman" w:cs="Times New Roman"/>
          <w:sz w:val="24"/>
          <w:szCs w:val="24"/>
        </w:rPr>
        <w:t xml:space="preserve"> Although Lf binds and reduces iron availability, Lf-bound iron may itself become an </w:t>
      </w:r>
      <w:r w:rsidR="00920982" w:rsidRPr="0052360E">
        <w:rPr>
          <w:rFonts w:ascii="Times New Roman" w:hAnsi="Times New Roman" w:cs="Times New Roman"/>
          <w:sz w:val="24"/>
          <w:szCs w:val="24"/>
        </w:rPr>
        <w:t>iron source for common bacteria</w:t>
      </w:r>
      <w:r w:rsidR="00265168" w:rsidRPr="0052360E">
        <w:rPr>
          <w:rFonts w:ascii="Times New Roman" w:hAnsi="Times New Roman" w:cs="Times New Roman"/>
          <w:sz w:val="24"/>
          <w:szCs w:val="24"/>
        </w:rPr>
        <w:t xml:space="preserve"> such as </w:t>
      </w:r>
      <w:r w:rsidR="00265168" w:rsidRPr="0052360E">
        <w:rPr>
          <w:rFonts w:ascii="Times New Roman" w:hAnsi="Times New Roman" w:cs="Times New Roman"/>
          <w:i/>
          <w:sz w:val="24"/>
          <w:szCs w:val="24"/>
        </w:rPr>
        <w:t>Gardnerella vaginalis</w:t>
      </w:r>
      <w:r w:rsidR="00265168" w:rsidRPr="0052360E">
        <w:rPr>
          <w:rFonts w:ascii="Times New Roman" w:hAnsi="Times New Roman" w:cs="Times New Roman"/>
          <w:sz w:val="24"/>
          <w:szCs w:val="24"/>
        </w:rPr>
        <w:t>.</w:t>
      </w:r>
      <w:r w:rsidR="00073CF4" w:rsidRPr="0052360E">
        <w:rPr>
          <w:rFonts w:ascii="Times New Roman" w:hAnsi="Times New Roman" w:cs="Times New Roman"/>
          <w:sz w:val="24"/>
          <w:szCs w:val="24"/>
          <w:vertAlign w:val="superscript"/>
        </w:rPr>
        <w:t>10</w:t>
      </w:r>
      <w:r w:rsidR="00265168" w:rsidRPr="0052360E">
        <w:rPr>
          <w:rFonts w:ascii="Times New Roman" w:hAnsi="Times New Roman" w:cs="Times New Roman"/>
          <w:sz w:val="24"/>
          <w:szCs w:val="24"/>
        </w:rPr>
        <w:t xml:space="preserve"> </w:t>
      </w:r>
      <w:r w:rsidR="00920982" w:rsidRPr="0052360E">
        <w:rPr>
          <w:rFonts w:ascii="Times New Roman" w:hAnsi="Times New Roman" w:cs="Times New Roman"/>
          <w:sz w:val="24"/>
          <w:szCs w:val="24"/>
        </w:rPr>
        <w:t xml:space="preserve">In </w:t>
      </w:r>
      <w:r w:rsidR="005B459F" w:rsidRPr="0052360E">
        <w:rPr>
          <w:rFonts w:ascii="Times New Roman" w:hAnsi="Times New Roman" w:cs="Times New Roman"/>
          <w:sz w:val="24"/>
          <w:szCs w:val="24"/>
        </w:rPr>
        <w:t>systemic infection</w:t>
      </w:r>
      <w:r w:rsidR="00F513B5" w:rsidRPr="0052360E">
        <w:rPr>
          <w:rFonts w:ascii="Times New Roman" w:hAnsi="Times New Roman" w:cs="Times New Roman"/>
          <w:sz w:val="24"/>
          <w:szCs w:val="24"/>
        </w:rPr>
        <w:t>, p</w:t>
      </w:r>
      <w:r w:rsidR="002A33E3" w:rsidRPr="0052360E">
        <w:rPr>
          <w:rFonts w:ascii="Times New Roman" w:hAnsi="Times New Roman" w:cs="Times New Roman"/>
          <w:sz w:val="24"/>
          <w:szCs w:val="24"/>
        </w:rPr>
        <w:t>roteins involved in iron homeostasis are regulated at the macrophage level during in</w:t>
      </w:r>
      <w:r w:rsidR="00073CF4" w:rsidRPr="0052360E">
        <w:rPr>
          <w:rFonts w:ascii="Times New Roman" w:hAnsi="Times New Roman" w:cs="Times New Roman"/>
          <w:sz w:val="24"/>
          <w:szCs w:val="24"/>
        </w:rPr>
        <w:t>flammation</w:t>
      </w:r>
      <w:r w:rsidR="00073CF4" w:rsidRPr="0052360E">
        <w:rPr>
          <w:rFonts w:ascii="Times New Roman" w:hAnsi="Times New Roman" w:cs="Times New Roman"/>
          <w:sz w:val="24"/>
          <w:szCs w:val="24"/>
          <w:vertAlign w:val="superscript"/>
        </w:rPr>
        <w:t>11</w:t>
      </w:r>
      <w:r w:rsidR="00265168" w:rsidRPr="0052360E">
        <w:rPr>
          <w:rFonts w:ascii="Times New Roman" w:hAnsi="Times New Roman" w:cs="Times New Roman"/>
          <w:sz w:val="24"/>
          <w:szCs w:val="24"/>
        </w:rPr>
        <w:t xml:space="preserve"> and t</w:t>
      </w:r>
      <w:r w:rsidR="00085F10" w:rsidRPr="0052360E">
        <w:rPr>
          <w:rFonts w:ascii="Times New Roman" w:hAnsi="Times New Roman" w:cs="Times New Roman"/>
          <w:sz w:val="24"/>
          <w:szCs w:val="24"/>
        </w:rPr>
        <w:t>he intera</w:t>
      </w:r>
      <w:r w:rsidR="005B459F" w:rsidRPr="0052360E">
        <w:rPr>
          <w:rFonts w:ascii="Times New Roman" w:hAnsi="Times New Roman" w:cs="Times New Roman"/>
          <w:sz w:val="24"/>
          <w:szCs w:val="24"/>
        </w:rPr>
        <w:t xml:space="preserve">ction between ferroportin and </w:t>
      </w:r>
      <w:r w:rsidR="00F513B5" w:rsidRPr="0052360E">
        <w:rPr>
          <w:rFonts w:ascii="Times New Roman" w:hAnsi="Times New Roman" w:cs="Times New Roman"/>
          <w:sz w:val="24"/>
          <w:szCs w:val="24"/>
        </w:rPr>
        <w:t xml:space="preserve">hepcidin ensures </w:t>
      </w:r>
      <w:r w:rsidR="00085F10" w:rsidRPr="0052360E">
        <w:rPr>
          <w:rFonts w:ascii="Times New Roman" w:hAnsi="Times New Roman" w:cs="Times New Roman"/>
          <w:sz w:val="24"/>
          <w:szCs w:val="24"/>
        </w:rPr>
        <w:t>th</w:t>
      </w:r>
      <w:r w:rsidR="00265168" w:rsidRPr="0052360E">
        <w:rPr>
          <w:rFonts w:ascii="Times New Roman" w:hAnsi="Times New Roman" w:cs="Times New Roman"/>
          <w:sz w:val="24"/>
          <w:szCs w:val="24"/>
        </w:rPr>
        <w:t>at</w:t>
      </w:r>
      <w:r w:rsidR="00085F10" w:rsidRPr="0052360E">
        <w:rPr>
          <w:rFonts w:ascii="Times New Roman" w:hAnsi="Times New Roman" w:cs="Times New Roman"/>
          <w:sz w:val="24"/>
          <w:szCs w:val="24"/>
        </w:rPr>
        <w:t xml:space="preserve"> circulatory iron is related to host requirements</w:t>
      </w:r>
      <w:r w:rsidR="00F513B5" w:rsidRPr="0052360E">
        <w:rPr>
          <w:rFonts w:ascii="Times New Roman" w:hAnsi="Times New Roman" w:cs="Times New Roman"/>
          <w:sz w:val="24"/>
          <w:szCs w:val="24"/>
        </w:rPr>
        <w:t>. A</w:t>
      </w:r>
      <w:r w:rsidR="00537F0C" w:rsidRPr="0052360E">
        <w:rPr>
          <w:rFonts w:ascii="Times New Roman" w:hAnsi="Times New Roman" w:cs="Times New Roman"/>
          <w:sz w:val="24"/>
          <w:szCs w:val="24"/>
        </w:rPr>
        <w:t xml:space="preserve"> </w:t>
      </w:r>
      <w:r w:rsidR="00085F10" w:rsidRPr="0052360E">
        <w:rPr>
          <w:rFonts w:ascii="Times New Roman" w:hAnsi="Times New Roman" w:cs="Times New Roman"/>
          <w:sz w:val="24"/>
          <w:szCs w:val="24"/>
        </w:rPr>
        <w:t xml:space="preserve">local hepcidin response to </w:t>
      </w:r>
      <w:r w:rsidR="00265168" w:rsidRPr="0052360E">
        <w:rPr>
          <w:rFonts w:ascii="Times New Roman" w:hAnsi="Times New Roman" w:cs="Times New Roman"/>
          <w:sz w:val="24"/>
          <w:szCs w:val="24"/>
        </w:rPr>
        <w:t>genital tract inflammation</w:t>
      </w:r>
      <w:r w:rsidR="00537F0C" w:rsidRPr="0052360E">
        <w:rPr>
          <w:rFonts w:ascii="Times New Roman" w:hAnsi="Times New Roman" w:cs="Times New Roman"/>
          <w:sz w:val="24"/>
          <w:szCs w:val="24"/>
        </w:rPr>
        <w:t xml:space="preserve"> has not been described</w:t>
      </w:r>
      <w:r w:rsidR="00265168" w:rsidRPr="0052360E">
        <w:rPr>
          <w:rFonts w:ascii="Times New Roman" w:hAnsi="Times New Roman" w:cs="Times New Roman"/>
          <w:sz w:val="24"/>
          <w:szCs w:val="24"/>
        </w:rPr>
        <w:t xml:space="preserve">. </w:t>
      </w:r>
      <w:r w:rsidR="00552743" w:rsidRPr="0052360E">
        <w:rPr>
          <w:rFonts w:ascii="Times New Roman" w:hAnsi="Times New Roman" w:cs="Times New Roman"/>
          <w:sz w:val="24"/>
          <w:szCs w:val="24"/>
        </w:rPr>
        <w:t>I</w:t>
      </w:r>
      <w:r w:rsidR="002D1B96" w:rsidRPr="0052360E">
        <w:rPr>
          <w:rFonts w:ascii="Times New Roman" w:hAnsi="Times New Roman" w:cs="Times New Roman"/>
          <w:sz w:val="24"/>
          <w:szCs w:val="24"/>
        </w:rPr>
        <w:t>n</w:t>
      </w:r>
      <w:r w:rsidR="00552743" w:rsidRPr="0052360E">
        <w:rPr>
          <w:rFonts w:ascii="Times New Roman" w:hAnsi="Times New Roman" w:cs="Times New Roman"/>
          <w:sz w:val="24"/>
          <w:szCs w:val="24"/>
        </w:rPr>
        <w:t xml:space="preserve">dependent of inflammation, </w:t>
      </w:r>
      <w:r w:rsidR="00DC0126" w:rsidRPr="0052360E">
        <w:rPr>
          <w:rFonts w:ascii="Times New Roman" w:hAnsi="Times New Roman" w:cs="Times New Roman"/>
          <w:sz w:val="24"/>
          <w:szCs w:val="24"/>
        </w:rPr>
        <w:t xml:space="preserve">Lf gene expression is </w:t>
      </w:r>
      <w:r w:rsidR="006F2355" w:rsidRPr="0052360E">
        <w:rPr>
          <w:rFonts w:ascii="Times New Roman" w:hAnsi="Times New Roman" w:cs="Times New Roman"/>
          <w:sz w:val="24"/>
          <w:szCs w:val="24"/>
        </w:rPr>
        <w:t xml:space="preserve">also </w:t>
      </w:r>
      <w:r w:rsidR="00DC0126" w:rsidRPr="0052360E">
        <w:rPr>
          <w:rFonts w:ascii="Times New Roman" w:hAnsi="Times New Roman" w:cs="Times New Roman"/>
          <w:sz w:val="24"/>
          <w:szCs w:val="24"/>
        </w:rPr>
        <w:t>regulated by estrogen</w:t>
      </w:r>
      <w:r w:rsidR="0059193C" w:rsidRPr="0052360E">
        <w:rPr>
          <w:rFonts w:ascii="Times New Roman" w:hAnsi="Times New Roman" w:cs="Times New Roman"/>
          <w:sz w:val="24"/>
          <w:szCs w:val="24"/>
        </w:rPr>
        <w:t>,</w:t>
      </w:r>
      <w:r w:rsidR="00DC0126" w:rsidRPr="0052360E">
        <w:rPr>
          <w:rFonts w:ascii="Times New Roman" w:hAnsi="Times New Roman" w:cs="Times New Roman"/>
          <w:sz w:val="24"/>
          <w:szCs w:val="24"/>
        </w:rPr>
        <w:t xml:space="preserve"> which controls Lf produced constitutively in vaginal epithelial cells</w:t>
      </w:r>
      <w:r w:rsidR="00732C85" w:rsidRPr="0052360E">
        <w:rPr>
          <w:rFonts w:ascii="Times New Roman" w:hAnsi="Times New Roman" w:cs="Times New Roman"/>
          <w:sz w:val="24"/>
          <w:szCs w:val="24"/>
        </w:rPr>
        <w:t>.</w:t>
      </w:r>
      <w:r w:rsidR="00732C85" w:rsidRPr="0052360E">
        <w:rPr>
          <w:rFonts w:ascii="Times New Roman" w:hAnsi="Times New Roman" w:cs="Times New Roman"/>
          <w:sz w:val="24"/>
          <w:szCs w:val="24"/>
          <w:vertAlign w:val="superscript"/>
        </w:rPr>
        <w:t>3,12</w:t>
      </w:r>
      <w:r w:rsidR="007E5F0B" w:rsidRPr="0052360E">
        <w:rPr>
          <w:rFonts w:ascii="Times New Roman" w:hAnsi="Times New Roman" w:cs="Times New Roman"/>
          <w:sz w:val="24"/>
          <w:szCs w:val="24"/>
          <w:vertAlign w:val="superscript"/>
        </w:rPr>
        <w:t xml:space="preserve"> </w:t>
      </w:r>
      <w:r w:rsidR="00732C85" w:rsidRPr="0052360E">
        <w:rPr>
          <w:rFonts w:ascii="Times New Roman" w:hAnsi="Times New Roman" w:cs="Times New Roman"/>
          <w:sz w:val="24"/>
          <w:szCs w:val="24"/>
        </w:rPr>
        <w:t>V</w:t>
      </w:r>
      <w:r w:rsidR="00DC0126" w:rsidRPr="0052360E">
        <w:rPr>
          <w:rFonts w:ascii="Times New Roman" w:hAnsi="Times New Roman" w:cs="Times New Roman"/>
          <w:sz w:val="24"/>
          <w:szCs w:val="24"/>
        </w:rPr>
        <w:t>aginal Lf concentrations vary over the menstrual cycle with estrogen surges</w:t>
      </w:r>
      <w:r w:rsidR="00732C85" w:rsidRPr="0052360E">
        <w:rPr>
          <w:rFonts w:ascii="Times New Roman" w:hAnsi="Times New Roman" w:cs="Times New Roman"/>
          <w:sz w:val="24"/>
          <w:szCs w:val="24"/>
          <w:vertAlign w:val="superscript"/>
        </w:rPr>
        <w:t>13</w:t>
      </w:r>
      <w:r w:rsidR="00DC0126" w:rsidRPr="0052360E">
        <w:rPr>
          <w:rFonts w:ascii="Times New Roman" w:hAnsi="Times New Roman" w:cs="Times New Roman"/>
          <w:sz w:val="24"/>
          <w:szCs w:val="24"/>
        </w:rPr>
        <w:t xml:space="preserve"> and plasma Lf </w:t>
      </w:r>
      <w:r w:rsidR="006F2355" w:rsidRPr="0052360E">
        <w:rPr>
          <w:rFonts w:ascii="Times New Roman" w:hAnsi="Times New Roman" w:cs="Times New Roman"/>
          <w:sz w:val="24"/>
          <w:szCs w:val="24"/>
        </w:rPr>
        <w:t xml:space="preserve">was reported </w:t>
      </w:r>
      <w:r w:rsidR="00DC0126" w:rsidRPr="0052360E">
        <w:rPr>
          <w:rFonts w:ascii="Times New Roman" w:hAnsi="Times New Roman" w:cs="Times New Roman"/>
          <w:sz w:val="24"/>
          <w:szCs w:val="24"/>
        </w:rPr>
        <w:t>higher in pregnancy</w:t>
      </w:r>
      <w:r w:rsidR="00732C85" w:rsidRPr="0052360E">
        <w:rPr>
          <w:rFonts w:ascii="Times New Roman" w:hAnsi="Times New Roman" w:cs="Times New Roman"/>
          <w:sz w:val="24"/>
          <w:szCs w:val="24"/>
        </w:rPr>
        <w:t>.</w:t>
      </w:r>
      <w:r w:rsidR="00732C85" w:rsidRPr="0052360E">
        <w:rPr>
          <w:rFonts w:ascii="Times New Roman" w:hAnsi="Times New Roman" w:cs="Times New Roman"/>
          <w:sz w:val="24"/>
          <w:szCs w:val="24"/>
          <w:vertAlign w:val="superscript"/>
        </w:rPr>
        <w:t>14</w:t>
      </w:r>
    </w:p>
    <w:p w14:paraId="45DEBB7B" w14:textId="0F7F6533" w:rsidR="00C94738" w:rsidRPr="0052360E" w:rsidRDefault="00265168" w:rsidP="008C59EA">
      <w:pPr>
        <w:spacing w:line="480" w:lineRule="auto"/>
        <w:ind w:left="227" w:right="227"/>
        <w:rPr>
          <w:rFonts w:ascii="Times New Roman" w:hAnsi="Times New Roman" w:cs="Times New Roman"/>
          <w:sz w:val="24"/>
          <w:szCs w:val="24"/>
        </w:rPr>
      </w:pPr>
      <w:r w:rsidRPr="0052360E">
        <w:rPr>
          <w:rFonts w:ascii="Times New Roman" w:hAnsi="Times New Roman" w:cs="Times New Roman"/>
          <w:sz w:val="24"/>
          <w:szCs w:val="24"/>
        </w:rPr>
        <w:t xml:space="preserve">Given the lack of studies characterising Lf profiles in women of reproductive age, </w:t>
      </w:r>
      <w:r w:rsidR="002D1B96" w:rsidRPr="0052360E">
        <w:rPr>
          <w:rFonts w:ascii="Times New Roman" w:hAnsi="Times New Roman" w:cs="Times New Roman"/>
          <w:sz w:val="24"/>
          <w:szCs w:val="24"/>
        </w:rPr>
        <w:t>w</w:t>
      </w:r>
      <w:r w:rsidR="00DC0126" w:rsidRPr="0052360E">
        <w:rPr>
          <w:rFonts w:ascii="Times New Roman" w:hAnsi="Times New Roman" w:cs="Times New Roman"/>
          <w:sz w:val="24"/>
          <w:szCs w:val="24"/>
        </w:rPr>
        <w:t xml:space="preserve">e </w:t>
      </w:r>
      <w:r w:rsidRPr="0052360E">
        <w:rPr>
          <w:rFonts w:ascii="Times New Roman" w:hAnsi="Times New Roman" w:cs="Times New Roman"/>
          <w:sz w:val="24"/>
          <w:szCs w:val="24"/>
        </w:rPr>
        <w:t xml:space="preserve">sought to </w:t>
      </w:r>
      <w:r w:rsidR="00DC0126" w:rsidRPr="0052360E">
        <w:rPr>
          <w:rFonts w:ascii="Times New Roman" w:hAnsi="Times New Roman" w:cs="Times New Roman"/>
          <w:sz w:val="24"/>
          <w:szCs w:val="24"/>
        </w:rPr>
        <w:t xml:space="preserve">describe </w:t>
      </w:r>
      <w:r w:rsidRPr="0052360E">
        <w:rPr>
          <w:rFonts w:ascii="Times New Roman" w:hAnsi="Times New Roman" w:cs="Times New Roman"/>
          <w:sz w:val="24"/>
          <w:szCs w:val="24"/>
        </w:rPr>
        <w:t xml:space="preserve">factors affecting Lf concentration in </w:t>
      </w:r>
      <w:r w:rsidR="00537F0C" w:rsidRPr="0052360E">
        <w:rPr>
          <w:rFonts w:ascii="Times New Roman" w:hAnsi="Times New Roman" w:cs="Times New Roman"/>
          <w:sz w:val="24"/>
          <w:szCs w:val="24"/>
        </w:rPr>
        <w:t xml:space="preserve">a young, largely adolescent population </w:t>
      </w:r>
      <w:r w:rsidR="00DC0126" w:rsidRPr="0052360E">
        <w:rPr>
          <w:rFonts w:ascii="Times New Roman" w:hAnsi="Times New Roman" w:cs="Times New Roman"/>
          <w:sz w:val="24"/>
          <w:szCs w:val="24"/>
        </w:rPr>
        <w:t xml:space="preserve">participating in a </w:t>
      </w:r>
      <w:r w:rsidR="001C5CA5" w:rsidRPr="0052360E">
        <w:rPr>
          <w:rFonts w:ascii="Times New Roman" w:hAnsi="Times New Roman" w:cs="Times New Roman"/>
          <w:sz w:val="24"/>
          <w:szCs w:val="24"/>
        </w:rPr>
        <w:t xml:space="preserve">periconceptional </w:t>
      </w:r>
      <w:r w:rsidR="00DC0126" w:rsidRPr="0052360E">
        <w:rPr>
          <w:rFonts w:ascii="Times New Roman" w:hAnsi="Times New Roman" w:cs="Times New Roman"/>
          <w:sz w:val="24"/>
          <w:szCs w:val="24"/>
        </w:rPr>
        <w:t>trial to investigate safety of weekly iron supplementation in rural Burkina Faso</w:t>
      </w:r>
      <w:r w:rsidR="00CC3169" w:rsidRPr="0052360E">
        <w:rPr>
          <w:rFonts w:ascii="Times New Roman" w:hAnsi="Times New Roman" w:cs="Times New Roman"/>
          <w:sz w:val="24"/>
          <w:szCs w:val="24"/>
        </w:rPr>
        <w:t xml:space="preserve">. </w:t>
      </w:r>
      <w:r w:rsidR="00DC0126" w:rsidRPr="0052360E">
        <w:rPr>
          <w:rFonts w:ascii="Times New Roman" w:hAnsi="Times New Roman" w:cs="Times New Roman"/>
          <w:sz w:val="24"/>
          <w:szCs w:val="24"/>
          <w:vertAlign w:val="superscript"/>
        </w:rPr>
        <w:t xml:space="preserve"> </w:t>
      </w:r>
      <w:r w:rsidR="00CC3169" w:rsidRPr="0052360E">
        <w:rPr>
          <w:rFonts w:ascii="Times New Roman" w:hAnsi="Times New Roman" w:cs="Times New Roman"/>
          <w:sz w:val="24"/>
          <w:szCs w:val="24"/>
        </w:rPr>
        <w:t xml:space="preserve">Results of this </w:t>
      </w:r>
      <w:r w:rsidR="004F57D2" w:rsidRPr="0052360E">
        <w:rPr>
          <w:rFonts w:ascii="Times New Roman" w:hAnsi="Times New Roman" w:cs="Times New Roman"/>
          <w:sz w:val="24"/>
          <w:szCs w:val="24"/>
        </w:rPr>
        <w:t>randomiz</w:t>
      </w:r>
      <w:r w:rsidR="00537F0C" w:rsidRPr="0052360E">
        <w:rPr>
          <w:rFonts w:ascii="Times New Roman" w:hAnsi="Times New Roman" w:cs="Times New Roman"/>
          <w:sz w:val="24"/>
          <w:szCs w:val="24"/>
        </w:rPr>
        <w:t>ed trial have been reported</w:t>
      </w:r>
      <w:r w:rsidR="00732C85" w:rsidRPr="0052360E">
        <w:rPr>
          <w:rFonts w:ascii="Times New Roman" w:hAnsi="Times New Roman" w:cs="Times New Roman"/>
          <w:sz w:val="24"/>
          <w:szCs w:val="24"/>
          <w:vertAlign w:val="superscript"/>
        </w:rPr>
        <w:t>15,16</w:t>
      </w:r>
      <w:r w:rsidR="00D255B7" w:rsidRPr="0052360E">
        <w:rPr>
          <w:rFonts w:ascii="Times New Roman" w:hAnsi="Times New Roman" w:cs="Times New Roman"/>
          <w:sz w:val="24"/>
          <w:szCs w:val="24"/>
        </w:rPr>
        <w:t xml:space="preserve"> including our finding of an </w:t>
      </w:r>
      <w:r w:rsidR="00D255B7" w:rsidRPr="0052360E">
        <w:rPr>
          <w:rFonts w:ascii="Times New Roman" w:hAnsi="Times New Roman" w:cs="Times New Roman"/>
          <w:bCs/>
          <w:sz w:val="24"/>
          <w:szCs w:val="24"/>
          <w:lang w:val="en-US"/>
        </w:rPr>
        <w:t>effect modifier of nutritional status for BV infection</w:t>
      </w:r>
      <w:r w:rsidR="00CC3169" w:rsidRPr="0052360E">
        <w:rPr>
          <w:rFonts w:ascii="Times New Roman" w:hAnsi="Times New Roman" w:cs="Times New Roman"/>
          <w:sz w:val="24"/>
          <w:szCs w:val="24"/>
        </w:rPr>
        <w:t xml:space="preserve">. </w:t>
      </w:r>
      <w:r w:rsidR="00C94738" w:rsidRPr="0052360E">
        <w:rPr>
          <w:rFonts w:ascii="Times New Roman" w:hAnsi="Times New Roman" w:cs="Times New Roman"/>
          <w:sz w:val="24"/>
          <w:szCs w:val="24"/>
        </w:rPr>
        <w:t xml:space="preserve"> </w:t>
      </w:r>
      <w:r w:rsidR="00CC3169" w:rsidRPr="0052360E">
        <w:rPr>
          <w:rFonts w:ascii="Times New Roman" w:hAnsi="Times New Roman" w:cs="Times New Roman"/>
          <w:sz w:val="24"/>
          <w:szCs w:val="24"/>
        </w:rPr>
        <w:t xml:space="preserve">The </w:t>
      </w:r>
      <w:r w:rsidR="00C94738" w:rsidRPr="0052360E">
        <w:rPr>
          <w:rFonts w:ascii="Times New Roman" w:hAnsi="Times New Roman" w:cs="Times New Roman"/>
          <w:sz w:val="24"/>
          <w:szCs w:val="24"/>
        </w:rPr>
        <w:t xml:space="preserve">aims </w:t>
      </w:r>
      <w:r w:rsidR="00CC3169" w:rsidRPr="0052360E">
        <w:rPr>
          <w:rFonts w:ascii="Times New Roman" w:hAnsi="Times New Roman" w:cs="Times New Roman"/>
          <w:sz w:val="24"/>
          <w:szCs w:val="24"/>
        </w:rPr>
        <w:t>of the present sub-study</w:t>
      </w:r>
      <w:r w:rsidR="00537F0C" w:rsidRPr="0052360E">
        <w:rPr>
          <w:rFonts w:ascii="Times New Roman" w:hAnsi="Times New Roman" w:cs="Times New Roman"/>
          <w:sz w:val="24"/>
          <w:szCs w:val="24"/>
        </w:rPr>
        <w:t xml:space="preserve"> </w:t>
      </w:r>
      <w:r w:rsidR="00C94738" w:rsidRPr="0052360E">
        <w:rPr>
          <w:rFonts w:ascii="Times New Roman" w:hAnsi="Times New Roman" w:cs="Times New Roman"/>
          <w:sz w:val="24"/>
          <w:szCs w:val="24"/>
        </w:rPr>
        <w:t>were (1) to measure and c</w:t>
      </w:r>
      <w:r w:rsidR="00D255B7" w:rsidRPr="0052360E">
        <w:rPr>
          <w:rFonts w:ascii="Times New Roman" w:hAnsi="Times New Roman" w:cs="Times New Roman"/>
          <w:sz w:val="24"/>
          <w:szCs w:val="24"/>
        </w:rPr>
        <w:t>ompare</w:t>
      </w:r>
      <w:r w:rsidR="00C94738" w:rsidRPr="0052360E">
        <w:rPr>
          <w:rFonts w:ascii="Times New Roman" w:hAnsi="Times New Roman" w:cs="Times New Roman"/>
          <w:sz w:val="24"/>
          <w:szCs w:val="24"/>
        </w:rPr>
        <w:t xml:space="preserve"> Lf concentrations from vaginal eluates in nulliparae and primigravidae; (2) to estimate the effects of  participant characteristics and nutritional status</w:t>
      </w:r>
      <w:r w:rsidR="0031738A" w:rsidRPr="0052360E">
        <w:rPr>
          <w:rFonts w:ascii="Times New Roman" w:hAnsi="Times New Roman" w:cs="Times New Roman"/>
          <w:sz w:val="24"/>
          <w:szCs w:val="24"/>
        </w:rPr>
        <w:t>,</w:t>
      </w:r>
      <w:r w:rsidR="00C94738" w:rsidRPr="0052360E">
        <w:rPr>
          <w:rFonts w:ascii="Times New Roman" w:hAnsi="Times New Roman" w:cs="Times New Roman"/>
          <w:sz w:val="24"/>
          <w:szCs w:val="24"/>
        </w:rPr>
        <w:t xml:space="preserve"> measured by body mass index</w:t>
      </w:r>
      <w:r w:rsidRPr="0052360E">
        <w:rPr>
          <w:rFonts w:ascii="Times New Roman" w:hAnsi="Times New Roman" w:cs="Times New Roman"/>
          <w:sz w:val="24"/>
          <w:szCs w:val="24"/>
        </w:rPr>
        <w:t xml:space="preserve"> (BMI)</w:t>
      </w:r>
      <w:r w:rsidR="00C94738" w:rsidRPr="0052360E">
        <w:rPr>
          <w:rFonts w:ascii="Times New Roman" w:hAnsi="Times New Roman" w:cs="Times New Roman"/>
          <w:sz w:val="24"/>
          <w:szCs w:val="24"/>
        </w:rPr>
        <w:t xml:space="preserve"> and mid-upper arm circumference</w:t>
      </w:r>
      <w:r w:rsidRPr="0052360E">
        <w:rPr>
          <w:rFonts w:ascii="Times New Roman" w:hAnsi="Times New Roman" w:cs="Times New Roman"/>
          <w:sz w:val="24"/>
          <w:szCs w:val="24"/>
        </w:rPr>
        <w:t xml:space="preserve"> (MUAC)</w:t>
      </w:r>
      <w:r w:rsidR="00C94738" w:rsidRPr="0052360E">
        <w:rPr>
          <w:rFonts w:ascii="Times New Roman" w:hAnsi="Times New Roman" w:cs="Times New Roman"/>
          <w:sz w:val="24"/>
          <w:szCs w:val="24"/>
        </w:rPr>
        <w:t xml:space="preserve"> on </w:t>
      </w:r>
      <w:r w:rsidR="00E84124" w:rsidRPr="0052360E">
        <w:rPr>
          <w:rFonts w:ascii="Times New Roman" w:hAnsi="Times New Roman" w:cs="Times New Roman"/>
          <w:sz w:val="24"/>
          <w:szCs w:val="24"/>
        </w:rPr>
        <w:t xml:space="preserve">vaginal </w:t>
      </w:r>
      <w:r w:rsidR="00C94738" w:rsidRPr="0052360E">
        <w:rPr>
          <w:rFonts w:ascii="Times New Roman" w:hAnsi="Times New Roman" w:cs="Times New Roman"/>
          <w:sz w:val="24"/>
          <w:szCs w:val="24"/>
        </w:rPr>
        <w:t>Lf</w:t>
      </w:r>
      <w:r w:rsidR="00E84124" w:rsidRPr="0052360E">
        <w:rPr>
          <w:rFonts w:ascii="Times New Roman" w:hAnsi="Times New Roman" w:cs="Times New Roman"/>
          <w:sz w:val="24"/>
          <w:szCs w:val="24"/>
        </w:rPr>
        <w:t xml:space="preserve"> concentration</w:t>
      </w:r>
      <w:r w:rsidR="00C94738" w:rsidRPr="0052360E">
        <w:rPr>
          <w:rFonts w:ascii="Times New Roman" w:hAnsi="Times New Roman" w:cs="Times New Roman"/>
          <w:sz w:val="24"/>
          <w:szCs w:val="24"/>
        </w:rPr>
        <w:t>; (3) to estimate the effects of vaginal infections (BV,</w:t>
      </w:r>
      <w:r w:rsidR="00C94738" w:rsidRPr="0052360E">
        <w:rPr>
          <w:rFonts w:ascii="Times New Roman" w:hAnsi="Times New Roman" w:cs="Times New Roman"/>
          <w:i/>
          <w:sz w:val="24"/>
          <w:szCs w:val="24"/>
        </w:rPr>
        <w:t xml:space="preserve"> T.</w:t>
      </w:r>
      <w:r w:rsidR="0031738A" w:rsidRPr="0052360E">
        <w:rPr>
          <w:rFonts w:ascii="Times New Roman" w:hAnsi="Times New Roman" w:cs="Times New Roman"/>
          <w:i/>
          <w:sz w:val="24"/>
          <w:szCs w:val="24"/>
        </w:rPr>
        <w:t xml:space="preserve"> </w:t>
      </w:r>
      <w:r w:rsidR="00C94738" w:rsidRPr="0052360E">
        <w:rPr>
          <w:rFonts w:ascii="Times New Roman" w:hAnsi="Times New Roman" w:cs="Times New Roman"/>
          <w:i/>
          <w:sz w:val="24"/>
          <w:szCs w:val="24"/>
        </w:rPr>
        <w:t>vaginalis</w:t>
      </w:r>
      <w:r w:rsidR="00C94738" w:rsidRPr="0052360E">
        <w:rPr>
          <w:rFonts w:ascii="Times New Roman" w:hAnsi="Times New Roman" w:cs="Times New Roman"/>
          <w:sz w:val="24"/>
          <w:szCs w:val="24"/>
        </w:rPr>
        <w:t xml:space="preserve">, microbiota profiles) and (4) to compare systemic iron and inflammation biomarker concentrations, body iron stores and hepcidin levels with vaginal Lf concentrations in order to determine if Lf, a vaginal mucosal biomarker of infection, was associated with systemic iron status and homeostasis. </w:t>
      </w:r>
    </w:p>
    <w:p w14:paraId="41357DBF" w14:textId="77777777" w:rsidR="005B459F" w:rsidRPr="0052360E" w:rsidRDefault="005B459F" w:rsidP="008C59EA">
      <w:pPr>
        <w:spacing w:line="480" w:lineRule="auto"/>
        <w:ind w:right="227"/>
        <w:rPr>
          <w:rFonts w:ascii="Times New Roman" w:hAnsi="Times New Roman" w:cs="Times New Roman"/>
          <w:sz w:val="24"/>
          <w:szCs w:val="24"/>
        </w:rPr>
      </w:pPr>
    </w:p>
    <w:p w14:paraId="606AEE95" w14:textId="77777777" w:rsidR="00845CAF" w:rsidRPr="0052360E" w:rsidRDefault="00015B86" w:rsidP="008C59EA">
      <w:pPr>
        <w:spacing w:before="120" w:after="0" w:line="480" w:lineRule="auto"/>
        <w:ind w:right="227"/>
        <w:rPr>
          <w:rFonts w:ascii="Times New Roman" w:hAnsi="Times New Roman" w:cs="Times New Roman"/>
          <w:b/>
          <w:sz w:val="24"/>
          <w:szCs w:val="24"/>
        </w:rPr>
      </w:pPr>
      <w:r w:rsidRPr="0052360E">
        <w:rPr>
          <w:rFonts w:ascii="Times New Roman" w:hAnsi="Times New Roman" w:cs="Times New Roman"/>
          <w:b/>
          <w:sz w:val="24"/>
          <w:szCs w:val="24"/>
        </w:rPr>
        <w:t xml:space="preserve">    </w:t>
      </w:r>
      <w:r w:rsidR="005D4AEE" w:rsidRPr="0052360E">
        <w:rPr>
          <w:rFonts w:ascii="Times New Roman" w:hAnsi="Times New Roman" w:cs="Times New Roman"/>
          <w:b/>
          <w:sz w:val="24"/>
          <w:szCs w:val="24"/>
        </w:rPr>
        <w:t>M</w:t>
      </w:r>
      <w:r w:rsidR="00845CAF" w:rsidRPr="0052360E">
        <w:rPr>
          <w:rFonts w:ascii="Times New Roman" w:hAnsi="Times New Roman" w:cs="Times New Roman"/>
          <w:b/>
          <w:sz w:val="24"/>
          <w:szCs w:val="24"/>
        </w:rPr>
        <w:t>ATERIALS AND METHODS</w:t>
      </w:r>
    </w:p>
    <w:p w14:paraId="3D5EC45D" w14:textId="55ECB5EA" w:rsidR="00CE3236" w:rsidRPr="0052360E" w:rsidRDefault="00845CAF" w:rsidP="00E06110">
      <w:pPr>
        <w:spacing w:line="480" w:lineRule="auto"/>
        <w:ind w:left="227" w:right="227"/>
        <w:rPr>
          <w:rFonts w:ascii="Times New Roman" w:hAnsi="Times New Roman" w:cs="Times New Roman"/>
          <w:sz w:val="24"/>
          <w:szCs w:val="24"/>
        </w:rPr>
      </w:pPr>
      <w:r w:rsidRPr="0052360E">
        <w:rPr>
          <w:rFonts w:ascii="Times New Roman" w:hAnsi="Times New Roman" w:cs="Times New Roman"/>
          <w:b/>
          <w:sz w:val="24"/>
          <w:szCs w:val="24"/>
        </w:rPr>
        <w:t xml:space="preserve">    </w:t>
      </w:r>
      <w:r w:rsidR="00ED398A" w:rsidRPr="0052360E">
        <w:rPr>
          <w:rFonts w:ascii="Times New Roman" w:hAnsi="Times New Roman" w:cs="Times New Roman"/>
          <w:bCs/>
          <w:sz w:val="24"/>
          <w:szCs w:val="24"/>
          <w:lang w:val="en-US"/>
        </w:rPr>
        <w:t>Trial registration number NCT01210040. Registered with Clinicaltrials.gov on 27 September 2010</w:t>
      </w:r>
      <w:r w:rsidR="005B459F" w:rsidRPr="0052360E">
        <w:rPr>
          <w:rFonts w:ascii="Times New Roman" w:hAnsi="Times New Roman" w:cs="Times New Roman"/>
          <w:bCs/>
          <w:sz w:val="24"/>
          <w:szCs w:val="24"/>
          <w:lang w:val="en-US"/>
        </w:rPr>
        <w:t>.</w:t>
      </w:r>
      <w:r w:rsidR="00E06110" w:rsidRPr="0052360E">
        <w:rPr>
          <w:rFonts w:ascii="Times New Roman" w:hAnsi="Times New Roman" w:cs="Times New Roman"/>
          <w:sz w:val="24"/>
          <w:szCs w:val="24"/>
        </w:rPr>
        <w:t xml:space="preserve"> </w:t>
      </w:r>
      <w:r w:rsidR="00CE3236" w:rsidRPr="0052360E">
        <w:rPr>
          <w:rFonts w:ascii="Times New Roman" w:hAnsi="Times New Roman" w:cs="Times New Roman"/>
          <w:sz w:val="24"/>
          <w:szCs w:val="24"/>
        </w:rPr>
        <w:t>The main trial recruited young, healthy, nulliparous</w:t>
      </w:r>
      <w:r w:rsidR="00265168" w:rsidRPr="0052360E">
        <w:rPr>
          <w:rFonts w:ascii="Times New Roman" w:hAnsi="Times New Roman" w:cs="Times New Roman"/>
          <w:sz w:val="24"/>
          <w:szCs w:val="24"/>
        </w:rPr>
        <w:t>,</w:t>
      </w:r>
      <w:r w:rsidR="00CE3236" w:rsidRPr="0052360E">
        <w:rPr>
          <w:rFonts w:ascii="Times New Roman" w:hAnsi="Times New Roman" w:cs="Times New Roman"/>
          <w:sz w:val="24"/>
          <w:szCs w:val="24"/>
        </w:rPr>
        <w:t xml:space="preserve"> non-pregnant women aged 15-24 years from 3</w:t>
      </w:r>
      <w:r w:rsidR="00265168" w:rsidRPr="0052360E">
        <w:rPr>
          <w:rFonts w:ascii="Times New Roman" w:hAnsi="Times New Roman" w:cs="Times New Roman"/>
          <w:sz w:val="24"/>
          <w:szCs w:val="24"/>
        </w:rPr>
        <w:t>0 rural villages</w:t>
      </w:r>
      <w:r w:rsidR="00FD2BD2" w:rsidRPr="0052360E">
        <w:rPr>
          <w:rFonts w:ascii="Times New Roman" w:hAnsi="Times New Roman" w:cs="Times New Roman"/>
          <w:sz w:val="24"/>
          <w:szCs w:val="24"/>
        </w:rPr>
        <w:t>.</w:t>
      </w:r>
      <w:r w:rsidR="00FD2BD2" w:rsidRPr="0052360E">
        <w:rPr>
          <w:rFonts w:ascii="Times New Roman" w:hAnsi="Times New Roman" w:cs="Times New Roman"/>
          <w:sz w:val="24"/>
          <w:szCs w:val="24"/>
          <w:vertAlign w:val="superscript"/>
        </w:rPr>
        <w:t>17</w:t>
      </w:r>
      <w:r w:rsidR="00CE3236" w:rsidRPr="0052360E">
        <w:rPr>
          <w:rFonts w:ascii="Times New Roman" w:hAnsi="Times New Roman" w:cs="Times New Roman"/>
          <w:sz w:val="24"/>
          <w:szCs w:val="24"/>
          <w:vertAlign w:val="superscript"/>
        </w:rPr>
        <w:t xml:space="preserve"> </w:t>
      </w:r>
      <w:r w:rsidR="00CE3236" w:rsidRPr="0052360E">
        <w:rPr>
          <w:rFonts w:ascii="Times New Roman" w:hAnsi="Times New Roman" w:cs="Times New Roman"/>
          <w:bCs/>
          <w:sz w:val="24"/>
          <w:szCs w:val="24"/>
          <w:lang w:val="en-US"/>
        </w:rPr>
        <w:t xml:space="preserve">Adolescents (&lt;20 years) comprised 93% of the sample. </w:t>
      </w:r>
      <w:r w:rsidR="00CE3236" w:rsidRPr="0052360E">
        <w:rPr>
          <w:rFonts w:ascii="Times New Roman" w:hAnsi="Times New Roman" w:cs="Times New Roman"/>
          <w:sz w:val="24"/>
          <w:szCs w:val="24"/>
        </w:rPr>
        <w:t xml:space="preserve">Human immunodeficiency </w:t>
      </w:r>
      <w:r w:rsidR="00FD2BD2" w:rsidRPr="0052360E">
        <w:rPr>
          <w:rFonts w:ascii="Times New Roman" w:hAnsi="Times New Roman" w:cs="Times New Roman"/>
          <w:sz w:val="24"/>
          <w:szCs w:val="24"/>
        </w:rPr>
        <w:t>virus prevalence is low (&lt;2%).</w:t>
      </w:r>
      <w:r w:rsidR="00FD2BD2" w:rsidRPr="0052360E">
        <w:rPr>
          <w:rFonts w:ascii="Times New Roman" w:hAnsi="Times New Roman" w:cs="Times New Roman"/>
          <w:sz w:val="24"/>
          <w:szCs w:val="24"/>
          <w:vertAlign w:val="superscript"/>
        </w:rPr>
        <w:t>18</w:t>
      </w:r>
      <w:r w:rsidR="00CE3236" w:rsidRPr="0052360E">
        <w:rPr>
          <w:rFonts w:ascii="Times New Roman" w:hAnsi="Times New Roman" w:cs="Times New Roman"/>
          <w:sz w:val="24"/>
          <w:szCs w:val="24"/>
        </w:rPr>
        <w:t xml:space="preserve"> After enrolment individuals were randomized to receive either a capsule containing ferrous gluconate (60mg</w:t>
      </w:r>
      <w:r w:rsidR="00824685" w:rsidRPr="0052360E">
        <w:rPr>
          <w:rFonts w:ascii="Times New Roman" w:hAnsi="Times New Roman" w:cs="Times New Roman"/>
          <w:sz w:val="24"/>
          <w:szCs w:val="24"/>
        </w:rPr>
        <w:t xml:space="preserve"> elemental iron</w:t>
      </w:r>
      <w:r w:rsidR="00CE3236" w:rsidRPr="0052360E">
        <w:rPr>
          <w:rFonts w:ascii="Times New Roman" w:hAnsi="Times New Roman" w:cs="Times New Roman"/>
          <w:sz w:val="24"/>
          <w:szCs w:val="24"/>
        </w:rPr>
        <w:t>) and folic acid (2.8mg), or an identical capsule containing folic acid alone (2.8mg), as recommended by the World</w:t>
      </w:r>
      <w:r w:rsidR="003561E9" w:rsidRPr="0052360E">
        <w:rPr>
          <w:rFonts w:ascii="Times New Roman" w:hAnsi="Times New Roman" w:cs="Times New Roman"/>
          <w:sz w:val="24"/>
          <w:szCs w:val="24"/>
        </w:rPr>
        <w:t xml:space="preserve"> Health Organization</w:t>
      </w:r>
      <w:r w:rsidR="00265168" w:rsidRPr="0052360E">
        <w:rPr>
          <w:rFonts w:ascii="Times New Roman" w:hAnsi="Times New Roman" w:cs="Times New Roman"/>
          <w:sz w:val="24"/>
          <w:szCs w:val="24"/>
        </w:rPr>
        <w:t>.</w:t>
      </w:r>
      <w:r w:rsidR="003561E9" w:rsidRPr="0052360E">
        <w:rPr>
          <w:rFonts w:ascii="Times New Roman" w:hAnsi="Times New Roman" w:cs="Times New Roman"/>
          <w:sz w:val="24"/>
          <w:szCs w:val="24"/>
          <w:vertAlign w:val="superscript"/>
        </w:rPr>
        <w:t>19</w:t>
      </w:r>
      <w:r w:rsidR="00265168" w:rsidRPr="0052360E">
        <w:rPr>
          <w:rFonts w:ascii="Times New Roman" w:hAnsi="Times New Roman" w:cs="Times New Roman"/>
          <w:sz w:val="24"/>
          <w:szCs w:val="24"/>
        </w:rPr>
        <w:t xml:space="preserve"> Field workers</w:t>
      </w:r>
      <w:r w:rsidR="00CE3236" w:rsidRPr="0052360E">
        <w:rPr>
          <w:rFonts w:ascii="Times New Roman" w:hAnsi="Times New Roman" w:cs="Times New Roman"/>
          <w:sz w:val="24"/>
          <w:szCs w:val="24"/>
        </w:rPr>
        <w:t xml:space="preserve"> dispensed supplements</w:t>
      </w:r>
      <w:r w:rsidR="00265168" w:rsidRPr="0052360E">
        <w:rPr>
          <w:rFonts w:ascii="Times New Roman" w:hAnsi="Times New Roman" w:cs="Times New Roman"/>
          <w:sz w:val="24"/>
          <w:szCs w:val="24"/>
        </w:rPr>
        <w:t xml:space="preserve"> at weekly home visits</w:t>
      </w:r>
      <w:r w:rsidR="00CE3236" w:rsidRPr="0052360E">
        <w:rPr>
          <w:rFonts w:ascii="Times New Roman" w:hAnsi="Times New Roman" w:cs="Times New Roman"/>
          <w:sz w:val="24"/>
          <w:szCs w:val="24"/>
        </w:rPr>
        <w:t>, and referred women w</w:t>
      </w:r>
      <w:r w:rsidR="00265168" w:rsidRPr="0052360E">
        <w:rPr>
          <w:rFonts w:ascii="Times New Roman" w:hAnsi="Times New Roman" w:cs="Times New Roman"/>
          <w:sz w:val="24"/>
          <w:szCs w:val="24"/>
        </w:rPr>
        <w:t xml:space="preserve">ith </w:t>
      </w:r>
      <w:r w:rsidR="00CE3236" w:rsidRPr="0052360E">
        <w:rPr>
          <w:rFonts w:ascii="Times New Roman" w:hAnsi="Times New Roman" w:cs="Times New Roman"/>
          <w:sz w:val="24"/>
          <w:szCs w:val="24"/>
        </w:rPr>
        <w:t>rep</w:t>
      </w:r>
      <w:r w:rsidR="00265168" w:rsidRPr="0052360E">
        <w:rPr>
          <w:rFonts w:ascii="Times New Roman" w:hAnsi="Times New Roman" w:cs="Times New Roman"/>
          <w:sz w:val="24"/>
          <w:szCs w:val="24"/>
        </w:rPr>
        <w:t>orted vaginal discharge or</w:t>
      </w:r>
      <w:r w:rsidR="00CE3236" w:rsidRPr="0052360E">
        <w:rPr>
          <w:rFonts w:ascii="Times New Roman" w:hAnsi="Times New Roman" w:cs="Times New Roman"/>
          <w:sz w:val="24"/>
          <w:szCs w:val="24"/>
        </w:rPr>
        <w:t xml:space="preserve"> generalised symptoms for free treatment a</w:t>
      </w:r>
      <w:r w:rsidR="00265168" w:rsidRPr="0052360E">
        <w:rPr>
          <w:rFonts w:ascii="Times New Roman" w:hAnsi="Times New Roman" w:cs="Times New Roman"/>
          <w:sz w:val="24"/>
          <w:szCs w:val="24"/>
        </w:rPr>
        <w:t>t their nearest Health Centre. Participants</w:t>
      </w:r>
      <w:r w:rsidR="00CE3236" w:rsidRPr="0052360E">
        <w:rPr>
          <w:rFonts w:ascii="Times New Roman" w:hAnsi="Times New Roman" w:cs="Times New Roman"/>
          <w:sz w:val="24"/>
          <w:szCs w:val="24"/>
        </w:rPr>
        <w:t xml:space="preserve"> who became pregnant before the end assessment at 18 months entered the pregnant cohort, with the main </w:t>
      </w:r>
      <w:r w:rsidR="005B459F" w:rsidRPr="0052360E">
        <w:rPr>
          <w:rFonts w:ascii="Times New Roman" w:hAnsi="Times New Roman" w:cs="Times New Roman"/>
          <w:sz w:val="24"/>
          <w:szCs w:val="24"/>
        </w:rPr>
        <w:t xml:space="preserve">trial </w:t>
      </w:r>
      <w:r w:rsidR="00CE3236" w:rsidRPr="0052360E">
        <w:rPr>
          <w:rFonts w:ascii="Times New Roman" w:hAnsi="Times New Roman" w:cs="Times New Roman"/>
          <w:sz w:val="24"/>
          <w:szCs w:val="24"/>
        </w:rPr>
        <w:t xml:space="preserve">outcomes </w:t>
      </w:r>
      <w:r w:rsidR="005B459F" w:rsidRPr="0052360E">
        <w:rPr>
          <w:rFonts w:ascii="Times New Roman" w:hAnsi="Times New Roman" w:cs="Times New Roman"/>
          <w:sz w:val="24"/>
          <w:szCs w:val="24"/>
        </w:rPr>
        <w:t>determined</w:t>
      </w:r>
      <w:r w:rsidR="00CE3236" w:rsidRPr="0052360E">
        <w:rPr>
          <w:rFonts w:ascii="Times New Roman" w:hAnsi="Times New Roman" w:cs="Times New Roman"/>
          <w:sz w:val="24"/>
          <w:szCs w:val="24"/>
        </w:rPr>
        <w:t xml:space="preserve"> at the first antenatal visit (ANC1). The</w:t>
      </w:r>
      <w:r w:rsidR="005B459F" w:rsidRPr="0052360E">
        <w:rPr>
          <w:rFonts w:ascii="Times New Roman" w:hAnsi="Times New Roman" w:cs="Times New Roman"/>
          <w:sz w:val="24"/>
          <w:szCs w:val="24"/>
        </w:rPr>
        <w:t>reafter,</w:t>
      </w:r>
      <w:r w:rsidR="00CE3236" w:rsidRPr="0052360E">
        <w:rPr>
          <w:rFonts w:ascii="Times New Roman" w:hAnsi="Times New Roman" w:cs="Times New Roman"/>
          <w:sz w:val="24"/>
          <w:szCs w:val="24"/>
        </w:rPr>
        <w:t xml:space="preserve"> weekly supplements ceased and all pregnant women </w:t>
      </w:r>
      <w:r w:rsidR="00824685" w:rsidRPr="0052360E">
        <w:rPr>
          <w:rFonts w:ascii="Times New Roman" w:hAnsi="Times New Roman" w:cs="Times New Roman"/>
          <w:sz w:val="24"/>
          <w:szCs w:val="24"/>
        </w:rPr>
        <w:t xml:space="preserve">regardless of trial allocation </w:t>
      </w:r>
      <w:r w:rsidR="00CE3236" w:rsidRPr="0052360E">
        <w:rPr>
          <w:rFonts w:ascii="Times New Roman" w:hAnsi="Times New Roman" w:cs="Times New Roman"/>
          <w:sz w:val="24"/>
          <w:szCs w:val="24"/>
        </w:rPr>
        <w:t xml:space="preserve">received routine daily </w:t>
      </w:r>
      <w:r w:rsidR="005B459F" w:rsidRPr="0052360E">
        <w:rPr>
          <w:rFonts w:ascii="Times New Roman" w:hAnsi="Times New Roman" w:cs="Times New Roman"/>
          <w:sz w:val="24"/>
          <w:szCs w:val="24"/>
        </w:rPr>
        <w:t xml:space="preserve">antenatal </w:t>
      </w:r>
      <w:r w:rsidR="00CE3236" w:rsidRPr="0052360E">
        <w:rPr>
          <w:rFonts w:ascii="Times New Roman" w:hAnsi="Times New Roman" w:cs="Times New Roman"/>
          <w:sz w:val="24"/>
          <w:szCs w:val="24"/>
        </w:rPr>
        <w:t>iron supplementation</w:t>
      </w:r>
      <w:r w:rsidR="00E84124" w:rsidRPr="0052360E">
        <w:rPr>
          <w:rFonts w:ascii="Times New Roman" w:hAnsi="Times New Roman" w:cs="Times New Roman"/>
          <w:sz w:val="24"/>
          <w:szCs w:val="24"/>
        </w:rPr>
        <w:t xml:space="preserve"> </w:t>
      </w:r>
      <w:r w:rsidR="00E84124" w:rsidRPr="0052360E">
        <w:rPr>
          <w:rFonts w:ascii="Times New Roman" w:eastAsia="Calibri" w:hAnsi="Times New Roman" w:cs="Times New Roman"/>
          <w:sz w:val="24"/>
          <w:szCs w:val="24"/>
        </w:rPr>
        <w:t>(60 mg elemental iron, 400µg folic acid daily)</w:t>
      </w:r>
      <w:r w:rsidR="00CE3236" w:rsidRPr="0052360E">
        <w:rPr>
          <w:rFonts w:ascii="Times New Roman" w:hAnsi="Times New Roman" w:cs="Times New Roman"/>
          <w:sz w:val="24"/>
          <w:szCs w:val="24"/>
        </w:rPr>
        <w:t xml:space="preserve">. </w:t>
      </w:r>
      <w:r w:rsidR="00BA62FE" w:rsidRPr="0052360E">
        <w:rPr>
          <w:rFonts w:ascii="Times New Roman" w:hAnsi="Times New Roman" w:cs="Times New Roman"/>
          <w:sz w:val="24"/>
          <w:szCs w:val="24"/>
        </w:rPr>
        <w:t>In the primary trial analyses, weekly iron supplementation over an 18 month period did not significantly improve iron status, probably because the iron was not absorbed due to the effects of chronic malaria infection,</w:t>
      </w:r>
      <w:r w:rsidR="00BA62FE" w:rsidRPr="0052360E">
        <w:rPr>
          <w:rFonts w:ascii="Times New Roman" w:hAnsi="Times New Roman" w:cs="Times New Roman"/>
          <w:sz w:val="24"/>
          <w:szCs w:val="24"/>
          <w:vertAlign w:val="superscript"/>
        </w:rPr>
        <w:t>15</w:t>
      </w:r>
      <w:r w:rsidR="00BA62FE" w:rsidRPr="0052360E">
        <w:rPr>
          <w:rFonts w:ascii="Times New Roman" w:hAnsi="Times New Roman" w:cs="Times New Roman"/>
          <w:sz w:val="24"/>
          <w:szCs w:val="24"/>
        </w:rPr>
        <w:t xml:space="preserve"> thus the two trial arms are pooled for the analyses presented here.</w:t>
      </w:r>
    </w:p>
    <w:p w14:paraId="06DA57BB" w14:textId="1560D067" w:rsidR="00025485" w:rsidRPr="0052360E" w:rsidRDefault="00F77421" w:rsidP="008C59EA">
      <w:pPr>
        <w:spacing w:before="120" w:after="0" w:line="480" w:lineRule="auto"/>
        <w:ind w:left="227" w:right="227"/>
        <w:rPr>
          <w:rFonts w:ascii="Times New Roman" w:hAnsi="Times New Roman" w:cs="Times New Roman"/>
          <w:bCs/>
          <w:sz w:val="24"/>
          <w:szCs w:val="24"/>
        </w:rPr>
      </w:pPr>
      <w:r w:rsidRPr="0052360E">
        <w:rPr>
          <w:rFonts w:ascii="Times New Roman" w:hAnsi="Times New Roman" w:cs="Times New Roman"/>
          <w:sz w:val="24"/>
          <w:szCs w:val="24"/>
        </w:rPr>
        <w:t>All subjects gave written informed consent in accordance with the Declaration of Helsinki. Individual and guardian written consents for minors were obtained from all non-pregnant women at recruitment with re-consent taken at entry to the pregnancy cohort.</w:t>
      </w:r>
      <w:r w:rsidR="00090DEE" w:rsidRPr="0052360E">
        <w:rPr>
          <w:rFonts w:ascii="Times New Roman" w:hAnsi="Times New Roman" w:cs="Times New Roman"/>
          <w:sz w:val="24"/>
          <w:szCs w:val="24"/>
        </w:rPr>
        <w:t xml:space="preserve"> </w:t>
      </w:r>
      <w:r w:rsidR="005D4AEE" w:rsidRPr="0052360E">
        <w:rPr>
          <w:rFonts w:ascii="Times New Roman" w:hAnsi="Times New Roman" w:cs="Times New Roman"/>
          <w:sz w:val="24"/>
          <w:szCs w:val="24"/>
        </w:rPr>
        <w:t xml:space="preserve">The study protocol and subsequent amendments were approved by </w:t>
      </w:r>
      <w:r w:rsidR="00843AAE" w:rsidRPr="0052360E">
        <w:rPr>
          <w:rFonts w:ascii="Times New Roman" w:hAnsi="Times New Roman" w:cs="Times New Roman"/>
          <w:bCs/>
          <w:sz w:val="24"/>
          <w:szCs w:val="24"/>
        </w:rPr>
        <w:t>the Liverpool School of Tropical Medicine, UK,  Research Ethics Committee (LSTM/REC), the Institutional Review Board of the Institute of Tropical Medicine, Antwerp, Belgium (IRB/ITM), the Antwerp University Hospital Ethics Committee (EC/UZA), the Institutional Ethics Committee of Centre Muraz (Comité d’Ethique Institutionnel du Centre Muraz, CEI/CM); and the National Ethics Committee (Comité Ethique pour la Recherche e</w:t>
      </w:r>
      <w:r w:rsidR="00CD1A90" w:rsidRPr="0052360E">
        <w:rPr>
          <w:rFonts w:ascii="Times New Roman" w:hAnsi="Times New Roman" w:cs="Times New Roman"/>
          <w:bCs/>
          <w:sz w:val="24"/>
          <w:szCs w:val="24"/>
        </w:rPr>
        <w:t>n Santé, CERS) in Burkina Faso.</w:t>
      </w:r>
    </w:p>
    <w:p w14:paraId="23896F54" w14:textId="41D19DA6" w:rsidR="00265168" w:rsidRPr="0052360E" w:rsidRDefault="00CD0247" w:rsidP="008C59EA">
      <w:pPr>
        <w:spacing w:before="120" w:line="480" w:lineRule="auto"/>
        <w:ind w:left="284" w:right="227" w:hanging="142"/>
        <w:rPr>
          <w:rFonts w:ascii="Times New Roman" w:hAnsi="Times New Roman" w:cs="Times New Roman"/>
          <w:sz w:val="24"/>
          <w:szCs w:val="24"/>
        </w:rPr>
      </w:pPr>
      <w:r w:rsidRPr="0052360E">
        <w:rPr>
          <w:rFonts w:ascii="Times New Roman" w:hAnsi="Times New Roman" w:cs="Times New Roman"/>
          <w:sz w:val="24"/>
          <w:szCs w:val="24"/>
        </w:rPr>
        <w:t xml:space="preserve">  </w:t>
      </w:r>
      <w:r w:rsidR="00171E6C" w:rsidRPr="0052360E">
        <w:rPr>
          <w:rFonts w:ascii="Times New Roman" w:hAnsi="Times New Roman" w:cs="Times New Roman"/>
          <w:sz w:val="24"/>
          <w:szCs w:val="24"/>
        </w:rPr>
        <w:t xml:space="preserve">At enrolment demographic data were recorded and height (nearest mm), weight (nearest 100 g), and mid-upper arm circumference (mm; MUAC) measured in duplicate. </w:t>
      </w:r>
      <w:r w:rsidR="005D4AEE" w:rsidRPr="0052360E">
        <w:rPr>
          <w:rFonts w:ascii="Times New Roman" w:hAnsi="Times New Roman" w:cs="Times New Roman"/>
          <w:sz w:val="24"/>
          <w:szCs w:val="24"/>
        </w:rPr>
        <w:t xml:space="preserve">Lf, BV and </w:t>
      </w:r>
      <w:r w:rsidR="005D4AEE" w:rsidRPr="0052360E">
        <w:rPr>
          <w:rFonts w:ascii="Times New Roman" w:hAnsi="Times New Roman" w:cs="Times New Roman"/>
          <w:i/>
          <w:sz w:val="24"/>
          <w:szCs w:val="24"/>
        </w:rPr>
        <w:t>T. vaginalis</w:t>
      </w:r>
      <w:r w:rsidR="005D4AEE" w:rsidRPr="0052360E">
        <w:rPr>
          <w:rFonts w:ascii="Times New Roman" w:hAnsi="Times New Roman" w:cs="Times New Roman"/>
          <w:sz w:val="24"/>
          <w:szCs w:val="24"/>
        </w:rPr>
        <w:t xml:space="preserve"> were assessed a</w:t>
      </w:r>
      <w:r w:rsidR="00CE3236" w:rsidRPr="0052360E">
        <w:rPr>
          <w:rFonts w:ascii="Times New Roman" w:hAnsi="Times New Roman" w:cs="Times New Roman"/>
          <w:sz w:val="24"/>
          <w:szCs w:val="24"/>
        </w:rPr>
        <w:t>fter 18 months a</w:t>
      </w:r>
      <w:r w:rsidR="005D4AEE" w:rsidRPr="0052360E">
        <w:rPr>
          <w:rFonts w:ascii="Times New Roman" w:hAnsi="Times New Roman" w:cs="Times New Roman"/>
          <w:sz w:val="24"/>
          <w:szCs w:val="24"/>
        </w:rPr>
        <w:t xml:space="preserve">t </w:t>
      </w:r>
      <w:r w:rsidR="00CE3236" w:rsidRPr="0052360E">
        <w:rPr>
          <w:rFonts w:ascii="Times New Roman" w:hAnsi="Times New Roman" w:cs="Times New Roman"/>
          <w:sz w:val="24"/>
          <w:szCs w:val="24"/>
        </w:rPr>
        <w:t xml:space="preserve">the </w:t>
      </w:r>
      <w:r w:rsidR="005D4AEE" w:rsidRPr="0052360E">
        <w:rPr>
          <w:rFonts w:ascii="Times New Roman" w:hAnsi="Times New Roman" w:cs="Times New Roman"/>
          <w:sz w:val="24"/>
          <w:szCs w:val="24"/>
        </w:rPr>
        <w:t xml:space="preserve">end assessment </w:t>
      </w:r>
      <w:r w:rsidR="00CE3236" w:rsidRPr="0052360E">
        <w:rPr>
          <w:rFonts w:ascii="Times New Roman" w:hAnsi="Times New Roman" w:cs="Times New Roman"/>
          <w:sz w:val="24"/>
          <w:szCs w:val="24"/>
        </w:rPr>
        <w:t xml:space="preserve">of </w:t>
      </w:r>
      <w:r w:rsidR="005D4AEE" w:rsidRPr="0052360E">
        <w:rPr>
          <w:rFonts w:ascii="Times New Roman" w:hAnsi="Times New Roman" w:cs="Times New Roman"/>
          <w:sz w:val="24"/>
          <w:szCs w:val="24"/>
        </w:rPr>
        <w:t>non-pregnant</w:t>
      </w:r>
      <w:r w:rsidR="00CE3236" w:rsidRPr="0052360E">
        <w:rPr>
          <w:rFonts w:ascii="Times New Roman" w:hAnsi="Times New Roman" w:cs="Times New Roman"/>
          <w:sz w:val="24"/>
          <w:szCs w:val="24"/>
        </w:rPr>
        <w:t xml:space="preserve"> women and twice during pregnancy at an early/late antenatal visit (</w:t>
      </w:r>
      <w:r w:rsidR="005D4AEE" w:rsidRPr="0052360E">
        <w:rPr>
          <w:rFonts w:ascii="Times New Roman" w:hAnsi="Times New Roman" w:cs="Times New Roman"/>
          <w:sz w:val="24"/>
          <w:szCs w:val="24"/>
        </w:rPr>
        <w:t>ANC1</w:t>
      </w:r>
      <w:r w:rsidR="00392320" w:rsidRPr="0052360E">
        <w:rPr>
          <w:rFonts w:ascii="Times New Roman" w:hAnsi="Times New Roman" w:cs="Times New Roman"/>
          <w:sz w:val="24"/>
          <w:szCs w:val="24"/>
        </w:rPr>
        <w:t>/</w:t>
      </w:r>
      <w:r w:rsidR="005D4AEE" w:rsidRPr="0052360E">
        <w:rPr>
          <w:rFonts w:ascii="Times New Roman" w:hAnsi="Times New Roman" w:cs="Times New Roman"/>
          <w:sz w:val="24"/>
          <w:szCs w:val="24"/>
        </w:rPr>
        <w:t>2</w:t>
      </w:r>
      <w:r w:rsidR="00392320" w:rsidRPr="0052360E">
        <w:rPr>
          <w:rFonts w:ascii="Times New Roman" w:hAnsi="Times New Roman" w:cs="Times New Roman"/>
          <w:sz w:val="24"/>
          <w:szCs w:val="24"/>
        </w:rPr>
        <w:t>)</w:t>
      </w:r>
      <w:r w:rsidR="005D4AEE" w:rsidRPr="0052360E">
        <w:rPr>
          <w:rFonts w:ascii="Times New Roman" w:hAnsi="Times New Roman" w:cs="Times New Roman"/>
          <w:sz w:val="24"/>
          <w:szCs w:val="24"/>
        </w:rPr>
        <w:t xml:space="preserve">. </w:t>
      </w:r>
      <w:r w:rsidR="00265168" w:rsidRPr="0052360E">
        <w:rPr>
          <w:rFonts w:ascii="Times New Roman" w:hAnsi="Times New Roman" w:cs="Times New Roman"/>
          <w:sz w:val="24"/>
          <w:szCs w:val="24"/>
        </w:rPr>
        <w:t>W</w:t>
      </w:r>
      <w:r w:rsidR="005D4AEE" w:rsidRPr="0052360E">
        <w:rPr>
          <w:rFonts w:ascii="Times New Roman" w:hAnsi="Times New Roman" w:cs="Times New Roman"/>
          <w:sz w:val="24"/>
          <w:szCs w:val="24"/>
        </w:rPr>
        <w:t xml:space="preserve">omen were requested to provide </w:t>
      </w:r>
      <w:r w:rsidR="00265168" w:rsidRPr="0052360E">
        <w:rPr>
          <w:rFonts w:ascii="Times New Roman" w:hAnsi="Times New Roman" w:cs="Times New Roman"/>
          <w:sz w:val="24"/>
          <w:szCs w:val="24"/>
        </w:rPr>
        <w:t xml:space="preserve">self-taken </w:t>
      </w:r>
      <w:r w:rsidR="005D4AEE" w:rsidRPr="0052360E">
        <w:rPr>
          <w:rFonts w:ascii="Times New Roman" w:hAnsi="Times New Roman" w:cs="Times New Roman"/>
          <w:sz w:val="24"/>
          <w:szCs w:val="24"/>
        </w:rPr>
        <w:t>vaginal samples using cotton-tipped swabs that were returned to sterile, sealed tubes (</w:t>
      </w:r>
      <w:r w:rsidR="00F11F58" w:rsidRPr="0052360E">
        <w:rPr>
          <w:rFonts w:ascii="Times New Roman" w:hAnsi="Times New Roman" w:cs="Times New Roman"/>
          <w:sz w:val="24"/>
          <w:szCs w:val="24"/>
        </w:rPr>
        <w:t>Probact transport swabs, Technical Services Consultants</w:t>
      </w:r>
      <w:r w:rsidR="005D4AEE" w:rsidRPr="0052360E">
        <w:rPr>
          <w:rFonts w:ascii="Times New Roman" w:hAnsi="Times New Roman" w:cs="Times New Roman"/>
          <w:sz w:val="24"/>
          <w:szCs w:val="24"/>
        </w:rPr>
        <w:t>, Lancs</w:t>
      </w:r>
      <w:r w:rsidR="00F11F58" w:rsidRPr="0052360E">
        <w:rPr>
          <w:rFonts w:ascii="Times New Roman" w:hAnsi="Times New Roman" w:cs="Times New Roman"/>
          <w:sz w:val="24"/>
          <w:szCs w:val="24"/>
        </w:rPr>
        <w:t>, UK</w:t>
      </w:r>
      <w:r w:rsidR="005D4AEE" w:rsidRPr="0052360E">
        <w:rPr>
          <w:rFonts w:ascii="Times New Roman" w:hAnsi="Times New Roman" w:cs="Times New Roman"/>
          <w:sz w:val="24"/>
          <w:szCs w:val="24"/>
        </w:rPr>
        <w:t xml:space="preserve">) </w:t>
      </w:r>
      <w:r w:rsidR="00265168" w:rsidRPr="0052360E">
        <w:rPr>
          <w:rFonts w:ascii="Times New Roman" w:hAnsi="Times New Roman" w:cs="Times New Roman"/>
          <w:sz w:val="24"/>
          <w:szCs w:val="24"/>
        </w:rPr>
        <w:t>and</w:t>
      </w:r>
      <w:r w:rsidR="005D4AEE" w:rsidRPr="0052360E">
        <w:rPr>
          <w:rFonts w:ascii="Times New Roman" w:hAnsi="Times New Roman" w:cs="Times New Roman"/>
          <w:sz w:val="24"/>
          <w:szCs w:val="24"/>
        </w:rPr>
        <w:t xml:space="preserve"> kept cool until brou</w:t>
      </w:r>
      <w:r w:rsidR="0094587A" w:rsidRPr="0052360E">
        <w:rPr>
          <w:rFonts w:ascii="Times New Roman" w:hAnsi="Times New Roman" w:cs="Times New Roman"/>
          <w:sz w:val="24"/>
          <w:szCs w:val="24"/>
        </w:rPr>
        <w:t>ght to the laboratory within two to four</w:t>
      </w:r>
      <w:r w:rsidR="005D4AEE" w:rsidRPr="0052360E">
        <w:rPr>
          <w:rFonts w:ascii="Times New Roman" w:hAnsi="Times New Roman" w:cs="Times New Roman"/>
          <w:sz w:val="24"/>
          <w:szCs w:val="24"/>
        </w:rPr>
        <w:t xml:space="preserve"> hours. Samples were not requested during menses. </w:t>
      </w:r>
      <w:r w:rsidR="0094587A" w:rsidRPr="0052360E">
        <w:rPr>
          <w:rFonts w:ascii="Times New Roman" w:hAnsi="Times New Roman" w:cs="Times New Roman"/>
          <w:sz w:val="24"/>
          <w:szCs w:val="24"/>
        </w:rPr>
        <w:t xml:space="preserve">Reported discharge was recorded. </w:t>
      </w:r>
      <w:r w:rsidR="005D4AEE" w:rsidRPr="0052360E">
        <w:rPr>
          <w:rFonts w:ascii="Times New Roman" w:hAnsi="Times New Roman" w:cs="Times New Roman"/>
          <w:sz w:val="24"/>
          <w:szCs w:val="24"/>
        </w:rPr>
        <w:t>One swa</w:t>
      </w:r>
      <w:r w:rsidR="0094587A" w:rsidRPr="0052360E">
        <w:rPr>
          <w:rFonts w:ascii="Times New Roman" w:hAnsi="Times New Roman" w:cs="Times New Roman"/>
          <w:sz w:val="24"/>
          <w:szCs w:val="24"/>
        </w:rPr>
        <w:t>b was used for a BV Gram stain and a second for measurement of vaginal pH (pH indicator sticks ranged from 3.6-6.1)</w:t>
      </w:r>
      <w:r w:rsidR="00265168" w:rsidRPr="0052360E">
        <w:rPr>
          <w:rFonts w:ascii="Times New Roman" w:hAnsi="Times New Roman" w:cs="Times New Roman"/>
          <w:sz w:val="24"/>
          <w:szCs w:val="24"/>
        </w:rPr>
        <w:t>, as previously described</w:t>
      </w:r>
      <w:r w:rsidR="003561E9" w:rsidRPr="0052360E">
        <w:rPr>
          <w:rFonts w:ascii="Times New Roman" w:hAnsi="Times New Roman" w:cs="Times New Roman"/>
          <w:sz w:val="24"/>
          <w:szCs w:val="24"/>
        </w:rPr>
        <w:t>.</w:t>
      </w:r>
      <w:r w:rsidR="003561E9" w:rsidRPr="0052360E">
        <w:rPr>
          <w:rFonts w:ascii="Times New Roman" w:hAnsi="Times New Roman" w:cs="Times New Roman"/>
          <w:sz w:val="24"/>
          <w:szCs w:val="24"/>
          <w:vertAlign w:val="superscript"/>
        </w:rPr>
        <w:t xml:space="preserve">16 </w:t>
      </w:r>
      <w:r w:rsidR="00265168" w:rsidRPr="0052360E">
        <w:rPr>
          <w:rFonts w:ascii="Times New Roman" w:hAnsi="Times New Roman" w:cs="Times New Roman"/>
          <w:sz w:val="24"/>
          <w:szCs w:val="24"/>
        </w:rPr>
        <w:t xml:space="preserve">Gram stains were scored using Nugent criteria with </w:t>
      </w:r>
      <w:r w:rsidR="00265168" w:rsidRPr="0052360E">
        <w:rPr>
          <w:rFonts w:ascii="Times New Roman" w:hAnsi="Times New Roman" w:cs="Times New Roman"/>
          <w:bCs/>
          <w:sz w:val="24"/>
          <w:szCs w:val="24"/>
        </w:rPr>
        <w:t>7-10 indicating BV, 4-6 intermediate, and 0-3 normal flora. D</w:t>
      </w:r>
      <w:r w:rsidR="005D4AEE" w:rsidRPr="0052360E">
        <w:rPr>
          <w:rFonts w:ascii="Times New Roman" w:hAnsi="Times New Roman" w:cs="Times New Roman"/>
          <w:sz w:val="24"/>
          <w:szCs w:val="24"/>
        </w:rPr>
        <w:t xml:space="preserve">uplicate swabs were retained for preparation of vaginal fluid eluates for Lf assays, microbiota and </w:t>
      </w:r>
      <w:r w:rsidR="005D4AEE" w:rsidRPr="0052360E">
        <w:rPr>
          <w:rFonts w:ascii="Times New Roman" w:hAnsi="Times New Roman" w:cs="Times New Roman"/>
          <w:i/>
          <w:sz w:val="24"/>
          <w:szCs w:val="24"/>
        </w:rPr>
        <w:t>T. vaginalis</w:t>
      </w:r>
      <w:r w:rsidR="005D4AEE" w:rsidRPr="0052360E">
        <w:rPr>
          <w:rFonts w:ascii="Times New Roman" w:hAnsi="Times New Roman" w:cs="Times New Roman"/>
          <w:sz w:val="24"/>
          <w:szCs w:val="24"/>
        </w:rPr>
        <w:t xml:space="preserve"> Polymerase Chain Reaction (PCR) assays.</w:t>
      </w:r>
      <w:r w:rsidR="003561E9" w:rsidRPr="0052360E">
        <w:rPr>
          <w:rFonts w:ascii="Times New Roman" w:hAnsi="Times New Roman" w:cs="Times New Roman"/>
          <w:sz w:val="24"/>
          <w:szCs w:val="24"/>
          <w:vertAlign w:val="superscript"/>
        </w:rPr>
        <w:t>16</w:t>
      </w:r>
      <w:r w:rsidR="006948BE" w:rsidRPr="0052360E">
        <w:rPr>
          <w:rFonts w:ascii="Times New Roman" w:hAnsi="Times New Roman" w:cs="Times New Roman"/>
          <w:sz w:val="24"/>
          <w:szCs w:val="24"/>
        </w:rPr>
        <w:t xml:space="preserve"> </w:t>
      </w:r>
      <w:r w:rsidR="00265168" w:rsidRPr="0052360E">
        <w:rPr>
          <w:rFonts w:ascii="Times New Roman" w:hAnsi="Times New Roman" w:cs="Times New Roman"/>
          <w:bCs/>
          <w:sz w:val="24"/>
          <w:szCs w:val="24"/>
        </w:rPr>
        <w:t>For microbiota, bacterial profiling of the variable region 4 (V4) of the 16S rRNA gene was performed by NU-OMICS (Northumbria University</w:t>
      </w:r>
      <w:r w:rsidR="00CF1265" w:rsidRPr="0052360E">
        <w:rPr>
          <w:rFonts w:ascii="Times New Roman" w:hAnsi="Times New Roman" w:cs="Times New Roman"/>
          <w:bCs/>
          <w:sz w:val="24"/>
          <w:szCs w:val="24"/>
        </w:rPr>
        <w:t>, UK</w:t>
      </w:r>
      <w:r w:rsidR="00265168" w:rsidRPr="0052360E">
        <w:rPr>
          <w:rFonts w:ascii="Times New Roman" w:hAnsi="Times New Roman" w:cs="Times New Roman"/>
          <w:bCs/>
          <w:sz w:val="24"/>
          <w:szCs w:val="24"/>
        </w:rPr>
        <w:t>) based on the Schlos</w:t>
      </w:r>
      <w:r w:rsidR="003B7A37" w:rsidRPr="0052360E">
        <w:rPr>
          <w:rFonts w:ascii="Times New Roman" w:hAnsi="Times New Roman" w:cs="Times New Roman"/>
          <w:bCs/>
          <w:sz w:val="24"/>
          <w:szCs w:val="24"/>
        </w:rPr>
        <w:t>s wet-lab MiSeq procedure</w:t>
      </w:r>
      <w:r w:rsidR="00265168" w:rsidRPr="0052360E">
        <w:rPr>
          <w:rFonts w:ascii="Times New Roman" w:hAnsi="Times New Roman" w:cs="Times New Roman"/>
          <w:bCs/>
          <w:sz w:val="24"/>
          <w:szCs w:val="24"/>
        </w:rPr>
        <w:t>.</w:t>
      </w:r>
      <w:r w:rsidR="003B7A37" w:rsidRPr="0052360E">
        <w:rPr>
          <w:rFonts w:ascii="Times New Roman" w:hAnsi="Times New Roman" w:cs="Times New Roman"/>
          <w:bCs/>
          <w:sz w:val="24"/>
          <w:szCs w:val="24"/>
          <w:vertAlign w:val="superscript"/>
        </w:rPr>
        <w:t>20</w:t>
      </w:r>
    </w:p>
    <w:p w14:paraId="0D70A36A" w14:textId="66E17DCB" w:rsidR="005D4AEE" w:rsidRPr="0052360E" w:rsidRDefault="00281F19" w:rsidP="008C59EA">
      <w:pPr>
        <w:spacing w:after="0" w:line="480" w:lineRule="auto"/>
        <w:ind w:left="284" w:right="227" w:hanging="284"/>
        <w:rPr>
          <w:rFonts w:ascii="Times New Roman" w:hAnsi="Times New Roman" w:cs="Times New Roman"/>
          <w:sz w:val="24"/>
          <w:szCs w:val="24"/>
        </w:rPr>
      </w:pPr>
      <w:r w:rsidRPr="0052360E">
        <w:rPr>
          <w:i/>
        </w:rPr>
        <w:t xml:space="preserve">   </w:t>
      </w:r>
      <w:r w:rsidR="00265168" w:rsidRPr="0052360E">
        <w:rPr>
          <w:rFonts w:ascii="Times New Roman" w:hAnsi="Times New Roman" w:cs="Times New Roman"/>
          <w:sz w:val="24"/>
          <w:szCs w:val="24"/>
        </w:rPr>
        <w:t xml:space="preserve">  </w:t>
      </w:r>
      <w:r w:rsidR="005D4AEE" w:rsidRPr="0052360E">
        <w:rPr>
          <w:rFonts w:ascii="Times New Roman" w:hAnsi="Times New Roman" w:cs="Times New Roman"/>
          <w:sz w:val="24"/>
          <w:szCs w:val="24"/>
        </w:rPr>
        <w:t>Each tube containing a swab for vaginal eluate was weighed before and after sampling and the weight difference between initial and final weights was recorded. On laboratory arrival 5mls phosphate buffered saline was added to the tube which was shaken for five minutes on high speed, before pipetting and freezing at -20C°. Lf concentration was measured by a two</w:t>
      </w:r>
      <w:r w:rsidR="00E84124" w:rsidRPr="0052360E">
        <w:rPr>
          <w:rFonts w:ascii="Times New Roman" w:hAnsi="Times New Roman" w:cs="Times New Roman"/>
          <w:sz w:val="24"/>
          <w:szCs w:val="24"/>
        </w:rPr>
        <w:t>-</w:t>
      </w:r>
      <w:r w:rsidR="005D4AEE" w:rsidRPr="0052360E">
        <w:rPr>
          <w:rFonts w:ascii="Times New Roman" w:hAnsi="Times New Roman" w:cs="Times New Roman"/>
          <w:sz w:val="24"/>
          <w:szCs w:val="24"/>
        </w:rPr>
        <w:t>site enzyme-linked immunosorbent assay (</w:t>
      </w:r>
      <w:r w:rsidR="00CE411C" w:rsidRPr="0052360E">
        <w:rPr>
          <w:rFonts w:ascii="Times New Roman" w:hAnsi="Times New Roman" w:cs="Times New Roman"/>
          <w:sz w:val="24"/>
          <w:szCs w:val="24"/>
        </w:rPr>
        <w:t xml:space="preserve">double antibody </w:t>
      </w:r>
      <w:r w:rsidR="00FC2B57" w:rsidRPr="0052360E">
        <w:rPr>
          <w:rFonts w:ascii="Times New Roman" w:hAnsi="Times New Roman" w:cs="Times New Roman"/>
          <w:sz w:val="24"/>
          <w:szCs w:val="24"/>
        </w:rPr>
        <w:t xml:space="preserve">sandwich </w:t>
      </w:r>
      <w:r w:rsidR="005D4AEE" w:rsidRPr="0052360E">
        <w:rPr>
          <w:rFonts w:ascii="Times New Roman" w:hAnsi="Times New Roman" w:cs="Times New Roman"/>
          <w:sz w:val="24"/>
          <w:szCs w:val="24"/>
        </w:rPr>
        <w:t>ELISA) specific to human Lf (Kamiya Biomedical Co, KT-489, Seattle</w:t>
      </w:r>
      <w:r w:rsidR="0031738A" w:rsidRPr="0052360E">
        <w:rPr>
          <w:rFonts w:ascii="Times New Roman" w:hAnsi="Times New Roman" w:cs="Times New Roman"/>
          <w:sz w:val="24"/>
          <w:szCs w:val="24"/>
        </w:rPr>
        <w:t>, US</w:t>
      </w:r>
      <w:r w:rsidR="005D4AEE" w:rsidRPr="0052360E">
        <w:rPr>
          <w:rFonts w:ascii="Times New Roman" w:hAnsi="Times New Roman" w:cs="Times New Roman"/>
          <w:sz w:val="24"/>
          <w:szCs w:val="24"/>
        </w:rPr>
        <w:t>). The intra-assay coefficient of variation was 9.7%.  Duplicate samples were processed and analy</w:t>
      </w:r>
      <w:r w:rsidR="00392320" w:rsidRPr="0052360E">
        <w:rPr>
          <w:rFonts w:ascii="Times New Roman" w:hAnsi="Times New Roman" w:cs="Times New Roman"/>
          <w:sz w:val="24"/>
          <w:szCs w:val="24"/>
        </w:rPr>
        <w:t>z</w:t>
      </w:r>
      <w:r w:rsidR="005D4AEE" w:rsidRPr="0052360E">
        <w:rPr>
          <w:rFonts w:ascii="Times New Roman" w:hAnsi="Times New Roman" w:cs="Times New Roman"/>
          <w:sz w:val="24"/>
          <w:szCs w:val="24"/>
        </w:rPr>
        <w:t xml:space="preserve">ed independently.  </w:t>
      </w:r>
      <w:r w:rsidR="000C2725" w:rsidRPr="0052360E">
        <w:rPr>
          <w:rFonts w:ascii="Times New Roman" w:hAnsi="Times New Roman" w:cs="Times New Roman"/>
          <w:sz w:val="24"/>
          <w:szCs w:val="24"/>
        </w:rPr>
        <w:t>The derived m</w:t>
      </w:r>
      <w:r w:rsidR="005D4AEE" w:rsidRPr="0052360E">
        <w:rPr>
          <w:rFonts w:ascii="Times New Roman" w:hAnsi="Times New Roman" w:cs="Times New Roman"/>
          <w:sz w:val="24"/>
          <w:szCs w:val="24"/>
        </w:rPr>
        <w:t xml:space="preserve">ean sample weight was 0.033g, although weights were highly variable and 18% were negative. Residuals from a linear regression of the difference in estimated weights between the repeat samples against the difference in Lf concentration suggested a sample weight measurement error </w:t>
      </w:r>
      <w:r w:rsidR="00FC2B57" w:rsidRPr="0052360E">
        <w:rPr>
          <w:rFonts w:ascii="Times New Roman" w:hAnsi="Times New Roman" w:cs="Times New Roman"/>
          <w:sz w:val="24"/>
          <w:szCs w:val="24"/>
        </w:rPr>
        <w:t xml:space="preserve">(standard deviation) </w:t>
      </w:r>
      <w:r w:rsidR="005D4AEE" w:rsidRPr="0052360E">
        <w:rPr>
          <w:rFonts w:ascii="Times New Roman" w:hAnsi="Times New Roman" w:cs="Times New Roman"/>
          <w:sz w:val="24"/>
          <w:szCs w:val="24"/>
        </w:rPr>
        <w:t xml:space="preserve">of 0.035g. Temporal variation in </w:t>
      </w:r>
      <w:r w:rsidR="00A84095" w:rsidRPr="0052360E">
        <w:rPr>
          <w:rFonts w:ascii="Times New Roman" w:hAnsi="Times New Roman" w:cs="Times New Roman"/>
          <w:sz w:val="24"/>
          <w:szCs w:val="24"/>
        </w:rPr>
        <w:t xml:space="preserve">derived </w:t>
      </w:r>
      <w:r w:rsidR="005D4AEE" w:rsidRPr="0052360E">
        <w:rPr>
          <w:rFonts w:ascii="Times New Roman" w:hAnsi="Times New Roman" w:cs="Times New Roman"/>
          <w:sz w:val="24"/>
          <w:szCs w:val="24"/>
        </w:rPr>
        <w:t>weight</w:t>
      </w:r>
      <w:r w:rsidR="00A84095" w:rsidRPr="0052360E">
        <w:rPr>
          <w:rFonts w:ascii="Times New Roman" w:hAnsi="Times New Roman" w:cs="Times New Roman"/>
          <w:sz w:val="24"/>
          <w:szCs w:val="24"/>
        </w:rPr>
        <w:t>s</w:t>
      </w:r>
      <w:r w:rsidR="005D4AEE" w:rsidRPr="0052360E">
        <w:rPr>
          <w:rFonts w:ascii="Times New Roman" w:hAnsi="Times New Roman" w:cs="Times New Roman"/>
          <w:sz w:val="24"/>
          <w:szCs w:val="24"/>
        </w:rPr>
        <w:t xml:space="preserve"> </w:t>
      </w:r>
      <w:r w:rsidR="00A84095" w:rsidRPr="0052360E">
        <w:rPr>
          <w:rFonts w:ascii="Times New Roman" w:hAnsi="Times New Roman" w:cs="Times New Roman"/>
          <w:sz w:val="24"/>
          <w:szCs w:val="24"/>
        </w:rPr>
        <w:t>suggested</w:t>
      </w:r>
      <w:r w:rsidR="005D4AEE" w:rsidRPr="0052360E">
        <w:rPr>
          <w:rFonts w:ascii="Times New Roman" w:hAnsi="Times New Roman" w:cs="Times New Roman"/>
          <w:sz w:val="24"/>
          <w:szCs w:val="24"/>
        </w:rPr>
        <w:t xml:space="preserve"> a batch or seasonal effect a</w:t>
      </w:r>
      <w:r w:rsidR="00A84095" w:rsidRPr="0052360E">
        <w:rPr>
          <w:rFonts w:ascii="Times New Roman" w:hAnsi="Times New Roman" w:cs="Times New Roman"/>
          <w:sz w:val="24"/>
          <w:szCs w:val="24"/>
        </w:rPr>
        <w:t>nd</w:t>
      </w:r>
      <w:r w:rsidR="005D4AEE" w:rsidRPr="0052360E">
        <w:rPr>
          <w:rFonts w:ascii="Times New Roman" w:hAnsi="Times New Roman" w:cs="Times New Roman"/>
          <w:sz w:val="24"/>
          <w:szCs w:val="24"/>
        </w:rPr>
        <w:t xml:space="preserve"> operator differences were not discerned. Mean Lf values were therefore normalised by mean weight for type of visit (allowing for pregnancy effects) derived from a linear model which included month as a covariate. The denominators used were ANC1: 0.038g; ANC2: 0.048g; end assessment: 0.038g. </w:t>
      </w:r>
      <w:r w:rsidR="008C1D33" w:rsidRPr="0052360E">
        <w:rPr>
          <w:rFonts w:ascii="Times New Roman" w:hAnsi="Times New Roman" w:cs="Times New Roman"/>
          <w:sz w:val="24"/>
          <w:szCs w:val="24"/>
        </w:rPr>
        <w:t>A dilution series was used and v</w:t>
      </w:r>
      <w:r w:rsidR="005D4AEE" w:rsidRPr="0052360E">
        <w:rPr>
          <w:rFonts w:ascii="Times New Roman" w:hAnsi="Times New Roman" w:cs="Times New Roman"/>
          <w:sz w:val="24"/>
          <w:szCs w:val="24"/>
        </w:rPr>
        <w:t>alues above the ELISA assay range were assigned a nominal high value of 10</w:t>
      </w:r>
      <w:r w:rsidR="00FC2B57" w:rsidRPr="0052360E">
        <w:rPr>
          <w:rFonts w:ascii="Times New Roman" w:hAnsi="Times New Roman" w:cs="Times New Roman"/>
          <w:sz w:val="24"/>
          <w:szCs w:val="24"/>
        </w:rPr>
        <w:t>4</w:t>
      </w:r>
      <w:r w:rsidR="005D4AEE" w:rsidRPr="0052360E">
        <w:rPr>
          <w:rFonts w:ascii="Times New Roman" w:hAnsi="Times New Roman" w:cs="Times New Roman"/>
          <w:sz w:val="24"/>
          <w:szCs w:val="24"/>
        </w:rPr>
        <w:t xml:space="preserve"> </w:t>
      </w:r>
      <w:r w:rsidR="005D4AEE" w:rsidRPr="0052360E">
        <w:rPr>
          <w:rFonts w:ascii="Times New Roman" w:hAnsi="Times New Roman" w:cs="Times New Roman"/>
          <w:sz w:val="24"/>
          <w:szCs w:val="24"/>
        </w:rPr>
        <w:sym w:font="Symbol" w:char="F06D"/>
      </w:r>
      <w:r w:rsidR="005D4AEE" w:rsidRPr="0052360E">
        <w:rPr>
          <w:rFonts w:ascii="Times New Roman" w:hAnsi="Times New Roman" w:cs="Times New Roman"/>
          <w:sz w:val="24"/>
          <w:szCs w:val="24"/>
        </w:rPr>
        <w:t>g/ml</w:t>
      </w:r>
      <w:r w:rsidR="008C1D33" w:rsidRPr="0052360E">
        <w:rPr>
          <w:rFonts w:ascii="Times New Roman" w:hAnsi="Times New Roman" w:cs="Times New Roman"/>
          <w:sz w:val="24"/>
          <w:szCs w:val="24"/>
        </w:rPr>
        <w:t>,</w:t>
      </w:r>
      <w:r w:rsidR="005D4AEE" w:rsidRPr="0052360E">
        <w:rPr>
          <w:rFonts w:ascii="Times New Roman" w:hAnsi="Times New Roman" w:cs="Times New Roman"/>
          <w:sz w:val="24"/>
          <w:szCs w:val="24"/>
        </w:rPr>
        <w:t xml:space="preserve"> and those with no Lf detected were assumed to have no fluid collected if the duplicate sample recorded a detectable level.  </w:t>
      </w:r>
    </w:p>
    <w:p w14:paraId="0B533FCA" w14:textId="6898DA11" w:rsidR="005D4565" w:rsidRPr="0052360E" w:rsidRDefault="003D3D93" w:rsidP="00BA62FE">
      <w:pPr>
        <w:spacing w:after="0" w:line="480" w:lineRule="auto"/>
        <w:ind w:left="227" w:right="227" w:firstLine="13"/>
        <w:rPr>
          <w:rFonts w:ascii="Times New Roman" w:hAnsi="Times New Roman" w:cs="Times New Roman"/>
          <w:bCs/>
          <w:sz w:val="24"/>
          <w:szCs w:val="24"/>
        </w:rPr>
      </w:pPr>
      <w:r w:rsidRPr="0052360E">
        <w:rPr>
          <w:rFonts w:ascii="Times New Roman" w:hAnsi="Times New Roman"/>
          <w:sz w:val="24"/>
          <w:szCs w:val="24"/>
        </w:rPr>
        <w:t>Hemoglobin was measured (Sysmex automated analyser)</w:t>
      </w:r>
      <w:r w:rsidRPr="0052360E">
        <w:rPr>
          <w:rFonts w:ascii="Times New Roman" w:hAnsi="Times New Roman"/>
          <w:bCs/>
          <w:color w:val="000000"/>
          <w:sz w:val="24"/>
          <w:szCs w:val="24"/>
        </w:rPr>
        <w:t xml:space="preserve"> o</w:t>
      </w:r>
      <w:r w:rsidRPr="0052360E">
        <w:rPr>
          <w:rFonts w:ascii="Times New Roman" w:hAnsi="Times New Roman"/>
          <w:sz w:val="24"/>
          <w:szCs w:val="24"/>
        </w:rPr>
        <w:t xml:space="preserve">n fresh whole blood. </w:t>
      </w:r>
      <w:r w:rsidR="00BA62FE" w:rsidRPr="0052360E">
        <w:rPr>
          <w:rFonts w:ascii="Times New Roman" w:hAnsi="Times New Roman"/>
          <w:sz w:val="24"/>
          <w:szCs w:val="24"/>
        </w:rPr>
        <w:t xml:space="preserve">Cut-off points for anaemia were &lt;12g/dl for non-pregnant and &lt;11g/dl for pregnant women. </w:t>
      </w:r>
      <w:r w:rsidR="00265168" w:rsidRPr="0052360E">
        <w:rPr>
          <w:rFonts w:ascii="Times New Roman" w:hAnsi="Times New Roman" w:cs="Times New Roman"/>
          <w:sz w:val="24"/>
          <w:szCs w:val="24"/>
        </w:rPr>
        <w:t>M</w:t>
      </w:r>
      <w:r w:rsidR="00392320" w:rsidRPr="0052360E">
        <w:rPr>
          <w:rFonts w:ascii="Times New Roman" w:hAnsi="Times New Roman" w:cs="Times New Roman"/>
          <w:sz w:val="24"/>
          <w:szCs w:val="24"/>
        </w:rPr>
        <w:t>ethods for a</w:t>
      </w:r>
      <w:r w:rsidR="00AC36B2" w:rsidRPr="0052360E">
        <w:rPr>
          <w:rFonts w:ascii="Times New Roman" w:hAnsi="Times New Roman" w:cs="Times New Roman"/>
          <w:sz w:val="24"/>
          <w:szCs w:val="24"/>
        </w:rPr>
        <w:t>ssessing iron biomarkers and C-reactive p</w:t>
      </w:r>
      <w:r w:rsidR="00392320" w:rsidRPr="0052360E">
        <w:rPr>
          <w:rFonts w:ascii="Times New Roman" w:hAnsi="Times New Roman" w:cs="Times New Roman"/>
          <w:sz w:val="24"/>
          <w:szCs w:val="24"/>
        </w:rPr>
        <w:t>rotein (CR</w:t>
      </w:r>
      <w:r w:rsidR="00DB42ED" w:rsidRPr="0052360E">
        <w:rPr>
          <w:rFonts w:ascii="Times New Roman" w:hAnsi="Times New Roman" w:cs="Times New Roman"/>
          <w:sz w:val="24"/>
          <w:szCs w:val="24"/>
        </w:rPr>
        <w:t xml:space="preserve">P) have been </w:t>
      </w:r>
      <w:r w:rsidR="00BA62FE" w:rsidRPr="0052360E">
        <w:rPr>
          <w:rFonts w:ascii="Times New Roman" w:hAnsi="Times New Roman" w:cs="Times New Roman"/>
          <w:sz w:val="24"/>
          <w:szCs w:val="24"/>
        </w:rPr>
        <w:t xml:space="preserve">previously </w:t>
      </w:r>
      <w:r w:rsidR="00DB42ED" w:rsidRPr="0052360E">
        <w:rPr>
          <w:rFonts w:ascii="Times New Roman" w:hAnsi="Times New Roman" w:cs="Times New Roman"/>
          <w:sz w:val="24"/>
          <w:szCs w:val="24"/>
        </w:rPr>
        <w:t>reported</w:t>
      </w:r>
      <w:r w:rsidR="00392320" w:rsidRPr="0052360E">
        <w:rPr>
          <w:rFonts w:ascii="Times New Roman" w:hAnsi="Times New Roman" w:cs="Times New Roman"/>
          <w:sz w:val="24"/>
          <w:szCs w:val="24"/>
        </w:rPr>
        <w:t>.</w:t>
      </w:r>
      <w:r w:rsidR="003B7A37" w:rsidRPr="0052360E">
        <w:rPr>
          <w:rFonts w:ascii="Times New Roman" w:hAnsi="Times New Roman" w:cs="Times New Roman"/>
          <w:sz w:val="24"/>
          <w:szCs w:val="24"/>
          <w:vertAlign w:val="superscript"/>
        </w:rPr>
        <w:t xml:space="preserve">21 </w:t>
      </w:r>
      <w:r w:rsidR="00845CAF" w:rsidRPr="0052360E">
        <w:rPr>
          <w:rFonts w:ascii="Times New Roman" w:hAnsi="Times New Roman" w:cs="Times New Roman"/>
          <w:sz w:val="24"/>
          <w:szCs w:val="24"/>
        </w:rPr>
        <w:t xml:space="preserve">Briefly, </w:t>
      </w:r>
      <w:r w:rsidR="00512AED" w:rsidRPr="0052360E">
        <w:rPr>
          <w:rFonts w:ascii="Times New Roman" w:hAnsi="Times New Roman" w:cs="Times New Roman"/>
          <w:sz w:val="24"/>
          <w:szCs w:val="24"/>
        </w:rPr>
        <w:t xml:space="preserve">plasma </w:t>
      </w:r>
      <w:r w:rsidR="00845CAF" w:rsidRPr="0052360E">
        <w:rPr>
          <w:rFonts w:ascii="Times New Roman" w:hAnsi="Times New Roman" w:cs="Times New Roman"/>
          <w:sz w:val="24"/>
          <w:szCs w:val="24"/>
        </w:rPr>
        <w:t>f</w:t>
      </w:r>
      <w:r w:rsidR="00845CAF" w:rsidRPr="0052360E">
        <w:rPr>
          <w:rFonts w:ascii="Times New Roman" w:hAnsi="Times New Roman" w:cs="Times New Roman"/>
          <w:bCs/>
          <w:sz w:val="24"/>
          <w:szCs w:val="24"/>
        </w:rPr>
        <w:t>erritin and transferrin receptor (sTfR) were measured in duplicate by ELISA (Spectro Ferritin S-22 and TFC 94 Transferrin Receptor, RAMCO Laboratories Inc, Texas</w:t>
      </w:r>
      <w:r w:rsidR="0031738A" w:rsidRPr="0052360E">
        <w:rPr>
          <w:rFonts w:ascii="Times New Roman" w:hAnsi="Times New Roman" w:cs="Times New Roman"/>
          <w:bCs/>
          <w:sz w:val="24"/>
          <w:szCs w:val="24"/>
        </w:rPr>
        <w:t>, US</w:t>
      </w:r>
      <w:r w:rsidR="00845CAF" w:rsidRPr="0052360E">
        <w:rPr>
          <w:rFonts w:ascii="Times New Roman" w:hAnsi="Times New Roman" w:cs="Times New Roman"/>
          <w:bCs/>
          <w:sz w:val="24"/>
          <w:szCs w:val="24"/>
        </w:rPr>
        <w:t>)</w:t>
      </w:r>
      <w:r w:rsidR="00BA62FE" w:rsidRPr="0052360E">
        <w:rPr>
          <w:rFonts w:ascii="Times New Roman" w:hAnsi="Times New Roman" w:cs="Times New Roman"/>
          <w:bCs/>
          <w:sz w:val="24"/>
          <w:szCs w:val="24"/>
        </w:rPr>
        <w:t>.</w:t>
      </w:r>
      <w:r w:rsidR="00845CAF" w:rsidRPr="0052360E">
        <w:rPr>
          <w:rFonts w:ascii="Times New Roman" w:hAnsi="Times New Roman" w:cs="Times New Roman"/>
          <w:bCs/>
          <w:sz w:val="24"/>
          <w:szCs w:val="24"/>
        </w:rPr>
        <w:t xml:space="preserve"> CRP </w:t>
      </w:r>
      <w:r w:rsidR="00BA62FE" w:rsidRPr="0052360E">
        <w:rPr>
          <w:rFonts w:ascii="Times New Roman" w:hAnsi="Times New Roman" w:cs="Times New Roman"/>
          <w:bCs/>
          <w:sz w:val="24"/>
          <w:szCs w:val="24"/>
        </w:rPr>
        <w:t xml:space="preserve">was assessed </w:t>
      </w:r>
      <w:r w:rsidR="00845CAF" w:rsidRPr="0052360E">
        <w:rPr>
          <w:rFonts w:ascii="Times New Roman" w:hAnsi="Times New Roman" w:cs="Times New Roman"/>
          <w:bCs/>
          <w:sz w:val="24"/>
          <w:szCs w:val="24"/>
        </w:rPr>
        <w:t>by ELISA (EU59131, IB</w:t>
      </w:r>
      <w:r w:rsidR="00B53EDE" w:rsidRPr="0052360E">
        <w:rPr>
          <w:rFonts w:ascii="Times New Roman" w:hAnsi="Times New Roman" w:cs="Times New Roman"/>
          <w:bCs/>
          <w:sz w:val="24"/>
          <w:szCs w:val="24"/>
        </w:rPr>
        <w:t>L International, GMBH, Hamburg</w:t>
      </w:r>
      <w:r w:rsidR="0031738A" w:rsidRPr="0052360E">
        <w:rPr>
          <w:rFonts w:ascii="Times New Roman" w:hAnsi="Times New Roman" w:cs="Times New Roman"/>
          <w:bCs/>
          <w:sz w:val="24"/>
          <w:szCs w:val="24"/>
        </w:rPr>
        <w:t>, Germany</w:t>
      </w:r>
      <w:r w:rsidR="00B53EDE" w:rsidRPr="0052360E">
        <w:rPr>
          <w:rFonts w:ascii="Times New Roman" w:hAnsi="Times New Roman" w:cs="Times New Roman"/>
          <w:bCs/>
          <w:sz w:val="24"/>
          <w:szCs w:val="24"/>
        </w:rPr>
        <w:t>) at the</w:t>
      </w:r>
      <w:r w:rsidR="00845CAF" w:rsidRPr="0052360E">
        <w:rPr>
          <w:rFonts w:ascii="Times New Roman" w:hAnsi="Times New Roman" w:cs="Times New Roman"/>
          <w:bCs/>
          <w:sz w:val="24"/>
          <w:szCs w:val="24"/>
        </w:rPr>
        <w:t xml:space="preserve"> Nanoro Research Laboratories</w:t>
      </w:r>
      <w:r w:rsidR="00BA62FE" w:rsidRPr="0052360E">
        <w:rPr>
          <w:rFonts w:ascii="Times New Roman" w:hAnsi="Times New Roman" w:cs="Times New Roman"/>
          <w:bCs/>
          <w:sz w:val="24"/>
          <w:szCs w:val="24"/>
        </w:rPr>
        <w:t xml:space="preserve">, with an upper limit of the normal range in non-pregnant individuals between 5 and 8 mg/l. </w:t>
      </w:r>
      <w:r w:rsidR="00B53EDE" w:rsidRPr="0052360E">
        <w:rPr>
          <w:rFonts w:ascii="Times New Roman" w:hAnsi="Times New Roman" w:cs="Times New Roman"/>
          <w:bCs/>
          <w:sz w:val="24"/>
          <w:szCs w:val="24"/>
        </w:rPr>
        <w:t xml:space="preserve"> </w:t>
      </w:r>
      <w:r w:rsidR="005D4565" w:rsidRPr="0052360E">
        <w:rPr>
          <w:rFonts w:ascii="Times New Roman" w:hAnsi="Times New Roman"/>
          <w:color w:val="000000"/>
          <w:sz w:val="24"/>
          <w:szCs w:val="24"/>
        </w:rPr>
        <w:t>Iron deficien</w:t>
      </w:r>
      <w:r w:rsidR="00025485" w:rsidRPr="0052360E">
        <w:rPr>
          <w:rFonts w:ascii="Times New Roman" w:hAnsi="Times New Roman"/>
          <w:color w:val="000000"/>
          <w:sz w:val="24"/>
          <w:szCs w:val="24"/>
        </w:rPr>
        <w:t>cy</w:t>
      </w:r>
      <w:r w:rsidR="005D4565" w:rsidRPr="0052360E">
        <w:rPr>
          <w:rFonts w:ascii="Times New Roman" w:hAnsi="Times New Roman"/>
          <w:color w:val="000000"/>
          <w:sz w:val="24"/>
          <w:szCs w:val="24"/>
        </w:rPr>
        <w:t xml:space="preserve"> </w:t>
      </w:r>
      <w:r w:rsidR="005D4565" w:rsidRPr="0052360E">
        <w:rPr>
          <w:rFonts w:ascii="Times New Roman" w:hAnsi="Times New Roman"/>
          <w:sz w:val="24"/>
          <w:szCs w:val="24"/>
        </w:rPr>
        <w:t xml:space="preserve">was estimated using </w:t>
      </w:r>
      <w:r w:rsidR="00845CAF" w:rsidRPr="0052360E">
        <w:rPr>
          <w:rFonts w:ascii="Times New Roman" w:hAnsi="Times New Roman" w:cs="Times New Roman"/>
          <w:bCs/>
          <w:sz w:val="24"/>
          <w:szCs w:val="24"/>
        </w:rPr>
        <w:t xml:space="preserve">a ratio of sTfR </w:t>
      </w:r>
      <w:r w:rsidR="00845CAF" w:rsidRPr="0052360E">
        <w:rPr>
          <w:rFonts w:ascii="Times New Roman" w:hAnsi="Times New Roman" w:cs="Times New Roman"/>
          <w:bCs/>
          <w:sz w:val="24"/>
          <w:szCs w:val="24"/>
          <w:lang w:val="en-US"/>
        </w:rPr>
        <w:t>µg/ml</w:t>
      </w:r>
      <w:r w:rsidR="00845CAF" w:rsidRPr="0052360E">
        <w:rPr>
          <w:rFonts w:ascii="Times New Roman" w:hAnsi="Times New Roman" w:cs="Times New Roman"/>
          <w:bCs/>
          <w:sz w:val="24"/>
          <w:szCs w:val="24"/>
        </w:rPr>
        <w:t xml:space="preserve"> to log</w:t>
      </w:r>
      <w:r w:rsidR="00845CAF" w:rsidRPr="0052360E">
        <w:rPr>
          <w:rFonts w:ascii="Times New Roman" w:hAnsi="Times New Roman" w:cs="Times New Roman"/>
          <w:bCs/>
          <w:sz w:val="24"/>
          <w:szCs w:val="24"/>
          <w:vertAlign w:val="subscript"/>
        </w:rPr>
        <w:t>10</w:t>
      </w:r>
      <w:r w:rsidR="003B7A37" w:rsidRPr="0052360E">
        <w:rPr>
          <w:rFonts w:ascii="Times New Roman" w:hAnsi="Times New Roman" w:cs="Times New Roman"/>
          <w:bCs/>
          <w:sz w:val="24"/>
          <w:szCs w:val="24"/>
        </w:rPr>
        <w:t xml:space="preserve"> ferritin &gt;5.6</w:t>
      </w:r>
      <w:r w:rsidR="00845CAF" w:rsidRPr="0052360E">
        <w:rPr>
          <w:rFonts w:ascii="Times New Roman" w:hAnsi="Times New Roman" w:cs="Times New Roman"/>
          <w:bCs/>
          <w:sz w:val="24"/>
          <w:szCs w:val="24"/>
        </w:rPr>
        <w:t>.</w:t>
      </w:r>
      <w:r w:rsidR="003B7A37" w:rsidRPr="0052360E">
        <w:rPr>
          <w:rFonts w:ascii="Times New Roman" w:hAnsi="Times New Roman" w:cs="Times New Roman"/>
          <w:bCs/>
          <w:sz w:val="24"/>
          <w:szCs w:val="24"/>
          <w:vertAlign w:val="superscript"/>
        </w:rPr>
        <w:t>21</w:t>
      </w:r>
      <w:r w:rsidR="00B53EDE" w:rsidRPr="0052360E">
        <w:rPr>
          <w:rFonts w:ascii="Times New Roman" w:hAnsi="Times New Roman" w:cs="Times New Roman"/>
          <w:bCs/>
          <w:sz w:val="24"/>
          <w:szCs w:val="24"/>
        </w:rPr>
        <w:t xml:space="preserve"> </w:t>
      </w:r>
      <w:r w:rsidR="005D4565" w:rsidRPr="0052360E">
        <w:rPr>
          <w:rFonts w:ascii="Times New Roman" w:hAnsi="Times New Roman"/>
          <w:bCs/>
          <w:sz w:val="24"/>
          <w:szCs w:val="24"/>
        </w:rPr>
        <w:t>Body iron stores (BIS) (mg/kg) were calculated using the equation derived by Cook e</w:t>
      </w:r>
      <w:r w:rsidR="00367D03" w:rsidRPr="0052360E">
        <w:rPr>
          <w:rFonts w:ascii="Times New Roman" w:hAnsi="Times New Roman"/>
          <w:bCs/>
          <w:sz w:val="24"/>
          <w:szCs w:val="24"/>
        </w:rPr>
        <w:t>t al</w:t>
      </w:r>
      <w:r w:rsidR="003B7A37" w:rsidRPr="0052360E">
        <w:rPr>
          <w:rFonts w:ascii="Times New Roman" w:hAnsi="Times New Roman"/>
          <w:bCs/>
          <w:sz w:val="24"/>
          <w:szCs w:val="24"/>
          <w:vertAlign w:val="superscript"/>
        </w:rPr>
        <w:t>22</w:t>
      </w:r>
      <w:r w:rsidR="00367D03" w:rsidRPr="0052360E">
        <w:rPr>
          <w:rFonts w:ascii="Times New Roman" w:hAnsi="Times New Roman"/>
          <w:bCs/>
          <w:sz w:val="24"/>
          <w:szCs w:val="24"/>
        </w:rPr>
        <w:t>: body iron</w:t>
      </w:r>
      <w:r w:rsidR="005D4565" w:rsidRPr="0052360E">
        <w:rPr>
          <w:rFonts w:ascii="Times New Roman" w:hAnsi="Times New Roman"/>
          <w:bCs/>
          <w:sz w:val="24"/>
          <w:szCs w:val="24"/>
        </w:rPr>
        <w:t xml:space="preserve"> (mg/kg) = - [log</w:t>
      </w:r>
      <w:r w:rsidR="005D4565" w:rsidRPr="0052360E">
        <w:rPr>
          <w:rFonts w:ascii="Times New Roman" w:hAnsi="Times New Roman"/>
          <w:bCs/>
          <w:sz w:val="24"/>
          <w:szCs w:val="24"/>
          <w:vertAlign w:val="subscript"/>
        </w:rPr>
        <w:t>10</w:t>
      </w:r>
      <w:r w:rsidR="005D4565" w:rsidRPr="0052360E">
        <w:rPr>
          <w:rFonts w:ascii="Times New Roman" w:hAnsi="Times New Roman"/>
          <w:bCs/>
          <w:sz w:val="24"/>
          <w:szCs w:val="24"/>
        </w:rPr>
        <w:t xml:space="preserve"> (1000 x sTfR/ferritin) – 2.8229]/0.1207</w:t>
      </w:r>
      <w:r w:rsidR="00367D03" w:rsidRPr="0052360E">
        <w:rPr>
          <w:rFonts w:ascii="Times New Roman" w:hAnsi="Times New Roman"/>
          <w:bCs/>
          <w:sz w:val="24"/>
          <w:szCs w:val="24"/>
        </w:rPr>
        <w:t>, using adjusted ferritin based on an internal regression correction approach allowing for inflammation as described by Namaste et al</w:t>
      </w:r>
      <w:r w:rsidR="003B7A37" w:rsidRPr="0052360E">
        <w:rPr>
          <w:rFonts w:ascii="Times New Roman" w:hAnsi="Times New Roman"/>
          <w:bCs/>
          <w:sz w:val="24"/>
          <w:szCs w:val="24"/>
        </w:rPr>
        <w:t>.</w:t>
      </w:r>
      <w:r w:rsidR="006948BE" w:rsidRPr="0052360E">
        <w:rPr>
          <w:rFonts w:ascii="Times New Roman" w:hAnsi="Times New Roman"/>
          <w:bCs/>
          <w:sz w:val="24"/>
          <w:szCs w:val="24"/>
        </w:rPr>
        <w:t>,</w:t>
      </w:r>
      <w:r w:rsidR="003B7A37" w:rsidRPr="0052360E">
        <w:rPr>
          <w:rFonts w:ascii="Times New Roman" w:hAnsi="Times New Roman"/>
          <w:bCs/>
          <w:sz w:val="24"/>
          <w:szCs w:val="24"/>
          <w:vertAlign w:val="superscript"/>
        </w:rPr>
        <w:t>23</w:t>
      </w:r>
      <w:r w:rsidR="006948BE" w:rsidRPr="0052360E">
        <w:rPr>
          <w:rFonts w:ascii="Times New Roman" w:hAnsi="Times New Roman"/>
          <w:bCs/>
          <w:sz w:val="24"/>
          <w:szCs w:val="24"/>
          <w:vertAlign w:val="superscript"/>
        </w:rPr>
        <w:t xml:space="preserve"> </w:t>
      </w:r>
      <w:r w:rsidR="00A84095" w:rsidRPr="0052360E">
        <w:rPr>
          <w:rFonts w:ascii="Times New Roman" w:hAnsi="Times New Roman"/>
          <w:bCs/>
          <w:sz w:val="24"/>
          <w:szCs w:val="24"/>
        </w:rPr>
        <w:t>based on</w:t>
      </w:r>
      <w:r w:rsidR="006948BE" w:rsidRPr="0052360E">
        <w:rPr>
          <w:rFonts w:ascii="Times New Roman" w:hAnsi="Times New Roman"/>
          <w:bCs/>
          <w:sz w:val="24"/>
          <w:szCs w:val="24"/>
        </w:rPr>
        <w:t xml:space="preserve"> all the trial data</w:t>
      </w:r>
      <w:r w:rsidR="00A9217D" w:rsidRPr="0052360E">
        <w:rPr>
          <w:rFonts w:ascii="Times New Roman" w:hAnsi="Times New Roman"/>
          <w:bCs/>
          <w:sz w:val="24"/>
          <w:szCs w:val="24"/>
        </w:rPr>
        <w:t>.</w:t>
      </w:r>
      <w:r w:rsidR="006948BE" w:rsidRPr="0052360E">
        <w:rPr>
          <w:rFonts w:ascii="Times New Roman" w:hAnsi="Times New Roman"/>
          <w:bCs/>
          <w:sz w:val="24"/>
          <w:szCs w:val="24"/>
          <w:vertAlign w:val="superscript"/>
        </w:rPr>
        <w:t>21</w:t>
      </w:r>
      <w:r w:rsidR="003B7A37" w:rsidRPr="0052360E">
        <w:rPr>
          <w:rFonts w:ascii="Times New Roman" w:hAnsi="Times New Roman"/>
          <w:bCs/>
          <w:sz w:val="24"/>
          <w:szCs w:val="24"/>
        </w:rPr>
        <w:t xml:space="preserve"> </w:t>
      </w:r>
      <w:r w:rsidR="005D4565" w:rsidRPr="0052360E">
        <w:rPr>
          <w:rFonts w:ascii="Times New Roman" w:hAnsi="Times New Roman"/>
          <w:color w:val="000000"/>
          <w:sz w:val="24"/>
          <w:szCs w:val="24"/>
        </w:rPr>
        <w:t>Serum hepcidin was measured by competitive ELISA assay as previously described.</w:t>
      </w:r>
      <w:r w:rsidR="003B7A37" w:rsidRPr="0052360E">
        <w:rPr>
          <w:rFonts w:ascii="Times New Roman" w:hAnsi="Times New Roman"/>
          <w:color w:val="000000"/>
          <w:sz w:val="24"/>
          <w:szCs w:val="24"/>
          <w:vertAlign w:val="superscript"/>
        </w:rPr>
        <w:t>24</w:t>
      </w:r>
    </w:p>
    <w:p w14:paraId="706BCC7D" w14:textId="77777777" w:rsidR="00025485" w:rsidRPr="0052360E" w:rsidRDefault="00025485" w:rsidP="008C59EA">
      <w:pPr>
        <w:spacing w:after="0" w:line="480" w:lineRule="auto"/>
        <w:ind w:left="227" w:right="227" w:firstLine="13"/>
        <w:rPr>
          <w:rFonts w:ascii="Times New Roman" w:hAnsi="Times New Roman" w:cs="Times New Roman"/>
          <w:bCs/>
          <w:color w:val="FF0000"/>
          <w:sz w:val="24"/>
          <w:szCs w:val="24"/>
          <w:vertAlign w:val="superscript"/>
        </w:rPr>
      </w:pPr>
    </w:p>
    <w:p w14:paraId="6C96F795" w14:textId="2825C024" w:rsidR="005D4AEE" w:rsidRPr="0052360E" w:rsidRDefault="005D4AEE" w:rsidP="008C59EA">
      <w:pPr>
        <w:spacing w:after="0" w:line="480" w:lineRule="auto"/>
        <w:ind w:left="227" w:right="227" w:firstLine="13"/>
        <w:rPr>
          <w:rFonts w:ascii="Times New Roman" w:hAnsi="Times New Roman" w:cs="Times New Roman"/>
          <w:i/>
          <w:sz w:val="24"/>
          <w:szCs w:val="24"/>
        </w:rPr>
      </w:pPr>
      <w:r w:rsidRPr="0052360E">
        <w:rPr>
          <w:rFonts w:ascii="Times New Roman" w:hAnsi="Times New Roman" w:cs="Times New Roman"/>
          <w:i/>
          <w:sz w:val="24"/>
          <w:szCs w:val="24"/>
        </w:rPr>
        <w:t>Statistical analysis</w:t>
      </w:r>
    </w:p>
    <w:p w14:paraId="4792A575" w14:textId="2F446FBC" w:rsidR="00C94738" w:rsidRPr="0052360E" w:rsidRDefault="003E614A" w:rsidP="008C59EA">
      <w:pPr>
        <w:spacing w:after="0" w:line="480" w:lineRule="auto"/>
        <w:ind w:left="284" w:right="227"/>
        <w:rPr>
          <w:rFonts w:ascii="Times New Roman" w:hAnsi="Times New Roman" w:cs="Times New Roman"/>
          <w:sz w:val="24"/>
          <w:szCs w:val="24"/>
        </w:rPr>
      </w:pPr>
      <w:r w:rsidRPr="0052360E">
        <w:rPr>
          <w:rFonts w:ascii="Times New Roman" w:hAnsi="Times New Roman" w:cs="Times New Roman"/>
          <w:sz w:val="24"/>
          <w:szCs w:val="24"/>
        </w:rPr>
        <w:t>No differences in vaginal infections</w:t>
      </w:r>
      <w:r w:rsidR="00340C9E" w:rsidRPr="0052360E">
        <w:rPr>
          <w:rFonts w:ascii="Times New Roman" w:hAnsi="Times New Roman" w:cs="Times New Roman"/>
          <w:sz w:val="24"/>
          <w:szCs w:val="24"/>
          <w:vertAlign w:val="superscript"/>
        </w:rPr>
        <w:t>16</w:t>
      </w:r>
      <w:r w:rsidRPr="0052360E">
        <w:rPr>
          <w:rFonts w:ascii="Times New Roman" w:hAnsi="Times New Roman" w:cs="Times New Roman"/>
          <w:sz w:val="24"/>
          <w:szCs w:val="24"/>
        </w:rPr>
        <w:t xml:space="preserve"> or Lf levels we</w:t>
      </w:r>
      <w:r w:rsidR="00C94738" w:rsidRPr="0052360E">
        <w:rPr>
          <w:rFonts w:ascii="Times New Roman" w:hAnsi="Times New Roman" w:cs="Times New Roman"/>
          <w:sz w:val="24"/>
          <w:szCs w:val="24"/>
        </w:rPr>
        <w:t xml:space="preserve">re detected by study arm in the </w:t>
      </w:r>
      <w:r w:rsidRPr="0052360E">
        <w:rPr>
          <w:rFonts w:ascii="Times New Roman" w:hAnsi="Times New Roman" w:cs="Times New Roman"/>
          <w:sz w:val="24"/>
          <w:szCs w:val="24"/>
        </w:rPr>
        <w:t>formal intention to treat (ITT) analysis (Supplementary file Table 1)</w:t>
      </w:r>
      <w:r w:rsidR="00C94738" w:rsidRPr="0052360E">
        <w:rPr>
          <w:rFonts w:ascii="Times New Roman" w:hAnsi="Times New Roman" w:cs="Times New Roman"/>
          <w:sz w:val="24"/>
          <w:szCs w:val="24"/>
        </w:rPr>
        <w:t xml:space="preserve">, and trial arms were </w:t>
      </w:r>
      <w:r w:rsidRPr="0052360E">
        <w:rPr>
          <w:rFonts w:ascii="Times New Roman" w:hAnsi="Times New Roman" w:cs="Times New Roman"/>
          <w:sz w:val="24"/>
          <w:szCs w:val="24"/>
        </w:rPr>
        <w:t>pooled in all analyses presented here.</w:t>
      </w:r>
      <w:r w:rsidR="00A804FE" w:rsidRPr="0052360E">
        <w:rPr>
          <w:rFonts w:ascii="Times New Roman" w:hAnsi="Times New Roman" w:cs="Times New Roman"/>
          <w:sz w:val="24"/>
          <w:szCs w:val="24"/>
        </w:rPr>
        <w:t xml:space="preserve"> </w:t>
      </w:r>
      <w:r w:rsidRPr="0052360E">
        <w:rPr>
          <w:rFonts w:ascii="Times New Roman" w:hAnsi="Times New Roman" w:cs="Times New Roman"/>
          <w:sz w:val="24"/>
          <w:szCs w:val="24"/>
        </w:rPr>
        <w:t xml:space="preserve">Two primary analysis datasets were constructed: </w:t>
      </w:r>
      <w:r w:rsidR="00DB42ED" w:rsidRPr="0052360E">
        <w:rPr>
          <w:rFonts w:ascii="Times New Roman" w:hAnsi="Times New Roman" w:cs="Times New Roman"/>
          <w:sz w:val="24"/>
          <w:szCs w:val="24"/>
        </w:rPr>
        <w:t>1)</w:t>
      </w:r>
      <w:r w:rsidRPr="0052360E">
        <w:rPr>
          <w:rFonts w:ascii="Times New Roman" w:hAnsi="Times New Roman" w:cs="Times New Roman"/>
          <w:sz w:val="24"/>
          <w:szCs w:val="24"/>
        </w:rPr>
        <w:t xml:space="preserve"> pregnant women with Lf assessed at either ANC1 or ANC2 (303</w:t>
      </w:r>
      <w:r w:rsidR="00DB42ED" w:rsidRPr="0052360E">
        <w:rPr>
          <w:rFonts w:ascii="Times New Roman" w:hAnsi="Times New Roman" w:cs="Times New Roman"/>
          <w:sz w:val="24"/>
          <w:szCs w:val="24"/>
        </w:rPr>
        <w:t>/</w:t>
      </w:r>
      <w:r w:rsidRPr="0052360E">
        <w:rPr>
          <w:rFonts w:ascii="Times New Roman" w:hAnsi="Times New Roman" w:cs="Times New Roman"/>
          <w:sz w:val="24"/>
          <w:szCs w:val="24"/>
        </w:rPr>
        <w:t xml:space="preserve">315 </w:t>
      </w:r>
      <w:r w:rsidR="00DB42ED" w:rsidRPr="0052360E">
        <w:rPr>
          <w:rFonts w:ascii="Times New Roman" w:hAnsi="Times New Roman" w:cs="Times New Roman"/>
          <w:sz w:val="24"/>
          <w:szCs w:val="24"/>
        </w:rPr>
        <w:t>with</w:t>
      </w:r>
      <w:r w:rsidRPr="0052360E">
        <w:rPr>
          <w:rFonts w:ascii="Times New Roman" w:hAnsi="Times New Roman" w:cs="Times New Roman"/>
          <w:sz w:val="24"/>
          <w:szCs w:val="24"/>
        </w:rPr>
        <w:t xml:space="preserve"> an ANC visit); and </w:t>
      </w:r>
      <w:r w:rsidR="00DB42ED" w:rsidRPr="0052360E">
        <w:rPr>
          <w:rFonts w:ascii="Times New Roman" w:hAnsi="Times New Roman" w:cs="Times New Roman"/>
          <w:sz w:val="24"/>
          <w:szCs w:val="24"/>
        </w:rPr>
        <w:t>2)</w:t>
      </w:r>
      <w:r w:rsidRPr="0052360E">
        <w:rPr>
          <w:rFonts w:ascii="Times New Roman" w:hAnsi="Times New Roman" w:cs="Times New Roman"/>
          <w:sz w:val="24"/>
          <w:szCs w:val="24"/>
        </w:rPr>
        <w:t xml:space="preserve"> women who remained non-pregnant at end assessment (712</w:t>
      </w:r>
      <w:r w:rsidR="00DB42ED" w:rsidRPr="0052360E">
        <w:rPr>
          <w:rFonts w:ascii="Times New Roman" w:hAnsi="Times New Roman" w:cs="Times New Roman"/>
          <w:sz w:val="24"/>
          <w:szCs w:val="24"/>
        </w:rPr>
        <w:t>/</w:t>
      </w:r>
      <w:r w:rsidRPr="0052360E">
        <w:rPr>
          <w:rFonts w:ascii="Times New Roman" w:hAnsi="Times New Roman" w:cs="Times New Roman"/>
          <w:sz w:val="24"/>
          <w:szCs w:val="24"/>
        </w:rPr>
        <w:t xml:space="preserve">819 </w:t>
      </w:r>
      <w:r w:rsidR="00DB42ED" w:rsidRPr="0052360E">
        <w:rPr>
          <w:rFonts w:ascii="Times New Roman" w:hAnsi="Times New Roman" w:cs="Times New Roman"/>
          <w:sz w:val="24"/>
          <w:szCs w:val="24"/>
        </w:rPr>
        <w:t>of</w:t>
      </w:r>
      <w:r w:rsidRPr="0052360E">
        <w:rPr>
          <w:rFonts w:ascii="Times New Roman" w:hAnsi="Times New Roman" w:cs="Times New Roman"/>
          <w:sz w:val="24"/>
          <w:szCs w:val="24"/>
        </w:rPr>
        <w:t xml:space="preserve"> this cohort), (Figure 1). </w:t>
      </w:r>
      <w:r w:rsidR="00DB42ED" w:rsidRPr="0052360E">
        <w:rPr>
          <w:rFonts w:ascii="Times New Roman" w:hAnsi="Times New Roman" w:cs="Times New Roman"/>
          <w:sz w:val="24"/>
          <w:szCs w:val="24"/>
        </w:rPr>
        <w:t>Women with uncertain</w:t>
      </w:r>
      <w:r w:rsidR="00B53EDE" w:rsidRPr="0052360E">
        <w:rPr>
          <w:rFonts w:ascii="Times New Roman" w:hAnsi="Times New Roman" w:cs="Times New Roman"/>
          <w:sz w:val="24"/>
          <w:szCs w:val="24"/>
        </w:rPr>
        <w:t xml:space="preserve"> </w:t>
      </w:r>
      <w:r w:rsidR="006E294B" w:rsidRPr="0052360E">
        <w:rPr>
          <w:rFonts w:ascii="Times New Roman" w:hAnsi="Times New Roman" w:cs="Times New Roman"/>
          <w:sz w:val="24"/>
          <w:szCs w:val="24"/>
        </w:rPr>
        <w:t xml:space="preserve">pregnancy status at end assessment women were excluded </w:t>
      </w:r>
      <w:r w:rsidR="00DB42ED" w:rsidRPr="0052360E">
        <w:rPr>
          <w:rFonts w:ascii="Times New Roman" w:hAnsi="Times New Roman" w:cs="Times New Roman"/>
          <w:sz w:val="24"/>
          <w:szCs w:val="24"/>
        </w:rPr>
        <w:t>from this</w:t>
      </w:r>
      <w:r w:rsidR="006E294B" w:rsidRPr="0052360E">
        <w:rPr>
          <w:rFonts w:ascii="Times New Roman" w:hAnsi="Times New Roman" w:cs="Times New Roman"/>
          <w:sz w:val="24"/>
          <w:szCs w:val="24"/>
        </w:rPr>
        <w:t xml:space="preserve"> data set. </w:t>
      </w:r>
      <w:r w:rsidRPr="0052360E">
        <w:rPr>
          <w:rFonts w:ascii="Times New Roman" w:hAnsi="Times New Roman" w:cs="Times New Roman"/>
          <w:sz w:val="24"/>
          <w:szCs w:val="24"/>
        </w:rPr>
        <w:t>A subset of 53</w:t>
      </w:r>
      <w:r w:rsidR="00DB42ED" w:rsidRPr="0052360E">
        <w:rPr>
          <w:rFonts w:ascii="Times New Roman" w:hAnsi="Times New Roman" w:cs="Times New Roman"/>
          <w:sz w:val="24"/>
          <w:szCs w:val="24"/>
        </w:rPr>
        <w:t>/</w:t>
      </w:r>
      <w:r w:rsidRPr="0052360E">
        <w:rPr>
          <w:rFonts w:ascii="Times New Roman" w:hAnsi="Times New Roman" w:cs="Times New Roman"/>
          <w:sz w:val="24"/>
          <w:szCs w:val="24"/>
        </w:rPr>
        <w:t>73 women first identified as pregnant at, or within 6 months</w:t>
      </w:r>
      <w:r w:rsidR="006E294B" w:rsidRPr="0052360E">
        <w:rPr>
          <w:rFonts w:ascii="Times New Roman" w:hAnsi="Times New Roman" w:cs="Times New Roman"/>
          <w:sz w:val="24"/>
          <w:szCs w:val="24"/>
        </w:rPr>
        <w:t>,</w:t>
      </w:r>
      <w:r w:rsidRPr="0052360E">
        <w:rPr>
          <w:rFonts w:ascii="Times New Roman" w:hAnsi="Times New Roman" w:cs="Times New Roman"/>
          <w:sz w:val="24"/>
          <w:szCs w:val="24"/>
        </w:rPr>
        <w:t xml:space="preserve"> of end assessment were screened </w:t>
      </w:r>
      <w:r w:rsidR="006E294B" w:rsidRPr="0052360E">
        <w:rPr>
          <w:rFonts w:ascii="Times New Roman" w:hAnsi="Times New Roman" w:cs="Times New Roman"/>
          <w:sz w:val="24"/>
          <w:szCs w:val="24"/>
        </w:rPr>
        <w:t xml:space="preserve">again </w:t>
      </w:r>
      <w:r w:rsidRPr="0052360E">
        <w:rPr>
          <w:rFonts w:ascii="Times New Roman" w:hAnsi="Times New Roman" w:cs="Times New Roman"/>
          <w:sz w:val="24"/>
          <w:szCs w:val="24"/>
        </w:rPr>
        <w:t xml:space="preserve">for Lf at ANC1 and ANC2 and are considered in a separate longitudinal analysis. </w:t>
      </w:r>
    </w:p>
    <w:p w14:paraId="5D79D28B" w14:textId="3F78C3AF" w:rsidR="005D4AEE" w:rsidRPr="0052360E" w:rsidRDefault="003E614A" w:rsidP="008C59EA">
      <w:pPr>
        <w:spacing w:after="0" w:line="480" w:lineRule="auto"/>
        <w:ind w:left="284" w:right="227"/>
        <w:rPr>
          <w:rFonts w:ascii="Times New Roman" w:hAnsi="Times New Roman" w:cs="Times New Roman"/>
          <w:sz w:val="24"/>
          <w:szCs w:val="24"/>
          <w:vertAlign w:val="superscript"/>
        </w:rPr>
      </w:pPr>
      <w:r w:rsidRPr="0052360E">
        <w:rPr>
          <w:rFonts w:ascii="Times New Roman" w:hAnsi="Times New Roman" w:cs="Times New Roman"/>
          <w:sz w:val="24"/>
          <w:szCs w:val="24"/>
        </w:rPr>
        <w:t>The contribution of each source of variation</w:t>
      </w:r>
      <w:r w:rsidR="006E294B" w:rsidRPr="0052360E">
        <w:rPr>
          <w:rFonts w:ascii="Times New Roman" w:hAnsi="Times New Roman" w:cs="Times New Roman"/>
          <w:sz w:val="24"/>
          <w:szCs w:val="24"/>
        </w:rPr>
        <w:t xml:space="preserve"> in Lf concentration</w:t>
      </w:r>
      <w:r w:rsidRPr="0052360E">
        <w:rPr>
          <w:rFonts w:ascii="Times New Roman" w:hAnsi="Times New Roman" w:cs="Times New Roman"/>
          <w:sz w:val="24"/>
          <w:szCs w:val="24"/>
        </w:rPr>
        <w:t xml:space="preserve"> was assessed using a l</w:t>
      </w:r>
      <w:r w:rsidR="00A804FE" w:rsidRPr="0052360E">
        <w:rPr>
          <w:rFonts w:ascii="Times New Roman" w:hAnsi="Times New Roman" w:cs="Times New Roman"/>
          <w:sz w:val="24"/>
          <w:szCs w:val="24"/>
        </w:rPr>
        <w:t xml:space="preserve">inear random effects model with </w:t>
      </w:r>
      <w:r w:rsidRPr="0052360E">
        <w:rPr>
          <w:rFonts w:ascii="Times New Roman" w:hAnsi="Times New Roman" w:cs="Times New Roman"/>
          <w:sz w:val="24"/>
          <w:szCs w:val="24"/>
        </w:rPr>
        <w:t>terms for participant and visit (within participant), the residual variance being that between the duplicate samples taken at the same time from the same woman. Means of the log</w:t>
      </w:r>
      <w:r w:rsidR="000C2725" w:rsidRPr="0052360E">
        <w:rPr>
          <w:rFonts w:ascii="Times New Roman" w:hAnsi="Times New Roman" w:cs="Times New Roman"/>
          <w:sz w:val="24"/>
          <w:szCs w:val="24"/>
        </w:rPr>
        <w:t>(</w:t>
      </w:r>
      <w:r w:rsidRPr="0052360E">
        <w:rPr>
          <w:rFonts w:ascii="Times New Roman" w:hAnsi="Times New Roman" w:cs="Times New Roman"/>
          <w:sz w:val="24"/>
          <w:szCs w:val="24"/>
        </w:rPr>
        <w:t>Lf</w:t>
      </w:r>
      <w:r w:rsidR="000C2725" w:rsidRPr="0052360E">
        <w:rPr>
          <w:rFonts w:ascii="Times New Roman" w:hAnsi="Times New Roman" w:cs="Times New Roman"/>
          <w:sz w:val="24"/>
          <w:szCs w:val="24"/>
        </w:rPr>
        <w:t>)</w:t>
      </w:r>
      <w:r w:rsidRPr="0052360E">
        <w:rPr>
          <w:rFonts w:ascii="Times New Roman" w:hAnsi="Times New Roman" w:cs="Times New Roman"/>
          <w:sz w:val="24"/>
          <w:szCs w:val="24"/>
        </w:rPr>
        <w:t xml:space="preserve"> values derived from repeat samples collected at the same visit were used for further analysis. </w:t>
      </w:r>
      <w:r w:rsidR="00A804FE" w:rsidRPr="0052360E">
        <w:rPr>
          <w:rFonts w:ascii="Times New Roman" w:hAnsi="Times New Roman" w:cs="Times New Roman"/>
          <w:sz w:val="24"/>
          <w:szCs w:val="24"/>
        </w:rPr>
        <w:t xml:space="preserve"> </w:t>
      </w:r>
      <w:r w:rsidR="005D4AEE" w:rsidRPr="0052360E">
        <w:rPr>
          <w:rFonts w:ascii="Times New Roman" w:hAnsi="Times New Roman" w:cs="Times New Roman"/>
          <w:sz w:val="24"/>
          <w:szCs w:val="24"/>
        </w:rPr>
        <w:t>The associations between log</w:t>
      </w:r>
      <w:r w:rsidR="000C2725" w:rsidRPr="0052360E">
        <w:rPr>
          <w:rFonts w:ascii="Times New Roman" w:hAnsi="Times New Roman" w:cs="Times New Roman"/>
          <w:sz w:val="24"/>
          <w:szCs w:val="24"/>
        </w:rPr>
        <w:t>(</w:t>
      </w:r>
      <w:r w:rsidR="005D4AEE" w:rsidRPr="0052360E">
        <w:rPr>
          <w:rFonts w:ascii="Times New Roman" w:hAnsi="Times New Roman" w:cs="Times New Roman"/>
          <w:sz w:val="24"/>
          <w:szCs w:val="24"/>
        </w:rPr>
        <w:t>Lf</w:t>
      </w:r>
      <w:r w:rsidR="000C2725" w:rsidRPr="0052360E">
        <w:rPr>
          <w:rFonts w:ascii="Times New Roman" w:hAnsi="Times New Roman" w:cs="Times New Roman"/>
          <w:sz w:val="24"/>
          <w:szCs w:val="24"/>
        </w:rPr>
        <w:t>)</w:t>
      </w:r>
      <w:r w:rsidR="005D4AEE" w:rsidRPr="0052360E">
        <w:rPr>
          <w:rFonts w:ascii="Times New Roman" w:hAnsi="Times New Roman" w:cs="Times New Roman"/>
          <w:sz w:val="24"/>
          <w:szCs w:val="24"/>
        </w:rPr>
        <w:t xml:space="preserve"> levels and demographic, anthropometric, infection </w:t>
      </w:r>
      <w:r w:rsidR="00716F71" w:rsidRPr="0052360E">
        <w:rPr>
          <w:rFonts w:ascii="Times New Roman" w:hAnsi="Times New Roman" w:cs="Times New Roman"/>
          <w:sz w:val="24"/>
          <w:szCs w:val="24"/>
        </w:rPr>
        <w:t>and iron biomarker variables were</w:t>
      </w:r>
      <w:r w:rsidR="005D4AEE" w:rsidRPr="0052360E">
        <w:rPr>
          <w:rFonts w:ascii="Times New Roman" w:hAnsi="Times New Roman" w:cs="Times New Roman"/>
          <w:sz w:val="24"/>
          <w:szCs w:val="24"/>
        </w:rPr>
        <w:t xml:space="preserve"> assessed using a linear mixed model</w:t>
      </w:r>
      <w:r w:rsidR="00716F71" w:rsidRPr="0052360E">
        <w:rPr>
          <w:rFonts w:ascii="Times New Roman" w:hAnsi="Times New Roman" w:cs="Times New Roman"/>
          <w:sz w:val="24"/>
          <w:szCs w:val="24"/>
        </w:rPr>
        <w:t>,</w:t>
      </w:r>
      <w:r w:rsidR="005D4AEE" w:rsidRPr="0052360E">
        <w:rPr>
          <w:rFonts w:ascii="Times New Roman" w:hAnsi="Times New Roman" w:cs="Times New Roman"/>
          <w:sz w:val="24"/>
          <w:szCs w:val="24"/>
        </w:rPr>
        <w:t xml:space="preserve"> pooling all visits with a random effect term to allow for correlations between</w:t>
      </w:r>
      <w:r w:rsidRPr="0052360E">
        <w:rPr>
          <w:rFonts w:ascii="Times New Roman" w:hAnsi="Times New Roman" w:cs="Times New Roman"/>
          <w:sz w:val="24"/>
          <w:szCs w:val="24"/>
        </w:rPr>
        <w:t xml:space="preserve"> levels in the same individuals</w:t>
      </w:r>
      <w:r w:rsidR="00FC2B57" w:rsidRPr="0052360E">
        <w:rPr>
          <w:rFonts w:ascii="Times New Roman" w:hAnsi="Times New Roman" w:cs="Times New Roman"/>
          <w:sz w:val="24"/>
          <w:szCs w:val="24"/>
        </w:rPr>
        <w:t xml:space="preserve">. </w:t>
      </w:r>
      <w:r w:rsidR="005D4565" w:rsidRPr="0052360E">
        <w:rPr>
          <w:rFonts w:ascii="Times New Roman" w:hAnsi="Times New Roman"/>
          <w:sz w:val="24"/>
          <w:szCs w:val="24"/>
        </w:rPr>
        <w:t>A combined (non-pregnant and pregnant) regression slope estimate</w:t>
      </w:r>
      <w:r w:rsidR="005D4565" w:rsidRPr="0052360E">
        <w:rPr>
          <w:rFonts w:ascii="Times New Roman" w:hAnsi="Times New Roman"/>
          <w:sz w:val="24"/>
          <w:szCs w:val="24"/>
          <w:vertAlign w:val="superscript"/>
        </w:rPr>
        <w:t xml:space="preserve"> </w:t>
      </w:r>
      <w:r w:rsidR="005D4565" w:rsidRPr="0052360E">
        <w:rPr>
          <w:rFonts w:ascii="Times New Roman" w:hAnsi="Times New Roman"/>
          <w:sz w:val="24"/>
          <w:szCs w:val="24"/>
        </w:rPr>
        <w:t>was used.</w:t>
      </w:r>
      <w:r w:rsidR="00367D03" w:rsidRPr="0052360E">
        <w:rPr>
          <w:rFonts w:ascii="Times New Roman" w:hAnsi="Times New Roman"/>
          <w:sz w:val="24"/>
          <w:szCs w:val="24"/>
        </w:rPr>
        <w:t xml:space="preserve"> </w:t>
      </w:r>
      <w:r w:rsidR="005D4AEE" w:rsidRPr="0052360E">
        <w:rPr>
          <w:rFonts w:ascii="Times New Roman" w:hAnsi="Times New Roman" w:cs="Times New Roman"/>
          <w:sz w:val="24"/>
          <w:szCs w:val="24"/>
        </w:rPr>
        <w:t xml:space="preserve">As nutritional status was </w:t>
      </w:r>
      <w:r w:rsidR="005D4AEE" w:rsidRPr="0052360E">
        <w:rPr>
          <w:rFonts w:ascii="Times New Roman" w:hAnsi="Times New Roman" w:cs="Times New Roman"/>
          <w:i/>
          <w:sz w:val="24"/>
          <w:szCs w:val="24"/>
        </w:rPr>
        <w:t>a priori</w:t>
      </w:r>
      <w:r w:rsidR="005D4AEE" w:rsidRPr="0052360E">
        <w:rPr>
          <w:rFonts w:ascii="Times New Roman" w:hAnsi="Times New Roman" w:cs="Times New Roman"/>
          <w:sz w:val="24"/>
          <w:szCs w:val="24"/>
        </w:rPr>
        <w:t xml:space="preserve"> identified as a potential confounder, a second model was fitted which included MUAC, a surrogate for nutritional status, as a covariate. Additional models considered interaction terms between vis</w:t>
      </w:r>
      <w:r w:rsidR="00716F71" w:rsidRPr="0052360E">
        <w:rPr>
          <w:rFonts w:ascii="Times New Roman" w:hAnsi="Times New Roman" w:cs="Times New Roman"/>
          <w:sz w:val="24"/>
          <w:szCs w:val="24"/>
        </w:rPr>
        <w:t>it and the independent variable</w:t>
      </w:r>
      <w:r w:rsidR="000C2725" w:rsidRPr="0052360E">
        <w:rPr>
          <w:rFonts w:ascii="Times New Roman" w:hAnsi="Times New Roman" w:cs="Times New Roman"/>
          <w:sz w:val="24"/>
          <w:szCs w:val="24"/>
        </w:rPr>
        <w:t>:</w:t>
      </w:r>
      <w:r w:rsidR="00716F71" w:rsidRPr="0052360E">
        <w:rPr>
          <w:rFonts w:ascii="Times New Roman" w:hAnsi="Times New Roman" w:cs="Times New Roman"/>
          <w:sz w:val="24"/>
          <w:szCs w:val="24"/>
        </w:rPr>
        <w:t xml:space="preserve"> </w:t>
      </w:r>
      <w:r w:rsidR="000C2725" w:rsidRPr="0052360E">
        <w:rPr>
          <w:rFonts w:ascii="Times New Roman" w:hAnsi="Times New Roman" w:cs="Times New Roman"/>
          <w:sz w:val="24"/>
          <w:szCs w:val="24"/>
        </w:rPr>
        <w:t xml:space="preserve">as </w:t>
      </w:r>
      <w:r w:rsidR="005D4AEE" w:rsidRPr="0052360E">
        <w:rPr>
          <w:rFonts w:ascii="Times New Roman" w:hAnsi="Times New Roman" w:cs="Times New Roman"/>
          <w:sz w:val="24"/>
          <w:szCs w:val="24"/>
        </w:rPr>
        <w:t xml:space="preserve">none of these approached statistical significance (P&gt;0.05) </w:t>
      </w:r>
      <w:r w:rsidR="006E294B" w:rsidRPr="0052360E">
        <w:rPr>
          <w:rFonts w:ascii="Times New Roman" w:hAnsi="Times New Roman" w:cs="Times New Roman"/>
          <w:sz w:val="24"/>
          <w:szCs w:val="24"/>
        </w:rPr>
        <w:t xml:space="preserve">they </w:t>
      </w:r>
      <w:r w:rsidR="005D4AEE" w:rsidRPr="0052360E">
        <w:rPr>
          <w:rFonts w:ascii="Times New Roman" w:hAnsi="Times New Roman" w:cs="Times New Roman"/>
          <w:sz w:val="24"/>
          <w:szCs w:val="24"/>
        </w:rPr>
        <w:t>are not considered further. Statistical analyses were conducted in the R statistical environment version 3.3.1</w:t>
      </w:r>
      <w:r w:rsidR="00340C9E" w:rsidRPr="0052360E">
        <w:rPr>
          <w:rFonts w:ascii="Times New Roman" w:hAnsi="Times New Roman" w:cs="Times New Roman"/>
          <w:sz w:val="24"/>
          <w:szCs w:val="24"/>
        </w:rPr>
        <w:t>.</w:t>
      </w:r>
      <w:r w:rsidR="00340C9E" w:rsidRPr="0052360E">
        <w:rPr>
          <w:rFonts w:ascii="Times New Roman" w:hAnsi="Times New Roman" w:cs="Times New Roman"/>
          <w:sz w:val="24"/>
          <w:szCs w:val="24"/>
          <w:vertAlign w:val="superscript"/>
        </w:rPr>
        <w:t>25</w:t>
      </w:r>
    </w:p>
    <w:p w14:paraId="639C00D8" w14:textId="77777777" w:rsidR="005D4AEE" w:rsidRPr="0052360E" w:rsidRDefault="005D4AEE" w:rsidP="008C59EA">
      <w:pPr>
        <w:spacing w:after="0" w:line="480" w:lineRule="auto"/>
        <w:ind w:left="227" w:right="227"/>
        <w:rPr>
          <w:rFonts w:ascii="Times New Roman" w:hAnsi="Times New Roman" w:cs="Times New Roman"/>
          <w:b/>
          <w:sz w:val="24"/>
          <w:szCs w:val="24"/>
        </w:rPr>
      </w:pPr>
    </w:p>
    <w:p w14:paraId="34DE1953" w14:textId="5D290D1E" w:rsidR="00281F19" w:rsidRPr="0052360E" w:rsidRDefault="00FD69B2" w:rsidP="008C59EA">
      <w:pPr>
        <w:spacing w:after="0" w:line="480" w:lineRule="auto"/>
        <w:ind w:left="227" w:right="227"/>
        <w:rPr>
          <w:rFonts w:ascii="Times New Roman" w:hAnsi="Times New Roman" w:cs="Times New Roman"/>
          <w:b/>
          <w:sz w:val="24"/>
          <w:szCs w:val="24"/>
        </w:rPr>
      </w:pPr>
      <w:r w:rsidRPr="0052360E">
        <w:rPr>
          <w:rFonts w:ascii="Times New Roman" w:hAnsi="Times New Roman" w:cs="Times New Roman"/>
          <w:b/>
          <w:sz w:val="24"/>
          <w:szCs w:val="24"/>
        </w:rPr>
        <w:t>R</w:t>
      </w:r>
      <w:r w:rsidR="00845CAF" w:rsidRPr="0052360E">
        <w:rPr>
          <w:rFonts w:ascii="Times New Roman" w:hAnsi="Times New Roman" w:cs="Times New Roman"/>
          <w:b/>
          <w:sz w:val="24"/>
          <w:szCs w:val="24"/>
        </w:rPr>
        <w:t>ESULTS</w:t>
      </w:r>
    </w:p>
    <w:p w14:paraId="05F5FFF1" w14:textId="5E9B77C1" w:rsidR="00512AED" w:rsidRPr="0052360E" w:rsidRDefault="00281F19" w:rsidP="00A37255">
      <w:pPr>
        <w:spacing w:line="480" w:lineRule="auto"/>
        <w:ind w:left="227" w:right="227"/>
        <w:rPr>
          <w:rFonts w:ascii="Times New Roman" w:hAnsi="Times New Roman" w:cs="Times New Roman"/>
          <w:sz w:val="24"/>
          <w:szCs w:val="24"/>
        </w:rPr>
      </w:pPr>
      <w:r w:rsidRPr="0052360E">
        <w:rPr>
          <w:rFonts w:ascii="Times New Roman" w:hAnsi="Times New Roman" w:cs="Times New Roman"/>
          <w:sz w:val="24"/>
          <w:szCs w:val="24"/>
        </w:rPr>
        <w:t>Lf samples were available for 712 non-pregnant women at end assessment</w:t>
      </w:r>
      <w:r w:rsidR="00845CAF" w:rsidRPr="0052360E">
        <w:rPr>
          <w:rFonts w:ascii="Times New Roman" w:hAnsi="Times New Roman" w:cs="Times New Roman"/>
          <w:sz w:val="24"/>
          <w:szCs w:val="24"/>
        </w:rPr>
        <w:t xml:space="preserve"> (</w:t>
      </w:r>
      <w:r w:rsidRPr="0052360E">
        <w:rPr>
          <w:rFonts w:ascii="Times New Roman" w:hAnsi="Times New Roman" w:cs="Times New Roman"/>
          <w:sz w:val="24"/>
          <w:szCs w:val="24"/>
        </w:rPr>
        <w:t xml:space="preserve">after up to 18 months </w:t>
      </w:r>
      <w:r w:rsidR="00307F84" w:rsidRPr="0052360E">
        <w:rPr>
          <w:rFonts w:ascii="Times New Roman" w:hAnsi="Times New Roman" w:cs="Times New Roman"/>
          <w:sz w:val="24"/>
          <w:szCs w:val="24"/>
        </w:rPr>
        <w:t xml:space="preserve">    </w:t>
      </w:r>
      <w:r w:rsidRPr="0052360E">
        <w:rPr>
          <w:rFonts w:ascii="Times New Roman" w:hAnsi="Times New Roman" w:cs="Times New Roman"/>
          <w:sz w:val="24"/>
          <w:szCs w:val="24"/>
        </w:rPr>
        <w:t>weekly iron supplementation</w:t>
      </w:r>
      <w:r w:rsidR="00845CAF" w:rsidRPr="0052360E">
        <w:rPr>
          <w:rFonts w:ascii="Times New Roman" w:hAnsi="Times New Roman" w:cs="Times New Roman"/>
          <w:sz w:val="24"/>
          <w:szCs w:val="24"/>
        </w:rPr>
        <w:t>)</w:t>
      </w:r>
      <w:r w:rsidRPr="0052360E">
        <w:rPr>
          <w:rFonts w:ascii="Times New Roman" w:hAnsi="Times New Roman" w:cs="Times New Roman"/>
          <w:sz w:val="24"/>
          <w:szCs w:val="24"/>
        </w:rPr>
        <w:t xml:space="preserve"> and for 303 women </w:t>
      </w:r>
      <w:r w:rsidR="00DA4BB9" w:rsidRPr="0052360E">
        <w:rPr>
          <w:rFonts w:ascii="Times New Roman" w:hAnsi="Times New Roman" w:cs="Times New Roman"/>
          <w:sz w:val="24"/>
          <w:szCs w:val="24"/>
        </w:rPr>
        <w:t xml:space="preserve">seen at ANC1 </w:t>
      </w:r>
      <w:r w:rsidR="00D62696" w:rsidRPr="0052360E">
        <w:rPr>
          <w:rFonts w:ascii="Times New Roman" w:hAnsi="Times New Roman" w:cs="Times New Roman"/>
          <w:sz w:val="24"/>
          <w:szCs w:val="24"/>
        </w:rPr>
        <w:t>or</w:t>
      </w:r>
      <w:r w:rsidR="00DA4BB9" w:rsidRPr="0052360E">
        <w:rPr>
          <w:rFonts w:ascii="Times New Roman" w:hAnsi="Times New Roman" w:cs="Times New Roman"/>
          <w:sz w:val="24"/>
          <w:szCs w:val="24"/>
        </w:rPr>
        <w:t xml:space="preserve"> ANC2 </w:t>
      </w:r>
      <w:r w:rsidRPr="0052360E">
        <w:rPr>
          <w:rFonts w:ascii="Times New Roman" w:hAnsi="Times New Roman" w:cs="Times New Roman"/>
          <w:sz w:val="24"/>
          <w:szCs w:val="24"/>
        </w:rPr>
        <w:t xml:space="preserve">who </w:t>
      </w:r>
      <w:r w:rsidR="00845CAF" w:rsidRPr="0052360E">
        <w:rPr>
          <w:rFonts w:ascii="Times New Roman" w:hAnsi="Times New Roman" w:cs="Times New Roman"/>
          <w:sz w:val="24"/>
          <w:szCs w:val="24"/>
        </w:rPr>
        <w:t xml:space="preserve">had become </w:t>
      </w:r>
      <w:r w:rsidRPr="0052360E">
        <w:rPr>
          <w:rFonts w:ascii="Times New Roman" w:hAnsi="Times New Roman" w:cs="Times New Roman"/>
          <w:sz w:val="24"/>
          <w:szCs w:val="24"/>
        </w:rPr>
        <w:t xml:space="preserve">pregnant </w:t>
      </w:r>
      <w:r w:rsidR="00845CAF" w:rsidRPr="0052360E">
        <w:rPr>
          <w:rFonts w:ascii="Times New Roman" w:hAnsi="Times New Roman" w:cs="Times New Roman"/>
          <w:sz w:val="24"/>
          <w:szCs w:val="24"/>
        </w:rPr>
        <w:t>after randomization</w:t>
      </w:r>
      <w:r w:rsidRPr="0052360E">
        <w:rPr>
          <w:rFonts w:ascii="Times New Roman" w:hAnsi="Times New Roman" w:cs="Times New Roman"/>
          <w:sz w:val="24"/>
          <w:szCs w:val="24"/>
        </w:rPr>
        <w:t>. Lf assays were cond</w:t>
      </w:r>
      <w:r w:rsidR="00812460" w:rsidRPr="0052360E">
        <w:rPr>
          <w:rFonts w:ascii="Times New Roman" w:hAnsi="Times New Roman" w:cs="Times New Roman"/>
          <w:sz w:val="24"/>
          <w:szCs w:val="24"/>
        </w:rPr>
        <w:t>ucted for 271 at ANC1</w:t>
      </w:r>
      <w:r w:rsidRPr="0052360E">
        <w:rPr>
          <w:rFonts w:ascii="Times New Roman" w:hAnsi="Times New Roman" w:cs="Times New Roman"/>
          <w:sz w:val="24"/>
          <w:szCs w:val="24"/>
        </w:rPr>
        <w:t xml:space="preserve"> and 241 at </w:t>
      </w:r>
      <w:r w:rsidR="00812460" w:rsidRPr="0052360E">
        <w:rPr>
          <w:rFonts w:ascii="Times New Roman" w:hAnsi="Times New Roman" w:cs="Times New Roman"/>
          <w:sz w:val="24"/>
          <w:szCs w:val="24"/>
        </w:rPr>
        <w:t>ANC2</w:t>
      </w:r>
      <w:r w:rsidR="00DA4BB9" w:rsidRPr="0052360E">
        <w:rPr>
          <w:rFonts w:ascii="Times New Roman" w:hAnsi="Times New Roman" w:cs="Times New Roman"/>
          <w:sz w:val="24"/>
          <w:szCs w:val="24"/>
        </w:rPr>
        <w:t>, providing a total of 1224 samples for Lf assay (Figure 1).</w:t>
      </w:r>
      <w:r w:rsidR="00CF7ED1" w:rsidRPr="0052360E">
        <w:rPr>
          <w:rFonts w:ascii="Times New Roman" w:hAnsi="Times New Roman" w:cs="Times New Roman"/>
          <w:sz w:val="24"/>
          <w:szCs w:val="24"/>
        </w:rPr>
        <w:t xml:space="preserve"> At ANC1 median and interquartile range (IQR) gestational age was 18 (14-22) weeks and at ANC2, 34 (33-35) weeks.</w:t>
      </w:r>
      <w:r w:rsidR="00A37255" w:rsidRPr="0052360E">
        <w:rPr>
          <w:rFonts w:ascii="Times New Roman" w:hAnsi="Times New Roman" w:cs="Times New Roman"/>
          <w:sz w:val="24"/>
          <w:szCs w:val="24"/>
        </w:rPr>
        <w:t xml:space="preserve"> </w:t>
      </w:r>
      <w:r w:rsidR="00713B04" w:rsidRPr="0052360E">
        <w:rPr>
          <w:rFonts w:ascii="Times New Roman" w:hAnsi="Times New Roman" w:cs="Times New Roman"/>
          <w:sz w:val="24"/>
          <w:szCs w:val="24"/>
        </w:rPr>
        <w:t>B</w:t>
      </w:r>
      <w:r w:rsidRPr="0052360E">
        <w:rPr>
          <w:rFonts w:ascii="Times New Roman" w:hAnsi="Times New Roman" w:cs="Times New Roman"/>
          <w:sz w:val="24"/>
          <w:szCs w:val="24"/>
        </w:rPr>
        <w:t>aseline characteristics of the non-pregnant and pregnant</w:t>
      </w:r>
      <w:r w:rsidR="00914D95" w:rsidRPr="0052360E">
        <w:rPr>
          <w:rFonts w:ascii="Times New Roman" w:hAnsi="Times New Roman" w:cs="Times New Roman"/>
          <w:sz w:val="24"/>
          <w:szCs w:val="24"/>
        </w:rPr>
        <w:t xml:space="preserve"> </w:t>
      </w:r>
      <w:r w:rsidR="00713B04" w:rsidRPr="0052360E">
        <w:rPr>
          <w:rFonts w:ascii="Times New Roman" w:hAnsi="Times New Roman" w:cs="Times New Roman"/>
          <w:sz w:val="24"/>
          <w:szCs w:val="24"/>
        </w:rPr>
        <w:t>women are shown in Table 1 for those with an Lf measurement</w:t>
      </w:r>
      <w:r w:rsidR="00845CAF" w:rsidRPr="0052360E">
        <w:rPr>
          <w:rFonts w:ascii="Times New Roman" w:hAnsi="Times New Roman" w:cs="Times New Roman"/>
          <w:sz w:val="24"/>
          <w:szCs w:val="24"/>
        </w:rPr>
        <w:t xml:space="preserve">. </w:t>
      </w:r>
      <w:r w:rsidRPr="0052360E">
        <w:rPr>
          <w:rFonts w:ascii="Times New Roman" w:hAnsi="Times New Roman" w:cs="Times New Roman"/>
          <w:sz w:val="24"/>
          <w:szCs w:val="24"/>
        </w:rPr>
        <w:t xml:space="preserve">Women who became </w:t>
      </w:r>
      <w:r w:rsidR="00716F71" w:rsidRPr="0052360E">
        <w:rPr>
          <w:rFonts w:ascii="Times New Roman" w:hAnsi="Times New Roman" w:cs="Times New Roman"/>
          <w:sz w:val="24"/>
          <w:szCs w:val="24"/>
        </w:rPr>
        <w:t>pregnant were primigravidae</w:t>
      </w:r>
      <w:r w:rsidR="00261921" w:rsidRPr="0052360E">
        <w:rPr>
          <w:rFonts w:ascii="Times New Roman" w:hAnsi="Times New Roman" w:cs="Times New Roman"/>
          <w:sz w:val="24"/>
          <w:szCs w:val="24"/>
        </w:rPr>
        <w:t xml:space="preserve">, </w:t>
      </w:r>
      <w:r w:rsidRPr="0052360E">
        <w:rPr>
          <w:rFonts w:ascii="Times New Roman" w:hAnsi="Times New Roman" w:cs="Times New Roman"/>
          <w:sz w:val="24"/>
          <w:szCs w:val="24"/>
        </w:rPr>
        <w:t>older and more sexually active at baseline</w:t>
      </w:r>
      <w:r w:rsidR="00512AED" w:rsidRPr="0052360E">
        <w:rPr>
          <w:rFonts w:ascii="Times New Roman" w:hAnsi="Times New Roman" w:cs="Times New Roman"/>
          <w:sz w:val="24"/>
          <w:szCs w:val="24"/>
        </w:rPr>
        <w:t xml:space="preserve"> than women who remained non-pregnant</w:t>
      </w:r>
      <w:r w:rsidRPr="0052360E">
        <w:rPr>
          <w:rFonts w:ascii="Times New Roman" w:hAnsi="Times New Roman" w:cs="Times New Roman"/>
          <w:sz w:val="24"/>
          <w:szCs w:val="24"/>
        </w:rPr>
        <w:t>.</w:t>
      </w:r>
      <w:r w:rsidR="00716F71" w:rsidRPr="0052360E">
        <w:rPr>
          <w:rFonts w:ascii="Times New Roman" w:hAnsi="Times New Roman" w:cs="Times New Roman"/>
          <w:sz w:val="24"/>
          <w:szCs w:val="24"/>
        </w:rPr>
        <w:t xml:space="preserve"> </w:t>
      </w:r>
      <w:r w:rsidR="00C15AE3" w:rsidRPr="0052360E">
        <w:rPr>
          <w:rFonts w:ascii="Times New Roman" w:hAnsi="Times New Roman" w:cs="Times New Roman"/>
          <w:sz w:val="24"/>
          <w:szCs w:val="24"/>
        </w:rPr>
        <w:t>At ANC1</w:t>
      </w:r>
      <w:r w:rsidRPr="0052360E">
        <w:rPr>
          <w:rFonts w:ascii="Times New Roman" w:hAnsi="Times New Roman" w:cs="Times New Roman"/>
          <w:sz w:val="24"/>
          <w:szCs w:val="24"/>
        </w:rPr>
        <w:t xml:space="preserve"> </w:t>
      </w:r>
      <w:r w:rsidR="00C15AE3" w:rsidRPr="0052360E">
        <w:rPr>
          <w:rFonts w:ascii="Times New Roman" w:hAnsi="Times New Roman" w:cs="Times New Roman"/>
          <w:sz w:val="24"/>
          <w:szCs w:val="24"/>
        </w:rPr>
        <w:t>p</w:t>
      </w:r>
      <w:r w:rsidR="00AD1D3F" w:rsidRPr="0052360E">
        <w:rPr>
          <w:rFonts w:ascii="Times New Roman" w:hAnsi="Times New Roman" w:cs="Times New Roman"/>
          <w:sz w:val="24"/>
          <w:szCs w:val="24"/>
        </w:rPr>
        <w:t>revalence of iron deficiency</w:t>
      </w:r>
      <w:r w:rsidR="009B48DB" w:rsidRPr="0052360E">
        <w:rPr>
          <w:rFonts w:ascii="Times New Roman" w:hAnsi="Times New Roman" w:cs="Times New Roman"/>
          <w:sz w:val="24"/>
          <w:szCs w:val="24"/>
        </w:rPr>
        <w:t xml:space="preserve"> </w:t>
      </w:r>
      <w:r w:rsidR="00AD1D3F" w:rsidRPr="0052360E">
        <w:rPr>
          <w:rFonts w:ascii="Times New Roman" w:hAnsi="Times New Roman" w:cs="Times New Roman"/>
          <w:sz w:val="24"/>
          <w:szCs w:val="24"/>
        </w:rPr>
        <w:t xml:space="preserve">was </w:t>
      </w:r>
      <w:r w:rsidR="00025485" w:rsidRPr="0052360E">
        <w:rPr>
          <w:rFonts w:ascii="Times New Roman" w:hAnsi="Times New Roman" w:cs="Times New Roman"/>
          <w:sz w:val="24"/>
          <w:szCs w:val="24"/>
        </w:rPr>
        <w:t xml:space="preserve">11.3% in pregnant </w:t>
      </w:r>
      <w:r w:rsidR="00C15AE3" w:rsidRPr="0052360E">
        <w:rPr>
          <w:rFonts w:ascii="Times New Roman" w:hAnsi="Times New Roman" w:cs="Times New Roman"/>
          <w:sz w:val="24"/>
          <w:szCs w:val="24"/>
        </w:rPr>
        <w:t xml:space="preserve">women, </w:t>
      </w:r>
      <w:r w:rsidR="00025485" w:rsidRPr="0052360E">
        <w:rPr>
          <w:rFonts w:ascii="Times New Roman" w:hAnsi="Times New Roman" w:cs="Times New Roman"/>
          <w:sz w:val="24"/>
          <w:szCs w:val="24"/>
        </w:rPr>
        <w:t xml:space="preserve">and </w:t>
      </w:r>
      <w:r w:rsidR="00C15AE3" w:rsidRPr="0052360E">
        <w:rPr>
          <w:rFonts w:ascii="Times New Roman" w:hAnsi="Times New Roman" w:cs="Times New Roman"/>
          <w:sz w:val="24"/>
          <w:szCs w:val="24"/>
        </w:rPr>
        <w:t xml:space="preserve">at end assessment </w:t>
      </w:r>
      <w:r w:rsidR="00025485" w:rsidRPr="0052360E">
        <w:rPr>
          <w:rFonts w:ascii="Times New Roman" w:hAnsi="Times New Roman" w:cs="Times New Roman"/>
          <w:sz w:val="24"/>
          <w:szCs w:val="24"/>
        </w:rPr>
        <w:t>20.3% in non-pregnant women.</w:t>
      </w:r>
      <w:r w:rsidR="00D50327" w:rsidRPr="0052360E">
        <w:rPr>
          <w:rFonts w:ascii="Times New Roman" w:hAnsi="Times New Roman" w:cs="Times New Roman"/>
          <w:sz w:val="24"/>
          <w:szCs w:val="24"/>
        </w:rPr>
        <w:t xml:space="preserve">  </w:t>
      </w:r>
    </w:p>
    <w:p w14:paraId="3E212591" w14:textId="674CBCDB" w:rsidR="00133B76" w:rsidRPr="0052360E" w:rsidRDefault="00261921" w:rsidP="008C59EA">
      <w:pPr>
        <w:spacing w:line="480" w:lineRule="auto"/>
        <w:ind w:left="227" w:right="227"/>
        <w:rPr>
          <w:rFonts w:ascii="Times New Roman" w:hAnsi="Times New Roman" w:cs="Times New Roman"/>
          <w:sz w:val="24"/>
          <w:szCs w:val="24"/>
        </w:rPr>
      </w:pPr>
      <w:r w:rsidRPr="0052360E">
        <w:rPr>
          <w:rFonts w:ascii="Times New Roman" w:hAnsi="Times New Roman" w:cs="Times New Roman"/>
          <w:sz w:val="24"/>
          <w:szCs w:val="24"/>
        </w:rPr>
        <w:t>Mean Lf concentration for pregnant women was 806</w:t>
      </w:r>
      <w:r w:rsidR="00307F84" w:rsidRPr="0052360E">
        <w:rPr>
          <w:rFonts w:ascii="Times New Roman" w:hAnsi="Times New Roman" w:cs="Times New Roman"/>
          <w:sz w:val="24"/>
          <w:szCs w:val="24"/>
        </w:rPr>
        <w:t xml:space="preserve"> (65-4386)</w:t>
      </w:r>
      <w:r w:rsidRPr="0052360E">
        <w:rPr>
          <w:rFonts w:ascii="Times New Roman" w:hAnsi="Times New Roman" w:cs="Times New Roman"/>
          <w:sz w:val="24"/>
          <w:szCs w:val="24"/>
        </w:rPr>
        <w:t xml:space="preserve"> </w:t>
      </w:r>
      <w:r w:rsidR="00025485" w:rsidRPr="0052360E">
        <w:rPr>
          <w:rFonts w:ascii="Times New Roman" w:hAnsi="Times New Roman" w:cs="Times New Roman"/>
          <w:sz w:val="24"/>
          <w:szCs w:val="24"/>
        </w:rPr>
        <w:t>µ</w:t>
      </w:r>
      <w:r w:rsidRPr="0052360E">
        <w:rPr>
          <w:rFonts w:ascii="Times New Roman" w:hAnsi="Times New Roman" w:cs="Times New Roman"/>
          <w:sz w:val="24"/>
          <w:szCs w:val="24"/>
        </w:rPr>
        <w:t xml:space="preserve">g/ml </w:t>
      </w:r>
      <w:r w:rsidR="003D6E7A" w:rsidRPr="0052360E">
        <w:rPr>
          <w:rFonts w:ascii="Times New Roman" w:hAnsi="Times New Roman" w:cs="Times New Roman"/>
          <w:sz w:val="24"/>
          <w:szCs w:val="24"/>
        </w:rPr>
        <w:t xml:space="preserve">(n=271) </w:t>
      </w:r>
      <w:r w:rsidRPr="0052360E">
        <w:rPr>
          <w:rFonts w:ascii="Times New Roman" w:hAnsi="Times New Roman" w:cs="Times New Roman"/>
          <w:sz w:val="24"/>
          <w:szCs w:val="24"/>
        </w:rPr>
        <w:t>and for non-pregnant 201</w:t>
      </w:r>
      <w:r w:rsidR="00307F84" w:rsidRPr="0052360E">
        <w:rPr>
          <w:rFonts w:ascii="Times New Roman" w:hAnsi="Times New Roman" w:cs="Times New Roman"/>
          <w:sz w:val="24"/>
          <w:szCs w:val="24"/>
        </w:rPr>
        <w:t xml:space="preserve"> (66-936) </w:t>
      </w:r>
      <w:r w:rsidR="00025485" w:rsidRPr="0052360E">
        <w:rPr>
          <w:rFonts w:ascii="Times New Roman" w:hAnsi="Times New Roman" w:cs="Times New Roman"/>
          <w:sz w:val="24"/>
          <w:szCs w:val="24"/>
        </w:rPr>
        <w:t>µ</w:t>
      </w:r>
      <w:r w:rsidR="00307F84" w:rsidRPr="0052360E">
        <w:rPr>
          <w:rFonts w:ascii="Times New Roman" w:hAnsi="Times New Roman" w:cs="Times New Roman"/>
          <w:sz w:val="24"/>
          <w:szCs w:val="24"/>
        </w:rPr>
        <w:t>g/ml</w:t>
      </w:r>
      <w:r w:rsidR="003D6E7A" w:rsidRPr="0052360E">
        <w:rPr>
          <w:rFonts w:ascii="Times New Roman" w:hAnsi="Times New Roman" w:cs="Times New Roman"/>
          <w:sz w:val="24"/>
          <w:szCs w:val="24"/>
        </w:rPr>
        <w:t xml:space="preserve"> (n=712)</w:t>
      </w:r>
      <w:r w:rsidR="00307F84" w:rsidRPr="0052360E">
        <w:rPr>
          <w:rFonts w:ascii="Times New Roman" w:hAnsi="Times New Roman" w:cs="Times New Roman"/>
          <w:sz w:val="24"/>
          <w:szCs w:val="24"/>
        </w:rPr>
        <w:t>. Lf distributions are shown in Supplementary file</w:t>
      </w:r>
      <w:r w:rsidR="001D0DBD" w:rsidRPr="0052360E">
        <w:rPr>
          <w:rFonts w:ascii="Times New Roman" w:hAnsi="Times New Roman" w:cs="Times New Roman"/>
          <w:sz w:val="24"/>
          <w:szCs w:val="24"/>
        </w:rPr>
        <w:t>,</w:t>
      </w:r>
      <w:r w:rsidR="00307F84" w:rsidRPr="0052360E">
        <w:rPr>
          <w:rFonts w:ascii="Times New Roman" w:hAnsi="Times New Roman" w:cs="Times New Roman"/>
          <w:sz w:val="24"/>
          <w:szCs w:val="24"/>
        </w:rPr>
        <w:t xml:space="preserve"> Figure </w:t>
      </w:r>
      <w:r w:rsidR="00824685" w:rsidRPr="0052360E">
        <w:rPr>
          <w:rFonts w:ascii="Times New Roman" w:hAnsi="Times New Roman" w:cs="Times New Roman"/>
          <w:sz w:val="24"/>
          <w:szCs w:val="24"/>
        </w:rPr>
        <w:t>S</w:t>
      </w:r>
      <w:r w:rsidR="00307F84" w:rsidRPr="0052360E">
        <w:rPr>
          <w:rFonts w:ascii="Times New Roman" w:hAnsi="Times New Roman" w:cs="Times New Roman"/>
          <w:sz w:val="24"/>
          <w:szCs w:val="24"/>
        </w:rPr>
        <w:t>1</w:t>
      </w:r>
      <w:r w:rsidR="00307F84" w:rsidRPr="0052360E">
        <w:rPr>
          <w:rFonts w:ascii="Times New Roman" w:hAnsi="Times New Roman" w:cs="Times New Roman"/>
          <w:b/>
          <w:sz w:val="24"/>
          <w:szCs w:val="24"/>
        </w:rPr>
        <w:t xml:space="preserve">. </w:t>
      </w:r>
      <w:r w:rsidR="00133B76" w:rsidRPr="0052360E">
        <w:rPr>
          <w:rFonts w:ascii="Times New Roman" w:hAnsi="Times New Roman" w:cs="Times New Roman"/>
          <w:sz w:val="24"/>
          <w:szCs w:val="24"/>
        </w:rPr>
        <w:t>Lf concentration did not differ by menarcheal status, therefore both menarcheal groups were pooled in further analyses of the non-pregnant cohort (Supplementary file</w:t>
      </w:r>
      <w:r w:rsidR="001D0DBD" w:rsidRPr="0052360E">
        <w:rPr>
          <w:rFonts w:ascii="Times New Roman" w:hAnsi="Times New Roman" w:cs="Times New Roman"/>
          <w:sz w:val="24"/>
          <w:szCs w:val="24"/>
        </w:rPr>
        <w:t>,</w:t>
      </w:r>
      <w:r w:rsidR="00133B76" w:rsidRPr="0052360E">
        <w:rPr>
          <w:rFonts w:ascii="Times New Roman" w:hAnsi="Times New Roman" w:cs="Times New Roman"/>
          <w:sz w:val="24"/>
          <w:szCs w:val="24"/>
        </w:rPr>
        <w:t xml:space="preserve"> Figure </w:t>
      </w:r>
      <w:r w:rsidR="00824685" w:rsidRPr="0052360E">
        <w:rPr>
          <w:rFonts w:ascii="Times New Roman" w:hAnsi="Times New Roman" w:cs="Times New Roman"/>
          <w:sz w:val="24"/>
          <w:szCs w:val="24"/>
        </w:rPr>
        <w:t>S</w:t>
      </w:r>
      <w:r w:rsidR="00133B76" w:rsidRPr="0052360E">
        <w:rPr>
          <w:rFonts w:ascii="Times New Roman" w:hAnsi="Times New Roman" w:cs="Times New Roman"/>
          <w:sz w:val="24"/>
          <w:szCs w:val="24"/>
        </w:rPr>
        <w:t xml:space="preserve">2). </w:t>
      </w:r>
      <w:r w:rsidR="0075786B" w:rsidRPr="0052360E">
        <w:rPr>
          <w:rFonts w:ascii="Times New Roman" w:hAnsi="Times New Roman" w:cs="Times New Roman"/>
          <w:sz w:val="24"/>
          <w:szCs w:val="24"/>
        </w:rPr>
        <w:t>Pregnant women had higher Lf levels (difference in log</w:t>
      </w:r>
      <w:r w:rsidR="0075786B" w:rsidRPr="0052360E">
        <w:rPr>
          <w:rFonts w:ascii="Times New Roman" w:hAnsi="Times New Roman" w:cs="Times New Roman"/>
          <w:sz w:val="24"/>
          <w:szCs w:val="24"/>
          <w:vertAlign w:val="subscript"/>
        </w:rPr>
        <w:t>10</w:t>
      </w:r>
      <w:r w:rsidR="0075786B" w:rsidRPr="0052360E">
        <w:rPr>
          <w:rFonts w:ascii="Times New Roman" w:hAnsi="Times New Roman" w:cs="Times New Roman"/>
          <w:sz w:val="24"/>
          <w:szCs w:val="24"/>
        </w:rPr>
        <w:t xml:space="preserve"> Lf = 0.45, 95% CI, 0.33 - 0.57, P&lt;0.0001</w:t>
      </w:r>
      <w:r w:rsidR="00B644A8" w:rsidRPr="0052360E">
        <w:rPr>
          <w:rFonts w:ascii="Times New Roman" w:hAnsi="Times New Roman" w:cs="Times New Roman"/>
          <w:sz w:val="24"/>
          <w:szCs w:val="24"/>
        </w:rPr>
        <w:t>)</w:t>
      </w:r>
      <w:r w:rsidR="0075786B" w:rsidRPr="0052360E">
        <w:rPr>
          <w:rFonts w:ascii="Times New Roman" w:hAnsi="Times New Roman" w:cs="Times New Roman"/>
          <w:sz w:val="24"/>
          <w:szCs w:val="24"/>
        </w:rPr>
        <w:t xml:space="preserve"> than non-pregnant.</w:t>
      </w:r>
      <w:r w:rsidR="0005048D" w:rsidRPr="0052360E">
        <w:rPr>
          <w:rFonts w:ascii="Times New Roman" w:hAnsi="Times New Roman" w:cs="Times New Roman"/>
          <w:sz w:val="24"/>
          <w:szCs w:val="24"/>
        </w:rPr>
        <w:t xml:space="preserve"> </w:t>
      </w:r>
      <w:r w:rsidR="00DC558C" w:rsidRPr="0052360E">
        <w:rPr>
          <w:rFonts w:ascii="Times New Roman" w:hAnsi="Times New Roman" w:cs="Times New Roman"/>
          <w:sz w:val="24"/>
          <w:szCs w:val="24"/>
        </w:rPr>
        <w:t xml:space="preserve">Concentrations did not differ </w:t>
      </w:r>
      <w:r w:rsidR="0005048D" w:rsidRPr="0052360E">
        <w:rPr>
          <w:rFonts w:ascii="Times New Roman" w:hAnsi="Times New Roman" w:cs="Times New Roman"/>
          <w:sz w:val="24"/>
          <w:szCs w:val="24"/>
        </w:rPr>
        <w:t xml:space="preserve">between ANC1 and ANC2 </w:t>
      </w:r>
      <w:r w:rsidR="00DC558C" w:rsidRPr="0052360E">
        <w:rPr>
          <w:rFonts w:ascii="Times New Roman" w:hAnsi="Times New Roman" w:cs="Times New Roman"/>
          <w:sz w:val="24"/>
          <w:szCs w:val="24"/>
        </w:rPr>
        <w:t>(Supplementary file</w:t>
      </w:r>
      <w:r w:rsidR="001D0DBD" w:rsidRPr="0052360E">
        <w:rPr>
          <w:rFonts w:ascii="Times New Roman" w:hAnsi="Times New Roman" w:cs="Times New Roman"/>
          <w:sz w:val="24"/>
          <w:szCs w:val="24"/>
        </w:rPr>
        <w:t>,</w:t>
      </w:r>
      <w:r w:rsidR="00DC558C" w:rsidRPr="0052360E">
        <w:rPr>
          <w:rFonts w:ascii="Times New Roman" w:hAnsi="Times New Roman" w:cs="Times New Roman"/>
          <w:sz w:val="24"/>
          <w:szCs w:val="24"/>
        </w:rPr>
        <w:t xml:space="preserve"> Figure </w:t>
      </w:r>
      <w:r w:rsidR="00824685" w:rsidRPr="0052360E">
        <w:rPr>
          <w:rFonts w:ascii="Times New Roman" w:hAnsi="Times New Roman" w:cs="Times New Roman"/>
          <w:sz w:val="24"/>
          <w:szCs w:val="24"/>
        </w:rPr>
        <w:t>S</w:t>
      </w:r>
      <w:r w:rsidR="00DC558C" w:rsidRPr="0052360E">
        <w:rPr>
          <w:rFonts w:ascii="Times New Roman" w:hAnsi="Times New Roman" w:cs="Times New Roman"/>
          <w:sz w:val="24"/>
          <w:szCs w:val="24"/>
        </w:rPr>
        <w:t xml:space="preserve">2). </w:t>
      </w:r>
      <w:r w:rsidR="00307F84" w:rsidRPr="0052360E">
        <w:rPr>
          <w:rFonts w:ascii="Times New Roman" w:hAnsi="Times New Roman" w:cs="Times New Roman"/>
          <w:sz w:val="24"/>
          <w:szCs w:val="24"/>
        </w:rPr>
        <w:t xml:space="preserve">Mean Lf concentration in pregnancy was </w:t>
      </w:r>
      <w:r w:rsidR="00B644A8" w:rsidRPr="0052360E">
        <w:rPr>
          <w:rFonts w:ascii="Times New Roman" w:hAnsi="Times New Roman" w:cs="Times New Roman"/>
          <w:sz w:val="24"/>
          <w:szCs w:val="24"/>
        </w:rPr>
        <w:t xml:space="preserve">similar to </w:t>
      </w:r>
      <w:r w:rsidR="00307F84" w:rsidRPr="0052360E">
        <w:rPr>
          <w:rFonts w:ascii="Times New Roman" w:hAnsi="Times New Roman" w:cs="Times New Roman"/>
          <w:sz w:val="24"/>
          <w:szCs w:val="24"/>
        </w:rPr>
        <w:t>that of sexually active non-pregnant women</w:t>
      </w:r>
      <w:r w:rsidR="00DC558C" w:rsidRPr="0052360E">
        <w:rPr>
          <w:rFonts w:ascii="Times New Roman" w:hAnsi="Times New Roman" w:cs="Times New Roman"/>
          <w:sz w:val="24"/>
          <w:szCs w:val="24"/>
        </w:rPr>
        <w:t xml:space="preserve"> </w:t>
      </w:r>
      <w:r w:rsidR="003B416E" w:rsidRPr="0052360E">
        <w:rPr>
          <w:rFonts w:ascii="Times New Roman" w:hAnsi="Times New Roman" w:cs="Times New Roman"/>
          <w:sz w:val="24"/>
          <w:szCs w:val="24"/>
        </w:rPr>
        <w:t>and was in</w:t>
      </w:r>
      <w:r w:rsidR="00DC558C" w:rsidRPr="0052360E">
        <w:rPr>
          <w:rFonts w:ascii="Times New Roman" w:hAnsi="Times New Roman" w:cs="Times New Roman"/>
          <w:sz w:val="24"/>
          <w:szCs w:val="24"/>
        </w:rPr>
        <w:t>dependent of gestation (Figure 2</w:t>
      </w:r>
      <w:r w:rsidR="003B416E" w:rsidRPr="0052360E">
        <w:rPr>
          <w:rFonts w:ascii="Times New Roman" w:hAnsi="Times New Roman" w:cs="Times New Roman"/>
          <w:sz w:val="24"/>
          <w:szCs w:val="24"/>
        </w:rPr>
        <w:t>)</w:t>
      </w:r>
      <w:r w:rsidR="000C0747" w:rsidRPr="0052360E">
        <w:rPr>
          <w:rFonts w:ascii="Times New Roman" w:hAnsi="Times New Roman" w:cs="Times New Roman"/>
          <w:sz w:val="24"/>
          <w:szCs w:val="24"/>
        </w:rPr>
        <w:t>.</w:t>
      </w:r>
      <w:r w:rsidR="00307F84" w:rsidRPr="0052360E">
        <w:rPr>
          <w:rFonts w:ascii="Times New Roman" w:hAnsi="Times New Roman" w:cs="Times New Roman"/>
          <w:sz w:val="24"/>
          <w:szCs w:val="24"/>
        </w:rPr>
        <w:t xml:space="preserve">                 </w:t>
      </w:r>
    </w:p>
    <w:p w14:paraId="2534B560" w14:textId="008EE20E" w:rsidR="00133B76" w:rsidRPr="0052360E" w:rsidRDefault="00133B76" w:rsidP="008C59EA">
      <w:pPr>
        <w:spacing w:before="240" w:after="0" w:line="480" w:lineRule="auto"/>
        <w:ind w:left="227" w:right="227"/>
        <w:rPr>
          <w:rFonts w:ascii="Times New Roman" w:hAnsi="Times New Roman" w:cs="Times New Roman"/>
          <w:sz w:val="24"/>
          <w:szCs w:val="24"/>
        </w:rPr>
      </w:pPr>
      <w:r w:rsidRPr="0052360E">
        <w:rPr>
          <w:rFonts w:ascii="Times New Roman" w:hAnsi="Times New Roman" w:cs="Times New Roman"/>
          <w:sz w:val="24"/>
          <w:szCs w:val="24"/>
        </w:rPr>
        <w:t>There was large variation in log</w:t>
      </w:r>
      <w:r w:rsidRPr="0052360E">
        <w:rPr>
          <w:rFonts w:ascii="Times New Roman" w:hAnsi="Times New Roman" w:cs="Times New Roman"/>
          <w:sz w:val="24"/>
          <w:szCs w:val="24"/>
          <w:vertAlign w:val="subscript"/>
        </w:rPr>
        <w:t>10</w:t>
      </w:r>
      <w:r w:rsidRPr="0052360E">
        <w:rPr>
          <w:rFonts w:ascii="Times New Roman" w:hAnsi="Times New Roman" w:cs="Times New Roman"/>
          <w:sz w:val="24"/>
          <w:szCs w:val="24"/>
        </w:rPr>
        <w:t xml:space="preserve"> Lf values between individuals ranging over six orders of magnitude. The within patient/visit estimated assay standard deviation (SD) in log</w:t>
      </w:r>
      <w:r w:rsidRPr="0052360E">
        <w:rPr>
          <w:rFonts w:ascii="Times New Roman" w:hAnsi="Times New Roman" w:cs="Times New Roman"/>
          <w:sz w:val="24"/>
          <w:szCs w:val="24"/>
          <w:vertAlign w:val="subscript"/>
        </w:rPr>
        <w:t>10</w:t>
      </w:r>
      <w:r w:rsidRPr="0052360E">
        <w:rPr>
          <w:rFonts w:ascii="Times New Roman" w:hAnsi="Times New Roman" w:cs="Times New Roman"/>
          <w:sz w:val="24"/>
          <w:szCs w:val="24"/>
        </w:rPr>
        <w:t xml:space="preserve"> Lf was 0.47 and the interclass correlation coefficient (ICC) for replicate measurements was 0.90, indicating 90% of variation was due to true differences between women or visits. The between visit (within woman) variation SD was 0.65, and the between women SD was 0.75, giving a total SD between independent assessments of 1.00. The within patient ICC was 0.57, indicating that Lf values were strongly correlated over time, with individuals having levels that persisted. This is </w:t>
      </w:r>
      <w:r w:rsidR="00CE642B" w:rsidRPr="0052360E">
        <w:rPr>
          <w:rFonts w:ascii="Times New Roman" w:hAnsi="Times New Roman" w:cs="Times New Roman"/>
          <w:sz w:val="24"/>
          <w:szCs w:val="24"/>
        </w:rPr>
        <w:t xml:space="preserve">illustrated </w:t>
      </w:r>
      <w:r w:rsidRPr="0052360E">
        <w:rPr>
          <w:rFonts w:ascii="Times New Roman" w:hAnsi="Times New Roman" w:cs="Times New Roman"/>
          <w:sz w:val="24"/>
          <w:szCs w:val="24"/>
        </w:rPr>
        <w:t xml:space="preserve">in Figure </w:t>
      </w:r>
      <w:r w:rsidR="00DC558C" w:rsidRPr="0052360E">
        <w:rPr>
          <w:rFonts w:ascii="Times New Roman" w:hAnsi="Times New Roman" w:cs="Times New Roman"/>
          <w:sz w:val="24"/>
          <w:szCs w:val="24"/>
        </w:rPr>
        <w:t>3</w:t>
      </w:r>
      <w:r w:rsidRPr="0052360E">
        <w:rPr>
          <w:rFonts w:ascii="Times New Roman" w:hAnsi="Times New Roman" w:cs="Times New Roman"/>
          <w:sz w:val="24"/>
          <w:szCs w:val="24"/>
        </w:rPr>
        <w:t xml:space="preserve"> which </w:t>
      </w:r>
      <w:r w:rsidR="00CE642B" w:rsidRPr="0052360E">
        <w:rPr>
          <w:rFonts w:ascii="Times New Roman" w:hAnsi="Times New Roman" w:cs="Times New Roman"/>
          <w:sz w:val="24"/>
          <w:szCs w:val="24"/>
        </w:rPr>
        <w:t xml:space="preserve">shows </w:t>
      </w:r>
      <w:r w:rsidRPr="0052360E">
        <w:rPr>
          <w:rFonts w:ascii="Times New Roman" w:hAnsi="Times New Roman" w:cs="Times New Roman"/>
          <w:sz w:val="24"/>
          <w:szCs w:val="24"/>
        </w:rPr>
        <w:t>the longitudinal trends in Lf concentration for the 51 women assessed at end assessment and who were identified by urine screening at that time as in very early pregnancy and then who later provided additional samples as part of the pregnant cohort at ANC1 and/or ANC2.</w:t>
      </w:r>
    </w:p>
    <w:p w14:paraId="71CA6DF9" w14:textId="77777777" w:rsidR="00691FBA" w:rsidRPr="0052360E" w:rsidRDefault="00691FBA" w:rsidP="008C59EA">
      <w:pPr>
        <w:spacing w:after="0" w:line="480" w:lineRule="auto"/>
        <w:ind w:left="227" w:right="227"/>
        <w:rPr>
          <w:rFonts w:ascii="Times New Roman" w:hAnsi="Times New Roman" w:cs="Times New Roman"/>
          <w:sz w:val="24"/>
          <w:szCs w:val="24"/>
        </w:rPr>
      </w:pPr>
    </w:p>
    <w:p w14:paraId="05D75AC2" w14:textId="10111238" w:rsidR="0005048D" w:rsidRPr="0052360E" w:rsidRDefault="00171E6C" w:rsidP="008C59EA">
      <w:pPr>
        <w:spacing w:after="0" w:line="480" w:lineRule="auto"/>
        <w:ind w:left="227" w:right="227"/>
        <w:rPr>
          <w:rFonts w:ascii="Times New Roman" w:hAnsi="Times New Roman" w:cs="Times New Roman"/>
          <w:sz w:val="24"/>
          <w:szCs w:val="24"/>
        </w:rPr>
      </w:pPr>
      <w:r w:rsidRPr="0052360E">
        <w:rPr>
          <w:rFonts w:ascii="Times New Roman" w:hAnsi="Times New Roman" w:cs="Times New Roman"/>
          <w:sz w:val="24"/>
          <w:szCs w:val="24"/>
        </w:rPr>
        <w:t>Some 37%</w:t>
      </w:r>
      <w:r w:rsidR="002D3D02" w:rsidRPr="0052360E">
        <w:rPr>
          <w:rFonts w:ascii="Times New Roman" w:hAnsi="Times New Roman" w:cs="Times New Roman"/>
          <w:sz w:val="24"/>
          <w:szCs w:val="24"/>
        </w:rPr>
        <w:t xml:space="preserve"> </w:t>
      </w:r>
      <w:r w:rsidRPr="0052360E">
        <w:rPr>
          <w:rFonts w:ascii="Times New Roman" w:hAnsi="Times New Roman" w:cs="Times New Roman"/>
          <w:sz w:val="24"/>
          <w:szCs w:val="24"/>
        </w:rPr>
        <w:t>of non-pregnant women had</w:t>
      </w:r>
      <w:r w:rsidR="002D3D02" w:rsidRPr="0052360E">
        <w:rPr>
          <w:rFonts w:ascii="Times New Roman" w:hAnsi="Times New Roman" w:cs="Times New Roman"/>
          <w:sz w:val="24"/>
          <w:szCs w:val="24"/>
        </w:rPr>
        <w:t xml:space="preserve"> </w:t>
      </w:r>
      <w:r w:rsidRPr="0052360E">
        <w:rPr>
          <w:rFonts w:ascii="Times New Roman" w:hAnsi="Times New Roman" w:cs="Times New Roman"/>
          <w:sz w:val="24"/>
          <w:szCs w:val="24"/>
        </w:rPr>
        <w:t xml:space="preserve">a </w:t>
      </w:r>
      <w:r w:rsidR="002D3D02" w:rsidRPr="0052360E">
        <w:rPr>
          <w:rFonts w:ascii="Times New Roman" w:hAnsi="Times New Roman" w:cs="Times New Roman"/>
          <w:sz w:val="24"/>
          <w:szCs w:val="24"/>
        </w:rPr>
        <w:t xml:space="preserve">baseline </w:t>
      </w:r>
      <w:r w:rsidR="009B48DB" w:rsidRPr="0052360E">
        <w:rPr>
          <w:rFonts w:ascii="Times New Roman" w:hAnsi="Times New Roman" w:cs="Times New Roman"/>
          <w:sz w:val="24"/>
          <w:szCs w:val="24"/>
        </w:rPr>
        <w:t>body mass index (</w:t>
      </w:r>
      <w:r w:rsidR="002D3D02" w:rsidRPr="0052360E">
        <w:rPr>
          <w:rFonts w:ascii="Times New Roman" w:hAnsi="Times New Roman" w:cs="Times New Roman"/>
          <w:sz w:val="24"/>
          <w:szCs w:val="24"/>
        </w:rPr>
        <w:t>BMI</w:t>
      </w:r>
      <w:r w:rsidR="009B48DB" w:rsidRPr="0052360E">
        <w:rPr>
          <w:rFonts w:ascii="Times New Roman" w:hAnsi="Times New Roman" w:cs="Times New Roman"/>
          <w:sz w:val="24"/>
          <w:szCs w:val="24"/>
        </w:rPr>
        <w:t>)</w:t>
      </w:r>
      <w:r w:rsidR="002D3D02" w:rsidRPr="0052360E">
        <w:rPr>
          <w:rFonts w:ascii="Times New Roman" w:hAnsi="Times New Roman" w:cs="Times New Roman"/>
          <w:sz w:val="24"/>
          <w:szCs w:val="24"/>
        </w:rPr>
        <w:t xml:space="preserve"> &lt; 18.5 kg/m</w:t>
      </w:r>
      <w:r w:rsidR="002D3D02" w:rsidRPr="0052360E">
        <w:rPr>
          <w:rFonts w:ascii="Times New Roman" w:hAnsi="Times New Roman" w:cs="Times New Roman"/>
          <w:sz w:val="24"/>
          <w:szCs w:val="24"/>
          <w:vertAlign w:val="superscript"/>
        </w:rPr>
        <w:t>2</w:t>
      </w:r>
      <w:r w:rsidR="002D3D02" w:rsidRPr="0052360E">
        <w:rPr>
          <w:rFonts w:ascii="Times New Roman" w:hAnsi="Times New Roman" w:cs="Times New Roman"/>
          <w:sz w:val="24"/>
          <w:szCs w:val="24"/>
        </w:rPr>
        <w:t xml:space="preserve"> (Table 1). </w:t>
      </w:r>
      <w:r w:rsidR="00DC558C" w:rsidRPr="0052360E">
        <w:rPr>
          <w:rFonts w:ascii="Times New Roman" w:hAnsi="Times New Roman" w:cs="Times New Roman"/>
          <w:sz w:val="24"/>
          <w:szCs w:val="24"/>
        </w:rPr>
        <w:t>A</w:t>
      </w:r>
      <w:r w:rsidR="0005048D" w:rsidRPr="0052360E">
        <w:rPr>
          <w:rFonts w:ascii="Times New Roman" w:hAnsi="Times New Roman" w:cs="Times New Roman"/>
          <w:sz w:val="24"/>
          <w:szCs w:val="24"/>
        </w:rPr>
        <w:t xml:space="preserve">cross both </w:t>
      </w:r>
      <w:r w:rsidR="001D0DBD" w:rsidRPr="0052360E">
        <w:rPr>
          <w:rFonts w:ascii="Times New Roman" w:hAnsi="Times New Roman" w:cs="Times New Roman"/>
          <w:sz w:val="24"/>
          <w:szCs w:val="24"/>
        </w:rPr>
        <w:t>pregnant and non-pregnant women</w:t>
      </w:r>
      <w:r w:rsidR="0005048D" w:rsidRPr="0052360E">
        <w:rPr>
          <w:rFonts w:ascii="Times New Roman" w:hAnsi="Times New Roman" w:cs="Times New Roman"/>
          <w:sz w:val="24"/>
          <w:szCs w:val="24"/>
        </w:rPr>
        <w:t>, Lf concentrations increased with MUAC</w:t>
      </w:r>
      <w:r w:rsidR="00FF664C" w:rsidRPr="0052360E">
        <w:rPr>
          <w:rFonts w:ascii="Times New Roman" w:hAnsi="Times New Roman" w:cs="Times New Roman"/>
          <w:sz w:val="24"/>
          <w:szCs w:val="24"/>
        </w:rPr>
        <w:t xml:space="preserve"> (P=0.047) and BMI</w:t>
      </w:r>
      <w:r w:rsidR="0005048D" w:rsidRPr="0052360E">
        <w:rPr>
          <w:rFonts w:ascii="Times New Roman" w:hAnsi="Times New Roman" w:cs="Times New Roman"/>
          <w:sz w:val="24"/>
          <w:szCs w:val="24"/>
        </w:rPr>
        <w:t xml:space="preserve"> (P=0.018), (Table 2). </w:t>
      </w:r>
      <w:r w:rsidR="00706C78" w:rsidRPr="0052360E">
        <w:rPr>
          <w:rFonts w:ascii="Times New Roman" w:hAnsi="Times New Roman" w:cs="Times New Roman"/>
          <w:sz w:val="24"/>
          <w:szCs w:val="24"/>
        </w:rPr>
        <w:t xml:space="preserve">The effect of sexual activity </w:t>
      </w:r>
      <w:r w:rsidR="00913C3D" w:rsidRPr="0052360E">
        <w:rPr>
          <w:rFonts w:ascii="Times New Roman" w:hAnsi="Times New Roman" w:cs="Times New Roman"/>
          <w:sz w:val="24"/>
          <w:szCs w:val="24"/>
        </w:rPr>
        <w:t xml:space="preserve">on Lf </w:t>
      </w:r>
      <w:r w:rsidR="00706C78" w:rsidRPr="0052360E">
        <w:rPr>
          <w:rFonts w:ascii="Times New Roman" w:hAnsi="Times New Roman" w:cs="Times New Roman"/>
          <w:sz w:val="24"/>
          <w:szCs w:val="24"/>
        </w:rPr>
        <w:t xml:space="preserve">concentration in non-pregnant women remained </w:t>
      </w:r>
      <w:r w:rsidR="0005048D" w:rsidRPr="0052360E">
        <w:rPr>
          <w:rFonts w:ascii="Times New Roman" w:hAnsi="Times New Roman" w:cs="Times New Roman"/>
          <w:sz w:val="24"/>
          <w:szCs w:val="24"/>
        </w:rPr>
        <w:t xml:space="preserve">after adjusting for MUAC (P=0.005) </w:t>
      </w:r>
      <w:r w:rsidR="00DC558C" w:rsidRPr="0052360E">
        <w:rPr>
          <w:rFonts w:ascii="Times New Roman" w:hAnsi="Times New Roman" w:cs="Times New Roman"/>
          <w:sz w:val="24"/>
          <w:szCs w:val="24"/>
        </w:rPr>
        <w:t>(</w:t>
      </w:r>
      <w:r w:rsidR="00133B76" w:rsidRPr="0052360E">
        <w:rPr>
          <w:rFonts w:ascii="Times New Roman" w:hAnsi="Times New Roman" w:cs="Times New Roman"/>
          <w:sz w:val="24"/>
          <w:szCs w:val="24"/>
        </w:rPr>
        <w:t>Table 2).</w:t>
      </w:r>
      <w:r w:rsidR="0005048D" w:rsidRPr="0052360E">
        <w:rPr>
          <w:rFonts w:ascii="Times New Roman" w:hAnsi="Times New Roman" w:cs="Times New Roman"/>
          <w:sz w:val="24"/>
          <w:szCs w:val="24"/>
        </w:rPr>
        <w:t xml:space="preserve"> There was no Lf association with calendar age or reproductive age.</w:t>
      </w:r>
    </w:p>
    <w:p w14:paraId="484D0C5F" w14:textId="526CAB2A" w:rsidR="00281F19" w:rsidRPr="0052360E" w:rsidRDefault="00DC558C" w:rsidP="008C59EA">
      <w:pPr>
        <w:spacing w:before="240" w:line="480" w:lineRule="auto"/>
        <w:ind w:left="284" w:right="227" w:hanging="284"/>
        <w:rPr>
          <w:rFonts w:ascii="Times New Roman" w:hAnsi="Times New Roman" w:cs="Times New Roman"/>
          <w:sz w:val="24"/>
          <w:szCs w:val="24"/>
        </w:rPr>
      </w:pPr>
      <w:r w:rsidRPr="0052360E">
        <w:rPr>
          <w:rFonts w:ascii="Times New Roman" w:hAnsi="Times New Roman" w:cs="Times New Roman"/>
          <w:b/>
          <w:sz w:val="24"/>
          <w:szCs w:val="24"/>
        </w:rPr>
        <w:t xml:space="preserve">     </w:t>
      </w:r>
      <w:r w:rsidRPr="0052360E">
        <w:rPr>
          <w:rFonts w:ascii="Times New Roman" w:hAnsi="Times New Roman" w:cs="Times New Roman"/>
          <w:sz w:val="24"/>
          <w:szCs w:val="24"/>
        </w:rPr>
        <w:t>P</w:t>
      </w:r>
      <w:r w:rsidR="00281F19" w:rsidRPr="0052360E">
        <w:rPr>
          <w:rFonts w:ascii="Times New Roman" w:hAnsi="Times New Roman" w:cs="Times New Roman"/>
          <w:sz w:val="24"/>
          <w:szCs w:val="24"/>
        </w:rPr>
        <w:t xml:space="preserve">revalence of BV was 11% and </w:t>
      </w:r>
      <w:r w:rsidR="00281F19" w:rsidRPr="0052360E">
        <w:rPr>
          <w:rFonts w:ascii="Times New Roman" w:hAnsi="Times New Roman" w:cs="Times New Roman"/>
          <w:i/>
          <w:sz w:val="24"/>
          <w:szCs w:val="24"/>
        </w:rPr>
        <w:t xml:space="preserve">T. vaginalis </w:t>
      </w:r>
      <w:r w:rsidR="00281F19" w:rsidRPr="0052360E">
        <w:rPr>
          <w:rFonts w:ascii="Times New Roman" w:hAnsi="Times New Roman" w:cs="Times New Roman"/>
          <w:sz w:val="24"/>
          <w:szCs w:val="24"/>
        </w:rPr>
        <w:t xml:space="preserve">4% at </w:t>
      </w:r>
      <w:r w:rsidR="001827C8" w:rsidRPr="0052360E">
        <w:rPr>
          <w:rFonts w:ascii="Times New Roman" w:hAnsi="Times New Roman" w:cs="Times New Roman"/>
          <w:sz w:val="24"/>
          <w:szCs w:val="24"/>
        </w:rPr>
        <w:t xml:space="preserve">the non-pregnant </w:t>
      </w:r>
      <w:r w:rsidR="00281F19" w:rsidRPr="0052360E">
        <w:rPr>
          <w:rFonts w:ascii="Times New Roman" w:hAnsi="Times New Roman" w:cs="Times New Roman"/>
          <w:sz w:val="24"/>
          <w:szCs w:val="24"/>
        </w:rPr>
        <w:t>end assessment and 7% and 13% respectively at ANC1.</w:t>
      </w:r>
      <w:r w:rsidR="00691FBA" w:rsidRPr="0052360E">
        <w:rPr>
          <w:rFonts w:ascii="Times New Roman" w:hAnsi="Times New Roman" w:cs="Times New Roman"/>
          <w:sz w:val="24"/>
          <w:szCs w:val="24"/>
        </w:rPr>
        <w:t xml:space="preserve"> </w:t>
      </w:r>
      <w:r w:rsidR="001827C8" w:rsidRPr="0052360E">
        <w:rPr>
          <w:rFonts w:ascii="Times New Roman" w:hAnsi="Times New Roman" w:cs="Times New Roman"/>
          <w:sz w:val="24"/>
          <w:szCs w:val="24"/>
        </w:rPr>
        <w:t>Lf concent</w:t>
      </w:r>
      <w:r w:rsidR="00D50327" w:rsidRPr="0052360E">
        <w:rPr>
          <w:rFonts w:ascii="Times New Roman" w:hAnsi="Times New Roman" w:cs="Times New Roman"/>
          <w:sz w:val="24"/>
          <w:szCs w:val="24"/>
        </w:rPr>
        <w:t>ration by infection category is</w:t>
      </w:r>
      <w:r w:rsidR="001827C8" w:rsidRPr="0052360E">
        <w:rPr>
          <w:rFonts w:ascii="Times New Roman" w:hAnsi="Times New Roman" w:cs="Times New Roman"/>
          <w:sz w:val="24"/>
          <w:szCs w:val="24"/>
        </w:rPr>
        <w:t xml:space="preserve"> shown in</w:t>
      </w:r>
      <w:r w:rsidR="00281F19" w:rsidRPr="0052360E">
        <w:rPr>
          <w:rFonts w:ascii="Times New Roman" w:hAnsi="Times New Roman" w:cs="Times New Roman"/>
          <w:sz w:val="24"/>
          <w:szCs w:val="24"/>
        </w:rPr>
        <w:t xml:space="preserve"> </w:t>
      </w:r>
      <w:r w:rsidR="001827C8" w:rsidRPr="0052360E">
        <w:rPr>
          <w:rFonts w:ascii="Times New Roman" w:hAnsi="Times New Roman" w:cs="Times New Roman"/>
          <w:sz w:val="24"/>
          <w:szCs w:val="24"/>
        </w:rPr>
        <w:t xml:space="preserve">Supplementary file </w:t>
      </w:r>
      <w:r w:rsidR="00824685" w:rsidRPr="0052360E">
        <w:rPr>
          <w:rFonts w:ascii="Times New Roman" w:hAnsi="Times New Roman" w:cs="Times New Roman"/>
          <w:sz w:val="24"/>
          <w:szCs w:val="24"/>
        </w:rPr>
        <w:t xml:space="preserve">1 </w:t>
      </w:r>
      <w:r w:rsidR="001827C8" w:rsidRPr="0052360E">
        <w:rPr>
          <w:rFonts w:ascii="Times New Roman" w:hAnsi="Times New Roman" w:cs="Times New Roman"/>
          <w:sz w:val="24"/>
          <w:szCs w:val="24"/>
        </w:rPr>
        <w:t xml:space="preserve">Figure </w:t>
      </w:r>
      <w:r w:rsidR="00824685" w:rsidRPr="0052360E">
        <w:rPr>
          <w:rFonts w:ascii="Times New Roman" w:hAnsi="Times New Roman" w:cs="Times New Roman"/>
          <w:sz w:val="24"/>
          <w:szCs w:val="24"/>
        </w:rPr>
        <w:t>S3</w:t>
      </w:r>
      <w:r w:rsidR="001827C8" w:rsidRPr="0052360E">
        <w:rPr>
          <w:rFonts w:ascii="Times New Roman" w:hAnsi="Times New Roman" w:cs="Times New Roman"/>
          <w:sz w:val="24"/>
          <w:szCs w:val="24"/>
        </w:rPr>
        <w:t xml:space="preserve">. </w:t>
      </w:r>
      <w:r w:rsidR="00281F19" w:rsidRPr="0052360E">
        <w:rPr>
          <w:rFonts w:ascii="Times New Roman" w:hAnsi="Times New Roman" w:cs="Times New Roman"/>
          <w:sz w:val="24"/>
          <w:szCs w:val="24"/>
        </w:rPr>
        <w:t>Lf levels were 6.6</w:t>
      </w:r>
      <w:r w:rsidR="00A82612" w:rsidRPr="0052360E">
        <w:rPr>
          <w:rFonts w:ascii="Times New Roman" w:hAnsi="Times New Roman" w:cs="Times New Roman"/>
          <w:sz w:val="24"/>
          <w:szCs w:val="24"/>
        </w:rPr>
        <w:t>-</w:t>
      </w:r>
      <w:r w:rsidR="00281F19" w:rsidRPr="0052360E">
        <w:rPr>
          <w:rFonts w:ascii="Times New Roman" w:hAnsi="Times New Roman" w:cs="Times New Roman"/>
          <w:sz w:val="24"/>
          <w:szCs w:val="24"/>
        </w:rPr>
        <w:t xml:space="preserve">fold higher in </w:t>
      </w:r>
      <w:r w:rsidR="001827C8" w:rsidRPr="0052360E">
        <w:rPr>
          <w:rFonts w:ascii="Times New Roman" w:hAnsi="Times New Roman" w:cs="Times New Roman"/>
          <w:sz w:val="24"/>
          <w:szCs w:val="24"/>
        </w:rPr>
        <w:t xml:space="preserve">all </w:t>
      </w:r>
      <w:r w:rsidR="00281F19" w:rsidRPr="0052360E">
        <w:rPr>
          <w:rFonts w:ascii="Times New Roman" w:hAnsi="Times New Roman" w:cs="Times New Roman"/>
          <w:sz w:val="24"/>
          <w:szCs w:val="24"/>
        </w:rPr>
        <w:t>women with BV (difference in log</w:t>
      </w:r>
      <w:r w:rsidR="00281F19" w:rsidRPr="0052360E">
        <w:rPr>
          <w:rFonts w:ascii="Times New Roman" w:hAnsi="Times New Roman" w:cs="Times New Roman"/>
          <w:sz w:val="24"/>
          <w:szCs w:val="24"/>
          <w:vertAlign w:val="subscript"/>
        </w:rPr>
        <w:t>10</w:t>
      </w:r>
      <w:r w:rsidR="00281F19" w:rsidRPr="0052360E">
        <w:rPr>
          <w:rFonts w:ascii="Times New Roman" w:hAnsi="Times New Roman" w:cs="Times New Roman"/>
          <w:sz w:val="24"/>
          <w:szCs w:val="24"/>
        </w:rPr>
        <w:t xml:space="preserve"> Lf = 0.82, 0.63 - 1.00, P &lt;0.001), 11.5</w:t>
      </w:r>
      <w:r w:rsidR="00A82612" w:rsidRPr="0052360E">
        <w:rPr>
          <w:rFonts w:ascii="Times New Roman" w:hAnsi="Times New Roman" w:cs="Times New Roman"/>
          <w:sz w:val="24"/>
          <w:szCs w:val="24"/>
        </w:rPr>
        <w:t>-</w:t>
      </w:r>
      <w:r w:rsidR="00281F19" w:rsidRPr="0052360E">
        <w:rPr>
          <w:rFonts w:ascii="Times New Roman" w:hAnsi="Times New Roman" w:cs="Times New Roman"/>
          <w:sz w:val="24"/>
          <w:szCs w:val="24"/>
        </w:rPr>
        <w:t xml:space="preserve">fold higher with </w:t>
      </w:r>
      <w:r w:rsidR="00281F19" w:rsidRPr="0052360E">
        <w:rPr>
          <w:rFonts w:ascii="Times New Roman" w:hAnsi="Times New Roman" w:cs="Times New Roman"/>
          <w:i/>
          <w:sz w:val="24"/>
          <w:szCs w:val="24"/>
        </w:rPr>
        <w:t>T. vaginalis</w:t>
      </w:r>
      <w:r w:rsidR="00281F19" w:rsidRPr="0052360E">
        <w:rPr>
          <w:rFonts w:ascii="Times New Roman" w:hAnsi="Times New Roman" w:cs="Times New Roman"/>
          <w:sz w:val="24"/>
          <w:szCs w:val="24"/>
        </w:rPr>
        <w:t xml:space="preserve"> (difference in log</w:t>
      </w:r>
      <w:r w:rsidR="00281F19" w:rsidRPr="0052360E">
        <w:rPr>
          <w:rFonts w:ascii="Times New Roman" w:hAnsi="Times New Roman" w:cs="Times New Roman"/>
          <w:sz w:val="24"/>
          <w:szCs w:val="24"/>
          <w:vertAlign w:val="subscript"/>
        </w:rPr>
        <w:t>10</w:t>
      </w:r>
      <w:r w:rsidR="00281F19" w:rsidRPr="0052360E">
        <w:rPr>
          <w:rFonts w:ascii="Times New Roman" w:hAnsi="Times New Roman" w:cs="Times New Roman"/>
          <w:sz w:val="24"/>
          <w:szCs w:val="24"/>
        </w:rPr>
        <w:t xml:space="preserve"> Lf = 1.06, 0.85 - 1.26, P &lt;0.001), and 1.8</w:t>
      </w:r>
      <w:r w:rsidR="00A82612" w:rsidRPr="0052360E">
        <w:rPr>
          <w:rFonts w:ascii="Times New Roman" w:hAnsi="Times New Roman" w:cs="Times New Roman"/>
          <w:sz w:val="24"/>
          <w:szCs w:val="24"/>
        </w:rPr>
        <w:t>-</w:t>
      </w:r>
      <w:r w:rsidR="00281F19" w:rsidRPr="0052360E">
        <w:rPr>
          <w:rFonts w:ascii="Times New Roman" w:hAnsi="Times New Roman" w:cs="Times New Roman"/>
          <w:sz w:val="24"/>
          <w:szCs w:val="24"/>
        </w:rPr>
        <w:t>fold higher with vaginal discharge (difference in log</w:t>
      </w:r>
      <w:r w:rsidR="00281F19" w:rsidRPr="0052360E">
        <w:rPr>
          <w:rFonts w:ascii="Times New Roman" w:hAnsi="Times New Roman" w:cs="Times New Roman"/>
          <w:sz w:val="24"/>
          <w:szCs w:val="24"/>
          <w:vertAlign w:val="subscript"/>
        </w:rPr>
        <w:t>10</w:t>
      </w:r>
      <w:r w:rsidR="00281F19" w:rsidRPr="0052360E">
        <w:rPr>
          <w:rFonts w:ascii="Times New Roman" w:hAnsi="Times New Roman" w:cs="Times New Roman"/>
          <w:sz w:val="24"/>
          <w:szCs w:val="24"/>
        </w:rPr>
        <w:t xml:space="preserve"> Lf = 0.26, 0.07 - 0.45, P = 0.006), (Table </w:t>
      </w:r>
      <w:r w:rsidR="001827C8" w:rsidRPr="0052360E">
        <w:rPr>
          <w:rFonts w:ascii="Times New Roman" w:hAnsi="Times New Roman" w:cs="Times New Roman"/>
          <w:sz w:val="24"/>
          <w:szCs w:val="24"/>
        </w:rPr>
        <w:t>2</w:t>
      </w:r>
      <w:r w:rsidR="00281F19" w:rsidRPr="0052360E">
        <w:rPr>
          <w:rFonts w:ascii="Times New Roman" w:hAnsi="Times New Roman" w:cs="Times New Roman"/>
          <w:sz w:val="24"/>
          <w:szCs w:val="24"/>
        </w:rPr>
        <w:t>). Recei</w:t>
      </w:r>
      <w:r w:rsidR="005A387A" w:rsidRPr="0052360E">
        <w:rPr>
          <w:rFonts w:ascii="Times New Roman" w:hAnsi="Times New Roman" w:cs="Times New Roman"/>
          <w:sz w:val="24"/>
          <w:szCs w:val="24"/>
        </w:rPr>
        <w:t>ving</w:t>
      </w:r>
      <w:r w:rsidR="00281F19" w:rsidRPr="0052360E">
        <w:rPr>
          <w:rFonts w:ascii="Times New Roman" w:hAnsi="Times New Roman" w:cs="Times New Roman"/>
          <w:sz w:val="24"/>
          <w:szCs w:val="24"/>
        </w:rPr>
        <w:t xml:space="preserve"> an antifungal prescription, predominantly for a vaginal infection, during the six month</w:t>
      </w:r>
      <w:r w:rsidR="005A387A" w:rsidRPr="0052360E">
        <w:rPr>
          <w:rFonts w:ascii="Times New Roman" w:hAnsi="Times New Roman" w:cs="Times New Roman"/>
          <w:sz w:val="24"/>
          <w:szCs w:val="24"/>
        </w:rPr>
        <w:t>s</w:t>
      </w:r>
      <w:r w:rsidR="00281F19" w:rsidRPr="0052360E">
        <w:rPr>
          <w:rFonts w:ascii="Times New Roman" w:hAnsi="Times New Roman" w:cs="Times New Roman"/>
          <w:sz w:val="24"/>
          <w:szCs w:val="24"/>
        </w:rPr>
        <w:t xml:space="preserve"> prior to assessment, was associated with higher Lf values</w:t>
      </w:r>
      <w:r w:rsidR="005313E5" w:rsidRPr="0052360E">
        <w:rPr>
          <w:rFonts w:ascii="Times New Roman" w:hAnsi="Times New Roman" w:cs="Times New Roman"/>
          <w:sz w:val="24"/>
          <w:szCs w:val="24"/>
        </w:rPr>
        <w:t xml:space="preserve"> (</w:t>
      </w:r>
      <w:r w:rsidR="005313E5" w:rsidRPr="0052360E">
        <w:rPr>
          <w:rFonts w:ascii="Times New Roman" w:hAnsi="Times New Roman" w:cs="Times New Roman"/>
          <w:color w:val="000000"/>
        </w:rPr>
        <w:t>&lt;0.001</w:t>
      </w:r>
      <w:r w:rsidR="005313E5" w:rsidRPr="0052360E">
        <w:rPr>
          <w:rFonts w:ascii="Times New Roman" w:hAnsi="Times New Roman" w:cs="Times New Roman"/>
          <w:sz w:val="24"/>
          <w:szCs w:val="24"/>
        </w:rPr>
        <w:t>)</w:t>
      </w:r>
      <w:r w:rsidR="00A3287E" w:rsidRPr="0052360E">
        <w:rPr>
          <w:rFonts w:ascii="Times New Roman" w:hAnsi="Times New Roman" w:cs="Times New Roman"/>
          <w:sz w:val="24"/>
          <w:szCs w:val="24"/>
        </w:rPr>
        <w:t>. Antibiotic prescriptions,</w:t>
      </w:r>
      <w:r w:rsidR="00281F19" w:rsidRPr="0052360E">
        <w:rPr>
          <w:rFonts w:ascii="Times New Roman" w:hAnsi="Times New Roman" w:cs="Times New Roman"/>
          <w:sz w:val="24"/>
          <w:szCs w:val="24"/>
        </w:rPr>
        <w:t xml:space="preserve"> mainly for respiratory, gastrointestinal and localised infections,</w:t>
      </w:r>
      <w:r w:rsidR="003E614A" w:rsidRPr="0052360E">
        <w:rPr>
          <w:rFonts w:ascii="Times New Roman" w:hAnsi="Times New Roman" w:cs="Times New Roman"/>
          <w:sz w:val="24"/>
          <w:szCs w:val="24"/>
        </w:rPr>
        <w:t xml:space="preserve"> showed </w:t>
      </w:r>
      <w:r w:rsidR="00CE642B" w:rsidRPr="0052360E">
        <w:rPr>
          <w:rFonts w:ascii="Times New Roman" w:hAnsi="Times New Roman" w:cs="Times New Roman"/>
          <w:sz w:val="24"/>
          <w:szCs w:val="24"/>
        </w:rPr>
        <w:t xml:space="preserve">a borderline significant </w:t>
      </w:r>
      <w:r w:rsidR="003E614A" w:rsidRPr="0052360E">
        <w:rPr>
          <w:rFonts w:ascii="Times New Roman" w:hAnsi="Times New Roman" w:cs="Times New Roman"/>
          <w:sz w:val="24"/>
          <w:szCs w:val="24"/>
        </w:rPr>
        <w:t>association (P = 0.066</w:t>
      </w:r>
      <w:r w:rsidR="00281F19" w:rsidRPr="0052360E">
        <w:rPr>
          <w:rFonts w:ascii="Times New Roman" w:hAnsi="Times New Roman" w:cs="Times New Roman"/>
          <w:sz w:val="24"/>
          <w:szCs w:val="24"/>
        </w:rPr>
        <w:t>). Infection associations with Lf did not differ significa</w:t>
      </w:r>
      <w:r w:rsidR="005A387A" w:rsidRPr="0052360E">
        <w:rPr>
          <w:rFonts w:ascii="Times New Roman" w:hAnsi="Times New Roman" w:cs="Times New Roman"/>
          <w:sz w:val="24"/>
          <w:szCs w:val="24"/>
        </w:rPr>
        <w:t xml:space="preserve">ntly </w:t>
      </w:r>
      <w:r w:rsidR="00281F19" w:rsidRPr="0052360E">
        <w:rPr>
          <w:rFonts w:ascii="Times New Roman" w:hAnsi="Times New Roman" w:cs="Times New Roman"/>
          <w:sz w:val="24"/>
          <w:szCs w:val="24"/>
        </w:rPr>
        <w:t>after adjusting for MUAC.</w:t>
      </w:r>
    </w:p>
    <w:p w14:paraId="4EE06756" w14:textId="6A62A6FD" w:rsidR="00281F19" w:rsidRPr="0052360E" w:rsidRDefault="00281F19" w:rsidP="00CC327D">
      <w:pPr>
        <w:spacing w:before="240" w:line="480" w:lineRule="auto"/>
        <w:ind w:left="227" w:right="227"/>
        <w:rPr>
          <w:rFonts w:ascii="Times New Roman" w:hAnsi="Times New Roman" w:cs="Times New Roman"/>
          <w:sz w:val="24"/>
          <w:szCs w:val="24"/>
        </w:rPr>
      </w:pPr>
      <w:r w:rsidRPr="0052360E">
        <w:rPr>
          <w:rFonts w:ascii="Times New Roman" w:hAnsi="Times New Roman" w:cs="Times New Roman"/>
          <w:sz w:val="24"/>
          <w:szCs w:val="24"/>
        </w:rPr>
        <w:t>Three mi</w:t>
      </w:r>
      <w:r w:rsidR="00812460" w:rsidRPr="0052360E">
        <w:rPr>
          <w:rFonts w:ascii="Times New Roman" w:hAnsi="Times New Roman" w:cs="Times New Roman"/>
          <w:sz w:val="24"/>
          <w:szCs w:val="24"/>
        </w:rPr>
        <w:t xml:space="preserve">crobiota </w:t>
      </w:r>
      <w:r w:rsidR="00DB42ED" w:rsidRPr="0052360E">
        <w:rPr>
          <w:rFonts w:ascii="Times New Roman" w:hAnsi="Times New Roman" w:cs="Times New Roman"/>
          <w:sz w:val="24"/>
          <w:szCs w:val="24"/>
        </w:rPr>
        <w:t>vaginal Community State Types (</w:t>
      </w:r>
      <w:r w:rsidR="00812460" w:rsidRPr="0052360E">
        <w:rPr>
          <w:rFonts w:ascii="Times New Roman" w:hAnsi="Times New Roman" w:cs="Times New Roman"/>
          <w:sz w:val="24"/>
          <w:szCs w:val="24"/>
        </w:rPr>
        <w:t>CSTs</w:t>
      </w:r>
      <w:r w:rsidR="00DB42ED" w:rsidRPr="0052360E">
        <w:rPr>
          <w:rFonts w:ascii="Times New Roman" w:hAnsi="Times New Roman" w:cs="Times New Roman"/>
          <w:sz w:val="24"/>
          <w:szCs w:val="24"/>
        </w:rPr>
        <w:t>)</w:t>
      </w:r>
      <w:r w:rsidRPr="0052360E">
        <w:rPr>
          <w:rFonts w:ascii="Times New Roman" w:hAnsi="Times New Roman" w:cs="Times New Roman"/>
          <w:sz w:val="24"/>
          <w:szCs w:val="24"/>
        </w:rPr>
        <w:t xml:space="preserve"> were matched</w:t>
      </w:r>
      <w:r w:rsidR="005A387A" w:rsidRPr="0052360E">
        <w:rPr>
          <w:rFonts w:ascii="Times New Roman" w:hAnsi="Times New Roman" w:cs="Times New Roman"/>
          <w:sz w:val="24"/>
          <w:szCs w:val="24"/>
        </w:rPr>
        <w:t xml:space="preserve">: </w:t>
      </w:r>
      <w:r w:rsidRPr="0052360E">
        <w:rPr>
          <w:rFonts w:ascii="Times New Roman" w:hAnsi="Times New Roman" w:cs="Times New Roman"/>
          <w:sz w:val="24"/>
          <w:szCs w:val="24"/>
        </w:rPr>
        <w:t xml:space="preserve">CST I (40.4%), III (25.8%) and IV (33.8%), dominated respectively by </w:t>
      </w:r>
      <w:r w:rsidRPr="0052360E">
        <w:rPr>
          <w:rFonts w:ascii="Times New Roman" w:hAnsi="Times New Roman" w:cs="Times New Roman"/>
          <w:i/>
          <w:sz w:val="24"/>
          <w:szCs w:val="24"/>
        </w:rPr>
        <w:t>Lactobacillus (L) crispatus</w:t>
      </w:r>
      <w:r w:rsidRPr="0052360E">
        <w:rPr>
          <w:rFonts w:ascii="Times New Roman" w:hAnsi="Times New Roman" w:cs="Times New Roman"/>
          <w:sz w:val="24"/>
          <w:szCs w:val="24"/>
        </w:rPr>
        <w:t xml:space="preserve">, </w:t>
      </w:r>
      <w:r w:rsidRPr="0052360E">
        <w:rPr>
          <w:rFonts w:ascii="Times New Roman" w:hAnsi="Times New Roman" w:cs="Times New Roman"/>
          <w:i/>
          <w:sz w:val="24"/>
          <w:szCs w:val="24"/>
        </w:rPr>
        <w:t>L. iners</w:t>
      </w:r>
      <w:r w:rsidRPr="0052360E">
        <w:rPr>
          <w:rFonts w:ascii="Times New Roman" w:hAnsi="Times New Roman" w:cs="Times New Roman"/>
          <w:sz w:val="24"/>
          <w:szCs w:val="24"/>
        </w:rPr>
        <w:t xml:space="preserve"> and a mixed community with reduced lactobacilli. The 15 bacterial genera asso</w:t>
      </w:r>
      <w:r w:rsidR="007A7711" w:rsidRPr="0052360E">
        <w:rPr>
          <w:rFonts w:ascii="Times New Roman" w:hAnsi="Times New Roman" w:cs="Times New Roman"/>
          <w:sz w:val="24"/>
          <w:szCs w:val="24"/>
        </w:rPr>
        <w:t>ciated with each CST category are</w:t>
      </w:r>
      <w:r w:rsidRPr="0052360E">
        <w:rPr>
          <w:rFonts w:ascii="Times New Roman" w:hAnsi="Times New Roman" w:cs="Times New Roman"/>
          <w:sz w:val="24"/>
          <w:szCs w:val="24"/>
        </w:rPr>
        <w:t xml:space="preserve"> shown in Figure </w:t>
      </w:r>
      <w:r w:rsidR="001827C8" w:rsidRPr="0052360E">
        <w:rPr>
          <w:rFonts w:ascii="Times New Roman" w:hAnsi="Times New Roman" w:cs="Times New Roman"/>
          <w:sz w:val="24"/>
          <w:szCs w:val="24"/>
        </w:rPr>
        <w:t>4</w:t>
      </w:r>
      <w:r w:rsidR="00CC327D" w:rsidRPr="0052360E">
        <w:rPr>
          <w:rFonts w:ascii="Times New Roman" w:hAnsi="Times New Roman" w:cs="Times New Roman"/>
          <w:sz w:val="24"/>
          <w:szCs w:val="24"/>
        </w:rPr>
        <w:t>. Log Lf concentration differences for CST III and IV compared to CST 1 were 0.59, 0.46 - 0.73, and 0.58, 0.46 - 0.71, respectively (P &lt;0.001).</w:t>
      </w:r>
      <w:r w:rsidRPr="0052360E">
        <w:rPr>
          <w:rFonts w:ascii="Times New Roman" w:hAnsi="Times New Roman" w:cs="Times New Roman"/>
          <w:sz w:val="24"/>
          <w:szCs w:val="24"/>
        </w:rPr>
        <w:t xml:space="preserve"> (</w:t>
      </w:r>
      <w:r w:rsidR="001827C8" w:rsidRPr="0052360E">
        <w:rPr>
          <w:rFonts w:ascii="Times New Roman" w:hAnsi="Times New Roman" w:cs="Times New Roman"/>
          <w:sz w:val="24"/>
          <w:szCs w:val="24"/>
        </w:rPr>
        <w:t>Supplementary file</w:t>
      </w:r>
      <w:r w:rsidR="001D0DBD" w:rsidRPr="0052360E">
        <w:rPr>
          <w:rFonts w:ascii="Times New Roman" w:hAnsi="Times New Roman" w:cs="Times New Roman"/>
          <w:sz w:val="24"/>
          <w:szCs w:val="24"/>
        </w:rPr>
        <w:t>,</w:t>
      </w:r>
      <w:r w:rsidR="001827C8" w:rsidRPr="0052360E">
        <w:rPr>
          <w:rFonts w:ascii="Times New Roman" w:hAnsi="Times New Roman" w:cs="Times New Roman"/>
          <w:sz w:val="24"/>
          <w:szCs w:val="24"/>
        </w:rPr>
        <w:t xml:space="preserve"> </w:t>
      </w:r>
      <w:r w:rsidRPr="0052360E">
        <w:rPr>
          <w:rFonts w:ascii="Times New Roman" w:hAnsi="Times New Roman" w:cs="Times New Roman"/>
          <w:sz w:val="24"/>
          <w:szCs w:val="24"/>
        </w:rPr>
        <w:t xml:space="preserve">Figure </w:t>
      </w:r>
      <w:r w:rsidR="00824685" w:rsidRPr="0052360E">
        <w:rPr>
          <w:rFonts w:ascii="Times New Roman" w:hAnsi="Times New Roman" w:cs="Times New Roman"/>
          <w:sz w:val="24"/>
          <w:szCs w:val="24"/>
        </w:rPr>
        <w:t>S</w:t>
      </w:r>
      <w:r w:rsidR="001827C8" w:rsidRPr="0052360E">
        <w:rPr>
          <w:rFonts w:ascii="Times New Roman" w:hAnsi="Times New Roman" w:cs="Times New Roman"/>
          <w:sz w:val="24"/>
          <w:szCs w:val="24"/>
        </w:rPr>
        <w:t>4</w:t>
      </w:r>
      <w:r w:rsidR="00CC327D" w:rsidRPr="0052360E">
        <w:rPr>
          <w:rFonts w:ascii="Times New Roman" w:hAnsi="Times New Roman" w:cs="Times New Roman"/>
          <w:sz w:val="24"/>
          <w:szCs w:val="24"/>
        </w:rPr>
        <w:t>)</w:t>
      </w:r>
    </w:p>
    <w:p w14:paraId="1267B22E" w14:textId="547C7DEF" w:rsidR="00CE642B" w:rsidRPr="0052360E" w:rsidRDefault="00281F19" w:rsidP="009B48DB">
      <w:pPr>
        <w:spacing w:after="0" w:line="480" w:lineRule="auto"/>
        <w:ind w:left="227" w:right="227"/>
        <w:rPr>
          <w:rFonts w:ascii="Times New Roman" w:hAnsi="Times New Roman" w:cs="Times New Roman"/>
          <w:sz w:val="24"/>
          <w:szCs w:val="24"/>
        </w:rPr>
      </w:pPr>
      <w:r w:rsidRPr="0052360E">
        <w:rPr>
          <w:rFonts w:ascii="Times New Roman" w:hAnsi="Times New Roman" w:cs="Times New Roman"/>
          <w:sz w:val="24"/>
          <w:szCs w:val="24"/>
        </w:rPr>
        <w:t>There were significant positive trends towards increasing Lf concentration, adjusted</w:t>
      </w:r>
      <w:r w:rsidR="00C368F5" w:rsidRPr="0052360E">
        <w:rPr>
          <w:rFonts w:ascii="Times New Roman" w:hAnsi="Times New Roman" w:cs="Times New Roman"/>
          <w:sz w:val="24"/>
          <w:szCs w:val="24"/>
        </w:rPr>
        <w:t xml:space="preserve"> for visit</w:t>
      </w:r>
      <w:r w:rsidR="005313E5" w:rsidRPr="0052360E">
        <w:rPr>
          <w:rFonts w:ascii="Times New Roman" w:hAnsi="Times New Roman" w:cs="Times New Roman"/>
          <w:sz w:val="24"/>
          <w:szCs w:val="24"/>
        </w:rPr>
        <w:t xml:space="preserve"> and MUAC, with</w:t>
      </w:r>
      <w:r w:rsidRPr="0052360E">
        <w:rPr>
          <w:rFonts w:ascii="Times New Roman" w:hAnsi="Times New Roman" w:cs="Times New Roman"/>
          <w:sz w:val="24"/>
          <w:szCs w:val="24"/>
        </w:rPr>
        <w:t xml:space="preserve"> </w:t>
      </w:r>
      <w:r w:rsidR="005313E5" w:rsidRPr="0052360E">
        <w:rPr>
          <w:rFonts w:ascii="Times New Roman" w:hAnsi="Times New Roman" w:cs="Times New Roman"/>
          <w:sz w:val="24"/>
          <w:szCs w:val="24"/>
        </w:rPr>
        <w:t xml:space="preserve">serum </w:t>
      </w:r>
      <w:r w:rsidR="00C368F5" w:rsidRPr="0052360E">
        <w:rPr>
          <w:rFonts w:ascii="Times New Roman" w:hAnsi="Times New Roman" w:cs="Times New Roman"/>
          <w:sz w:val="24"/>
          <w:szCs w:val="24"/>
        </w:rPr>
        <w:t>ferritin (P = 0.</w:t>
      </w:r>
      <w:r w:rsidR="00A84095" w:rsidRPr="0052360E">
        <w:rPr>
          <w:rFonts w:ascii="Times New Roman" w:hAnsi="Times New Roman" w:cs="Times New Roman"/>
          <w:sz w:val="24"/>
          <w:szCs w:val="24"/>
        </w:rPr>
        <w:t>018</w:t>
      </w:r>
      <w:r w:rsidR="005313E5" w:rsidRPr="0052360E">
        <w:rPr>
          <w:rFonts w:ascii="Times New Roman" w:hAnsi="Times New Roman" w:cs="Times New Roman"/>
          <w:sz w:val="24"/>
          <w:szCs w:val="24"/>
        </w:rPr>
        <w:t xml:space="preserve">), serum </w:t>
      </w:r>
      <w:r w:rsidRPr="0052360E">
        <w:rPr>
          <w:rFonts w:ascii="Times New Roman" w:hAnsi="Times New Roman" w:cs="Times New Roman"/>
          <w:sz w:val="24"/>
          <w:szCs w:val="24"/>
        </w:rPr>
        <w:t>hepcidin (P=0.047) and total body iron stores (P=0.0</w:t>
      </w:r>
      <w:r w:rsidR="00A84095" w:rsidRPr="0052360E">
        <w:rPr>
          <w:rFonts w:ascii="Times New Roman" w:hAnsi="Times New Roman" w:cs="Times New Roman"/>
          <w:sz w:val="24"/>
          <w:szCs w:val="24"/>
        </w:rPr>
        <w:t>42</w:t>
      </w:r>
      <w:r w:rsidRPr="0052360E">
        <w:rPr>
          <w:rFonts w:ascii="Times New Roman" w:hAnsi="Times New Roman" w:cs="Times New Roman"/>
          <w:sz w:val="24"/>
          <w:szCs w:val="24"/>
        </w:rPr>
        <w:t>), with a bo</w:t>
      </w:r>
      <w:r w:rsidR="00C368F5" w:rsidRPr="0052360E">
        <w:rPr>
          <w:rFonts w:ascii="Times New Roman" w:hAnsi="Times New Roman" w:cs="Times New Roman"/>
          <w:sz w:val="24"/>
          <w:szCs w:val="24"/>
        </w:rPr>
        <w:t>rderline association with serum</w:t>
      </w:r>
      <w:r w:rsidRPr="0052360E">
        <w:rPr>
          <w:rFonts w:ascii="Times New Roman" w:hAnsi="Times New Roman" w:cs="Times New Roman"/>
          <w:sz w:val="24"/>
          <w:szCs w:val="24"/>
        </w:rPr>
        <w:t xml:space="preserve"> CRP concentration (P=0.048), (Table </w:t>
      </w:r>
      <w:r w:rsidR="001827C8" w:rsidRPr="0052360E">
        <w:rPr>
          <w:rFonts w:ascii="Times New Roman" w:hAnsi="Times New Roman" w:cs="Times New Roman"/>
          <w:sz w:val="24"/>
          <w:szCs w:val="24"/>
        </w:rPr>
        <w:t>2</w:t>
      </w:r>
      <w:r w:rsidRPr="0052360E">
        <w:rPr>
          <w:rFonts w:ascii="Times New Roman" w:hAnsi="Times New Roman" w:cs="Times New Roman"/>
          <w:sz w:val="24"/>
          <w:szCs w:val="24"/>
        </w:rPr>
        <w:t xml:space="preserve">). </w:t>
      </w:r>
      <w:r w:rsidR="003D6E7A" w:rsidRPr="0052360E">
        <w:rPr>
          <w:rFonts w:ascii="Times New Roman" w:hAnsi="Times New Roman" w:cs="Times New Roman"/>
          <w:sz w:val="24"/>
          <w:szCs w:val="24"/>
        </w:rPr>
        <w:t xml:space="preserve">ZPP and </w:t>
      </w:r>
      <w:r w:rsidR="00FF664C" w:rsidRPr="0052360E">
        <w:rPr>
          <w:rFonts w:ascii="Times New Roman" w:hAnsi="Times New Roman" w:cs="Times New Roman"/>
          <w:sz w:val="24"/>
          <w:szCs w:val="24"/>
        </w:rPr>
        <w:t>s</w:t>
      </w:r>
      <w:r w:rsidR="006B2BFF" w:rsidRPr="0052360E">
        <w:rPr>
          <w:rFonts w:ascii="Times New Roman" w:hAnsi="Times New Roman" w:cs="Times New Roman"/>
          <w:sz w:val="24"/>
          <w:szCs w:val="24"/>
        </w:rPr>
        <w:t xml:space="preserve">TfR </w:t>
      </w:r>
      <w:r w:rsidR="00367D03" w:rsidRPr="0052360E">
        <w:rPr>
          <w:rFonts w:ascii="Times New Roman" w:hAnsi="Times New Roman" w:cs="Times New Roman"/>
          <w:sz w:val="24"/>
          <w:szCs w:val="24"/>
        </w:rPr>
        <w:t xml:space="preserve">adjusted for MUAC </w:t>
      </w:r>
      <w:r w:rsidR="003D6E7A" w:rsidRPr="0052360E">
        <w:rPr>
          <w:rFonts w:ascii="Times New Roman" w:hAnsi="Times New Roman" w:cs="Times New Roman"/>
          <w:sz w:val="24"/>
          <w:szCs w:val="24"/>
        </w:rPr>
        <w:t>were not</w:t>
      </w:r>
      <w:r w:rsidRPr="0052360E">
        <w:rPr>
          <w:rFonts w:ascii="Times New Roman" w:hAnsi="Times New Roman" w:cs="Times New Roman"/>
          <w:sz w:val="24"/>
          <w:szCs w:val="24"/>
        </w:rPr>
        <w:t xml:space="preserve"> </w:t>
      </w:r>
      <w:r w:rsidR="00A84095" w:rsidRPr="0052360E">
        <w:rPr>
          <w:rFonts w:ascii="Times New Roman" w:hAnsi="Times New Roman" w:cs="Times New Roman"/>
          <w:sz w:val="24"/>
          <w:szCs w:val="24"/>
        </w:rPr>
        <w:t xml:space="preserve">significantly </w:t>
      </w:r>
      <w:r w:rsidRPr="0052360E">
        <w:rPr>
          <w:rFonts w:ascii="Times New Roman" w:hAnsi="Times New Roman" w:cs="Times New Roman"/>
          <w:sz w:val="24"/>
          <w:szCs w:val="24"/>
        </w:rPr>
        <w:t>associat</w:t>
      </w:r>
      <w:r w:rsidR="003D6E7A" w:rsidRPr="0052360E">
        <w:rPr>
          <w:rFonts w:ascii="Times New Roman" w:hAnsi="Times New Roman" w:cs="Times New Roman"/>
          <w:sz w:val="24"/>
          <w:szCs w:val="24"/>
        </w:rPr>
        <w:t>ed</w:t>
      </w:r>
      <w:r w:rsidRPr="0052360E">
        <w:rPr>
          <w:rFonts w:ascii="Times New Roman" w:hAnsi="Times New Roman" w:cs="Times New Roman"/>
          <w:sz w:val="24"/>
          <w:szCs w:val="24"/>
        </w:rPr>
        <w:t xml:space="preserve"> with Lf concentration. </w:t>
      </w:r>
    </w:p>
    <w:p w14:paraId="7767FFBE" w14:textId="77777777" w:rsidR="009B48DB" w:rsidRPr="0052360E" w:rsidRDefault="009B48DB" w:rsidP="002B2EE7">
      <w:pPr>
        <w:spacing w:after="0" w:line="480" w:lineRule="auto"/>
        <w:ind w:right="227"/>
        <w:rPr>
          <w:rFonts w:ascii="Times New Roman" w:hAnsi="Times New Roman" w:cs="Times New Roman"/>
          <w:sz w:val="24"/>
          <w:szCs w:val="24"/>
        </w:rPr>
      </w:pPr>
    </w:p>
    <w:p w14:paraId="169CDA6C" w14:textId="534D7640" w:rsidR="0022776A" w:rsidRPr="0052360E" w:rsidRDefault="002B2EE7" w:rsidP="002B2EE7">
      <w:pPr>
        <w:spacing w:after="0" w:line="480" w:lineRule="auto"/>
        <w:ind w:right="227"/>
        <w:rPr>
          <w:rFonts w:ascii="Times New Roman" w:hAnsi="Times New Roman" w:cs="Times New Roman"/>
          <w:b/>
          <w:sz w:val="24"/>
          <w:szCs w:val="24"/>
        </w:rPr>
      </w:pPr>
      <w:r w:rsidRPr="0052360E">
        <w:rPr>
          <w:rFonts w:ascii="Times New Roman" w:hAnsi="Times New Roman" w:cs="Times New Roman"/>
          <w:b/>
          <w:sz w:val="24"/>
          <w:szCs w:val="24"/>
        </w:rPr>
        <w:t xml:space="preserve">   </w:t>
      </w:r>
      <w:r w:rsidR="00CE642B" w:rsidRPr="0052360E">
        <w:rPr>
          <w:rFonts w:ascii="Times New Roman" w:hAnsi="Times New Roman" w:cs="Times New Roman"/>
          <w:b/>
          <w:sz w:val="24"/>
          <w:szCs w:val="24"/>
        </w:rPr>
        <w:t>DISCUSSION</w:t>
      </w:r>
    </w:p>
    <w:p w14:paraId="1CB34430" w14:textId="1537E360" w:rsidR="002D3D02" w:rsidRPr="0052360E" w:rsidRDefault="00EB719E" w:rsidP="008C59EA">
      <w:pPr>
        <w:spacing w:before="240" w:line="480" w:lineRule="auto"/>
        <w:ind w:left="142" w:right="227" w:hanging="284"/>
        <w:rPr>
          <w:rFonts w:ascii="Times New Roman" w:hAnsi="Times New Roman" w:cs="Times New Roman"/>
          <w:sz w:val="24"/>
          <w:szCs w:val="24"/>
        </w:rPr>
      </w:pPr>
      <w:r w:rsidRPr="0052360E">
        <w:rPr>
          <w:rFonts w:ascii="Times New Roman" w:hAnsi="Times New Roman" w:cs="Times New Roman"/>
          <w:sz w:val="24"/>
          <w:szCs w:val="24"/>
        </w:rPr>
        <w:t xml:space="preserve">    </w:t>
      </w:r>
      <w:r w:rsidR="00FC7515" w:rsidRPr="0052360E">
        <w:rPr>
          <w:rFonts w:ascii="Times New Roman" w:hAnsi="Times New Roman" w:cs="Times New Roman"/>
          <w:sz w:val="24"/>
          <w:szCs w:val="24"/>
        </w:rPr>
        <w:t xml:space="preserve"> </w:t>
      </w:r>
      <w:r w:rsidR="002D3D02" w:rsidRPr="0052360E">
        <w:rPr>
          <w:rFonts w:ascii="Times New Roman" w:hAnsi="Times New Roman" w:cs="Times New Roman"/>
          <w:sz w:val="24"/>
          <w:szCs w:val="24"/>
        </w:rPr>
        <w:t xml:space="preserve">Both nutritional and iron biomarker correlates with Lf concentration were identified in this analysis. </w:t>
      </w:r>
      <w:r w:rsidR="00FC7515" w:rsidRPr="0052360E">
        <w:rPr>
          <w:rFonts w:ascii="Times New Roman" w:hAnsi="Times New Roman" w:cs="Times New Roman"/>
          <w:sz w:val="24"/>
          <w:szCs w:val="24"/>
        </w:rPr>
        <w:t xml:space="preserve"> </w:t>
      </w:r>
      <w:r w:rsidR="002D3D02" w:rsidRPr="0052360E">
        <w:rPr>
          <w:rFonts w:ascii="Times New Roman" w:hAnsi="Times New Roman" w:cs="Times New Roman"/>
          <w:sz w:val="24"/>
          <w:szCs w:val="24"/>
        </w:rPr>
        <w:t>The h</w:t>
      </w:r>
      <w:r w:rsidR="0022776A" w:rsidRPr="0052360E">
        <w:rPr>
          <w:rFonts w:ascii="Times New Roman" w:hAnsi="Times New Roman" w:cs="Times New Roman"/>
          <w:sz w:val="24"/>
          <w:szCs w:val="24"/>
        </w:rPr>
        <w:t xml:space="preserve">igher Lf in </w:t>
      </w:r>
      <w:r w:rsidR="002D3D02" w:rsidRPr="0052360E">
        <w:rPr>
          <w:rFonts w:ascii="Times New Roman" w:hAnsi="Times New Roman" w:cs="Times New Roman"/>
          <w:sz w:val="24"/>
          <w:szCs w:val="24"/>
        </w:rPr>
        <w:t xml:space="preserve">pregnancy </w:t>
      </w:r>
      <w:r w:rsidR="0022776A" w:rsidRPr="0052360E">
        <w:rPr>
          <w:rFonts w:ascii="Times New Roman" w:hAnsi="Times New Roman" w:cs="Times New Roman"/>
          <w:sz w:val="24"/>
          <w:szCs w:val="24"/>
        </w:rPr>
        <w:t xml:space="preserve">probably relates to exposure to sexually transmitted infections such as </w:t>
      </w:r>
      <w:r w:rsidR="0022776A" w:rsidRPr="0052360E">
        <w:rPr>
          <w:rFonts w:ascii="Times New Roman" w:hAnsi="Times New Roman" w:cs="Times New Roman"/>
          <w:i/>
          <w:sz w:val="24"/>
          <w:szCs w:val="24"/>
        </w:rPr>
        <w:t>T</w:t>
      </w:r>
      <w:r w:rsidR="002D3D02" w:rsidRPr="0052360E">
        <w:rPr>
          <w:rFonts w:ascii="Times New Roman" w:hAnsi="Times New Roman" w:cs="Times New Roman"/>
          <w:i/>
          <w:sz w:val="24"/>
          <w:szCs w:val="24"/>
        </w:rPr>
        <w:t>.</w:t>
      </w:r>
      <w:r w:rsidR="0022776A" w:rsidRPr="0052360E">
        <w:rPr>
          <w:rFonts w:ascii="Times New Roman" w:hAnsi="Times New Roman" w:cs="Times New Roman"/>
          <w:i/>
          <w:sz w:val="24"/>
          <w:szCs w:val="24"/>
        </w:rPr>
        <w:t xml:space="preserve"> vaginalis</w:t>
      </w:r>
      <w:r w:rsidR="0022776A" w:rsidRPr="0052360E">
        <w:rPr>
          <w:rFonts w:ascii="Times New Roman" w:hAnsi="Times New Roman" w:cs="Times New Roman"/>
          <w:sz w:val="24"/>
          <w:szCs w:val="24"/>
        </w:rPr>
        <w:t xml:space="preserve"> consequent to regular sexual activity, as well as </w:t>
      </w:r>
      <w:r w:rsidR="002D3D02" w:rsidRPr="0052360E">
        <w:rPr>
          <w:rFonts w:ascii="Times New Roman" w:hAnsi="Times New Roman" w:cs="Times New Roman"/>
          <w:sz w:val="24"/>
          <w:szCs w:val="24"/>
        </w:rPr>
        <w:t xml:space="preserve">to </w:t>
      </w:r>
      <w:r w:rsidR="0022776A" w:rsidRPr="0052360E">
        <w:rPr>
          <w:rFonts w:ascii="Times New Roman" w:hAnsi="Times New Roman" w:cs="Times New Roman"/>
          <w:sz w:val="24"/>
          <w:szCs w:val="24"/>
        </w:rPr>
        <w:t>higher estrogen levels.</w:t>
      </w:r>
      <w:r w:rsidR="00340C9E" w:rsidRPr="0052360E">
        <w:rPr>
          <w:rFonts w:ascii="Times New Roman" w:hAnsi="Times New Roman" w:cs="Times New Roman"/>
          <w:sz w:val="24"/>
          <w:szCs w:val="24"/>
          <w:vertAlign w:val="superscript"/>
        </w:rPr>
        <w:t>26</w:t>
      </w:r>
    </w:p>
    <w:p w14:paraId="233A7F15" w14:textId="40ADF415" w:rsidR="002D3D02" w:rsidRPr="0052360E" w:rsidRDefault="002D3D02" w:rsidP="008C59EA">
      <w:pPr>
        <w:spacing w:before="240" w:line="480" w:lineRule="auto"/>
        <w:ind w:left="142" w:right="227" w:hanging="284"/>
        <w:rPr>
          <w:rFonts w:ascii="Times New Roman" w:hAnsi="Times New Roman" w:cs="Times New Roman"/>
          <w:sz w:val="24"/>
          <w:szCs w:val="24"/>
        </w:rPr>
      </w:pPr>
      <w:r w:rsidRPr="0052360E">
        <w:rPr>
          <w:rFonts w:ascii="Times New Roman" w:hAnsi="Times New Roman" w:cs="Times New Roman"/>
          <w:sz w:val="24"/>
          <w:szCs w:val="24"/>
        </w:rPr>
        <w:t xml:space="preserve">     </w:t>
      </w:r>
      <w:r w:rsidR="00E12FF0" w:rsidRPr="0052360E">
        <w:rPr>
          <w:rFonts w:ascii="Times New Roman" w:hAnsi="Times New Roman" w:cs="Times New Roman"/>
          <w:sz w:val="24"/>
          <w:szCs w:val="24"/>
        </w:rPr>
        <w:t>No standardi</w:t>
      </w:r>
      <w:r w:rsidR="00741775" w:rsidRPr="0052360E">
        <w:rPr>
          <w:rFonts w:ascii="Times New Roman" w:hAnsi="Times New Roman" w:cs="Times New Roman"/>
          <w:sz w:val="24"/>
          <w:szCs w:val="24"/>
        </w:rPr>
        <w:t>z</w:t>
      </w:r>
      <w:r w:rsidR="00E12FF0" w:rsidRPr="0052360E">
        <w:rPr>
          <w:rFonts w:ascii="Times New Roman" w:hAnsi="Times New Roman" w:cs="Times New Roman"/>
          <w:sz w:val="24"/>
          <w:szCs w:val="24"/>
        </w:rPr>
        <w:t>ed methodology is available for measuring Lf in vaginal fluid</w:t>
      </w:r>
      <w:r w:rsidRPr="0052360E">
        <w:rPr>
          <w:rFonts w:ascii="Times New Roman" w:hAnsi="Times New Roman" w:cs="Times New Roman"/>
          <w:sz w:val="24"/>
          <w:szCs w:val="24"/>
        </w:rPr>
        <w:t xml:space="preserve"> and no pre-determined cut-offs are available to denote </w:t>
      </w:r>
      <w:r w:rsidR="00340C9E" w:rsidRPr="0052360E">
        <w:rPr>
          <w:rFonts w:ascii="Times New Roman" w:hAnsi="Times New Roman" w:cs="Times New Roman"/>
          <w:sz w:val="24"/>
          <w:szCs w:val="24"/>
        </w:rPr>
        <w:t>high and low values</w:t>
      </w:r>
      <w:r w:rsidRPr="0052360E">
        <w:rPr>
          <w:rFonts w:ascii="Times New Roman" w:hAnsi="Times New Roman" w:cs="Times New Roman"/>
          <w:sz w:val="24"/>
          <w:szCs w:val="24"/>
        </w:rPr>
        <w:t>.</w:t>
      </w:r>
      <w:r w:rsidR="00340C9E" w:rsidRPr="0052360E">
        <w:rPr>
          <w:rFonts w:ascii="Times New Roman" w:hAnsi="Times New Roman" w:cs="Times New Roman"/>
          <w:sz w:val="24"/>
          <w:szCs w:val="24"/>
          <w:vertAlign w:val="superscript"/>
        </w:rPr>
        <w:t>27,28</w:t>
      </w:r>
      <w:r w:rsidRPr="0052360E">
        <w:rPr>
          <w:rFonts w:ascii="Times New Roman" w:hAnsi="Times New Roman" w:cs="Times New Roman"/>
          <w:sz w:val="24"/>
          <w:szCs w:val="24"/>
        </w:rPr>
        <w:t xml:space="preserve"> For specimen collection, s</w:t>
      </w:r>
      <w:r w:rsidR="00E12FF0" w:rsidRPr="0052360E">
        <w:rPr>
          <w:rFonts w:ascii="Times New Roman" w:hAnsi="Times New Roman" w:cs="Times New Roman"/>
          <w:sz w:val="24"/>
          <w:szCs w:val="24"/>
        </w:rPr>
        <w:t>elf-taken swabs were acceptable</w:t>
      </w:r>
      <w:r w:rsidR="00A84095" w:rsidRPr="0052360E">
        <w:rPr>
          <w:rFonts w:ascii="Times New Roman" w:hAnsi="Times New Roman" w:cs="Times New Roman"/>
          <w:sz w:val="24"/>
          <w:szCs w:val="24"/>
        </w:rPr>
        <w:t xml:space="preserve"> to participants</w:t>
      </w:r>
      <w:r w:rsidRPr="0052360E">
        <w:rPr>
          <w:rFonts w:ascii="Times New Roman" w:hAnsi="Times New Roman" w:cs="Times New Roman"/>
          <w:sz w:val="24"/>
          <w:szCs w:val="24"/>
        </w:rPr>
        <w:t xml:space="preserve">. Although swabs/tubes were weighed to </w:t>
      </w:r>
      <w:r w:rsidR="00A84095" w:rsidRPr="0052360E">
        <w:rPr>
          <w:rFonts w:ascii="Times New Roman" w:hAnsi="Times New Roman" w:cs="Times New Roman"/>
          <w:sz w:val="24"/>
          <w:szCs w:val="24"/>
        </w:rPr>
        <w:t xml:space="preserve">allow </w:t>
      </w:r>
      <w:r w:rsidRPr="0052360E">
        <w:rPr>
          <w:rFonts w:ascii="Times New Roman" w:hAnsi="Times New Roman" w:cs="Times New Roman"/>
          <w:sz w:val="24"/>
          <w:szCs w:val="24"/>
        </w:rPr>
        <w:t>adjust</w:t>
      </w:r>
      <w:r w:rsidR="00A84095" w:rsidRPr="0052360E">
        <w:rPr>
          <w:rFonts w:ascii="Times New Roman" w:hAnsi="Times New Roman" w:cs="Times New Roman"/>
          <w:sz w:val="24"/>
          <w:szCs w:val="24"/>
        </w:rPr>
        <w:t>ment</w:t>
      </w:r>
      <w:r w:rsidRPr="0052360E">
        <w:rPr>
          <w:rFonts w:ascii="Times New Roman" w:hAnsi="Times New Roman" w:cs="Times New Roman"/>
          <w:sz w:val="24"/>
          <w:szCs w:val="24"/>
        </w:rPr>
        <w:t xml:space="preserve"> for the </w:t>
      </w:r>
      <w:r w:rsidR="00E12FF0" w:rsidRPr="0052360E">
        <w:rPr>
          <w:rFonts w:ascii="Times New Roman" w:hAnsi="Times New Roman" w:cs="Times New Roman"/>
          <w:sz w:val="24"/>
          <w:szCs w:val="24"/>
        </w:rPr>
        <w:t>volume of vaginal fluid sampled</w:t>
      </w:r>
      <w:r w:rsidRPr="0052360E">
        <w:rPr>
          <w:rFonts w:ascii="Times New Roman" w:hAnsi="Times New Roman" w:cs="Times New Roman"/>
          <w:sz w:val="24"/>
          <w:szCs w:val="24"/>
        </w:rPr>
        <w:t xml:space="preserve">, this </w:t>
      </w:r>
      <w:r w:rsidR="00E12FF0" w:rsidRPr="0052360E">
        <w:rPr>
          <w:rFonts w:ascii="Times New Roman" w:hAnsi="Times New Roman" w:cs="Times New Roman"/>
          <w:sz w:val="24"/>
          <w:szCs w:val="24"/>
        </w:rPr>
        <w:t>did not account for all variation between mean weights</w:t>
      </w:r>
      <w:r w:rsidRPr="0052360E">
        <w:rPr>
          <w:rFonts w:ascii="Times New Roman" w:hAnsi="Times New Roman" w:cs="Times New Roman"/>
          <w:sz w:val="24"/>
          <w:szCs w:val="24"/>
        </w:rPr>
        <w:t>, which could be affected by hydration and seasonal effects</w:t>
      </w:r>
      <w:r w:rsidR="00A84095" w:rsidRPr="0052360E">
        <w:rPr>
          <w:rFonts w:ascii="Times New Roman" w:hAnsi="Times New Roman" w:cs="Times New Roman"/>
          <w:sz w:val="24"/>
          <w:szCs w:val="24"/>
        </w:rPr>
        <w:t>. Normalisation therefore used mean rather than individual sample weights</w:t>
      </w:r>
      <w:r w:rsidR="00E12FF0" w:rsidRPr="0052360E">
        <w:rPr>
          <w:rFonts w:ascii="Times New Roman" w:hAnsi="Times New Roman" w:cs="Times New Roman"/>
          <w:sz w:val="24"/>
          <w:szCs w:val="24"/>
        </w:rPr>
        <w:t xml:space="preserve">. </w:t>
      </w:r>
      <w:r w:rsidRPr="0052360E">
        <w:rPr>
          <w:rFonts w:ascii="Times New Roman" w:hAnsi="Times New Roman" w:cs="Times New Roman"/>
          <w:sz w:val="24"/>
          <w:szCs w:val="24"/>
        </w:rPr>
        <w:t xml:space="preserve"> </w:t>
      </w:r>
      <w:r w:rsidR="00CE642B" w:rsidRPr="0052360E">
        <w:rPr>
          <w:rFonts w:ascii="Times New Roman" w:hAnsi="Times New Roman" w:cs="Times New Roman"/>
          <w:sz w:val="24"/>
          <w:szCs w:val="24"/>
        </w:rPr>
        <w:t xml:space="preserve">Despite </w:t>
      </w:r>
      <w:r w:rsidR="00A84095" w:rsidRPr="0052360E">
        <w:rPr>
          <w:rFonts w:ascii="Times New Roman" w:hAnsi="Times New Roman" w:cs="Times New Roman"/>
          <w:sz w:val="24"/>
          <w:szCs w:val="24"/>
        </w:rPr>
        <w:t>this</w:t>
      </w:r>
      <w:r w:rsidRPr="0052360E">
        <w:rPr>
          <w:rFonts w:ascii="Times New Roman" w:hAnsi="Times New Roman" w:cs="Times New Roman"/>
          <w:sz w:val="24"/>
          <w:szCs w:val="24"/>
        </w:rPr>
        <w:t xml:space="preserve"> </w:t>
      </w:r>
      <w:r w:rsidR="00CE642B" w:rsidRPr="0052360E">
        <w:rPr>
          <w:rFonts w:ascii="Times New Roman" w:hAnsi="Times New Roman" w:cs="Times New Roman"/>
          <w:sz w:val="24"/>
          <w:szCs w:val="24"/>
        </w:rPr>
        <w:t xml:space="preserve">the assay </w:t>
      </w:r>
      <w:r w:rsidRPr="0052360E">
        <w:rPr>
          <w:rFonts w:ascii="Times New Roman" w:hAnsi="Times New Roman" w:cs="Times New Roman"/>
          <w:sz w:val="24"/>
          <w:szCs w:val="24"/>
        </w:rPr>
        <w:t>was suffic</w:t>
      </w:r>
      <w:r w:rsidR="00E12FF0" w:rsidRPr="0052360E">
        <w:rPr>
          <w:rFonts w:ascii="Times New Roman" w:hAnsi="Times New Roman" w:cs="Times New Roman"/>
          <w:sz w:val="24"/>
          <w:szCs w:val="24"/>
        </w:rPr>
        <w:t>iently sensitive to detect differences associated with participant and clinical characteristics</w:t>
      </w:r>
      <w:r w:rsidRPr="0052360E">
        <w:rPr>
          <w:rFonts w:ascii="Times New Roman" w:hAnsi="Times New Roman" w:cs="Times New Roman"/>
          <w:sz w:val="24"/>
          <w:szCs w:val="24"/>
        </w:rPr>
        <w:t>. Lf concentrations showed a wide range in values but longitudinal profiling and analysis of the components of variation indicated women with persistently high or low Lf concentrations</w:t>
      </w:r>
      <w:r w:rsidR="00E27BE5" w:rsidRPr="0052360E">
        <w:rPr>
          <w:rFonts w:ascii="Times New Roman" w:hAnsi="Times New Roman" w:cs="Times New Roman"/>
          <w:sz w:val="24"/>
          <w:szCs w:val="24"/>
        </w:rPr>
        <w:t>,</w:t>
      </w:r>
      <w:r w:rsidRPr="0052360E">
        <w:rPr>
          <w:rFonts w:ascii="Times New Roman" w:hAnsi="Times New Roman" w:cs="Times New Roman"/>
          <w:sz w:val="24"/>
          <w:szCs w:val="24"/>
        </w:rPr>
        <w:t xml:space="preserve"> </w:t>
      </w:r>
      <w:r w:rsidR="00E27BE5" w:rsidRPr="0052360E">
        <w:rPr>
          <w:rFonts w:ascii="Times New Roman" w:hAnsi="Times New Roman" w:cs="Times New Roman"/>
          <w:sz w:val="24"/>
          <w:szCs w:val="24"/>
        </w:rPr>
        <w:t xml:space="preserve">maintained </w:t>
      </w:r>
      <w:r w:rsidRPr="0052360E">
        <w:rPr>
          <w:rFonts w:ascii="Times New Roman" w:hAnsi="Times New Roman" w:cs="Times New Roman"/>
          <w:sz w:val="24"/>
          <w:szCs w:val="24"/>
        </w:rPr>
        <w:t xml:space="preserve">from before, and through, pregnancy. They may represent hyper- or hypo- responsive cohorts since BV and </w:t>
      </w:r>
      <w:r w:rsidRPr="0052360E">
        <w:rPr>
          <w:rFonts w:ascii="Times New Roman" w:hAnsi="Times New Roman" w:cs="Times New Roman"/>
          <w:i/>
          <w:sz w:val="24"/>
          <w:szCs w:val="24"/>
        </w:rPr>
        <w:t xml:space="preserve">T. vaginalis </w:t>
      </w:r>
      <w:r w:rsidRPr="0052360E">
        <w:rPr>
          <w:rFonts w:ascii="Times New Roman" w:hAnsi="Times New Roman" w:cs="Times New Roman"/>
          <w:sz w:val="24"/>
          <w:szCs w:val="24"/>
        </w:rPr>
        <w:t xml:space="preserve">infections were identified in both categories </w:t>
      </w:r>
      <w:r w:rsidR="00E27BE5" w:rsidRPr="0052360E">
        <w:rPr>
          <w:rFonts w:ascii="Times New Roman" w:hAnsi="Times New Roman" w:cs="Times New Roman"/>
          <w:sz w:val="24"/>
          <w:szCs w:val="24"/>
        </w:rPr>
        <w:t>(Figure 3</w:t>
      </w:r>
      <w:r w:rsidRPr="0052360E">
        <w:rPr>
          <w:rFonts w:ascii="Times New Roman" w:hAnsi="Times New Roman" w:cs="Times New Roman"/>
          <w:sz w:val="24"/>
          <w:szCs w:val="24"/>
        </w:rPr>
        <w:t xml:space="preserve">). Infection was the main factor affecting Lf concentration, but it remains unclear whether these higher Lf concentrations are helpful or detrimental. Lf is known to be a potent inhibitor of </w:t>
      </w:r>
      <w:r w:rsidR="00340C9E" w:rsidRPr="0052360E">
        <w:rPr>
          <w:rFonts w:ascii="Times New Roman" w:hAnsi="Times New Roman" w:cs="Times New Roman"/>
          <w:i/>
          <w:sz w:val="24"/>
          <w:szCs w:val="24"/>
        </w:rPr>
        <w:t>Candida albicans</w:t>
      </w:r>
      <w:r w:rsidR="00340C9E" w:rsidRPr="0052360E">
        <w:rPr>
          <w:rFonts w:ascii="Times New Roman" w:hAnsi="Times New Roman" w:cs="Times New Roman"/>
          <w:sz w:val="24"/>
          <w:szCs w:val="24"/>
          <w:vertAlign w:val="superscript"/>
        </w:rPr>
        <w:t>29</w:t>
      </w:r>
      <w:r w:rsidRPr="0052360E">
        <w:rPr>
          <w:rFonts w:ascii="Times New Roman" w:hAnsi="Times New Roman" w:cs="Times New Roman"/>
          <w:sz w:val="24"/>
          <w:szCs w:val="24"/>
        </w:rPr>
        <w:t xml:space="preserve"> and synergistically enhances the effects of the azole class of antifungal</w:t>
      </w:r>
      <w:r w:rsidR="00340C9E" w:rsidRPr="0052360E">
        <w:rPr>
          <w:rFonts w:ascii="Times New Roman" w:hAnsi="Times New Roman" w:cs="Times New Roman"/>
          <w:sz w:val="24"/>
          <w:szCs w:val="24"/>
        </w:rPr>
        <w:t xml:space="preserve"> agents</w:t>
      </w:r>
      <w:r w:rsidRPr="0052360E">
        <w:rPr>
          <w:rFonts w:ascii="Times New Roman" w:hAnsi="Times New Roman" w:cs="Times New Roman"/>
          <w:sz w:val="24"/>
          <w:szCs w:val="24"/>
        </w:rPr>
        <w:t>.</w:t>
      </w:r>
      <w:r w:rsidR="00340C9E" w:rsidRPr="0052360E">
        <w:rPr>
          <w:rFonts w:ascii="Times New Roman" w:hAnsi="Times New Roman" w:cs="Times New Roman"/>
          <w:sz w:val="24"/>
          <w:szCs w:val="24"/>
          <w:vertAlign w:val="superscript"/>
        </w:rPr>
        <w:t>30</w:t>
      </w:r>
      <w:r w:rsidRPr="0052360E">
        <w:rPr>
          <w:rFonts w:ascii="Times New Roman" w:hAnsi="Times New Roman" w:cs="Times New Roman"/>
          <w:sz w:val="24"/>
          <w:szCs w:val="24"/>
        </w:rPr>
        <w:t xml:space="preserve"> We report higher Lf concentrations in CSTs III/IV, conditions in which healthy lactobacilli are </w:t>
      </w:r>
      <w:r w:rsidR="00CC327D" w:rsidRPr="0052360E">
        <w:rPr>
          <w:rFonts w:ascii="Times New Roman" w:hAnsi="Times New Roman" w:cs="Times New Roman"/>
          <w:sz w:val="24"/>
          <w:szCs w:val="24"/>
        </w:rPr>
        <w:t xml:space="preserve">generally </w:t>
      </w:r>
      <w:r w:rsidRPr="0052360E">
        <w:rPr>
          <w:rFonts w:ascii="Times New Roman" w:hAnsi="Times New Roman" w:cs="Times New Roman"/>
          <w:sz w:val="24"/>
          <w:szCs w:val="24"/>
        </w:rPr>
        <w:t xml:space="preserve">reduced but </w:t>
      </w:r>
      <w:r w:rsidRPr="0052360E">
        <w:rPr>
          <w:rFonts w:ascii="Times New Roman" w:hAnsi="Times New Roman" w:cs="Times New Roman"/>
          <w:i/>
          <w:sz w:val="24"/>
          <w:szCs w:val="24"/>
        </w:rPr>
        <w:t>L.</w:t>
      </w:r>
      <w:r w:rsidR="00E27BE5" w:rsidRPr="0052360E">
        <w:rPr>
          <w:rFonts w:ascii="Times New Roman" w:hAnsi="Times New Roman" w:cs="Times New Roman"/>
          <w:i/>
          <w:sz w:val="24"/>
          <w:szCs w:val="24"/>
        </w:rPr>
        <w:t xml:space="preserve"> </w:t>
      </w:r>
      <w:r w:rsidR="00E61973" w:rsidRPr="0052360E">
        <w:rPr>
          <w:rFonts w:ascii="Times New Roman" w:hAnsi="Times New Roman" w:cs="Times New Roman"/>
          <w:i/>
          <w:sz w:val="24"/>
          <w:szCs w:val="24"/>
        </w:rPr>
        <w:t>I</w:t>
      </w:r>
      <w:r w:rsidRPr="0052360E">
        <w:rPr>
          <w:rFonts w:ascii="Times New Roman" w:hAnsi="Times New Roman" w:cs="Times New Roman"/>
          <w:i/>
          <w:sz w:val="24"/>
          <w:szCs w:val="24"/>
        </w:rPr>
        <w:t xml:space="preserve">ners </w:t>
      </w:r>
      <w:r w:rsidRPr="0052360E">
        <w:rPr>
          <w:rFonts w:ascii="Times New Roman" w:hAnsi="Times New Roman" w:cs="Times New Roman"/>
          <w:sz w:val="24"/>
          <w:szCs w:val="24"/>
        </w:rPr>
        <w:t xml:space="preserve">survives. Unlike other lactobacilli, </w:t>
      </w:r>
      <w:r w:rsidRPr="0052360E">
        <w:rPr>
          <w:rFonts w:ascii="Times New Roman" w:hAnsi="Times New Roman" w:cs="Times New Roman"/>
          <w:i/>
          <w:sz w:val="24"/>
          <w:szCs w:val="24"/>
        </w:rPr>
        <w:t>L. iners</w:t>
      </w:r>
      <w:r w:rsidRPr="0052360E">
        <w:rPr>
          <w:rFonts w:ascii="Times New Roman" w:hAnsi="Times New Roman" w:cs="Times New Roman"/>
          <w:sz w:val="24"/>
          <w:szCs w:val="24"/>
        </w:rPr>
        <w:t xml:space="preserve"> requires iron for growth. It probably utilises iron released from erythrocyte destruction by </w:t>
      </w:r>
      <w:r w:rsidRPr="0052360E">
        <w:rPr>
          <w:rFonts w:ascii="Times New Roman" w:hAnsi="Times New Roman" w:cs="Times New Roman"/>
          <w:i/>
          <w:sz w:val="24"/>
          <w:szCs w:val="24"/>
        </w:rPr>
        <w:t>Gardnerella vaginalis</w:t>
      </w:r>
      <w:r w:rsidRPr="0052360E">
        <w:rPr>
          <w:rFonts w:ascii="Times New Roman" w:hAnsi="Times New Roman" w:cs="Times New Roman"/>
          <w:sz w:val="24"/>
          <w:szCs w:val="24"/>
        </w:rPr>
        <w:t xml:space="preserve"> and flourishes during mense</w:t>
      </w:r>
      <w:r w:rsidR="00340C9E" w:rsidRPr="0052360E">
        <w:rPr>
          <w:rFonts w:ascii="Times New Roman" w:hAnsi="Times New Roman" w:cs="Times New Roman"/>
          <w:sz w:val="24"/>
          <w:szCs w:val="24"/>
        </w:rPr>
        <w:t>s</w:t>
      </w:r>
      <w:r w:rsidRPr="0052360E">
        <w:rPr>
          <w:rFonts w:ascii="Times New Roman" w:hAnsi="Times New Roman" w:cs="Times New Roman"/>
          <w:sz w:val="24"/>
          <w:szCs w:val="24"/>
        </w:rPr>
        <w:t>.</w:t>
      </w:r>
      <w:r w:rsidR="00340C9E" w:rsidRPr="0052360E">
        <w:rPr>
          <w:rFonts w:ascii="Times New Roman" w:hAnsi="Times New Roman" w:cs="Times New Roman"/>
          <w:sz w:val="24"/>
          <w:szCs w:val="24"/>
          <w:vertAlign w:val="superscript"/>
        </w:rPr>
        <w:t>31</w:t>
      </w:r>
      <w:r w:rsidRPr="0052360E">
        <w:rPr>
          <w:rFonts w:ascii="Times New Roman" w:hAnsi="Times New Roman" w:cs="Times New Roman"/>
          <w:sz w:val="24"/>
          <w:szCs w:val="24"/>
        </w:rPr>
        <w:t xml:space="preserve"> </w:t>
      </w:r>
      <w:r w:rsidR="00793BE6" w:rsidRPr="0052360E">
        <w:rPr>
          <w:rFonts w:ascii="Times New Roman" w:hAnsi="Times New Roman" w:cs="Times New Roman"/>
          <w:sz w:val="24"/>
          <w:szCs w:val="24"/>
        </w:rPr>
        <w:t>Its role</w:t>
      </w:r>
      <w:r w:rsidRPr="0052360E">
        <w:rPr>
          <w:rFonts w:ascii="Times New Roman" w:hAnsi="Times New Roman" w:cs="Times New Roman"/>
          <w:sz w:val="24"/>
          <w:szCs w:val="24"/>
        </w:rPr>
        <w:t xml:space="preserve"> in maintenance of iron homeostasis during infection warrants further research. </w:t>
      </w:r>
    </w:p>
    <w:p w14:paraId="57966A44" w14:textId="6A41E1C3" w:rsidR="002D3D02" w:rsidRPr="0052360E" w:rsidRDefault="002D3D02" w:rsidP="008C59EA">
      <w:pPr>
        <w:spacing w:before="240" w:line="480" w:lineRule="auto"/>
        <w:ind w:left="142" w:right="227" w:hanging="142"/>
        <w:rPr>
          <w:rFonts w:ascii="Times New Roman" w:hAnsi="Times New Roman" w:cs="Times New Roman"/>
          <w:sz w:val="24"/>
          <w:szCs w:val="24"/>
        </w:rPr>
      </w:pPr>
      <w:r w:rsidRPr="0052360E">
        <w:rPr>
          <w:rFonts w:ascii="Times New Roman" w:hAnsi="Times New Roman" w:cs="Times New Roman"/>
          <w:sz w:val="24"/>
          <w:szCs w:val="24"/>
        </w:rPr>
        <w:t xml:space="preserve">   Adjustments were made for nutritional status using MUAC, which unlike BMI does not change with gestation in normal pregnancies, and mean MUAC was comparable for non-pregnant and pregnant women. Nutritional status is important for mucosal immunity, which may be affected by states of under- or over-nutrition. Serum Lf concentration positively correlates with insulin resistance in </w:t>
      </w:r>
      <w:r w:rsidR="00340C9E" w:rsidRPr="0052360E">
        <w:rPr>
          <w:rFonts w:ascii="Times New Roman" w:hAnsi="Times New Roman" w:cs="Times New Roman"/>
          <w:sz w:val="24"/>
          <w:szCs w:val="24"/>
        </w:rPr>
        <w:t>obese women.</w:t>
      </w:r>
      <w:r w:rsidR="00340C9E" w:rsidRPr="0052360E">
        <w:rPr>
          <w:rFonts w:ascii="Times New Roman" w:hAnsi="Times New Roman" w:cs="Times New Roman"/>
          <w:sz w:val="24"/>
          <w:szCs w:val="24"/>
          <w:vertAlign w:val="superscript"/>
        </w:rPr>
        <w:t>32</w:t>
      </w:r>
      <w:r w:rsidRPr="0052360E">
        <w:rPr>
          <w:rFonts w:ascii="Times New Roman" w:hAnsi="Times New Roman" w:cs="Times New Roman"/>
          <w:sz w:val="24"/>
          <w:szCs w:val="24"/>
          <w:vertAlign w:val="superscript"/>
        </w:rPr>
        <w:t xml:space="preserve"> </w:t>
      </w:r>
      <w:r w:rsidRPr="0052360E">
        <w:rPr>
          <w:rFonts w:ascii="Times New Roman" w:hAnsi="Times New Roman" w:cs="Times New Roman"/>
          <w:sz w:val="24"/>
          <w:szCs w:val="24"/>
        </w:rPr>
        <w:t>Leptin, an adipocytokine produced by epithelial cells and adipose tissue, has a role in mucosal defences possibly mediated by expres</w:t>
      </w:r>
      <w:r w:rsidR="00340C9E" w:rsidRPr="0052360E">
        <w:rPr>
          <w:rFonts w:ascii="Times New Roman" w:hAnsi="Times New Roman" w:cs="Times New Roman"/>
          <w:sz w:val="24"/>
          <w:szCs w:val="24"/>
        </w:rPr>
        <w:t>sion of IL23</w:t>
      </w:r>
      <w:r w:rsidRPr="0052360E">
        <w:rPr>
          <w:rFonts w:ascii="Times New Roman" w:hAnsi="Times New Roman" w:cs="Times New Roman"/>
          <w:sz w:val="24"/>
          <w:szCs w:val="24"/>
        </w:rPr>
        <w:t>.</w:t>
      </w:r>
      <w:r w:rsidR="00340C9E" w:rsidRPr="0052360E">
        <w:rPr>
          <w:rFonts w:ascii="Times New Roman" w:hAnsi="Times New Roman" w:cs="Times New Roman"/>
          <w:sz w:val="24"/>
          <w:szCs w:val="24"/>
          <w:vertAlign w:val="superscript"/>
        </w:rPr>
        <w:t>33</w:t>
      </w:r>
      <w:r w:rsidRPr="0052360E">
        <w:rPr>
          <w:rFonts w:ascii="Times New Roman" w:hAnsi="Times New Roman" w:cs="Times New Roman"/>
          <w:sz w:val="24"/>
          <w:szCs w:val="24"/>
        </w:rPr>
        <w:t xml:space="preserve"> The significant positive association of BMI and MUAC with vaginal Lf is consistent with leptin influence on constitutive Lf production in young women who are still maturing</w:t>
      </w:r>
      <w:r w:rsidRPr="0052360E">
        <w:rPr>
          <w:rFonts w:ascii="Times New Roman" w:hAnsi="Times New Roman" w:cs="Times New Roman"/>
          <w:i/>
          <w:sz w:val="24"/>
          <w:szCs w:val="24"/>
        </w:rPr>
        <w:t xml:space="preserve">. </w:t>
      </w:r>
    </w:p>
    <w:p w14:paraId="79D40F3C" w14:textId="1C22875D" w:rsidR="002E6578" w:rsidRPr="0052360E" w:rsidRDefault="002D3D02" w:rsidP="002E6578">
      <w:pPr>
        <w:tabs>
          <w:tab w:val="left" w:pos="142"/>
        </w:tabs>
        <w:spacing w:line="480" w:lineRule="auto"/>
        <w:ind w:left="142" w:right="227" w:hanging="142"/>
        <w:rPr>
          <w:rFonts w:ascii="Times New Roman" w:hAnsi="Times New Roman" w:cs="Times New Roman"/>
          <w:sz w:val="24"/>
          <w:szCs w:val="24"/>
        </w:rPr>
      </w:pPr>
      <w:r w:rsidRPr="0052360E">
        <w:rPr>
          <w:rFonts w:ascii="Times New Roman" w:hAnsi="Times New Roman" w:cs="Times New Roman"/>
          <w:sz w:val="24"/>
          <w:szCs w:val="24"/>
        </w:rPr>
        <w:t xml:space="preserve"> </w:t>
      </w:r>
      <w:r w:rsidR="00A37255" w:rsidRPr="0052360E">
        <w:rPr>
          <w:rFonts w:ascii="Times New Roman" w:hAnsi="Times New Roman" w:cs="Times New Roman"/>
          <w:sz w:val="24"/>
          <w:szCs w:val="24"/>
        </w:rPr>
        <w:t xml:space="preserve"> </w:t>
      </w:r>
      <w:r w:rsidRPr="0052360E">
        <w:rPr>
          <w:rFonts w:ascii="Times New Roman" w:hAnsi="Times New Roman" w:cs="Times New Roman"/>
          <w:sz w:val="24"/>
          <w:szCs w:val="24"/>
        </w:rPr>
        <w:t>We have shown a positive association between serum hepcidin and vaginal Lf concentration. These results may indicate a simple association of inflammation with these markers, but increased hepcidin would still impact on iron homeostasis. Hepcidin is produced by hepatocytes, but may also be locally synthesised by myeloid cells in response to pathogens, and has been observed in neutrophils migrating to tissue sites of infe</w:t>
      </w:r>
      <w:r w:rsidR="00340C9E" w:rsidRPr="0052360E">
        <w:rPr>
          <w:rFonts w:ascii="Times New Roman" w:hAnsi="Times New Roman" w:cs="Times New Roman"/>
          <w:sz w:val="24"/>
          <w:szCs w:val="24"/>
        </w:rPr>
        <w:t>ction</w:t>
      </w:r>
      <w:r w:rsidRPr="0052360E">
        <w:rPr>
          <w:rFonts w:ascii="Times New Roman" w:hAnsi="Times New Roman" w:cs="Times New Roman"/>
          <w:sz w:val="24"/>
          <w:szCs w:val="24"/>
        </w:rPr>
        <w:t>.</w:t>
      </w:r>
      <w:r w:rsidR="00340C9E" w:rsidRPr="0052360E">
        <w:rPr>
          <w:rFonts w:ascii="Times New Roman" w:hAnsi="Times New Roman" w:cs="Times New Roman"/>
          <w:sz w:val="24"/>
          <w:szCs w:val="24"/>
          <w:vertAlign w:val="superscript"/>
        </w:rPr>
        <w:t>34</w:t>
      </w:r>
      <w:r w:rsidRPr="0052360E">
        <w:rPr>
          <w:rFonts w:ascii="Times New Roman" w:hAnsi="Times New Roman" w:cs="Times New Roman"/>
          <w:sz w:val="24"/>
          <w:szCs w:val="24"/>
        </w:rPr>
        <w:t xml:space="preserve"> There are few prior reports on hepcidin response following local, as opposed to systemic infection other than in the gastro-intestinal tract d</w:t>
      </w:r>
      <w:r w:rsidR="00340C9E" w:rsidRPr="0052360E">
        <w:rPr>
          <w:rFonts w:ascii="Times New Roman" w:hAnsi="Times New Roman" w:cs="Times New Roman"/>
          <w:sz w:val="24"/>
          <w:szCs w:val="24"/>
        </w:rPr>
        <w:t>uring colitis</w:t>
      </w:r>
      <w:r w:rsidRPr="0052360E">
        <w:rPr>
          <w:rFonts w:ascii="Times New Roman" w:hAnsi="Times New Roman" w:cs="Times New Roman"/>
          <w:sz w:val="24"/>
          <w:szCs w:val="24"/>
        </w:rPr>
        <w:t>,</w:t>
      </w:r>
      <w:r w:rsidR="00340C9E" w:rsidRPr="0052360E">
        <w:rPr>
          <w:rFonts w:ascii="Times New Roman" w:hAnsi="Times New Roman" w:cs="Times New Roman"/>
          <w:sz w:val="24"/>
          <w:szCs w:val="24"/>
          <w:vertAlign w:val="superscript"/>
        </w:rPr>
        <w:t>35</w:t>
      </w:r>
      <w:r w:rsidRPr="0052360E">
        <w:rPr>
          <w:rFonts w:ascii="Times New Roman" w:hAnsi="Times New Roman" w:cs="Times New Roman"/>
          <w:sz w:val="24"/>
          <w:szCs w:val="24"/>
        </w:rPr>
        <w:t xml:space="preserve"> and in viral k</w:t>
      </w:r>
      <w:r w:rsidR="00340C9E" w:rsidRPr="0052360E">
        <w:rPr>
          <w:rFonts w:ascii="Times New Roman" w:hAnsi="Times New Roman" w:cs="Times New Roman"/>
          <w:sz w:val="24"/>
          <w:szCs w:val="24"/>
        </w:rPr>
        <w:t>eratitis</w:t>
      </w:r>
      <w:r w:rsidRPr="0052360E">
        <w:rPr>
          <w:rFonts w:ascii="Times New Roman" w:hAnsi="Times New Roman" w:cs="Times New Roman"/>
          <w:sz w:val="24"/>
          <w:szCs w:val="24"/>
        </w:rPr>
        <w:t>.</w:t>
      </w:r>
      <w:r w:rsidR="00340C9E" w:rsidRPr="0052360E">
        <w:rPr>
          <w:rFonts w:ascii="Times New Roman" w:hAnsi="Times New Roman" w:cs="Times New Roman"/>
          <w:sz w:val="24"/>
          <w:szCs w:val="24"/>
          <w:vertAlign w:val="superscript"/>
        </w:rPr>
        <w:t>36</w:t>
      </w:r>
      <w:r w:rsidRPr="0052360E">
        <w:rPr>
          <w:rFonts w:ascii="Times New Roman" w:hAnsi="Times New Roman" w:cs="Times New Roman"/>
          <w:sz w:val="24"/>
          <w:szCs w:val="24"/>
        </w:rPr>
        <w:t xml:space="preserve"> The mechanisms are unclear but </w:t>
      </w:r>
      <w:r w:rsidRPr="0052360E">
        <w:rPr>
          <w:rFonts w:ascii="Times New Roman" w:hAnsi="Times New Roman" w:cs="Times New Roman"/>
          <w:i/>
          <w:sz w:val="24"/>
          <w:szCs w:val="24"/>
        </w:rPr>
        <w:t>in vivo</w:t>
      </w:r>
      <w:r w:rsidRPr="0052360E">
        <w:rPr>
          <w:rFonts w:ascii="Times New Roman" w:hAnsi="Times New Roman" w:cs="Times New Roman"/>
          <w:sz w:val="24"/>
          <w:szCs w:val="24"/>
        </w:rPr>
        <w:t xml:space="preserve"> studies implicate host induction of local acute phase response proteins and evidence of a host-imposed metal ion limited envi</w:t>
      </w:r>
      <w:r w:rsidR="00340C9E" w:rsidRPr="0052360E">
        <w:rPr>
          <w:rFonts w:ascii="Times New Roman" w:hAnsi="Times New Roman" w:cs="Times New Roman"/>
          <w:sz w:val="24"/>
          <w:szCs w:val="24"/>
        </w:rPr>
        <w:t>ronment</w:t>
      </w:r>
      <w:r w:rsidRPr="0052360E">
        <w:rPr>
          <w:rFonts w:ascii="Times New Roman" w:hAnsi="Times New Roman" w:cs="Times New Roman"/>
          <w:sz w:val="24"/>
          <w:szCs w:val="24"/>
        </w:rPr>
        <w:t>.</w:t>
      </w:r>
      <w:r w:rsidR="00340C9E" w:rsidRPr="0052360E">
        <w:rPr>
          <w:rFonts w:ascii="Times New Roman" w:hAnsi="Times New Roman" w:cs="Times New Roman"/>
          <w:sz w:val="24"/>
          <w:szCs w:val="24"/>
          <w:vertAlign w:val="superscript"/>
        </w:rPr>
        <w:t xml:space="preserve">37 </w:t>
      </w:r>
      <w:r w:rsidRPr="0052360E">
        <w:rPr>
          <w:rFonts w:ascii="Times New Roman" w:hAnsi="Times New Roman" w:cs="Times New Roman"/>
          <w:sz w:val="24"/>
          <w:szCs w:val="24"/>
        </w:rPr>
        <w:t xml:space="preserve">Hepcidin expression is inhibited in states of iron deficiency. </w:t>
      </w:r>
      <w:r w:rsidR="008A7C11" w:rsidRPr="0052360E">
        <w:rPr>
          <w:rFonts w:ascii="Times New Roman" w:hAnsi="Times New Roman" w:cs="Times New Roman"/>
          <w:sz w:val="24"/>
          <w:szCs w:val="24"/>
        </w:rPr>
        <w:t>Host nutritional and iron status may influence the homeostatic mechanisms controlling vaginal Lf expression.</w:t>
      </w:r>
      <w:r w:rsidR="00257A41" w:rsidRPr="0052360E">
        <w:rPr>
          <w:rFonts w:ascii="Times New Roman" w:hAnsi="Times New Roman" w:cs="Times New Roman"/>
          <w:sz w:val="24"/>
          <w:szCs w:val="24"/>
        </w:rPr>
        <w:t xml:space="preserve"> </w:t>
      </w:r>
      <w:r w:rsidR="00A35110" w:rsidRPr="0052360E">
        <w:rPr>
          <w:rFonts w:ascii="Times New Roman" w:hAnsi="Times New Roman" w:cs="Times New Roman"/>
          <w:sz w:val="24"/>
          <w:szCs w:val="24"/>
        </w:rPr>
        <w:t>Vaginal Lf concentrations were increased in better nourished women</w:t>
      </w:r>
      <w:r w:rsidR="00404E47" w:rsidRPr="0052360E">
        <w:rPr>
          <w:rFonts w:ascii="Times New Roman" w:hAnsi="Times New Roman" w:cs="Times New Roman"/>
          <w:sz w:val="24"/>
          <w:szCs w:val="24"/>
        </w:rPr>
        <w:t xml:space="preserve">, </w:t>
      </w:r>
      <w:r w:rsidR="00E27BE5" w:rsidRPr="0052360E">
        <w:rPr>
          <w:rFonts w:ascii="Times New Roman" w:hAnsi="Times New Roman" w:cs="Times New Roman"/>
          <w:sz w:val="24"/>
          <w:szCs w:val="24"/>
        </w:rPr>
        <w:t>yet</w:t>
      </w:r>
      <w:r w:rsidR="00404E47" w:rsidRPr="0052360E">
        <w:rPr>
          <w:rFonts w:ascii="Times New Roman" w:hAnsi="Times New Roman" w:cs="Times New Roman"/>
          <w:sz w:val="24"/>
          <w:szCs w:val="24"/>
        </w:rPr>
        <w:t xml:space="preserve"> w</w:t>
      </w:r>
      <w:r w:rsidRPr="0052360E">
        <w:rPr>
          <w:rFonts w:ascii="Times New Roman" w:hAnsi="Times New Roman" w:cs="Times New Roman"/>
          <w:sz w:val="24"/>
          <w:szCs w:val="24"/>
        </w:rPr>
        <w:t xml:space="preserve">e </w:t>
      </w:r>
      <w:r w:rsidR="00404E47" w:rsidRPr="0052360E">
        <w:rPr>
          <w:rFonts w:ascii="Times New Roman" w:hAnsi="Times New Roman" w:cs="Times New Roman"/>
          <w:sz w:val="24"/>
          <w:szCs w:val="24"/>
        </w:rPr>
        <w:t xml:space="preserve">have </w:t>
      </w:r>
      <w:r w:rsidRPr="0052360E">
        <w:rPr>
          <w:rFonts w:ascii="Times New Roman" w:hAnsi="Times New Roman" w:cs="Times New Roman"/>
          <w:sz w:val="24"/>
          <w:szCs w:val="24"/>
        </w:rPr>
        <w:t xml:space="preserve">previously reported that at </w:t>
      </w:r>
      <w:r w:rsidR="00404E47" w:rsidRPr="0052360E">
        <w:rPr>
          <w:rFonts w:ascii="Times New Roman" w:hAnsi="Times New Roman" w:cs="Times New Roman"/>
          <w:sz w:val="24"/>
          <w:szCs w:val="24"/>
        </w:rPr>
        <w:t>baseline</w:t>
      </w:r>
      <w:r w:rsidR="00E27BE5" w:rsidRPr="0052360E">
        <w:rPr>
          <w:rFonts w:ascii="Times New Roman" w:hAnsi="Times New Roman" w:cs="Times New Roman"/>
          <w:sz w:val="24"/>
          <w:szCs w:val="24"/>
        </w:rPr>
        <w:t>,</w:t>
      </w:r>
      <w:r w:rsidRPr="0052360E">
        <w:rPr>
          <w:rFonts w:ascii="Times New Roman" w:hAnsi="Times New Roman" w:cs="Times New Roman"/>
          <w:sz w:val="24"/>
          <w:szCs w:val="24"/>
        </w:rPr>
        <w:t xml:space="preserve"> </w:t>
      </w:r>
      <w:r w:rsidR="00E61973" w:rsidRPr="0052360E">
        <w:rPr>
          <w:rFonts w:ascii="Times New Roman" w:hAnsi="Times New Roman" w:cs="Times New Roman"/>
          <w:sz w:val="24"/>
          <w:szCs w:val="24"/>
        </w:rPr>
        <w:t xml:space="preserve">women who were </w:t>
      </w:r>
      <w:r w:rsidR="00257A41" w:rsidRPr="0052360E">
        <w:rPr>
          <w:rFonts w:ascii="Times New Roman" w:hAnsi="Times New Roman" w:cs="Times New Roman"/>
          <w:sz w:val="24"/>
          <w:szCs w:val="24"/>
        </w:rPr>
        <w:t>iron deficient were more likely to have normal vaginal flora</w:t>
      </w:r>
      <w:r w:rsidR="00404E47" w:rsidRPr="0052360E">
        <w:rPr>
          <w:rFonts w:ascii="Times New Roman" w:hAnsi="Times New Roman" w:cs="Times New Roman"/>
          <w:sz w:val="24"/>
          <w:szCs w:val="24"/>
        </w:rPr>
        <w:t>.</w:t>
      </w:r>
      <w:r w:rsidR="008D6B79" w:rsidRPr="0052360E">
        <w:rPr>
          <w:rFonts w:ascii="Times New Roman" w:hAnsi="Times New Roman" w:cs="Times New Roman"/>
          <w:sz w:val="24"/>
          <w:szCs w:val="24"/>
          <w:vertAlign w:val="superscript"/>
        </w:rPr>
        <w:t>16</w:t>
      </w:r>
      <w:r w:rsidR="00404E47" w:rsidRPr="0052360E">
        <w:rPr>
          <w:rFonts w:ascii="Times New Roman" w:hAnsi="Times New Roman" w:cs="Times New Roman"/>
          <w:sz w:val="24"/>
          <w:szCs w:val="24"/>
        </w:rPr>
        <w:t xml:space="preserve"> </w:t>
      </w:r>
      <w:r w:rsidR="002E6578" w:rsidRPr="0052360E">
        <w:rPr>
          <w:rFonts w:ascii="Times New Roman" w:hAnsi="Times New Roman" w:cs="Times New Roman"/>
          <w:sz w:val="24"/>
          <w:szCs w:val="24"/>
        </w:rPr>
        <w:t>In conclusion Lf concentrations increased with genital infection, higher BMI, MUAC, body iron stores and hepcidin suggesting nutritional and iron status influence homeostatic mechanisms controlling vaginal Lf responses. Further research is needed to elucidate whether genital infections induce a hepcidin response which could influence iron availability to vaginal bacteria and fungi. The figure S5 in Supplementary file 2 outlines potential pathways that could be explored.</w:t>
      </w:r>
    </w:p>
    <w:p w14:paraId="3C0900DE" w14:textId="14DB6600" w:rsidR="002B2EE7" w:rsidRPr="0052360E" w:rsidRDefault="002B2EE7" w:rsidP="0052360E">
      <w:pPr>
        <w:spacing w:line="480" w:lineRule="auto"/>
        <w:ind w:right="227"/>
        <w:rPr>
          <w:rFonts w:ascii="Times New Roman" w:hAnsi="Times New Roman" w:cs="Times New Roman"/>
          <w:sz w:val="24"/>
          <w:szCs w:val="24"/>
        </w:rPr>
      </w:pPr>
    </w:p>
    <w:p w14:paraId="30CBC10C" w14:textId="09495B15" w:rsidR="003142B6" w:rsidRPr="0052360E" w:rsidRDefault="003142B6" w:rsidP="008C59EA">
      <w:pPr>
        <w:spacing w:line="480" w:lineRule="auto"/>
        <w:ind w:left="284" w:hanging="142"/>
        <w:rPr>
          <w:rFonts w:ascii="Times New Roman" w:hAnsi="Times New Roman" w:cs="Times New Roman"/>
          <w:b/>
          <w:sz w:val="24"/>
          <w:szCs w:val="24"/>
        </w:rPr>
      </w:pPr>
      <w:r w:rsidRPr="0052360E">
        <w:rPr>
          <w:rFonts w:ascii="Times New Roman" w:hAnsi="Times New Roman" w:cs="Times New Roman"/>
          <w:b/>
          <w:sz w:val="24"/>
          <w:szCs w:val="24"/>
        </w:rPr>
        <w:t xml:space="preserve">Supplementary material </w:t>
      </w:r>
    </w:p>
    <w:p w14:paraId="13B9ACB9" w14:textId="0522A7FE" w:rsidR="003142B6" w:rsidRPr="0052360E" w:rsidRDefault="003142B6" w:rsidP="00390935">
      <w:pPr>
        <w:spacing w:line="480" w:lineRule="auto"/>
        <w:ind w:left="142"/>
        <w:rPr>
          <w:rFonts w:ascii="Times New Roman" w:hAnsi="Times New Roman" w:cs="Times New Roman"/>
          <w:sz w:val="24"/>
          <w:szCs w:val="24"/>
        </w:rPr>
      </w:pPr>
      <w:r w:rsidRPr="0052360E">
        <w:rPr>
          <w:rFonts w:ascii="Times New Roman" w:hAnsi="Times New Roman" w:cs="Times New Roman"/>
          <w:sz w:val="24"/>
          <w:szCs w:val="24"/>
        </w:rPr>
        <w:t>Supplementary file 1 (word doc.) includes the intention to treat comparison of Lf by trial arm. Four</w:t>
      </w:r>
      <w:r w:rsidR="00404E47" w:rsidRPr="0052360E">
        <w:rPr>
          <w:rFonts w:ascii="Times New Roman" w:hAnsi="Times New Roman" w:cs="Times New Roman"/>
          <w:sz w:val="24"/>
          <w:szCs w:val="24"/>
        </w:rPr>
        <w:t xml:space="preserve"> </w:t>
      </w:r>
      <w:r w:rsidR="00390935" w:rsidRPr="0052360E">
        <w:rPr>
          <w:rFonts w:ascii="Times New Roman" w:hAnsi="Times New Roman" w:cs="Times New Roman"/>
          <w:sz w:val="24"/>
          <w:szCs w:val="24"/>
        </w:rPr>
        <w:t xml:space="preserve"> </w:t>
      </w:r>
      <w:r w:rsidR="00404E47" w:rsidRPr="0052360E">
        <w:rPr>
          <w:rFonts w:ascii="Times New Roman" w:hAnsi="Times New Roman" w:cs="Times New Roman"/>
          <w:sz w:val="24"/>
          <w:szCs w:val="24"/>
        </w:rPr>
        <w:t>supplementary</w:t>
      </w:r>
      <w:r w:rsidR="00FC7515" w:rsidRPr="0052360E">
        <w:rPr>
          <w:rFonts w:ascii="Times New Roman" w:hAnsi="Times New Roman" w:cs="Times New Roman"/>
          <w:sz w:val="24"/>
          <w:szCs w:val="24"/>
        </w:rPr>
        <w:t xml:space="preserve"> </w:t>
      </w:r>
      <w:r w:rsidRPr="0052360E">
        <w:rPr>
          <w:rFonts w:ascii="Times New Roman" w:hAnsi="Times New Roman" w:cs="Times New Roman"/>
          <w:sz w:val="24"/>
          <w:szCs w:val="24"/>
        </w:rPr>
        <w:t xml:space="preserve">figures provide data on 1) </w:t>
      </w:r>
      <w:r w:rsidR="00404E47" w:rsidRPr="0052360E">
        <w:rPr>
          <w:rFonts w:ascii="Times New Roman" w:hAnsi="Times New Roman" w:cs="Times New Roman"/>
          <w:sz w:val="24"/>
          <w:szCs w:val="24"/>
        </w:rPr>
        <w:t>Figure S1.</w:t>
      </w:r>
      <w:r w:rsidR="000931B6" w:rsidRPr="0052360E">
        <w:rPr>
          <w:rFonts w:ascii="Times New Roman" w:hAnsi="Times New Roman" w:cs="Times New Roman"/>
          <w:sz w:val="24"/>
          <w:szCs w:val="24"/>
        </w:rPr>
        <w:t xml:space="preserve"> </w:t>
      </w:r>
      <w:r w:rsidRPr="0052360E">
        <w:rPr>
          <w:rFonts w:ascii="Times New Roman" w:hAnsi="Times New Roman" w:cs="Times New Roman"/>
          <w:sz w:val="24"/>
          <w:szCs w:val="24"/>
        </w:rPr>
        <w:t>Lf distribution curves</w:t>
      </w:r>
      <w:r w:rsidR="000931B6" w:rsidRPr="0052360E">
        <w:rPr>
          <w:rFonts w:ascii="Times New Roman" w:hAnsi="Times New Roman" w:cs="Times New Roman"/>
          <w:sz w:val="24"/>
          <w:szCs w:val="24"/>
        </w:rPr>
        <w:t>;</w:t>
      </w:r>
      <w:r w:rsidRPr="0052360E">
        <w:rPr>
          <w:rFonts w:ascii="Times New Roman" w:hAnsi="Times New Roman" w:cs="Times New Roman"/>
          <w:sz w:val="24"/>
          <w:szCs w:val="24"/>
        </w:rPr>
        <w:t xml:space="preserve"> 2)</w:t>
      </w:r>
      <w:r w:rsidR="00AE7A25" w:rsidRPr="0052360E">
        <w:rPr>
          <w:rFonts w:ascii="Times New Roman" w:hAnsi="Times New Roman" w:cs="Times New Roman"/>
          <w:sz w:val="24"/>
          <w:szCs w:val="24"/>
        </w:rPr>
        <w:t xml:space="preserve"> </w:t>
      </w:r>
      <w:r w:rsidR="00404E47" w:rsidRPr="0052360E">
        <w:rPr>
          <w:rFonts w:ascii="Times New Roman" w:hAnsi="Times New Roman" w:cs="Times New Roman"/>
          <w:sz w:val="24"/>
          <w:szCs w:val="24"/>
        </w:rPr>
        <w:t>Figure S2</w:t>
      </w:r>
      <w:r w:rsidR="00AE7A25" w:rsidRPr="0052360E">
        <w:rPr>
          <w:rFonts w:ascii="Times New Roman" w:hAnsi="Times New Roman" w:cs="Times New Roman"/>
          <w:sz w:val="24"/>
          <w:szCs w:val="24"/>
        </w:rPr>
        <w:t>.</w:t>
      </w:r>
      <w:r w:rsidRPr="0052360E">
        <w:rPr>
          <w:rFonts w:ascii="Times New Roman" w:hAnsi="Times New Roman" w:cs="Times New Roman"/>
          <w:sz w:val="24"/>
          <w:szCs w:val="24"/>
        </w:rPr>
        <w:t xml:space="preserve"> Non-significant Lf differences for menarche/ANC visit 3)</w:t>
      </w:r>
      <w:r w:rsidR="000931B6" w:rsidRPr="0052360E">
        <w:rPr>
          <w:rFonts w:ascii="Times New Roman" w:hAnsi="Times New Roman" w:cs="Times New Roman"/>
          <w:sz w:val="24"/>
          <w:szCs w:val="24"/>
        </w:rPr>
        <w:t>;</w:t>
      </w:r>
      <w:r w:rsidR="00AE7A25" w:rsidRPr="0052360E">
        <w:rPr>
          <w:rFonts w:ascii="Times New Roman" w:hAnsi="Times New Roman" w:cs="Times New Roman"/>
          <w:sz w:val="24"/>
          <w:szCs w:val="24"/>
        </w:rPr>
        <w:t xml:space="preserve"> </w:t>
      </w:r>
      <w:r w:rsidR="00404E47" w:rsidRPr="0052360E">
        <w:rPr>
          <w:rFonts w:ascii="Times New Roman" w:hAnsi="Times New Roman" w:cs="Times New Roman"/>
          <w:sz w:val="24"/>
          <w:szCs w:val="24"/>
        </w:rPr>
        <w:t>Figure S3</w:t>
      </w:r>
      <w:r w:rsidR="00AE7A25" w:rsidRPr="0052360E">
        <w:rPr>
          <w:rFonts w:ascii="Times New Roman" w:hAnsi="Times New Roman" w:cs="Times New Roman"/>
          <w:sz w:val="24"/>
          <w:szCs w:val="24"/>
        </w:rPr>
        <w:t>.</w:t>
      </w:r>
      <w:r w:rsidRPr="0052360E">
        <w:rPr>
          <w:rFonts w:ascii="Times New Roman" w:hAnsi="Times New Roman" w:cs="Times New Roman"/>
          <w:sz w:val="24"/>
          <w:szCs w:val="24"/>
        </w:rPr>
        <w:t xml:space="preserve"> Boxplots of Lf for six infection indicators</w:t>
      </w:r>
      <w:r w:rsidR="000931B6" w:rsidRPr="0052360E">
        <w:rPr>
          <w:rFonts w:ascii="Times New Roman" w:hAnsi="Times New Roman" w:cs="Times New Roman"/>
          <w:sz w:val="24"/>
          <w:szCs w:val="24"/>
        </w:rPr>
        <w:t>;</w:t>
      </w:r>
      <w:r w:rsidRPr="0052360E">
        <w:rPr>
          <w:rFonts w:ascii="Times New Roman" w:hAnsi="Times New Roman" w:cs="Times New Roman"/>
          <w:sz w:val="24"/>
          <w:szCs w:val="24"/>
        </w:rPr>
        <w:t xml:space="preserve"> 4)</w:t>
      </w:r>
      <w:r w:rsidR="00AE7A25" w:rsidRPr="0052360E">
        <w:rPr>
          <w:rFonts w:ascii="Times New Roman" w:hAnsi="Times New Roman" w:cs="Times New Roman"/>
          <w:sz w:val="24"/>
          <w:szCs w:val="24"/>
        </w:rPr>
        <w:t xml:space="preserve"> </w:t>
      </w:r>
      <w:r w:rsidR="00404E47" w:rsidRPr="0052360E">
        <w:rPr>
          <w:rFonts w:ascii="Times New Roman" w:hAnsi="Times New Roman" w:cs="Times New Roman"/>
          <w:sz w:val="24"/>
          <w:szCs w:val="24"/>
        </w:rPr>
        <w:t>Figure S4</w:t>
      </w:r>
      <w:r w:rsidR="00AE7A25" w:rsidRPr="0052360E">
        <w:rPr>
          <w:rFonts w:ascii="Times New Roman" w:hAnsi="Times New Roman" w:cs="Times New Roman"/>
          <w:sz w:val="24"/>
          <w:szCs w:val="24"/>
        </w:rPr>
        <w:t>.</w:t>
      </w:r>
      <w:r w:rsidRPr="0052360E">
        <w:rPr>
          <w:rFonts w:ascii="Times New Roman" w:hAnsi="Times New Roman" w:cs="Times New Roman"/>
          <w:sz w:val="24"/>
          <w:szCs w:val="24"/>
        </w:rPr>
        <w:t xml:space="preserve"> Lf in three Community State Types by study visit.</w:t>
      </w:r>
    </w:p>
    <w:p w14:paraId="5523F3FF" w14:textId="77777777" w:rsidR="003142B6" w:rsidRPr="0052360E" w:rsidRDefault="003142B6" w:rsidP="00390935">
      <w:pPr>
        <w:spacing w:line="480" w:lineRule="auto"/>
        <w:ind w:left="142"/>
        <w:rPr>
          <w:rFonts w:ascii="Times New Roman" w:hAnsi="Times New Roman" w:cs="Times New Roman"/>
          <w:sz w:val="24"/>
          <w:szCs w:val="24"/>
        </w:rPr>
      </w:pPr>
      <w:r w:rsidRPr="0052360E">
        <w:rPr>
          <w:rFonts w:ascii="Times New Roman" w:hAnsi="Times New Roman" w:cs="Times New Roman"/>
          <w:sz w:val="24"/>
          <w:szCs w:val="24"/>
        </w:rPr>
        <w:t>Supplementary file 2 (powerpoint) provides a diagram and brief description of potential systemic or local hepcidin effects with genital infection. This schema is not deduced from study results but relates to discussion points speculating on the role of hepcidin at this mucosal site.</w:t>
      </w:r>
    </w:p>
    <w:p w14:paraId="24D6D3C0" w14:textId="4932DDDB" w:rsidR="00281F19" w:rsidRPr="0052360E" w:rsidRDefault="00281F19" w:rsidP="00390935">
      <w:pPr>
        <w:spacing w:line="480" w:lineRule="auto"/>
        <w:ind w:firstLine="142"/>
        <w:rPr>
          <w:rFonts w:ascii="Times New Roman" w:hAnsi="Times New Roman" w:cs="Times New Roman"/>
          <w:b/>
          <w:sz w:val="24"/>
          <w:szCs w:val="24"/>
        </w:rPr>
      </w:pPr>
      <w:r w:rsidRPr="0052360E">
        <w:rPr>
          <w:rFonts w:ascii="Times New Roman" w:hAnsi="Times New Roman" w:cs="Times New Roman"/>
          <w:b/>
          <w:sz w:val="24"/>
          <w:szCs w:val="24"/>
        </w:rPr>
        <w:t>A</w:t>
      </w:r>
      <w:r w:rsidR="00330AF5" w:rsidRPr="0052360E">
        <w:rPr>
          <w:rFonts w:ascii="Times New Roman" w:hAnsi="Times New Roman" w:cs="Times New Roman"/>
          <w:b/>
          <w:sz w:val="24"/>
          <w:szCs w:val="24"/>
        </w:rPr>
        <w:t>cknowledgements</w:t>
      </w:r>
    </w:p>
    <w:p w14:paraId="608644CA" w14:textId="6FA01DCD" w:rsidR="00281F19" w:rsidRPr="0052360E" w:rsidRDefault="00281F19" w:rsidP="00390935">
      <w:pPr>
        <w:spacing w:after="0" w:line="480" w:lineRule="auto"/>
        <w:ind w:left="142"/>
        <w:rPr>
          <w:rFonts w:ascii="Times New Roman" w:hAnsi="Times New Roman" w:cs="Times New Roman"/>
          <w:sz w:val="24"/>
          <w:szCs w:val="24"/>
        </w:rPr>
      </w:pPr>
      <w:r w:rsidRPr="0052360E">
        <w:rPr>
          <w:rFonts w:ascii="Times New Roman" w:hAnsi="Times New Roman" w:cs="Times New Roman"/>
          <w:sz w:val="24"/>
          <w:szCs w:val="24"/>
        </w:rPr>
        <w:t xml:space="preserve">We thank local communities, study teams and health staff in Nanoro Health District for their co-operation; Professor Stephen Cummings, Greg Harper and Marc Tahita for laboratory support and Professor Brian Faragher for providing the trial data set. </w:t>
      </w:r>
    </w:p>
    <w:p w14:paraId="1A09E3A2" w14:textId="77777777" w:rsidR="00281F19" w:rsidRPr="0052360E" w:rsidRDefault="00281F19" w:rsidP="008C59EA">
      <w:pPr>
        <w:spacing w:after="0" w:line="480" w:lineRule="auto"/>
        <w:rPr>
          <w:rFonts w:ascii="Times New Roman" w:hAnsi="Times New Roman" w:cs="Times New Roman"/>
          <w:b/>
          <w:sz w:val="24"/>
          <w:szCs w:val="24"/>
        </w:rPr>
      </w:pPr>
    </w:p>
    <w:p w14:paraId="086E870F" w14:textId="6B7C7DC6" w:rsidR="00281F19" w:rsidRPr="0052360E" w:rsidRDefault="00330AF5" w:rsidP="00390935">
      <w:pPr>
        <w:spacing w:after="0" w:line="480" w:lineRule="auto"/>
        <w:ind w:firstLine="142"/>
        <w:rPr>
          <w:rFonts w:ascii="Times New Roman" w:hAnsi="Times New Roman" w:cs="Times New Roman"/>
          <w:b/>
          <w:sz w:val="24"/>
          <w:szCs w:val="24"/>
        </w:rPr>
      </w:pPr>
      <w:r w:rsidRPr="0052360E">
        <w:rPr>
          <w:rFonts w:ascii="Times New Roman" w:hAnsi="Times New Roman" w:cs="Times New Roman"/>
          <w:b/>
          <w:sz w:val="24"/>
          <w:szCs w:val="24"/>
        </w:rPr>
        <w:t>Author contributions</w:t>
      </w:r>
    </w:p>
    <w:p w14:paraId="13400FB0" w14:textId="21A5DD9D" w:rsidR="00281F19" w:rsidRPr="0052360E" w:rsidRDefault="00281F19" w:rsidP="00390935">
      <w:pPr>
        <w:spacing w:after="0" w:line="480" w:lineRule="auto"/>
        <w:ind w:left="142"/>
        <w:rPr>
          <w:rFonts w:ascii="Times New Roman" w:hAnsi="Times New Roman" w:cs="Times New Roman"/>
          <w:sz w:val="24"/>
          <w:szCs w:val="24"/>
        </w:rPr>
      </w:pPr>
      <w:r w:rsidRPr="0052360E">
        <w:rPr>
          <w:rFonts w:ascii="Times New Roman" w:hAnsi="Times New Roman" w:cs="Times New Roman"/>
          <w:sz w:val="24"/>
          <w:szCs w:val="24"/>
        </w:rPr>
        <w:t>BJ B was the Principal Investigator for the main RCT on iron supplementation and wrote this paper; SR was co-author a</w:t>
      </w:r>
      <w:r w:rsidR="00F00BA0" w:rsidRPr="0052360E">
        <w:rPr>
          <w:rFonts w:ascii="Times New Roman" w:hAnsi="Times New Roman" w:cs="Times New Roman"/>
          <w:sz w:val="24"/>
          <w:szCs w:val="24"/>
        </w:rPr>
        <w:t>nd study statistician; LB</w:t>
      </w:r>
      <w:r w:rsidRPr="0052360E">
        <w:rPr>
          <w:rFonts w:ascii="Times New Roman" w:hAnsi="Times New Roman" w:cs="Times New Roman"/>
          <w:sz w:val="24"/>
          <w:szCs w:val="24"/>
        </w:rPr>
        <w:t xml:space="preserve"> conceived the study and was joint co-author; SG was the clinical and field co-ordinator for the research; Lf assays were conducted in Burkina Faso by SD; hepcidin by DS and AG-M in the Netherlands and microbiome by AN and CS at Northumbria University, UK. AZ</w:t>
      </w:r>
      <w:r w:rsidR="003142B6" w:rsidRPr="0052360E">
        <w:rPr>
          <w:rFonts w:ascii="Times New Roman" w:hAnsi="Times New Roman" w:cs="Times New Roman"/>
          <w:sz w:val="24"/>
          <w:szCs w:val="24"/>
        </w:rPr>
        <w:t xml:space="preserve"> and </w:t>
      </w:r>
      <w:r w:rsidRPr="0052360E">
        <w:rPr>
          <w:rFonts w:ascii="Times New Roman" w:hAnsi="Times New Roman" w:cs="Times New Roman"/>
          <w:sz w:val="24"/>
          <w:szCs w:val="24"/>
        </w:rPr>
        <w:t xml:space="preserve">SO were responsible for data management and safety monitoring; UDA and HT were members of the Scientific Advisory Committee and reviewed the paper. </w:t>
      </w:r>
      <w:r w:rsidR="002A5760" w:rsidRPr="0052360E">
        <w:rPr>
          <w:rFonts w:ascii="Times New Roman" w:hAnsi="Times New Roman" w:cs="Times New Roman"/>
          <w:sz w:val="24"/>
          <w:szCs w:val="24"/>
        </w:rPr>
        <w:t>All authors agree to be accountable for their work.</w:t>
      </w:r>
    </w:p>
    <w:p w14:paraId="1BA6801F" w14:textId="77777777" w:rsidR="00281F19" w:rsidRPr="0052360E" w:rsidRDefault="00281F19" w:rsidP="008C59EA">
      <w:pPr>
        <w:spacing w:after="0" w:line="480" w:lineRule="auto"/>
        <w:rPr>
          <w:rFonts w:ascii="Times New Roman" w:hAnsi="Times New Roman" w:cs="Times New Roman"/>
          <w:sz w:val="24"/>
          <w:szCs w:val="24"/>
        </w:rPr>
      </w:pPr>
    </w:p>
    <w:p w14:paraId="02F168FA" w14:textId="77777777" w:rsidR="00330AF5" w:rsidRPr="0052360E" w:rsidRDefault="00330AF5" w:rsidP="00390935">
      <w:pPr>
        <w:spacing w:line="480" w:lineRule="auto"/>
        <w:ind w:firstLine="142"/>
        <w:rPr>
          <w:rFonts w:ascii="Times New Roman" w:hAnsi="Times New Roman" w:cs="Times New Roman"/>
          <w:b/>
          <w:sz w:val="24"/>
          <w:szCs w:val="24"/>
        </w:rPr>
      </w:pPr>
      <w:r w:rsidRPr="0052360E">
        <w:rPr>
          <w:rFonts w:ascii="Times New Roman" w:hAnsi="Times New Roman" w:cs="Times New Roman"/>
          <w:b/>
          <w:sz w:val="24"/>
          <w:szCs w:val="24"/>
        </w:rPr>
        <w:t>Conflicts of interest</w:t>
      </w:r>
    </w:p>
    <w:p w14:paraId="0D2E3E53" w14:textId="6B0088CC" w:rsidR="00330AF5" w:rsidRPr="0052360E" w:rsidRDefault="00390935" w:rsidP="00390935">
      <w:pPr>
        <w:spacing w:line="480" w:lineRule="auto"/>
        <w:ind w:left="142" w:hanging="142"/>
        <w:rPr>
          <w:rFonts w:ascii="Times New Roman" w:hAnsi="Times New Roman" w:cs="Times New Roman"/>
          <w:bCs/>
          <w:sz w:val="24"/>
          <w:szCs w:val="24"/>
          <w:lang w:val="en-US"/>
        </w:rPr>
      </w:pPr>
      <w:r w:rsidRPr="0052360E">
        <w:rPr>
          <w:rFonts w:ascii="Times New Roman" w:hAnsi="Times New Roman" w:cs="Times New Roman"/>
          <w:bCs/>
          <w:sz w:val="24"/>
          <w:szCs w:val="24"/>
          <w:lang w:val="en-US"/>
        </w:rPr>
        <w:t xml:space="preserve">  </w:t>
      </w:r>
      <w:r w:rsidR="00330AF5" w:rsidRPr="0052360E">
        <w:rPr>
          <w:rFonts w:ascii="Times New Roman" w:hAnsi="Times New Roman" w:cs="Times New Roman"/>
          <w:bCs/>
          <w:sz w:val="24"/>
          <w:szCs w:val="24"/>
          <w:lang w:val="en-US"/>
        </w:rPr>
        <w:t>This work was supported by the National Institutes of Health (Grant Number U01HD061234-01A1; Supplementary -05S1 and -02S2), the National Institute of Child Health and Human Development</w:t>
      </w:r>
      <w:r w:rsidR="00031A58" w:rsidRPr="0052360E">
        <w:rPr>
          <w:rFonts w:ascii="Times New Roman" w:hAnsi="Times New Roman" w:cs="Times New Roman"/>
          <w:bCs/>
          <w:sz w:val="24"/>
          <w:szCs w:val="24"/>
          <w:lang w:val="en-US"/>
        </w:rPr>
        <w:t xml:space="preserve"> / Gates Foundation</w:t>
      </w:r>
      <w:r w:rsidR="00330AF5" w:rsidRPr="0052360E">
        <w:rPr>
          <w:rFonts w:ascii="Times New Roman" w:hAnsi="Times New Roman" w:cs="Times New Roman"/>
          <w:bCs/>
          <w:sz w:val="24"/>
          <w:szCs w:val="24"/>
          <w:lang w:val="en-US"/>
        </w:rPr>
        <w:t xml:space="preserve">, and the National Institutes of Health Office of Dietary Supplements. </w:t>
      </w:r>
      <w:r w:rsidR="00031A58" w:rsidRPr="0052360E">
        <w:rPr>
          <w:rFonts w:ascii="Times New Roman" w:hAnsi="Times New Roman" w:cs="Times New Roman"/>
          <w:bCs/>
          <w:sz w:val="24"/>
          <w:szCs w:val="24"/>
          <w:lang w:val="en-US"/>
        </w:rPr>
        <w:t xml:space="preserve">The grant </w:t>
      </w:r>
      <w:r w:rsidR="00031A58" w:rsidRPr="0052360E">
        <w:rPr>
          <w:rFonts w:ascii="Times New Roman" w:hAnsi="Times New Roman" w:cs="Times New Roman"/>
          <w:bCs/>
          <w:sz w:val="24"/>
          <w:szCs w:val="24"/>
        </w:rPr>
        <w:t xml:space="preserve">covered salary and study costs in Burkina Faso, including salary costs for the field co-ordinator. Statistical analysis in the UK was part-funded. </w:t>
      </w:r>
      <w:r w:rsidR="00330AF5" w:rsidRPr="0052360E">
        <w:rPr>
          <w:rFonts w:ascii="Times New Roman" w:hAnsi="Times New Roman" w:cs="Times New Roman"/>
          <w:bCs/>
          <w:sz w:val="24"/>
          <w:szCs w:val="24"/>
          <w:lang w:val="en-US"/>
        </w:rPr>
        <w:t xml:space="preserve">The contents of this publication are solely the responsibility of the authors and do not necessarily represent the views of the funding organization, which played no role in data analysis. </w:t>
      </w:r>
    </w:p>
    <w:p w14:paraId="45BA48FF" w14:textId="67CFA180" w:rsidR="00281F19" w:rsidRPr="0052360E" w:rsidRDefault="00281F19" w:rsidP="00390935">
      <w:pPr>
        <w:spacing w:line="480" w:lineRule="auto"/>
        <w:ind w:left="142"/>
        <w:rPr>
          <w:rFonts w:ascii="Times New Roman" w:hAnsi="Times New Roman" w:cs="Times New Roman"/>
          <w:sz w:val="24"/>
          <w:szCs w:val="24"/>
        </w:rPr>
      </w:pPr>
      <w:r w:rsidRPr="0052360E">
        <w:rPr>
          <w:rFonts w:ascii="Times New Roman" w:hAnsi="Times New Roman" w:cs="Times New Roman"/>
          <w:sz w:val="24"/>
          <w:szCs w:val="24"/>
        </w:rPr>
        <w:t>Dorine Swinkels is Medical Director of the “Hepcidinanalysis.com” init</w:t>
      </w:r>
      <w:r w:rsidRPr="0052360E">
        <w:rPr>
          <w:rFonts w:ascii="Times New Roman" w:hAnsi="Times New Roman" w:cs="Times New Roman"/>
          <w:color w:val="000000" w:themeColor="text1"/>
          <w:sz w:val="24"/>
          <w:szCs w:val="24"/>
        </w:rPr>
        <w:t>iative</w:t>
      </w:r>
      <w:r w:rsidR="00932004" w:rsidRPr="0052360E">
        <w:rPr>
          <w:rFonts w:ascii="Times New Roman" w:hAnsi="Times New Roman" w:cs="Times New Roman"/>
          <w:color w:val="000000" w:themeColor="text1"/>
          <w:sz w:val="24"/>
          <w:szCs w:val="24"/>
        </w:rPr>
        <w:t xml:space="preserve"> (</w:t>
      </w:r>
      <w:hyperlink r:id="rId9" w:history="1">
        <w:r w:rsidR="00932004" w:rsidRPr="0052360E">
          <w:rPr>
            <w:rStyle w:val="Hyperlink"/>
            <w:color w:val="000000" w:themeColor="text1"/>
            <w:u w:val="none"/>
          </w:rPr>
          <w:t>www.hepcidinanalysis.com</w:t>
        </w:r>
      </w:hyperlink>
      <w:r w:rsidR="00932004" w:rsidRPr="0052360E">
        <w:rPr>
          <w:rStyle w:val="Hyperlink"/>
          <w:color w:val="000000" w:themeColor="text1"/>
          <w:u w:val="none"/>
        </w:rPr>
        <w:t xml:space="preserve">), </w:t>
      </w:r>
      <w:r w:rsidRPr="0052360E">
        <w:rPr>
          <w:rFonts w:ascii="Times New Roman" w:hAnsi="Times New Roman" w:cs="Times New Roman"/>
          <w:sz w:val="24"/>
          <w:szCs w:val="24"/>
        </w:rPr>
        <w:t>which aims to serve the scientific, medical and pharmaceutical communities with high-quality hepcidin measurements</w:t>
      </w:r>
      <w:r w:rsidR="002905DA" w:rsidRPr="0052360E">
        <w:rPr>
          <w:rFonts w:ascii="Times New Roman" w:hAnsi="Times New Roman" w:cs="Times New Roman"/>
          <w:sz w:val="24"/>
          <w:szCs w:val="24"/>
        </w:rPr>
        <w:t xml:space="preserve">. </w:t>
      </w:r>
      <w:r w:rsidRPr="0052360E">
        <w:rPr>
          <w:rFonts w:ascii="Times New Roman" w:hAnsi="Times New Roman" w:cs="Times New Roman"/>
          <w:sz w:val="24"/>
          <w:szCs w:val="24"/>
        </w:rPr>
        <w:t xml:space="preserve"> Other authors declared no conflicts of interest.</w:t>
      </w:r>
    </w:p>
    <w:p w14:paraId="6794BBED" w14:textId="77777777" w:rsidR="009F034C" w:rsidRPr="0052360E" w:rsidRDefault="009F034C" w:rsidP="008C59EA">
      <w:pPr>
        <w:spacing w:line="480" w:lineRule="auto"/>
        <w:rPr>
          <w:rFonts w:ascii="Times New Roman" w:hAnsi="Times New Roman" w:cs="Times New Roman"/>
          <w:sz w:val="24"/>
          <w:szCs w:val="24"/>
        </w:rPr>
      </w:pPr>
    </w:p>
    <w:p w14:paraId="453F053B" w14:textId="37B44915" w:rsidR="00AA6FCD" w:rsidRPr="0052360E" w:rsidRDefault="00281F19" w:rsidP="008C59EA">
      <w:pPr>
        <w:spacing w:line="480" w:lineRule="auto"/>
        <w:ind w:left="227"/>
        <w:rPr>
          <w:rFonts w:ascii="Times New Roman" w:hAnsi="Times New Roman" w:cs="Times New Roman"/>
          <w:b/>
          <w:sz w:val="24"/>
          <w:szCs w:val="24"/>
        </w:rPr>
      </w:pPr>
      <w:r w:rsidRPr="0052360E">
        <w:rPr>
          <w:rFonts w:ascii="Times New Roman" w:hAnsi="Times New Roman" w:cs="Times New Roman"/>
          <w:b/>
          <w:sz w:val="24"/>
          <w:szCs w:val="24"/>
        </w:rPr>
        <w:t xml:space="preserve">REFERENCES </w:t>
      </w:r>
    </w:p>
    <w:p w14:paraId="30449079" w14:textId="7EDF59B2" w:rsidR="00491BF2" w:rsidRPr="0052360E" w:rsidRDefault="0022776A" w:rsidP="008C59EA">
      <w:pPr>
        <w:pStyle w:val="ListParagraph"/>
        <w:numPr>
          <w:ilvl w:val="0"/>
          <w:numId w:val="31"/>
        </w:numPr>
        <w:spacing w:line="480" w:lineRule="auto"/>
        <w:ind w:left="227"/>
        <w:rPr>
          <w:rFonts w:ascii="Times New Roman" w:hAnsi="Times New Roman" w:cs="Times New Roman"/>
          <w:sz w:val="24"/>
          <w:szCs w:val="24"/>
        </w:rPr>
      </w:pPr>
      <w:r w:rsidRPr="0052360E">
        <w:rPr>
          <w:rFonts w:ascii="Times New Roman" w:hAnsi="Times New Roman" w:cs="Times New Roman"/>
          <w:sz w:val="24"/>
          <w:szCs w:val="24"/>
        </w:rPr>
        <w:t xml:space="preserve">Baker EN, Baker HM, Kidd RD. Lactoferrin and transferrin:  functional variations on a common structural framework. </w:t>
      </w:r>
      <w:r w:rsidRPr="0052360E">
        <w:rPr>
          <w:rFonts w:ascii="Times New Roman" w:hAnsi="Times New Roman" w:cs="Times New Roman"/>
          <w:i/>
          <w:sz w:val="24"/>
          <w:szCs w:val="24"/>
        </w:rPr>
        <w:t>Biochem. Cell. Biol.</w:t>
      </w:r>
      <w:r w:rsidRPr="0052360E">
        <w:rPr>
          <w:rFonts w:ascii="Times New Roman" w:hAnsi="Times New Roman" w:cs="Times New Roman"/>
          <w:sz w:val="24"/>
          <w:szCs w:val="24"/>
        </w:rPr>
        <w:t xml:space="preserve"> </w:t>
      </w:r>
      <w:r w:rsidR="00B31097" w:rsidRPr="0052360E">
        <w:rPr>
          <w:rFonts w:ascii="Times New Roman" w:hAnsi="Times New Roman" w:cs="Times New Roman"/>
          <w:sz w:val="24"/>
          <w:szCs w:val="24"/>
        </w:rPr>
        <w:t xml:space="preserve">2002; </w:t>
      </w:r>
      <w:r w:rsidRPr="0052360E">
        <w:rPr>
          <w:rFonts w:ascii="Times New Roman" w:hAnsi="Times New Roman" w:cs="Times New Roman"/>
          <w:b/>
          <w:sz w:val="24"/>
          <w:szCs w:val="24"/>
        </w:rPr>
        <w:t>80</w:t>
      </w:r>
      <w:r w:rsidR="00B31097" w:rsidRPr="0052360E">
        <w:rPr>
          <w:rFonts w:ascii="Times New Roman" w:hAnsi="Times New Roman" w:cs="Times New Roman"/>
          <w:sz w:val="24"/>
          <w:szCs w:val="24"/>
        </w:rPr>
        <w:t>:</w:t>
      </w:r>
      <w:r w:rsidRPr="0052360E">
        <w:rPr>
          <w:rFonts w:ascii="Times New Roman" w:hAnsi="Times New Roman" w:cs="Times New Roman"/>
          <w:sz w:val="24"/>
          <w:szCs w:val="24"/>
        </w:rPr>
        <w:t xml:space="preserve"> 27-34.</w:t>
      </w:r>
    </w:p>
    <w:p w14:paraId="02A73227" w14:textId="3369EC8A" w:rsidR="00491BF2" w:rsidRPr="0052360E" w:rsidRDefault="00B31097" w:rsidP="008C59EA">
      <w:pPr>
        <w:pStyle w:val="ListParagraph"/>
        <w:numPr>
          <w:ilvl w:val="0"/>
          <w:numId w:val="31"/>
        </w:numPr>
        <w:spacing w:line="480" w:lineRule="auto"/>
        <w:ind w:left="227"/>
        <w:rPr>
          <w:rFonts w:ascii="Times New Roman" w:hAnsi="Times New Roman" w:cs="Times New Roman"/>
          <w:sz w:val="24"/>
          <w:szCs w:val="24"/>
          <w:lang w:val="en"/>
        </w:rPr>
      </w:pPr>
      <w:r w:rsidRPr="0052360E">
        <w:rPr>
          <w:rFonts w:ascii="Times New Roman" w:hAnsi="Times New Roman" w:cs="Times New Roman"/>
          <w:sz w:val="24"/>
          <w:szCs w:val="24"/>
        </w:rPr>
        <w:t>Jenssen H &amp; Hancock REW.</w:t>
      </w:r>
      <w:r w:rsidR="00491BF2" w:rsidRPr="0052360E">
        <w:rPr>
          <w:rFonts w:ascii="Times New Roman" w:hAnsi="Times New Roman" w:cs="Times New Roman"/>
          <w:sz w:val="24"/>
          <w:szCs w:val="24"/>
        </w:rPr>
        <w:t xml:space="preserve"> Antimicrobial properties of lactoferrin.</w:t>
      </w:r>
      <w:r w:rsidR="00491BF2" w:rsidRPr="0052360E">
        <w:rPr>
          <w:rFonts w:ascii="Times New Roman" w:hAnsi="Times New Roman" w:cs="Times New Roman"/>
          <w:i/>
          <w:sz w:val="24"/>
          <w:szCs w:val="24"/>
        </w:rPr>
        <w:t xml:space="preserve"> Biochimie</w:t>
      </w:r>
      <w:r w:rsidR="00491BF2" w:rsidRPr="0052360E">
        <w:rPr>
          <w:rFonts w:ascii="Times New Roman" w:hAnsi="Times New Roman" w:cs="Times New Roman"/>
          <w:sz w:val="24"/>
          <w:szCs w:val="24"/>
        </w:rPr>
        <w:t xml:space="preserve"> </w:t>
      </w:r>
      <w:r w:rsidRPr="0052360E">
        <w:rPr>
          <w:rFonts w:ascii="Times New Roman" w:hAnsi="Times New Roman" w:cs="Times New Roman"/>
          <w:sz w:val="24"/>
          <w:szCs w:val="24"/>
        </w:rPr>
        <w:t xml:space="preserve">2009; </w:t>
      </w:r>
      <w:r w:rsidRPr="0052360E">
        <w:rPr>
          <w:rFonts w:ascii="Times New Roman" w:hAnsi="Times New Roman" w:cs="Times New Roman"/>
          <w:b/>
          <w:sz w:val="24"/>
          <w:szCs w:val="24"/>
        </w:rPr>
        <w:t>91:</w:t>
      </w:r>
      <w:r w:rsidR="00491BF2" w:rsidRPr="0052360E">
        <w:rPr>
          <w:rFonts w:ascii="Times New Roman" w:hAnsi="Times New Roman" w:cs="Times New Roman"/>
          <w:sz w:val="24"/>
          <w:szCs w:val="24"/>
        </w:rPr>
        <w:t xml:space="preserve"> 19-29.</w:t>
      </w:r>
    </w:p>
    <w:p w14:paraId="609E6EF9" w14:textId="38C20694" w:rsidR="00491BF2" w:rsidRPr="0052360E" w:rsidRDefault="00491BF2" w:rsidP="008C59EA">
      <w:pPr>
        <w:pStyle w:val="ListParagraph"/>
        <w:numPr>
          <w:ilvl w:val="0"/>
          <w:numId w:val="31"/>
        </w:numPr>
        <w:spacing w:line="480" w:lineRule="auto"/>
        <w:ind w:left="227"/>
        <w:rPr>
          <w:rFonts w:ascii="Times New Roman" w:hAnsi="Times New Roman" w:cs="Times New Roman"/>
          <w:sz w:val="24"/>
          <w:szCs w:val="24"/>
          <w:lang w:val="en"/>
        </w:rPr>
      </w:pPr>
      <w:r w:rsidRPr="0052360E">
        <w:rPr>
          <w:rFonts w:ascii="Times New Roman" w:hAnsi="Times New Roman" w:cs="Times New Roman"/>
          <w:bCs/>
          <w:sz w:val="24"/>
          <w:szCs w:val="24"/>
          <w:lang w:val="en"/>
        </w:rPr>
        <w:t>Valenti P</w:t>
      </w:r>
      <w:r w:rsidRPr="0052360E">
        <w:rPr>
          <w:rFonts w:ascii="Times New Roman" w:hAnsi="Times New Roman" w:cs="Times New Roman"/>
          <w:sz w:val="24"/>
          <w:szCs w:val="24"/>
          <w:lang w:val="en"/>
        </w:rPr>
        <w:t>, Rosa L, Capobianco D, Lepanto MS, Schiavi E, Cutone A</w:t>
      </w:r>
      <w:r w:rsidR="00B31097" w:rsidRPr="0052360E">
        <w:rPr>
          <w:rFonts w:ascii="Times New Roman" w:hAnsi="Times New Roman" w:cs="Times New Roman"/>
          <w:sz w:val="24"/>
          <w:szCs w:val="24"/>
          <w:lang w:val="en"/>
        </w:rPr>
        <w:t xml:space="preserve">, </w:t>
      </w:r>
      <w:r w:rsidR="00B31097" w:rsidRPr="0052360E">
        <w:rPr>
          <w:rFonts w:ascii="Times New Roman" w:hAnsi="Times New Roman" w:cs="Times New Roman"/>
          <w:i/>
          <w:sz w:val="24"/>
          <w:szCs w:val="24"/>
          <w:lang w:val="en"/>
        </w:rPr>
        <w:t>et al</w:t>
      </w:r>
      <w:r w:rsidR="00B31097" w:rsidRPr="0052360E">
        <w:rPr>
          <w:rFonts w:ascii="Times New Roman" w:hAnsi="Times New Roman" w:cs="Times New Roman"/>
          <w:sz w:val="24"/>
          <w:szCs w:val="24"/>
          <w:lang w:val="en"/>
        </w:rPr>
        <w:t>.</w:t>
      </w:r>
      <w:r w:rsidRPr="0052360E">
        <w:rPr>
          <w:rFonts w:ascii="Times New Roman" w:hAnsi="Times New Roman" w:cs="Times New Roman"/>
          <w:sz w:val="24"/>
          <w:szCs w:val="24"/>
          <w:lang w:val="en"/>
        </w:rPr>
        <w:t xml:space="preserve"> </w:t>
      </w:r>
      <w:hyperlink r:id="rId10" w:history="1">
        <w:r w:rsidRPr="0052360E">
          <w:rPr>
            <w:rStyle w:val="Hyperlink"/>
            <w:rFonts w:ascii="Times New Roman" w:hAnsi="Times New Roman" w:cs="Times New Roman"/>
            <w:bCs/>
            <w:color w:val="auto"/>
            <w:sz w:val="24"/>
            <w:szCs w:val="24"/>
            <w:u w:val="none"/>
            <w:lang w:val="en"/>
          </w:rPr>
          <w:t>Role</w:t>
        </w:r>
        <w:r w:rsidRPr="0052360E">
          <w:rPr>
            <w:rStyle w:val="Hyperlink"/>
            <w:rFonts w:ascii="Times New Roman" w:hAnsi="Times New Roman" w:cs="Times New Roman"/>
            <w:color w:val="auto"/>
            <w:sz w:val="24"/>
            <w:szCs w:val="24"/>
            <w:u w:val="none"/>
            <w:lang w:val="en"/>
          </w:rPr>
          <w:t xml:space="preserve"> of lactobacilli and lactoferrin in the mucosal cervicovaginal defense.</w:t>
        </w:r>
      </w:hyperlink>
      <w:r w:rsidRPr="0052360E">
        <w:rPr>
          <w:rFonts w:ascii="Times New Roman" w:hAnsi="Times New Roman" w:cs="Times New Roman"/>
          <w:sz w:val="24"/>
          <w:szCs w:val="24"/>
          <w:lang w:val="en"/>
        </w:rPr>
        <w:t xml:space="preserve"> </w:t>
      </w:r>
      <w:r w:rsidRPr="0052360E">
        <w:rPr>
          <w:rFonts w:ascii="Times New Roman" w:hAnsi="Times New Roman" w:cs="Times New Roman"/>
          <w:i/>
          <w:sz w:val="24"/>
          <w:szCs w:val="24"/>
          <w:lang w:val="en"/>
        </w:rPr>
        <w:t>Front. Immunol</w:t>
      </w:r>
      <w:r w:rsidRPr="0052360E">
        <w:rPr>
          <w:rFonts w:ascii="Times New Roman" w:hAnsi="Times New Roman" w:cs="Times New Roman"/>
          <w:sz w:val="24"/>
          <w:szCs w:val="24"/>
          <w:lang w:val="en"/>
        </w:rPr>
        <w:t>.</w:t>
      </w:r>
      <w:r w:rsidR="00B31097" w:rsidRPr="0052360E">
        <w:rPr>
          <w:rFonts w:ascii="Times New Roman" w:hAnsi="Times New Roman" w:cs="Times New Roman"/>
          <w:sz w:val="24"/>
          <w:szCs w:val="24"/>
          <w:lang w:val="en"/>
        </w:rPr>
        <w:t xml:space="preserve"> 2018;</w:t>
      </w:r>
      <w:r w:rsidRPr="0052360E">
        <w:rPr>
          <w:rFonts w:ascii="Times New Roman" w:hAnsi="Times New Roman" w:cs="Times New Roman"/>
          <w:sz w:val="24"/>
          <w:szCs w:val="24"/>
          <w:lang w:val="en"/>
        </w:rPr>
        <w:t xml:space="preserve"> </w:t>
      </w:r>
      <w:r w:rsidRPr="0052360E">
        <w:rPr>
          <w:rFonts w:ascii="Times New Roman" w:hAnsi="Times New Roman" w:cs="Times New Roman"/>
          <w:b/>
          <w:sz w:val="24"/>
          <w:szCs w:val="24"/>
          <w:lang w:val="en"/>
        </w:rPr>
        <w:t>9:</w:t>
      </w:r>
      <w:r w:rsidRPr="0052360E">
        <w:rPr>
          <w:rFonts w:ascii="Times New Roman" w:hAnsi="Times New Roman" w:cs="Times New Roman"/>
          <w:sz w:val="24"/>
          <w:szCs w:val="24"/>
          <w:lang w:val="en"/>
        </w:rPr>
        <w:t>376. doi: 10.3389/fimmu.2018.00376.</w:t>
      </w:r>
      <w:r w:rsidRPr="0052360E">
        <w:rPr>
          <w:rFonts w:ascii="Times New Roman" w:hAnsi="Times New Roman" w:cs="Times New Roman"/>
          <w:bCs/>
          <w:sz w:val="24"/>
          <w:szCs w:val="24"/>
          <w:lang w:val="en"/>
        </w:rPr>
        <w:t xml:space="preserve"> </w:t>
      </w:r>
    </w:p>
    <w:p w14:paraId="7B48C8ED" w14:textId="325AF72F" w:rsidR="00491BF2" w:rsidRPr="0052360E" w:rsidRDefault="00491BF2" w:rsidP="008C59EA">
      <w:pPr>
        <w:pStyle w:val="ListParagraph"/>
        <w:numPr>
          <w:ilvl w:val="0"/>
          <w:numId w:val="31"/>
        </w:numPr>
        <w:spacing w:line="480" w:lineRule="auto"/>
        <w:ind w:left="227"/>
        <w:rPr>
          <w:rFonts w:ascii="Times New Roman" w:hAnsi="Times New Roman" w:cs="Times New Roman"/>
          <w:sz w:val="24"/>
          <w:szCs w:val="24"/>
        </w:rPr>
      </w:pPr>
      <w:r w:rsidRPr="0052360E">
        <w:rPr>
          <w:rFonts w:ascii="Times New Roman" w:hAnsi="Times New Roman" w:cs="Times New Roman"/>
          <w:bCs/>
          <w:sz w:val="24"/>
          <w:szCs w:val="24"/>
          <w:lang w:val="en"/>
        </w:rPr>
        <w:t>Delgado-Rizo V</w:t>
      </w:r>
      <w:r w:rsidRPr="0052360E">
        <w:rPr>
          <w:rFonts w:ascii="Times New Roman" w:hAnsi="Times New Roman" w:cs="Times New Roman"/>
          <w:sz w:val="24"/>
          <w:szCs w:val="24"/>
          <w:lang w:val="en"/>
        </w:rPr>
        <w:t>, Martínez-Guzmán MA, Iñiguez-Gutierrez L, García-Orozco A, Alvarado-Nav</w:t>
      </w:r>
      <w:r w:rsidR="00B31097" w:rsidRPr="0052360E">
        <w:rPr>
          <w:rFonts w:ascii="Times New Roman" w:hAnsi="Times New Roman" w:cs="Times New Roman"/>
          <w:sz w:val="24"/>
          <w:szCs w:val="24"/>
          <w:lang w:val="en"/>
        </w:rPr>
        <w:t>arro A, Fafutis-Morris M.</w:t>
      </w:r>
      <w:r w:rsidRPr="0052360E">
        <w:rPr>
          <w:rFonts w:ascii="Times New Roman" w:hAnsi="Times New Roman" w:cs="Times New Roman"/>
          <w:sz w:val="24"/>
          <w:szCs w:val="24"/>
          <w:lang w:val="en"/>
        </w:rPr>
        <w:t xml:space="preserve"> </w:t>
      </w:r>
      <w:hyperlink r:id="rId11" w:history="1">
        <w:r w:rsidR="00EA6752" w:rsidRPr="0052360E">
          <w:rPr>
            <w:rStyle w:val="Hyperlink"/>
            <w:rFonts w:ascii="Times New Roman" w:hAnsi="Times New Roman" w:cs="Times New Roman"/>
            <w:bCs/>
            <w:color w:val="auto"/>
            <w:sz w:val="24"/>
            <w:szCs w:val="24"/>
            <w:u w:val="none"/>
            <w:lang w:val="en"/>
          </w:rPr>
          <w:t>Neutrophil extracellular t</w:t>
        </w:r>
        <w:r w:rsidRPr="0052360E">
          <w:rPr>
            <w:rStyle w:val="Hyperlink"/>
            <w:rFonts w:ascii="Times New Roman" w:hAnsi="Times New Roman" w:cs="Times New Roman"/>
            <w:bCs/>
            <w:color w:val="auto"/>
            <w:sz w:val="24"/>
            <w:szCs w:val="24"/>
            <w:u w:val="none"/>
            <w:lang w:val="en"/>
          </w:rPr>
          <w:t>raps</w:t>
        </w:r>
        <w:r w:rsidR="00EA6752" w:rsidRPr="0052360E">
          <w:rPr>
            <w:rStyle w:val="Hyperlink"/>
            <w:rFonts w:ascii="Times New Roman" w:hAnsi="Times New Roman" w:cs="Times New Roman"/>
            <w:color w:val="auto"/>
            <w:sz w:val="24"/>
            <w:szCs w:val="24"/>
            <w:u w:val="none"/>
            <w:lang w:val="en"/>
          </w:rPr>
          <w:t xml:space="preserve"> and its i</w:t>
        </w:r>
        <w:r w:rsidRPr="0052360E">
          <w:rPr>
            <w:rStyle w:val="Hyperlink"/>
            <w:rFonts w:ascii="Times New Roman" w:hAnsi="Times New Roman" w:cs="Times New Roman"/>
            <w:color w:val="auto"/>
            <w:sz w:val="24"/>
            <w:szCs w:val="24"/>
            <w:u w:val="none"/>
            <w:lang w:val="en"/>
          </w:rPr>
          <w:t xml:space="preserve">mplications in </w:t>
        </w:r>
        <w:r w:rsidR="00EA6752" w:rsidRPr="0052360E">
          <w:rPr>
            <w:rStyle w:val="Hyperlink"/>
            <w:rFonts w:ascii="Times New Roman" w:hAnsi="Times New Roman" w:cs="Times New Roman"/>
            <w:color w:val="auto"/>
            <w:sz w:val="24"/>
            <w:szCs w:val="24"/>
            <w:u w:val="none"/>
            <w:lang w:val="en"/>
          </w:rPr>
          <w:t>inflammation: an o</w:t>
        </w:r>
        <w:r w:rsidRPr="0052360E">
          <w:rPr>
            <w:rStyle w:val="Hyperlink"/>
            <w:rFonts w:ascii="Times New Roman" w:hAnsi="Times New Roman" w:cs="Times New Roman"/>
            <w:color w:val="auto"/>
            <w:sz w:val="24"/>
            <w:szCs w:val="24"/>
            <w:u w:val="none"/>
            <w:lang w:val="en"/>
          </w:rPr>
          <w:t>verview.</w:t>
        </w:r>
      </w:hyperlink>
      <w:r w:rsidRPr="0052360E">
        <w:rPr>
          <w:rFonts w:ascii="Times New Roman" w:hAnsi="Times New Roman" w:cs="Times New Roman"/>
          <w:sz w:val="24"/>
          <w:szCs w:val="24"/>
          <w:lang w:val="en"/>
        </w:rPr>
        <w:t xml:space="preserve"> </w:t>
      </w:r>
      <w:r w:rsidRPr="0052360E">
        <w:rPr>
          <w:rFonts w:ascii="Times New Roman" w:hAnsi="Times New Roman" w:cs="Times New Roman"/>
          <w:i/>
          <w:sz w:val="24"/>
          <w:szCs w:val="24"/>
          <w:lang w:val="en"/>
        </w:rPr>
        <w:t>Front. Immunol</w:t>
      </w:r>
      <w:r w:rsidRPr="0052360E">
        <w:rPr>
          <w:rFonts w:ascii="Times New Roman" w:hAnsi="Times New Roman" w:cs="Times New Roman"/>
          <w:sz w:val="24"/>
          <w:szCs w:val="24"/>
          <w:lang w:val="en"/>
        </w:rPr>
        <w:t xml:space="preserve">. </w:t>
      </w:r>
      <w:r w:rsidR="00B31097" w:rsidRPr="0052360E">
        <w:rPr>
          <w:rFonts w:ascii="Times New Roman" w:hAnsi="Times New Roman" w:cs="Times New Roman"/>
          <w:sz w:val="24"/>
          <w:szCs w:val="24"/>
          <w:lang w:val="en"/>
        </w:rPr>
        <w:t xml:space="preserve">2017; </w:t>
      </w:r>
      <w:r w:rsidRPr="0052360E">
        <w:rPr>
          <w:rFonts w:ascii="Times New Roman" w:hAnsi="Times New Roman" w:cs="Times New Roman"/>
          <w:b/>
          <w:sz w:val="24"/>
          <w:szCs w:val="24"/>
          <w:lang w:val="en"/>
        </w:rPr>
        <w:t>8</w:t>
      </w:r>
      <w:r w:rsidRPr="0052360E">
        <w:rPr>
          <w:rFonts w:ascii="Times New Roman" w:hAnsi="Times New Roman" w:cs="Times New Roman"/>
          <w:sz w:val="24"/>
          <w:szCs w:val="24"/>
          <w:lang w:val="en"/>
        </w:rPr>
        <w:t>:81. doi:10.3389/fimmu.2017.00081.</w:t>
      </w:r>
      <w:r w:rsidRPr="0052360E">
        <w:rPr>
          <w:rFonts w:ascii="Times New Roman" w:hAnsi="Times New Roman" w:cs="Times New Roman"/>
          <w:sz w:val="24"/>
          <w:szCs w:val="24"/>
        </w:rPr>
        <w:t xml:space="preserve"> </w:t>
      </w:r>
    </w:p>
    <w:p w14:paraId="2C79FB42" w14:textId="4CD6AA70" w:rsidR="00EA6752" w:rsidRPr="0052360E" w:rsidRDefault="00491BF2" w:rsidP="008C59EA">
      <w:pPr>
        <w:pStyle w:val="ListParagraph"/>
        <w:numPr>
          <w:ilvl w:val="0"/>
          <w:numId w:val="31"/>
        </w:numPr>
        <w:spacing w:line="480" w:lineRule="auto"/>
        <w:ind w:left="227"/>
        <w:rPr>
          <w:rFonts w:ascii="Times New Roman" w:hAnsi="Times New Roman" w:cs="Times New Roman"/>
          <w:sz w:val="24"/>
          <w:szCs w:val="24"/>
        </w:rPr>
      </w:pPr>
      <w:r w:rsidRPr="0052360E">
        <w:rPr>
          <w:rFonts w:ascii="Times New Roman" w:hAnsi="Times New Roman" w:cs="Times New Roman"/>
          <w:sz w:val="24"/>
          <w:szCs w:val="24"/>
        </w:rPr>
        <w:t xml:space="preserve"> </w:t>
      </w:r>
      <w:r w:rsidR="00EA6752" w:rsidRPr="0052360E">
        <w:rPr>
          <w:rFonts w:ascii="Times New Roman" w:hAnsi="Times New Roman" w:cs="Times New Roman"/>
          <w:sz w:val="24"/>
          <w:szCs w:val="24"/>
        </w:rPr>
        <w:t>Brabin</w:t>
      </w:r>
      <w:r w:rsidR="00B31097" w:rsidRPr="0052360E">
        <w:rPr>
          <w:rFonts w:ascii="Times New Roman" w:hAnsi="Times New Roman" w:cs="Times New Roman"/>
          <w:sz w:val="24"/>
          <w:szCs w:val="24"/>
        </w:rPr>
        <w:t xml:space="preserve"> L, Brabin BJ, Gies S.</w:t>
      </w:r>
      <w:r w:rsidR="00EA6752" w:rsidRPr="0052360E">
        <w:rPr>
          <w:rFonts w:ascii="Times New Roman" w:hAnsi="Times New Roman" w:cs="Times New Roman"/>
          <w:sz w:val="24"/>
          <w:szCs w:val="24"/>
        </w:rPr>
        <w:t xml:space="preserve"> Influence of iron status on risk of maternal or neonatal infection and on neonatal mortality with an emphasis on developing countries. </w:t>
      </w:r>
      <w:r w:rsidR="00EA6752" w:rsidRPr="0052360E">
        <w:rPr>
          <w:rFonts w:ascii="Times New Roman" w:hAnsi="Times New Roman" w:cs="Times New Roman"/>
          <w:i/>
          <w:sz w:val="24"/>
          <w:szCs w:val="24"/>
        </w:rPr>
        <w:t>Nutr. Rev</w:t>
      </w:r>
      <w:r w:rsidR="00EA6752" w:rsidRPr="0052360E">
        <w:rPr>
          <w:rFonts w:ascii="Times New Roman" w:hAnsi="Times New Roman" w:cs="Times New Roman"/>
          <w:sz w:val="24"/>
          <w:szCs w:val="24"/>
        </w:rPr>
        <w:t xml:space="preserve">. </w:t>
      </w:r>
      <w:r w:rsidR="00B31097" w:rsidRPr="0052360E">
        <w:rPr>
          <w:rFonts w:ascii="Times New Roman" w:hAnsi="Times New Roman" w:cs="Times New Roman"/>
          <w:sz w:val="24"/>
          <w:szCs w:val="24"/>
        </w:rPr>
        <w:t xml:space="preserve">2013; </w:t>
      </w:r>
      <w:r w:rsidR="00EA6752" w:rsidRPr="0052360E">
        <w:rPr>
          <w:rFonts w:ascii="Times New Roman" w:hAnsi="Times New Roman" w:cs="Times New Roman"/>
          <w:b/>
          <w:sz w:val="24"/>
          <w:szCs w:val="24"/>
        </w:rPr>
        <w:t>71</w:t>
      </w:r>
      <w:r w:rsidR="00B31097" w:rsidRPr="0052360E">
        <w:rPr>
          <w:rFonts w:ascii="Times New Roman" w:hAnsi="Times New Roman" w:cs="Times New Roman"/>
          <w:b/>
          <w:sz w:val="24"/>
          <w:szCs w:val="24"/>
        </w:rPr>
        <w:t>:</w:t>
      </w:r>
      <w:r w:rsidR="00EA6752" w:rsidRPr="0052360E">
        <w:rPr>
          <w:rFonts w:ascii="Times New Roman" w:hAnsi="Times New Roman" w:cs="Times New Roman"/>
          <w:sz w:val="24"/>
          <w:szCs w:val="24"/>
        </w:rPr>
        <w:t xml:space="preserve"> 528-540.</w:t>
      </w:r>
    </w:p>
    <w:p w14:paraId="3924BDF8" w14:textId="187A121E" w:rsidR="00491BF2" w:rsidRPr="0052360E" w:rsidRDefault="00B31097" w:rsidP="008C59EA">
      <w:pPr>
        <w:pStyle w:val="ListParagraph"/>
        <w:numPr>
          <w:ilvl w:val="0"/>
          <w:numId w:val="31"/>
        </w:numPr>
        <w:spacing w:line="480" w:lineRule="auto"/>
        <w:ind w:left="227"/>
        <w:rPr>
          <w:rFonts w:ascii="Times New Roman" w:hAnsi="Times New Roman" w:cs="Times New Roman"/>
          <w:sz w:val="24"/>
          <w:szCs w:val="24"/>
        </w:rPr>
      </w:pPr>
      <w:r w:rsidRPr="0052360E">
        <w:rPr>
          <w:rFonts w:ascii="Times New Roman" w:hAnsi="Times New Roman" w:cs="Times New Roman"/>
          <w:sz w:val="24"/>
          <w:szCs w:val="24"/>
        </w:rPr>
        <w:t xml:space="preserve">Ganz T. </w:t>
      </w:r>
      <w:r w:rsidR="00491BF2" w:rsidRPr="0052360E">
        <w:rPr>
          <w:rFonts w:ascii="Times New Roman" w:hAnsi="Times New Roman" w:cs="Times New Roman"/>
          <w:sz w:val="24"/>
          <w:szCs w:val="24"/>
        </w:rPr>
        <w:t xml:space="preserve">Iron and Infection. </w:t>
      </w:r>
      <w:r w:rsidR="00491BF2" w:rsidRPr="0052360E">
        <w:rPr>
          <w:rFonts w:ascii="Times New Roman" w:hAnsi="Times New Roman" w:cs="Times New Roman"/>
          <w:i/>
          <w:sz w:val="24"/>
          <w:szCs w:val="24"/>
        </w:rPr>
        <w:t>Int. J. Hematol</w:t>
      </w:r>
      <w:r w:rsidR="00491BF2" w:rsidRPr="0052360E">
        <w:rPr>
          <w:rFonts w:ascii="Times New Roman" w:hAnsi="Times New Roman" w:cs="Times New Roman"/>
          <w:sz w:val="24"/>
          <w:szCs w:val="24"/>
        </w:rPr>
        <w:t xml:space="preserve">. </w:t>
      </w:r>
      <w:r w:rsidRPr="0052360E">
        <w:rPr>
          <w:rFonts w:ascii="Times New Roman" w:hAnsi="Times New Roman" w:cs="Times New Roman"/>
          <w:sz w:val="24"/>
          <w:szCs w:val="24"/>
        </w:rPr>
        <w:t xml:space="preserve">2018; </w:t>
      </w:r>
      <w:r w:rsidRPr="0052360E">
        <w:rPr>
          <w:rFonts w:ascii="Times New Roman" w:hAnsi="Times New Roman" w:cs="Times New Roman"/>
          <w:b/>
          <w:sz w:val="24"/>
          <w:szCs w:val="24"/>
        </w:rPr>
        <w:t>107:</w:t>
      </w:r>
      <w:r w:rsidR="00491BF2" w:rsidRPr="0052360E">
        <w:rPr>
          <w:rFonts w:ascii="Times New Roman" w:hAnsi="Times New Roman" w:cs="Times New Roman"/>
          <w:sz w:val="24"/>
          <w:szCs w:val="24"/>
        </w:rPr>
        <w:t xml:space="preserve"> 7-15.</w:t>
      </w:r>
    </w:p>
    <w:p w14:paraId="4E016D37" w14:textId="53195631" w:rsidR="00491BF2" w:rsidRPr="0052360E" w:rsidRDefault="00B31097" w:rsidP="008C59EA">
      <w:pPr>
        <w:pStyle w:val="ListParagraph"/>
        <w:numPr>
          <w:ilvl w:val="0"/>
          <w:numId w:val="31"/>
        </w:numPr>
        <w:spacing w:line="480" w:lineRule="auto"/>
        <w:ind w:left="227"/>
        <w:rPr>
          <w:rFonts w:ascii="Times New Roman" w:hAnsi="Times New Roman" w:cs="Times New Roman"/>
          <w:sz w:val="24"/>
          <w:szCs w:val="24"/>
        </w:rPr>
      </w:pPr>
      <w:r w:rsidRPr="0052360E">
        <w:rPr>
          <w:rFonts w:ascii="Times New Roman" w:hAnsi="Times New Roman" w:cs="Times New Roman"/>
          <w:sz w:val="24"/>
          <w:szCs w:val="24"/>
        </w:rPr>
        <w:t>Tang L-J</w:t>
      </w:r>
      <w:r w:rsidR="00491BF2" w:rsidRPr="0052360E">
        <w:rPr>
          <w:rFonts w:ascii="Times New Roman" w:hAnsi="Times New Roman" w:cs="Times New Roman"/>
          <w:sz w:val="24"/>
          <w:szCs w:val="24"/>
        </w:rPr>
        <w:t xml:space="preserve">, </w:t>
      </w:r>
      <w:r w:rsidRPr="0052360E">
        <w:rPr>
          <w:rFonts w:ascii="Times New Roman" w:hAnsi="Times New Roman" w:cs="Times New Roman"/>
          <w:sz w:val="24"/>
          <w:szCs w:val="24"/>
          <w:lang w:val="fr-SN"/>
        </w:rPr>
        <w:t>De Seta F, Odreman F</w:t>
      </w:r>
      <w:r w:rsidR="00491BF2" w:rsidRPr="0052360E">
        <w:rPr>
          <w:rFonts w:ascii="Times New Roman" w:hAnsi="Times New Roman" w:cs="Times New Roman"/>
          <w:sz w:val="24"/>
          <w:szCs w:val="24"/>
          <w:lang w:val="fr-SN"/>
        </w:rPr>
        <w:t xml:space="preserve">, </w:t>
      </w:r>
      <w:r w:rsidRPr="0052360E">
        <w:rPr>
          <w:rFonts w:ascii="Times New Roman" w:hAnsi="Times New Roman" w:cs="Times New Roman"/>
          <w:sz w:val="24"/>
          <w:szCs w:val="24"/>
          <w:lang w:val="fr-FR"/>
        </w:rPr>
        <w:t>Venge P, Piva C, Guaschino, S</w:t>
      </w:r>
      <w:r w:rsidR="00491BF2" w:rsidRPr="0052360E">
        <w:rPr>
          <w:rFonts w:ascii="Times New Roman" w:hAnsi="Times New Roman" w:cs="Times New Roman"/>
          <w:sz w:val="24"/>
          <w:szCs w:val="24"/>
          <w:lang w:val="fr-FR"/>
        </w:rPr>
        <w:t xml:space="preserve">, </w:t>
      </w:r>
      <w:r w:rsidR="00491BF2" w:rsidRPr="0052360E">
        <w:rPr>
          <w:rFonts w:ascii="Times New Roman" w:hAnsi="Times New Roman" w:cs="Times New Roman"/>
          <w:i/>
          <w:sz w:val="24"/>
          <w:szCs w:val="24"/>
        </w:rPr>
        <w:t>et al.</w:t>
      </w:r>
      <w:r w:rsidR="00491BF2" w:rsidRPr="0052360E">
        <w:rPr>
          <w:rFonts w:ascii="Times New Roman" w:hAnsi="Times New Roman" w:cs="Times New Roman"/>
          <w:sz w:val="24"/>
          <w:szCs w:val="24"/>
        </w:rPr>
        <w:t xml:space="preserve"> Proteomic analysis of human cervical-vaginal fluids. </w:t>
      </w:r>
      <w:r w:rsidR="00491BF2" w:rsidRPr="0052360E">
        <w:rPr>
          <w:rFonts w:ascii="Times New Roman" w:hAnsi="Times New Roman" w:cs="Times New Roman"/>
          <w:i/>
          <w:sz w:val="24"/>
          <w:szCs w:val="24"/>
        </w:rPr>
        <w:t>J. Prot. Res</w:t>
      </w:r>
      <w:r w:rsidR="00491BF2" w:rsidRPr="0052360E">
        <w:rPr>
          <w:rFonts w:ascii="Times New Roman" w:hAnsi="Times New Roman" w:cs="Times New Roman"/>
          <w:sz w:val="24"/>
          <w:szCs w:val="24"/>
        </w:rPr>
        <w:t xml:space="preserve">. </w:t>
      </w:r>
      <w:r w:rsidRPr="0052360E">
        <w:rPr>
          <w:rFonts w:ascii="Times New Roman" w:hAnsi="Times New Roman" w:cs="Times New Roman"/>
          <w:sz w:val="24"/>
          <w:szCs w:val="24"/>
        </w:rPr>
        <w:t xml:space="preserve">2007; </w:t>
      </w:r>
      <w:r w:rsidRPr="0052360E">
        <w:rPr>
          <w:rFonts w:ascii="Times New Roman" w:hAnsi="Times New Roman" w:cs="Times New Roman"/>
          <w:b/>
          <w:sz w:val="24"/>
          <w:szCs w:val="24"/>
        </w:rPr>
        <w:t>6:</w:t>
      </w:r>
      <w:r w:rsidR="00491BF2" w:rsidRPr="0052360E">
        <w:rPr>
          <w:rFonts w:ascii="Times New Roman" w:hAnsi="Times New Roman" w:cs="Times New Roman"/>
          <w:sz w:val="24"/>
          <w:szCs w:val="24"/>
        </w:rPr>
        <w:t xml:space="preserve"> 2874-2883.</w:t>
      </w:r>
    </w:p>
    <w:p w14:paraId="7C7FDF01" w14:textId="59F06005" w:rsidR="00BC66D5" w:rsidRPr="0052360E" w:rsidRDefault="00B31097" w:rsidP="008C59EA">
      <w:pPr>
        <w:pStyle w:val="ListParagraph"/>
        <w:numPr>
          <w:ilvl w:val="0"/>
          <w:numId w:val="31"/>
        </w:numPr>
        <w:spacing w:line="480" w:lineRule="auto"/>
        <w:ind w:left="227"/>
        <w:rPr>
          <w:rFonts w:ascii="Times New Roman" w:hAnsi="Times New Roman" w:cs="Times New Roman"/>
          <w:sz w:val="24"/>
          <w:szCs w:val="24"/>
        </w:rPr>
      </w:pPr>
      <w:r w:rsidRPr="0052360E">
        <w:rPr>
          <w:rFonts w:ascii="Times New Roman" w:hAnsi="Times New Roman" w:cs="Times New Roman"/>
          <w:sz w:val="24"/>
          <w:szCs w:val="24"/>
        </w:rPr>
        <w:t>Spear TS, Kendrick SR, Chen HY, Thomas TT</w:t>
      </w:r>
      <w:r w:rsidR="00491BF2" w:rsidRPr="0052360E">
        <w:rPr>
          <w:rFonts w:ascii="Times New Roman" w:hAnsi="Times New Roman" w:cs="Times New Roman"/>
          <w:sz w:val="24"/>
          <w:szCs w:val="24"/>
        </w:rPr>
        <w:t>, Bahk,</w:t>
      </w:r>
      <w:r w:rsidRPr="0052360E">
        <w:rPr>
          <w:rFonts w:ascii="Times New Roman" w:hAnsi="Times New Roman" w:cs="Times New Roman"/>
          <w:sz w:val="24"/>
          <w:szCs w:val="24"/>
        </w:rPr>
        <w:t xml:space="preserve"> M, Balderas</w:t>
      </w:r>
      <w:r w:rsidR="00491BF2" w:rsidRPr="0052360E">
        <w:rPr>
          <w:rFonts w:ascii="Times New Roman" w:hAnsi="Times New Roman" w:cs="Times New Roman"/>
          <w:sz w:val="24"/>
          <w:szCs w:val="24"/>
        </w:rPr>
        <w:t xml:space="preserve"> R. </w:t>
      </w:r>
      <w:r w:rsidR="00491BF2" w:rsidRPr="0052360E">
        <w:rPr>
          <w:rFonts w:ascii="Times New Roman" w:hAnsi="Times New Roman" w:cs="Times New Roman"/>
          <w:i/>
          <w:sz w:val="24"/>
          <w:szCs w:val="24"/>
        </w:rPr>
        <w:t>et al.</w:t>
      </w:r>
      <w:r w:rsidR="00491BF2" w:rsidRPr="0052360E">
        <w:rPr>
          <w:rFonts w:ascii="Times New Roman" w:hAnsi="Times New Roman" w:cs="Times New Roman"/>
          <w:sz w:val="24"/>
          <w:szCs w:val="24"/>
        </w:rPr>
        <w:t xml:space="preserve"> Multiplex immunoassay of lower genital tract mucosal fluid from women attending an urban STD clinic shows broadly increased IL1β and lactoferrin. </w:t>
      </w:r>
      <w:r w:rsidR="00491BF2" w:rsidRPr="0052360E">
        <w:rPr>
          <w:rFonts w:ascii="Times New Roman" w:hAnsi="Times New Roman" w:cs="Times New Roman"/>
          <w:i/>
          <w:sz w:val="24"/>
          <w:szCs w:val="24"/>
        </w:rPr>
        <w:t>PLOS ONE</w:t>
      </w:r>
      <w:r w:rsidR="00491BF2" w:rsidRPr="0052360E">
        <w:rPr>
          <w:rFonts w:ascii="Times New Roman" w:hAnsi="Times New Roman" w:cs="Times New Roman"/>
          <w:sz w:val="24"/>
          <w:szCs w:val="24"/>
        </w:rPr>
        <w:t xml:space="preserve"> </w:t>
      </w:r>
      <w:r w:rsidRPr="0052360E">
        <w:rPr>
          <w:rFonts w:ascii="Times New Roman" w:hAnsi="Times New Roman" w:cs="Times New Roman"/>
          <w:sz w:val="24"/>
          <w:szCs w:val="24"/>
        </w:rPr>
        <w:t xml:space="preserve">2011; </w:t>
      </w:r>
      <w:r w:rsidRPr="0052360E">
        <w:rPr>
          <w:rFonts w:ascii="Times New Roman" w:hAnsi="Times New Roman" w:cs="Times New Roman"/>
          <w:b/>
          <w:sz w:val="24"/>
          <w:szCs w:val="24"/>
        </w:rPr>
        <w:t>6</w:t>
      </w:r>
      <w:r w:rsidRPr="0052360E">
        <w:rPr>
          <w:rFonts w:ascii="Times New Roman" w:hAnsi="Times New Roman" w:cs="Times New Roman"/>
          <w:sz w:val="24"/>
          <w:szCs w:val="24"/>
        </w:rPr>
        <w:t>:</w:t>
      </w:r>
      <w:r w:rsidR="00491BF2" w:rsidRPr="0052360E">
        <w:rPr>
          <w:rFonts w:ascii="Times New Roman" w:hAnsi="Times New Roman" w:cs="Times New Roman"/>
          <w:sz w:val="24"/>
          <w:szCs w:val="24"/>
        </w:rPr>
        <w:t xml:space="preserve"> e19560.</w:t>
      </w:r>
    </w:p>
    <w:p w14:paraId="0324582F" w14:textId="77777777" w:rsidR="00A03F8F" w:rsidRPr="0052360E" w:rsidRDefault="00BC66D5" w:rsidP="008C59EA">
      <w:pPr>
        <w:pStyle w:val="ListParagraph"/>
        <w:numPr>
          <w:ilvl w:val="0"/>
          <w:numId w:val="31"/>
        </w:numPr>
        <w:spacing w:line="480" w:lineRule="auto"/>
        <w:ind w:left="227"/>
        <w:rPr>
          <w:rFonts w:ascii="Times New Roman" w:hAnsi="Times New Roman" w:cs="Times New Roman"/>
          <w:sz w:val="24"/>
          <w:szCs w:val="24"/>
        </w:rPr>
      </w:pPr>
      <w:r w:rsidRPr="0052360E">
        <w:rPr>
          <w:rFonts w:ascii="Times New Roman" w:hAnsi="Times New Roman" w:cs="Times New Roman"/>
          <w:sz w:val="24"/>
          <w:szCs w:val="24"/>
        </w:rPr>
        <w:t>Novak</w:t>
      </w:r>
      <w:r w:rsidR="00B31097" w:rsidRPr="0052360E">
        <w:rPr>
          <w:rFonts w:ascii="Times New Roman" w:hAnsi="Times New Roman" w:cs="Times New Roman"/>
          <w:sz w:val="24"/>
          <w:szCs w:val="24"/>
        </w:rPr>
        <w:t xml:space="preserve"> RM, Donoval</w:t>
      </w:r>
      <w:r w:rsidRPr="0052360E">
        <w:rPr>
          <w:rFonts w:ascii="Times New Roman" w:hAnsi="Times New Roman" w:cs="Times New Roman"/>
          <w:sz w:val="24"/>
          <w:szCs w:val="24"/>
        </w:rPr>
        <w:t xml:space="preserve"> BA</w:t>
      </w:r>
      <w:r w:rsidR="00B31097" w:rsidRPr="0052360E">
        <w:rPr>
          <w:rFonts w:ascii="Times New Roman" w:hAnsi="Times New Roman" w:cs="Times New Roman"/>
          <w:sz w:val="24"/>
          <w:szCs w:val="24"/>
        </w:rPr>
        <w:t>, Graham PJ, Boksa LA</w:t>
      </w:r>
      <w:r w:rsidRPr="0052360E">
        <w:rPr>
          <w:rFonts w:ascii="Times New Roman" w:hAnsi="Times New Roman" w:cs="Times New Roman"/>
          <w:sz w:val="24"/>
          <w:szCs w:val="24"/>
        </w:rPr>
        <w:t>, Spea</w:t>
      </w:r>
      <w:r w:rsidR="00B31097" w:rsidRPr="0052360E">
        <w:rPr>
          <w:rFonts w:ascii="Times New Roman" w:hAnsi="Times New Roman" w:cs="Times New Roman"/>
          <w:sz w:val="24"/>
          <w:szCs w:val="24"/>
        </w:rPr>
        <w:t>r G, Hershow RC.</w:t>
      </w:r>
      <w:r w:rsidRPr="0052360E">
        <w:rPr>
          <w:rFonts w:ascii="Times New Roman" w:hAnsi="Times New Roman" w:cs="Times New Roman"/>
          <w:sz w:val="24"/>
          <w:szCs w:val="24"/>
        </w:rPr>
        <w:t xml:space="preserve"> </w:t>
      </w:r>
      <w:r w:rsidRPr="0052360E">
        <w:rPr>
          <w:rFonts w:ascii="Times New Roman" w:hAnsi="Times New Roman" w:cs="Times New Roman"/>
          <w:i/>
          <w:sz w:val="24"/>
          <w:szCs w:val="24"/>
        </w:rPr>
        <w:t>et al.</w:t>
      </w:r>
      <w:r w:rsidRPr="0052360E">
        <w:rPr>
          <w:rFonts w:ascii="Times New Roman" w:hAnsi="Times New Roman" w:cs="Times New Roman"/>
          <w:sz w:val="24"/>
          <w:szCs w:val="24"/>
        </w:rPr>
        <w:t xml:space="preserve">Cervicovaginal levels of lactoferrin, secretory leukocyte protease inhibitor, and RANTES and the effects of co-existing vaginoses in human immunodeficiency virus (HIV)-seronegative women with a high risk of heterosexual acquisition of HIV infection. </w:t>
      </w:r>
      <w:r w:rsidRPr="0052360E">
        <w:rPr>
          <w:rFonts w:ascii="Times New Roman" w:hAnsi="Times New Roman" w:cs="Times New Roman"/>
          <w:i/>
          <w:sz w:val="24"/>
          <w:szCs w:val="24"/>
        </w:rPr>
        <w:t>Clin. Vaccine Immunol.</w:t>
      </w:r>
      <w:r w:rsidRPr="0052360E">
        <w:rPr>
          <w:rFonts w:ascii="Times New Roman" w:hAnsi="Times New Roman" w:cs="Times New Roman"/>
          <w:sz w:val="24"/>
          <w:szCs w:val="24"/>
        </w:rPr>
        <w:t xml:space="preserve"> </w:t>
      </w:r>
      <w:r w:rsidR="00B31097" w:rsidRPr="0052360E">
        <w:rPr>
          <w:rFonts w:ascii="Times New Roman" w:hAnsi="Times New Roman" w:cs="Times New Roman"/>
          <w:sz w:val="24"/>
          <w:szCs w:val="24"/>
        </w:rPr>
        <w:t xml:space="preserve">2007; </w:t>
      </w:r>
      <w:r w:rsidR="00B31097" w:rsidRPr="0052360E">
        <w:rPr>
          <w:rFonts w:ascii="Times New Roman" w:hAnsi="Times New Roman" w:cs="Times New Roman"/>
          <w:b/>
          <w:sz w:val="24"/>
          <w:szCs w:val="24"/>
        </w:rPr>
        <w:t>14:</w:t>
      </w:r>
      <w:r w:rsidRPr="0052360E">
        <w:rPr>
          <w:rFonts w:ascii="Times New Roman" w:hAnsi="Times New Roman" w:cs="Times New Roman"/>
          <w:sz w:val="24"/>
          <w:szCs w:val="24"/>
        </w:rPr>
        <w:t xml:space="preserve"> 1102-1107.</w:t>
      </w:r>
    </w:p>
    <w:p w14:paraId="59AF5734" w14:textId="2457A89E" w:rsidR="00491BF2" w:rsidRPr="0052360E" w:rsidRDefault="00BC66D5" w:rsidP="008C59EA">
      <w:pPr>
        <w:pStyle w:val="ListParagraph"/>
        <w:numPr>
          <w:ilvl w:val="0"/>
          <w:numId w:val="31"/>
        </w:numPr>
        <w:spacing w:line="480" w:lineRule="auto"/>
        <w:ind w:left="227"/>
        <w:rPr>
          <w:rFonts w:ascii="Times New Roman" w:hAnsi="Times New Roman" w:cs="Times New Roman"/>
          <w:sz w:val="24"/>
          <w:szCs w:val="24"/>
        </w:rPr>
      </w:pPr>
      <w:r w:rsidRPr="0052360E">
        <w:rPr>
          <w:rFonts w:ascii="Times New Roman" w:hAnsi="Times New Roman" w:cs="Times New Roman"/>
          <w:sz w:val="24"/>
          <w:szCs w:val="24"/>
        </w:rPr>
        <w:t xml:space="preserve">GP &amp; Land CB. Identification of a human lactoferrin-binding protein in </w:t>
      </w:r>
      <w:r w:rsidRPr="0052360E">
        <w:rPr>
          <w:rFonts w:ascii="Times New Roman" w:hAnsi="Times New Roman" w:cs="Times New Roman"/>
          <w:i/>
          <w:sz w:val="24"/>
          <w:szCs w:val="24"/>
        </w:rPr>
        <w:t>Gardnerella vaginalis.</w:t>
      </w:r>
      <w:r w:rsidRPr="0052360E">
        <w:rPr>
          <w:rFonts w:ascii="Times New Roman" w:hAnsi="Times New Roman" w:cs="Times New Roman"/>
          <w:sz w:val="24"/>
          <w:szCs w:val="24"/>
        </w:rPr>
        <w:t xml:space="preserve"> </w:t>
      </w:r>
      <w:r w:rsidRPr="0052360E">
        <w:rPr>
          <w:rFonts w:ascii="Times New Roman" w:hAnsi="Times New Roman" w:cs="Times New Roman"/>
          <w:i/>
          <w:sz w:val="24"/>
          <w:szCs w:val="24"/>
        </w:rPr>
        <w:t>Infect Immun</w:t>
      </w:r>
      <w:r w:rsidRPr="0052360E">
        <w:rPr>
          <w:rFonts w:ascii="Times New Roman" w:hAnsi="Times New Roman" w:cs="Times New Roman"/>
          <w:sz w:val="24"/>
          <w:szCs w:val="24"/>
        </w:rPr>
        <w:t xml:space="preserve"> 2000; </w:t>
      </w:r>
      <w:r w:rsidRPr="0052360E">
        <w:rPr>
          <w:rFonts w:ascii="Times New Roman" w:hAnsi="Times New Roman" w:cs="Times New Roman"/>
          <w:b/>
          <w:sz w:val="24"/>
          <w:szCs w:val="24"/>
        </w:rPr>
        <w:t>68</w:t>
      </w:r>
      <w:r w:rsidRPr="0052360E">
        <w:rPr>
          <w:rFonts w:ascii="Times New Roman" w:hAnsi="Times New Roman" w:cs="Times New Roman"/>
          <w:sz w:val="24"/>
          <w:szCs w:val="24"/>
        </w:rPr>
        <w:t>: 3443-</w:t>
      </w:r>
      <w:r w:rsidR="00A03F8F" w:rsidRPr="0052360E">
        <w:rPr>
          <w:rFonts w:ascii="Times New Roman" w:hAnsi="Times New Roman" w:cs="Times New Roman"/>
          <w:sz w:val="24"/>
          <w:szCs w:val="24"/>
        </w:rPr>
        <w:t>344</w:t>
      </w:r>
      <w:r w:rsidRPr="0052360E">
        <w:rPr>
          <w:rFonts w:ascii="Times New Roman" w:hAnsi="Times New Roman" w:cs="Times New Roman"/>
          <w:sz w:val="24"/>
          <w:szCs w:val="24"/>
        </w:rPr>
        <w:t>7.</w:t>
      </w:r>
    </w:p>
    <w:p w14:paraId="4155EAFE" w14:textId="01A444CD" w:rsidR="00262E00" w:rsidRPr="0052360E" w:rsidRDefault="00EA6752" w:rsidP="008F365F">
      <w:pPr>
        <w:spacing w:after="0" w:line="480" w:lineRule="auto"/>
        <w:ind w:left="142" w:hanging="369"/>
        <w:rPr>
          <w:rFonts w:ascii="Times New Roman" w:hAnsi="Times New Roman" w:cs="Times New Roman"/>
          <w:sz w:val="24"/>
          <w:szCs w:val="24"/>
          <w:lang w:val="en"/>
        </w:rPr>
      </w:pPr>
      <w:r w:rsidRPr="0052360E">
        <w:rPr>
          <w:rFonts w:ascii="Times New Roman" w:hAnsi="Times New Roman" w:cs="Times New Roman"/>
          <w:bCs/>
          <w:sz w:val="24"/>
          <w:szCs w:val="24"/>
          <w:lang w:val="en"/>
        </w:rPr>
        <w:t>11</w:t>
      </w:r>
      <w:r w:rsidR="007E5F0B" w:rsidRPr="0052360E">
        <w:rPr>
          <w:rFonts w:ascii="Times New Roman" w:hAnsi="Times New Roman" w:cs="Times New Roman"/>
          <w:bCs/>
          <w:sz w:val="24"/>
          <w:szCs w:val="24"/>
          <w:lang w:val="en"/>
        </w:rPr>
        <w:t>.</w:t>
      </w:r>
      <w:r w:rsidR="00A03F8F" w:rsidRPr="0052360E">
        <w:rPr>
          <w:rFonts w:ascii="Times New Roman" w:hAnsi="Times New Roman" w:cs="Times New Roman"/>
          <w:bCs/>
          <w:sz w:val="24"/>
          <w:szCs w:val="24"/>
          <w:lang w:val="en"/>
        </w:rPr>
        <w:t xml:space="preserve"> </w:t>
      </w:r>
      <w:r w:rsidR="00FE0009" w:rsidRPr="0052360E">
        <w:rPr>
          <w:rFonts w:ascii="Times New Roman" w:hAnsi="Times New Roman" w:cs="Times New Roman"/>
          <w:bCs/>
          <w:sz w:val="24"/>
          <w:szCs w:val="24"/>
          <w:lang w:val="en"/>
        </w:rPr>
        <w:t>Cutone A, Rosa L, Lepanto MS, Scotti MJ, Berlutti F, B</w:t>
      </w:r>
      <w:r w:rsidR="00A03F8F" w:rsidRPr="0052360E">
        <w:rPr>
          <w:rFonts w:ascii="Times New Roman" w:hAnsi="Times New Roman" w:cs="Times New Roman"/>
          <w:bCs/>
          <w:sz w:val="24"/>
          <w:szCs w:val="24"/>
          <w:lang w:val="en"/>
        </w:rPr>
        <w:t xml:space="preserve">onaccorsi di Patti MC, </w:t>
      </w:r>
      <w:r w:rsidR="00A03F8F" w:rsidRPr="0052360E">
        <w:rPr>
          <w:rFonts w:ascii="Times New Roman" w:hAnsi="Times New Roman" w:cs="Times New Roman"/>
          <w:bCs/>
          <w:i/>
          <w:sz w:val="24"/>
          <w:szCs w:val="24"/>
          <w:lang w:val="en"/>
        </w:rPr>
        <w:t>et al.</w:t>
      </w:r>
      <w:r w:rsidR="00FE0009" w:rsidRPr="0052360E">
        <w:rPr>
          <w:rFonts w:ascii="Times New Roman" w:hAnsi="Times New Roman" w:cs="Times New Roman"/>
          <w:bCs/>
          <w:sz w:val="24"/>
          <w:szCs w:val="24"/>
          <w:lang w:val="en"/>
        </w:rPr>
        <w:t xml:space="preserve"> Lactoferrin efficiently counteracts the inflammation-induced changes of the iron homeostasis system in macrophages.</w:t>
      </w:r>
      <w:r w:rsidR="00FE0009" w:rsidRPr="0052360E">
        <w:rPr>
          <w:rFonts w:ascii="Times New Roman" w:hAnsi="Times New Roman" w:cs="Times New Roman"/>
          <w:sz w:val="24"/>
          <w:szCs w:val="24"/>
          <w:lang w:val="en"/>
        </w:rPr>
        <w:t xml:space="preserve"> </w:t>
      </w:r>
      <w:hyperlink r:id="rId12" w:tooltip="Frontiers in immunology." w:history="1">
        <w:r w:rsidR="00FE0009" w:rsidRPr="0052360E">
          <w:rPr>
            <w:rStyle w:val="Hyperlink"/>
            <w:rFonts w:ascii="Times New Roman" w:hAnsi="Times New Roman" w:cs="Times New Roman"/>
            <w:i/>
            <w:color w:val="auto"/>
            <w:sz w:val="24"/>
            <w:szCs w:val="24"/>
            <w:u w:val="none"/>
            <w:lang w:val="en"/>
          </w:rPr>
          <w:t>Front. Immunol.</w:t>
        </w:r>
      </w:hyperlink>
      <w:r w:rsidR="00FE0009" w:rsidRPr="0052360E">
        <w:rPr>
          <w:rFonts w:ascii="Times New Roman" w:hAnsi="Times New Roman" w:cs="Times New Roman"/>
          <w:sz w:val="24"/>
          <w:szCs w:val="24"/>
          <w:lang w:val="en"/>
        </w:rPr>
        <w:t xml:space="preserve"> </w:t>
      </w:r>
      <w:r w:rsidR="00A03F8F" w:rsidRPr="0052360E">
        <w:rPr>
          <w:rFonts w:ascii="Times New Roman" w:hAnsi="Times New Roman" w:cs="Times New Roman"/>
          <w:sz w:val="24"/>
          <w:szCs w:val="24"/>
          <w:lang w:val="en"/>
        </w:rPr>
        <w:t xml:space="preserve">2017; </w:t>
      </w:r>
      <w:r w:rsidR="00FE0009" w:rsidRPr="0052360E">
        <w:rPr>
          <w:rFonts w:ascii="Times New Roman" w:hAnsi="Times New Roman" w:cs="Times New Roman"/>
          <w:b/>
          <w:sz w:val="24"/>
          <w:szCs w:val="24"/>
          <w:lang w:val="en"/>
        </w:rPr>
        <w:t>8</w:t>
      </w:r>
      <w:r w:rsidR="00FE0009" w:rsidRPr="0052360E">
        <w:rPr>
          <w:rFonts w:ascii="Times New Roman" w:hAnsi="Times New Roman" w:cs="Times New Roman"/>
          <w:sz w:val="24"/>
          <w:szCs w:val="24"/>
          <w:lang w:val="en"/>
        </w:rPr>
        <w:t>:705. doi: 10.3389/fimmu.2017.00705.</w:t>
      </w:r>
    </w:p>
    <w:p w14:paraId="7D459A3B" w14:textId="15F017B6" w:rsidR="00262E00" w:rsidRPr="0052360E" w:rsidRDefault="007E5F0B" w:rsidP="008F365F">
      <w:pPr>
        <w:spacing w:after="0" w:line="480" w:lineRule="auto"/>
        <w:ind w:hanging="284"/>
        <w:rPr>
          <w:rFonts w:ascii="Times New Roman" w:hAnsi="Times New Roman" w:cs="Times New Roman"/>
          <w:sz w:val="24"/>
          <w:szCs w:val="24"/>
        </w:rPr>
      </w:pPr>
      <w:r w:rsidRPr="0052360E">
        <w:rPr>
          <w:rFonts w:ascii="Times New Roman" w:hAnsi="Times New Roman" w:cs="Times New Roman"/>
          <w:sz w:val="24"/>
          <w:szCs w:val="24"/>
        </w:rPr>
        <w:t xml:space="preserve"> </w:t>
      </w:r>
      <w:r w:rsidR="00EA6752" w:rsidRPr="0052360E">
        <w:rPr>
          <w:rFonts w:ascii="Times New Roman" w:hAnsi="Times New Roman" w:cs="Times New Roman"/>
          <w:sz w:val="24"/>
          <w:szCs w:val="24"/>
        </w:rPr>
        <w:t>12</w:t>
      </w:r>
      <w:r w:rsidRPr="0052360E">
        <w:rPr>
          <w:rFonts w:ascii="Times New Roman" w:hAnsi="Times New Roman" w:cs="Times New Roman"/>
          <w:sz w:val="24"/>
          <w:szCs w:val="24"/>
        </w:rPr>
        <w:t>.</w:t>
      </w:r>
      <w:r w:rsidR="00A03F8F" w:rsidRPr="0052360E">
        <w:rPr>
          <w:rFonts w:ascii="Times New Roman" w:hAnsi="Times New Roman" w:cs="Times New Roman"/>
          <w:sz w:val="24"/>
          <w:szCs w:val="24"/>
        </w:rPr>
        <w:t xml:space="preserve"> Teng CT.</w:t>
      </w:r>
      <w:r w:rsidR="00FE0009" w:rsidRPr="0052360E">
        <w:rPr>
          <w:rFonts w:ascii="Times New Roman" w:hAnsi="Times New Roman" w:cs="Times New Roman"/>
          <w:sz w:val="24"/>
          <w:szCs w:val="24"/>
        </w:rPr>
        <w:t xml:space="preserve"> Lactoferrin: the path from protein to gene.</w:t>
      </w:r>
      <w:r w:rsidR="00FE0009" w:rsidRPr="0052360E">
        <w:rPr>
          <w:rFonts w:ascii="Times New Roman" w:hAnsi="Times New Roman" w:cs="Times New Roman"/>
          <w:i/>
          <w:sz w:val="24"/>
          <w:szCs w:val="24"/>
        </w:rPr>
        <w:t xml:space="preserve"> Biometals</w:t>
      </w:r>
      <w:r w:rsidR="00262E00" w:rsidRPr="0052360E">
        <w:rPr>
          <w:rFonts w:ascii="Times New Roman" w:hAnsi="Times New Roman" w:cs="Times New Roman"/>
          <w:sz w:val="24"/>
          <w:szCs w:val="24"/>
        </w:rPr>
        <w:t xml:space="preserve"> </w:t>
      </w:r>
      <w:r w:rsidR="00A03F8F" w:rsidRPr="0052360E">
        <w:rPr>
          <w:rFonts w:ascii="Times New Roman" w:hAnsi="Times New Roman" w:cs="Times New Roman"/>
          <w:sz w:val="24"/>
          <w:szCs w:val="24"/>
        </w:rPr>
        <w:t xml:space="preserve">2010; </w:t>
      </w:r>
      <w:r w:rsidR="00262E00" w:rsidRPr="0052360E">
        <w:rPr>
          <w:rFonts w:ascii="Times New Roman" w:hAnsi="Times New Roman" w:cs="Times New Roman"/>
          <w:b/>
          <w:sz w:val="24"/>
          <w:szCs w:val="24"/>
        </w:rPr>
        <w:t>23</w:t>
      </w:r>
      <w:r w:rsidR="00A03F8F" w:rsidRPr="0052360E">
        <w:rPr>
          <w:rFonts w:ascii="Times New Roman" w:hAnsi="Times New Roman" w:cs="Times New Roman"/>
          <w:b/>
          <w:sz w:val="24"/>
          <w:szCs w:val="24"/>
        </w:rPr>
        <w:t>:</w:t>
      </w:r>
      <w:r w:rsidR="00262E00" w:rsidRPr="0052360E">
        <w:rPr>
          <w:rFonts w:ascii="Times New Roman" w:hAnsi="Times New Roman" w:cs="Times New Roman"/>
          <w:sz w:val="24"/>
          <w:szCs w:val="24"/>
        </w:rPr>
        <w:t xml:space="preserve"> 359-364.</w:t>
      </w:r>
    </w:p>
    <w:p w14:paraId="26ED4997" w14:textId="36CA4D2D" w:rsidR="0026588F" w:rsidRPr="0052360E" w:rsidRDefault="00EA6752" w:rsidP="008F365F">
      <w:pPr>
        <w:spacing w:after="0" w:line="480" w:lineRule="auto"/>
        <w:ind w:left="142" w:hanging="369"/>
        <w:rPr>
          <w:rFonts w:ascii="Times New Roman" w:hAnsi="Times New Roman" w:cs="Times New Roman"/>
          <w:sz w:val="24"/>
          <w:szCs w:val="24"/>
        </w:rPr>
      </w:pPr>
      <w:r w:rsidRPr="0052360E">
        <w:rPr>
          <w:rFonts w:ascii="Times New Roman" w:hAnsi="Times New Roman" w:cs="Times New Roman"/>
          <w:sz w:val="24"/>
          <w:szCs w:val="24"/>
        </w:rPr>
        <w:t>13</w:t>
      </w:r>
      <w:r w:rsidR="007E5F0B" w:rsidRPr="0052360E">
        <w:rPr>
          <w:rFonts w:ascii="Times New Roman" w:hAnsi="Times New Roman" w:cs="Times New Roman"/>
          <w:sz w:val="24"/>
          <w:szCs w:val="24"/>
        </w:rPr>
        <w:t>.</w:t>
      </w:r>
      <w:r w:rsidR="00A03F8F" w:rsidRPr="0052360E">
        <w:rPr>
          <w:rFonts w:ascii="Times New Roman" w:hAnsi="Times New Roman" w:cs="Times New Roman"/>
          <w:sz w:val="24"/>
          <w:szCs w:val="24"/>
        </w:rPr>
        <w:t xml:space="preserve"> Cohen</w:t>
      </w:r>
      <w:r w:rsidR="008A4C17" w:rsidRPr="0052360E">
        <w:rPr>
          <w:rFonts w:ascii="Times New Roman" w:hAnsi="Times New Roman" w:cs="Times New Roman"/>
          <w:sz w:val="24"/>
          <w:szCs w:val="24"/>
        </w:rPr>
        <w:t xml:space="preserve"> M</w:t>
      </w:r>
      <w:r w:rsidR="00A03F8F" w:rsidRPr="0052360E">
        <w:rPr>
          <w:rFonts w:ascii="Times New Roman" w:hAnsi="Times New Roman" w:cs="Times New Roman"/>
          <w:sz w:val="24"/>
          <w:szCs w:val="24"/>
        </w:rPr>
        <w:t>S, Britigan BE, French M, Bean K.</w:t>
      </w:r>
      <w:r w:rsidR="008A4C17" w:rsidRPr="0052360E">
        <w:rPr>
          <w:rFonts w:ascii="Times New Roman" w:hAnsi="Times New Roman" w:cs="Times New Roman"/>
          <w:sz w:val="24"/>
          <w:szCs w:val="24"/>
        </w:rPr>
        <w:t xml:space="preserve"> Preliminary observations on lactoferrin secretion in human vaginal mucus, variation during the menstrual cycle, evidence of hormonal regulation and implications for infection with </w:t>
      </w:r>
      <w:r w:rsidR="008A4C17" w:rsidRPr="0052360E">
        <w:rPr>
          <w:rFonts w:ascii="Times New Roman" w:hAnsi="Times New Roman" w:cs="Times New Roman"/>
          <w:i/>
          <w:sz w:val="24"/>
          <w:szCs w:val="24"/>
        </w:rPr>
        <w:t>Neisseria gonorrhoeae.</w:t>
      </w:r>
      <w:r w:rsidR="008A4C17" w:rsidRPr="0052360E">
        <w:rPr>
          <w:rFonts w:ascii="Times New Roman" w:hAnsi="Times New Roman" w:cs="Times New Roman"/>
          <w:sz w:val="24"/>
          <w:szCs w:val="24"/>
        </w:rPr>
        <w:t xml:space="preserve"> </w:t>
      </w:r>
      <w:r w:rsidR="008A4C17" w:rsidRPr="0052360E">
        <w:rPr>
          <w:rFonts w:ascii="Times New Roman" w:hAnsi="Times New Roman" w:cs="Times New Roman"/>
          <w:i/>
          <w:sz w:val="24"/>
          <w:szCs w:val="24"/>
        </w:rPr>
        <w:t>Am. J. Obstet. Gynecol.</w:t>
      </w:r>
      <w:r w:rsidR="008A4C17" w:rsidRPr="0052360E">
        <w:rPr>
          <w:rFonts w:ascii="Times New Roman" w:hAnsi="Times New Roman" w:cs="Times New Roman"/>
          <w:sz w:val="24"/>
          <w:szCs w:val="24"/>
        </w:rPr>
        <w:t xml:space="preserve"> </w:t>
      </w:r>
      <w:r w:rsidR="00A03F8F" w:rsidRPr="0052360E">
        <w:rPr>
          <w:rFonts w:ascii="Times New Roman" w:hAnsi="Times New Roman" w:cs="Times New Roman"/>
          <w:sz w:val="24"/>
          <w:szCs w:val="24"/>
        </w:rPr>
        <w:t xml:space="preserve">1987; </w:t>
      </w:r>
      <w:r w:rsidR="00A03F8F" w:rsidRPr="0052360E">
        <w:rPr>
          <w:rFonts w:ascii="Times New Roman" w:hAnsi="Times New Roman" w:cs="Times New Roman"/>
          <w:b/>
          <w:sz w:val="24"/>
          <w:szCs w:val="24"/>
        </w:rPr>
        <w:t>157:</w:t>
      </w:r>
      <w:r w:rsidR="008A4C17" w:rsidRPr="0052360E">
        <w:rPr>
          <w:rFonts w:ascii="Times New Roman" w:hAnsi="Times New Roman" w:cs="Times New Roman"/>
          <w:sz w:val="24"/>
          <w:szCs w:val="24"/>
        </w:rPr>
        <w:t xml:space="preserve"> 1122-1125.</w:t>
      </w:r>
    </w:p>
    <w:p w14:paraId="0C3B1B78" w14:textId="09FF9533" w:rsidR="00F77177" w:rsidRPr="0052360E" w:rsidRDefault="007E5F0B" w:rsidP="008F365F">
      <w:pPr>
        <w:spacing w:after="0" w:line="480" w:lineRule="auto"/>
        <w:ind w:left="142" w:hanging="369"/>
        <w:rPr>
          <w:rFonts w:ascii="Times New Roman" w:hAnsi="Times New Roman" w:cs="Times New Roman"/>
          <w:bCs/>
          <w:sz w:val="24"/>
          <w:szCs w:val="24"/>
          <w:lang w:val="en"/>
        </w:rPr>
      </w:pPr>
      <w:r w:rsidRPr="0052360E">
        <w:rPr>
          <w:rFonts w:ascii="Times New Roman" w:hAnsi="Times New Roman" w:cs="Times New Roman"/>
          <w:sz w:val="24"/>
          <w:szCs w:val="24"/>
        </w:rPr>
        <w:t xml:space="preserve"> </w:t>
      </w:r>
      <w:r w:rsidR="00EA6752" w:rsidRPr="0052360E">
        <w:rPr>
          <w:rFonts w:ascii="Times New Roman" w:hAnsi="Times New Roman" w:cs="Times New Roman"/>
          <w:sz w:val="24"/>
          <w:szCs w:val="24"/>
        </w:rPr>
        <w:t>14</w:t>
      </w:r>
      <w:r w:rsidRPr="0052360E">
        <w:rPr>
          <w:rFonts w:ascii="Times New Roman" w:hAnsi="Times New Roman" w:cs="Times New Roman"/>
          <w:sz w:val="24"/>
          <w:szCs w:val="24"/>
        </w:rPr>
        <w:t>.</w:t>
      </w:r>
      <w:r w:rsidR="00A03F8F" w:rsidRPr="0052360E">
        <w:rPr>
          <w:rFonts w:ascii="Times New Roman" w:hAnsi="Times New Roman" w:cs="Times New Roman"/>
          <w:sz w:val="24"/>
          <w:szCs w:val="24"/>
        </w:rPr>
        <w:t xml:space="preserve"> Rebelo I, Carvalho-Guerra F, Pereira-Leite L, Quintanilha A.</w:t>
      </w:r>
      <w:r w:rsidR="0026588F" w:rsidRPr="0052360E">
        <w:rPr>
          <w:rFonts w:ascii="Times New Roman" w:hAnsi="Times New Roman" w:cs="Times New Roman"/>
          <w:sz w:val="24"/>
          <w:szCs w:val="24"/>
        </w:rPr>
        <w:t xml:space="preserve"> Lactoferrin as a sensitive blood marker of neutrophil activation in normal pregnancies. </w:t>
      </w:r>
      <w:r w:rsidR="0026588F" w:rsidRPr="0052360E">
        <w:rPr>
          <w:rFonts w:ascii="Times New Roman" w:hAnsi="Times New Roman" w:cs="Times New Roman"/>
          <w:i/>
          <w:sz w:val="24"/>
          <w:szCs w:val="24"/>
        </w:rPr>
        <w:t>Eur. J. Obstet. Gynaecol. Rep. Biol.</w:t>
      </w:r>
      <w:r w:rsidR="0026588F" w:rsidRPr="0052360E">
        <w:rPr>
          <w:rFonts w:ascii="Times New Roman" w:hAnsi="Times New Roman" w:cs="Times New Roman"/>
          <w:sz w:val="24"/>
          <w:szCs w:val="24"/>
        </w:rPr>
        <w:t xml:space="preserve"> </w:t>
      </w:r>
      <w:r w:rsidR="00A03F8F" w:rsidRPr="0052360E">
        <w:rPr>
          <w:rFonts w:ascii="Times New Roman" w:hAnsi="Times New Roman" w:cs="Times New Roman"/>
          <w:sz w:val="24"/>
          <w:szCs w:val="24"/>
        </w:rPr>
        <w:t xml:space="preserve">1995; </w:t>
      </w:r>
      <w:r w:rsidR="00A03F8F" w:rsidRPr="0052360E">
        <w:rPr>
          <w:rFonts w:ascii="Times New Roman" w:hAnsi="Times New Roman" w:cs="Times New Roman"/>
          <w:b/>
          <w:sz w:val="24"/>
          <w:szCs w:val="24"/>
        </w:rPr>
        <w:t>62</w:t>
      </w:r>
      <w:r w:rsidR="00A03F8F" w:rsidRPr="0052360E">
        <w:rPr>
          <w:rFonts w:ascii="Times New Roman" w:hAnsi="Times New Roman" w:cs="Times New Roman"/>
          <w:sz w:val="24"/>
          <w:szCs w:val="24"/>
        </w:rPr>
        <w:t>:</w:t>
      </w:r>
      <w:r w:rsidR="0026588F" w:rsidRPr="0052360E">
        <w:rPr>
          <w:rFonts w:ascii="Times New Roman" w:hAnsi="Times New Roman" w:cs="Times New Roman"/>
          <w:sz w:val="24"/>
          <w:szCs w:val="24"/>
        </w:rPr>
        <w:t xml:space="preserve"> 189-194.</w:t>
      </w:r>
      <w:r w:rsidR="00F77177" w:rsidRPr="0052360E">
        <w:rPr>
          <w:rFonts w:ascii="Times New Roman" w:hAnsi="Times New Roman" w:cs="Times New Roman"/>
          <w:bCs/>
          <w:sz w:val="24"/>
          <w:szCs w:val="24"/>
          <w:lang w:val="en"/>
        </w:rPr>
        <w:t xml:space="preserve"> </w:t>
      </w:r>
    </w:p>
    <w:p w14:paraId="2532AF8D" w14:textId="43BE8955" w:rsidR="00EA6752" w:rsidRPr="0052360E" w:rsidRDefault="007E5F0B" w:rsidP="008F365F">
      <w:pPr>
        <w:spacing w:after="0" w:line="480" w:lineRule="auto"/>
        <w:ind w:left="142" w:hanging="426"/>
        <w:rPr>
          <w:rFonts w:ascii="Times New Roman" w:hAnsi="Times New Roman" w:cs="Times New Roman"/>
          <w:sz w:val="24"/>
          <w:szCs w:val="24"/>
        </w:rPr>
      </w:pPr>
      <w:r w:rsidRPr="0052360E">
        <w:rPr>
          <w:rFonts w:ascii="Times New Roman" w:hAnsi="Times New Roman" w:cs="Times New Roman"/>
          <w:bCs/>
          <w:sz w:val="24"/>
          <w:szCs w:val="24"/>
          <w:lang w:val="en"/>
        </w:rPr>
        <w:t xml:space="preserve">  </w:t>
      </w:r>
      <w:r w:rsidR="00A03F8F" w:rsidRPr="0052360E">
        <w:rPr>
          <w:rFonts w:ascii="Times New Roman" w:hAnsi="Times New Roman" w:cs="Times New Roman"/>
          <w:bCs/>
          <w:sz w:val="24"/>
          <w:szCs w:val="24"/>
          <w:lang w:val="en"/>
        </w:rPr>
        <w:t>15</w:t>
      </w:r>
      <w:r w:rsidRPr="0052360E">
        <w:rPr>
          <w:rFonts w:ascii="Times New Roman" w:hAnsi="Times New Roman" w:cs="Times New Roman"/>
          <w:bCs/>
          <w:sz w:val="24"/>
          <w:szCs w:val="24"/>
          <w:lang w:val="en"/>
        </w:rPr>
        <w:t>.</w:t>
      </w:r>
      <w:r w:rsidR="00A03F8F" w:rsidRPr="0052360E">
        <w:rPr>
          <w:rFonts w:ascii="Times New Roman" w:hAnsi="Times New Roman" w:cs="Times New Roman"/>
          <w:bCs/>
          <w:sz w:val="24"/>
          <w:szCs w:val="24"/>
          <w:lang w:val="en"/>
        </w:rPr>
        <w:t xml:space="preserve"> </w:t>
      </w:r>
      <w:r w:rsidR="00F77177" w:rsidRPr="0052360E">
        <w:rPr>
          <w:rFonts w:ascii="Times New Roman" w:hAnsi="Times New Roman" w:cs="Times New Roman"/>
          <w:bCs/>
          <w:sz w:val="24"/>
          <w:szCs w:val="24"/>
          <w:lang w:val="en"/>
        </w:rPr>
        <w:t>Gies S</w:t>
      </w:r>
      <w:r w:rsidR="00F77177" w:rsidRPr="0052360E">
        <w:rPr>
          <w:rFonts w:ascii="Times New Roman" w:hAnsi="Times New Roman" w:cs="Times New Roman"/>
          <w:sz w:val="24"/>
          <w:szCs w:val="24"/>
          <w:lang w:val="en"/>
        </w:rPr>
        <w:t xml:space="preserve">, Diallo S, Roberts SA, Kazienga A, Powney M, Brabin L, </w:t>
      </w:r>
      <w:r w:rsidR="00A03F8F" w:rsidRPr="0052360E">
        <w:rPr>
          <w:rFonts w:ascii="Times New Roman" w:hAnsi="Times New Roman" w:cs="Times New Roman"/>
          <w:i/>
          <w:sz w:val="24"/>
          <w:szCs w:val="24"/>
          <w:lang w:val="en"/>
        </w:rPr>
        <w:t>et al</w:t>
      </w:r>
      <w:r w:rsidR="00F77177" w:rsidRPr="0052360E">
        <w:rPr>
          <w:rFonts w:ascii="Times New Roman" w:hAnsi="Times New Roman" w:cs="Times New Roman"/>
          <w:sz w:val="24"/>
          <w:szCs w:val="24"/>
          <w:lang w:val="en"/>
        </w:rPr>
        <w:t xml:space="preserve">. </w:t>
      </w:r>
      <w:hyperlink r:id="rId13" w:history="1">
        <w:r w:rsidR="008F365F" w:rsidRPr="0052360E">
          <w:rPr>
            <w:rStyle w:val="Hyperlink"/>
            <w:rFonts w:ascii="Times New Roman" w:hAnsi="Times New Roman" w:cs="Times New Roman"/>
            <w:color w:val="auto"/>
            <w:sz w:val="24"/>
            <w:szCs w:val="24"/>
            <w:u w:val="none"/>
            <w:lang w:val="en"/>
          </w:rPr>
          <w:t>Effects of weekly iron and folic acid supplements on malaria risk in nulliparous women in Burkina Faso: A periconceptional, double-blind, randomized controlled non-inferiority trial.</w:t>
        </w:r>
      </w:hyperlink>
      <w:r w:rsidR="008F365F" w:rsidRPr="0052360E">
        <w:rPr>
          <w:rFonts w:ascii="Times New Roman" w:hAnsi="Times New Roman" w:cs="Times New Roman"/>
          <w:sz w:val="24"/>
          <w:szCs w:val="24"/>
        </w:rPr>
        <w:t xml:space="preserve"> </w:t>
      </w:r>
      <w:r w:rsidR="00F77177" w:rsidRPr="0052360E">
        <w:rPr>
          <w:rFonts w:ascii="Times New Roman" w:hAnsi="Times New Roman" w:cs="Times New Roman"/>
          <w:i/>
          <w:sz w:val="24"/>
          <w:szCs w:val="24"/>
          <w:lang w:val="en"/>
        </w:rPr>
        <w:t>J. Infect. Dis</w:t>
      </w:r>
      <w:r w:rsidR="00F77177" w:rsidRPr="0052360E">
        <w:rPr>
          <w:rFonts w:ascii="Times New Roman" w:hAnsi="Times New Roman" w:cs="Times New Roman"/>
          <w:sz w:val="24"/>
          <w:szCs w:val="24"/>
          <w:lang w:val="en"/>
        </w:rPr>
        <w:t xml:space="preserve">. </w:t>
      </w:r>
      <w:r w:rsidR="00A03F8F" w:rsidRPr="0052360E">
        <w:rPr>
          <w:rFonts w:ascii="Times New Roman" w:hAnsi="Times New Roman" w:cs="Times New Roman"/>
          <w:sz w:val="24"/>
          <w:szCs w:val="24"/>
          <w:lang w:val="en"/>
        </w:rPr>
        <w:t xml:space="preserve">2018; </w:t>
      </w:r>
      <w:r w:rsidR="00F77177" w:rsidRPr="0052360E">
        <w:rPr>
          <w:rFonts w:ascii="Times New Roman" w:hAnsi="Times New Roman" w:cs="Times New Roman"/>
          <w:b/>
          <w:sz w:val="24"/>
          <w:szCs w:val="24"/>
          <w:lang w:val="en"/>
        </w:rPr>
        <w:t>218</w:t>
      </w:r>
      <w:r w:rsidR="00A03F8F" w:rsidRPr="0052360E">
        <w:rPr>
          <w:rFonts w:ascii="Times New Roman" w:hAnsi="Times New Roman" w:cs="Times New Roman"/>
          <w:b/>
          <w:sz w:val="24"/>
          <w:szCs w:val="24"/>
          <w:lang w:val="en"/>
        </w:rPr>
        <w:t>:</w:t>
      </w:r>
      <w:r w:rsidR="00F77177" w:rsidRPr="0052360E">
        <w:rPr>
          <w:rFonts w:ascii="Times New Roman" w:hAnsi="Times New Roman" w:cs="Times New Roman"/>
          <w:sz w:val="24"/>
          <w:szCs w:val="24"/>
          <w:lang w:val="en"/>
        </w:rPr>
        <w:t xml:space="preserve"> 1099-1109.</w:t>
      </w:r>
    </w:p>
    <w:p w14:paraId="36D46CF2" w14:textId="7FA75139" w:rsidR="00927AA9" w:rsidRPr="0052360E" w:rsidRDefault="00A03F8F" w:rsidP="008F365F">
      <w:pPr>
        <w:spacing w:after="0" w:line="480" w:lineRule="auto"/>
        <w:ind w:left="142" w:hanging="369"/>
        <w:rPr>
          <w:rFonts w:ascii="Times New Roman" w:hAnsi="Times New Roman" w:cs="Times New Roman"/>
          <w:sz w:val="24"/>
          <w:szCs w:val="24"/>
        </w:rPr>
      </w:pPr>
      <w:r w:rsidRPr="0052360E">
        <w:rPr>
          <w:rFonts w:ascii="Times New Roman" w:hAnsi="Times New Roman" w:cs="Times New Roman"/>
          <w:sz w:val="24"/>
          <w:szCs w:val="24"/>
          <w:lang w:val="en"/>
        </w:rPr>
        <w:t>16</w:t>
      </w:r>
      <w:r w:rsidR="007E5F0B" w:rsidRPr="0052360E">
        <w:rPr>
          <w:rFonts w:ascii="Times New Roman" w:hAnsi="Times New Roman" w:cs="Times New Roman"/>
          <w:sz w:val="24"/>
          <w:szCs w:val="24"/>
          <w:lang w:val="en"/>
        </w:rPr>
        <w:t>.</w:t>
      </w:r>
      <w:r w:rsidRPr="0052360E">
        <w:rPr>
          <w:rFonts w:ascii="Times New Roman" w:hAnsi="Times New Roman" w:cs="Times New Roman"/>
          <w:sz w:val="24"/>
          <w:szCs w:val="24"/>
          <w:lang w:val="en"/>
        </w:rPr>
        <w:t xml:space="preserve"> </w:t>
      </w:r>
      <w:r w:rsidR="00EA6752" w:rsidRPr="0052360E">
        <w:rPr>
          <w:rFonts w:ascii="Times New Roman" w:hAnsi="Times New Roman" w:cs="Times New Roman"/>
          <w:sz w:val="24"/>
          <w:szCs w:val="24"/>
        </w:rPr>
        <w:t xml:space="preserve">Brabin L, Roberts SA, Gies S, Nelson A, Diallo S, Stewart CJ, </w:t>
      </w:r>
      <w:r w:rsidRPr="0052360E">
        <w:rPr>
          <w:rFonts w:ascii="Times New Roman" w:hAnsi="Times New Roman" w:cs="Times New Roman"/>
          <w:i/>
          <w:sz w:val="24"/>
          <w:szCs w:val="24"/>
        </w:rPr>
        <w:t>et al.</w:t>
      </w:r>
      <w:r w:rsidR="00EA6752" w:rsidRPr="0052360E">
        <w:rPr>
          <w:rFonts w:ascii="Times New Roman" w:hAnsi="Times New Roman" w:cs="Times New Roman"/>
          <w:sz w:val="24"/>
          <w:szCs w:val="24"/>
        </w:rPr>
        <w:t xml:space="preserve"> Effects of long-term weekly iron and folic acid supplementation on lower genital tract infection – a double blind, randomised controlled trial in Burkina Faso.</w:t>
      </w:r>
      <w:r w:rsidRPr="0052360E">
        <w:rPr>
          <w:rFonts w:ascii="Times New Roman" w:hAnsi="Times New Roman" w:cs="Times New Roman"/>
          <w:i/>
          <w:sz w:val="24"/>
          <w:szCs w:val="24"/>
        </w:rPr>
        <w:t xml:space="preserve"> BMC Medicine </w:t>
      </w:r>
      <w:r w:rsidRPr="0052360E">
        <w:rPr>
          <w:rFonts w:ascii="Times New Roman" w:hAnsi="Times New Roman" w:cs="Times New Roman"/>
          <w:sz w:val="24"/>
          <w:szCs w:val="24"/>
        </w:rPr>
        <w:t xml:space="preserve">2017; </w:t>
      </w:r>
      <w:r w:rsidRPr="0052360E">
        <w:rPr>
          <w:rFonts w:ascii="Times New Roman" w:hAnsi="Times New Roman" w:cs="Times New Roman"/>
          <w:b/>
          <w:sz w:val="24"/>
          <w:szCs w:val="24"/>
        </w:rPr>
        <w:t>15</w:t>
      </w:r>
      <w:r w:rsidRPr="0052360E">
        <w:rPr>
          <w:rFonts w:ascii="Times New Roman" w:hAnsi="Times New Roman" w:cs="Times New Roman"/>
          <w:sz w:val="24"/>
          <w:szCs w:val="24"/>
        </w:rPr>
        <w:t xml:space="preserve">; </w:t>
      </w:r>
      <w:r w:rsidR="00EA6752" w:rsidRPr="0052360E">
        <w:rPr>
          <w:rFonts w:ascii="Times New Roman" w:hAnsi="Times New Roman" w:cs="Times New Roman"/>
          <w:sz w:val="24"/>
          <w:szCs w:val="24"/>
        </w:rPr>
        <w:t>206 DOI 10.1186/s12916-017-0967.</w:t>
      </w:r>
      <w:r w:rsidR="00E32F3E" w:rsidRPr="0052360E">
        <w:rPr>
          <w:rFonts w:ascii="Times New Roman" w:hAnsi="Times New Roman" w:cs="Times New Roman"/>
          <w:sz w:val="24"/>
          <w:szCs w:val="24"/>
        </w:rPr>
        <w:t xml:space="preserve"> </w:t>
      </w:r>
    </w:p>
    <w:p w14:paraId="3EA4A7A9" w14:textId="77061214" w:rsidR="00927AA9" w:rsidRPr="0052360E" w:rsidRDefault="00390935" w:rsidP="00390935">
      <w:pPr>
        <w:spacing w:after="0" w:line="480" w:lineRule="auto"/>
        <w:ind w:left="142" w:hanging="426"/>
        <w:rPr>
          <w:rFonts w:ascii="Times New Roman" w:hAnsi="Times New Roman" w:cs="Times New Roman"/>
          <w:sz w:val="24"/>
          <w:szCs w:val="24"/>
        </w:rPr>
      </w:pPr>
      <w:r w:rsidRPr="0052360E">
        <w:rPr>
          <w:rFonts w:ascii="Times New Roman" w:hAnsi="Times New Roman" w:cs="Times New Roman"/>
          <w:sz w:val="24"/>
          <w:szCs w:val="24"/>
        </w:rPr>
        <w:t xml:space="preserve"> </w:t>
      </w:r>
      <w:r w:rsidR="00927AA9" w:rsidRPr="0052360E">
        <w:rPr>
          <w:rFonts w:ascii="Times New Roman" w:hAnsi="Times New Roman" w:cs="Times New Roman"/>
          <w:sz w:val="24"/>
          <w:szCs w:val="24"/>
        </w:rPr>
        <w:t>17</w:t>
      </w:r>
      <w:r w:rsidR="007E5F0B" w:rsidRPr="0052360E">
        <w:rPr>
          <w:rFonts w:ascii="Times New Roman" w:hAnsi="Times New Roman" w:cs="Times New Roman"/>
          <w:sz w:val="24"/>
          <w:szCs w:val="24"/>
        </w:rPr>
        <w:t>.</w:t>
      </w:r>
      <w:r w:rsidR="00A03F8F" w:rsidRPr="0052360E">
        <w:rPr>
          <w:rFonts w:ascii="Times New Roman" w:hAnsi="Times New Roman" w:cs="Times New Roman"/>
          <w:sz w:val="24"/>
          <w:szCs w:val="24"/>
        </w:rPr>
        <w:t xml:space="preserve"> Brabin BJ</w:t>
      </w:r>
      <w:r w:rsidR="00927AA9" w:rsidRPr="0052360E">
        <w:rPr>
          <w:rFonts w:ascii="Times New Roman" w:hAnsi="Times New Roman" w:cs="Times New Roman"/>
          <w:sz w:val="24"/>
          <w:szCs w:val="24"/>
        </w:rPr>
        <w:t xml:space="preserve">, </w:t>
      </w:r>
      <w:hyperlink r:id="rId14" w:history="1">
        <w:r w:rsidR="00927AA9" w:rsidRPr="0052360E">
          <w:rPr>
            <w:rStyle w:val="Hyperlink"/>
            <w:rFonts w:ascii="Times New Roman" w:hAnsi="Times New Roman" w:cs="Times New Roman"/>
            <w:color w:val="auto"/>
            <w:sz w:val="24"/>
            <w:szCs w:val="24"/>
            <w:u w:val="none"/>
          </w:rPr>
          <w:t>Gies</w:t>
        </w:r>
      </w:hyperlink>
      <w:r w:rsidR="00927AA9" w:rsidRPr="0052360E">
        <w:rPr>
          <w:rFonts w:ascii="Times New Roman" w:hAnsi="Times New Roman" w:cs="Times New Roman"/>
          <w:sz w:val="24"/>
          <w:szCs w:val="24"/>
        </w:rPr>
        <w:t xml:space="preserve"> S, </w:t>
      </w:r>
      <w:hyperlink r:id="rId15" w:history="1">
        <w:r w:rsidR="00927AA9" w:rsidRPr="0052360E">
          <w:rPr>
            <w:rStyle w:val="Hyperlink"/>
            <w:rFonts w:ascii="Times New Roman" w:hAnsi="Times New Roman" w:cs="Times New Roman"/>
            <w:color w:val="auto"/>
            <w:sz w:val="24"/>
            <w:szCs w:val="24"/>
            <w:u w:val="none"/>
          </w:rPr>
          <w:t>Owens</w:t>
        </w:r>
      </w:hyperlink>
      <w:r w:rsidR="00A03F8F" w:rsidRPr="0052360E">
        <w:rPr>
          <w:rFonts w:ascii="Times New Roman" w:hAnsi="Times New Roman" w:cs="Times New Roman"/>
          <w:sz w:val="24"/>
          <w:szCs w:val="24"/>
        </w:rPr>
        <w:t> S</w:t>
      </w:r>
      <w:r w:rsidR="00927AA9" w:rsidRPr="0052360E">
        <w:rPr>
          <w:rFonts w:ascii="Times New Roman" w:hAnsi="Times New Roman" w:cs="Times New Roman"/>
          <w:sz w:val="24"/>
          <w:szCs w:val="24"/>
        </w:rPr>
        <w:t xml:space="preserve">, </w:t>
      </w:r>
      <w:hyperlink r:id="rId16" w:history="1">
        <w:r w:rsidR="00927AA9" w:rsidRPr="0052360E">
          <w:rPr>
            <w:rStyle w:val="Hyperlink"/>
            <w:rFonts w:ascii="Times New Roman" w:hAnsi="Times New Roman" w:cs="Times New Roman"/>
            <w:color w:val="auto"/>
            <w:sz w:val="24"/>
            <w:szCs w:val="24"/>
            <w:u w:val="none"/>
          </w:rPr>
          <w:t>Claeys</w:t>
        </w:r>
      </w:hyperlink>
      <w:r w:rsidR="00A03F8F" w:rsidRPr="0052360E">
        <w:rPr>
          <w:rFonts w:ascii="Times New Roman" w:hAnsi="Times New Roman" w:cs="Times New Roman"/>
          <w:sz w:val="24"/>
          <w:szCs w:val="24"/>
        </w:rPr>
        <w:t xml:space="preserve"> Y</w:t>
      </w:r>
      <w:r w:rsidR="00927AA9" w:rsidRPr="0052360E">
        <w:rPr>
          <w:rFonts w:ascii="Times New Roman" w:hAnsi="Times New Roman" w:cs="Times New Roman"/>
          <w:sz w:val="24"/>
          <w:szCs w:val="24"/>
        </w:rPr>
        <w:t>, </w:t>
      </w:r>
      <w:hyperlink r:id="rId17" w:history="1">
        <w:r w:rsidR="00927AA9" w:rsidRPr="0052360E">
          <w:rPr>
            <w:rStyle w:val="Hyperlink"/>
            <w:rFonts w:ascii="Times New Roman" w:hAnsi="Times New Roman" w:cs="Times New Roman"/>
            <w:color w:val="auto"/>
            <w:sz w:val="24"/>
            <w:szCs w:val="24"/>
            <w:u w:val="none"/>
          </w:rPr>
          <w:t xml:space="preserve"> D’Alessandro</w:t>
        </w:r>
      </w:hyperlink>
      <w:r w:rsidR="00A03F8F" w:rsidRPr="0052360E">
        <w:rPr>
          <w:rFonts w:ascii="Times New Roman" w:hAnsi="Times New Roman" w:cs="Times New Roman"/>
          <w:sz w:val="24"/>
          <w:szCs w:val="24"/>
        </w:rPr>
        <w:t> U</w:t>
      </w:r>
      <w:r w:rsidR="00927AA9" w:rsidRPr="0052360E">
        <w:rPr>
          <w:rFonts w:ascii="Times New Roman" w:hAnsi="Times New Roman" w:cs="Times New Roman"/>
          <w:sz w:val="24"/>
          <w:szCs w:val="24"/>
        </w:rPr>
        <w:t>,</w:t>
      </w:r>
      <w:hyperlink r:id="rId18" w:history="1">
        <w:r w:rsidR="00927AA9" w:rsidRPr="0052360E">
          <w:rPr>
            <w:rStyle w:val="Hyperlink"/>
            <w:rFonts w:ascii="Times New Roman" w:hAnsi="Times New Roman" w:cs="Times New Roman"/>
            <w:color w:val="auto"/>
            <w:sz w:val="24"/>
            <w:szCs w:val="24"/>
            <w:u w:val="none"/>
          </w:rPr>
          <w:t xml:space="preserve"> Tinto</w:t>
        </w:r>
      </w:hyperlink>
      <w:r w:rsidR="00927AA9" w:rsidRPr="0052360E">
        <w:rPr>
          <w:rFonts w:ascii="Times New Roman" w:hAnsi="Times New Roman" w:cs="Times New Roman"/>
          <w:sz w:val="24"/>
          <w:szCs w:val="24"/>
        </w:rPr>
        <w:t xml:space="preserve"> H. </w:t>
      </w:r>
      <w:r w:rsidR="00927AA9" w:rsidRPr="0052360E">
        <w:rPr>
          <w:rFonts w:ascii="Times New Roman" w:hAnsi="Times New Roman" w:cs="Times New Roman"/>
          <w:i/>
          <w:sz w:val="24"/>
          <w:szCs w:val="24"/>
        </w:rPr>
        <w:t>et al</w:t>
      </w:r>
      <w:r w:rsidR="00A03F8F" w:rsidRPr="0052360E">
        <w:rPr>
          <w:rFonts w:ascii="Times New Roman" w:hAnsi="Times New Roman" w:cs="Times New Roman"/>
          <w:sz w:val="24"/>
          <w:szCs w:val="24"/>
        </w:rPr>
        <w:t>.</w:t>
      </w:r>
      <w:r w:rsidR="00927AA9" w:rsidRPr="0052360E">
        <w:rPr>
          <w:rFonts w:ascii="Times New Roman" w:hAnsi="Times New Roman" w:cs="Times New Roman"/>
          <w:sz w:val="24"/>
          <w:szCs w:val="24"/>
        </w:rPr>
        <w:t xml:space="preserve"> Perspectives on the design and </w:t>
      </w:r>
      <w:r w:rsidR="008F365F" w:rsidRPr="0052360E">
        <w:rPr>
          <w:rFonts w:ascii="Times New Roman" w:hAnsi="Times New Roman" w:cs="Times New Roman"/>
          <w:sz w:val="24"/>
          <w:szCs w:val="24"/>
        </w:rPr>
        <w:t xml:space="preserve">  </w:t>
      </w:r>
      <w:r w:rsidRPr="0052360E">
        <w:rPr>
          <w:rFonts w:ascii="Times New Roman" w:hAnsi="Times New Roman" w:cs="Times New Roman"/>
          <w:sz w:val="24"/>
          <w:szCs w:val="24"/>
        </w:rPr>
        <w:t xml:space="preserve"> </w:t>
      </w:r>
      <w:r w:rsidR="00927AA9" w:rsidRPr="0052360E">
        <w:rPr>
          <w:rFonts w:ascii="Times New Roman" w:hAnsi="Times New Roman" w:cs="Times New Roman"/>
          <w:sz w:val="24"/>
          <w:szCs w:val="24"/>
        </w:rPr>
        <w:t xml:space="preserve">methodology of periconceptional nutrient supplementation trials. </w:t>
      </w:r>
      <w:r w:rsidR="00A03F8F" w:rsidRPr="0052360E">
        <w:rPr>
          <w:rFonts w:ascii="Times New Roman" w:hAnsi="Times New Roman" w:cs="Times New Roman"/>
          <w:i/>
          <w:sz w:val="24"/>
          <w:szCs w:val="24"/>
        </w:rPr>
        <w:t xml:space="preserve">Trials </w:t>
      </w:r>
      <w:r w:rsidR="00A03F8F" w:rsidRPr="0052360E">
        <w:rPr>
          <w:rFonts w:ascii="Times New Roman" w:hAnsi="Times New Roman" w:cs="Times New Roman"/>
          <w:sz w:val="24"/>
          <w:szCs w:val="24"/>
        </w:rPr>
        <w:t>2016;</w:t>
      </w:r>
      <w:r w:rsidR="00927AA9" w:rsidRPr="0052360E">
        <w:rPr>
          <w:rFonts w:ascii="Times New Roman" w:hAnsi="Times New Roman" w:cs="Times New Roman"/>
          <w:i/>
          <w:sz w:val="24"/>
          <w:szCs w:val="24"/>
        </w:rPr>
        <w:t xml:space="preserve"> </w:t>
      </w:r>
      <w:r w:rsidR="00A03F8F" w:rsidRPr="0052360E">
        <w:rPr>
          <w:rFonts w:ascii="Times New Roman" w:hAnsi="Times New Roman" w:cs="Times New Roman"/>
          <w:sz w:val="24"/>
          <w:szCs w:val="24"/>
        </w:rPr>
        <w:t>17:</w:t>
      </w:r>
      <w:r w:rsidR="00927AA9" w:rsidRPr="0052360E">
        <w:rPr>
          <w:rFonts w:ascii="Times New Roman" w:hAnsi="Times New Roman" w:cs="Times New Roman"/>
          <w:sz w:val="24"/>
          <w:szCs w:val="24"/>
        </w:rPr>
        <w:t xml:space="preserve"> 58.</w:t>
      </w:r>
    </w:p>
    <w:p w14:paraId="658CD130" w14:textId="670EF4AC" w:rsidR="00FD2BD2" w:rsidRPr="0052360E" w:rsidRDefault="00927AA9" w:rsidP="00390935">
      <w:pPr>
        <w:spacing w:after="0" w:line="480" w:lineRule="auto"/>
        <w:ind w:left="284" w:hanging="426"/>
        <w:rPr>
          <w:rFonts w:ascii="Times New Roman" w:hAnsi="Times New Roman" w:cs="Times New Roman"/>
          <w:sz w:val="24"/>
          <w:szCs w:val="24"/>
        </w:rPr>
      </w:pPr>
      <w:r w:rsidRPr="0052360E">
        <w:rPr>
          <w:rFonts w:ascii="Times New Roman" w:hAnsi="Times New Roman" w:cs="Times New Roman"/>
          <w:sz w:val="24"/>
          <w:szCs w:val="24"/>
        </w:rPr>
        <w:t>18</w:t>
      </w:r>
      <w:r w:rsidR="007E5F0B" w:rsidRPr="0052360E">
        <w:rPr>
          <w:rFonts w:ascii="Times New Roman" w:hAnsi="Times New Roman" w:cs="Times New Roman"/>
          <w:sz w:val="24"/>
          <w:szCs w:val="24"/>
        </w:rPr>
        <w:t>.</w:t>
      </w:r>
      <w:r w:rsidR="00390935" w:rsidRPr="0052360E">
        <w:rPr>
          <w:rFonts w:ascii="Times New Roman" w:hAnsi="Times New Roman" w:cs="Times New Roman"/>
          <w:sz w:val="24"/>
          <w:szCs w:val="24"/>
        </w:rPr>
        <w:t xml:space="preserve">  </w:t>
      </w:r>
      <w:r w:rsidR="00E32F3E" w:rsidRPr="0052360E">
        <w:rPr>
          <w:rFonts w:ascii="Times New Roman" w:hAnsi="Times New Roman" w:cs="Times New Roman"/>
          <w:sz w:val="24"/>
          <w:szCs w:val="24"/>
        </w:rPr>
        <w:t>Institut National de la Statistique et de la Démographi</w:t>
      </w:r>
      <w:r w:rsidR="00E66F27" w:rsidRPr="0052360E">
        <w:rPr>
          <w:rFonts w:ascii="Times New Roman" w:hAnsi="Times New Roman" w:cs="Times New Roman"/>
          <w:sz w:val="24"/>
          <w:szCs w:val="24"/>
        </w:rPr>
        <w:t>e (INSD) et ICF International.</w:t>
      </w:r>
      <w:r w:rsidR="00E32F3E" w:rsidRPr="0052360E">
        <w:rPr>
          <w:rFonts w:ascii="Times New Roman" w:hAnsi="Times New Roman" w:cs="Times New Roman"/>
          <w:sz w:val="24"/>
          <w:szCs w:val="24"/>
        </w:rPr>
        <w:t xml:space="preserve"> Enquète Demographique et de Santé et Indicateurs Multiples du Burkina Faso 2010. Calverton, Maryland, USA: INSD et ICF International.</w:t>
      </w:r>
      <w:r w:rsidR="00FD2BD2" w:rsidRPr="0052360E">
        <w:rPr>
          <w:rFonts w:ascii="Times New Roman" w:hAnsi="Times New Roman" w:cs="Times New Roman"/>
          <w:sz w:val="24"/>
          <w:szCs w:val="24"/>
        </w:rPr>
        <w:t xml:space="preserve"> </w:t>
      </w:r>
      <w:r w:rsidR="00E66F27" w:rsidRPr="0052360E">
        <w:rPr>
          <w:rFonts w:ascii="Times New Roman" w:hAnsi="Times New Roman" w:cs="Times New Roman"/>
          <w:sz w:val="24"/>
          <w:szCs w:val="24"/>
        </w:rPr>
        <w:t>2012.</w:t>
      </w:r>
    </w:p>
    <w:p w14:paraId="414E0D6A" w14:textId="5AABCAC1" w:rsidR="00FD2BD2" w:rsidRPr="0052360E" w:rsidRDefault="00FD2BD2" w:rsidP="008F365F">
      <w:pPr>
        <w:spacing w:after="0" w:line="480" w:lineRule="auto"/>
        <w:ind w:left="284" w:hanging="426"/>
        <w:rPr>
          <w:rFonts w:ascii="Times New Roman" w:hAnsi="Times New Roman" w:cs="Times New Roman"/>
          <w:sz w:val="24"/>
          <w:szCs w:val="24"/>
        </w:rPr>
      </w:pPr>
      <w:r w:rsidRPr="0052360E">
        <w:rPr>
          <w:rFonts w:ascii="Times New Roman" w:hAnsi="Times New Roman" w:cs="Times New Roman"/>
          <w:sz w:val="24"/>
          <w:szCs w:val="24"/>
        </w:rPr>
        <w:t>19</w:t>
      </w:r>
      <w:r w:rsidR="007E5F0B" w:rsidRPr="0052360E">
        <w:rPr>
          <w:rFonts w:ascii="Times New Roman" w:hAnsi="Times New Roman" w:cs="Times New Roman"/>
          <w:sz w:val="24"/>
          <w:szCs w:val="24"/>
        </w:rPr>
        <w:t>.</w:t>
      </w:r>
      <w:r w:rsidRPr="0052360E">
        <w:rPr>
          <w:rFonts w:ascii="Times New Roman" w:hAnsi="Times New Roman" w:cs="Times New Roman"/>
          <w:sz w:val="24"/>
          <w:szCs w:val="24"/>
        </w:rPr>
        <w:t xml:space="preserve"> Wo</w:t>
      </w:r>
      <w:r w:rsidR="00E66F27" w:rsidRPr="0052360E">
        <w:rPr>
          <w:rFonts w:ascii="Times New Roman" w:hAnsi="Times New Roman" w:cs="Times New Roman"/>
          <w:sz w:val="24"/>
          <w:szCs w:val="24"/>
        </w:rPr>
        <w:t>rld Health Organization.</w:t>
      </w:r>
      <w:r w:rsidRPr="0052360E">
        <w:rPr>
          <w:rFonts w:ascii="Times New Roman" w:hAnsi="Times New Roman" w:cs="Times New Roman"/>
          <w:sz w:val="24"/>
          <w:szCs w:val="24"/>
        </w:rPr>
        <w:t xml:space="preserve"> Guideline: </w:t>
      </w:r>
      <w:r w:rsidRPr="0052360E">
        <w:rPr>
          <w:rFonts w:ascii="Times New Roman" w:hAnsi="Times New Roman" w:cs="Times New Roman"/>
          <w:i/>
          <w:sz w:val="24"/>
          <w:szCs w:val="24"/>
        </w:rPr>
        <w:t>Intermittent iron and folic acid supplementation in menstruating women.</w:t>
      </w:r>
      <w:r w:rsidRPr="0052360E">
        <w:rPr>
          <w:rFonts w:ascii="Times New Roman" w:hAnsi="Times New Roman" w:cs="Times New Roman"/>
          <w:sz w:val="24"/>
          <w:szCs w:val="24"/>
        </w:rPr>
        <w:t xml:space="preserve"> WHO, Geneva.</w:t>
      </w:r>
      <w:r w:rsidR="00E66F27" w:rsidRPr="0052360E">
        <w:rPr>
          <w:rFonts w:ascii="Times New Roman" w:hAnsi="Times New Roman" w:cs="Times New Roman"/>
          <w:sz w:val="24"/>
          <w:szCs w:val="24"/>
        </w:rPr>
        <w:t xml:space="preserve"> 2011.</w:t>
      </w:r>
    </w:p>
    <w:p w14:paraId="3C67E582" w14:textId="27B5F216" w:rsidR="005A0DCD" w:rsidRPr="0052360E" w:rsidRDefault="00FD2BD2" w:rsidP="008F365F">
      <w:pPr>
        <w:spacing w:after="0" w:line="480" w:lineRule="auto"/>
        <w:ind w:left="227" w:hanging="369"/>
        <w:rPr>
          <w:rFonts w:ascii="Times New Roman" w:hAnsi="Times New Roman" w:cs="Times New Roman"/>
          <w:sz w:val="24"/>
          <w:szCs w:val="24"/>
        </w:rPr>
      </w:pPr>
      <w:r w:rsidRPr="0052360E">
        <w:rPr>
          <w:rFonts w:ascii="Times New Roman" w:hAnsi="Times New Roman" w:cs="Times New Roman"/>
          <w:sz w:val="24"/>
          <w:szCs w:val="24"/>
        </w:rPr>
        <w:t>20</w:t>
      </w:r>
      <w:r w:rsidR="007E5F0B" w:rsidRPr="0052360E">
        <w:rPr>
          <w:rFonts w:ascii="Times New Roman" w:hAnsi="Times New Roman" w:cs="Times New Roman"/>
          <w:sz w:val="24"/>
          <w:szCs w:val="24"/>
        </w:rPr>
        <w:t>.</w:t>
      </w:r>
      <w:r w:rsidRPr="0052360E">
        <w:rPr>
          <w:rFonts w:ascii="Times New Roman" w:hAnsi="Times New Roman" w:cs="Times New Roman"/>
          <w:sz w:val="24"/>
          <w:szCs w:val="24"/>
        </w:rPr>
        <w:t xml:space="preserve"> </w:t>
      </w:r>
      <w:r w:rsidR="00E32F3E" w:rsidRPr="0052360E">
        <w:rPr>
          <w:rFonts w:ascii="Times New Roman" w:hAnsi="Times New Roman" w:cs="Times New Roman"/>
          <w:sz w:val="24"/>
          <w:szCs w:val="24"/>
          <w:lang w:val="de-DE"/>
        </w:rPr>
        <w:t xml:space="preserve">Kozich JJ, Westcott SL, Baxter NT, Highlander SK, Schloss PD. </w:t>
      </w:r>
      <w:r w:rsidR="00E32F3E" w:rsidRPr="0052360E">
        <w:rPr>
          <w:rFonts w:ascii="Times New Roman" w:hAnsi="Times New Roman" w:cs="Times New Roman"/>
          <w:sz w:val="24"/>
          <w:szCs w:val="24"/>
        </w:rPr>
        <w:t xml:space="preserve">Development of a dual-index sequencing strategy and cultivation pipeline for analyzing amplicon sequence data in the MiSeq Illumina sequencing platform </w:t>
      </w:r>
      <w:r w:rsidR="00E32F3E" w:rsidRPr="0052360E">
        <w:rPr>
          <w:rFonts w:ascii="Times New Roman" w:hAnsi="Times New Roman" w:cs="Times New Roman"/>
          <w:i/>
          <w:sz w:val="24"/>
          <w:szCs w:val="24"/>
        </w:rPr>
        <w:t>A</w:t>
      </w:r>
      <w:r w:rsidR="00E66F27" w:rsidRPr="0052360E">
        <w:rPr>
          <w:rFonts w:ascii="Times New Roman" w:hAnsi="Times New Roman" w:cs="Times New Roman"/>
          <w:i/>
          <w:sz w:val="24"/>
          <w:szCs w:val="24"/>
        </w:rPr>
        <w:t>.</w:t>
      </w:r>
      <w:r w:rsidR="00E32F3E" w:rsidRPr="0052360E">
        <w:rPr>
          <w:rFonts w:ascii="Times New Roman" w:hAnsi="Times New Roman" w:cs="Times New Roman"/>
          <w:i/>
          <w:sz w:val="24"/>
          <w:szCs w:val="24"/>
        </w:rPr>
        <w:t>E</w:t>
      </w:r>
      <w:r w:rsidR="00E66F27" w:rsidRPr="0052360E">
        <w:rPr>
          <w:rFonts w:ascii="Times New Roman" w:hAnsi="Times New Roman" w:cs="Times New Roman"/>
          <w:i/>
          <w:sz w:val="24"/>
          <w:szCs w:val="24"/>
        </w:rPr>
        <w:t>.</w:t>
      </w:r>
      <w:r w:rsidR="00E32F3E" w:rsidRPr="0052360E">
        <w:rPr>
          <w:rFonts w:ascii="Times New Roman" w:hAnsi="Times New Roman" w:cs="Times New Roman"/>
          <w:i/>
          <w:sz w:val="24"/>
          <w:szCs w:val="24"/>
        </w:rPr>
        <w:t>M</w:t>
      </w:r>
      <w:r w:rsidR="00E66F27" w:rsidRPr="0052360E">
        <w:rPr>
          <w:rFonts w:ascii="Times New Roman" w:hAnsi="Times New Roman" w:cs="Times New Roman"/>
          <w:i/>
          <w:sz w:val="24"/>
          <w:szCs w:val="24"/>
        </w:rPr>
        <w:t>.</w:t>
      </w:r>
      <w:r w:rsidR="00E32F3E" w:rsidRPr="0052360E">
        <w:rPr>
          <w:rFonts w:ascii="Times New Roman" w:hAnsi="Times New Roman" w:cs="Times New Roman"/>
          <w:sz w:val="24"/>
          <w:szCs w:val="24"/>
        </w:rPr>
        <w:t xml:space="preserve"> 2013; </w:t>
      </w:r>
      <w:r w:rsidR="00E32F3E" w:rsidRPr="0052360E">
        <w:rPr>
          <w:rFonts w:ascii="Times New Roman" w:hAnsi="Times New Roman" w:cs="Times New Roman"/>
          <w:b/>
          <w:sz w:val="24"/>
          <w:szCs w:val="24"/>
        </w:rPr>
        <w:t>79</w:t>
      </w:r>
      <w:r w:rsidR="00E32F3E" w:rsidRPr="0052360E">
        <w:rPr>
          <w:rFonts w:ascii="Times New Roman" w:hAnsi="Times New Roman" w:cs="Times New Roman"/>
          <w:sz w:val="24"/>
          <w:szCs w:val="24"/>
        </w:rPr>
        <w:t>: 5112-</w:t>
      </w:r>
      <w:r w:rsidR="00E66F27" w:rsidRPr="0052360E">
        <w:rPr>
          <w:rFonts w:ascii="Times New Roman" w:hAnsi="Times New Roman" w:cs="Times New Roman"/>
          <w:sz w:val="24"/>
          <w:szCs w:val="24"/>
        </w:rPr>
        <w:t>1</w:t>
      </w:r>
      <w:r w:rsidR="00E32F3E" w:rsidRPr="0052360E">
        <w:rPr>
          <w:rFonts w:ascii="Times New Roman" w:hAnsi="Times New Roman" w:cs="Times New Roman"/>
          <w:sz w:val="24"/>
          <w:szCs w:val="24"/>
        </w:rPr>
        <w:t>20.</w:t>
      </w:r>
      <w:r w:rsidR="005A0DCD" w:rsidRPr="0052360E">
        <w:rPr>
          <w:rFonts w:ascii="Times New Roman" w:hAnsi="Times New Roman" w:cs="Times New Roman"/>
          <w:sz w:val="24"/>
          <w:szCs w:val="24"/>
        </w:rPr>
        <w:t xml:space="preserve"> </w:t>
      </w:r>
    </w:p>
    <w:p w14:paraId="5AB2DF78" w14:textId="4961CDD4" w:rsidR="000A56D7" w:rsidRPr="0052360E" w:rsidRDefault="00FD2BD2" w:rsidP="008F365F">
      <w:pPr>
        <w:spacing w:after="0" w:line="480" w:lineRule="auto"/>
        <w:ind w:left="227" w:hanging="369"/>
        <w:rPr>
          <w:rFonts w:ascii="Times New Roman" w:hAnsi="Times New Roman" w:cs="Times New Roman"/>
          <w:sz w:val="24"/>
          <w:szCs w:val="24"/>
        </w:rPr>
      </w:pPr>
      <w:r w:rsidRPr="0052360E">
        <w:rPr>
          <w:rFonts w:ascii="Times New Roman" w:hAnsi="Times New Roman" w:cs="Times New Roman"/>
          <w:sz w:val="24"/>
          <w:szCs w:val="24"/>
        </w:rPr>
        <w:t>21</w:t>
      </w:r>
      <w:r w:rsidR="007E5F0B" w:rsidRPr="0052360E">
        <w:rPr>
          <w:rFonts w:ascii="Times New Roman" w:hAnsi="Times New Roman" w:cs="Times New Roman"/>
          <w:sz w:val="24"/>
          <w:szCs w:val="24"/>
        </w:rPr>
        <w:t>.</w:t>
      </w:r>
      <w:r w:rsidRPr="0052360E">
        <w:rPr>
          <w:rFonts w:ascii="Times New Roman" w:hAnsi="Times New Roman" w:cs="Times New Roman"/>
          <w:sz w:val="24"/>
          <w:szCs w:val="24"/>
        </w:rPr>
        <w:t xml:space="preserve"> </w:t>
      </w:r>
      <w:r w:rsidR="005A0DCD" w:rsidRPr="0052360E">
        <w:rPr>
          <w:rFonts w:ascii="Times New Roman" w:hAnsi="Times New Roman" w:cs="Times New Roman"/>
          <w:sz w:val="24"/>
          <w:szCs w:val="24"/>
        </w:rPr>
        <w:t>Diallo</w:t>
      </w:r>
      <w:bookmarkStart w:id="1" w:name="_Hlk527922130"/>
      <w:r w:rsidR="005A0DCD" w:rsidRPr="0052360E">
        <w:rPr>
          <w:rFonts w:ascii="Times New Roman" w:eastAsia="Calibri" w:hAnsi="Times New Roman" w:cs="Times New Roman"/>
          <w:color w:val="000000"/>
          <w:sz w:val="24"/>
          <w:szCs w:val="24"/>
        </w:rPr>
        <w:t xml:space="preserve"> S</w:t>
      </w:r>
      <w:r w:rsidR="000A56D7" w:rsidRPr="0052360E">
        <w:rPr>
          <w:rFonts w:ascii="Times New Roman" w:eastAsia="Calibri" w:hAnsi="Times New Roman" w:cs="Times New Roman"/>
          <w:color w:val="000000"/>
          <w:sz w:val="24"/>
          <w:szCs w:val="24"/>
        </w:rPr>
        <w:t xml:space="preserve">, </w:t>
      </w:r>
      <w:r w:rsidR="005A0DCD" w:rsidRPr="0052360E">
        <w:rPr>
          <w:rFonts w:ascii="Times New Roman" w:hAnsi="Times New Roman" w:cs="Times New Roman"/>
          <w:sz w:val="24"/>
          <w:szCs w:val="24"/>
        </w:rPr>
        <w:t>Roberts</w:t>
      </w:r>
      <w:r w:rsidR="000A56D7" w:rsidRPr="0052360E">
        <w:rPr>
          <w:rFonts w:ascii="Times New Roman" w:hAnsi="Times New Roman" w:cs="Times New Roman"/>
          <w:sz w:val="24"/>
          <w:szCs w:val="24"/>
        </w:rPr>
        <w:t xml:space="preserve"> SA</w:t>
      </w:r>
      <w:r w:rsidR="005A0DCD" w:rsidRPr="0052360E">
        <w:rPr>
          <w:rFonts w:ascii="Times New Roman" w:hAnsi="Times New Roman" w:cs="Times New Roman"/>
          <w:sz w:val="24"/>
          <w:szCs w:val="24"/>
        </w:rPr>
        <w:t>, Gies</w:t>
      </w:r>
      <w:r w:rsidR="000A56D7" w:rsidRPr="0052360E">
        <w:rPr>
          <w:rFonts w:ascii="Times New Roman" w:hAnsi="Times New Roman" w:cs="Times New Roman"/>
          <w:sz w:val="24"/>
          <w:szCs w:val="24"/>
        </w:rPr>
        <w:t xml:space="preserve"> S</w:t>
      </w:r>
      <w:r w:rsidR="005A0DCD" w:rsidRPr="0052360E">
        <w:rPr>
          <w:rFonts w:ascii="Times New Roman" w:hAnsi="Times New Roman" w:cs="Times New Roman"/>
          <w:sz w:val="24"/>
          <w:szCs w:val="24"/>
        </w:rPr>
        <w:t>,</w:t>
      </w:r>
      <w:r w:rsidR="000A56D7" w:rsidRPr="0052360E">
        <w:rPr>
          <w:rFonts w:ascii="Times New Roman" w:hAnsi="Times New Roman" w:cs="Times New Roman"/>
          <w:sz w:val="24"/>
          <w:szCs w:val="24"/>
        </w:rPr>
        <w:t xml:space="preserve"> </w:t>
      </w:r>
      <w:r w:rsidR="005A0DCD" w:rsidRPr="0052360E">
        <w:rPr>
          <w:rFonts w:ascii="Times New Roman" w:hAnsi="Times New Roman" w:cs="Times New Roman"/>
          <w:sz w:val="24"/>
          <w:szCs w:val="24"/>
        </w:rPr>
        <w:t>Rouamba</w:t>
      </w:r>
      <w:r w:rsidR="000A56D7" w:rsidRPr="0052360E">
        <w:rPr>
          <w:rFonts w:ascii="Times New Roman" w:hAnsi="Times New Roman" w:cs="Times New Roman"/>
          <w:sz w:val="24"/>
          <w:szCs w:val="24"/>
        </w:rPr>
        <w:t xml:space="preserve"> T</w:t>
      </w:r>
      <w:r w:rsidR="005A0DCD" w:rsidRPr="0052360E">
        <w:rPr>
          <w:rFonts w:ascii="Times New Roman" w:hAnsi="Times New Roman" w:cs="Times New Roman"/>
          <w:sz w:val="24"/>
          <w:szCs w:val="24"/>
        </w:rPr>
        <w:t xml:space="preserve">, </w:t>
      </w:r>
      <w:r w:rsidR="005A0DCD" w:rsidRPr="0052360E">
        <w:rPr>
          <w:rFonts w:ascii="Times New Roman" w:hAnsi="Times New Roman" w:cs="Times New Roman"/>
          <w:bCs/>
          <w:sz w:val="24"/>
          <w:szCs w:val="24"/>
        </w:rPr>
        <w:t>Swinkels</w:t>
      </w:r>
      <w:r w:rsidR="000A56D7" w:rsidRPr="0052360E">
        <w:rPr>
          <w:rFonts w:ascii="Times New Roman" w:hAnsi="Times New Roman" w:cs="Times New Roman"/>
          <w:bCs/>
          <w:sz w:val="24"/>
          <w:szCs w:val="24"/>
        </w:rPr>
        <w:t xml:space="preserve"> DW, </w:t>
      </w:r>
      <w:r w:rsidR="005A0DCD" w:rsidRPr="0052360E">
        <w:rPr>
          <w:rFonts w:ascii="Times New Roman" w:hAnsi="Times New Roman" w:cs="Times New Roman"/>
          <w:bCs/>
          <w:sz w:val="24"/>
          <w:szCs w:val="24"/>
        </w:rPr>
        <w:t>Geurts-Moespot</w:t>
      </w:r>
      <w:r w:rsidR="000A56D7" w:rsidRPr="0052360E">
        <w:rPr>
          <w:rFonts w:ascii="Times New Roman" w:hAnsi="Times New Roman" w:cs="Times New Roman"/>
          <w:bCs/>
          <w:sz w:val="24"/>
          <w:szCs w:val="24"/>
        </w:rPr>
        <w:t xml:space="preserve"> AJ</w:t>
      </w:r>
      <w:r w:rsidR="00E66F27" w:rsidRPr="0052360E">
        <w:rPr>
          <w:rFonts w:ascii="Times New Roman" w:hAnsi="Times New Roman" w:cs="Times New Roman"/>
          <w:bCs/>
          <w:sz w:val="24"/>
          <w:szCs w:val="24"/>
        </w:rPr>
        <w:t>,</w:t>
      </w:r>
      <w:r w:rsidR="000A56D7" w:rsidRPr="0052360E">
        <w:rPr>
          <w:rFonts w:ascii="Times New Roman" w:hAnsi="Times New Roman" w:cs="Times New Roman"/>
          <w:bCs/>
          <w:sz w:val="24"/>
          <w:szCs w:val="24"/>
        </w:rPr>
        <w:t xml:space="preserve"> </w:t>
      </w:r>
      <w:r w:rsidR="000A56D7" w:rsidRPr="0052360E">
        <w:rPr>
          <w:rFonts w:ascii="Times New Roman" w:hAnsi="Times New Roman" w:cs="Times New Roman"/>
          <w:bCs/>
          <w:i/>
          <w:sz w:val="24"/>
          <w:szCs w:val="24"/>
        </w:rPr>
        <w:t>et al</w:t>
      </w:r>
      <w:r w:rsidR="000A56D7" w:rsidRPr="0052360E">
        <w:rPr>
          <w:rFonts w:ascii="Times New Roman" w:hAnsi="Times New Roman" w:cs="Times New Roman"/>
          <w:bCs/>
          <w:sz w:val="24"/>
          <w:szCs w:val="24"/>
        </w:rPr>
        <w:t>.</w:t>
      </w:r>
      <w:r w:rsidR="005A0DCD" w:rsidRPr="0052360E">
        <w:rPr>
          <w:rFonts w:ascii="Times New Roman" w:hAnsi="Times New Roman" w:cs="Times New Roman"/>
          <w:bCs/>
          <w:sz w:val="24"/>
          <w:szCs w:val="24"/>
        </w:rPr>
        <w:t xml:space="preserve"> </w:t>
      </w:r>
      <w:r w:rsidR="000A56D7" w:rsidRPr="0052360E">
        <w:rPr>
          <w:rFonts w:ascii="Times New Roman" w:hAnsi="Times New Roman" w:cs="Times New Roman"/>
          <w:sz w:val="24"/>
          <w:szCs w:val="24"/>
        </w:rPr>
        <w:t xml:space="preserve">Malaria early in the first pregnancy: potential impact of iron status. </w:t>
      </w:r>
      <w:r w:rsidR="000A56D7" w:rsidRPr="0052360E">
        <w:rPr>
          <w:rFonts w:ascii="Times New Roman" w:hAnsi="Times New Roman" w:cs="Times New Roman"/>
          <w:i/>
          <w:sz w:val="24"/>
          <w:szCs w:val="24"/>
        </w:rPr>
        <w:t>Clin. Nutr.</w:t>
      </w:r>
      <w:r w:rsidR="000A56D7" w:rsidRPr="0052360E">
        <w:rPr>
          <w:rFonts w:ascii="Times New Roman" w:hAnsi="Times New Roman" w:cs="Times New Roman"/>
          <w:sz w:val="24"/>
          <w:szCs w:val="24"/>
        </w:rPr>
        <w:t xml:space="preserve"> </w:t>
      </w:r>
      <w:r w:rsidR="00465D68" w:rsidRPr="0052360E">
        <w:rPr>
          <w:rFonts w:ascii="Times New Roman" w:hAnsi="Times New Roman" w:cs="Times New Roman"/>
          <w:color w:val="000000"/>
          <w:sz w:val="24"/>
          <w:szCs w:val="24"/>
          <w:shd w:val="clear" w:color="auto" w:fill="FFFFFF"/>
        </w:rPr>
        <w:t xml:space="preserve">2019 Jan 26. pii: S0261-5614(19)30034-2. doi: 10.1016/j.clnu.2019.01.016 </w:t>
      </w:r>
      <w:r w:rsidR="000A56D7" w:rsidRPr="0052360E">
        <w:rPr>
          <w:rFonts w:ascii="Times New Roman" w:hAnsi="Times New Roman" w:cs="Times New Roman"/>
          <w:sz w:val="24"/>
          <w:szCs w:val="24"/>
        </w:rPr>
        <w:t>Epub ahead of print.</w:t>
      </w:r>
    </w:p>
    <w:p w14:paraId="00C4F50A" w14:textId="33E6FC2B" w:rsidR="000A56D7" w:rsidRPr="0052360E" w:rsidRDefault="00FD2BD2" w:rsidP="008F365F">
      <w:pPr>
        <w:spacing w:after="0" w:line="480" w:lineRule="auto"/>
        <w:ind w:left="142" w:hanging="284"/>
        <w:rPr>
          <w:rFonts w:ascii="Times New Roman" w:hAnsi="Times New Roman"/>
          <w:sz w:val="24"/>
          <w:szCs w:val="24"/>
        </w:rPr>
      </w:pPr>
      <w:r w:rsidRPr="0052360E">
        <w:rPr>
          <w:rFonts w:ascii="Times New Roman" w:hAnsi="Times New Roman" w:cs="Times New Roman"/>
          <w:sz w:val="24"/>
          <w:szCs w:val="24"/>
        </w:rPr>
        <w:t>22</w:t>
      </w:r>
      <w:r w:rsidR="007E5F0B" w:rsidRPr="0052360E">
        <w:rPr>
          <w:rFonts w:ascii="Times New Roman" w:hAnsi="Times New Roman" w:cs="Times New Roman"/>
          <w:sz w:val="24"/>
          <w:szCs w:val="24"/>
        </w:rPr>
        <w:t>.</w:t>
      </w:r>
      <w:r w:rsidRPr="0052360E">
        <w:rPr>
          <w:rFonts w:ascii="Times New Roman" w:hAnsi="Times New Roman" w:cs="Times New Roman"/>
          <w:sz w:val="24"/>
          <w:szCs w:val="24"/>
        </w:rPr>
        <w:t xml:space="preserve"> </w:t>
      </w:r>
      <w:r w:rsidR="00E66F27" w:rsidRPr="0052360E">
        <w:rPr>
          <w:rFonts w:ascii="Times New Roman" w:hAnsi="Times New Roman" w:cs="Times New Roman"/>
          <w:sz w:val="24"/>
          <w:szCs w:val="24"/>
        </w:rPr>
        <w:t>Cook J, Flowers CH &amp;</w:t>
      </w:r>
      <w:r w:rsidR="000A56D7" w:rsidRPr="0052360E">
        <w:rPr>
          <w:rFonts w:ascii="Times New Roman" w:hAnsi="Times New Roman" w:cs="Times New Roman"/>
          <w:sz w:val="24"/>
          <w:szCs w:val="24"/>
        </w:rPr>
        <w:t xml:space="preserve"> Skikne BS. The quantitative assessment of body iron. </w:t>
      </w:r>
      <w:r w:rsidR="000A56D7" w:rsidRPr="0052360E">
        <w:rPr>
          <w:rFonts w:ascii="Times New Roman" w:hAnsi="Times New Roman" w:cs="Times New Roman"/>
          <w:i/>
          <w:sz w:val="24"/>
          <w:szCs w:val="24"/>
        </w:rPr>
        <w:t>Blood</w:t>
      </w:r>
      <w:r w:rsidR="000A56D7" w:rsidRPr="0052360E">
        <w:rPr>
          <w:rFonts w:ascii="Times New Roman" w:hAnsi="Times New Roman" w:cs="Times New Roman"/>
          <w:sz w:val="24"/>
          <w:szCs w:val="24"/>
        </w:rPr>
        <w:t xml:space="preserve"> 2003;</w:t>
      </w:r>
      <w:r w:rsidR="00E66F27" w:rsidRPr="0052360E">
        <w:rPr>
          <w:rFonts w:ascii="Times New Roman" w:hAnsi="Times New Roman" w:cs="Times New Roman"/>
          <w:sz w:val="24"/>
          <w:szCs w:val="24"/>
        </w:rPr>
        <w:t xml:space="preserve"> </w:t>
      </w:r>
      <w:r w:rsidR="000A56D7" w:rsidRPr="0052360E">
        <w:rPr>
          <w:rFonts w:ascii="Times New Roman" w:hAnsi="Times New Roman" w:cs="Times New Roman"/>
          <w:b/>
          <w:sz w:val="24"/>
          <w:szCs w:val="24"/>
        </w:rPr>
        <w:t>101</w:t>
      </w:r>
      <w:r w:rsidR="000A56D7" w:rsidRPr="0052360E">
        <w:rPr>
          <w:rFonts w:ascii="Times New Roman" w:hAnsi="Times New Roman" w:cs="Times New Roman"/>
          <w:sz w:val="24"/>
          <w:szCs w:val="24"/>
        </w:rPr>
        <w:t>:</w:t>
      </w:r>
      <w:r w:rsidR="00E66F27" w:rsidRPr="0052360E">
        <w:rPr>
          <w:rFonts w:ascii="Times New Roman" w:hAnsi="Times New Roman" w:cs="Times New Roman"/>
          <w:sz w:val="24"/>
          <w:szCs w:val="24"/>
        </w:rPr>
        <w:t xml:space="preserve"> </w:t>
      </w:r>
      <w:r w:rsidR="000A56D7" w:rsidRPr="0052360E">
        <w:rPr>
          <w:rFonts w:ascii="Times New Roman" w:hAnsi="Times New Roman" w:cs="Times New Roman"/>
          <w:sz w:val="24"/>
          <w:szCs w:val="24"/>
        </w:rPr>
        <w:t>3359-</w:t>
      </w:r>
      <w:r w:rsidR="00E66F27" w:rsidRPr="0052360E">
        <w:rPr>
          <w:rFonts w:ascii="Times New Roman" w:hAnsi="Times New Roman" w:cs="Times New Roman"/>
          <w:sz w:val="24"/>
          <w:szCs w:val="24"/>
        </w:rPr>
        <w:t>3</w:t>
      </w:r>
      <w:r w:rsidR="000A56D7" w:rsidRPr="0052360E">
        <w:rPr>
          <w:rFonts w:ascii="Times New Roman" w:hAnsi="Times New Roman" w:cs="Times New Roman"/>
          <w:sz w:val="24"/>
          <w:szCs w:val="24"/>
        </w:rPr>
        <w:t>64.</w:t>
      </w:r>
    </w:p>
    <w:p w14:paraId="78CCEF47" w14:textId="612C3398" w:rsidR="000A56D7" w:rsidRPr="0052360E" w:rsidRDefault="00390935" w:rsidP="00390935">
      <w:pPr>
        <w:spacing w:after="0" w:line="480" w:lineRule="auto"/>
        <w:ind w:left="142" w:hanging="426"/>
        <w:rPr>
          <w:rFonts w:ascii="Times New Roman" w:hAnsi="Times New Roman"/>
          <w:sz w:val="24"/>
          <w:szCs w:val="24"/>
        </w:rPr>
      </w:pPr>
      <w:r w:rsidRPr="0052360E">
        <w:rPr>
          <w:rFonts w:ascii="Times New Roman" w:hAnsi="Times New Roman"/>
          <w:sz w:val="24"/>
          <w:szCs w:val="24"/>
        </w:rPr>
        <w:t xml:space="preserve">  </w:t>
      </w:r>
      <w:r w:rsidR="00FD2BD2" w:rsidRPr="0052360E">
        <w:rPr>
          <w:rFonts w:ascii="Times New Roman" w:hAnsi="Times New Roman"/>
          <w:sz w:val="24"/>
          <w:szCs w:val="24"/>
        </w:rPr>
        <w:t>23</w:t>
      </w:r>
      <w:r w:rsidR="007E5F0B" w:rsidRPr="0052360E">
        <w:rPr>
          <w:rFonts w:ascii="Times New Roman" w:hAnsi="Times New Roman"/>
          <w:sz w:val="24"/>
          <w:szCs w:val="24"/>
        </w:rPr>
        <w:t>.</w:t>
      </w:r>
      <w:r w:rsidR="00FD2BD2" w:rsidRPr="0052360E">
        <w:rPr>
          <w:rFonts w:ascii="Times New Roman" w:hAnsi="Times New Roman"/>
          <w:sz w:val="24"/>
          <w:szCs w:val="24"/>
        </w:rPr>
        <w:t xml:space="preserve"> </w:t>
      </w:r>
      <w:r w:rsidR="000A56D7" w:rsidRPr="0052360E">
        <w:rPr>
          <w:rFonts w:ascii="Times New Roman" w:hAnsi="Times New Roman"/>
          <w:sz w:val="24"/>
          <w:szCs w:val="24"/>
        </w:rPr>
        <w:t xml:space="preserve">Namaste SM, Rohner F, Huang J, Bhushan NL, Flores-Ayala R, Kupka R, </w:t>
      </w:r>
      <w:r w:rsidR="00E66F27" w:rsidRPr="0052360E">
        <w:rPr>
          <w:rFonts w:ascii="Times New Roman" w:hAnsi="Times New Roman"/>
          <w:i/>
          <w:sz w:val="24"/>
          <w:szCs w:val="24"/>
        </w:rPr>
        <w:t>et al.</w:t>
      </w:r>
      <w:r w:rsidR="000A56D7" w:rsidRPr="0052360E">
        <w:rPr>
          <w:rFonts w:ascii="Times New Roman" w:hAnsi="Times New Roman"/>
          <w:sz w:val="24"/>
          <w:szCs w:val="24"/>
        </w:rPr>
        <w:t xml:space="preserve"> </w:t>
      </w:r>
      <w:r w:rsidRPr="0052360E">
        <w:rPr>
          <w:rFonts w:ascii="Times New Roman" w:hAnsi="Times New Roman"/>
          <w:sz w:val="24"/>
          <w:szCs w:val="24"/>
        </w:rPr>
        <w:t xml:space="preserve">Adjusting ferritin </w:t>
      </w:r>
      <w:r w:rsidR="000A56D7" w:rsidRPr="0052360E">
        <w:rPr>
          <w:rFonts w:ascii="Times New Roman" w:hAnsi="Times New Roman"/>
          <w:sz w:val="24"/>
          <w:szCs w:val="24"/>
        </w:rPr>
        <w:t xml:space="preserve">concentrations for inflammation: Biomarkers Reflecting Inflammation and Nutritional Determinants of Anemia (BRINDA) project. </w:t>
      </w:r>
      <w:r w:rsidR="000A56D7" w:rsidRPr="0052360E">
        <w:rPr>
          <w:rFonts w:ascii="Times New Roman" w:hAnsi="Times New Roman"/>
          <w:i/>
          <w:sz w:val="24"/>
          <w:szCs w:val="24"/>
        </w:rPr>
        <w:t>Am</w:t>
      </w:r>
      <w:r w:rsidR="00E66F27" w:rsidRPr="0052360E">
        <w:rPr>
          <w:rFonts w:ascii="Times New Roman" w:hAnsi="Times New Roman"/>
          <w:i/>
          <w:sz w:val="24"/>
          <w:szCs w:val="24"/>
        </w:rPr>
        <w:t>.</w:t>
      </w:r>
      <w:r w:rsidR="000A56D7" w:rsidRPr="0052360E">
        <w:rPr>
          <w:rFonts w:ascii="Times New Roman" w:hAnsi="Times New Roman"/>
          <w:i/>
          <w:sz w:val="24"/>
          <w:szCs w:val="24"/>
        </w:rPr>
        <w:t xml:space="preserve"> J</w:t>
      </w:r>
      <w:r w:rsidR="00E66F27" w:rsidRPr="0052360E">
        <w:rPr>
          <w:rFonts w:ascii="Times New Roman" w:hAnsi="Times New Roman"/>
          <w:i/>
          <w:sz w:val="24"/>
          <w:szCs w:val="24"/>
        </w:rPr>
        <w:t xml:space="preserve">. </w:t>
      </w:r>
      <w:r w:rsidR="000A56D7" w:rsidRPr="0052360E">
        <w:rPr>
          <w:rFonts w:ascii="Times New Roman" w:hAnsi="Times New Roman"/>
          <w:i/>
          <w:sz w:val="24"/>
          <w:szCs w:val="24"/>
        </w:rPr>
        <w:t>Clin</w:t>
      </w:r>
      <w:r w:rsidR="00E66F27" w:rsidRPr="0052360E">
        <w:rPr>
          <w:rFonts w:ascii="Times New Roman" w:hAnsi="Times New Roman"/>
          <w:i/>
          <w:sz w:val="24"/>
          <w:szCs w:val="24"/>
        </w:rPr>
        <w:t>.</w:t>
      </w:r>
      <w:r w:rsidR="000A56D7" w:rsidRPr="0052360E">
        <w:rPr>
          <w:rFonts w:ascii="Times New Roman" w:hAnsi="Times New Roman"/>
          <w:i/>
          <w:sz w:val="24"/>
          <w:szCs w:val="24"/>
        </w:rPr>
        <w:t xml:space="preserve"> Nutr.</w:t>
      </w:r>
      <w:r w:rsidR="00E66F27" w:rsidRPr="0052360E">
        <w:rPr>
          <w:rFonts w:ascii="Times New Roman" w:hAnsi="Times New Roman"/>
          <w:sz w:val="24"/>
          <w:szCs w:val="24"/>
        </w:rPr>
        <w:t xml:space="preserve"> 2017; </w:t>
      </w:r>
      <w:r w:rsidR="000A56D7" w:rsidRPr="0052360E">
        <w:rPr>
          <w:rFonts w:ascii="Times New Roman" w:hAnsi="Times New Roman"/>
          <w:b/>
          <w:sz w:val="24"/>
          <w:szCs w:val="24"/>
        </w:rPr>
        <w:t>106:</w:t>
      </w:r>
      <w:r w:rsidR="00E66F27" w:rsidRPr="0052360E">
        <w:rPr>
          <w:rFonts w:ascii="Times New Roman" w:hAnsi="Times New Roman"/>
          <w:sz w:val="24"/>
          <w:szCs w:val="24"/>
        </w:rPr>
        <w:t xml:space="preserve"> </w:t>
      </w:r>
      <w:r w:rsidR="000A56D7" w:rsidRPr="0052360E">
        <w:rPr>
          <w:rFonts w:ascii="Times New Roman" w:hAnsi="Times New Roman"/>
          <w:sz w:val="24"/>
          <w:szCs w:val="24"/>
        </w:rPr>
        <w:t>359S-</w:t>
      </w:r>
      <w:r w:rsidR="00E66F27" w:rsidRPr="0052360E">
        <w:rPr>
          <w:rFonts w:ascii="Times New Roman" w:hAnsi="Times New Roman"/>
          <w:sz w:val="24"/>
          <w:szCs w:val="24"/>
        </w:rPr>
        <w:t>3</w:t>
      </w:r>
      <w:r w:rsidR="000A56D7" w:rsidRPr="0052360E">
        <w:rPr>
          <w:rFonts w:ascii="Times New Roman" w:hAnsi="Times New Roman"/>
          <w:sz w:val="24"/>
          <w:szCs w:val="24"/>
        </w:rPr>
        <w:t>71S.</w:t>
      </w:r>
    </w:p>
    <w:p w14:paraId="2EF1E4AA" w14:textId="77777777" w:rsidR="00390935" w:rsidRPr="0052360E" w:rsidRDefault="00FD2BD2" w:rsidP="00390935">
      <w:pPr>
        <w:spacing w:after="0" w:line="480" w:lineRule="auto"/>
        <w:ind w:left="142" w:hanging="284"/>
        <w:rPr>
          <w:rFonts w:ascii="Times New Roman" w:hAnsi="Times New Roman" w:cs="Times New Roman"/>
          <w:sz w:val="24"/>
          <w:szCs w:val="24"/>
        </w:rPr>
      </w:pPr>
      <w:r w:rsidRPr="0052360E">
        <w:rPr>
          <w:rFonts w:ascii="Times New Roman" w:hAnsi="Times New Roman"/>
          <w:sz w:val="24"/>
          <w:szCs w:val="24"/>
        </w:rPr>
        <w:t>24</w:t>
      </w:r>
      <w:r w:rsidR="007E5F0B" w:rsidRPr="0052360E">
        <w:rPr>
          <w:rFonts w:ascii="Times New Roman" w:hAnsi="Times New Roman"/>
          <w:sz w:val="24"/>
          <w:szCs w:val="24"/>
        </w:rPr>
        <w:t>.</w:t>
      </w:r>
      <w:r w:rsidRPr="0052360E">
        <w:rPr>
          <w:rFonts w:ascii="Times New Roman" w:hAnsi="Times New Roman"/>
          <w:sz w:val="24"/>
          <w:szCs w:val="24"/>
        </w:rPr>
        <w:t xml:space="preserve"> </w:t>
      </w:r>
      <w:r w:rsidR="000A56D7" w:rsidRPr="0052360E">
        <w:rPr>
          <w:rFonts w:ascii="Times New Roman" w:hAnsi="Times New Roman"/>
          <w:sz w:val="24"/>
          <w:szCs w:val="24"/>
        </w:rPr>
        <w:t>Kroot</w:t>
      </w:r>
      <w:r w:rsidR="00E66F27" w:rsidRPr="0052360E">
        <w:rPr>
          <w:rFonts w:ascii="Times New Roman" w:hAnsi="Times New Roman"/>
          <w:sz w:val="24"/>
          <w:szCs w:val="24"/>
        </w:rPr>
        <w:t xml:space="preserve"> </w:t>
      </w:r>
      <w:r w:rsidR="000A56D7" w:rsidRPr="0052360E">
        <w:rPr>
          <w:rFonts w:ascii="Times New Roman" w:hAnsi="Times New Roman"/>
          <w:sz w:val="24"/>
          <w:szCs w:val="24"/>
        </w:rPr>
        <w:t>J</w:t>
      </w:r>
      <w:r w:rsidR="00E66F27" w:rsidRPr="0052360E">
        <w:rPr>
          <w:rFonts w:ascii="Times New Roman" w:hAnsi="Times New Roman"/>
          <w:sz w:val="24"/>
          <w:szCs w:val="24"/>
        </w:rPr>
        <w:t>CC, Laarakkers C</w:t>
      </w:r>
      <w:r w:rsidR="000A56D7" w:rsidRPr="0052360E">
        <w:rPr>
          <w:rFonts w:ascii="Times New Roman" w:hAnsi="Times New Roman"/>
          <w:sz w:val="24"/>
          <w:szCs w:val="24"/>
        </w:rPr>
        <w:t>M</w:t>
      </w:r>
      <w:r w:rsidR="00E66F27" w:rsidRPr="0052360E">
        <w:rPr>
          <w:rFonts w:ascii="Times New Roman" w:hAnsi="Times New Roman"/>
          <w:sz w:val="24"/>
          <w:szCs w:val="24"/>
        </w:rPr>
        <w:t>, Geurts-Moespot</w:t>
      </w:r>
      <w:r w:rsidR="000A56D7" w:rsidRPr="0052360E">
        <w:rPr>
          <w:rFonts w:ascii="Times New Roman" w:hAnsi="Times New Roman"/>
          <w:sz w:val="24"/>
          <w:szCs w:val="24"/>
        </w:rPr>
        <w:t xml:space="preserve"> A</w:t>
      </w:r>
      <w:r w:rsidR="00E66F27" w:rsidRPr="0052360E">
        <w:rPr>
          <w:rFonts w:ascii="Times New Roman" w:hAnsi="Times New Roman"/>
          <w:sz w:val="24"/>
          <w:szCs w:val="24"/>
        </w:rPr>
        <w:t>, Grebenchtchikov N</w:t>
      </w:r>
      <w:r w:rsidR="000A56D7" w:rsidRPr="0052360E">
        <w:rPr>
          <w:rFonts w:ascii="Times New Roman" w:hAnsi="Times New Roman"/>
          <w:sz w:val="24"/>
          <w:szCs w:val="24"/>
        </w:rPr>
        <w:t>,</w:t>
      </w:r>
      <w:r w:rsidR="00E66F27" w:rsidRPr="0052360E">
        <w:rPr>
          <w:rFonts w:ascii="Times New Roman" w:hAnsi="Times New Roman"/>
          <w:sz w:val="24"/>
          <w:szCs w:val="24"/>
        </w:rPr>
        <w:t xml:space="preserve"> Pickkers P, van Ede</w:t>
      </w:r>
      <w:r w:rsidR="000A56D7" w:rsidRPr="0052360E">
        <w:rPr>
          <w:rFonts w:ascii="Times New Roman" w:hAnsi="Times New Roman"/>
          <w:sz w:val="24"/>
          <w:szCs w:val="24"/>
        </w:rPr>
        <w:t xml:space="preserve"> A. </w:t>
      </w:r>
      <w:r w:rsidR="000A56D7" w:rsidRPr="0052360E">
        <w:rPr>
          <w:rFonts w:ascii="Times New Roman" w:hAnsi="Times New Roman"/>
          <w:i/>
          <w:sz w:val="24"/>
          <w:szCs w:val="24"/>
        </w:rPr>
        <w:t>et al</w:t>
      </w:r>
      <w:r w:rsidR="00E66F27" w:rsidRPr="0052360E">
        <w:rPr>
          <w:rFonts w:ascii="Times New Roman" w:hAnsi="Times New Roman"/>
          <w:sz w:val="24"/>
          <w:szCs w:val="24"/>
        </w:rPr>
        <w:t>.</w:t>
      </w:r>
      <w:r w:rsidR="000A56D7" w:rsidRPr="0052360E">
        <w:rPr>
          <w:rFonts w:ascii="Times New Roman" w:hAnsi="Times New Roman"/>
          <w:sz w:val="24"/>
          <w:szCs w:val="24"/>
        </w:rPr>
        <w:t xml:space="preserve"> Immunochemical and mass spectrometry-based serum hepcidin assays for a variety of iron metabolism disorders. </w:t>
      </w:r>
      <w:r w:rsidR="000A56D7" w:rsidRPr="0052360E">
        <w:rPr>
          <w:rFonts w:ascii="Times New Roman" w:hAnsi="Times New Roman"/>
          <w:i/>
          <w:sz w:val="24"/>
          <w:szCs w:val="24"/>
        </w:rPr>
        <w:t>Clin. Chem</w:t>
      </w:r>
      <w:r w:rsidR="000A56D7" w:rsidRPr="0052360E">
        <w:rPr>
          <w:rFonts w:ascii="Times New Roman" w:hAnsi="Times New Roman"/>
          <w:sz w:val="24"/>
          <w:szCs w:val="24"/>
        </w:rPr>
        <w:t>.</w:t>
      </w:r>
      <w:r w:rsidR="00E66F27" w:rsidRPr="0052360E">
        <w:rPr>
          <w:rFonts w:ascii="Times New Roman" w:hAnsi="Times New Roman"/>
          <w:sz w:val="24"/>
          <w:szCs w:val="24"/>
        </w:rPr>
        <w:t xml:space="preserve">2010; </w:t>
      </w:r>
      <w:r w:rsidR="00E66F27" w:rsidRPr="0052360E">
        <w:rPr>
          <w:rFonts w:ascii="Times New Roman" w:hAnsi="Times New Roman"/>
          <w:b/>
          <w:sz w:val="24"/>
          <w:szCs w:val="24"/>
        </w:rPr>
        <w:t>56:</w:t>
      </w:r>
      <w:r w:rsidR="000A56D7" w:rsidRPr="0052360E">
        <w:rPr>
          <w:rFonts w:ascii="Times New Roman" w:hAnsi="Times New Roman"/>
          <w:sz w:val="24"/>
          <w:szCs w:val="24"/>
        </w:rPr>
        <w:t xml:space="preserve"> 1570-1579.</w:t>
      </w:r>
      <w:r w:rsidR="00FB5E97" w:rsidRPr="0052360E">
        <w:rPr>
          <w:rFonts w:ascii="Times New Roman" w:hAnsi="Times New Roman" w:cs="Times New Roman"/>
          <w:sz w:val="24"/>
          <w:szCs w:val="24"/>
        </w:rPr>
        <w:t xml:space="preserve"> </w:t>
      </w:r>
    </w:p>
    <w:p w14:paraId="6168CD43" w14:textId="6499FFD3" w:rsidR="00FB5E97" w:rsidRPr="0052360E" w:rsidRDefault="00FD2BD2" w:rsidP="00390935">
      <w:pPr>
        <w:spacing w:after="0" w:line="480" w:lineRule="auto"/>
        <w:ind w:left="142" w:hanging="284"/>
        <w:rPr>
          <w:rFonts w:ascii="Times New Roman" w:hAnsi="Times New Roman" w:cs="Times New Roman"/>
          <w:sz w:val="24"/>
          <w:szCs w:val="24"/>
        </w:rPr>
      </w:pPr>
      <w:r w:rsidRPr="0052360E">
        <w:rPr>
          <w:rFonts w:ascii="Times New Roman" w:hAnsi="Times New Roman" w:cs="Times New Roman"/>
          <w:sz w:val="24"/>
          <w:szCs w:val="24"/>
        </w:rPr>
        <w:t>25</w:t>
      </w:r>
      <w:r w:rsidR="007E5F0B" w:rsidRPr="0052360E">
        <w:rPr>
          <w:rFonts w:ascii="Times New Roman" w:hAnsi="Times New Roman" w:cs="Times New Roman"/>
          <w:sz w:val="24"/>
          <w:szCs w:val="24"/>
        </w:rPr>
        <w:t>.</w:t>
      </w:r>
      <w:r w:rsidRPr="0052360E">
        <w:rPr>
          <w:rFonts w:ascii="Times New Roman" w:hAnsi="Times New Roman" w:cs="Times New Roman"/>
          <w:sz w:val="24"/>
          <w:szCs w:val="24"/>
        </w:rPr>
        <w:t xml:space="preserve"> </w:t>
      </w:r>
      <w:r w:rsidR="00FB5E97" w:rsidRPr="0052360E">
        <w:rPr>
          <w:rFonts w:ascii="Times New Roman" w:hAnsi="Times New Roman"/>
          <w:sz w:val="24"/>
          <w:szCs w:val="24"/>
        </w:rPr>
        <w:t xml:space="preserve">R Foundation for Statistical Computing. </w:t>
      </w:r>
      <w:r w:rsidR="00FB5E97" w:rsidRPr="0052360E">
        <w:rPr>
          <w:rFonts w:ascii="Times New Roman" w:hAnsi="Times New Roman"/>
          <w:i/>
          <w:sz w:val="24"/>
          <w:szCs w:val="24"/>
        </w:rPr>
        <w:t xml:space="preserve">R: A language and environment for statistical computing. </w:t>
      </w:r>
      <w:r w:rsidR="00E66F27" w:rsidRPr="0052360E">
        <w:rPr>
          <w:rFonts w:ascii="Times New Roman" w:hAnsi="Times New Roman"/>
          <w:sz w:val="24"/>
          <w:szCs w:val="24"/>
        </w:rPr>
        <w:t>R Core Team: Vienna, Austria. 2016</w:t>
      </w:r>
      <w:r w:rsidR="00FB5E97" w:rsidRPr="0052360E">
        <w:rPr>
          <w:rFonts w:ascii="Times New Roman" w:hAnsi="Times New Roman"/>
          <w:sz w:val="24"/>
          <w:szCs w:val="24"/>
        </w:rPr>
        <w:t>.</w:t>
      </w:r>
    </w:p>
    <w:p w14:paraId="7CBD2006" w14:textId="5B2C8838" w:rsidR="000E13FF" w:rsidRPr="0052360E" w:rsidRDefault="00FD2BD2" w:rsidP="008F365F">
      <w:pPr>
        <w:spacing w:after="0" w:line="480" w:lineRule="auto"/>
        <w:ind w:left="142" w:hanging="284"/>
        <w:rPr>
          <w:rFonts w:ascii="Times New Roman" w:hAnsi="Times New Roman" w:cs="Times New Roman"/>
          <w:sz w:val="24"/>
          <w:szCs w:val="24"/>
        </w:rPr>
      </w:pPr>
      <w:r w:rsidRPr="0052360E">
        <w:rPr>
          <w:rFonts w:ascii="Times New Roman" w:hAnsi="Times New Roman"/>
          <w:sz w:val="24"/>
          <w:szCs w:val="24"/>
        </w:rPr>
        <w:t>26</w:t>
      </w:r>
      <w:r w:rsidR="007E5F0B" w:rsidRPr="0052360E">
        <w:rPr>
          <w:rFonts w:ascii="Times New Roman" w:hAnsi="Times New Roman"/>
          <w:sz w:val="24"/>
          <w:szCs w:val="24"/>
        </w:rPr>
        <w:t>.</w:t>
      </w:r>
      <w:r w:rsidRPr="0052360E">
        <w:rPr>
          <w:rFonts w:ascii="Times New Roman" w:hAnsi="Times New Roman"/>
          <w:sz w:val="24"/>
          <w:szCs w:val="24"/>
        </w:rPr>
        <w:t xml:space="preserve"> </w:t>
      </w:r>
      <w:r w:rsidR="00E66F27" w:rsidRPr="0052360E">
        <w:rPr>
          <w:rFonts w:ascii="Times New Roman" w:hAnsi="Times New Roman"/>
          <w:sz w:val="24"/>
          <w:szCs w:val="24"/>
        </w:rPr>
        <w:t>Teng CT.</w:t>
      </w:r>
      <w:r w:rsidR="00FB5E97" w:rsidRPr="0052360E">
        <w:rPr>
          <w:rFonts w:ascii="Times New Roman" w:hAnsi="Times New Roman"/>
          <w:sz w:val="24"/>
          <w:szCs w:val="24"/>
        </w:rPr>
        <w:t xml:space="preserve"> Factors regulating lactoferrin gene expression. </w:t>
      </w:r>
      <w:r w:rsidR="00FB5E97" w:rsidRPr="0052360E">
        <w:rPr>
          <w:rFonts w:ascii="Times New Roman" w:hAnsi="Times New Roman"/>
          <w:i/>
          <w:sz w:val="24"/>
          <w:szCs w:val="24"/>
        </w:rPr>
        <w:t>Biochem. Cell. Biol</w:t>
      </w:r>
      <w:r w:rsidR="00FB5E97" w:rsidRPr="0052360E">
        <w:rPr>
          <w:rFonts w:ascii="Times New Roman" w:hAnsi="Times New Roman"/>
          <w:sz w:val="24"/>
          <w:szCs w:val="24"/>
        </w:rPr>
        <w:t xml:space="preserve">. </w:t>
      </w:r>
      <w:r w:rsidR="00E66F27" w:rsidRPr="0052360E">
        <w:rPr>
          <w:rFonts w:ascii="Times New Roman" w:hAnsi="Times New Roman"/>
          <w:sz w:val="24"/>
          <w:szCs w:val="24"/>
        </w:rPr>
        <w:t xml:space="preserve">2006; </w:t>
      </w:r>
      <w:r w:rsidR="00E66F27" w:rsidRPr="0052360E">
        <w:rPr>
          <w:rFonts w:ascii="Times New Roman" w:hAnsi="Times New Roman"/>
          <w:b/>
          <w:sz w:val="24"/>
          <w:szCs w:val="24"/>
        </w:rPr>
        <w:t>84:</w:t>
      </w:r>
      <w:r w:rsidR="00FB5E97" w:rsidRPr="0052360E">
        <w:rPr>
          <w:rFonts w:ascii="Times New Roman" w:hAnsi="Times New Roman"/>
          <w:sz w:val="24"/>
          <w:szCs w:val="24"/>
        </w:rPr>
        <w:t xml:space="preserve"> 263-267.</w:t>
      </w:r>
    </w:p>
    <w:p w14:paraId="7BC4F1CC" w14:textId="6BA6E173" w:rsidR="000E13FF" w:rsidRPr="0052360E" w:rsidRDefault="00FD2BD2" w:rsidP="008F365F">
      <w:pPr>
        <w:spacing w:after="0" w:line="480" w:lineRule="auto"/>
        <w:ind w:left="142" w:hanging="284"/>
        <w:rPr>
          <w:rFonts w:ascii="Times New Roman" w:hAnsi="Times New Roman" w:cs="Times New Roman"/>
          <w:sz w:val="24"/>
          <w:szCs w:val="24"/>
        </w:rPr>
      </w:pPr>
      <w:r w:rsidRPr="0052360E">
        <w:rPr>
          <w:rFonts w:ascii="Times New Roman" w:hAnsi="Times New Roman" w:cs="Times New Roman"/>
          <w:sz w:val="24"/>
          <w:szCs w:val="24"/>
        </w:rPr>
        <w:t>27</w:t>
      </w:r>
      <w:r w:rsidR="007E5F0B" w:rsidRPr="0052360E">
        <w:rPr>
          <w:rFonts w:ascii="Times New Roman" w:hAnsi="Times New Roman" w:cs="Times New Roman"/>
          <w:sz w:val="24"/>
          <w:szCs w:val="24"/>
        </w:rPr>
        <w:t>.</w:t>
      </w:r>
      <w:r w:rsidRPr="0052360E">
        <w:rPr>
          <w:rFonts w:ascii="Times New Roman" w:hAnsi="Times New Roman" w:cs="Times New Roman"/>
          <w:sz w:val="24"/>
          <w:szCs w:val="24"/>
        </w:rPr>
        <w:t xml:space="preserve"> </w:t>
      </w:r>
      <w:r w:rsidR="00E66F27" w:rsidRPr="0052360E">
        <w:rPr>
          <w:rFonts w:ascii="Times New Roman" w:hAnsi="Times New Roman"/>
          <w:sz w:val="24"/>
          <w:szCs w:val="24"/>
        </w:rPr>
        <w:t>Rein M</w:t>
      </w:r>
      <w:r w:rsidR="000E13FF" w:rsidRPr="0052360E">
        <w:rPr>
          <w:rFonts w:ascii="Times New Roman" w:hAnsi="Times New Roman"/>
          <w:sz w:val="24"/>
          <w:szCs w:val="24"/>
        </w:rPr>
        <w:t>F</w:t>
      </w:r>
      <w:r w:rsidR="00E66F27" w:rsidRPr="0052360E">
        <w:rPr>
          <w:rFonts w:ascii="Times New Roman" w:hAnsi="Times New Roman"/>
          <w:sz w:val="24"/>
          <w:szCs w:val="24"/>
        </w:rPr>
        <w:t>, Shih LM, Miller JR, Guerrant R</w:t>
      </w:r>
      <w:r w:rsidR="00E43872" w:rsidRPr="0052360E">
        <w:rPr>
          <w:rFonts w:ascii="Times New Roman" w:hAnsi="Times New Roman"/>
          <w:sz w:val="24"/>
          <w:szCs w:val="24"/>
        </w:rPr>
        <w:t>L.</w:t>
      </w:r>
      <w:r w:rsidR="000E13FF" w:rsidRPr="0052360E">
        <w:rPr>
          <w:rFonts w:ascii="Times New Roman" w:hAnsi="Times New Roman"/>
          <w:sz w:val="24"/>
          <w:szCs w:val="24"/>
        </w:rPr>
        <w:t xml:space="preserve"> Use of a lactoferrin assay in the differential diagnosis of female genital tract infections and implications for the pathophysiology of bacterial vaginosis. </w:t>
      </w:r>
      <w:r w:rsidR="000E13FF" w:rsidRPr="0052360E">
        <w:rPr>
          <w:rFonts w:ascii="Times New Roman" w:hAnsi="Times New Roman"/>
          <w:i/>
          <w:sz w:val="24"/>
          <w:szCs w:val="24"/>
        </w:rPr>
        <w:t>Sex. Trans. Dis.</w:t>
      </w:r>
      <w:r w:rsidR="000E13FF" w:rsidRPr="0052360E">
        <w:rPr>
          <w:rFonts w:ascii="Times New Roman" w:hAnsi="Times New Roman"/>
          <w:sz w:val="24"/>
          <w:szCs w:val="24"/>
        </w:rPr>
        <w:t xml:space="preserve"> </w:t>
      </w:r>
      <w:r w:rsidR="00E66F27" w:rsidRPr="0052360E">
        <w:rPr>
          <w:rFonts w:ascii="Times New Roman" w:hAnsi="Times New Roman"/>
          <w:sz w:val="24"/>
          <w:szCs w:val="24"/>
        </w:rPr>
        <w:t xml:space="preserve">1996; </w:t>
      </w:r>
      <w:r w:rsidR="00E66F27" w:rsidRPr="0052360E">
        <w:rPr>
          <w:rFonts w:ascii="Times New Roman" w:hAnsi="Times New Roman"/>
          <w:b/>
          <w:sz w:val="24"/>
          <w:szCs w:val="24"/>
        </w:rPr>
        <w:t>23:</w:t>
      </w:r>
      <w:r w:rsidR="000E13FF" w:rsidRPr="0052360E">
        <w:rPr>
          <w:rFonts w:ascii="Times New Roman" w:hAnsi="Times New Roman"/>
          <w:sz w:val="24"/>
          <w:szCs w:val="24"/>
        </w:rPr>
        <w:t xml:space="preserve"> 517-521.</w:t>
      </w:r>
      <w:r w:rsidR="000E13FF" w:rsidRPr="0052360E">
        <w:rPr>
          <w:rFonts w:ascii="Times New Roman" w:hAnsi="Times New Roman" w:cs="Times New Roman"/>
          <w:sz w:val="24"/>
          <w:szCs w:val="24"/>
        </w:rPr>
        <w:t xml:space="preserve"> </w:t>
      </w:r>
    </w:p>
    <w:p w14:paraId="43C846C4" w14:textId="3879FE4E" w:rsidR="00504332" w:rsidRPr="0052360E" w:rsidRDefault="00FD2BD2" w:rsidP="00390935">
      <w:pPr>
        <w:spacing w:after="0" w:line="480" w:lineRule="auto"/>
        <w:ind w:left="284" w:hanging="426"/>
        <w:rPr>
          <w:rFonts w:ascii="Times New Roman" w:hAnsi="Times New Roman"/>
          <w:sz w:val="24"/>
          <w:szCs w:val="24"/>
        </w:rPr>
      </w:pPr>
      <w:r w:rsidRPr="0052360E">
        <w:rPr>
          <w:rFonts w:ascii="Times New Roman" w:hAnsi="Times New Roman" w:cs="Times New Roman"/>
          <w:sz w:val="24"/>
          <w:szCs w:val="24"/>
        </w:rPr>
        <w:t>28</w:t>
      </w:r>
      <w:r w:rsidR="007E5F0B" w:rsidRPr="0052360E">
        <w:rPr>
          <w:rFonts w:ascii="Times New Roman" w:hAnsi="Times New Roman" w:cs="Times New Roman"/>
          <w:sz w:val="24"/>
          <w:szCs w:val="24"/>
        </w:rPr>
        <w:t>.</w:t>
      </w:r>
      <w:r w:rsidRPr="0052360E">
        <w:rPr>
          <w:rFonts w:ascii="Times New Roman" w:hAnsi="Times New Roman" w:cs="Times New Roman"/>
          <w:sz w:val="24"/>
          <w:szCs w:val="24"/>
        </w:rPr>
        <w:t xml:space="preserve"> </w:t>
      </w:r>
      <w:r w:rsidR="00E43872" w:rsidRPr="0052360E">
        <w:rPr>
          <w:rFonts w:ascii="Times New Roman" w:hAnsi="Times New Roman"/>
          <w:sz w:val="24"/>
          <w:szCs w:val="24"/>
        </w:rPr>
        <w:t>Goldenberg RL</w:t>
      </w:r>
      <w:r w:rsidR="000E13FF" w:rsidRPr="0052360E">
        <w:rPr>
          <w:rFonts w:ascii="Times New Roman" w:hAnsi="Times New Roman"/>
          <w:sz w:val="24"/>
          <w:szCs w:val="24"/>
        </w:rPr>
        <w:t>, Andrews</w:t>
      </w:r>
      <w:r w:rsidR="00E43872" w:rsidRPr="0052360E">
        <w:rPr>
          <w:rFonts w:ascii="Times New Roman" w:hAnsi="Times New Roman"/>
          <w:sz w:val="24"/>
          <w:szCs w:val="24"/>
        </w:rPr>
        <w:t xml:space="preserve"> WW, Guerrant RL, Newman M, Mercer B, Iams</w:t>
      </w:r>
      <w:r w:rsidR="000E13FF" w:rsidRPr="0052360E">
        <w:rPr>
          <w:rFonts w:ascii="Times New Roman" w:hAnsi="Times New Roman"/>
          <w:sz w:val="24"/>
          <w:szCs w:val="24"/>
        </w:rPr>
        <w:t xml:space="preserve"> J. </w:t>
      </w:r>
      <w:r w:rsidR="000E13FF" w:rsidRPr="0052360E">
        <w:rPr>
          <w:rFonts w:ascii="Times New Roman" w:hAnsi="Times New Roman"/>
          <w:i/>
          <w:sz w:val="24"/>
          <w:szCs w:val="24"/>
        </w:rPr>
        <w:t>et al.</w:t>
      </w:r>
      <w:r w:rsidR="000E13FF" w:rsidRPr="0052360E">
        <w:rPr>
          <w:rFonts w:ascii="Times New Roman" w:hAnsi="Times New Roman"/>
          <w:sz w:val="24"/>
          <w:szCs w:val="24"/>
        </w:rPr>
        <w:t xml:space="preserve"> The Preterm Prediction Study: Cervical lactoferrin concentration, other markers of lower genital tract infection, and preterm birth. </w:t>
      </w:r>
      <w:r w:rsidR="000E13FF" w:rsidRPr="0052360E">
        <w:rPr>
          <w:rFonts w:ascii="Times New Roman" w:hAnsi="Times New Roman"/>
          <w:i/>
          <w:sz w:val="24"/>
          <w:szCs w:val="24"/>
        </w:rPr>
        <w:t>Am. J. Obstet. Gynecol.</w:t>
      </w:r>
      <w:r w:rsidR="000E13FF" w:rsidRPr="0052360E">
        <w:rPr>
          <w:rFonts w:ascii="Times New Roman" w:hAnsi="Times New Roman"/>
          <w:sz w:val="24"/>
          <w:szCs w:val="24"/>
        </w:rPr>
        <w:t xml:space="preserve"> </w:t>
      </w:r>
      <w:r w:rsidR="00E43872" w:rsidRPr="0052360E">
        <w:rPr>
          <w:rFonts w:ascii="Times New Roman" w:hAnsi="Times New Roman"/>
          <w:sz w:val="24"/>
          <w:szCs w:val="24"/>
        </w:rPr>
        <w:t xml:space="preserve">2000; </w:t>
      </w:r>
      <w:r w:rsidR="00E43872" w:rsidRPr="0052360E">
        <w:rPr>
          <w:rFonts w:ascii="Times New Roman" w:hAnsi="Times New Roman"/>
          <w:b/>
          <w:sz w:val="24"/>
          <w:szCs w:val="24"/>
        </w:rPr>
        <w:t>182:</w:t>
      </w:r>
      <w:r w:rsidR="000E13FF" w:rsidRPr="0052360E">
        <w:rPr>
          <w:rFonts w:ascii="Times New Roman" w:hAnsi="Times New Roman"/>
          <w:sz w:val="24"/>
          <w:szCs w:val="24"/>
        </w:rPr>
        <w:t xml:space="preserve"> 631-635.</w:t>
      </w:r>
      <w:r w:rsidR="00504332" w:rsidRPr="0052360E">
        <w:rPr>
          <w:rFonts w:ascii="Times New Roman" w:hAnsi="Times New Roman"/>
          <w:sz w:val="24"/>
          <w:szCs w:val="24"/>
        </w:rPr>
        <w:t xml:space="preserve"> </w:t>
      </w:r>
    </w:p>
    <w:p w14:paraId="5FCEBACE" w14:textId="560F5C8E" w:rsidR="00872597" w:rsidRPr="0052360E" w:rsidRDefault="00FD2BD2" w:rsidP="00390935">
      <w:pPr>
        <w:spacing w:after="0" w:line="480" w:lineRule="auto"/>
        <w:ind w:left="284" w:hanging="426"/>
        <w:rPr>
          <w:rFonts w:ascii="Times New Roman" w:hAnsi="Times New Roman" w:cs="Times New Roman"/>
          <w:sz w:val="24"/>
          <w:szCs w:val="24"/>
        </w:rPr>
      </w:pPr>
      <w:r w:rsidRPr="0052360E">
        <w:rPr>
          <w:rFonts w:ascii="Times New Roman" w:hAnsi="Times New Roman"/>
          <w:sz w:val="24"/>
          <w:szCs w:val="24"/>
        </w:rPr>
        <w:t>29</w:t>
      </w:r>
      <w:r w:rsidR="007E5F0B" w:rsidRPr="0052360E">
        <w:rPr>
          <w:rFonts w:ascii="Times New Roman" w:hAnsi="Times New Roman"/>
          <w:sz w:val="24"/>
          <w:szCs w:val="24"/>
        </w:rPr>
        <w:t>.</w:t>
      </w:r>
      <w:r w:rsidRPr="0052360E">
        <w:rPr>
          <w:rFonts w:ascii="Times New Roman" w:hAnsi="Times New Roman"/>
          <w:sz w:val="24"/>
          <w:szCs w:val="24"/>
        </w:rPr>
        <w:t xml:space="preserve"> </w:t>
      </w:r>
      <w:r w:rsidR="00504332" w:rsidRPr="0052360E">
        <w:rPr>
          <w:rFonts w:ascii="Times New Roman" w:hAnsi="Times New Roman"/>
          <w:sz w:val="24"/>
          <w:szCs w:val="24"/>
        </w:rPr>
        <w:t xml:space="preserve">Bairwa G, Jung WH, Kronstad JW. Iron acquisition in fungal pathogens of humans. </w:t>
      </w:r>
      <w:r w:rsidR="00504332" w:rsidRPr="0052360E">
        <w:rPr>
          <w:rFonts w:ascii="Times New Roman" w:hAnsi="Times New Roman"/>
          <w:i/>
          <w:sz w:val="24"/>
          <w:szCs w:val="24"/>
        </w:rPr>
        <w:t>Metallomics</w:t>
      </w:r>
      <w:r w:rsidR="00504332" w:rsidRPr="0052360E">
        <w:rPr>
          <w:rFonts w:ascii="Times New Roman" w:hAnsi="Times New Roman"/>
          <w:sz w:val="24"/>
          <w:szCs w:val="24"/>
        </w:rPr>
        <w:t xml:space="preserve"> 2017; </w:t>
      </w:r>
      <w:r w:rsidR="00504332" w:rsidRPr="0052360E">
        <w:rPr>
          <w:rFonts w:ascii="Times New Roman" w:hAnsi="Times New Roman"/>
          <w:b/>
          <w:sz w:val="24"/>
          <w:szCs w:val="24"/>
        </w:rPr>
        <w:t>9</w:t>
      </w:r>
      <w:r w:rsidR="00504332" w:rsidRPr="0052360E">
        <w:rPr>
          <w:rFonts w:ascii="Times New Roman" w:hAnsi="Times New Roman"/>
          <w:sz w:val="24"/>
          <w:szCs w:val="24"/>
        </w:rPr>
        <w:t>: 215-2</w:t>
      </w:r>
      <w:r w:rsidR="00E43872" w:rsidRPr="0052360E">
        <w:rPr>
          <w:rFonts w:ascii="Times New Roman" w:hAnsi="Times New Roman"/>
          <w:sz w:val="24"/>
          <w:szCs w:val="24"/>
        </w:rPr>
        <w:t>2</w:t>
      </w:r>
      <w:r w:rsidR="00504332" w:rsidRPr="0052360E">
        <w:rPr>
          <w:rFonts w:ascii="Times New Roman" w:hAnsi="Times New Roman"/>
          <w:sz w:val="24"/>
          <w:szCs w:val="24"/>
        </w:rPr>
        <w:t>7.</w:t>
      </w:r>
      <w:r w:rsidR="00872597" w:rsidRPr="0052360E">
        <w:rPr>
          <w:rFonts w:ascii="Times New Roman" w:hAnsi="Times New Roman" w:cs="Times New Roman"/>
          <w:sz w:val="24"/>
          <w:szCs w:val="24"/>
        </w:rPr>
        <w:t xml:space="preserve"> </w:t>
      </w:r>
    </w:p>
    <w:p w14:paraId="088FBFB4" w14:textId="732520EB" w:rsidR="0084389D" w:rsidRPr="0052360E" w:rsidRDefault="00FD2BD2" w:rsidP="00390935">
      <w:pPr>
        <w:spacing w:after="0" w:line="480" w:lineRule="auto"/>
        <w:ind w:left="284" w:hanging="426"/>
        <w:rPr>
          <w:rFonts w:ascii="Times New Roman" w:hAnsi="Times New Roman" w:cs="Times New Roman"/>
          <w:sz w:val="24"/>
          <w:szCs w:val="24"/>
        </w:rPr>
      </w:pPr>
      <w:r w:rsidRPr="0052360E">
        <w:rPr>
          <w:rFonts w:ascii="Times New Roman" w:hAnsi="Times New Roman" w:cs="Times New Roman"/>
          <w:sz w:val="24"/>
          <w:szCs w:val="24"/>
        </w:rPr>
        <w:t>30</w:t>
      </w:r>
      <w:r w:rsidR="007E5F0B" w:rsidRPr="0052360E">
        <w:rPr>
          <w:rFonts w:ascii="Times New Roman" w:hAnsi="Times New Roman" w:cs="Times New Roman"/>
          <w:sz w:val="24"/>
          <w:szCs w:val="24"/>
        </w:rPr>
        <w:t>.</w:t>
      </w:r>
      <w:r w:rsidRPr="0052360E">
        <w:rPr>
          <w:rFonts w:ascii="Times New Roman" w:hAnsi="Times New Roman" w:cs="Times New Roman"/>
          <w:sz w:val="24"/>
          <w:szCs w:val="24"/>
        </w:rPr>
        <w:t xml:space="preserve"> </w:t>
      </w:r>
      <w:r w:rsidR="00E43872" w:rsidRPr="0052360E">
        <w:rPr>
          <w:rFonts w:ascii="Times New Roman" w:hAnsi="Times New Roman"/>
          <w:sz w:val="24"/>
          <w:szCs w:val="24"/>
        </w:rPr>
        <w:t>Kobayashi T, Kakeya H, Miyazaki T, Izumikawa</w:t>
      </w:r>
      <w:r w:rsidR="00872597" w:rsidRPr="0052360E">
        <w:rPr>
          <w:rFonts w:ascii="Times New Roman" w:hAnsi="Times New Roman"/>
          <w:sz w:val="24"/>
          <w:szCs w:val="24"/>
        </w:rPr>
        <w:t xml:space="preserve"> T</w:t>
      </w:r>
      <w:r w:rsidR="00E43872" w:rsidRPr="0052360E">
        <w:rPr>
          <w:rFonts w:ascii="Times New Roman" w:hAnsi="Times New Roman"/>
          <w:sz w:val="24"/>
          <w:szCs w:val="24"/>
        </w:rPr>
        <w:t>K</w:t>
      </w:r>
      <w:r w:rsidR="00872597" w:rsidRPr="0052360E">
        <w:rPr>
          <w:rFonts w:ascii="Times New Roman" w:hAnsi="Times New Roman"/>
          <w:sz w:val="24"/>
          <w:szCs w:val="24"/>
        </w:rPr>
        <w:t>, Yanagihara1 K, Ohno H. e</w:t>
      </w:r>
      <w:r w:rsidR="00872597" w:rsidRPr="0052360E">
        <w:rPr>
          <w:rFonts w:ascii="Times New Roman" w:hAnsi="Times New Roman"/>
          <w:i/>
          <w:sz w:val="24"/>
          <w:szCs w:val="24"/>
        </w:rPr>
        <w:t>t al</w:t>
      </w:r>
      <w:r w:rsidR="00E43872" w:rsidRPr="0052360E">
        <w:rPr>
          <w:rFonts w:ascii="Times New Roman" w:hAnsi="Times New Roman"/>
          <w:sz w:val="24"/>
          <w:szCs w:val="24"/>
        </w:rPr>
        <w:t>.</w:t>
      </w:r>
      <w:r w:rsidR="00872597" w:rsidRPr="0052360E">
        <w:rPr>
          <w:rFonts w:ascii="Times New Roman" w:hAnsi="Times New Roman"/>
          <w:sz w:val="24"/>
          <w:szCs w:val="24"/>
        </w:rPr>
        <w:t xml:space="preserve"> Synergistic antifungal effect of lactoferrin with azole antifungals against </w:t>
      </w:r>
      <w:r w:rsidR="00872597" w:rsidRPr="0052360E">
        <w:rPr>
          <w:rFonts w:ascii="Times New Roman" w:hAnsi="Times New Roman"/>
          <w:i/>
          <w:sz w:val="24"/>
          <w:szCs w:val="24"/>
        </w:rPr>
        <w:t>Candida albicans</w:t>
      </w:r>
      <w:r w:rsidR="00872597" w:rsidRPr="0052360E">
        <w:rPr>
          <w:rFonts w:ascii="Times New Roman" w:hAnsi="Times New Roman"/>
          <w:sz w:val="24"/>
          <w:szCs w:val="24"/>
        </w:rPr>
        <w:t xml:space="preserve"> and a proposal for a new treatment method for invasive candidiasis. </w:t>
      </w:r>
      <w:r w:rsidR="00872597" w:rsidRPr="0052360E">
        <w:rPr>
          <w:rFonts w:ascii="Times New Roman" w:hAnsi="Times New Roman"/>
          <w:i/>
          <w:sz w:val="24"/>
          <w:szCs w:val="24"/>
        </w:rPr>
        <w:t>Jpn. J. Infect. Dis.</w:t>
      </w:r>
      <w:r w:rsidR="00872597" w:rsidRPr="0052360E">
        <w:rPr>
          <w:rFonts w:ascii="Times New Roman" w:hAnsi="Times New Roman"/>
          <w:sz w:val="24"/>
          <w:szCs w:val="24"/>
        </w:rPr>
        <w:t xml:space="preserve"> </w:t>
      </w:r>
      <w:r w:rsidR="00E43872" w:rsidRPr="0052360E">
        <w:rPr>
          <w:rFonts w:ascii="Times New Roman" w:hAnsi="Times New Roman"/>
          <w:sz w:val="24"/>
          <w:szCs w:val="24"/>
        </w:rPr>
        <w:t xml:space="preserve">2011; </w:t>
      </w:r>
      <w:r w:rsidR="00E43872" w:rsidRPr="0052360E">
        <w:rPr>
          <w:rFonts w:ascii="Times New Roman" w:hAnsi="Times New Roman"/>
          <w:b/>
          <w:sz w:val="24"/>
          <w:szCs w:val="24"/>
        </w:rPr>
        <w:t>64:</w:t>
      </w:r>
      <w:r w:rsidR="00872597" w:rsidRPr="0052360E">
        <w:rPr>
          <w:rFonts w:ascii="Times New Roman" w:hAnsi="Times New Roman"/>
          <w:sz w:val="24"/>
          <w:szCs w:val="24"/>
        </w:rPr>
        <w:t xml:space="preserve"> 292-296.</w:t>
      </w:r>
      <w:r w:rsidR="0084389D" w:rsidRPr="0052360E">
        <w:rPr>
          <w:rFonts w:ascii="Times New Roman" w:hAnsi="Times New Roman" w:cs="Times New Roman"/>
          <w:sz w:val="24"/>
          <w:szCs w:val="24"/>
        </w:rPr>
        <w:t xml:space="preserve"> </w:t>
      </w:r>
    </w:p>
    <w:p w14:paraId="782CF426" w14:textId="587EFB42" w:rsidR="0084389D" w:rsidRPr="0052360E" w:rsidRDefault="00FD2BD2" w:rsidP="00390935">
      <w:pPr>
        <w:spacing w:after="0" w:line="480" w:lineRule="auto"/>
        <w:ind w:left="284" w:hanging="426"/>
        <w:rPr>
          <w:rFonts w:ascii="Times New Roman" w:hAnsi="Times New Roman" w:cs="Times New Roman"/>
          <w:sz w:val="24"/>
          <w:szCs w:val="24"/>
        </w:rPr>
      </w:pPr>
      <w:r w:rsidRPr="0052360E">
        <w:rPr>
          <w:rFonts w:ascii="Times New Roman" w:hAnsi="Times New Roman" w:cs="Times New Roman"/>
          <w:sz w:val="24"/>
          <w:szCs w:val="24"/>
        </w:rPr>
        <w:t>31</w:t>
      </w:r>
      <w:r w:rsidR="007E5F0B" w:rsidRPr="0052360E">
        <w:rPr>
          <w:rFonts w:ascii="Times New Roman" w:hAnsi="Times New Roman" w:cs="Times New Roman"/>
          <w:sz w:val="24"/>
          <w:szCs w:val="24"/>
        </w:rPr>
        <w:t>.</w:t>
      </w:r>
      <w:r w:rsidR="00927AA9" w:rsidRPr="0052360E">
        <w:rPr>
          <w:rFonts w:ascii="Times New Roman" w:hAnsi="Times New Roman" w:cs="Times New Roman"/>
          <w:sz w:val="24"/>
          <w:szCs w:val="24"/>
        </w:rPr>
        <w:t xml:space="preserve"> </w:t>
      </w:r>
      <w:r w:rsidR="0084389D" w:rsidRPr="0052360E">
        <w:rPr>
          <w:rFonts w:ascii="Times New Roman" w:hAnsi="Times New Roman"/>
          <w:sz w:val="24"/>
          <w:szCs w:val="24"/>
        </w:rPr>
        <w:t>Santos Santiago</w:t>
      </w:r>
      <w:r w:rsidR="00E43872" w:rsidRPr="0052360E">
        <w:rPr>
          <w:rFonts w:ascii="Times New Roman" w:hAnsi="Times New Roman"/>
          <w:sz w:val="24"/>
          <w:szCs w:val="24"/>
        </w:rPr>
        <w:t xml:space="preserve"> GL, Tency I, Verstraelen H, Verhelst R, Trog M</w:t>
      </w:r>
      <w:r w:rsidR="0084389D" w:rsidRPr="0052360E">
        <w:rPr>
          <w:rFonts w:ascii="Times New Roman" w:hAnsi="Times New Roman"/>
          <w:sz w:val="24"/>
          <w:szCs w:val="24"/>
        </w:rPr>
        <w:t xml:space="preserve">, Temmerman, M. et </w:t>
      </w:r>
      <w:r w:rsidR="0084389D" w:rsidRPr="0052360E">
        <w:rPr>
          <w:rFonts w:ascii="Times New Roman" w:hAnsi="Times New Roman"/>
          <w:i/>
          <w:sz w:val="24"/>
          <w:szCs w:val="24"/>
        </w:rPr>
        <w:t>al</w:t>
      </w:r>
      <w:r w:rsidR="0084389D" w:rsidRPr="0052360E">
        <w:rPr>
          <w:rFonts w:ascii="Times New Roman" w:hAnsi="Times New Roman"/>
          <w:sz w:val="24"/>
          <w:szCs w:val="24"/>
        </w:rPr>
        <w:t xml:space="preserve">. (2012). </w:t>
      </w:r>
      <w:r w:rsidR="00390935" w:rsidRPr="0052360E">
        <w:rPr>
          <w:rFonts w:ascii="Times New Roman" w:hAnsi="Times New Roman"/>
          <w:sz w:val="24"/>
          <w:szCs w:val="24"/>
        </w:rPr>
        <w:t xml:space="preserve"> </w:t>
      </w:r>
      <w:r w:rsidR="0084389D" w:rsidRPr="0052360E">
        <w:rPr>
          <w:rFonts w:ascii="Times New Roman" w:hAnsi="Times New Roman"/>
          <w:sz w:val="24"/>
          <w:szCs w:val="24"/>
        </w:rPr>
        <w:t xml:space="preserve">Longitudinal qPCR study of the dynamics of </w:t>
      </w:r>
      <w:r w:rsidR="0084389D" w:rsidRPr="0052360E">
        <w:rPr>
          <w:rFonts w:ascii="Times New Roman" w:hAnsi="Times New Roman"/>
          <w:i/>
          <w:sz w:val="24"/>
          <w:szCs w:val="24"/>
        </w:rPr>
        <w:t>L.crispatus, L.iners, A, vaginae</w:t>
      </w:r>
      <w:r w:rsidR="0084389D" w:rsidRPr="0052360E">
        <w:rPr>
          <w:rFonts w:ascii="Times New Roman" w:hAnsi="Times New Roman"/>
          <w:sz w:val="24"/>
          <w:szCs w:val="24"/>
        </w:rPr>
        <w:t xml:space="preserve"> (sialidase positive), </w:t>
      </w:r>
      <w:r w:rsidR="0084389D" w:rsidRPr="0052360E">
        <w:rPr>
          <w:rFonts w:ascii="Times New Roman" w:hAnsi="Times New Roman"/>
          <w:i/>
          <w:sz w:val="24"/>
          <w:szCs w:val="24"/>
        </w:rPr>
        <w:t>G.vaginalis</w:t>
      </w:r>
      <w:r w:rsidR="0084389D" w:rsidRPr="0052360E">
        <w:rPr>
          <w:rFonts w:ascii="Times New Roman" w:hAnsi="Times New Roman"/>
          <w:sz w:val="24"/>
          <w:szCs w:val="24"/>
        </w:rPr>
        <w:t xml:space="preserve">, and </w:t>
      </w:r>
      <w:r w:rsidR="0084389D" w:rsidRPr="0052360E">
        <w:rPr>
          <w:rFonts w:ascii="Times New Roman" w:hAnsi="Times New Roman"/>
          <w:i/>
          <w:sz w:val="24"/>
          <w:szCs w:val="24"/>
        </w:rPr>
        <w:t>P. bivia</w:t>
      </w:r>
      <w:r w:rsidR="00E43872" w:rsidRPr="0052360E">
        <w:rPr>
          <w:rFonts w:ascii="Times New Roman" w:hAnsi="Times New Roman"/>
          <w:sz w:val="24"/>
          <w:szCs w:val="24"/>
        </w:rPr>
        <w:t xml:space="preserve"> in the vagina</w:t>
      </w:r>
      <w:r w:rsidR="0084389D" w:rsidRPr="0052360E">
        <w:rPr>
          <w:rFonts w:ascii="Times New Roman" w:hAnsi="Times New Roman"/>
          <w:sz w:val="24"/>
          <w:szCs w:val="24"/>
        </w:rPr>
        <w:t xml:space="preserve">. </w:t>
      </w:r>
      <w:r w:rsidR="0084389D" w:rsidRPr="0052360E">
        <w:rPr>
          <w:rFonts w:ascii="Times New Roman" w:hAnsi="Times New Roman"/>
          <w:i/>
          <w:sz w:val="24"/>
          <w:szCs w:val="24"/>
        </w:rPr>
        <w:t>PLOS ONE</w:t>
      </w:r>
      <w:r w:rsidR="0084389D" w:rsidRPr="0052360E">
        <w:rPr>
          <w:rFonts w:ascii="Times New Roman" w:hAnsi="Times New Roman"/>
          <w:sz w:val="24"/>
          <w:szCs w:val="24"/>
        </w:rPr>
        <w:t xml:space="preserve"> </w:t>
      </w:r>
      <w:r w:rsidR="00E43872" w:rsidRPr="0052360E">
        <w:rPr>
          <w:rFonts w:ascii="Times New Roman" w:hAnsi="Times New Roman"/>
          <w:sz w:val="24"/>
          <w:szCs w:val="24"/>
        </w:rPr>
        <w:t>2012;</w:t>
      </w:r>
      <w:r w:rsidR="00E43872" w:rsidRPr="0052360E">
        <w:rPr>
          <w:rFonts w:ascii="Times New Roman" w:hAnsi="Times New Roman"/>
          <w:b/>
          <w:sz w:val="24"/>
          <w:szCs w:val="24"/>
        </w:rPr>
        <w:t xml:space="preserve"> </w:t>
      </w:r>
      <w:r w:rsidR="0084389D" w:rsidRPr="0052360E">
        <w:rPr>
          <w:rFonts w:ascii="Times New Roman" w:hAnsi="Times New Roman"/>
          <w:b/>
          <w:sz w:val="24"/>
          <w:szCs w:val="24"/>
        </w:rPr>
        <w:t>7</w:t>
      </w:r>
      <w:r w:rsidR="00E43872" w:rsidRPr="0052360E">
        <w:rPr>
          <w:rFonts w:ascii="Times New Roman" w:hAnsi="Times New Roman"/>
          <w:sz w:val="24"/>
          <w:szCs w:val="24"/>
        </w:rPr>
        <w:t xml:space="preserve">: (9). </w:t>
      </w:r>
      <w:r w:rsidR="0084389D" w:rsidRPr="0052360E">
        <w:rPr>
          <w:rFonts w:ascii="Times New Roman" w:hAnsi="Times New Roman"/>
          <w:sz w:val="24"/>
          <w:szCs w:val="24"/>
        </w:rPr>
        <w:t xml:space="preserve"> </w:t>
      </w:r>
      <w:hyperlink r:id="rId19" w:history="1">
        <w:r w:rsidR="00E43872" w:rsidRPr="0052360E">
          <w:rPr>
            <w:rStyle w:val="Hyperlink"/>
            <w:rFonts w:ascii="Times New Roman" w:hAnsi="Times New Roman" w:cs="Times New Roman"/>
            <w:color w:val="auto"/>
            <w:sz w:val="24"/>
            <w:szCs w:val="24"/>
            <w:u w:val="none"/>
          </w:rPr>
          <w:t>https://doi.org/10.1371/</w:t>
        </w:r>
      </w:hyperlink>
      <w:r w:rsidR="00E43872" w:rsidRPr="0052360E">
        <w:rPr>
          <w:rFonts w:ascii="Times New Roman" w:hAnsi="Times New Roman" w:cs="Times New Roman"/>
          <w:sz w:val="24"/>
          <w:szCs w:val="24"/>
          <w:shd w:val="clear" w:color="auto" w:fill="FFFFFF"/>
        </w:rPr>
        <w:t xml:space="preserve"> </w:t>
      </w:r>
      <w:r w:rsidR="00E43872" w:rsidRPr="0052360E">
        <w:rPr>
          <w:rFonts w:ascii="Times New Roman" w:hAnsi="Times New Roman" w:cs="Times New Roman"/>
          <w:color w:val="202020"/>
          <w:sz w:val="24"/>
          <w:szCs w:val="24"/>
          <w:shd w:val="clear" w:color="auto" w:fill="FFFFFF"/>
        </w:rPr>
        <w:t>journal.</w:t>
      </w:r>
      <w:r w:rsidR="007E5F0B" w:rsidRPr="0052360E">
        <w:rPr>
          <w:rFonts w:ascii="Times New Roman" w:hAnsi="Times New Roman" w:cs="Times New Roman"/>
          <w:color w:val="202020"/>
          <w:sz w:val="24"/>
          <w:szCs w:val="24"/>
          <w:shd w:val="clear" w:color="auto" w:fill="FFFFFF"/>
        </w:rPr>
        <w:t xml:space="preserve"> </w:t>
      </w:r>
      <w:r w:rsidR="00E43872" w:rsidRPr="0052360E">
        <w:rPr>
          <w:rFonts w:ascii="Times New Roman" w:hAnsi="Times New Roman" w:cs="Times New Roman"/>
          <w:color w:val="202020"/>
          <w:sz w:val="24"/>
          <w:szCs w:val="24"/>
          <w:shd w:val="clear" w:color="auto" w:fill="FFFFFF"/>
        </w:rPr>
        <w:t>pone.0045281</w:t>
      </w:r>
      <w:r w:rsidR="0084389D" w:rsidRPr="0052360E">
        <w:rPr>
          <w:rFonts w:ascii="Times New Roman" w:hAnsi="Times New Roman" w:cs="Times New Roman"/>
          <w:sz w:val="24"/>
          <w:szCs w:val="24"/>
        </w:rPr>
        <w:t xml:space="preserve">e45281. </w:t>
      </w:r>
    </w:p>
    <w:p w14:paraId="4EDA131D" w14:textId="712BCA5D" w:rsidR="0084389D" w:rsidRPr="0052360E" w:rsidRDefault="00FD2BD2" w:rsidP="00390935">
      <w:pPr>
        <w:spacing w:after="0" w:line="480" w:lineRule="auto"/>
        <w:ind w:left="284" w:hanging="426"/>
        <w:rPr>
          <w:rFonts w:ascii="Times New Roman" w:hAnsi="Times New Roman"/>
          <w:sz w:val="24"/>
          <w:szCs w:val="24"/>
        </w:rPr>
      </w:pPr>
      <w:r w:rsidRPr="0052360E">
        <w:rPr>
          <w:rFonts w:ascii="Times New Roman" w:hAnsi="Times New Roman" w:cs="Times New Roman"/>
          <w:sz w:val="24"/>
          <w:szCs w:val="24"/>
        </w:rPr>
        <w:t>32</w:t>
      </w:r>
      <w:r w:rsidR="007E5F0B" w:rsidRPr="0052360E">
        <w:rPr>
          <w:rFonts w:ascii="Times New Roman" w:hAnsi="Times New Roman" w:cs="Times New Roman"/>
          <w:sz w:val="24"/>
          <w:szCs w:val="24"/>
        </w:rPr>
        <w:t>.</w:t>
      </w:r>
      <w:r w:rsidRPr="0052360E">
        <w:rPr>
          <w:rFonts w:ascii="Times New Roman" w:hAnsi="Times New Roman" w:cs="Times New Roman"/>
          <w:sz w:val="24"/>
          <w:szCs w:val="24"/>
        </w:rPr>
        <w:t xml:space="preserve"> </w:t>
      </w:r>
      <w:r w:rsidR="00E43872" w:rsidRPr="0052360E">
        <w:rPr>
          <w:rFonts w:ascii="Times New Roman" w:hAnsi="Times New Roman"/>
          <w:sz w:val="24"/>
          <w:szCs w:val="24"/>
        </w:rPr>
        <w:t>Mayeur S, Veilleux A</w:t>
      </w:r>
      <w:r w:rsidR="0084389D" w:rsidRPr="0052360E">
        <w:rPr>
          <w:rFonts w:ascii="Times New Roman" w:hAnsi="Times New Roman"/>
          <w:sz w:val="24"/>
          <w:szCs w:val="24"/>
        </w:rPr>
        <w:t>, Pouliot</w:t>
      </w:r>
      <w:r w:rsidR="00E43872" w:rsidRPr="0052360E">
        <w:rPr>
          <w:rFonts w:ascii="Times New Roman" w:hAnsi="Times New Roman"/>
          <w:sz w:val="24"/>
          <w:szCs w:val="24"/>
        </w:rPr>
        <w:t xml:space="preserve"> Y, Lamarche B, Beaulieu F</w:t>
      </w:r>
      <w:r w:rsidR="0084389D" w:rsidRPr="0052360E">
        <w:rPr>
          <w:rFonts w:ascii="Times New Roman" w:hAnsi="Times New Roman"/>
          <w:sz w:val="24"/>
          <w:szCs w:val="24"/>
        </w:rPr>
        <w:t>, Hould</w:t>
      </w:r>
      <w:r w:rsidR="00E43872" w:rsidRPr="0052360E">
        <w:rPr>
          <w:rFonts w:ascii="Times New Roman" w:hAnsi="Times New Roman"/>
          <w:sz w:val="24"/>
          <w:szCs w:val="24"/>
        </w:rPr>
        <w:t xml:space="preserve"> F</w:t>
      </w:r>
      <w:r w:rsidR="00793BE6" w:rsidRPr="0052360E">
        <w:rPr>
          <w:rFonts w:ascii="Times New Roman" w:hAnsi="Times New Roman"/>
          <w:sz w:val="24"/>
          <w:szCs w:val="24"/>
        </w:rPr>
        <w:t>S</w:t>
      </w:r>
      <w:r w:rsidR="0084389D" w:rsidRPr="0052360E">
        <w:rPr>
          <w:rFonts w:ascii="Times New Roman" w:hAnsi="Times New Roman"/>
          <w:sz w:val="24"/>
          <w:szCs w:val="24"/>
        </w:rPr>
        <w:t xml:space="preserve"> </w:t>
      </w:r>
      <w:r w:rsidR="0084389D" w:rsidRPr="0052360E">
        <w:rPr>
          <w:rFonts w:ascii="Times New Roman" w:hAnsi="Times New Roman"/>
          <w:i/>
          <w:sz w:val="24"/>
          <w:szCs w:val="24"/>
        </w:rPr>
        <w:t>et al.</w:t>
      </w:r>
      <w:r w:rsidR="0084389D" w:rsidRPr="0052360E">
        <w:rPr>
          <w:rFonts w:ascii="Times New Roman" w:hAnsi="Times New Roman"/>
          <w:sz w:val="24"/>
          <w:szCs w:val="24"/>
        </w:rPr>
        <w:t xml:space="preserve"> Plasma lactoferrin levels</w:t>
      </w:r>
      <w:r w:rsidR="007E5F0B" w:rsidRPr="0052360E">
        <w:rPr>
          <w:rFonts w:ascii="Times New Roman" w:hAnsi="Times New Roman"/>
          <w:sz w:val="24"/>
          <w:szCs w:val="24"/>
        </w:rPr>
        <w:t xml:space="preserve"> </w:t>
      </w:r>
      <w:r w:rsidR="0084389D" w:rsidRPr="0052360E">
        <w:rPr>
          <w:rFonts w:ascii="Times New Roman" w:hAnsi="Times New Roman"/>
          <w:sz w:val="24"/>
          <w:szCs w:val="24"/>
        </w:rPr>
        <w:t>positively correlate with insulin resistance despite an inverse association with total adiposity in lean and severely obese patients.</w:t>
      </w:r>
      <w:r w:rsidR="00793BE6" w:rsidRPr="0052360E">
        <w:rPr>
          <w:rFonts w:ascii="Times New Roman" w:hAnsi="Times New Roman"/>
          <w:i/>
          <w:sz w:val="24"/>
          <w:szCs w:val="24"/>
        </w:rPr>
        <w:t xml:space="preserve"> PLOS ONE</w:t>
      </w:r>
      <w:r w:rsidR="00E43872" w:rsidRPr="0052360E">
        <w:rPr>
          <w:rFonts w:ascii="Times New Roman" w:hAnsi="Times New Roman"/>
          <w:i/>
          <w:sz w:val="24"/>
          <w:szCs w:val="24"/>
        </w:rPr>
        <w:t xml:space="preserve"> </w:t>
      </w:r>
      <w:r w:rsidR="00E43872" w:rsidRPr="0052360E">
        <w:rPr>
          <w:rFonts w:ascii="Times New Roman" w:hAnsi="Times New Roman"/>
          <w:sz w:val="24"/>
          <w:szCs w:val="24"/>
        </w:rPr>
        <w:t xml:space="preserve">2016; </w:t>
      </w:r>
      <w:r w:rsidR="0084389D" w:rsidRPr="0052360E">
        <w:rPr>
          <w:rFonts w:ascii="Times New Roman" w:hAnsi="Times New Roman"/>
          <w:b/>
          <w:sz w:val="24"/>
          <w:szCs w:val="24"/>
        </w:rPr>
        <w:t>11</w:t>
      </w:r>
      <w:r w:rsidR="00E43872" w:rsidRPr="0052360E">
        <w:rPr>
          <w:rFonts w:ascii="Times New Roman" w:hAnsi="Times New Roman"/>
          <w:sz w:val="24"/>
          <w:szCs w:val="24"/>
        </w:rPr>
        <w:t>(11)</w:t>
      </w:r>
      <w:r w:rsidR="0084389D" w:rsidRPr="0052360E">
        <w:rPr>
          <w:rFonts w:ascii="Times New Roman" w:hAnsi="Times New Roman"/>
          <w:sz w:val="24"/>
          <w:szCs w:val="24"/>
        </w:rPr>
        <w:t xml:space="preserve"> eo166138.https://doi.org/10.1371.</w:t>
      </w:r>
    </w:p>
    <w:p w14:paraId="477DCE75" w14:textId="62BA4088" w:rsidR="0084389D" w:rsidRPr="0052360E" w:rsidRDefault="00FD2BD2" w:rsidP="00390935">
      <w:pPr>
        <w:spacing w:after="0" w:line="480" w:lineRule="auto"/>
        <w:ind w:left="284" w:hanging="426"/>
        <w:rPr>
          <w:rFonts w:ascii="Times New Roman" w:hAnsi="Times New Roman" w:cs="Times New Roman"/>
          <w:sz w:val="24"/>
          <w:szCs w:val="24"/>
        </w:rPr>
      </w:pPr>
      <w:r w:rsidRPr="0052360E">
        <w:rPr>
          <w:rFonts w:ascii="Times New Roman" w:hAnsi="Times New Roman" w:cs="Times New Roman"/>
          <w:sz w:val="24"/>
          <w:szCs w:val="24"/>
        </w:rPr>
        <w:t>33</w:t>
      </w:r>
      <w:r w:rsidR="007E5F0B" w:rsidRPr="0052360E">
        <w:rPr>
          <w:rFonts w:ascii="Times New Roman" w:hAnsi="Times New Roman" w:cs="Times New Roman"/>
          <w:sz w:val="24"/>
          <w:szCs w:val="24"/>
        </w:rPr>
        <w:t>.</w:t>
      </w:r>
      <w:r w:rsidR="00927AA9" w:rsidRPr="0052360E">
        <w:rPr>
          <w:rFonts w:ascii="Times New Roman" w:hAnsi="Times New Roman" w:cs="Times New Roman"/>
          <w:sz w:val="24"/>
          <w:szCs w:val="24"/>
        </w:rPr>
        <w:t xml:space="preserve"> </w:t>
      </w:r>
      <w:r w:rsidR="00E43872" w:rsidRPr="0052360E">
        <w:rPr>
          <w:rFonts w:ascii="Times New Roman" w:hAnsi="Times New Roman"/>
          <w:sz w:val="24"/>
          <w:szCs w:val="24"/>
        </w:rPr>
        <w:t>Madan R</w:t>
      </w:r>
      <w:r w:rsidR="0084389D" w:rsidRPr="0052360E">
        <w:rPr>
          <w:rFonts w:ascii="Times New Roman" w:hAnsi="Times New Roman"/>
          <w:sz w:val="24"/>
          <w:szCs w:val="24"/>
        </w:rPr>
        <w:t>,</w:t>
      </w:r>
      <w:hyperlink r:id="rId20" w:history="1">
        <w:r w:rsidR="0084389D" w:rsidRPr="0052360E">
          <w:rPr>
            <w:rStyle w:val="Hyperlink"/>
            <w:rFonts w:ascii="Times New Roman" w:hAnsi="Times New Roman"/>
            <w:color w:val="auto"/>
            <w:sz w:val="24"/>
            <w:szCs w:val="24"/>
            <w:u w:val="none"/>
          </w:rPr>
          <w:t xml:space="preserve"> Guo</w:t>
        </w:r>
      </w:hyperlink>
      <w:r w:rsidR="0084389D" w:rsidRPr="0052360E">
        <w:rPr>
          <w:rFonts w:ascii="Times New Roman" w:hAnsi="Times New Roman"/>
          <w:sz w:val="24"/>
          <w:szCs w:val="24"/>
          <w:vertAlign w:val="superscript"/>
        </w:rPr>
        <w:t xml:space="preserve"> </w:t>
      </w:r>
      <w:r w:rsidR="00E43872" w:rsidRPr="0052360E">
        <w:rPr>
          <w:rFonts w:ascii="Times New Roman" w:hAnsi="Times New Roman"/>
          <w:sz w:val="24"/>
          <w:szCs w:val="24"/>
        </w:rPr>
        <w:t>X</w:t>
      </w:r>
      <w:r w:rsidR="0084389D" w:rsidRPr="0052360E">
        <w:rPr>
          <w:rFonts w:ascii="Times New Roman" w:hAnsi="Times New Roman"/>
          <w:sz w:val="24"/>
          <w:szCs w:val="24"/>
        </w:rPr>
        <w:t xml:space="preserve">, </w:t>
      </w:r>
      <w:hyperlink r:id="rId21" w:history="1">
        <w:r w:rsidR="0084389D" w:rsidRPr="0052360E">
          <w:rPr>
            <w:rStyle w:val="Hyperlink"/>
            <w:rFonts w:ascii="Times New Roman" w:hAnsi="Times New Roman"/>
            <w:color w:val="auto"/>
            <w:sz w:val="24"/>
            <w:szCs w:val="24"/>
            <w:u w:val="none"/>
          </w:rPr>
          <w:t>Naylor</w:t>
        </w:r>
      </w:hyperlink>
      <w:r w:rsidR="00E43872" w:rsidRPr="0052360E">
        <w:rPr>
          <w:rFonts w:ascii="Times New Roman" w:hAnsi="Times New Roman"/>
          <w:sz w:val="24"/>
          <w:szCs w:val="24"/>
        </w:rPr>
        <w:t> C</w:t>
      </w:r>
      <w:r w:rsidR="0084389D" w:rsidRPr="0052360E">
        <w:rPr>
          <w:rFonts w:ascii="Times New Roman" w:hAnsi="Times New Roman"/>
          <w:sz w:val="24"/>
          <w:szCs w:val="24"/>
        </w:rPr>
        <w:t xml:space="preserve">, </w:t>
      </w:r>
      <w:hyperlink r:id="rId22" w:history="1">
        <w:r w:rsidR="0084389D" w:rsidRPr="0052360E">
          <w:rPr>
            <w:rStyle w:val="Hyperlink"/>
            <w:rFonts w:ascii="Times New Roman" w:hAnsi="Times New Roman"/>
            <w:color w:val="auto"/>
            <w:sz w:val="24"/>
            <w:szCs w:val="24"/>
            <w:u w:val="none"/>
          </w:rPr>
          <w:t>Buonomo</w:t>
        </w:r>
      </w:hyperlink>
      <w:r w:rsidR="0084389D" w:rsidRPr="0052360E">
        <w:rPr>
          <w:rFonts w:ascii="Times New Roman" w:hAnsi="Times New Roman"/>
          <w:sz w:val="24"/>
          <w:szCs w:val="24"/>
          <w:vertAlign w:val="superscript"/>
        </w:rPr>
        <w:t xml:space="preserve"> </w:t>
      </w:r>
      <w:r w:rsidR="00E43872" w:rsidRPr="0052360E">
        <w:rPr>
          <w:rFonts w:ascii="Times New Roman" w:hAnsi="Times New Roman"/>
          <w:sz w:val="24"/>
          <w:szCs w:val="24"/>
        </w:rPr>
        <w:t>EL</w:t>
      </w:r>
      <w:r w:rsidR="0084389D" w:rsidRPr="0052360E">
        <w:rPr>
          <w:rFonts w:ascii="Times New Roman" w:hAnsi="Times New Roman"/>
          <w:sz w:val="24"/>
          <w:szCs w:val="24"/>
        </w:rPr>
        <w:t>, </w:t>
      </w:r>
      <w:hyperlink r:id="rId23" w:history="1">
        <w:r w:rsidR="0084389D" w:rsidRPr="0052360E">
          <w:rPr>
            <w:rStyle w:val="Hyperlink"/>
            <w:rFonts w:ascii="Times New Roman" w:hAnsi="Times New Roman"/>
            <w:color w:val="auto"/>
            <w:sz w:val="24"/>
            <w:szCs w:val="24"/>
            <w:u w:val="none"/>
          </w:rPr>
          <w:t>Mackay</w:t>
        </w:r>
      </w:hyperlink>
      <w:r w:rsidR="0084389D" w:rsidRPr="0052360E">
        <w:rPr>
          <w:rFonts w:ascii="Times New Roman" w:hAnsi="Times New Roman"/>
          <w:sz w:val="24"/>
          <w:szCs w:val="24"/>
          <w:vertAlign w:val="superscript"/>
        </w:rPr>
        <w:t xml:space="preserve"> </w:t>
      </w:r>
      <w:r w:rsidR="00E43872" w:rsidRPr="0052360E">
        <w:rPr>
          <w:rFonts w:ascii="Times New Roman" w:hAnsi="Times New Roman"/>
          <w:sz w:val="24"/>
          <w:szCs w:val="24"/>
        </w:rPr>
        <w:t>D</w:t>
      </w:r>
      <w:r w:rsidR="0084389D" w:rsidRPr="0052360E">
        <w:rPr>
          <w:rFonts w:ascii="Times New Roman" w:hAnsi="Times New Roman"/>
          <w:sz w:val="24"/>
          <w:szCs w:val="24"/>
        </w:rPr>
        <w:t>, </w:t>
      </w:r>
      <w:hyperlink r:id="rId24" w:history="1">
        <w:r w:rsidR="0084389D" w:rsidRPr="0052360E">
          <w:rPr>
            <w:rStyle w:val="Hyperlink"/>
            <w:rFonts w:ascii="Times New Roman" w:hAnsi="Times New Roman"/>
            <w:color w:val="auto"/>
            <w:sz w:val="24"/>
            <w:szCs w:val="24"/>
            <w:u w:val="none"/>
          </w:rPr>
          <w:t>Noor</w:t>
        </w:r>
      </w:hyperlink>
      <w:r w:rsidR="0084389D" w:rsidRPr="0052360E">
        <w:rPr>
          <w:rFonts w:ascii="Times New Roman" w:hAnsi="Times New Roman"/>
          <w:sz w:val="24"/>
          <w:szCs w:val="24"/>
        </w:rPr>
        <w:t xml:space="preserve"> Z. </w:t>
      </w:r>
      <w:r w:rsidR="0084389D" w:rsidRPr="0052360E">
        <w:rPr>
          <w:rFonts w:ascii="Times New Roman" w:hAnsi="Times New Roman"/>
          <w:i/>
          <w:sz w:val="24"/>
          <w:szCs w:val="24"/>
        </w:rPr>
        <w:t>et al.</w:t>
      </w:r>
      <w:r w:rsidR="0084389D" w:rsidRPr="0052360E">
        <w:rPr>
          <w:rFonts w:ascii="Times New Roman" w:hAnsi="Times New Roman"/>
          <w:sz w:val="24"/>
          <w:szCs w:val="24"/>
        </w:rPr>
        <w:t xml:space="preserve"> Role of leptin-mediated colonic </w:t>
      </w:r>
      <w:r w:rsidR="00390935" w:rsidRPr="0052360E">
        <w:rPr>
          <w:rFonts w:ascii="Times New Roman" w:hAnsi="Times New Roman"/>
          <w:sz w:val="24"/>
          <w:szCs w:val="24"/>
        </w:rPr>
        <w:t xml:space="preserve"> </w:t>
      </w:r>
      <w:r w:rsidR="0084389D" w:rsidRPr="0052360E">
        <w:rPr>
          <w:rFonts w:ascii="Times New Roman" w:hAnsi="Times New Roman"/>
          <w:sz w:val="24"/>
          <w:szCs w:val="24"/>
        </w:rPr>
        <w:t xml:space="preserve">inflammation in defense against </w:t>
      </w:r>
      <w:r w:rsidR="0084389D" w:rsidRPr="0052360E">
        <w:rPr>
          <w:rFonts w:ascii="Times New Roman" w:hAnsi="Times New Roman"/>
          <w:i/>
          <w:sz w:val="24"/>
          <w:szCs w:val="24"/>
        </w:rPr>
        <w:t>Clostridium difficile</w:t>
      </w:r>
      <w:r w:rsidR="0084389D" w:rsidRPr="0052360E">
        <w:rPr>
          <w:rFonts w:ascii="Times New Roman" w:hAnsi="Times New Roman"/>
          <w:sz w:val="24"/>
          <w:szCs w:val="24"/>
        </w:rPr>
        <w:t xml:space="preserve"> colitis. </w:t>
      </w:r>
      <w:r w:rsidR="0084389D" w:rsidRPr="0052360E">
        <w:rPr>
          <w:rFonts w:ascii="Times New Roman" w:hAnsi="Times New Roman"/>
          <w:i/>
          <w:sz w:val="24"/>
          <w:szCs w:val="24"/>
        </w:rPr>
        <w:t>Infect. Immun.</w:t>
      </w:r>
      <w:r w:rsidR="0084389D" w:rsidRPr="0052360E">
        <w:rPr>
          <w:rFonts w:ascii="Times New Roman" w:hAnsi="Times New Roman"/>
          <w:sz w:val="24"/>
          <w:szCs w:val="24"/>
        </w:rPr>
        <w:t xml:space="preserve"> </w:t>
      </w:r>
      <w:r w:rsidR="00911AB9" w:rsidRPr="0052360E">
        <w:rPr>
          <w:rFonts w:ascii="Times New Roman" w:hAnsi="Times New Roman"/>
          <w:sz w:val="24"/>
          <w:szCs w:val="24"/>
        </w:rPr>
        <w:t xml:space="preserve">2014; </w:t>
      </w:r>
      <w:r w:rsidR="00911AB9" w:rsidRPr="0052360E">
        <w:rPr>
          <w:rFonts w:ascii="Times New Roman" w:hAnsi="Times New Roman"/>
          <w:b/>
          <w:sz w:val="24"/>
          <w:szCs w:val="24"/>
        </w:rPr>
        <w:t>82:</w:t>
      </w:r>
      <w:r w:rsidR="0084389D" w:rsidRPr="0052360E">
        <w:rPr>
          <w:rFonts w:ascii="Times New Roman" w:hAnsi="Times New Roman"/>
          <w:sz w:val="24"/>
          <w:szCs w:val="24"/>
        </w:rPr>
        <w:t xml:space="preserve"> 341-349.</w:t>
      </w:r>
    </w:p>
    <w:p w14:paraId="00EB7756" w14:textId="607A1731" w:rsidR="0084389D" w:rsidRPr="0052360E" w:rsidRDefault="00FD2BD2" w:rsidP="00390935">
      <w:pPr>
        <w:spacing w:after="0" w:line="480" w:lineRule="auto"/>
        <w:ind w:left="284" w:hanging="426"/>
        <w:rPr>
          <w:rFonts w:ascii="Times New Roman" w:hAnsi="Times New Roman" w:cs="Times New Roman"/>
          <w:sz w:val="24"/>
          <w:szCs w:val="24"/>
          <w:lang w:val="en"/>
        </w:rPr>
      </w:pPr>
      <w:r w:rsidRPr="0052360E">
        <w:rPr>
          <w:rFonts w:ascii="Times New Roman" w:hAnsi="Times New Roman" w:cs="Times New Roman"/>
          <w:sz w:val="24"/>
          <w:szCs w:val="24"/>
        </w:rPr>
        <w:t>34</w:t>
      </w:r>
      <w:r w:rsidR="007E5F0B" w:rsidRPr="0052360E">
        <w:rPr>
          <w:rFonts w:ascii="Times New Roman" w:hAnsi="Times New Roman" w:cs="Times New Roman"/>
          <w:sz w:val="24"/>
          <w:szCs w:val="24"/>
        </w:rPr>
        <w:t>.</w:t>
      </w:r>
      <w:r w:rsidR="0084389D" w:rsidRPr="0052360E">
        <w:rPr>
          <w:rFonts w:ascii="Times New Roman" w:hAnsi="Times New Roman" w:cs="Times New Roman"/>
          <w:sz w:val="24"/>
          <w:szCs w:val="24"/>
        </w:rPr>
        <w:t xml:space="preserve"> </w:t>
      </w:r>
      <w:r w:rsidR="00911AB9" w:rsidRPr="0052360E">
        <w:rPr>
          <w:rFonts w:ascii="Times New Roman" w:hAnsi="Times New Roman" w:cs="Times New Roman"/>
          <w:sz w:val="24"/>
          <w:szCs w:val="24"/>
        </w:rPr>
        <w:t>Peyssonnaux C, Zinkernagel AS, Datta</w:t>
      </w:r>
      <w:r w:rsidR="0084389D" w:rsidRPr="0052360E">
        <w:rPr>
          <w:rFonts w:ascii="Times New Roman" w:hAnsi="Times New Roman" w:cs="Times New Roman"/>
          <w:sz w:val="24"/>
          <w:szCs w:val="24"/>
        </w:rPr>
        <w:t xml:space="preserve"> V, Lauth</w:t>
      </w:r>
      <w:r w:rsidR="00911AB9" w:rsidRPr="0052360E">
        <w:rPr>
          <w:rFonts w:ascii="Times New Roman" w:hAnsi="Times New Roman" w:cs="Times New Roman"/>
          <w:sz w:val="24"/>
          <w:szCs w:val="24"/>
        </w:rPr>
        <w:t xml:space="preserve"> X, Johnson RS, Nizet V.</w:t>
      </w:r>
      <w:r w:rsidR="0084389D" w:rsidRPr="0052360E">
        <w:rPr>
          <w:rFonts w:ascii="Times New Roman" w:hAnsi="Times New Roman" w:cs="Times New Roman"/>
          <w:sz w:val="24"/>
          <w:szCs w:val="24"/>
        </w:rPr>
        <w:t xml:space="preserve"> TLR4- dependent hepcidin expression by myeloid cells in response to bacterial pathogens. </w:t>
      </w:r>
      <w:r w:rsidR="0084389D" w:rsidRPr="0052360E">
        <w:rPr>
          <w:rFonts w:ascii="Times New Roman" w:hAnsi="Times New Roman" w:cs="Times New Roman"/>
          <w:i/>
          <w:sz w:val="24"/>
          <w:szCs w:val="24"/>
        </w:rPr>
        <w:t>Blood</w:t>
      </w:r>
      <w:r w:rsidR="0084389D" w:rsidRPr="0052360E">
        <w:rPr>
          <w:rFonts w:ascii="Times New Roman" w:hAnsi="Times New Roman" w:cs="Times New Roman"/>
          <w:sz w:val="24"/>
          <w:szCs w:val="24"/>
        </w:rPr>
        <w:t xml:space="preserve"> </w:t>
      </w:r>
      <w:r w:rsidR="00911AB9" w:rsidRPr="0052360E">
        <w:rPr>
          <w:rFonts w:ascii="Times New Roman" w:hAnsi="Times New Roman" w:cs="Times New Roman"/>
          <w:sz w:val="24"/>
          <w:szCs w:val="24"/>
        </w:rPr>
        <w:t xml:space="preserve">2006; </w:t>
      </w:r>
      <w:r w:rsidR="0084389D" w:rsidRPr="0052360E">
        <w:rPr>
          <w:rFonts w:ascii="Times New Roman" w:hAnsi="Times New Roman" w:cs="Times New Roman"/>
          <w:sz w:val="24"/>
          <w:szCs w:val="24"/>
        </w:rPr>
        <w:t>107</w:t>
      </w:r>
      <w:r w:rsidR="00911AB9" w:rsidRPr="0052360E">
        <w:rPr>
          <w:rFonts w:ascii="Times New Roman" w:hAnsi="Times New Roman" w:cs="Times New Roman"/>
          <w:sz w:val="24"/>
          <w:szCs w:val="24"/>
        </w:rPr>
        <w:t>:</w:t>
      </w:r>
      <w:r w:rsidR="0084389D" w:rsidRPr="0052360E">
        <w:rPr>
          <w:rFonts w:ascii="Times New Roman" w:hAnsi="Times New Roman" w:cs="Times New Roman"/>
          <w:sz w:val="24"/>
          <w:szCs w:val="24"/>
        </w:rPr>
        <w:t xml:space="preserve"> 3727-3732.</w:t>
      </w:r>
    </w:p>
    <w:p w14:paraId="039B1489" w14:textId="460333FF" w:rsidR="008F3F33" w:rsidRPr="0052360E" w:rsidRDefault="00FD2BD2" w:rsidP="008F365F">
      <w:pPr>
        <w:spacing w:after="0" w:line="480" w:lineRule="auto"/>
        <w:ind w:left="142" w:hanging="284"/>
        <w:rPr>
          <w:rFonts w:ascii="Times New Roman" w:hAnsi="Times New Roman" w:cs="Times New Roman"/>
          <w:sz w:val="24"/>
          <w:szCs w:val="24"/>
          <w:lang w:val="en"/>
        </w:rPr>
      </w:pPr>
      <w:r w:rsidRPr="0052360E">
        <w:rPr>
          <w:rFonts w:ascii="Times New Roman" w:hAnsi="Times New Roman" w:cs="Times New Roman"/>
          <w:sz w:val="24"/>
          <w:szCs w:val="24"/>
          <w:lang w:val="en"/>
        </w:rPr>
        <w:t>35</w:t>
      </w:r>
      <w:r w:rsidR="007E5F0B" w:rsidRPr="0052360E">
        <w:rPr>
          <w:rFonts w:ascii="Times New Roman" w:hAnsi="Times New Roman" w:cs="Times New Roman"/>
          <w:sz w:val="24"/>
          <w:szCs w:val="24"/>
          <w:lang w:val="en"/>
        </w:rPr>
        <w:t>.</w:t>
      </w:r>
      <w:r w:rsidR="0084389D" w:rsidRPr="0052360E">
        <w:rPr>
          <w:rFonts w:ascii="Times New Roman" w:hAnsi="Times New Roman" w:cs="Times New Roman"/>
          <w:sz w:val="24"/>
          <w:szCs w:val="24"/>
          <w:lang w:val="en"/>
        </w:rPr>
        <w:t xml:space="preserve"> </w:t>
      </w:r>
      <w:r w:rsidR="00911AB9" w:rsidRPr="0052360E">
        <w:rPr>
          <w:rFonts w:ascii="Times New Roman" w:hAnsi="Times New Roman" w:cs="Times New Roman"/>
          <w:sz w:val="24"/>
          <w:szCs w:val="24"/>
          <w:lang w:val="en"/>
        </w:rPr>
        <w:t>Verma S &amp; Cherayil BJ.</w:t>
      </w:r>
      <w:r w:rsidR="0084389D" w:rsidRPr="0052360E">
        <w:rPr>
          <w:rFonts w:ascii="Times New Roman" w:hAnsi="Times New Roman" w:cs="Times New Roman"/>
          <w:sz w:val="24"/>
          <w:szCs w:val="24"/>
          <w:lang w:val="en"/>
        </w:rPr>
        <w:t xml:space="preserve"> Iron and inflammation – the gut reaction. </w:t>
      </w:r>
      <w:r w:rsidR="0084389D" w:rsidRPr="0052360E">
        <w:rPr>
          <w:rFonts w:ascii="Times New Roman" w:hAnsi="Times New Roman" w:cs="Times New Roman"/>
          <w:i/>
          <w:sz w:val="24"/>
          <w:szCs w:val="24"/>
          <w:lang w:val="en"/>
        </w:rPr>
        <w:t>Metallomics</w:t>
      </w:r>
      <w:r w:rsidR="0084389D" w:rsidRPr="0052360E">
        <w:rPr>
          <w:rFonts w:ascii="Times New Roman" w:hAnsi="Times New Roman" w:cs="Times New Roman"/>
          <w:sz w:val="24"/>
          <w:szCs w:val="24"/>
          <w:lang w:val="en"/>
        </w:rPr>
        <w:t xml:space="preserve"> </w:t>
      </w:r>
      <w:r w:rsidR="00911AB9" w:rsidRPr="0052360E">
        <w:rPr>
          <w:rFonts w:ascii="Times New Roman" w:hAnsi="Times New Roman" w:cs="Times New Roman"/>
          <w:sz w:val="24"/>
          <w:szCs w:val="24"/>
          <w:lang w:val="en"/>
        </w:rPr>
        <w:t xml:space="preserve">2017; </w:t>
      </w:r>
      <w:r w:rsidR="00911AB9" w:rsidRPr="0052360E">
        <w:rPr>
          <w:rFonts w:ascii="Times New Roman" w:hAnsi="Times New Roman" w:cs="Times New Roman"/>
          <w:b/>
          <w:sz w:val="24"/>
          <w:szCs w:val="24"/>
          <w:lang w:val="en"/>
        </w:rPr>
        <w:t>9:</w:t>
      </w:r>
      <w:r w:rsidR="0084389D" w:rsidRPr="0052360E">
        <w:rPr>
          <w:rFonts w:ascii="Times New Roman" w:hAnsi="Times New Roman" w:cs="Times New Roman"/>
          <w:sz w:val="24"/>
          <w:szCs w:val="24"/>
          <w:lang w:val="en"/>
        </w:rPr>
        <w:t xml:space="preserve"> 101-111.</w:t>
      </w:r>
      <w:r w:rsidR="008F3F33" w:rsidRPr="0052360E">
        <w:rPr>
          <w:rFonts w:ascii="Times New Roman" w:hAnsi="Times New Roman" w:cs="Times New Roman"/>
          <w:sz w:val="24"/>
          <w:szCs w:val="24"/>
          <w:lang w:val="en"/>
        </w:rPr>
        <w:t xml:space="preserve"> </w:t>
      </w:r>
    </w:p>
    <w:p w14:paraId="49835EED" w14:textId="3A4329BE" w:rsidR="0084389D" w:rsidRPr="0052360E" w:rsidRDefault="00FD2BD2" w:rsidP="00390935">
      <w:pPr>
        <w:spacing w:after="0" w:line="480" w:lineRule="auto"/>
        <w:ind w:left="284" w:hanging="426"/>
        <w:rPr>
          <w:rFonts w:ascii="Times New Roman" w:hAnsi="Times New Roman" w:cs="Times New Roman"/>
          <w:sz w:val="24"/>
          <w:szCs w:val="24"/>
          <w:lang w:val="en"/>
        </w:rPr>
      </w:pPr>
      <w:r w:rsidRPr="0052360E">
        <w:rPr>
          <w:rFonts w:ascii="Times New Roman" w:hAnsi="Times New Roman" w:cs="Times New Roman"/>
          <w:sz w:val="24"/>
          <w:szCs w:val="24"/>
        </w:rPr>
        <w:t>36</w:t>
      </w:r>
      <w:r w:rsidR="007E5F0B" w:rsidRPr="0052360E">
        <w:rPr>
          <w:rFonts w:ascii="Times New Roman" w:hAnsi="Times New Roman" w:cs="Times New Roman"/>
          <w:sz w:val="24"/>
          <w:szCs w:val="24"/>
        </w:rPr>
        <w:t>.</w:t>
      </w:r>
      <w:r w:rsidR="00927AA9" w:rsidRPr="0052360E">
        <w:rPr>
          <w:rFonts w:ascii="Times New Roman" w:hAnsi="Times New Roman" w:cs="Times New Roman"/>
          <w:sz w:val="24"/>
          <w:szCs w:val="24"/>
          <w:lang w:val="en"/>
        </w:rPr>
        <w:t xml:space="preserve"> </w:t>
      </w:r>
      <w:hyperlink r:id="rId25" w:history="1">
        <w:r w:rsidR="0084389D" w:rsidRPr="0052360E">
          <w:rPr>
            <w:rStyle w:val="Hyperlink"/>
            <w:rFonts w:ascii="Times New Roman" w:hAnsi="Times New Roman" w:cs="Times New Roman"/>
            <w:color w:val="auto"/>
            <w:sz w:val="24"/>
            <w:szCs w:val="24"/>
            <w:u w:val="none"/>
            <w:lang w:val="en"/>
          </w:rPr>
          <w:t>Mohammed I</w:t>
        </w:r>
      </w:hyperlink>
      <w:r w:rsidR="0084389D" w:rsidRPr="0052360E">
        <w:rPr>
          <w:rFonts w:ascii="Times New Roman" w:hAnsi="Times New Roman" w:cs="Times New Roman"/>
          <w:sz w:val="24"/>
          <w:szCs w:val="24"/>
          <w:lang w:val="en"/>
        </w:rPr>
        <w:t xml:space="preserve">, </w:t>
      </w:r>
      <w:hyperlink r:id="rId26" w:history="1">
        <w:r w:rsidR="0084389D" w:rsidRPr="0052360E">
          <w:rPr>
            <w:rStyle w:val="Hyperlink"/>
            <w:rFonts w:ascii="Times New Roman" w:hAnsi="Times New Roman" w:cs="Times New Roman"/>
            <w:color w:val="auto"/>
            <w:sz w:val="24"/>
            <w:szCs w:val="24"/>
            <w:u w:val="none"/>
            <w:lang w:val="en"/>
          </w:rPr>
          <w:t>Abedin A</w:t>
        </w:r>
      </w:hyperlink>
      <w:r w:rsidR="0084389D" w:rsidRPr="0052360E">
        <w:rPr>
          <w:rFonts w:ascii="Times New Roman" w:hAnsi="Times New Roman" w:cs="Times New Roman"/>
          <w:sz w:val="24"/>
          <w:szCs w:val="24"/>
          <w:lang w:val="en"/>
        </w:rPr>
        <w:t xml:space="preserve">, </w:t>
      </w:r>
      <w:hyperlink r:id="rId27" w:history="1">
        <w:r w:rsidR="0084389D" w:rsidRPr="0052360E">
          <w:rPr>
            <w:rStyle w:val="Hyperlink"/>
            <w:rFonts w:ascii="Times New Roman" w:hAnsi="Times New Roman" w:cs="Times New Roman"/>
            <w:color w:val="auto"/>
            <w:sz w:val="24"/>
            <w:szCs w:val="24"/>
            <w:u w:val="none"/>
            <w:lang w:val="en"/>
          </w:rPr>
          <w:t>Tsintzas K</w:t>
        </w:r>
      </w:hyperlink>
      <w:r w:rsidR="0084389D" w:rsidRPr="0052360E">
        <w:rPr>
          <w:rFonts w:ascii="Times New Roman" w:hAnsi="Times New Roman" w:cs="Times New Roman"/>
          <w:sz w:val="24"/>
          <w:szCs w:val="24"/>
          <w:lang w:val="en"/>
        </w:rPr>
        <w:t xml:space="preserve">, </w:t>
      </w:r>
      <w:hyperlink r:id="rId28" w:history="1">
        <w:r w:rsidR="0084389D" w:rsidRPr="0052360E">
          <w:rPr>
            <w:rStyle w:val="Hyperlink"/>
            <w:rFonts w:ascii="Times New Roman" w:hAnsi="Times New Roman" w:cs="Times New Roman"/>
            <w:color w:val="auto"/>
            <w:sz w:val="24"/>
            <w:szCs w:val="24"/>
            <w:u w:val="none"/>
            <w:lang w:val="en"/>
          </w:rPr>
          <w:t>Abedin SA</w:t>
        </w:r>
      </w:hyperlink>
      <w:r w:rsidR="0084389D" w:rsidRPr="0052360E">
        <w:rPr>
          <w:rFonts w:ascii="Times New Roman" w:hAnsi="Times New Roman" w:cs="Times New Roman"/>
          <w:sz w:val="24"/>
          <w:szCs w:val="24"/>
          <w:lang w:val="en"/>
        </w:rPr>
        <w:t xml:space="preserve">, </w:t>
      </w:r>
      <w:hyperlink r:id="rId29" w:history="1">
        <w:r w:rsidR="0084389D" w:rsidRPr="0052360E">
          <w:rPr>
            <w:rStyle w:val="Hyperlink"/>
            <w:rFonts w:ascii="Times New Roman" w:hAnsi="Times New Roman" w:cs="Times New Roman"/>
            <w:color w:val="auto"/>
            <w:sz w:val="24"/>
            <w:szCs w:val="24"/>
            <w:u w:val="none"/>
            <w:lang w:val="en"/>
          </w:rPr>
          <w:t>Otri AM</w:t>
        </w:r>
      </w:hyperlink>
      <w:r w:rsidR="0084389D" w:rsidRPr="0052360E">
        <w:rPr>
          <w:rFonts w:ascii="Times New Roman" w:hAnsi="Times New Roman" w:cs="Times New Roman"/>
          <w:sz w:val="24"/>
          <w:szCs w:val="24"/>
          <w:lang w:val="en"/>
        </w:rPr>
        <w:t xml:space="preserve">, </w:t>
      </w:r>
      <w:hyperlink r:id="rId30" w:history="1">
        <w:r w:rsidR="0084389D" w:rsidRPr="0052360E">
          <w:rPr>
            <w:rStyle w:val="Hyperlink"/>
            <w:rFonts w:ascii="Times New Roman" w:hAnsi="Times New Roman" w:cs="Times New Roman"/>
            <w:color w:val="auto"/>
            <w:sz w:val="24"/>
            <w:szCs w:val="24"/>
            <w:u w:val="none"/>
            <w:lang w:val="en"/>
          </w:rPr>
          <w:t>Hopkinson A</w:t>
        </w:r>
      </w:hyperlink>
      <w:r w:rsidR="00911AB9" w:rsidRPr="0052360E">
        <w:rPr>
          <w:rFonts w:ascii="Times New Roman" w:hAnsi="Times New Roman" w:cs="Times New Roman"/>
          <w:sz w:val="24"/>
          <w:szCs w:val="24"/>
          <w:lang w:val="en"/>
        </w:rPr>
        <w:t>,</w:t>
      </w:r>
      <w:r w:rsidR="0084389D" w:rsidRPr="0052360E">
        <w:rPr>
          <w:rFonts w:ascii="Times New Roman" w:hAnsi="Times New Roman" w:cs="Times New Roman"/>
          <w:sz w:val="24"/>
          <w:szCs w:val="24"/>
          <w:lang w:val="en"/>
        </w:rPr>
        <w:t xml:space="preserve"> </w:t>
      </w:r>
      <w:r w:rsidR="00911AB9" w:rsidRPr="0052360E">
        <w:rPr>
          <w:rFonts w:ascii="Times New Roman" w:hAnsi="Times New Roman" w:cs="Times New Roman"/>
          <w:i/>
          <w:sz w:val="24"/>
          <w:szCs w:val="24"/>
          <w:lang w:val="en"/>
        </w:rPr>
        <w:t>et al.</w:t>
      </w:r>
      <w:r w:rsidR="008F3F33" w:rsidRPr="0052360E">
        <w:rPr>
          <w:rFonts w:ascii="Times New Roman" w:hAnsi="Times New Roman" w:cs="Times New Roman"/>
          <w:sz w:val="24"/>
          <w:szCs w:val="24"/>
          <w:lang w:val="en"/>
        </w:rPr>
        <w:t xml:space="preserve">  </w:t>
      </w:r>
      <w:r w:rsidR="0084389D" w:rsidRPr="0052360E">
        <w:rPr>
          <w:rFonts w:ascii="Times New Roman" w:hAnsi="Times New Roman" w:cs="Times New Roman"/>
          <w:bCs/>
          <w:sz w:val="24"/>
          <w:szCs w:val="24"/>
          <w:lang w:val="en"/>
        </w:rPr>
        <w:t xml:space="preserve">Increased expression of hepcidin and toll-like receptors 8 and 10 in viral keratitis. </w:t>
      </w:r>
      <w:r w:rsidR="0084389D" w:rsidRPr="0052360E">
        <w:rPr>
          <w:rFonts w:ascii="Times New Roman" w:hAnsi="Times New Roman" w:cs="Times New Roman"/>
          <w:i/>
          <w:sz w:val="24"/>
          <w:szCs w:val="24"/>
          <w:lang w:val="en"/>
        </w:rPr>
        <w:t>Cornea</w:t>
      </w:r>
      <w:r w:rsidR="00911AB9" w:rsidRPr="0052360E">
        <w:rPr>
          <w:rFonts w:ascii="Times New Roman" w:hAnsi="Times New Roman" w:cs="Times New Roman"/>
          <w:i/>
          <w:sz w:val="24"/>
          <w:szCs w:val="24"/>
          <w:lang w:val="en"/>
        </w:rPr>
        <w:t xml:space="preserve"> </w:t>
      </w:r>
      <w:r w:rsidR="00911AB9" w:rsidRPr="0052360E">
        <w:rPr>
          <w:rFonts w:ascii="Times New Roman" w:hAnsi="Times New Roman" w:cs="Times New Roman"/>
          <w:sz w:val="24"/>
          <w:szCs w:val="24"/>
          <w:lang w:val="en"/>
        </w:rPr>
        <w:t xml:space="preserve">2011; </w:t>
      </w:r>
      <w:r w:rsidR="00911AB9" w:rsidRPr="0052360E">
        <w:rPr>
          <w:rFonts w:ascii="Times New Roman" w:hAnsi="Times New Roman" w:cs="Times New Roman"/>
          <w:b/>
          <w:sz w:val="24"/>
          <w:szCs w:val="24"/>
          <w:lang w:val="en"/>
        </w:rPr>
        <w:t>30:</w:t>
      </w:r>
      <w:r w:rsidR="0084389D" w:rsidRPr="0052360E">
        <w:rPr>
          <w:rFonts w:ascii="Times New Roman" w:hAnsi="Times New Roman" w:cs="Times New Roman"/>
          <w:sz w:val="24"/>
          <w:szCs w:val="24"/>
          <w:lang w:val="en"/>
        </w:rPr>
        <w:t xml:space="preserve"> 899-904.</w:t>
      </w:r>
    </w:p>
    <w:p w14:paraId="3A411130" w14:textId="77777777" w:rsidR="00390935" w:rsidRPr="0052360E" w:rsidRDefault="00FD2BD2" w:rsidP="00390935">
      <w:pPr>
        <w:spacing w:after="0" w:line="480" w:lineRule="auto"/>
        <w:ind w:left="284" w:hanging="426"/>
        <w:rPr>
          <w:rFonts w:ascii="Times New Roman" w:hAnsi="Times New Roman" w:cs="Times New Roman"/>
          <w:sz w:val="24"/>
          <w:szCs w:val="24"/>
          <w:lang w:val="en"/>
        </w:rPr>
      </w:pPr>
      <w:r w:rsidRPr="0052360E">
        <w:rPr>
          <w:rFonts w:ascii="Times New Roman" w:hAnsi="Times New Roman" w:cs="Times New Roman"/>
          <w:sz w:val="24"/>
          <w:szCs w:val="24"/>
          <w:lang w:val="en"/>
        </w:rPr>
        <w:t>37</w:t>
      </w:r>
      <w:r w:rsidR="007E5F0B" w:rsidRPr="0052360E">
        <w:rPr>
          <w:rFonts w:ascii="Times New Roman" w:hAnsi="Times New Roman" w:cs="Times New Roman"/>
          <w:sz w:val="24"/>
          <w:szCs w:val="24"/>
          <w:lang w:val="en"/>
        </w:rPr>
        <w:t>.</w:t>
      </w:r>
      <w:r w:rsidR="008F3F33" w:rsidRPr="0052360E">
        <w:rPr>
          <w:rFonts w:ascii="Times New Roman" w:hAnsi="Times New Roman" w:cs="Times New Roman"/>
          <w:sz w:val="24"/>
          <w:szCs w:val="24"/>
          <w:lang w:val="en"/>
        </w:rPr>
        <w:t xml:space="preserve"> </w:t>
      </w:r>
      <w:hyperlink r:id="rId31" w:history="1">
        <w:r w:rsidR="0084389D" w:rsidRPr="0052360E">
          <w:rPr>
            <w:rStyle w:val="Hyperlink"/>
            <w:rFonts w:ascii="Times New Roman" w:hAnsi="Times New Roman" w:cs="Times New Roman"/>
            <w:color w:val="auto"/>
            <w:sz w:val="24"/>
            <w:szCs w:val="24"/>
            <w:u w:val="none"/>
            <w:lang w:val="en"/>
          </w:rPr>
          <w:t>Morrow BJ</w:t>
        </w:r>
      </w:hyperlink>
      <w:r w:rsidR="0084389D" w:rsidRPr="0052360E">
        <w:rPr>
          <w:rFonts w:ascii="Times New Roman" w:hAnsi="Times New Roman" w:cs="Times New Roman"/>
          <w:sz w:val="24"/>
          <w:szCs w:val="24"/>
          <w:lang w:val="en"/>
        </w:rPr>
        <w:t xml:space="preserve">, </w:t>
      </w:r>
      <w:hyperlink r:id="rId32" w:history="1">
        <w:r w:rsidR="0084389D" w:rsidRPr="0052360E">
          <w:rPr>
            <w:rStyle w:val="Hyperlink"/>
            <w:rFonts w:ascii="Times New Roman" w:hAnsi="Times New Roman" w:cs="Times New Roman"/>
            <w:color w:val="auto"/>
            <w:sz w:val="24"/>
            <w:szCs w:val="24"/>
            <w:u w:val="none"/>
            <w:lang w:val="en"/>
          </w:rPr>
          <w:t>Liu X</w:t>
        </w:r>
      </w:hyperlink>
      <w:r w:rsidR="0084389D" w:rsidRPr="0052360E">
        <w:rPr>
          <w:rFonts w:ascii="Times New Roman" w:hAnsi="Times New Roman" w:cs="Times New Roman"/>
          <w:sz w:val="24"/>
          <w:szCs w:val="24"/>
          <w:lang w:val="en"/>
        </w:rPr>
        <w:t xml:space="preserve">, </w:t>
      </w:r>
      <w:hyperlink r:id="rId33" w:history="1">
        <w:r w:rsidR="0084389D" w:rsidRPr="0052360E">
          <w:rPr>
            <w:rStyle w:val="Hyperlink"/>
            <w:rFonts w:ascii="Times New Roman" w:hAnsi="Times New Roman" w:cs="Times New Roman"/>
            <w:color w:val="auto"/>
            <w:sz w:val="24"/>
            <w:szCs w:val="24"/>
            <w:u w:val="none"/>
            <w:lang w:val="en"/>
          </w:rPr>
          <w:t>Dodge IL</w:t>
        </w:r>
      </w:hyperlink>
      <w:r w:rsidR="0084389D" w:rsidRPr="0052360E">
        <w:rPr>
          <w:rFonts w:ascii="Times New Roman" w:hAnsi="Times New Roman" w:cs="Times New Roman"/>
          <w:sz w:val="24"/>
          <w:szCs w:val="24"/>
          <w:lang w:val="en"/>
        </w:rPr>
        <w:t xml:space="preserve">, </w:t>
      </w:r>
      <w:hyperlink r:id="rId34" w:history="1">
        <w:r w:rsidR="0084389D" w:rsidRPr="0052360E">
          <w:rPr>
            <w:rStyle w:val="Hyperlink"/>
            <w:rFonts w:ascii="Times New Roman" w:hAnsi="Times New Roman" w:cs="Times New Roman"/>
            <w:color w:val="auto"/>
            <w:sz w:val="24"/>
            <w:szCs w:val="24"/>
            <w:u w:val="none"/>
            <w:lang w:val="en"/>
          </w:rPr>
          <w:t>Vitiello A</w:t>
        </w:r>
      </w:hyperlink>
      <w:r w:rsidR="0084389D" w:rsidRPr="0052360E">
        <w:rPr>
          <w:rFonts w:ascii="Times New Roman" w:hAnsi="Times New Roman" w:cs="Times New Roman"/>
          <w:sz w:val="24"/>
          <w:szCs w:val="24"/>
          <w:lang w:val="en"/>
        </w:rPr>
        <w:t xml:space="preserve">, </w:t>
      </w:r>
      <w:hyperlink r:id="rId35" w:history="1">
        <w:r w:rsidR="0084389D" w:rsidRPr="0052360E">
          <w:rPr>
            <w:rStyle w:val="Hyperlink"/>
            <w:rFonts w:ascii="Times New Roman" w:hAnsi="Times New Roman" w:cs="Times New Roman"/>
            <w:color w:val="auto"/>
            <w:sz w:val="24"/>
            <w:szCs w:val="24"/>
            <w:u w:val="none"/>
            <w:lang w:val="en"/>
          </w:rPr>
          <w:t>Ward CK</w:t>
        </w:r>
      </w:hyperlink>
      <w:r w:rsidR="0084389D" w:rsidRPr="0052360E">
        <w:rPr>
          <w:rFonts w:ascii="Times New Roman" w:hAnsi="Times New Roman" w:cs="Times New Roman"/>
          <w:sz w:val="24"/>
          <w:szCs w:val="24"/>
          <w:lang w:val="en"/>
        </w:rPr>
        <w:t>, Shaw KJ</w:t>
      </w:r>
      <w:r w:rsidR="00911AB9" w:rsidRPr="0052360E">
        <w:rPr>
          <w:rFonts w:ascii="Times New Roman" w:hAnsi="Times New Roman" w:cs="Times New Roman"/>
          <w:bCs/>
          <w:sz w:val="24"/>
          <w:szCs w:val="24"/>
          <w:lang w:val="en"/>
        </w:rPr>
        <w:t>.</w:t>
      </w:r>
      <w:r w:rsidR="0084389D" w:rsidRPr="0052360E">
        <w:rPr>
          <w:rFonts w:ascii="Times New Roman" w:hAnsi="Times New Roman" w:cs="Times New Roman"/>
          <w:bCs/>
          <w:sz w:val="24"/>
          <w:szCs w:val="24"/>
          <w:lang w:val="en"/>
        </w:rPr>
        <w:t xml:space="preserve">Simultaneous analysis of host and pathogen interactions during an </w:t>
      </w:r>
      <w:r w:rsidR="0084389D" w:rsidRPr="0052360E">
        <w:rPr>
          <w:rFonts w:ascii="Times New Roman" w:hAnsi="Times New Roman" w:cs="Times New Roman"/>
          <w:bCs/>
          <w:i/>
          <w:sz w:val="24"/>
          <w:szCs w:val="24"/>
          <w:lang w:val="en"/>
        </w:rPr>
        <w:t>in vivo</w:t>
      </w:r>
      <w:r w:rsidR="0084389D" w:rsidRPr="0052360E">
        <w:rPr>
          <w:rFonts w:ascii="Times New Roman" w:hAnsi="Times New Roman" w:cs="Times New Roman"/>
          <w:bCs/>
          <w:sz w:val="24"/>
          <w:szCs w:val="24"/>
          <w:lang w:val="en"/>
        </w:rPr>
        <w:t xml:space="preserve"> infection reveals local induction of host acute phase response proteins, a novel bacterial stress response, and evidence of a host-imposed metal ion limited environment. </w:t>
      </w:r>
      <w:hyperlink r:id="rId36" w:tooltip="Cellular microbiology." w:history="1">
        <w:r w:rsidR="0084389D" w:rsidRPr="0052360E">
          <w:rPr>
            <w:rStyle w:val="Hyperlink"/>
            <w:rFonts w:ascii="Times New Roman" w:hAnsi="Times New Roman" w:cs="Times New Roman"/>
            <w:i/>
            <w:color w:val="auto"/>
            <w:sz w:val="24"/>
            <w:szCs w:val="24"/>
            <w:u w:val="none"/>
            <w:lang w:val="en"/>
          </w:rPr>
          <w:t>Cell. Microbiol.</w:t>
        </w:r>
      </w:hyperlink>
      <w:r w:rsidR="0084389D" w:rsidRPr="0052360E">
        <w:rPr>
          <w:rFonts w:ascii="Times New Roman" w:hAnsi="Times New Roman" w:cs="Times New Roman"/>
          <w:sz w:val="24"/>
          <w:szCs w:val="24"/>
          <w:lang w:val="en"/>
        </w:rPr>
        <w:t xml:space="preserve"> </w:t>
      </w:r>
      <w:r w:rsidR="00911AB9" w:rsidRPr="0052360E">
        <w:rPr>
          <w:rFonts w:ascii="Times New Roman" w:hAnsi="Times New Roman" w:cs="Times New Roman"/>
          <w:sz w:val="24"/>
          <w:szCs w:val="24"/>
          <w:lang w:val="en"/>
        </w:rPr>
        <w:t>2004;</w:t>
      </w:r>
      <w:r w:rsidR="00911AB9" w:rsidRPr="0052360E">
        <w:rPr>
          <w:rFonts w:ascii="Times New Roman" w:hAnsi="Times New Roman" w:cs="Times New Roman"/>
          <w:b/>
          <w:sz w:val="24"/>
          <w:szCs w:val="24"/>
          <w:lang w:val="en"/>
        </w:rPr>
        <w:t xml:space="preserve"> 6:</w:t>
      </w:r>
      <w:r w:rsidR="00911AB9" w:rsidRPr="0052360E">
        <w:rPr>
          <w:rFonts w:ascii="Times New Roman" w:hAnsi="Times New Roman" w:cs="Times New Roman"/>
          <w:sz w:val="24"/>
          <w:szCs w:val="24"/>
          <w:lang w:val="en"/>
        </w:rPr>
        <w:t xml:space="preserve"> </w:t>
      </w:r>
      <w:r w:rsidR="0084389D" w:rsidRPr="0052360E">
        <w:rPr>
          <w:rFonts w:ascii="Times New Roman" w:hAnsi="Times New Roman" w:cs="Times New Roman"/>
          <w:sz w:val="24"/>
          <w:szCs w:val="24"/>
          <w:lang w:val="en"/>
        </w:rPr>
        <w:t>849-</w:t>
      </w:r>
      <w:r w:rsidR="00911AB9" w:rsidRPr="0052360E">
        <w:rPr>
          <w:rFonts w:ascii="Times New Roman" w:hAnsi="Times New Roman" w:cs="Times New Roman"/>
          <w:sz w:val="24"/>
          <w:szCs w:val="24"/>
          <w:lang w:val="en"/>
        </w:rPr>
        <w:t>8</w:t>
      </w:r>
      <w:r w:rsidR="0084389D" w:rsidRPr="0052360E">
        <w:rPr>
          <w:rFonts w:ascii="Times New Roman" w:hAnsi="Times New Roman" w:cs="Times New Roman"/>
          <w:sz w:val="24"/>
          <w:szCs w:val="24"/>
          <w:lang w:val="en"/>
        </w:rPr>
        <w:t>65.</w:t>
      </w:r>
      <w:bookmarkEnd w:id="1"/>
    </w:p>
    <w:p w14:paraId="0B2BCA07" w14:textId="77777777" w:rsidR="00E87B11" w:rsidRPr="0052360E" w:rsidRDefault="00E87B11" w:rsidP="00390935">
      <w:pPr>
        <w:spacing w:after="0" w:line="480" w:lineRule="auto"/>
        <w:ind w:left="284" w:hanging="426"/>
        <w:rPr>
          <w:rFonts w:ascii="Times New Roman" w:hAnsi="Times New Roman" w:cs="Times New Roman"/>
          <w:sz w:val="24"/>
          <w:szCs w:val="24"/>
          <w:lang w:val="en"/>
        </w:rPr>
      </w:pPr>
    </w:p>
    <w:p w14:paraId="464E1402" w14:textId="77777777" w:rsidR="00E87B11" w:rsidRPr="0052360E" w:rsidRDefault="00E87B11" w:rsidP="00390935">
      <w:pPr>
        <w:spacing w:after="0" w:line="480" w:lineRule="auto"/>
        <w:ind w:left="284" w:hanging="426"/>
        <w:rPr>
          <w:rFonts w:ascii="Times New Roman" w:hAnsi="Times New Roman" w:cs="Times New Roman"/>
          <w:sz w:val="24"/>
          <w:szCs w:val="24"/>
          <w:lang w:val="en"/>
        </w:rPr>
      </w:pPr>
    </w:p>
    <w:p w14:paraId="050A1FAA" w14:textId="77777777" w:rsidR="00E87B11" w:rsidRPr="0052360E" w:rsidRDefault="00E87B11" w:rsidP="00390935">
      <w:pPr>
        <w:spacing w:after="0" w:line="480" w:lineRule="auto"/>
        <w:ind w:left="284" w:hanging="426"/>
        <w:rPr>
          <w:rFonts w:ascii="Times New Roman" w:hAnsi="Times New Roman" w:cs="Times New Roman"/>
          <w:sz w:val="24"/>
          <w:szCs w:val="24"/>
          <w:lang w:val="en"/>
        </w:rPr>
      </w:pPr>
    </w:p>
    <w:p w14:paraId="71FE0A32" w14:textId="77777777" w:rsidR="00E87B11" w:rsidRPr="0052360E" w:rsidRDefault="00E87B11" w:rsidP="00390935">
      <w:pPr>
        <w:spacing w:after="0" w:line="480" w:lineRule="auto"/>
        <w:ind w:left="284" w:hanging="426"/>
        <w:rPr>
          <w:rFonts w:ascii="Times New Roman" w:hAnsi="Times New Roman" w:cs="Times New Roman"/>
          <w:sz w:val="24"/>
          <w:szCs w:val="24"/>
          <w:lang w:val="en"/>
        </w:rPr>
      </w:pPr>
    </w:p>
    <w:p w14:paraId="7C6C941D" w14:textId="569996A0" w:rsidR="00B202C1" w:rsidRPr="0052360E" w:rsidRDefault="008E4ED5" w:rsidP="00D479F7">
      <w:pPr>
        <w:spacing w:after="0" w:line="240" w:lineRule="auto"/>
        <w:ind w:left="1418" w:hanging="1560"/>
        <w:rPr>
          <w:rFonts w:ascii="Times New Roman" w:hAnsi="Times New Roman" w:cs="Times New Roman"/>
          <w:sz w:val="24"/>
          <w:szCs w:val="24"/>
          <w:lang w:val="en"/>
        </w:rPr>
      </w:pPr>
      <w:r w:rsidRPr="0052360E">
        <w:rPr>
          <w:rFonts w:ascii="Times New Roman" w:hAnsi="Times New Roman" w:cs="Times New Roman"/>
          <w:sz w:val="24"/>
          <w:szCs w:val="24"/>
        </w:rPr>
        <w:t xml:space="preserve">    </w:t>
      </w:r>
      <w:r w:rsidR="00390935" w:rsidRPr="0052360E">
        <w:rPr>
          <w:rFonts w:ascii="Times New Roman" w:hAnsi="Times New Roman" w:cs="Times New Roman"/>
          <w:sz w:val="24"/>
          <w:szCs w:val="24"/>
        </w:rPr>
        <w:t xml:space="preserve">   </w:t>
      </w:r>
      <w:r w:rsidR="008969CD" w:rsidRPr="0052360E">
        <w:rPr>
          <w:rFonts w:ascii="Times New Roman" w:hAnsi="Times New Roman" w:cs="Times New Roman"/>
          <w:b/>
          <w:sz w:val="24"/>
          <w:szCs w:val="24"/>
        </w:rPr>
        <w:t xml:space="preserve">TABLE 1   </w:t>
      </w:r>
      <w:r w:rsidR="00DA16EC" w:rsidRPr="0052360E">
        <w:rPr>
          <w:rFonts w:ascii="Times New Roman" w:hAnsi="Times New Roman" w:cs="Times New Roman"/>
          <w:b/>
          <w:sz w:val="24"/>
          <w:szCs w:val="24"/>
        </w:rPr>
        <w:t>Baseline c</w:t>
      </w:r>
      <w:r w:rsidR="00C15AE3" w:rsidRPr="0052360E">
        <w:rPr>
          <w:rFonts w:ascii="Times New Roman" w:hAnsi="Times New Roman" w:cs="Times New Roman"/>
          <w:b/>
          <w:sz w:val="24"/>
          <w:szCs w:val="24"/>
        </w:rPr>
        <w:t>haracteristics</w:t>
      </w:r>
      <w:r w:rsidR="00DA16EC" w:rsidRPr="0052360E">
        <w:rPr>
          <w:rFonts w:ascii="Times New Roman" w:hAnsi="Times New Roman" w:cs="Times New Roman"/>
          <w:b/>
          <w:sz w:val="24"/>
          <w:szCs w:val="24"/>
        </w:rPr>
        <w:t xml:space="preserve"> </w:t>
      </w:r>
      <w:r w:rsidR="00B202C1" w:rsidRPr="0052360E">
        <w:rPr>
          <w:rFonts w:ascii="Times New Roman" w:hAnsi="Times New Roman" w:cs="Times New Roman"/>
          <w:b/>
          <w:sz w:val="24"/>
          <w:szCs w:val="24"/>
        </w:rPr>
        <w:t xml:space="preserve">and </w:t>
      </w:r>
      <w:r w:rsidR="00713B04" w:rsidRPr="0052360E">
        <w:rPr>
          <w:rFonts w:ascii="Times New Roman" w:hAnsi="Times New Roman" w:cs="Times New Roman"/>
          <w:b/>
          <w:sz w:val="24"/>
          <w:szCs w:val="24"/>
        </w:rPr>
        <w:t xml:space="preserve">follow-up </w:t>
      </w:r>
      <w:r w:rsidR="00B202C1" w:rsidRPr="0052360E">
        <w:rPr>
          <w:rFonts w:ascii="Times New Roman" w:hAnsi="Times New Roman" w:cs="Times New Roman"/>
          <w:b/>
          <w:sz w:val="24"/>
          <w:szCs w:val="24"/>
        </w:rPr>
        <w:t>iron biomarkers</w:t>
      </w:r>
      <w:r w:rsidR="00A9217D" w:rsidRPr="0052360E">
        <w:rPr>
          <w:rFonts w:ascii="Times New Roman" w:hAnsi="Times New Roman" w:cs="Times New Roman"/>
          <w:b/>
          <w:sz w:val="24"/>
          <w:szCs w:val="24"/>
        </w:rPr>
        <w:t xml:space="preserve"> </w:t>
      </w:r>
      <w:r w:rsidR="00B202C1" w:rsidRPr="0052360E">
        <w:rPr>
          <w:rFonts w:ascii="Times New Roman" w:hAnsi="Times New Roman" w:cs="Times New Roman"/>
          <w:b/>
          <w:sz w:val="24"/>
          <w:szCs w:val="24"/>
        </w:rPr>
        <w:t xml:space="preserve">in </w:t>
      </w:r>
      <w:r w:rsidR="00DA16EC" w:rsidRPr="0052360E">
        <w:rPr>
          <w:rFonts w:ascii="Times New Roman" w:hAnsi="Times New Roman" w:cs="Times New Roman"/>
          <w:b/>
          <w:sz w:val="24"/>
          <w:szCs w:val="24"/>
        </w:rPr>
        <w:t xml:space="preserve">women who became </w:t>
      </w:r>
      <w:r w:rsidR="00B202C1" w:rsidRPr="0052360E">
        <w:rPr>
          <w:rFonts w:ascii="Times New Roman" w:hAnsi="Times New Roman" w:cs="Times New Roman"/>
          <w:b/>
          <w:sz w:val="24"/>
          <w:szCs w:val="24"/>
        </w:rPr>
        <w:t>pregnan</w:t>
      </w:r>
      <w:r w:rsidR="00AD1D3F" w:rsidRPr="0052360E">
        <w:rPr>
          <w:rFonts w:ascii="Times New Roman" w:hAnsi="Times New Roman" w:cs="Times New Roman"/>
          <w:b/>
          <w:sz w:val="24"/>
          <w:szCs w:val="24"/>
        </w:rPr>
        <w:t>t</w:t>
      </w:r>
      <w:r w:rsidR="00713B04" w:rsidRPr="0052360E">
        <w:rPr>
          <w:rFonts w:ascii="Times New Roman" w:hAnsi="Times New Roman" w:cs="Times New Roman"/>
          <w:b/>
          <w:sz w:val="24"/>
          <w:szCs w:val="24"/>
        </w:rPr>
        <w:t xml:space="preserve"> </w:t>
      </w:r>
      <w:r w:rsidR="00D479F7" w:rsidRPr="0052360E">
        <w:rPr>
          <w:rFonts w:ascii="Times New Roman" w:hAnsi="Times New Roman" w:cs="Times New Roman"/>
          <w:b/>
          <w:sz w:val="24"/>
          <w:szCs w:val="24"/>
        </w:rPr>
        <w:t xml:space="preserve">   </w:t>
      </w:r>
      <w:r w:rsidR="00713B04" w:rsidRPr="0052360E">
        <w:rPr>
          <w:rFonts w:ascii="Times New Roman" w:hAnsi="Times New Roman" w:cs="Times New Roman"/>
          <w:b/>
          <w:sz w:val="24"/>
          <w:szCs w:val="24"/>
        </w:rPr>
        <w:t>(at ANC1 or ANC2)</w:t>
      </w:r>
      <w:r w:rsidR="00DA16EC" w:rsidRPr="0052360E">
        <w:rPr>
          <w:rFonts w:ascii="Times New Roman" w:hAnsi="Times New Roman" w:cs="Times New Roman"/>
          <w:b/>
          <w:sz w:val="24"/>
          <w:szCs w:val="24"/>
        </w:rPr>
        <w:t xml:space="preserve"> or remained</w:t>
      </w:r>
      <w:r w:rsidR="00C15AE3" w:rsidRPr="0052360E">
        <w:rPr>
          <w:rFonts w:ascii="Times New Roman" w:hAnsi="Times New Roman" w:cs="Times New Roman"/>
          <w:b/>
          <w:sz w:val="24"/>
          <w:szCs w:val="24"/>
        </w:rPr>
        <w:t xml:space="preserve"> </w:t>
      </w:r>
      <w:r w:rsidR="00B202C1" w:rsidRPr="0052360E">
        <w:rPr>
          <w:rFonts w:ascii="Times New Roman" w:hAnsi="Times New Roman" w:cs="Times New Roman"/>
          <w:b/>
          <w:sz w:val="24"/>
          <w:szCs w:val="24"/>
        </w:rPr>
        <w:t xml:space="preserve">non-pregnant </w:t>
      </w:r>
      <w:r w:rsidR="00713B04" w:rsidRPr="0052360E">
        <w:rPr>
          <w:rFonts w:ascii="Times New Roman" w:hAnsi="Times New Roman" w:cs="Times New Roman"/>
          <w:b/>
          <w:sz w:val="24"/>
          <w:szCs w:val="24"/>
        </w:rPr>
        <w:t>(at end assessment)</w:t>
      </w:r>
    </w:p>
    <w:tbl>
      <w:tblPr>
        <w:tblW w:w="10206" w:type="dxa"/>
        <w:tblInd w:w="284" w:type="dxa"/>
        <w:tblLayout w:type="fixed"/>
        <w:tblLook w:val="04A0" w:firstRow="1" w:lastRow="0" w:firstColumn="1" w:lastColumn="0" w:noHBand="0" w:noVBand="1"/>
      </w:tblPr>
      <w:tblGrid>
        <w:gridCol w:w="2551"/>
        <w:gridCol w:w="2694"/>
        <w:gridCol w:w="2126"/>
        <w:gridCol w:w="2835"/>
      </w:tblGrid>
      <w:tr w:rsidR="007D5607" w:rsidRPr="0052360E" w14:paraId="3DBCB0CF" w14:textId="1040FB7A" w:rsidTr="00A428A9">
        <w:trPr>
          <w:trHeight w:val="300"/>
        </w:trPr>
        <w:tc>
          <w:tcPr>
            <w:tcW w:w="5245" w:type="dxa"/>
            <w:gridSpan w:val="2"/>
            <w:tcBorders>
              <w:top w:val="single" w:sz="4" w:space="0" w:color="auto"/>
              <w:left w:val="nil"/>
              <w:right w:val="nil"/>
            </w:tcBorders>
            <w:shd w:val="clear" w:color="auto" w:fill="auto"/>
            <w:noWrap/>
            <w:hideMark/>
          </w:tcPr>
          <w:p w14:paraId="44DFAF44" w14:textId="26AE5832" w:rsidR="007D5607" w:rsidRPr="0052360E" w:rsidRDefault="007D5607" w:rsidP="00A37255">
            <w:pPr>
              <w:spacing w:after="0" w:line="276" w:lineRule="auto"/>
              <w:jc w:val="center"/>
              <w:rPr>
                <w:rFonts w:ascii="Times New Roman" w:eastAsia="Times New Roman" w:hAnsi="Times New Roman" w:cs="Times New Roman"/>
                <w:b/>
                <w:color w:val="000000"/>
                <w:sz w:val="24"/>
                <w:szCs w:val="24"/>
                <w:vertAlign w:val="superscript"/>
                <w:lang w:eastAsia="en-GB"/>
              </w:rPr>
            </w:pPr>
            <w:r w:rsidRPr="0052360E">
              <w:rPr>
                <w:rFonts w:ascii="Times New Roman" w:eastAsia="Times New Roman" w:hAnsi="Times New Roman" w:cs="Times New Roman"/>
                <w:b/>
                <w:color w:val="000000"/>
                <w:sz w:val="24"/>
                <w:szCs w:val="24"/>
                <w:lang w:eastAsia="en-GB"/>
              </w:rPr>
              <w:t xml:space="preserve">Variable </w:t>
            </w:r>
            <w:r w:rsidRPr="0052360E">
              <w:rPr>
                <w:rFonts w:ascii="Times New Roman" w:eastAsia="Times New Roman" w:hAnsi="Times New Roman" w:cs="Times New Roman"/>
                <w:b/>
                <w:color w:val="000000"/>
                <w:sz w:val="24"/>
                <w:szCs w:val="24"/>
                <w:vertAlign w:val="superscript"/>
                <w:lang w:eastAsia="en-GB"/>
              </w:rPr>
              <w:t>1</w:t>
            </w:r>
          </w:p>
        </w:tc>
        <w:tc>
          <w:tcPr>
            <w:tcW w:w="2126" w:type="dxa"/>
            <w:tcBorders>
              <w:top w:val="single" w:sz="4" w:space="0" w:color="auto"/>
              <w:left w:val="nil"/>
              <w:right w:val="nil"/>
            </w:tcBorders>
            <w:shd w:val="clear" w:color="auto" w:fill="auto"/>
            <w:noWrap/>
            <w:hideMark/>
          </w:tcPr>
          <w:p w14:paraId="56707685" w14:textId="63C1A9D1" w:rsidR="00DA16EC" w:rsidRPr="0052360E" w:rsidRDefault="00DA16EC" w:rsidP="00A428A9">
            <w:pPr>
              <w:spacing w:after="0" w:line="276" w:lineRule="auto"/>
              <w:jc w:val="center"/>
              <w:rPr>
                <w:rFonts w:ascii="Times New Roman" w:eastAsia="Times New Roman" w:hAnsi="Times New Roman" w:cs="Times New Roman"/>
                <w:b/>
                <w:color w:val="000000"/>
                <w:sz w:val="24"/>
                <w:szCs w:val="24"/>
                <w:lang w:eastAsia="en-GB"/>
              </w:rPr>
            </w:pPr>
            <w:r w:rsidRPr="0052360E">
              <w:rPr>
                <w:rFonts w:ascii="Times New Roman" w:eastAsia="Times New Roman" w:hAnsi="Times New Roman" w:cs="Times New Roman"/>
                <w:b/>
                <w:color w:val="000000"/>
                <w:sz w:val="24"/>
                <w:szCs w:val="24"/>
                <w:lang w:eastAsia="en-GB"/>
              </w:rPr>
              <w:t>Baseline</w:t>
            </w:r>
          </w:p>
          <w:p w14:paraId="24B3477C" w14:textId="332CCEE7" w:rsidR="007D5607" w:rsidRPr="0052360E" w:rsidRDefault="00DA16EC" w:rsidP="00A428A9">
            <w:pPr>
              <w:spacing w:after="0" w:line="276" w:lineRule="auto"/>
              <w:jc w:val="center"/>
              <w:rPr>
                <w:rFonts w:ascii="Times New Roman" w:eastAsia="Times New Roman" w:hAnsi="Times New Roman" w:cs="Times New Roman"/>
                <w:b/>
                <w:color w:val="000000"/>
                <w:sz w:val="24"/>
                <w:szCs w:val="24"/>
                <w:lang w:eastAsia="en-GB"/>
              </w:rPr>
            </w:pPr>
            <w:r w:rsidRPr="0052360E">
              <w:rPr>
                <w:rFonts w:ascii="Times New Roman" w:eastAsia="Times New Roman" w:hAnsi="Times New Roman" w:cs="Times New Roman"/>
                <w:b/>
                <w:color w:val="000000"/>
                <w:sz w:val="24"/>
                <w:szCs w:val="24"/>
                <w:lang w:eastAsia="en-GB"/>
              </w:rPr>
              <w:t>Became pregnant</w:t>
            </w:r>
          </w:p>
        </w:tc>
        <w:tc>
          <w:tcPr>
            <w:tcW w:w="2835" w:type="dxa"/>
            <w:tcBorders>
              <w:top w:val="single" w:sz="4" w:space="0" w:color="auto"/>
              <w:left w:val="nil"/>
              <w:right w:val="nil"/>
            </w:tcBorders>
            <w:shd w:val="clear" w:color="auto" w:fill="auto"/>
            <w:noWrap/>
            <w:hideMark/>
          </w:tcPr>
          <w:p w14:paraId="7C3D4E54" w14:textId="179C99E9" w:rsidR="00A428A9" w:rsidRPr="0052360E" w:rsidRDefault="00DA16EC" w:rsidP="00A428A9">
            <w:pPr>
              <w:spacing w:after="0" w:line="276" w:lineRule="auto"/>
              <w:ind w:left="1027" w:hanging="1027"/>
              <w:jc w:val="center"/>
              <w:rPr>
                <w:rFonts w:ascii="Times New Roman" w:eastAsia="Times New Roman" w:hAnsi="Times New Roman" w:cs="Times New Roman"/>
                <w:b/>
                <w:color w:val="000000"/>
                <w:sz w:val="24"/>
                <w:szCs w:val="24"/>
                <w:lang w:eastAsia="en-GB"/>
              </w:rPr>
            </w:pPr>
            <w:r w:rsidRPr="0052360E">
              <w:rPr>
                <w:rFonts w:ascii="Times New Roman" w:eastAsia="Times New Roman" w:hAnsi="Times New Roman" w:cs="Times New Roman"/>
                <w:b/>
                <w:color w:val="000000"/>
                <w:sz w:val="24"/>
                <w:szCs w:val="24"/>
                <w:lang w:eastAsia="en-GB"/>
              </w:rPr>
              <w:t>Baseline</w:t>
            </w:r>
          </w:p>
          <w:p w14:paraId="406A0132" w14:textId="56F2EAD8" w:rsidR="007D5607" w:rsidRPr="0052360E" w:rsidRDefault="00DA16EC" w:rsidP="00A428A9">
            <w:pPr>
              <w:spacing w:after="0" w:line="276" w:lineRule="auto"/>
              <w:ind w:left="1027" w:hanging="1027"/>
              <w:jc w:val="center"/>
              <w:rPr>
                <w:rFonts w:ascii="Times New Roman" w:eastAsia="Times New Roman" w:hAnsi="Times New Roman" w:cs="Times New Roman"/>
                <w:b/>
                <w:color w:val="000000"/>
                <w:sz w:val="24"/>
                <w:szCs w:val="24"/>
                <w:lang w:eastAsia="en-GB"/>
              </w:rPr>
            </w:pPr>
            <w:r w:rsidRPr="0052360E">
              <w:rPr>
                <w:rFonts w:ascii="Times New Roman" w:eastAsia="Times New Roman" w:hAnsi="Times New Roman" w:cs="Times New Roman"/>
                <w:b/>
                <w:color w:val="000000"/>
                <w:sz w:val="24"/>
                <w:szCs w:val="24"/>
                <w:lang w:eastAsia="en-GB"/>
              </w:rPr>
              <w:t>Remained non-pregna</w:t>
            </w:r>
            <w:r w:rsidR="008C3B79" w:rsidRPr="0052360E">
              <w:rPr>
                <w:rFonts w:ascii="Times New Roman" w:eastAsia="Times New Roman" w:hAnsi="Times New Roman" w:cs="Times New Roman"/>
                <w:b/>
                <w:color w:val="000000"/>
                <w:sz w:val="24"/>
                <w:szCs w:val="24"/>
                <w:lang w:eastAsia="en-GB"/>
              </w:rPr>
              <w:t>n</w:t>
            </w:r>
            <w:r w:rsidRPr="0052360E">
              <w:rPr>
                <w:rFonts w:ascii="Times New Roman" w:eastAsia="Times New Roman" w:hAnsi="Times New Roman" w:cs="Times New Roman"/>
                <w:b/>
                <w:color w:val="000000"/>
                <w:sz w:val="24"/>
                <w:szCs w:val="24"/>
                <w:lang w:eastAsia="en-GB"/>
              </w:rPr>
              <w:t>t</w:t>
            </w:r>
          </w:p>
        </w:tc>
      </w:tr>
      <w:tr w:rsidR="007D5607" w:rsidRPr="0052360E" w14:paraId="39A85EDA" w14:textId="0FAC69AA" w:rsidTr="00A37255">
        <w:trPr>
          <w:trHeight w:val="300"/>
        </w:trPr>
        <w:tc>
          <w:tcPr>
            <w:tcW w:w="5245" w:type="dxa"/>
            <w:gridSpan w:val="2"/>
            <w:tcBorders>
              <w:left w:val="nil"/>
              <w:bottom w:val="single" w:sz="4" w:space="0" w:color="auto"/>
              <w:right w:val="nil"/>
            </w:tcBorders>
            <w:shd w:val="clear" w:color="auto" w:fill="auto"/>
            <w:noWrap/>
            <w:vAlign w:val="bottom"/>
            <w:hideMark/>
          </w:tcPr>
          <w:p w14:paraId="0AD7C048" w14:textId="77777777" w:rsidR="007D5607" w:rsidRPr="0052360E" w:rsidRDefault="007D5607" w:rsidP="008C59EA">
            <w:pPr>
              <w:spacing w:after="0" w:line="276" w:lineRule="auto"/>
              <w:rPr>
                <w:rFonts w:ascii="Times New Roman" w:eastAsia="Times New Roman" w:hAnsi="Times New Roman" w:cs="Times New Roman"/>
                <w:b/>
                <w:color w:val="000000"/>
                <w:lang w:eastAsia="en-GB"/>
              </w:rPr>
            </w:pPr>
          </w:p>
        </w:tc>
        <w:tc>
          <w:tcPr>
            <w:tcW w:w="2126" w:type="dxa"/>
            <w:tcBorders>
              <w:left w:val="nil"/>
              <w:bottom w:val="single" w:sz="4" w:space="0" w:color="auto"/>
              <w:right w:val="nil"/>
            </w:tcBorders>
            <w:shd w:val="clear" w:color="auto" w:fill="auto"/>
            <w:noWrap/>
            <w:vAlign w:val="bottom"/>
            <w:hideMark/>
          </w:tcPr>
          <w:p w14:paraId="11F83DC9" w14:textId="2B7A1020" w:rsidR="007D5607" w:rsidRPr="0052360E" w:rsidRDefault="007D5607" w:rsidP="008C59EA">
            <w:pPr>
              <w:spacing w:after="0" w:line="276" w:lineRule="auto"/>
              <w:jc w:val="center"/>
              <w:rPr>
                <w:rFonts w:ascii="Times New Roman" w:eastAsia="Times New Roman" w:hAnsi="Times New Roman" w:cs="Times New Roman"/>
                <w:b/>
                <w:color w:val="000000"/>
                <w:vertAlign w:val="superscript"/>
                <w:lang w:eastAsia="en-GB"/>
              </w:rPr>
            </w:pPr>
            <w:r w:rsidRPr="0052360E">
              <w:rPr>
                <w:rFonts w:ascii="Times New Roman" w:eastAsia="Times New Roman" w:hAnsi="Times New Roman" w:cs="Times New Roman"/>
                <w:b/>
                <w:color w:val="000000"/>
                <w:lang w:eastAsia="en-GB"/>
              </w:rPr>
              <w:t xml:space="preserve">n=303 </w:t>
            </w:r>
          </w:p>
        </w:tc>
        <w:tc>
          <w:tcPr>
            <w:tcW w:w="2835" w:type="dxa"/>
            <w:tcBorders>
              <w:left w:val="nil"/>
              <w:bottom w:val="single" w:sz="4" w:space="0" w:color="auto"/>
              <w:right w:val="nil"/>
            </w:tcBorders>
            <w:shd w:val="clear" w:color="auto" w:fill="auto"/>
            <w:noWrap/>
            <w:vAlign w:val="bottom"/>
            <w:hideMark/>
          </w:tcPr>
          <w:p w14:paraId="7B670143" w14:textId="04C973BF" w:rsidR="007D5607" w:rsidRPr="0052360E" w:rsidRDefault="007D5607" w:rsidP="008C59EA">
            <w:pPr>
              <w:spacing w:after="0" w:line="276" w:lineRule="auto"/>
              <w:jc w:val="center"/>
              <w:rPr>
                <w:rFonts w:ascii="Times New Roman" w:eastAsia="Times New Roman" w:hAnsi="Times New Roman" w:cs="Times New Roman"/>
                <w:b/>
                <w:color w:val="000000"/>
                <w:lang w:eastAsia="en-GB"/>
              </w:rPr>
            </w:pPr>
            <w:r w:rsidRPr="0052360E">
              <w:rPr>
                <w:rFonts w:ascii="Times New Roman" w:eastAsia="Times New Roman" w:hAnsi="Times New Roman" w:cs="Times New Roman"/>
                <w:b/>
                <w:color w:val="000000"/>
                <w:lang w:eastAsia="en-GB"/>
              </w:rPr>
              <w:t xml:space="preserve">n=712 </w:t>
            </w:r>
          </w:p>
        </w:tc>
      </w:tr>
      <w:tr w:rsidR="007D5607" w:rsidRPr="0052360E" w14:paraId="529EEBAF" w14:textId="12BC0B81" w:rsidTr="00A37255">
        <w:trPr>
          <w:trHeight w:val="300"/>
        </w:trPr>
        <w:tc>
          <w:tcPr>
            <w:tcW w:w="7371" w:type="dxa"/>
            <w:gridSpan w:val="3"/>
            <w:tcBorders>
              <w:top w:val="nil"/>
              <w:left w:val="nil"/>
              <w:bottom w:val="nil"/>
              <w:right w:val="nil"/>
            </w:tcBorders>
            <w:shd w:val="clear" w:color="auto" w:fill="auto"/>
            <w:noWrap/>
            <w:hideMark/>
          </w:tcPr>
          <w:p w14:paraId="0B4BA040" w14:textId="69D7DEC5" w:rsidR="007D5607" w:rsidRPr="0052360E" w:rsidRDefault="007D5607" w:rsidP="008D16BD">
            <w:pPr>
              <w:spacing w:before="240" w:after="0" w:line="276" w:lineRule="auto"/>
              <w:rPr>
                <w:rFonts w:ascii="Times New Roman" w:eastAsia="Times New Roman" w:hAnsi="Times New Roman" w:cs="Times New Roman"/>
                <w:b/>
                <w:color w:val="000000"/>
                <w:sz w:val="24"/>
                <w:szCs w:val="24"/>
                <w:lang w:eastAsia="en-GB"/>
              </w:rPr>
            </w:pPr>
            <w:r w:rsidRPr="0052360E">
              <w:rPr>
                <w:rFonts w:ascii="Times New Roman" w:eastAsia="Times New Roman" w:hAnsi="Times New Roman" w:cs="Times New Roman"/>
                <w:b/>
                <w:color w:val="000000"/>
                <w:sz w:val="24"/>
                <w:szCs w:val="24"/>
                <w:lang w:eastAsia="en-GB"/>
              </w:rPr>
              <w:t xml:space="preserve">Demographics </w:t>
            </w:r>
            <w:r w:rsidRPr="0052360E">
              <w:rPr>
                <w:rFonts w:ascii="Times New Roman" w:eastAsia="Times New Roman" w:hAnsi="Times New Roman" w:cs="Times New Roman"/>
                <w:b/>
                <w:sz w:val="24"/>
                <w:szCs w:val="24"/>
                <w:lang w:eastAsia="en-GB"/>
              </w:rPr>
              <w:t>and medical history</w:t>
            </w:r>
            <w:r w:rsidR="00DA16EC" w:rsidRPr="0052360E">
              <w:rPr>
                <w:rFonts w:ascii="Times New Roman" w:eastAsia="Times New Roman" w:hAnsi="Times New Roman" w:cs="Times New Roman"/>
                <w:b/>
                <w:sz w:val="24"/>
                <w:szCs w:val="24"/>
                <w:lang w:eastAsia="en-GB"/>
              </w:rPr>
              <w:t xml:space="preserve">                                 </w:t>
            </w:r>
          </w:p>
        </w:tc>
        <w:tc>
          <w:tcPr>
            <w:tcW w:w="2835" w:type="dxa"/>
            <w:tcBorders>
              <w:top w:val="nil"/>
              <w:left w:val="nil"/>
              <w:bottom w:val="nil"/>
              <w:right w:val="nil"/>
            </w:tcBorders>
            <w:shd w:val="clear" w:color="auto" w:fill="auto"/>
            <w:noWrap/>
            <w:hideMark/>
          </w:tcPr>
          <w:p w14:paraId="6F4F5C90" w14:textId="77777777" w:rsidR="007D5607" w:rsidRPr="0052360E" w:rsidRDefault="007D5607" w:rsidP="00A37255">
            <w:pPr>
              <w:spacing w:before="240" w:after="0" w:line="276" w:lineRule="auto"/>
              <w:rPr>
                <w:rFonts w:ascii="Calibri" w:eastAsia="Times New Roman" w:hAnsi="Calibri" w:cs="Times New Roman"/>
                <w:color w:val="000000"/>
                <w:sz w:val="24"/>
                <w:szCs w:val="24"/>
                <w:lang w:eastAsia="en-GB"/>
              </w:rPr>
            </w:pPr>
          </w:p>
        </w:tc>
      </w:tr>
      <w:tr w:rsidR="007D5607" w:rsidRPr="0052360E" w14:paraId="107B4617" w14:textId="77E98CAB" w:rsidTr="00C72C0B">
        <w:trPr>
          <w:trHeight w:val="80"/>
        </w:trPr>
        <w:tc>
          <w:tcPr>
            <w:tcW w:w="5245" w:type="dxa"/>
            <w:gridSpan w:val="2"/>
            <w:tcBorders>
              <w:top w:val="nil"/>
              <w:left w:val="nil"/>
              <w:bottom w:val="nil"/>
              <w:right w:val="nil"/>
            </w:tcBorders>
            <w:shd w:val="clear" w:color="auto" w:fill="auto"/>
            <w:noWrap/>
            <w:vAlign w:val="bottom"/>
            <w:hideMark/>
          </w:tcPr>
          <w:p w14:paraId="35C47DA7" w14:textId="6D411938" w:rsidR="007D5607" w:rsidRPr="0052360E" w:rsidRDefault="007D560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 xml:space="preserve">Mean age at visit, years  </w:t>
            </w:r>
          </w:p>
        </w:tc>
        <w:tc>
          <w:tcPr>
            <w:tcW w:w="2126" w:type="dxa"/>
            <w:tcBorders>
              <w:top w:val="nil"/>
              <w:left w:val="nil"/>
              <w:bottom w:val="nil"/>
              <w:right w:val="nil"/>
            </w:tcBorders>
            <w:shd w:val="clear" w:color="auto" w:fill="auto"/>
            <w:noWrap/>
            <w:vAlign w:val="bottom"/>
            <w:hideMark/>
          </w:tcPr>
          <w:p w14:paraId="4E154AC8" w14:textId="77777777" w:rsidR="007D5607" w:rsidRPr="0052360E" w:rsidRDefault="007D5607" w:rsidP="008C59EA">
            <w:pPr>
              <w:spacing w:after="0" w:line="276" w:lineRule="auto"/>
              <w:ind w:left="34"/>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17.0 (16.0-18.0)</w:t>
            </w:r>
          </w:p>
        </w:tc>
        <w:tc>
          <w:tcPr>
            <w:tcW w:w="2835" w:type="dxa"/>
            <w:tcBorders>
              <w:top w:val="nil"/>
              <w:left w:val="nil"/>
              <w:bottom w:val="nil"/>
              <w:right w:val="nil"/>
            </w:tcBorders>
            <w:shd w:val="clear" w:color="auto" w:fill="auto"/>
            <w:noWrap/>
            <w:vAlign w:val="bottom"/>
            <w:hideMark/>
          </w:tcPr>
          <w:p w14:paraId="21E2AFB4" w14:textId="50E47F33" w:rsidR="007D5607" w:rsidRPr="0052360E" w:rsidRDefault="007D5607" w:rsidP="00A37255">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16.0 (15.0-17.0)</w:t>
            </w:r>
          </w:p>
        </w:tc>
      </w:tr>
      <w:tr w:rsidR="00725215" w:rsidRPr="0052360E" w14:paraId="1AB2E486" w14:textId="77777777" w:rsidTr="00A37255">
        <w:trPr>
          <w:trHeight w:val="300"/>
        </w:trPr>
        <w:tc>
          <w:tcPr>
            <w:tcW w:w="5245" w:type="dxa"/>
            <w:gridSpan w:val="2"/>
            <w:tcBorders>
              <w:top w:val="nil"/>
              <w:left w:val="nil"/>
              <w:bottom w:val="nil"/>
              <w:right w:val="nil"/>
            </w:tcBorders>
            <w:shd w:val="clear" w:color="auto" w:fill="auto"/>
            <w:noWrap/>
            <w:vAlign w:val="bottom"/>
          </w:tcPr>
          <w:p w14:paraId="595E29E7" w14:textId="056F427B" w:rsidR="00725215" w:rsidRPr="0052360E" w:rsidRDefault="00725215" w:rsidP="00725215">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sz w:val="24"/>
                <w:szCs w:val="24"/>
                <w:lang w:eastAsia="en-GB"/>
              </w:rPr>
              <w:t>Menarcheal at baseline (%)</w:t>
            </w:r>
          </w:p>
        </w:tc>
        <w:tc>
          <w:tcPr>
            <w:tcW w:w="2126" w:type="dxa"/>
            <w:tcBorders>
              <w:top w:val="nil"/>
              <w:left w:val="nil"/>
              <w:bottom w:val="nil"/>
              <w:right w:val="nil"/>
            </w:tcBorders>
            <w:shd w:val="clear" w:color="auto" w:fill="auto"/>
            <w:noWrap/>
            <w:vAlign w:val="bottom"/>
          </w:tcPr>
          <w:p w14:paraId="0C7A57BE" w14:textId="561355B3" w:rsidR="00725215" w:rsidRPr="0052360E" w:rsidRDefault="00725215" w:rsidP="00725215">
            <w:pPr>
              <w:spacing w:after="0" w:line="276" w:lineRule="auto"/>
              <w:ind w:left="34"/>
              <w:jc w:val="center"/>
              <w:rPr>
                <w:rFonts w:ascii="Times New Roman" w:eastAsia="Times New Roman" w:hAnsi="Times New Roman" w:cs="Times New Roman"/>
                <w:color w:val="000000"/>
                <w:lang w:eastAsia="en-GB"/>
              </w:rPr>
            </w:pPr>
            <w:r w:rsidRPr="0052360E">
              <w:rPr>
                <w:rFonts w:ascii="Times New Roman" w:hAnsi="Times New Roman" w:cs="Times New Roman"/>
              </w:rPr>
              <w:t>282/303 (93.1)</w:t>
            </w:r>
          </w:p>
        </w:tc>
        <w:tc>
          <w:tcPr>
            <w:tcW w:w="2835" w:type="dxa"/>
            <w:tcBorders>
              <w:top w:val="nil"/>
              <w:left w:val="nil"/>
              <w:bottom w:val="nil"/>
              <w:right w:val="nil"/>
            </w:tcBorders>
            <w:shd w:val="clear" w:color="auto" w:fill="auto"/>
            <w:noWrap/>
            <w:vAlign w:val="bottom"/>
          </w:tcPr>
          <w:p w14:paraId="4C84B8D0" w14:textId="25418A77" w:rsidR="00725215" w:rsidRPr="0052360E" w:rsidRDefault="00725215" w:rsidP="00725215">
            <w:pPr>
              <w:spacing w:after="0" w:line="276" w:lineRule="auto"/>
              <w:jc w:val="center"/>
              <w:rPr>
                <w:rFonts w:ascii="Times New Roman" w:eastAsia="Times New Roman" w:hAnsi="Times New Roman" w:cs="Times New Roman"/>
                <w:lang w:eastAsia="en-GB"/>
              </w:rPr>
            </w:pPr>
            <w:r w:rsidRPr="0052360E">
              <w:rPr>
                <w:rFonts w:ascii="Times New Roman" w:hAnsi="Times New Roman" w:cs="Times New Roman"/>
              </w:rPr>
              <w:t>544/712 (76.4)</w:t>
            </w:r>
          </w:p>
        </w:tc>
      </w:tr>
      <w:tr w:rsidR="007D5607" w:rsidRPr="0052360E" w14:paraId="3A41EEA9" w14:textId="03F0CDEB" w:rsidTr="00A37255">
        <w:trPr>
          <w:trHeight w:val="300"/>
        </w:trPr>
        <w:tc>
          <w:tcPr>
            <w:tcW w:w="5245" w:type="dxa"/>
            <w:gridSpan w:val="2"/>
            <w:tcBorders>
              <w:top w:val="nil"/>
              <w:left w:val="nil"/>
              <w:bottom w:val="nil"/>
              <w:right w:val="nil"/>
            </w:tcBorders>
            <w:shd w:val="clear" w:color="auto" w:fill="auto"/>
            <w:noWrap/>
            <w:hideMark/>
          </w:tcPr>
          <w:p w14:paraId="6268E5C4" w14:textId="2D66251C" w:rsidR="007D5607" w:rsidRPr="0052360E" w:rsidRDefault="007D5607" w:rsidP="008D16BD">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Mean reproductive age (if menarcheal), years</w:t>
            </w:r>
          </w:p>
        </w:tc>
        <w:tc>
          <w:tcPr>
            <w:tcW w:w="2126" w:type="dxa"/>
            <w:tcBorders>
              <w:top w:val="nil"/>
              <w:left w:val="nil"/>
              <w:bottom w:val="nil"/>
              <w:right w:val="nil"/>
            </w:tcBorders>
            <w:shd w:val="clear" w:color="auto" w:fill="auto"/>
            <w:noWrap/>
            <w:vAlign w:val="bottom"/>
            <w:hideMark/>
          </w:tcPr>
          <w:p w14:paraId="59005BFD" w14:textId="77777777" w:rsidR="008C3B79" w:rsidRPr="0052360E" w:rsidRDefault="007D5607" w:rsidP="00A37255">
            <w:pPr>
              <w:spacing w:after="0" w:line="240"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 xml:space="preserve">3.0 (2.0-4.0) </w:t>
            </w:r>
          </w:p>
          <w:p w14:paraId="6D436A0A" w14:textId="26F9D22A" w:rsidR="007D5607" w:rsidRPr="0052360E" w:rsidRDefault="007D5607" w:rsidP="00A37255">
            <w:pPr>
              <w:spacing w:after="0" w:line="240"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[1 missing]</w:t>
            </w:r>
          </w:p>
        </w:tc>
        <w:tc>
          <w:tcPr>
            <w:tcW w:w="2835" w:type="dxa"/>
            <w:tcBorders>
              <w:top w:val="nil"/>
              <w:left w:val="nil"/>
              <w:bottom w:val="nil"/>
              <w:right w:val="nil"/>
            </w:tcBorders>
            <w:shd w:val="clear" w:color="auto" w:fill="auto"/>
            <w:noWrap/>
            <w:hideMark/>
          </w:tcPr>
          <w:p w14:paraId="4E47F9AB" w14:textId="42AA6795" w:rsidR="007D5607" w:rsidRPr="0052360E" w:rsidRDefault="007D5607" w:rsidP="008D16BD">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3.0 (2.0-4.0)</w:t>
            </w:r>
          </w:p>
        </w:tc>
      </w:tr>
      <w:tr w:rsidR="007D5607" w:rsidRPr="0052360E" w14:paraId="02DD2969" w14:textId="69EF36AF" w:rsidTr="00A37255">
        <w:trPr>
          <w:trHeight w:val="300"/>
        </w:trPr>
        <w:tc>
          <w:tcPr>
            <w:tcW w:w="2551" w:type="dxa"/>
            <w:tcBorders>
              <w:top w:val="nil"/>
              <w:left w:val="nil"/>
              <w:bottom w:val="nil"/>
              <w:right w:val="nil"/>
            </w:tcBorders>
            <w:shd w:val="clear" w:color="auto" w:fill="auto"/>
            <w:noWrap/>
            <w:vAlign w:val="bottom"/>
            <w:hideMark/>
          </w:tcPr>
          <w:p w14:paraId="7716ECD8" w14:textId="46978F83" w:rsidR="007D5607" w:rsidRPr="0052360E" w:rsidRDefault="007D560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Education (%)</w:t>
            </w:r>
          </w:p>
        </w:tc>
        <w:tc>
          <w:tcPr>
            <w:tcW w:w="2694" w:type="dxa"/>
            <w:tcBorders>
              <w:top w:val="nil"/>
              <w:left w:val="nil"/>
              <w:bottom w:val="nil"/>
              <w:right w:val="nil"/>
            </w:tcBorders>
            <w:shd w:val="clear" w:color="auto" w:fill="auto"/>
            <w:vAlign w:val="bottom"/>
          </w:tcPr>
          <w:p w14:paraId="45891C65" w14:textId="77777777" w:rsidR="007D5607" w:rsidRPr="0052360E" w:rsidRDefault="007D5607" w:rsidP="008C59EA">
            <w:pPr>
              <w:spacing w:before="100" w:beforeAutospacing="1" w:after="0" w:line="276" w:lineRule="auto"/>
              <w:jc w:val="right"/>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No Schooling</w:t>
            </w:r>
          </w:p>
        </w:tc>
        <w:tc>
          <w:tcPr>
            <w:tcW w:w="2126" w:type="dxa"/>
            <w:tcBorders>
              <w:top w:val="nil"/>
              <w:left w:val="nil"/>
              <w:bottom w:val="nil"/>
              <w:right w:val="nil"/>
            </w:tcBorders>
            <w:shd w:val="clear" w:color="auto" w:fill="auto"/>
            <w:noWrap/>
            <w:vAlign w:val="bottom"/>
            <w:hideMark/>
          </w:tcPr>
          <w:p w14:paraId="38132755" w14:textId="77777777" w:rsidR="007D5607" w:rsidRPr="0052360E" w:rsidRDefault="007D5607" w:rsidP="008C59EA">
            <w:pPr>
              <w:spacing w:before="100" w:beforeAutospacing="1"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199/302 (65.9)</w:t>
            </w:r>
          </w:p>
        </w:tc>
        <w:tc>
          <w:tcPr>
            <w:tcW w:w="2835" w:type="dxa"/>
            <w:tcBorders>
              <w:top w:val="nil"/>
              <w:left w:val="nil"/>
              <w:bottom w:val="nil"/>
              <w:right w:val="nil"/>
            </w:tcBorders>
            <w:shd w:val="clear" w:color="auto" w:fill="auto"/>
            <w:noWrap/>
            <w:vAlign w:val="bottom"/>
            <w:hideMark/>
          </w:tcPr>
          <w:p w14:paraId="51D8BD26" w14:textId="1E5492C0" w:rsidR="007D5607" w:rsidRPr="0052360E" w:rsidRDefault="007D5607" w:rsidP="008C59EA">
            <w:pPr>
              <w:spacing w:before="100" w:beforeAutospacing="1"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377/709 (53.2)</w:t>
            </w:r>
          </w:p>
        </w:tc>
      </w:tr>
      <w:tr w:rsidR="007D5607" w:rsidRPr="0052360E" w14:paraId="767AA639" w14:textId="5A597871" w:rsidTr="00A37255">
        <w:trPr>
          <w:trHeight w:val="300"/>
        </w:trPr>
        <w:tc>
          <w:tcPr>
            <w:tcW w:w="2551" w:type="dxa"/>
            <w:tcBorders>
              <w:top w:val="nil"/>
              <w:left w:val="nil"/>
              <w:right w:val="nil"/>
            </w:tcBorders>
            <w:shd w:val="clear" w:color="auto" w:fill="auto"/>
            <w:noWrap/>
            <w:vAlign w:val="bottom"/>
          </w:tcPr>
          <w:p w14:paraId="798A4302" w14:textId="77777777" w:rsidR="007D5607" w:rsidRPr="0052360E" w:rsidRDefault="007D5607" w:rsidP="008C59EA">
            <w:pPr>
              <w:spacing w:after="0" w:line="276" w:lineRule="auto"/>
              <w:rPr>
                <w:rFonts w:ascii="Times New Roman" w:eastAsia="Times New Roman" w:hAnsi="Times New Roman" w:cs="Times New Roman"/>
                <w:color w:val="000000"/>
                <w:sz w:val="24"/>
                <w:szCs w:val="24"/>
                <w:lang w:eastAsia="en-GB"/>
              </w:rPr>
            </w:pPr>
          </w:p>
        </w:tc>
        <w:tc>
          <w:tcPr>
            <w:tcW w:w="2694" w:type="dxa"/>
            <w:tcBorders>
              <w:top w:val="nil"/>
              <w:left w:val="nil"/>
              <w:right w:val="nil"/>
            </w:tcBorders>
            <w:shd w:val="clear" w:color="auto" w:fill="auto"/>
            <w:vAlign w:val="bottom"/>
          </w:tcPr>
          <w:p w14:paraId="4839A7D4" w14:textId="77777777" w:rsidR="007D5607" w:rsidRPr="0052360E" w:rsidRDefault="007D5607" w:rsidP="008C59EA">
            <w:pPr>
              <w:spacing w:before="100" w:beforeAutospacing="1" w:after="0" w:line="276" w:lineRule="auto"/>
              <w:jc w:val="right"/>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Primary</w:t>
            </w:r>
          </w:p>
        </w:tc>
        <w:tc>
          <w:tcPr>
            <w:tcW w:w="2126" w:type="dxa"/>
            <w:tcBorders>
              <w:top w:val="nil"/>
              <w:left w:val="nil"/>
              <w:right w:val="nil"/>
            </w:tcBorders>
            <w:shd w:val="clear" w:color="auto" w:fill="auto"/>
            <w:noWrap/>
            <w:vAlign w:val="bottom"/>
            <w:hideMark/>
          </w:tcPr>
          <w:p w14:paraId="66E84369" w14:textId="03EE49E9" w:rsidR="007D5607" w:rsidRPr="0052360E" w:rsidRDefault="007D5607" w:rsidP="008C59EA">
            <w:pPr>
              <w:spacing w:before="100" w:beforeAutospacing="1"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 xml:space="preserve">  55/303 (18.2)</w:t>
            </w:r>
          </w:p>
        </w:tc>
        <w:tc>
          <w:tcPr>
            <w:tcW w:w="2835" w:type="dxa"/>
            <w:tcBorders>
              <w:top w:val="nil"/>
              <w:left w:val="nil"/>
              <w:right w:val="nil"/>
            </w:tcBorders>
            <w:shd w:val="clear" w:color="auto" w:fill="auto"/>
            <w:noWrap/>
            <w:vAlign w:val="bottom"/>
            <w:hideMark/>
          </w:tcPr>
          <w:p w14:paraId="776EF359" w14:textId="2D8E9E80" w:rsidR="007D5607" w:rsidRPr="0052360E" w:rsidRDefault="007D5607" w:rsidP="008C59EA">
            <w:pPr>
              <w:spacing w:before="100" w:beforeAutospacing="1"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166/712 (23.3)</w:t>
            </w:r>
          </w:p>
        </w:tc>
      </w:tr>
      <w:tr w:rsidR="007D5607" w:rsidRPr="0052360E" w14:paraId="4CF1E18E" w14:textId="6765328A" w:rsidTr="00A37255">
        <w:trPr>
          <w:trHeight w:val="300"/>
        </w:trPr>
        <w:tc>
          <w:tcPr>
            <w:tcW w:w="2551" w:type="dxa"/>
            <w:tcBorders>
              <w:top w:val="nil"/>
              <w:left w:val="nil"/>
              <w:right w:val="nil"/>
            </w:tcBorders>
            <w:shd w:val="clear" w:color="auto" w:fill="auto"/>
            <w:noWrap/>
            <w:vAlign w:val="bottom"/>
          </w:tcPr>
          <w:p w14:paraId="5A47D383" w14:textId="77777777" w:rsidR="007D5607" w:rsidRPr="0052360E" w:rsidRDefault="007D5607" w:rsidP="008C59EA">
            <w:pPr>
              <w:spacing w:after="0" w:line="276" w:lineRule="auto"/>
              <w:rPr>
                <w:rFonts w:ascii="Times New Roman" w:eastAsia="Times New Roman" w:hAnsi="Times New Roman" w:cs="Times New Roman"/>
                <w:color w:val="000000"/>
                <w:sz w:val="24"/>
                <w:szCs w:val="24"/>
                <w:lang w:eastAsia="en-GB"/>
              </w:rPr>
            </w:pPr>
          </w:p>
        </w:tc>
        <w:tc>
          <w:tcPr>
            <w:tcW w:w="2694" w:type="dxa"/>
            <w:tcBorders>
              <w:top w:val="nil"/>
              <w:left w:val="nil"/>
              <w:right w:val="nil"/>
            </w:tcBorders>
            <w:shd w:val="clear" w:color="auto" w:fill="auto"/>
            <w:vAlign w:val="bottom"/>
          </w:tcPr>
          <w:p w14:paraId="108A3DB5" w14:textId="3F69716D" w:rsidR="007D5607" w:rsidRPr="0052360E" w:rsidRDefault="007D5607" w:rsidP="008C59EA">
            <w:pPr>
              <w:spacing w:before="100" w:beforeAutospacing="1" w:after="0" w:line="276" w:lineRule="auto"/>
              <w:ind w:left="-372" w:hanging="161"/>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Lo      Lower/higher Secondary</w:t>
            </w:r>
          </w:p>
        </w:tc>
        <w:tc>
          <w:tcPr>
            <w:tcW w:w="2126" w:type="dxa"/>
            <w:tcBorders>
              <w:top w:val="nil"/>
              <w:left w:val="nil"/>
              <w:right w:val="nil"/>
            </w:tcBorders>
            <w:shd w:val="clear" w:color="auto" w:fill="auto"/>
            <w:noWrap/>
            <w:vAlign w:val="bottom"/>
            <w:hideMark/>
          </w:tcPr>
          <w:p w14:paraId="226DF88F" w14:textId="3B3602DE" w:rsidR="007D5607" w:rsidRPr="0052360E" w:rsidRDefault="007D5607" w:rsidP="008C59EA">
            <w:pPr>
              <w:spacing w:before="100" w:beforeAutospacing="1"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 xml:space="preserve">  48/302 (15.9)</w:t>
            </w:r>
          </w:p>
        </w:tc>
        <w:tc>
          <w:tcPr>
            <w:tcW w:w="2835" w:type="dxa"/>
            <w:tcBorders>
              <w:top w:val="nil"/>
              <w:left w:val="nil"/>
              <w:right w:val="nil"/>
            </w:tcBorders>
            <w:shd w:val="clear" w:color="auto" w:fill="auto"/>
            <w:noWrap/>
            <w:vAlign w:val="bottom"/>
            <w:hideMark/>
          </w:tcPr>
          <w:p w14:paraId="6FE55B71" w14:textId="53636AAB" w:rsidR="007D5607" w:rsidRPr="0052360E" w:rsidRDefault="007D5607" w:rsidP="008C59EA">
            <w:pPr>
              <w:spacing w:before="100" w:beforeAutospacing="1"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166/709 (23.4)</w:t>
            </w:r>
          </w:p>
        </w:tc>
      </w:tr>
      <w:tr w:rsidR="007D5607" w:rsidRPr="0052360E" w14:paraId="561BA8A4" w14:textId="696D37E0" w:rsidTr="00A37255">
        <w:trPr>
          <w:trHeight w:val="283"/>
        </w:trPr>
        <w:tc>
          <w:tcPr>
            <w:tcW w:w="2551" w:type="dxa"/>
            <w:tcBorders>
              <w:left w:val="nil"/>
              <w:right w:val="nil"/>
            </w:tcBorders>
            <w:shd w:val="clear" w:color="auto" w:fill="auto"/>
            <w:noWrap/>
            <w:vAlign w:val="bottom"/>
            <w:hideMark/>
          </w:tcPr>
          <w:p w14:paraId="033DFD09" w14:textId="33AB9634" w:rsidR="007D5607" w:rsidRPr="0052360E" w:rsidRDefault="007D560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Drinks Alcohol (%)</w:t>
            </w:r>
          </w:p>
        </w:tc>
        <w:tc>
          <w:tcPr>
            <w:tcW w:w="2694" w:type="dxa"/>
            <w:tcBorders>
              <w:left w:val="nil"/>
              <w:right w:val="nil"/>
            </w:tcBorders>
            <w:shd w:val="clear" w:color="auto" w:fill="auto"/>
            <w:vAlign w:val="bottom"/>
          </w:tcPr>
          <w:p w14:paraId="145BD1D8" w14:textId="4413015A" w:rsidR="007D5607" w:rsidRPr="0052360E" w:rsidRDefault="007D5607" w:rsidP="008C59EA">
            <w:pPr>
              <w:spacing w:after="0" w:line="276" w:lineRule="auto"/>
              <w:jc w:val="right"/>
              <w:rPr>
                <w:rFonts w:ascii="Times New Roman" w:eastAsia="Times New Roman" w:hAnsi="Times New Roman" w:cs="Times New Roman"/>
                <w:color w:val="000000"/>
                <w:sz w:val="24"/>
                <w:szCs w:val="24"/>
                <w:lang w:eastAsia="en-GB"/>
              </w:rPr>
            </w:pPr>
          </w:p>
        </w:tc>
        <w:tc>
          <w:tcPr>
            <w:tcW w:w="2126" w:type="dxa"/>
            <w:tcBorders>
              <w:left w:val="nil"/>
              <w:right w:val="nil"/>
            </w:tcBorders>
            <w:shd w:val="clear" w:color="auto" w:fill="auto"/>
            <w:noWrap/>
            <w:vAlign w:val="bottom"/>
            <w:hideMark/>
          </w:tcPr>
          <w:p w14:paraId="218E10EE" w14:textId="77777777" w:rsidR="007D5607" w:rsidRPr="0052360E" w:rsidRDefault="007D5607" w:rsidP="008C59EA">
            <w:pPr>
              <w:spacing w:after="0" w:line="276" w:lineRule="auto"/>
              <w:jc w:val="center"/>
              <w:rPr>
                <w:rFonts w:ascii="Times New Roman" w:hAnsi="Times New Roman" w:cs="Times New Roman"/>
                <w:color w:val="000000"/>
              </w:rPr>
            </w:pPr>
            <w:r w:rsidRPr="0052360E">
              <w:rPr>
                <w:rFonts w:ascii="Times New Roman" w:hAnsi="Times New Roman" w:cs="Times New Roman"/>
                <w:color w:val="000000"/>
              </w:rPr>
              <w:t>166/303 (54.8)</w:t>
            </w:r>
          </w:p>
        </w:tc>
        <w:tc>
          <w:tcPr>
            <w:tcW w:w="2835" w:type="dxa"/>
            <w:tcBorders>
              <w:left w:val="nil"/>
              <w:right w:val="nil"/>
            </w:tcBorders>
            <w:shd w:val="clear" w:color="auto" w:fill="auto"/>
            <w:noWrap/>
            <w:vAlign w:val="bottom"/>
            <w:hideMark/>
          </w:tcPr>
          <w:p w14:paraId="622C3C8C" w14:textId="27FFF79E" w:rsidR="007D5607" w:rsidRPr="0052360E" w:rsidRDefault="007D5607" w:rsidP="008C59EA">
            <w:pPr>
              <w:spacing w:after="0" w:line="276" w:lineRule="auto"/>
              <w:jc w:val="center"/>
              <w:rPr>
                <w:rFonts w:ascii="Times New Roman" w:hAnsi="Times New Roman" w:cs="Times New Roman"/>
                <w:color w:val="000000"/>
              </w:rPr>
            </w:pPr>
            <w:r w:rsidRPr="0052360E">
              <w:rPr>
                <w:rFonts w:ascii="Times New Roman" w:hAnsi="Times New Roman" w:cs="Times New Roman"/>
                <w:color w:val="000000"/>
              </w:rPr>
              <w:t xml:space="preserve"> 258/712 (36.2)</w:t>
            </w:r>
          </w:p>
        </w:tc>
      </w:tr>
      <w:tr w:rsidR="007D5607" w:rsidRPr="0052360E" w14:paraId="1207A604" w14:textId="559B7F30" w:rsidTr="00A37255">
        <w:trPr>
          <w:trHeight w:val="300"/>
        </w:trPr>
        <w:tc>
          <w:tcPr>
            <w:tcW w:w="2551" w:type="dxa"/>
            <w:tcBorders>
              <w:left w:val="nil"/>
              <w:right w:val="nil"/>
            </w:tcBorders>
            <w:shd w:val="clear" w:color="auto" w:fill="auto"/>
            <w:noWrap/>
            <w:vAlign w:val="bottom"/>
          </w:tcPr>
          <w:p w14:paraId="7604D865" w14:textId="0526BF0E" w:rsidR="007D5607" w:rsidRPr="0052360E" w:rsidRDefault="007D560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Sexually Active (%)</w:t>
            </w:r>
          </w:p>
        </w:tc>
        <w:tc>
          <w:tcPr>
            <w:tcW w:w="2694" w:type="dxa"/>
            <w:tcBorders>
              <w:left w:val="nil"/>
              <w:right w:val="nil"/>
            </w:tcBorders>
            <w:shd w:val="clear" w:color="auto" w:fill="auto"/>
            <w:vAlign w:val="bottom"/>
          </w:tcPr>
          <w:p w14:paraId="79242308" w14:textId="228FDE1D" w:rsidR="007D5607" w:rsidRPr="0052360E" w:rsidRDefault="007D5607" w:rsidP="008C59EA">
            <w:pPr>
              <w:spacing w:after="0" w:line="276" w:lineRule="auto"/>
              <w:jc w:val="right"/>
              <w:rPr>
                <w:rFonts w:ascii="Times New Roman" w:eastAsia="Times New Roman" w:hAnsi="Times New Roman" w:cs="Times New Roman"/>
                <w:color w:val="000000"/>
                <w:sz w:val="24"/>
                <w:szCs w:val="24"/>
                <w:lang w:eastAsia="en-GB"/>
              </w:rPr>
            </w:pPr>
          </w:p>
        </w:tc>
        <w:tc>
          <w:tcPr>
            <w:tcW w:w="2126" w:type="dxa"/>
            <w:tcBorders>
              <w:top w:val="nil"/>
              <w:left w:val="nil"/>
              <w:right w:val="nil"/>
            </w:tcBorders>
            <w:shd w:val="clear" w:color="auto" w:fill="auto"/>
            <w:noWrap/>
            <w:vAlign w:val="bottom"/>
          </w:tcPr>
          <w:p w14:paraId="7A60ED7A" w14:textId="0D0F16C7" w:rsidR="007D5607" w:rsidRPr="0052360E" w:rsidRDefault="007D5607" w:rsidP="008C59EA">
            <w:pPr>
              <w:spacing w:after="0" w:line="276" w:lineRule="auto"/>
              <w:jc w:val="center"/>
              <w:rPr>
                <w:rFonts w:ascii="Times New Roman" w:hAnsi="Times New Roman" w:cs="Times New Roman"/>
                <w:color w:val="000000"/>
              </w:rPr>
            </w:pPr>
            <w:r w:rsidRPr="0052360E">
              <w:rPr>
                <w:rFonts w:ascii="Times New Roman" w:eastAsia="Times New Roman" w:hAnsi="Times New Roman" w:cs="Times New Roman"/>
                <w:color w:val="000000"/>
                <w:lang w:eastAsia="en-GB"/>
              </w:rPr>
              <w:t>113/303 (37.3)</w:t>
            </w:r>
          </w:p>
        </w:tc>
        <w:tc>
          <w:tcPr>
            <w:tcW w:w="2835" w:type="dxa"/>
            <w:tcBorders>
              <w:top w:val="nil"/>
              <w:left w:val="nil"/>
              <w:right w:val="nil"/>
            </w:tcBorders>
            <w:shd w:val="clear" w:color="auto" w:fill="auto"/>
            <w:noWrap/>
            <w:vAlign w:val="bottom"/>
          </w:tcPr>
          <w:p w14:paraId="73836005" w14:textId="6A357415" w:rsidR="007D5607" w:rsidRPr="0052360E" w:rsidRDefault="007D5607" w:rsidP="008C59EA">
            <w:pPr>
              <w:spacing w:after="0" w:line="276" w:lineRule="auto"/>
              <w:jc w:val="center"/>
              <w:rPr>
                <w:rFonts w:ascii="Times New Roman" w:hAnsi="Times New Roman" w:cs="Times New Roman"/>
                <w:color w:val="000000"/>
              </w:rPr>
            </w:pPr>
            <w:r w:rsidRPr="0052360E">
              <w:rPr>
                <w:rFonts w:ascii="Times New Roman" w:eastAsia="Times New Roman" w:hAnsi="Times New Roman" w:cs="Times New Roman"/>
                <w:color w:val="000000"/>
                <w:lang w:eastAsia="en-GB"/>
              </w:rPr>
              <w:t xml:space="preserve">   97/711 (13.6)</w:t>
            </w:r>
          </w:p>
        </w:tc>
      </w:tr>
      <w:tr w:rsidR="007D5607" w:rsidRPr="0052360E" w14:paraId="7CAA852F" w14:textId="03FFCAC8" w:rsidTr="00A37255">
        <w:trPr>
          <w:trHeight w:val="300"/>
        </w:trPr>
        <w:tc>
          <w:tcPr>
            <w:tcW w:w="5245" w:type="dxa"/>
            <w:gridSpan w:val="2"/>
            <w:tcBorders>
              <w:top w:val="single" w:sz="4" w:space="0" w:color="auto"/>
              <w:left w:val="nil"/>
              <w:right w:val="nil"/>
            </w:tcBorders>
            <w:shd w:val="clear" w:color="auto" w:fill="auto"/>
            <w:noWrap/>
            <w:vAlign w:val="bottom"/>
          </w:tcPr>
          <w:p w14:paraId="6AD34581" w14:textId="0023950D" w:rsidR="007D5607" w:rsidRPr="0052360E" w:rsidRDefault="007D5607" w:rsidP="008C59EA">
            <w:pPr>
              <w:spacing w:before="240"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b/>
                <w:color w:val="000000"/>
                <w:sz w:val="24"/>
                <w:szCs w:val="24"/>
                <w:lang w:eastAsia="en-GB"/>
              </w:rPr>
              <w:t>Anthropometry</w:t>
            </w:r>
          </w:p>
        </w:tc>
        <w:tc>
          <w:tcPr>
            <w:tcW w:w="2126" w:type="dxa"/>
            <w:tcBorders>
              <w:top w:val="single" w:sz="4" w:space="0" w:color="auto"/>
              <w:left w:val="nil"/>
              <w:right w:val="nil"/>
            </w:tcBorders>
            <w:shd w:val="clear" w:color="auto" w:fill="auto"/>
            <w:noWrap/>
            <w:vAlign w:val="bottom"/>
          </w:tcPr>
          <w:p w14:paraId="461E4E9D" w14:textId="2630515D"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p>
        </w:tc>
        <w:tc>
          <w:tcPr>
            <w:tcW w:w="2835" w:type="dxa"/>
            <w:tcBorders>
              <w:top w:val="single" w:sz="4" w:space="0" w:color="auto"/>
              <w:left w:val="nil"/>
              <w:right w:val="nil"/>
            </w:tcBorders>
            <w:shd w:val="clear" w:color="auto" w:fill="auto"/>
            <w:noWrap/>
            <w:vAlign w:val="bottom"/>
          </w:tcPr>
          <w:p w14:paraId="13BAB47B" w14:textId="55B89B72"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p>
        </w:tc>
      </w:tr>
      <w:tr w:rsidR="00C72C0B" w:rsidRPr="0052360E" w14:paraId="6190E852" w14:textId="7FC1AF27" w:rsidTr="00C72C0B">
        <w:trPr>
          <w:trHeight w:val="300"/>
        </w:trPr>
        <w:tc>
          <w:tcPr>
            <w:tcW w:w="5245" w:type="dxa"/>
            <w:gridSpan w:val="2"/>
            <w:tcBorders>
              <w:top w:val="nil"/>
              <w:left w:val="nil"/>
              <w:right w:val="nil"/>
            </w:tcBorders>
            <w:shd w:val="clear" w:color="auto" w:fill="auto"/>
            <w:noWrap/>
            <w:vAlign w:val="bottom"/>
          </w:tcPr>
          <w:p w14:paraId="2B73A8D0" w14:textId="3E7BB9EA" w:rsidR="00D36609" w:rsidRPr="0052360E" w:rsidRDefault="00D36609" w:rsidP="00D36609">
            <w:pPr>
              <w:spacing w:after="0" w:line="276" w:lineRule="auto"/>
              <w:rPr>
                <w:rFonts w:ascii="Times New Roman" w:eastAsia="Times New Roman" w:hAnsi="Times New Roman" w:cs="Times New Roman"/>
                <w:sz w:val="24"/>
                <w:szCs w:val="24"/>
                <w:lang w:eastAsia="en-GB"/>
              </w:rPr>
            </w:pPr>
            <w:r w:rsidRPr="0052360E">
              <w:rPr>
                <w:rFonts w:ascii="Times New Roman" w:eastAsia="Times New Roman" w:hAnsi="Times New Roman" w:cs="Times New Roman"/>
                <w:sz w:val="24"/>
                <w:szCs w:val="24"/>
                <w:lang w:eastAsia="en-GB"/>
              </w:rPr>
              <w:t>Mean MUAC</w:t>
            </w:r>
            <w:r w:rsidRPr="0052360E">
              <w:rPr>
                <w:rFonts w:ascii="Times New Roman" w:eastAsia="Times New Roman" w:hAnsi="Times New Roman" w:cs="Times New Roman"/>
                <w:b/>
                <w:sz w:val="24"/>
                <w:szCs w:val="24"/>
                <w:lang w:eastAsia="en-GB"/>
              </w:rPr>
              <w:t xml:space="preserve">, </w:t>
            </w:r>
            <w:r w:rsidRPr="0052360E">
              <w:rPr>
                <w:rFonts w:ascii="Times New Roman" w:eastAsia="Times New Roman" w:hAnsi="Times New Roman" w:cs="Times New Roman"/>
                <w:sz w:val="24"/>
                <w:szCs w:val="24"/>
                <w:lang w:eastAsia="en-GB"/>
              </w:rPr>
              <w:t xml:space="preserve">cm </w:t>
            </w:r>
          </w:p>
        </w:tc>
        <w:tc>
          <w:tcPr>
            <w:tcW w:w="2126" w:type="dxa"/>
            <w:tcBorders>
              <w:top w:val="nil"/>
              <w:left w:val="nil"/>
              <w:right w:val="nil"/>
            </w:tcBorders>
            <w:shd w:val="clear" w:color="auto" w:fill="auto"/>
            <w:noWrap/>
            <w:vAlign w:val="bottom"/>
          </w:tcPr>
          <w:p w14:paraId="0F1FED7C" w14:textId="3BE3730B" w:rsidR="00D36609" w:rsidRPr="0052360E" w:rsidRDefault="00D36609" w:rsidP="00D36609">
            <w:pPr>
              <w:spacing w:after="0" w:line="276" w:lineRule="auto"/>
              <w:jc w:val="center"/>
              <w:rPr>
                <w:rFonts w:ascii="Times New Roman" w:eastAsia="Times New Roman" w:hAnsi="Times New Roman" w:cs="Times New Roman"/>
                <w:lang w:eastAsia="en-GB"/>
              </w:rPr>
            </w:pPr>
            <w:r w:rsidRPr="0052360E">
              <w:rPr>
                <w:rFonts w:ascii="Times New Roman" w:hAnsi="Times New Roman" w:cs="Times New Roman"/>
              </w:rPr>
              <w:t>24.0 (22.7-25.2)</w:t>
            </w:r>
          </w:p>
        </w:tc>
        <w:tc>
          <w:tcPr>
            <w:tcW w:w="2835" w:type="dxa"/>
            <w:tcBorders>
              <w:top w:val="nil"/>
              <w:left w:val="nil"/>
              <w:right w:val="nil"/>
            </w:tcBorders>
            <w:shd w:val="clear" w:color="auto" w:fill="auto"/>
            <w:noWrap/>
            <w:vAlign w:val="bottom"/>
          </w:tcPr>
          <w:p w14:paraId="56E6712E" w14:textId="3C597CA7" w:rsidR="00D36609" w:rsidRPr="0052360E" w:rsidRDefault="00D36609" w:rsidP="00D36609">
            <w:pPr>
              <w:spacing w:after="0" w:line="276" w:lineRule="auto"/>
              <w:jc w:val="center"/>
              <w:rPr>
                <w:rFonts w:ascii="Times New Roman" w:eastAsia="Times New Roman" w:hAnsi="Times New Roman" w:cs="Times New Roman"/>
                <w:lang w:eastAsia="en-GB"/>
              </w:rPr>
            </w:pPr>
            <w:r w:rsidRPr="0052360E">
              <w:rPr>
                <w:rFonts w:ascii="Times New Roman" w:hAnsi="Times New Roman" w:cs="Times New Roman"/>
              </w:rPr>
              <w:t>23.0 (21.7-24.5)</w:t>
            </w:r>
          </w:p>
        </w:tc>
      </w:tr>
      <w:tr w:rsidR="00D36609" w:rsidRPr="0052360E" w14:paraId="516E50C0" w14:textId="18BC6A8B" w:rsidTr="00C72C0B">
        <w:trPr>
          <w:trHeight w:val="300"/>
        </w:trPr>
        <w:tc>
          <w:tcPr>
            <w:tcW w:w="5245" w:type="dxa"/>
            <w:gridSpan w:val="2"/>
            <w:tcBorders>
              <w:top w:val="nil"/>
              <w:left w:val="nil"/>
              <w:right w:val="nil"/>
            </w:tcBorders>
            <w:shd w:val="clear" w:color="auto" w:fill="auto"/>
            <w:noWrap/>
            <w:vAlign w:val="bottom"/>
          </w:tcPr>
          <w:p w14:paraId="4D41CF44" w14:textId="7019B9DC" w:rsidR="00D36609" w:rsidRPr="0052360E" w:rsidRDefault="00D36609" w:rsidP="00D36609">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 xml:space="preserve">MUAC &lt;21cm </w:t>
            </w:r>
          </w:p>
        </w:tc>
        <w:tc>
          <w:tcPr>
            <w:tcW w:w="2126" w:type="dxa"/>
            <w:tcBorders>
              <w:top w:val="nil"/>
              <w:left w:val="nil"/>
              <w:right w:val="nil"/>
            </w:tcBorders>
            <w:shd w:val="clear" w:color="auto" w:fill="auto"/>
            <w:noWrap/>
            <w:vAlign w:val="bottom"/>
          </w:tcPr>
          <w:p w14:paraId="70B92F61" w14:textId="257B61B5" w:rsidR="00D36609" w:rsidRPr="0052360E" w:rsidRDefault="00725215" w:rsidP="00D36609">
            <w:pPr>
              <w:spacing w:after="0" w:line="276" w:lineRule="auto"/>
              <w:jc w:val="center"/>
              <w:rPr>
                <w:rFonts w:ascii="Times New Roman" w:eastAsia="Times New Roman" w:hAnsi="Times New Roman" w:cs="Times New Roman"/>
                <w:lang w:eastAsia="en-GB"/>
              </w:rPr>
            </w:pPr>
            <w:r w:rsidRPr="0052360E">
              <w:rPr>
                <w:rFonts w:ascii="Times New Roman" w:hAnsi="Times New Roman" w:cs="Times New Roman"/>
              </w:rPr>
              <w:t>16/303 (5.3</w:t>
            </w:r>
            <w:r w:rsidR="00D36609" w:rsidRPr="0052360E">
              <w:rPr>
                <w:rFonts w:ascii="Times New Roman" w:hAnsi="Times New Roman" w:cs="Times New Roman"/>
              </w:rPr>
              <w:t>)</w:t>
            </w:r>
          </w:p>
        </w:tc>
        <w:tc>
          <w:tcPr>
            <w:tcW w:w="2835" w:type="dxa"/>
            <w:tcBorders>
              <w:top w:val="nil"/>
              <w:left w:val="nil"/>
              <w:right w:val="nil"/>
            </w:tcBorders>
            <w:shd w:val="clear" w:color="auto" w:fill="auto"/>
            <w:noWrap/>
            <w:vAlign w:val="bottom"/>
          </w:tcPr>
          <w:p w14:paraId="0B5B879D" w14:textId="5DC6C024" w:rsidR="00D36609" w:rsidRPr="0052360E" w:rsidRDefault="00D36609" w:rsidP="00725215">
            <w:pPr>
              <w:spacing w:after="0" w:line="276" w:lineRule="auto"/>
              <w:jc w:val="center"/>
              <w:rPr>
                <w:rFonts w:ascii="Times New Roman" w:eastAsia="Times New Roman" w:hAnsi="Times New Roman" w:cs="Times New Roman"/>
                <w:lang w:eastAsia="en-GB"/>
              </w:rPr>
            </w:pPr>
            <w:r w:rsidRPr="0052360E">
              <w:rPr>
                <w:rFonts w:ascii="Times New Roman" w:hAnsi="Times New Roman" w:cs="Times New Roman"/>
              </w:rPr>
              <w:t>107/712 (15.0)</w:t>
            </w:r>
          </w:p>
        </w:tc>
      </w:tr>
      <w:tr w:rsidR="00D36609" w:rsidRPr="0052360E" w14:paraId="0C8CD718" w14:textId="0EC06E6E" w:rsidTr="00C72C0B">
        <w:trPr>
          <w:trHeight w:val="300"/>
        </w:trPr>
        <w:tc>
          <w:tcPr>
            <w:tcW w:w="5245" w:type="dxa"/>
            <w:gridSpan w:val="2"/>
            <w:tcBorders>
              <w:top w:val="nil"/>
              <w:left w:val="nil"/>
              <w:right w:val="nil"/>
            </w:tcBorders>
            <w:shd w:val="clear" w:color="auto" w:fill="auto"/>
            <w:noWrap/>
            <w:vAlign w:val="bottom"/>
          </w:tcPr>
          <w:p w14:paraId="62DE0DD6" w14:textId="664BDE67" w:rsidR="00D36609" w:rsidRPr="0052360E" w:rsidRDefault="00D36609" w:rsidP="00D36609">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Mean BMI, kg/m</w:t>
            </w:r>
            <w:r w:rsidRPr="0052360E">
              <w:rPr>
                <w:rFonts w:ascii="Times New Roman" w:eastAsia="Times New Roman" w:hAnsi="Times New Roman" w:cs="Times New Roman"/>
                <w:color w:val="000000"/>
                <w:sz w:val="24"/>
                <w:szCs w:val="24"/>
                <w:vertAlign w:val="superscript"/>
                <w:lang w:eastAsia="en-GB"/>
              </w:rPr>
              <w:t>2</w:t>
            </w:r>
            <w:r w:rsidRPr="0052360E">
              <w:rPr>
                <w:rFonts w:ascii="Times New Roman" w:eastAsia="Times New Roman" w:hAnsi="Times New Roman" w:cs="Times New Roman"/>
                <w:color w:val="000000"/>
                <w:sz w:val="24"/>
                <w:szCs w:val="24"/>
                <w:lang w:eastAsia="en-GB"/>
              </w:rPr>
              <w:t xml:space="preserve"> </w:t>
            </w:r>
          </w:p>
        </w:tc>
        <w:tc>
          <w:tcPr>
            <w:tcW w:w="2126" w:type="dxa"/>
            <w:tcBorders>
              <w:top w:val="nil"/>
              <w:left w:val="nil"/>
              <w:right w:val="nil"/>
            </w:tcBorders>
            <w:shd w:val="clear" w:color="auto" w:fill="auto"/>
            <w:noWrap/>
            <w:vAlign w:val="bottom"/>
          </w:tcPr>
          <w:p w14:paraId="7BC5B79C" w14:textId="68057500" w:rsidR="00D36609" w:rsidRPr="0052360E" w:rsidRDefault="00D36609" w:rsidP="00D36609">
            <w:pPr>
              <w:spacing w:after="0" w:line="276" w:lineRule="auto"/>
              <w:jc w:val="center"/>
              <w:rPr>
                <w:rFonts w:ascii="Times New Roman" w:eastAsia="Times New Roman" w:hAnsi="Times New Roman" w:cs="Times New Roman"/>
                <w:lang w:eastAsia="en-GB"/>
              </w:rPr>
            </w:pPr>
            <w:r w:rsidRPr="0052360E">
              <w:rPr>
                <w:rFonts w:ascii="Times New Roman" w:hAnsi="Times New Roman" w:cs="Times New Roman"/>
              </w:rPr>
              <w:t>20.0 (18.8-21.0)</w:t>
            </w:r>
          </w:p>
        </w:tc>
        <w:tc>
          <w:tcPr>
            <w:tcW w:w="2835" w:type="dxa"/>
            <w:tcBorders>
              <w:top w:val="nil"/>
              <w:left w:val="nil"/>
              <w:right w:val="nil"/>
            </w:tcBorders>
            <w:shd w:val="clear" w:color="auto" w:fill="auto"/>
            <w:noWrap/>
            <w:vAlign w:val="bottom"/>
          </w:tcPr>
          <w:p w14:paraId="6B21D8F3" w14:textId="60DF1E9B" w:rsidR="00D36609" w:rsidRPr="0052360E" w:rsidRDefault="00D36609" w:rsidP="00D36609">
            <w:pPr>
              <w:spacing w:after="0" w:line="276" w:lineRule="auto"/>
              <w:jc w:val="center"/>
              <w:rPr>
                <w:rFonts w:ascii="Times New Roman" w:eastAsia="Times New Roman" w:hAnsi="Times New Roman" w:cs="Times New Roman"/>
                <w:lang w:eastAsia="en-GB"/>
              </w:rPr>
            </w:pPr>
            <w:r w:rsidRPr="0052360E">
              <w:rPr>
                <w:rFonts w:ascii="Times New Roman" w:hAnsi="Times New Roman" w:cs="Times New Roman"/>
              </w:rPr>
              <w:t>19.1 (17.8-20.4)</w:t>
            </w:r>
          </w:p>
        </w:tc>
      </w:tr>
      <w:tr w:rsidR="00C72C0B" w:rsidRPr="0052360E" w14:paraId="58305E45" w14:textId="04B2CC32" w:rsidTr="00C72C0B">
        <w:trPr>
          <w:trHeight w:val="300"/>
        </w:trPr>
        <w:tc>
          <w:tcPr>
            <w:tcW w:w="5245" w:type="dxa"/>
            <w:gridSpan w:val="2"/>
            <w:tcBorders>
              <w:top w:val="nil"/>
              <w:left w:val="nil"/>
              <w:bottom w:val="single" w:sz="4" w:space="0" w:color="auto"/>
              <w:right w:val="nil"/>
            </w:tcBorders>
            <w:shd w:val="clear" w:color="auto" w:fill="auto"/>
            <w:noWrap/>
            <w:vAlign w:val="bottom"/>
          </w:tcPr>
          <w:p w14:paraId="662330CF" w14:textId="12CB0040" w:rsidR="00D36609" w:rsidRPr="0052360E" w:rsidRDefault="00D36609" w:rsidP="00D36609">
            <w:pPr>
              <w:spacing w:line="276" w:lineRule="auto"/>
              <w:rPr>
                <w:rFonts w:ascii="Times New Roman" w:eastAsia="Times New Roman" w:hAnsi="Times New Roman" w:cs="Times New Roman"/>
                <w:sz w:val="24"/>
                <w:szCs w:val="24"/>
                <w:lang w:eastAsia="en-GB"/>
              </w:rPr>
            </w:pPr>
            <w:r w:rsidRPr="0052360E">
              <w:rPr>
                <w:rFonts w:ascii="Times New Roman" w:eastAsia="Times New Roman" w:hAnsi="Times New Roman" w:cs="Times New Roman"/>
                <w:sz w:val="24"/>
                <w:szCs w:val="24"/>
                <w:lang w:eastAsia="en-GB"/>
              </w:rPr>
              <w:t>BMI&lt;18.5 kg/m</w:t>
            </w:r>
            <w:r w:rsidRPr="0052360E">
              <w:rPr>
                <w:rFonts w:ascii="Times New Roman" w:eastAsia="Times New Roman" w:hAnsi="Times New Roman" w:cs="Times New Roman"/>
                <w:sz w:val="24"/>
                <w:szCs w:val="24"/>
                <w:vertAlign w:val="superscript"/>
                <w:lang w:eastAsia="en-GB"/>
              </w:rPr>
              <w:t>2</w:t>
            </w:r>
            <w:r w:rsidRPr="0052360E">
              <w:rPr>
                <w:rFonts w:ascii="Times New Roman" w:eastAsia="Times New Roman" w:hAnsi="Times New Roman" w:cs="Times New Roman"/>
                <w:sz w:val="24"/>
                <w:szCs w:val="24"/>
                <w:lang w:eastAsia="en-GB"/>
              </w:rPr>
              <w:t xml:space="preserve"> </w:t>
            </w:r>
          </w:p>
        </w:tc>
        <w:tc>
          <w:tcPr>
            <w:tcW w:w="2126" w:type="dxa"/>
            <w:tcBorders>
              <w:top w:val="nil"/>
              <w:left w:val="nil"/>
              <w:bottom w:val="single" w:sz="4" w:space="0" w:color="auto"/>
              <w:right w:val="nil"/>
            </w:tcBorders>
            <w:shd w:val="clear" w:color="auto" w:fill="auto"/>
            <w:noWrap/>
            <w:vAlign w:val="bottom"/>
          </w:tcPr>
          <w:p w14:paraId="6F1470FA" w14:textId="7D843CAC" w:rsidR="00D36609" w:rsidRPr="0052360E" w:rsidRDefault="00D36609" w:rsidP="00725215">
            <w:pPr>
              <w:spacing w:line="276" w:lineRule="auto"/>
              <w:jc w:val="center"/>
              <w:rPr>
                <w:rFonts w:ascii="Times New Roman" w:eastAsia="Times New Roman" w:hAnsi="Times New Roman" w:cs="Times New Roman"/>
                <w:lang w:eastAsia="en-GB"/>
              </w:rPr>
            </w:pPr>
            <w:r w:rsidRPr="0052360E">
              <w:rPr>
                <w:rFonts w:ascii="Times New Roman" w:hAnsi="Times New Roman" w:cs="Times New Roman"/>
              </w:rPr>
              <w:t>61/303 (20.1)</w:t>
            </w:r>
          </w:p>
        </w:tc>
        <w:tc>
          <w:tcPr>
            <w:tcW w:w="2835" w:type="dxa"/>
            <w:tcBorders>
              <w:top w:val="nil"/>
              <w:left w:val="nil"/>
              <w:bottom w:val="single" w:sz="4" w:space="0" w:color="auto"/>
              <w:right w:val="nil"/>
            </w:tcBorders>
            <w:shd w:val="clear" w:color="auto" w:fill="auto"/>
            <w:noWrap/>
            <w:vAlign w:val="bottom"/>
          </w:tcPr>
          <w:p w14:paraId="7E3F29B7" w14:textId="381C72CD" w:rsidR="00D36609" w:rsidRPr="0052360E" w:rsidRDefault="00D36609" w:rsidP="00725215">
            <w:pPr>
              <w:spacing w:line="276" w:lineRule="auto"/>
              <w:jc w:val="center"/>
              <w:rPr>
                <w:rFonts w:ascii="Times New Roman" w:eastAsia="Times New Roman" w:hAnsi="Times New Roman" w:cs="Times New Roman"/>
                <w:lang w:eastAsia="en-GB"/>
              </w:rPr>
            </w:pPr>
            <w:r w:rsidRPr="0052360E">
              <w:rPr>
                <w:rFonts w:ascii="Times New Roman" w:hAnsi="Times New Roman" w:cs="Times New Roman"/>
              </w:rPr>
              <w:t>262/712 (36.8)</w:t>
            </w:r>
          </w:p>
        </w:tc>
      </w:tr>
      <w:tr w:rsidR="007D5607" w:rsidRPr="0052360E" w14:paraId="106A15D9" w14:textId="5651F7A7" w:rsidTr="00A37255">
        <w:trPr>
          <w:trHeight w:val="300"/>
        </w:trPr>
        <w:tc>
          <w:tcPr>
            <w:tcW w:w="7371" w:type="dxa"/>
            <w:gridSpan w:val="3"/>
            <w:tcBorders>
              <w:top w:val="single" w:sz="4" w:space="0" w:color="auto"/>
              <w:left w:val="nil"/>
              <w:bottom w:val="nil"/>
              <w:right w:val="nil"/>
            </w:tcBorders>
            <w:shd w:val="clear" w:color="auto" w:fill="auto"/>
            <w:noWrap/>
          </w:tcPr>
          <w:p w14:paraId="743B4CB1" w14:textId="2FA1C4EF" w:rsidR="007D5607" w:rsidRPr="0052360E" w:rsidRDefault="007D5607" w:rsidP="00A428A9">
            <w:pPr>
              <w:spacing w:before="240" w:after="0" w:line="276" w:lineRule="auto"/>
              <w:rPr>
                <w:rFonts w:ascii="Times New Roman" w:eastAsia="Times New Roman" w:hAnsi="Times New Roman" w:cs="Times New Roman"/>
                <w:b/>
                <w:color w:val="000000"/>
                <w:sz w:val="24"/>
                <w:szCs w:val="24"/>
                <w:lang w:eastAsia="en-GB"/>
              </w:rPr>
            </w:pPr>
            <w:r w:rsidRPr="0052360E">
              <w:rPr>
                <w:rFonts w:ascii="Times New Roman" w:eastAsia="Times New Roman" w:hAnsi="Times New Roman" w:cs="Times New Roman"/>
                <w:b/>
                <w:color w:val="000000"/>
                <w:sz w:val="24"/>
                <w:szCs w:val="24"/>
                <w:lang w:eastAsia="en-GB"/>
              </w:rPr>
              <w:t>Anaemia and iron biomarkers</w:t>
            </w:r>
            <w:r w:rsidR="00DA16EC" w:rsidRPr="0052360E">
              <w:rPr>
                <w:rFonts w:ascii="Times New Roman" w:eastAsia="Times New Roman" w:hAnsi="Times New Roman" w:cs="Times New Roman"/>
                <w:b/>
                <w:color w:val="000000"/>
                <w:sz w:val="24"/>
                <w:szCs w:val="24"/>
                <w:lang w:eastAsia="en-GB"/>
              </w:rPr>
              <w:t xml:space="preserve">                                        </w:t>
            </w:r>
            <w:r w:rsidR="00C72C0B" w:rsidRPr="0052360E">
              <w:rPr>
                <w:rFonts w:ascii="Times New Roman" w:eastAsia="Times New Roman" w:hAnsi="Times New Roman" w:cs="Times New Roman"/>
                <w:b/>
                <w:color w:val="000000"/>
                <w:sz w:val="24"/>
                <w:szCs w:val="24"/>
                <w:lang w:eastAsia="en-GB"/>
              </w:rPr>
              <w:t xml:space="preserve">     </w:t>
            </w:r>
            <w:r w:rsidR="00DA16EC" w:rsidRPr="0052360E">
              <w:rPr>
                <w:rFonts w:ascii="Times New Roman" w:eastAsia="Times New Roman" w:hAnsi="Times New Roman" w:cs="Times New Roman"/>
                <w:b/>
                <w:color w:val="000000"/>
                <w:sz w:val="24"/>
                <w:szCs w:val="24"/>
                <w:lang w:eastAsia="en-GB"/>
              </w:rPr>
              <w:t xml:space="preserve"> </w:t>
            </w:r>
            <w:r w:rsidR="008C3B79" w:rsidRPr="0052360E">
              <w:rPr>
                <w:rFonts w:ascii="Times New Roman" w:eastAsia="Times New Roman" w:hAnsi="Times New Roman" w:cs="Times New Roman"/>
                <w:b/>
                <w:color w:val="000000"/>
                <w:sz w:val="24"/>
                <w:szCs w:val="24"/>
                <w:lang w:eastAsia="en-GB"/>
              </w:rPr>
              <w:t xml:space="preserve"> </w:t>
            </w:r>
            <w:r w:rsidR="00DA16EC" w:rsidRPr="0052360E">
              <w:rPr>
                <w:rFonts w:ascii="Times New Roman" w:eastAsia="Times New Roman" w:hAnsi="Times New Roman" w:cs="Times New Roman"/>
                <w:b/>
                <w:color w:val="000000"/>
                <w:sz w:val="24"/>
                <w:szCs w:val="24"/>
                <w:lang w:eastAsia="en-GB"/>
              </w:rPr>
              <w:t>ANC1</w:t>
            </w:r>
            <w:r w:rsidR="008D16BD" w:rsidRPr="0052360E">
              <w:rPr>
                <w:rFonts w:ascii="Times New Roman" w:eastAsia="Times New Roman" w:hAnsi="Times New Roman" w:cs="Times New Roman"/>
                <w:b/>
                <w:color w:val="000000"/>
                <w:sz w:val="24"/>
                <w:szCs w:val="24"/>
                <w:lang w:eastAsia="en-GB"/>
              </w:rPr>
              <w:t xml:space="preserve"> </w:t>
            </w:r>
            <w:r w:rsidR="008D16BD" w:rsidRPr="0052360E">
              <w:rPr>
                <w:rFonts w:ascii="Times New Roman" w:eastAsia="Times New Roman" w:hAnsi="Times New Roman" w:cs="Times New Roman"/>
                <w:color w:val="000000"/>
                <w:sz w:val="24"/>
                <w:szCs w:val="24"/>
                <w:vertAlign w:val="superscript"/>
                <w:lang w:eastAsia="en-GB"/>
              </w:rPr>
              <w:t>2</w:t>
            </w:r>
          </w:p>
        </w:tc>
        <w:tc>
          <w:tcPr>
            <w:tcW w:w="2835" w:type="dxa"/>
            <w:tcBorders>
              <w:top w:val="single" w:sz="4" w:space="0" w:color="auto"/>
              <w:left w:val="nil"/>
              <w:bottom w:val="nil"/>
              <w:right w:val="nil"/>
            </w:tcBorders>
            <w:shd w:val="clear" w:color="auto" w:fill="auto"/>
            <w:noWrap/>
            <w:vAlign w:val="bottom"/>
          </w:tcPr>
          <w:p w14:paraId="21FA0A4E" w14:textId="7BDC5E02" w:rsidR="007D5607" w:rsidRPr="0052360E" w:rsidRDefault="00DA16EC" w:rsidP="008D16BD">
            <w:pPr>
              <w:spacing w:after="0" w:line="276" w:lineRule="auto"/>
              <w:jc w:val="center"/>
              <w:rPr>
                <w:rFonts w:ascii="Times New Roman" w:eastAsia="Times New Roman" w:hAnsi="Times New Roman" w:cs="Times New Roman"/>
                <w:b/>
                <w:color w:val="000000"/>
                <w:sz w:val="24"/>
                <w:szCs w:val="24"/>
                <w:lang w:eastAsia="en-GB"/>
              </w:rPr>
            </w:pPr>
            <w:r w:rsidRPr="0052360E">
              <w:rPr>
                <w:rFonts w:ascii="Times New Roman" w:eastAsia="Times New Roman" w:hAnsi="Times New Roman" w:cs="Times New Roman"/>
                <w:b/>
                <w:color w:val="000000"/>
                <w:sz w:val="24"/>
                <w:szCs w:val="24"/>
                <w:lang w:eastAsia="en-GB"/>
              </w:rPr>
              <w:t xml:space="preserve">End </w:t>
            </w:r>
            <w:r w:rsidR="008D16BD" w:rsidRPr="0052360E">
              <w:rPr>
                <w:rFonts w:ascii="Times New Roman" w:eastAsia="Times New Roman" w:hAnsi="Times New Roman" w:cs="Times New Roman"/>
                <w:b/>
                <w:color w:val="000000"/>
                <w:sz w:val="24"/>
                <w:szCs w:val="24"/>
                <w:lang w:eastAsia="en-GB"/>
              </w:rPr>
              <w:t>A</w:t>
            </w:r>
            <w:r w:rsidRPr="0052360E">
              <w:rPr>
                <w:rFonts w:ascii="Times New Roman" w:eastAsia="Times New Roman" w:hAnsi="Times New Roman" w:cs="Times New Roman"/>
                <w:b/>
                <w:color w:val="000000"/>
                <w:sz w:val="24"/>
                <w:szCs w:val="24"/>
                <w:lang w:eastAsia="en-GB"/>
              </w:rPr>
              <w:t>ssessment</w:t>
            </w:r>
            <w:r w:rsidR="008D16BD" w:rsidRPr="0052360E">
              <w:rPr>
                <w:rFonts w:ascii="Times New Roman" w:eastAsia="Times New Roman" w:hAnsi="Times New Roman" w:cs="Times New Roman"/>
                <w:b/>
                <w:color w:val="000000"/>
                <w:sz w:val="24"/>
                <w:szCs w:val="24"/>
                <w:lang w:eastAsia="en-GB"/>
              </w:rPr>
              <w:t xml:space="preserve"> </w:t>
            </w:r>
            <w:r w:rsidR="008D16BD" w:rsidRPr="0052360E">
              <w:rPr>
                <w:rFonts w:ascii="Times New Roman" w:eastAsia="Times New Roman" w:hAnsi="Times New Roman" w:cs="Times New Roman"/>
                <w:color w:val="000000"/>
                <w:sz w:val="24"/>
                <w:szCs w:val="24"/>
                <w:vertAlign w:val="superscript"/>
                <w:lang w:eastAsia="en-GB"/>
              </w:rPr>
              <w:t>3</w:t>
            </w:r>
          </w:p>
        </w:tc>
      </w:tr>
      <w:tr w:rsidR="007D5607" w:rsidRPr="0052360E" w14:paraId="34A4048C" w14:textId="2CC6DA25" w:rsidTr="00A37255">
        <w:trPr>
          <w:trHeight w:val="300"/>
        </w:trPr>
        <w:tc>
          <w:tcPr>
            <w:tcW w:w="5245" w:type="dxa"/>
            <w:gridSpan w:val="2"/>
            <w:tcBorders>
              <w:top w:val="nil"/>
              <w:left w:val="nil"/>
              <w:right w:val="nil"/>
            </w:tcBorders>
            <w:shd w:val="clear" w:color="auto" w:fill="auto"/>
            <w:noWrap/>
            <w:vAlign w:val="bottom"/>
          </w:tcPr>
          <w:p w14:paraId="146A31CB" w14:textId="369DAA7B" w:rsidR="007D5607" w:rsidRPr="0052360E" w:rsidRDefault="00253207" w:rsidP="008C59EA">
            <w:pPr>
              <w:spacing w:after="0" w:line="276" w:lineRule="auto"/>
              <w:rPr>
                <w:rFonts w:ascii="Times New Roman" w:eastAsia="Times New Roman" w:hAnsi="Times New Roman" w:cs="Times New Roman"/>
                <w:color w:val="000000"/>
                <w:sz w:val="24"/>
                <w:szCs w:val="24"/>
                <w:lang w:val="fr-FR" w:eastAsia="en-GB"/>
              </w:rPr>
            </w:pPr>
            <w:r w:rsidRPr="0052360E">
              <w:rPr>
                <w:rFonts w:ascii="Times New Roman" w:eastAsia="Times New Roman" w:hAnsi="Times New Roman" w:cs="Times New Roman"/>
                <w:color w:val="000000"/>
                <w:sz w:val="24"/>
                <w:szCs w:val="24"/>
                <w:lang w:val="fr-FR" w:eastAsia="en-GB"/>
              </w:rPr>
              <w:t>P</w:t>
            </w:r>
            <w:r w:rsidR="007D5607" w:rsidRPr="0052360E">
              <w:rPr>
                <w:rFonts w:ascii="Times New Roman" w:eastAsia="Times New Roman" w:hAnsi="Times New Roman" w:cs="Times New Roman"/>
                <w:color w:val="000000"/>
                <w:sz w:val="24"/>
                <w:szCs w:val="24"/>
                <w:lang w:val="fr-FR" w:eastAsia="en-GB"/>
              </w:rPr>
              <w:t>regnant Hb</w:t>
            </w:r>
            <w:r w:rsidRPr="0052360E">
              <w:rPr>
                <w:rFonts w:ascii="Times New Roman" w:eastAsia="Times New Roman" w:hAnsi="Times New Roman" w:cs="Times New Roman"/>
                <w:color w:val="000000"/>
                <w:sz w:val="24"/>
                <w:szCs w:val="24"/>
                <w:lang w:val="fr-FR" w:eastAsia="en-GB"/>
              </w:rPr>
              <w:t xml:space="preserve"> </w:t>
            </w:r>
            <w:r w:rsidR="00BA62FE" w:rsidRPr="0052360E">
              <w:rPr>
                <w:rFonts w:ascii="Times New Roman" w:eastAsia="Times New Roman" w:hAnsi="Times New Roman" w:cs="Times New Roman"/>
                <w:color w:val="000000"/>
                <w:sz w:val="24"/>
                <w:szCs w:val="24"/>
                <w:lang w:val="fr-FR" w:eastAsia="en-GB"/>
              </w:rPr>
              <w:t>&lt;11</w:t>
            </w:r>
            <w:r w:rsidR="007D5607" w:rsidRPr="0052360E">
              <w:rPr>
                <w:rFonts w:ascii="Times New Roman" w:eastAsia="Times New Roman" w:hAnsi="Times New Roman" w:cs="Times New Roman"/>
                <w:color w:val="000000"/>
                <w:sz w:val="24"/>
                <w:szCs w:val="24"/>
                <w:lang w:val="fr-FR" w:eastAsia="en-GB"/>
              </w:rPr>
              <w:t xml:space="preserve"> g/dl;</w:t>
            </w:r>
            <w:r w:rsidRPr="0052360E">
              <w:rPr>
                <w:rFonts w:ascii="Times New Roman" w:eastAsia="Times New Roman" w:hAnsi="Times New Roman" w:cs="Times New Roman"/>
                <w:color w:val="000000"/>
                <w:sz w:val="24"/>
                <w:szCs w:val="24"/>
                <w:lang w:val="fr-FR" w:eastAsia="en-GB"/>
              </w:rPr>
              <w:t xml:space="preserve"> </w:t>
            </w:r>
            <w:r w:rsidR="007D5607" w:rsidRPr="0052360E">
              <w:rPr>
                <w:rFonts w:ascii="Times New Roman" w:eastAsia="Times New Roman" w:hAnsi="Times New Roman" w:cs="Times New Roman"/>
                <w:color w:val="000000"/>
                <w:sz w:val="24"/>
                <w:szCs w:val="24"/>
                <w:lang w:val="fr-FR" w:eastAsia="en-GB"/>
              </w:rPr>
              <w:t>non-pregnant</w:t>
            </w:r>
            <w:r w:rsidRPr="0052360E">
              <w:rPr>
                <w:rFonts w:ascii="Times New Roman" w:eastAsia="Times New Roman" w:hAnsi="Times New Roman" w:cs="Times New Roman"/>
                <w:color w:val="000000"/>
                <w:sz w:val="24"/>
                <w:szCs w:val="24"/>
                <w:lang w:val="fr-FR" w:eastAsia="en-GB"/>
              </w:rPr>
              <w:t xml:space="preserve"> Hb </w:t>
            </w:r>
            <w:r w:rsidR="00BA62FE" w:rsidRPr="0052360E">
              <w:rPr>
                <w:rFonts w:ascii="Times New Roman" w:eastAsia="Times New Roman" w:hAnsi="Times New Roman" w:cs="Times New Roman"/>
                <w:color w:val="000000"/>
                <w:sz w:val="24"/>
                <w:szCs w:val="24"/>
                <w:lang w:val="fr-FR" w:eastAsia="en-GB"/>
              </w:rPr>
              <w:t>&lt;12</w:t>
            </w:r>
            <w:r w:rsidR="007D5607" w:rsidRPr="0052360E">
              <w:rPr>
                <w:rFonts w:ascii="Times New Roman" w:eastAsia="Times New Roman" w:hAnsi="Times New Roman" w:cs="Times New Roman"/>
                <w:color w:val="000000"/>
                <w:sz w:val="24"/>
                <w:szCs w:val="24"/>
                <w:lang w:val="fr-FR" w:eastAsia="en-GB"/>
              </w:rPr>
              <w:t xml:space="preserve"> g/dl </w:t>
            </w:r>
          </w:p>
        </w:tc>
        <w:tc>
          <w:tcPr>
            <w:tcW w:w="2126" w:type="dxa"/>
            <w:tcBorders>
              <w:top w:val="nil"/>
              <w:left w:val="nil"/>
              <w:right w:val="nil"/>
            </w:tcBorders>
            <w:shd w:val="clear" w:color="auto" w:fill="auto"/>
            <w:noWrap/>
          </w:tcPr>
          <w:p w14:paraId="4904E40E" w14:textId="1E3D2FD2"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209/303 (69.0)</w:t>
            </w:r>
          </w:p>
        </w:tc>
        <w:tc>
          <w:tcPr>
            <w:tcW w:w="2835" w:type="dxa"/>
            <w:tcBorders>
              <w:top w:val="nil"/>
              <w:left w:val="nil"/>
              <w:right w:val="nil"/>
            </w:tcBorders>
            <w:shd w:val="clear" w:color="auto" w:fill="auto"/>
            <w:noWrap/>
          </w:tcPr>
          <w:p w14:paraId="5BADC679" w14:textId="3F6A0AE1" w:rsidR="007D5607" w:rsidRPr="0052360E" w:rsidRDefault="008D16BD"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307/709 (43.3)</w:t>
            </w:r>
          </w:p>
        </w:tc>
      </w:tr>
      <w:tr w:rsidR="007D5607" w:rsidRPr="0052360E" w14:paraId="4BDD638C" w14:textId="149B9AF1" w:rsidTr="00A37255">
        <w:trPr>
          <w:trHeight w:val="300"/>
        </w:trPr>
        <w:tc>
          <w:tcPr>
            <w:tcW w:w="5245" w:type="dxa"/>
            <w:gridSpan w:val="2"/>
            <w:tcBorders>
              <w:left w:val="nil"/>
              <w:bottom w:val="nil"/>
              <w:right w:val="nil"/>
            </w:tcBorders>
            <w:shd w:val="clear" w:color="auto" w:fill="auto"/>
            <w:noWrap/>
            <w:hideMark/>
          </w:tcPr>
          <w:p w14:paraId="24108477" w14:textId="3615899B" w:rsidR="007D5607" w:rsidRPr="0052360E" w:rsidRDefault="007D560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 xml:space="preserve">Mean ferritin, </w:t>
            </w:r>
            <w:r w:rsidRPr="0052360E">
              <w:rPr>
                <w:rFonts w:ascii="Times New Roman" w:hAnsi="Times New Roman" w:cs="Times New Roman"/>
                <w:sz w:val="24"/>
                <w:szCs w:val="24"/>
              </w:rPr>
              <w:t>µg/l</w:t>
            </w:r>
            <w:r w:rsidRPr="0052360E">
              <w:rPr>
                <w:rFonts w:ascii="Times New Roman" w:eastAsia="Times New Roman" w:hAnsi="Times New Roman" w:cs="Times New Roman"/>
                <w:color w:val="000000"/>
                <w:sz w:val="24"/>
                <w:szCs w:val="24"/>
                <w:lang w:eastAsia="en-GB"/>
              </w:rPr>
              <w:t xml:space="preserve"> </w:t>
            </w:r>
          </w:p>
        </w:tc>
        <w:tc>
          <w:tcPr>
            <w:tcW w:w="2126" w:type="dxa"/>
            <w:tcBorders>
              <w:left w:val="nil"/>
              <w:bottom w:val="nil"/>
              <w:right w:val="nil"/>
            </w:tcBorders>
            <w:shd w:val="clear" w:color="auto" w:fill="auto"/>
            <w:noWrap/>
            <w:hideMark/>
          </w:tcPr>
          <w:p w14:paraId="6DD8D12D" w14:textId="00417F0C"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97.0 (50.2-175.8)</w:t>
            </w:r>
          </w:p>
          <w:p w14:paraId="28B6944F" w14:textId="6BB38D2E"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[1 missing]</w:t>
            </w:r>
          </w:p>
        </w:tc>
        <w:tc>
          <w:tcPr>
            <w:tcW w:w="2835" w:type="dxa"/>
            <w:tcBorders>
              <w:left w:val="nil"/>
              <w:bottom w:val="nil"/>
              <w:right w:val="nil"/>
            </w:tcBorders>
            <w:shd w:val="clear" w:color="auto" w:fill="auto"/>
            <w:noWrap/>
            <w:hideMark/>
          </w:tcPr>
          <w:p w14:paraId="55C44499" w14:textId="77777777" w:rsidR="008C3B79"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 xml:space="preserve">52.0 (28.0-91.5) </w:t>
            </w:r>
          </w:p>
          <w:p w14:paraId="7F6474AF" w14:textId="32071BDA"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[4 missing]</w:t>
            </w:r>
          </w:p>
        </w:tc>
      </w:tr>
      <w:tr w:rsidR="00A9217D" w:rsidRPr="0052360E" w14:paraId="5FDE4724" w14:textId="77777777" w:rsidTr="00A37255">
        <w:trPr>
          <w:trHeight w:val="300"/>
        </w:trPr>
        <w:tc>
          <w:tcPr>
            <w:tcW w:w="5245" w:type="dxa"/>
            <w:gridSpan w:val="2"/>
            <w:tcBorders>
              <w:left w:val="nil"/>
              <w:bottom w:val="nil"/>
              <w:right w:val="nil"/>
            </w:tcBorders>
            <w:shd w:val="clear" w:color="auto" w:fill="auto"/>
            <w:noWrap/>
          </w:tcPr>
          <w:p w14:paraId="0331947D" w14:textId="1EB28185" w:rsidR="00A9217D" w:rsidRPr="0052360E" w:rsidRDefault="00A9217D" w:rsidP="00A9217D">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 xml:space="preserve">Mean adjusted ferritin, </w:t>
            </w:r>
            <w:r w:rsidRPr="0052360E">
              <w:rPr>
                <w:rFonts w:ascii="Times New Roman" w:hAnsi="Times New Roman" w:cs="Times New Roman"/>
                <w:sz w:val="24"/>
                <w:szCs w:val="24"/>
              </w:rPr>
              <w:t xml:space="preserve">µg/l </w:t>
            </w:r>
            <w:r w:rsidRPr="0052360E">
              <w:rPr>
                <w:rFonts w:ascii="Times New Roman" w:hAnsi="Times New Roman" w:cs="Times New Roman"/>
                <w:sz w:val="24"/>
                <w:szCs w:val="24"/>
                <w:vertAlign w:val="superscript"/>
              </w:rPr>
              <w:t>4</w:t>
            </w:r>
          </w:p>
        </w:tc>
        <w:tc>
          <w:tcPr>
            <w:tcW w:w="2126" w:type="dxa"/>
            <w:tcBorders>
              <w:left w:val="nil"/>
              <w:bottom w:val="nil"/>
              <w:right w:val="nil"/>
            </w:tcBorders>
            <w:shd w:val="clear" w:color="auto" w:fill="auto"/>
            <w:noWrap/>
            <w:vAlign w:val="bottom"/>
          </w:tcPr>
          <w:p w14:paraId="003BB1C6" w14:textId="77777777" w:rsidR="00793BE6" w:rsidRPr="0052360E" w:rsidRDefault="00A9217D" w:rsidP="00A9217D">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 xml:space="preserve">46.9 (26.4-88.1) </w:t>
            </w:r>
          </w:p>
          <w:p w14:paraId="201A4373" w14:textId="0D1FAF7B" w:rsidR="00A9217D" w:rsidRPr="0052360E" w:rsidRDefault="00A9217D" w:rsidP="00A9217D">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[1 missing]</w:t>
            </w:r>
          </w:p>
        </w:tc>
        <w:tc>
          <w:tcPr>
            <w:tcW w:w="2835" w:type="dxa"/>
            <w:tcBorders>
              <w:left w:val="nil"/>
              <w:bottom w:val="nil"/>
              <w:right w:val="nil"/>
            </w:tcBorders>
            <w:shd w:val="clear" w:color="auto" w:fill="auto"/>
            <w:noWrap/>
            <w:vAlign w:val="bottom"/>
          </w:tcPr>
          <w:p w14:paraId="24088BED" w14:textId="77777777" w:rsidR="008C3B79" w:rsidRPr="0052360E" w:rsidRDefault="00A9217D" w:rsidP="00A9217D">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 xml:space="preserve">37.2 (18.8-65.1) </w:t>
            </w:r>
          </w:p>
          <w:p w14:paraId="2A9A438F" w14:textId="1B945188" w:rsidR="00A9217D" w:rsidRPr="0052360E" w:rsidRDefault="00A9217D" w:rsidP="00A9217D">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[4 missing]</w:t>
            </w:r>
          </w:p>
        </w:tc>
      </w:tr>
      <w:tr w:rsidR="007D5607" w:rsidRPr="0052360E" w14:paraId="6389B693" w14:textId="2F435A00" w:rsidTr="00A37255">
        <w:trPr>
          <w:trHeight w:val="300"/>
        </w:trPr>
        <w:tc>
          <w:tcPr>
            <w:tcW w:w="5245" w:type="dxa"/>
            <w:gridSpan w:val="2"/>
            <w:tcBorders>
              <w:top w:val="nil"/>
              <w:left w:val="nil"/>
              <w:bottom w:val="nil"/>
              <w:right w:val="nil"/>
            </w:tcBorders>
            <w:shd w:val="clear" w:color="auto" w:fill="auto"/>
            <w:noWrap/>
            <w:hideMark/>
          </w:tcPr>
          <w:p w14:paraId="0740C303" w14:textId="17414FFE" w:rsidR="007D5607" w:rsidRPr="0052360E" w:rsidRDefault="007D560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 xml:space="preserve">Mean sTfR, </w:t>
            </w:r>
            <w:r w:rsidRPr="0052360E">
              <w:rPr>
                <w:rFonts w:ascii="Times New Roman" w:hAnsi="Times New Roman" w:cs="Times New Roman"/>
                <w:sz w:val="24"/>
                <w:szCs w:val="24"/>
              </w:rPr>
              <w:t>µg/ml</w:t>
            </w:r>
            <w:r w:rsidRPr="0052360E">
              <w:rPr>
                <w:rFonts w:ascii="Times New Roman" w:eastAsia="Times New Roman" w:hAnsi="Times New Roman" w:cs="Times New Roman"/>
                <w:color w:val="000000"/>
                <w:sz w:val="24"/>
                <w:szCs w:val="24"/>
                <w:lang w:eastAsia="en-GB"/>
              </w:rPr>
              <w:t xml:space="preserve"> </w:t>
            </w:r>
          </w:p>
        </w:tc>
        <w:tc>
          <w:tcPr>
            <w:tcW w:w="2126" w:type="dxa"/>
            <w:tcBorders>
              <w:top w:val="nil"/>
              <w:left w:val="nil"/>
              <w:bottom w:val="nil"/>
              <w:right w:val="nil"/>
            </w:tcBorders>
            <w:shd w:val="clear" w:color="auto" w:fill="auto"/>
            <w:noWrap/>
            <w:hideMark/>
          </w:tcPr>
          <w:p w14:paraId="62D7DF25" w14:textId="3343E8F5"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3.0 (2.3-4.1)</w:t>
            </w:r>
          </w:p>
          <w:p w14:paraId="5A85F2B3" w14:textId="4F4CD638"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[2 missing]</w:t>
            </w:r>
          </w:p>
        </w:tc>
        <w:tc>
          <w:tcPr>
            <w:tcW w:w="2835" w:type="dxa"/>
            <w:tcBorders>
              <w:top w:val="nil"/>
              <w:left w:val="nil"/>
              <w:bottom w:val="nil"/>
              <w:right w:val="nil"/>
            </w:tcBorders>
            <w:shd w:val="clear" w:color="auto" w:fill="auto"/>
            <w:noWrap/>
            <w:hideMark/>
          </w:tcPr>
          <w:p w14:paraId="64BFCD06" w14:textId="7E53B957"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3.7 (2.8-5.2)</w:t>
            </w:r>
          </w:p>
          <w:p w14:paraId="5FBCA819" w14:textId="2D293CEB"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[6 missing]</w:t>
            </w:r>
          </w:p>
        </w:tc>
      </w:tr>
      <w:tr w:rsidR="007D5607" w:rsidRPr="0052360E" w14:paraId="02E1B367" w14:textId="77777777" w:rsidTr="00A37255">
        <w:trPr>
          <w:trHeight w:val="300"/>
        </w:trPr>
        <w:tc>
          <w:tcPr>
            <w:tcW w:w="5245" w:type="dxa"/>
            <w:gridSpan w:val="2"/>
            <w:tcBorders>
              <w:top w:val="nil"/>
              <w:left w:val="nil"/>
              <w:bottom w:val="nil"/>
              <w:right w:val="nil"/>
            </w:tcBorders>
            <w:shd w:val="clear" w:color="auto" w:fill="auto"/>
            <w:noWrap/>
            <w:vAlign w:val="bottom"/>
          </w:tcPr>
          <w:p w14:paraId="0E1E5C7F" w14:textId="259DBDD3" w:rsidR="007D5607" w:rsidRPr="0052360E" w:rsidRDefault="007D560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hAnsi="Times New Roman" w:cs="Times New Roman"/>
                <w:bCs/>
                <w:sz w:val="24"/>
                <w:szCs w:val="24"/>
                <w:lang w:val="fr-FR"/>
              </w:rPr>
              <w:t>Ratio sTfR(</w:t>
            </w:r>
            <w:r w:rsidRPr="0052360E">
              <w:rPr>
                <w:rFonts w:ascii="Times New Roman" w:hAnsi="Times New Roman" w:cs="Times New Roman"/>
                <w:sz w:val="24"/>
                <w:szCs w:val="24"/>
              </w:rPr>
              <w:t>µg/ml)</w:t>
            </w:r>
            <w:r w:rsidRPr="0052360E">
              <w:rPr>
                <w:rFonts w:ascii="Times New Roman" w:hAnsi="Times New Roman" w:cs="Times New Roman"/>
                <w:bCs/>
                <w:sz w:val="24"/>
                <w:szCs w:val="24"/>
                <w:lang w:val="fr-FR"/>
              </w:rPr>
              <w:t>/log</w:t>
            </w:r>
            <w:r w:rsidRPr="0052360E">
              <w:rPr>
                <w:rFonts w:ascii="Times New Roman" w:hAnsi="Times New Roman" w:cs="Times New Roman"/>
                <w:bCs/>
                <w:sz w:val="24"/>
                <w:szCs w:val="24"/>
                <w:vertAlign w:val="subscript"/>
                <w:lang w:val="fr-FR"/>
              </w:rPr>
              <w:t>10</w:t>
            </w:r>
            <w:r w:rsidRPr="0052360E">
              <w:rPr>
                <w:rFonts w:ascii="Times New Roman" w:hAnsi="Times New Roman" w:cs="Times New Roman"/>
                <w:bCs/>
                <w:sz w:val="24"/>
                <w:szCs w:val="24"/>
                <w:lang w:val="fr-FR"/>
              </w:rPr>
              <w:t xml:space="preserve"> ferritin(</w:t>
            </w:r>
            <w:r w:rsidRPr="0052360E">
              <w:rPr>
                <w:rFonts w:ascii="Times New Roman" w:hAnsi="Times New Roman" w:cs="Times New Roman"/>
                <w:color w:val="000000"/>
                <w:sz w:val="24"/>
                <w:szCs w:val="24"/>
              </w:rPr>
              <w:t>µg/l)</w:t>
            </w:r>
            <w:r w:rsidRPr="0052360E">
              <w:rPr>
                <w:rFonts w:ascii="Times New Roman" w:hAnsi="Times New Roman" w:cs="Times New Roman"/>
                <w:bCs/>
                <w:sz w:val="24"/>
                <w:szCs w:val="24"/>
                <w:lang w:val="fr-FR"/>
              </w:rPr>
              <w:t xml:space="preserve"> &gt;5.6, (%) </w:t>
            </w:r>
            <w:r w:rsidRPr="0052360E">
              <w:rPr>
                <w:rFonts w:ascii="Times New Roman" w:hAnsi="Times New Roman" w:cs="Times New Roman"/>
                <w:bCs/>
                <w:sz w:val="24"/>
                <w:szCs w:val="24"/>
                <w:vertAlign w:val="superscript"/>
                <w:lang w:val="fr-FR"/>
              </w:rPr>
              <w:t>5</w:t>
            </w:r>
          </w:p>
        </w:tc>
        <w:tc>
          <w:tcPr>
            <w:tcW w:w="2126" w:type="dxa"/>
            <w:tcBorders>
              <w:top w:val="nil"/>
              <w:left w:val="nil"/>
              <w:bottom w:val="nil"/>
              <w:right w:val="nil"/>
            </w:tcBorders>
            <w:shd w:val="clear" w:color="auto" w:fill="auto"/>
            <w:noWrap/>
          </w:tcPr>
          <w:p w14:paraId="3DCF2B36" w14:textId="6BF15535"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34/301 (11.3)</w:t>
            </w:r>
          </w:p>
        </w:tc>
        <w:tc>
          <w:tcPr>
            <w:tcW w:w="2835" w:type="dxa"/>
            <w:tcBorders>
              <w:top w:val="nil"/>
              <w:left w:val="nil"/>
              <w:bottom w:val="nil"/>
              <w:right w:val="nil"/>
            </w:tcBorders>
            <w:shd w:val="clear" w:color="auto" w:fill="auto"/>
            <w:noWrap/>
          </w:tcPr>
          <w:p w14:paraId="4FB97D80" w14:textId="62837DDB"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143/706 (20.3)</w:t>
            </w:r>
          </w:p>
        </w:tc>
      </w:tr>
      <w:tr w:rsidR="007D5607" w:rsidRPr="0052360E" w14:paraId="7282C502" w14:textId="522AEB3C" w:rsidTr="00A37255">
        <w:trPr>
          <w:trHeight w:val="300"/>
        </w:trPr>
        <w:tc>
          <w:tcPr>
            <w:tcW w:w="5245" w:type="dxa"/>
            <w:gridSpan w:val="2"/>
            <w:tcBorders>
              <w:top w:val="nil"/>
              <w:left w:val="nil"/>
              <w:bottom w:val="nil"/>
              <w:right w:val="nil"/>
            </w:tcBorders>
            <w:shd w:val="clear" w:color="auto" w:fill="auto"/>
            <w:noWrap/>
            <w:hideMark/>
          </w:tcPr>
          <w:p w14:paraId="352E0A08" w14:textId="637A4191" w:rsidR="007D5607" w:rsidRPr="0052360E" w:rsidRDefault="007D560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 xml:space="preserve">Mean ZPP, </w:t>
            </w:r>
            <w:r w:rsidRPr="0052360E">
              <w:rPr>
                <w:rFonts w:ascii="Times New Roman" w:eastAsia="Times New Roman" w:hAnsi="Times New Roman" w:cs="Times New Roman"/>
                <w:color w:val="000000"/>
                <w:sz w:val="24"/>
                <w:szCs w:val="24"/>
                <w:lang w:val="en-US" w:eastAsia="fr-FR"/>
              </w:rPr>
              <w:t>µmol/mol heme</w:t>
            </w:r>
          </w:p>
        </w:tc>
        <w:tc>
          <w:tcPr>
            <w:tcW w:w="2126" w:type="dxa"/>
            <w:tcBorders>
              <w:top w:val="nil"/>
              <w:left w:val="nil"/>
              <w:bottom w:val="nil"/>
              <w:right w:val="nil"/>
            </w:tcBorders>
            <w:shd w:val="clear" w:color="auto" w:fill="auto"/>
            <w:noWrap/>
            <w:hideMark/>
          </w:tcPr>
          <w:p w14:paraId="76180440" w14:textId="42C9CC4B"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102 (87-120)</w:t>
            </w:r>
          </w:p>
          <w:p w14:paraId="4243AC93" w14:textId="742221A0"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[24 missing]</w:t>
            </w:r>
          </w:p>
        </w:tc>
        <w:tc>
          <w:tcPr>
            <w:tcW w:w="2835" w:type="dxa"/>
            <w:tcBorders>
              <w:top w:val="nil"/>
              <w:left w:val="nil"/>
              <w:bottom w:val="nil"/>
              <w:right w:val="nil"/>
            </w:tcBorders>
            <w:shd w:val="clear" w:color="auto" w:fill="auto"/>
            <w:noWrap/>
            <w:hideMark/>
          </w:tcPr>
          <w:p w14:paraId="548A8808" w14:textId="52AF40B9"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93 (78-115)</w:t>
            </w:r>
          </w:p>
          <w:p w14:paraId="39404ACF" w14:textId="2852CD21"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[2 missing]</w:t>
            </w:r>
          </w:p>
        </w:tc>
      </w:tr>
      <w:tr w:rsidR="00A9217D" w:rsidRPr="0052360E" w14:paraId="7AA59CAC" w14:textId="385AFAF3" w:rsidTr="00A37255">
        <w:trPr>
          <w:trHeight w:val="300"/>
        </w:trPr>
        <w:tc>
          <w:tcPr>
            <w:tcW w:w="5245" w:type="dxa"/>
            <w:gridSpan w:val="2"/>
            <w:tcBorders>
              <w:top w:val="nil"/>
              <w:left w:val="nil"/>
              <w:right w:val="nil"/>
            </w:tcBorders>
            <w:shd w:val="clear" w:color="auto" w:fill="auto"/>
            <w:noWrap/>
          </w:tcPr>
          <w:p w14:paraId="0394E460" w14:textId="6CFA3C8F" w:rsidR="00A9217D" w:rsidRPr="0052360E" w:rsidRDefault="00A9217D" w:rsidP="00A9217D">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 xml:space="preserve">Mean body iron stores, mg/kg </w:t>
            </w:r>
            <w:r w:rsidRPr="0052360E">
              <w:rPr>
                <w:rFonts w:ascii="Times New Roman" w:eastAsia="Times New Roman" w:hAnsi="Times New Roman" w:cs="Times New Roman"/>
                <w:color w:val="000000"/>
                <w:sz w:val="24"/>
                <w:szCs w:val="24"/>
                <w:vertAlign w:val="superscript"/>
                <w:lang w:eastAsia="en-GB"/>
              </w:rPr>
              <w:t>4</w:t>
            </w:r>
          </w:p>
        </w:tc>
        <w:tc>
          <w:tcPr>
            <w:tcW w:w="2126" w:type="dxa"/>
            <w:tcBorders>
              <w:top w:val="nil"/>
              <w:left w:val="nil"/>
              <w:right w:val="nil"/>
            </w:tcBorders>
            <w:shd w:val="clear" w:color="auto" w:fill="auto"/>
            <w:noWrap/>
            <w:vAlign w:val="bottom"/>
          </w:tcPr>
          <w:p w14:paraId="0706D676" w14:textId="77777777" w:rsidR="00A9217D" w:rsidRPr="0052360E" w:rsidRDefault="00A9217D" w:rsidP="00A9217D">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 xml:space="preserve">5.9 (3.8-8.6) </w:t>
            </w:r>
          </w:p>
          <w:p w14:paraId="0209DD3E" w14:textId="2C5E13E8" w:rsidR="00A9217D" w:rsidRPr="0052360E" w:rsidRDefault="00A9217D" w:rsidP="00A9217D">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[2 missing]</w:t>
            </w:r>
          </w:p>
        </w:tc>
        <w:tc>
          <w:tcPr>
            <w:tcW w:w="2835" w:type="dxa"/>
            <w:tcBorders>
              <w:top w:val="nil"/>
              <w:left w:val="nil"/>
              <w:right w:val="nil"/>
            </w:tcBorders>
            <w:shd w:val="clear" w:color="auto" w:fill="auto"/>
            <w:noWrap/>
            <w:vAlign w:val="bottom"/>
          </w:tcPr>
          <w:p w14:paraId="441181E2" w14:textId="77777777" w:rsidR="00A9217D" w:rsidRPr="0052360E" w:rsidRDefault="00A9217D" w:rsidP="00A9217D">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 xml:space="preserve">5.1 (2.3-7.4) </w:t>
            </w:r>
          </w:p>
          <w:p w14:paraId="4F794700" w14:textId="6EB09311" w:rsidR="00A9217D" w:rsidRPr="0052360E" w:rsidRDefault="00A9217D" w:rsidP="00A9217D">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[6 missing]</w:t>
            </w:r>
          </w:p>
        </w:tc>
      </w:tr>
      <w:tr w:rsidR="007D5607" w:rsidRPr="0052360E" w14:paraId="1C91EE50" w14:textId="387A57D3" w:rsidTr="00A37255">
        <w:trPr>
          <w:trHeight w:val="300"/>
        </w:trPr>
        <w:tc>
          <w:tcPr>
            <w:tcW w:w="5245" w:type="dxa"/>
            <w:gridSpan w:val="2"/>
            <w:tcBorders>
              <w:left w:val="nil"/>
              <w:right w:val="nil"/>
            </w:tcBorders>
            <w:shd w:val="clear" w:color="auto" w:fill="auto"/>
            <w:noWrap/>
            <w:hideMark/>
          </w:tcPr>
          <w:p w14:paraId="1DCCC774" w14:textId="1AB34AD1" w:rsidR="007D5607" w:rsidRPr="0052360E" w:rsidRDefault="007D560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Mean hepcidin, µ</w:t>
            </w:r>
            <w:r w:rsidRPr="0052360E">
              <w:rPr>
                <w:rFonts w:ascii="Times New Roman" w:hAnsi="Times New Roman" w:cs="Times New Roman"/>
                <w:color w:val="000000"/>
                <w:sz w:val="24"/>
                <w:szCs w:val="24"/>
              </w:rPr>
              <w:t>mol/ml</w:t>
            </w:r>
          </w:p>
        </w:tc>
        <w:tc>
          <w:tcPr>
            <w:tcW w:w="2126" w:type="dxa"/>
            <w:tcBorders>
              <w:left w:val="nil"/>
              <w:right w:val="nil"/>
            </w:tcBorders>
            <w:shd w:val="clear" w:color="auto" w:fill="auto"/>
            <w:noWrap/>
            <w:hideMark/>
          </w:tcPr>
          <w:p w14:paraId="57A84E6A" w14:textId="21381838"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3.3 (1.1-7.8)</w:t>
            </w:r>
          </w:p>
          <w:p w14:paraId="540C6C01" w14:textId="0005D478"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[4 missing]</w:t>
            </w:r>
          </w:p>
        </w:tc>
        <w:tc>
          <w:tcPr>
            <w:tcW w:w="2835" w:type="dxa"/>
            <w:tcBorders>
              <w:left w:val="nil"/>
              <w:right w:val="nil"/>
            </w:tcBorders>
            <w:shd w:val="clear" w:color="auto" w:fill="auto"/>
            <w:noWrap/>
            <w:hideMark/>
          </w:tcPr>
          <w:p w14:paraId="63EBE898" w14:textId="018E67FC"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3.2 (1.3-6.2</w:t>
            </w:r>
          </w:p>
          <w:p w14:paraId="7B984B69" w14:textId="4F37D522"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[6 missing]</w:t>
            </w:r>
          </w:p>
        </w:tc>
      </w:tr>
      <w:tr w:rsidR="007D5607" w:rsidRPr="0052360E" w14:paraId="213D3F5C" w14:textId="28D92981" w:rsidTr="00A37255">
        <w:trPr>
          <w:trHeight w:val="300"/>
        </w:trPr>
        <w:tc>
          <w:tcPr>
            <w:tcW w:w="5245" w:type="dxa"/>
            <w:gridSpan w:val="2"/>
            <w:tcBorders>
              <w:top w:val="nil"/>
              <w:left w:val="nil"/>
              <w:bottom w:val="single" w:sz="4" w:space="0" w:color="auto"/>
              <w:right w:val="nil"/>
            </w:tcBorders>
            <w:shd w:val="clear" w:color="auto" w:fill="auto"/>
            <w:noWrap/>
            <w:hideMark/>
          </w:tcPr>
          <w:p w14:paraId="25702D95" w14:textId="342737C4" w:rsidR="007D5607" w:rsidRPr="0052360E" w:rsidRDefault="007D560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 xml:space="preserve">Mean CRP, </w:t>
            </w:r>
            <w:r w:rsidRPr="0052360E">
              <w:rPr>
                <w:rFonts w:ascii="Times New Roman" w:hAnsi="Times New Roman" w:cs="Times New Roman"/>
                <w:sz w:val="24"/>
                <w:szCs w:val="24"/>
              </w:rPr>
              <w:t>mg/</w:t>
            </w:r>
            <w:r w:rsidRPr="0052360E">
              <w:rPr>
                <w:rFonts w:ascii="Times New Roman" w:eastAsia="Times New Roman" w:hAnsi="Times New Roman" w:cs="Times New Roman"/>
                <w:color w:val="000000"/>
                <w:sz w:val="24"/>
                <w:szCs w:val="24"/>
                <w:lang w:eastAsia="en-GB"/>
              </w:rPr>
              <w:t>l</w:t>
            </w:r>
          </w:p>
        </w:tc>
        <w:tc>
          <w:tcPr>
            <w:tcW w:w="2126" w:type="dxa"/>
            <w:tcBorders>
              <w:top w:val="nil"/>
              <w:left w:val="nil"/>
              <w:bottom w:val="single" w:sz="4" w:space="0" w:color="auto"/>
              <w:right w:val="nil"/>
            </w:tcBorders>
            <w:shd w:val="clear" w:color="auto" w:fill="auto"/>
            <w:noWrap/>
            <w:hideMark/>
          </w:tcPr>
          <w:p w14:paraId="0E00824A" w14:textId="73BE57DA"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4.4 (1.2-13.0)</w:t>
            </w:r>
          </w:p>
          <w:p w14:paraId="5B9181A6" w14:textId="683D3F0D"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[3 missing]</w:t>
            </w:r>
          </w:p>
        </w:tc>
        <w:tc>
          <w:tcPr>
            <w:tcW w:w="2835" w:type="dxa"/>
            <w:tcBorders>
              <w:top w:val="nil"/>
              <w:left w:val="nil"/>
              <w:bottom w:val="single" w:sz="4" w:space="0" w:color="auto"/>
              <w:right w:val="nil"/>
            </w:tcBorders>
            <w:shd w:val="clear" w:color="auto" w:fill="auto"/>
            <w:noWrap/>
            <w:hideMark/>
          </w:tcPr>
          <w:p w14:paraId="2E1B1272" w14:textId="10A8D57B"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0.6 (0.2-1.5)</w:t>
            </w:r>
          </w:p>
          <w:p w14:paraId="782792F2" w14:textId="3812778C" w:rsidR="007D5607" w:rsidRPr="0052360E" w:rsidRDefault="007D560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[5 missing]</w:t>
            </w:r>
          </w:p>
        </w:tc>
      </w:tr>
    </w:tbl>
    <w:p w14:paraId="11D4DA24" w14:textId="77777777" w:rsidR="008C10E1" w:rsidRPr="0052360E" w:rsidRDefault="008C10E1" w:rsidP="002317AB">
      <w:pPr>
        <w:spacing w:after="0" w:line="276" w:lineRule="auto"/>
        <w:rPr>
          <w:rFonts w:ascii="Times New Roman" w:hAnsi="Times New Roman" w:cs="Times New Roman"/>
          <w:sz w:val="24"/>
          <w:szCs w:val="24"/>
        </w:rPr>
      </w:pPr>
    </w:p>
    <w:p w14:paraId="61C612A3" w14:textId="33C47414" w:rsidR="00641BF2" w:rsidRPr="0052360E" w:rsidRDefault="00641BF2" w:rsidP="008C59EA">
      <w:pPr>
        <w:spacing w:after="0" w:line="276" w:lineRule="auto"/>
        <w:ind w:left="426"/>
        <w:rPr>
          <w:rFonts w:ascii="Times New Roman" w:hAnsi="Times New Roman" w:cs="Times New Roman"/>
          <w:sz w:val="24"/>
          <w:szCs w:val="24"/>
        </w:rPr>
      </w:pPr>
      <w:r w:rsidRPr="0052360E">
        <w:rPr>
          <w:rFonts w:ascii="Times New Roman" w:hAnsi="Times New Roman" w:cs="Times New Roman"/>
          <w:sz w:val="24"/>
          <w:szCs w:val="24"/>
        </w:rPr>
        <w:t xml:space="preserve">MUAC: Mid-Upper Arm Circumference; BMI: body mass index; sTfR: serum transferrin receptor; CRP: C-reactive protein; ANC: Antenatal </w:t>
      </w:r>
      <w:r w:rsidR="008E4ED5" w:rsidRPr="0052360E">
        <w:rPr>
          <w:rFonts w:ascii="Times New Roman" w:hAnsi="Times New Roman" w:cs="Times New Roman"/>
          <w:sz w:val="24"/>
          <w:szCs w:val="24"/>
        </w:rPr>
        <w:t>C</w:t>
      </w:r>
      <w:r w:rsidRPr="0052360E">
        <w:rPr>
          <w:rFonts w:ascii="Times New Roman" w:hAnsi="Times New Roman" w:cs="Times New Roman"/>
          <w:sz w:val="24"/>
          <w:szCs w:val="24"/>
        </w:rPr>
        <w:t>linic visit</w:t>
      </w:r>
      <w:r w:rsidR="00C72C0B" w:rsidRPr="0052360E">
        <w:rPr>
          <w:rFonts w:ascii="Times New Roman" w:hAnsi="Times New Roman" w:cs="Times New Roman"/>
          <w:sz w:val="24"/>
          <w:szCs w:val="24"/>
        </w:rPr>
        <w:t>; Hb:</w:t>
      </w:r>
      <w:r w:rsidR="00A57CEF" w:rsidRPr="0052360E">
        <w:rPr>
          <w:rFonts w:ascii="Times New Roman" w:hAnsi="Times New Roman" w:cs="Times New Roman"/>
          <w:sz w:val="24"/>
          <w:szCs w:val="24"/>
        </w:rPr>
        <w:t xml:space="preserve"> </w:t>
      </w:r>
      <w:r w:rsidR="00C72C0B" w:rsidRPr="0052360E">
        <w:rPr>
          <w:rFonts w:ascii="Times New Roman" w:hAnsi="Times New Roman" w:cs="Times New Roman"/>
          <w:sz w:val="24"/>
          <w:szCs w:val="24"/>
        </w:rPr>
        <w:t>hemoglobin</w:t>
      </w:r>
      <w:r w:rsidR="00713B04" w:rsidRPr="0052360E">
        <w:rPr>
          <w:rFonts w:ascii="Times New Roman" w:hAnsi="Times New Roman" w:cs="Times New Roman"/>
          <w:sz w:val="24"/>
          <w:szCs w:val="24"/>
        </w:rPr>
        <w:t xml:space="preserve"> </w:t>
      </w:r>
    </w:p>
    <w:p w14:paraId="2CDCB7A3" w14:textId="45EA9663" w:rsidR="00EA2C03" w:rsidRPr="0052360E" w:rsidRDefault="00517A05" w:rsidP="008C59EA">
      <w:pPr>
        <w:spacing w:after="0" w:line="276" w:lineRule="auto"/>
        <w:rPr>
          <w:rFonts w:ascii="Times New Roman" w:hAnsi="Times New Roman" w:cs="Times New Roman"/>
          <w:sz w:val="24"/>
          <w:szCs w:val="24"/>
        </w:rPr>
      </w:pPr>
      <w:r w:rsidRPr="0052360E">
        <w:rPr>
          <w:rFonts w:ascii="Times New Roman" w:hAnsi="Times New Roman" w:cs="Times New Roman"/>
          <w:sz w:val="24"/>
          <w:szCs w:val="24"/>
          <w:vertAlign w:val="superscript"/>
        </w:rPr>
        <w:t xml:space="preserve">           </w:t>
      </w:r>
      <w:r w:rsidR="00425408" w:rsidRPr="0052360E">
        <w:rPr>
          <w:rFonts w:ascii="Times New Roman" w:hAnsi="Times New Roman" w:cs="Times New Roman"/>
          <w:sz w:val="24"/>
          <w:szCs w:val="24"/>
          <w:vertAlign w:val="superscript"/>
        </w:rPr>
        <w:t xml:space="preserve">1 </w:t>
      </w:r>
      <w:r w:rsidR="002317AB" w:rsidRPr="0052360E">
        <w:rPr>
          <w:rFonts w:ascii="Times New Roman" w:hAnsi="Times New Roman" w:cs="Times New Roman"/>
          <w:sz w:val="24"/>
          <w:szCs w:val="24"/>
          <w:vertAlign w:val="superscript"/>
        </w:rPr>
        <w:t xml:space="preserve"> </w:t>
      </w:r>
      <w:r w:rsidR="00425408" w:rsidRPr="0052360E">
        <w:rPr>
          <w:rFonts w:ascii="Times New Roman" w:hAnsi="Times New Roman" w:cs="Times New Roman"/>
          <w:sz w:val="24"/>
          <w:szCs w:val="24"/>
          <w:vertAlign w:val="superscript"/>
        </w:rPr>
        <w:t xml:space="preserve"> </w:t>
      </w:r>
      <w:r w:rsidR="00425408" w:rsidRPr="0052360E">
        <w:rPr>
          <w:rFonts w:ascii="Times New Roman" w:hAnsi="Times New Roman" w:cs="Times New Roman"/>
          <w:sz w:val="24"/>
          <w:szCs w:val="24"/>
        </w:rPr>
        <w:t>Brack</w:t>
      </w:r>
      <w:r w:rsidR="00410B1A" w:rsidRPr="0052360E">
        <w:rPr>
          <w:rFonts w:ascii="Times New Roman" w:hAnsi="Times New Roman" w:cs="Times New Roman"/>
          <w:sz w:val="24"/>
          <w:szCs w:val="24"/>
        </w:rPr>
        <w:t>ets:</w:t>
      </w:r>
      <w:r w:rsidR="00584BBE" w:rsidRPr="0052360E">
        <w:rPr>
          <w:rFonts w:ascii="Times New Roman" w:hAnsi="Times New Roman" w:cs="Times New Roman"/>
          <w:sz w:val="24"/>
          <w:szCs w:val="24"/>
        </w:rPr>
        <w:t xml:space="preserve"> </w:t>
      </w:r>
      <w:r w:rsidR="00410B1A" w:rsidRPr="0052360E">
        <w:rPr>
          <w:rFonts w:ascii="Times New Roman" w:hAnsi="Times New Roman" w:cs="Times New Roman"/>
          <w:sz w:val="24"/>
          <w:szCs w:val="24"/>
        </w:rPr>
        <w:t>inter</w:t>
      </w:r>
      <w:r w:rsidR="00425408" w:rsidRPr="0052360E">
        <w:rPr>
          <w:rFonts w:ascii="Times New Roman" w:hAnsi="Times New Roman" w:cs="Times New Roman"/>
          <w:sz w:val="24"/>
          <w:szCs w:val="24"/>
        </w:rPr>
        <w:t>quartile range, or %</w:t>
      </w:r>
    </w:p>
    <w:p w14:paraId="12716423" w14:textId="059A1D88" w:rsidR="00EA2C03" w:rsidRPr="0052360E" w:rsidRDefault="00EA2C03" w:rsidP="008C59EA">
      <w:pPr>
        <w:spacing w:after="0" w:line="276" w:lineRule="auto"/>
        <w:ind w:left="567" w:hanging="141"/>
        <w:rPr>
          <w:rFonts w:ascii="Times New Roman" w:hAnsi="Times New Roman" w:cs="Times New Roman"/>
          <w:sz w:val="24"/>
          <w:szCs w:val="24"/>
        </w:rPr>
      </w:pPr>
      <w:r w:rsidRPr="0052360E">
        <w:rPr>
          <w:rFonts w:ascii="Times New Roman" w:hAnsi="Times New Roman" w:cs="Times New Roman"/>
          <w:sz w:val="24"/>
          <w:szCs w:val="24"/>
          <w:vertAlign w:val="superscript"/>
        </w:rPr>
        <w:t>2</w:t>
      </w:r>
      <w:r w:rsidRPr="0052360E">
        <w:rPr>
          <w:rFonts w:ascii="Times New Roman" w:hAnsi="Times New Roman" w:cs="Times New Roman"/>
          <w:sz w:val="24"/>
          <w:szCs w:val="24"/>
        </w:rPr>
        <w:t xml:space="preserve"> </w:t>
      </w:r>
      <w:r w:rsidR="002317AB" w:rsidRPr="0052360E">
        <w:rPr>
          <w:rFonts w:ascii="Times New Roman" w:hAnsi="Times New Roman" w:cs="Times New Roman"/>
          <w:sz w:val="24"/>
          <w:szCs w:val="24"/>
        </w:rPr>
        <w:t xml:space="preserve"> </w:t>
      </w:r>
      <w:r w:rsidR="00C656BE" w:rsidRPr="0052360E">
        <w:rPr>
          <w:rFonts w:ascii="Times New Roman" w:hAnsi="Times New Roman" w:cs="Times New Roman"/>
          <w:sz w:val="24"/>
          <w:szCs w:val="24"/>
        </w:rPr>
        <w:t>I</w:t>
      </w:r>
      <w:r w:rsidR="008969CD" w:rsidRPr="0052360E">
        <w:rPr>
          <w:rFonts w:ascii="Times New Roman" w:hAnsi="Times New Roman" w:cs="Times New Roman"/>
          <w:sz w:val="24"/>
          <w:szCs w:val="24"/>
        </w:rPr>
        <w:t>ncludes pregnancies identified at, or shortly after end assessment</w:t>
      </w:r>
    </w:p>
    <w:p w14:paraId="246D3C4F" w14:textId="4DBC0269" w:rsidR="00EA2C03" w:rsidRPr="0052360E" w:rsidRDefault="00EA2C03" w:rsidP="008C59EA">
      <w:pPr>
        <w:spacing w:after="0" w:line="276" w:lineRule="auto"/>
        <w:ind w:left="426"/>
        <w:rPr>
          <w:rFonts w:ascii="Times New Roman" w:hAnsi="Times New Roman" w:cs="Times New Roman"/>
          <w:sz w:val="24"/>
          <w:szCs w:val="24"/>
          <w:lang w:val="fr-FR"/>
        </w:rPr>
      </w:pPr>
      <w:r w:rsidRPr="0052360E">
        <w:rPr>
          <w:rFonts w:ascii="Times New Roman" w:hAnsi="Times New Roman" w:cs="Times New Roman"/>
          <w:sz w:val="24"/>
          <w:szCs w:val="24"/>
          <w:vertAlign w:val="superscript"/>
        </w:rPr>
        <w:t>3</w:t>
      </w:r>
      <w:r w:rsidR="002317AB" w:rsidRPr="0052360E">
        <w:rPr>
          <w:rFonts w:ascii="Times New Roman" w:hAnsi="Times New Roman" w:cs="Times New Roman"/>
          <w:sz w:val="24"/>
          <w:szCs w:val="24"/>
          <w:vertAlign w:val="superscript"/>
        </w:rPr>
        <w:t xml:space="preserve"> </w:t>
      </w:r>
      <w:r w:rsidRPr="0052360E">
        <w:rPr>
          <w:rFonts w:ascii="Times New Roman" w:hAnsi="Times New Roman" w:cs="Times New Roman"/>
          <w:sz w:val="24"/>
          <w:szCs w:val="24"/>
        </w:rPr>
        <w:t xml:space="preserve"> </w:t>
      </w:r>
      <w:r w:rsidRPr="0052360E">
        <w:rPr>
          <w:rFonts w:ascii="Times New Roman" w:hAnsi="Times New Roman" w:cs="Times New Roman"/>
          <w:sz w:val="24"/>
          <w:szCs w:val="24"/>
          <w:lang w:val="fr-FR"/>
        </w:rPr>
        <w:t>Menarcheal n= 621; non-menarcheal n = 91</w:t>
      </w:r>
    </w:p>
    <w:p w14:paraId="479BB31D" w14:textId="5FA0CFB0" w:rsidR="00517A05" w:rsidRPr="0052360E" w:rsidRDefault="00517A05" w:rsidP="008C59EA">
      <w:pPr>
        <w:spacing w:after="0" w:line="276" w:lineRule="auto"/>
        <w:ind w:left="567" w:hanging="567"/>
        <w:rPr>
          <w:rFonts w:ascii="Times New Roman" w:hAnsi="Times New Roman"/>
          <w:bCs/>
          <w:i/>
          <w:sz w:val="24"/>
          <w:szCs w:val="24"/>
        </w:rPr>
      </w:pPr>
      <w:r w:rsidRPr="0052360E">
        <w:rPr>
          <w:rFonts w:ascii="Times New Roman" w:hAnsi="Times New Roman" w:cs="Times New Roman"/>
          <w:sz w:val="24"/>
          <w:szCs w:val="24"/>
          <w:vertAlign w:val="superscript"/>
          <w:lang w:val="fr-FR"/>
        </w:rPr>
        <w:t xml:space="preserve">          4</w:t>
      </w:r>
      <w:r w:rsidRPr="0052360E">
        <w:rPr>
          <w:rFonts w:ascii="Times New Roman" w:hAnsi="Times New Roman" w:cs="Times New Roman"/>
          <w:sz w:val="24"/>
          <w:szCs w:val="24"/>
          <w:lang w:val="fr-FR"/>
        </w:rPr>
        <w:t xml:space="preserve"> </w:t>
      </w:r>
      <w:bookmarkStart w:id="2" w:name="_Hlk1759751"/>
      <w:r w:rsidR="002317AB" w:rsidRPr="0052360E">
        <w:rPr>
          <w:rFonts w:ascii="Times New Roman" w:hAnsi="Times New Roman" w:cs="Times New Roman"/>
          <w:sz w:val="24"/>
          <w:szCs w:val="24"/>
          <w:lang w:val="fr-FR"/>
        </w:rPr>
        <w:t xml:space="preserve"> </w:t>
      </w:r>
      <w:r w:rsidRPr="0052360E">
        <w:rPr>
          <w:rFonts w:ascii="Times New Roman" w:hAnsi="Times New Roman" w:cs="Times New Roman"/>
          <w:sz w:val="24"/>
          <w:szCs w:val="24"/>
          <w:lang w:val="fr-FR"/>
        </w:rPr>
        <w:t xml:space="preserve">Ferritin estimated using </w:t>
      </w:r>
      <w:r w:rsidRPr="0052360E">
        <w:rPr>
          <w:rFonts w:ascii="Times New Roman" w:hAnsi="Times New Roman"/>
          <w:bCs/>
          <w:sz w:val="24"/>
          <w:szCs w:val="24"/>
        </w:rPr>
        <w:t xml:space="preserve">an internal regression correction approach allowing for inflammation based on CRP as described by Namaste </w:t>
      </w:r>
      <w:r w:rsidRPr="0052360E">
        <w:rPr>
          <w:rFonts w:ascii="Times New Roman" w:hAnsi="Times New Roman"/>
          <w:bCs/>
          <w:i/>
          <w:sz w:val="24"/>
          <w:szCs w:val="24"/>
        </w:rPr>
        <w:t>et al</w:t>
      </w:r>
      <w:r w:rsidRPr="0052360E">
        <w:rPr>
          <w:rFonts w:ascii="Times New Roman" w:hAnsi="Times New Roman"/>
          <w:bCs/>
          <w:sz w:val="24"/>
          <w:szCs w:val="24"/>
        </w:rPr>
        <w:t>.</w:t>
      </w:r>
      <w:r w:rsidR="00EA4842" w:rsidRPr="0052360E">
        <w:rPr>
          <w:rFonts w:ascii="Times New Roman" w:hAnsi="Times New Roman"/>
          <w:bCs/>
          <w:sz w:val="24"/>
          <w:szCs w:val="24"/>
          <w:vertAlign w:val="superscript"/>
        </w:rPr>
        <w:t>23</w:t>
      </w:r>
    </w:p>
    <w:bookmarkEnd w:id="2"/>
    <w:p w14:paraId="2CF70033" w14:textId="1B95E550" w:rsidR="005938BA" w:rsidRPr="0052360E" w:rsidRDefault="00584BBE" w:rsidP="008C59EA">
      <w:pPr>
        <w:spacing w:after="0" w:line="276" w:lineRule="auto"/>
        <w:ind w:left="567" w:hanging="567"/>
        <w:rPr>
          <w:rFonts w:ascii="Times New Roman" w:hAnsi="Times New Roman"/>
          <w:bCs/>
          <w:sz w:val="24"/>
          <w:szCs w:val="24"/>
        </w:rPr>
      </w:pPr>
      <w:r w:rsidRPr="0052360E">
        <w:rPr>
          <w:rFonts w:ascii="Times New Roman" w:hAnsi="Times New Roman"/>
          <w:bCs/>
          <w:sz w:val="24"/>
          <w:szCs w:val="24"/>
          <w:vertAlign w:val="superscript"/>
        </w:rPr>
        <w:t xml:space="preserve">          </w:t>
      </w:r>
      <w:r w:rsidR="00517A05" w:rsidRPr="0052360E">
        <w:rPr>
          <w:rFonts w:ascii="Times New Roman" w:hAnsi="Times New Roman"/>
          <w:bCs/>
          <w:sz w:val="24"/>
          <w:szCs w:val="24"/>
          <w:vertAlign w:val="superscript"/>
        </w:rPr>
        <w:t>5</w:t>
      </w:r>
      <w:r w:rsidRPr="0052360E">
        <w:rPr>
          <w:rFonts w:ascii="Times New Roman" w:hAnsi="Times New Roman"/>
          <w:bCs/>
          <w:sz w:val="24"/>
          <w:szCs w:val="24"/>
          <w:vertAlign w:val="superscript"/>
        </w:rPr>
        <w:t xml:space="preserve"> </w:t>
      </w:r>
      <w:r w:rsidR="002317AB" w:rsidRPr="0052360E">
        <w:rPr>
          <w:rFonts w:ascii="Times New Roman" w:hAnsi="Times New Roman"/>
          <w:bCs/>
          <w:sz w:val="24"/>
          <w:szCs w:val="24"/>
          <w:vertAlign w:val="superscript"/>
        </w:rPr>
        <w:t xml:space="preserve"> </w:t>
      </w:r>
      <w:r w:rsidRPr="0052360E">
        <w:rPr>
          <w:rFonts w:ascii="Times New Roman" w:hAnsi="Times New Roman"/>
          <w:bCs/>
          <w:sz w:val="24"/>
          <w:szCs w:val="24"/>
          <w:vertAlign w:val="superscript"/>
        </w:rPr>
        <w:t xml:space="preserve"> </w:t>
      </w:r>
      <w:r w:rsidRPr="0052360E">
        <w:rPr>
          <w:rFonts w:ascii="Times New Roman" w:hAnsi="Times New Roman"/>
          <w:bCs/>
          <w:sz w:val="24"/>
          <w:szCs w:val="24"/>
        </w:rPr>
        <w:t>Ratio sTfR/log</w:t>
      </w:r>
      <w:r w:rsidRPr="0052360E">
        <w:rPr>
          <w:rFonts w:ascii="Times New Roman" w:hAnsi="Times New Roman"/>
          <w:bCs/>
          <w:sz w:val="24"/>
          <w:szCs w:val="24"/>
          <w:vertAlign w:val="subscript"/>
        </w:rPr>
        <w:t>10</w:t>
      </w:r>
      <w:r w:rsidRPr="0052360E">
        <w:rPr>
          <w:rFonts w:ascii="Times New Roman" w:hAnsi="Times New Roman"/>
          <w:bCs/>
          <w:sz w:val="24"/>
          <w:szCs w:val="24"/>
        </w:rPr>
        <w:t xml:space="preserve"> ferritin provides estimate of proportion iron deficien</w:t>
      </w:r>
      <w:r w:rsidR="00E651A4" w:rsidRPr="0052360E">
        <w:rPr>
          <w:rFonts w:ascii="Times New Roman" w:hAnsi="Times New Roman"/>
          <w:bCs/>
          <w:sz w:val="24"/>
          <w:szCs w:val="24"/>
        </w:rPr>
        <w:t>t</w:t>
      </w:r>
      <w:r w:rsidR="002317AB" w:rsidRPr="0052360E">
        <w:rPr>
          <w:rFonts w:ascii="Times New Roman" w:hAnsi="Times New Roman"/>
          <w:bCs/>
          <w:sz w:val="24"/>
          <w:szCs w:val="24"/>
        </w:rPr>
        <w:t>.</w:t>
      </w:r>
      <w:r w:rsidR="002317AB" w:rsidRPr="0052360E">
        <w:rPr>
          <w:rFonts w:ascii="Times New Roman" w:hAnsi="Times New Roman"/>
          <w:bCs/>
          <w:sz w:val="24"/>
          <w:szCs w:val="24"/>
          <w:vertAlign w:val="superscript"/>
        </w:rPr>
        <w:t xml:space="preserve"> 21</w:t>
      </w:r>
    </w:p>
    <w:p w14:paraId="6AF08C45" w14:textId="77777777" w:rsidR="005938BA" w:rsidRPr="0052360E" w:rsidRDefault="005938BA" w:rsidP="008C59EA">
      <w:pPr>
        <w:spacing w:after="0" w:line="276" w:lineRule="auto"/>
        <w:ind w:left="567" w:hanging="567"/>
        <w:rPr>
          <w:rFonts w:ascii="Times New Roman" w:hAnsi="Times New Roman"/>
          <w:bCs/>
          <w:sz w:val="24"/>
          <w:szCs w:val="24"/>
        </w:rPr>
      </w:pPr>
    </w:p>
    <w:p w14:paraId="344ABC71" w14:textId="77777777" w:rsidR="005938BA" w:rsidRPr="0052360E" w:rsidRDefault="005938BA" w:rsidP="008C59EA">
      <w:pPr>
        <w:spacing w:after="0" w:line="480" w:lineRule="auto"/>
        <w:ind w:left="567" w:hanging="567"/>
        <w:rPr>
          <w:rFonts w:ascii="Times New Roman" w:hAnsi="Times New Roman" w:cs="Times New Roman"/>
          <w:sz w:val="24"/>
          <w:szCs w:val="24"/>
          <w:vertAlign w:val="superscript"/>
          <w:lang w:val="fr-FR"/>
        </w:rPr>
      </w:pPr>
    </w:p>
    <w:p w14:paraId="2B20C1BE" w14:textId="77777777" w:rsidR="005938BA" w:rsidRPr="0052360E" w:rsidRDefault="005938BA" w:rsidP="008C59EA">
      <w:pPr>
        <w:spacing w:line="480" w:lineRule="auto"/>
        <w:rPr>
          <w:b/>
          <w:sz w:val="24"/>
          <w:szCs w:val="24"/>
          <w:lang w:val="fr-FR"/>
        </w:rPr>
      </w:pPr>
    </w:p>
    <w:p w14:paraId="59E14356" w14:textId="77777777" w:rsidR="005938BA" w:rsidRPr="0052360E" w:rsidRDefault="005938BA" w:rsidP="008C59EA">
      <w:pPr>
        <w:spacing w:line="480" w:lineRule="auto"/>
        <w:rPr>
          <w:b/>
          <w:sz w:val="24"/>
          <w:szCs w:val="24"/>
          <w:lang w:val="fr-FR"/>
        </w:rPr>
      </w:pPr>
    </w:p>
    <w:p w14:paraId="2856958E" w14:textId="77777777" w:rsidR="005938BA" w:rsidRPr="0052360E" w:rsidRDefault="005938BA" w:rsidP="008C59EA">
      <w:pPr>
        <w:spacing w:line="480" w:lineRule="auto"/>
        <w:rPr>
          <w:b/>
          <w:sz w:val="24"/>
          <w:szCs w:val="24"/>
          <w:lang w:val="fr-FR"/>
        </w:rPr>
      </w:pPr>
    </w:p>
    <w:p w14:paraId="5919458B" w14:textId="77777777" w:rsidR="005938BA" w:rsidRPr="0052360E" w:rsidRDefault="005938BA" w:rsidP="008C59EA">
      <w:pPr>
        <w:spacing w:line="480" w:lineRule="auto"/>
        <w:rPr>
          <w:b/>
          <w:sz w:val="24"/>
          <w:szCs w:val="24"/>
          <w:lang w:val="fr-FR"/>
        </w:rPr>
      </w:pPr>
    </w:p>
    <w:p w14:paraId="7959907B" w14:textId="77777777" w:rsidR="005938BA" w:rsidRPr="0052360E" w:rsidRDefault="005938BA" w:rsidP="008C59EA">
      <w:pPr>
        <w:spacing w:line="480" w:lineRule="auto"/>
        <w:rPr>
          <w:b/>
          <w:sz w:val="24"/>
          <w:szCs w:val="24"/>
          <w:lang w:val="fr-FR"/>
        </w:rPr>
      </w:pPr>
    </w:p>
    <w:p w14:paraId="0C16B33F" w14:textId="77777777" w:rsidR="005938BA" w:rsidRPr="0052360E" w:rsidRDefault="005938BA" w:rsidP="008C59EA">
      <w:pPr>
        <w:spacing w:line="480" w:lineRule="auto"/>
        <w:rPr>
          <w:b/>
          <w:sz w:val="24"/>
          <w:szCs w:val="24"/>
          <w:lang w:val="fr-FR"/>
        </w:rPr>
      </w:pPr>
    </w:p>
    <w:p w14:paraId="0865170A" w14:textId="77777777" w:rsidR="005938BA" w:rsidRPr="0052360E" w:rsidRDefault="005938BA" w:rsidP="008C59EA">
      <w:pPr>
        <w:spacing w:line="480" w:lineRule="auto"/>
        <w:rPr>
          <w:b/>
          <w:sz w:val="24"/>
          <w:szCs w:val="24"/>
          <w:lang w:val="fr-FR"/>
        </w:rPr>
      </w:pPr>
    </w:p>
    <w:p w14:paraId="1C6B2421" w14:textId="77777777" w:rsidR="005938BA" w:rsidRPr="0052360E" w:rsidRDefault="005938BA" w:rsidP="008C59EA">
      <w:pPr>
        <w:spacing w:line="480" w:lineRule="auto"/>
        <w:rPr>
          <w:b/>
          <w:sz w:val="24"/>
          <w:szCs w:val="24"/>
          <w:lang w:val="fr-FR"/>
        </w:rPr>
      </w:pPr>
    </w:p>
    <w:p w14:paraId="11668669" w14:textId="77777777" w:rsidR="005938BA" w:rsidRPr="0052360E" w:rsidRDefault="005938BA" w:rsidP="008C59EA">
      <w:pPr>
        <w:spacing w:line="480" w:lineRule="auto"/>
        <w:rPr>
          <w:b/>
          <w:sz w:val="24"/>
          <w:szCs w:val="24"/>
          <w:lang w:val="fr-FR"/>
        </w:rPr>
      </w:pPr>
    </w:p>
    <w:p w14:paraId="45F59975" w14:textId="77777777" w:rsidR="005938BA" w:rsidRPr="0052360E" w:rsidRDefault="005938BA" w:rsidP="008C59EA">
      <w:pPr>
        <w:spacing w:line="480" w:lineRule="auto"/>
        <w:rPr>
          <w:b/>
          <w:sz w:val="24"/>
          <w:szCs w:val="24"/>
          <w:lang w:val="fr-FR"/>
        </w:rPr>
      </w:pPr>
    </w:p>
    <w:p w14:paraId="446989E3" w14:textId="77777777" w:rsidR="00A37255" w:rsidRPr="0052360E" w:rsidRDefault="00A37255" w:rsidP="008C59EA">
      <w:pPr>
        <w:spacing w:after="0" w:line="276" w:lineRule="auto"/>
        <w:ind w:left="1134" w:hanging="850"/>
        <w:rPr>
          <w:rFonts w:ascii="Times New Roman" w:hAnsi="Times New Roman" w:cs="Times New Roman"/>
          <w:b/>
          <w:sz w:val="24"/>
          <w:szCs w:val="24"/>
          <w:lang w:val="fr-FR"/>
        </w:rPr>
      </w:pPr>
    </w:p>
    <w:p w14:paraId="62305BCD" w14:textId="77777777" w:rsidR="00A37255" w:rsidRPr="0052360E" w:rsidRDefault="00A37255" w:rsidP="008C59EA">
      <w:pPr>
        <w:spacing w:after="0" w:line="276" w:lineRule="auto"/>
        <w:ind w:left="1134" w:hanging="850"/>
        <w:rPr>
          <w:rFonts w:ascii="Times New Roman" w:hAnsi="Times New Roman" w:cs="Times New Roman"/>
          <w:b/>
          <w:sz w:val="24"/>
          <w:szCs w:val="24"/>
          <w:lang w:val="fr-FR"/>
        </w:rPr>
      </w:pPr>
    </w:p>
    <w:p w14:paraId="5869AF32" w14:textId="77777777" w:rsidR="00A37255" w:rsidRPr="0052360E" w:rsidRDefault="00A37255" w:rsidP="008C59EA">
      <w:pPr>
        <w:spacing w:after="0" w:line="276" w:lineRule="auto"/>
        <w:ind w:left="1134" w:hanging="850"/>
        <w:rPr>
          <w:rFonts w:ascii="Times New Roman" w:hAnsi="Times New Roman" w:cs="Times New Roman"/>
          <w:b/>
          <w:sz w:val="24"/>
          <w:szCs w:val="24"/>
          <w:lang w:val="fr-FR"/>
        </w:rPr>
      </w:pPr>
    </w:p>
    <w:p w14:paraId="5C348190" w14:textId="77777777" w:rsidR="00A37255" w:rsidRPr="0052360E" w:rsidRDefault="00A37255" w:rsidP="008C59EA">
      <w:pPr>
        <w:spacing w:after="0" w:line="276" w:lineRule="auto"/>
        <w:ind w:left="1134" w:hanging="850"/>
        <w:rPr>
          <w:rFonts w:ascii="Times New Roman" w:hAnsi="Times New Roman" w:cs="Times New Roman"/>
          <w:b/>
          <w:sz w:val="24"/>
          <w:szCs w:val="24"/>
          <w:lang w:val="fr-FR"/>
        </w:rPr>
      </w:pPr>
    </w:p>
    <w:p w14:paraId="0B38E482" w14:textId="77777777" w:rsidR="00A37255" w:rsidRPr="0052360E" w:rsidRDefault="00A37255" w:rsidP="008C59EA">
      <w:pPr>
        <w:spacing w:after="0" w:line="276" w:lineRule="auto"/>
        <w:ind w:left="1134" w:hanging="850"/>
        <w:rPr>
          <w:rFonts w:ascii="Times New Roman" w:hAnsi="Times New Roman" w:cs="Times New Roman"/>
          <w:b/>
          <w:sz w:val="24"/>
          <w:szCs w:val="24"/>
          <w:lang w:val="fr-FR"/>
        </w:rPr>
      </w:pPr>
    </w:p>
    <w:p w14:paraId="58D558F4" w14:textId="77777777" w:rsidR="00A37255" w:rsidRPr="0052360E" w:rsidRDefault="00A37255" w:rsidP="008C59EA">
      <w:pPr>
        <w:spacing w:after="0" w:line="276" w:lineRule="auto"/>
        <w:ind w:left="1134" w:hanging="850"/>
        <w:rPr>
          <w:rFonts w:ascii="Times New Roman" w:hAnsi="Times New Roman" w:cs="Times New Roman"/>
          <w:b/>
          <w:sz w:val="24"/>
          <w:szCs w:val="24"/>
          <w:lang w:val="fr-FR"/>
        </w:rPr>
      </w:pPr>
    </w:p>
    <w:p w14:paraId="12F228ED" w14:textId="77777777" w:rsidR="00A37255" w:rsidRPr="0052360E" w:rsidRDefault="00A37255" w:rsidP="008C59EA">
      <w:pPr>
        <w:spacing w:after="0" w:line="276" w:lineRule="auto"/>
        <w:ind w:left="1134" w:hanging="850"/>
        <w:rPr>
          <w:rFonts w:ascii="Times New Roman" w:hAnsi="Times New Roman" w:cs="Times New Roman"/>
          <w:b/>
          <w:sz w:val="24"/>
          <w:szCs w:val="24"/>
          <w:lang w:val="fr-FR"/>
        </w:rPr>
      </w:pPr>
    </w:p>
    <w:p w14:paraId="1C53AFC8" w14:textId="77777777" w:rsidR="00A37255" w:rsidRPr="0052360E" w:rsidRDefault="00A37255" w:rsidP="008C59EA">
      <w:pPr>
        <w:spacing w:after="0" w:line="276" w:lineRule="auto"/>
        <w:ind w:left="1134" w:hanging="850"/>
        <w:rPr>
          <w:rFonts w:ascii="Times New Roman" w:hAnsi="Times New Roman" w:cs="Times New Roman"/>
          <w:b/>
          <w:sz w:val="24"/>
          <w:szCs w:val="24"/>
          <w:lang w:val="fr-FR"/>
        </w:rPr>
      </w:pPr>
    </w:p>
    <w:p w14:paraId="0AB67434" w14:textId="77777777" w:rsidR="00A37255" w:rsidRPr="0052360E" w:rsidRDefault="00A37255" w:rsidP="008C59EA">
      <w:pPr>
        <w:spacing w:after="0" w:line="276" w:lineRule="auto"/>
        <w:ind w:left="1134" w:hanging="850"/>
        <w:rPr>
          <w:rFonts w:ascii="Times New Roman" w:hAnsi="Times New Roman" w:cs="Times New Roman"/>
          <w:b/>
          <w:sz w:val="24"/>
          <w:szCs w:val="24"/>
          <w:lang w:val="fr-FR"/>
        </w:rPr>
      </w:pPr>
    </w:p>
    <w:p w14:paraId="23D240D7" w14:textId="77777777" w:rsidR="00A37255" w:rsidRPr="0052360E" w:rsidRDefault="00A37255" w:rsidP="008C59EA">
      <w:pPr>
        <w:spacing w:after="0" w:line="276" w:lineRule="auto"/>
        <w:ind w:left="1134" w:hanging="850"/>
        <w:rPr>
          <w:rFonts w:ascii="Times New Roman" w:hAnsi="Times New Roman" w:cs="Times New Roman"/>
          <w:b/>
          <w:sz w:val="24"/>
          <w:szCs w:val="24"/>
          <w:lang w:val="fr-FR"/>
        </w:rPr>
      </w:pPr>
    </w:p>
    <w:p w14:paraId="4BB60471" w14:textId="77777777" w:rsidR="00A37255" w:rsidRPr="0052360E" w:rsidRDefault="00A37255" w:rsidP="008C59EA">
      <w:pPr>
        <w:spacing w:after="0" w:line="276" w:lineRule="auto"/>
        <w:ind w:left="1134" w:hanging="850"/>
        <w:rPr>
          <w:rFonts w:ascii="Times New Roman" w:hAnsi="Times New Roman" w:cs="Times New Roman"/>
          <w:b/>
          <w:sz w:val="24"/>
          <w:szCs w:val="24"/>
          <w:lang w:val="fr-FR"/>
        </w:rPr>
      </w:pPr>
    </w:p>
    <w:p w14:paraId="187C0804" w14:textId="77777777" w:rsidR="002317AB" w:rsidRPr="0052360E" w:rsidRDefault="002317AB" w:rsidP="002317AB">
      <w:pPr>
        <w:spacing w:after="0" w:line="276" w:lineRule="auto"/>
        <w:rPr>
          <w:rFonts w:ascii="Times New Roman" w:hAnsi="Times New Roman" w:cs="Times New Roman"/>
          <w:b/>
          <w:sz w:val="24"/>
          <w:szCs w:val="24"/>
          <w:lang w:val="fr-FR"/>
        </w:rPr>
      </w:pPr>
    </w:p>
    <w:p w14:paraId="48584327" w14:textId="77777777" w:rsidR="002317AB" w:rsidRPr="0052360E" w:rsidRDefault="002317AB" w:rsidP="002317AB">
      <w:pPr>
        <w:spacing w:after="0" w:line="276" w:lineRule="auto"/>
        <w:rPr>
          <w:rFonts w:ascii="Times New Roman" w:hAnsi="Times New Roman" w:cs="Times New Roman"/>
          <w:b/>
          <w:sz w:val="24"/>
          <w:szCs w:val="24"/>
          <w:lang w:val="fr-FR"/>
        </w:rPr>
      </w:pPr>
    </w:p>
    <w:p w14:paraId="43C151F6" w14:textId="77777777" w:rsidR="00D479F7" w:rsidRPr="0052360E" w:rsidRDefault="00E87B11" w:rsidP="002317AB">
      <w:pPr>
        <w:spacing w:after="0" w:line="276" w:lineRule="auto"/>
        <w:rPr>
          <w:rFonts w:ascii="Times New Roman" w:hAnsi="Times New Roman" w:cs="Times New Roman"/>
          <w:b/>
          <w:sz w:val="24"/>
          <w:szCs w:val="24"/>
          <w:lang w:val="fr-FR"/>
        </w:rPr>
      </w:pPr>
      <w:r w:rsidRPr="0052360E">
        <w:rPr>
          <w:rFonts w:ascii="Times New Roman" w:hAnsi="Times New Roman" w:cs="Times New Roman"/>
          <w:b/>
          <w:sz w:val="24"/>
          <w:szCs w:val="24"/>
          <w:lang w:val="fr-FR"/>
        </w:rPr>
        <w:t xml:space="preserve">     </w:t>
      </w:r>
    </w:p>
    <w:p w14:paraId="04B2436E" w14:textId="77777777" w:rsidR="00D479F7" w:rsidRPr="0052360E" w:rsidRDefault="00D479F7" w:rsidP="002317AB">
      <w:pPr>
        <w:spacing w:after="0" w:line="276" w:lineRule="auto"/>
        <w:rPr>
          <w:rFonts w:ascii="Times New Roman" w:hAnsi="Times New Roman" w:cs="Times New Roman"/>
          <w:b/>
          <w:sz w:val="24"/>
          <w:szCs w:val="24"/>
          <w:lang w:val="fr-FR"/>
        </w:rPr>
      </w:pPr>
    </w:p>
    <w:p w14:paraId="2D79E07C" w14:textId="4E618A5D" w:rsidR="007D5607" w:rsidRPr="0052360E" w:rsidRDefault="002317AB" w:rsidP="002317AB">
      <w:pPr>
        <w:spacing w:after="0" w:line="276" w:lineRule="auto"/>
        <w:rPr>
          <w:rFonts w:ascii="Times New Roman" w:hAnsi="Times New Roman" w:cs="Times New Roman"/>
          <w:b/>
          <w:sz w:val="24"/>
          <w:szCs w:val="24"/>
        </w:rPr>
      </w:pPr>
      <w:r w:rsidRPr="0052360E">
        <w:rPr>
          <w:rFonts w:ascii="Times New Roman" w:hAnsi="Times New Roman" w:cs="Times New Roman"/>
          <w:b/>
          <w:sz w:val="24"/>
          <w:szCs w:val="24"/>
          <w:lang w:val="fr-FR"/>
        </w:rPr>
        <w:t xml:space="preserve"> </w:t>
      </w:r>
      <w:r w:rsidR="00D479F7" w:rsidRPr="0052360E">
        <w:rPr>
          <w:rFonts w:ascii="Times New Roman" w:hAnsi="Times New Roman" w:cs="Times New Roman"/>
          <w:b/>
          <w:sz w:val="24"/>
          <w:szCs w:val="24"/>
          <w:lang w:val="fr-FR"/>
        </w:rPr>
        <w:t xml:space="preserve">     </w:t>
      </w:r>
      <w:r w:rsidR="00A152E5" w:rsidRPr="0052360E">
        <w:rPr>
          <w:rFonts w:ascii="Times New Roman" w:hAnsi="Times New Roman" w:cs="Times New Roman"/>
          <w:b/>
          <w:sz w:val="24"/>
          <w:szCs w:val="24"/>
          <w:lang w:val="fr-FR"/>
        </w:rPr>
        <w:t>TABLE</w:t>
      </w:r>
      <w:r w:rsidR="00A152E5" w:rsidRPr="0052360E">
        <w:rPr>
          <w:rFonts w:ascii="Times New Roman" w:hAnsi="Times New Roman" w:cs="Times New Roman"/>
          <w:b/>
          <w:sz w:val="24"/>
          <w:szCs w:val="24"/>
        </w:rPr>
        <w:t xml:space="preserve"> 2  </w:t>
      </w:r>
      <w:r w:rsidR="007D5607" w:rsidRPr="0052360E">
        <w:rPr>
          <w:rFonts w:ascii="Times New Roman" w:hAnsi="Times New Roman" w:cs="Times New Roman"/>
          <w:b/>
          <w:sz w:val="24"/>
          <w:szCs w:val="24"/>
        </w:rPr>
        <w:t>Effect estimates of d</w:t>
      </w:r>
      <w:r w:rsidR="00A152E5" w:rsidRPr="0052360E">
        <w:rPr>
          <w:rFonts w:ascii="Times New Roman" w:hAnsi="Times New Roman" w:cs="Times New Roman"/>
          <w:b/>
          <w:sz w:val="24"/>
          <w:szCs w:val="24"/>
        </w:rPr>
        <w:t>emographic</w:t>
      </w:r>
      <w:r w:rsidR="00F94CB4" w:rsidRPr="0052360E">
        <w:rPr>
          <w:rFonts w:ascii="Times New Roman" w:hAnsi="Times New Roman" w:cs="Times New Roman"/>
          <w:b/>
          <w:sz w:val="24"/>
          <w:szCs w:val="24"/>
        </w:rPr>
        <w:t>, anthropometric, infection, and iron biomarker</w:t>
      </w:r>
      <w:r w:rsidR="007D5607" w:rsidRPr="0052360E">
        <w:rPr>
          <w:rFonts w:ascii="Times New Roman" w:hAnsi="Times New Roman" w:cs="Times New Roman"/>
          <w:b/>
          <w:sz w:val="24"/>
          <w:szCs w:val="24"/>
        </w:rPr>
        <w:t>s</w:t>
      </w:r>
    </w:p>
    <w:p w14:paraId="0ABF8A91" w14:textId="39BD0ADE" w:rsidR="0015111A" w:rsidRPr="0052360E" w:rsidRDefault="007D5607" w:rsidP="008C59EA">
      <w:pPr>
        <w:spacing w:after="0" w:line="276" w:lineRule="auto"/>
        <w:ind w:left="993" w:hanging="993"/>
        <w:rPr>
          <w:rFonts w:ascii="Times New Roman" w:hAnsi="Times New Roman" w:cs="Times New Roman"/>
          <w:sz w:val="24"/>
          <w:szCs w:val="24"/>
        </w:rPr>
      </w:pPr>
      <w:r w:rsidRPr="0052360E">
        <w:rPr>
          <w:rFonts w:ascii="Times New Roman" w:hAnsi="Times New Roman" w:cs="Times New Roman"/>
          <w:b/>
          <w:sz w:val="24"/>
          <w:szCs w:val="24"/>
        </w:rPr>
        <w:t xml:space="preserve">                  </w:t>
      </w:r>
      <w:r w:rsidR="00E651A4" w:rsidRPr="0052360E">
        <w:rPr>
          <w:rFonts w:ascii="Times New Roman" w:hAnsi="Times New Roman" w:cs="Times New Roman"/>
          <w:b/>
          <w:sz w:val="24"/>
          <w:szCs w:val="24"/>
        </w:rPr>
        <w:t xml:space="preserve">     </w:t>
      </w:r>
      <w:r w:rsidR="00F94CB4" w:rsidRPr="0052360E">
        <w:rPr>
          <w:rFonts w:ascii="Times New Roman" w:hAnsi="Times New Roman" w:cs="Times New Roman"/>
          <w:b/>
          <w:sz w:val="24"/>
          <w:szCs w:val="24"/>
        </w:rPr>
        <w:t xml:space="preserve"> </w:t>
      </w:r>
      <w:r w:rsidR="00E87B11" w:rsidRPr="0052360E">
        <w:rPr>
          <w:rFonts w:ascii="Times New Roman" w:hAnsi="Times New Roman" w:cs="Times New Roman"/>
          <w:b/>
          <w:sz w:val="24"/>
          <w:szCs w:val="24"/>
        </w:rPr>
        <w:t xml:space="preserve"> </w:t>
      </w:r>
      <w:r w:rsidR="00A152E5" w:rsidRPr="0052360E">
        <w:rPr>
          <w:rFonts w:ascii="Times New Roman" w:hAnsi="Times New Roman" w:cs="Times New Roman"/>
          <w:b/>
          <w:sz w:val="24"/>
          <w:szCs w:val="24"/>
        </w:rPr>
        <w:t xml:space="preserve">with vaginal Lf concentration  </w:t>
      </w:r>
    </w:p>
    <w:tbl>
      <w:tblPr>
        <w:tblW w:w="9781" w:type="dxa"/>
        <w:tblInd w:w="284" w:type="dxa"/>
        <w:tblLayout w:type="fixed"/>
        <w:tblCellMar>
          <w:left w:w="57" w:type="dxa"/>
          <w:right w:w="57" w:type="dxa"/>
        </w:tblCellMar>
        <w:tblLook w:val="04A0" w:firstRow="1" w:lastRow="0" w:firstColumn="1" w:lastColumn="0" w:noHBand="0" w:noVBand="1"/>
      </w:tblPr>
      <w:tblGrid>
        <w:gridCol w:w="2552"/>
        <w:gridCol w:w="566"/>
        <w:gridCol w:w="851"/>
        <w:gridCol w:w="1559"/>
        <w:gridCol w:w="851"/>
        <w:gridCol w:w="992"/>
        <w:gridCol w:w="1559"/>
        <w:gridCol w:w="851"/>
      </w:tblGrid>
      <w:tr w:rsidR="00353D47" w:rsidRPr="0052360E" w14:paraId="1FDE5C85" w14:textId="77777777" w:rsidTr="002317AB">
        <w:trPr>
          <w:trHeight w:val="336"/>
        </w:trPr>
        <w:tc>
          <w:tcPr>
            <w:tcW w:w="2552" w:type="dxa"/>
            <w:tcBorders>
              <w:top w:val="single" w:sz="4" w:space="0" w:color="auto"/>
              <w:left w:val="nil"/>
              <w:right w:val="nil"/>
            </w:tcBorders>
            <w:shd w:val="clear" w:color="auto" w:fill="auto"/>
            <w:noWrap/>
            <w:vAlign w:val="bottom"/>
          </w:tcPr>
          <w:p w14:paraId="7812F7B7" w14:textId="77777777" w:rsidR="00353D47" w:rsidRPr="0052360E" w:rsidRDefault="00353D47" w:rsidP="008C59EA">
            <w:pPr>
              <w:spacing w:after="0" w:line="276" w:lineRule="auto"/>
              <w:rPr>
                <w:rFonts w:ascii="Times New Roman" w:eastAsia="Times New Roman" w:hAnsi="Times New Roman" w:cs="Times New Roman"/>
                <w:b/>
                <w:color w:val="000000"/>
                <w:sz w:val="24"/>
                <w:szCs w:val="24"/>
                <w:lang w:eastAsia="en-GB"/>
              </w:rPr>
            </w:pPr>
          </w:p>
        </w:tc>
        <w:tc>
          <w:tcPr>
            <w:tcW w:w="566" w:type="dxa"/>
            <w:tcBorders>
              <w:top w:val="single" w:sz="4" w:space="0" w:color="auto"/>
              <w:left w:val="nil"/>
              <w:bottom w:val="single" w:sz="4" w:space="0" w:color="auto"/>
              <w:right w:val="nil"/>
            </w:tcBorders>
            <w:shd w:val="clear" w:color="auto" w:fill="auto"/>
            <w:noWrap/>
            <w:vAlign w:val="bottom"/>
          </w:tcPr>
          <w:p w14:paraId="0615193E" w14:textId="77777777" w:rsidR="00353D47" w:rsidRPr="0052360E" w:rsidRDefault="00353D47" w:rsidP="008C59EA">
            <w:pPr>
              <w:spacing w:after="0" w:line="276" w:lineRule="auto"/>
              <w:jc w:val="center"/>
              <w:rPr>
                <w:rFonts w:ascii="Times New Roman" w:eastAsia="Times New Roman" w:hAnsi="Times New Roman" w:cs="Times New Roman"/>
                <w:b/>
                <w:color w:val="000000"/>
                <w:sz w:val="24"/>
                <w:szCs w:val="24"/>
                <w:lang w:eastAsia="en-GB"/>
              </w:rPr>
            </w:pPr>
          </w:p>
        </w:tc>
        <w:tc>
          <w:tcPr>
            <w:tcW w:w="3261" w:type="dxa"/>
            <w:gridSpan w:val="3"/>
            <w:tcBorders>
              <w:top w:val="single" w:sz="4" w:space="0" w:color="auto"/>
              <w:left w:val="nil"/>
              <w:bottom w:val="single" w:sz="4" w:space="0" w:color="auto"/>
              <w:right w:val="nil"/>
            </w:tcBorders>
            <w:shd w:val="clear" w:color="auto" w:fill="auto"/>
            <w:noWrap/>
            <w:vAlign w:val="bottom"/>
          </w:tcPr>
          <w:p w14:paraId="727619AA" w14:textId="77777777" w:rsidR="00353D47" w:rsidRPr="0052360E" w:rsidRDefault="00353D47" w:rsidP="008C59EA">
            <w:pPr>
              <w:spacing w:after="0" w:line="276" w:lineRule="auto"/>
              <w:jc w:val="center"/>
              <w:rPr>
                <w:rFonts w:ascii="Times New Roman" w:eastAsia="Times New Roman" w:hAnsi="Times New Roman" w:cs="Times New Roman"/>
                <w:b/>
                <w:color w:val="000000"/>
                <w:sz w:val="24"/>
                <w:szCs w:val="24"/>
                <w:lang w:eastAsia="en-GB"/>
              </w:rPr>
            </w:pPr>
            <w:r w:rsidRPr="0052360E">
              <w:rPr>
                <w:rFonts w:ascii="Times New Roman" w:eastAsia="Times New Roman" w:hAnsi="Times New Roman" w:cs="Times New Roman"/>
                <w:b/>
                <w:color w:val="000000"/>
                <w:sz w:val="24"/>
                <w:szCs w:val="24"/>
                <w:lang w:eastAsia="en-GB"/>
              </w:rPr>
              <w:t xml:space="preserve">Adjusted for visit </w:t>
            </w:r>
            <w:r w:rsidRPr="0052360E">
              <w:rPr>
                <w:rFonts w:ascii="Times New Roman" w:eastAsia="Times New Roman" w:hAnsi="Times New Roman" w:cs="Times New Roman"/>
                <w:b/>
                <w:color w:val="000000"/>
                <w:sz w:val="24"/>
                <w:szCs w:val="24"/>
                <w:vertAlign w:val="superscript"/>
                <w:lang w:eastAsia="en-GB"/>
              </w:rPr>
              <w:t>1</w:t>
            </w:r>
          </w:p>
        </w:tc>
        <w:tc>
          <w:tcPr>
            <w:tcW w:w="3402" w:type="dxa"/>
            <w:gridSpan w:val="3"/>
            <w:tcBorders>
              <w:top w:val="single" w:sz="4" w:space="0" w:color="auto"/>
              <w:left w:val="nil"/>
              <w:bottom w:val="single" w:sz="4" w:space="0" w:color="auto"/>
              <w:right w:val="nil"/>
            </w:tcBorders>
            <w:vAlign w:val="bottom"/>
          </w:tcPr>
          <w:p w14:paraId="640B4837" w14:textId="1AF91899" w:rsidR="00353D47" w:rsidRPr="0052360E" w:rsidRDefault="00353D47" w:rsidP="008C59EA">
            <w:pPr>
              <w:spacing w:after="0" w:line="276" w:lineRule="auto"/>
              <w:rPr>
                <w:rFonts w:ascii="Times New Roman" w:eastAsia="Times New Roman" w:hAnsi="Times New Roman" w:cs="Times New Roman"/>
                <w:b/>
                <w:color w:val="000000"/>
                <w:sz w:val="24"/>
                <w:szCs w:val="24"/>
                <w:lang w:eastAsia="en-GB"/>
              </w:rPr>
            </w:pPr>
            <w:r w:rsidRPr="0052360E">
              <w:rPr>
                <w:rFonts w:ascii="Times New Roman" w:eastAsia="Times New Roman" w:hAnsi="Times New Roman" w:cs="Times New Roman"/>
                <w:b/>
                <w:color w:val="000000"/>
                <w:sz w:val="24"/>
                <w:szCs w:val="24"/>
                <w:lang w:eastAsia="en-GB"/>
              </w:rPr>
              <w:t xml:space="preserve">Adjusted for visit and MUAC </w:t>
            </w:r>
            <w:r w:rsidRPr="0052360E">
              <w:rPr>
                <w:rFonts w:ascii="Times New Roman" w:eastAsia="Times New Roman" w:hAnsi="Times New Roman" w:cs="Times New Roman"/>
                <w:b/>
                <w:color w:val="000000"/>
                <w:sz w:val="24"/>
                <w:szCs w:val="24"/>
                <w:vertAlign w:val="superscript"/>
                <w:lang w:eastAsia="en-GB"/>
              </w:rPr>
              <w:t>2</w:t>
            </w:r>
          </w:p>
        </w:tc>
      </w:tr>
      <w:tr w:rsidR="00353D47" w:rsidRPr="0052360E" w14:paraId="1085F979" w14:textId="77777777" w:rsidTr="002317AB">
        <w:trPr>
          <w:trHeight w:val="300"/>
        </w:trPr>
        <w:tc>
          <w:tcPr>
            <w:tcW w:w="2552" w:type="dxa"/>
            <w:tcBorders>
              <w:left w:val="nil"/>
              <w:bottom w:val="single" w:sz="4" w:space="0" w:color="auto"/>
              <w:right w:val="nil"/>
            </w:tcBorders>
            <w:shd w:val="clear" w:color="auto" w:fill="auto"/>
            <w:noWrap/>
            <w:hideMark/>
          </w:tcPr>
          <w:p w14:paraId="2066495A" w14:textId="298BB7A7" w:rsidR="00353D47" w:rsidRPr="0052360E" w:rsidRDefault="00353D47" w:rsidP="008C59EA">
            <w:pPr>
              <w:spacing w:after="0" w:line="276" w:lineRule="auto"/>
              <w:rPr>
                <w:rFonts w:ascii="Times New Roman" w:eastAsia="Times New Roman" w:hAnsi="Times New Roman" w:cs="Times New Roman"/>
                <w:b/>
                <w:color w:val="000000"/>
                <w:sz w:val="24"/>
                <w:szCs w:val="24"/>
                <w:lang w:eastAsia="en-GB"/>
              </w:rPr>
            </w:pPr>
            <w:r w:rsidRPr="0052360E">
              <w:rPr>
                <w:rFonts w:ascii="Times New Roman" w:eastAsia="Times New Roman" w:hAnsi="Times New Roman" w:cs="Times New Roman"/>
                <w:b/>
                <w:color w:val="000000"/>
                <w:sz w:val="24"/>
                <w:szCs w:val="24"/>
                <w:lang w:eastAsia="en-GB"/>
              </w:rPr>
              <w:t>Parameter</w:t>
            </w:r>
          </w:p>
        </w:tc>
        <w:tc>
          <w:tcPr>
            <w:tcW w:w="566" w:type="dxa"/>
            <w:tcBorders>
              <w:left w:val="nil"/>
              <w:bottom w:val="single" w:sz="4" w:space="0" w:color="auto"/>
              <w:right w:val="nil"/>
            </w:tcBorders>
            <w:shd w:val="clear" w:color="auto" w:fill="auto"/>
            <w:noWrap/>
            <w:hideMark/>
          </w:tcPr>
          <w:p w14:paraId="41DCCB4E" w14:textId="0C5B7744" w:rsidR="00353D47" w:rsidRPr="0052360E" w:rsidRDefault="00353D47" w:rsidP="008C59EA">
            <w:pPr>
              <w:spacing w:after="0" w:line="276" w:lineRule="auto"/>
              <w:jc w:val="center"/>
              <w:rPr>
                <w:rFonts w:ascii="Times New Roman" w:eastAsia="Times New Roman" w:hAnsi="Times New Roman" w:cs="Times New Roman"/>
                <w:b/>
                <w:color w:val="000000"/>
                <w:lang w:eastAsia="en-GB"/>
              </w:rPr>
            </w:pPr>
            <w:r w:rsidRPr="0052360E">
              <w:rPr>
                <w:rFonts w:ascii="Times New Roman" w:eastAsia="Times New Roman" w:hAnsi="Times New Roman" w:cs="Times New Roman"/>
                <w:b/>
                <w:color w:val="000000"/>
                <w:lang w:eastAsia="en-GB"/>
              </w:rPr>
              <w:t>N</w:t>
            </w:r>
            <w:r w:rsidR="002317AB" w:rsidRPr="0052360E">
              <w:rPr>
                <w:rFonts w:ascii="Times New Roman" w:eastAsia="Times New Roman" w:hAnsi="Times New Roman" w:cs="Times New Roman"/>
                <w:b/>
                <w:color w:val="000000"/>
                <w:lang w:eastAsia="en-GB"/>
              </w:rPr>
              <w:t xml:space="preserve"> </w:t>
            </w:r>
            <w:r w:rsidRPr="0052360E">
              <w:rPr>
                <w:rFonts w:ascii="Times New Roman" w:eastAsia="Times New Roman" w:hAnsi="Times New Roman" w:cs="Times New Roman"/>
                <w:b/>
                <w:color w:val="000000"/>
                <w:vertAlign w:val="superscript"/>
                <w:lang w:eastAsia="en-GB"/>
              </w:rPr>
              <w:t>3</w:t>
            </w:r>
          </w:p>
        </w:tc>
        <w:tc>
          <w:tcPr>
            <w:tcW w:w="851" w:type="dxa"/>
            <w:tcBorders>
              <w:top w:val="single" w:sz="4" w:space="0" w:color="auto"/>
              <w:left w:val="nil"/>
              <w:bottom w:val="single" w:sz="4" w:space="0" w:color="auto"/>
              <w:right w:val="nil"/>
            </w:tcBorders>
            <w:shd w:val="clear" w:color="auto" w:fill="auto"/>
            <w:noWrap/>
            <w:hideMark/>
          </w:tcPr>
          <w:p w14:paraId="4E7036F8" w14:textId="6131706F" w:rsidR="00353D47" w:rsidRPr="0052360E" w:rsidRDefault="00353D47" w:rsidP="008C59EA">
            <w:pPr>
              <w:spacing w:after="0" w:line="276" w:lineRule="auto"/>
              <w:jc w:val="center"/>
              <w:rPr>
                <w:rFonts w:ascii="Times New Roman" w:eastAsia="Times New Roman" w:hAnsi="Times New Roman" w:cs="Times New Roman"/>
                <w:b/>
                <w:color w:val="000000"/>
                <w:lang w:eastAsia="en-GB"/>
              </w:rPr>
            </w:pPr>
            <w:r w:rsidRPr="0052360E">
              <w:rPr>
                <w:rFonts w:ascii="Times New Roman" w:eastAsia="Times New Roman" w:hAnsi="Times New Roman" w:cs="Times New Roman"/>
                <w:b/>
                <w:color w:val="000000"/>
                <w:lang w:eastAsia="en-GB"/>
              </w:rPr>
              <w:t xml:space="preserve">P </w:t>
            </w:r>
            <w:r w:rsidRPr="0052360E">
              <w:rPr>
                <w:rFonts w:ascii="Times New Roman" w:eastAsia="Times New Roman" w:hAnsi="Times New Roman" w:cs="Times New Roman"/>
                <w:b/>
                <w:color w:val="000000"/>
                <w:vertAlign w:val="subscript"/>
                <w:lang w:eastAsia="en-GB"/>
              </w:rPr>
              <w:t>visit</w:t>
            </w:r>
            <w:r w:rsidRPr="0052360E">
              <w:rPr>
                <w:rFonts w:ascii="Times New Roman" w:eastAsia="Times New Roman" w:hAnsi="Times New Roman" w:cs="Times New Roman"/>
                <w:b/>
                <w:color w:val="000000"/>
                <w:lang w:eastAsia="en-GB"/>
              </w:rPr>
              <w:t xml:space="preserve"> </w:t>
            </w:r>
            <w:r w:rsidRPr="0052360E">
              <w:rPr>
                <w:rFonts w:ascii="Times New Roman" w:eastAsia="Times New Roman" w:hAnsi="Times New Roman" w:cs="Times New Roman"/>
                <w:b/>
                <w:color w:val="000000"/>
                <w:vertAlign w:val="superscript"/>
                <w:lang w:eastAsia="en-GB"/>
              </w:rPr>
              <w:t>4</w:t>
            </w:r>
          </w:p>
        </w:tc>
        <w:tc>
          <w:tcPr>
            <w:tcW w:w="1559" w:type="dxa"/>
            <w:tcBorders>
              <w:top w:val="single" w:sz="4" w:space="0" w:color="auto"/>
              <w:left w:val="nil"/>
              <w:bottom w:val="single" w:sz="4" w:space="0" w:color="auto"/>
              <w:right w:val="nil"/>
            </w:tcBorders>
            <w:shd w:val="clear" w:color="auto" w:fill="auto"/>
            <w:noWrap/>
            <w:hideMark/>
          </w:tcPr>
          <w:p w14:paraId="41F99472" w14:textId="77777777" w:rsidR="00353D47" w:rsidRPr="0052360E" w:rsidRDefault="00353D47" w:rsidP="008C59EA">
            <w:pPr>
              <w:spacing w:after="0" w:line="276" w:lineRule="auto"/>
              <w:ind w:left="-108"/>
              <w:jc w:val="center"/>
              <w:rPr>
                <w:rFonts w:ascii="Times New Roman" w:eastAsia="Times New Roman" w:hAnsi="Times New Roman" w:cs="Times New Roman"/>
                <w:b/>
                <w:color w:val="000000"/>
                <w:lang w:eastAsia="en-GB"/>
              </w:rPr>
            </w:pPr>
            <w:r w:rsidRPr="0052360E">
              <w:rPr>
                <w:rFonts w:ascii="Times New Roman" w:eastAsia="Times New Roman" w:hAnsi="Times New Roman" w:cs="Times New Roman"/>
                <w:b/>
                <w:color w:val="000000"/>
                <w:lang w:eastAsia="en-GB"/>
              </w:rPr>
              <w:t>Effect</w:t>
            </w:r>
          </w:p>
          <w:p w14:paraId="1EC0B6C7" w14:textId="77777777" w:rsidR="00353D47" w:rsidRPr="0052360E" w:rsidRDefault="00353D47" w:rsidP="008C59EA">
            <w:pPr>
              <w:spacing w:after="0" w:line="276" w:lineRule="auto"/>
              <w:ind w:left="-108"/>
              <w:jc w:val="center"/>
              <w:rPr>
                <w:rFonts w:ascii="Times New Roman" w:eastAsia="Times New Roman" w:hAnsi="Times New Roman" w:cs="Times New Roman"/>
                <w:b/>
                <w:color w:val="000000"/>
                <w:lang w:eastAsia="en-GB"/>
              </w:rPr>
            </w:pPr>
            <w:r w:rsidRPr="0052360E">
              <w:rPr>
                <w:rFonts w:ascii="Times New Roman" w:eastAsia="Times New Roman" w:hAnsi="Times New Roman" w:cs="Times New Roman"/>
                <w:b/>
                <w:color w:val="000000"/>
                <w:lang w:eastAsia="en-GB"/>
              </w:rPr>
              <w:t>(95%CI)</w:t>
            </w:r>
          </w:p>
        </w:tc>
        <w:tc>
          <w:tcPr>
            <w:tcW w:w="851" w:type="dxa"/>
            <w:tcBorders>
              <w:top w:val="single" w:sz="4" w:space="0" w:color="auto"/>
              <w:left w:val="nil"/>
              <w:bottom w:val="single" w:sz="4" w:space="0" w:color="auto"/>
              <w:right w:val="nil"/>
            </w:tcBorders>
            <w:shd w:val="clear" w:color="auto" w:fill="auto"/>
            <w:noWrap/>
            <w:hideMark/>
          </w:tcPr>
          <w:p w14:paraId="6230B034" w14:textId="77777777" w:rsidR="00353D47" w:rsidRPr="0052360E" w:rsidRDefault="00353D47" w:rsidP="008C59EA">
            <w:pPr>
              <w:spacing w:after="0" w:line="276" w:lineRule="auto"/>
              <w:jc w:val="center"/>
              <w:rPr>
                <w:rFonts w:ascii="Times New Roman" w:eastAsia="Times New Roman" w:hAnsi="Times New Roman" w:cs="Times New Roman"/>
                <w:b/>
                <w:color w:val="000000"/>
                <w:lang w:eastAsia="en-GB"/>
              </w:rPr>
            </w:pPr>
            <w:r w:rsidRPr="0052360E">
              <w:rPr>
                <w:rFonts w:ascii="Times New Roman" w:eastAsia="Times New Roman" w:hAnsi="Times New Roman" w:cs="Times New Roman"/>
                <w:b/>
                <w:color w:val="000000"/>
                <w:lang w:eastAsia="en-GB"/>
              </w:rPr>
              <w:t xml:space="preserve">P </w:t>
            </w:r>
            <w:r w:rsidRPr="0052360E">
              <w:rPr>
                <w:rFonts w:ascii="Times New Roman" w:eastAsia="Times New Roman" w:hAnsi="Times New Roman" w:cs="Times New Roman"/>
                <w:b/>
                <w:color w:val="000000"/>
                <w:vertAlign w:val="superscript"/>
                <w:lang w:eastAsia="en-GB"/>
              </w:rPr>
              <w:t>5</w:t>
            </w:r>
            <w:r w:rsidRPr="0052360E">
              <w:rPr>
                <w:rFonts w:ascii="Times New Roman" w:eastAsia="Times New Roman" w:hAnsi="Times New Roman" w:cs="Times New Roman"/>
                <w:b/>
                <w:color w:val="000000"/>
                <w:lang w:eastAsia="en-GB"/>
              </w:rPr>
              <w:t xml:space="preserve"> </w:t>
            </w:r>
          </w:p>
        </w:tc>
        <w:tc>
          <w:tcPr>
            <w:tcW w:w="992" w:type="dxa"/>
            <w:tcBorders>
              <w:top w:val="single" w:sz="4" w:space="0" w:color="auto"/>
              <w:left w:val="nil"/>
              <w:bottom w:val="single" w:sz="4" w:space="0" w:color="auto"/>
              <w:right w:val="nil"/>
            </w:tcBorders>
            <w:shd w:val="clear" w:color="auto" w:fill="auto"/>
            <w:noWrap/>
            <w:hideMark/>
          </w:tcPr>
          <w:p w14:paraId="61913D66" w14:textId="40B33DC6" w:rsidR="00353D47" w:rsidRPr="0052360E" w:rsidRDefault="00353D47" w:rsidP="008C59EA">
            <w:pPr>
              <w:spacing w:after="0" w:line="276" w:lineRule="auto"/>
              <w:jc w:val="center"/>
              <w:rPr>
                <w:rFonts w:ascii="Times New Roman" w:eastAsia="Times New Roman" w:hAnsi="Times New Roman" w:cs="Times New Roman"/>
                <w:b/>
                <w:color w:val="000000"/>
                <w:lang w:eastAsia="en-GB"/>
              </w:rPr>
            </w:pPr>
            <w:r w:rsidRPr="0052360E">
              <w:rPr>
                <w:rFonts w:ascii="Times New Roman" w:eastAsia="Times New Roman" w:hAnsi="Times New Roman" w:cs="Times New Roman"/>
                <w:b/>
                <w:color w:val="000000"/>
                <w:lang w:eastAsia="en-GB"/>
              </w:rPr>
              <w:t xml:space="preserve">P </w:t>
            </w:r>
            <w:r w:rsidRPr="0052360E">
              <w:rPr>
                <w:rFonts w:ascii="Times New Roman" w:eastAsia="Times New Roman" w:hAnsi="Times New Roman" w:cs="Times New Roman"/>
                <w:b/>
                <w:color w:val="000000"/>
                <w:vertAlign w:val="subscript"/>
                <w:lang w:eastAsia="en-GB"/>
              </w:rPr>
              <w:t>visit</w:t>
            </w:r>
            <w:r w:rsidRPr="0052360E">
              <w:rPr>
                <w:rFonts w:ascii="Times New Roman" w:eastAsia="Times New Roman" w:hAnsi="Times New Roman" w:cs="Times New Roman"/>
                <w:b/>
                <w:color w:val="000000"/>
                <w:lang w:eastAsia="en-GB"/>
              </w:rPr>
              <w:t xml:space="preserve"> </w:t>
            </w:r>
            <w:r w:rsidRPr="0052360E">
              <w:rPr>
                <w:rFonts w:ascii="Times New Roman" w:eastAsia="Times New Roman" w:hAnsi="Times New Roman" w:cs="Times New Roman"/>
                <w:b/>
                <w:color w:val="000000"/>
                <w:vertAlign w:val="superscript"/>
                <w:lang w:eastAsia="en-GB"/>
              </w:rPr>
              <w:t>4</w:t>
            </w:r>
          </w:p>
        </w:tc>
        <w:tc>
          <w:tcPr>
            <w:tcW w:w="1559" w:type="dxa"/>
            <w:tcBorders>
              <w:top w:val="single" w:sz="4" w:space="0" w:color="auto"/>
              <w:left w:val="nil"/>
              <w:bottom w:val="single" w:sz="4" w:space="0" w:color="auto"/>
              <w:right w:val="nil"/>
            </w:tcBorders>
            <w:shd w:val="clear" w:color="auto" w:fill="auto"/>
            <w:noWrap/>
            <w:hideMark/>
          </w:tcPr>
          <w:p w14:paraId="1BED581C" w14:textId="77777777" w:rsidR="00353D47" w:rsidRPr="0052360E" w:rsidRDefault="00353D47" w:rsidP="008C59EA">
            <w:pPr>
              <w:spacing w:after="0" w:line="276" w:lineRule="auto"/>
              <w:jc w:val="center"/>
              <w:rPr>
                <w:rFonts w:ascii="Times New Roman" w:eastAsia="Times New Roman" w:hAnsi="Times New Roman" w:cs="Times New Roman"/>
                <w:b/>
                <w:color w:val="000000"/>
                <w:lang w:eastAsia="en-GB"/>
              </w:rPr>
            </w:pPr>
            <w:r w:rsidRPr="0052360E">
              <w:rPr>
                <w:rFonts w:ascii="Times New Roman" w:eastAsia="Times New Roman" w:hAnsi="Times New Roman" w:cs="Times New Roman"/>
                <w:b/>
                <w:color w:val="000000"/>
                <w:lang w:eastAsia="en-GB"/>
              </w:rPr>
              <w:t>Effect</w:t>
            </w:r>
          </w:p>
          <w:p w14:paraId="7B59F83E" w14:textId="77777777" w:rsidR="00353D47" w:rsidRPr="0052360E" w:rsidRDefault="00353D47" w:rsidP="008C59EA">
            <w:pPr>
              <w:spacing w:after="0" w:line="276" w:lineRule="auto"/>
              <w:jc w:val="center"/>
              <w:rPr>
                <w:rFonts w:ascii="Times New Roman" w:eastAsia="Times New Roman" w:hAnsi="Times New Roman" w:cs="Times New Roman"/>
                <w:b/>
                <w:color w:val="000000"/>
                <w:lang w:eastAsia="en-GB"/>
              </w:rPr>
            </w:pPr>
            <w:r w:rsidRPr="0052360E">
              <w:rPr>
                <w:rFonts w:ascii="Times New Roman" w:eastAsia="Times New Roman" w:hAnsi="Times New Roman" w:cs="Times New Roman"/>
                <w:b/>
                <w:color w:val="000000"/>
                <w:lang w:eastAsia="en-GB"/>
              </w:rPr>
              <w:t xml:space="preserve">(95%CI)                       </w:t>
            </w:r>
          </w:p>
        </w:tc>
        <w:tc>
          <w:tcPr>
            <w:tcW w:w="851" w:type="dxa"/>
            <w:tcBorders>
              <w:top w:val="single" w:sz="4" w:space="0" w:color="auto"/>
              <w:left w:val="nil"/>
              <w:bottom w:val="single" w:sz="4" w:space="0" w:color="auto"/>
              <w:right w:val="nil"/>
            </w:tcBorders>
            <w:shd w:val="clear" w:color="auto" w:fill="auto"/>
          </w:tcPr>
          <w:p w14:paraId="45956D11" w14:textId="77777777" w:rsidR="00353D47" w:rsidRPr="0052360E" w:rsidRDefault="00353D47" w:rsidP="008C59EA">
            <w:pPr>
              <w:spacing w:after="0" w:line="276" w:lineRule="auto"/>
              <w:jc w:val="center"/>
              <w:rPr>
                <w:rFonts w:ascii="Times New Roman" w:eastAsia="Times New Roman" w:hAnsi="Times New Roman" w:cs="Times New Roman"/>
                <w:b/>
                <w:color w:val="000000"/>
                <w:lang w:eastAsia="en-GB"/>
              </w:rPr>
            </w:pPr>
            <w:r w:rsidRPr="0052360E">
              <w:rPr>
                <w:rFonts w:ascii="Times New Roman" w:eastAsia="Times New Roman" w:hAnsi="Times New Roman" w:cs="Times New Roman"/>
                <w:b/>
                <w:color w:val="000000"/>
                <w:lang w:eastAsia="en-GB"/>
              </w:rPr>
              <w:t xml:space="preserve">P </w:t>
            </w:r>
            <w:r w:rsidRPr="0052360E">
              <w:rPr>
                <w:rFonts w:ascii="Times New Roman" w:eastAsia="Times New Roman" w:hAnsi="Times New Roman" w:cs="Times New Roman"/>
                <w:b/>
                <w:color w:val="000000"/>
                <w:vertAlign w:val="superscript"/>
                <w:lang w:eastAsia="en-GB"/>
              </w:rPr>
              <w:t>5</w:t>
            </w:r>
            <w:r w:rsidRPr="0052360E">
              <w:rPr>
                <w:rFonts w:ascii="Times New Roman" w:eastAsia="Times New Roman" w:hAnsi="Times New Roman" w:cs="Times New Roman"/>
                <w:b/>
                <w:color w:val="000000"/>
                <w:lang w:eastAsia="en-GB"/>
              </w:rPr>
              <w:t xml:space="preserve"> </w:t>
            </w:r>
          </w:p>
        </w:tc>
      </w:tr>
      <w:tr w:rsidR="00353D47" w:rsidRPr="0052360E" w14:paraId="6EB6C767" w14:textId="77777777" w:rsidTr="002317AB">
        <w:trPr>
          <w:trHeight w:val="300"/>
        </w:trPr>
        <w:tc>
          <w:tcPr>
            <w:tcW w:w="2552" w:type="dxa"/>
            <w:tcBorders>
              <w:top w:val="single" w:sz="4" w:space="0" w:color="auto"/>
              <w:left w:val="nil"/>
              <w:bottom w:val="nil"/>
              <w:right w:val="nil"/>
            </w:tcBorders>
            <w:shd w:val="clear" w:color="auto" w:fill="auto"/>
            <w:noWrap/>
            <w:hideMark/>
          </w:tcPr>
          <w:p w14:paraId="7EC057B1" w14:textId="77777777" w:rsidR="00353D47" w:rsidRPr="0052360E" w:rsidRDefault="00353D4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Reproductive age</w:t>
            </w:r>
          </w:p>
          <w:p w14:paraId="33F11F1B" w14:textId="397B26FA" w:rsidR="00353D47" w:rsidRPr="0052360E" w:rsidRDefault="00353D4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(per year)</w:t>
            </w:r>
          </w:p>
        </w:tc>
        <w:tc>
          <w:tcPr>
            <w:tcW w:w="566" w:type="dxa"/>
            <w:tcBorders>
              <w:top w:val="single" w:sz="4" w:space="0" w:color="auto"/>
              <w:left w:val="nil"/>
              <w:bottom w:val="nil"/>
              <w:right w:val="nil"/>
            </w:tcBorders>
            <w:shd w:val="clear" w:color="auto" w:fill="auto"/>
            <w:noWrap/>
            <w:hideMark/>
          </w:tcPr>
          <w:p w14:paraId="6A1F0E85"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1188</w:t>
            </w:r>
          </w:p>
        </w:tc>
        <w:tc>
          <w:tcPr>
            <w:tcW w:w="851" w:type="dxa"/>
            <w:tcBorders>
              <w:top w:val="single" w:sz="4" w:space="0" w:color="auto"/>
              <w:left w:val="nil"/>
              <w:bottom w:val="nil"/>
              <w:right w:val="nil"/>
            </w:tcBorders>
            <w:shd w:val="clear" w:color="auto" w:fill="auto"/>
            <w:noWrap/>
            <w:hideMark/>
          </w:tcPr>
          <w:p w14:paraId="447CF469"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&lt;0.001</w:t>
            </w:r>
          </w:p>
        </w:tc>
        <w:tc>
          <w:tcPr>
            <w:tcW w:w="1559" w:type="dxa"/>
            <w:tcBorders>
              <w:top w:val="single" w:sz="4" w:space="0" w:color="auto"/>
              <w:left w:val="nil"/>
              <w:bottom w:val="nil"/>
              <w:right w:val="nil"/>
            </w:tcBorders>
            <w:shd w:val="clear" w:color="auto" w:fill="auto"/>
            <w:noWrap/>
            <w:hideMark/>
          </w:tcPr>
          <w:p w14:paraId="08B92FCC"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0.01</w:t>
            </w:r>
          </w:p>
          <w:p w14:paraId="436B5BCF"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(-0.02-0.05)</w:t>
            </w:r>
          </w:p>
        </w:tc>
        <w:tc>
          <w:tcPr>
            <w:tcW w:w="851" w:type="dxa"/>
            <w:tcBorders>
              <w:top w:val="single" w:sz="4" w:space="0" w:color="auto"/>
              <w:left w:val="nil"/>
              <w:bottom w:val="nil"/>
              <w:right w:val="nil"/>
            </w:tcBorders>
            <w:shd w:val="clear" w:color="auto" w:fill="auto"/>
            <w:noWrap/>
            <w:hideMark/>
          </w:tcPr>
          <w:p w14:paraId="08ADDE9B"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0.40</w:t>
            </w:r>
          </w:p>
        </w:tc>
        <w:tc>
          <w:tcPr>
            <w:tcW w:w="992" w:type="dxa"/>
            <w:tcBorders>
              <w:top w:val="single" w:sz="4" w:space="0" w:color="auto"/>
              <w:left w:val="nil"/>
              <w:bottom w:val="nil"/>
              <w:right w:val="nil"/>
            </w:tcBorders>
            <w:shd w:val="clear" w:color="auto" w:fill="auto"/>
            <w:noWrap/>
            <w:hideMark/>
          </w:tcPr>
          <w:p w14:paraId="1DEE9F40"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&lt;0.001</w:t>
            </w:r>
          </w:p>
        </w:tc>
        <w:tc>
          <w:tcPr>
            <w:tcW w:w="1559" w:type="dxa"/>
            <w:tcBorders>
              <w:top w:val="single" w:sz="4" w:space="0" w:color="auto"/>
              <w:left w:val="nil"/>
              <w:bottom w:val="nil"/>
              <w:right w:val="nil"/>
            </w:tcBorders>
            <w:shd w:val="clear" w:color="auto" w:fill="auto"/>
            <w:noWrap/>
            <w:hideMark/>
          </w:tcPr>
          <w:p w14:paraId="66602806"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0.01</w:t>
            </w:r>
          </w:p>
          <w:p w14:paraId="11EC5CDA"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(-0.03-0.04)</w:t>
            </w:r>
          </w:p>
        </w:tc>
        <w:tc>
          <w:tcPr>
            <w:tcW w:w="851" w:type="dxa"/>
            <w:tcBorders>
              <w:top w:val="single" w:sz="4" w:space="0" w:color="auto"/>
              <w:left w:val="nil"/>
              <w:bottom w:val="nil"/>
              <w:right w:val="nil"/>
            </w:tcBorders>
            <w:shd w:val="clear" w:color="auto" w:fill="auto"/>
            <w:noWrap/>
            <w:hideMark/>
          </w:tcPr>
          <w:p w14:paraId="33B2D589"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0.67</w:t>
            </w:r>
          </w:p>
        </w:tc>
      </w:tr>
      <w:tr w:rsidR="00353D47" w:rsidRPr="0052360E" w14:paraId="60477439" w14:textId="77777777" w:rsidTr="002317AB">
        <w:trPr>
          <w:trHeight w:val="300"/>
        </w:trPr>
        <w:tc>
          <w:tcPr>
            <w:tcW w:w="2552" w:type="dxa"/>
            <w:tcBorders>
              <w:top w:val="nil"/>
              <w:left w:val="nil"/>
              <w:bottom w:val="nil"/>
              <w:right w:val="nil"/>
            </w:tcBorders>
            <w:shd w:val="clear" w:color="auto" w:fill="auto"/>
            <w:noWrap/>
            <w:hideMark/>
          </w:tcPr>
          <w:p w14:paraId="750CA410" w14:textId="77777777" w:rsidR="00353D47" w:rsidRPr="0052360E" w:rsidRDefault="00353D4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 xml:space="preserve">Sexually active </w:t>
            </w:r>
            <w:r w:rsidRPr="0052360E">
              <w:rPr>
                <w:rFonts w:ascii="Times New Roman" w:eastAsia="Times New Roman" w:hAnsi="Times New Roman" w:cs="Times New Roman"/>
                <w:color w:val="000000"/>
                <w:sz w:val="24"/>
                <w:szCs w:val="24"/>
                <w:vertAlign w:val="superscript"/>
                <w:lang w:eastAsia="en-GB"/>
              </w:rPr>
              <w:t>6</w:t>
            </w:r>
          </w:p>
          <w:p w14:paraId="00FEFE84" w14:textId="44931DAF" w:rsidR="00353D47" w:rsidRPr="0052360E" w:rsidRDefault="00353D4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(yes)</w:t>
            </w:r>
          </w:p>
        </w:tc>
        <w:tc>
          <w:tcPr>
            <w:tcW w:w="566" w:type="dxa"/>
            <w:tcBorders>
              <w:top w:val="nil"/>
              <w:left w:val="nil"/>
              <w:bottom w:val="nil"/>
              <w:right w:val="nil"/>
            </w:tcBorders>
            <w:shd w:val="clear" w:color="auto" w:fill="auto"/>
            <w:noWrap/>
            <w:hideMark/>
          </w:tcPr>
          <w:p w14:paraId="521B7F53"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711</w:t>
            </w:r>
          </w:p>
        </w:tc>
        <w:tc>
          <w:tcPr>
            <w:tcW w:w="851" w:type="dxa"/>
            <w:tcBorders>
              <w:top w:val="nil"/>
              <w:left w:val="nil"/>
              <w:bottom w:val="nil"/>
              <w:right w:val="nil"/>
            </w:tcBorders>
            <w:shd w:val="clear" w:color="auto" w:fill="auto"/>
            <w:noWrap/>
            <w:hideMark/>
          </w:tcPr>
          <w:p w14:paraId="03F07F34"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NA</w:t>
            </w:r>
          </w:p>
        </w:tc>
        <w:tc>
          <w:tcPr>
            <w:tcW w:w="1559" w:type="dxa"/>
            <w:tcBorders>
              <w:top w:val="nil"/>
              <w:left w:val="nil"/>
              <w:bottom w:val="nil"/>
              <w:right w:val="nil"/>
            </w:tcBorders>
            <w:shd w:val="clear" w:color="auto" w:fill="auto"/>
            <w:noWrap/>
            <w:hideMark/>
          </w:tcPr>
          <w:p w14:paraId="3C4C9E85"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0.28</w:t>
            </w:r>
          </w:p>
          <w:p w14:paraId="626A29BC"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(0.08-0.48)</w:t>
            </w:r>
          </w:p>
        </w:tc>
        <w:tc>
          <w:tcPr>
            <w:tcW w:w="851" w:type="dxa"/>
            <w:tcBorders>
              <w:top w:val="nil"/>
              <w:left w:val="nil"/>
              <w:bottom w:val="nil"/>
              <w:right w:val="nil"/>
            </w:tcBorders>
            <w:shd w:val="clear" w:color="auto" w:fill="auto"/>
            <w:noWrap/>
            <w:hideMark/>
          </w:tcPr>
          <w:p w14:paraId="1DCFEDD6"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0.005</w:t>
            </w:r>
          </w:p>
        </w:tc>
        <w:tc>
          <w:tcPr>
            <w:tcW w:w="992" w:type="dxa"/>
            <w:tcBorders>
              <w:top w:val="nil"/>
              <w:left w:val="nil"/>
              <w:bottom w:val="nil"/>
              <w:right w:val="nil"/>
            </w:tcBorders>
            <w:shd w:val="clear" w:color="auto" w:fill="auto"/>
            <w:noWrap/>
            <w:hideMark/>
          </w:tcPr>
          <w:p w14:paraId="5EB0E66B"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NA</w:t>
            </w:r>
          </w:p>
        </w:tc>
        <w:tc>
          <w:tcPr>
            <w:tcW w:w="1559" w:type="dxa"/>
            <w:tcBorders>
              <w:top w:val="nil"/>
              <w:left w:val="nil"/>
              <w:bottom w:val="nil"/>
              <w:right w:val="nil"/>
            </w:tcBorders>
            <w:shd w:val="clear" w:color="auto" w:fill="auto"/>
            <w:noWrap/>
            <w:hideMark/>
          </w:tcPr>
          <w:p w14:paraId="43847295"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0.24</w:t>
            </w:r>
          </w:p>
          <w:p w14:paraId="4B2CA48E"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(0.04-0.44)</w:t>
            </w:r>
          </w:p>
        </w:tc>
        <w:tc>
          <w:tcPr>
            <w:tcW w:w="851" w:type="dxa"/>
            <w:tcBorders>
              <w:top w:val="nil"/>
              <w:left w:val="nil"/>
              <w:bottom w:val="nil"/>
              <w:right w:val="nil"/>
            </w:tcBorders>
            <w:shd w:val="clear" w:color="auto" w:fill="auto"/>
            <w:noWrap/>
            <w:hideMark/>
          </w:tcPr>
          <w:p w14:paraId="0AB1C10B"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0.019</w:t>
            </w:r>
          </w:p>
        </w:tc>
      </w:tr>
      <w:tr w:rsidR="00353D47" w:rsidRPr="0052360E" w14:paraId="377C4B05" w14:textId="77777777" w:rsidTr="002317AB">
        <w:trPr>
          <w:trHeight w:val="300"/>
        </w:trPr>
        <w:tc>
          <w:tcPr>
            <w:tcW w:w="2552" w:type="dxa"/>
            <w:tcBorders>
              <w:top w:val="nil"/>
              <w:left w:val="nil"/>
              <w:bottom w:val="nil"/>
              <w:right w:val="nil"/>
            </w:tcBorders>
            <w:shd w:val="clear" w:color="auto" w:fill="auto"/>
            <w:noWrap/>
            <w:hideMark/>
          </w:tcPr>
          <w:p w14:paraId="30429583" w14:textId="2380D38D" w:rsidR="00353D47" w:rsidRPr="0052360E" w:rsidRDefault="00353D4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Alcohol</w:t>
            </w:r>
            <w:r w:rsidR="0015111A" w:rsidRPr="0052360E">
              <w:rPr>
                <w:rFonts w:ascii="Times New Roman" w:eastAsia="Times New Roman" w:hAnsi="Times New Roman" w:cs="Times New Roman"/>
                <w:color w:val="000000"/>
                <w:sz w:val="24"/>
                <w:szCs w:val="24"/>
                <w:lang w:eastAsia="en-GB"/>
              </w:rPr>
              <w:t xml:space="preserve"> (y</w:t>
            </w:r>
            <w:r w:rsidRPr="0052360E">
              <w:rPr>
                <w:rFonts w:ascii="Times New Roman" w:eastAsia="Times New Roman" w:hAnsi="Times New Roman" w:cs="Times New Roman"/>
                <w:color w:val="000000"/>
                <w:sz w:val="24"/>
                <w:szCs w:val="24"/>
                <w:lang w:eastAsia="en-GB"/>
              </w:rPr>
              <w:t>es)</w:t>
            </w:r>
          </w:p>
        </w:tc>
        <w:tc>
          <w:tcPr>
            <w:tcW w:w="566" w:type="dxa"/>
            <w:tcBorders>
              <w:top w:val="nil"/>
              <w:left w:val="nil"/>
              <w:bottom w:val="nil"/>
              <w:right w:val="nil"/>
            </w:tcBorders>
            <w:shd w:val="clear" w:color="auto" w:fill="auto"/>
            <w:noWrap/>
            <w:hideMark/>
          </w:tcPr>
          <w:p w14:paraId="7AEAADE1"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1212</w:t>
            </w:r>
          </w:p>
        </w:tc>
        <w:tc>
          <w:tcPr>
            <w:tcW w:w="851" w:type="dxa"/>
            <w:tcBorders>
              <w:top w:val="nil"/>
              <w:left w:val="nil"/>
              <w:bottom w:val="nil"/>
              <w:right w:val="nil"/>
            </w:tcBorders>
            <w:shd w:val="clear" w:color="auto" w:fill="auto"/>
            <w:noWrap/>
            <w:hideMark/>
          </w:tcPr>
          <w:p w14:paraId="181D796A"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&lt;0.001</w:t>
            </w:r>
          </w:p>
        </w:tc>
        <w:tc>
          <w:tcPr>
            <w:tcW w:w="1559" w:type="dxa"/>
            <w:tcBorders>
              <w:top w:val="nil"/>
              <w:left w:val="nil"/>
              <w:bottom w:val="nil"/>
              <w:right w:val="nil"/>
            </w:tcBorders>
            <w:shd w:val="clear" w:color="auto" w:fill="auto"/>
            <w:noWrap/>
            <w:hideMark/>
          </w:tcPr>
          <w:p w14:paraId="3DC7A7E8"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-0.02</w:t>
            </w:r>
          </w:p>
          <w:p w14:paraId="2F81454D" w14:textId="77777777" w:rsidR="00353D47" w:rsidRPr="0052360E" w:rsidRDefault="00353D47" w:rsidP="008C59EA">
            <w:pPr>
              <w:spacing w:after="0" w:line="276" w:lineRule="auto"/>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(-0.14-0.09)</w:t>
            </w:r>
          </w:p>
        </w:tc>
        <w:tc>
          <w:tcPr>
            <w:tcW w:w="851" w:type="dxa"/>
            <w:tcBorders>
              <w:top w:val="nil"/>
              <w:left w:val="nil"/>
              <w:bottom w:val="nil"/>
              <w:right w:val="nil"/>
            </w:tcBorders>
            <w:shd w:val="clear" w:color="auto" w:fill="auto"/>
            <w:noWrap/>
            <w:hideMark/>
          </w:tcPr>
          <w:p w14:paraId="0D4C6288"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0.71</w:t>
            </w:r>
          </w:p>
        </w:tc>
        <w:tc>
          <w:tcPr>
            <w:tcW w:w="992" w:type="dxa"/>
            <w:tcBorders>
              <w:top w:val="nil"/>
              <w:left w:val="nil"/>
              <w:bottom w:val="nil"/>
              <w:right w:val="nil"/>
            </w:tcBorders>
            <w:shd w:val="clear" w:color="auto" w:fill="auto"/>
            <w:noWrap/>
            <w:hideMark/>
          </w:tcPr>
          <w:p w14:paraId="552CE6DD"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&lt;0.001</w:t>
            </w:r>
          </w:p>
        </w:tc>
        <w:tc>
          <w:tcPr>
            <w:tcW w:w="1559" w:type="dxa"/>
            <w:tcBorders>
              <w:top w:val="nil"/>
              <w:left w:val="nil"/>
              <w:bottom w:val="nil"/>
              <w:right w:val="nil"/>
            </w:tcBorders>
            <w:shd w:val="clear" w:color="auto" w:fill="auto"/>
            <w:noWrap/>
            <w:hideMark/>
          </w:tcPr>
          <w:p w14:paraId="36A19230"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-0.01</w:t>
            </w:r>
          </w:p>
          <w:p w14:paraId="6F721679"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(-0.13-0.10)</w:t>
            </w:r>
          </w:p>
        </w:tc>
        <w:tc>
          <w:tcPr>
            <w:tcW w:w="851" w:type="dxa"/>
            <w:tcBorders>
              <w:top w:val="nil"/>
              <w:left w:val="nil"/>
              <w:bottom w:val="nil"/>
              <w:right w:val="nil"/>
            </w:tcBorders>
            <w:shd w:val="clear" w:color="auto" w:fill="auto"/>
            <w:noWrap/>
            <w:hideMark/>
          </w:tcPr>
          <w:p w14:paraId="06D51466"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0.81</w:t>
            </w:r>
          </w:p>
        </w:tc>
      </w:tr>
      <w:tr w:rsidR="00353D47" w:rsidRPr="0052360E" w14:paraId="7FDA60C0" w14:textId="77777777" w:rsidTr="002317AB">
        <w:trPr>
          <w:trHeight w:val="300"/>
        </w:trPr>
        <w:tc>
          <w:tcPr>
            <w:tcW w:w="2552" w:type="dxa"/>
            <w:tcBorders>
              <w:top w:val="nil"/>
              <w:left w:val="nil"/>
              <w:right w:val="nil"/>
            </w:tcBorders>
            <w:shd w:val="clear" w:color="auto" w:fill="auto"/>
            <w:noWrap/>
            <w:hideMark/>
          </w:tcPr>
          <w:p w14:paraId="3656E0F9" w14:textId="177306C3" w:rsidR="00353D47" w:rsidRPr="0052360E" w:rsidRDefault="00353D4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BMI</w:t>
            </w:r>
            <w:r w:rsidR="00E651A4" w:rsidRPr="0052360E">
              <w:rPr>
                <w:rFonts w:ascii="Times New Roman" w:eastAsia="Times New Roman" w:hAnsi="Times New Roman" w:cs="Times New Roman"/>
                <w:color w:val="000000"/>
                <w:sz w:val="24"/>
                <w:szCs w:val="24"/>
                <w:lang w:eastAsia="en-GB"/>
              </w:rPr>
              <w:t xml:space="preserve"> (per k</w:t>
            </w:r>
            <w:r w:rsidRPr="0052360E">
              <w:rPr>
                <w:rFonts w:ascii="Times New Roman" w:eastAsia="Times New Roman" w:hAnsi="Times New Roman" w:cs="Times New Roman"/>
                <w:color w:val="000000"/>
                <w:sz w:val="24"/>
                <w:szCs w:val="24"/>
                <w:lang w:eastAsia="en-GB"/>
              </w:rPr>
              <w:t>g/m</w:t>
            </w:r>
            <w:r w:rsidRPr="0052360E">
              <w:rPr>
                <w:rFonts w:ascii="Times New Roman" w:eastAsia="Times New Roman" w:hAnsi="Times New Roman" w:cs="Times New Roman"/>
                <w:color w:val="000000"/>
                <w:sz w:val="24"/>
                <w:szCs w:val="24"/>
                <w:vertAlign w:val="superscript"/>
                <w:lang w:eastAsia="en-GB"/>
              </w:rPr>
              <w:t>2</w:t>
            </w:r>
            <w:r w:rsidRPr="0052360E">
              <w:rPr>
                <w:rFonts w:ascii="Times New Roman" w:eastAsia="Times New Roman" w:hAnsi="Times New Roman" w:cs="Times New Roman"/>
                <w:color w:val="000000"/>
                <w:sz w:val="24"/>
                <w:szCs w:val="24"/>
                <w:lang w:eastAsia="en-GB"/>
              </w:rPr>
              <w:t>)</w:t>
            </w:r>
          </w:p>
        </w:tc>
        <w:tc>
          <w:tcPr>
            <w:tcW w:w="566" w:type="dxa"/>
            <w:tcBorders>
              <w:top w:val="nil"/>
              <w:left w:val="nil"/>
              <w:right w:val="nil"/>
            </w:tcBorders>
            <w:shd w:val="clear" w:color="auto" w:fill="auto"/>
            <w:noWrap/>
            <w:hideMark/>
          </w:tcPr>
          <w:p w14:paraId="5BD89AA4"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1224</w:t>
            </w:r>
          </w:p>
        </w:tc>
        <w:tc>
          <w:tcPr>
            <w:tcW w:w="851" w:type="dxa"/>
            <w:tcBorders>
              <w:top w:val="nil"/>
              <w:left w:val="nil"/>
              <w:right w:val="nil"/>
            </w:tcBorders>
            <w:shd w:val="clear" w:color="auto" w:fill="auto"/>
            <w:noWrap/>
            <w:hideMark/>
          </w:tcPr>
          <w:p w14:paraId="1FB17D64"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&lt;0.001</w:t>
            </w:r>
          </w:p>
        </w:tc>
        <w:tc>
          <w:tcPr>
            <w:tcW w:w="1559" w:type="dxa"/>
            <w:tcBorders>
              <w:top w:val="nil"/>
              <w:left w:val="nil"/>
              <w:right w:val="nil"/>
            </w:tcBorders>
            <w:shd w:val="clear" w:color="auto" w:fill="auto"/>
            <w:noWrap/>
            <w:hideMark/>
          </w:tcPr>
          <w:p w14:paraId="772429CF"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0.03</w:t>
            </w:r>
          </w:p>
          <w:p w14:paraId="4164EB27"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(0.01-0.06)</w:t>
            </w:r>
          </w:p>
        </w:tc>
        <w:tc>
          <w:tcPr>
            <w:tcW w:w="851" w:type="dxa"/>
            <w:tcBorders>
              <w:top w:val="nil"/>
              <w:left w:val="nil"/>
              <w:right w:val="nil"/>
            </w:tcBorders>
            <w:shd w:val="clear" w:color="auto" w:fill="auto"/>
            <w:noWrap/>
            <w:hideMark/>
          </w:tcPr>
          <w:p w14:paraId="579E01DF"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0.018</w:t>
            </w:r>
          </w:p>
        </w:tc>
        <w:tc>
          <w:tcPr>
            <w:tcW w:w="992" w:type="dxa"/>
            <w:tcBorders>
              <w:top w:val="nil"/>
              <w:left w:val="nil"/>
              <w:right w:val="nil"/>
            </w:tcBorders>
            <w:shd w:val="clear" w:color="auto" w:fill="auto"/>
            <w:noWrap/>
            <w:hideMark/>
          </w:tcPr>
          <w:p w14:paraId="0A6CD389"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NA</w:t>
            </w:r>
          </w:p>
        </w:tc>
        <w:tc>
          <w:tcPr>
            <w:tcW w:w="1559" w:type="dxa"/>
            <w:tcBorders>
              <w:top w:val="nil"/>
              <w:left w:val="nil"/>
              <w:right w:val="nil"/>
            </w:tcBorders>
            <w:shd w:val="clear" w:color="auto" w:fill="auto"/>
            <w:noWrap/>
            <w:hideMark/>
          </w:tcPr>
          <w:p w14:paraId="0BFBD7AF"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NA</w:t>
            </w:r>
          </w:p>
        </w:tc>
        <w:tc>
          <w:tcPr>
            <w:tcW w:w="851" w:type="dxa"/>
            <w:tcBorders>
              <w:top w:val="nil"/>
              <w:left w:val="nil"/>
              <w:right w:val="nil"/>
            </w:tcBorders>
            <w:shd w:val="clear" w:color="auto" w:fill="auto"/>
            <w:noWrap/>
            <w:hideMark/>
          </w:tcPr>
          <w:p w14:paraId="578E0ECB"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NA</w:t>
            </w:r>
          </w:p>
        </w:tc>
      </w:tr>
      <w:tr w:rsidR="00353D47" w:rsidRPr="0052360E" w14:paraId="7AD67A44" w14:textId="77777777" w:rsidTr="002317AB">
        <w:trPr>
          <w:trHeight w:val="300"/>
        </w:trPr>
        <w:tc>
          <w:tcPr>
            <w:tcW w:w="2552" w:type="dxa"/>
            <w:tcBorders>
              <w:top w:val="nil"/>
              <w:left w:val="nil"/>
              <w:right w:val="nil"/>
            </w:tcBorders>
            <w:shd w:val="clear" w:color="auto" w:fill="auto"/>
            <w:noWrap/>
            <w:hideMark/>
          </w:tcPr>
          <w:p w14:paraId="77BEB23D" w14:textId="1FD0F2DD" w:rsidR="00353D47" w:rsidRPr="0052360E" w:rsidRDefault="00353D47" w:rsidP="008C59EA">
            <w:pPr>
              <w:spacing w:after="0"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MUAC (per cm)</w:t>
            </w:r>
          </w:p>
        </w:tc>
        <w:tc>
          <w:tcPr>
            <w:tcW w:w="566" w:type="dxa"/>
            <w:tcBorders>
              <w:top w:val="nil"/>
              <w:left w:val="nil"/>
              <w:bottom w:val="nil"/>
              <w:right w:val="nil"/>
            </w:tcBorders>
            <w:shd w:val="clear" w:color="auto" w:fill="auto"/>
            <w:noWrap/>
            <w:hideMark/>
          </w:tcPr>
          <w:p w14:paraId="61D5C461"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1224</w:t>
            </w:r>
          </w:p>
        </w:tc>
        <w:tc>
          <w:tcPr>
            <w:tcW w:w="851" w:type="dxa"/>
            <w:tcBorders>
              <w:top w:val="nil"/>
              <w:left w:val="nil"/>
              <w:bottom w:val="nil"/>
              <w:right w:val="nil"/>
            </w:tcBorders>
            <w:shd w:val="clear" w:color="auto" w:fill="auto"/>
            <w:noWrap/>
            <w:hideMark/>
          </w:tcPr>
          <w:p w14:paraId="60DBA982"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&lt;0.001</w:t>
            </w:r>
          </w:p>
        </w:tc>
        <w:tc>
          <w:tcPr>
            <w:tcW w:w="1559" w:type="dxa"/>
            <w:tcBorders>
              <w:top w:val="nil"/>
              <w:left w:val="nil"/>
              <w:bottom w:val="nil"/>
              <w:right w:val="nil"/>
            </w:tcBorders>
            <w:shd w:val="clear" w:color="auto" w:fill="auto"/>
            <w:noWrap/>
            <w:hideMark/>
          </w:tcPr>
          <w:p w14:paraId="6602CC1F"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0.03</w:t>
            </w:r>
          </w:p>
          <w:p w14:paraId="145DB0AF"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(0.00-0.06)</w:t>
            </w:r>
          </w:p>
        </w:tc>
        <w:tc>
          <w:tcPr>
            <w:tcW w:w="851" w:type="dxa"/>
            <w:tcBorders>
              <w:top w:val="nil"/>
              <w:left w:val="nil"/>
              <w:bottom w:val="nil"/>
              <w:right w:val="nil"/>
            </w:tcBorders>
            <w:shd w:val="clear" w:color="auto" w:fill="auto"/>
            <w:noWrap/>
            <w:hideMark/>
          </w:tcPr>
          <w:p w14:paraId="694FE0DE"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0.047</w:t>
            </w:r>
          </w:p>
        </w:tc>
        <w:tc>
          <w:tcPr>
            <w:tcW w:w="992" w:type="dxa"/>
            <w:tcBorders>
              <w:top w:val="nil"/>
              <w:left w:val="nil"/>
              <w:bottom w:val="nil"/>
              <w:right w:val="nil"/>
            </w:tcBorders>
            <w:shd w:val="clear" w:color="auto" w:fill="auto"/>
            <w:noWrap/>
            <w:hideMark/>
          </w:tcPr>
          <w:p w14:paraId="2175CD82"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NA</w:t>
            </w:r>
          </w:p>
        </w:tc>
        <w:tc>
          <w:tcPr>
            <w:tcW w:w="1559" w:type="dxa"/>
            <w:tcBorders>
              <w:top w:val="nil"/>
              <w:left w:val="nil"/>
              <w:bottom w:val="nil"/>
              <w:right w:val="nil"/>
            </w:tcBorders>
            <w:shd w:val="clear" w:color="auto" w:fill="auto"/>
            <w:noWrap/>
            <w:hideMark/>
          </w:tcPr>
          <w:p w14:paraId="3F59AF32"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NA</w:t>
            </w:r>
          </w:p>
        </w:tc>
        <w:tc>
          <w:tcPr>
            <w:tcW w:w="851" w:type="dxa"/>
            <w:tcBorders>
              <w:top w:val="nil"/>
              <w:left w:val="nil"/>
              <w:bottom w:val="nil"/>
              <w:right w:val="nil"/>
            </w:tcBorders>
            <w:shd w:val="clear" w:color="auto" w:fill="auto"/>
            <w:noWrap/>
            <w:hideMark/>
          </w:tcPr>
          <w:p w14:paraId="6EA2E921" w14:textId="77777777" w:rsidR="00353D47" w:rsidRPr="0052360E" w:rsidRDefault="00353D47" w:rsidP="008C59EA">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NA</w:t>
            </w:r>
          </w:p>
        </w:tc>
      </w:tr>
      <w:tr w:rsidR="00353D47" w:rsidRPr="0052360E" w14:paraId="4E4F7A62" w14:textId="77777777" w:rsidTr="002317AB">
        <w:trPr>
          <w:trHeight w:val="300"/>
        </w:trPr>
        <w:tc>
          <w:tcPr>
            <w:tcW w:w="2552" w:type="dxa"/>
            <w:tcBorders>
              <w:top w:val="nil"/>
              <w:left w:val="nil"/>
              <w:right w:val="nil"/>
            </w:tcBorders>
            <w:shd w:val="clear" w:color="auto" w:fill="auto"/>
            <w:noWrap/>
          </w:tcPr>
          <w:p w14:paraId="111D7678" w14:textId="671AF993" w:rsidR="00353D47" w:rsidRPr="0052360E" w:rsidRDefault="00353D47" w:rsidP="008C59EA">
            <w:pPr>
              <w:spacing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No schooling</w:t>
            </w:r>
            <w:r w:rsidR="0015111A" w:rsidRPr="0052360E">
              <w:rPr>
                <w:rFonts w:ascii="Times New Roman" w:eastAsia="Times New Roman" w:hAnsi="Times New Roman" w:cs="Times New Roman"/>
                <w:color w:val="000000"/>
                <w:sz w:val="24"/>
                <w:szCs w:val="24"/>
                <w:lang w:eastAsia="en-GB"/>
              </w:rPr>
              <w:t xml:space="preserve"> (y</w:t>
            </w:r>
            <w:r w:rsidRPr="0052360E">
              <w:rPr>
                <w:rFonts w:ascii="Times New Roman" w:eastAsia="Times New Roman" w:hAnsi="Times New Roman" w:cs="Times New Roman"/>
                <w:color w:val="000000"/>
                <w:sz w:val="24"/>
                <w:szCs w:val="24"/>
                <w:lang w:eastAsia="en-GB"/>
              </w:rPr>
              <w:t>es)</w:t>
            </w:r>
          </w:p>
        </w:tc>
        <w:tc>
          <w:tcPr>
            <w:tcW w:w="566" w:type="dxa"/>
            <w:tcBorders>
              <w:top w:val="nil"/>
              <w:left w:val="nil"/>
              <w:bottom w:val="nil"/>
              <w:right w:val="nil"/>
            </w:tcBorders>
            <w:shd w:val="clear" w:color="auto" w:fill="auto"/>
            <w:noWrap/>
          </w:tcPr>
          <w:p w14:paraId="4117D30D" w14:textId="77777777"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1219</w:t>
            </w:r>
          </w:p>
        </w:tc>
        <w:tc>
          <w:tcPr>
            <w:tcW w:w="851" w:type="dxa"/>
            <w:tcBorders>
              <w:top w:val="nil"/>
              <w:left w:val="nil"/>
              <w:bottom w:val="nil"/>
              <w:right w:val="nil"/>
            </w:tcBorders>
            <w:shd w:val="clear" w:color="auto" w:fill="auto"/>
            <w:noWrap/>
          </w:tcPr>
          <w:p w14:paraId="4A08725D" w14:textId="77777777" w:rsidR="00353D47" w:rsidRPr="0052360E" w:rsidRDefault="00353D47" w:rsidP="008C59EA">
            <w:pPr>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&lt;0.001</w:t>
            </w:r>
          </w:p>
        </w:tc>
        <w:tc>
          <w:tcPr>
            <w:tcW w:w="1559" w:type="dxa"/>
            <w:tcBorders>
              <w:top w:val="nil"/>
              <w:left w:val="nil"/>
              <w:bottom w:val="nil"/>
              <w:right w:val="nil"/>
            </w:tcBorders>
            <w:shd w:val="clear" w:color="auto" w:fill="auto"/>
            <w:noWrap/>
          </w:tcPr>
          <w:p w14:paraId="41182F0E" w14:textId="77777777"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-0.01</w:t>
            </w:r>
          </w:p>
          <w:p w14:paraId="57D1FAAF" w14:textId="77777777"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(-0.13-0.11)</w:t>
            </w:r>
          </w:p>
        </w:tc>
        <w:tc>
          <w:tcPr>
            <w:tcW w:w="851" w:type="dxa"/>
            <w:tcBorders>
              <w:top w:val="nil"/>
              <w:left w:val="nil"/>
              <w:bottom w:val="nil"/>
              <w:right w:val="nil"/>
            </w:tcBorders>
            <w:shd w:val="clear" w:color="auto" w:fill="auto"/>
            <w:noWrap/>
          </w:tcPr>
          <w:p w14:paraId="2D8AFA2B" w14:textId="77777777"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0.83</w:t>
            </w:r>
          </w:p>
        </w:tc>
        <w:tc>
          <w:tcPr>
            <w:tcW w:w="992" w:type="dxa"/>
            <w:tcBorders>
              <w:top w:val="nil"/>
              <w:left w:val="nil"/>
              <w:bottom w:val="nil"/>
              <w:right w:val="nil"/>
            </w:tcBorders>
            <w:shd w:val="clear" w:color="auto" w:fill="auto"/>
            <w:noWrap/>
          </w:tcPr>
          <w:p w14:paraId="318882D1" w14:textId="77777777"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&lt;0.001</w:t>
            </w:r>
          </w:p>
        </w:tc>
        <w:tc>
          <w:tcPr>
            <w:tcW w:w="1559" w:type="dxa"/>
            <w:tcBorders>
              <w:top w:val="nil"/>
              <w:left w:val="nil"/>
              <w:bottom w:val="nil"/>
              <w:right w:val="nil"/>
            </w:tcBorders>
            <w:shd w:val="clear" w:color="auto" w:fill="auto"/>
            <w:noWrap/>
          </w:tcPr>
          <w:p w14:paraId="5D0F4ED6" w14:textId="77777777"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-0.01</w:t>
            </w:r>
          </w:p>
          <w:p w14:paraId="2F504973" w14:textId="77777777"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(-0.12 - 0.0)</w:t>
            </w:r>
          </w:p>
        </w:tc>
        <w:tc>
          <w:tcPr>
            <w:tcW w:w="851" w:type="dxa"/>
            <w:tcBorders>
              <w:top w:val="nil"/>
              <w:left w:val="nil"/>
              <w:bottom w:val="nil"/>
              <w:right w:val="nil"/>
            </w:tcBorders>
            <w:shd w:val="clear" w:color="auto" w:fill="auto"/>
            <w:noWrap/>
            <w:vAlign w:val="bottom"/>
          </w:tcPr>
          <w:p w14:paraId="361E9539" w14:textId="77777777"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0.93</w:t>
            </w:r>
          </w:p>
        </w:tc>
      </w:tr>
      <w:tr w:rsidR="00353D47" w:rsidRPr="0052360E" w14:paraId="49E2A09F" w14:textId="77777777" w:rsidTr="002317AB">
        <w:trPr>
          <w:trHeight w:val="513"/>
        </w:trPr>
        <w:tc>
          <w:tcPr>
            <w:tcW w:w="2552" w:type="dxa"/>
            <w:tcBorders>
              <w:left w:val="nil"/>
            </w:tcBorders>
            <w:shd w:val="clear" w:color="auto" w:fill="auto"/>
            <w:noWrap/>
          </w:tcPr>
          <w:p w14:paraId="67B31151" w14:textId="6657A042" w:rsidR="00353D47" w:rsidRPr="0052360E" w:rsidRDefault="00353D47" w:rsidP="002317AB">
            <w:pPr>
              <w:spacing w:after="0" w:line="240"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 xml:space="preserve">Nugent scores:  </w:t>
            </w:r>
            <w:r w:rsidR="002317AB" w:rsidRPr="0052360E">
              <w:rPr>
                <w:rFonts w:ascii="Times New Roman" w:eastAsia="Times New Roman" w:hAnsi="Times New Roman" w:cs="Times New Roman"/>
                <w:color w:val="000000"/>
                <w:sz w:val="24"/>
                <w:szCs w:val="24"/>
                <w:lang w:eastAsia="en-GB"/>
              </w:rPr>
              <w:t xml:space="preserve">  </w:t>
            </w:r>
            <w:r w:rsidRPr="0052360E">
              <w:rPr>
                <w:rFonts w:ascii="Times New Roman" w:eastAsia="Times New Roman" w:hAnsi="Times New Roman" w:cs="Times New Roman"/>
                <w:color w:val="000000"/>
                <w:sz w:val="24"/>
                <w:szCs w:val="24"/>
                <w:lang w:eastAsia="en-GB"/>
              </w:rPr>
              <w:t xml:space="preserve"> 0-3</w:t>
            </w:r>
          </w:p>
        </w:tc>
        <w:tc>
          <w:tcPr>
            <w:tcW w:w="566" w:type="dxa"/>
            <w:tcBorders>
              <w:top w:val="nil"/>
            </w:tcBorders>
            <w:noWrap/>
          </w:tcPr>
          <w:p w14:paraId="5BAC3E1F" w14:textId="7045A2F1" w:rsidR="00353D47" w:rsidRPr="0052360E" w:rsidRDefault="00353D47" w:rsidP="00231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1146</w:t>
            </w:r>
          </w:p>
        </w:tc>
        <w:tc>
          <w:tcPr>
            <w:tcW w:w="851" w:type="dxa"/>
            <w:tcBorders>
              <w:top w:val="nil"/>
            </w:tcBorders>
            <w:shd w:val="clear" w:color="auto" w:fill="auto"/>
            <w:noWrap/>
          </w:tcPr>
          <w:p w14:paraId="79D8021A" w14:textId="3A88D85C" w:rsidR="00353D47" w:rsidRPr="0052360E" w:rsidRDefault="00353D47" w:rsidP="002317AB">
            <w:pPr>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&lt;0.001</w:t>
            </w:r>
          </w:p>
        </w:tc>
        <w:tc>
          <w:tcPr>
            <w:tcW w:w="1559" w:type="dxa"/>
            <w:tcBorders>
              <w:top w:val="nil"/>
            </w:tcBorders>
            <w:shd w:val="clear" w:color="auto" w:fill="auto"/>
            <w:noWrap/>
          </w:tcPr>
          <w:p w14:paraId="6ED58D4A" w14:textId="2EE1260D" w:rsidR="00353D47" w:rsidRPr="0052360E" w:rsidRDefault="00353D47" w:rsidP="00231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reference</w:t>
            </w:r>
          </w:p>
        </w:tc>
        <w:tc>
          <w:tcPr>
            <w:tcW w:w="851" w:type="dxa"/>
            <w:tcBorders>
              <w:top w:val="nil"/>
            </w:tcBorders>
            <w:shd w:val="clear" w:color="auto" w:fill="auto"/>
            <w:noWrap/>
          </w:tcPr>
          <w:p w14:paraId="119A34D0" w14:textId="0E7D9864" w:rsidR="00353D47" w:rsidRPr="0052360E" w:rsidRDefault="00353D47" w:rsidP="00231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&lt;0.001</w:t>
            </w:r>
          </w:p>
        </w:tc>
        <w:tc>
          <w:tcPr>
            <w:tcW w:w="992" w:type="dxa"/>
            <w:tcBorders>
              <w:top w:val="nil"/>
            </w:tcBorders>
            <w:shd w:val="clear" w:color="auto" w:fill="auto"/>
            <w:noWrap/>
          </w:tcPr>
          <w:p w14:paraId="63E8DCD0" w14:textId="034BFBBD" w:rsidR="00353D47" w:rsidRPr="0052360E" w:rsidRDefault="00353D47" w:rsidP="00231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&lt;0.001</w:t>
            </w:r>
          </w:p>
        </w:tc>
        <w:tc>
          <w:tcPr>
            <w:tcW w:w="1559" w:type="dxa"/>
            <w:tcBorders>
              <w:top w:val="nil"/>
            </w:tcBorders>
            <w:shd w:val="clear" w:color="auto" w:fill="auto"/>
            <w:noWrap/>
          </w:tcPr>
          <w:p w14:paraId="776BFBD0" w14:textId="1505391C" w:rsidR="00353D47" w:rsidRPr="0052360E" w:rsidRDefault="00353D47" w:rsidP="00231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reference</w:t>
            </w:r>
          </w:p>
        </w:tc>
        <w:tc>
          <w:tcPr>
            <w:tcW w:w="851" w:type="dxa"/>
            <w:tcBorders>
              <w:top w:val="nil"/>
              <w:right w:val="nil"/>
            </w:tcBorders>
            <w:shd w:val="clear" w:color="auto" w:fill="auto"/>
            <w:noWrap/>
          </w:tcPr>
          <w:p w14:paraId="04A85C1E" w14:textId="046CAA8A" w:rsidR="00353D47" w:rsidRPr="0052360E" w:rsidRDefault="00353D47" w:rsidP="00231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&lt;0.001</w:t>
            </w:r>
          </w:p>
        </w:tc>
      </w:tr>
      <w:tr w:rsidR="00353D47" w:rsidRPr="0052360E" w14:paraId="0AFA6B42" w14:textId="77777777" w:rsidTr="002317AB">
        <w:trPr>
          <w:trHeight w:val="300"/>
        </w:trPr>
        <w:tc>
          <w:tcPr>
            <w:tcW w:w="2552" w:type="dxa"/>
            <w:tcBorders>
              <w:left w:val="nil"/>
            </w:tcBorders>
            <w:shd w:val="clear" w:color="auto" w:fill="auto"/>
            <w:noWrap/>
          </w:tcPr>
          <w:p w14:paraId="6D58E32B" w14:textId="4AABF57E" w:rsidR="00353D47" w:rsidRPr="0052360E" w:rsidRDefault="00353D47" w:rsidP="008C59EA">
            <w:pPr>
              <w:spacing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 xml:space="preserve">                          </w:t>
            </w:r>
            <w:r w:rsidR="0015111A" w:rsidRPr="0052360E">
              <w:rPr>
                <w:rFonts w:ascii="Times New Roman" w:eastAsia="Times New Roman" w:hAnsi="Times New Roman" w:cs="Times New Roman"/>
                <w:color w:val="000000"/>
                <w:sz w:val="24"/>
                <w:szCs w:val="24"/>
                <w:lang w:eastAsia="en-GB"/>
              </w:rPr>
              <w:t xml:space="preserve"> </w:t>
            </w:r>
            <w:r w:rsidR="002317AB" w:rsidRPr="0052360E">
              <w:rPr>
                <w:rFonts w:ascii="Times New Roman" w:eastAsia="Times New Roman" w:hAnsi="Times New Roman" w:cs="Times New Roman"/>
                <w:color w:val="000000"/>
                <w:sz w:val="24"/>
                <w:szCs w:val="24"/>
                <w:lang w:eastAsia="en-GB"/>
              </w:rPr>
              <w:t xml:space="preserve">  </w:t>
            </w:r>
            <w:r w:rsidRPr="0052360E">
              <w:rPr>
                <w:rFonts w:ascii="Times New Roman" w:eastAsia="Times New Roman" w:hAnsi="Times New Roman" w:cs="Times New Roman"/>
                <w:color w:val="000000"/>
                <w:sz w:val="24"/>
                <w:szCs w:val="24"/>
                <w:lang w:eastAsia="en-GB"/>
              </w:rPr>
              <w:t>4-6</w:t>
            </w:r>
          </w:p>
        </w:tc>
        <w:tc>
          <w:tcPr>
            <w:tcW w:w="566" w:type="dxa"/>
            <w:noWrap/>
          </w:tcPr>
          <w:p w14:paraId="060FE588" w14:textId="232BAF4E"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NA</w:t>
            </w:r>
          </w:p>
        </w:tc>
        <w:tc>
          <w:tcPr>
            <w:tcW w:w="851" w:type="dxa"/>
            <w:shd w:val="clear" w:color="auto" w:fill="auto"/>
            <w:noWrap/>
          </w:tcPr>
          <w:p w14:paraId="2AE53E17" w14:textId="44AE2EF9" w:rsidR="00353D47" w:rsidRPr="0052360E" w:rsidRDefault="00353D47" w:rsidP="008C59EA">
            <w:pPr>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NA</w:t>
            </w:r>
          </w:p>
        </w:tc>
        <w:tc>
          <w:tcPr>
            <w:tcW w:w="1559" w:type="dxa"/>
            <w:shd w:val="clear" w:color="auto" w:fill="auto"/>
            <w:noWrap/>
          </w:tcPr>
          <w:p w14:paraId="72E2B053" w14:textId="77777777" w:rsidR="00353D47" w:rsidRPr="0052360E" w:rsidRDefault="00353D47" w:rsidP="008C59EA">
            <w:pPr>
              <w:spacing w:after="0" w:line="276" w:lineRule="auto"/>
              <w:jc w:val="center"/>
              <w:rPr>
                <w:rFonts w:ascii="Times New Roman" w:hAnsi="Times New Roman" w:cs="Times New Roman"/>
                <w:color w:val="000000"/>
              </w:rPr>
            </w:pPr>
            <w:r w:rsidRPr="0052360E">
              <w:rPr>
                <w:rFonts w:ascii="Times New Roman" w:hAnsi="Times New Roman" w:cs="Times New Roman"/>
                <w:color w:val="000000"/>
              </w:rPr>
              <w:t>0.41</w:t>
            </w:r>
          </w:p>
          <w:p w14:paraId="378BCE39" w14:textId="7D935842"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(0.23-0.59)</w:t>
            </w:r>
          </w:p>
        </w:tc>
        <w:tc>
          <w:tcPr>
            <w:tcW w:w="851" w:type="dxa"/>
            <w:shd w:val="clear" w:color="auto" w:fill="auto"/>
            <w:noWrap/>
          </w:tcPr>
          <w:p w14:paraId="097340B2" w14:textId="44833FBA" w:rsidR="00353D4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NA</w:t>
            </w:r>
          </w:p>
        </w:tc>
        <w:tc>
          <w:tcPr>
            <w:tcW w:w="992" w:type="dxa"/>
            <w:shd w:val="clear" w:color="auto" w:fill="auto"/>
            <w:noWrap/>
          </w:tcPr>
          <w:p w14:paraId="258593EE" w14:textId="18ADE2C6"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&lt;0.001</w:t>
            </w:r>
          </w:p>
        </w:tc>
        <w:tc>
          <w:tcPr>
            <w:tcW w:w="1559" w:type="dxa"/>
            <w:shd w:val="clear" w:color="auto" w:fill="auto"/>
            <w:noWrap/>
          </w:tcPr>
          <w:p w14:paraId="61E19713" w14:textId="77777777" w:rsidR="00353D47" w:rsidRPr="0052360E" w:rsidRDefault="00353D47" w:rsidP="008C59EA">
            <w:pPr>
              <w:spacing w:after="0" w:line="276" w:lineRule="auto"/>
              <w:jc w:val="center"/>
              <w:rPr>
                <w:rFonts w:ascii="Times New Roman" w:hAnsi="Times New Roman" w:cs="Times New Roman"/>
                <w:color w:val="000000"/>
              </w:rPr>
            </w:pPr>
            <w:r w:rsidRPr="0052360E">
              <w:rPr>
                <w:rFonts w:ascii="Times New Roman" w:hAnsi="Times New Roman" w:cs="Times New Roman"/>
                <w:color w:val="000000"/>
              </w:rPr>
              <w:t xml:space="preserve">0.42 </w:t>
            </w:r>
          </w:p>
          <w:p w14:paraId="1088CBD5" w14:textId="266DA93E"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(0.24-0.60)</w:t>
            </w:r>
          </w:p>
        </w:tc>
        <w:tc>
          <w:tcPr>
            <w:tcW w:w="851" w:type="dxa"/>
            <w:tcBorders>
              <w:right w:val="nil"/>
            </w:tcBorders>
            <w:shd w:val="clear" w:color="auto" w:fill="auto"/>
            <w:noWrap/>
          </w:tcPr>
          <w:p w14:paraId="6B0070F6" w14:textId="17867194" w:rsidR="00353D4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NA</w:t>
            </w:r>
          </w:p>
        </w:tc>
      </w:tr>
      <w:tr w:rsidR="00353D47" w:rsidRPr="0052360E" w14:paraId="78A9E59D" w14:textId="77777777" w:rsidTr="002317AB">
        <w:trPr>
          <w:trHeight w:val="300"/>
        </w:trPr>
        <w:tc>
          <w:tcPr>
            <w:tcW w:w="2552" w:type="dxa"/>
            <w:tcBorders>
              <w:left w:val="nil"/>
            </w:tcBorders>
            <w:shd w:val="clear" w:color="auto" w:fill="auto"/>
            <w:noWrap/>
          </w:tcPr>
          <w:p w14:paraId="5897E7A2" w14:textId="41F5C3BB" w:rsidR="00353D47" w:rsidRPr="0052360E" w:rsidRDefault="00353D47" w:rsidP="008C59EA">
            <w:pPr>
              <w:spacing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 xml:space="preserve">                          </w:t>
            </w:r>
            <w:r w:rsidR="002317AB" w:rsidRPr="0052360E">
              <w:rPr>
                <w:rFonts w:ascii="Times New Roman" w:eastAsia="Times New Roman" w:hAnsi="Times New Roman" w:cs="Times New Roman"/>
                <w:color w:val="000000"/>
                <w:sz w:val="24"/>
                <w:szCs w:val="24"/>
                <w:lang w:eastAsia="en-GB"/>
              </w:rPr>
              <w:t xml:space="preserve">  </w:t>
            </w:r>
            <w:r w:rsidR="0015111A" w:rsidRPr="0052360E">
              <w:rPr>
                <w:rFonts w:ascii="Times New Roman" w:eastAsia="Times New Roman" w:hAnsi="Times New Roman" w:cs="Times New Roman"/>
                <w:color w:val="000000"/>
                <w:sz w:val="24"/>
                <w:szCs w:val="24"/>
                <w:lang w:eastAsia="en-GB"/>
              </w:rPr>
              <w:t xml:space="preserve"> </w:t>
            </w:r>
            <w:r w:rsidRPr="0052360E">
              <w:rPr>
                <w:rFonts w:ascii="Times New Roman" w:eastAsia="Times New Roman" w:hAnsi="Times New Roman" w:cs="Times New Roman"/>
                <w:color w:val="000000"/>
                <w:sz w:val="24"/>
                <w:szCs w:val="24"/>
                <w:lang w:eastAsia="en-GB"/>
              </w:rPr>
              <w:t>7-10</w:t>
            </w:r>
          </w:p>
        </w:tc>
        <w:tc>
          <w:tcPr>
            <w:tcW w:w="566" w:type="dxa"/>
            <w:noWrap/>
          </w:tcPr>
          <w:p w14:paraId="569E0A0B" w14:textId="04BA0761"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NA</w:t>
            </w:r>
          </w:p>
        </w:tc>
        <w:tc>
          <w:tcPr>
            <w:tcW w:w="851" w:type="dxa"/>
            <w:shd w:val="clear" w:color="auto" w:fill="auto"/>
            <w:noWrap/>
          </w:tcPr>
          <w:p w14:paraId="07F419D2" w14:textId="4442E0EC" w:rsidR="00353D47" w:rsidRPr="0052360E" w:rsidRDefault="00353D47" w:rsidP="008C59EA">
            <w:pPr>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NA</w:t>
            </w:r>
          </w:p>
        </w:tc>
        <w:tc>
          <w:tcPr>
            <w:tcW w:w="1559" w:type="dxa"/>
            <w:shd w:val="clear" w:color="auto" w:fill="auto"/>
            <w:noWrap/>
          </w:tcPr>
          <w:p w14:paraId="7131EAED" w14:textId="77777777" w:rsidR="00353D47" w:rsidRPr="0052360E" w:rsidRDefault="00353D47" w:rsidP="008C59EA">
            <w:pPr>
              <w:spacing w:after="0" w:line="276" w:lineRule="auto"/>
              <w:jc w:val="center"/>
              <w:rPr>
                <w:rFonts w:ascii="Times New Roman" w:hAnsi="Times New Roman" w:cs="Times New Roman"/>
                <w:color w:val="000000"/>
              </w:rPr>
            </w:pPr>
            <w:r w:rsidRPr="0052360E">
              <w:rPr>
                <w:rFonts w:ascii="Times New Roman" w:hAnsi="Times New Roman" w:cs="Times New Roman"/>
                <w:color w:val="000000"/>
              </w:rPr>
              <w:t>0.82</w:t>
            </w:r>
          </w:p>
          <w:p w14:paraId="3A8F4E41" w14:textId="230E6ABA"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(0.63-1.00)</w:t>
            </w:r>
          </w:p>
        </w:tc>
        <w:tc>
          <w:tcPr>
            <w:tcW w:w="851" w:type="dxa"/>
            <w:shd w:val="clear" w:color="auto" w:fill="auto"/>
            <w:noWrap/>
          </w:tcPr>
          <w:p w14:paraId="26B9D999" w14:textId="38967B2B" w:rsidR="00353D4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NA</w:t>
            </w:r>
          </w:p>
        </w:tc>
        <w:tc>
          <w:tcPr>
            <w:tcW w:w="992" w:type="dxa"/>
            <w:shd w:val="clear" w:color="auto" w:fill="auto"/>
            <w:noWrap/>
          </w:tcPr>
          <w:p w14:paraId="42DD8F15" w14:textId="7B21394F"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&lt;0.001</w:t>
            </w:r>
          </w:p>
        </w:tc>
        <w:tc>
          <w:tcPr>
            <w:tcW w:w="1559" w:type="dxa"/>
            <w:shd w:val="clear" w:color="auto" w:fill="auto"/>
            <w:noWrap/>
          </w:tcPr>
          <w:p w14:paraId="44A08070" w14:textId="77777777" w:rsidR="00353D47" w:rsidRPr="0052360E" w:rsidRDefault="00353D47" w:rsidP="008C59EA">
            <w:pPr>
              <w:spacing w:after="0" w:line="276" w:lineRule="auto"/>
              <w:jc w:val="center"/>
              <w:rPr>
                <w:rFonts w:ascii="Times New Roman" w:hAnsi="Times New Roman" w:cs="Times New Roman"/>
                <w:color w:val="000000"/>
              </w:rPr>
            </w:pPr>
            <w:r w:rsidRPr="0052360E">
              <w:rPr>
                <w:rFonts w:ascii="Times New Roman" w:hAnsi="Times New Roman" w:cs="Times New Roman"/>
                <w:color w:val="000000"/>
              </w:rPr>
              <w:t xml:space="preserve">0.81 </w:t>
            </w:r>
          </w:p>
          <w:p w14:paraId="48C703ED" w14:textId="5C6C2286"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(0.62-1.00)</w:t>
            </w:r>
          </w:p>
        </w:tc>
        <w:tc>
          <w:tcPr>
            <w:tcW w:w="851" w:type="dxa"/>
            <w:tcBorders>
              <w:right w:val="nil"/>
            </w:tcBorders>
            <w:shd w:val="clear" w:color="auto" w:fill="auto"/>
            <w:noWrap/>
          </w:tcPr>
          <w:p w14:paraId="15EE7923" w14:textId="3195DEFC" w:rsidR="00353D4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NA</w:t>
            </w:r>
          </w:p>
        </w:tc>
      </w:tr>
      <w:tr w:rsidR="00353D47" w:rsidRPr="0052360E" w14:paraId="19019F54" w14:textId="77777777" w:rsidTr="002317AB">
        <w:trPr>
          <w:trHeight w:val="300"/>
        </w:trPr>
        <w:tc>
          <w:tcPr>
            <w:tcW w:w="2552" w:type="dxa"/>
            <w:tcBorders>
              <w:left w:val="nil"/>
            </w:tcBorders>
            <w:shd w:val="clear" w:color="auto" w:fill="auto"/>
            <w:noWrap/>
          </w:tcPr>
          <w:p w14:paraId="28884ED0" w14:textId="5B2518EC" w:rsidR="00353D47" w:rsidRPr="0052360E" w:rsidRDefault="00353D47" w:rsidP="008C59EA">
            <w:pPr>
              <w:spacing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i/>
                <w:color w:val="000000"/>
                <w:sz w:val="24"/>
                <w:szCs w:val="24"/>
                <w:lang w:eastAsia="en-GB"/>
              </w:rPr>
              <w:t>T. vaginalis</w:t>
            </w:r>
            <w:r w:rsidR="008E4ED5" w:rsidRPr="0052360E">
              <w:rPr>
                <w:rFonts w:ascii="Times New Roman" w:eastAsia="Times New Roman" w:hAnsi="Times New Roman" w:cs="Times New Roman"/>
                <w:i/>
                <w:color w:val="000000"/>
                <w:sz w:val="24"/>
                <w:szCs w:val="24"/>
                <w:lang w:eastAsia="en-GB"/>
              </w:rPr>
              <w:t xml:space="preserve"> </w:t>
            </w:r>
            <w:r w:rsidR="008E4ED5" w:rsidRPr="0052360E">
              <w:rPr>
                <w:rFonts w:ascii="Times New Roman" w:eastAsia="Times New Roman" w:hAnsi="Times New Roman" w:cs="Times New Roman"/>
                <w:color w:val="000000"/>
                <w:sz w:val="24"/>
                <w:szCs w:val="24"/>
                <w:lang w:eastAsia="en-GB"/>
              </w:rPr>
              <w:t>(yes)</w:t>
            </w:r>
          </w:p>
        </w:tc>
        <w:tc>
          <w:tcPr>
            <w:tcW w:w="566" w:type="dxa"/>
            <w:noWrap/>
          </w:tcPr>
          <w:p w14:paraId="1044459A" w14:textId="21F253DF"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1215</w:t>
            </w:r>
          </w:p>
        </w:tc>
        <w:tc>
          <w:tcPr>
            <w:tcW w:w="851" w:type="dxa"/>
            <w:shd w:val="clear" w:color="auto" w:fill="auto"/>
            <w:noWrap/>
          </w:tcPr>
          <w:p w14:paraId="262ED5BA" w14:textId="6888603C" w:rsidR="00353D47" w:rsidRPr="0052360E" w:rsidRDefault="00353D47" w:rsidP="008C59EA">
            <w:pPr>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&lt;0.001</w:t>
            </w:r>
          </w:p>
        </w:tc>
        <w:tc>
          <w:tcPr>
            <w:tcW w:w="1559" w:type="dxa"/>
            <w:shd w:val="clear" w:color="auto" w:fill="auto"/>
            <w:noWrap/>
          </w:tcPr>
          <w:p w14:paraId="52E0CFE9" w14:textId="77777777" w:rsidR="00353D47" w:rsidRPr="0052360E" w:rsidRDefault="00353D47" w:rsidP="008C59EA">
            <w:pPr>
              <w:spacing w:after="0" w:line="276" w:lineRule="auto"/>
              <w:jc w:val="center"/>
              <w:rPr>
                <w:rFonts w:ascii="Times New Roman" w:hAnsi="Times New Roman" w:cs="Times New Roman"/>
                <w:color w:val="000000"/>
              </w:rPr>
            </w:pPr>
            <w:r w:rsidRPr="0052360E">
              <w:rPr>
                <w:rFonts w:ascii="Times New Roman" w:hAnsi="Times New Roman" w:cs="Times New Roman"/>
                <w:color w:val="000000"/>
              </w:rPr>
              <w:t>1.06</w:t>
            </w:r>
          </w:p>
          <w:p w14:paraId="6DC9FD8F" w14:textId="15950FFD"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(0.85-1.26)</w:t>
            </w:r>
          </w:p>
        </w:tc>
        <w:tc>
          <w:tcPr>
            <w:tcW w:w="851" w:type="dxa"/>
            <w:shd w:val="clear" w:color="auto" w:fill="auto"/>
            <w:noWrap/>
          </w:tcPr>
          <w:p w14:paraId="7911519B" w14:textId="1293176F"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&lt;0.001</w:t>
            </w:r>
          </w:p>
        </w:tc>
        <w:tc>
          <w:tcPr>
            <w:tcW w:w="992" w:type="dxa"/>
            <w:shd w:val="clear" w:color="auto" w:fill="auto"/>
            <w:noWrap/>
          </w:tcPr>
          <w:p w14:paraId="28748E7D" w14:textId="2FF6AB7B"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&lt;0.001</w:t>
            </w:r>
          </w:p>
        </w:tc>
        <w:tc>
          <w:tcPr>
            <w:tcW w:w="1559" w:type="dxa"/>
            <w:shd w:val="clear" w:color="auto" w:fill="auto"/>
            <w:noWrap/>
          </w:tcPr>
          <w:p w14:paraId="251D6354" w14:textId="77777777" w:rsidR="00353D47" w:rsidRPr="0052360E" w:rsidRDefault="00353D47" w:rsidP="008C59EA">
            <w:pPr>
              <w:spacing w:after="0" w:line="276" w:lineRule="auto"/>
              <w:jc w:val="center"/>
              <w:rPr>
                <w:rFonts w:ascii="Times New Roman" w:hAnsi="Times New Roman" w:cs="Times New Roman"/>
                <w:color w:val="000000"/>
              </w:rPr>
            </w:pPr>
            <w:r w:rsidRPr="0052360E">
              <w:rPr>
                <w:rFonts w:ascii="Times New Roman" w:hAnsi="Times New Roman" w:cs="Times New Roman"/>
                <w:color w:val="000000"/>
              </w:rPr>
              <w:t xml:space="preserve">1.06 </w:t>
            </w:r>
          </w:p>
          <w:p w14:paraId="1A8B0989" w14:textId="73785897"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(0.86-1.26)</w:t>
            </w:r>
          </w:p>
        </w:tc>
        <w:tc>
          <w:tcPr>
            <w:tcW w:w="851" w:type="dxa"/>
            <w:tcBorders>
              <w:right w:val="nil"/>
            </w:tcBorders>
            <w:shd w:val="clear" w:color="auto" w:fill="auto"/>
            <w:noWrap/>
          </w:tcPr>
          <w:p w14:paraId="62F9821E" w14:textId="6AEB9935"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&lt;0.001</w:t>
            </w:r>
          </w:p>
        </w:tc>
      </w:tr>
      <w:tr w:rsidR="00353D47" w:rsidRPr="0052360E" w14:paraId="311822CF" w14:textId="77777777" w:rsidTr="002317AB">
        <w:trPr>
          <w:trHeight w:val="300"/>
        </w:trPr>
        <w:tc>
          <w:tcPr>
            <w:tcW w:w="2552" w:type="dxa"/>
            <w:tcBorders>
              <w:left w:val="nil"/>
            </w:tcBorders>
            <w:shd w:val="clear" w:color="auto" w:fill="auto"/>
            <w:noWrap/>
          </w:tcPr>
          <w:p w14:paraId="03FD1A03" w14:textId="41C515CB" w:rsidR="00353D47" w:rsidRPr="0052360E" w:rsidRDefault="00353D47" w:rsidP="008C59EA">
            <w:pPr>
              <w:spacing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Vaginal discharge</w:t>
            </w:r>
            <w:r w:rsidR="0015111A" w:rsidRPr="0052360E">
              <w:rPr>
                <w:rFonts w:ascii="Times New Roman" w:eastAsia="Times New Roman" w:hAnsi="Times New Roman" w:cs="Times New Roman"/>
                <w:color w:val="000000"/>
                <w:sz w:val="24"/>
                <w:szCs w:val="24"/>
                <w:lang w:eastAsia="en-GB"/>
              </w:rPr>
              <w:t xml:space="preserve"> (yes)</w:t>
            </w:r>
          </w:p>
        </w:tc>
        <w:tc>
          <w:tcPr>
            <w:tcW w:w="566" w:type="dxa"/>
            <w:noWrap/>
          </w:tcPr>
          <w:p w14:paraId="1FDB9DD0" w14:textId="1FEF6B0D"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1221</w:t>
            </w:r>
          </w:p>
        </w:tc>
        <w:tc>
          <w:tcPr>
            <w:tcW w:w="851" w:type="dxa"/>
            <w:shd w:val="clear" w:color="auto" w:fill="auto"/>
            <w:noWrap/>
          </w:tcPr>
          <w:p w14:paraId="4741FB4B" w14:textId="3EEA8F64" w:rsidR="00353D47" w:rsidRPr="0052360E" w:rsidRDefault="00353D47" w:rsidP="008C59EA">
            <w:pPr>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&lt;0.001</w:t>
            </w:r>
          </w:p>
        </w:tc>
        <w:tc>
          <w:tcPr>
            <w:tcW w:w="1559" w:type="dxa"/>
            <w:shd w:val="clear" w:color="auto" w:fill="auto"/>
            <w:noWrap/>
          </w:tcPr>
          <w:p w14:paraId="478BB59C" w14:textId="77777777" w:rsidR="00353D47" w:rsidRPr="0052360E" w:rsidRDefault="00353D47" w:rsidP="008C59EA">
            <w:pPr>
              <w:spacing w:after="0" w:line="276" w:lineRule="auto"/>
              <w:jc w:val="center"/>
              <w:rPr>
                <w:rFonts w:ascii="Times New Roman" w:hAnsi="Times New Roman" w:cs="Times New Roman"/>
                <w:color w:val="000000"/>
              </w:rPr>
            </w:pPr>
            <w:r w:rsidRPr="0052360E">
              <w:rPr>
                <w:rFonts w:ascii="Times New Roman" w:hAnsi="Times New Roman" w:cs="Times New Roman"/>
                <w:color w:val="000000"/>
              </w:rPr>
              <w:t>0.26</w:t>
            </w:r>
          </w:p>
          <w:p w14:paraId="49525811" w14:textId="55C30A0C"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(0.07-0.45)</w:t>
            </w:r>
          </w:p>
        </w:tc>
        <w:tc>
          <w:tcPr>
            <w:tcW w:w="851" w:type="dxa"/>
            <w:shd w:val="clear" w:color="auto" w:fill="auto"/>
            <w:noWrap/>
          </w:tcPr>
          <w:p w14:paraId="77096C9F" w14:textId="3665492C"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0.006</w:t>
            </w:r>
          </w:p>
        </w:tc>
        <w:tc>
          <w:tcPr>
            <w:tcW w:w="992" w:type="dxa"/>
            <w:shd w:val="clear" w:color="auto" w:fill="auto"/>
            <w:noWrap/>
          </w:tcPr>
          <w:p w14:paraId="3F9917E8" w14:textId="66B4FC84"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&lt;0.001</w:t>
            </w:r>
          </w:p>
        </w:tc>
        <w:tc>
          <w:tcPr>
            <w:tcW w:w="1559" w:type="dxa"/>
            <w:shd w:val="clear" w:color="auto" w:fill="auto"/>
            <w:noWrap/>
          </w:tcPr>
          <w:p w14:paraId="4848447F" w14:textId="77777777" w:rsidR="00353D47" w:rsidRPr="0052360E" w:rsidRDefault="00353D47" w:rsidP="008C59EA">
            <w:pPr>
              <w:spacing w:after="0" w:line="276" w:lineRule="auto"/>
              <w:jc w:val="center"/>
              <w:rPr>
                <w:rFonts w:ascii="Times New Roman" w:hAnsi="Times New Roman" w:cs="Times New Roman"/>
                <w:color w:val="000000"/>
              </w:rPr>
            </w:pPr>
            <w:r w:rsidRPr="0052360E">
              <w:rPr>
                <w:rFonts w:ascii="Times New Roman" w:hAnsi="Times New Roman" w:cs="Times New Roman"/>
                <w:color w:val="000000"/>
              </w:rPr>
              <w:t xml:space="preserve">0.26 </w:t>
            </w:r>
          </w:p>
          <w:p w14:paraId="6F36FAC4" w14:textId="7011489F"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(0.08-0.45)</w:t>
            </w:r>
          </w:p>
        </w:tc>
        <w:tc>
          <w:tcPr>
            <w:tcW w:w="851" w:type="dxa"/>
            <w:tcBorders>
              <w:right w:val="nil"/>
            </w:tcBorders>
            <w:shd w:val="clear" w:color="auto" w:fill="auto"/>
            <w:noWrap/>
          </w:tcPr>
          <w:p w14:paraId="2B3F2917" w14:textId="071BB523"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0.006</w:t>
            </w:r>
          </w:p>
        </w:tc>
      </w:tr>
      <w:tr w:rsidR="007D5607" w:rsidRPr="0052360E" w14:paraId="617D55E3" w14:textId="77777777" w:rsidTr="002317AB">
        <w:trPr>
          <w:trHeight w:val="300"/>
        </w:trPr>
        <w:tc>
          <w:tcPr>
            <w:tcW w:w="2552" w:type="dxa"/>
            <w:tcBorders>
              <w:left w:val="nil"/>
            </w:tcBorders>
            <w:shd w:val="clear" w:color="auto" w:fill="auto"/>
            <w:noWrap/>
          </w:tcPr>
          <w:p w14:paraId="4AE60D08" w14:textId="40E1D607" w:rsidR="00353D47" w:rsidRPr="0052360E" w:rsidRDefault="00353D47" w:rsidP="008C59EA">
            <w:pPr>
              <w:spacing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Antibiotic use</w:t>
            </w:r>
            <w:r w:rsidR="0015111A" w:rsidRPr="0052360E">
              <w:rPr>
                <w:rFonts w:ascii="Times New Roman" w:eastAsia="Times New Roman" w:hAnsi="Times New Roman" w:cs="Times New Roman"/>
                <w:color w:val="000000"/>
                <w:sz w:val="24"/>
                <w:szCs w:val="24"/>
                <w:lang w:eastAsia="en-GB"/>
              </w:rPr>
              <w:t xml:space="preserve"> (yes)</w:t>
            </w:r>
          </w:p>
        </w:tc>
        <w:tc>
          <w:tcPr>
            <w:tcW w:w="566" w:type="dxa"/>
            <w:tcBorders>
              <w:bottom w:val="nil"/>
            </w:tcBorders>
            <w:noWrap/>
          </w:tcPr>
          <w:p w14:paraId="768ECAB0" w14:textId="2CED473C"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1224</w:t>
            </w:r>
          </w:p>
        </w:tc>
        <w:tc>
          <w:tcPr>
            <w:tcW w:w="851" w:type="dxa"/>
            <w:tcBorders>
              <w:bottom w:val="nil"/>
            </w:tcBorders>
            <w:shd w:val="clear" w:color="auto" w:fill="auto"/>
            <w:noWrap/>
          </w:tcPr>
          <w:p w14:paraId="5F02B985" w14:textId="25D29E97" w:rsidR="00353D47" w:rsidRPr="0052360E" w:rsidRDefault="00353D47" w:rsidP="008C59EA">
            <w:pPr>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&lt;0.001</w:t>
            </w:r>
          </w:p>
        </w:tc>
        <w:tc>
          <w:tcPr>
            <w:tcW w:w="1559" w:type="dxa"/>
            <w:tcBorders>
              <w:bottom w:val="nil"/>
            </w:tcBorders>
            <w:shd w:val="clear" w:color="auto" w:fill="auto"/>
            <w:noWrap/>
          </w:tcPr>
          <w:p w14:paraId="1C1ADFDF" w14:textId="58D83649" w:rsidR="00353D47" w:rsidRPr="0052360E" w:rsidRDefault="00353D47" w:rsidP="008C59EA">
            <w:pPr>
              <w:spacing w:after="0" w:line="276" w:lineRule="auto"/>
              <w:jc w:val="center"/>
              <w:rPr>
                <w:rFonts w:ascii="Times New Roman" w:hAnsi="Times New Roman" w:cs="Times New Roman"/>
                <w:color w:val="000000"/>
              </w:rPr>
            </w:pPr>
            <w:r w:rsidRPr="0052360E">
              <w:rPr>
                <w:rFonts w:ascii="Times New Roman" w:hAnsi="Times New Roman" w:cs="Times New Roman"/>
                <w:color w:val="000000"/>
              </w:rPr>
              <w:t>0.12</w:t>
            </w:r>
          </w:p>
          <w:p w14:paraId="06941FA0" w14:textId="4E0B3FC2"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(-0.01-0.24)</w:t>
            </w:r>
          </w:p>
        </w:tc>
        <w:tc>
          <w:tcPr>
            <w:tcW w:w="851" w:type="dxa"/>
            <w:tcBorders>
              <w:bottom w:val="nil"/>
            </w:tcBorders>
            <w:shd w:val="clear" w:color="auto" w:fill="auto"/>
            <w:noWrap/>
            <w:vAlign w:val="bottom"/>
          </w:tcPr>
          <w:p w14:paraId="7B8DFDB6" w14:textId="2099D5D6"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0.066</w:t>
            </w:r>
          </w:p>
        </w:tc>
        <w:tc>
          <w:tcPr>
            <w:tcW w:w="992" w:type="dxa"/>
            <w:tcBorders>
              <w:bottom w:val="nil"/>
            </w:tcBorders>
            <w:shd w:val="clear" w:color="auto" w:fill="auto"/>
            <w:noWrap/>
            <w:vAlign w:val="bottom"/>
          </w:tcPr>
          <w:p w14:paraId="114B1EFD" w14:textId="48AD3CD9"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&lt;0.001</w:t>
            </w:r>
          </w:p>
        </w:tc>
        <w:tc>
          <w:tcPr>
            <w:tcW w:w="1559" w:type="dxa"/>
            <w:tcBorders>
              <w:bottom w:val="nil"/>
            </w:tcBorders>
            <w:shd w:val="clear" w:color="auto" w:fill="auto"/>
            <w:noWrap/>
          </w:tcPr>
          <w:p w14:paraId="39041CF6" w14:textId="3A292E0B" w:rsidR="00353D47" w:rsidRPr="0052360E" w:rsidRDefault="00353D47" w:rsidP="008C59EA">
            <w:pPr>
              <w:spacing w:after="0" w:line="276" w:lineRule="auto"/>
              <w:jc w:val="center"/>
              <w:rPr>
                <w:rFonts w:ascii="Times New Roman" w:hAnsi="Times New Roman" w:cs="Times New Roman"/>
                <w:color w:val="000000"/>
              </w:rPr>
            </w:pPr>
            <w:r w:rsidRPr="0052360E">
              <w:rPr>
                <w:rFonts w:ascii="Times New Roman" w:hAnsi="Times New Roman" w:cs="Times New Roman"/>
                <w:color w:val="000000"/>
              </w:rPr>
              <w:t>0.11</w:t>
            </w:r>
          </w:p>
          <w:p w14:paraId="09F08ABC" w14:textId="621BFC7D"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(-0.01- 0.24)</w:t>
            </w:r>
          </w:p>
        </w:tc>
        <w:tc>
          <w:tcPr>
            <w:tcW w:w="851" w:type="dxa"/>
            <w:tcBorders>
              <w:bottom w:val="nil"/>
              <w:right w:val="nil"/>
            </w:tcBorders>
            <w:shd w:val="clear" w:color="auto" w:fill="auto"/>
            <w:noWrap/>
            <w:vAlign w:val="bottom"/>
          </w:tcPr>
          <w:p w14:paraId="6C06F1F6" w14:textId="0B9957EF"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0.075</w:t>
            </w:r>
          </w:p>
        </w:tc>
      </w:tr>
      <w:tr w:rsidR="00353D47" w:rsidRPr="0052360E" w14:paraId="0DD4E62A" w14:textId="77777777" w:rsidTr="002317AB">
        <w:trPr>
          <w:trHeight w:val="300"/>
        </w:trPr>
        <w:tc>
          <w:tcPr>
            <w:tcW w:w="2552" w:type="dxa"/>
            <w:tcBorders>
              <w:top w:val="nil"/>
              <w:left w:val="nil"/>
            </w:tcBorders>
            <w:shd w:val="clear" w:color="auto" w:fill="auto"/>
            <w:noWrap/>
          </w:tcPr>
          <w:p w14:paraId="714C3C07" w14:textId="32DC96BF" w:rsidR="00353D47" w:rsidRPr="0052360E" w:rsidRDefault="00353D47" w:rsidP="008C59EA">
            <w:pPr>
              <w:spacing w:line="276" w:lineRule="auto"/>
              <w:rPr>
                <w:rFonts w:ascii="Times New Roman" w:eastAsia="Times New Roman" w:hAnsi="Times New Roman" w:cs="Times New Roman"/>
                <w:color w:val="000000"/>
                <w:sz w:val="24"/>
                <w:szCs w:val="24"/>
                <w:lang w:eastAsia="en-GB"/>
              </w:rPr>
            </w:pPr>
            <w:r w:rsidRPr="0052360E">
              <w:rPr>
                <w:rFonts w:ascii="Times New Roman" w:eastAsia="Times New Roman" w:hAnsi="Times New Roman" w:cs="Times New Roman"/>
                <w:color w:val="000000"/>
                <w:sz w:val="24"/>
                <w:szCs w:val="24"/>
                <w:lang w:eastAsia="en-GB"/>
              </w:rPr>
              <w:t>Antifungal use</w:t>
            </w:r>
            <w:r w:rsidR="0015111A" w:rsidRPr="0052360E">
              <w:rPr>
                <w:rFonts w:ascii="Times New Roman" w:eastAsia="Times New Roman" w:hAnsi="Times New Roman" w:cs="Times New Roman"/>
                <w:color w:val="000000"/>
                <w:sz w:val="24"/>
                <w:szCs w:val="24"/>
                <w:lang w:eastAsia="en-GB"/>
              </w:rPr>
              <w:t xml:space="preserve"> (yes)</w:t>
            </w:r>
          </w:p>
        </w:tc>
        <w:tc>
          <w:tcPr>
            <w:tcW w:w="566" w:type="dxa"/>
            <w:tcBorders>
              <w:top w:val="nil"/>
              <w:bottom w:val="nil"/>
            </w:tcBorders>
            <w:shd w:val="clear" w:color="auto" w:fill="auto"/>
            <w:noWrap/>
          </w:tcPr>
          <w:p w14:paraId="14A7C08C" w14:textId="68722455"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1224</w:t>
            </w:r>
          </w:p>
        </w:tc>
        <w:tc>
          <w:tcPr>
            <w:tcW w:w="851" w:type="dxa"/>
            <w:tcBorders>
              <w:top w:val="nil"/>
              <w:bottom w:val="nil"/>
            </w:tcBorders>
            <w:shd w:val="clear" w:color="auto" w:fill="auto"/>
            <w:noWrap/>
          </w:tcPr>
          <w:p w14:paraId="029272D6" w14:textId="7DE8C623" w:rsidR="00353D47" w:rsidRPr="0052360E" w:rsidRDefault="00353D47" w:rsidP="008C59EA">
            <w:pPr>
              <w:spacing w:line="276" w:lineRule="auto"/>
              <w:jc w:val="center"/>
              <w:rPr>
                <w:rFonts w:ascii="Times New Roman" w:eastAsia="Times New Roman" w:hAnsi="Times New Roman" w:cs="Times New Roman"/>
                <w:color w:val="000000"/>
                <w:lang w:eastAsia="en-GB"/>
              </w:rPr>
            </w:pPr>
            <w:r w:rsidRPr="0052360E">
              <w:rPr>
                <w:rFonts w:ascii="Times New Roman" w:eastAsia="Times New Roman" w:hAnsi="Times New Roman" w:cs="Times New Roman"/>
                <w:color w:val="000000"/>
                <w:lang w:eastAsia="en-GB"/>
              </w:rPr>
              <w:t>&lt;0.001</w:t>
            </w:r>
          </w:p>
        </w:tc>
        <w:tc>
          <w:tcPr>
            <w:tcW w:w="1559" w:type="dxa"/>
            <w:tcBorders>
              <w:top w:val="nil"/>
              <w:bottom w:val="nil"/>
            </w:tcBorders>
            <w:shd w:val="clear" w:color="auto" w:fill="auto"/>
            <w:noWrap/>
          </w:tcPr>
          <w:p w14:paraId="6606372E" w14:textId="77777777" w:rsidR="00353D47" w:rsidRPr="0052360E" w:rsidRDefault="00353D47" w:rsidP="008C59EA">
            <w:pPr>
              <w:spacing w:after="0" w:line="276" w:lineRule="auto"/>
              <w:jc w:val="center"/>
              <w:rPr>
                <w:rFonts w:ascii="Times New Roman" w:hAnsi="Times New Roman" w:cs="Times New Roman"/>
                <w:color w:val="000000"/>
              </w:rPr>
            </w:pPr>
            <w:r w:rsidRPr="0052360E">
              <w:rPr>
                <w:rFonts w:ascii="Times New Roman" w:hAnsi="Times New Roman" w:cs="Times New Roman"/>
                <w:color w:val="000000"/>
              </w:rPr>
              <w:t>0.49</w:t>
            </w:r>
          </w:p>
          <w:p w14:paraId="474C2328" w14:textId="66B223A5"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(0.25-0.73)</w:t>
            </w:r>
          </w:p>
        </w:tc>
        <w:tc>
          <w:tcPr>
            <w:tcW w:w="851" w:type="dxa"/>
            <w:tcBorders>
              <w:top w:val="nil"/>
              <w:bottom w:val="nil"/>
            </w:tcBorders>
            <w:shd w:val="clear" w:color="auto" w:fill="auto"/>
            <w:noWrap/>
          </w:tcPr>
          <w:p w14:paraId="4EED7DD7" w14:textId="1DDAFB69"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&lt;0.001</w:t>
            </w:r>
          </w:p>
        </w:tc>
        <w:tc>
          <w:tcPr>
            <w:tcW w:w="992" w:type="dxa"/>
            <w:tcBorders>
              <w:top w:val="nil"/>
              <w:bottom w:val="nil"/>
            </w:tcBorders>
            <w:shd w:val="clear" w:color="auto" w:fill="auto"/>
            <w:noWrap/>
          </w:tcPr>
          <w:p w14:paraId="08017674" w14:textId="74EB9FF7"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&lt;0.001</w:t>
            </w:r>
          </w:p>
        </w:tc>
        <w:tc>
          <w:tcPr>
            <w:tcW w:w="1559" w:type="dxa"/>
            <w:tcBorders>
              <w:top w:val="nil"/>
              <w:bottom w:val="nil"/>
            </w:tcBorders>
            <w:shd w:val="clear" w:color="auto" w:fill="auto"/>
            <w:noWrap/>
          </w:tcPr>
          <w:p w14:paraId="0E64C91C" w14:textId="77777777" w:rsidR="00353D47" w:rsidRPr="0052360E" w:rsidRDefault="00353D47" w:rsidP="008C59EA">
            <w:pPr>
              <w:spacing w:after="0" w:line="276" w:lineRule="auto"/>
              <w:jc w:val="center"/>
              <w:rPr>
                <w:rFonts w:ascii="Times New Roman" w:hAnsi="Times New Roman" w:cs="Times New Roman"/>
                <w:color w:val="000000"/>
              </w:rPr>
            </w:pPr>
            <w:r w:rsidRPr="0052360E">
              <w:rPr>
                <w:rFonts w:ascii="Times New Roman" w:hAnsi="Times New Roman" w:cs="Times New Roman"/>
                <w:color w:val="000000"/>
              </w:rPr>
              <w:t>0.48</w:t>
            </w:r>
          </w:p>
          <w:p w14:paraId="3B29EF59" w14:textId="5B0E61C8"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(0.24-0.72)</w:t>
            </w:r>
          </w:p>
        </w:tc>
        <w:tc>
          <w:tcPr>
            <w:tcW w:w="851" w:type="dxa"/>
            <w:tcBorders>
              <w:top w:val="nil"/>
              <w:bottom w:val="nil"/>
              <w:right w:val="nil"/>
            </w:tcBorders>
            <w:shd w:val="clear" w:color="auto" w:fill="auto"/>
            <w:noWrap/>
          </w:tcPr>
          <w:p w14:paraId="52CFED71" w14:textId="1F1E305C" w:rsidR="00353D47" w:rsidRPr="0052360E" w:rsidRDefault="00353D4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lang w:eastAsia="en-GB"/>
              </w:rPr>
            </w:pPr>
            <w:r w:rsidRPr="0052360E">
              <w:rPr>
                <w:rFonts w:ascii="Times New Roman" w:hAnsi="Times New Roman" w:cs="Times New Roman"/>
                <w:color w:val="000000"/>
              </w:rPr>
              <w:t>&lt;0.001</w:t>
            </w:r>
          </w:p>
        </w:tc>
      </w:tr>
      <w:tr w:rsidR="00A37255" w:rsidRPr="0052360E" w14:paraId="2FE31727" w14:textId="77777777" w:rsidTr="002317AB">
        <w:trPr>
          <w:trHeight w:val="300"/>
        </w:trPr>
        <w:tc>
          <w:tcPr>
            <w:tcW w:w="2552" w:type="dxa"/>
            <w:tcBorders>
              <w:left w:val="nil"/>
              <w:bottom w:val="nil"/>
            </w:tcBorders>
            <w:shd w:val="clear" w:color="auto" w:fill="auto"/>
            <w:noWrap/>
          </w:tcPr>
          <w:p w14:paraId="6589BF2B" w14:textId="55D89889" w:rsidR="002A505C" w:rsidRPr="0052360E" w:rsidRDefault="002A505C" w:rsidP="002A505C">
            <w:pPr>
              <w:spacing w:line="276" w:lineRule="auto"/>
              <w:rPr>
                <w:rFonts w:ascii="Times New Roman" w:eastAsia="Times New Roman" w:hAnsi="Times New Roman" w:cs="Times New Roman"/>
                <w:lang w:eastAsia="en-GB"/>
              </w:rPr>
            </w:pPr>
            <w:r w:rsidRPr="0052360E">
              <w:rPr>
                <w:rFonts w:ascii="Times New Roman" w:hAnsi="Times New Roman" w:cs="Times New Roman"/>
              </w:rPr>
              <w:t>Adjusted ferritin, µg/l</w:t>
            </w:r>
            <w:r w:rsidR="00D15EA7" w:rsidRPr="0052360E">
              <w:rPr>
                <w:rFonts w:ascii="Times New Roman" w:hAnsi="Times New Roman" w:cs="Times New Roman"/>
                <w:vertAlign w:val="superscript"/>
              </w:rPr>
              <w:t xml:space="preserve"> </w:t>
            </w:r>
            <w:r w:rsidR="00D15EA7" w:rsidRPr="0052360E">
              <w:rPr>
                <w:rFonts w:ascii="Times New Roman" w:hAnsi="Times New Roman" w:cs="Times New Roman"/>
                <w:sz w:val="24"/>
                <w:szCs w:val="24"/>
                <w:vertAlign w:val="superscript"/>
              </w:rPr>
              <w:t>7</w:t>
            </w:r>
            <w:r w:rsidR="00D15EA7" w:rsidRPr="0052360E">
              <w:rPr>
                <w:rFonts w:ascii="Times New Roman" w:hAnsi="Times New Roman" w:cs="Times New Roman"/>
              </w:rPr>
              <w:t xml:space="preserve"> </w:t>
            </w:r>
            <w:r w:rsidR="00D15EA7" w:rsidRPr="0052360E">
              <w:rPr>
                <w:rFonts w:ascii="Times New Roman" w:hAnsi="Times New Roman" w:cs="Times New Roman"/>
                <w:vertAlign w:val="superscript"/>
              </w:rPr>
              <w:t xml:space="preserve">  </w:t>
            </w:r>
          </w:p>
        </w:tc>
        <w:tc>
          <w:tcPr>
            <w:tcW w:w="566" w:type="dxa"/>
            <w:tcBorders>
              <w:top w:val="nil"/>
            </w:tcBorders>
            <w:noWrap/>
          </w:tcPr>
          <w:p w14:paraId="7077B474" w14:textId="0C083C5D" w:rsidR="002A505C" w:rsidRPr="0052360E" w:rsidRDefault="002A505C" w:rsidP="002A50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1216</w:t>
            </w:r>
          </w:p>
        </w:tc>
        <w:tc>
          <w:tcPr>
            <w:tcW w:w="851" w:type="dxa"/>
            <w:tcBorders>
              <w:top w:val="nil"/>
            </w:tcBorders>
            <w:shd w:val="clear" w:color="auto" w:fill="auto"/>
            <w:noWrap/>
          </w:tcPr>
          <w:p w14:paraId="3B52AC32" w14:textId="33007974" w:rsidR="002A505C" w:rsidRPr="0052360E" w:rsidRDefault="002A505C" w:rsidP="002A505C">
            <w:pPr>
              <w:spacing w:line="276" w:lineRule="auto"/>
              <w:jc w:val="center"/>
              <w:rPr>
                <w:rFonts w:ascii="Times New Roman" w:eastAsia="Times New Roman" w:hAnsi="Times New Roman" w:cs="Times New Roman"/>
                <w:lang w:eastAsia="en-GB"/>
              </w:rPr>
            </w:pPr>
            <w:r w:rsidRPr="0052360E">
              <w:rPr>
                <w:rFonts w:ascii="Times New Roman" w:hAnsi="Times New Roman" w:cs="Times New Roman"/>
              </w:rPr>
              <w:t>&lt;0.001</w:t>
            </w:r>
          </w:p>
        </w:tc>
        <w:tc>
          <w:tcPr>
            <w:tcW w:w="1559" w:type="dxa"/>
            <w:tcBorders>
              <w:top w:val="nil"/>
            </w:tcBorders>
            <w:shd w:val="clear" w:color="auto" w:fill="auto"/>
            <w:noWrap/>
            <w:vAlign w:val="bottom"/>
          </w:tcPr>
          <w:p w14:paraId="3E0C9930" w14:textId="77777777" w:rsidR="008D16BD" w:rsidRPr="0052360E" w:rsidRDefault="002A505C" w:rsidP="002A505C">
            <w:pPr>
              <w:spacing w:after="0" w:line="276" w:lineRule="auto"/>
              <w:jc w:val="center"/>
              <w:rPr>
                <w:rFonts w:ascii="Calibri" w:hAnsi="Calibri"/>
              </w:rPr>
            </w:pPr>
            <w:r w:rsidRPr="0052360E">
              <w:rPr>
                <w:rFonts w:ascii="Calibri" w:hAnsi="Calibri"/>
              </w:rPr>
              <w:t xml:space="preserve">0.07 </w:t>
            </w:r>
          </w:p>
          <w:p w14:paraId="6DA4BCEC" w14:textId="325D4635" w:rsidR="002A505C" w:rsidRPr="0052360E" w:rsidRDefault="002A505C" w:rsidP="002A505C">
            <w:pPr>
              <w:spacing w:after="0" w:line="276" w:lineRule="auto"/>
              <w:jc w:val="center"/>
              <w:rPr>
                <w:rFonts w:ascii="Times New Roman" w:hAnsi="Times New Roman" w:cs="Times New Roman"/>
              </w:rPr>
            </w:pPr>
            <w:r w:rsidRPr="0052360E">
              <w:rPr>
                <w:rFonts w:ascii="Calibri" w:hAnsi="Calibri"/>
              </w:rPr>
              <w:t>(0.01 - 0.13)</w:t>
            </w:r>
          </w:p>
        </w:tc>
        <w:tc>
          <w:tcPr>
            <w:tcW w:w="851" w:type="dxa"/>
            <w:tcBorders>
              <w:top w:val="nil"/>
            </w:tcBorders>
            <w:shd w:val="clear" w:color="auto" w:fill="auto"/>
            <w:noWrap/>
            <w:vAlign w:val="bottom"/>
          </w:tcPr>
          <w:p w14:paraId="63F0A3DE" w14:textId="51A10CA3" w:rsidR="002A505C" w:rsidRPr="0052360E" w:rsidRDefault="002A505C" w:rsidP="002A50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Calibri" w:hAnsi="Calibri"/>
              </w:rPr>
              <w:t>0.021</w:t>
            </w:r>
          </w:p>
        </w:tc>
        <w:tc>
          <w:tcPr>
            <w:tcW w:w="992" w:type="dxa"/>
            <w:tcBorders>
              <w:top w:val="nil"/>
            </w:tcBorders>
            <w:shd w:val="clear" w:color="auto" w:fill="auto"/>
            <w:noWrap/>
            <w:vAlign w:val="bottom"/>
          </w:tcPr>
          <w:p w14:paraId="21CB587D" w14:textId="747A3ED6" w:rsidR="002A505C" w:rsidRPr="0052360E" w:rsidRDefault="002A505C" w:rsidP="002A50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Calibri" w:hAnsi="Calibri"/>
              </w:rPr>
              <w:t>&lt;0.001</w:t>
            </w:r>
          </w:p>
        </w:tc>
        <w:tc>
          <w:tcPr>
            <w:tcW w:w="1559" w:type="dxa"/>
            <w:tcBorders>
              <w:top w:val="nil"/>
            </w:tcBorders>
            <w:shd w:val="clear" w:color="auto" w:fill="auto"/>
            <w:noWrap/>
            <w:vAlign w:val="bottom"/>
          </w:tcPr>
          <w:p w14:paraId="407B8879" w14:textId="77777777" w:rsidR="008D16BD" w:rsidRPr="0052360E" w:rsidRDefault="002A505C" w:rsidP="002A505C">
            <w:pPr>
              <w:spacing w:after="0" w:line="276" w:lineRule="auto"/>
              <w:jc w:val="center"/>
              <w:rPr>
                <w:rFonts w:ascii="Calibri" w:hAnsi="Calibri"/>
              </w:rPr>
            </w:pPr>
            <w:r w:rsidRPr="0052360E">
              <w:rPr>
                <w:rFonts w:ascii="Calibri" w:hAnsi="Calibri"/>
              </w:rPr>
              <w:t xml:space="preserve">0.07 </w:t>
            </w:r>
          </w:p>
          <w:p w14:paraId="110E68EA" w14:textId="2787F7F7" w:rsidR="002A505C" w:rsidRPr="0052360E" w:rsidRDefault="002A505C" w:rsidP="002A505C">
            <w:pPr>
              <w:spacing w:after="0" w:line="276" w:lineRule="auto"/>
              <w:jc w:val="center"/>
              <w:rPr>
                <w:rFonts w:ascii="Times New Roman" w:hAnsi="Times New Roman" w:cs="Times New Roman"/>
              </w:rPr>
            </w:pPr>
            <w:r w:rsidRPr="0052360E">
              <w:rPr>
                <w:rFonts w:ascii="Calibri" w:hAnsi="Calibri"/>
              </w:rPr>
              <w:t>(0.01 - 0.13)</w:t>
            </w:r>
          </w:p>
        </w:tc>
        <w:tc>
          <w:tcPr>
            <w:tcW w:w="851" w:type="dxa"/>
            <w:tcBorders>
              <w:top w:val="nil"/>
              <w:right w:val="nil"/>
            </w:tcBorders>
            <w:shd w:val="clear" w:color="auto" w:fill="auto"/>
            <w:noWrap/>
            <w:vAlign w:val="bottom"/>
          </w:tcPr>
          <w:p w14:paraId="70DB80A4" w14:textId="1436521E" w:rsidR="002A505C" w:rsidRPr="0052360E" w:rsidRDefault="002A505C" w:rsidP="002A50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Calibri" w:hAnsi="Calibri"/>
              </w:rPr>
              <w:t>0.018</w:t>
            </w:r>
          </w:p>
        </w:tc>
      </w:tr>
      <w:tr w:rsidR="00A37255" w:rsidRPr="0052360E" w14:paraId="5C4BDDD3" w14:textId="77777777" w:rsidTr="002317AB">
        <w:trPr>
          <w:trHeight w:val="300"/>
        </w:trPr>
        <w:tc>
          <w:tcPr>
            <w:tcW w:w="2552" w:type="dxa"/>
            <w:tcBorders>
              <w:top w:val="nil"/>
              <w:left w:val="nil"/>
            </w:tcBorders>
            <w:shd w:val="clear" w:color="auto" w:fill="auto"/>
            <w:noWrap/>
          </w:tcPr>
          <w:p w14:paraId="2A6A32A6" w14:textId="20874983" w:rsidR="007D5607" w:rsidRPr="0052360E" w:rsidRDefault="007D5607" w:rsidP="008C59EA">
            <w:pPr>
              <w:spacing w:line="276" w:lineRule="auto"/>
              <w:rPr>
                <w:rFonts w:ascii="Times New Roman" w:eastAsia="Times New Roman" w:hAnsi="Times New Roman" w:cs="Times New Roman"/>
                <w:lang w:eastAsia="en-GB"/>
              </w:rPr>
            </w:pPr>
            <w:r w:rsidRPr="0052360E">
              <w:rPr>
                <w:rFonts w:ascii="Times New Roman" w:hAnsi="Times New Roman" w:cs="Times New Roman"/>
              </w:rPr>
              <w:t>sTfR, µg/ml</w:t>
            </w:r>
          </w:p>
        </w:tc>
        <w:tc>
          <w:tcPr>
            <w:tcW w:w="566" w:type="dxa"/>
            <w:tcBorders>
              <w:top w:val="nil"/>
            </w:tcBorders>
            <w:noWrap/>
          </w:tcPr>
          <w:p w14:paraId="4725D71B" w14:textId="011BF6EB"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1216</w:t>
            </w:r>
          </w:p>
        </w:tc>
        <w:tc>
          <w:tcPr>
            <w:tcW w:w="851" w:type="dxa"/>
            <w:tcBorders>
              <w:top w:val="nil"/>
            </w:tcBorders>
            <w:shd w:val="clear" w:color="auto" w:fill="auto"/>
            <w:noWrap/>
          </w:tcPr>
          <w:p w14:paraId="11BA079E" w14:textId="28DC3E0F" w:rsidR="007D5607" w:rsidRPr="0052360E" w:rsidRDefault="007D5607" w:rsidP="008C59EA">
            <w:pPr>
              <w:spacing w:line="276" w:lineRule="auto"/>
              <w:jc w:val="center"/>
              <w:rPr>
                <w:rFonts w:ascii="Times New Roman" w:eastAsia="Times New Roman" w:hAnsi="Times New Roman" w:cs="Times New Roman"/>
                <w:lang w:eastAsia="en-GB"/>
              </w:rPr>
            </w:pPr>
            <w:r w:rsidRPr="0052360E">
              <w:rPr>
                <w:rFonts w:ascii="Times New Roman" w:hAnsi="Times New Roman" w:cs="Times New Roman"/>
              </w:rPr>
              <w:t>&lt;0.001</w:t>
            </w:r>
          </w:p>
        </w:tc>
        <w:tc>
          <w:tcPr>
            <w:tcW w:w="1559" w:type="dxa"/>
            <w:tcBorders>
              <w:top w:val="nil"/>
            </w:tcBorders>
            <w:shd w:val="clear" w:color="auto" w:fill="auto"/>
            <w:noWrap/>
          </w:tcPr>
          <w:p w14:paraId="0409487F" w14:textId="77777777" w:rsidR="0015111A"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-0.01</w:t>
            </w:r>
          </w:p>
          <w:p w14:paraId="28C305F3" w14:textId="732EEF99" w:rsidR="007D5607"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(-0.15- 0.13)</w:t>
            </w:r>
          </w:p>
        </w:tc>
        <w:tc>
          <w:tcPr>
            <w:tcW w:w="851" w:type="dxa"/>
            <w:tcBorders>
              <w:top w:val="nil"/>
            </w:tcBorders>
            <w:shd w:val="clear" w:color="auto" w:fill="auto"/>
            <w:noWrap/>
          </w:tcPr>
          <w:p w14:paraId="5CC8150A" w14:textId="1BDD6F80"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0.86</w:t>
            </w:r>
          </w:p>
        </w:tc>
        <w:tc>
          <w:tcPr>
            <w:tcW w:w="992" w:type="dxa"/>
            <w:tcBorders>
              <w:top w:val="nil"/>
            </w:tcBorders>
            <w:shd w:val="clear" w:color="auto" w:fill="auto"/>
            <w:noWrap/>
          </w:tcPr>
          <w:p w14:paraId="02DC11B4" w14:textId="190B4ECB"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&lt;0.001</w:t>
            </w:r>
          </w:p>
        </w:tc>
        <w:tc>
          <w:tcPr>
            <w:tcW w:w="1559" w:type="dxa"/>
            <w:tcBorders>
              <w:top w:val="nil"/>
            </w:tcBorders>
            <w:shd w:val="clear" w:color="auto" w:fill="auto"/>
            <w:noWrap/>
          </w:tcPr>
          <w:p w14:paraId="0070E178" w14:textId="77777777" w:rsidR="0015111A"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 xml:space="preserve">0.00 </w:t>
            </w:r>
          </w:p>
          <w:p w14:paraId="4F9FDD8A" w14:textId="05866A34" w:rsidR="007D5607"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(-0.14-0.14)</w:t>
            </w:r>
          </w:p>
        </w:tc>
        <w:tc>
          <w:tcPr>
            <w:tcW w:w="851" w:type="dxa"/>
            <w:tcBorders>
              <w:top w:val="nil"/>
              <w:right w:val="nil"/>
            </w:tcBorders>
            <w:shd w:val="clear" w:color="auto" w:fill="auto"/>
            <w:noWrap/>
          </w:tcPr>
          <w:p w14:paraId="4302C4FC" w14:textId="14053680"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0.99</w:t>
            </w:r>
          </w:p>
        </w:tc>
      </w:tr>
      <w:tr w:rsidR="00A37255" w:rsidRPr="0052360E" w14:paraId="2FDC10A4" w14:textId="77777777" w:rsidTr="002317AB">
        <w:trPr>
          <w:trHeight w:val="300"/>
        </w:trPr>
        <w:tc>
          <w:tcPr>
            <w:tcW w:w="2552" w:type="dxa"/>
            <w:tcBorders>
              <w:left w:val="nil"/>
            </w:tcBorders>
            <w:shd w:val="clear" w:color="auto" w:fill="auto"/>
            <w:noWrap/>
          </w:tcPr>
          <w:p w14:paraId="74C25515" w14:textId="2708824D" w:rsidR="007D5607" w:rsidRPr="0052360E" w:rsidRDefault="007D5607" w:rsidP="008C59EA">
            <w:pPr>
              <w:spacing w:line="276" w:lineRule="auto"/>
              <w:rPr>
                <w:rFonts w:ascii="Times New Roman" w:eastAsia="Times New Roman" w:hAnsi="Times New Roman" w:cs="Times New Roman"/>
                <w:lang w:eastAsia="en-GB"/>
              </w:rPr>
            </w:pPr>
            <w:r w:rsidRPr="0052360E">
              <w:rPr>
                <w:rFonts w:ascii="Times New Roman" w:hAnsi="Times New Roman" w:cs="Times New Roman"/>
              </w:rPr>
              <w:t xml:space="preserve">ZPP, </w:t>
            </w:r>
            <w:r w:rsidRPr="0052360E">
              <w:rPr>
                <w:rFonts w:ascii="Times New Roman" w:eastAsia="Times New Roman" w:hAnsi="Times New Roman" w:cs="Times New Roman"/>
                <w:lang w:val="fr-FR" w:eastAsia="fr-FR"/>
              </w:rPr>
              <w:t>µmol/mol heme</w:t>
            </w:r>
          </w:p>
        </w:tc>
        <w:tc>
          <w:tcPr>
            <w:tcW w:w="566" w:type="dxa"/>
            <w:noWrap/>
          </w:tcPr>
          <w:p w14:paraId="5E46EEDA" w14:textId="0C7B877D"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1216</w:t>
            </w:r>
          </w:p>
        </w:tc>
        <w:tc>
          <w:tcPr>
            <w:tcW w:w="851" w:type="dxa"/>
            <w:shd w:val="clear" w:color="auto" w:fill="auto"/>
            <w:noWrap/>
          </w:tcPr>
          <w:p w14:paraId="62461482" w14:textId="7A096CC5" w:rsidR="007D5607" w:rsidRPr="0052360E" w:rsidRDefault="007D5607" w:rsidP="008C59EA">
            <w:pPr>
              <w:spacing w:line="276" w:lineRule="auto"/>
              <w:jc w:val="center"/>
              <w:rPr>
                <w:rFonts w:ascii="Times New Roman" w:eastAsia="Times New Roman" w:hAnsi="Times New Roman" w:cs="Times New Roman"/>
                <w:lang w:eastAsia="en-GB"/>
              </w:rPr>
            </w:pPr>
            <w:r w:rsidRPr="0052360E">
              <w:rPr>
                <w:rFonts w:ascii="Times New Roman" w:hAnsi="Times New Roman" w:cs="Times New Roman"/>
              </w:rPr>
              <w:t>&lt;0.001</w:t>
            </w:r>
          </w:p>
        </w:tc>
        <w:tc>
          <w:tcPr>
            <w:tcW w:w="1559" w:type="dxa"/>
            <w:shd w:val="clear" w:color="auto" w:fill="auto"/>
            <w:noWrap/>
          </w:tcPr>
          <w:p w14:paraId="6AAABB03" w14:textId="77777777" w:rsidR="0015111A"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 xml:space="preserve">-0.03 </w:t>
            </w:r>
          </w:p>
          <w:p w14:paraId="358DADF9" w14:textId="32D55ACD" w:rsidR="007D5607"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(-0.18-0.12)</w:t>
            </w:r>
          </w:p>
        </w:tc>
        <w:tc>
          <w:tcPr>
            <w:tcW w:w="851" w:type="dxa"/>
            <w:shd w:val="clear" w:color="auto" w:fill="auto"/>
            <w:noWrap/>
          </w:tcPr>
          <w:p w14:paraId="1757EEC5" w14:textId="237C7451"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0.73</w:t>
            </w:r>
          </w:p>
        </w:tc>
        <w:tc>
          <w:tcPr>
            <w:tcW w:w="992" w:type="dxa"/>
            <w:shd w:val="clear" w:color="auto" w:fill="auto"/>
            <w:noWrap/>
          </w:tcPr>
          <w:p w14:paraId="236FAFB8" w14:textId="7887016B"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&lt;0.001</w:t>
            </w:r>
          </w:p>
        </w:tc>
        <w:tc>
          <w:tcPr>
            <w:tcW w:w="1559" w:type="dxa"/>
            <w:shd w:val="clear" w:color="auto" w:fill="auto"/>
            <w:noWrap/>
          </w:tcPr>
          <w:p w14:paraId="10A4EEF2" w14:textId="77777777" w:rsidR="0015111A"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 xml:space="preserve">-0.02 </w:t>
            </w:r>
          </w:p>
          <w:p w14:paraId="0EB4E982" w14:textId="226F7EE6" w:rsidR="007D5607"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(-0.17-0.13)</w:t>
            </w:r>
          </w:p>
        </w:tc>
        <w:tc>
          <w:tcPr>
            <w:tcW w:w="851" w:type="dxa"/>
            <w:tcBorders>
              <w:right w:val="nil"/>
            </w:tcBorders>
            <w:shd w:val="clear" w:color="auto" w:fill="auto"/>
            <w:noWrap/>
          </w:tcPr>
          <w:p w14:paraId="4D6ED487" w14:textId="4E5313CF"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0.82</w:t>
            </w:r>
          </w:p>
        </w:tc>
      </w:tr>
      <w:tr w:rsidR="00A37255" w:rsidRPr="0052360E" w14:paraId="49E1C152" w14:textId="77777777" w:rsidTr="002317AB">
        <w:trPr>
          <w:trHeight w:val="300"/>
        </w:trPr>
        <w:tc>
          <w:tcPr>
            <w:tcW w:w="2552" w:type="dxa"/>
            <w:tcBorders>
              <w:left w:val="nil"/>
            </w:tcBorders>
            <w:shd w:val="clear" w:color="auto" w:fill="auto"/>
            <w:noWrap/>
          </w:tcPr>
          <w:p w14:paraId="75B0E547" w14:textId="43D3B2F5" w:rsidR="002317AB" w:rsidRPr="0052360E" w:rsidRDefault="007D5607" w:rsidP="002317AB">
            <w:pPr>
              <w:spacing w:after="0" w:line="276" w:lineRule="auto"/>
              <w:rPr>
                <w:rFonts w:ascii="Times New Roman" w:hAnsi="Times New Roman" w:cs="Times New Roman"/>
              </w:rPr>
            </w:pPr>
            <w:r w:rsidRPr="0052360E">
              <w:rPr>
                <w:rFonts w:ascii="Times New Roman" w:hAnsi="Times New Roman" w:cs="Times New Roman"/>
              </w:rPr>
              <w:t>Ratio sTfR (µg/ml) /log</w:t>
            </w:r>
            <w:r w:rsidRPr="0052360E">
              <w:rPr>
                <w:rFonts w:ascii="Times New Roman" w:hAnsi="Times New Roman" w:cs="Times New Roman"/>
                <w:vertAlign w:val="subscript"/>
              </w:rPr>
              <w:t xml:space="preserve">10 </w:t>
            </w:r>
            <w:r w:rsidRPr="0052360E">
              <w:rPr>
                <w:rFonts w:ascii="Times New Roman" w:hAnsi="Times New Roman" w:cs="Times New Roman"/>
              </w:rPr>
              <w:t>ferritin (µg/l)</w:t>
            </w:r>
          </w:p>
        </w:tc>
        <w:tc>
          <w:tcPr>
            <w:tcW w:w="566" w:type="dxa"/>
            <w:noWrap/>
          </w:tcPr>
          <w:p w14:paraId="1E58CF4E" w14:textId="7CCC9126"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1213</w:t>
            </w:r>
          </w:p>
        </w:tc>
        <w:tc>
          <w:tcPr>
            <w:tcW w:w="851" w:type="dxa"/>
            <w:shd w:val="clear" w:color="auto" w:fill="auto"/>
            <w:noWrap/>
          </w:tcPr>
          <w:p w14:paraId="50159636" w14:textId="4EE957D0" w:rsidR="007D5607" w:rsidRPr="0052360E" w:rsidRDefault="007D5607" w:rsidP="008C59EA">
            <w:pPr>
              <w:spacing w:line="276" w:lineRule="auto"/>
              <w:jc w:val="center"/>
              <w:rPr>
                <w:rFonts w:ascii="Times New Roman" w:eastAsia="Times New Roman" w:hAnsi="Times New Roman" w:cs="Times New Roman"/>
                <w:lang w:eastAsia="en-GB"/>
              </w:rPr>
            </w:pPr>
            <w:r w:rsidRPr="0052360E">
              <w:rPr>
                <w:rFonts w:ascii="Times New Roman" w:hAnsi="Times New Roman" w:cs="Times New Roman"/>
              </w:rPr>
              <w:t>&lt;0.001</w:t>
            </w:r>
          </w:p>
        </w:tc>
        <w:tc>
          <w:tcPr>
            <w:tcW w:w="1559" w:type="dxa"/>
            <w:shd w:val="clear" w:color="auto" w:fill="auto"/>
            <w:noWrap/>
          </w:tcPr>
          <w:p w14:paraId="3E0935DA" w14:textId="77777777" w:rsidR="0015111A"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 xml:space="preserve">-0.08 </w:t>
            </w:r>
          </w:p>
          <w:p w14:paraId="67307C44" w14:textId="0263BBB3" w:rsidR="007D5607"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(-0.18-0.02)</w:t>
            </w:r>
          </w:p>
        </w:tc>
        <w:tc>
          <w:tcPr>
            <w:tcW w:w="851" w:type="dxa"/>
            <w:shd w:val="clear" w:color="auto" w:fill="auto"/>
            <w:noWrap/>
          </w:tcPr>
          <w:p w14:paraId="4A1C3710" w14:textId="284DC9D0"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0.14</w:t>
            </w:r>
          </w:p>
        </w:tc>
        <w:tc>
          <w:tcPr>
            <w:tcW w:w="992" w:type="dxa"/>
            <w:shd w:val="clear" w:color="auto" w:fill="auto"/>
            <w:noWrap/>
          </w:tcPr>
          <w:p w14:paraId="37792C0B" w14:textId="4B43FD10"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&lt;0.001</w:t>
            </w:r>
          </w:p>
        </w:tc>
        <w:tc>
          <w:tcPr>
            <w:tcW w:w="1559" w:type="dxa"/>
            <w:shd w:val="clear" w:color="auto" w:fill="auto"/>
            <w:noWrap/>
          </w:tcPr>
          <w:p w14:paraId="2A63F4C7" w14:textId="77777777" w:rsidR="0015111A"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 xml:space="preserve">-0.07 </w:t>
            </w:r>
          </w:p>
          <w:p w14:paraId="3E9B638F" w14:textId="57B24B1C" w:rsidR="007D5607"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(-0.18-0.03)</w:t>
            </w:r>
          </w:p>
        </w:tc>
        <w:tc>
          <w:tcPr>
            <w:tcW w:w="851" w:type="dxa"/>
            <w:tcBorders>
              <w:right w:val="nil"/>
            </w:tcBorders>
            <w:shd w:val="clear" w:color="auto" w:fill="auto"/>
            <w:noWrap/>
          </w:tcPr>
          <w:p w14:paraId="6A473C50" w14:textId="42D22235"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0.16</w:t>
            </w:r>
          </w:p>
        </w:tc>
      </w:tr>
      <w:tr w:rsidR="00A37255" w:rsidRPr="0052360E" w14:paraId="16A74765" w14:textId="77777777" w:rsidTr="002317AB">
        <w:trPr>
          <w:trHeight w:val="300"/>
        </w:trPr>
        <w:tc>
          <w:tcPr>
            <w:tcW w:w="2552" w:type="dxa"/>
            <w:tcBorders>
              <w:left w:val="nil"/>
            </w:tcBorders>
            <w:shd w:val="clear" w:color="auto" w:fill="auto"/>
            <w:noWrap/>
          </w:tcPr>
          <w:p w14:paraId="35543E31" w14:textId="12772386" w:rsidR="007D5607" w:rsidRPr="0052360E" w:rsidRDefault="007D5607" w:rsidP="008C59EA">
            <w:pPr>
              <w:spacing w:line="276" w:lineRule="auto"/>
              <w:rPr>
                <w:rFonts w:ascii="Times New Roman" w:eastAsia="Times New Roman" w:hAnsi="Times New Roman" w:cs="Times New Roman"/>
                <w:lang w:eastAsia="en-GB"/>
              </w:rPr>
            </w:pPr>
            <w:r w:rsidRPr="0052360E">
              <w:rPr>
                <w:rFonts w:ascii="Times New Roman" w:hAnsi="Times New Roman" w:cs="Times New Roman"/>
              </w:rPr>
              <w:t>Hepcidin, µmol/ml</w:t>
            </w:r>
          </w:p>
        </w:tc>
        <w:tc>
          <w:tcPr>
            <w:tcW w:w="566" w:type="dxa"/>
            <w:noWrap/>
          </w:tcPr>
          <w:p w14:paraId="7BE2A49B" w14:textId="7F9A7E1A"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1211</w:t>
            </w:r>
          </w:p>
        </w:tc>
        <w:tc>
          <w:tcPr>
            <w:tcW w:w="851" w:type="dxa"/>
            <w:shd w:val="clear" w:color="auto" w:fill="auto"/>
            <w:noWrap/>
          </w:tcPr>
          <w:p w14:paraId="40D1C119" w14:textId="64E4B503" w:rsidR="007D5607" w:rsidRPr="0052360E" w:rsidRDefault="007D5607" w:rsidP="008C59EA">
            <w:pPr>
              <w:spacing w:line="276" w:lineRule="auto"/>
              <w:jc w:val="center"/>
              <w:rPr>
                <w:rFonts w:ascii="Times New Roman" w:eastAsia="Times New Roman" w:hAnsi="Times New Roman" w:cs="Times New Roman"/>
                <w:lang w:eastAsia="en-GB"/>
              </w:rPr>
            </w:pPr>
            <w:r w:rsidRPr="0052360E">
              <w:rPr>
                <w:rFonts w:ascii="Times New Roman" w:hAnsi="Times New Roman" w:cs="Times New Roman"/>
              </w:rPr>
              <w:t>&lt;0.001</w:t>
            </w:r>
          </w:p>
        </w:tc>
        <w:tc>
          <w:tcPr>
            <w:tcW w:w="1559" w:type="dxa"/>
            <w:shd w:val="clear" w:color="auto" w:fill="auto"/>
            <w:noWrap/>
          </w:tcPr>
          <w:p w14:paraId="47246ACA" w14:textId="77777777" w:rsidR="0015111A"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 xml:space="preserve">0.05 </w:t>
            </w:r>
          </w:p>
          <w:p w14:paraId="49E9C069" w14:textId="5B219A08" w:rsidR="007D5607"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(0.00 0.09)</w:t>
            </w:r>
          </w:p>
        </w:tc>
        <w:tc>
          <w:tcPr>
            <w:tcW w:w="851" w:type="dxa"/>
            <w:shd w:val="clear" w:color="auto" w:fill="auto"/>
            <w:noWrap/>
          </w:tcPr>
          <w:p w14:paraId="27875E4D" w14:textId="0754948C"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0.040</w:t>
            </w:r>
          </w:p>
        </w:tc>
        <w:tc>
          <w:tcPr>
            <w:tcW w:w="992" w:type="dxa"/>
            <w:shd w:val="clear" w:color="auto" w:fill="auto"/>
            <w:noWrap/>
          </w:tcPr>
          <w:p w14:paraId="0F3987DE" w14:textId="52D36F30"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&lt;0.001</w:t>
            </w:r>
          </w:p>
        </w:tc>
        <w:tc>
          <w:tcPr>
            <w:tcW w:w="1559" w:type="dxa"/>
            <w:shd w:val="clear" w:color="auto" w:fill="auto"/>
            <w:noWrap/>
          </w:tcPr>
          <w:p w14:paraId="6DF862B0" w14:textId="77777777" w:rsidR="0015111A"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 xml:space="preserve">0.04 </w:t>
            </w:r>
          </w:p>
          <w:p w14:paraId="2D1E0599" w14:textId="6CEEDAE4" w:rsidR="007D5607"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(0.00-0.09)</w:t>
            </w:r>
          </w:p>
        </w:tc>
        <w:tc>
          <w:tcPr>
            <w:tcW w:w="851" w:type="dxa"/>
            <w:tcBorders>
              <w:right w:val="nil"/>
            </w:tcBorders>
            <w:shd w:val="clear" w:color="auto" w:fill="auto"/>
            <w:noWrap/>
          </w:tcPr>
          <w:p w14:paraId="73C99007" w14:textId="5DDF70FD"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0.047</w:t>
            </w:r>
          </w:p>
        </w:tc>
      </w:tr>
      <w:tr w:rsidR="00A37255" w:rsidRPr="0052360E" w14:paraId="3E4D44C6" w14:textId="77777777" w:rsidTr="002317AB">
        <w:trPr>
          <w:trHeight w:val="300"/>
        </w:trPr>
        <w:tc>
          <w:tcPr>
            <w:tcW w:w="2552" w:type="dxa"/>
            <w:tcBorders>
              <w:left w:val="nil"/>
            </w:tcBorders>
            <w:shd w:val="clear" w:color="auto" w:fill="auto"/>
            <w:noWrap/>
          </w:tcPr>
          <w:p w14:paraId="581F7A69" w14:textId="5FFE7EC3" w:rsidR="007D5607" w:rsidRPr="0052360E" w:rsidRDefault="007D5607" w:rsidP="008C59EA">
            <w:pPr>
              <w:spacing w:line="276" w:lineRule="auto"/>
              <w:rPr>
                <w:rFonts w:ascii="Times New Roman" w:eastAsia="Times New Roman" w:hAnsi="Times New Roman" w:cs="Times New Roman"/>
                <w:lang w:eastAsia="en-GB"/>
              </w:rPr>
            </w:pPr>
            <w:r w:rsidRPr="0052360E">
              <w:rPr>
                <w:rFonts w:ascii="Times New Roman" w:hAnsi="Times New Roman" w:cs="Times New Roman"/>
              </w:rPr>
              <w:t>CRP, mg/l</w:t>
            </w:r>
          </w:p>
        </w:tc>
        <w:tc>
          <w:tcPr>
            <w:tcW w:w="566" w:type="dxa"/>
            <w:noWrap/>
          </w:tcPr>
          <w:p w14:paraId="4AA7F2FF" w14:textId="4151EB69"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1212</w:t>
            </w:r>
          </w:p>
        </w:tc>
        <w:tc>
          <w:tcPr>
            <w:tcW w:w="851" w:type="dxa"/>
            <w:shd w:val="clear" w:color="auto" w:fill="auto"/>
            <w:noWrap/>
          </w:tcPr>
          <w:p w14:paraId="28220D36" w14:textId="7EC0FC8C" w:rsidR="007D5607" w:rsidRPr="0052360E" w:rsidRDefault="007D5607" w:rsidP="008C59EA">
            <w:pPr>
              <w:spacing w:line="276" w:lineRule="auto"/>
              <w:jc w:val="center"/>
              <w:rPr>
                <w:rFonts w:ascii="Times New Roman" w:eastAsia="Times New Roman" w:hAnsi="Times New Roman" w:cs="Times New Roman"/>
                <w:lang w:eastAsia="en-GB"/>
              </w:rPr>
            </w:pPr>
            <w:r w:rsidRPr="0052360E">
              <w:rPr>
                <w:rFonts w:ascii="Times New Roman" w:hAnsi="Times New Roman" w:cs="Times New Roman"/>
              </w:rPr>
              <w:t>&lt;0.001</w:t>
            </w:r>
          </w:p>
        </w:tc>
        <w:tc>
          <w:tcPr>
            <w:tcW w:w="1559" w:type="dxa"/>
            <w:shd w:val="clear" w:color="auto" w:fill="auto"/>
            <w:noWrap/>
          </w:tcPr>
          <w:p w14:paraId="331EFCCC" w14:textId="77777777" w:rsidR="0015111A"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 xml:space="preserve">0.03 </w:t>
            </w:r>
          </w:p>
          <w:p w14:paraId="3D618BA9" w14:textId="46D4FA6C" w:rsidR="007D5607"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(0.00-0.07)</w:t>
            </w:r>
          </w:p>
        </w:tc>
        <w:tc>
          <w:tcPr>
            <w:tcW w:w="851" w:type="dxa"/>
            <w:shd w:val="clear" w:color="auto" w:fill="auto"/>
            <w:noWrap/>
          </w:tcPr>
          <w:p w14:paraId="6237B154" w14:textId="05FEB9C5"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0.062</w:t>
            </w:r>
          </w:p>
        </w:tc>
        <w:tc>
          <w:tcPr>
            <w:tcW w:w="992" w:type="dxa"/>
            <w:shd w:val="clear" w:color="auto" w:fill="auto"/>
            <w:noWrap/>
          </w:tcPr>
          <w:p w14:paraId="0D9AC2AE" w14:textId="182968E0"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&lt;0.001</w:t>
            </w:r>
          </w:p>
        </w:tc>
        <w:tc>
          <w:tcPr>
            <w:tcW w:w="1559" w:type="dxa"/>
            <w:shd w:val="clear" w:color="auto" w:fill="auto"/>
            <w:noWrap/>
          </w:tcPr>
          <w:p w14:paraId="22505ED5" w14:textId="77777777" w:rsidR="0015111A"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 xml:space="preserve">0.04 </w:t>
            </w:r>
          </w:p>
          <w:p w14:paraId="052B348D" w14:textId="0052CA8E" w:rsidR="007D5607"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(0.00-0.07)</w:t>
            </w:r>
          </w:p>
        </w:tc>
        <w:tc>
          <w:tcPr>
            <w:tcW w:w="851" w:type="dxa"/>
            <w:tcBorders>
              <w:right w:val="nil"/>
            </w:tcBorders>
            <w:shd w:val="clear" w:color="auto" w:fill="auto"/>
            <w:noWrap/>
          </w:tcPr>
          <w:p w14:paraId="658BC68F" w14:textId="7CD4880D"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0.048</w:t>
            </w:r>
          </w:p>
        </w:tc>
      </w:tr>
      <w:tr w:rsidR="00A37255" w:rsidRPr="0052360E" w14:paraId="0586A693" w14:textId="77777777" w:rsidTr="002317AB">
        <w:trPr>
          <w:trHeight w:val="300"/>
        </w:trPr>
        <w:tc>
          <w:tcPr>
            <w:tcW w:w="2552" w:type="dxa"/>
            <w:tcBorders>
              <w:left w:val="nil"/>
            </w:tcBorders>
            <w:shd w:val="clear" w:color="auto" w:fill="auto"/>
            <w:noWrap/>
          </w:tcPr>
          <w:p w14:paraId="7957FC6D" w14:textId="00745BD4" w:rsidR="007D5607" w:rsidRPr="0052360E" w:rsidRDefault="007D5607" w:rsidP="008C59EA">
            <w:pPr>
              <w:spacing w:line="276" w:lineRule="auto"/>
              <w:rPr>
                <w:rFonts w:ascii="Times New Roman" w:eastAsia="Times New Roman" w:hAnsi="Times New Roman" w:cs="Times New Roman"/>
                <w:lang w:eastAsia="en-GB"/>
              </w:rPr>
            </w:pPr>
            <w:r w:rsidRPr="0052360E">
              <w:rPr>
                <w:rFonts w:ascii="Times New Roman" w:hAnsi="Times New Roman" w:cs="Times New Roman"/>
              </w:rPr>
              <w:t>Hb, g/dl</w:t>
            </w:r>
          </w:p>
        </w:tc>
        <w:tc>
          <w:tcPr>
            <w:tcW w:w="566" w:type="dxa"/>
            <w:noWrap/>
          </w:tcPr>
          <w:p w14:paraId="3F7BDE21" w14:textId="0AF3864C"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1219</w:t>
            </w:r>
          </w:p>
        </w:tc>
        <w:tc>
          <w:tcPr>
            <w:tcW w:w="851" w:type="dxa"/>
            <w:shd w:val="clear" w:color="auto" w:fill="auto"/>
            <w:noWrap/>
          </w:tcPr>
          <w:p w14:paraId="0E056DA2" w14:textId="3B73C084" w:rsidR="007D5607" w:rsidRPr="0052360E" w:rsidRDefault="007D5607" w:rsidP="008C59EA">
            <w:pPr>
              <w:spacing w:line="276" w:lineRule="auto"/>
              <w:jc w:val="center"/>
              <w:rPr>
                <w:rFonts w:ascii="Times New Roman" w:eastAsia="Times New Roman" w:hAnsi="Times New Roman" w:cs="Times New Roman"/>
                <w:lang w:eastAsia="en-GB"/>
              </w:rPr>
            </w:pPr>
            <w:r w:rsidRPr="0052360E">
              <w:rPr>
                <w:rFonts w:ascii="Times New Roman" w:hAnsi="Times New Roman" w:cs="Times New Roman"/>
              </w:rPr>
              <w:t>&lt;0.001</w:t>
            </w:r>
          </w:p>
        </w:tc>
        <w:tc>
          <w:tcPr>
            <w:tcW w:w="1559" w:type="dxa"/>
            <w:shd w:val="clear" w:color="auto" w:fill="auto"/>
            <w:noWrap/>
          </w:tcPr>
          <w:p w14:paraId="7397D2AE" w14:textId="77777777" w:rsidR="0015111A"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 xml:space="preserve">-0.01 </w:t>
            </w:r>
          </w:p>
          <w:p w14:paraId="014BAAEF" w14:textId="227A4810" w:rsidR="007D5607"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(-0.45-0.43)</w:t>
            </w:r>
          </w:p>
        </w:tc>
        <w:tc>
          <w:tcPr>
            <w:tcW w:w="851" w:type="dxa"/>
            <w:shd w:val="clear" w:color="auto" w:fill="auto"/>
            <w:noWrap/>
          </w:tcPr>
          <w:p w14:paraId="4EE94673" w14:textId="30978A01"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0.96</w:t>
            </w:r>
          </w:p>
        </w:tc>
        <w:tc>
          <w:tcPr>
            <w:tcW w:w="992" w:type="dxa"/>
            <w:shd w:val="clear" w:color="auto" w:fill="auto"/>
            <w:noWrap/>
          </w:tcPr>
          <w:p w14:paraId="66408963" w14:textId="409616D0"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&lt;0.001</w:t>
            </w:r>
          </w:p>
        </w:tc>
        <w:tc>
          <w:tcPr>
            <w:tcW w:w="1559" w:type="dxa"/>
            <w:shd w:val="clear" w:color="auto" w:fill="auto"/>
            <w:noWrap/>
          </w:tcPr>
          <w:p w14:paraId="03314D68" w14:textId="77777777" w:rsidR="0015111A"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 xml:space="preserve">-0.06 </w:t>
            </w:r>
          </w:p>
          <w:p w14:paraId="54E37793" w14:textId="15733B85" w:rsidR="007D5607" w:rsidRPr="0052360E" w:rsidRDefault="007D5607" w:rsidP="008C59EA">
            <w:pPr>
              <w:spacing w:after="0" w:line="276" w:lineRule="auto"/>
              <w:jc w:val="center"/>
              <w:rPr>
                <w:rFonts w:ascii="Times New Roman" w:hAnsi="Times New Roman" w:cs="Times New Roman"/>
              </w:rPr>
            </w:pPr>
            <w:r w:rsidRPr="0052360E">
              <w:rPr>
                <w:rFonts w:ascii="Times New Roman" w:hAnsi="Times New Roman" w:cs="Times New Roman"/>
              </w:rPr>
              <w:t>(-0.49-0.38)</w:t>
            </w:r>
          </w:p>
        </w:tc>
        <w:tc>
          <w:tcPr>
            <w:tcW w:w="851" w:type="dxa"/>
            <w:tcBorders>
              <w:right w:val="nil"/>
            </w:tcBorders>
            <w:shd w:val="clear" w:color="auto" w:fill="auto"/>
            <w:noWrap/>
          </w:tcPr>
          <w:p w14:paraId="356F2FB9" w14:textId="71F2EC52" w:rsidR="007D5607" w:rsidRPr="0052360E" w:rsidRDefault="007D5607" w:rsidP="008C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0.81</w:t>
            </w:r>
          </w:p>
        </w:tc>
      </w:tr>
      <w:tr w:rsidR="00A37255" w:rsidRPr="0052360E" w14:paraId="344FED86" w14:textId="77777777" w:rsidTr="002317AB">
        <w:trPr>
          <w:trHeight w:val="300"/>
        </w:trPr>
        <w:tc>
          <w:tcPr>
            <w:tcW w:w="2552" w:type="dxa"/>
            <w:tcBorders>
              <w:left w:val="nil"/>
              <w:bottom w:val="single" w:sz="4" w:space="0" w:color="auto"/>
            </w:tcBorders>
            <w:shd w:val="clear" w:color="auto" w:fill="auto"/>
            <w:noWrap/>
          </w:tcPr>
          <w:p w14:paraId="73E9204E" w14:textId="7192DBF8" w:rsidR="002A505C" w:rsidRPr="0052360E" w:rsidRDefault="002A505C" w:rsidP="002A505C">
            <w:pPr>
              <w:spacing w:after="0" w:line="276" w:lineRule="auto"/>
              <w:rPr>
                <w:rFonts w:ascii="Times New Roman" w:hAnsi="Times New Roman" w:cs="Times New Roman"/>
              </w:rPr>
            </w:pPr>
            <w:r w:rsidRPr="0052360E">
              <w:rPr>
                <w:rFonts w:ascii="Times New Roman" w:hAnsi="Times New Roman" w:cs="Times New Roman"/>
              </w:rPr>
              <w:t>Body iron stores, mg/kg</w:t>
            </w:r>
            <w:r w:rsidR="00D15EA7" w:rsidRPr="0052360E">
              <w:rPr>
                <w:rFonts w:ascii="Times New Roman" w:hAnsi="Times New Roman" w:cs="Times New Roman"/>
                <w:sz w:val="24"/>
                <w:szCs w:val="24"/>
              </w:rPr>
              <w:t xml:space="preserve"> </w:t>
            </w:r>
            <w:r w:rsidR="00D15EA7" w:rsidRPr="0052360E">
              <w:rPr>
                <w:rFonts w:ascii="Times New Roman" w:hAnsi="Times New Roman" w:cs="Times New Roman"/>
                <w:sz w:val="24"/>
                <w:szCs w:val="24"/>
                <w:vertAlign w:val="superscript"/>
              </w:rPr>
              <w:t>7</w:t>
            </w:r>
          </w:p>
        </w:tc>
        <w:tc>
          <w:tcPr>
            <w:tcW w:w="566" w:type="dxa"/>
            <w:tcBorders>
              <w:bottom w:val="single" w:sz="4" w:space="0" w:color="auto"/>
            </w:tcBorders>
            <w:noWrap/>
          </w:tcPr>
          <w:p w14:paraId="518955A2" w14:textId="6018155D" w:rsidR="002A505C" w:rsidRPr="0052360E" w:rsidRDefault="002A505C" w:rsidP="002A50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Times New Roman" w:hAnsi="Times New Roman" w:cs="Times New Roman"/>
              </w:rPr>
              <w:t>1213</w:t>
            </w:r>
          </w:p>
        </w:tc>
        <w:tc>
          <w:tcPr>
            <w:tcW w:w="851" w:type="dxa"/>
            <w:tcBorders>
              <w:bottom w:val="single" w:sz="4" w:space="0" w:color="auto"/>
            </w:tcBorders>
            <w:shd w:val="clear" w:color="auto" w:fill="auto"/>
            <w:noWrap/>
          </w:tcPr>
          <w:p w14:paraId="1CA70717" w14:textId="16F887D9" w:rsidR="002A505C" w:rsidRPr="0052360E" w:rsidRDefault="002A505C" w:rsidP="002A505C">
            <w:pPr>
              <w:spacing w:line="276" w:lineRule="auto"/>
              <w:jc w:val="center"/>
              <w:rPr>
                <w:rFonts w:ascii="Times New Roman" w:eastAsia="Times New Roman" w:hAnsi="Times New Roman" w:cs="Times New Roman"/>
                <w:lang w:eastAsia="en-GB"/>
              </w:rPr>
            </w:pPr>
            <w:r w:rsidRPr="0052360E">
              <w:rPr>
                <w:rFonts w:ascii="Times New Roman" w:hAnsi="Times New Roman" w:cs="Times New Roman"/>
              </w:rPr>
              <w:t>&lt;0.001</w:t>
            </w:r>
          </w:p>
        </w:tc>
        <w:tc>
          <w:tcPr>
            <w:tcW w:w="1559" w:type="dxa"/>
            <w:tcBorders>
              <w:bottom w:val="single" w:sz="4" w:space="0" w:color="auto"/>
            </w:tcBorders>
            <w:shd w:val="clear" w:color="auto" w:fill="auto"/>
            <w:noWrap/>
            <w:vAlign w:val="bottom"/>
          </w:tcPr>
          <w:p w14:paraId="42C8827A" w14:textId="77777777" w:rsidR="00A37255" w:rsidRPr="0052360E" w:rsidRDefault="002A505C" w:rsidP="008D16BD">
            <w:pPr>
              <w:spacing w:after="0" w:line="276" w:lineRule="auto"/>
              <w:jc w:val="center"/>
              <w:rPr>
                <w:rFonts w:ascii="Calibri" w:hAnsi="Calibri"/>
              </w:rPr>
            </w:pPr>
            <w:r w:rsidRPr="0052360E">
              <w:rPr>
                <w:rFonts w:ascii="Calibri" w:hAnsi="Calibri"/>
              </w:rPr>
              <w:t xml:space="preserve">0.014 </w:t>
            </w:r>
          </w:p>
          <w:p w14:paraId="4EC7ABA9" w14:textId="4E7FCD57" w:rsidR="002A505C" w:rsidRPr="0052360E" w:rsidRDefault="002317AB" w:rsidP="00A37255">
            <w:pPr>
              <w:spacing w:after="0" w:line="276" w:lineRule="auto"/>
              <w:rPr>
                <w:rFonts w:ascii="Calibri" w:hAnsi="Calibri"/>
              </w:rPr>
            </w:pPr>
            <w:r w:rsidRPr="0052360E">
              <w:rPr>
                <w:rFonts w:ascii="Calibri" w:hAnsi="Calibri"/>
              </w:rPr>
              <w:t xml:space="preserve"> </w:t>
            </w:r>
            <w:r w:rsidR="002A505C" w:rsidRPr="0052360E">
              <w:rPr>
                <w:rFonts w:ascii="Calibri" w:hAnsi="Calibri"/>
              </w:rPr>
              <w:t>(0.001 - 0.028)</w:t>
            </w:r>
          </w:p>
        </w:tc>
        <w:tc>
          <w:tcPr>
            <w:tcW w:w="851" w:type="dxa"/>
            <w:tcBorders>
              <w:bottom w:val="single" w:sz="4" w:space="0" w:color="auto"/>
            </w:tcBorders>
            <w:shd w:val="clear" w:color="auto" w:fill="auto"/>
            <w:noWrap/>
          </w:tcPr>
          <w:p w14:paraId="5D1155F9" w14:textId="178A49C2" w:rsidR="002A505C" w:rsidRPr="0052360E" w:rsidRDefault="002A505C" w:rsidP="00A37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Calibri" w:hAnsi="Calibri"/>
              </w:rPr>
              <w:t>0.041</w:t>
            </w:r>
          </w:p>
        </w:tc>
        <w:tc>
          <w:tcPr>
            <w:tcW w:w="992" w:type="dxa"/>
            <w:tcBorders>
              <w:bottom w:val="single" w:sz="4" w:space="0" w:color="auto"/>
            </w:tcBorders>
            <w:shd w:val="clear" w:color="auto" w:fill="auto"/>
            <w:noWrap/>
          </w:tcPr>
          <w:p w14:paraId="7D1C1AA7" w14:textId="49A2B653" w:rsidR="002A505C" w:rsidRPr="0052360E" w:rsidRDefault="002A505C" w:rsidP="00A37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Calibri" w:hAnsi="Calibri"/>
              </w:rPr>
              <w:t>&lt;0.001</w:t>
            </w:r>
          </w:p>
        </w:tc>
        <w:tc>
          <w:tcPr>
            <w:tcW w:w="1559" w:type="dxa"/>
            <w:tcBorders>
              <w:bottom w:val="single" w:sz="4" w:space="0" w:color="auto"/>
            </w:tcBorders>
            <w:shd w:val="clear" w:color="auto" w:fill="auto"/>
            <w:noWrap/>
          </w:tcPr>
          <w:p w14:paraId="5E60C467" w14:textId="77777777" w:rsidR="00A37255" w:rsidRPr="0052360E" w:rsidRDefault="002A505C" w:rsidP="00A37255">
            <w:pPr>
              <w:spacing w:after="0" w:line="276" w:lineRule="auto"/>
              <w:jc w:val="center"/>
              <w:rPr>
                <w:rFonts w:ascii="Calibri" w:hAnsi="Calibri"/>
              </w:rPr>
            </w:pPr>
            <w:r w:rsidRPr="0052360E">
              <w:rPr>
                <w:rFonts w:ascii="Calibri" w:hAnsi="Calibri"/>
              </w:rPr>
              <w:t xml:space="preserve">0.014 </w:t>
            </w:r>
          </w:p>
          <w:p w14:paraId="3A3779C5" w14:textId="1166BB30" w:rsidR="002A505C" w:rsidRPr="0052360E" w:rsidRDefault="002A505C" w:rsidP="00A37255">
            <w:pPr>
              <w:spacing w:after="0" w:line="276" w:lineRule="auto"/>
              <w:jc w:val="center"/>
              <w:rPr>
                <w:rFonts w:ascii="Times New Roman" w:hAnsi="Times New Roman" w:cs="Times New Roman"/>
              </w:rPr>
            </w:pPr>
            <w:r w:rsidRPr="0052360E">
              <w:rPr>
                <w:rFonts w:ascii="Calibri" w:hAnsi="Calibri"/>
              </w:rPr>
              <w:t>(0.000 - 0.028)</w:t>
            </w:r>
          </w:p>
        </w:tc>
        <w:tc>
          <w:tcPr>
            <w:tcW w:w="851" w:type="dxa"/>
            <w:tcBorders>
              <w:bottom w:val="single" w:sz="4" w:space="0" w:color="auto"/>
              <w:right w:val="nil"/>
            </w:tcBorders>
            <w:shd w:val="clear" w:color="auto" w:fill="auto"/>
            <w:noWrap/>
          </w:tcPr>
          <w:p w14:paraId="7D475334" w14:textId="04B49C67" w:rsidR="002A505C" w:rsidRPr="0052360E" w:rsidRDefault="002A505C" w:rsidP="00A37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hAnsi="Times New Roman" w:cs="Times New Roman"/>
              </w:rPr>
            </w:pPr>
            <w:r w:rsidRPr="0052360E">
              <w:rPr>
                <w:rFonts w:ascii="Calibri" w:hAnsi="Calibri"/>
              </w:rPr>
              <w:t>0.042</w:t>
            </w:r>
          </w:p>
        </w:tc>
      </w:tr>
    </w:tbl>
    <w:p w14:paraId="7635F8F9" w14:textId="77777777" w:rsidR="002317AB" w:rsidRPr="0052360E" w:rsidRDefault="0015111A" w:rsidP="002317AB">
      <w:pPr>
        <w:spacing w:after="0" w:line="276" w:lineRule="auto"/>
        <w:ind w:left="426" w:hanging="426"/>
        <w:rPr>
          <w:rFonts w:ascii="Times New Roman" w:hAnsi="Times New Roman" w:cs="Times New Roman"/>
          <w:sz w:val="24"/>
          <w:szCs w:val="24"/>
        </w:rPr>
      </w:pPr>
      <w:r w:rsidRPr="0052360E">
        <w:rPr>
          <w:rFonts w:ascii="Times New Roman" w:hAnsi="Times New Roman" w:cs="Times New Roman"/>
          <w:sz w:val="24"/>
          <w:szCs w:val="24"/>
        </w:rPr>
        <w:t xml:space="preserve">    </w:t>
      </w:r>
      <w:r w:rsidR="00A37255" w:rsidRPr="0052360E">
        <w:rPr>
          <w:rFonts w:ascii="Times New Roman" w:hAnsi="Times New Roman" w:cs="Times New Roman"/>
          <w:sz w:val="24"/>
          <w:szCs w:val="24"/>
        </w:rPr>
        <w:t xml:space="preserve"> </w:t>
      </w:r>
      <w:r w:rsidRPr="0052360E">
        <w:rPr>
          <w:rFonts w:ascii="Times New Roman" w:hAnsi="Times New Roman" w:cs="Times New Roman"/>
          <w:sz w:val="24"/>
          <w:szCs w:val="24"/>
        </w:rPr>
        <w:t xml:space="preserve"> </w:t>
      </w:r>
      <w:r w:rsidR="00A152E5" w:rsidRPr="0052360E">
        <w:rPr>
          <w:rFonts w:ascii="Times New Roman" w:hAnsi="Times New Roman" w:cs="Times New Roman"/>
          <w:sz w:val="24"/>
          <w:szCs w:val="24"/>
        </w:rPr>
        <w:t>BMI: body mass index; MUAC: Mid-Upper-Arm-Circumference</w:t>
      </w:r>
      <w:r w:rsidRPr="0052360E">
        <w:rPr>
          <w:rFonts w:ascii="Times New Roman" w:hAnsi="Times New Roman" w:cs="Times New Roman"/>
          <w:sz w:val="24"/>
          <w:szCs w:val="24"/>
        </w:rPr>
        <w:t xml:space="preserve">; sTfR: serum transferrin receptor; </w:t>
      </w:r>
    </w:p>
    <w:p w14:paraId="38552216" w14:textId="38D2C4C1" w:rsidR="00A152E5" w:rsidRPr="0052360E" w:rsidRDefault="002317AB" w:rsidP="002317AB">
      <w:pPr>
        <w:spacing w:line="276" w:lineRule="auto"/>
        <w:ind w:left="426" w:hanging="426"/>
        <w:rPr>
          <w:rFonts w:ascii="Times New Roman" w:hAnsi="Times New Roman" w:cs="Times New Roman"/>
          <w:sz w:val="24"/>
          <w:szCs w:val="24"/>
        </w:rPr>
      </w:pPr>
      <w:r w:rsidRPr="0052360E">
        <w:rPr>
          <w:rFonts w:ascii="Times New Roman" w:hAnsi="Times New Roman" w:cs="Times New Roman"/>
          <w:sz w:val="24"/>
          <w:szCs w:val="24"/>
        </w:rPr>
        <w:t xml:space="preserve">      </w:t>
      </w:r>
      <w:r w:rsidR="0015111A" w:rsidRPr="0052360E">
        <w:rPr>
          <w:rFonts w:ascii="Times New Roman" w:hAnsi="Times New Roman" w:cs="Times New Roman"/>
          <w:sz w:val="24"/>
          <w:szCs w:val="24"/>
        </w:rPr>
        <w:t xml:space="preserve">ZPP:  </w:t>
      </w:r>
      <w:r w:rsidRPr="0052360E">
        <w:rPr>
          <w:rFonts w:ascii="Times New Roman" w:hAnsi="Times New Roman" w:cs="Times New Roman"/>
          <w:sz w:val="24"/>
          <w:szCs w:val="24"/>
        </w:rPr>
        <w:t xml:space="preserve"> </w:t>
      </w:r>
      <w:r w:rsidR="0015111A" w:rsidRPr="0052360E">
        <w:rPr>
          <w:rFonts w:ascii="Times New Roman" w:hAnsi="Times New Roman" w:cs="Times New Roman"/>
          <w:sz w:val="24"/>
          <w:szCs w:val="24"/>
        </w:rPr>
        <w:t>whole blood zinc protoporphyrin; CRP: C-reactive protein</w:t>
      </w:r>
      <w:r w:rsidRPr="0052360E">
        <w:rPr>
          <w:rFonts w:ascii="Times New Roman" w:hAnsi="Times New Roman" w:cs="Times New Roman"/>
          <w:sz w:val="24"/>
          <w:szCs w:val="24"/>
        </w:rPr>
        <w:t>; NA: not applicable</w:t>
      </w:r>
    </w:p>
    <w:p w14:paraId="35098920" w14:textId="227890BD" w:rsidR="00A152E5" w:rsidRPr="0052360E" w:rsidRDefault="00E651A4" w:rsidP="008C59EA">
      <w:pPr>
        <w:spacing w:line="276" w:lineRule="auto"/>
        <w:ind w:left="426" w:hanging="426"/>
        <w:rPr>
          <w:rFonts w:ascii="Times New Roman" w:hAnsi="Times New Roman" w:cs="Times New Roman"/>
          <w:sz w:val="24"/>
          <w:szCs w:val="24"/>
        </w:rPr>
      </w:pPr>
      <w:r w:rsidRPr="0052360E">
        <w:rPr>
          <w:rFonts w:ascii="Times New Roman" w:hAnsi="Times New Roman" w:cs="Times New Roman"/>
          <w:sz w:val="24"/>
          <w:szCs w:val="24"/>
          <w:vertAlign w:val="superscript"/>
        </w:rPr>
        <w:t xml:space="preserve">        </w:t>
      </w:r>
      <w:r w:rsidR="00A152E5" w:rsidRPr="0052360E">
        <w:rPr>
          <w:rFonts w:ascii="Times New Roman" w:hAnsi="Times New Roman" w:cs="Times New Roman"/>
          <w:sz w:val="24"/>
          <w:szCs w:val="24"/>
          <w:vertAlign w:val="superscript"/>
        </w:rPr>
        <w:t>1</w:t>
      </w:r>
      <w:r w:rsidR="00A152E5" w:rsidRPr="0052360E">
        <w:rPr>
          <w:rFonts w:ascii="Times New Roman" w:hAnsi="Times New Roman" w:cs="Times New Roman"/>
          <w:sz w:val="24"/>
          <w:szCs w:val="24"/>
        </w:rPr>
        <w:t xml:space="preserve"> Combined data for Lf measurements at follow-up in non-pregnant (end assessment) or pregnant women (ANC1 and ANC2). Effect sizes are differences in Log</w:t>
      </w:r>
      <w:r w:rsidR="00A152E5" w:rsidRPr="0052360E">
        <w:rPr>
          <w:rFonts w:ascii="Times New Roman" w:hAnsi="Times New Roman" w:cs="Times New Roman"/>
          <w:sz w:val="24"/>
          <w:szCs w:val="24"/>
          <w:vertAlign w:val="subscript"/>
        </w:rPr>
        <w:t xml:space="preserve">10 </w:t>
      </w:r>
      <w:r w:rsidR="00A152E5" w:rsidRPr="0052360E">
        <w:rPr>
          <w:rFonts w:ascii="Times New Roman" w:hAnsi="Times New Roman" w:cs="Times New Roman"/>
          <w:sz w:val="24"/>
          <w:szCs w:val="24"/>
        </w:rPr>
        <w:t>Lf per unit, or between groups, adjusting for visit, or visit and MUAC, as fixed factors, and participant as a random effect in a linear mixed model which includes all women and visits in a single analysis</w:t>
      </w:r>
      <w:r w:rsidR="00D15EA7" w:rsidRPr="0052360E">
        <w:rPr>
          <w:rFonts w:ascii="Times New Roman" w:hAnsi="Times New Roman" w:cs="Times New Roman"/>
          <w:sz w:val="24"/>
          <w:szCs w:val="24"/>
        </w:rPr>
        <w:t>.</w:t>
      </w:r>
      <w:r w:rsidR="00A152E5" w:rsidRPr="0052360E">
        <w:rPr>
          <w:rFonts w:ascii="Times New Roman" w:hAnsi="Times New Roman" w:cs="Times New Roman"/>
          <w:sz w:val="24"/>
          <w:szCs w:val="24"/>
        </w:rPr>
        <w:t xml:space="preserve"> </w:t>
      </w:r>
    </w:p>
    <w:p w14:paraId="49DE5004" w14:textId="2EB0AB52" w:rsidR="00A152E5" w:rsidRPr="0052360E" w:rsidRDefault="00A152E5" w:rsidP="008C59EA">
      <w:pPr>
        <w:spacing w:line="276" w:lineRule="auto"/>
        <w:ind w:left="360" w:hanging="76"/>
        <w:rPr>
          <w:rFonts w:ascii="Times New Roman" w:hAnsi="Times New Roman" w:cs="Times New Roman"/>
          <w:sz w:val="24"/>
          <w:szCs w:val="24"/>
        </w:rPr>
      </w:pPr>
      <w:r w:rsidRPr="0052360E">
        <w:rPr>
          <w:rFonts w:ascii="Times New Roman" w:hAnsi="Times New Roman" w:cs="Times New Roman"/>
          <w:sz w:val="24"/>
          <w:szCs w:val="24"/>
          <w:vertAlign w:val="superscript"/>
        </w:rPr>
        <w:t xml:space="preserve">2 </w:t>
      </w:r>
      <w:r w:rsidR="00E651A4" w:rsidRPr="0052360E">
        <w:rPr>
          <w:rFonts w:ascii="Times New Roman" w:hAnsi="Times New Roman" w:cs="Times New Roman"/>
          <w:sz w:val="24"/>
          <w:szCs w:val="24"/>
          <w:vertAlign w:val="superscript"/>
        </w:rPr>
        <w:t xml:space="preserve"> </w:t>
      </w:r>
      <w:r w:rsidRPr="0052360E">
        <w:rPr>
          <w:rFonts w:ascii="Times New Roman" w:hAnsi="Times New Roman" w:cs="Times New Roman"/>
          <w:sz w:val="24"/>
          <w:szCs w:val="24"/>
        </w:rPr>
        <w:t xml:space="preserve">Additional model adjusted also for MUAC assessed at ANC1 or end assessment.  </w:t>
      </w:r>
    </w:p>
    <w:p w14:paraId="70B0768D" w14:textId="22B0DF96" w:rsidR="00A152E5" w:rsidRPr="0052360E" w:rsidRDefault="00A152E5" w:rsidP="008C59EA">
      <w:pPr>
        <w:spacing w:line="276" w:lineRule="auto"/>
        <w:ind w:left="360" w:hanging="76"/>
        <w:rPr>
          <w:rFonts w:ascii="Times New Roman" w:hAnsi="Times New Roman" w:cs="Times New Roman"/>
          <w:sz w:val="24"/>
          <w:szCs w:val="24"/>
        </w:rPr>
      </w:pPr>
      <w:r w:rsidRPr="0052360E">
        <w:rPr>
          <w:rFonts w:ascii="Times New Roman" w:hAnsi="Times New Roman" w:cs="Times New Roman"/>
          <w:sz w:val="24"/>
          <w:szCs w:val="24"/>
          <w:vertAlign w:val="superscript"/>
        </w:rPr>
        <w:t>3</w:t>
      </w:r>
      <w:r w:rsidR="00E651A4" w:rsidRPr="0052360E">
        <w:rPr>
          <w:rFonts w:ascii="Times New Roman" w:hAnsi="Times New Roman" w:cs="Times New Roman"/>
          <w:sz w:val="24"/>
          <w:szCs w:val="24"/>
          <w:vertAlign w:val="superscript"/>
        </w:rPr>
        <w:t xml:space="preserve"> </w:t>
      </w:r>
      <w:r w:rsidRPr="0052360E">
        <w:rPr>
          <w:rFonts w:ascii="Times New Roman" w:hAnsi="Times New Roman" w:cs="Times New Roman"/>
          <w:sz w:val="24"/>
          <w:szCs w:val="24"/>
          <w:vertAlign w:val="superscript"/>
        </w:rPr>
        <w:t xml:space="preserve"> </w:t>
      </w:r>
      <w:r w:rsidRPr="0052360E">
        <w:rPr>
          <w:rFonts w:ascii="Times New Roman" w:hAnsi="Times New Roman" w:cs="Times New Roman"/>
          <w:sz w:val="24"/>
          <w:szCs w:val="24"/>
        </w:rPr>
        <w:t>Number of Lf measurements included in the analysis across all visits after missing data excluded</w:t>
      </w:r>
    </w:p>
    <w:p w14:paraId="3CC0FBE7" w14:textId="7495445E" w:rsidR="00A152E5" w:rsidRPr="0052360E" w:rsidRDefault="00A152E5" w:rsidP="008C59EA">
      <w:pPr>
        <w:spacing w:line="276" w:lineRule="auto"/>
        <w:ind w:left="360" w:hanging="76"/>
        <w:rPr>
          <w:rFonts w:ascii="Times New Roman" w:hAnsi="Times New Roman" w:cs="Times New Roman"/>
          <w:sz w:val="24"/>
          <w:szCs w:val="24"/>
        </w:rPr>
      </w:pPr>
      <w:r w:rsidRPr="0052360E">
        <w:rPr>
          <w:rFonts w:ascii="Times New Roman" w:hAnsi="Times New Roman" w:cs="Times New Roman"/>
          <w:sz w:val="24"/>
          <w:szCs w:val="24"/>
          <w:vertAlign w:val="superscript"/>
        </w:rPr>
        <w:t xml:space="preserve">4 </w:t>
      </w:r>
      <w:r w:rsidR="00E651A4" w:rsidRPr="0052360E">
        <w:rPr>
          <w:rFonts w:ascii="Times New Roman" w:hAnsi="Times New Roman" w:cs="Times New Roman"/>
          <w:sz w:val="24"/>
          <w:szCs w:val="24"/>
          <w:vertAlign w:val="superscript"/>
        </w:rPr>
        <w:t xml:space="preserve"> </w:t>
      </w:r>
      <w:r w:rsidRPr="0052360E">
        <w:rPr>
          <w:rFonts w:ascii="Times New Roman" w:hAnsi="Times New Roman" w:cs="Times New Roman"/>
          <w:sz w:val="24"/>
          <w:szCs w:val="24"/>
        </w:rPr>
        <w:t xml:space="preserve">P </w:t>
      </w:r>
      <w:r w:rsidRPr="0052360E">
        <w:rPr>
          <w:rFonts w:ascii="Times New Roman" w:hAnsi="Times New Roman" w:cs="Times New Roman"/>
          <w:sz w:val="24"/>
          <w:szCs w:val="24"/>
          <w:vertAlign w:val="subscript"/>
        </w:rPr>
        <w:t>visit</w:t>
      </w:r>
      <w:r w:rsidR="002317AB" w:rsidRPr="0052360E">
        <w:rPr>
          <w:rFonts w:ascii="Times New Roman" w:hAnsi="Times New Roman" w:cs="Times New Roman"/>
          <w:sz w:val="24"/>
          <w:szCs w:val="24"/>
          <w:vertAlign w:val="subscript"/>
        </w:rPr>
        <w:t xml:space="preserve"> </w:t>
      </w:r>
      <w:r w:rsidRPr="0052360E">
        <w:rPr>
          <w:rFonts w:ascii="Times New Roman" w:hAnsi="Times New Roman" w:cs="Times New Roman"/>
          <w:sz w:val="24"/>
          <w:szCs w:val="24"/>
        </w:rPr>
        <w:t xml:space="preserve">: </w:t>
      </w:r>
      <w:r w:rsidR="0015111A" w:rsidRPr="0052360E">
        <w:rPr>
          <w:rFonts w:ascii="Times New Roman" w:hAnsi="Times New Roman" w:cs="Times New Roman"/>
          <w:sz w:val="24"/>
          <w:szCs w:val="24"/>
        </w:rPr>
        <w:t xml:space="preserve">P-value associated with the visit effect. </w:t>
      </w:r>
    </w:p>
    <w:p w14:paraId="528CB059" w14:textId="00D640CF" w:rsidR="00A152E5" w:rsidRPr="0052360E" w:rsidRDefault="00A152E5" w:rsidP="008C59EA">
      <w:pPr>
        <w:spacing w:line="276" w:lineRule="auto"/>
        <w:ind w:left="360" w:hanging="76"/>
        <w:rPr>
          <w:rFonts w:ascii="Times New Roman" w:hAnsi="Times New Roman" w:cs="Times New Roman"/>
          <w:sz w:val="24"/>
          <w:szCs w:val="24"/>
          <w:vertAlign w:val="superscript"/>
        </w:rPr>
      </w:pPr>
      <w:r w:rsidRPr="0052360E">
        <w:rPr>
          <w:rFonts w:ascii="Times New Roman" w:hAnsi="Times New Roman" w:cs="Times New Roman"/>
          <w:sz w:val="24"/>
          <w:szCs w:val="24"/>
          <w:vertAlign w:val="superscript"/>
        </w:rPr>
        <w:t xml:space="preserve">5 </w:t>
      </w:r>
      <w:r w:rsidR="00E651A4" w:rsidRPr="0052360E">
        <w:rPr>
          <w:rFonts w:ascii="Times New Roman" w:hAnsi="Times New Roman" w:cs="Times New Roman"/>
          <w:sz w:val="24"/>
          <w:szCs w:val="24"/>
          <w:vertAlign w:val="superscript"/>
        </w:rPr>
        <w:t xml:space="preserve"> </w:t>
      </w:r>
      <w:r w:rsidRPr="0052360E">
        <w:rPr>
          <w:rFonts w:ascii="Times New Roman" w:hAnsi="Times New Roman" w:cs="Times New Roman"/>
          <w:sz w:val="24"/>
          <w:szCs w:val="24"/>
        </w:rPr>
        <w:t>Significance of the effect of the variable itself – average across all visits</w:t>
      </w:r>
      <w:r w:rsidR="00D15EA7" w:rsidRPr="0052360E">
        <w:rPr>
          <w:rFonts w:ascii="Times New Roman" w:hAnsi="Times New Roman" w:cs="Times New Roman"/>
          <w:sz w:val="24"/>
          <w:szCs w:val="24"/>
        </w:rPr>
        <w:t>.</w:t>
      </w:r>
      <w:r w:rsidRPr="0052360E">
        <w:rPr>
          <w:rFonts w:ascii="Times New Roman" w:hAnsi="Times New Roman" w:cs="Times New Roman"/>
          <w:sz w:val="24"/>
          <w:szCs w:val="24"/>
          <w:vertAlign w:val="superscript"/>
        </w:rPr>
        <w:t xml:space="preserve">  </w:t>
      </w:r>
    </w:p>
    <w:p w14:paraId="3C81C41C" w14:textId="77777777" w:rsidR="00D15EA7" w:rsidRPr="0052360E" w:rsidRDefault="00A152E5" w:rsidP="008C59EA">
      <w:pPr>
        <w:spacing w:line="276" w:lineRule="auto"/>
        <w:ind w:left="426" w:hanging="142"/>
        <w:rPr>
          <w:rFonts w:ascii="Times New Roman" w:hAnsi="Times New Roman" w:cs="Times New Roman"/>
          <w:b/>
          <w:sz w:val="24"/>
          <w:szCs w:val="24"/>
          <w:lang w:val="fr-FR"/>
        </w:rPr>
      </w:pPr>
      <w:r w:rsidRPr="0052360E">
        <w:rPr>
          <w:rFonts w:ascii="Times New Roman" w:hAnsi="Times New Roman" w:cs="Times New Roman"/>
          <w:sz w:val="24"/>
          <w:szCs w:val="24"/>
          <w:vertAlign w:val="superscript"/>
        </w:rPr>
        <w:t>6</w:t>
      </w:r>
      <w:r w:rsidR="00E651A4" w:rsidRPr="0052360E">
        <w:rPr>
          <w:rFonts w:ascii="Times New Roman" w:hAnsi="Times New Roman" w:cs="Times New Roman"/>
          <w:sz w:val="24"/>
          <w:szCs w:val="24"/>
          <w:vertAlign w:val="superscript"/>
        </w:rPr>
        <w:t xml:space="preserve"> </w:t>
      </w:r>
      <w:r w:rsidRPr="0052360E">
        <w:rPr>
          <w:rFonts w:ascii="Times New Roman" w:hAnsi="Times New Roman" w:cs="Times New Roman"/>
          <w:sz w:val="24"/>
          <w:szCs w:val="24"/>
        </w:rPr>
        <w:t>Assessed at baseline and related to Lf concentration measured for non-pregnant women at end assessment only</w:t>
      </w:r>
      <w:r w:rsidR="00D15EA7" w:rsidRPr="0052360E">
        <w:rPr>
          <w:rFonts w:ascii="Times New Roman" w:hAnsi="Times New Roman" w:cs="Times New Roman"/>
          <w:sz w:val="24"/>
          <w:szCs w:val="24"/>
        </w:rPr>
        <w:t>.</w:t>
      </w:r>
      <w:r w:rsidRPr="0052360E">
        <w:rPr>
          <w:rFonts w:ascii="Times New Roman" w:hAnsi="Times New Roman" w:cs="Times New Roman"/>
          <w:b/>
          <w:sz w:val="24"/>
          <w:szCs w:val="24"/>
          <w:lang w:val="fr-FR"/>
        </w:rPr>
        <w:t xml:space="preserve"> </w:t>
      </w:r>
    </w:p>
    <w:p w14:paraId="47DE026E" w14:textId="1733F9B6" w:rsidR="00D15EA7" w:rsidRPr="0052360E" w:rsidRDefault="00D15EA7" w:rsidP="002317AB">
      <w:pPr>
        <w:spacing w:after="0" w:line="276" w:lineRule="auto"/>
        <w:ind w:left="426" w:hanging="142"/>
        <w:rPr>
          <w:rFonts w:ascii="Times New Roman" w:hAnsi="Times New Roman"/>
          <w:bCs/>
          <w:i/>
          <w:sz w:val="24"/>
          <w:szCs w:val="24"/>
        </w:rPr>
      </w:pPr>
      <w:r w:rsidRPr="0052360E">
        <w:rPr>
          <w:rFonts w:ascii="Times New Roman" w:hAnsi="Times New Roman" w:cs="Times New Roman"/>
          <w:b/>
          <w:sz w:val="24"/>
          <w:szCs w:val="24"/>
          <w:vertAlign w:val="superscript"/>
          <w:lang w:val="fr-FR"/>
        </w:rPr>
        <w:t>7</w:t>
      </w:r>
      <w:r w:rsidR="00A152E5" w:rsidRPr="0052360E">
        <w:rPr>
          <w:rFonts w:ascii="Times New Roman" w:hAnsi="Times New Roman" w:cs="Times New Roman"/>
          <w:b/>
          <w:sz w:val="24"/>
          <w:szCs w:val="24"/>
          <w:vertAlign w:val="superscript"/>
          <w:lang w:val="fr-FR"/>
        </w:rPr>
        <w:t xml:space="preserve">  </w:t>
      </w:r>
      <w:r w:rsidRPr="0052360E">
        <w:rPr>
          <w:rFonts w:ascii="Times New Roman" w:hAnsi="Times New Roman" w:cs="Times New Roman"/>
          <w:sz w:val="24"/>
          <w:szCs w:val="24"/>
          <w:lang w:val="fr-FR"/>
        </w:rPr>
        <w:t xml:space="preserve">Ferritin estimated using </w:t>
      </w:r>
      <w:r w:rsidRPr="0052360E">
        <w:rPr>
          <w:rFonts w:ascii="Times New Roman" w:hAnsi="Times New Roman"/>
          <w:bCs/>
          <w:sz w:val="24"/>
          <w:szCs w:val="24"/>
        </w:rPr>
        <w:t xml:space="preserve">an internal regression correction approach allowing for inflammation </w:t>
      </w:r>
      <w:r w:rsidR="002317AB" w:rsidRPr="0052360E">
        <w:rPr>
          <w:rFonts w:ascii="Times New Roman" w:hAnsi="Times New Roman"/>
          <w:bCs/>
          <w:sz w:val="24"/>
          <w:szCs w:val="24"/>
        </w:rPr>
        <w:t xml:space="preserve">based on </w:t>
      </w:r>
      <w:r w:rsidRPr="0052360E">
        <w:rPr>
          <w:rFonts w:ascii="Times New Roman" w:hAnsi="Times New Roman"/>
          <w:bCs/>
          <w:sz w:val="24"/>
          <w:szCs w:val="24"/>
        </w:rPr>
        <w:t xml:space="preserve">CRP as described by Namaste </w:t>
      </w:r>
      <w:r w:rsidRPr="0052360E">
        <w:rPr>
          <w:rFonts w:ascii="Times New Roman" w:hAnsi="Times New Roman"/>
          <w:bCs/>
          <w:i/>
          <w:sz w:val="24"/>
          <w:szCs w:val="24"/>
        </w:rPr>
        <w:t>et al</w:t>
      </w:r>
      <w:r w:rsidRPr="0052360E">
        <w:rPr>
          <w:rFonts w:ascii="Times New Roman" w:hAnsi="Times New Roman"/>
          <w:bCs/>
          <w:sz w:val="24"/>
          <w:szCs w:val="24"/>
        </w:rPr>
        <w:t>.</w:t>
      </w:r>
      <w:r w:rsidRPr="0052360E">
        <w:rPr>
          <w:rFonts w:ascii="Times New Roman" w:hAnsi="Times New Roman"/>
          <w:bCs/>
          <w:sz w:val="24"/>
          <w:szCs w:val="24"/>
          <w:vertAlign w:val="superscript"/>
        </w:rPr>
        <w:t>23</w:t>
      </w:r>
    </w:p>
    <w:p w14:paraId="24993FC5" w14:textId="77777777" w:rsidR="00A152E5" w:rsidRPr="0052360E" w:rsidRDefault="00A152E5" w:rsidP="00A37255">
      <w:pPr>
        <w:spacing w:line="276" w:lineRule="auto"/>
        <w:ind w:left="426" w:hanging="142"/>
        <w:rPr>
          <w:sz w:val="20"/>
        </w:rPr>
      </w:pPr>
    </w:p>
    <w:p w14:paraId="2BEF2272" w14:textId="77777777" w:rsidR="00044330" w:rsidRPr="0052360E" w:rsidRDefault="00044330" w:rsidP="008C59EA">
      <w:pPr>
        <w:pStyle w:val="ListParagraph"/>
      </w:pPr>
    </w:p>
    <w:p w14:paraId="02E9CA7B" w14:textId="77777777" w:rsidR="0015111A" w:rsidRPr="0052360E" w:rsidRDefault="0015111A" w:rsidP="008C59EA">
      <w:pPr>
        <w:spacing w:line="480" w:lineRule="auto"/>
        <w:ind w:right="141"/>
        <w:rPr>
          <w:rFonts w:ascii="Times New Roman" w:hAnsi="Times New Roman" w:cs="Times New Roman"/>
          <w:sz w:val="24"/>
          <w:szCs w:val="24"/>
          <w:vertAlign w:val="superscript"/>
        </w:rPr>
      </w:pPr>
    </w:p>
    <w:p w14:paraId="66B4612D" w14:textId="77777777" w:rsidR="0015111A" w:rsidRPr="0052360E" w:rsidRDefault="0015111A" w:rsidP="008C59EA">
      <w:pPr>
        <w:spacing w:line="480" w:lineRule="auto"/>
        <w:ind w:right="141"/>
        <w:rPr>
          <w:rFonts w:ascii="Times New Roman" w:hAnsi="Times New Roman" w:cs="Times New Roman"/>
          <w:sz w:val="24"/>
          <w:szCs w:val="24"/>
          <w:vertAlign w:val="superscript"/>
        </w:rPr>
      </w:pPr>
    </w:p>
    <w:p w14:paraId="3E85C741" w14:textId="77777777" w:rsidR="0015111A" w:rsidRPr="0052360E" w:rsidRDefault="0015111A" w:rsidP="008C59EA">
      <w:pPr>
        <w:spacing w:line="480" w:lineRule="auto"/>
        <w:ind w:right="141"/>
        <w:rPr>
          <w:rFonts w:ascii="Times New Roman" w:hAnsi="Times New Roman" w:cs="Times New Roman"/>
          <w:sz w:val="24"/>
          <w:szCs w:val="24"/>
          <w:vertAlign w:val="superscript"/>
        </w:rPr>
      </w:pPr>
    </w:p>
    <w:p w14:paraId="7885B269" w14:textId="77777777" w:rsidR="00A37255" w:rsidRPr="0052360E" w:rsidRDefault="005938BA">
      <w:pPr>
        <w:spacing w:line="480" w:lineRule="auto"/>
        <w:ind w:right="227"/>
        <w:rPr>
          <w:b/>
        </w:rPr>
      </w:pPr>
      <w:r w:rsidRPr="0052360E">
        <w:rPr>
          <w:b/>
        </w:rPr>
        <w:t xml:space="preserve"> </w:t>
      </w:r>
      <w:r w:rsidR="00AC171B" w:rsidRPr="0052360E">
        <w:rPr>
          <w:b/>
        </w:rPr>
        <w:t xml:space="preserve"> </w:t>
      </w:r>
    </w:p>
    <w:p w14:paraId="3533C83E" w14:textId="77777777" w:rsidR="00A37255" w:rsidRPr="0052360E" w:rsidRDefault="00A37255">
      <w:pPr>
        <w:spacing w:line="480" w:lineRule="auto"/>
        <w:ind w:right="227"/>
        <w:rPr>
          <w:b/>
        </w:rPr>
      </w:pPr>
    </w:p>
    <w:p w14:paraId="7E1E9343" w14:textId="77777777" w:rsidR="00A37255" w:rsidRPr="0052360E" w:rsidRDefault="00A37255">
      <w:pPr>
        <w:spacing w:line="480" w:lineRule="auto"/>
        <w:ind w:right="227"/>
        <w:rPr>
          <w:b/>
        </w:rPr>
      </w:pPr>
    </w:p>
    <w:p w14:paraId="6012822B" w14:textId="77777777" w:rsidR="00A37255" w:rsidRPr="0052360E" w:rsidRDefault="00A37255">
      <w:pPr>
        <w:spacing w:line="480" w:lineRule="auto"/>
        <w:ind w:right="227"/>
        <w:rPr>
          <w:b/>
        </w:rPr>
      </w:pPr>
    </w:p>
    <w:p w14:paraId="26E4A040" w14:textId="77777777" w:rsidR="00A37255" w:rsidRPr="0052360E" w:rsidRDefault="00A37255">
      <w:pPr>
        <w:spacing w:line="480" w:lineRule="auto"/>
        <w:ind w:right="227"/>
        <w:rPr>
          <w:b/>
        </w:rPr>
      </w:pPr>
    </w:p>
    <w:p w14:paraId="6607A946" w14:textId="77777777" w:rsidR="00A37255" w:rsidRPr="0052360E" w:rsidRDefault="00A37255">
      <w:pPr>
        <w:spacing w:line="480" w:lineRule="auto"/>
        <w:ind w:right="227"/>
        <w:rPr>
          <w:b/>
        </w:rPr>
      </w:pPr>
    </w:p>
    <w:p w14:paraId="02EEEF59" w14:textId="77777777" w:rsidR="002317AB" w:rsidRPr="0052360E" w:rsidRDefault="00AC171B">
      <w:pPr>
        <w:spacing w:line="480" w:lineRule="auto"/>
        <w:ind w:right="227"/>
        <w:rPr>
          <w:b/>
        </w:rPr>
      </w:pPr>
      <w:r w:rsidRPr="0052360E">
        <w:rPr>
          <w:b/>
        </w:rPr>
        <w:t xml:space="preserve"> </w:t>
      </w:r>
    </w:p>
    <w:p w14:paraId="275DAD11" w14:textId="77777777" w:rsidR="002317AB" w:rsidRPr="0052360E" w:rsidRDefault="002317AB">
      <w:pPr>
        <w:spacing w:line="480" w:lineRule="auto"/>
        <w:ind w:right="227"/>
        <w:rPr>
          <w:b/>
        </w:rPr>
      </w:pPr>
    </w:p>
    <w:p w14:paraId="2740BBDE" w14:textId="133C0FD1" w:rsidR="006977C5" w:rsidRPr="0052360E" w:rsidRDefault="002317AB">
      <w:pPr>
        <w:spacing w:line="480" w:lineRule="auto"/>
        <w:ind w:right="227"/>
        <w:rPr>
          <w:b/>
        </w:rPr>
      </w:pPr>
      <w:r w:rsidRPr="0052360E">
        <w:rPr>
          <w:b/>
        </w:rPr>
        <w:t xml:space="preserve">    </w:t>
      </w:r>
      <w:r w:rsidR="00AC171B" w:rsidRPr="0052360E">
        <w:rPr>
          <w:b/>
        </w:rPr>
        <w:t xml:space="preserve"> </w:t>
      </w:r>
      <w:r w:rsidR="000F36C3" w:rsidRPr="0052360E">
        <w:rPr>
          <w:rFonts w:ascii="Times New Roman" w:hAnsi="Times New Roman" w:cs="Times New Roman"/>
          <w:b/>
          <w:sz w:val="24"/>
          <w:szCs w:val="24"/>
        </w:rPr>
        <w:t>FIGURE LEGENDS</w:t>
      </w:r>
    </w:p>
    <w:p w14:paraId="510797C8" w14:textId="33CECC1B" w:rsidR="00B25523" w:rsidRPr="0052360E" w:rsidRDefault="00B25523" w:rsidP="008C59EA">
      <w:pPr>
        <w:spacing w:after="0" w:line="480" w:lineRule="auto"/>
        <w:ind w:left="227" w:right="227"/>
        <w:rPr>
          <w:rFonts w:ascii="Times New Roman" w:hAnsi="Times New Roman" w:cs="Times New Roman"/>
          <w:b/>
          <w:sz w:val="24"/>
          <w:szCs w:val="24"/>
        </w:rPr>
      </w:pPr>
      <w:bookmarkStart w:id="3" w:name="_Hlk534552326"/>
      <w:r w:rsidRPr="0052360E">
        <w:rPr>
          <w:rFonts w:ascii="Times New Roman" w:hAnsi="Times New Roman" w:cs="Times New Roman"/>
          <w:b/>
          <w:sz w:val="24"/>
          <w:szCs w:val="24"/>
        </w:rPr>
        <w:t>FIGURE 1. Flow diagram indicating non-pregnant and pregnant study numbers and sample sizes for Lf assays.</w:t>
      </w:r>
    </w:p>
    <w:p w14:paraId="352D868B" w14:textId="77777777" w:rsidR="005A7E4A" w:rsidRPr="0052360E" w:rsidRDefault="005A7E4A" w:rsidP="008C59EA">
      <w:pPr>
        <w:spacing w:before="240" w:after="0" w:line="480" w:lineRule="auto"/>
        <w:ind w:left="227" w:right="227"/>
        <w:rPr>
          <w:rFonts w:ascii="Times New Roman" w:hAnsi="Times New Roman" w:cs="Times New Roman"/>
          <w:b/>
          <w:sz w:val="24"/>
          <w:szCs w:val="24"/>
        </w:rPr>
      </w:pPr>
      <w:r w:rsidRPr="0052360E">
        <w:rPr>
          <w:rFonts w:ascii="Times New Roman" w:hAnsi="Times New Roman" w:cs="Times New Roman"/>
          <w:b/>
          <w:sz w:val="24"/>
          <w:szCs w:val="24"/>
        </w:rPr>
        <w:t>FIGURE 2. Lf concentration (</w:t>
      </w:r>
      <w:r w:rsidRPr="0052360E">
        <w:rPr>
          <w:rFonts w:ascii="Times New Roman" w:hAnsi="Times New Roman" w:cs="Times New Roman"/>
          <w:b/>
          <w:sz w:val="24"/>
          <w:szCs w:val="24"/>
        </w:rPr>
        <w:sym w:font="Symbol" w:char="F06D"/>
      </w:r>
      <w:r w:rsidRPr="0052360E">
        <w:rPr>
          <w:rFonts w:ascii="Times New Roman" w:hAnsi="Times New Roman" w:cs="Times New Roman"/>
          <w:b/>
          <w:sz w:val="24"/>
          <w:szCs w:val="24"/>
        </w:rPr>
        <w:t>g/ml) by gestation and in non-pregnant and sexually active women</w:t>
      </w:r>
    </w:p>
    <w:p w14:paraId="2E8F452F" w14:textId="77777777" w:rsidR="005A7E4A" w:rsidRPr="0052360E" w:rsidRDefault="005A7E4A" w:rsidP="008C59EA">
      <w:pPr>
        <w:spacing w:line="480" w:lineRule="auto"/>
        <w:ind w:left="227" w:right="227"/>
        <w:rPr>
          <w:rFonts w:ascii="Times New Roman" w:hAnsi="Times New Roman" w:cs="Times New Roman"/>
          <w:sz w:val="24"/>
          <w:szCs w:val="24"/>
        </w:rPr>
      </w:pPr>
      <w:r w:rsidRPr="0052360E">
        <w:rPr>
          <w:rFonts w:ascii="Times New Roman" w:hAnsi="Times New Roman" w:cs="Times New Roman"/>
          <w:sz w:val="24"/>
          <w:szCs w:val="24"/>
        </w:rPr>
        <w:t>Gestation determined by ultrasound at ANC1 in the pregnant cohort. Mean with 95% CI for each lunar month of gestation plus values for the non-pregnant group (Non-pregnant) and the subset of non-pregnant women who were known to be sexually active at the baseline assessment. Horizontal green line is non-pregnant mean; blue line is linear regression line of log (Lf) v gestation with a random effect to allow for correlations within participants. The slope is non-significant, P=0.14.</w:t>
      </w:r>
    </w:p>
    <w:p w14:paraId="1C3186CF" w14:textId="7B0D41FC" w:rsidR="00044330" w:rsidRPr="0052360E" w:rsidRDefault="00044330" w:rsidP="008C59EA">
      <w:pPr>
        <w:spacing w:line="480" w:lineRule="auto"/>
        <w:ind w:left="227" w:right="227"/>
        <w:rPr>
          <w:rFonts w:ascii="Times New Roman" w:hAnsi="Times New Roman" w:cs="Times New Roman"/>
          <w:b/>
          <w:sz w:val="24"/>
          <w:szCs w:val="24"/>
        </w:rPr>
      </w:pPr>
      <w:r w:rsidRPr="0052360E">
        <w:rPr>
          <w:rFonts w:ascii="Times New Roman" w:hAnsi="Times New Roman" w:cs="Times New Roman"/>
          <w:b/>
          <w:sz w:val="24"/>
          <w:szCs w:val="24"/>
        </w:rPr>
        <w:t xml:space="preserve">FIGURE </w:t>
      </w:r>
      <w:r w:rsidR="005A7E4A" w:rsidRPr="0052360E">
        <w:rPr>
          <w:rFonts w:ascii="Times New Roman" w:hAnsi="Times New Roman" w:cs="Times New Roman"/>
          <w:b/>
          <w:sz w:val="24"/>
          <w:szCs w:val="24"/>
        </w:rPr>
        <w:t>3</w:t>
      </w:r>
      <w:r w:rsidR="00DC558C" w:rsidRPr="0052360E">
        <w:rPr>
          <w:rFonts w:ascii="Times New Roman" w:hAnsi="Times New Roman" w:cs="Times New Roman"/>
          <w:b/>
          <w:sz w:val="24"/>
          <w:szCs w:val="24"/>
        </w:rPr>
        <w:t>.</w:t>
      </w:r>
      <w:r w:rsidRPr="0052360E">
        <w:rPr>
          <w:rFonts w:ascii="Times New Roman" w:hAnsi="Times New Roman" w:cs="Times New Roman"/>
          <w:b/>
          <w:sz w:val="24"/>
          <w:szCs w:val="24"/>
        </w:rPr>
        <w:t xml:space="preserve"> Longitudinal Lf concentration (</w:t>
      </w:r>
      <w:r w:rsidRPr="0052360E">
        <w:rPr>
          <w:rFonts w:ascii="Times New Roman" w:hAnsi="Times New Roman" w:cs="Times New Roman"/>
          <w:b/>
          <w:sz w:val="24"/>
          <w:szCs w:val="24"/>
        </w:rPr>
        <w:sym w:font="Symbol" w:char="F06D"/>
      </w:r>
      <w:r w:rsidRPr="0052360E">
        <w:rPr>
          <w:rFonts w:ascii="Times New Roman" w:hAnsi="Times New Roman" w:cs="Times New Roman"/>
          <w:b/>
          <w:sz w:val="24"/>
          <w:szCs w:val="24"/>
        </w:rPr>
        <w:t>g/ml) in 51 women seen whilst non-pregnant (at end assessment) and whilst pregnant (at ANC1 and/or ANC2)</w:t>
      </w:r>
    </w:p>
    <w:p w14:paraId="0DC3EAF1" w14:textId="5660880A" w:rsidR="0013541C" w:rsidRPr="0052360E" w:rsidRDefault="0013541C" w:rsidP="008C59EA">
      <w:pPr>
        <w:spacing w:after="0" w:line="480" w:lineRule="auto"/>
        <w:ind w:left="227" w:right="227"/>
        <w:rPr>
          <w:rFonts w:ascii="Times New Roman" w:hAnsi="Times New Roman" w:cs="Times New Roman"/>
          <w:sz w:val="24"/>
          <w:szCs w:val="24"/>
        </w:rPr>
      </w:pPr>
      <w:r w:rsidRPr="0052360E">
        <w:rPr>
          <w:rFonts w:ascii="Times New Roman" w:hAnsi="Times New Roman" w:cs="Times New Roman"/>
          <w:sz w:val="24"/>
          <w:szCs w:val="24"/>
        </w:rPr>
        <w:t xml:space="preserve">Lines join the measurements on the same woman at the three time points. Panels and colours indicate the non-pregnant Lf quartile:  low, intermediate and high levels at the first assessment time. </w:t>
      </w:r>
      <w:r w:rsidRPr="0052360E" w:rsidDel="00DE32CC">
        <w:rPr>
          <w:rFonts w:ascii="Times New Roman" w:hAnsi="Times New Roman" w:cs="Times New Roman"/>
          <w:sz w:val="24"/>
          <w:szCs w:val="24"/>
        </w:rPr>
        <w:t xml:space="preserve"> </w:t>
      </w:r>
      <w:r w:rsidRPr="0052360E">
        <w:rPr>
          <w:rFonts w:ascii="Times New Roman" w:hAnsi="Times New Roman" w:cs="Times New Roman"/>
          <w:sz w:val="24"/>
          <w:szCs w:val="24"/>
        </w:rPr>
        <w:t xml:space="preserve">Closed circle: BV or </w:t>
      </w:r>
      <w:r w:rsidRPr="0052360E">
        <w:rPr>
          <w:rFonts w:ascii="Times New Roman" w:hAnsi="Times New Roman" w:cs="Times New Roman"/>
          <w:i/>
          <w:sz w:val="24"/>
          <w:szCs w:val="24"/>
        </w:rPr>
        <w:t>T. vaginalis</w:t>
      </w:r>
      <w:r w:rsidRPr="0052360E">
        <w:rPr>
          <w:rFonts w:ascii="Times New Roman" w:hAnsi="Times New Roman" w:cs="Times New Roman"/>
          <w:sz w:val="24"/>
          <w:szCs w:val="24"/>
        </w:rPr>
        <w:t xml:space="preserve"> infection at time of visit; open circle: no infection. Data are offset slightly for clarity.</w:t>
      </w:r>
      <w:r w:rsidRPr="0052360E">
        <w:rPr>
          <w:rFonts w:ascii="Times New Roman" w:hAnsi="Times New Roman" w:cs="Times New Roman"/>
          <w:color w:val="FF0000"/>
          <w:sz w:val="24"/>
          <w:szCs w:val="24"/>
        </w:rPr>
        <w:t xml:space="preserve"> </w:t>
      </w:r>
      <w:r w:rsidRPr="0052360E">
        <w:rPr>
          <w:rFonts w:ascii="Times New Roman" w:hAnsi="Times New Roman" w:cs="Times New Roman"/>
          <w:sz w:val="24"/>
          <w:szCs w:val="24"/>
        </w:rPr>
        <w:t xml:space="preserve">Shaded boxplots are included showing the full cohort range (median, IQR, min, max). </w:t>
      </w:r>
    </w:p>
    <w:p w14:paraId="4E2F740B" w14:textId="43036041" w:rsidR="0044605D" w:rsidRPr="0052360E" w:rsidRDefault="00C23C23" w:rsidP="008C59EA">
      <w:pPr>
        <w:pStyle w:val="Default"/>
        <w:spacing w:before="240" w:line="480" w:lineRule="auto"/>
        <w:ind w:left="227" w:right="227"/>
        <w:rPr>
          <w:rFonts w:ascii="Times New Roman" w:hAnsi="Times New Roman" w:cs="Times New Roman"/>
          <w:b/>
        </w:rPr>
      </w:pPr>
      <w:r w:rsidRPr="0052360E">
        <w:rPr>
          <w:rFonts w:ascii="Times New Roman" w:hAnsi="Times New Roman" w:cs="Times New Roman"/>
          <w:b/>
        </w:rPr>
        <w:t>FIGURE</w:t>
      </w:r>
      <w:r w:rsidR="0044605D" w:rsidRPr="0052360E">
        <w:rPr>
          <w:rFonts w:ascii="Times New Roman" w:hAnsi="Times New Roman" w:cs="Times New Roman"/>
          <w:b/>
        </w:rPr>
        <w:t xml:space="preserve"> </w:t>
      </w:r>
      <w:r w:rsidR="00AC3B6F" w:rsidRPr="0052360E">
        <w:rPr>
          <w:rFonts w:ascii="Times New Roman" w:hAnsi="Times New Roman" w:cs="Times New Roman"/>
          <w:b/>
        </w:rPr>
        <w:t>4</w:t>
      </w:r>
      <w:r w:rsidRPr="0052360E">
        <w:rPr>
          <w:rFonts w:ascii="Times New Roman" w:hAnsi="Times New Roman" w:cs="Times New Roman"/>
          <w:b/>
        </w:rPr>
        <w:t>.</w:t>
      </w:r>
      <w:r w:rsidR="000F486C" w:rsidRPr="0052360E">
        <w:rPr>
          <w:rFonts w:ascii="Times New Roman" w:hAnsi="Times New Roman" w:cs="Times New Roman"/>
          <w:b/>
        </w:rPr>
        <w:t xml:space="preserve"> </w:t>
      </w:r>
      <w:r w:rsidR="00065708" w:rsidRPr="0052360E">
        <w:rPr>
          <w:rFonts w:ascii="Times New Roman" w:hAnsi="Times New Roman" w:cs="Times New Roman"/>
          <w:b/>
        </w:rPr>
        <w:t>Taxonomic abundance plots of bacteria associated with CST I, III and IV</w:t>
      </w:r>
      <w:r w:rsidR="005F27F9" w:rsidRPr="0052360E">
        <w:rPr>
          <w:rFonts w:ascii="Times New Roman" w:hAnsi="Times New Roman" w:cs="Times New Roman"/>
          <w:b/>
        </w:rPr>
        <w:t xml:space="preserve"> </w:t>
      </w:r>
    </w:p>
    <w:p w14:paraId="416C9224" w14:textId="44F5B42A" w:rsidR="00312A1C" w:rsidRDefault="00312A1C" w:rsidP="008C59EA">
      <w:pPr>
        <w:pStyle w:val="Default"/>
        <w:spacing w:line="480" w:lineRule="auto"/>
        <w:ind w:left="227" w:right="227"/>
        <w:rPr>
          <w:rFonts w:ascii="Times New Roman" w:hAnsi="Times New Roman" w:cs="Times New Roman"/>
        </w:rPr>
      </w:pPr>
      <w:r w:rsidRPr="0052360E">
        <w:rPr>
          <w:rFonts w:ascii="Times New Roman" w:hAnsi="Times New Roman" w:cs="Times New Roman"/>
        </w:rPr>
        <w:t xml:space="preserve">Boxplots show the 15 genera most associated with CST differences and are plotted in order of significance. </w:t>
      </w:r>
      <w:r w:rsidR="00B25523" w:rsidRPr="0052360E">
        <w:rPr>
          <w:rFonts w:ascii="Times New Roman" w:hAnsi="Times New Roman" w:cs="Times New Roman"/>
        </w:rPr>
        <w:t>The centre line denotes the median, the boxes cover the 25th and 75th percentiles, and the whiskers extend to the most extreme data point, which is no more than 1.5 times the length of the box away from the box. Points outside the whiskers represent outlier samples</w:t>
      </w:r>
      <w:r w:rsidR="00367403" w:rsidRPr="0052360E">
        <w:rPr>
          <w:rFonts w:ascii="Times New Roman" w:hAnsi="Times New Roman" w:cs="Times New Roman"/>
        </w:rPr>
        <w:t xml:space="preserve">. </w:t>
      </w:r>
      <w:r w:rsidR="00A96C70" w:rsidRPr="0052360E">
        <w:rPr>
          <w:rFonts w:ascii="Times New Roman" w:hAnsi="Times New Roman" w:cs="Times New Roman"/>
          <w:lang w:val="en-US"/>
        </w:rPr>
        <w:t>Statistical comparisons based on the Kruskal-Wallis test and all P-values are adjusted for multiple comparisons using the false disc</w:t>
      </w:r>
      <w:r w:rsidR="00F0310A" w:rsidRPr="0052360E">
        <w:rPr>
          <w:rFonts w:ascii="Times New Roman" w:hAnsi="Times New Roman" w:cs="Times New Roman"/>
          <w:lang w:val="en-US"/>
        </w:rPr>
        <w:t>overy rate algorithm, where ***</w:t>
      </w:r>
      <w:r w:rsidRPr="0052360E">
        <w:rPr>
          <w:rFonts w:ascii="Times New Roman" w:hAnsi="Times New Roman" w:cs="Times New Roman"/>
        </w:rPr>
        <w:t xml:space="preserve"> denotes FDR P&lt;0.001.</w:t>
      </w:r>
      <w:r w:rsidR="00B25523">
        <w:rPr>
          <w:rFonts w:ascii="Times New Roman" w:hAnsi="Times New Roman" w:cs="Times New Roman"/>
        </w:rPr>
        <w:t xml:space="preserve"> </w:t>
      </w:r>
    </w:p>
    <w:p w14:paraId="7C85E75C" w14:textId="77777777" w:rsidR="0075509B" w:rsidRDefault="0075509B" w:rsidP="008C59EA">
      <w:pPr>
        <w:pStyle w:val="Default"/>
        <w:spacing w:line="480" w:lineRule="auto"/>
        <w:ind w:left="227" w:right="227"/>
        <w:rPr>
          <w:rFonts w:ascii="Times New Roman" w:hAnsi="Times New Roman" w:cs="Times New Roman"/>
        </w:rPr>
      </w:pPr>
    </w:p>
    <w:bookmarkEnd w:id="3"/>
    <w:p w14:paraId="117D42E2" w14:textId="77777777" w:rsidR="0093476F" w:rsidRDefault="0093476F">
      <w:pPr>
        <w:spacing w:line="480" w:lineRule="auto"/>
        <w:rPr>
          <w:rFonts w:ascii="Times New Roman" w:hAnsi="Times New Roman" w:cs="Times New Roman"/>
          <w:noProof/>
          <w:sz w:val="24"/>
          <w:szCs w:val="24"/>
          <w:lang w:eastAsia="en-GB"/>
        </w:rPr>
      </w:pPr>
    </w:p>
    <w:sectPr w:rsidR="0093476F" w:rsidSect="00390935">
      <w:footerReference w:type="default" r:id="rId37"/>
      <w:pgSz w:w="11906" w:h="16838"/>
      <w:pgMar w:top="1304" w:right="566" w:bottom="1440" w:left="709"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40B28" w14:textId="77777777" w:rsidR="00C45562" w:rsidRDefault="00C45562" w:rsidP="00402925">
      <w:pPr>
        <w:spacing w:after="0" w:line="240" w:lineRule="auto"/>
      </w:pPr>
      <w:r>
        <w:separator/>
      </w:r>
    </w:p>
  </w:endnote>
  <w:endnote w:type="continuationSeparator" w:id="0">
    <w:p w14:paraId="236D0615" w14:textId="77777777" w:rsidR="00C45562" w:rsidRDefault="00C45562" w:rsidP="004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895479"/>
      <w:docPartObj>
        <w:docPartGallery w:val="Page Numbers (Bottom of Page)"/>
        <w:docPartUnique/>
      </w:docPartObj>
    </w:sdtPr>
    <w:sdtEndPr>
      <w:rPr>
        <w:noProof/>
      </w:rPr>
    </w:sdtEndPr>
    <w:sdtContent>
      <w:p w14:paraId="5EE6345C" w14:textId="2E7FDFD4" w:rsidR="00E06110" w:rsidRDefault="00E06110">
        <w:pPr>
          <w:pStyle w:val="Footer"/>
          <w:jc w:val="right"/>
        </w:pPr>
        <w:r>
          <w:fldChar w:fldCharType="begin"/>
        </w:r>
        <w:r>
          <w:instrText xml:space="preserve"> PAGE   \* MERGEFORMAT </w:instrText>
        </w:r>
        <w:r>
          <w:fldChar w:fldCharType="separate"/>
        </w:r>
        <w:r w:rsidR="0052360E">
          <w:rPr>
            <w:noProof/>
          </w:rPr>
          <w:t>22</w:t>
        </w:r>
        <w:r>
          <w:rPr>
            <w:noProof/>
          </w:rPr>
          <w:fldChar w:fldCharType="end"/>
        </w:r>
      </w:p>
    </w:sdtContent>
  </w:sdt>
  <w:p w14:paraId="222DDD9C" w14:textId="77777777" w:rsidR="00E06110" w:rsidRDefault="00E06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8E60E" w14:textId="77777777" w:rsidR="00C45562" w:rsidRDefault="00C45562" w:rsidP="00402925">
      <w:pPr>
        <w:spacing w:after="0" w:line="240" w:lineRule="auto"/>
      </w:pPr>
      <w:r>
        <w:separator/>
      </w:r>
    </w:p>
  </w:footnote>
  <w:footnote w:type="continuationSeparator" w:id="0">
    <w:p w14:paraId="4039056B" w14:textId="77777777" w:rsidR="00C45562" w:rsidRDefault="00C45562" w:rsidP="00402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557"/>
    <w:multiLevelType w:val="hybridMultilevel"/>
    <w:tmpl w:val="66B6CA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77423"/>
    <w:multiLevelType w:val="hybridMultilevel"/>
    <w:tmpl w:val="D2720310"/>
    <w:lvl w:ilvl="0" w:tplc="099E755C">
      <w:start w:val="2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340C8"/>
    <w:multiLevelType w:val="hybridMultilevel"/>
    <w:tmpl w:val="18D89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C176C"/>
    <w:multiLevelType w:val="hybridMultilevel"/>
    <w:tmpl w:val="E3DAD988"/>
    <w:lvl w:ilvl="0" w:tplc="1EE2328C">
      <w:start w:val="1"/>
      <w:numFmt w:val="decimal"/>
      <w:lvlText w:val="%1."/>
      <w:lvlJc w:val="left"/>
      <w:pPr>
        <w:ind w:left="720" w:hanging="360"/>
      </w:pPr>
      <w:rPr>
        <w:rFonts w:ascii="Times New Roman" w:eastAsiaTheme="minorHAnsi" w:hAnsi="Times New Roman" w:cs="Times New Roman"/>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7043F"/>
    <w:multiLevelType w:val="hybridMultilevel"/>
    <w:tmpl w:val="087E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F3A87"/>
    <w:multiLevelType w:val="hybridMultilevel"/>
    <w:tmpl w:val="67E896A8"/>
    <w:lvl w:ilvl="0" w:tplc="8F6CAAEA">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94A28"/>
    <w:multiLevelType w:val="hybridMultilevel"/>
    <w:tmpl w:val="6D82B65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84BD9"/>
    <w:multiLevelType w:val="hybridMultilevel"/>
    <w:tmpl w:val="19926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056E9"/>
    <w:multiLevelType w:val="hybridMultilevel"/>
    <w:tmpl w:val="00809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0697B"/>
    <w:multiLevelType w:val="hybridMultilevel"/>
    <w:tmpl w:val="EE84CC2A"/>
    <w:lvl w:ilvl="0" w:tplc="83A6E6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F605A"/>
    <w:multiLevelType w:val="hybridMultilevel"/>
    <w:tmpl w:val="155E3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07C2F"/>
    <w:multiLevelType w:val="hybridMultilevel"/>
    <w:tmpl w:val="E0A2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C49C3"/>
    <w:multiLevelType w:val="hybridMultilevel"/>
    <w:tmpl w:val="1FCE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71FBD"/>
    <w:multiLevelType w:val="hybridMultilevel"/>
    <w:tmpl w:val="2E00FED4"/>
    <w:lvl w:ilvl="0" w:tplc="CBAAF492">
      <w:start w:val="80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FC47E6"/>
    <w:multiLevelType w:val="hybridMultilevel"/>
    <w:tmpl w:val="F112DC16"/>
    <w:lvl w:ilvl="0" w:tplc="010A16FA">
      <w:start w:val="1"/>
      <w:numFmt w:val="decimal"/>
      <w:lvlText w:val="%1."/>
      <w:lvlJc w:val="left"/>
      <w:pPr>
        <w:ind w:left="502" w:hanging="360"/>
      </w:pPr>
      <w:rPr>
        <w:rFonts w:eastAsia="Calibri"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EB60FEA"/>
    <w:multiLevelType w:val="hybridMultilevel"/>
    <w:tmpl w:val="3FE6E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BC7506"/>
    <w:multiLevelType w:val="hybridMultilevel"/>
    <w:tmpl w:val="6F629C58"/>
    <w:lvl w:ilvl="0" w:tplc="7E424DD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4B4EDD"/>
    <w:multiLevelType w:val="hybridMultilevel"/>
    <w:tmpl w:val="66B23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64293D"/>
    <w:multiLevelType w:val="hybridMultilevel"/>
    <w:tmpl w:val="4622096E"/>
    <w:lvl w:ilvl="0" w:tplc="3ECC73B8">
      <w:start w:val="1"/>
      <w:numFmt w:val="decimal"/>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838DD"/>
    <w:multiLevelType w:val="hybridMultilevel"/>
    <w:tmpl w:val="35BCC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6823CB"/>
    <w:multiLevelType w:val="hybridMultilevel"/>
    <w:tmpl w:val="8D660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8B4A3B"/>
    <w:multiLevelType w:val="hybridMultilevel"/>
    <w:tmpl w:val="D760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D3A44"/>
    <w:multiLevelType w:val="hybridMultilevel"/>
    <w:tmpl w:val="1A547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7D3E95"/>
    <w:multiLevelType w:val="hybridMultilevel"/>
    <w:tmpl w:val="25E05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6D494A"/>
    <w:multiLevelType w:val="hybridMultilevel"/>
    <w:tmpl w:val="7C44A602"/>
    <w:lvl w:ilvl="0" w:tplc="6260779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E715D"/>
    <w:multiLevelType w:val="hybridMultilevel"/>
    <w:tmpl w:val="E85A4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EE3A41"/>
    <w:multiLevelType w:val="hybridMultilevel"/>
    <w:tmpl w:val="C8BA19F6"/>
    <w:lvl w:ilvl="0" w:tplc="DCA064D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E11CF"/>
    <w:multiLevelType w:val="hybridMultilevel"/>
    <w:tmpl w:val="F1D41ACE"/>
    <w:lvl w:ilvl="0" w:tplc="7E424DD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DB0649"/>
    <w:multiLevelType w:val="hybridMultilevel"/>
    <w:tmpl w:val="729679AC"/>
    <w:lvl w:ilvl="0" w:tplc="50FE99F2">
      <w:start w:val="1"/>
      <w:numFmt w:val="upperRoman"/>
      <w:lvlText w:val="%1."/>
      <w:lvlJc w:val="left"/>
      <w:pPr>
        <w:ind w:left="947" w:hanging="72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29" w15:restartNumberingAfterBreak="0">
    <w:nsid w:val="5FEC25FB"/>
    <w:multiLevelType w:val="hybridMultilevel"/>
    <w:tmpl w:val="1B82B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BB2048"/>
    <w:multiLevelType w:val="hybridMultilevel"/>
    <w:tmpl w:val="5EC2B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CA23EC"/>
    <w:multiLevelType w:val="hybridMultilevel"/>
    <w:tmpl w:val="C1427462"/>
    <w:lvl w:ilvl="0" w:tplc="ED20AE1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D54DE9"/>
    <w:multiLevelType w:val="hybridMultilevel"/>
    <w:tmpl w:val="49D0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17"/>
  </w:num>
  <w:num w:numId="4">
    <w:abstractNumId w:val="11"/>
  </w:num>
  <w:num w:numId="5">
    <w:abstractNumId w:val="2"/>
  </w:num>
  <w:num w:numId="6">
    <w:abstractNumId w:val="3"/>
  </w:num>
  <w:num w:numId="7">
    <w:abstractNumId w:val="4"/>
  </w:num>
  <w:num w:numId="8">
    <w:abstractNumId w:val="10"/>
  </w:num>
  <w:num w:numId="9">
    <w:abstractNumId w:val="1"/>
  </w:num>
  <w:num w:numId="10">
    <w:abstractNumId w:val="20"/>
  </w:num>
  <w:num w:numId="11">
    <w:abstractNumId w:val="8"/>
  </w:num>
  <w:num w:numId="12">
    <w:abstractNumId w:val="32"/>
  </w:num>
  <w:num w:numId="13">
    <w:abstractNumId w:val="19"/>
  </w:num>
  <w:num w:numId="14">
    <w:abstractNumId w:val="29"/>
  </w:num>
  <w:num w:numId="15">
    <w:abstractNumId w:val="18"/>
  </w:num>
  <w:num w:numId="16">
    <w:abstractNumId w:val="12"/>
  </w:num>
  <w:num w:numId="17">
    <w:abstractNumId w:val="5"/>
  </w:num>
  <w:num w:numId="18">
    <w:abstractNumId w:val="14"/>
  </w:num>
  <w:num w:numId="19">
    <w:abstractNumId w:val="30"/>
  </w:num>
  <w:num w:numId="20">
    <w:abstractNumId w:val="13"/>
  </w:num>
  <w:num w:numId="21">
    <w:abstractNumId w:val="21"/>
  </w:num>
  <w:num w:numId="22">
    <w:abstractNumId w:val="28"/>
  </w:num>
  <w:num w:numId="23">
    <w:abstractNumId w:val="23"/>
  </w:num>
  <w:num w:numId="24">
    <w:abstractNumId w:val="9"/>
  </w:num>
  <w:num w:numId="25">
    <w:abstractNumId w:val="0"/>
  </w:num>
  <w:num w:numId="26">
    <w:abstractNumId w:val="22"/>
  </w:num>
  <w:num w:numId="27">
    <w:abstractNumId w:val="15"/>
  </w:num>
  <w:num w:numId="28">
    <w:abstractNumId w:val="24"/>
  </w:num>
  <w:num w:numId="29">
    <w:abstractNumId w:val="26"/>
  </w:num>
  <w:num w:numId="30">
    <w:abstractNumId w:val="7"/>
  </w:num>
  <w:num w:numId="31">
    <w:abstractNumId w:val="16"/>
  </w:num>
  <w:num w:numId="32">
    <w:abstractNumId w:val="2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SN"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298"/>
    <w:rsid w:val="000065BD"/>
    <w:rsid w:val="00006E04"/>
    <w:rsid w:val="00011186"/>
    <w:rsid w:val="0001136B"/>
    <w:rsid w:val="00015B86"/>
    <w:rsid w:val="00022CA2"/>
    <w:rsid w:val="0002409A"/>
    <w:rsid w:val="00024929"/>
    <w:rsid w:val="00025485"/>
    <w:rsid w:val="000316D6"/>
    <w:rsid w:val="00031A58"/>
    <w:rsid w:val="00036009"/>
    <w:rsid w:val="00036F74"/>
    <w:rsid w:val="00041949"/>
    <w:rsid w:val="00043DFE"/>
    <w:rsid w:val="00043E79"/>
    <w:rsid w:val="00044330"/>
    <w:rsid w:val="0005048D"/>
    <w:rsid w:val="000532EC"/>
    <w:rsid w:val="00053D02"/>
    <w:rsid w:val="00065708"/>
    <w:rsid w:val="0006656B"/>
    <w:rsid w:val="000721DF"/>
    <w:rsid w:val="00072200"/>
    <w:rsid w:val="00073BB2"/>
    <w:rsid w:val="00073CF4"/>
    <w:rsid w:val="000743C6"/>
    <w:rsid w:val="00077AD1"/>
    <w:rsid w:val="00080C0F"/>
    <w:rsid w:val="00082530"/>
    <w:rsid w:val="0008412C"/>
    <w:rsid w:val="00085F10"/>
    <w:rsid w:val="00090DEE"/>
    <w:rsid w:val="000910E7"/>
    <w:rsid w:val="000928E5"/>
    <w:rsid w:val="000931B6"/>
    <w:rsid w:val="00093910"/>
    <w:rsid w:val="00094F8B"/>
    <w:rsid w:val="00096285"/>
    <w:rsid w:val="000969D6"/>
    <w:rsid w:val="00096E82"/>
    <w:rsid w:val="000A136E"/>
    <w:rsid w:val="000A2415"/>
    <w:rsid w:val="000A4C74"/>
    <w:rsid w:val="000A56D7"/>
    <w:rsid w:val="000A72DE"/>
    <w:rsid w:val="000B3F6F"/>
    <w:rsid w:val="000B5C06"/>
    <w:rsid w:val="000B7E2A"/>
    <w:rsid w:val="000C0747"/>
    <w:rsid w:val="000C095B"/>
    <w:rsid w:val="000C0998"/>
    <w:rsid w:val="000C134F"/>
    <w:rsid w:val="000C16B4"/>
    <w:rsid w:val="000C2725"/>
    <w:rsid w:val="000C2798"/>
    <w:rsid w:val="000C559B"/>
    <w:rsid w:val="000C5CD8"/>
    <w:rsid w:val="000D0AFB"/>
    <w:rsid w:val="000D34EE"/>
    <w:rsid w:val="000D36B6"/>
    <w:rsid w:val="000D3E0C"/>
    <w:rsid w:val="000D7CB9"/>
    <w:rsid w:val="000E08AD"/>
    <w:rsid w:val="000E13FF"/>
    <w:rsid w:val="000E21C7"/>
    <w:rsid w:val="000E4C90"/>
    <w:rsid w:val="000E56A8"/>
    <w:rsid w:val="000F357B"/>
    <w:rsid w:val="000F36C3"/>
    <w:rsid w:val="000F4174"/>
    <w:rsid w:val="000F486C"/>
    <w:rsid w:val="000F4945"/>
    <w:rsid w:val="000F4CFE"/>
    <w:rsid w:val="000F6602"/>
    <w:rsid w:val="001020ED"/>
    <w:rsid w:val="00105554"/>
    <w:rsid w:val="00105811"/>
    <w:rsid w:val="00110B53"/>
    <w:rsid w:val="0011188C"/>
    <w:rsid w:val="00112F21"/>
    <w:rsid w:val="00115489"/>
    <w:rsid w:val="001154CE"/>
    <w:rsid w:val="00117C87"/>
    <w:rsid w:val="00122394"/>
    <w:rsid w:val="00125D1D"/>
    <w:rsid w:val="00126025"/>
    <w:rsid w:val="001314A0"/>
    <w:rsid w:val="001319AF"/>
    <w:rsid w:val="00133B76"/>
    <w:rsid w:val="0013541C"/>
    <w:rsid w:val="00136503"/>
    <w:rsid w:val="0014581E"/>
    <w:rsid w:val="001462A8"/>
    <w:rsid w:val="00147A54"/>
    <w:rsid w:val="00150386"/>
    <w:rsid w:val="0015111A"/>
    <w:rsid w:val="00153E94"/>
    <w:rsid w:val="00155463"/>
    <w:rsid w:val="001569DD"/>
    <w:rsid w:val="00157E4E"/>
    <w:rsid w:val="00161958"/>
    <w:rsid w:val="0016274F"/>
    <w:rsid w:val="00162B3B"/>
    <w:rsid w:val="001641B2"/>
    <w:rsid w:val="00167567"/>
    <w:rsid w:val="00167ECE"/>
    <w:rsid w:val="001706E2"/>
    <w:rsid w:val="00171E6C"/>
    <w:rsid w:val="00173DE3"/>
    <w:rsid w:val="00174918"/>
    <w:rsid w:val="00174E47"/>
    <w:rsid w:val="001804C5"/>
    <w:rsid w:val="001827C8"/>
    <w:rsid w:val="00184A74"/>
    <w:rsid w:val="00190796"/>
    <w:rsid w:val="00190F5D"/>
    <w:rsid w:val="00195569"/>
    <w:rsid w:val="001A0396"/>
    <w:rsid w:val="001A106A"/>
    <w:rsid w:val="001A4969"/>
    <w:rsid w:val="001A673D"/>
    <w:rsid w:val="001B1E8A"/>
    <w:rsid w:val="001B4C03"/>
    <w:rsid w:val="001B4FD8"/>
    <w:rsid w:val="001B5A2A"/>
    <w:rsid w:val="001B63FE"/>
    <w:rsid w:val="001B7B73"/>
    <w:rsid w:val="001B7C2F"/>
    <w:rsid w:val="001C091A"/>
    <w:rsid w:val="001C23EB"/>
    <w:rsid w:val="001C5CA5"/>
    <w:rsid w:val="001C7629"/>
    <w:rsid w:val="001D0DBD"/>
    <w:rsid w:val="001D3663"/>
    <w:rsid w:val="001D65BA"/>
    <w:rsid w:val="001D701B"/>
    <w:rsid w:val="001D75CD"/>
    <w:rsid w:val="001E058C"/>
    <w:rsid w:val="001E1366"/>
    <w:rsid w:val="001E18F3"/>
    <w:rsid w:val="001E1C07"/>
    <w:rsid w:val="001F1457"/>
    <w:rsid w:val="001F4560"/>
    <w:rsid w:val="001F5247"/>
    <w:rsid w:val="001F72F5"/>
    <w:rsid w:val="002019FC"/>
    <w:rsid w:val="002026C6"/>
    <w:rsid w:val="002032FD"/>
    <w:rsid w:val="00205A36"/>
    <w:rsid w:val="0021081D"/>
    <w:rsid w:val="00212436"/>
    <w:rsid w:val="002139B4"/>
    <w:rsid w:val="002157DB"/>
    <w:rsid w:val="00216EF0"/>
    <w:rsid w:val="0021708F"/>
    <w:rsid w:val="00220984"/>
    <w:rsid w:val="00223624"/>
    <w:rsid w:val="002239F0"/>
    <w:rsid w:val="002258D4"/>
    <w:rsid w:val="0022776A"/>
    <w:rsid w:val="002317AB"/>
    <w:rsid w:val="00233651"/>
    <w:rsid w:val="00234887"/>
    <w:rsid w:val="00236618"/>
    <w:rsid w:val="0023665B"/>
    <w:rsid w:val="00242C89"/>
    <w:rsid w:val="0024432B"/>
    <w:rsid w:val="00250F4D"/>
    <w:rsid w:val="00253207"/>
    <w:rsid w:val="0025337A"/>
    <w:rsid w:val="002550AA"/>
    <w:rsid w:val="00257A41"/>
    <w:rsid w:val="00261921"/>
    <w:rsid w:val="00262E00"/>
    <w:rsid w:val="0026429D"/>
    <w:rsid w:val="00264E20"/>
    <w:rsid w:val="00264FFC"/>
    <w:rsid w:val="00265168"/>
    <w:rsid w:val="0026588F"/>
    <w:rsid w:val="00266441"/>
    <w:rsid w:val="00281F19"/>
    <w:rsid w:val="002905DA"/>
    <w:rsid w:val="00290CB8"/>
    <w:rsid w:val="002945BA"/>
    <w:rsid w:val="00295FC3"/>
    <w:rsid w:val="002A0427"/>
    <w:rsid w:val="002A1697"/>
    <w:rsid w:val="002A1988"/>
    <w:rsid w:val="002A33E3"/>
    <w:rsid w:val="002A3BC6"/>
    <w:rsid w:val="002A505C"/>
    <w:rsid w:val="002A5760"/>
    <w:rsid w:val="002B023C"/>
    <w:rsid w:val="002B191F"/>
    <w:rsid w:val="002B2995"/>
    <w:rsid w:val="002B2EE7"/>
    <w:rsid w:val="002B407E"/>
    <w:rsid w:val="002B467F"/>
    <w:rsid w:val="002B5D0B"/>
    <w:rsid w:val="002C07F4"/>
    <w:rsid w:val="002D01AC"/>
    <w:rsid w:val="002D054B"/>
    <w:rsid w:val="002D0731"/>
    <w:rsid w:val="002D1B96"/>
    <w:rsid w:val="002D3D02"/>
    <w:rsid w:val="002D671E"/>
    <w:rsid w:val="002D76D0"/>
    <w:rsid w:val="002E6578"/>
    <w:rsid w:val="002E69CC"/>
    <w:rsid w:val="002E708F"/>
    <w:rsid w:val="002E7DE5"/>
    <w:rsid w:val="002E7EBC"/>
    <w:rsid w:val="002F0797"/>
    <w:rsid w:val="002F2A46"/>
    <w:rsid w:val="002F671E"/>
    <w:rsid w:val="00303C7C"/>
    <w:rsid w:val="003060C6"/>
    <w:rsid w:val="00307F84"/>
    <w:rsid w:val="00311A2D"/>
    <w:rsid w:val="00312A1C"/>
    <w:rsid w:val="003142B6"/>
    <w:rsid w:val="00315DB4"/>
    <w:rsid w:val="0031738A"/>
    <w:rsid w:val="00321ECF"/>
    <w:rsid w:val="00324687"/>
    <w:rsid w:val="00324E48"/>
    <w:rsid w:val="00330AF5"/>
    <w:rsid w:val="00332F72"/>
    <w:rsid w:val="00333D3E"/>
    <w:rsid w:val="003358AE"/>
    <w:rsid w:val="00340C9E"/>
    <w:rsid w:val="003415CD"/>
    <w:rsid w:val="00341A83"/>
    <w:rsid w:val="00343884"/>
    <w:rsid w:val="003448C9"/>
    <w:rsid w:val="00344E0B"/>
    <w:rsid w:val="00352BF2"/>
    <w:rsid w:val="00353D47"/>
    <w:rsid w:val="00354141"/>
    <w:rsid w:val="003548C9"/>
    <w:rsid w:val="003561E9"/>
    <w:rsid w:val="00362DFF"/>
    <w:rsid w:val="0036455F"/>
    <w:rsid w:val="0036473E"/>
    <w:rsid w:val="0036517F"/>
    <w:rsid w:val="00365A6D"/>
    <w:rsid w:val="003667E5"/>
    <w:rsid w:val="00367403"/>
    <w:rsid w:val="00367D03"/>
    <w:rsid w:val="00371138"/>
    <w:rsid w:val="00372D04"/>
    <w:rsid w:val="0037371A"/>
    <w:rsid w:val="00373CE5"/>
    <w:rsid w:val="00374B3F"/>
    <w:rsid w:val="00376385"/>
    <w:rsid w:val="00380311"/>
    <w:rsid w:val="003804AA"/>
    <w:rsid w:val="00384296"/>
    <w:rsid w:val="00386351"/>
    <w:rsid w:val="00390935"/>
    <w:rsid w:val="00392320"/>
    <w:rsid w:val="00392C93"/>
    <w:rsid w:val="003944F2"/>
    <w:rsid w:val="0039466D"/>
    <w:rsid w:val="003953F4"/>
    <w:rsid w:val="003A2EEE"/>
    <w:rsid w:val="003A3014"/>
    <w:rsid w:val="003A3E65"/>
    <w:rsid w:val="003A5EC3"/>
    <w:rsid w:val="003A615B"/>
    <w:rsid w:val="003A74B1"/>
    <w:rsid w:val="003B0B74"/>
    <w:rsid w:val="003B1FFE"/>
    <w:rsid w:val="003B416E"/>
    <w:rsid w:val="003B4741"/>
    <w:rsid w:val="003B4EDD"/>
    <w:rsid w:val="003B7A37"/>
    <w:rsid w:val="003C4A75"/>
    <w:rsid w:val="003D0884"/>
    <w:rsid w:val="003D33E8"/>
    <w:rsid w:val="003D3D93"/>
    <w:rsid w:val="003D4829"/>
    <w:rsid w:val="003D6E7A"/>
    <w:rsid w:val="003E2A0C"/>
    <w:rsid w:val="003E39D0"/>
    <w:rsid w:val="003E614A"/>
    <w:rsid w:val="003E623D"/>
    <w:rsid w:val="003F3C22"/>
    <w:rsid w:val="003F664A"/>
    <w:rsid w:val="00401258"/>
    <w:rsid w:val="00402925"/>
    <w:rsid w:val="004033E7"/>
    <w:rsid w:val="00404E47"/>
    <w:rsid w:val="00407A10"/>
    <w:rsid w:val="00410B1A"/>
    <w:rsid w:val="00413EF8"/>
    <w:rsid w:val="004166AB"/>
    <w:rsid w:val="00425408"/>
    <w:rsid w:val="00430AC2"/>
    <w:rsid w:val="0043108C"/>
    <w:rsid w:val="00433475"/>
    <w:rsid w:val="004336BB"/>
    <w:rsid w:val="00435320"/>
    <w:rsid w:val="00435688"/>
    <w:rsid w:val="004362F3"/>
    <w:rsid w:val="00436D8C"/>
    <w:rsid w:val="004377BE"/>
    <w:rsid w:val="0044605D"/>
    <w:rsid w:val="00450867"/>
    <w:rsid w:val="00451917"/>
    <w:rsid w:val="0045373D"/>
    <w:rsid w:val="00455728"/>
    <w:rsid w:val="004575E7"/>
    <w:rsid w:val="004603E3"/>
    <w:rsid w:val="00465356"/>
    <w:rsid w:val="00465D68"/>
    <w:rsid w:val="00466A37"/>
    <w:rsid w:val="00467DA4"/>
    <w:rsid w:val="00470E9A"/>
    <w:rsid w:val="004731AF"/>
    <w:rsid w:val="004750E8"/>
    <w:rsid w:val="00491B90"/>
    <w:rsid w:val="00491BF2"/>
    <w:rsid w:val="004928E4"/>
    <w:rsid w:val="004952F5"/>
    <w:rsid w:val="004A4C07"/>
    <w:rsid w:val="004B1A2E"/>
    <w:rsid w:val="004B4260"/>
    <w:rsid w:val="004C0AB2"/>
    <w:rsid w:val="004C4EB2"/>
    <w:rsid w:val="004D582E"/>
    <w:rsid w:val="004F1921"/>
    <w:rsid w:val="004F57D2"/>
    <w:rsid w:val="004F725D"/>
    <w:rsid w:val="00500579"/>
    <w:rsid w:val="00503593"/>
    <w:rsid w:val="00504332"/>
    <w:rsid w:val="005063EE"/>
    <w:rsid w:val="00507ABB"/>
    <w:rsid w:val="005122F4"/>
    <w:rsid w:val="00512AED"/>
    <w:rsid w:val="00512F8A"/>
    <w:rsid w:val="00513C74"/>
    <w:rsid w:val="005156D9"/>
    <w:rsid w:val="00516BBD"/>
    <w:rsid w:val="00517A05"/>
    <w:rsid w:val="00520C3B"/>
    <w:rsid w:val="00521A7B"/>
    <w:rsid w:val="0052360E"/>
    <w:rsid w:val="00523643"/>
    <w:rsid w:val="00524139"/>
    <w:rsid w:val="00526035"/>
    <w:rsid w:val="005313E5"/>
    <w:rsid w:val="0053165D"/>
    <w:rsid w:val="00535BDC"/>
    <w:rsid w:val="00537D57"/>
    <w:rsid w:val="00537F0C"/>
    <w:rsid w:val="00540950"/>
    <w:rsid w:val="00540D25"/>
    <w:rsid w:val="00541A32"/>
    <w:rsid w:val="005432BD"/>
    <w:rsid w:val="005472EA"/>
    <w:rsid w:val="005509EE"/>
    <w:rsid w:val="00551DB8"/>
    <w:rsid w:val="00552743"/>
    <w:rsid w:val="00553656"/>
    <w:rsid w:val="00553A49"/>
    <w:rsid w:val="00557A55"/>
    <w:rsid w:val="00561E06"/>
    <w:rsid w:val="0056260F"/>
    <w:rsid w:val="00564635"/>
    <w:rsid w:val="00566D0B"/>
    <w:rsid w:val="00570281"/>
    <w:rsid w:val="00570DE1"/>
    <w:rsid w:val="00573652"/>
    <w:rsid w:val="00574112"/>
    <w:rsid w:val="00574F4E"/>
    <w:rsid w:val="0057760F"/>
    <w:rsid w:val="00580AE0"/>
    <w:rsid w:val="00581C04"/>
    <w:rsid w:val="00582B1E"/>
    <w:rsid w:val="005835E9"/>
    <w:rsid w:val="00584BBE"/>
    <w:rsid w:val="00585B79"/>
    <w:rsid w:val="0059193C"/>
    <w:rsid w:val="00592E37"/>
    <w:rsid w:val="005938BA"/>
    <w:rsid w:val="00596419"/>
    <w:rsid w:val="005A0DCD"/>
    <w:rsid w:val="005A276A"/>
    <w:rsid w:val="005A2C4B"/>
    <w:rsid w:val="005A387A"/>
    <w:rsid w:val="005A7631"/>
    <w:rsid w:val="005A7B22"/>
    <w:rsid w:val="005A7E4A"/>
    <w:rsid w:val="005B37B1"/>
    <w:rsid w:val="005B3A8A"/>
    <w:rsid w:val="005B4189"/>
    <w:rsid w:val="005B459F"/>
    <w:rsid w:val="005B5BE3"/>
    <w:rsid w:val="005B7052"/>
    <w:rsid w:val="005B7332"/>
    <w:rsid w:val="005C2F23"/>
    <w:rsid w:val="005C37BD"/>
    <w:rsid w:val="005C3E94"/>
    <w:rsid w:val="005C76CB"/>
    <w:rsid w:val="005D1309"/>
    <w:rsid w:val="005D4565"/>
    <w:rsid w:val="005D4AEE"/>
    <w:rsid w:val="005D6AC3"/>
    <w:rsid w:val="005E128D"/>
    <w:rsid w:val="005E167C"/>
    <w:rsid w:val="005E4F3F"/>
    <w:rsid w:val="005F27F9"/>
    <w:rsid w:val="005F7231"/>
    <w:rsid w:val="00601E91"/>
    <w:rsid w:val="00604B59"/>
    <w:rsid w:val="00607581"/>
    <w:rsid w:val="006121F9"/>
    <w:rsid w:val="00616D92"/>
    <w:rsid w:val="00621A5A"/>
    <w:rsid w:val="0063146D"/>
    <w:rsid w:val="00633D38"/>
    <w:rsid w:val="00634F30"/>
    <w:rsid w:val="006410D6"/>
    <w:rsid w:val="00641BF2"/>
    <w:rsid w:val="00642080"/>
    <w:rsid w:val="0064273A"/>
    <w:rsid w:val="00643494"/>
    <w:rsid w:val="006455B1"/>
    <w:rsid w:val="00646794"/>
    <w:rsid w:val="00646DBF"/>
    <w:rsid w:val="00650102"/>
    <w:rsid w:val="00652D75"/>
    <w:rsid w:val="0065323C"/>
    <w:rsid w:val="006542CD"/>
    <w:rsid w:val="00665012"/>
    <w:rsid w:val="0066518E"/>
    <w:rsid w:val="006659FF"/>
    <w:rsid w:val="00667596"/>
    <w:rsid w:val="0066768F"/>
    <w:rsid w:val="00672054"/>
    <w:rsid w:val="0067321B"/>
    <w:rsid w:val="006771A7"/>
    <w:rsid w:val="006777F1"/>
    <w:rsid w:val="006835AF"/>
    <w:rsid w:val="00684907"/>
    <w:rsid w:val="006851D8"/>
    <w:rsid w:val="006862F0"/>
    <w:rsid w:val="00691FBA"/>
    <w:rsid w:val="006948BE"/>
    <w:rsid w:val="006960FE"/>
    <w:rsid w:val="006977C5"/>
    <w:rsid w:val="00697B53"/>
    <w:rsid w:val="006A0A7D"/>
    <w:rsid w:val="006A3281"/>
    <w:rsid w:val="006A3D95"/>
    <w:rsid w:val="006A7FB4"/>
    <w:rsid w:val="006B2BFF"/>
    <w:rsid w:val="006B2E8D"/>
    <w:rsid w:val="006C2FF7"/>
    <w:rsid w:val="006C7356"/>
    <w:rsid w:val="006D31F3"/>
    <w:rsid w:val="006D3276"/>
    <w:rsid w:val="006D35BA"/>
    <w:rsid w:val="006D45BA"/>
    <w:rsid w:val="006D5C4A"/>
    <w:rsid w:val="006D671F"/>
    <w:rsid w:val="006E0718"/>
    <w:rsid w:val="006E294B"/>
    <w:rsid w:val="006E7BF5"/>
    <w:rsid w:val="006E7F80"/>
    <w:rsid w:val="006F0307"/>
    <w:rsid w:val="006F2355"/>
    <w:rsid w:val="006F508C"/>
    <w:rsid w:val="006F7CBC"/>
    <w:rsid w:val="00703A50"/>
    <w:rsid w:val="0070406E"/>
    <w:rsid w:val="007056F5"/>
    <w:rsid w:val="00706C78"/>
    <w:rsid w:val="00713B04"/>
    <w:rsid w:val="00714468"/>
    <w:rsid w:val="00716CE0"/>
    <w:rsid w:val="00716F71"/>
    <w:rsid w:val="0072195B"/>
    <w:rsid w:val="00722A77"/>
    <w:rsid w:val="00723E4B"/>
    <w:rsid w:val="00725215"/>
    <w:rsid w:val="007266B6"/>
    <w:rsid w:val="00727F3B"/>
    <w:rsid w:val="00732C85"/>
    <w:rsid w:val="00734EA7"/>
    <w:rsid w:val="00735DA4"/>
    <w:rsid w:val="00736D07"/>
    <w:rsid w:val="00736FDD"/>
    <w:rsid w:val="00737457"/>
    <w:rsid w:val="00740356"/>
    <w:rsid w:val="00740E6F"/>
    <w:rsid w:val="00741296"/>
    <w:rsid w:val="00741775"/>
    <w:rsid w:val="0074230B"/>
    <w:rsid w:val="00742D6F"/>
    <w:rsid w:val="00743AFD"/>
    <w:rsid w:val="007478DB"/>
    <w:rsid w:val="00752464"/>
    <w:rsid w:val="0075509B"/>
    <w:rsid w:val="007564F9"/>
    <w:rsid w:val="0075680E"/>
    <w:rsid w:val="00757164"/>
    <w:rsid w:val="0075786B"/>
    <w:rsid w:val="007578C4"/>
    <w:rsid w:val="00760A33"/>
    <w:rsid w:val="007618E2"/>
    <w:rsid w:val="00762A32"/>
    <w:rsid w:val="00765938"/>
    <w:rsid w:val="00765F1A"/>
    <w:rsid w:val="0076685A"/>
    <w:rsid w:val="00770BA9"/>
    <w:rsid w:val="00771BA8"/>
    <w:rsid w:val="00773D64"/>
    <w:rsid w:val="00774F82"/>
    <w:rsid w:val="0077550F"/>
    <w:rsid w:val="00775766"/>
    <w:rsid w:val="00775F92"/>
    <w:rsid w:val="0077704A"/>
    <w:rsid w:val="0078001F"/>
    <w:rsid w:val="00780192"/>
    <w:rsid w:val="007865A4"/>
    <w:rsid w:val="007872FC"/>
    <w:rsid w:val="007905D3"/>
    <w:rsid w:val="00792F73"/>
    <w:rsid w:val="00793BE6"/>
    <w:rsid w:val="00795200"/>
    <w:rsid w:val="00796E4B"/>
    <w:rsid w:val="00797786"/>
    <w:rsid w:val="007A08AA"/>
    <w:rsid w:val="007A14EB"/>
    <w:rsid w:val="007A28FE"/>
    <w:rsid w:val="007A3081"/>
    <w:rsid w:val="007A3641"/>
    <w:rsid w:val="007A5466"/>
    <w:rsid w:val="007A54EE"/>
    <w:rsid w:val="007A605F"/>
    <w:rsid w:val="007A7711"/>
    <w:rsid w:val="007B003D"/>
    <w:rsid w:val="007B5891"/>
    <w:rsid w:val="007B5F91"/>
    <w:rsid w:val="007C171A"/>
    <w:rsid w:val="007C53C0"/>
    <w:rsid w:val="007D2056"/>
    <w:rsid w:val="007D5607"/>
    <w:rsid w:val="007D5C51"/>
    <w:rsid w:val="007D7E3A"/>
    <w:rsid w:val="007E5F0B"/>
    <w:rsid w:val="007F0368"/>
    <w:rsid w:val="007F052D"/>
    <w:rsid w:val="007F2E01"/>
    <w:rsid w:val="007F5C53"/>
    <w:rsid w:val="007F7F85"/>
    <w:rsid w:val="00803E0B"/>
    <w:rsid w:val="00807E67"/>
    <w:rsid w:val="0081108F"/>
    <w:rsid w:val="00812460"/>
    <w:rsid w:val="00814D5C"/>
    <w:rsid w:val="00815DDD"/>
    <w:rsid w:val="00816A8D"/>
    <w:rsid w:val="00817257"/>
    <w:rsid w:val="0082152C"/>
    <w:rsid w:val="00824685"/>
    <w:rsid w:val="00825CBC"/>
    <w:rsid w:val="00831294"/>
    <w:rsid w:val="00832E85"/>
    <w:rsid w:val="00833A59"/>
    <w:rsid w:val="00836C65"/>
    <w:rsid w:val="00837FC4"/>
    <w:rsid w:val="0084389D"/>
    <w:rsid w:val="00843AAE"/>
    <w:rsid w:val="00845CAF"/>
    <w:rsid w:val="00846397"/>
    <w:rsid w:val="00846A05"/>
    <w:rsid w:val="00846D39"/>
    <w:rsid w:val="00847019"/>
    <w:rsid w:val="00852725"/>
    <w:rsid w:val="00854AAF"/>
    <w:rsid w:val="00854C01"/>
    <w:rsid w:val="00866328"/>
    <w:rsid w:val="00866D1E"/>
    <w:rsid w:val="008673BF"/>
    <w:rsid w:val="00872597"/>
    <w:rsid w:val="00872A77"/>
    <w:rsid w:val="008731C4"/>
    <w:rsid w:val="00873264"/>
    <w:rsid w:val="008745F5"/>
    <w:rsid w:val="00877C43"/>
    <w:rsid w:val="00880D24"/>
    <w:rsid w:val="00882DF3"/>
    <w:rsid w:val="00891B7F"/>
    <w:rsid w:val="0089577E"/>
    <w:rsid w:val="008969CD"/>
    <w:rsid w:val="008A000E"/>
    <w:rsid w:val="008A1022"/>
    <w:rsid w:val="008A1CC9"/>
    <w:rsid w:val="008A1E5C"/>
    <w:rsid w:val="008A3C1F"/>
    <w:rsid w:val="008A4C17"/>
    <w:rsid w:val="008A63DF"/>
    <w:rsid w:val="008A7940"/>
    <w:rsid w:val="008A7C11"/>
    <w:rsid w:val="008B1AD0"/>
    <w:rsid w:val="008B6644"/>
    <w:rsid w:val="008C0624"/>
    <w:rsid w:val="008C10E1"/>
    <w:rsid w:val="008C1D33"/>
    <w:rsid w:val="008C3B79"/>
    <w:rsid w:val="008C4F5C"/>
    <w:rsid w:val="008C59EA"/>
    <w:rsid w:val="008C688C"/>
    <w:rsid w:val="008D0054"/>
    <w:rsid w:val="008D0A02"/>
    <w:rsid w:val="008D16BD"/>
    <w:rsid w:val="008D469F"/>
    <w:rsid w:val="008D512B"/>
    <w:rsid w:val="008D6B79"/>
    <w:rsid w:val="008D7138"/>
    <w:rsid w:val="008D7251"/>
    <w:rsid w:val="008E4ED5"/>
    <w:rsid w:val="008E6ADC"/>
    <w:rsid w:val="008E72B8"/>
    <w:rsid w:val="008E732F"/>
    <w:rsid w:val="008F0D0F"/>
    <w:rsid w:val="008F365F"/>
    <w:rsid w:val="008F3897"/>
    <w:rsid w:val="008F3EA5"/>
    <w:rsid w:val="008F3F33"/>
    <w:rsid w:val="008F4051"/>
    <w:rsid w:val="008F60EF"/>
    <w:rsid w:val="008F7E5E"/>
    <w:rsid w:val="008F7EB7"/>
    <w:rsid w:val="00901F2A"/>
    <w:rsid w:val="0090216F"/>
    <w:rsid w:val="00903690"/>
    <w:rsid w:val="009048D7"/>
    <w:rsid w:val="00906C20"/>
    <w:rsid w:val="00911AB9"/>
    <w:rsid w:val="0091353B"/>
    <w:rsid w:val="00913C3D"/>
    <w:rsid w:val="00914D95"/>
    <w:rsid w:val="00920982"/>
    <w:rsid w:val="00920E92"/>
    <w:rsid w:val="00920FA5"/>
    <w:rsid w:val="00921AB5"/>
    <w:rsid w:val="00925DF6"/>
    <w:rsid w:val="00927AA9"/>
    <w:rsid w:val="00930241"/>
    <w:rsid w:val="00932004"/>
    <w:rsid w:val="009326B6"/>
    <w:rsid w:val="00932B7D"/>
    <w:rsid w:val="0093476F"/>
    <w:rsid w:val="00934A6D"/>
    <w:rsid w:val="00936298"/>
    <w:rsid w:val="00937BEC"/>
    <w:rsid w:val="00943B91"/>
    <w:rsid w:val="0094587A"/>
    <w:rsid w:val="00945B72"/>
    <w:rsid w:val="00946454"/>
    <w:rsid w:val="00951E99"/>
    <w:rsid w:val="009605BD"/>
    <w:rsid w:val="009617BA"/>
    <w:rsid w:val="009626A1"/>
    <w:rsid w:val="00965933"/>
    <w:rsid w:val="0097023A"/>
    <w:rsid w:val="009711E0"/>
    <w:rsid w:val="00975EDE"/>
    <w:rsid w:val="00977446"/>
    <w:rsid w:val="00977F75"/>
    <w:rsid w:val="00980153"/>
    <w:rsid w:val="00981925"/>
    <w:rsid w:val="0098224D"/>
    <w:rsid w:val="009849F9"/>
    <w:rsid w:val="0098607E"/>
    <w:rsid w:val="00994DD9"/>
    <w:rsid w:val="009A11E3"/>
    <w:rsid w:val="009A430B"/>
    <w:rsid w:val="009A49EC"/>
    <w:rsid w:val="009A6296"/>
    <w:rsid w:val="009A7859"/>
    <w:rsid w:val="009A7F66"/>
    <w:rsid w:val="009B38EA"/>
    <w:rsid w:val="009B48DB"/>
    <w:rsid w:val="009B71C6"/>
    <w:rsid w:val="009C235E"/>
    <w:rsid w:val="009C2806"/>
    <w:rsid w:val="009C2ED8"/>
    <w:rsid w:val="009C5F8B"/>
    <w:rsid w:val="009C62FA"/>
    <w:rsid w:val="009D19AE"/>
    <w:rsid w:val="009D7DD0"/>
    <w:rsid w:val="009E3792"/>
    <w:rsid w:val="009E68EE"/>
    <w:rsid w:val="009E6DBF"/>
    <w:rsid w:val="009E6F1B"/>
    <w:rsid w:val="009F034C"/>
    <w:rsid w:val="009F3731"/>
    <w:rsid w:val="00A00249"/>
    <w:rsid w:val="00A0375A"/>
    <w:rsid w:val="00A03F8F"/>
    <w:rsid w:val="00A07C54"/>
    <w:rsid w:val="00A112D8"/>
    <w:rsid w:val="00A115C5"/>
    <w:rsid w:val="00A1167E"/>
    <w:rsid w:val="00A152E5"/>
    <w:rsid w:val="00A16E56"/>
    <w:rsid w:val="00A2464B"/>
    <w:rsid w:val="00A26FE8"/>
    <w:rsid w:val="00A27A38"/>
    <w:rsid w:val="00A3287E"/>
    <w:rsid w:val="00A335A6"/>
    <w:rsid w:val="00A33B1D"/>
    <w:rsid w:val="00A345A6"/>
    <w:rsid w:val="00A35110"/>
    <w:rsid w:val="00A37255"/>
    <w:rsid w:val="00A428A9"/>
    <w:rsid w:val="00A44A70"/>
    <w:rsid w:val="00A543E7"/>
    <w:rsid w:val="00A5442B"/>
    <w:rsid w:val="00A54A5D"/>
    <w:rsid w:val="00A55982"/>
    <w:rsid w:val="00A565AC"/>
    <w:rsid w:val="00A57CEF"/>
    <w:rsid w:val="00A66942"/>
    <w:rsid w:val="00A66BB8"/>
    <w:rsid w:val="00A67411"/>
    <w:rsid w:val="00A67E80"/>
    <w:rsid w:val="00A71BA8"/>
    <w:rsid w:val="00A73081"/>
    <w:rsid w:val="00A73DB7"/>
    <w:rsid w:val="00A802D3"/>
    <w:rsid w:val="00A804FE"/>
    <w:rsid w:val="00A82612"/>
    <w:rsid w:val="00A84095"/>
    <w:rsid w:val="00A868A1"/>
    <w:rsid w:val="00A9217D"/>
    <w:rsid w:val="00A93E48"/>
    <w:rsid w:val="00A96530"/>
    <w:rsid w:val="00A96C70"/>
    <w:rsid w:val="00AA207F"/>
    <w:rsid w:val="00AA5067"/>
    <w:rsid w:val="00AA6FCD"/>
    <w:rsid w:val="00AB3340"/>
    <w:rsid w:val="00AC171B"/>
    <w:rsid w:val="00AC1F5B"/>
    <w:rsid w:val="00AC2B7E"/>
    <w:rsid w:val="00AC36B2"/>
    <w:rsid w:val="00AC3B6F"/>
    <w:rsid w:val="00AC55E8"/>
    <w:rsid w:val="00AD17D6"/>
    <w:rsid w:val="00AD1A27"/>
    <w:rsid w:val="00AD1D3F"/>
    <w:rsid w:val="00AD27CF"/>
    <w:rsid w:val="00AD332C"/>
    <w:rsid w:val="00AD3EE2"/>
    <w:rsid w:val="00AD4444"/>
    <w:rsid w:val="00AD661E"/>
    <w:rsid w:val="00AE2C03"/>
    <w:rsid w:val="00AE4D23"/>
    <w:rsid w:val="00AE7A25"/>
    <w:rsid w:val="00AF12A0"/>
    <w:rsid w:val="00AF1D60"/>
    <w:rsid w:val="00AF52D1"/>
    <w:rsid w:val="00AF595B"/>
    <w:rsid w:val="00B04192"/>
    <w:rsid w:val="00B10106"/>
    <w:rsid w:val="00B10484"/>
    <w:rsid w:val="00B11D90"/>
    <w:rsid w:val="00B202C1"/>
    <w:rsid w:val="00B21DF7"/>
    <w:rsid w:val="00B2397C"/>
    <w:rsid w:val="00B23E56"/>
    <w:rsid w:val="00B24F3C"/>
    <w:rsid w:val="00B25523"/>
    <w:rsid w:val="00B31097"/>
    <w:rsid w:val="00B310AA"/>
    <w:rsid w:val="00B32E40"/>
    <w:rsid w:val="00B409C8"/>
    <w:rsid w:val="00B428F2"/>
    <w:rsid w:val="00B4328C"/>
    <w:rsid w:val="00B465CF"/>
    <w:rsid w:val="00B46A89"/>
    <w:rsid w:val="00B46E97"/>
    <w:rsid w:val="00B478BA"/>
    <w:rsid w:val="00B47A2E"/>
    <w:rsid w:val="00B51EC0"/>
    <w:rsid w:val="00B5229C"/>
    <w:rsid w:val="00B53EDE"/>
    <w:rsid w:val="00B547DF"/>
    <w:rsid w:val="00B55B83"/>
    <w:rsid w:val="00B626E3"/>
    <w:rsid w:val="00B62B06"/>
    <w:rsid w:val="00B6332B"/>
    <w:rsid w:val="00B644A8"/>
    <w:rsid w:val="00B65C50"/>
    <w:rsid w:val="00B65D8C"/>
    <w:rsid w:val="00B722E9"/>
    <w:rsid w:val="00B728DD"/>
    <w:rsid w:val="00B749F3"/>
    <w:rsid w:val="00B751DC"/>
    <w:rsid w:val="00B828DB"/>
    <w:rsid w:val="00B83E62"/>
    <w:rsid w:val="00B8629B"/>
    <w:rsid w:val="00B86F42"/>
    <w:rsid w:val="00B9275D"/>
    <w:rsid w:val="00B94B03"/>
    <w:rsid w:val="00BA62FE"/>
    <w:rsid w:val="00BB003D"/>
    <w:rsid w:val="00BB1707"/>
    <w:rsid w:val="00BB1EBC"/>
    <w:rsid w:val="00BB44AB"/>
    <w:rsid w:val="00BB48F4"/>
    <w:rsid w:val="00BB67BF"/>
    <w:rsid w:val="00BB6AB4"/>
    <w:rsid w:val="00BC18F7"/>
    <w:rsid w:val="00BC2825"/>
    <w:rsid w:val="00BC426F"/>
    <w:rsid w:val="00BC47A4"/>
    <w:rsid w:val="00BC66D5"/>
    <w:rsid w:val="00BC7EED"/>
    <w:rsid w:val="00BD1347"/>
    <w:rsid w:val="00BD153F"/>
    <w:rsid w:val="00BD381B"/>
    <w:rsid w:val="00BD561C"/>
    <w:rsid w:val="00BD699C"/>
    <w:rsid w:val="00BD76E0"/>
    <w:rsid w:val="00BF2C1F"/>
    <w:rsid w:val="00C028E4"/>
    <w:rsid w:val="00C03147"/>
    <w:rsid w:val="00C04677"/>
    <w:rsid w:val="00C108B8"/>
    <w:rsid w:val="00C1180C"/>
    <w:rsid w:val="00C13ECD"/>
    <w:rsid w:val="00C15AE3"/>
    <w:rsid w:val="00C21E81"/>
    <w:rsid w:val="00C22E11"/>
    <w:rsid w:val="00C22E2C"/>
    <w:rsid w:val="00C231BB"/>
    <w:rsid w:val="00C23C23"/>
    <w:rsid w:val="00C24D9A"/>
    <w:rsid w:val="00C25139"/>
    <w:rsid w:val="00C2536E"/>
    <w:rsid w:val="00C308DD"/>
    <w:rsid w:val="00C3182B"/>
    <w:rsid w:val="00C31A5D"/>
    <w:rsid w:val="00C32833"/>
    <w:rsid w:val="00C33727"/>
    <w:rsid w:val="00C368F5"/>
    <w:rsid w:val="00C428C4"/>
    <w:rsid w:val="00C4396A"/>
    <w:rsid w:val="00C45562"/>
    <w:rsid w:val="00C4622B"/>
    <w:rsid w:val="00C46556"/>
    <w:rsid w:val="00C5206B"/>
    <w:rsid w:val="00C523FB"/>
    <w:rsid w:val="00C52E8B"/>
    <w:rsid w:val="00C53BB7"/>
    <w:rsid w:val="00C563A5"/>
    <w:rsid w:val="00C61073"/>
    <w:rsid w:val="00C63C58"/>
    <w:rsid w:val="00C656BE"/>
    <w:rsid w:val="00C658C4"/>
    <w:rsid w:val="00C65E0E"/>
    <w:rsid w:val="00C675A3"/>
    <w:rsid w:val="00C72C0B"/>
    <w:rsid w:val="00C75565"/>
    <w:rsid w:val="00C81337"/>
    <w:rsid w:val="00C81734"/>
    <w:rsid w:val="00C81AED"/>
    <w:rsid w:val="00C81DB7"/>
    <w:rsid w:val="00C82437"/>
    <w:rsid w:val="00C844FF"/>
    <w:rsid w:val="00C8451A"/>
    <w:rsid w:val="00C84542"/>
    <w:rsid w:val="00C86952"/>
    <w:rsid w:val="00C87B2A"/>
    <w:rsid w:val="00C90F13"/>
    <w:rsid w:val="00C9156B"/>
    <w:rsid w:val="00C926C7"/>
    <w:rsid w:val="00C938ED"/>
    <w:rsid w:val="00C94738"/>
    <w:rsid w:val="00C95245"/>
    <w:rsid w:val="00CA227D"/>
    <w:rsid w:val="00CA2A60"/>
    <w:rsid w:val="00CA3875"/>
    <w:rsid w:val="00CA3C89"/>
    <w:rsid w:val="00CA40B9"/>
    <w:rsid w:val="00CA6998"/>
    <w:rsid w:val="00CB1641"/>
    <w:rsid w:val="00CB1665"/>
    <w:rsid w:val="00CB27A2"/>
    <w:rsid w:val="00CB34FD"/>
    <w:rsid w:val="00CB5814"/>
    <w:rsid w:val="00CC2BAA"/>
    <w:rsid w:val="00CC306D"/>
    <w:rsid w:val="00CC3169"/>
    <w:rsid w:val="00CC327D"/>
    <w:rsid w:val="00CC495D"/>
    <w:rsid w:val="00CC529A"/>
    <w:rsid w:val="00CC7640"/>
    <w:rsid w:val="00CD0247"/>
    <w:rsid w:val="00CD0810"/>
    <w:rsid w:val="00CD088F"/>
    <w:rsid w:val="00CD1A90"/>
    <w:rsid w:val="00CE07BE"/>
    <w:rsid w:val="00CE1F21"/>
    <w:rsid w:val="00CE208F"/>
    <w:rsid w:val="00CE3236"/>
    <w:rsid w:val="00CE411C"/>
    <w:rsid w:val="00CE61B3"/>
    <w:rsid w:val="00CE642B"/>
    <w:rsid w:val="00CF1265"/>
    <w:rsid w:val="00CF4A77"/>
    <w:rsid w:val="00CF7ED1"/>
    <w:rsid w:val="00D00395"/>
    <w:rsid w:val="00D012C9"/>
    <w:rsid w:val="00D0529B"/>
    <w:rsid w:val="00D07B00"/>
    <w:rsid w:val="00D10D64"/>
    <w:rsid w:val="00D118E5"/>
    <w:rsid w:val="00D11CE6"/>
    <w:rsid w:val="00D1285A"/>
    <w:rsid w:val="00D15EA7"/>
    <w:rsid w:val="00D15ED5"/>
    <w:rsid w:val="00D16053"/>
    <w:rsid w:val="00D20674"/>
    <w:rsid w:val="00D246A3"/>
    <w:rsid w:val="00D253B4"/>
    <w:rsid w:val="00D255B7"/>
    <w:rsid w:val="00D258D8"/>
    <w:rsid w:val="00D36609"/>
    <w:rsid w:val="00D36B1F"/>
    <w:rsid w:val="00D42C4B"/>
    <w:rsid w:val="00D46476"/>
    <w:rsid w:val="00D4735E"/>
    <w:rsid w:val="00D479F7"/>
    <w:rsid w:val="00D47DFC"/>
    <w:rsid w:val="00D50327"/>
    <w:rsid w:val="00D516DB"/>
    <w:rsid w:val="00D52120"/>
    <w:rsid w:val="00D53665"/>
    <w:rsid w:val="00D55894"/>
    <w:rsid w:val="00D55A3B"/>
    <w:rsid w:val="00D55C04"/>
    <w:rsid w:val="00D57A65"/>
    <w:rsid w:val="00D62298"/>
    <w:rsid w:val="00D62696"/>
    <w:rsid w:val="00D66533"/>
    <w:rsid w:val="00D667A6"/>
    <w:rsid w:val="00D7011D"/>
    <w:rsid w:val="00D70775"/>
    <w:rsid w:val="00D718A1"/>
    <w:rsid w:val="00D71B9C"/>
    <w:rsid w:val="00D75340"/>
    <w:rsid w:val="00D77544"/>
    <w:rsid w:val="00D8342A"/>
    <w:rsid w:val="00D93FEC"/>
    <w:rsid w:val="00D96425"/>
    <w:rsid w:val="00D9678D"/>
    <w:rsid w:val="00DA0768"/>
    <w:rsid w:val="00DA12D7"/>
    <w:rsid w:val="00DA16EC"/>
    <w:rsid w:val="00DA18B5"/>
    <w:rsid w:val="00DA4BB9"/>
    <w:rsid w:val="00DA66FB"/>
    <w:rsid w:val="00DA74B8"/>
    <w:rsid w:val="00DB1644"/>
    <w:rsid w:val="00DB42ED"/>
    <w:rsid w:val="00DB572A"/>
    <w:rsid w:val="00DB6EBD"/>
    <w:rsid w:val="00DB7ABD"/>
    <w:rsid w:val="00DC0126"/>
    <w:rsid w:val="00DC0318"/>
    <w:rsid w:val="00DC1CBE"/>
    <w:rsid w:val="00DC27AE"/>
    <w:rsid w:val="00DC558C"/>
    <w:rsid w:val="00DC69BD"/>
    <w:rsid w:val="00DC7DD1"/>
    <w:rsid w:val="00DD0215"/>
    <w:rsid w:val="00DD04AF"/>
    <w:rsid w:val="00DD3C12"/>
    <w:rsid w:val="00DD51AC"/>
    <w:rsid w:val="00DD6A57"/>
    <w:rsid w:val="00DE2901"/>
    <w:rsid w:val="00DE2E56"/>
    <w:rsid w:val="00DE6DFD"/>
    <w:rsid w:val="00DF069F"/>
    <w:rsid w:val="00DF0FB9"/>
    <w:rsid w:val="00DF27A5"/>
    <w:rsid w:val="00DF521C"/>
    <w:rsid w:val="00DF617B"/>
    <w:rsid w:val="00DF6545"/>
    <w:rsid w:val="00E02ADC"/>
    <w:rsid w:val="00E05B53"/>
    <w:rsid w:val="00E06110"/>
    <w:rsid w:val="00E07A4C"/>
    <w:rsid w:val="00E10654"/>
    <w:rsid w:val="00E12FF0"/>
    <w:rsid w:val="00E14CA5"/>
    <w:rsid w:val="00E17C1D"/>
    <w:rsid w:val="00E2157A"/>
    <w:rsid w:val="00E21D75"/>
    <w:rsid w:val="00E2441A"/>
    <w:rsid w:val="00E25CFE"/>
    <w:rsid w:val="00E27BE5"/>
    <w:rsid w:val="00E314A0"/>
    <w:rsid w:val="00E31D8C"/>
    <w:rsid w:val="00E31F0B"/>
    <w:rsid w:val="00E32464"/>
    <w:rsid w:val="00E32F3E"/>
    <w:rsid w:val="00E33109"/>
    <w:rsid w:val="00E3587C"/>
    <w:rsid w:val="00E35904"/>
    <w:rsid w:val="00E35D99"/>
    <w:rsid w:val="00E361C2"/>
    <w:rsid w:val="00E371E4"/>
    <w:rsid w:val="00E404A9"/>
    <w:rsid w:val="00E43872"/>
    <w:rsid w:val="00E45282"/>
    <w:rsid w:val="00E50398"/>
    <w:rsid w:val="00E51420"/>
    <w:rsid w:val="00E53D13"/>
    <w:rsid w:val="00E55404"/>
    <w:rsid w:val="00E57051"/>
    <w:rsid w:val="00E61973"/>
    <w:rsid w:val="00E63780"/>
    <w:rsid w:val="00E63B94"/>
    <w:rsid w:val="00E651A4"/>
    <w:rsid w:val="00E65F9B"/>
    <w:rsid w:val="00E66D33"/>
    <w:rsid w:val="00E66F27"/>
    <w:rsid w:val="00E705C6"/>
    <w:rsid w:val="00E70A23"/>
    <w:rsid w:val="00E72457"/>
    <w:rsid w:val="00E77AF5"/>
    <w:rsid w:val="00E81F6E"/>
    <w:rsid w:val="00E84124"/>
    <w:rsid w:val="00E84A09"/>
    <w:rsid w:val="00E87745"/>
    <w:rsid w:val="00E87B11"/>
    <w:rsid w:val="00E976BC"/>
    <w:rsid w:val="00E97B8E"/>
    <w:rsid w:val="00EA0AB2"/>
    <w:rsid w:val="00EA2C03"/>
    <w:rsid w:val="00EA2DE1"/>
    <w:rsid w:val="00EA4842"/>
    <w:rsid w:val="00EA6752"/>
    <w:rsid w:val="00EB1558"/>
    <w:rsid w:val="00EB47CA"/>
    <w:rsid w:val="00EB577A"/>
    <w:rsid w:val="00EB65A1"/>
    <w:rsid w:val="00EB719E"/>
    <w:rsid w:val="00EB799E"/>
    <w:rsid w:val="00EC33F4"/>
    <w:rsid w:val="00EC5ADB"/>
    <w:rsid w:val="00EC6E2C"/>
    <w:rsid w:val="00ED30DD"/>
    <w:rsid w:val="00ED398A"/>
    <w:rsid w:val="00ED46C0"/>
    <w:rsid w:val="00EE0B66"/>
    <w:rsid w:val="00EE4405"/>
    <w:rsid w:val="00EE632D"/>
    <w:rsid w:val="00EF58D8"/>
    <w:rsid w:val="00EF6993"/>
    <w:rsid w:val="00EF6C99"/>
    <w:rsid w:val="00EF7900"/>
    <w:rsid w:val="00F00BA0"/>
    <w:rsid w:val="00F01F30"/>
    <w:rsid w:val="00F0310A"/>
    <w:rsid w:val="00F11725"/>
    <w:rsid w:val="00F11DE2"/>
    <w:rsid w:val="00F11F58"/>
    <w:rsid w:val="00F13CBF"/>
    <w:rsid w:val="00F14417"/>
    <w:rsid w:val="00F14974"/>
    <w:rsid w:val="00F14DEB"/>
    <w:rsid w:val="00F1501D"/>
    <w:rsid w:val="00F25487"/>
    <w:rsid w:val="00F25B11"/>
    <w:rsid w:val="00F26102"/>
    <w:rsid w:val="00F33C2C"/>
    <w:rsid w:val="00F35974"/>
    <w:rsid w:val="00F4455A"/>
    <w:rsid w:val="00F447F1"/>
    <w:rsid w:val="00F44C7B"/>
    <w:rsid w:val="00F44D9E"/>
    <w:rsid w:val="00F45A83"/>
    <w:rsid w:val="00F4738C"/>
    <w:rsid w:val="00F50E13"/>
    <w:rsid w:val="00F510DA"/>
    <w:rsid w:val="00F513B5"/>
    <w:rsid w:val="00F55AF7"/>
    <w:rsid w:val="00F56E08"/>
    <w:rsid w:val="00F61197"/>
    <w:rsid w:val="00F62D8A"/>
    <w:rsid w:val="00F637E5"/>
    <w:rsid w:val="00F63E82"/>
    <w:rsid w:val="00F67B69"/>
    <w:rsid w:val="00F70CB5"/>
    <w:rsid w:val="00F73A85"/>
    <w:rsid w:val="00F7426D"/>
    <w:rsid w:val="00F7577B"/>
    <w:rsid w:val="00F77177"/>
    <w:rsid w:val="00F77421"/>
    <w:rsid w:val="00F81333"/>
    <w:rsid w:val="00F84229"/>
    <w:rsid w:val="00F86F85"/>
    <w:rsid w:val="00F9156D"/>
    <w:rsid w:val="00F94CB4"/>
    <w:rsid w:val="00F96FDF"/>
    <w:rsid w:val="00FA0AB9"/>
    <w:rsid w:val="00FA2994"/>
    <w:rsid w:val="00FA367B"/>
    <w:rsid w:val="00FA562A"/>
    <w:rsid w:val="00FA70D4"/>
    <w:rsid w:val="00FB0A83"/>
    <w:rsid w:val="00FB0E13"/>
    <w:rsid w:val="00FB2887"/>
    <w:rsid w:val="00FB3972"/>
    <w:rsid w:val="00FB5483"/>
    <w:rsid w:val="00FB5E97"/>
    <w:rsid w:val="00FB6787"/>
    <w:rsid w:val="00FC2B57"/>
    <w:rsid w:val="00FC7515"/>
    <w:rsid w:val="00FD2BD2"/>
    <w:rsid w:val="00FD3D29"/>
    <w:rsid w:val="00FD4955"/>
    <w:rsid w:val="00FD5655"/>
    <w:rsid w:val="00FD5E8C"/>
    <w:rsid w:val="00FD69B2"/>
    <w:rsid w:val="00FD6C12"/>
    <w:rsid w:val="00FD7454"/>
    <w:rsid w:val="00FD7C2B"/>
    <w:rsid w:val="00FE0009"/>
    <w:rsid w:val="00FE600E"/>
    <w:rsid w:val="00FF283F"/>
    <w:rsid w:val="00FF6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CDE5"/>
  <w15:docId w15:val="{BC611C87-43DA-48D7-8D24-ECA94F68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E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03147"/>
    <w:pPr>
      <w:keepNext/>
      <w:keepLines/>
      <w:spacing w:before="200" w:after="12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03147"/>
    <w:pPr>
      <w:keepNext/>
      <w:keepLines/>
      <w:spacing w:before="40" w:after="12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6229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62298"/>
    <w:rPr>
      <w:rFonts w:ascii="Calibri" w:hAnsi="Calibri"/>
      <w:szCs w:val="21"/>
    </w:rPr>
  </w:style>
  <w:style w:type="paragraph" w:customStyle="1" w:styleId="Default">
    <w:name w:val="Default"/>
    <w:rsid w:val="00925DF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F58D8"/>
    <w:pPr>
      <w:spacing w:after="200" w:line="276" w:lineRule="auto"/>
      <w:ind w:left="720"/>
      <w:contextualSpacing/>
    </w:pPr>
  </w:style>
  <w:style w:type="character" w:styleId="Hyperlink">
    <w:name w:val="Hyperlink"/>
    <w:basedOn w:val="DefaultParagraphFont"/>
    <w:uiPriority w:val="99"/>
    <w:unhideWhenUsed/>
    <w:rsid w:val="00EF58D8"/>
    <w:rPr>
      <w:color w:val="0563C1" w:themeColor="hyperlink"/>
      <w:u w:val="single"/>
    </w:rPr>
  </w:style>
  <w:style w:type="paragraph" w:styleId="CommentText">
    <w:name w:val="annotation text"/>
    <w:basedOn w:val="Normal"/>
    <w:link w:val="CommentTextChar"/>
    <w:uiPriority w:val="99"/>
    <w:semiHidden/>
    <w:unhideWhenUsed/>
    <w:rsid w:val="00EF58D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F58D8"/>
    <w:rPr>
      <w:sz w:val="20"/>
      <w:szCs w:val="20"/>
    </w:rPr>
  </w:style>
  <w:style w:type="character" w:customStyle="1" w:styleId="Heading2Char">
    <w:name w:val="Heading 2 Char"/>
    <w:basedOn w:val="DefaultParagraphFont"/>
    <w:link w:val="Heading2"/>
    <w:uiPriority w:val="9"/>
    <w:rsid w:val="00C03147"/>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324E48"/>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324E48"/>
    <w:rPr>
      <w:sz w:val="16"/>
      <w:szCs w:val="16"/>
    </w:rPr>
  </w:style>
  <w:style w:type="paragraph" w:styleId="CommentSubject">
    <w:name w:val="annotation subject"/>
    <w:basedOn w:val="CommentText"/>
    <w:next w:val="CommentText"/>
    <w:link w:val="CommentSubjectChar"/>
    <w:uiPriority w:val="99"/>
    <w:semiHidden/>
    <w:unhideWhenUsed/>
    <w:rsid w:val="00324E48"/>
    <w:pPr>
      <w:spacing w:after="160"/>
    </w:pPr>
    <w:rPr>
      <w:b/>
      <w:bCs/>
    </w:rPr>
  </w:style>
  <w:style w:type="character" w:customStyle="1" w:styleId="CommentSubjectChar">
    <w:name w:val="Comment Subject Char"/>
    <w:basedOn w:val="CommentTextChar"/>
    <w:link w:val="CommentSubject"/>
    <w:uiPriority w:val="99"/>
    <w:semiHidden/>
    <w:rsid w:val="00324E48"/>
    <w:rPr>
      <w:b/>
      <w:bCs/>
      <w:sz w:val="20"/>
      <w:szCs w:val="20"/>
    </w:rPr>
  </w:style>
  <w:style w:type="paragraph" w:styleId="BalloonText">
    <w:name w:val="Balloon Text"/>
    <w:basedOn w:val="Normal"/>
    <w:link w:val="BalloonTextChar"/>
    <w:uiPriority w:val="99"/>
    <w:semiHidden/>
    <w:unhideWhenUsed/>
    <w:rsid w:val="0032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48"/>
    <w:rPr>
      <w:rFonts w:ascii="Tahoma" w:hAnsi="Tahoma" w:cs="Tahoma"/>
      <w:sz w:val="16"/>
      <w:szCs w:val="16"/>
    </w:rPr>
  </w:style>
  <w:style w:type="paragraph" w:styleId="HTMLPreformatted">
    <w:name w:val="HTML Preformatted"/>
    <w:basedOn w:val="Normal"/>
    <w:link w:val="HTMLPreformattedChar"/>
    <w:uiPriority w:val="99"/>
    <w:unhideWhenUsed/>
    <w:rsid w:val="0074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4230B"/>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C0314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02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925"/>
  </w:style>
  <w:style w:type="paragraph" w:styleId="Footer">
    <w:name w:val="footer"/>
    <w:basedOn w:val="Normal"/>
    <w:link w:val="FooterChar"/>
    <w:uiPriority w:val="99"/>
    <w:unhideWhenUsed/>
    <w:rsid w:val="00402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925"/>
  </w:style>
  <w:style w:type="paragraph" w:customStyle="1" w:styleId="Title1">
    <w:name w:val="Title1"/>
    <w:basedOn w:val="Normal"/>
    <w:rsid w:val="001F1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1F1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1F14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1F1457"/>
  </w:style>
  <w:style w:type="paragraph" w:styleId="Revision">
    <w:name w:val="Revision"/>
    <w:hidden/>
    <w:uiPriority w:val="99"/>
    <w:semiHidden/>
    <w:rsid w:val="000D0AFB"/>
    <w:pPr>
      <w:spacing w:after="0" w:line="240" w:lineRule="auto"/>
    </w:pPr>
  </w:style>
  <w:style w:type="character" w:styleId="LineNumber">
    <w:name w:val="line number"/>
    <w:basedOn w:val="DefaultParagraphFont"/>
    <w:uiPriority w:val="99"/>
    <w:semiHidden/>
    <w:unhideWhenUsed/>
    <w:rsid w:val="00FD69B2"/>
  </w:style>
  <w:style w:type="paragraph" w:styleId="FootnoteText">
    <w:name w:val="footnote text"/>
    <w:basedOn w:val="Normal"/>
    <w:link w:val="FootnoteTextChar"/>
    <w:uiPriority w:val="99"/>
    <w:semiHidden/>
    <w:unhideWhenUsed/>
    <w:rsid w:val="001C76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629"/>
    <w:rPr>
      <w:sz w:val="20"/>
      <w:szCs w:val="20"/>
    </w:rPr>
  </w:style>
  <w:style w:type="character" w:styleId="FootnoteReference">
    <w:name w:val="footnote reference"/>
    <w:basedOn w:val="DefaultParagraphFont"/>
    <w:uiPriority w:val="99"/>
    <w:semiHidden/>
    <w:unhideWhenUsed/>
    <w:rsid w:val="001C7629"/>
    <w:rPr>
      <w:vertAlign w:val="superscript"/>
    </w:rPr>
  </w:style>
  <w:style w:type="paragraph" w:customStyle="1" w:styleId="Title2">
    <w:name w:val="Title2"/>
    <w:basedOn w:val="Normal"/>
    <w:rsid w:val="00367D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F365F"/>
    <w:rPr>
      <w:color w:val="954F72" w:themeColor="followedHyperlink"/>
      <w:u w:val="single"/>
    </w:rPr>
  </w:style>
  <w:style w:type="character" w:customStyle="1" w:styleId="UnresolvedMention1">
    <w:name w:val="Unresolved Mention1"/>
    <w:basedOn w:val="DefaultParagraphFont"/>
    <w:uiPriority w:val="99"/>
    <w:semiHidden/>
    <w:unhideWhenUsed/>
    <w:rsid w:val="008F3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5975">
      <w:bodyDiv w:val="1"/>
      <w:marLeft w:val="0"/>
      <w:marRight w:val="0"/>
      <w:marTop w:val="0"/>
      <w:marBottom w:val="0"/>
      <w:divBdr>
        <w:top w:val="none" w:sz="0" w:space="0" w:color="auto"/>
        <w:left w:val="none" w:sz="0" w:space="0" w:color="auto"/>
        <w:bottom w:val="none" w:sz="0" w:space="0" w:color="auto"/>
        <w:right w:val="none" w:sz="0" w:space="0" w:color="auto"/>
      </w:divBdr>
    </w:div>
    <w:div w:id="328489267">
      <w:bodyDiv w:val="1"/>
      <w:marLeft w:val="0"/>
      <w:marRight w:val="0"/>
      <w:marTop w:val="0"/>
      <w:marBottom w:val="0"/>
      <w:divBdr>
        <w:top w:val="none" w:sz="0" w:space="0" w:color="auto"/>
        <w:left w:val="none" w:sz="0" w:space="0" w:color="auto"/>
        <w:bottom w:val="none" w:sz="0" w:space="0" w:color="auto"/>
        <w:right w:val="none" w:sz="0" w:space="0" w:color="auto"/>
      </w:divBdr>
      <w:divsChild>
        <w:div w:id="619144683">
          <w:marLeft w:val="0"/>
          <w:marRight w:val="0"/>
          <w:marTop w:val="0"/>
          <w:marBottom w:val="0"/>
          <w:divBdr>
            <w:top w:val="none" w:sz="0" w:space="0" w:color="auto"/>
            <w:left w:val="none" w:sz="0" w:space="0" w:color="auto"/>
            <w:bottom w:val="none" w:sz="0" w:space="0" w:color="auto"/>
            <w:right w:val="none" w:sz="0" w:space="0" w:color="auto"/>
          </w:divBdr>
          <w:divsChild>
            <w:div w:id="298344829">
              <w:marLeft w:val="0"/>
              <w:marRight w:val="0"/>
              <w:marTop w:val="0"/>
              <w:marBottom w:val="0"/>
              <w:divBdr>
                <w:top w:val="none" w:sz="0" w:space="0" w:color="auto"/>
                <w:left w:val="none" w:sz="0" w:space="0" w:color="auto"/>
                <w:bottom w:val="none" w:sz="0" w:space="0" w:color="auto"/>
                <w:right w:val="none" w:sz="0" w:space="0" w:color="auto"/>
              </w:divBdr>
              <w:divsChild>
                <w:div w:id="1615870557">
                  <w:marLeft w:val="0"/>
                  <w:marRight w:val="0"/>
                  <w:marTop w:val="0"/>
                  <w:marBottom w:val="0"/>
                  <w:divBdr>
                    <w:top w:val="none" w:sz="0" w:space="0" w:color="auto"/>
                    <w:left w:val="none" w:sz="0" w:space="0" w:color="auto"/>
                    <w:bottom w:val="none" w:sz="0" w:space="0" w:color="auto"/>
                    <w:right w:val="none" w:sz="0" w:space="0" w:color="auto"/>
                  </w:divBdr>
                  <w:divsChild>
                    <w:div w:id="812604235">
                      <w:marLeft w:val="0"/>
                      <w:marRight w:val="0"/>
                      <w:marTop w:val="0"/>
                      <w:marBottom w:val="0"/>
                      <w:divBdr>
                        <w:top w:val="none" w:sz="0" w:space="0" w:color="auto"/>
                        <w:left w:val="none" w:sz="0" w:space="0" w:color="auto"/>
                        <w:bottom w:val="none" w:sz="0" w:space="0" w:color="auto"/>
                        <w:right w:val="none" w:sz="0" w:space="0" w:color="auto"/>
                      </w:divBdr>
                      <w:divsChild>
                        <w:div w:id="1926063075">
                          <w:marLeft w:val="0"/>
                          <w:marRight w:val="0"/>
                          <w:marTop w:val="0"/>
                          <w:marBottom w:val="0"/>
                          <w:divBdr>
                            <w:top w:val="none" w:sz="0" w:space="0" w:color="auto"/>
                            <w:left w:val="none" w:sz="0" w:space="0" w:color="auto"/>
                            <w:bottom w:val="none" w:sz="0" w:space="0" w:color="auto"/>
                            <w:right w:val="none" w:sz="0" w:space="0" w:color="auto"/>
                          </w:divBdr>
                          <w:divsChild>
                            <w:div w:id="1560705075">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sChild>
                                    <w:div w:id="550120063">
                                      <w:marLeft w:val="0"/>
                                      <w:marRight w:val="0"/>
                                      <w:marTop w:val="0"/>
                                      <w:marBottom w:val="0"/>
                                      <w:divBdr>
                                        <w:top w:val="none" w:sz="0" w:space="0" w:color="auto"/>
                                        <w:left w:val="none" w:sz="0" w:space="0" w:color="auto"/>
                                        <w:bottom w:val="none" w:sz="0" w:space="0" w:color="auto"/>
                                        <w:right w:val="none" w:sz="0" w:space="0" w:color="auto"/>
                                      </w:divBdr>
                                    </w:div>
                                    <w:div w:id="15459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636367">
      <w:bodyDiv w:val="1"/>
      <w:marLeft w:val="0"/>
      <w:marRight w:val="0"/>
      <w:marTop w:val="0"/>
      <w:marBottom w:val="0"/>
      <w:divBdr>
        <w:top w:val="none" w:sz="0" w:space="0" w:color="auto"/>
        <w:left w:val="none" w:sz="0" w:space="0" w:color="auto"/>
        <w:bottom w:val="none" w:sz="0" w:space="0" w:color="auto"/>
        <w:right w:val="none" w:sz="0" w:space="0" w:color="auto"/>
      </w:divBdr>
      <w:divsChild>
        <w:div w:id="1195967102">
          <w:marLeft w:val="0"/>
          <w:marRight w:val="0"/>
          <w:marTop w:val="0"/>
          <w:marBottom w:val="0"/>
          <w:divBdr>
            <w:top w:val="none" w:sz="0" w:space="0" w:color="auto"/>
            <w:left w:val="none" w:sz="0" w:space="0" w:color="auto"/>
            <w:bottom w:val="none" w:sz="0" w:space="0" w:color="auto"/>
            <w:right w:val="none" w:sz="0" w:space="0" w:color="auto"/>
          </w:divBdr>
          <w:divsChild>
            <w:div w:id="1335768013">
              <w:marLeft w:val="0"/>
              <w:marRight w:val="0"/>
              <w:marTop w:val="0"/>
              <w:marBottom w:val="0"/>
              <w:divBdr>
                <w:top w:val="none" w:sz="0" w:space="0" w:color="auto"/>
                <w:left w:val="none" w:sz="0" w:space="0" w:color="auto"/>
                <w:bottom w:val="none" w:sz="0" w:space="0" w:color="auto"/>
                <w:right w:val="none" w:sz="0" w:space="0" w:color="auto"/>
              </w:divBdr>
              <w:divsChild>
                <w:div w:id="931744181">
                  <w:marLeft w:val="0"/>
                  <w:marRight w:val="0"/>
                  <w:marTop w:val="0"/>
                  <w:marBottom w:val="0"/>
                  <w:divBdr>
                    <w:top w:val="none" w:sz="0" w:space="0" w:color="auto"/>
                    <w:left w:val="none" w:sz="0" w:space="0" w:color="auto"/>
                    <w:bottom w:val="none" w:sz="0" w:space="0" w:color="auto"/>
                    <w:right w:val="none" w:sz="0" w:space="0" w:color="auto"/>
                  </w:divBdr>
                  <w:divsChild>
                    <w:div w:id="1121456668">
                      <w:marLeft w:val="0"/>
                      <w:marRight w:val="0"/>
                      <w:marTop w:val="0"/>
                      <w:marBottom w:val="0"/>
                      <w:divBdr>
                        <w:top w:val="none" w:sz="0" w:space="0" w:color="auto"/>
                        <w:left w:val="none" w:sz="0" w:space="0" w:color="auto"/>
                        <w:bottom w:val="none" w:sz="0" w:space="0" w:color="auto"/>
                        <w:right w:val="none" w:sz="0" w:space="0" w:color="auto"/>
                      </w:divBdr>
                      <w:divsChild>
                        <w:div w:id="358895059">
                          <w:marLeft w:val="0"/>
                          <w:marRight w:val="0"/>
                          <w:marTop w:val="0"/>
                          <w:marBottom w:val="0"/>
                          <w:divBdr>
                            <w:top w:val="none" w:sz="0" w:space="0" w:color="auto"/>
                            <w:left w:val="none" w:sz="0" w:space="0" w:color="auto"/>
                            <w:bottom w:val="none" w:sz="0" w:space="0" w:color="auto"/>
                            <w:right w:val="none" w:sz="0" w:space="0" w:color="auto"/>
                          </w:divBdr>
                          <w:divsChild>
                            <w:div w:id="734086566">
                              <w:marLeft w:val="0"/>
                              <w:marRight w:val="0"/>
                              <w:marTop w:val="0"/>
                              <w:marBottom w:val="0"/>
                              <w:divBdr>
                                <w:top w:val="none" w:sz="0" w:space="0" w:color="auto"/>
                                <w:left w:val="none" w:sz="0" w:space="0" w:color="auto"/>
                                <w:bottom w:val="none" w:sz="0" w:space="0" w:color="auto"/>
                                <w:right w:val="none" w:sz="0" w:space="0" w:color="auto"/>
                              </w:divBdr>
                              <w:divsChild>
                                <w:div w:id="2026514132">
                                  <w:marLeft w:val="0"/>
                                  <w:marRight w:val="0"/>
                                  <w:marTop w:val="0"/>
                                  <w:marBottom w:val="0"/>
                                  <w:divBdr>
                                    <w:top w:val="none" w:sz="0" w:space="0" w:color="auto"/>
                                    <w:left w:val="none" w:sz="0" w:space="0" w:color="auto"/>
                                    <w:bottom w:val="none" w:sz="0" w:space="0" w:color="auto"/>
                                    <w:right w:val="none" w:sz="0" w:space="0" w:color="auto"/>
                                  </w:divBdr>
                                  <w:divsChild>
                                    <w:div w:id="503325429">
                                      <w:marLeft w:val="0"/>
                                      <w:marRight w:val="0"/>
                                      <w:marTop w:val="0"/>
                                      <w:marBottom w:val="0"/>
                                      <w:divBdr>
                                        <w:top w:val="none" w:sz="0" w:space="0" w:color="auto"/>
                                        <w:left w:val="none" w:sz="0" w:space="0" w:color="auto"/>
                                        <w:bottom w:val="none" w:sz="0" w:space="0" w:color="auto"/>
                                        <w:right w:val="none" w:sz="0" w:space="0" w:color="auto"/>
                                      </w:divBdr>
                                      <w:divsChild>
                                        <w:div w:id="494148170">
                                          <w:marLeft w:val="0"/>
                                          <w:marRight w:val="0"/>
                                          <w:marTop w:val="0"/>
                                          <w:marBottom w:val="0"/>
                                          <w:divBdr>
                                            <w:top w:val="none" w:sz="0" w:space="0" w:color="auto"/>
                                            <w:left w:val="none" w:sz="0" w:space="0" w:color="auto"/>
                                            <w:bottom w:val="none" w:sz="0" w:space="0" w:color="auto"/>
                                            <w:right w:val="none" w:sz="0" w:space="0" w:color="auto"/>
                                          </w:divBdr>
                                        </w:div>
                                      </w:divsChild>
                                    </w:div>
                                    <w:div w:id="1418093224">
                                      <w:marLeft w:val="0"/>
                                      <w:marRight w:val="0"/>
                                      <w:marTop w:val="0"/>
                                      <w:marBottom w:val="0"/>
                                      <w:divBdr>
                                        <w:top w:val="none" w:sz="0" w:space="0" w:color="auto"/>
                                        <w:left w:val="none" w:sz="0" w:space="0" w:color="auto"/>
                                        <w:bottom w:val="none" w:sz="0" w:space="0" w:color="auto"/>
                                        <w:right w:val="none" w:sz="0" w:space="0" w:color="auto"/>
                                      </w:divBdr>
                                      <w:divsChild>
                                        <w:div w:id="1237276347">
                                          <w:marLeft w:val="0"/>
                                          <w:marRight w:val="0"/>
                                          <w:marTop w:val="0"/>
                                          <w:marBottom w:val="0"/>
                                          <w:divBdr>
                                            <w:top w:val="none" w:sz="0" w:space="0" w:color="auto"/>
                                            <w:left w:val="none" w:sz="0" w:space="0" w:color="auto"/>
                                            <w:bottom w:val="none" w:sz="0" w:space="0" w:color="auto"/>
                                            <w:right w:val="none" w:sz="0" w:space="0" w:color="auto"/>
                                          </w:divBdr>
                                        </w:div>
                                      </w:divsChild>
                                    </w:div>
                                    <w:div w:id="1533959840">
                                      <w:marLeft w:val="0"/>
                                      <w:marRight w:val="0"/>
                                      <w:marTop w:val="0"/>
                                      <w:marBottom w:val="0"/>
                                      <w:divBdr>
                                        <w:top w:val="none" w:sz="0" w:space="0" w:color="auto"/>
                                        <w:left w:val="none" w:sz="0" w:space="0" w:color="auto"/>
                                        <w:bottom w:val="none" w:sz="0" w:space="0" w:color="auto"/>
                                        <w:right w:val="none" w:sz="0" w:space="0" w:color="auto"/>
                                      </w:divBdr>
                                      <w:divsChild>
                                        <w:div w:id="577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224343">
      <w:bodyDiv w:val="1"/>
      <w:marLeft w:val="0"/>
      <w:marRight w:val="0"/>
      <w:marTop w:val="0"/>
      <w:marBottom w:val="0"/>
      <w:divBdr>
        <w:top w:val="none" w:sz="0" w:space="0" w:color="auto"/>
        <w:left w:val="none" w:sz="0" w:space="0" w:color="auto"/>
        <w:bottom w:val="none" w:sz="0" w:space="0" w:color="auto"/>
        <w:right w:val="none" w:sz="0" w:space="0" w:color="auto"/>
      </w:divBdr>
    </w:div>
    <w:div w:id="602415900">
      <w:bodyDiv w:val="1"/>
      <w:marLeft w:val="0"/>
      <w:marRight w:val="0"/>
      <w:marTop w:val="0"/>
      <w:marBottom w:val="0"/>
      <w:divBdr>
        <w:top w:val="none" w:sz="0" w:space="0" w:color="auto"/>
        <w:left w:val="none" w:sz="0" w:space="0" w:color="auto"/>
        <w:bottom w:val="none" w:sz="0" w:space="0" w:color="auto"/>
        <w:right w:val="none" w:sz="0" w:space="0" w:color="auto"/>
      </w:divBdr>
    </w:div>
    <w:div w:id="729309392">
      <w:bodyDiv w:val="1"/>
      <w:marLeft w:val="0"/>
      <w:marRight w:val="0"/>
      <w:marTop w:val="0"/>
      <w:marBottom w:val="0"/>
      <w:divBdr>
        <w:top w:val="none" w:sz="0" w:space="0" w:color="auto"/>
        <w:left w:val="none" w:sz="0" w:space="0" w:color="auto"/>
        <w:bottom w:val="none" w:sz="0" w:space="0" w:color="auto"/>
        <w:right w:val="none" w:sz="0" w:space="0" w:color="auto"/>
      </w:divBdr>
      <w:divsChild>
        <w:div w:id="1663507132">
          <w:marLeft w:val="0"/>
          <w:marRight w:val="0"/>
          <w:marTop w:val="0"/>
          <w:marBottom w:val="0"/>
          <w:divBdr>
            <w:top w:val="none" w:sz="0" w:space="0" w:color="auto"/>
            <w:left w:val="none" w:sz="0" w:space="0" w:color="auto"/>
            <w:bottom w:val="none" w:sz="0" w:space="0" w:color="auto"/>
            <w:right w:val="none" w:sz="0" w:space="0" w:color="auto"/>
          </w:divBdr>
          <w:divsChild>
            <w:div w:id="814108276">
              <w:marLeft w:val="0"/>
              <w:marRight w:val="0"/>
              <w:marTop w:val="0"/>
              <w:marBottom w:val="0"/>
              <w:divBdr>
                <w:top w:val="none" w:sz="0" w:space="0" w:color="auto"/>
                <w:left w:val="none" w:sz="0" w:space="0" w:color="auto"/>
                <w:bottom w:val="none" w:sz="0" w:space="0" w:color="auto"/>
                <w:right w:val="none" w:sz="0" w:space="0" w:color="auto"/>
              </w:divBdr>
              <w:divsChild>
                <w:div w:id="988628294">
                  <w:marLeft w:val="0"/>
                  <w:marRight w:val="0"/>
                  <w:marTop w:val="0"/>
                  <w:marBottom w:val="0"/>
                  <w:divBdr>
                    <w:top w:val="none" w:sz="0" w:space="0" w:color="auto"/>
                    <w:left w:val="none" w:sz="0" w:space="0" w:color="auto"/>
                    <w:bottom w:val="none" w:sz="0" w:space="0" w:color="auto"/>
                    <w:right w:val="none" w:sz="0" w:space="0" w:color="auto"/>
                  </w:divBdr>
                  <w:divsChild>
                    <w:div w:id="1254053725">
                      <w:marLeft w:val="0"/>
                      <w:marRight w:val="0"/>
                      <w:marTop w:val="0"/>
                      <w:marBottom w:val="0"/>
                      <w:divBdr>
                        <w:top w:val="none" w:sz="0" w:space="0" w:color="auto"/>
                        <w:left w:val="none" w:sz="0" w:space="0" w:color="auto"/>
                        <w:bottom w:val="none" w:sz="0" w:space="0" w:color="auto"/>
                        <w:right w:val="none" w:sz="0" w:space="0" w:color="auto"/>
                      </w:divBdr>
                      <w:divsChild>
                        <w:div w:id="1544488519">
                          <w:marLeft w:val="0"/>
                          <w:marRight w:val="0"/>
                          <w:marTop w:val="0"/>
                          <w:marBottom w:val="0"/>
                          <w:divBdr>
                            <w:top w:val="none" w:sz="0" w:space="0" w:color="auto"/>
                            <w:left w:val="none" w:sz="0" w:space="0" w:color="auto"/>
                            <w:bottom w:val="none" w:sz="0" w:space="0" w:color="auto"/>
                            <w:right w:val="none" w:sz="0" w:space="0" w:color="auto"/>
                          </w:divBdr>
                          <w:divsChild>
                            <w:div w:id="2089615826">
                              <w:marLeft w:val="0"/>
                              <w:marRight w:val="0"/>
                              <w:marTop w:val="0"/>
                              <w:marBottom w:val="0"/>
                              <w:divBdr>
                                <w:top w:val="none" w:sz="0" w:space="0" w:color="auto"/>
                                <w:left w:val="none" w:sz="0" w:space="0" w:color="auto"/>
                                <w:bottom w:val="none" w:sz="0" w:space="0" w:color="auto"/>
                                <w:right w:val="none" w:sz="0" w:space="0" w:color="auto"/>
                              </w:divBdr>
                              <w:divsChild>
                                <w:div w:id="929005503">
                                  <w:marLeft w:val="0"/>
                                  <w:marRight w:val="0"/>
                                  <w:marTop w:val="0"/>
                                  <w:marBottom w:val="0"/>
                                  <w:divBdr>
                                    <w:top w:val="none" w:sz="0" w:space="0" w:color="auto"/>
                                    <w:left w:val="none" w:sz="0" w:space="0" w:color="auto"/>
                                    <w:bottom w:val="none" w:sz="0" w:space="0" w:color="auto"/>
                                    <w:right w:val="none" w:sz="0" w:space="0" w:color="auto"/>
                                  </w:divBdr>
                                  <w:divsChild>
                                    <w:div w:id="215048791">
                                      <w:marLeft w:val="0"/>
                                      <w:marRight w:val="0"/>
                                      <w:marTop w:val="0"/>
                                      <w:marBottom w:val="0"/>
                                      <w:divBdr>
                                        <w:top w:val="none" w:sz="0" w:space="0" w:color="auto"/>
                                        <w:left w:val="none" w:sz="0" w:space="0" w:color="auto"/>
                                        <w:bottom w:val="none" w:sz="0" w:space="0" w:color="auto"/>
                                        <w:right w:val="none" w:sz="0" w:space="0" w:color="auto"/>
                                      </w:divBdr>
                                      <w:divsChild>
                                        <w:div w:id="20810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299862">
      <w:bodyDiv w:val="1"/>
      <w:marLeft w:val="0"/>
      <w:marRight w:val="0"/>
      <w:marTop w:val="0"/>
      <w:marBottom w:val="0"/>
      <w:divBdr>
        <w:top w:val="none" w:sz="0" w:space="0" w:color="auto"/>
        <w:left w:val="none" w:sz="0" w:space="0" w:color="auto"/>
        <w:bottom w:val="none" w:sz="0" w:space="0" w:color="auto"/>
        <w:right w:val="none" w:sz="0" w:space="0" w:color="auto"/>
      </w:divBdr>
    </w:div>
    <w:div w:id="783579165">
      <w:bodyDiv w:val="1"/>
      <w:marLeft w:val="0"/>
      <w:marRight w:val="0"/>
      <w:marTop w:val="0"/>
      <w:marBottom w:val="0"/>
      <w:divBdr>
        <w:top w:val="none" w:sz="0" w:space="0" w:color="auto"/>
        <w:left w:val="none" w:sz="0" w:space="0" w:color="auto"/>
        <w:bottom w:val="none" w:sz="0" w:space="0" w:color="auto"/>
        <w:right w:val="none" w:sz="0" w:space="0" w:color="auto"/>
      </w:divBdr>
      <w:divsChild>
        <w:div w:id="16544173">
          <w:marLeft w:val="0"/>
          <w:marRight w:val="0"/>
          <w:marTop w:val="0"/>
          <w:marBottom w:val="0"/>
          <w:divBdr>
            <w:top w:val="none" w:sz="0" w:space="0" w:color="auto"/>
            <w:left w:val="none" w:sz="0" w:space="0" w:color="auto"/>
            <w:bottom w:val="none" w:sz="0" w:space="0" w:color="auto"/>
            <w:right w:val="none" w:sz="0" w:space="0" w:color="auto"/>
          </w:divBdr>
          <w:divsChild>
            <w:div w:id="1787657555">
              <w:marLeft w:val="0"/>
              <w:marRight w:val="0"/>
              <w:marTop w:val="0"/>
              <w:marBottom w:val="0"/>
              <w:divBdr>
                <w:top w:val="none" w:sz="0" w:space="0" w:color="auto"/>
                <w:left w:val="none" w:sz="0" w:space="0" w:color="auto"/>
                <w:bottom w:val="none" w:sz="0" w:space="0" w:color="auto"/>
                <w:right w:val="none" w:sz="0" w:space="0" w:color="auto"/>
              </w:divBdr>
              <w:divsChild>
                <w:div w:id="167595456">
                  <w:marLeft w:val="0"/>
                  <w:marRight w:val="0"/>
                  <w:marTop w:val="0"/>
                  <w:marBottom w:val="0"/>
                  <w:divBdr>
                    <w:top w:val="none" w:sz="0" w:space="0" w:color="auto"/>
                    <w:left w:val="none" w:sz="0" w:space="0" w:color="auto"/>
                    <w:bottom w:val="none" w:sz="0" w:space="0" w:color="auto"/>
                    <w:right w:val="none" w:sz="0" w:space="0" w:color="auto"/>
                  </w:divBdr>
                  <w:divsChild>
                    <w:div w:id="1139373428">
                      <w:marLeft w:val="0"/>
                      <w:marRight w:val="0"/>
                      <w:marTop w:val="0"/>
                      <w:marBottom w:val="0"/>
                      <w:divBdr>
                        <w:top w:val="none" w:sz="0" w:space="0" w:color="auto"/>
                        <w:left w:val="none" w:sz="0" w:space="0" w:color="auto"/>
                        <w:bottom w:val="none" w:sz="0" w:space="0" w:color="auto"/>
                        <w:right w:val="none" w:sz="0" w:space="0" w:color="auto"/>
                      </w:divBdr>
                      <w:divsChild>
                        <w:div w:id="995571447">
                          <w:marLeft w:val="0"/>
                          <w:marRight w:val="0"/>
                          <w:marTop w:val="0"/>
                          <w:marBottom w:val="0"/>
                          <w:divBdr>
                            <w:top w:val="none" w:sz="0" w:space="0" w:color="auto"/>
                            <w:left w:val="none" w:sz="0" w:space="0" w:color="auto"/>
                            <w:bottom w:val="none" w:sz="0" w:space="0" w:color="auto"/>
                            <w:right w:val="none" w:sz="0" w:space="0" w:color="auto"/>
                          </w:divBdr>
                          <w:divsChild>
                            <w:div w:id="1890995544">
                              <w:marLeft w:val="0"/>
                              <w:marRight w:val="0"/>
                              <w:marTop w:val="0"/>
                              <w:marBottom w:val="0"/>
                              <w:divBdr>
                                <w:top w:val="none" w:sz="0" w:space="0" w:color="auto"/>
                                <w:left w:val="none" w:sz="0" w:space="0" w:color="auto"/>
                                <w:bottom w:val="none" w:sz="0" w:space="0" w:color="auto"/>
                                <w:right w:val="none" w:sz="0" w:space="0" w:color="auto"/>
                              </w:divBdr>
                              <w:divsChild>
                                <w:div w:id="1785029502">
                                  <w:marLeft w:val="0"/>
                                  <w:marRight w:val="0"/>
                                  <w:marTop w:val="0"/>
                                  <w:marBottom w:val="0"/>
                                  <w:divBdr>
                                    <w:top w:val="none" w:sz="0" w:space="0" w:color="auto"/>
                                    <w:left w:val="none" w:sz="0" w:space="0" w:color="auto"/>
                                    <w:bottom w:val="none" w:sz="0" w:space="0" w:color="auto"/>
                                    <w:right w:val="none" w:sz="0" w:space="0" w:color="auto"/>
                                  </w:divBdr>
                                  <w:divsChild>
                                    <w:div w:id="1272712746">
                                      <w:marLeft w:val="0"/>
                                      <w:marRight w:val="0"/>
                                      <w:marTop w:val="0"/>
                                      <w:marBottom w:val="0"/>
                                      <w:divBdr>
                                        <w:top w:val="none" w:sz="0" w:space="0" w:color="auto"/>
                                        <w:left w:val="none" w:sz="0" w:space="0" w:color="auto"/>
                                        <w:bottom w:val="none" w:sz="0" w:space="0" w:color="auto"/>
                                        <w:right w:val="none" w:sz="0" w:space="0" w:color="auto"/>
                                      </w:divBdr>
                                      <w:divsChild>
                                        <w:div w:id="12522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886028">
      <w:bodyDiv w:val="1"/>
      <w:marLeft w:val="0"/>
      <w:marRight w:val="0"/>
      <w:marTop w:val="0"/>
      <w:marBottom w:val="0"/>
      <w:divBdr>
        <w:top w:val="none" w:sz="0" w:space="0" w:color="auto"/>
        <w:left w:val="none" w:sz="0" w:space="0" w:color="auto"/>
        <w:bottom w:val="none" w:sz="0" w:space="0" w:color="auto"/>
        <w:right w:val="none" w:sz="0" w:space="0" w:color="auto"/>
      </w:divBdr>
    </w:div>
    <w:div w:id="1201557201">
      <w:bodyDiv w:val="1"/>
      <w:marLeft w:val="0"/>
      <w:marRight w:val="0"/>
      <w:marTop w:val="0"/>
      <w:marBottom w:val="0"/>
      <w:divBdr>
        <w:top w:val="none" w:sz="0" w:space="0" w:color="auto"/>
        <w:left w:val="none" w:sz="0" w:space="0" w:color="auto"/>
        <w:bottom w:val="none" w:sz="0" w:space="0" w:color="auto"/>
        <w:right w:val="none" w:sz="0" w:space="0" w:color="auto"/>
      </w:divBdr>
    </w:div>
    <w:div w:id="1352032088">
      <w:bodyDiv w:val="1"/>
      <w:marLeft w:val="0"/>
      <w:marRight w:val="0"/>
      <w:marTop w:val="0"/>
      <w:marBottom w:val="0"/>
      <w:divBdr>
        <w:top w:val="none" w:sz="0" w:space="0" w:color="auto"/>
        <w:left w:val="none" w:sz="0" w:space="0" w:color="auto"/>
        <w:bottom w:val="none" w:sz="0" w:space="0" w:color="auto"/>
        <w:right w:val="none" w:sz="0" w:space="0" w:color="auto"/>
      </w:divBdr>
      <w:divsChild>
        <w:div w:id="1461608427">
          <w:marLeft w:val="0"/>
          <w:marRight w:val="0"/>
          <w:marTop w:val="0"/>
          <w:marBottom w:val="0"/>
          <w:divBdr>
            <w:top w:val="none" w:sz="0" w:space="0" w:color="auto"/>
            <w:left w:val="none" w:sz="0" w:space="0" w:color="auto"/>
            <w:bottom w:val="none" w:sz="0" w:space="0" w:color="auto"/>
            <w:right w:val="none" w:sz="0" w:space="0" w:color="auto"/>
          </w:divBdr>
          <w:divsChild>
            <w:div w:id="992566798">
              <w:marLeft w:val="0"/>
              <w:marRight w:val="0"/>
              <w:marTop w:val="0"/>
              <w:marBottom w:val="0"/>
              <w:divBdr>
                <w:top w:val="none" w:sz="0" w:space="0" w:color="auto"/>
                <w:left w:val="none" w:sz="0" w:space="0" w:color="auto"/>
                <w:bottom w:val="none" w:sz="0" w:space="0" w:color="auto"/>
                <w:right w:val="none" w:sz="0" w:space="0" w:color="auto"/>
              </w:divBdr>
              <w:divsChild>
                <w:div w:id="466167712">
                  <w:marLeft w:val="0"/>
                  <w:marRight w:val="0"/>
                  <w:marTop w:val="0"/>
                  <w:marBottom w:val="0"/>
                  <w:divBdr>
                    <w:top w:val="none" w:sz="0" w:space="0" w:color="auto"/>
                    <w:left w:val="none" w:sz="0" w:space="0" w:color="auto"/>
                    <w:bottom w:val="none" w:sz="0" w:space="0" w:color="auto"/>
                    <w:right w:val="none" w:sz="0" w:space="0" w:color="auto"/>
                  </w:divBdr>
                  <w:divsChild>
                    <w:div w:id="2116095715">
                      <w:marLeft w:val="0"/>
                      <w:marRight w:val="0"/>
                      <w:marTop w:val="0"/>
                      <w:marBottom w:val="0"/>
                      <w:divBdr>
                        <w:top w:val="none" w:sz="0" w:space="0" w:color="auto"/>
                        <w:left w:val="none" w:sz="0" w:space="0" w:color="auto"/>
                        <w:bottom w:val="none" w:sz="0" w:space="0" w:color="auto"/>
                        <w:right w:val="none" w:sz="0" w:space="0" w:color="auto"/>
                      </w:divBdr>
                      <w:divsChild>
                        <w:div w:id="164713231">
                          <w:marLeft w:val="0"/>
                          <w:marRight w:val="0"/>
                          <w:marTop w:val="0"/>
                          <w:marBottom w:val="0"/>
                          <w:divBdr>
                            <w:top w:val="none" w:sz="0" w:space="0" w:color="auto"/>
                            <w:left w:val="none" w:sz="0" w:space="0" w:color="auto"/>
                            <w:bottom w:val="none" w:sz="0" w:space="0" w:color="auto"/>
                            <w:right w:val="none" w:sz="0" w:space="0" w:color="auto"/>
                          </w:divBdr>
                          <w:divsChild>
                            <w:div w:id="285894693">
                              <w:marLeft w:val="0"/>
                              <w:marRight w:val="0"/>
                              <w:marTop w:val="0"/>
                              <w:marBottom w:val="0"/>
                              <w:divBdr>
                                <w:top w:val="none" w:sz="0" w:space="0" w:color="auto"/>
                                <w:left w:val="none" w:sz="0" w:space="0" w:color="auto"/>
                                <w:bottom w:val="none" w:sz="0" w:space="0" w:color="auto"/>
                                <w:right w:val="none" w:sz="0" w:space="0" w:color="auto"/>
                              </w:divBdr>
                              <w:divsChild>
                                <w:div w:id="142233649">
                                  <w:marLeft w:val="0"/>
                                  <w:marRight w:val="0"/>
                                  <w:marTop w:val="0"/>
                                  <w:marBottom w:val="0"/>
                                  <w:divBdr>
                                    <w:top w:val="none" w:sz="0" w:space="0" w:color="auto"/>
                                    <w:left w:val="none" w:sz="0" w:space="0" w:color="auto"/>
                                    <w:bottom w:val="none" w:sz="0" w:space="0" w:color="auto"/>
                                    <w:right w:val="none" w:sz="0" w:space="0" w:color="auto"/>
                                  </w:divBdr>
                                  <w:divsChild>
                                    <w:div w:id="399791845">
                                      <w:marLeft w:val="0"/>
                                      <w:marRight w:val="0"/>
                                      <w:marTop w:val="0"/>
                                      <w:marBottom w:val="0"/>
                                      <w:divBdr>
                                        <w:top w:val="none" w:sz="0" w:space="0" w:color="auto"/>
                                        <w:left w:val="none" w:sz="0" w:space="0" w:color="auto"/>
                                        <w:bottom w:val="none" w:sz="0" w:space="0" w:color="auto"/>
                                        <w:right w:val="none" w:sz="0" w:space="0" w:color="auto"/>
                                      </w:divBdr>
                                    </w:div>
                                    <w:div w:id="5541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222007">
      <w:bodyDiv w:val="1"/>
      <w:marLeft w:val="0"/>
      <w:marRight w:val="0"/>
      <w:marTop w:val="0"/>
      <w:marBottom w:val="0"/>
      <w:divBdr>
        <w:top w:val="none" w:sz="0" w:space="0" w:color="auto"/>
        <w:left w:val="none" w:sz="0" w:space="0" w:color="auto"/>
        <w:bottom w:val="none" w:sz="0" w:space="0" w:color="auto"/>
        <w:right w:val="none" w:sz="0" w:space="0" w:color="auto"/>
      </w:divBdr>
      <w:divsChild>
        <w:div w:id="522062060">
          <w:marLeft w:val="0"/>
          <w:marRight w:val="0"/>
          <w:marTop w:val="0"/>
          <w:marBottom w:val="0"/>
          <w:divBdr>
            <w:top w:val="none" w:sz="0" w:space="0" w:color="auto"/>
            <w:left w:val="none" w:sz="0" w:space="0" w:color="auto"/>
            <w:bottom w:val="none" w:sz="0" w:space="0" w:color="auto"/>
            <w:right w:val="none" w:sz="0" w:space="0" w:color="auto"/>
          </w:divBdr>
          <w:divsChild>
            <w:div w:id="1913277646">
              <w:marLeft w:val="0"/>
              <w:marRight w:val="0"/>
              <w:marTop w:val="0"/>
              <w:marBottom w:val="0"/>
              <w:divBdr>
                <w:top w:val="none" w:sz="0" w:space="0" w:color="auto"/>
                <w:left w:val="none" w:sz="0" w:space="0" w:color="auto"/>
                <w:bottom w:val="none" w:sz="0" w:space="0" w:color="auto"/>
                <w:right w:val="none" w:sz="0" w:space="0" w:color="auto"/>
              </w:divBdr>
              <w:divsChild>
                <w:div w:id="1584952835">
                  <w:marLeft w:val="0"/>
                  <w:marRight w:val="0"/>
                  <w:marTop w:val="0"/>
                  <w:marBottom w:val="0"/>
                  <w:divBdr>
                    <w:top w:val="none" w:sz="0" w:space="0" w:color="auto"/>
                    <w:left w:val="none" w:sz="0" w:space="0" w:color="auto"/>
                    <w:bottom w:val="none" w:sz="0" w:space="0" w:color="auto"/>
                    <w:right w:val="none" w:sz="0" w:space="0" w:color="auto"/>
                  </w:divBdr>
                  <w:divsChild>
                    <w:div w:id="154153289">
                      <w:marLeft w:val="0"/>
                      <w:marRight w:val="0"/>
                      <w:marTop w:val="0"/>
                      <w:marBottom w:val="0"/>
                      <w:divBdr>
                        <w:top w:val="none" w:sz="0" w:space="0" w:color="auto"/>
                        <w:left w:val="none" w:sz="0" w:space="0" w:color="auto"/>
                        <w:bottom w:val="none" w:sz="0" w:space="0" w:color="auto"/>
                        <w:right w:val="none" w:sz="0" w:space="0" w:color="auto"/>
                      </w:divBdr>
                      <w:divsChild>
                        <w:div w:id="939069027">
                          <w:marLeft w:val="0"/>
                          <w:marRight w:val="0"/>
                          <w:marTop w:val="0"/>
                          <w:marBottom w:val="0"/>
                          <w:divBdr>
                            <w:top w:val="none" w:sz="0" w:space="0" w:color="auto"/>
                            <w:left w:val="none" w:sz="0" w:space="0" w:color="auto"/>
                            <w:bottom w:val="none" w:sz="0" w:space="0" w:color="auto"/>
                            <w:right w:val="none" w:sz="0" w:space="0" w:color="auto"/>
                          </w:divBdr>
                          <w:divsChild>
                            <w:div w:id="1214849328">
                              <w:marLeft w:val="0"/>
                              <w:marRight w:val="0"/>
                              <w:marTop w:val="0"/>
                              <w:marBottom w:val="0"/>
                              <w:divBdr>
                                <w:top w:val="none" w:sz="0" w:space="0" w:color="auto"/>
                                <w:left w:val="none" w:sz="0" w:space="0" w:color="auto"/>
                                <w:bottom w:val="none" w:sz="0" w:space="0" w:color="auto"/>
                                <w:right w:val="none" w:sz="0" w:space="0" w:color="auto"/>
                              </w:divBdr>
                              <w:divsChild>
                                <w:div w:id="1638487828">
                                  <w:marLeft w:val="0"/>
                                  <w:marRight w:val="0"/>
                                  <w:marTop w:val="0"/>
                                  <w:marBottom w:val="0"/>
                                  <w:divBdr>
                                    <w:top w:val="none" w:sz="0" w:space="0" w:color="auto"/>
                                    <w:left w:val="none" w:sz="0" w:space="0" w:color="auto"/>
                                    <w:bottom w:val="none" w:sz="0" w:space="0" w:color="auto"/>
                                    <w:right w:val="none" w:sz="0" w:space="0" w:color="auto"/>
                                  </w:divBdr>
                                  <w:divsChild>
                                    <w:div w:id="598179488">
                                      <w:marLeft w:val="0"/>
                                      <w:marRight w:val="0"/>
                                      <w:marTop w:val="0"/>
                                      <w:marBottom w:val="0"/>
                                      <w:divBdr>
                                        <w:top w:val="none" w:sz="0" w:space="0" w:color="auto"/>
                                        <w:left w:val="none" w:sz="0" w:space="0" w:color="auto"/>
                                        <w:bottom w:val="none" w:sz="0" w:space="0" w:color="auto"/>
                                        <w:right w:val="none" w:sz="0" w:space="0" w:color="auto"/>
                                      </w:divBdr>
                                      <w:divsChild>
                                        <w:div w:id="2805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46877">
      <w:bodyDiv w:val="1"/>
      <w:marLeft w:val="0"/>
      <w:marRight w:val="0"/>
      <w:marTop w:val="0"/>
      <w:marBottom w:val="0"/>
      <w:divBdr>
        <w:top w:val="none" w:sz="0" w:space="0" w:color="auto"/>
        <w:left w:val="none" w:sz="0" w:space="0" w:color="auto"/>
        <w:bottom w:val="none" w:sz="0" w:space="0" w:color="auto"/>
        <w:right w:val="none" w:sz="0" w:space="0" w:color="auto"/>
      </w:divBdr>
    </w:div>
    <w:div w:id="1499299530">
      <w:bodyDiv w:val="1"/>
      <w:marLeft w:val="0"/>
      <w:marRight w:val="0"/>
      <w:marTop w:val="0"/>
      <w:marBottom w:val="0"/>
      <w:divBdr>
        <w:top w:val="none" w:sz="0" w:space="0" w:color="auto"/>
        <w:left w:val="none" w:sz="0" w:space="0" w:color="auto"/>
        <w:bottom w:val="none" w:sz="0" w:space="0" w:color="auto"/>
        <w:right w:val="none" w:sz="0" w:space="0" w:color="auto"/>
      </w:divBdr>
    </w:div>
    <w:div w:id="1653174338">
      <w:bodyDiv w:val="1"/>
      <w:marLeft w:val="0"/>
      <w:marRight w:val="0"/>
      <w:marTop w:val="0"/>
      <w:marBottom w:val="0"/>
      <w:divBdr>
        <w:top w:val="none" w:sz="0" w:space="0" w:color="auto"/>
        <w:left w:val="none" w:sz="0" w:space="0" w:color="auto"/>
        <w:bottom w:val="none" w:sz="0" w:space="0" w:color="auto"/>
        <w:right w:val="none" w:sz="0" w:space="0" w:color="auto"/>
      </w:divBdr>
    </w:div>
    <w:div w:id="1780950072">
      <w:bodyDiv w:val="1"/>
      <w:marLeft w:val="0"/>
      <w:marRight w:val="0"/>
      <w:marTop w:val="0"/>
      <w:marBottom w:val="0"/>
      <w:divBdr>
        <w:top w:val="none" w:sz="0" w:space="0" w:color="auto"/>
        <w:left w:val="none" w:sz="0" w:space="0" w:color="auto"/>
        <w:bottom w:val="none" w:sz="0" w:space="0" w:color="auto"/>
        <w:right w:val="none" w:sz="0" w:space="0" w:color="auto"/>
      </w:divBdr>
    </w:div>
    <w:div w:id="1815291207">
      <w:bodyDiv w:val="1"/>
      <w:marLeft w:val="0"/>
      <w:marRight w:val="0"/>
      <w:marTop w:val="0"/>
      <w:marBottom w:val="0"/>
      <w:divBdr>
        <w:top w:val="none" w:sz="0" w:space="0" w:color="auto"/>
        <w:left w:val="none" w:sz="0" w:space="0" w:color="auto"/>
        <w:bottom w:val="none" w:sz="0" w:space="0" w:color="auto"/>
        <w:right w:val="none" w:sz="0" w:space="0" w:color="auto"/>
      </w:divBdr>
      <w:divsChild>
        <w:div w:id="71314611">
          <w:marLeft w:val="0"/>
          <w:marRight w:val="0"/>
          <w:marTop w:val="0"/>
          <w:marBottom w:val="0"/>
          <w:divBdr>
            <w:top w:val="none" w:sz="0" w:space="0" w:color="auto"/>
            <w:left w:val="none" w:sz="0" w:space="0" w:color="auto"/>
            <w:bottom w:val="none" w:sz="0" w:space="0" w:color="auto"/>
            <w:right w:val="none" w:sz="0" w:space="0" w:color="auto"/>
          </w:divBdr>
          <w:divsChild>
            <w:div w:id="1235043229">
              <w:marLeft w:val="0"/>
              <w:marRight w:val="0"/>
              <w:marTop w:val="0"/>
              <w:marBottom w:val="0"/>
              <w:divBdr>
                <w:top w:val="none" w:sz="0" w:space="0" w:color="auto"/>
                <w:left w:val="none" w:sz="0" w:space="0" w:color="auto"/>
                <w:bottom w:val="none" w:sz="0" w:space="0" w:color="auto"/>
                <w:right w:val="none" w:sz="0" w:space="0" w:color="auto"/>
              </w:divBdr>
              <w:divsChild>
                <w:div w:id="1667247940">
                  <w:marLeft w:val="0"/>
                  <w:marRight w:val="0"/>
                  <w:marTop w:val="0"/>
                  <w:marBottom w:val="0"/>
                  <w:divBdr>
                    <w:top w:val="none" w:sz="0" w:space="0" w:color="auto"/>
                    <w:left w:val="none" w:sz="0" w:space="0" w:color="auto"/>
                    <w:bottom w:val="none" w:sz="0" w:space="0" w:color="auto"/>
                    <w:right w:val="none" w:sz="0" w:space="0" w:color="auto"/>
                  </w:divBdr>
                  <w:divsChild>
                    <w:div w:id="1495990685">
                      <w:marLeft w:val="0"/>
                      <w:marRight w:val="0"/>
                      <w:marTop w:val="0"/>
                      <w:marBottom w:val="0"/>
                      <w:divBdr>
                        <w:top w:val="none" w:sz="0" w:space="0" w:color="auto"/>
                        <w:left w:val="none" w:sz="0" w:space="0" w:color="auto"/>
                        <w:bottom w:val="none" w:sz="0" w:space="0" w:color="auto"/>
                        <w:right w:val="none" w:sz="0" w:space="0" w:color="auto"/>
                      </w:divBdr>
                      <w:divsChild>
                        <w:div w:id="490486780">
                          <w:marLeft w:val="0"/>
                          <w:marRight w:val="0"/>
                          <w:marTop w:val="0"/>
                          <w:marBottom w:val="0"/>
                          <w:divBdr>
                            <w:top w:val="none" w:sz="0" w:space="0" w:color="auto"/>
                            <w:left w:val="none" w:sz="0" w:space="0" w:color="auto"/>
                            <w:bottom w:val="none" w:sz="0" w:space="0" w:color="auto"/>
                            <w:right w:val="none" w:sz="0" w:space="0" w:color="auto"/>
                          </w:divBdr>
                          <w:divsChild>
                            <w:div w:id="29379527">
                              <w:marLeft w:val="0"/>
                              <w:marRight w:val="0"/>
                              <w:marTop w:val="0"/>
                              <w:marBottom w:val="0"/>
                              <w:divBdr>
                                <w:top w:val="none" w:sz="0" w:space="0" w:color="auto"/>
                                <w:left w:val="none" w:sz="0" w:space="0" w:color="auto"/>
                                <w:bottom w:val="none" w:sz="0" w:space="0" w:color="auto"/>
                                <w:right w:val="none" w:sz="0" w:space="0" w:color="auto"/>
                              </w:divBdr>
                              <w:divsChild>
                                <w:div w:id="747653559">
                                  <w:marLeft w:val="0"/>
                                  <w:marRight w:val="0"/>
                                  <w:marTop w:val="0"/>
                                  <w:marBottom w:val="0"/>
                                  <w:divBdr>
                                    <w:top w:val="none" w:sz="0" w:space="0" w:color="auto"/>
                                    <w:left w:val="none" w:sz="0" w:space="0" w:color="auto"/>
                                    <w:bottom w:val="none" w:sz="0" w:space="0" w:color="auto"/>
                                    <w:right w:val="none" w:sz="0" w:space="0" w:color="auto"/>
                                  </w:divBdr>
                                  <w:divsChild>
                                    <w:div w:id="1741901688">
                                      <w:marLeft w:val="0"/>
                                      <w:marRight w:val="0"/>
                                      <w:marTop w:val="0"/>
                                      <w:marBottom w:val="0"/>
                                      <w:divBdr>
                                        <w:top w:val="none" w:sz="0" w:space="0" w:color="auto"/>
                                        <w:left w:val="none" w:sz="0" w:space="0" w:color="auto"/>
                                        <w:bottom w:val="none" w:sz="0" w:space="0" w:color="auto"/>
                                        <w:right w:val="none" w:sz="0" w:space="0" w:color="auto"/>
                                      </w:divBdr>
                                    </w:div>
                                    <w:div w:id="11134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534894">
      <w:bodyDiv w:val="1"/>
      <w:marLeft w:val="0"/>
      <w:marRight w:val="0"/>
      <w:marTop w:val="0"/>
      <w:marBottom w:val="0"/>
      <w:divBdr>
        <w:top w:val="none" w:sz="0" w:space="0" w:color="auto"/>
        <w:left w:val="none" w:sz="0" w:space="0" w:color="auto"/>
        <w:bottom w:val="none" w:sz="0" w:space="0" w:color="auto"/>
        <w:right w:val="none" w:sz="0" w:space="0" w:color="auto"/>
      </w:divBdr>
    </w:div>
    <w:div w:id="1897858186">
      <w:bodyDiv w:val="1"/>
      <w:marLeft w:val="0"/>
      <w:marRight w:val="0"/>
      <w:marTop w:val="0"/>
      <w:marBottom w:val="0"/>
      <w:divBdr>
        <w:top w:val="none" w:sz="0" w:space="0" w:color="auto"/>
        <w:left w:val="none" w:sz="0" w:space="0" w:color="auto"/>
        <w:bottom w:val="none" w:sz="0" w:space="0" w:color="auto"/>
        <w:right w:val="none" w:sz="0" w:space="0" w:color="auto"/>
      </w:divBdr>
    </w:div>
    <w:div w:id="1965574531">
      <w:bodyDiv w:val="1"/>
      <w:marLeft w:val="0"/>
      <w:marRight w:val="0"/>
      <w:marTop w:val="0"/>
      <w:marBottom w:val="0"/>
      <w:divBdr>
        <w:top w:val="none" w:sz="0" w:space="0" w:color="auto"/>
        <w:left w:val="none" w:sz="0" w:space="0" w:color="auto"/>
        <w:bottom w:val="none" w:sz="0" w:space="0" w:color="auto"/>
        <w:right w:val="none" w:sz="0" w:space="0" w:color="auto"/>
      </w:divBdr>
    </w:div>
    <w:div w:id="2028553511">
      <w:bodyDiv w:val="1"/>
      <w:marLeft w:val="0"/>
      <w:marRight w:val="0"/>
      <w:marTop w:val="0"/>
      <w:marBottom w:val="0"/>
      <w:divBdr>
        <w:top w:val="none" w:sz="0" w:space="0" w:color="auto"/>
        <w:left w:val="none" w:sz="0" w:space="0" w:color="auto"/>
        <w:bottom w:val="none" w:sz="0" w:space="0" w:color="auto"/>
        <w:right w:val="none" w:sz="0" w:space="0" w:color="auto"/>
      </w:divBdr>
      <w:divsChild>
        <w:div w:id="658267756">
          <w:marLeft w:val="0"/>
          <w:marRight w:val="0"/>
          <w:marTop w:val="0"/>
          <w:marBottom w:val="0"/>
          <w:divBdr>
            <w:top w:val="none" w:sz="0" w:space="0" w:color="auto"/>
            <w:left w:val="none" w:sz="0" w:space="0" w:color="auto"/>
            <w:bottom w:val="none" w:sz="0" w:space="0" w:color="auto"/>
            <w:right w:val="none" w:sz="0" w:space="0" w:color="auto"/>
          </w:divBdr>
          <w:divsChild>
            <w:div w:id="346298667">
              <w:marLeft w:val="0"/>
              <w:marRight w:val="0"/>
              <w:marTop w:val="0"/>
              <w:marBottom w:val="0"/>
              <w:divBdr>
                <w:top w:val="none" w:sz="0" w:space="0" w:color="auto"/>
                <w:left w:val="none" w:sz="0" w:space="0" w:color="auto"/>
                <w:bottom w:val="none" w:sz="0" w:space="0" w:color="auto"/>
                <w:right w:val="none" w:sz="0" w:space="0" w:color="auto"/>
              </w:divBdr>
              <w:divsChild>
                <w:div w:id="726952885">
                  <w:marLeft w:val="0"/>
                  <w:marRight w:val="0"/>
                  <w:marTop w:val="0"/>
                  <w:marBottom w:val="0"/>
                  <w:divBdr>
                    <w:top w:val="none" w:sz="0" w:space="0" w:color="auto"/>
                    <w:left w:val="none" w:sz="0" w:space="0" w:color="auto"/>
                    <w:bottom w:val="none" w:sz="0" w:space="0" w:color="auto"/>
                    <w:right w:val="none" w:sz="0" w:space="0" w:color="auto"/>
                  </w:divBdr>
                  <w:divsChild>
                    <w:div w:id="1941833669">
                      <w:marLeft w:val="0"/>
                      <w:marRight w:val="0"/>
                      <w:marTop w:val="0"/>
                      <w:marBottom w:val="0"/>
                      <w:divBdr>
                        <w:top w:val="none" w:sz="0" w:space="0" w:color="auto"/>
                        <w:left w:val="none" w:sz="0" w:space="0" w:color="auto"/>
                        <w:bottom w:val="none" w:sz="0" w:space="0" w:color="auto"/>
                        <w:right w:val="none" w:sz="0" w:space="0" w:color="auto"/>
                      </w:divBdr>
                      <w:divsChild>
                        <w:div w:id="709034294">
                          <w:marLeft w:val="0"/>
                          <w:marRight w:val="0"/>
                          <w:marTop w:val="0"/>
                          <w:marBottom w:val="0"/>
                          <w:divBdr>
                            <w:top w:val="none" w:sz="0" w:space="0" w:color="auto"/>
                            <w:left w:val="none" w:sz="0" w:space="0" w:color="auto"/>
                            <w:bottom w:val="none" w:sz="0" w:space="0" w:color="auto"/>
                            <w:right w:val="none" w:sz="0" w:space="0" w:color="auto"/>
                          </w:divBdr>
                          <w:divsChild>
                            <w:div w:id="300616632">
                              <w:marLeft w:val="0"/>
                              <w:marRight w:val="0"/>
                              <w:marTop w:val="0"/>
                              <w:marBottom w:val="0"/>
                              <w:divBdr>
                                <w:top w:val="none" w:sz="0" w:space="0" w:color="auto"/>
                                <w:left w:val="none" w:sz="0" w:space="0" w:color="auto"/>
                                <w:bottom w:val="none" w:sz="0" w:space="0" w:color="auto"/>
                                <w:right w:val="none" w:sz="0" w:space="0" w:color="auto"/>
                              </w:divBdr>
                              <w:divsChild>
                                <w:div w:id="1787236911">
                                  <w:marLeft w:val="0"/>
                                  <w:marRight w:val="0"/>
                                  <w:marTop w:val="0"/>
                                  <w:marBottom w:val="0"/>
                                  <w:divBdr>
                                    <w:top w:val="none" w:sz="0" w:space="0" w:color="auto"/>
                                    <w:left w:val="none" w:sz="0" w:space="0" w:color="auto"/>
                                    <w:bottom w:val="none" w:sz="0" w:space="0" w:color="auto"/>
                                    <w:right w:val="none" w:sz="0" w:space="0" w:color="auto"/>
                                  </w:divBdr>
                                  <w:divsChild>
                                    <w:div w:id="1850951571">
                                      <w:marLeft w:val="0"/>
                                      <w:marRight w:val="0"/>
                                      <w:marTop w:val="0"/>
                                      <w:marBottom w:val="0"/>
                                      <w:divBdr>
                                        <w:top w:val="none" w:sz="0" w:space="0" w:color="auto"/>
                                        <w:left w:val="none" w:sz="0" w:space="0" w:color="auto"/>
                                        <w:bottom w:val="none" w:sz="0" w:space="0" w:color="auto"/>
                                        <w:right w:val="none" w:sz="0" w:space="0" w:color="auto"/>
                                      </w:divBdr>
                                    </w:div>
                                    <w:div w:id="20753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brabin@liverpool.ac.uk" TargetMode="External"/><Relationship Id="rId13" Type="http://schemas.openxmlformats.org/officeDocument/2006/relationships/hyperlink" Target="https://www-ncbi-nlm-nih-gov.liverpool.idm.oclc.org/pubmed/29733403" TargetMode="External"/><Relationship Id="rId18" Type="http://schemas.openxmlformats.org/officeDocument/2006/relationships/hyperlink" Target="https://www.ncbi.nlm.nih.gov/pubmed/?term=Tinto%20H%5BAuthor%5D&amp;cauthor=true&amp;cauthor_uid=26833080" TargetMode="External"/><Relationship Id="rId26" Type="http://schemas.openxmlformats.org/officeDocument/2006/relationships/hyperlink" Target="https://www-ncbi-nlm-nih-gov.liverpool.idm.oclc.org/pubmed/?term=Abedin%20A%5BAuthor%5D&amp;cauthor=true&amp;cauthor_uid=2149908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bi.nlm.nih.gov/pubmed/?term=Naylor%20C%5BAuthor%5D&amp;cauthor=true&amp;cauthor_uid=24166957" TargetMode="External"/><Relationship Id="rId34" Type="http://schemas.openxmlformats.org/officeDocument/2006/relationships/hyperlink" Target="https://www-ncbi-nlm-nih-gov.liverpool.idm.oclc.org/pubmed/?term=Vitiello%20A%5BAuthor%5D&amp;cauthor=true&amp;cauthor_uid=15272866" TargetMode="External"/><Relationship Id="rId7" Type="http://schemas.openxmlformats.org/officeDocument/2006/relationships/endnotes" Target="endnotes.xml"/><Relationship Id="rId12" Type="http://schemas.openxmlformats.org/officeDocument/2006/relationships/hyperlink" Target="https://www-ncbi-nlm-nih-gov.liverpool.idm.oclc.org/pubmed/?term=Cutone+A%2C+lactoferrin+efficiently" TargetMode="External"/><Relationship Id="rId17" Type="http://schemas.openxmlformats.org/officeDocument/2006/relationships/hyperlink" Target="https://www.ncbi.nlm.nih.gov/pubmed/?term=D%26%23x02019%3BAlessandro%20U%5BAuthor%5D&amp;cauthor=true&amp;cauthor_uid=26833080" TargetMode="External"/><Relationship Id="rId25" Type="http://schemas.openxmlformats.org/officeDocument/2006/relationships/hyperlink" Target="https://www-ncbi-nlm-nih-gov.liverpool.idm.oclc.org/pubmed/?term=Mohammed%20I%5BAuthor%5D&amp;cauthor=true&amp;cauthor_uid=21499082" TargetMode="External"/><Relationship Id="rId33" Type="http://schemas.openxmlformats.org/officeDocument/2006/relationships/hyperlink" Target="https://www-ncbi-nlm-nih-gov.liverpool.idm.oclc.org/pubmed/?term=Dodge%20IL%5BAuthor%5D&amp;cauthor=true&amp;cauthor_uid=1527286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term=Claeys%20Y%5BAuthor%5D&amp;cauthor=true&amp;cauthor_uid=26833080" TargetMode="External"/><Relationship Id="rId20" Type="http://schemas.openxmlformats.org/officeDocument/2006/relationships/hyperlink" Target="https://www.ncbi.nlm.nih.gov/pubmed/?term=Guo%20X%5BAuthor%5D&amp;cauthor=true&amp;cauthor_uid=24166957" TargetMode="External"/><Relationship Id="rId29" Type="http://schemas.openxmlformats.org/officeDocument/2006/relationships/hyperlink" Target="https://www-ncbi-nlm-nih-gov.liverpool.idm.oclc.org/pubmed/?term=Otri%20AM%5BAuthor%5D&amp;cauthor=true&amp;cauthor_uid=21499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liverpool.idm.oclc.org/pubmed/28220120" TargetMode="External"/><Relationship Id="rId24" Type="http://schemas.openxmlformats.org/officeDocument/2006/relationships/hyperlink" Target="https://www.ncbi.nlm.nih.gov/pubmed/?term=Noor%20Z%5BAuthor%5D&amp;cauthor=true&amp;cauthor_uid=24166957" TargetMode="External"/><Relationship Id="rId32" Type="http://schemas.openxmlformats.org/officeDocument/2006/relationships/hyperlink" Target="https://www-ncbi-nlm-nih-gov.liverpool.idm.oclc.org/pubmed/?term=Liu%20X%5BAuthor%5D&amp;cauthor=true&amp;cauthor_uid=15272866"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pubmed/?term=Owens%20S%5BAuthor%5D&amp;cauthor=true&amp;cauthor_uid=26833080" TargetMode="External"/><Relationship Id="rId23" Type="http://schemas.openxmlformats.org/officeDocument/2006/relationships/hyperlink" Target="https://www.ncbi.nlm.nih.gov/pubmed/?term=Mackay%20D%5BAuthor%5D&amp;cauthor=true&amp;cauthor_uid=24166957" TargetMode="External"/><Relationship Id="rId28" Type="http://schemas.openxmlformats.org/officeDocument/2006/relationships/hyperlink" Target="https://www-ncbi-nlm-nih-gov.liverpool.idm.oclc.org/pubmed/?term=Abedin%20SA%5BAuthor%5D&amp;cauthor=true&amp;cauthor_uid=21499082" TargetMode="External"/><Relationship Id="rId36" Type="http://schemas.openxmlformats.org/officeDocument/2006/relationships/hyperlink" Target="https://www-ncbi-nlm-nih-gov.liverpool.idm.oclc.org/pubmed/?term=Motley+S%2C+simulataneous" TargetMode="External"/><Relationship Id="rId10" Type="http://schemas.openxmlformats.org/officeDocument/2006/relationships/hyperlink" Target="https://www-ncbi-nlm-nih-gov.liverpool.idm.oclc.org/pubmed/29545798" TargetMode="External"/><Relationship Id="rId19" Type="http://schemas.openxmlformats.org/officeDocument/2006/relationships/hyperlink" Target="https://doi.org/10.1371/" TargetMode="External"/><Relationship Id="rId31" Type="http://schemas.openxmlformats.org/officeDocument/2006/relationships/hyperlink" Target="https://www-ncbi-nlm-nih-gov.liverpool.idm.oclc.org/pubmed/?term=Morrow%20BJ%5BAuthor%5D&amp;cauthor=true&amp;cauthor_uid=15272866" TargetMode="External"/><Relationship Id="rId4" Type="http://schemas.openxmlformats.org/officeDocument/2006/relationships/settings" Target="settings.xml"/><Relationship Id="rId9" Type="http://schemas.openxmlformats.org/officeDocument/2006/relationships/hyperlink" Target="http://www.hepcidinanalysis.com" TargetMode="External"/><Relationship Id="rId14" Type="http://schemas.openxmlformats.org/officeDocument/2006/relationships/hyperlink" Target="https://www.ncbi.nlm.nih.gov/pubmed/?term=Gies%20S%5BAuthor%5D&amp;cauthor=true&amp;cauthor_uid=26833080" TargetMode="External"/><Relationship Id="rId22" Type="http://schemas.openxmlformats.org/officeDocument/2006/relationships/hyperlink" Target="https://www.ncbi.nlm.nih.gov/pubmed/?term=Buonomo%20EL%5BAuthor%5D&amp;cauthor=true&amp;cauthor_uid=24166957" TargetMode="External"/><Relationship Id="rId27" Type="http://schemas.openxmlformats.org/officeDocument/2006/relationships/hyperlink" Target="https://www-ncbi-nlm-nih-gov.liverpool.idm.oclc.org/pubmed/?term=Tsintzas%20K%5BAuthor%5D&amp;cauthor=true&amp;cauthor_uid=21499082" TargetMode="External"/><Relationship Id="rId30" Type="http://schemas.openxmlformats.org/officeDocument/2006/relationships/hyperlink" Target="https://www-ncbi-nlm-nih-gov.liverpool.idm.oclc.org/pubmed/?term=Hopkinson%20A%5BAuthor%5D&amp;cauthor=true&amp;cauthor_uid=21499082" TargetMode="External"/><Relationship Id="rId35" Type="http://schemas.openxmlformats.org/officeDocument/2006/relationships/hyperlink" Target="https://www-ncbi-nlm-nih-gov.liverpool.idm.oclc.org/pubmed/?term=Ward%20CK%5BAuthor%5D&amp;cauthor=true&amp;cauthor_uid=15272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C50D-2D84-4FF0-9CF7-DDAE8761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6749</Words>
  <Characters>38472</Characters>
  <Application>Microsoft Office Word</Application>
  <DocSecurity>0</DocSecurity>
  <Lines>320</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LSTM</Company>
  <LinksUpToDate>false</LinksUpToDate>
  <CharactersWithSpaces>45131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Bernard.Brabin</dc:creator>
  <cp:keywords/>
  <dc:description/>
  <cp:lastModifiedBy>Stacy Murtagh</cp:lastModifiedBy>
  <cp:revision>2</cp:revision>
  <cp:lastPrinted>2019-02-11T17:24:00Z</cp:lastPrinted>
  <dcterms:created xsi:type="dcterms:W3CDTF">2019-06-11T10:12:00Z</dcterms:created>
  <dcterms:modified xsi:type="dcterms:W3CDTF">2019-06-11T10:12:00Z</dcterms:modified>
</cp:coreProperties>
</file>