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77FA" w:rsidRPr="00361937" w:rsidRDefault="00AE77FA" w:rsidP="00A95E29">
      <w:pPr>
        <w:spacing w:line="480" w:lineRule="auto"/>
        <w:rPr>
          <w:b/>
        </w:rPr>
      </w:pPr>
      <w:r w:rsidRPr="00361937">
        <w:rPr>
          <w:b/>
        </w:rPr>
        <w:t xml:space="preserve">Efficacy and safety of dihydroartemisinin-piperaquine for treatment of </w:t>
      </w:r>
      <w:r w:rsidRPr="00361937">
        <w:rPr>
          <w:b/>
          <w:i/>
        </w:rPr>
        <w:t>Plasmodium falciparum</w:t>
      </w:r>
      <w:r w:rsidRPr="00361937">
        <w:rPr>
          <w:b/>
        </w:rPr>
        <w:t xml:space="preserve"> uncomplicated malaria in adult patients on antiretroviral therapy in Malawi and Mozambique: an open label non-</w:t>
      </w:r>
      <w:r w:rsidR="00A95E29" w:rsidRPr="00361937">
        <w:rPr>
          <w:b/>
        </w:rPr>
        <w:t>randomized interventional trial</w:t>
      </w:r>
    </w:p>
    <w:p w:rsidR="001322A5" w:rsidRPr="00361937" w:rsidRDefault="001322A5" w:rsidP="00A95E29">
      <w:pPr>
        <w:spacing w:line="480" w:lineRule="auto"/>
        <w:rPr>
          <w:b/>
          <w:szCs w:val="20"/>
          <w:lang w:eastAsia="en-GB"/>
        </w:rPr>
      </w:pPr>
    </w:p>
    <w:p w:rsidR="001322A5" w:rsidRPr="00361937" w:rsidRDefault="00DB4135" w:rsidP="00A95E29">
      <w:pPr>
        <w:spacing w:line="480" w:lineRule="auto"/>
        <w:rPr>
          <w:szCs w:val="20"/>
          <w:lang w:eastAsia="en-GB"/>
        </w:rPr>
      </w:pPr>
      <w:r w:rsidRPr="00361937">
        <w:rPr>
          <w:szCs w:val="20"/>
          <w:lang w:eastAsia="en-GB"/>
        </w:rPr>
        <w:t>Esperanç</w:t>
      </w:r>
      <w:r w:rsidR="00AB68A0" w:rsidRPr="00361937">
        <w:rPr>
          <w:szCs w:val="20"/>
          <w:lang w:eastAsia="en-GB"/>
        </w:rPr>
        <w:t>a</w:t>
      </w:r>
      <w:r w:rsidR="001322A5" w:rsidRPr="00361937">
        <w:rPr>
          <w:szCs w:val="20"/>
          <w:lang w:eastAsia="en-GB"/>
        </w:rPr>
        <w:t xml:space="preserve"> Sevene</w:t>
      </w:r>
      <w:r w:rsidR="00A95E29" w:rsidRPr="00361937">
        <w:rPr>
          <w:szCs w:val="20"/>
          <w:lang w:eastAsia="en-GB"/>
        </w:rPr>
        <w:t>#</w:t>
      </w:r>
      <w:r w:rsidR="006D2BD2" w:rsidRPr="00361937">
        <w:rPr>
          <w:szCs w:val="20"/>
          <w:vertAlign w:val="superscript"/>
          <w:lang w:eastAsia="en-GB"/>
        </w:rPr>
        <w:t>1</w:t>
      </w:r>
      <w:r w:rsidRPr="00361937">
        <w:rPr>
          <w:szCs w:val="20"/>
          <w:vertAlign w:val="superscript"/>
          <w:lang w:eastAsia="en-GB"/>
        </w:rPr>
        <w:t>,2</w:t>
      </w:r>
      <w:r w:rsidR="00A95E29" w:rsidRPr="00361937">
        <w:rPr>
          <w:szCs w:val="20"/>
          <w:vertAlign w:val="superscript"/>
          <w:lang w:eastAsia="en-GB"/>
        </w:rPr>
        <w:t>,*</w:t>
      </w:r>
      <w:r w:rsidR="001322A5" w:rsidRPr="00361937">
        <w:rPr>
          <w:szCs w:val="20"/>
          <w:lang w:eastAsia="en-GB"/>
        </w:rPr>
        <w:t>, Clifford G</w:t>
      </w:r>
      <w:r w:rsidR="00A95E29" w:rsidRPr="00361937">
        <w:rPr>
          <w:szCs w:val="20"/>
          <w:lang w:eastAsia="en-GB"/>
        </w:rPr>
        <w:t>.</w:t>
      </w:r>
      <w:r w:rsidR="001322A5" w:rsidRPr="00361937">
        <w:rPr>
          <w:szCs w:val="20"/>
          <w:lang w:eastAsia="en-GB"/>
        </w:rPr>
        <w:t xml:space="preserve"> Banda</w:t>
      </w:r>
      <w:r w:rsidR="00A95E29" w:rsidRPr="00361937">
        <w:rPr>
          <w:szCs w:val="20"/>
          <w:lang w:eastAsia="en-GB"/>
        </w:rPr>
        <w:t>#</w:t>
      </w:r>
      <w:r w:rsidRPr="00361937">
        <w:rPr>
          <w:szCs w:val="20"/>
          <w:vertAlign w:val="superscript"/>
          <w:lang w:eastAsia="en-GB"/>
        </w:rPr>
        <w:t>3</w:t>
      </w:r>
      <w:r w:rsidR="006D2BD2" w:rsidRPr="00361937">
        <w:rPr>
          <w:szCs w:val="20"/>
          <w:vertAlign w:val="superscript"/>
          <w:lang w:eastAsia="en-GB"/>
        </w:rPr>
        <w:t>,</w:t>
      </w:r>
      <w:r w:rsidRPr="00361937">
        <w:rPr>
          <w:szCs w:val="20"/>
          <w:vertAlign w:val="superscript"/>
          <w:lang w:eastAsia="en-GB"/>
        </w:rPr>
        <w:t>4</w:t>
      </w:r>
      <w:r w:rsidR="001322A5" w:rsidRPr="00361937">
        <w:rPr>
          <w:szCs w:val="20"/>
          <w:lang w:eastAsia="en-GB"/>
        </w:rPr>
        <w:t>, Mavuto Mukaka</w:t>
      </w:r>
      <w:r w:rsidRPr="00361937">
        <w:rPr>
          <w:szCs w:val="20"/>
          <w:vertAlign w:val="superscript"/>
          <w:lang w:eastAsia="en-GB"/>
        </w:rPr>
        <w:t>3</w:t>
      </w:r>
      <w:r w:rsidR="006D2BD2" w:rsidRPr="00361937">
        <w:rPr>
          <w:szCs w:val="20"/>
          <w:vertAlign w:val="superscript"/>
          <w:lang w:eastAsia="en-GB"/>
        </w:rPr>
        <w:t>,5</w:t>
      </w:r>
      <w:r w:rsidR="00EF02B4" w:rsidRPr="00361937">
        <w:rPr>
          <w:szCs w:val="20"/>
          <w:vertAlign w:val="superscript"/>
          <w:lang w:eastAsia="en-GB"/>
        </w:rPr>
        <w:t>,6</w:t>
      </w:r>
      <w:r w:rsidR="001322A5" w:rsidRPr="00361937">
        <w:rPr>
          <w:szCs w:val="20"/>
          <w:lang w:eastAsia="en-GB"/>
        </w:rPr>
        <w:t>, Sonia Maculuve</w:t>
      </w:r>
      <w:r w:rsidR="006D2BD2" w:rsidRPr="00361937">
        <w:rPr>
          <w:szCs w:val="20"/>
          <w:vertAlign w:val="superscript"/>
          <w:lang w:eastAsia="en-GB"/>
        </w:rPr>
        <w:t>1</w:t>
      </w:r>
      <w:r w:rsidR="001322A5" w:rsidRPr="00361937">
        <w:rPr>
          <w:szCs w:val="20"/>
          <w:lang w:eastAsia="en-GB"/>
        </w:rPr>
        <w:t xml:space="preserve">, </w:t>
      </w:r>
      <w:r w:rsidR="0094600D" w:rsidRPr="00361937">
        <w:rPr>
          <w:szCs w:val="20"/>
          <w:lang w:eastAsia="en-GB"/>
        </w:rPr>
        <w:t>Salésio Macuacua</w:t>
      </w:r>
      <w:r w:rsidR="0094600D" w:rsidRPr="00361937">
        <w:rPr>
          <w:szCs w:val="20"/>
          <w:vertAlign w:val="superscript"/>
          <w:lang w:eastAsia="en-GB"/>
        </w:rPr>
        <w:t>1</w:t>
      </w:r>
      <w:r w:rsidR="0094600D" w:rsidRPr="00361937">
        <w:rPr>
          <w:szCs w:val="20"/>
          <w:lang w:eastAsia="en-GB"/>
        </w:rPr>
        <w:t xml:space="preserve">, </w:t>
      </w:r>
      <w:r w:rsidRPr="00361937">
        <w:rPr>
          <w:szCs w:val="20"/>
          <w:lang w:eastAsia="en-GB"/>
        </w:rPr>
        <w:t>Anifa Vala</w:t>
      </w:r>
      <w:r w:rsidRPr="00361937">
        <w:rPr>
          <w:szCs w:val="20"/>
          <w:vertAlign w:val="superscript"/>
          <w:lang w:eastAsia="en-GB"/>
        </w:rPr>
        <w:t>1</w:t>
      </w:r>
      <w:r w:rsidR="001322A5" w:rsidRPr="00361937">
        <w:rPr>
          <w:szCs w:val="20"/>
          <w:lang w:eastAsia="en-GB"/>
        </w:rPr>
        <w:t xml:space="preserve">, </w:t>
      </w:r>
      <w:r w:rsidR="00AB68A0" w:rsidRPr="00361937">
        <w:rPr>
          <w:szCs w:val="20"/>
          <w:lang w:eastAsia="en-GB"/>
        </w:rPr>
        <w:t>Mireia Piqueras</w:t>
      </w:r>
      <w:r w:rsidR="00AB68A0" w:rsidRPr="00361937">
        <w:rPr>
          <w:szCs w:val="20"/>
          <w:vertAlign w:val="superscript"/>
          <w:lang w:eastAsia="en-GB"/>
        </w:rPr>
        <w:t>7</w:t>
      </w:r>
      <w:r w:rsidR="001322A5" w:rsidRPr="00361937">
        <w:rPr>
          <w:szCs w:val="20"/>
          <w:lang w:eastAsia="en-GB"/>
        </w:rPr>
        <w:t>, Linda Kalilani-Phiri</w:t>
      </w:r>
      <w:r w:rsidRPr="00361937">
        <w:rPr>
          <w:szCs w:val="20"/>
          <w:vertAlign w:val="superscript"/>
          <w:lang w:eastAsia="en-GB"/>
        </w:rPr>
        <w:t>3</w:t>
      </w:r>
      <w:r w:rsidR="001322A5" w:rsidRPr="00361937">
        <w:rPr>
          <w:szCs w:val="20"/>
          <w:lang w:eastAsia="en-GB"/>
        </w:rPr>
        <w:t xml:space="preserve">, </w:t>
      </w:r>
      <w:r w:rsidR="002E1091" w:rsidRPr="00361937">
        <w:rPr>
          <w:szCs w:val="20"/>
          <w:lang w:eastAsia="en-GB"/>
        </w:rPr>
        <w:t>Jane Mallewa</w:t>
      </w:r>
      <w:r w:rsidRPr="00361937">
        <w:rPr>
          <w:szCs w:val="20"/>
          <w:vertAlign w:val="superscript"/>
          <w:lang w:eastAsia="en-GB"/>
        </w:rPr>
        <w:t>3</w:t>
      </w:r>
      <w:r w:rsidR="006D2BD2" w:rsidRPr="00361937">
        <w:rPr>
          <w:szCs w:val="20"/>
          <w:vertAlign w:val="superscript"/>
          <w:lang w:eastAsia="en-GB"/>
        </w:rPr>
        <w:t>,</w:t>
      </w:r>
      <w:r w:rsidRPr="00361937">
        <w:rPr>
          <w:szCs w:val="20"/>
          <w:vertAlign w:val="superscript"/>
          <w:lang w:eastAsia="en-GB"/>
        </w:rPr>
        <w:t>4</w:t>
      </w:r>
      <w:r w:rsidR="002E1091" w:rsidRPr="00361937">
        <w:rPr>
          <w:szCs w:val="20"/>
          <w:lang w:eastAsia="en-GB"/>
        </w:rPr>
        <w:t xml:space="preserve">, </w:t>
      </w:r>
      <w:r w:rsidR="000B2CD6" w:rsidRPr="00361937">
        <w:rPr>
          <w:szCs w:val="20"/>
          <w:lang w:eastAsia="en-GB"/>
        </w:rPr>
        <w:t>Dianne J</w:t>
      </w:r>
      <w:r w:rsidR="00A95E29" w:rsidRPr="00361937">
        <w:rPr>
          <w:szCs w:val="20"/>
          <w:lang w:eastAsia="en-GB"/>
        </w:rPr>
        <w:t>.</w:t>
      </w:r>
      <w:r w:rsidR="000B2CD6" w:rsidRPr="00361937">
        <w:rPr>
          <w:szCs w:val="20"/>
          <w:lang w:eastAsia="en-GB"/>
        </w:rPr>
        <w:t xml:space="preserve"> Terlouw</w:t>
      </w:r>
      <w:r w:rsidRPr="00361937">
        <w:rPr>
          <w:szCs w:val="20"/>
          <w:vertAlign w:val="superscript"/>
          <w:lang w:eastAsia="en-GB"/>
        </w:rPr>
        <w:t>3,4</w:t>
      </w:r>
      <w:r w:rsidR="006D2BD2" w:rsidRPr="00361937">
        <w:rPr>
          <w:szCs w:val="20"/>
          <w:vertAlign w:val="superscript"/>
          <w:lang w:eastAsia="en-GB"/>
        </w:rPr>
        <w:t>,</w:t>
      </w:r>
      <w:r w:rsidR="00EF02B4" w:rsidRPr="00361937">
        <w:rPr>
          <w:szCs w:val="20"/>
          <w:vertAlign w:val="superscript"/>
          <w:lang w:eastAsia="en-GB"/>
        </w:rPr>
        <w:t>8</w:t>
      </w:r>
      <w:r w:rsidR="000B2CD6" w:rsidRPr="00361937">
        <w:rPr>
          <w:szCs w:val="20"/>
          <w:lang w:eastAsia="en-GB"/>
        </w:rPr>
        <w:t xml:space="preserve">, </w:t>
      </w:r>
      <w:r w:rsidR="001322A5" w:rsidRPr="00361937">
        <w:rPr>
          <w:szCs w:val="20"/>
          <w:lang w:eastAsia="en-GB"/>
        </w:rPr>
        <w:t>Saye H</w:t>
      </w:r>
      <w:r w:rsidR="00A95E29" w:rsidRPr="00361937">
        <w:rPr>
          <w:szCs w:val="20"/>
          <w:lang w:eastAsia="en-GB"/>
        </w:rPr>
        <w:t>,</w:t>
      </w:r>
      <w:r w:rsidR="001322A5" w:rsidRPr="00361937">
        <w:rPr>
          <w:szCs w:val="20"/>
          <w:lang w:eastAsia="en-GB"/>
        </w:rPr>
        <w:t xml:space="preserve"> Khoo</w:t>
      </w:r>
      <w:r w:rsidR="00EF02B4" w:rsidRPr="00361937">
        <w:rPr>
          <w:szCs w:val="20"/>
          <w:vertAlign w:val="superscript"/>
          <w:lang w:eastAsia="en-GB"/>
        </w:rPr>
        <w:t>9</w:t>
      </w:r>
      <w:r w:rsidRPr="00361937">
        <w:rPr>
          <w:szCs w:val="20"/>
          <w:vertAlign w:val="superscript"/>
          <w:lang w:eastAsia="en-GB"/>
        </w:rPr>
        <w:t>,</w:t>
      </w:r>
      <w:r w:rsidR="00EF02B4" w:rsidRPr="00361937">
        <w:rPr>
          <w:szCs w:val="20"/>
          <w:vertAlign w:val="superscript"/>
          <w:lang w:eastAsia="en-GB"/>
        </w:rPr>
        <w:t>10</w:t>
      </w:r>
      <w:r w:rsidR="001322A5" w:rsidRPr="00361937">
        <w:rPr>
          <w:szCs w:val="20"/>
          <w:lang w:eastAsia="en-GB"/>
        </w:rPr>
        <w:t>, David G</w:t>
      </w:r>
      <w:r w:rsidR="00A95E29" w:rsidRPr="00361937">
        <w:rPr>
          <w:szCs w:val="20"/>
          <w:lang w:eastAsia="en-GB"/>
        </w:rPr>
        <w:t>.</w:t>
      </w:r>
      <w:r w:rsidR="001322A5" w:rsidRPr="00361937">
        <w:rPr>
          <w:szCs w:val="20"/>
          <w:lang w:eastAsia="en-GB"/>
        </w:rPr>
        <w:t xml:space="preserve"> Lalloo</w:t>
      </w:r>
      <w:r w:rsidR="00EF02B4" w:rsidRPr="00361937">
        <w:rPr>
          <w:szCs w:val="20"/>
          <w:vertAlign w:val="superscript"/>
          <w:lang w:eastAsia="en-GB"/>
        </w:rPr>
        <w:t>8</w:t>
      </w:r>
      <w:r w:rsidR="004F439E" w:rsidRPr="00361937">
        <w:rPr>
          <w:szCs w:val="20"/>
          <w:vertAlign w:val="superscript"/>
          <w:lang w:eastAsia="en-GB"/>
        </w:rPr>
        <w:t>,</w:t>
      </w:r>
      <w:r w:rsidR="00EF02B4" w:rsidRPr="00361937">
        <w:rPr>
          <w:szCs w:val="20"/>
          <w:vertAlign w:val="superscript"/>
          <w:lang w:eastAsia="en-GB"/>
        </w:rPr>
        <w:t>10</w:t>
      </w:r>
      <w:r w:rsidR="001322A5" w:rsidRPr="00361937">
        <w:rPr>
          <w:szCs w:val="20"/>
          <w:lang w:eastAsia="en-GB"/>
        </w:rPr>
        <w:t>, Victor Mwapasa</w:t>
      </w:r>
      <w:r w:rsidRPr="00361937">
        <w:rPr>
          <w:szCs w:val="20"/>
          <w:vertAlign w:val="superscript"/>
          <w:lang w:eastAsia="en-GB"/>
        </w:rPr>
        <w:t>3</w:t>
      </w:r>
      <w:r w:rsidR="006D2BD2" w:rsidRPr="00361937">
        <w:rPr>
          <w:szCs w:val="20"/>
          <w:vertAlign w:val="superscript"/>
          <w:lang w:eastAsia="en-GB"/>
        </w:rPr>
        <w:t>,</w:t>
      </w:r>
      <w:r w:rsidRPr="00361937">
        <w:rPr>
          <w:szCs w:val="20"/>
          <w:vertAlign w:val="superscript"/>
          <w:lang w:eastAsia="en-GB"/>
        </w:rPr>
        <w:t>4</w:t>
      </w:r>
      <w:r w:rsidR="00A95E29" w:rsidRPr="00361937">
        <w:rPr>
          <w:szCs w:val="20"/>
          <w:vertAlign w:val="superscript"/>
          <w:lang w:eastAsia="en-GB"/>
        </w:rPr>
        <w:t>,*</w:t>
      </w:r>
    </w:p>
    <w:p w:rsidR="001322A5" w:rsidRPr="00361937" w:rsidRDefault="001322A5" w:rsidP="00A95E29">
      <w:pPr>
        <w:spacing w:line="480" w:lineRule="auto"/>
        <w:rPr>
          <w:b/>
          <w:szCs w:val="20"/>
          <w:lang w:eastAsia="en-GB"/>
        </w:rPr>
      </w:pPr>
    </w:p>
    <w:p w:rsidR="00AB68A0" w:rsidRPr="00361937" w:rsidRDefault="00AB68A0" w:rsidP="00A95E29">
      <w:pPr>
        <w:pStyle w:val="ListParagraph"/>
        <w:numPr>
          <w:ilvl w:val="0"/>
          <w:numId w:val="13"/>
        </w:numPr>
        <w:spacing w:line="480" w:lineRule="auto"/>
        <w:rPr>
          <w:rFonts w:ascii="Times New Roman" w:eastAsia="Times New Roman" w:hAnsi="Times New Roman" w:cs="Times New Roman"/>
          <w:szCs w:val="20"/>
          <w:lang w:val="pt-PT" w:eastAsia="en-GB"/>
        </w:rPr>
      </w:pPr>
      <w:r w:rsidRPr="00361937">
        <w:rPr>
          <w:rFonts w:ascii="Times New Roman" w:eastAsia="Times New Roman" w:hAnsi="Times New Roman" w:cs="Times New Roman"/>
          <w:szCs w:val="20"/>
          <w:lang w:val="pt-PT" w:eastAsia="en-GB"/>
        </w:rPr>
        <w:t>Centro de Investigação em Saúde de Manhiça (CISM), Maputo, Mozambique</w:t>
      </w:r>
    </w:p>
    <w:p w:rsidR="00DB4135" w:rsidRPr="00361937" w:rsidRDefault="00DB4135" w:rsidP="00A95E29">
      <w:pPr>
        <w:pStyle w:val="ListParagraph"/>
        <w:numPr>
          <w:ilvl w:val="0"/>
          <w:numId w:val="13"/>
        </w:numPr>
        <w:spacing w:line="480" w:lineRule="auto"/>
        <w:rPr>
          <w:rFonts w:ascii="Times New Roman" w:eastAsia="Times New Roman" w:hAnsi="Times New Roman" w:cs="Times New Roman"/>
          <w:szCs w:val="20"/>
          <w:lang w:eastAsia="en-GB"/>
        </w:rPr>
      </w:pPr>
      <w:r w:rsidRPr="00361937">
        <w:rPr>
          <w:rFonts w:ascii="Times New Roman" w:eastAsia="Times New Roman" w:hAnsi="Times New Roman" w:cs="Times New Roman"/>
          <w:szCs w:val="20"/>
          <w:lang w:eastAsia="en-GB"/>
        </w:rPr>
        <w:t>Eduardo Mondlane University, Maputo, Mozambique</w:t>
      </w:r>
    </w:p>
    <w:p w:rsidR="006D2BD2" w:rsidRPr="00361937" w:rsidRDefault="006D2BD2" w:rsidP="00A95E29">
      <w:pPr>
        <w:pStyle w:val="ListParagraph"/>
        <w:numPr>
          <w:ilvl w:val="0"/>
          <w:numId w:val="13"/>
        </w:numPr>
        <w:spacing w:line="480" w:lineRule="auto"/>
        <w:rPr>
          <w:rFonts w:ascii="Times New Roman" w:eastAsia="Times New Roman" w:hAnsi="Times New Roman" w:cs="Times New Roman"/>
          <w:szCs w:val="20"/>
          <w:lang w:eastAsia="en-GB"/>
        </w:rPr>
      </w:pPr>
      <w:r w:rsidRPr="00361937">
        <w:rPr>
          <w:rFonts w:ascii="Times New Roman" w:eastAsia="Times New Roman" w:hAnsi="Times New Roman" w:cs="Times New Roman"/>
          <w:szCs w:val="20"/>
          <w:lang w:eastAsia="en-GB"/>
        </w:rPr>
        <w:t>University of Malawi, College of Medicine</w:t>
      </w:r>
      <w:r w:rsidR="007D1A9A" w:rsidRPr="00361937">
        <w:rPr>
          <w:rFonts w:ascii="Times New Roman" w:eastAsia="Times New Roman" w:hAnsi="Times New Roman" w:cs="Times New Roman"/>
          <w:szCs w:val="20"/>
          <w:lang w:eastAsia="en-GB"/>
        </w:rPr>
        <w:t>, Blantyre, Malawi</w:t>
      </w:r>
    </w:p>
    <w:p w:rsidR="006D2BD2" w:rsidRPr="00361937" w:rsidRDefault="006D2BD2" w:rsidP="00A95E29">
      <w:pPr>
        <w:pStyle w:val="ListParagraph"/>
        <w:numPr>
          <w:ilvl w:val="0"/>
          <w:numId w:val="13"/>
        </w:numPr>
        <w:spacing w:line="480" w:lineRule="auto"/>
        <w:rPr>
          <w:rFonts w:ascii="Times New Roman" w:eastAsia="Times New Roman" w:hAnsi="Times New Roman" w:cs="Times New Roman"/>
          <w:szCs w:val="20"/>
          <w:lang w:eastAsia="en-GB"/>
        </w:rPr>
      </w:pPr>
      <w:r w:rsidRPr="00361937">
        <w:rPr>
          <w:rFonts w:ascii="Times New Roman" w:eastAsia="Times New Roman" w:hAnsi="Times New Roman" w:cs="Times New Roman"/>
          <w:szCs w:val="20"/>
          <w:lang w:eastAsia="en-GB"/>
        </w:rPr>
        <w:t>Malawi Liverpool Wellcome Tr</w:t>
      </w:r>
      <w:r w:rsidR="007D1A9A" w:rsidRPr="00361937">
        <w:rPr>
          <w:rFonts w:ascii="Times New Roman" w:eastAsia="Times New Roman" w:hAnsi="Times New Roman" w:cs="Times New Roman"/>
          <w:szCs w:val="20"/>
          <w:lang w:eastAsia="en-GB"/>
        </w:rPr>
        <w:t>ust Clinical Research Programme, Blantyre, Malawi</w:t>
      </w:r>
    </w:p>
    <w:p w:rsidR="004456E5" w:rsidRPr="00361937" w:rsidRDefault="004456E5" w:rsidP="00A95E29">
      <w:pPr>
        <w:pStyle w:val="ListParagraph"/>
        <w:numPr>
          <w:ilvl w:val="0"/>
          <w:numId w:val="13"/>
        </w:numPr>
        <w:spacing w:line="480" w:lineRule="auto"/>
        <w:rPr>
          <w:rFonts w:ascii="Times New Roman" w:eastAsia="Times New Roman" w:hAnsi="Times New Roman" w:cs="Times New Roman"/>
          <w:szCs w:val="20"/>
          <w:lang w:val="en-GB"/>
        </w:rPr>
      </w:pPr>
      <w:r w:rsidRPr="00361937">
        <w:rPr>
          <w:rFonts w:ascii="Times New Roman" w:eastAsia="Times New Roman" w:hAnsi="Times New Roman" w:cs="Times New Roman"/>
          <w:szCs w:val="20"/>
          <w:lang w:val="en-GB"/>
        </w:rPr>
        <w:t xml:space="preserve">Oxford Centre for Tropical Medicine and Global Health, Oxford, </w:t>
      </w:r>
      <w:r w:rsidR="00A95E29" w:rsidRPr="00361937">
        <w:rPr>
          <w:rFonts w:ascii="Times New Roman" w:eastAsia="Times New Roman" w:hAnsi="Times New Roman" w:cs="Times New Roman"/>
          <w:szCs w:val="20"/>
          <w:lang w:val="en-GB"/>
        </w:rPr>
        <w:t>UK</w:t>
      </w:r>
    </w:p>
    <w:p w:rsidR="00EF02B4" w:rsidRPr="00361937" w:rsidRDefault="00EF02B4" w:rsidP="00A95E29">
      <w:pPr>
        <w:pStyle w:val="ListParagraph"/>
        <w:numPr>
          <w:ilvl w:val="0"/>
          <w:numId w:val="13"/>
        </w:numPr>
        <w:spacing w:line="480" w:lineRule="auto"/>
        <w:rPr>
          <w:rFonts w:ascii="Times New Roman" w:eastAsia="Times New Roman" w:hAnsi="Times New Roman" w:cs="Times New Roman"/>
          <w:szCs w:val="20"/>
          <w:lang w:val="en-GB"/>
        </w:rPr>
      </w:pPr>
      <w:r w:rsidRPr="00361937">
        <w:rPr>
          <w:rFonts w:ascii="Times New Roman" w:eastAsia="Times New Roman" w:hAnsi="Times New Roman" w:cs="Times New Roman"/>
          <w:szCs w:val="20"/>
          <w:lang w:val="en-GB"/>
        </w:rPr>
        <w:t>Mahidol-Oxford Tropical Medicine Research Unit, Bangkok, Thailand</w:t>
      </w:r>
    </w:p>
    <w:p w:rsidR="004456E5" w:rsidRPr="00361937" w:rsidRDefault="00EF02B4" w:rsidP="00A95E29">
      <w:pPr>
        <w:pStyle w:val="ListParagraph"/>
        <w:numPr>
          <w:ilvl w:val="0"/>
          <w:numId w:val="13"/>
        </w:numPr>
        <w:spacing w:line="480" w:lineRule="auto"/>
        <w:rPr>
          <w:rFonts w:ascii="Times New Roman" w:eastAsia="Times New Roman" w:hAnsi="Times New Roman" w:cs="Times New Roman"/>
          <w:szCs w:val="20"/>
          <w:lang w:val="en-GB"/>
        </w:rPr>
      </w:pPr>
      <w:r w:rsidRPr="00361937">
        <w:rPr>
          <w:rFonts w:ascii="Times New Roman" w:eastAsia="Times New Roman" w:hAnsi="Times New Roman" w:cs="Times New Roman"/>
          <w:szCs w:val="20"/>
          <w:lang w:val="en-GB"/>
        </w:rPr>
        <w:t xml:space="preserve">Institute for Global Health, </w:t>
      </w:r>
      <w:r w:rsidR="00AB68A0" w:rsidRPr="00361937">
        <w:rPr>
          <w:rFonts w:ascii="Times New Roman" w:eastAsia="Times New Roman" w:hAnsi="Times New Roman" w:cs="Times New Roman"/>
          <w:szCs w:val="20"/>
          <w:lang w:val="es-ES" w:eastAsia="en-GB"/>
        </w:rPr>
        <w:t>Universitat de Barcelona, Barcelona, Spain</w:t>
      </w:r>
      <w:r w:rsidR="00AB68A0" w:rsidRPr="00361937">
        <w:rPr>
          <w:rFonts w:ascii="Times New Roman" w:eastAsia="Times New Roman" w:hAnsi="Times New Roman" w:cs="Times New Roman"/>
          <w:szCs w:val="20"/>
          <w:lang w:val="en-GB"/>
        </w:rPr>
        <w:t xml:space="preserve"> </w:t>
      </w:r>
    </w:p>
    <w:p w:rsidR="00BE1151" w:rsidRPr="00361937" w:rsidRDefault="00BE1151" w:rsidP="00A95E29">
      <w:pPr>
        <w:pStyle w:val="ListParagraph"/>
        <w:numPr>
          <w:ilvl w:val="0"/>
          <w:numId w:val="13"/>
        </w:numPr>
        <w:spacing w:line="480" w:lineRule="auto"/>
        <w:rPr>
          <w:rFonts w:ascii="Times New Roman" w:eastAsia="Times New Roman" w:hAnsi="Times New Roman" w:cs="Times New Roman"/>
          <w:szCs w:val="20"/>
          <w:lang w:eastAsia="en-GB"/>
        </w:rPr>
      </w:pPr>
      <w:r w:rsidRPr="00361937">
        <w:rPr>
          <w:rFonts w:ascii="Times New Roman" w:eastAsia="Times New Roman" w:hAnsi="Times New Roman" w:cs="Times New Roman"/>
          <w:szCs w:val="20"/>
          <w:lang w:eastAsia="en-GB"/>
        </w:rPr>
        <w:t>Liverp</w:t>
      </w:r>
      <w:r w:rsidR="007D1A9A" w:rsidRPr="00361937">
        <w:rPr>
          <w:rFonts w:ascii="Times New Roman" w:eastAsia="Times New Roman" w:hAnsi="Times New Roman" w:cs="Times New Roman"/>
          <w:szCs w:val="20"/>
          <w:lang w:eastAsia="en-GB"/>
        </w:rPr>
        <w:t xml:space="preserve">ool School of Tropical Medicine, Liverpool, </w:t>
      </w:r>
      <w:r w:rsidR="00A95E29" w:rsidRPr="00361937">
        <w:rPr>
          <w:rFonts w:ascii="Times New Roman" w:eastAsia="Times New Roman" w:hAnsi="Times New Roman" w:cs="Times New Roman"/>
          <w:szCs w:val="20"/>
          <w:lang w:eastAsia="en-GB"/>
        </w:rPr>
        <w:t>UK</w:t>
      </w:r>
    </w:p>
    <w:p w:rsidR="00BE1151" w:rsidRPr="00361937" w:rsidRDefault="007D1A9A" w:rsidP="00A95E29">
      <w:pPr>
        <w:pStyle w:val="ListParagraph"/>
        <w:numPr>
          <w:ilvl w:val="0"/>
          <w:numId w:val="13"/>
        </w:numPr>
        <w:spacing w:line="480" w:lineRule="auto"/>
        <w:rPr>
          <w:rFonts w:ascii="Times New Roman" w:eastAsia="Times New Roman" w:hAnsi="Times New Roman" w:cs="Times New Roman"/>
          <w:szCs w:val="20"/>
          <w:lang w:eastAsia="en-GB"/>
        </w:rPr>
      </w:pPr>
      <w:r w:rsidRPr="00361937">
        <w:rPr>
          <w:rFonts w:ascii="Times New Roman" w:eastAsia="Times New Roman" w:hAnsi="Times New Roman" w:cs="Times New Roman"/>
          <w:szCs w:val="20"/>
          <w:lang w:eastAsia="en-GB"/>
        </w:rPr>
        <w:t xml:space="preserve">University of Liverpool, Liverpool, </w:t>
      </w:r>
      <w:r w:rsidR="00A95E29" w:rsidRPr="00361937">
        <w:rPr>
          <w:rFonts w:ascii="Times New Roman" w:eastAsia="Times New Roman" w:hAnsi="Times New Roman" w:cs="Times New Roman"/>
          <w:szCs w:val="20"/>
          <w:lang w:eastAsia="en-GB"/>
        </w:rPr>
        <w:t>UK</w:t>
      </w:r>
    </w:p>
    <w:p w:rsidR="009006BA" w:rsidRPr="00361937" w:rsidRDefault="004F439E" w:rsidP="00A95E29">
      <w:pPr>
        <w:pStyle w:val="ListParagraph"/>
        <w:numPr>
          <w:ilvl w:val="0"/>
          <w:numId w:val="13"/>
        </w:numPr>
        <w:spacing w:line="480" w:lineRule="auto"/>
        <w:rPr>
          <w:rFonts w:ascii="Times New Roman" w:eastAsia="Times New Roman" w:hAnsi="Times New Roman" w:cs="Times New Roman"/>
          <w:szCs w:val="20"/>
          <w:lang w:eastAsia="en-GB"/>
        </w:rPr>
      </w:pPr>
      <w:r w:rsidRPr="00361937">
        <w:rPr>
          <w:rFonts w:ascii="Times New Roman" w:eastAsia="Times New Roman" w:hAnsi="Times New Roman" w:cs="Times New Roman"/>
          <w:szCs w:val="20"/>
          <w:lang w:eastAsia="en-GB"/>
        </w:rPr>
        <w:t xml:space="preserve">Tropical and Infectious Diseases Unit, Royal Liverpool University Hospital, </w:t>
      </w:r>
      <w:r w:rsidR="00A95E29" w:rsidRPr="00361937">
        <w:rPr>
          <w:rFonts w:ascii="Times New Roman" w:eastAsia="Times New Roman" w:hAnsi="Times New Roman" w:cs="Times New Roman"/>
          <w:szCs w:val="20"/>
          <w:lang w:eastAsia="en-GB"/>
        </w:rPr>
        <w:t>UK</w:t>
      </w:r>
      <w:r w:rsidR="00AB68A0" w:rsidRPr="00361937">
        <w:rPr>
          <w:rFonts w:ascii="Times New Roman" w:eastAsia="Times New Roman" w:hAnsi="Times New Roman" w:cs="Times New Roman"/>
          <w:szCs w:val="20"/>
          <w:lang w:eastAsia="en-GB"/>
        </w:rPr>
        <w:t xml:space="preserve"> </w:t>
      </w:r>
    </w:p>
    <w:p w:rsidR="0079735B" w:rsidRPr="00361937" w:rsidRDefault="0079735B" w:rsidP="00A95E29">
      <w:pPr>
        <w:pStyle w:val="ListParagraph"/>
        <w:spacing w:line="480" w:lineRule="auto"/>
        <w:rPr>
          <w:rFonts w:ascii="Times New Roman" w:eastAsia="Times New Roman" w:hAnsi="Times New Roman" w:cs="Times New Roman"/>
          <w:szCs w:val="20"/>
          <w:lang w:eastAsia="en-GB"/>
        </w:rPr>
      </w:pPr>
    </w:p>
    <w:p w:rsidR="00BD42B0" w:rsidRPr="00361937" w:rsidRDefault="00A95E29" w:rsidP="00A95E29">
      <w:pPr>
        <w:spacing w:line="480" w:lineRule="auto"/>
      </w:pPr>
      <w:r w:rsidRPr="00361937">
        <w:t>#These a</w:t>
      </w:r>
      <w:r w:rsidR="00BD42B0" w:rsidRPr="00361937">
        <w:t>uthor</w:t>
      </w:r>
      <w:r w:rsidRPr="00361937">
        <w:t>s</w:t>
      </w:r>
      <w:r w:rsidR="00BD42B0" w:rsidRPr="00361937">
        <w:t xml:space="preserve"> contributed equally to this manuscript </w:t>
      </w:r>
    </w:p>
    <w:p w:rsidR="009B7158" w:rsidRPr="00361937" w:rsidRDefault="009B7158" w:rsidP="00A95E29">
      <w:pPr>
        <w:spacing w:line="480" w:lineRule="auto"/>
        <w:outlineLvl w:val="0"/>
        <w:rPr>
          <w:b/>
          <w:lang w:eastAsia="en-GB"/>
        </w:rPr>
      </w:pPr>
    </w:p>
    <w:p w:rsidR="00D41E9D" w:rsidRPr="00361937" w:rsidRDefault="00D41E9D" w:rsidP="00A95E29">
      <w:pPr>
        <w:spacing w:line="480" w:lineRule="auto"/>
        <w:outlineLvl w:val="0"/>
        <w:rPr>
          <w:b/>
          <w:lang w:eastAsia="en-GB"/>
        </w:rPr>
      </w:pPr>
    </w:p>
    <w:p w:rsidR="00F2792B" w:rsidRPr="00361937" w:rsidRDefault="00A95E29" w:rsidP="00A95E29">
      <w:pPr>
        <w:spacing w:line="480" w:lineRule="auto"/>
        <w:outlineLvl w:val="0"/>
        <w:rPr>
          <w:b/>
          <w:lang w:eastAsia="en-GB"/>
        </w:rPr>
      </w:pPr>
      <w:r w:rsidRPr="00361937">
        <w:rPr>
          <w:b/>
          <w:lang w:eastAsia="en-GB"/>
        </w:rPr>
        <w:lastRenderedPageBreak/>
        <w:t>*</w:t>
      </w:r>
      <w:r w:rsidR="00AB68A0" w:rsidRPr="00361937">
        <w:rPr>
          <w:b/>
          <w:lang w:eastAsia="en-GB"/>
        </w:rPr>
        <w:t>Corresponding author</w:t>
      </w:r>
      <w:r w:rsidRPr="00361937">
        <w:rPr>
          <w:b/>
          <w:lang w:eastAsia="en-GB"/>
        </w:rPr>
        <w:t>s</w:t>
      </w:r>
      <w:r w:rsidR="00AB68A0" w:rsidRPr="00361937">
        <w:rPr>
          <w:b/>
          <w:lang w:eastAsia="en-GB"/>
        </w:rPr>
        <w:t xml:space="preserve"> </w:t>
      </w:r>
    </w:p>
    <w:p w:rsidR="00FA6C59" w:rsidRPr="00361937" w:rsidRDefault="00A95E29" w:rsidP="00A95E29">
      <w:pPr>
        <w:spacing w:line="480" w:lineRule="auto"/>
        <w:outlineLvl w:val="0"/>
        <w:rPr>
          <w:lang w:eastAsia="en-GB"/>
        </w:rPr>
      </w:pPr>
      <w:r w:rsidRPr="00361937">
        <w:rPr>
          <w:lang w:eastAsia="en-GB"/>
        </w:rPr>
        <w:t>Email:</w:t>
      </w:r>
      <w:r w:rsidR="009006BA" w:rsidRPr="00361937">
        <w:rPr>
          <w:lang w:eastAsia="en-GB"/>
        </w:rPr>
        <w:t xml:space="preserve"> </w:t>
      </w:r>
      <w:hyperlink r:id="rId8" w:history="1">
        <w:r w:rsidR="00CD4865" w:rsidRPr="00361937">
          <w:rPr>
            <w:rStyle w:val="Hyperlink"/>
            <w:lang w:eastAsia="en-GB"/>
          </w:rPr>
          <w:t>vmwapasa69@gmail.com</w:t>
        </w:r>
      </w:hyperlink>
    </w:p>
    <w:p w:rsidR="009006BA" w:rsidRPr="00361937" w:rsidRDefault="00A95E29" w:rsidP="00A95E29">
      <w:pPr>
        <w:spacing w:line="480" w:lineRule="auto"/>
        <w:outlineLvl w:val="0"/>
        <w:rPr>
          <w:color w:val="0000FF" w:themeColor="hyperlink"/>
          <w:u w:val="single"/>
          <w:lang w:eastAsia="en-GB"/>
        </w:rPr>
      </w:pPr>
      <w:r w:rsidRPr="00361937">
        <w:rPr>
          <w:lang w:eastAsia="en-GB"/>
        </w:rPr>
        <w:t>Email:</w:t>
      </w:r>
      <w:r w:rsidR="009006BA" w:rsidRPr="00361937">
        <w:rPr>
          <w:lang w:eastAsia="en-GB"/>
        </w:rPr>
        <w:t xml:space="preserve"> </w:t>
      </w:r>
      <w:hyperlink r:id="rId9" w:history="1">
        <w:r w:rsidR="009006BA" w:rsidRPr="00361937">
          <w:rPr>
            <w:rStyle w:val="Hyperlink"/>
            <w:lang w:eastAsia="en-GB"/>
          </w:rPr>
          <w:t>esevene68@gmail.com</w:t>
        </w:r>
      </w:hyperlink>
    </w:p>
    <w:p w:rsidR="004109CB" w:rsidRPr="00361937" w:rsidRDefault="00A95E29" w:rsidP="00361937">
      <w:pPr>
        <w:rPr>
          <w:b/>
          <w:lang w:eastAsia="en-GB"/>
        </w:rPr>
      </w:pPr>
      <w:r w:rsidRPr="00361937">
        <w:rPr>
          <w:b/>
          <w:lang w:eastAsia="en-GB"/>
        </w:rPr>
        <w:br w:type="page"/>
      </w:r>
      <w:r w:rsidR="001322A5" w:rsidRPr="00361937">
        <w:rPr>
          <w:b/>
          <w:lang w:eastAsia="en-GB"/>
        </w:rPr>
        <w:lastRenderedPageBreak/>
        <w:t>Abstract</w:t>
      </w:r>
    </w:p>
    <w:p w:rsidR="00204761" w:rsidRPr="00361937" w:rsidRDefault="00204761" w:rsidP="00A95E29">
      <w:pPr>
        <w:spacing w:line="480" w:lineRule="auto"/>
        <w:outlineLvl w:val="0"/>
        <w:rPr>
          <w:b/>
          <w:lang w:eastAsia="en-GB"/>
        </w:rPr>
      </w:pPr>
    </w:p>
    <w:p w:rsidR="00A95E29" w:rsidRPr="00361937" w:rsidRDefault="004109CB" w:rsidP="00A95E29">
      <w:pPr>
        <w:spacing w:line="480" w:lineRule="auto"/>
        <w:outlineLvl w:val="0"/>
        <w:rPr>
          <w:b/>
          <w:lang w:eastAsia="en-GB"/>
        </w:rPr>
      </w:pPr>
      <w:r w:rsidRPr="00361937">
        <w:rPr>
          <w:b/>
          <w:lang w:eastAsia="en-GB"/>
        </w:rPr>
        <w:t>Background</w:t>
      </w:r>
    </w:p>
    <w:p w:rsidR="004109CB" w:rsidRPr="00361937" w:rsidRDefault="001569C7" w:rsidP="00A95E29">
      <w:pPr>
        <w:spacing w:line="480" w:lineRule="auto"/>
        <w:outlineLvl w:val="0"/>
        <w:rPr>
          <w:lang w:eastAsia="en-GB"/>
        </w:rPr>
      </w:pPr>
      <w:r w:rsidRPr="00361937">
        <w:rPr>
          <w:lang w:eastAsia="en-GB"/>
        </w:rPr>
        <w:t>HIV-infected</w:t>
      </w:r>
      <w:r w:rsidR="004109CB" w:rsidRPr="00361937">
        <w:rPr>
          <w:lang w:eastAsia="en-GB"/>
        </w:rPr>
        <w:t xml:space="preserve"> individuals on antiretroviral therapy (ART) require treatment with artemisinin-based combination therapy (ACT) when infected with malaria. Dihydroartemisinin-piperaquine</w:t>
      </w:r>
      <w:r w:rsidR="007C183D" w:rsidRPr="00361937">
        <w:rPr>
          <w:lang w:eastAsia="en-GB"/>
        </w:rPr>
        <w:t xml:space="preserve"> (DPQ)</w:t>
      </w:r>
      <w:r w:rsidR="004109CB" w:rsidRPr="00361937">
        <w:rPr>
          <w:lang w:eastAsia="en-GB"/>
        </w:rPr>
        <w:t xml:space="preserve"> is recommended for treatment of </w:t>
      </w:r>
      <w:r w:rsidR="004109CB" w:rsidRPr="00361937">
        <w:rPr>
          <w:i/>
          <w:lang w:eastAsia="en-GB"/>
        </w:rPr>
        <w:t>Plasmodium falci</w:t>
      </w:r>
      <w:r w:rsidR="00F62C16" w:rsidRPr="00361937">
        <w:rPr>
          <w:i/>
          <w:lang w:eastAsia="en-GB"/>
        </w:rPr>
        <w:t>parum</w:t>
      </w:r>
      <w:r w:rsidR="004109CB" w:rsidRPr="00361937">
        <w:rPr>
          <w:i/>
          <w:lang w:eastAsia="en-GB"/>
        </w:rPr>
        <w:t xml:space="preserve"> </w:t>
      </w:r>
      <w:r w:rsidR="004109CB" w:rsidRPr="00361937">
        <w:rPr>
          <w:lang w:eastAsia="en-GB"/>
        </w:rPr>
        <w:t>malaria</w:t>
      </w:r>
      <w:r w:rsidR="00A95E29" w:rsidRPr="00361937">
        <w:rPr>
          <w:lang w:eastAsia="en-GB"/>
        </w:rPr>
        <w:t>,</w:t>
      </w:r>
      <w:r w:rsidR="004109CB" w:rsidRPr="00361937">
        <w:rPr>
          <w:lang w:eastAsia="en-GB"/>
        </w:rPr>
        <w:t xml:space="preserve"> but its efficacy and safet</w:t>
      </w:r>
      <w:r w:rsidRPr="00361937">
        <w:rPr>
          <w:lang w:eastAsia="en-GB"/>
        </w:rPr>
        <w:t>y has not been evaluated in HIV-infected</w:t>
      </w:r>
      <w:r w:rsidR="004109CB" w:rsidRPr="00361937">
        <w:rPr>
          <w:lang w:eastAsia="en-GB"/>
        </w:rPr>
        <w:t xml:space="preserve"> individuals on ART, among whom drug-drug interactions are expected. </w:t>
      </w:r>
      <w:r w:rsidR="0095503A" w:rsidRPr="00361937">
        <w:rPr>
          <w:lang w:eastAsia="en-GB"/>
        </w:rPr>
        <w:t>D</w:t>
      </w:r>
      <w:r w:rsidR="004109CB" w:rsidRPr="00361937">
        <w:rPr>
          <w:lang w:eastAsia="en-GB"/>
        </w:rPr>
        <w:t>ay</w:t>
      </w:r>
      <w:r w:rsidR="009953E6" w:rsidRPr="00361937">
        <w:rPr>
          <w:lang w:eastAsia="en-GB"/>
        </w:rPr>
        <w:t>-</w:t>
      </w:r>
      <w:r w:rsidR="004109CB" w:rsidRPr="00361937">
        <w:rPr>
          <w:lang w:eastAsia="en-GB"/>
        </w:rPr>
        <w:t xml:space="preserve">42 adequate clinical and parasitological response (ACPR) and incidence of adverse events </w:t>
      </w:r>
      <w:r w:rsidR="0095503A" w:rsidRPr="00361937">
        <w:rPr>
          <w:lang w:eastAsia="en-GB"/>
        </w:rPr>
        <w:t xml:space="preserve">were assessed </w:t>
      </w:r>
      <w:r w:rsidRPr="00361937">
        <w:rPr>
          <w:lang w:eastAsia="en-GB"/>
        </w:rPr>
        <w:t>in HIV-infected</w:t>
      </w:r>
      <w:r w:rsidR="004109CB" w:rsidRPr="00361937">
        <w:rPr>
          <w:lang w:eastAsia="en-GB"/>
        </w:rPr>
        <w:t xml:space="preserve"> individuals on non-nucleoside reverse</w:t>
      </w:r>
      <w:r w:rsidR="00CF4E4A" w:rsidRPr="00361937">
        <w:rPr>
          <w:lang w:eastAsia="en-GB"/>
        </w:rPr>
        <w:t xml:space="preserve"> transcriptase inhibitor</w:t>
      </w:r>
      <w:r w:rsidR="004109CB" w:rsidRPr="00361937">
        <w:rPr>
          <w:lang w:eastAsia="en-GB"/>
        </w:rPr>
        <w:t>-based ART (</w:t>
      </w:r>
      <w:r w:rsidR="00CF4E4A" w:rsidRPr="00361937">
        <w:rPr>
          <w:lang w:eastAsia="en-GB"/>
        </w:rPr>
        <w:t xml:space="preserve">efavirenz </w:t>
      </w:r>
      <w:r w:rsidR="004109CB" w:rsidRPr="00361937">
        <w:rPr>
          <w:lang w:eastAsia="en-GB"/>
        </w:rPr>
        <w:t xml:space="preserve">and nevirapine) with uncomplicated </w:t>
      </w:r>
      <w:r w:rsidR="0091287A" w:rsidRPr="00361937">
        <w:rPr>
          <w:i/>
          <w:lang w:eastAsia="en-GB"/>
        </w:rPr>
        <w:t xml:space="preserve">P. </w:t>
      </w:r>
      <w:r w:rsidR="00F62C16" w:rsidRPr="00361937">
        <w:rPr>
          <w:i/>
          <w:lang w:eastAsia="en-GB"/>
        </w:rPr>
        <w:t>falciparum</w:t>
      </w:r>
      <w:r w:rsidR="00F62C16" w:rsidRPr="00361937">
        <w:rPr>
          <w:lang w:eastAsia="en-GB"/>
        </w:rPr>
        <w:t xml:space="preserve"> malaria treated with dihydroartemisinin-piperaquine</w:t>
      </w:r>
      <w:r w:rsidR="004109CB" w:rsidRPr="00361937">
        <w:rPr>
          <w:lang w:eastAsia="en-GB"/>
        </w:rPr>
        <w:t xml:space="preserve">.  </w:t>
      </w:r>
    </w:p>
    <w:p w:rsidR="00204761" w:rsidRPr="00361937" w:rsidRDefault="00204761" w:rsidP="00A95E29">
      <w:pPr>
        <w:spacing w:line="480" w:lineRule="auto"/>
        <w:outlineLvl w:val="0"/>
        <w:rPr>
          <w:lang w:eastAsia="en-GB"/>
        </w:rPr>
      </w:pPr>
    </w:p>
    <w:p w:rsidR="00A95E29" w:rsidRPr="00361937" w:rsidRDefault="004109CB" w:rsidP="00A95E29">
      <w:pPr>
        <w:spacing w:line="480" w:lineRule="auto"/>
      </w:pPr>
      <w:r w:rsidRPr="00361937">
        <w:rPr>
          <w:b/>
        </w:rPr>
        <w:t>Methods</w:t>
      </w:r>
    </w:p>
    <w:p w:rsidR="005571A7" w:rsidRPr="00361937" w:rsidRDefault="0095503A" w:rsidP="00A95E29">
      <w:pPr>
        <w:spacing w:line="480" w:lineRule="auto"/>
      </w:pPr>
      <w:r w:rsidRPr="00361937">
        <w:t>A</w:t>
      </w:r>
      <w:r w:rsidR="00964415" w:rsidRPr="00361937">
        <w:t>n</w:t>
      </w:r>
      <w:r w:rsidR="004109CB" w:rsidRPr="00361937">
        <w:t xml:space="preserve"> open label </w:t>
      </w:r>
      <w:r w:rsidR="00964415" w:rsidRPr="00361937">
        <w:t>single arm</w:t>
      </w:r>
      <w:r w:rsidR="004109CB" w:rsidRPr="00361937">
        <w:t xml:space="preserve"> clinical trial </w:t>
      </w:r>
      <w:r w:rsidRPr="00361937">
        <w:t xml:space="preserve">was conducted </w:t>
      </w:r>
      <w:r w:rsidR="004109CB" w:rsidRPr="00361937">
        <w:t>in Malawi (Blantyre and Chikhwawa districts) and Mozambique (Manhi</w:t>
      </w:r>
      <w:r w:rsidR="004109CB" w:rsidRPr="00361937">
        <w:rPr>
          <w:lang w:eastAsia="en-GB"/>
        </w:rPr>
        <w:t>ç</w:t>
      </w:r>
      <w:r w:rsidR="004109CB" w:rsidRPr="00361937">
        <w:t xml:space="preserve">a district) involving patients aged 15-65 years with uncomplicated </w:t>
      </w:r>
      <w:r w:rsidR="0091287A" w:rsidRPr="00361937">
        <w:rPr>
          <w:i/>
          <w:lang w:eastAsia="en-GB"/>
        </w:rPr>
        <w:t xml:space="preserve">P. </w:t>
      </w:r>
      <w:r w:rsidR="00F62C16" w:rsidRPr="00361937">
        <w:rPr>
          <w:i/>
          <w:lang w:eastAsia="en-GB"/>
        </w:rPr>
        <w:t>falciparum</w:t>
      </w:r>
      <w:r w:rsidR="00F62C16" w:rsidRPr="00361937">
        <w:t xml:space="preserve"> </w:t>
      </w:r>
      <w:r w:rsidR="004109CB" w:rsidRPr="00361937">
        <w:t>malaria who were on efavirenz-</w:t>
      </w:r>
      <w:r w:rsidR="00A95E29" w:rsidRPr="00361937">
        <w:t xml:space="preserve">based or nevirapine-based ART. </w:t>
      </w:r>
      <w:r w:rsidR="004109CB" w:rsidRPr="00361937">
        <w:t>They received a directly-observed</w:t>
      </w:r>
      <w:r w:rsidR="00892FA5" w:rsidRPr="00361937">
        <w:t xml:space="preserve"> 3-day standard treatment of </w:t>
      </w:r>
      <w:r w:rsidR="007C183D" w:rsidRPr="00361937">
        <w:rPr>
          <w:lang w:eastAsia="en-GB"/>
        </w:rPr>
        <w:t>DPQ</w:t>
      </w:r>
      <w:r w:rsidR="004109CB" w:rsidRPr="00361937">
        <w:t xml:space="preserve"> and were followed up until day 63 for malaria infection and </w:t>
      </w:r>
      <w:r w:rsidR="00892FA5" w:rsidRPr="00361937">
        <w:t>adverse events</w:t>
      </w:r>
      <w:r w:rsidR="004109CB" w:rsidRPr="00361937">
        <w:t>. Day</w:t>
      </w:r>
      <w:r w:rsidR="009953E6" w:rsidRPr="00361937">
        <w:t>-</w:t>
      </w:r>
      <w:r w:rsidR="004109CB" w:rsidRPr="00361937">
        <w:t xml:space="preserve">42 PCR-corrected-ACPRs (95% confidence interval [CI]) were calculated for the intention-to-treat (ITT) population. </w:t>
      </w:r>
    </w:p>
    <w:p w:rsidR="005571A7" w:rsidRPr="00361937" w:rsidRDefault="005571A7" w:rsidP="00A95E29">
      <w:pPr>
        <w:spacing w:line="480" w:lineRule="auto"/>
      </w:pPr>
    </w:p>
    <w:p w:rsidR="00D41E9D" w:rsidRPr="00361937" w:rsidRDefault="00D41E9D" w:rsidP="00A95E29">
      <w:pPr>
        <w:spacing w:line="480" w:lineRule="auto"/>
      </w:pPr>
    </w:p>
    <w:p w:rsidR="00D41E9D" w:rsidRPr="00361937" w:rsidRDefault="00D41E9D" w:rsidP="00A95E29">
      <w:pPr>
        <w:spacing w:line="480" w:lineRule="auto"/>
      </w:pPr>
    </w:p>
    <w:p w:rsidR="005571A7" w:rsidRPr="00361937" w:rsidRDefault="007C183D" w:rsidP="00A95E29">
      <w:pPr>
        <w:spacing w:line="480" w:lineRule="auto"/>
      </w:pPr>
      <w:r w:rsidRPr="00361937">
        <w:rPr>
          <w:b/>
        </w:rPr>
        <w:lastRenderedPageBreak/>
        <w:t>Results</w:t>
      </w:r>
    </w:p>
    <w:p w:rsidR="004109CB" w:rsidRPr="00361937" w:rsidRDefault="001F0D96" w:rsidP="00A95E29">
      <w:pPr>
        <w:spacing w:line="480" w:lineRule="auto"/>
      </w:pPr>
      <w:r w:rsidRPr="00361937">
        <w:t xml:space="preserve">The study enrolled </w:t>
      </w:r>
      <w:r w:rsidR="004109CB" w:rsidRPr="00361937">
        <w:t>160 and 61 patients on efavirenz and nevirapine-based ART</w:t>
      </w:r>
      <w:r w:rsidR="009953E6" w:rsidRPr="00361937">
        <w:t xml:space="preserve">, </w:t>
      </w:r>
      <w:r w:rsidR="004109CB" w:rsidRPr="00361937">
        <w:t>with a baseline geometric mean (95% CI) parasite density of 2,681 (1,964-3,661) and 9,819 (6,606-14,593)</w:t>
      </w:r>
      <w:r w:rsidR="00CC00BC" w:rsidRPr="00361937">
        <w:t xml:space="preserve"> </w:t>
      </w:r>
      <w:r w:rsidR="00CC00BC" w:rsidRPr="00361937">
        <w:rPr>
          <w:color w:val="000000"/>
          <w:lang w:val="pt-PT"/>
        </w:rPr>
        <w:t>parasites/µL</w:t>
      </w:r>
      <w:r w:rsidR="004109CB" w:rsidRPr="00361937">
        <w:t xml:space="preserve">, respectively. </w:t>
      </w:r>
      <w:r w:rsidR="008D1797" w:rsidRPr="00361937">
        <w:t xml:space="preserve">The </w:t>
      </w:r>
      <w:r w:rsidR="003B03E2" w:rsidRPr="00361937">
        <w:t>D</w:t>
      </w:r>
      <w:r w:rsidR="004109CB" w:rsidRPr="00361937">
        <w:t>ay</w:t>
      </w:r>
      <w:r w:rsidR="009953E6" w:rsidRPr="00361937">
        <w:t>-</w:t>
      </w:r>
      <w:r w:rsidR="004109CB" w:rsidRPr="00361937">
        <w:t xml:space="preserve">42 </w:t>
      </w:r>
      <w:r w:rsidR="00550BB9" w:rsidRPr="00361937">
        <w:t xml:space="preserve">PCR-corrected </w:t>
      </w:r>
      <w:r w:rsidR="004109CB" w:rsidRPr="00361937">
        <w:t xml:space="preserve">ACPR (95% CI) was 99.4% (95.6%-99.9%) in the efavirenz group and 100% in the nevirapine group. Serious </w:t>
      </w:r>
      <w:r w:rsidR="00530CA8" w:rsidRPr="00361937">
        <w:t>adverse events</w:t>
      </w:r>
      <w:r w:rsidR="004109CB" w:rsidRPr="00361937">
        <w:t xml:space="preserve"> occurred in 5.0% (8/160) and 3.3% (2/61) of the participants in the efavirenz and nevirapine group</w:t>
      </w:r>
      <w:r w:rsidR="00892FA5" w:rsidRPr="00361937">
        <w:t>, respectively</w:t>
      </w:r>
      <w:r w:rsidR="003B03E2" w:rsidRPr="00361937">
        <w:t xml:space="preserve">, </w:t>
      </w:r>
      <w:r w:rsidR="005866F5" w:rsidRPr="00361937">
        <w:t xml:space="preserve">but </w:t>
      </w:r>
      <w:r w:rsidR="003B03E2" w:rsidRPr="00361937">
        <w:t>no</w:t>
      </w:r>
      <w:r w:rsidR="00892FA5" w:rsidRPr="00361937">
        <w:t xml:space="preserve">ne </w:t>
      </w:r>
      <w:r w:rsidR="004109CB" w:rsidRPr="00361937">
        <w:t xml:space="preserve">were definitively </w:t>
      </w:r>
      <w:r w:rsidR="00892FA5" w:rsidRPr="00361937">
        <w:t xml:space="preserve">attributable to </w:t>
      </w:r>
      <w:r w:rsidR="007C183D" w:rsidRPr="00361937">
        <w:rPr>
          <w:lang w:eastAsia="en-GB"/>
        </w:rPr>
        <w:t>DPQ</w:t>
      </w:r>
      <w:r w:rsidR="00892FA5" w:rsidRPr="00361937">
        <w:t xml:space="preserve">. </w:t>
      </w:r>
      <w:r w:rsidR="005866F5" w:rsidRPr="00361937">
        <w:t>C</w:t>
      </w:r>
      <w:r w:rsidR="009953E6" w:rsidRPr="00361937">
        <w:t xml:space="preserve">ases of prolonged QT interval (&gt;60 msec from baseline) </w:t>
      </w:r>
      <w:r w:rsidR="004B4643" w:rsidRPr="00361937">
        <w:t>occurred in</w:t>
      </w:r>
      <w:r w:rsidR="009953E6" w:rsidRPr="00361937">
        <w:t xml:space="preserve"> 31.2% </w:t>
      </w:r>
      <w:r w:rsidR="004B4643" w:rsidRPr="00361937">
        <w:t>(</w:t>
      </w:r>
      <w:r w:rsidR="009953E6" w:rsidRPr="00361937">
        <w:t>48/154</w:t>
      </w:r>
      <w:r w:rsidR="004B4643" w:rsidRPr="00361937">
        <w:t>)</w:t>
      </w:r>
      <w:r w:rsidR="009953E6" w:rsidRPr="00361937">
        <w:t xml:space="preserve"> and 13.3% </w:t>
      </w:r>
      <w:r w:rsidR="004B4643" w:rsidRPr="00361937">
        <w:t>(</w:t>
      </w:r>
      <w:r w:rsidR="009953E6" w:rsidRPr="00361937">
        <w:t>8/60</w:t>
      </w:r>
      <w:r w:rsidR="004B4643" w:rsidRPr="00361937">
        <w:t>) of the patients</w:t>
      </w:r>
      <w:r w:rsidR="009953E6" w:rsidRPr="00361937">
        <w:t xml:space="preserve"> </w:t>
      </w:r>
      <w:r w:rsidR="00550BB9" w:rsidRPr="00361937">
        <w:t>o</w:t>
      </w:r>
      <w:r w:rsidR="009953E6" w:rsidRPr="00361937">
        <w:t>n the efavirenz and nevirapine ART groups, respectively</w:t>
      </w:r>
      <w:r w:rsidR="004B4643" w:rsidRPr="00361937">
        <w:t>.</w:t>
      </w:r>
      <w:r w:rsidR="009953E6" w:rsidRPr="00361937">
        <w:t xml:space="preserve"> </w:t>
      </w:r>
      <w:r w:rsidR="004B4643" w:rsidRPr="00361937">
        <w:t>These were not clinically significant and resolved spontaneously over time</w:t>
      </w:r>
      <w:r w:rsidR="009953E6" w:rsidRPr="00361937">
        <w:t xml:space="preserve">. </w:t>
      </w:r>
      <w:r w:rsidR="00530CA8" w:rsidRPr="00361937">
        <w:t xml:space="preserve">As this study was not designed to compare the </w:t>
      </w:r>
      <w:r w:rsidR="004B4643" w:rsidRPr="00361937">
        <w:t>e</w:t>
      </w:r>
      <w:r w:rsidR="00530CA8" w:rsidRPr="00361937">
        <w:t xml:space="preserve">fficacy and safety of </w:t>
      </w:r>
      <w:r w:rsidR="005866F5" w:rsidRPr="00361937">
        <w:t>DPQ</w:t>
      </w:r>
      <w:r w:rsidR="00530CA8" w:rsidRPr="00361937">
        <w:t xml:space="preserve"> in the two ART groups</w:t>
      </w:r>
      <w:r w:rsidR="003B03E2" w:rsidRPr="00361937">
        <w:t>, n</w:t>
      </w:r>
      <w:r w:rsidR="00530CA8" w:rsidRPr="00361937">
        <w:t>o formal statistical comparisons were made between the two ART groups.</w:t>
      </w:r>
    </w:p>
    <w:p w:rsidR="001F0D96" w:rsidRPr="00361937" w:rsidRDefault="001F0D96" w:rsidP="00A95E29">
      <w:pPr>
        <w:spacing w:line="480" w:lineRule="auto"/>
      </w:pPr>
    </w:p>
    <w:p w:rsidR="00A95E29" w:rsidRPr="00361937" w:rsidRDefault="004109CB" w:rsidP="00A95E29">
      <w:pPr>
        <w:spacing w:line="480" w:lineRule="auto"/>
      </w:pPr>
      <w:r w:rsidRPr="00361937">
        <w:rPr>
          <w:b/>
        </w:rPr>
        <w:t>Conclusions</w:t>
      </w:r>
    </w:p>
    <w:p w:rsidR="00A95E29" w:rsidRPr="00361937" w:rsidRDefault="005866F5" w:rsidP="00A95E29">
      <w:pPr>
        <w:spacing w:line="480" w:lineRule="auto"/>
        <w:rPr>
          <w:lang w:eastAsia="en-GB"/>
        </w:rPr>
      </w:pPr>
      <w:r w:rsidRPr="00361937">
        <w:rPr>
          <w:lang w:eastAsia="en-GB"/>
        </w:rPr>
        <w:t>DPQ</w:t>
      </w:r>
      <w:r w:rsidR="004109CB" w:rsidRPr="00361937">
        <w:rPr>
          <w:lang w:eastAsia="en-GB"/>
        </w:rPr>
        <w:t xml:space="preserve"> </w:t>
      </w:r>
      <w:r w:rsidR="009953E6" w:rsidRPr="00361937">
        <w:rPr>
          <w:lang w:eastAsia="en-GB"/>
        </w:rPr>
        <w:t>was</w:t>
      </w:r>
      <w:r w:rsidR="004109CB" w:rsidRPr="00361937">
        <w:rPr>
          <w:lang w:eastAsia="en-GB"/>
        </w:rPr>
        <w:t xml:space="preserve"> highly efficacious and safe for </w:t>
      </w:r>
      <w:r w:rsidR="001569C7" w:rsidRPr="00361937">
        <w:rPr>
          <w:lang w:eastAsia="en-GB"/>
        </w:rPr>
        <w:t>the treatment of malaria in HIV-infected</w:t>
      </w:r>
      <w:r w:rsidR="004109CB" w:rsidRPr="00361937">
        <w:rPr>
          <w:lang w:eastAsia="en-GB"/>
        </w:rPr>
        <w:t xml:space="preserve"> patients concurrently taking efavirenz</w:t>
      </w:r>
      <w:r w:rsidR="00197F2C" w:rsidRPr="00361937">
        <w:rPr>
          <w:lang w:eastAsia="en-GB"/>
        </w:rPr>
        <w:t>-</w:t>
      </w:r>
      <w:r w:rsidR="004109CB" w:rsidRPr="00361937">
        <w:rPr>
          <w:lang w:eastAsia="en-GB"/>
        </w:rPr>
        <w:t xml:space="preserve"> or nevirapine-based ART</w:t>
      </w:r>
      <w:r w:rsidR="004B4643" w:rsidRPr="00361937">
        <w:rPr>
          <w:lang w:eastAsia="en-GB"/>
        </w:rPr>
        <w:t>, d</w:t>
      </w:r>
      <w:r w:rsidR="004109CB" w:rsidRPr="00361937">
        <w:rPr>
          <w:lang w:eastAsia="en-GB"/>
        </w:rPr>
        <w:t>espite known pharmaco</w:t>
      </w:r>
      <w:r w:rsidR="00892FA5" w:rsidRPr="00361937">
        <w:rPr>
          <w:lang w:eastAsia="en-GB"/>
        </w:rPr>
        <w:t>kinetic interactions between dihydroartemisinin-piperaquine</w:t>
      </w:r>
      <w:r w:rsidR="004109CB" w:rsidRPr="00361937">
        <w:rPr>
          <w:lang w:eastAsia="en-GB"/>
        </w:rPr>
        <w:t xml:space="preserve"> and efavirenz</w:t>
      </w:r>
      <w:r w:rsidR="00C75F36" w:rsidRPr="00361937">
        <w:rPr>
          <w:lang w:eastAsia="en-GB"/>
        </w:rPr>
        <w:t>-</w:t>
      </w:r>
      <w:r w:rsidR="004109CB" w:rsidRPr="00361937">
        <w:rPr>
          <w:lang w:eastAsia="en-GB"/>
        </w:rPr>
        <w:t xml:space="preserve"> or nevirapine</w:t>
      </w:r>
      <w:r w:rsidR="00C75F36" w:rsidRPr="00361937">
        <w:rPr>
          <w:lang w:eastAsia="en-GB"/>
        </w:rPr>
        <w:t>-</w:t>
      </w:r>
      <w:r w:rsidR="004109CB" w:rsidRPr="00361937">
        <w:rPr>
          <w:lang w:eastAsia="en-GB"/>
        </w:rPr>
        <w:t xml:space="preserve">based ART regimens.  </w:t>
      </w:r>
    </w:p>
    <w:p w:rsidR="005571A7" w:rsidRPr="00361937" w:rsidRDefault="005571A7" w:rsidP="00A95E29">
      <w:pPr>
        <w:spacing w:line="480" w:lineRule="auto"/>
        <w:rPr>
          <w:lang w:eastAsia="en-GB"/>
        </w:rPr>
      </w:pPr>
    </w:p>
    <w:p w:rsidR="00A95E29" w:rsidRPr="00361937" w:rsidRDefault="00A95E29" w:rsidP="00A95E29">
      <w:pPr>
        <w:pStyle w:val="NoSpacing"/>
        <w:spacing w:line="480" w:lineRule="auto"/>
        <w:rPr>
          <w:rFonts w:ascii="Times New Roman" w:hAnsi="Times New Roman" w:cs="Times New Roman"/>
          <w:b/>
          <w:sz w:val="24"/>
          <w:szCs w:val="24"/>
          <w:lang w:val="en-US"/>
        </w:rPr>
      </w:pPr>
      <w:r w:rsidRPr="00361937">
        <w:rPr>
          <w:rFonts w:ascii="Times New Roman" w:hAnsi="Times New Roman" w:cs="Times New Roman"/>
          <w:b/>
          <w:sz w:val="24"/>
          <w:szCs w:val="24"/>
          <w:lang w:val="en-US"/>
        </w:rPr>
        <w:t>Keywords</w:t>
      </w:r>
    </w:p>
    <w:p w:rsidR="00E25240" w:rsidRPr="00361937" w:rsidRDefault="00A95E29" w:rsidP="00A95E29">
      <w:pPr>
        <w:pStyle w:val="NoSpacing"/>
        <w:spacing w:line="480" w:lineRule="auto"/>
        <w:rPr>
          <w:rFonts w:ascii="Times New Roman" w:hAnsi="Times New Roman" w:cs="Times New Roman"/>
          <w:sz w:val="24"/>
          <w:szCs w:val="24"/>
          <w:lang w:val="en-US"/>
        </w:rPr>
      </w:pPr>
      <w:r w:rsidRPr="00361937">
        <w:rPr>
          <w:rFonts w:ascii="Times New Roman" w:hAnsi="Times New Roman" w:cs="Times New Roman"/>
          <w:sz w:val="24"/>
          <w:szCs w:val="24"/>
          <w:lang w:val="en-US"/>
        </w:rPr>
        <w:t>Human immunodeficiency virus, antiretroviral drugs, dihydroartemisinin-piperaquine, malaria, drug-drug interactions</w:t>
      </w:r>
    </w:p>
    <w:p w:rsidR="005571A7" w:rsidRPr="00361937" w:rsidRDefault="005571A7" w:rsidP="00A95E29">
      <w:pPr>
        <w:pStyle w:val="NoSpacing"/>
        <w:spacing w:line="480" w:lineRule="auto"/>
        <w:rPr>
          <w:rFonts w:ascii="Times New Roman" w:hAnsi="Times New Roman" w:cs="Times New Roman"/>
          <w:sz w:val="24"/>
          <w:szCs w:val="24"/>
        </w:rPr>
      </w:pPr>
    </w:p>
    <w:p w:rsidR="00D41E9D" w:rsidRPr="00361937" w:rsidRDefault="00D41E9D" w:rsidP="00A95E29">
      <w:pPr>
        <w:pStyle w:val="NoSpacing"/>
        <w:spacing w:line="480" w:lineRule="auto"/>
        <w:rPr>
          <w:rFonts w:ascii="Times New Roman" w:hAnsi="Times New Roman" w:cs="Times New Roman"/>
          <w:sz w:val="24"/>
          <w:szCs w:val="24"/>
        </w:rPr>
      </w:pPr>
    </w:p>
    <w:p w:rsidR="00E25240" w:rsidRPr="00361937" w:rsidRDefault="00E25240" w:rsidP="00A95E29">
      <w:pPr>
        <w:spacing w:line="480" w:lineRule="auto"/>
        <w:rPr>
          <w:b/>
          <w:lang w:eastAsia="en-GB"/>
        </w:rPr>
      </w:pPr>
      <w:r w:rsidRPr="00361937">
        <w:rPr>
          <w:b/>
          <w:lang w:eastAsia="en-GB"/>
        </w:rPr>
        <w:lastRenderedPageBreak/>
        <w:t>Trial Registration</w:t>
      </w:r>
    </w:p>
    <w:p w:rsidR="00E25240" w:rsidRPr="00361937" w:rsidRDefault="00E25240" w:rsidP="00A95E29">
      <w:pPr>
        <w:spacing w:line="480" w:lineRule="auto"/>
        <w:rPr>
          <w:color w:val="000000"/>
        </w:rPr>
      </w:pPr>
      <w:r w:rsidRPr="00361937">
        <w:rPr>
          <w:color w:val="000000"/>
        </w:rPr>
        <w:t>Pan African Clinical Trials Registry (PACTR): PACTR201311000659400.</w:t>
      </w:r>
      <w:r w:rsidR="003F70E9" w:rsidRPr="00361937">
        <w:rPr>
          <w:color w:val="000000"/>
        </w:rPr>
        <w:t xml:space="preserve"> Registered on 4 October 2013, </w:t>
      </w:r>
      <w:hyperlink r:id="rId10" w:history="1">
        <w:r w:rsidR="003F70E9" w:rsidRPr="00361937">
          <w:rPr>
            <w:rStyle w:val="Hyperlink"/>
          </w:rPr>
          <w:t>https://pactr.samrc.ac.za/Search.aspx</w:t>
        </w:r>
      </w:hyperlink>
    </w:p>
    <w:p w:rsidR="00D41E9D" w:rsidRPr="00361937" w:rsidRDefault="00D41E9D" w:rsidP="00A95E29">
      <w:pPr>
        <w:spacing w:line="480" w:lineRule="auto"/>
        <w:rPr>
          <w:lang w:eastAsia="en-GB"/>
        </w:rPr>
      </w:pPr>
    </w:p>
    <w:p w:rsidR="00D41E9D" w:rsidRPr="00361937" w:rsidRDefault="00D41E9D" w:rsidP="00A95E29">
      <w:pPr>
        <w:spacing w:line="480" w:lineRule="auto"/>
        <w:rPr>
          <w:lang w:eastAsia="en-GB"/>
        </w:rPr>
      </w:pPr>
    </w:p>
    <w:p w:rsidR="00D41E9D" w:rsidRPr="00361937" w:rsidRDefault="00D41E9D" w:rsidP="00A95E29">
      <w:pPr>
        <w:spacing w:line="480" w:lineRule="auto"/>
        <w:rPr>
          <w:lang w:eastAsia="en-GB"/>
        </w:rPr>
      </w:pPr>
    </w:p>
    <w:p w:rsidR="00D41E9D" w:rsidRPr="00361937" w:rsidRDefault="00D41E9D" w:rsidP="00A95E29">
      <w:pPr>
        <w:spacing w:line="480" w:lineRule="auto"/>
        <w:rPr>
          <w:lang w:eastAsia="en-GB"/>
        </w:rPr>
      </w:pPr>
    </w:p>
    <w:p w:rsidR="00D41E9D" w:rsidRPr="00361937" w:rsidRDefault="00D41E9D" w:rsidP="00A95E29">
      <w:pPr>
        <w:spacing w:line="480" w:lineRule="auto"/>
        <w:rPr>
          <w:lang w:eastAsia="en-GB"/>
        </w:rPr>
      </w:pPr>
    </w:p>
    <w:p w:rsidR="00D41E9D" w:rsidRPr="00361937" w:rsidRDefault="00D41E9D" w:rsidP="00A95E29">
      <w:pPr>
        <w:spacing w:line="480" w:lineRule="auto"/>
        <w:rPr>
          <w:lang w:eastAsia="en-GB"/>
        </w:rPr>
      </w:pPr>
    </w:p>
    <w:p w:rsidR="00D41E9D" w:rsidRPr="00361937" w:rsidRDefault="00D41E9D" w:rsidP="00A95E29">
      <w:pPr>
        <w:spacing w:line="480" w:lineRule="auto"/>
        <w:rPr>
          <w:lang w:eastAsia="en-GB"/>
        </w:rPr>
      </w:pPr>
    </w:p>
    <w:p w:rsidR="00D41E9D" w:rsidRPr="00361937" w:rsidRDefault="00D41E9D" w:rsidP="00A95E29">
      <w:pPr>
        <w:spacing w:line="480" w:lineRule="auto"/>
        <w:rPr>
          <w:lang w:eastAsia="en-GB"/>
        </w:rPr>
      </w:pPr>
    </w:p>
    <w:p w:rsidR="00D41E9D" w:rsidRPr="00361937" w:rsidRDefault="00D41E9D" w:rsidP="00A95E29">
      <w:pPr>
        <w:spacing w:line="480" w:lineRule="auto"/>
        <w:rPr>
          <w:lang w:eastAsia="en-GB"/>
        </w:rPr>
      </w:pPr>
    </w:p>
    <w:p w:rsidR="00D41E9D" w:rsidRPr="00361937" w:rsidRDefault="00D41E9D" w:rsidP="00A95E29">
      <w:pPr>
        <w:spacing w:line="480" w:lineRule="auto"/>
        <w:rPr>
          <w:lang w:eastAsia="en-GB"/>
        </w:rPr>
      </w:pPr>
    </w:p>
    <w:p w:rsidR="00D41E9D" w:rsidRPr="00361937" w:rsidRDefault="00D41E9D" w:rsidP="00A95E29">
      <w:pPr>
        <w:spacing w:line="480" w:lineRule="auto"/>
        <w:rPr>
          <w:lang w:eastAsia="en-GB"/>
        </w:rPr>
      </w:pPr>
    </w:p>
    <w:p w:rsidR="00D41E9D" w:rsidRPr="00361937" w:rsidRDefault="00D41E9D" w:rsidP="00A95E29">
      <w:pPr>
        <w:spacing w:line="480" w:lineRule="auto"/>
        <w:rPr>
          <w:lang w:eastAsia="en-GB"/>
        </w:rPr>
      </w:pPr>
    </w:p>
    <w:p w:rsidR="00D41E9D" w:rsidRPr="00361937" w:rsidRDefault="00D41E9D" w:rsidP="00A95E29">
      <w:pPr>
        <w:spacing w:line="480" w:lineRule="auto"/>
        <w:rPr>
          <w:lang w:eastAsia="en-GB"/>
        </w:rPr>
      </w:pPr>
    </w:p>
    <w:p w:rsidR="00D41E9D" w:rsidRPr="00361937" w:rsidRDefault="00D41E9D" w:rsidP="00A95E29">
      <w:pPr>
        <w:spacing w:line="480" w:lineRule="auto"/>
        <w:rPr>
          <w:lang w:eastAsia="en-GB"/>
        </w:rPr>
      </w:pPr>
    </w:p>
    <w:p w:rsidR="00D41E9D" w:rsidRPr="00361937" w:rsidRDefault="00D41E9D" w:rsidP="00A95E29">
      <w:pPr>
        <w:spacing w:line="480" w:lineRule="auto"/>
        <w:rPr>
          <w:lang w:eastAsia="en-GB"/>
        </w:rPr>
      </w:pPr>
    </w:p>
    <w:p w:rsidR="00D41E9D" w:rsidRPr="00361937" w:rsidRDefault="00D41E9D" w:rsidP="00A95E29">
      <w:pPr>
        <w:spacing w:line="480" w:lineRule="auto"/>
        <w:rPr>
          <w:lang w:eastAsia="en-GB"/>
        </w:rPr>
      </w:pPr>
    </w:p>
    <w:p w:rsidR="00D41E9D" w:rsidRPr="00361937" w:rsidRDefault="00D41E9D" w:rsidP="00A95E29">
      <w:pPr>
        <w:spacing w:line="480" w:lineRule="auto"/>
        <w:rPr>
          <w:lang w:eastAsia="en-GB"/>
        </w:rPr>
      </w:pPr>
    </w:p>
    <w:p w:rsidR="00D41E9D" w:rsidRPr="00361937" w:rsidRDefault="00D41E9D" w:rsidP="00A95E29">
      <w:pPr>
        <w:spacing w:line="480" w:lineRule="auto"/>
        <w:rPr>
          <w:lang w:eastAsia="en-GB"/>
        </w:rPr>
      </w:pPr>
    </w:p>
    <w:p w:rsidR="00D41E9D" w:rsidRPr="00361937" w:rsidRDefault="00D41E9D" w:rsidP="00A95E29">
      <w:pPr>
        <w:spacing w:line="480" w:lineRule="auto"/>
        <w:rPr>
          <w:lang w:eastAsia="en-GB"/>
        </w:rPr>
      </w:pPr>
    </w:p>
    <w:p w:rsidR="00D41E9D" w:rsidRPr="00361937" w:rsidRDefault="00D41E9D" w:rsidP="00A95E29">
      <w:pPr>
        <w:spacing w:line="480" w:lineRule="auto"/>
        <w:rPr>
          <w:lang w:eastAsia="en-GB"/>
        </w:rPr>
      </w:pPr>
    </w:p>
    <w:p w:rsidR="003B03E2" w:rsidRPr="00361937" w:rsidRDefault="003B03E2" w:rsidP="00A95E29">
      <w:pPr>
        <w:spacing w:line="480" w:lineRule="auto"/>
        <w:rPr>
          <w:lang w:eastAsia="en-GB"/>
        </w:rPr>
      </w:pPr>
    </w:p>
    <w:p w:rsidR="001322A5" w:rsidRPr="00361937" w:rsidRDefault="00AE4997" w:rsidP="00A95E29">
      <w:pPr>
        <w:spacing w:line="480" w:lineRule="auto"/>
        <w:rPr>
          <w:b/>
        </w:rPr>
      </w:pPr>
      <w:r w:rsidRPr="00361937">
        <w:rPr>
          <w:b/>
        </w:rPr>
        <w:lastRenderedPageBreak/>
        <w:t>Background</w:t>
      </w:r>
    </w:p>
    <w:p w:rsidR="001322A5" w:rsidRPr="00361937" w:rsidRDefault="00AE4997" w:rsidP="00A95E29">
      <w:pPr>
        <w:spacing w:line="480" w:lineRule="auto"/>
      </w:pPr>
      <w:r w:rsidRPr="00361937">
        <w:t>Malaria and human immunodeficiency virus (H</w:t>
      </w:r>
      <w:r w:rsidR="001322A5" w:rsidRPr="00361937">
        <w:t>IV</w:t>
      </w:r>
      <w:r w:rsidRPr="00361937">
        <w:t xml:space="preserve">) </w:t>
      </w:r>
      <w:r w:rsidR="001322A5" w:rsidRPr="00361937">
        <w:t>infection</w:t>
      </w:r>
      <w:r w:rsidRPr="00361937">
        <w:t>s</w:t>
      </w:r>
      <w:r w:rsidR="001322A5" w:rsidRPr="00361937">
        <w:t xml:space="preserve"> </w:t>
      </w:r>
      <w:r w:rsidR="001F0968" w:rsidRPr="00361937">
        <w:t xml:space="preserve">co-exist </w:t>
      </w:r>
      <w:r w:rsidR="001322A5" w:rsidRPr="00361937">
        <w:t>in most p</w:t>
      </w:r>
      <w:r w:rsidRPr="00361937">
        <w:t>arts of sub-Saharan Africa</w:t>
      </w:r>
      <w:r w:rsidR="00A70360" w:rsidRPr="00361937">
        <w:t xml:space="preserve"> </w:t>
      </w:r>
      <w:r w:rsidR="002E24CD" w:rsidRPr="00361937">
        <w:fldChar w:fldCharType="begin" w:fldLock="1"/>
      </w:r>
      <w:r w:rsidR="00722F9E" w:rsidRPr="00361937">
        <w:instrText>ADDIN CSL_CITATION {"citationItems":[{"id":"ITEM-1","itemData":{"DOI":"10.2147/rrtm.s154501","ISSN":"1179-7282","PMID":"30100779","abstract":"Malaria and HIV, two of the world's most deadly diseases, are widespread, but their distribution overlaps greatly in sub-Saharan Africa. Consequently, malaria and HIV coinfection (MHC) is common in the region. In this paper, pertinent publications on the prevalence, impact, and treatment strategies of MHC obtained by searching major electronic databases (PubMed, PubMed Central, Google Scholar, ScienceDirect, and Scopus) were reviewed, and it was found that the prevalence of MHC in SSA was 0.7%-47.5% overall. Prevalence was 0.7%-47.5% in nonpregnant adults, 1.2%-27.8% in children, and 0.94%-37% in pregnant women. MHC was associated with an increased frequency of clinical parasitemia and severe malaria, increased parasite and viral load, and impaired immunity to malaria in nonpregnant adults, children, and pregnant women, increased in placental malaria and related outcomes in pregnant women, and impaired antimalarial drug efficacy in nonpregnant adults and pregnant women. Although a few cases of adverse events have been reported in coinfected patients receiving antimalarial and antiretroviral drugs concurrently, available data are very limited and have not prompted major revision in treatment guidelines for both diseases. Artemisinin-based combination therapy and cotrimoxazole are currently the recommended drugs for treatment and prevention of malaria in HIV-infected children and adults. However, concurrent administration of cotrimoxazole and sulfadoxine-pyrimethamine in HIV-infected pregnant women is not recommended, because of high risk of sulfonamide toxicity. Further research is needed to enhance our understanding of the impact of malaria on HIV, drug-drug interactions in patients receiving antimalarials and antiretroviral drugs concomitantly, and the development of newer, safer, and more cost-effective drugs and vaccines to prevent malaria in HIV-infected pregnant women.","author":[{"dropping-particle":"","family":"Kwenti","given":"Tebit Emmanuel","non-dropping-particle":"","parse-names":false,"suffix":""}],"container-title":"Research and Reports in Tropical Medicine","id":"ITEM-1","issued":{"date-parts":[["2018","7"]]},"page":"123-136","title":"Malaria and HIV coinfection in sub-Saharan Africa: prevalence, impact, and treatment strategies","type":"article-journal","volume":"Volume 9"},"uris":["http://www.mendeley.com/documents/?uuid=0bd73f1a-1090-3a1e-bce7-f1ec6540d6c3"]}],"mendeley":{"formattedCitation":"[1]","plainTextFormattedCitation":"[1]","previouslyFormattedCitation":"[1]"},"properties":{"noteIndex":0},"schema":"https://github.com/citation-style-language/schema/raw/master/csl-citation.json"}</w:instrText>
      </w:r>
      <w:r w:rsidR="002E24CD" w:rsidRPr="00361937">
        <w:fldChar w:fldCharType="separate"/>
      </w:r>
      <w:r w:rsidR="00A70360" w:rsidRPr="00361937">
        <w:rPr>
          <w:noProof/>
        </w:rPr>
        <w:t>[1]</w:t>
      </w:r>
      <w:r w:rsidR="002E24CD" w:rsidRPr="00361937">
        <w:fldChar w:fldCharType="end"/>
      </w:r>
      <w:r w:rsidR="001322A5" w:rsidRPr="00361937">
        <w:t xml:space="preserve">. Antiretroviral </w:t>
      </w:r>
      <w:r w:rsidRPr="00361937">
        <w:t>t</w:t>
      </w:r>
      <w:r w:rsidR="00FF33FA" w:rsidRPr="00361937">
        <w:t xml:space="preserve">reatment </w:t>
      </w:r>
      <w:r w:rsidR="001322A5" w:rsidRPr="00361937">
        <w:t>(ART) naïve HIV-infected</w:t>
      </w:r>
      <w:r w:rsidR="001569C7" w:rsidRPr="00361937">
        <w:t xml:space="preserve"> </w:t>
      </w:r>
      <w:r w:rsidR="001322A5" w:rsidRPr="00361937">
        <w:t xml:space="preserve">individuals are </w:t>
      </w:r>
      <w:r w:rsidR="001F0968" w:rsidRPr="00361937">
        <w:t xml:space="preserve">more </w:t>
      </w:r>
      <w:r w:rsidR="001322A5" w:rsidRPr="00361937">
        <w:t xml:space="preserve">susceptible to </w:t>
      </w:r>
      <w:r w:rsidR="001F0968" w:rsidRPr="00361937">
        <w:rPr>
          <w:i/>
        </w:rPr>
        <w:t xml:space="preserve">Plasmodium </w:t>
      </w:r>
      <w:r w:rsidR="001322A5" w:rsidRPr="00361937">
        <w:rPr>
          <w:i/>
        </w:rPr>
        <w:t>falciparum</w:t>
      </w:r>
      <w:r w:rsidR="001322A5" w:rsidRPr="00361937">
        <w:t xml:space="preserve"> malaria infection</w:t>
      </w:r>
      <w:r w:rsidR="001569C7" w:rsidRPr="00361937">
        <w:t xml:space="preserve"> than the HIV-uninfected</w:t>
      </w:r>
      <w:r w:rsidR="001F0968" w:rsidRPr="00361937">
        <w:t xml:space="preserve"> population</w:t>
      </w:r>
      <w:r w:rsidR="001322A5" w:rsidRPr="00361937">
        <w:t xml:space="preserve"> </w:t>
      </w:r>
      <w:r w:rsidR="002E24CD" w:rsidRPr="00361937">
        <w:fldChar w:fldCharType="begin" w:fldLock="1"/>
      </w:r>
      <w:r w:rsidR="00722F9E" w:rsidRPr="00361937">
        <w:instrText>ADDIN CSL_CITATION {"citationItems":[{"id":"ITEM-1","itemData":{"DOI":"10.1097/01.aids.0000247572.95880.92","ISSN":"0269-9370","abstract":"This article reviews the evidence regarding human immunodeficiency virus type 1 (HIV-1) infection-Plasmodium falciparum malaria interactions in adults, for whom the likely overall public health impact is less clear. It focuses on how HIV-1 infection alters the clinical presentation and outcome of malaria, what effect malaria may have on the natural history of HIV-1 infection, and the implications of an interaction for surveillance systems, burden estimates and prediction of future trends. The implications of the interactions on policies for prevention and control of both diseases are considered, as are priority areas for research.","author":[{"dropping-particle":"","family":"Hewitt","given":"Kirsten","non-dropping-particle":"","parse-names":false,"suffix":""},{"dropping-particle":"","family":"Steketee","given":"Richard","non-dropping-particle":"","parse-names":false,"suffix":""},{"dropping-particle":"","family":"Mwapasa","given":"Victor","non-dropping-particle":"","parse-names":false,"suffix":""},{"dropping-particle":"","family":"Whitworth","given":"Jimmy","non-dropping-particle":"","parse-names":false,"suffix":""},{"dropping-particle":"","family":"French","given":"Neil","non-dropping-particle":"","parse-names":false,"suffix":""}],"container-title":"AIDS","id":"ITEM-1","issue":"16","issued":{"date-parts":[["2006"]]},"page":"1993-2004","title":"Interactions between HIV and malaria in non-pregnant adults: evidence and implications","type":"article-journal","volume":"20"},"uris":["http://www.mendeley.com/documents/?uuid=6ea17038-d6f3-3830-a575-9819090d8cb8"]},{"id":"ITEM-2","itemData":{"DOI":"10.1086/500245","ISSN":"0022-1899","abstract":"BACKGROUND: Human immunodeficiency virus (HIV) infection and malaria coexist in much of Africa. Previous studies differ in their findings on the interactions between the 2 infections. METHODS: Adults living with HIV infection in Blantyre, Malawi, were enrolled in a longitudinal observational study from September 2002 to August 2004. Malaria blood smears were obtained monthly and for any illness suggestive of malaria. Complete evaluations of all illness episodes were conducted, regardless of malaria smear results. RESULTS: The incidence of clinical malaria episodes was higher in participants with CD4 cell counts &lt;200 cells/mm3 than in those with CD4 cell counts &gt;500 cells/mm3. The trend was preserved when increasingly specific definitions of malaria disease were used. The prevalence of malaria infection was not associated with CD4 cell count. In per-visit analysis, lower CD4 cell counts were associated with higher incidences of pneumonia, sepsis, and tuberculosis but not of malaria. Severe malaria was rare, with only 3 cases in 591 person-years of observation. Parasite density and CD4 cell count were independent risk factors for fever. CONCLUSIONS: Profoundly immunosuppressed adults with HIV infection require more-frequent treatment for uncomplicated malaria, but malaria infection and disease are less strongly associated with HIV-associated immunosuppression than are other opportunistic infections. Where malaria is common, the high incidence of fever found among immunosuppressed adults may lead to misclassification of illness episodes as malaria.","author":[{"dropping-particle":"","family":"Laufer","given":"Miriam K.","non-dropping-particle":"","parse-names":false,"suffix":""},{"dropping-particle":"","family":"Oosterhout","given":"Joep J. G.","non-dropping-particle":"van","parse-names":false,"suffix":""},{"dropping-particle":"","family":"Thesing","given":"Philip C.","non-dropping-particle":"","parse-names":false,"suffix":""},{"dropping-particle":"","family":"Thumba","given":"Feston","non-dropping-particle":"","parse-names":false,"suffix":""},{"dropping-particle":"","family":"Zijlstra","given":"Eduard E.","non-dropping-particle":"","parse-names":false,"suffix":""},{"dropping-particle":"","family":"Graham","given":"Stephen M.","non-dropping-particle":"","parse-names":false,"suffix":""},{"dropping-particle":"","family":"Taylor","given":"Terrie E.","non-dropping-particle":"","parse-names":false,"suffix":""},{"dropping-particle":"V.","family":"Plowe","given":"Christopher","non-dropping-particle":"","parse-names":false,"suffix":""}],"container-title":"The Journal of Infectious Diseases","id":"ITEM-2","issue":"6","issued":{"date-parts":[["2006","3","15"]]},"page":"872-878","publisher":"StataCorp LP, College Station, TX","title":"Impact of HIV</w:instrText>
      </w:r>
      <w:r w:rsidR="00722F9E" w:rsidRPr="00361937">
        <w:rPr>
          <w:rFonts w:ascii="PortagoITC TT" w:hAnsi="PortagoITC TT" w:cs="PortagoITC TT"/>
        </w:rPr>
        <w:instrText>‐</w:instrText>
      </w:r>
      <w:r w:rsidR="00722F9E" w:rsidRPr="00361937">
        <w:instrText>Associated Immunosuppression on Malaria Infection and Disease in Malawi","type":"article-journal","volume":"193"},"uris":["http://www.mendeley.com/documents/?uuid=01cdd214-f9bc-3159-83f6-aee74f594c31"]}],"mendeley":{"formattedCitation":"[2,3]","plainTextFormattedCitation":"[2,3]","previouslyFormattedCitation":"[2,3]"},"properties":{"noteIndex":0},"schema":"https://github.com/citation-style-language/schema/raw/master/csl-citation.json"}</w:instrText>
      </w:r>
      <w:r w:rsidR="002E24CD" w:rsidRPr="00361937">
        <w:fldChar w:fldCharType="separate"/>
      </w:r>
      <w:r w:rsidR="00A70360" w:rsidRPr="00361937">
        <w:rPr>
          <w:noProof/>
        </w:rPr>
        <w:t>[2,3]</w:t>
      </w:r>
      <w:r w:rsidR="002E24CD" w:rsidRPr="00361937">
        <w:fldChar w:fldCharType="end"/>
      </w:r>
      <w:r w:rsidR="001322A5" w:rsidRPr="00361937">
        <w:t>. The W</w:t>
      </w:r>
      <w:r w:rsidRPr="00361937">
        <w:t xml:space="preserve">orld </w:t>
      </w:r>
      <w:r w:rsidR="001322A5" w:rsidRPr="00361937">
        <w:t>H</w:t>
      </w:r>
      <w:r w:rsidRPr="00361937">
        <w:t xml:space="preserve">ealth </w:t>
      </w:r>
      <w:r w:rsidR="0091287A" w:rsidRPr="00361937">
        <w:t xml:space="preserve">Organization </w:t>
      </w:r>
      <w:r w:rsidRPr="00361937">
        <w:t>(WHO)</w:t>
      </w:r>
      <w:r w:rsidR="001322A5" w:rsidRPr="00361937">
        <w:t xml:space="preserve"> recommends the use of artemisinin-based combination therapy (ACT) to treat </w:t>
      </w:r>
      <w:r w:rsidRPr="00361937">
        <w:rPr>
          <w:i/>
        </w:rPr>
        <w:t>Plasmodium falciparum</w:t>
      </w:r>
      <w:r w:rsidR="001322A5" w:rsidRPr="00361937">
        <w:t xml:space="preserve"> malaria infections</w:t>
      </w:r>
      <w:r w:rsidR="00A70360" w:rsidRPr="00361937">
        <w:t xml:space="preserve"> </w:t>
      </w:r>
      <w:r w:rsidR="002E24CD" w:rsidRPr="00361937">
        <w:fldChar w:fldCharType="begin" w:fldLock="1"/>
      </w:r>
      <w:r w:rsidR="00722F9E" w:rsidRPr="00361937">
        <w:instrText>ADDIN CSL_CITATION {"citationItems":[{"id":"ITEM-1","itemData":{"author":[{"dropping-particle":"","family":"WHO","given":"","non-dropping-particle":"","parse-names":false,"suffix":""}],"id":"ITEM-1","issued":{"date-parts":[["2015"]]},"publisher":"World Health Organization","title":"WHO | Guidelines for the treatment of malaria. Third edition","type":"report"},"uris":["http://www.mendeley.com/documents/?uuid=d95e4d6c-a05d-3409-8f40-5c89ad3e5e92"]}],"mendeley":{"formattedCitation":"[4]","plainTextFormattedCitation":"[4]","previouslyFormattedCitation":"[4]"},"properties":{"noteIndex":0},"schema":"https://github.com/citation-style-language/schema/raw/master/csl-citation.json"}</w:instrText>
      </w:r>
      <w:r w:rsidR="002E24CD" w:rsidRPr="00361937">
        <w:fldChar w:fldCharType="separate"/>
      </w:r>
      <w:r w:rsidR="00A70360" w:rsidRPr="00361937">
        <w:rPr>
          <w:noProof/>
        </w:rPr>
        <w:t>[4]</w:t>
      </w:r>
      <w:r w:rsidR="002E24CD" w:rsidRPr="00361937">
        <w:fldChar w:fldCharType="end"/>
      </w:r>
      <w:r w:rsidR="00A70360" w:rsidRPr="00361937">
        <w:t>.</w:t>
      </w:r>
      <w:r w:rsidR="00A97B51" w:rsidRPr="00361937">
        <w:t xml:space="preserve"> Dihydroartemisinin-</w:t>
      </w:r>
      <w:r w:rsidR="001322A5" w:rsidRPr="00361937">
        <w:t xml:space="preserve">piperaquine (DPQ) </w:t>
      </w:r>
      <w:r w:rsidR="001F0968" w:rsidRPr="00361937">
        <w:t xml:space="preserve">is one of the most commonly used </w:t>
      </w:r>
      <w:r w:rsidR="00A94BD9" w:rsidRPr="00361937">
        <w:t xml:space="preserve"> </w:t>
      </w:r>
      <w:r w:rsidR="001322A5" w:rsidRPr="00361937">
        <w:t>WHO-recommended ACT</w:t>
      </w:r>
      <w:r w:rsidR="0091287A" w:rsidRPr="00361937">
        <w:t>,</w:t>
      </w:r>
      <w:r w:rsidR="001F0968" w:rsidRPr="00361937">
        <w:t xml:space="preserve"> but there are few data about its efficacy and safety in those taking </w:t>
      </w:r>
      <w:r w:rsidR="00FF33FA" w:rsidRPr="00361937">
        <w:t>ART</w:t>
      </w:r>
      <w:r w:rsidR="001F0968" w:rsidRPr="00361937">
        <w:t xml:space="preserve"> despite</w:t>
      </w:r>
      <w:r w:rsidR="00A94BD9" w:rsidRPr="00361937">
        <w:t xml:space="preserve"> </w:t>
      </w:r>
      <w:r w:rsidR="001F0968" w:rsidRPr="00361937">
        <w:t>the fact that l</w:t>
      </w:r>
      <w:r w:rsidR="001569C7" w:rsidRPr="00361937">
        <w:t>arge numbers of HIV-infected</w:t>
      </w:r>
      <w:r w:rsidR="001F0968" w:rsidRPr="00361937">
        <w:t xml:space="preserve"> patients on ART are likely to be treated with </w:t>
      </w:r>
      <w:r w:rsidR="001322A5" w:rsidRPr="00361937">
        <w:t>DPQ</w:t>
      </w:r>
      <w:r w:rsidR="001F0968" w:rsidRPr="00361937">
        <w:t xml:space="preserve"> f</w:t>
      </w:r>
      <w:r w:rsidR="00723199" w:rsidRPr="00361937">
        <w:t>o</w:t>
      </w:r>
      <w:r w:rsidR="001F0968" w:rsidRPr="00361937">
        <w:t>r malaria.</w:t>
      </w:r>
      <w:r w:rsidR="00A94BD9" w:rsidRPr="00361937">
        <w:t xml:space="preserve"> </w:t>
      </w:r>
    </w:p>
    <w:p w:rsidR="00723199" w:rsidRPr="00361937" w:rsidRDefault="00723199" w:rsidP="00A95E29">
      <w:pPr>
        <w:spacing w:line="480" w:lineRule="auto"/>
      </w:pPr>
    </w:p>
    <w:p w:rsidR="001322A5" w:rsidRPr="00361937" w:rsidRDefault="00A97B51" w:rsidP="00A95E29">
      <w:pPr>
        <w:spacing w:line="480" w:lineRule="auto"/>
      </w:pPr>
      <w:r w:rsidRPr="00361937">
        <w:t>Most ART regimens in sub-Saharan Africa</w:t>
      </w:r>
      <w:r w:rsidR="001322A5" w:rsidRPr="00361937">
        <w:t xml:space="preserve"> contain non-nucleoside reverse t</w:t>
      </w:r>
      <w:r w:rsidRPr="00361937">
        <w:t>ranscriptase inhibitors</w:t>
      </w:r>
      <w:r w:rsidR="0080192E" w:rsidRPr="00361937">
        <w:t>, efavirenz and nevirapine</w:t>
      </w:r>
      <w:r w:rsidR="001322A5" w:rsidRPr="00361937">
        <w:t>. The</w:t>
      </w:r>
      <w:r w:rsidR="00105854" w:rsidRPr="00361937">
        <w:t>se</w:t>
      </w:r>
      <w:r w:rsidR="001322A5" w:rsidRPr="00361937">
        <w:t xml:space="preserve"> drugs are  metabolized by the cytochrome (CYP) P450 enzymes, particularly CYP3A4 and CYP2B6, which also metabolize artemisinin-</w:t>
      </w:r>
      <w:r w:rsidR="007865BB" w:rsidRPr="00361937">
        <w:t>derivatives and piperaquine</w:t>
      </w:r>
      <w:r w:rsidR="001322A5" w:rsidRPr="00361937">
        <w:t xml:space="preserve"> </w:t>
      </w:r>
      <w:r w:rsidR="002E24CD" w:rsidRPr="00361937">
        <w:fldChar w:fldCharType="begin" w:fldLock="1"/>
      </w:r>
      <w:r w:rsidR="004C75F4" w:rsidRPr="00361937">
        <w:instrText>ADDIN CSL_CITATION {"citationItems":[{"id":"ITEM-1","itemData":{"ISSN":"0269-9370","PMID":"15958830","author":[{"dropping-particle":"","family":"Khoo","given":"Saye","non-dropping-particle":"","parse-names":false,"suffix":""},{"dropping-particle":"","family":"Back","given":"David","non-dropping-particle":"","parse-names":false,"suffix":""},{"dropping-particle":"","family":"Winstanley","given":"Peter","non-dropping-particle":"","parse-names":false,"suffix":""}],"container-title":"AIDS (London, England)","id":"ITEM-1","issue":"10","issued":{"date-parts":[["2005","7","1"]]},"page":"995-1005","publisher":"AIDS (London, England)","title":"The potential for interactions between antimalarial and antiretroviral drugs.","type":"article-journal","volume":"19"},"uris":["http://www.mendeley.com/documents/?uuid=d97240c8-0580-361e-ba2e-7d88e9b6c265"]},{"id":"ITEM-2","itemData":{"DOI":"10.3109/00498254.2012.693972","PMID":"22671777","abstract":"Piperaquine (PQ) is part of a first-line treatment regimen for Plasmodium falciparum malaria recommended by the World Health Organization (WHO). We aimed to determine the major metabolic pathway(s) of PQ in vitro. A reliable, validated tandem mass spectrometry method was developed. Concentrations of PQ were measured after incubation with both human liver microsomes (HLMs) and expressed cytochrome P450 enzymes (P450s). In pooled HLMs, incubations with an initial PQ concentration of 0.3 µM resulted in a 34.8 ± 4.9% loss of substrate over 60 min, corresponding to a turnover rate of 0.009 min(-1) (r(2) = 0.9223). Miconazole, at nonspecific P450 inhibitory concentrations, resulted in almost complete inhibition of PQ metabolism. The greatest inhibition was demonstrated with selective CYP3A4 (100%) and CYP2C8 (66%) inhibitors. Using a mixture of recombinant P450 enzymes, turnover for PQ metabolism was estimated as 0.0099 min(-1); recombinant CYP3A4 had a higher metabolic rate (0.017 min(-1)) than recombinant CYP2C8 (p &lt; .0001). Inhibition of CYP3A4-mediated PQ loss was greatest using the selective inhibitor ketoconazole (9.1 ± 3.5% loss with ketoconazole vs 60.7 ± 5.9% with no inhibitor, p &lt; .0001). In summary, the extent of inhibition of in vitro metabolism with ketoconazole (83%) denotes that PQ appears to be primarily catalyzed by CYP3A4. Further studies to support these findings through the identification and characterization of PQ metabolites are planned.","author":[{"dropping-particle":"","family":"Lee","given":"Tina Ming-Na","non-dropping-particle":"","parse-names":false,"suffix":""},{"dropping-particle":"","family":"Huang","given":"Liusheng","non-dropping-particle":"","parse-names":false,"suffix":""},{"dropping-particle":"","family":"Johnson","given":"Marla K.","non-dropping-particle":"","parse-names":false,"suffix":""},{"dropping-particle":"","family":"Lizak","given":"Patricia","non-dropping-particle":"","parse-names":false,"suffix":""},{"dropping-particle":"","family":"Kroetz","given":"Deanna","non-dropping-particle":"","parse-names":false,"suffix":""},{"dropping-particle":"","family":"Aweeka","given":"Francesca","non-dropping-particle":"","parse-names":false,"suffix":""},{"dropping-particle":"","family":"Parikh","given":"Sunil","non-dropping-particle":"","parse-names":false,"suffix":""}],"container-title":"Xenobiotica","id":"ITEM-2","issue":"11","issued":{"date-parts":[["2012","11","6"]]},"page":"1088-1095","title":"In vitro metabolism of piperaquine is primarily mediated by CYP3A4","type":"article-journal","volume":"42"},"uris":["http://www.mendeley.com/documents/?uuid=8d01fcff-256f-348a-a1dc-ed85e8f83f7e"]},{"id":"ITEM-3","itemData":{"DOI":"10.1371/journal.pone.0173509","ISSN":"1932-6203","PMID":"28334018","abstract":"BACKGROUND In all settings, there are challenges associated with safely treating patients with multimorbidity and polypharmacy. The need to characterise, understand and limit harms resulting from medication use is therefore increasingly important. Drug-drug interactions (DDIs) are prevalent in patients taking antiretrovirals (ARVs) and if unmanaged, may pose considerable risk to treatment outcome. One of the biggest challenges in preventing DDIs is the substantial gap between theory and clinical practice. There are no robust methods published for formally assessing quality of evidence relating to DDIs, despite the diverse sources of information. We defined a transparent, structured process for developing evidence quality summaries in order to guide therapeutic decision making. This was applied to a systematic review of DDI data with considerable public health significance: HIV and malaria. METHODS AND FINDINGS This was a systematic review of DDI data between antiretrovirals and drugs used in prophylaxis and treatment of malaria. The data comprised all original research in humans that evaluated pharmacokinetic data and/or related adverse events when antiretroviral agents were combined with antimalarial agents, including healthy volunteers, patients with HIV and/or malaria, observational studies, and case reports. The data synthesis included 36 articles and conference presentations published via PubMed and conference websites/abstract books between 1987-August 2016. There is significant risk of DDIs between HIV protease inhibitors, or NNRTIs and artemesinin-containing antimalarial regimens. For many antiretrovirals, DDI studies with antimalarials were lacking, and the majority were of moderate to very low quality. Quality of evidence and strength of recommendation categories were defined and developed specifically for recommendations concerning DDIs. CONCLUSIONS There is significant potential for DDIs between antiretrovirals and antimalarials. The application of quality of evidence and strength of recommendation criteria to DDI data is feasible, and allows the assessment of DDIs to be robust, consistent, transparent and evidence-based.","author":[{"dropping-particle":"","family":"Seden","given":"Kay","non-dropping-particle":"","parse-names":false,"suffix":""},{"dropping-particle":"","family":"Gibbons","given":"Sara","non-dropping-particle":"","parse-names":false,"suffix":""},{"dropping-particle":"","family":"Marzolini","given":"Catia","non-dropping-particle":"","parse-names":false,"suffix":""},{"dropping-particle":"","family":"Schapiro","given":"Jonathan M","non-dropping-particle":"","parse-names":false,"suffix":""},{"dropping-particle":"","family":"Burger","given":"David M","non-dropping-particle":"","parse-names":false,"suffix":""},{"dropping-particle":"","family":"Back","given":"David J","non-dropping-particle":"","parse-names":false,"suffix":""},{"dropping-particle":"","family":"Khoo","given":"Saye H","non-dropping-particle":"","parse-names":false,"suffix":""}],"container-title":"PloS one","editor":[{"dropping-particle":"","family":"Winston","given":"Alan","non-dropping-particle":"","parse-names":false,"suffix":""}],"id":"ITEM-3","issue":"3","issued":{"date-parts":[["2017","3","23"]]},"page":"e0173509","title":"Development of an evidence evaluation and synthesis system for drug-drug interactions, and its application to a systematic review of HIV and malaria co-infection.","type":"article-journal","volume":"12"},"uris":["http://www.mendeley.com/documents/?uuid=fecc0a1b-48f8-31f4-ba27-342b1e391ad2"]}],"mendeley":{"formattedCitation":"[5–7]","plainTextFormattedCitation":"[5–7]","previouslyFormattedCitation":"[5–7]"},"properties":{"noteIndex":0},"schema":"https://github.com/citation-style-language/schema/raw/master/csl-citation.json"}</w:instrText>
      </w:r>
      <w:r w:rsidR="002E24CD" w:rsidRPr="00361937">
        <w:fldChar w:fldCharType="separate"/>
      </w:r>
      <w:r w:rsidR="00A70360" w:rsidRPr="00361937">
        <w:rPr>
          <w:noProof/>
        </w:rPr>
        <w:t>[5–7]</w:t>
      </w:r>
      <w:r w:rsidR="002E24CD" w:rsidRPr="00361937">
        <w:fldChar w:fldCharType="end"/>
      </w:r>
      <w:r w:rsidR="001322A5" w:rsidRPr="00361937">
        <w:t>.  Thus, co-administration of ART and DPQ may result</w:t>
      </w:r>
      <w:r w:rsidRPr="00361937">
        <w:t xml:space="preserve"> in drug-drug interactions</w:t>
      </w:r>
      <w:r w:rsidR="001322A5" w:rsidRPr="00361937">
        <w:t xml:space="preserve"> </w:t>
      </w:r>
      <w:r w:rsidR="002E24CD" w:rsidRPr="00361937">
        <w:fldChar w:fldCharType="begin" w:fldLock="1"/>
      </w:r>
      <w:r w:rsidR="00A70360" w:rsidRPr="00361937">
        <w:instrText>ADDIN CSL_CITATION {"citationItems":[{"id":"ITEM-1","itemData":{"ISSN":"0269-9370","PMID":"15958830","author":[{"dropping-particle":"","family":"Khoo","given":"Saye","non-dropping-particle":"","parse-names":false,"suffix":""},{"dropping-particle":"","family":"Back","given":"David","non-dropping-particle":"","parse-names":false,"suffix":""},{"dropping-particle":"","family":"Winstanley","given":"Peter","non-dropping-particle":"","parse-names":false,"suffix":""}],"container-title":"AIDS (London, England)","id":"ITEM-1","issue":"10","issued":{"date-parts":[["2005","7","1"]]},"page":"995-1005","publisher":"AIDS (London, England)","title":"The potential for interactions between antimalarial and antiretroviral drugs.","type":"article-journal","volume":"19"},"uris":["http://www.mendeley.com/documents/?uuid=d97240c8-0580-361e-ba2e-7d88e9b6c265"]}],"mendeley":{"formattedCitation":"[5]","plainTextFormattedCitation":"[5]","previouslyFormattedCitation":"[5]"},"properties":{"noteIndex":0},"schema":"https://github.com/citation-style-language/schema/raw/master/csl-citation.json"}</w:instrText>
      </w:r>
      <w:r w:rsidR="002E24CD" w:rsidRPr="00361937">
        <w:fldChar w:fldCharType="separate"/>
      </w:r>
      <w:r w:rsidR="00A70360" w:rsidRPr="00361937">
        <w:rPr>
          <w:noProof/>
        </w:rPr>
        <w:t>[5]</w:t>
      </w:r>
      <w:r w:rsidR="002E24CD" w:rsidRPr="00361937">
        <w:fldChar w:fldCharType="end"/>
      </w:r>
      <w:r w:rsidR="001322A5" w:rsidRPr="00361937">
        <w:t>. Indeed</w:t>
      </w:r>
      <w:r w:rsidR="00AE4997" w:rsidRPr="00361937">
        <w:t xml:space="preserve">, a recent pharmacokinetic </w:t>
      </w:r>
      <w:r w:rsidR="001322A5" w:rsidRPr="00361937">
        <w:t xml:space="preserve">study found that </w:t>
      </w:r>
      <w:r w:rsidR="004F439E" w:rsidRPr="00361937">
        <w:t xml:space="preserve">in </w:t>
      </w:r>
      <w:r w:rsidR="001569C7" w:rsidRPr="00361937">
        <w:t>malaria uninfected HIV-infected</w:t>
      </w:r>
      <w:r w:rsidR="0080192E" w:rsidRPr="00361937">
        <w:t xml:space="preserve"> individuals on efavirenz</w:t>
      </w:r>
      <w:r w:rsidR="001322A5" w:rsidRPr="00361937">
        <w:t>-based ART</w:t>
      </w:r>
      <w:r w:rsidR="004F439E" w:rsidRPr="00361937">
        <w:t xml:space="preserve">, </w:t>
      </w:r>
      <w:r w:rsidR="0080192E" w:rsidRPr="00361937">
        <w:t xml:space="preserve"> piperaquine</w:t>
      </w:r>
      <w:r w:rsidR="001322A5" w:rsidRPr="00361937">
        <w:t xml:space="preserve"> concentrations </w:t>
      </w:r>
      <w:r w:rsidR="004F439E" w:rsidRPr="00361937">
        <w:t xml:space="preserve">were 43% lower </w:t>
      </w:r>
      <w:r w:rsidR="001322A5" w:rsidRPr="00361937">
        <w:t xml:space="preserve">than ART naïve controls </w:t>
      </w:r>
      <w:r w:rsidR="002E24CD" w:rsidRPr="00361937">
        <w:fldChar w:fldCharType="begin" w:fldLock="1"/>
      </w:r>
      <w:r w:rsidR="004C75F4" w:rsidRPr="00361937">
        <w:instrText>ADDIN CSL_CITATION {"citationItems":[{"id":"ITEM-1","itemData":{"DOI":"10.1128/AAC.00634-18","ISSN":"1098-6596","PMID":"29784846","abstract":"There are limited data on the pharmacokinetic and safety profiles of dihydroartemisinin-piperaquine (DHA-PQ) among human immunodeficiency virus-infected (HIV-positive [HIV+]) individuals taking antiretroviral therapy (ART). In a two-step (parallel-group) pharmacokinetic trial with intensive blood sampling, we compared the area under the concentration-time curve from days 0 to 28 (AUC0-28 days) and the safety outcomes of piperaquine among malaria-uninfected HIV+ adults. In step 1, half the adult dose of DHA-PQ was administered for 3 days as an initial safety check to four groups (n = 6/group) of HIV+ adults (age ≥18 years): (i) antiretroviral-naive individuals, (ii) individuals on nevirapine-based ART, (iii) individuals on efavirenz-based ART, and (iv) individuals on ritonavir-boosted lopinavir-based ART. In step 2, a full adult treatment course of DHA-PQ was administered to a different cohort of participants in three groups: (i) antiretroviral-naive individuals, (ii) individuals on efavirenz-based ART, and (iii) individuals on nevirapine-based ART (n = 10 to 15/group). The ritonavir-boosted lopinavir-based ART group was dropped in step 2 due to the limited number of participants who were on this second-line ART and were eligible for recruitment. Piperaquine's AUC0-28 days in both steps was 43% lower among participants on efavirenz-based ART than among ART-naive participants. There were no significant differences in AUC0-28 days between the other ART groups and the ART-naive group in each of the two steps. Furthermore, no differences in treatment-emergent clinical and laboratory adverse events were observed across the groups in steps 1 and 2. Although it was well tolerated at the half and full standard adult treatment courses, the efavirenz-based antiretroviral regimen was associated with reduced piperaquine exposure, which may compromise dihydroartemisinin-piperaquine's effectiveness in programmatic settings. (The clinical trials presented in this study have been registered at the WHO's International Clinical Trials Registry Platform under ID numbers PACTR2010030001871293 and PACTR2010030001971409.).","author":[{"dropping-particle":"","family":"Banda","given":"Clifford G","non-dropping-particle":"","parse-names":false,"suffix":""},{"dropping-particle":"","family":"Dzinjalamala","given":"Fraction","non-dropping-particle":"","parse-names":false,"suffix":""},{"dropping-particle":"","family":"Mukaka","given":"Mavuto","non-dropping-particle":"","parse-names":false,"suffix":""},{"dropping-particle":"","family":"Mallewa","given":"Jane","non-dropping-particle":"","parse-names":false,"suffix":""},{"dropping-particle":"","family":"Maiden","given":"Victor","non-dropping-particle":"","parse-names":false,"suffix":""},{"dropping-particle":"","family":"Terlouw","given":"Dianne J","non-dropping-particle":"","parse-names":false,"suffix":""},{"dropping-particle":"","family":"Lalloo","given":"David G","non-dropping-particle":"","parse-names":false,"suffix":""},{"dropping-particle":"","family":"Khoo","given":"Saye H","non-dropping-particle":"","parse-names":false,"suffix":""},{"dropping-particle":"","family":"Mwapasa","given":"Victor","non-dropping-particle":"","parse-names":false,"suffix":""}],"container-title":"Antimicrobial agents and chemotherapy","id":"ITEM-1","issue":"8","issued":{"date-parts":[["2018","8"]]},"publisher":"American Society for Microbiology (ASM)","title":"Pharmacokinetics of Piperaquine and Safety Profile of Dihydroartemisinin-Piperaquine Coadministered with Antiretroviral Therapy in Malaria-Uninfected HIV-Positive Malawian Adults.","type":"article-journal","volume":"62"},"uris":["http://www.mendeley.com/documents/?uuid=749d8e22-81c9-3a15-8455-63748b5aebdc"]}],"mendeley":{"formattedCitation":"[8]","plainTextFormattedCitation":"[8]","previouslyFormattedCitation":"[8]"},"properties":{"noteIndex":0},"schema":"https://github.com/citation-style-language/schema/raw/master/csl-citation.json"}</w:instrText>
      </w:r>
      <w:r w:rsidR="002E24CD" w:rsidRPr="00361937">
        <w:fldChar w:fldCharType="separate"/>
      </w:r>
      <w:r w:rsidR="00A70360" w:rsidRPr="00361937">
        <w:rPr>
          <w:noProof/>
        </w:rPr>
        <w:t>[8]</w:t>
      </w:r>
      <w:r w:rsidR="002E24CD" w:rsidRPr="00361937">
        <w:fldChar w:fldCharType="end"/>
      </w:r>
      <w:r w:rsidRPr="00361937">
        <w:t>. This drug-drug interaction</w:t>
      </w:r>
      <w:r w:rsidR="001322A5" w:rsidRPr="00361937">
        <w:t xml:space="preserve"> may compromise DPQ</w:t>
      </w:r>
      <w:r w:rsidR="00CF4E4A" w:rsidRPr="00361937">
        <w:t>’s</w:t>
      </w:r>
      <w:r w:rsidR="001322A5" w:rsidRPr="00361937">
        <w:t xml:space="preserve"> efficacy. </w:t>
      </w:r>
      <w:r w:rsidR="00AC0215" w:rsidRPr="00361937">
        <w:t>In addition, m</w:t>
      </w:r>
      <w:r w:rsidR="001569C7" w:rsidRPr="00361937">
        <w:t>alaria uninfected HIV-infected</w:t>
      </w:r>
      <w:r w:rsidR="0080192E" w:rsidRPr="00361937">
        <w:t xml:space="preserve"> individuals on nevirapine</w:t>
      </w:r>
      <w:r w:rsidR="001322A5" w:rsidRPr="00361937">
        <w:t>-based AR</w:t>
      </w:r>
      <w:r w:rsidR="0080192E" w:rsidRPr="00361937">
        <w:t>T treated with DPQ had higher piperaquine</w:t>
      </w:r>
      <w:r w:rsidR="001322A5" w:rsidRPr="00361937">
        <w:t xml:space="preserve"> concentrations than ART naïve controls who received DPQ only </w:t>
      </w:r>
      <w:r w:rsidR="002E24CD" w:rsidRPr="00361937">
        <w:fldChar w:fldCharType="begin" w:fldLock="1"/>
      </w:r>
      <w:r w:rsidR="004C75F4" w:rsidRPr="00361937">
        <w:instrText>ADDIN CSL_CITATION {"citationItems":[{"id":"ITEM-1","itemData":{"DOI":"10.1128/AAC.00634-18","ISSN":"1098-6596","PMID":"29784846","abstract":"There are limited data on the pharmacokinetic and safety profiles of dihydroartemisinin-piperaquine (DHA-PQ) among human immunodeficiency virus-infected (HIV-positive [HIV+]) individuals taking antiretroviral therapy (ART). In a two-step (parallel-group) pharmacokinetic trial with intensive blood sampling, we compared the area under the concentration-time curve from days 0 to 28 (AUC0-28 days) and the safety outcomes of piperaquine among malaria-uninfected HIV+ adults. In step 1, half the adult dose of DHA-PQ was administered for 3 days as an initial safety check to four groups (n = 6/group) of HIV+ adults (age ≥18 years): (i) antiretroviral-naive individuals, (ii) individuals on nevirapine-based ART, (iii) individuals on efavirenz-based ART, and (iv) individuals on ritonavir-boosted lopinavir-based ART. In step 2, a full adult treatment course of DHA-PQ was administered to a different cohort of participants in three groups: (i) antiretroviral-naive individuals, (ii) individuals on efavirenz-based ART, and (iii) individuals on nevirapine-based ART (n = 10 to 15/group). The ritonavir-boosted lopinavir-based ART group was dropped in step 2 due to the limited number of participants who were on this second-line ART and were eligible for recruitment. Piperaquine's AUC0-28 days in both steps was 43% lower among participants on efavirenz-based ART than among ART-naive participants. There were no significant differences in AUC0-28 days between the other ART groups and the ART-naive group in each of the two steps. Furthermore, no differences in treatment-emergent clinical and laboratory adverse events were observed across the groups in steps 1 and 2. Although it was well tolerated at the half and full standard adult treatment courses, the efavirenz-based antiretroviral regimen was associated with reduced piperaquine exposure, which may compromise dihydroartemisinin-piperaquine's effectiveness in programmatic settings. (The clinical trials presented in this study have been registered at the WHO's International Clinical Trials Registry Platform under ID numbers PACTR2010030001871293 and PACTR2010030001971409.).","author":[{"dropping-particle":"","family":"Banda","given":"Clifford G","non-dropping-particle":"","parse-names":false,"suffix":""},{"dropping-particle":"","family":"Dzinjalamala","given":"Fraction","non-dropping-particle":"","parse-names":false,"suffix":""},{"dropping-particle":"","family":"Mukaka","given":"Mavuto","non-dropping-particle":"","parse-names":false,"suffix":""},{"dropping-particle":"","family":"Mallewa","given":"Jane","non-dropping-particle":"","parse-names":false,"suffix":""},{"dropping-particle":"","family":"Maiden","given":"Victor","non-dropping-particle":"","parse-names":false,"suffix":""},{"dropping-particle":"","family":"Terlouw","given":"Dianne J","non-dropping-particle":"","parse-names":false,"suffix":""},{"dropping-particle":"","family":"Lalloo","given":"David G","non-dropping-particle":"","parse-names":false,"suffix":""},{"dropping-particle":"","family":"Khoo","given":"Saye H","non-dropping-particle":"","parse-names":false,"suffix":""},{"dropping-particle":"","family":"Mwapasa","given":"Victor","non-dropping-particle":"","parse-names":false,"suffix":""}],"container-title":"Antimicrobial agents and chemotherapy","id":"ITEM-1","issue":"8","issued":{"date-parts":[["2018","8"]]},"publisher":"American Society for Microbiology (ASM)","title":"Pharmacokinetics of Piperaquine and Safety Profile of Dihydroartemisinin-Piperaquine Coadministered with Antiretroviral Therapy in Malaria-Uninfected HIV-Positive Malawian Adults.","type":"article-journal","volume":"62"},"uris":["http://www.mendeley.com/documents/?uuid=749d8e22-81c9-3a15-8455-63748b5aebdc"]}],"mendeley":{"formattedCitation":"[8]","plainTextFormattedCitation":"[8]","previouslyFormattedCitation":"[8]"},"properties":{"noteIndex":0},"schema":"https://github.com/citation-style-language/schema/raw/master/csl-citation.json"}</w:instrText>
      </w:r>
      <w:r w:rsidR="002E24CD" w:rsidRPr="00361937">
        <w:fldChar w:fldCharType="separate"/>
      </w:r>
      <w:r w:rsidR="00A70360" w:rsidRPr="00361937">
        <w:rPr>
          <w:noProof/>
        </w:rPr>
        <w:t>[8]</w:t>
      </w:r>
      <w:r w:rsidR="002E24CD" w:rsidRPr="00361937">
        <w:fldChar w:fldCharType="end"/>
      </w:r>
      <w:r w:rsidRPr="00361937">
        <w:t xml:space="preserve">. This drug-drug interaction </w:t>
      </w:r>
      <w:r w:rsidR="0080192E" w:rsidRPr="00361937">
        <w:t>may increase piperaquine</w:t>
      </w:r>
      <w:r w:rsidR="001322A5" w:rsidRPr="00361937">
        <w:t xml:space="preserve">-related adverse events. </w:t>
      </w:r>
    </w:p>
    <w:p w:rsidR="001322A5" w:rsidRPr="00361937" w:rsidRDefault="001322A5" w:rsidP="00A95E29">
      <w:pPr>
        <w:spacing w:line="480" w:lineRule="auto"/>
      </w:pPr>
    </w:p>
    <w:p w:rsidR="001322A5" w:rsidRPr="00361937" w:rsidRDefault="00FF33FA" w:rsidP="00A95E29">
      <w:pPr>
        <w:spacing w:line="480" w:lineRule="auto"/>
      </w:pPr>
      <w:r w:rsidRPr="00361937">
        <w:lastRenderedPageBreak/>
        <w:t>In view of the limited data on</w:t>
      </w:r>
      <w:r w:rsidR="001322A5" w:rsidRPr="00361937">
        <w:t xml:space="preserve"> the efficacy and safety of DPQ in HIV-</w:t>
      </w:r>
      <w:r w:rsidRPr="00361937">
        <w:t>malaria co-</w:t>
      </w:r>
      <w:r w:rsidR="001322A5" w:rsidRPr="00361937">
        <w:t>infected patients</w:t>
      </w:r>
      <w:r w:rsidRPr="00361937">
        <w:t>,</w:t>
      </w:r>
      <w:r w:rsidR="001322A5" w:rsidRPr="00361937">
        <w:t xml:space="preserve"> </w:t>
      </w:r>
      <w:r w:rsidR="00D91A11" w:rsidRPr="00361937">
        <w:t xml:space="preserve">a </w:t>
      </w:r>
      <w:r w:rsidR="008A3FF2" w:rsidRPr="00361937">
        <w:t>single arm clinical trial</w:t>
      </w:r>
      <w:r w:rsidR="00722F9E" w:rsidRPr="00361937">
        <w:t xml:space="preserve"> </w:t>
      </w:r>
      <w:r w:rsidR="00D91A11" w:rsidRPr="00361937">
        <w:t xml:space="preserve">was conducted to estimate </w:t>
      </w:r>
      <w:r w:rsidR="001756C1" w:rsidRPr="00361937">
        <w:t xml:space="preserve">the </w:t>
      </w:r>
      <w:r w:rsidR="00D91A11" w:rsidRPr="00361937">
        <w:t xml:space="preserve">efficacy </w:t>
      </w:r>
      <w:r w:rsidR="001322A5" w:rsidRPr="00361937">
        <w:t xml:space="preserve"> </w:t>
      </w:r>
      <w:r w:rsidR="003E7101" w:rsidRPr="00361937">
        <w:t>of DPQ</w:t>
      </w:r>
      <w:r w:rsidR="00B675B8" w:rsidRPr="00361937">
        <w:t xml:space="preserve"> when used to treat parasitologically-confirmed uncomplicated clinical </w:t>
      </w:r>
      <w:r w:rsidR="0091287A" w:rsidRPr="00361937">
        <w:rPr>
          <w:i/>
        </w:rPr>
        <w:t xml:space="preserve">P. </w:t>
      </w:r>
      <w:r w:rsidR="00B675B8" w:rsidRPr="00361937">
        <w:rPr>
          <w:i/>
        </w:rPr>
        <w:t>falciparum</w:t>
      </w:r>
      <w:r w:rsidR="00B675B8" w:rsidRPr="00361937">
        <w:t xml:space="preserve"> malaria in HIV-infected people on standard ART regimens (efavirenz- or nevirapine-based ART). Specifically</w:t>
      </w:r>
      <w:r w:rsidR="002636B0" w:rsidRPr="00361937">
        <w:t>, the trial</w:t>
      </w:r>
      <w:r w:rsidR="00B675B8" w:rsidRPr="00361937">
        <w:t xml:space="preserve"> </w:t>
      </w:r>
      <w:r w:rsidR="002636B0" w:rsidRPr="00361937">
        <w:t>assessed the</w:t>
      </w:r>
      <w:r w:rsidR="00B675B8" w:rsidRPr="00361937">
        <w:t xml:space="preserve"> D</w:t>
      </w:r>
      <w:r w:rsidR="001322A5" w:rsidRPr="00361937">
        <w:t xml:space="preserve">ay-42 PCR-corrected adequate clinical and parasitological response </w:t>
      </w:r>
      <w:r w:rsidR="00D91A11" w:rsidRPr="00361937">
        <w:t>[</w:t>
      </w:r>
      <w:r w:rsidR="001322A5" w:rsidRPr="00361937">
        <w:t>ACPR</w:t>
      </w:r>
      <w:r w:rsidR="00D91A11" w:rsidRPr="00361937">
        <w:t>]</w:t>
      </w:r>
      <w:r w:rsidR="00B675B8" w:rsidRPr="00361937">
        <w:t xml:space="preserve"> to examine </w:t>
      </w:r>
      <w:r w:rsidR="008A3FF2" w:rsidRPr="00361937">
        <w:t>whether</w:t>
      </w:r>
      <w:r w:rsidR="001756C1" w:rsidRPr="00361937">
        <w:t xml:space="preserve"> </w:t>
      </w:r>
      <w:r w:rsidR="00B675B8" w:rsidRPr="00361937">
        <w:t>it</w:t>
      </w:r>
      <w:r w:rsidR="001756C1" w:rsidRPr="00361937">
        <w:t xml:space="preserve"> </w:t>
      </w:r>
      <w:r w:rsidR="008A3FF2" w:rsidRPr="00361937">
        <w:t>exceeds</w:t>
      </w:r>
      <w:r w:rsidR="001B7952" w:rsidRPr="00361937">
        <w:t xml:space="preserve"> 90%</w:t>
      </w:r>
      <w:r w:rsidR="008A3FF2" w:rsidRPr="00361937">
        <w:t>,</w:t>
      </w:r>
      <w:r w:rsidR="001B7952" w:rsidRPr="00361937">
        <w:t xml:space="preserve"> </w:t>
      </w:r>
      <w:r w:rsidR="008A3FF2" w:rsidRPr="00361937">
        <w:t xml:space="preserve">the </w:t>
      </w:r>
      <w:r w:rsidR="001B7952" w:rsidRPr="00361937">
        <w:t xml:space="preserve">WHO recommended </w:t>
      </w:r>
      <w:r w:rsidR="008A3FF2" w:rsidRPr="00361937">
        <w:t>benchmark for an efficacious</w:t>
      </w:r>
      <w:r w:rsidR="001756C1" w:rsidRPr="00361937">
        <w:t xml:space="preserve"> anti</w:t>
      </w:r>
      <w:r w:rsidR="0091287A" w:rsidRPr="00361937">
        <w:t>-</w:t>
      </w:r>
      <w:r w:rsidR="001756C1" w:rsidRPr="00361937">
        <w:t xml:space="preserve">malarial drugs </w:t>
      </w:r>
      <w:r w:rsidR="002E24CD" w:rsidRPr="00361937">
        <w:fldChar w:fldCharType="begin" w:fldLock="1"/>
      </w:r>
      <w:r w:rsidR="00A620A1" w:rsidRPr="00361937">
        <w:instrText>ADDIN CSL_CITATION {"citationItems":[{"id":"ITEM-1","itemData":{"DOI":"ISBN 978 92 4 159753 1","ISBN":"9789241597531","abstract":"Routine monitoring of antimalarial drug efficacy is necessary for effective case management and early detection of resistance. WHO recommends that the efficacy of first and second-line antimalarial treatments be tested at least once every 24 months at all sentinel sites. When studies are conducted according to a standard protocol over a period of time, the data provides a key resource for informing national treatment policy.","author":[{"dropping-particle":"","family":"WHO","given":"","non-dropping-particle":"","parse-names":false,"suffix":""}],"container-title":"World Health Organization","id":"ITEM-1","issued":{"date-parts":[["2009"]]},"number-of-pages":"90","title":"Methods for surveillance of antimalarial drug efficacy","type":"report"},"uris":["http://www.mendeley.com/documents/?uuid=dec9a492-9cbd-33f9-bf20-06ef06751148"]}],"mendeley":{"formattedCitation":"[9]","plainTextFormattedCitation":"[9]","previouslyFormattedCitation":"[9]"},"properties":{"noteIndex":0},"schema":"https://github.com/citation-style-language/schema/raw/master/csl-citation.json"}</w:instrText>
      </w:r>
      <w:r w:rsidR="002E24CD" w:rsidRPr="00361937">
        <w:fldChar w:fldCharType="separate"/>
      </w:r>
      <w:r w:rsidR="001756C1" w:rsidRPr="00361937">
        <w:rPr>
          <w:noProof/>
        </w:rPr>
        <w:t>[9]</w:t>
      </w:r>
      <w:r w:rsidR="002E24CD" w:rsidRPr="00361937">
        <w:fldChar w:fldCharType="end"/>
      </w:r>
      <w:r w:rsidR="00B675B8" w:rsidRPr="00361937">
        <w:t xml:space="preserve">. In addition, the trial assessed the </w:t>
      </w:r>
      <w:r w:rsidR="008C0164" w:rsidRPr="00361937">
        <w:t>safety</w:t>
      </w:r>
      <w:r w:rsidR="00B675B8" w:rsidRPr="00361937">
        <w:t xml:space="preserve"> of DPQ by </w:t>
      </w:r>
      <w:r w:rsidR="001756C1" w:rsidRPr="00361937">
        <w:t>determin</w:t>
      </w:r>
      <w:r w:rsidR="002636B0" w:rsidRPr="00361937">
        <w:t>ing</w:t>
      </w:r>
      <w:r w:rsidR="001756C1" w:rsidRPr="00361937">
        <w:t xml:space="preserve"> the </w:t>
      </w:r>
      <w:r w:rsidR="001322A5" w:rsidRPr="00361937">
        <w:t xml:space="preserve">incidence of </w:t>
      </w:r>
      <w:r w:rsidR="00DA2CA3" w:rsidRPr="00361937">
        <w:t>adverse events</w:t>
      </w:r>
      <w:r w:rsidR="002636B0" w:rsidRPr="00361937">
        <w:t>.</w:t>
      </w:r>
    </w:p>
    <w:p w:rsidR="001322A5" w:rsidRPr="00361937" w:rsidRDefault="001322A5" w:rsidP="00A95E29">
      <w:pPr>
        <w:spacing w:line="480" w:lineRule="auto"/>
      </w:pPr>
      <w:r w:rsidRPr="00361937">
        <w:t xml:space="preserve"> </w:t>
      </w:r>
    </w:p>
    <w:p w:rsidR="001322A5" w:rsidRPr="00361937" w:rsidRDefault="00696417" w:rsidP="00A95E29">
      <w:pPr>
        <w:spacing w:line="480" w:lineRule="auto"/>
        <w:outlineLvl w:val="0"/>
        <w:rPr>
          <w:b/>
        </w:rPr>
      </w:pPr>
      <w:r w:rsidRPr="00361937">
        <w:rPr>
          <w:b/>
        </w:rPr>
        <w:t>Methods</w:t>
      </w:r>
    </w:p>
    <w:p w:rsidR="00204761" w:rsidRPr="00361937" w:rsidRDefault="00204761" w:rsidP="00A95E29">
      <w:pPr>
        <w:spacing w:line="480" w:lineRule="auto"/>
        <w:outlineLvl w:val="0"/>
        <w:rPr>
          <w:b/>
        </w:rPr>
      </w:pPr>
    </w:p>
    <w:p w:rsidR="001322A5" w:rsidRPr="00361937" w:rsidRDefault="001322A5" w:rsidP="00A95E29">
      <w:pPr>
        <w:spacing w:line="480" w:lineRule="auto"/>
        <w:outlineLvl w:val="0"/>
        <w:rPr>
          <w:b/>
        </w:rPr>
      </w:pPr>
      <w:r w:rsidRPr="00361937">
        <w:rPr>
          <w:b/>
        </w:rPr>
        <w:t xml:space="preserve">Study </w:t>
      </w:r>
      <w:r w:rsidR="00137238" w:rsidRPr="00361937">
        <w:rPr>
          <w:b/>
        </w:rPr>
        <w:t>s</w:t>
      </w:r>
      <w:r w:rsidR="0018263A" w:rsidRPr="00361937">
        <w:rPr>
          <w:b/>
        </w:rPr>
        <w:t>ite</w:t>
      </w:r>
      <w:r w:rsidR="003E032E" w:rsidRPr="00361937">
        <w:rPr>
          <w:b/>
        </w:rPr>
        <w:t>s</w:t>
      </w:r>
      <w:r w:rsidR="0018263A" w:rsidRPr="00361937">
        <w:rPr>
          <w:b/>
        </w:rPr>
        <w:t xml:space="preserve"> and </w:t>
      </w:r>
      <w:r w:rsidR="00D101AA" w:rsidRPr="00361937">
        <w:rPr>
          <w:b/>
        </w:rPr>
        <w:t>s</w:t>
      </w:r>
      <w:r w:rsidRPr="00361937">
        <w:rPr>
          <w:b/>
        </w:rPr>
        <w:t xml:space="preserve">tudy </w:t>
      </w:r>
      <w:r w:rsidR="00137238" w:rsidRPr="00361937">
        <w:rPr>
          <w:b/>
        </w:rPr>
        <w:t>p</w:t>
      </w:r>
      <w:r w:rsidRPr="00361937">
        <w:rPr>
          <w:b/>
        </w:rPr>
        <w:t xml:space="preserve">opulation </w:t>
      </w:r>
    </w:p>
    <w:p w:rsidR="005F4DFA" w:rsidRPr="00361937" w:rsidRDefault="00811892" w:rsidP="00A95E29">
      <w:pPr>
        <w:tabs>
          <w:tab w:val="left" w:pos="7056"/>
        </w:tabs>
        <w:spacing w:line="480" w:lineRule="auto"/>
      </w:pPr>
      <w:r w:rsidRPr="00361937">
        <w:t xml:space="preserve">This study was part of a multi-country </w:t>
      </w:r>
      <w:r w:rsidR="00346977" w:rsidRPr="00361937">
        <w:t xml:space="preserve">single arm </w:t>
      </w:r>
      <w:r w:rsidRPr="00361937">
        <w:t>clinical trial</w:t>
      </w:r>
      <w:r w:rsidR="00346977" w:rsidRPr="00361937">
        <w:t>s</w:t>
      </w:r>
      <w:r w:rsidRPr="00361937">
        <w:t xml:space="preserve"> aim</w:t>
      </w:r>
      <w:r w:rsidR="00346977" w:rsidRPr="00361937">
        <w:t>ed</w:t>
      </w:r>
      <w:r w:rsidRPr="00361937">
        <w:t xml:space="preserve"> </w:t>
      </w:r>
      <w:r w:rsidR="00346977" w:rsidRPr="00361937">
        <w:t>at</w:t>
      </w:r>
      <w:r w:rsidRPr="00361937">
        <w:t xml:space="preserve"> </w:t>
      </w:r>
      <w:r w:rsidR="00346977" w:rsidRPr="00361937">
        <w:t>assessing</w:t>
      </w:r>
      <w:r w:rsidRPr="00361937">
        <w:t xml:space="preserve"> the efficacy and safety of </w:t>
      </w:r>
      <w:r w:rsidR="003C2BA5" w:rsidRPr="00361937">
        <w:t xml:space="preserve">two </w:t>
      </w:r>
      <w:r w:rsidR="0091287A" w:rsidRPr="00361937">
        <w:t xml:space="preserve">artemisinin-based combinations </w:t>
      </w:r>
      <w:r w:rsidRPr="00361937">
        <w:t>(DPQ and artemether-lumefantrine) when used to treat malaria in HIV</w:t>
      </w:r>
      <w:r w:rsidR="003C2BA5" w:rsidRPr="00361937">
        <w:t>-infected adults</w:t>
      </w:r>
      <w:r w:rsidRPr="00361937">
        <w:t xml:space="preserve"> on standard ART</w:t>
      </w:r>
      <w:r w:rsidR="003C2BA5" w:rsidRPr="00361937">
        <w:t xml:space="preserve">. One of the single arm trial assessing the efficacy and safety of AL was conducted in Zambia and </w:t>
      </w:r>
      <w:r w:rsidRPr="00361937">
        <w:t xml:space="preserve">findings </w:t>
      </w:r>
      <w:r w:rsidR="00FB39C4" w:rsidRPr="00361937">
        <w:t>have been</w:t>
      </w:r>
      <w:r w:rsidRPr="00361937">
        <w:t xml:space="preserve"> reported elsewhere</w:t>
      </w:r>
      <w:r w:rsidR="00722F9E" w:rsidRPr="00361937">
        <w:t xml:space="preserve"> </w:t>
      </w:r>
      <w:r w:rsidR="002E24CD" w:rsidRPr="00361937">
        <w:fldChar w:fldCharType="begin" w:fldLock="1"/>
      </w:r>
      <w:r w:rsidR="00A620A1" w:rsidRPr="00361937">
        <w:instrText>ADDIN CSL_CITATION {"citationItems":[{"id":"ITEM-1","itemData":{"DOI":"10.1186/s12936-019-2818-7","ISSN":"1475-2875","abstract":"Background: HIV-infected individuals on antiretroviral therapy (ART) require treatment with artemisinin-based combination therapy (ACT) when infected with malaria. Artemether-lumefantrine (AL) is the most commonly used ACT for treatment of falciparum malaria in Africa but there is limited evidence on the safety and efficacy of AL in HIV-infected individuals on ART, among whom drug-drug interactions are expected. Day-42 adequate clinical and para-sitological response (ACPR) and incidence of adverse events was assessed in HIV-infected individuals on efavirenz-based ART with uncomplicated falciparum malaria treated with AL. Methods: A prospective, open label, non-randomized, interventional clinical trial was conducted at St Paul's Hospital in northern Zambia, involving 152 patients aged 15-65 years with uncomplicated falciparum malaria, who were on efavirenz-based ART. They received a 3-day directly observed standard treatment of AL and were followed up until day 63. Day-42 polymerase chain reaction (PCR)-corrected ACPRs (95% confidence interval [CI]) were calculated for the intention-to-treat population. Results: Enrolled patients had a baseline geometric mean (95% CI) parasite density of 1108 (841-1463) parasites/ µL; 16.4% (25/152) of the participants had a recurrent malaria episode by day 42. However, PCR data was available for 17 out of the 25 patients who had malaria recurrence. Among all the 17 patients, PCR findings demonstrated malaria re-infection, making the PCR-adjusted day-42 ACPR 100% in the 144 patients who could be evaluated. Even when eight patients with missing PCR data were considered very conservatively as failures, the day-42 ACPR was over 94%. None of the participants, disease or treatment characteristics, including day-7 lumefantrine concentrations, predicted the risk of malaria recurrence by day 42. AL was well tolerated following administration. There were only two cases","author":[{"dropping-particle":"","family":"Banda","given":"Clifford G","non-dropping-particle":"","parse-names":false,"suffix":""},{"dropping-particle":"","family":"Chaponda","given":"Mike","non-dropping-particle":"","parse-names":false,"suffix":""},{"dropping-particle":"","family":"Mukaka","given":"Mavuto","non-dropping-particle":"","parse-names":false,"suffix":""},{"dropping-particle":"","family":"Mulenga","given":"Modest","non-dropping-particle":"","parse-names":false,"suffix":""},{"dropping-particle":"","family":"Hachizovu","given":"Sebastian","non-dropping-particle":"","parse-names":false,"suffix":""},{"dropping-particle":"","family":"Kabuya","given":"Jean B","non-dropping-particle":"","parse-names":false,"suffix":""},{"dropping-particle":"","family":"Mulenga","given":"Joyce","non-dropping-particle":"","parse-names":false,"suffix":""},{"dropping-particle":"","family":"Sikalima","given":"Jay","non-dropping-particle":"","parse-names":false,"suffix":""},{"dropping-particle":"","family":"Kalilani-Phiri","given":"Linda","non-dropping-particle":"","parse-names":false,"suffix":""},{"dropping-particle":"","family":"Terlouw","given":"Dianne J","non-dropping-particle":"","parse-names":false,"suffix":""},{"dropping-particle":"","family":"Khoo","given":"Saye H","non-dropping-particle":"","parse-names":false,"suffix":""},{"dropping-particle":"","family":"Lalloo","given":"David G","non-dropping-particle":"","parse-names":false,"suffix":""},{"dropping-particle":"","family":"Mwapasa","given":"Victor","non-dropping-particle":"","parse-names":false,"suffix":""}],"container-title":"Malaria Journal","id":"ITEM-1","issue":"1","issued":{"date-parts":[["2019"]]},"page":"180","title":"Efficacy and safety of artemether–lumefantrine as treatment for Plasmodium falciparum uncomplicated malaria in adult patients on efavirenz-based antiretroviral therapy in Zambia: an open label non-randomized interventional trial","type":"article-journal","volume":"18"},"uris":["http://www.mendeley.com/documents/?uuid=2823192b-44a7-358b-bf3e-62a839fe992d"]}],"mendeley":{"formattedCitation":"[10]","plainTextFormattedCitation":"[10]","previouslyFormattedCitation":"[10]"},"properties":{"noteIndex":0},"schema":"https://github.com/citation-style-language/schema/raw/master/csl-citation.json"}</w:instrText>
      </w:r>
      <w:r w:rsidR="002E24CD" w:rsidRPr="00361937">
        <w:fldChar w:fldCharType="separate"/>
      </w:r>
      <w:r w:rsidR="001756C1" w:rsidRPr="00361937">
        <w:rPr>
          <w:noProof/>
        </w:rPr>
        <w:t>[10]</w:t>
      </w:r>
      <w:r w:rsidR="002E24CD" w:rsidRPr="00361937">
        <w:fldChar w:fldCharType="end"/>
      </w:r>
      <w:r w:rsidRPr="00361937">
        <w:t xml:space="preserve">. </w:t>
      </w:r>
      <w:r w:rsidR="003C2BA5" w:rsidRPr="00361937">
        <w:t>In this paper, findings from another single arm trial assessing the  efficacy and safety of DPQ which</w:t>
      </w:r>
      <w:r w:rsidR="001322A5" w:rsidRPr="00361937">
        <w:t xml:space="preserve"> was conducted from October 2013 to June 2015 at Queen E</w:t>
      </w:r>
      <w:r w:rsidR="00EF4477" w:rsidRPr="00361937">
        <w:t>lizabeth Central Hospital</w:t>
      </w:r>
      <w:r w:rsidR="001322A5" w:rsidRPr="00361937">
        <w:t xml:space="preserve"> and C</w:t>
      </w:r>
      <w:r w:rsidR="00EF4477" w:rsidRPr="00361937">
        <w:t>hikhwawa District Hospital</w:t>
      </w:r>
      <w:r w:rsidR="00140716" w:rsidRPr="00361937">
        <w:t xml:space="preserve"> in </w:t>
      </w:r>
      <w:r w:rsidR="001322A5" w:rsidRPr="00361937">
        <w:t xml:space="preserve">Malawi </w:t>
      </w:r>
      <w:r w:rsidR="00140716" w:rsidRPr="00361937">
        <w:t>as well as</w:t>
      </w:r>
      <w:r w:rsidR="00EF4477" w:rsidRPr="00361937">
        <w:t xml:space="preserve"> Manhiça District Hospital</w:t>
      </w:r>
      <w:r w:rsidR="00140716" w:rsidRPr="00361937">
        <w:t xml:space="preserve"> in </w:t>
      </w:r>
      <w:r w:rsidR="001322A5" w:rsidRPr="00361937">
        <w:t>Mozambique</w:t>
      </w:r>
      <w:r w:rsidR="00140716" w:rsidRPr="00361937">
        <w:t>, are reported</w:t>
      </w:r>
      <w:r w:rsidR="00F940A8" w:rsidRPr="00361937">
        <w:t>. T</w:t>
      </w:r>
      <w:r w:rsidR="00AC4689" w:rsidRPr="00361937">
        <w:t xml:space="preserve">hese are settings </w:t>
      </w:r>
      <w:r w:rsidR="00D93DE6" w:rsidRPr="00361937">
        <w:t xml:space="preserve">of moderate-high transmission of malaria </w:t>
      </w:r>
      <w:r w:rsidR="002E24CD" w:rsidRPr="00361937">
        <w:fldChar w:fldCharType="begin" w:fldLock="1"/>
      </w:r>
      <w:r w:rsidR="00A620A1" w:rsidRPr="00361937">
        <w:instrText>ADDIN CSL_CITATION {"citationItems":[{"id":"ITEM-1","itemData":{"id":"ITEM-1","issued":{"date-parts":[["2015"]]},"title":"Malawi Malaria Indicator Survey 2014 Ministry of Health National Malaria Control Programme Lilongwe, Malawi","type":"report"},"uris":["http://www.mendeley.com/documents/?uuid=55cbdf5e-da19-3944-a0c4-a805c1acbba9"]},{"id":"ITEM-2","itemData":{"DOI":"10.1186/s12936-016-1496-y","ISSN":"1475-2875","PMID":"27577880","abstract":"BACKGROUND After the decrease in clinical malaria incidence observed in Mozambique until 2009, a steady resurgence of cases per year has been reported nationally, reaching alarming levels in 2014. However, little is known about the clinical profile of the cases presented, or the possible epidemiological factors contributing to the resurgence of cases. METHODS An analysis of surveillance data collected between July 2003 and June 2013 in the high malaria-transmission area of Ilha Josina Machel (Southern Mozambique) through a paediatric outpatient morbidity surveillance system was conducted to calculate hospital-based clinical malaria rates, slide-positivity rates, and minimum community-based incidence rates (MCBIRs) and incidence rate ratios per malaria season in children younger than 15 years of age. Clinical malaria was defined as a fever ≥37.5 °C or a reported fever in the previous 24 h with a positive blood smear. Yearly mean age, geometric mean parasitaemia (GMP) and mean packed cell volume (PCV) were also described for all clinical malaria cases and compared between seasons using DID analysis or ANOVA tests. RESULTS During the study period, the percentage of outpatient visits presenting with confirmed clinical malaria decreased from 51 % in the 2003-2004 season to 23 % in 2008-2009, followed by an increase back to 51 % in 2012-2013. The yearly mean age of cases significantly increased from 2.9 (95 % CI 2.8-3.0) in 2003-2004 to 5.7 (95 % CI 5.6-5.7) in 2012-2013, compared to non-malaria cases. An increase in mean PCV levels was also observed (p &lt; 0.001), as well as in GMPs: from 5778 parasites/µL in 2002-2003 to 17,316 parasites/µL in 2012-2013 (p &lt; 0.001) mainly driven by an increase in GMP in children older than 1 year of age. MCBIRs in infants decreased by 70 % (RR = 0.3, p &lt; 0.001) between 2003-2004 and 2012-2013. Incidence diminished by a third among children 1- to 4-years between 2003 and 2007, although such drop was unsustained as observed in 2012-2013 (RR = 1.0, 95 % CI 0.9-1.0). Finally, the incidence among children 5-14 years was 3.8 (95 % CI 3.4-4.3) times higher in 2012-2013 compared to 2003-2004. CONCLUSION Since 2003, Ilha Josina Machel observed a significant reduction of clinical malaria cases which was followed by an upsurge, following the national trend. A shift in the age distribution towards older children was observed, indicating that the changes in the transmission intensity patterns resulted in a slower acquisition of the natura…","author":[{"dropping-particle":"","family":"Galatas","given":"Beatriz","non-dropping-particle":"","parse-names":false,"suffix":""},{"dropping-particle":"","family":"Guinovart","given":"Caterina","non-dropping-particle":"","parse-names":false,"suffix":""},{"dropping-particle":"","family":"Bassat","given":"Quique","non-dropping-particle":"","parse-names":false,"suffix":""},{"dropping-particle":"","family":"Aponte","given":"John J","non-dropping-particle":"","parse-names":false,"suffix":""},{"dropping-particle":"","family":"Nhamússua","given":"Lídia","non-dropping-particle":"","parse-names":false,"suffix":""},{"dropping-particle":"","family":"Macete","given":"Eusebio","non-dropping-particle":"","parse-names":false,"suffix":""},{"dropping-particle":"","family":"Saúte","given":"Francisco","non-dropping-particle":"","parse-names":false,"suffix":""},{"dropping-particle":"","family":"Alonso","given":"Pedro","non-dropping-particle":"","parse-names":false,"suffix":""},{"dropping-particle":"","family":"Aide","given":"Pedro","non-dropping-particle":"","parse-names":false,"suffix":""}],"container-title":"Malaria journal","id":"ITEM-2","issue":"1","issued":{"date-parts":[["2016","12","31"]]},"page":"444","title":"A prospective cohort study to assess the micro-epidemiology of Plasmodium falciparum clinical malaria in Ilha Josina Machel (Manhiça, Mozambique).","type":"article-journal","volume":"15"},"uris":["http://www.mendeley.com/documents/?uuid=e7d2739d-5303-33dd-9e28-2283ef42ceb6"]}],"mendeley":{"formattedCitation":"[11,12]","plainTextFormattedCitation":"[11,12]","previouslyFormattedCitation":"[11,12]"},"properties":{"noteIndex":0},"schema":"https://github.com/citation-style-language/schema/raw/master/csl-citation.json"}</w:instrText>
      </w:r>
      <w:r w:rsidR="002E24CD" w:rsidRPr="00361937">
        <w:fldChar w:fldCharType="separate"/>
      </w:r>
      <w:r w:rsidR="001756C1" w:rsidRPr="00361937">
        <w:rPr>
          <w:noProof/>
        </w:rPr>
        <w:t>[11,12]</w:t>
      </w:r>
      <w:r w:rsidR="002E24CD" w:rsidRPr="00361937">
        <w:fldChar w:fldCharType="end"/>
      </w:r>
      <w:r w:rsidR="00D93DE6" w:rsidRPr="00361937">
        <w:t xml:space="preserve"> </w:t>
      </w:r>
      <w:r w:rsidR="00844190" w:rsidRPr="00361937">
        <w:t xml:space="preserve">and </w:t>
      </w:r>
      <w:r w:rsidR="00D93DE6" w:rsidRPr="00361937">
        <w:t xml:space="preserve">high HIV prevalence </w:t>
      </w:r>
      <w:r w:rsidR="002E24CD" w:rsidRPr="00361937">
        <w:fldChar w:fldCharType="begin" w:fldLock="1"/>
      </w:r>
      <w:r w:rsidR="00A620A1" w:rsidRPr="00361937">
        <w:instrText>ADDIN CSL_CITATION {"citationItems":[{"id":"ITEM-1","itemData":{"DOI":"10.1126/science.331.6020.996","ISBN":"1301572020","ISSN":"10959203","PMID":"20113091711","abstract":"The 2010 Malawi Demographic and Health Survey (2010 MDHS) was implemented by the National Statistical Office (NSO) and the Community Health Sciences Unit (CHSU) from June through November 2010. The funding for the MDHS was provided by the government of Malawi, National AIDS Commission (NAC), the United Nations Population Fund (UNFPA), the United Nations Children’s Fund (UNICEF), the United Kingdom Department for International Development (DFID), the Centers for Disease Control and Prevention (CDC), and the United States Agency for International Development (USAID). ICF Macro provided technical assistance as well as funding to the project through the MEASURE DHS programme, a USAID-funded project providing support and technical assistance in the implementation of population and health surveys in countries worldwide.","author":[{"dropping-particle":"","family":"National Statistical Office","given":"","non-dropping-particle":"","parse-names":false,"suffix":""}],"id":"ITEM-1","issued":{"date-parts":[["2017"]]},"number-of-pages":"1-603","title":"Malawi - Demographic and Health Survey 2015-16","type":"report"},"uris":["http://www.mendeley.com/documents/?uuid=b48bc975-d733-38e4-bca6-1f68875e59c7"]},{"id":"ITEM-2","itemData":{"author":[{"dropping-particle":"","family":"Ministerio da Saúde.","given":"","non-dropping-particle":"","parse-names":false,"suffix":""}],"id":"ITEM-2","issued":{"date-parts":[["2009"]]},"publisher-place":"Maputo","title":"National Survey on Prevalence, Behavioral Risks and Information about HIV and AIDS in Mozambique (INSIDE).","type":"report"},"uris":["http://www.mendeley.com/documents/?uuid=ad7ba48a-bda7-462b-abdf-f96764d5a2e8"]}],"mendeley":{"formattedCitation":"[13,14]","plainTextFormattedCitation":"[13,14]","previouslyFormattedCitation":"[13,14]"},"properties":{"noteIndex":0},"schema":"https://github.com/citation-style-language/schema/raw/master/csl-citation.json"}</w:instrText>
      </w:r>
      <w:r w:rsidR="002E24CD" w:rsidRPr="00361937">
        <w:fldChar w:fldCharType="separate"/>
      </w:r>
      <w:r w:rsidR="001756C1" w:rsidRPr="00361937">
        <w:rPr>
          <w:noProof/>
        </w:rPr>
        <w:t>[13,14]</w:t>
      </w:r>
      <w:r w:rsidR="002E24CD" w:rsidRPr="00361937">
        <w:fldChar w:fldCharType="end"/>
      </w:r>
      <w:r w:rsidR="00C643D3" w:rsidRPr="00361937">
        <w:t xml:space="preserve">. </w:t>
      </w:r>
      <w:r w:rsidR="005F4DFA" w:rsidRPr="00361937">
        <w:t>Blantyre is an urban district in Southern Malawi with an estimated population 1,239,647</w:t>
      </w:r>
      <w:r w:rsidR="00F940A8" w:rsidRPr="00361937">
        <w:t xml:space="preserve">, </w:t>
      </w:r>
      <w:r w:rsidR="005F4DFA" w:rsidRPr="00361937">
        <w:t>while Chikhwawa is a rural district located 34 kilomet</w:t>
      </w:r>
      <w:r w:rsidR="0091287A" w:rsidRPr="00361937">
        <w:t>re</w:t>
      </w:r>
      <w:r w:rsidR="005F4DFA" w:rsidRPr="00361937">
        <w:t xml:space="preserve">s south of Blantyre with an estimated population of 518,284. In 2014, the malaria parasite prevalence in </w:t>
      </w:r>
      <w:r w:rsidR="005F4DFA" w:rsidRPr="00361937">
        <w:lastRenderedPageBreak/>
        <w:t>under-five children in Malawi was 33%</w:t>
      </w:r>
      <w:r w:rsidR="00120632" w:rsidRPr="00361937">
        <w:t xml:space="preserve"> and </w:t>
      </w:r>
      <w:r w:rsidR="005F4DFA" w:rsidRPr="00361937">
        <w:t xml:space="preserve">higher in rural (37%) than urban areas (11%) </w:t>
      </w:r>
      <w:r w:rsidR="002E24CD" w:rsidRPr="00361937">
        <w:fldChar w:fldCharType="begin" w:fldLock="1"/>
      </w:r>
      <w:r w:rsidR="00A620A1" w:rsidRPr="00361937">
        <w:instrText>ADDIN CSL_CITATION {"citationItems":[{"id":"ITEM-1","itemData":{"id":"ITEM-1","issued":{"date-parts":[["2015"]]},"title":"Malawi Malaria Indicator Survey 2014 Ministry of Health National Malaria Control Programme Lilongwe, Malawi","type":"report"},"uris":["http://www.mendeley.com/documents/?uuid=55cbdf5e-da19-3944-a0c4-a805c1acbba9"]}],"mendeley":{"formattedCitation":"[11]","plainTextFormattedCitation":"[11]","previouslyFormattedCitation":"[11]"},"properties":{"noteIndex":0},"schema":"https://github.com/citation-style-language/schema/raw/master/csl-citation.json"}</w:instrText>
      </w:r>
      <w:r w:rsidR="002E24CD" w:rsidRPr="00361937">
        <w:fldChar w:fldCharType="separate"/>
      </w:r>
      <w:r w:rsidR="001756C1" w:rsidRPr="00361937">
        <w:rPr>
          <w:noProof/>
        </w:rPr>
        <w:t>[11]</w:t>
      </w:r>
      <w:r w:rsidR="002E24CD" w:rsidRPr="00361937">
        <w:fldChar w:fldCharType="end"/>
      </w:r>
      <w:r w:rsidR="005F4DFA" w:rsidRPr="00361937">
        <w:t xml:space="preserve">. HIV prevalence in Malawi was estimated at 10.6% in 2015 </w:t>
      </w:r>
      <w:r w:rsidR="002E24CD" w:rsidRPr="00361937">
        <w:fldChar w:fldCharType="begin" w:fldLock="1"/>
      </w:r>
      <w:r w:rsidR="00A620A1" w:rsidRPr="00361937">
        <w:instrText>ADDIN CSL_CITATION {"citationItems":[{"id":"ITEM-1","itemData":{"DOI":"10.1126/science.331.6020.996","ISBN":"1301572020","ISSN":"10959203","PMID":"20113091711","abstract":"The 2010 Malawi Demographic and Health Survey (2010 MDHS) was implemented by the National Statistical Office (NSO) and the Community Health Sciences Unit (CHSU) from June through November 2010. The funding for the MDHS was provided by the government of Malawi, National AIDS Commission (NAC), the United Nations Population Fund (UNFPA), the United Nations Children’s Fund (UNICEF), the United Kingdom Department for International Development (DFID), the Centers for Disease Control and Prevention (CDC), and the United States Agency for International Development (USAID). ICF Macro provided technical assistance as well as funding to the project through the MEASURE DHS programme, a USAID-funded project providing support and technical assistance in the implementation of population and health surveys in countries worldwide.","author":[{"dropping-particle":"","family":"National Statistical Office","given":"","non-dropping-particle":"","parse-names":false,"suffix":""}],"id":"ITEM-1","issued":{"date-parts":[["2017"]]},"number-of-pages":"1-603","title":"Malawi - Demographic and Health Survey 2015-16","type":"report"},"uris":["http://www.mendeley.com/documents/?uuid=b48bc975-d733-38e4-bca6-1f68875e59c7"]}],"mendeley":{"formattedCitation":"[13]","plainTextFormattedCitation":"[13]","previouslyFormattedCitation":"[13]"},"properties":{"noteIndex":0},"schema":"https://github.com/citation-style-language/schema/raw/master/csl-citation.json"}</w:instrText>
      </w:r>
      <w:r w:rsidR="002E24CD" w:rsidRPr="00361937">
        <w:fldChar w:fldCharType="separate"/>
      </w:r>
      <w:r w:rsidR="001756C1" w:rsidRPr="00361937">
        <w:rPr>
          <w:noProof/>
        </w:rPr>
        <w:t>[13]</w:t>
      </w:r>
      <w:r w:rsidR="002E24CD" w:rsidRPr="00361937">
        <w:fldChar w:fldCharType="end"/>
      </w:r>
      <w:r w:rsidR="005F4DFA" w:rsidRPr="00361937">
        <w:t xml:space="preserve">. Manhiça is a rural district in Southern Mozambique located 80 kilometers north of Maputo city, with an estimated population of 178,000 in 2014. Malaria parasite prevalence in under-five children was estimated at 51% in 2013 </w:t>
      </w:r>
      <w:r w:rsidR="002E24CD" w:rsidRPr="00361937">
        <w:fldChar w:fldCharType="begin" w:fldLock="1"/>
      </w:r>
      <w:r w:rsidR="00A620A1" w:rsidRPr="00361937">
        <w:instrText>ADDIN CSL_CITATION {"citationItems":[{"id":"ITEM-1","itemData":{"DOI":"10.1186/s12936-016-1496-y","ISSN":"1475-2875","PMID":"27577880","abstract":"BACKGROUND After the decrease in clinical malaria incidence observed in Mozambique until 2009, a steady resurgence of cases per year has been reported nationally, reaching alarming levels in 2014. However, little is known about the clinical profile of the cases presented, or the possible epidemiological factors contributing to the resurgence of cases. METHODS An analysis of surveillance data collected between July 2003 and June 2013 in the high malaria-transmission area of Ilha Josina Machel (Southern Mozambique) through a paediatric outpatient morbidity surveillance system was conducted to calculate hospital-based clinical malaria rates, slide-positivity rates, and minimum community-based incidence rates (MCBIRs) and incidence rate ratios per malaria season in children younger than 15 years of age. Clinical malaria was defined as a fever ≥37.5 °C or a reported fever in the previous 24 h with a positive blood smear. Yearly mean age, geometric mean parasitaemia (GMP) and mean packed cell volume (PCV) were also described for all clinical malaria cases and compared between seasons using DID analysis or ANOVA tests. RESULTS During the study period, the percentage of outpatient visits presenting with confirmed clinical malaria decreased from 51 % in the 2003-2004 season to 23 % in 2008-2009, followed by an increase back to 51 % in 2012-2013. The yearly mean age of cases significantly increased from 2.9 (95 % CI 2.8-3.0) in 2003-2004 to 5.7 (95 % CI 5.6-5.7) in 2012-2013, compared to non-malaria cases. An increase in mean PCV levels was also observed (p &lt; 0.001), as well as in GMPs: from 5778 parasites/µL in 2002-2003 to 17,316 parasites/µL in 2012-2013 (p &lt; 0.001) mainly driven by an increase in GMP in children older than 1 year of age. MCBIRs in infants decreased by 70 % (RR = 0.3, p &lt; 0.001) between 2003-2004 and 2012-2013. Incidence diminished by a third among children 1- to 4-years between 2003 and 2007, although such drop was unsustained as observed in 2012-2013 (RR = 1.0, 95 % CI 0.9-1.0). Finally, the incidence among children 5-14 years was 3.8 (95 % CI 3.4-4.3) times higher in 2012-2013 compared to 2003-2004. CONCLUSION Since 2003, Ilha Josina Machel observed a significant reduction of clinical malaria cases which was followed by an upsurge, following the national trend. A shift in the age distribution towards older children was observed, indicating that the changes in the transmission intensity patterns resulted in a slower acquisition of the natura…","author":[{"dropping-particle":"","family":"Galatas","given":"Beatriz","non-dropping-particle":"","parse-names":false,"suffix":""},{"dropping-particle":"","family":"Guinovart","given":"Caterina","non-dropping-particle":"","parse-names":false,"suffix":""},{"dropping-particle":"","family":"Bassat","given":"Quique","non-dropping-particle":"","parse-names":false,"suffix":""},{"dropping-particle":"","family":"Aponte","given":"John J","non-dropping-particle":"","parse-names":false,"suffix":""},{"dropping-particle":"","family":"Nhamússua","given":"Lídia","non-dropping-particle":"","parse-names":false,"suffix":""},{"dropping-particle":"","family":"Macete","given":"Eusebio","non-dropping-particle":"","parse-names":false,"suffix":""},{"dropping-particle":"","family":"Saúte","given":"Francisco","non-dropping-particle":"","parse-names":false,"suffix":""},{"dropping-particle":"","family":"Alonso","given":"Pedro","non-dropping-particle":"","parse-names":false,"suffix":""},{"dropping-particle":"","family":"Aide","given":"Pedro","non-dropping-particle":"","parse-names":false,"suffix":""}],"container-title":"Malaria journal","id":"ITEM-1","issue":"1","issued":{"date-parts":[["2016","12","31"]]},"page":"444","title":"A prospective cohort study to assess the micro-epidemiology of Plasmodium falciparum clinical malaria in Ilha Josina Machel (Manhiça, Mozambique).","type":"article-journal","volume":"15"},"uris":["http://www.mendeley.com/documents/?uuid=e7d2739d-5303-33dd-9e28-2283ef42ceb6"]}],"mendeley":{"formattedCitation":"[12]","plainTextFormattedCitation":"[12]","previouslyFormattedCitation":"[12]"},"properties":{"noteIndex":0},"schema":"https://github.com/citation-style-language/schema/raw/master/csl-citation.json"}</w:instrText>
      </w:r>
      <w:r w:rsidR="002E24CD" w:rsidRPr="00361937">
        <w:fldChar w:fldCharType="separate"/>
      </w:r>
      <w:r w:rsidR="001756C1" w:rsidRPr="00361937">
        <w:rPr>
          <w:noProof/>
        </w:rPr>
        <w:t>[12]</w:t>
      </w:r>
      <w:r w:rsidR="002E24CD" w:rsidRPr="00361937">
        <w:fldChar w:fldCharType="end"/>
      </w:r>
      <w:r w:rsidR="005F4DFA" w:rsidRPr="00361937">
        <w:t xml:space="preserve"> while HIV prevalence in the general population was estimated at 39.9% in 2010 </w:t>
      </w:r>
      <w:r w:rsidR="002E24CD" w:rsidRPr="00361937">
        <w:fldChar w:fldCharType="begin" w:fldLock="1"/>
      </w:r>
      <w:r w:rsidR="00A620A1" w:rsidRPr="00361937">
        <w:instrText>ADDIN CSL_CITATION {"citationItems":[{"id":"ITEM-1","itemData":{"author":[{"dropping-particle":"","family":"Ministerio da Saúde.","given":"","non-dropping-particle":"","parse-names":false,"suffix":""}],"id":"ITEM-1","issued":{"date-parts":[["2009"]]},"publisher-place":"Maputo","title":"National Survey on Prevalence, Behavioral Risks and Information about HIV and AIDS in Mozambique (INSIDE).","type":"report"},"uris":["http://www.mendeley.com/documents/?uuid=ad7ba48a-bda7-462b-abdf-f96764d5a2e8"]}],"mendeley":{"formattedCitation":"[14]","plainTextFormattedCitation":"[14]","previouslyFormattedCitation":"[14]"},"properties":{"noteIndex":0},"schema":"https://github.com/citation-style-language/schema/raw/master/csl-citation.json"}</w:instrText>
      </w:r>
      <w:r w:rsidR="002E24CD" w:rsidRPr="00361937">
        <w:fldChar w:fldCharType="separate"/>
      </w:r>
      <w:r w:rsidR="001756C1" w:rsidRPr="00361937">
        <w:rPr>
          <w:noProof/>
        </w:rPr>
        <w:t>[14]</w:t>
      </w:r>
      <w:r w:rsidR="002E24CD" w:rsidRPr="00361937">
        <w:fldChar w:fldCharType="end"/>
      </w:r>
      <w:r w:rsidR="005F4DFA" w:rsidRPr="00361937">
        <w:t xml:space="preserve"> </w:t>
      </w:r>
    </w:p>
    <w:p w:rsidR="001322A5" w:rsidRPr="00361937" w:rsidRDefault="001322A5" w:rsidP="00A95E29">
      <w:pPr>
        <w:tabs>
          <w:tab w:val="left" w:pos="7056"/>
        </w:tabs>
        <w:spacing w:line="480" w:lineRule="auto"/>
      </w:pPr>
    </w:p>
    <w:p w:rsidR="001322A5" w:rsidRPr="00361937" w:rsidRDefault="001322A5" w:rsidP="00A95E29">
      <w:pPr>
        <w:tabs>
          <w:tab w:val="left" w:pos="7056"/>
        </w:tabs>
        <w:spacing w:line="480" w:lineRule="auto"/>
      </w:pPr>
      <w:r w:rsidRPr="00361937">
        <w:t xml:space="preserve">During the </w:t>
      </w:r>
      <w:r w:rsidR="0003237C" w:rsidRPr="00361937">
        <w:t xml:space="preserve">study </w:t>
      </w:r>
      <w:r w:rsidRPr="00361937">
        <w:t xml:space="preserve">period, </w:t>
      </w:r>
      <w:r w:rsidR="0003237C" w:rsidRPr="00361937">
        <w:t xml:space="preserve">the </w:t>
      </w:r>
      <w:r w:rsidRPr="00361937">
        <w:t xml:space="preserve">criteria for initiating ART </w:t>
      </w:r>
      <w:r w:rsidR="0003237C" w:rsidRPr="00361937">
        <w:t xml:space="preserve">in the two countries </w:t>
      </w:r>
      <w:r w:rsidRPr="00361937">
        <w:t>were WHO HIV disease stages 3 or 4, CD4 cell count&lt;350, pregnancy or lactation</w:t>
      </w:r>
      <w:r w:rsidR="00937CB6" w:rsidRPr="00361937">
        <w:t xml:space="preserve"> </w:t>
      </w:r>
      <w:r w:rsidR="002E24CD" w:rsidRPr="00361937">
        <w:fldChar w:fldCharType="begin" w:fldLock="1"/>
      </w:r>
      <w:r w:rsidR="00B34359" w:rsidRPr="00361937">
        <w:instrText>ADDIN CSL_CITATION {"citationItems":[{"id":"ITEM-1","itemData":{"author":[{"dropping-particle":"","family":"WHO","given":"","non-dropping-particle":"","parse-names":false,"suffix":""}],"id":"ITEM-1","issued":{"date-parts":[["2013"]]},"number-of-pages":"272","title":"Consolidated guidelines on the use of antiretroviral grugs for treating and preventing HIV infection. 2013","type":"report"},"uris":["http://www.mendeley.com/documents/?uuid=21ee9e0b-ded5-3e89-8a13-aab76596d012"]}],"mendeley":{"formattedCitation":"[15]","plainTextFormattedCitation":"[15]","previouslyFormattedCitation":"[15]"},"properties":{"noteIndex":0},"schema":"https://github.com/citation-style-language/schema/raw/master/csl-citation.json"}</w:instrText>
      </w:r>
      <w:r w:rsidR="002E24CD" w:rsidRPr="00361937">
        <w:fldChar w:fldCharType="separate"/>
      </w:r>
      <w:r w:rsidR="00937CB6" w:rsidRPr="00361937">
        <w:rPr>
          <w:noProof/>
        </w:rPr>
        <w:t>[15]</w:t>
      </w:r>
      <w:r w:rsidR="002E24CD" w:rsidRPr="00361937">
        <w:fldChar w:fldCharType="end"/>
      </w:r>
      <w:r w:rsidRPr="00361937">
        <w:t xml:space="preserve">. In October-December 2013, </w:t>
      </w:r>
      <w:r w:rsidR="00FD583E" w:rsidRPr="00361937">
        <w:t xml:space="preserve">&gt;87% </w:t>
      </w:r>
      <w:r w:rsidRPr="00361937">
        <w:t xml:space="preserve">of </w:t>
      </w:r>
      <w:r w:rsidR="00E03083" w:rsidRPr="00361937">
        <w:t xml:space="preserve">ART </w:t>
      </w:r>
      <w:r w:rsidRPr="00361937">
        <w:t>individuals</w:t>
      </w:r>
      <w:r w:rsidR="0003237C" w:rsidRPr="00361937">
        <w:t xml:space="preserve"> in Malawi</w:t>
      </w:r>
      <w:r w:rsidRPr="00361937">
        <w:t xml:space="preserve"> were </w:t>
      </w:r>
      <w:r w:rsidR="0003237C" w:rsidRPr="00361937">
        <w:t xml:space="preserve">on </w:t>
      </w:r>
      <w:r w:rsidR="00A97B51" w:rsidRPr="00361937">
        <w:t xml:space="preserve">a fixed dose combination of </w:t>
      </w:r>
      <w:r w:rsidR="00A97B51" w:rsidRPr="00361937">
        <w:rPr>
          <w:lang w:val="en-ZW" w:eastAsia="en-ZW"/>
        </w:rPr>
        <w:t>tenofovir /lamivudine/efavirenz</w:t>
      </w:r>
      <w:r w:rsidRPr="00361937">
        <w:t xml:space="preserve"> while 6% were on s</w:t>
      </w:r>
      <w:r w:rsidR="00A97B51" w:rsidRPr="00361937">
        <w:t>tavudine/lamivudine/nevirapine or zidovudine/lamivudine/nevirapine</w:t>
      </w:r>
      <w:r w:rsidR="00492E10" w:rsidRPr="00361937">
        <w:t xml:space="preserve"> </w:t>
      </w:r>
      <w:r w:rsidR="002E24CD" w:rsidRPr="00361937">
        <w:fldChar w:fldCharType="begin" w:fldLock="1"/>
      </w:r>
      <w:r w:rsidR="00B34359" w:rsidRPr="00361937">
        <w:instrText>ADDIN CSL_CITATION {"citationItems":[{"id":"ITEM-1","itemData":{"author":[{"dropping-particle":"","family":"Ministry of Health","given":"","non-dropping-particle":"","parse-names":false,"suffix":""}],"id":"ITEM-1","issued":{"date-parts":[["2013"]]},"title":"Malawi Integrated HIV Program Report","type":"report"},"uris":["http://www.mendeley.com/documents/?uuid=dd18b08c-9e37-4a4c-8108-037d0af4e1cb"]}],"mendeley":{"formattedCitation":"[16]","plainTextFormattedCitation":"[16]","previouslyFormattedCitation":"[16]"},"properties":{"noteIndex":0},"schema":"https://github.com/citation-style-language/schema/raw/master/csl-citation.json"}</w:instrText>
      </w:r>
      <w:r w:rsidR="002E24CD" w:rsidRPr="00361937">
        <w:fldChar w:fldCharType="separate"/>
      </w:r>
      <w:r w:rsidR="00937CB6" w:rsidRPr="00361937">
        <w:rPr>
          <w:noProof/>
        </w:rPr>
        <w:t>[16]</w:t>
      </w:r>
      <w:r w:rsidR="002E24CD" w:rsidRPr="00361937">
        <w:fldChar w:fldCharType="end"/>
      </w:r>
      <w:r w:rsidRPr="00361937">
        <w:t xml:space="preserve">. </w:t>
      </w:r>
      <w:r w:rsidR="00E03083" w:rsidRPr="00361937">
        <w:t>In Mozambique, t</w:t>
      </w:r>
      <w:r w:rsidRPr="00361937">
        <w:t>he majority of</w:t>
      </w:r>
      <w:r w:rsidR="00A97B51" w:rsidRPr="00361937">
        <w:t xml:space="preserve"> the ART individuals were on fixed dose zidovudine/lamivudine/nevirapine</w:t>
      </w:r>
      <w:r w:rsidRPr="00361937">
        <w:t xml:space="preserve"> but the use of </w:t>
      </w:r>
      <w:r w:rsidR="00A97B51" w:rsidRPr="00361937">
        <w:t xml:space="preserve">fixed dose </w:t>
      </w:r>
      <w:r w:rsidR="00A97B51" w:rsidRPr="00361937">
        <w:rPr>
          <w:lang w:val="en-ZW" w:eastAsia="en-ZW"/>
        </w:rPr>
        <w:t>tenofavir/lamivudine/efavirenz</w:t>
      </w:r>
      <w:r w:rsidRPr="00361937">
        <w:rPr>
          <w:lang w:val="en-ZW" w:eastAsia="en-ZW"/>
        </w:rPr>
        <w:t xml:space="preserve"> increased steadily over the study period.</w:t>
      </w:r>
      <w:r w:rsidRPr="00361937">
        <w:t xml:space="preserve"> In both countries, </w:t>
      </w:r>
      <w:r w:rsidR="00BF2BF0" w:rsidRPr="00361937">
        <w:t xml:space="preserve">artemether-lumefantrine </w:t>
      </w:r>
      <w:r w:rsidRPr="00361937">
        <w:t>was the first-line treatment for uncomplicated malaria. DPQ</w:t>
      </w:r>
      <w:r w:rsidR="00E513DE" w:rsidRPr="00361937">
        <w:t xml:space="preserve"> was </w:t>
      </w:r>
      <w:r w:rsidR="008F0C21" w:rsidRPr="00361937">
        <w:t xml:space="preserve">registered but </w:t>
      </w:r>
      <w:r w:rsidR="00E513DE" w:rsidRPr="00361937">
        <w:t xml:space="preserve">not </w:t>
      </w:r>
      <w:r w:rsidR="00AC0215" w:rsidRPr="00361937">
        <w:t xml:space="preserve">routinely </w:t>
      </w:r>
      <w:r w:rsidR="00187C11" w:rsidRPr="00361937">
        <w:t xml:space="preserve">available </w:t>
      </w:r>
      <w:r w:rsidR="00AC0215" w:rsidRPr="00361937">
        <w:t xml:space="preserve">within </w:t>
      </w:r>
      <w:r w:rsidR="00E513DE" w:rsidRPr="00361937">
        <w:t xml:space="preserve">the </w:t>
      </w:r>
      <w:r w:rsidR="00D56DC9" w:rsidRPr="00361937">
        <w:t>public health system in the two countries.</w:t>
      </w:r>
      <w:r w:rsidR="00127671" w:rsidRPr="00361937">
        <w:t xml:space="preserve"> </w:t>
      </w:r>
      <w:r w:rsidR="00D56DC9" w:rsidRPr="00361937">
        <w:t>N</w:t>
      </w:r>
      <w:r w:rsidR="00A65066" w:rsidRPr="00361937">
        <w:t>e</w:t>
      </w:r>
      <w:r w:rsidR="00D56DC9" w:rsidRPr="00361937">
        <w:t>ve</w:t>
      </w:r>
      <w:r w:rsidR="00A65066" w:rsidRPr="00361937">
        <w:t>r</w:t>
      </w:r>
      <w:r w:rsidR="00D56DC9" w:rsidRPr="00361937">
        <w:t>theless, it</w:t>
      </w:r>
      <w:r w:rsidR="00127671" w:rsidRPr="00361937">
        <w:t xml:space="preserve"> was </w:t>
      </w:r>
      <w:r w:rsidR="00D56DC9" w:rsidRPr="00361937">
        <w:t>evaluated</w:t>
      </w:r>
      <w:r w:rsidR="00127671" w:rsidRPr="00361937">
        <w:t xml:space="preserve"> in this study </w:t>
      </w:r>
      <w:r w:rsidR="004D3648" w:rsidRPr="00361937">
        <w:t xml:space="preserve">because it is one of the WHO recommended </w:t>
      </w:r>
      <w:r w:rsidR="0091287A" w:rsidRPr="00361937">
        <w:t xml:space="preserve">artemisinin-based combinations </w:t>
      </w:r>
      <w:r w:rsidR="004D3648" w:rsidRPr="00361937">
        <w:t>and has a more convenient dosing schedule than AL (once daily for 3 days)</w:t>
      </w:r>
      <w:r w:rsidRPr="00361937">
        <w:t xml:space="preserve">. </w:t>
      </w:r>
      <w:r w:rsidR="00D56DC9" w:rsidRPr="00361937">
        <w:rPr>
          <w:iCs/>
        </w:rPr>
        <w:t xml:space="preserve">The efficacy and safety of AL was assessed in a separate trial </w:t>
      </w:r>
      <w:r w:rsidR="002E24CD" w:rsidRPr="00361937">
        <w:rPr>
          <w:iCs/>
        </w:rPr>
        <w:fldChar w:fldCharType="begin" w:fldLock="1"/>
      </w:r>
      <w:r w:rsidR="00E21C56" w:rsidRPr="00361937">
        <w:rPr>
          <w:iCs/>
        </w:rPr>
        <w:instrText>ADDIN CSL_CITATION {"citationItems":[{"id":"ITEM-1","itemData":{"DOI":"10.1186/s12936-019-2818-7","ISSN":"1475-2875","abstract":"Background: HIV-infected individuals on antiretroviral therapy (ART) require treatment with artemisinin-based combination therapy (ACT) when infected with malaria. Artemether-lumefantrine (AL) is the most commonly used ACT for treatment of falciparum malaria in Africa but there is limited evidence on the safety and efficacy of AL in HIV-infected individuals on ART, among whom drug-drug interactions are expected. Day-42 adequate clinical and para-sitological response (ACPR) and incidence of adverse events was assessed in HIV-infected individuals on efavirenz-based ART with uncomplicated falciparum malaria treated with AL. Methods: A prospective, open label, non-randomized, interventional clinical trial was conducted at St Paul's Hospital in northern Zambia, involving 152 patients aged 15-65 years with uncomplicated falciparum malaria, who were on efavirenz-based ART. They received a 3-day directly observed standard treatment of AL and were followed up until day 63. Day-42 polymerase chain reaction (PCR)-corrected ACPRs (95% confidence interval [CI]) were calculated for the intention-to-treat population. Results: Enrolled patients had a baseline geometric mean (95% CI) parasite density of 1108 (841-1463) parasites/ µL; 16.4% (25/152) of the participants had a recurrent malaria episode by day 42. However, PCR data was available for 17 out of the 25 patients who had malaria recurrence. Among all the 17 patients, PCR findings demonstrated malaria re-infection, making the PCR-adjusted day-42 ACPR 100% in the 144 patients who could be evaluated. Even when eight patients with missing PCR data were considered very conservatively as failures, the day-42 ACPR was over 94%. None of the participants, disease or treatment characteristics, including day-7 lumefantrine concentrations, predicted the risk of malaria recurrence by day 42. AL was well tolerated following administration. There were only two cases","author":[{"dropping-particle":"","family":"Banda","given":"Clifford G","non-dropping-particle":"","parse-names":false,"suffix":""},{"dropping-particle":"","family":"Chaponda","given":"Mike","non-dropping-particle":"","parse-names":false,"suffix":""},{"dropping-particle":"","family":"Mukaka","given":"Mavuto","non-dropping-particle":"","parse-names":false,"suffix":""},{"dropping-particle":"","family":"Mulenga","given":"Modest","non-dropping-particle":"","parse-names":false,"suffix":""},{"dropping-particle":"","family":"Hachizovu","given":"Sebastian","non-dropping-particle":"","parse-names":false,"suffix":""},{"dropping-particle":"","family":"Kabuya","given":"Jean B","non-dropping-particle":"","parse-names":false,"suffix":""},{"dropping-particle":"","family":"Mulenga","given":"Joyce","non-dropping-particle":"","parse-names":false,"suffix":""},{"dropping-particle":"","family":"Sikalima","given":"Jay","non-dropping-particle":"","parse-names":false,"suffix":""},{"dropping-particle":"","family":"Kalilani-Phiri","given":"Linda","non-dropping-particle":"","parse-names":false,"suffix":""},{"dropping-particle":"","family":"Terlouw","given":"Dianne J","non-dropping-particle":"","parse-names":false,"suffix":""},{"dropping-particle":"","family":"Khoo","given":"Saye H","non-dropping-particle":"","parse-names":false,"suffix":""},{"dropping-particle":"","family":"Lalloo","given":"David G","non-dropping-particle":"","parse-names":false,"suffix":""},{"dropping-particle":"","family":"Mwapasa","given":"Victor","non-dropping-particle":"","parse-names":false,"suffix":""}],"container-title":"Malaria Journal","id":"ITEM-1","issue":"1","issued":{"date-parts":[["2019"]]},"page":"180","title":"Efficacy and safety of artemether–lumefantrine as treatment for Plasmodium falciparum uncomplicated malaria in adult patients on efavirenz-based antiretroviral therapy in Zambia: an open label non-randomized interventional trial","type":"article-journal","volume":"18"},"uris":["http://www.mendeley.com/documents/?uuid=2823192b-44a7-358b-bf3e-62a839fe992d"]}],"mendeley":{"formattedCitation":"[10]","plainTextFormattedCitation":"[10]","previouslyFormattedCitation":"[10]"},"properties":{"noteIndex":0},"schema":"https://github.com/citation-style-language/schema/raw/master/csl-citation.json"}</w:instrText>
      </w:r>
      <w:r w:rsidR="002E24CD" w:rsidRPr="00361937">
        <w:rPr>
          <w:iCs/>
        </w:rPr>
        <w:fldChar w:fldCharType="separate"/>
      </w:r>
      <w:r w:rsidR="00B34359" w:rsidRPr="00361937">
        <w:rPr>
          <w:iCs/>
          <w:noProof/>
        </w:rPr>
        <w:t>[10]</w:t>
      </w:r>
      <w:r w:rsidR="002E24CD" w:rsidRPr="00361937">
        <w:rPr>
          <w:iCs/>
        </w:rPr>
        <w:fldChar w:fldCharType="end"/>
      </w:r>
    </w:p>
    <w:p w:rsidR="00F31FC9" w:rsidRPr="00361937" w:rsidRDefault="00F31FC9" w:rsidP="00A95E29">
      <w:pPr>
        <w:spacing w:line="480" w:lineRule="auto"/>
      </w:pPr>
    </w:p>
    <w:p w:rsidR="001322A5" w:rsidRPr="00361937" w:rsidRDefault="001322A5" w:rsidP="00A95E29">
      <w:pPr>
        <w:spacing w:line="480" w:lineRule="auto"/>
        <w:outlineLvl w:val="0"/>
        <w:rPr>
          <w:b/>
        </w:rPr>
      </w:pPr>
      <w:r w:rsidRPr="00361937">
        <w:rPr>
          <w:b/>
        </w:rPr>
        <w:t xml:space="preserve">Study </w:t>
      </w:r>
      <w:r w:rsidR="00137238" w:rsidRPr="00361937">
        <w:rPr>
          <w:b/>
        </w:rPr>
        <w:t>d</w:t>
      </w:r>
      <w:r w:rsidR="00987315" w:rsidRPr="00361937">
        <w:rPr>
          <w:b/>
        </w:rPr>
        <w:t xml:space="preserve">esign </w:t>
      </w:r>
      <w:r w:rsidRPr="00361937">
        <w:rPr>
          <w:b/>
        </w:rPr>
        <w:t>and</w:t>
      </w:r>
      <w:r w:rsidR="00987315" w:rsidRPr="00361937">
        <w:rPr>
          <w:b/>
        </w:rPr>
        <w:t xml:space="preserve"> clinical</w:t>
      </w:r>
      <w:r w:rsidRPr="00361937">
        <w:rPr>
          <w:b/>
        </w:rPr>
        <w:t xml:space="preserve"> </w:t>
      </w:r>
      <w:r w:rsidR="00137238" w:rsidRPr="00361937">
        <w:rPr>
          <w:b/>
        </w:rPr>
        <w:t>p</w:t>
      </w:r>
      <w:r w:rsidRPr="00361937">
        <w:rPr>
          <w:b/>
        </w:rPr>
        <w:t>rocedures</w:t>
      </w:r>
    </w:p>
    <w:p w:rsidR="00F31FC9" w:rsidRPr="00361937" w:rsidRDefault="001322A5" w:rsidP="00A95E29">
      <w:pPr>
        <w:spacing w:line="480" w:lineRule="auto"/>
        <w:rPr>
          <w:color w:val="000000"/>
        </w:rPr>
      </w:pPr>
      <w:r w:rsidRPr="00361937">
        <w:t xml:space="preserve">This was a single arm clinical trial (Registration number: </w:t>
      </w:r>
      <w:r w:rsidRPr="00361937">
        <w:rPr>
          <w:color w:val="000000"/>
        </w:rPr>
        <w:t>PACTR201311000659400)</w:t>
      </w:r>
      <w:r w:rsidR="003E55CE" w:rsidRPr="00361937">
        <w:rPr>
          <w:color w:val="000000"/>
        </w:rPr>
        <w:t xml:space="preserve">. </w:t>
      </w:r>
      <w:r w:rsidR="001569C7" w:rsidRPr="00361937">
        <w:t>HIV-infected</w:t>
      </w:r>
      <w:r w:rsidR="00D438E0" w:rsidRPr="00361937">
        <w:t xml:space="preserve"> patients on nevirapine- or efavirenz</w:t>
      </w:r>
      <w:r w:rsidRPr="00361937">
        <w:t xml:space="preserve">-based ART suspected of having </w:t>
      </w:r>
      <w:r w:rsidRPr="00361937">
        <w:lastRenderedPageBreak/>
        <w:t>malaria were pre-screened through history taking and clinical examination to determine their eligibility for the study.</w:t>
      </w:r>
      <w:r w:rsidR="00FD583E" w:rsidRPr="00361937">
        <w:t xml:space="preserve"> </w:t>
      </w:r>
      <w:r w:rsidR="00F31FC9" w:rsidRPr="00361937">
        <w:t xml:space="preserve">The study inclusion criteria were as follows: </w:t>
      </w:r>
      <w:r w:rsidR="00F31FC9" w:rsidRPr="00361937">
        <w:rPr>
          <w:color w:val="000000"/>
        </w:rPr>
        <w:t xml:space="preserve">age </w:t>
      </w:r>
      <w:r w:rsidR="00F31FC9" w:rsidRPr="00361937">
        <w:t xml:space="preserve">≥15 to ≤65 years; weight </w:t>
      </w:r>
      <w:r w:rsidR="00F31FC9" w:rsidRPr="00361937">
        <w:rPr>
          <w:u w:val="single"/>
        </w:rPr>
        <w:t>&gt;</w:t>
      </w:r>
      <w:r w:rsidR="00F31FC9" w:rsidRPr="00361937">
        <w:t xml:space="preserve">35 kilograms; documented fever (axillary ≥ 37.5 °C) or history of fever 24 hours prior enrolment; smear positive </w:t>
      </w:r>
      <w:r w:rsidR="00EF4477" w:rsidRPr="00361937">
        <w:rPr>
          <w:i/>
        </w:rPr>
        <w:t>P</w:t>
      </w:r>
      <w:r w:rsidR="0091287A" w:rsidRPr="00361937">
        <w:rPr>
          <w:i/>
        </w:rPr>
        <w:t>.</w:t>
      </w:r>
      <w:r w:rsidR="00EF4477" w:rsidRPr="00361937">
        <w:rPr>
          <w:i/>
        </w:rPr>
        <w:t xml:space="preserve"> falciparum</w:t>
      </w:r>
      <w:r w:rsidR="00F31FC9" w:rsidRPr="00361937">
        <w:rPr>
          <w:i/>
          <w:iCs/>
        </w:rPr>
        <w:t xml:space="preserve"> </w:t>
      </w:r>
      <w:r w:rsidR="00F31FC9" w:rsidRPr="00361937">
        <w:rPr>
          <w:iCs/>
        </w:rPr>
        <w:t xml:space="preserve">malaria </w:t>
      </w:r>
      <w:r w:rsidR="00F31FC9" w:rsidRPr="00361937">
        <w:t>monoinfection with asexual malaria parasite densities &lt;200,000/µL; ability to swallow oral medications</w:t>
      </w:r>
      <w:r w:rsidR="00F31FC9" w:rsidRPr="00361937">
        <w:rPr>
          <w:color w:val="000000"/>
        </w:rPr>
        <w:t xml:space="preserve"> and willingness and ability to comply with scheduled visits, supervised treatment administration, laboratory tests, and other study procedures</w:t>
      </w:r>
      <w:r w:rsidR="00F31FC9" w:rsidRPr="00361937">
        <w:t xml:space="preserve">. The following were </w:t>
      </w:r>
      <w:r w:rsidR="00F31FC9" w:rsidRPr="00361937">
        <w:rPr>
          <w:color w:val="000000"/>
        </w:rPr>
        <w:t xml:space="preserve">the exclusion criteria: severe malaria as per WHO criteria </w:t>
      </w:r>
      <w:r w:rsidR="002E24CD" w:rsidRPr="00361937">
        <w:rPr>
          <w:color w:val="000000"/>
        </w:rPr>
        <w:fldChar w:fldCharType="begin" w:fldLock="1"/>
      </w:r>
      <w:r w:rsidR="00B34359" w:rsidRPr="00361937">
        <w:rPr>
          <w:color w:val="000000"/>
        </w:rPr>
        <w:instrText>ADDIN CSL_CITATION {"citationItems":[{"id":"ITEM-1","itemData":{"abstract":"Malaria continues to be a major health problem in many parts of the world. Delay in treatment, especially of cases caused by P. falciparum - the species of the parasite that is the main cause of the severe forms of the disease - may result in rapid deterioration in the patient's condition, and in the development of life-threatening complications. Recognizing and promptly treating uncomplicated malaria is therefore of vital importance.This Handbook, an updated edition of the Management of Severe Malaria, provides new and revised practical guidance on the diagnosis and management of severe malaria. After outlining the necessary general nursing care, it considers possible complications, including coma, convulsions, severe anaemia, hypoglycaemia and pulmonary oedema, and gives specific and concise advice on their management. While intended primarily for clinical professionals and other health staff responsible for centres with inpatients facilities in malaria-endemic countries, it will also be of practical use to physicians in non-endemic areas, who increasingly have to deal with patients infected during visits to malarious areas.","author":[{"dropping-particle":"","family":"World Health Organization","given":"","non-dropping-particle":"","parse-names":false,"suffix":""}],"id":"ITEM-1","issue":"ISBN: 978 92 4 154852 6","issued":{"date-parts":[["2013"]]},"title":"Management of severe malaria - {A} practical handbook. {Third} edition","type":"report"},"uris":["http://www.mendeley.com/documents/?uuid=a71eb836-7e78-3c50-96a7-a5c952d323c7"]}],"mendeley":{"formattedCitation":"[17]","plainTextFormattedCitation":"[17]","previouslyFormattedCitation":"[17]"},"properties":{"noteIndex":0},"schema":"https://github.com/citation-style-language/schema/raw/master/csl-citation.json"}</w:instrText>
      </w:r>
      <w:r w:rsidR="002E24CD" w:rsidRPr="00361937">
        <w:rPr>
          <w:color w:val="000000"/>
        </w:rPr>
        <w:fldChar w:fldCharType="separate"/>
      </w:r>
      <w:r w:rsidR="00937CB6" w:rsidRPr="00361937">
        <w:rPr>
          <w:noProof/>
          <w:color w:val="000000"/>
        </w:rPr>
        <w:t>[17]</w:t>
      </w:r>
      <w:r w:rsidR="002E24CD" w:rsidRPr="00361937">
        <w:rPr>
          <w:color w:val="000000"/>
        </w:rPr>
        <w:fldChar w:fldCharType="end"/>
      </w:r>
      <w:r w:rsidR="00F31FC9" w:rsidRPr="00361937">
        <w:rPr>
          <w:color w:val="000000"/>
        </w:rPr>
        <w:t xml:space="preserve">; </w:t>
      </w:r>
      <w:r w:rsidR="00F31FC9" w:rsidRPr="00361937">
        <w:t xml:space="preserve">mixed infection with another </w:t>
      </w:r>
      <w:r w:rsidR="00F31FC9" w:rsidRPr="00361937">
        <w:rPr>
          <w:i/>
        </w:rPr>
        <w:t>Plasmodium</w:t>
      </w:r>
      <w:r w:rsidR="00F31FC9" w:rsidRPr="00361937">
        <w:t xml:space="preserve"> species; h</w:t>
      </w:r>
      <w:r w:rsidR="0091287A" w:rsidRPr="00361937">
        <w:t>a</w:t>
      </w:r>
      <w:r w:rsidR="00F31FC9" w:rsidRPr="00361937">
        <w:t xml:space="preserve">emoglobin (Hb) concentration &lt;7 g/dL; </w:t>
      </w:r>
      <w:r w:rsidR="00F31FC9" w:rsidRPr="00361937">
        <w:rPr>
          <w:color w:val="000000"/>
        </w:rPr>
        <w:t>severe sickle cell dis</w:t>
      </w:r>
      <w:r w:rsidR="00D438E0" w:rsidRPr="00361937">
        <w:rPr>
          <w:color w:val="000000"/>
        </w:rPr>
        <w:t>ease or sickle-h</w:t>
      </w:r>
      <w:r w:rsidR="0091287A" w:rsidRPr="00361937">
        <w:rPr>
          <w:color w:val="000000"/>
        </w:rPr>
        <w:t>a</w:t>
      </w:r>
      <w:r w:rsidR="00D438E0" w:rsidRPr="00361937">
        <w:rPr>
          <w:color w:val="000000"/>
        </w:rPr>
        <w:t>emoglobin C</w:t>
      </w:r>
      <w:r w:rsidR="00F31FC9" w:rsidRPr="00361937">
        <w:rPr>
          <w:color w:val="000000"/>
        </w:rPr>
        <w:t xml:space="preserve"> an</w:t>
      </w:r>
      <w:r w:rsidR="0091287A" w:rsidRPr="00361937">
        <w:rPr>
          <w:color w:val="000000"/>
        </w:rPr>
        <w:t>a</w:t>
      </w:r>
      <w:r w:rsidR="00F31FC9" w:rsidRPr="00361937">
        <w:rPr>
          <w:color w:val="000000"/>
        </w:rPr>
        <w:t>emia</w:t>
      </w:r>
      <w:r w:rsidR="00F31FC9" w:rsidRPr="00361937">
        <w:t>;</w:t>
      </w:r>
      <w:r w:rsidR="00F31FC9" w:rsidRPr="00361937">
        <w:rPr>
          <w:color w:val="000000"/>
        </w:rPr>
        <w:t xml:space="preserve"> </w:t>
      </w:r>
      <w:r w:rsidR="00F31FC9" w:rsidRPr="00361937">
        <w:t>evidence of pregnancy or lactation; use of any anti</w:t>
      </w:r>
      <w:r w:rsidR="0091287A" w:rsidRPr="00361937">
        <w:t>-</w:t>
      </w:r>
      <w:r w:rsidR="00F31FC9" w:rsidRPr="00361937">
        <w:t>malarial treatment or drug with anti</w:t>
      </w:r>
      <w:r w:rsidR="0091287A" w:rsidRPr="00361937">
        <w:t>-</w:t>
      </w:r>
      <w:r w:rsidR="00F31FC9" w:rsidRPr="00361937">
        <w:t xml:space="preserve">malarial activity within the past 1 month, except cotrimoxazole; </w:t>
      </w:r>
      <w:r w:rsidR="00F31FC9" w:rsidRPr="00361937">
        <w:rPr>
          <w:rFonts w:eastAsia="Batang"/>
          <w:spacing w:val="-3"/>
        </w:rPr>
        <w:t xml:space="preserve">history of DPQ hypersensitivity reactions; </w:t>
      </w:r>
      <w:r w:rsidR="00F31FC9" w:rsidRPr="00361937">
        <w:t xml:space="preserve">gastrointestinal diseases that could alter gut absorption or motility; history of splenectomy; history of epilepsy or convulsions; </w:t>
      </w:r>
      <w:r w:rsidR="00F31FC9" w:rsidRPr="00361937">
        <w:rPr>
          <w:rFonts w:eastAsia="Batang"/>
          <w:spacing w:val="-3"/>
        </w:rPr>
        <w:t>pre-existing clinically-significant cardiac, liver, renal, neurological or pyschiatric abnormalities</w:t>
      </w:r>
      <w:r w:rsidR="00F31FC9" w:rsidRPr="00361937">
        <w:t>;</w:t>
      </w:r>
      <w:r w:rsidR="00F31FC9" w:rsidRPr="00361937">
        <w:rPr>
          <w:rFonts w:eastAsia="Batang"/>
          <w:spacing w:val="-3"/>
        </w:rPr>
        <w:t xml:space="preserve"> alternative clinical cause of fever other than malaria and p</w:t>
      </w:r>
      <w:r w:rsidR="00F31FC9" w:rsidRPr="00361937">
        <w:t>articipation in any investigational drug study in the past 30 days.</w:t>
      </w:r>
      <w:r w:rsidR="00F31FC9" w:rsidRPr="00361937">
        <w:rPr>
          <w:b/>
        </w:rPr>
        <w:t xml:space="preserve"> </w:t>
      </w:r>
    </w:p>
    <w:p w:rsidR="00332E83" w:rsidRPr="00361937" w:rsidRDefault="00332E83" w:rsidP="00A95E29">
      <w:pPr>
        <w:spacing w:line="480" w:lineRule="auto"/>
        <w:rPr>
          <w:i/>
        </w:rPr>
      </w:pPr>
    </w:p>
    <w:p w:rsidR="00332E83" w:rsidRPr="00361937" w:rsidRDefault="00332E83" w:rsidP="00A95E29">
      <w:pPr>
        <w:spacing w:line="480" w:lineRule="auto"/>
        <w:rPr>
          <w:color w:val="3366FF"/>
        </w:rPr>
      </w:pPr>
      <w:r w:rsidRPr="00361937">
        <w:t>Finger-prick blood samples were taken from those who satisfied the preliminary eligibility criteria and tested for malaria using Rapid Diagnostic Test (RDT)</w:t>
      </w:r>
      <w:r w:rsidRPr="00361937">
        <w:rPr>
          <w:color w:val="222731"/>
          <w:szCs w:val="27"/>
          <w:shd w:val="clear" w:color="auto" w:fill="FFFFFF"/>
        </w:rPr>
        <w:t xml:space="preserve"> (</w:t>
      </w:r>
      <w:r w:rsidRPr="00361937">
        <w:t>SD BIOLINE Malaria Ag P.f/Pan test produced by Alere) and for h</w:t>
      </w:r>
      <w:r w:rsidR="0091287A" w:rsidRPr="00361937">
        <w:t>a</w:t>
      </w:r>
      <w:r w:rsidRPr="00361937">
        <w:t>emoglobin concentration using Hemocue Haemoglobinometer. Thick blood smear microscopy examinations were performed on patients with RDT positive malaria</w:t>
      </w:r>
      <w:r w:rsidR="0095503A" w:rsidRPr="00361937">
        <w:t xml:space="preserve"> while c</w:t>
      </w:r>
      <w:r w:rsidRPr="00361937">
        <w:t>linical examinations were performed in those with confirmed malaria parasit</w:t>
      </w:r>
      <w:r w:rsidR="0091287A" w:rsidRPr="00361937">
        <w:t>a</w:t>
      </w:r>
      <w:r w:rsidRPr="00361937">
        <w:t xml:space="preserve">emia. Consenting participants were enrolled and scheduled for a 3-day hospital admission. </w:t>
      </w:r>
    </w:p>
    <w:p w:rsidR="00332E83" w:rsidRPr="00361937" w:rsidRDefault="00332E83" w:rsidP="00A95E29">
      <w:pPr>
        <w:pStyle w:val="DefaultText"/>
        <w:spacing w:line="480" w:lineRule="auto"/>
        <w:rPr>
          <w:rFonts w:eastAsiaTheme="minorHAnsi"/>
          <w:snapToGrid/>
        </w:rPr>
      </w:pPr>
    </w:p>
    <w:p w:rsidR="003F70E9" w:rsidRPr="00361937" w:rsidRDefault="00207ACA" w:rsidP="00A95E29">
      <w:pPr>
        <w:autoSpaceDE w:val="0"/>
        <w:autoSpaceDN w:val="0"/>
        <w:adjustRightInd w:val="0"/>
        <w:spacing w:line="480" w:lineRule="auto"/>
        <w:rPr>
          <w:color w:val="000000"/>
        </w:rPr>
      </w:pPr>
      <w:r w:rsidRPr="00361937">
        <w:rPr>
          <w:rFonts w:eastAsiaTheme="minorHAnsi"/>
        </w:rPr>
        <w:t xml:space="preserve">The participants received </w:t>
      </w:r>
      <w:r w:rsidRPr="00361937">
        <w:t xml:space="preserve"> dihydroartemisinin-piperaquine </w:t>
      </w:r>
      <w:r w:rsidR="00987315" w:rsidRPr="00361937">
        <w:t>(Eurartesim</w:t>
      </w:r>
      <w:r w:rsidR="0091287A" w:rsidRPr="00361937">
        <w:t>®</w:t>
      </w:r>
      <w:r w:rsidRPr="00361937">
        <w:t>, Sigma Tau): 3 tablets for study participants &lt; 60kg or 4 tablets study</w:t>
      </w:r>
      <w:r w:rsidR="00987315" w:rsidRPr="00361937">
        <w:t xml:space="preserve"> for participants </w:t>
      </w:r>
      <w:r w:rsidR="00987315" w:rsidRPr="00361937">
        <w:sym w:font="Symbol" w:char="F0B3"/>
      </w:r>
      <w:r w:rsidR="00987315" w:rsidRPr="00361937">
        <w:t xml:space="preserve">60kg. Each tablet contained </w:t>
      </w:r>
      <w:r w:rsidRPr="00361937">
        <w:t>dihydroart</w:t>
      </w:r>
      <w:r w:rsidR="00987315" w:rsidRPr="00361937">
        <w:t xml:space="preserve">emisinin/piperaquine 40mg/320mg, respectively, </w:t>
      </w:r>
      <w:r w:rsidRPr="00361937">
        <w:t>ad</w:t>
      </w:r>
      <w:r w:rsidR="00987315" w:rsidRPr="00361937">
        <w:t xml:space="preserve">ministered at 0 hour, 24 (+4) and </w:t>
      </w:r>
      <w:r w:rsidRPr="00361937">
        <w:t>48 (+4) hours after the first dose</w:t>
      </w:r>
      <w:r w:rsidR="00987315" w:rsidRPr="00361937">
        <w:t xml:space="preserve">. </w:t>
      </w:r>
      <w:r w:rsidR="00332E83" w:rsidRPr="00361937">
        <w:rPr>
          <w:rFonts w:eastAsiaTheme="minorHAnsi"/>
        </w:rPr>
        <w:t xml:space="preserve">Participants’ vital signs were measured at 6-hourly intervals and adverse events were monitored. A 12-Lead electrocardiogram (ECG) was performed before the first dose of DPQ and within 2 hours after administration of the third dose DPQ. </w:t>
      </w:r>
      <w:r w:rsidR="00332E83" w:rsidRPr="00361937">
        <w:t xml:space="preserve">Any patient with </w:t>
      </w:r>
      <w:r w:rsidR="0091287A" w:rsidRPr="00361937">
        <w:t>Fridericia-</w:t>
      </w:r>
      <w:r w:rsidR="00332E83" w:rsidRPr="00361937">
        <w:t xml:space="preserve">corrected QT (QTcF) interval of ≥450msec or QTc increase of &gt;60 msec from the baseline underwent follow-up ECGs until resolution of the abnormality. </w:t>
      </w:r>
      <w:r w:rsidR="00332E83" w:rsidRPr="00361937">
        <w:rPr>
          <w:rFonts w:eastAsiaTheme="minorHAnsi"/>
        </w:rPr>
        <w:t>Participants were discharged at least 24 hours after taking the third (last) dose of DPQ (post-</w:t>
      </w:r>
      <w:r w:rsidR="00332E83" w:rsidRPr="00361937">
        <w:t>treatment day 3)</w:t>
      </w:r>
      <w:r w:rsidR="00332E83" w:rsidRPr="00361937">
        <w:rPr>
          <w:rFonts w:eastAsiaTheme="minorHAnsi"/>
        </w:rPr>
        <w:t xml:space="preserve"> and advised to come for follow up visits on post-treatment days 7 (</w:t>
      </w:r>
      <w:r w:rsidR="00332E83" w:rsidRPr="00361937">
        <w:t>+/-1)</w:t>
      </w:r>
      <w:r w:rsidR="00332E83" w:rsidRPr="00361937">
        <w:rPr>
          <w:rFonts w:eastAsiaTheme="minorHAnsi"/>
        </w:rPr>
        <w:t>, 14 (</w:t>
      </w:r>
      <w:r w:rsidR="00332E83" w:rsidRPr="00361937">
        <w:t>+/-1)</w:t>
      </w:r>
      <w:r w:rsidR="00332E83" w:rsidRPr="00361937">
        <w:rPr>
          <w:rFonts w:eastAsiaTheme="minorHAnsi"/>
        </w:rPr>
        <w:t>, 21 (</w:t>
      </w:r>
      <w:r w:rsidR="00332E83" w:rsidRPr="00361937">
        <w:t>+/-2)</w:t>
      </w:r>
      <w:r w:rsidR="00332E83" w:rsidRPr="00361937">
        <w:rPr>
          <w:rFonts w:eastAsiaTheme="minorHAnsi"/>
        </w:rPr>
        <w:t>, 28 (</w:t>
      </w:r>
      <w:r w:rsidR="00332E83" w:rsidRPr="00361937">
        <w:t>+/-2)</w:t>
      </w:r>
      <w:r w:rsidR="00332E83" w:rsidRPr="00361937">
        <w:rPr>
          <w:rFonts w:eastAsiaTheme="minorHAnsi"/>
        </w:rPr>
        <w:t>, 35 (</w:t>
      </w:r>
      <w:r w:rsidR="00332E83" w:rsidRPr="00361937">
        <w:t>+/-2)</w:t>
      </w:r>
      <w:r w:rsidR="00332E83" w:rsidRPr="00361937">
        <w:rPr>
          <w:rFonts w:eastAsiaTheme="minorHAnsi"/>
        </w:rPr>
        <w:t>, 42 (</w:t>
      </w:r>
      <w:r w:rsidR="00332E83" w:rsidRPr="00361937">
        <w:t xml:space="preserve">+/-2) </w:t>
      </w:r>
      <w:r w:rsidR="00332E83" w:rsidRPr="00361937">
        <w:rPr>
          <w:rFonts w:eastAsiaTheme="minorHAnsi"/>
        </w:rPr>
        <w:t>and 63 (</w:t>
      </w:r>
      <w:r w:rsidR="00332E83" w:rsidRPr="00361937">
        <w:t>+/-2)</w:t>
      </w:r>
      <w:r w:rsidR="00332E83" w:rsidRPr="00361937">
        <w:rPr>
          <w:rFonts w:eastAsiaTheme="minorHAnsi"/>
        </w:rPr>
        <w:t xml:space="preserve">. Participants were encouraged to return to the health facility any time they felt unwell (unscheduled visits). All adverse events were graded using the DAIDS criteria </w:t>
      </w:r>
      <w:r w:rsidR="002E24CD" w:rsidRPr="00361937">
        <w:rPr>
          <w:rFonts w:eastAsiaTheme="minorHAnsi"/>
        </w:rPr>
        <w:fldChar w:fldCharType="begin" w:fldLock="1"/>
      </w:r>
      <w:r w:rsidR="00B34359" w:rsidRPr="00361937">
        <w:rPr>
          <w:rFonts w:eastAsiaTheme="minorHAnsi"/>
        </w:rPr>
        <w:instrText>ADDIN CSL_CITATION {"citationItems":[{"id":"ITEM-1","itemData":{"abstract":"The Division of AIDS Table for Grading the Severity of Adult and Pediatric Adverse Events (\" DAIDS AE Grading Table \") is a descriptive terminology which can be utilized for Adverse Event (AE) reporting. A grading (severity) scale is provided for each AE term. This clarification of the DAIDS Table for Grading the Severity of Adult and Pediatric AE's provides additional explanation of the DAIDS AE Grading Table and clarifies some of the parameters.","author":[{"dropping-particle":"","family":"DAIDS","given":"","non-dropping-particle":"","parse-names":false,"suffix":""}],"id":"ITEM-1","issued":{"date-parts":[["2004"]]},"page":"1-20","title":"Division of Aids Table for Grading the Severity of Adult and Pediatric Adverse Events Publish Date : December , 2004 Division of Aids Table for Grading the Severity of Adult and Pediatric Adverse Events Publish Date : December , 2004","type":"article-journal"},"uris":["http://www.mendeley.com/documents/?uuid=2d655981-498c-3e66-aca3-6801079ecab8"]}],"mendeley":{"formattedCitation":"[18]","plainTextFormattedCitation":"[18]","previouslyFormattedCitation":"[18]"},"properties":{"noteIndex":0},"schema":"https://github.com/citation-style-language/schema/raw/master/csl-citation.json"}</w:instrText>
      </w:r>
      <w:r w:rsidR="002E24CD" w:rsidRPr="00361937">
        <w:rPr>
          <w:rFonts w:eastAsiaTheme="minorHAnsi"/>
        </w:rPr>
        <w:fldChar w:fldCharType="separate"/>
      </w:r>
      <w:r w:rsidR="00937CB6" w:rsidRPr="00361937">
        <w:rPr>
          <w:rFonts w:eastAsiaTheme="minorHAnsi"/>
          <w:noProof/>
        </w:rPr>
        <w:t>[18]</w:t>
      </w:r>
      <w:r w:rsidR="002E24CD" w:rsidRPr="00361937">
        <w:rPr>
          <w:rFonts w:eastAsiaTheme="minorHAnsi"/>
        </w:rPr>
        <w:fldChar w:fldCharType="end"/>
      </w:r>
      <w:r w:rsidR="00332E83" w:rsidRPr="00361937">
        <w:rPr>
          <w:rFonts w:eastAsiaTheme="minorHAnsi"/>
        </w:rPr>
        <w:t xml:space="preserve">. </w:t>
      </w:r>
      <w:r w:rsidR="00332E83" w:rsidRPr="00361937">
        <w:rPr>
          <w:color w:val="000000"/>
        </w:rPr>
        <w:t xml:space="preserve">Adverse events with onset or increased severity after the first dose of DPQ were counted as treatment-emergent adverse events (TEAEs). During follow up visits, participant’s time and any incurred expenses when attending the study clinic were appropriately compensated, as approved by the ethics committees. </w:t>
      </w:r>
    </w:p>
    <w:p w:rsidR="00E64425" w:rsidRPr="00361937" w:rsidRDefault="00E64425" w:rsidP="00A95E29">
      <w:pPr>
        <w:pStyle w:val="DefaultText"/>
        <w:spacing w:line="480" w:lineRule="auto"/>
        <w:rPr>
          <w:rFonts w:eastAsiaTheme="minorHAnsi"/>
          <w:i/>
          <w:snapToGrid/>
        </w:rPr>
      </w:pPr>
    </w:p>
    <w:p w:rsidR="00987315" w:rsidRPr="00361937" w:rsidRDefault="00987315" w:rsidP="00A95E29">
      <w:pPr>
        <w:pStyle w:val="DefaultText"/>
        <w:spacing w:line="480" w:lineRule="auto"/>
        <w:rPr>
          <w:rFonts w:eastAsiaTheme="minorHAnsi"/>
          <w:b/>
          <w:snapToGrid/>
        </w:rPr>
      </w:pPr>
      <w:r w:rsidRPr="00361937">
        <w:rPr>
          <w:rFonts w:eastAsiaTheme="minorHAnsi"/>
          <w:b/>
          <w:snapToGrid/>
        </w:rPr>
        <w:t>Laboratory procedures</w:t>
      </w:r>
    </w:p>
    <w:p w:rsidR="000B73EF" w:rsidRPr="00361937" w:rsidRDefault="000B73EF" w:rsidP="00A95E29">
      <w:pPr>
        <w:pStyle w:val="DefaultText"/>
        <w:spacing w:line="480" w:lineRule="auto"/>
        <w:rPr>
          <w:rFonts w:eastAsiaTheme="minorHAnsi"/>
          <w:snapToGrid/>
        </w:rPr>
      </w:pPr>
      <w:r w:rsidRPr="00361937">
        <w:rPr>
          <w:rFonts w:eastAsiaTheme="minorHAnsi"/>
          <w:snapToGrid/>
        </w:rPr>
        <w:t xml:space="preserve">During the admission period, thick blood slides were collected pre-dosing and at 6-hourly intervals until after obtaining two consecutive malaria negative smears. The slides were also collected at scheduled and unscheduled follow-up visits. The slides were Giemsa-stained and read by an experienced microscopist using standard protocols </w:t>
      </w:r>
      <w:r w:rsidR="002E24CD" w:rsidRPr="00361937">
        <w:rPr>
          <w:rFonts w:eastAsiaTheme="minorHAnsi"/>
          <w:snapToGrid/>
        </w:rPr>
        <w:fldChar w:fldCharType="begin" w:fldLock="1"/>
      </w:r>
      <w:r w:rsidR="00B34359" w:rsidRPr="00361937">
        <w:rPr>
          <w:rFonts w:eastAsiaTheme="minorHAnsi"/>
          <w:snapToGrid/>
        </w:rPr>
        <w:instrText>ADDIN CSL_CITATION {"citationItems":[{"id":"ITEM-1","itemData":{"container-title":"WPRO","id":"ITEM-1","issued":{"date-parts":[["2018"]]},"publisher":"WPRO | WHO Western Pacific Region","title":"WPRO | Malaria Microscopy Standard Operating Procedures","type":"article-journal"},"uris":["http://www.mendeley.com/documents/?uuid=e1d6ac01-0e1e-371c-8fbd-0a4875297b38"]}],"mendeley":{"formattedCitation":"[19]","plainTextFormattedCitation":"[19]","previouslyFormattedCitation":"[19]"},"properties":{"noteIndex":0},"schema":"https://github.com/citation-style-language/schema/raw/master/csl-citation.json"}</w:instrText>
      </w:r>
      <w:r w:rsidR="002E24CD" w:rsidRPr="00361937">
        <w:rPr>
          <w:rFonts w:eastAsiaTheme="minorHAnsi"/>
          <w:snapToGrid/>
        </w:rPr>
        <w:fldChar w:fldCharType="separate"/>
      </w:r>
      <w:r w:rsidR="00937CB6" w:rsidRPr="00361937">
        <w:rPr>
          <w:rFonts w:eastAsiaTheme="minorHAnsi"/>
          <w:noProof/>
          <w:snapToGrid/>
        </w:rPr>
        <w:t>[19]</w:t>
      </w:r>
      <w:r w:rsidR="002E24CD" w:rsidRPr="00361937">
        <w:rPr>
          <w:rFonts w:eastAsiaTheme="minorHAnsi"/>
          <w:snapToGrid/>
        </w:rPr>
        <w:fldChar w:fldCharType="end"/>
      </w:r>
      <w:r w:rsidRPr="00361937">
        <w:rPr>
          <w:rFonts w:eastAsiaTheme="minorHAnsi"/>
          <w:snapToGrid/>
        </w:rPr>
        <w:t xml:space="preserve">. For </w:t>
      </w:r>
      <w:r w:rsidRPr="00361937">
        <w:rPr>
          <w:rFonts w:eastAsiaTheme="minorHAnsi"/>
          <w:snapToGrid/>
        </w:rPr>
        <w:lastRenderedPageBreak/>
        <w:t xml:space="preserve">quality control, all slides were re-read by a second microscopist; a third microscopist settled any discrepant readings. Dry blood spot (DBS) samples were collected on filter paper (Whatman </w:t>
      </w:r>
      <w:r w:rsidRPr="00361937">
        <w:t>3MM</w:t>
      </w:r>
      <w:r w:rsidRPr="00361937">
        <w:rPr>
          <w:vertAlign w:val="superscript"/>
        </w:rPr>
        <w:t>®</w:t>
      </w:r>
      <w:r w:rsidRPr="00361937">
        <w:rPr>
          <w:rFonts w:eastAsiaTheme="minorHAnsi"/>
          <w:snapToGrid/>
        </w:rPr>
        <w:t xml:space="preserve">) at baseline and during recurrent malaria episodes. Parasite DNA was extracted from the DBS samples, amplified using polymerase chain reaction (PCR) and genotyped for merozoite specific protein (MSP) 1 and 2 to distinguish malaria recrudescence from re-infection, using methods previously described </w:t>
      </w:r>
      <w:r w:rsidR="002E24CD" w:rsidRPr="00361937">
        <w:rPr>
          <w:i/>
          <w:noProof/>
        </w:rPr>
        <w:fldChar w:fldCharType="begin" w:fldLock="1"/>
      </w:r>
      <w:r w:rsidR="00B34359" w:rsidRPr="00361937">
        <w:rPr>
          <w:i/>
          <w:noProof/>
        </w:rPr>
        <w:instrText>ADDIN CSL_CITATION {"citationItems":[{"id":"ITEM-1","itemData":{"ISSN":"0166-6851","PMID":"7739680","author":[{"dropping-particle":"","family":"Reeder","given":"J C","non-dropping-particle":"","parse-names":false,"suffix":""},{"dropping-particle":"","family":"Marshall","given":"V M","non-dropping-particle":"","parse-names":false,"suffix":""}],"container-title":"Molecular and biochemical parasitology","id":"ITEM-1","issue":"2","issued":{"date-parts":[["1994","12"]]},"page":"329-32","title":"A simple method for typing Plasmodium falciparum merozoite surface antigens 1 and 2 (MSA-1 and MSA-2) using a dimorphic-form specific polymerase chain reaction.","type":"article-journal","volume":"68"},"uris":["http://www.mendeley.com/documents/?uuid=bbc8e1c0-0ade-3251-be65-ab0d66a7db0e"]}],"mendeley":{"formattedCitation":"[20]","plainTextFormattedCitation":"[20]","previouslyFormattedCitation":"[20]"},"properties":{"noteIndex":0},"schema":"https://github.com/citation-style-language/schema/raw/master/csl-citation.json"}</w:instrText>
      </w:r>
      <w:r w:rsidR="002E24CD" w:rsidRPr="00361937">
        <w:rPr>
          <w:i/>
          <w:noProof/>
        </w:rPr>
        <w:fldChar w:fldCharType="separate"/>
      </w:r>
      <w:r w:rsidR="00937CB6" w:rsidRPr="00361937">
        <w:rPr>
          <w:noProof/>
        </w:rPr>
        <w:t>[20]</w:t>
      </w:r>
      <w:r w:rsidR="002E24CD" w:rsidRPr="00361937">
        <w:rPr>
          <w:i/>
          <w:noProof/>
        </w:rPr>
        <w:fldChar w:fldCharType="end"/>
      </w:r>
      <w:r w:rsidRPr="00361937">
        <w:rPr>
          <w:i/>
          <w:noProof/>
        </w:rPr>
        <w:t xml:space="preserve">. </w:t>
      </w:r>
      <w:r w:rsidRPr="00361937">
        <w:rPr>
          <w:rFonts w:eastAsiaTheme="minorHAnsi"/>
          <w:snapToGrid/>
        </w:rPr>
        <w:t xml:space="preserve">Samples that did not produce results were classified as indeterminate. </w:t>
      </w:r>
    </w:p>
    <w:p w:rsidR="000B73EF" w:rsidRPr="00361937" w:rsidRDefault="000B73EF" w:rsidP="00A95E29">
      <w:pPr>
        <w:pStyle w:val="DefaultText"/>
        <w:spacing w:line="480" w:lineRule="auto"/>
        <w:jc w:val="both"/>
        <w:rPr>
          <w:rFonts w:eastAsiaTheme="minorHAnsi"/>
          <w:snapToGrid/>
        </w:rPr>
      </w:pPr>
    </w:p>
    <w:p w:rsidR="006168E8" w:rsidRPr="00361937" w:rsidRDefault="000B73EF" w:rsidP="00A95E29">
      <w:pPr>
        <w:pStyle w:val="DefaultText"/>
        <w:spacing w:line="480" w:lineRule="auto"/>
        <w:rPr>
          <w:rFonts w:eastAsiaTheme="minorHAnsi"/>
          <w:snapToGrid/>
        </w:rPr>
      </w:pPr>
      <w:r w:rsidRPr="00361937">
        <w:rPr>
          <w:rFonts w:eastAsiaTheme="minorHAnsi"/>
          <w:snapToGrid/>
        </w:rPr>
        <w:t>Venous blood samples were collected on days 0, 3, 28, 42 and 63 for biochemistry tests using a Beckman CX5</w:t>
      </w:r>
      <w:r w:rsidRPr="00361937">
        <w:rPr>
          <w:b/>
          <w:color w:val="000000"/>
        </w:rPr>
        <w:t>®</w:t>
      </w:r>
      <w:r w:rsidRPr="00361937">
        <w:rPr>
          <w:rFonts w:eastAsiaTheme="minorHAnsi"/>
          <w:snapToGrid/>
        </w:rPr>
        <w:t xml:space="preserve"> Chemistry analyzer, on days 0, 3, 7, 28, 42 and 63 for h</w:t>
      </w:r>
      <w:r w:rsidR="0091287A" w:rsidRPr="00361937">
        <w:rPr>
          <w:rFonts w:eastAsiaTheme="minorHAnsi"/>
          <w:snapToGrid/>
        </w:rPr>
        <w:t>a</w:t>
      </w:r>
      <w:r w:rsidRPr="00361937">
        <w:rPr>
          <w:rFonts w:eastAsiaTheme="minorHAnsi"/>
          <w:snapToGrid/>
        </w:rPr>
        <w:t>ematological tests using a Beckman Coulter</w:t>
      </w:r>
      <w:r w:rsidRPr="00361937">
        <w:rPr>
          <w:b/>
          <w:color w:val="000000"/>
        </w:rPr>
        <w:t>®</w:t>
      </w:r>
      <w:r w:rsidRPr="00361937">
        <w:rPr>
          <w:rFonts w:eastAsiaTheme="minorHAnsi"/>
          <w:snapToGrid/>
        </w:rPr>
        <w:t xml:space="preserve"> HMX Analyzer and on days 0, 28, and 63 for CD4 cell count measurement using a BD FACSCount</w:t>
      </w:r>
      <w:r w:rsidRPr="00361937">
        <w:rPr>
          <w:b/>
          <w:color w:val="000000"/>
        </w:rPr>
        <w:t>™</w:t>
      </w:r>
      <w:r w:rsidRPr="00361937">
        <w:rPr>
          <w:rFonts w:eastAsiaTheme="minorHAnsi"/>
          <w:snapToGrid/>
        </w:rPr>
        <w:t xml:space="preserve"> machine. Plasma samples collected on days 0, 28, and 63 were stored for future HIV viral load assays. </w:t>
      </w:r>
    </w:p>
    <w:p w:rsidR="006168E8" w:rsidRPr="00361937" w:rsidRDefault="006168E8" w:rsidP="00A95E29">
      <w:pPr>
        <w:pStyle w:val="DefaultText"/>
        <w:spacing w:line="480" w:lineRule="auto"/>
        <w:rPr>
          <w:rFonts w:eastAsiaTheme="minorHAnsi"/>
          <w:snapToGrid/>
        </w:rPr>
      </w:pPr>
    </w:p>
    <w:p w:rsidR="000B73EF" w:rsidRPr="00361937" w:rsidRDefault="002427DA" w:rsidP="00A95E29">
      <w:pPr>
        <w:pStyle w:val="DefaultText"/>
        <w:spacing w:line="480" w:lineRule="auto"/>
        <w:rPr>
          <w:rFonts w:eastAsiaTheme="minorHAnsi"/>
          <w:snapToGrid/>
        </w:rPr>
      </w:pPr>
      <w:r w:rsidRPr="00361937">
        <w:rPr>
          <w:rFonts w:eastAsiaTheme="minorHAnsi"/>
          <w:snapToGrid/>
        </w:rPr>
        <w:t xml:space="preserve">Blood samples for sparse pharmacokinetic (PK) assays were collected </w:t>
      </w:r>
      <w:r w:rsidR="00DB548D" w:rsidRPr="00361937">
        <w:rPr>
          <w:rFonts w:eastAsiaTheme="minorHAnsi"/>
          <w:snapToGrid/>
        </w:rPr>
        <w:t xml:space="preserve">in sampling windows of 0-6, 6-48, 48-60 hours, and on days 7, 21, 28 or 35 from first dose, as previously recommended </w:t>
      </w:r>
      <w:r w:rsidR="002E24CD" w:rsidRPr="00361937">
        <w:rPr>
          <w:rFonts w:eastAsiaTheme="minorHAnsi"/>
          <w:snapToGrid/>
        </w:rPr>
        <w:fldChar w:fldCharType="begin" w:fldLock="1"/>
      </w:r>
      <w:r w:rsidR="004603C9" w:rsidRPr="00361937">
        <w:rPr>
          <w:rFonts w:eastAsiaTheme="minorHAnsi"/>
          <w:snapToGrid/>
        </w:rPr>
        <w:instrText>ADDIN CSL_CITATION {"citationItems":[{"id":"ITEM-1","itemData":{"container-title":"WHO","id":"ITEM-1","issued":{"date-parts":[["2016"]]},"publisher":"World Health Organization","title":"WHO | Methods and techniques for assessing exposure to antimalarial drugs in clinical ﬁeld studies","type":"article-journal"},"uris":["http://www.mendeley.com/documents/?uuid=2f18bb15-449f-36c6-9830-794e62209881"]}],"mendeley":{"formattedCitation":"[21]","plainTextFormattedCitation":"[21]","previouslyFormattedCitation":"[21]"},"properties":{"noteIndex":0},"schema":"https://github.com/citation-style-language/schema/raw/master/csl-citation.json"}</w:instrText>
      </w:r>
      <w:r w:rsidR="002E24CD" w:rsidRPr="00361937">
        <w:rPr>
          <w:rFonts w:eastAsiaTheme="minorHAnsi"/>
          <w:snapToGrid/>
        </w:rPr>
        <w:fldChar w:fldCharType="separate"/>
      </w:r>
      <w:r w:rsidR="00DB548D" w:rsidRPr="00361937">
        <w:rPr>
          <w:rFonts w:eastAsiaTheme="minorHAnsi"/>
          <w:noProof/>
          <w:snapToGrid/>
        </w:rPr>
        <w:t>[21]</w:t>
      </w:r>
      <w:r w:rsidR="002E24CD" w:rsidRPr="00361937">
        <w:rPr>
          <w:rFonts w:eastAsiaTheme="minorHAnsi"/>
          <w:snapToGrid/>
        </w:rPr>
        <w:fldChar w:fldCharType="end"/>
      </w:r>
      <w:r w:rsidR="00DB548D" w:rsidRPr="00361937">
        <w:rPr>
          <w:rFonts w:eastAsiaTheme="minorHAnsi"/>
          <w:snapToGrid/>
        </w:rPr>
        <w:t xml:space="preserve">. </w:t>
      </w:r>
      <w:r w:rsidRPr="00361937">
        <w:rPr>
          <w:rFonts w:eastAsiaTheme="minorHAnsi"/>
          <w:snapToGrid/>
        </w:rPr>
        <w:t>In this paper, the relationship between day</w:t>
      </w:r>
      <w:r w:rsidR="008A6790" w:rsidRPr="00361937">
        <w:rPr>
          <w:rFonts w:eastAsiaTheme="minorHAnsi"/>
          <w:snapToGrid/>
        </w:rPr>
        <w:t>-</w:t>
      </w:r>
      <w:r w:rsidRPr="00361937">
        <w:rPr>
          <w:rFonts w:eastAsiaTheme="minorHAnsi"/>
          <w:snapToGrid/>
        </w:rPr>
        <w:t>7 concentrations and ACPR was explored since day-7 concentrations of the slowly eliminated partner drug of ACT ha</w:t>
      </w:r>
      <w:r w:rsidR="00BF7267" w:rsidRPr="00361937">
        <w:rPr>
          <w:rFonts w:eastAsiaTheme="minorHAnsi"/>
          <w:snapToGrid/>
        </w:rPr>
        <w:t>ve</w:t>
      </w:r>
      <w:r w:rsidRPr="00361937">
        <w:rPr>
          <w:rFonts w:eastAsiaTheme="minorHAnsi"/>
          <w:snapToGrid/>
        </w:rPr>
        <w:t xml:space="preserve"> been shown to be a better determinant of therapeutic response than the area under the concentration-time curve </w:t>
      </w:r>
      <w:r w:rsidR="002E24CD" w:rsidRPr="00361937">
        <w:rPr>
          <w:rFonts w:eastAsiaTheme="minorHAnsi"/>
          <w:snapToGrid/>
        </w:rPr>
        <w:fldChar w:fldCharType="begin" w:fldLock="1"/>
      </w:r>
      <w:r w:rsidR="004603C9" w:rsidRPr="00361937">
        <w:rPr>
          <w:rFonts w:eastAsiaTheme="minorHAnsi"/>
          <w:snapToGrid/>
        </w:rPr>
        <w:instrText>ADDIN CSL_CITATION {"citationItems":[{"id":"ITEM-1","itemData":{"DOI":"10.1016/j.pt.2008.01.006","ISSN":"1471-4922","PMID":"18353727","abstract":"The blood concentration profiles of most antimalarial drugs vary considerably between patients. The interpretation of antimalarial drug trials evaluating efficacy and effectiveness would be improved considerably if the exposure of the infecting parasite population to the antimalarial drug treatment could be measured. Artemisinin combination treatments are now recommended as first-line drugs for the treatment of falciparum malaria. Measurement of the blood, serum or plasma concentration of the slowly eliminated partner antimalarial drug on day 7 of follow-up is simpler and might be a better determinant of therapeutic response than the area under the concentration-time curve. Measurement of the day-7 drug level should be considered as a routine part of antimalarial drug trials.","author":[{"dropping-particle":"","family":"White","given":"Nicholas J","non-dropping-particle":"","parse-names":false,"suffix":""},{"dropping-particle":"","family":"Stepniewska","given":"Kasia","non-dropping-particle":"","parse-names":false,"suffix":""},{"dropping-particle":"","family":"Barnes","given":"Karen","non-dropping-particle":"","parse-names":false,"suffix":""},{"dropping-particle":"","family":"Price","given":"Ric N","non-dropping-particle":"","parse-names":false,"suffix":""},{"dropping-particle":"","family":"Simpson","given":"Julie","non-dropping-particle":"","parse-names":false,"suffix":""}],"container-title":"Trends in parasitology","id":"ITEM-1","issue":"4","issued":{"date-parts":[["2008","4"]]},"page":"159-63","title":"Simplified antimalarial therapeutic monitoring: using the day-7 drug level?","type":"article-journal","volume":"24"},"uris":["http://www.mendeley.com/documents/?uuid=f492038d-f14c-3b8d-8cbf-332757e3d15c"]}],"mendeley":{"formattedCitation":"[22]","plainTextFormattedCitation":"[22]","previouslyFormattedCitation":"[22]"},"properties":{"noteIndex":0},"schema":"https://github.com/citation-style-language/schema/raw/master/csl-citation.json"}</w:instrText>
      </w:r>
      <w:r w:rsidR="002E24CD" w:rsidRPr="00361937">
        <w:rPr>
          <w:rFonts w:eastAsiaTheme="minorHAnsi"/>
          <w:snapToGrid/>
        </w:rPr>
        <w:fldChar w:fldCharType="separate"/>
      </w:r>
      <w:r w:rsidR="00DB548D" w:rsidRPr="00361937">
        <w:rPr>
          <w:rFonts w:eastAsiaTheme="minorHAnsi"/>
          <w:noProof/>
          <w:snapToGrid/>
        </w:rPr>
        <w:t>[22]</w:t>
      </w:r>
      <w:r w:rsidR="002E24CD" w:rsidRPr="00361937">
        <w:rPr>
          <w:rFonts w:eastAsiaTheme="minorHAnsi"/>
          <w:snapToGrid/>
        </w:rPr>
        <w:fldChar w:fldCharType="end"/>
      </w:r>
      <w:r w:rsidRPr="00361937">
        <w:rPr>
          <w:rFonts w:eastAsiaTheme="minorHAnsi"/>
          <w:snapToGrid/>
        </w:rPr>
        <w:t xml:space="preserve">. </w:t>
      </w:r>
      <w:r w:rsidR="00BF7267" w:rsidRPr="00361937">
        <w:rPr>
          <w:rFonts w:eastAsiaTheme="minorHAnsi"/>
          <w:snapToGrid/>
        </w:rPr>
        <w:t>The PK</w:t>
      </w:r>
      <w:r w:rsidRPr="00361937">
        <w:rPr>
          <w:rFonts w:eastAsiaTheme="minorHAnsi"/>
          <w:snapToGrid/>
        </w:rPr>
        <w:t xml:space="preserve"> samples were analysed</w:t>
      </w:r>
      <w:r w:rsidR="008A6790" w:rsidRPr="00361937">
        <w:rPr>
          <w:rFonts w:eastAsiaTheme="minorHAnsi"/>
          <w:snapToGrid/>
        </w:rPr>
        <w:t xml:space="preserve"> </w:t>
      </w:r>
      <w:r w:rsidR="008A6790" w:rsidRPr="00361937">
        <w:t xml:space="preserve">using a </w:t>
      </w:r>
      <w:r w:rsidR="008A6790" w:rsidRPr="00361937">
        <w:rPr>
          <w:rFonts w:eastAsiaTheme="minorHAnsi"/>
          <w:snapToGrid/>
        </w:rPr>
        <w:t xml:space="preserve">previously described </w:t>
      </w:r>
      <w:r w:rsidR="00BF7267" w:rsidRPr="00361937">
        <w:t xml:space="preserve">HPLC-UV assay </w:t>
      </w:r>
      <w:r w:rsidR="008A6790" w:rsidRPr="00361937">
        <w:rPr>
          <w:rFonts w:eastAsiaTheme="minorHAnsi"/>
          <w:snapToGrid/>
        </w:rPr>
        <w:t xml:space="preserve">method </w:t>
      </w:r>
      <w:r w:rsidR="002E24CD" w:rsidRPr="00361937">
        <w:rPr>
          <w:rFonts w:eastAsiaTheme="minorHAnsi"/>
          <w:snapToGrid/>
        </w:rPr>
        <w:fldChar w:fldCharType="begin" w:fldLock="1"/>
      </w:r>
      <w:r w:rsidR="00DB548D" w:rsidRPr="00361937">
        <w:rPr>
          <w:rFonts w:eastAsiaTheme="minorHAnsi"/>
          <w:snapToGrid/>
        </w:rPr>
        <w:instrText>ADDIN CSL_CITATION {"citationItems":[{"id":"ITEM-1","itemData":{"DOI":"10.1128/AAC.00634-18","ISSN":"1098-6596","PMID":"29784846","abstract":"There are limited data on the pharmacokinetic and safety profiles of dihydroartemisinin-piperaquine (DHA-PQ) among human immunodeficiency virus-infected (HIV-positive [HIV+]) individuals taking antiretroviral therapy (ART). In a two-step (parallel-group) pharmacokinetic trial with intensive blood sampling, we compared the area under the concentration-time curve from days 0 to 28 (AUC0-28 days) and the safety outcomes of piperaquine among malaria-uninfected HIV+ adults. In step 1, half the adult dose of DHA-PQ was administered for 3 days as an initial safety check to four groups (n = 6/group) of HIV+ adults (age ≥18 years): (i) antiretroviral-naive individuals, (ii) individuals on nevirapine-based ART, (iii) individuals on efavirenz-based ART, and (iv) individuals on ritonavir-boosted lopinavir-based ART. In step 2, a full adult treatment course of DHA-PQ was administered to a different cohort of participants in three groups: (i) antiretroviral-naive individuals, (ii) individuals on efavirenz-based ART, and (iii) individuals on nevirapine-based ART (n = 10 to 15/group). The ritonavir-boosted lopinavir-based ART group was dropped in step 2 due to the limited number of participants who were on this second-line ART and were eligible for recruitment. Piperaquine's AUC0-28 days in both steps was 43% lower among participants on efavirenz-based ART than among ART-naive participants. There were no significant differences in AUC0-28 days between the other ART groups and the ART-naive group in each of the two steps. Furthermore, no differences in treatment-emergent clinical and laboratory adverse events were observed across the groups in steps 1 and 2. Although it was well tolerated at the half and full standard adult treatment courses, the efavirenz-based antiretroviral regimen was associated with reduced piperaquine exposure, which may compromise dihydroartemisinin-piperaquine's effectiveness in programmatic settings. (The clinical trials presented in this study have been registered at the WHO's International Clinical Trials Registry Platform under ID numbers PACTR2010030001871293 and PACTR2010030001971409.).","author":[{"dropping-particle":"","family":"Banda","given":"Clifford G","non-dropping-particle":"","parse-names":false,"suffix":""},{"dropping-particle":"","family":"Dzinjalamala","given":"Fraction","non-dropping-particle":"","parse-names":false,"suffix":""},{"dropping-particle":"","family":"Mukaka","given":"Mavuto","non-dropping-particle":"","parse-names":false,"suffix":""},{"dropping-particle":"","family":"Mallewa","given":"Jane","non-dropping-particle":"","parse-names":false,"suffix":""},{"dropping-particle":"","family":"Maiden","given":"Victor","non-dropping-particle":"","parse-names":false,"suffix":""},{"dropping-particle":"","family":"Terlouw","given":"Dianne J","non-dropping-particle":"","parse-names":false,"suffix":""},{"dropping-particle":"","family":"Lalloo","given":"David G","non-dropping-particle":"","parse-names":false,"suffix":""},{"dropping-particle":"","family":"Khoo","given":"Saye H","non-dropping-particle":"","parse-names":false,"suffix":""},{"dropping-particle":"","family":"Mwapasa","given":"Victor","non-dropping-particle":"","parse-names":false,"suffix":""}],"container-title":"Antimicrobial agents and chemotherapy","id":"ITEM-1","issue":"8","issued":{"date-parts":[["2018","8"]]},"publisher":"American Society for Microbiology (ASM)","title":"Pharmacokinetics of Piperaquine and Safety Profile of Dihydroartemisinin-Piperaquine Coadministered with Antiretroviral Therapy in Malaria-Uninfected HIV-Positive Malawian Adults.","type":"article-journal","volume":"62"},"uris":["http://www.mendeley.com/documents/?uuid=749d8e22-81c9-3a15-8455-63748b5aebdc"]}],"mendeley":{"formattedCitation":"[8]","plainTextFormattedCitation":"[8]","previouslyFormattedCitation":"[8]"},"properties":{"noteIndex":0},"schema":"https://github.com/citation-style-language/schema/raw/master/csl-citation.json"}</w:instrText>
      </w:r>
      <w:r w:rsidR="002E24CD" w:rsidRPr="00361937">
        <w:rPr>
          <w:rFonts w:eastAsiaTheme="minorHAnsi"/>
          <w:snapToGrid/>
        </w:rPr>
        <w:fldChar w:fldCharType="separate"/>
      </w:r>
      <w:r w:rsidR="008A6790" w:rsidRPr="00361937">
        <w:rPr>
          <w:rFonts w:eastAsiaTheme="minorHAnsi"/>
          <w:noProof/>
          <w:snapToGrid/>
        </w:rPr>
        <w:t>[8]</w:t>
      </w:r>
      <w:r w:rsidR="002E24CD" w:rsidRPr="00361937">
        <w:rPr>
          <w:rFonts w:eastAsiaTheme="minorHAnsi"/>
          <w:snapToGrid/>
        </w:rPr>
        <w:fldChar w:fldCharType="end"/>
      </w:r>
      <w:r w:rsidR="00BF7267" w:rsidRPr="00361937">
        <w:rPr>
          <w:rFonts w:eastAsiaTheme="minorHAnsi"/>
          <w:snapToGrid/>
        </w:rPr>
        <w:t xml:space="preserve">. The </w:t>
      </w:r>
      <w:r w:rsidR="008A6790" w:rsidRPr="00361937">
        <w:t>lower limit of quantitation (LLOQ) of the piperaquine was 25 ng/mL</w:t>
      </w:r>
      <w:r w:rsidR="00BF7267" w:rsidRPr="00361937">
        <w:t xml:space="preserve">, </w:t>
      </w:r>
      <w:r w:rsidR="008A6790" w:rsidRPr="00361937">
        <w:t xml:space="preserve">with a coefficient of variation of &lt;10%. </w:t>
      </w:r>
      <w:r w:rsidR="008A6790" w:rsidRPr="00361937">
        <w:rPr>
          <w:rFonts w:eastAsiaTheme="minorHAnsi"/>
          <w:snapToGrid/>
        </w:rPr>
        <w:t xml:space="preserve">The PK laboratory at </w:t>
      </w:r>
      <w:r w:rsidR="008A6790" w:rsidRPr="00361937">
        <w:t xml:space="preserve">the Malawi-Liverpool Wellcome Trust </w:t>
      </w:r>
      <w:r w:rsidR="008A6790" w:rsidRPr="00361937">
        <w:lastRenderedPageBreak/>
        <w:t>Clinical Research Programme in Blantyre, Malawi, participated in the World Wide Antimalarial Resistance Network’s external quality assurance program</w:t>
      </w:r>
      <w:r w:rsidR="0091287A" w:rsidRPr="00361937">
        <w:t>me</w:t>
      </w:r>
      <w:r w:rsidR="008A6790" w:rsidRPr="00361937">
        <w:t xml:space="preserve"> </w:t>
      </w:r>
      <w:r w:rsidR="002E24CD" w:rsidRPr="00361937">
        <w:fldChar w:fldCharType="begin" w:fldLock="1"/>
      </w:r>
      <w:r w:rsidR="004603C9" w:rsidRPr="00361937">
        <w:instrText>ADDIN CSL_CITATION {"citationItems":[{"id":"ITEM-1","itemData":{"DOI":"10.1186/1475-2875-9-375","ISSN":"1475-2875","PMID":"21184684","abstract":"BACKGROUND The Worldwide Antimalarial Resistance Network (WWARN) is a global collaboration to support the objective that anyone affected by malaria receives effective and safe drug treatment. The Pharmacology module aims to inform optimal anti-malarial drug selection. There is an urgent need to define the drug exposure - effect relationship for most anti-malarial drugs. Few anti-malarials have had their therapeutic blood concentration levels defined. One of the main challenges in assessing safety and efficacy data in relation to drug concentrations is the comparability of data generated from different laboratories. To explain differences in anti-malarial pharmacokinetics in studies with different measurement laboratories it is necessary to confirm the accuracy of the assay methods. This requires the establishment of an external quality assurance process to assure results that can be compared. This paper describes this process. METHODS The pharmacology module of WWARN has established a quality assurance/quality control (QA/QC) programme consisting of two separate components:1. A proficiency testing programme where blank human plasma spiked with certified reference material (CRM) in different concentrations is sent out to participating bioanalytical laboratories.2. A certified reference standard programme where accurately weighed amounts of certified anti-malarial reference standards, metabolites, and internal standards are sent to participating bioanalytical and in vitro laboratories. CONCLUSION The proficiency testing programme is designed as a cooperative effort to help participating laboratories assess their ability to carry out drug analysis, resolve any potential problem areas and to improve their results - and, in so doing, to improve the quality of anti-malarial pharmacokinetic data published and shared with WWARN.By utilizing the same source of standards for all laboratories, it is possible to minimize bias arising from poor quality reference standards. By providing anti-malarial drug standards from a central point, it is possible to lower the cost of these standards.","author":[{"dropping-particle":"","family":"Lourens","given":"Chris","non-dropping-particle":"","parse-names":false,"suffix":""},{"dropping-particle":"","family":"Watkins","given":"William M","non-dropping-particle":"","parse-names":false,"suffix":""},{"dropping-particle":"","family":"Barnes","given":"Karen I","non-dropping-particle":"","parse-names":false,"suffix":""},{"dropping-particle":"","family":"Sibley","given":"Carol H","non-dropping-particle":"","parse-names":false,"suffix":""},{"dropping-particle":"","family":"Guerin","given":"Philippe J","non-dropping-particle":"","parse-names":false,"suffix":""},{"dropping-particle":"","family":"White","given":"Nicholas J","non-dropping-particle":"","parse-names":false,"suffix":""},{"dropping-particle":"","family":"Lindegardh","given":"Niklas","non-dropping-particle":"","parse-names":false,"suffix":""}],"container-title":"Malaria journal","id":"ITEM-1","issued":{"date-parts":[["2010","12","25"]]},"page":"375","publisher":"BioMed Central","title":"Implementation of a reference standard and proficiency testing programme by the World Wide Antimalarial Resistance Network (WWARN).","type":"article-journal","volume":"9"},"uris":["http://www.mendeley.com/documents/?uuid=7ff80d9c-9c9d-3926-9e56-03150be77c3a"]}],"mendeley":{"formattedCitation":"[23]","plainTextFormattedCitation":"[23]","previouslyFormattedCitation":"[23]"},"properties":{"noteIndex":0},"schema":"https://github.com/citation-style-language/schema/raw/master/csl-citation.json"}</w:instrText>
      </w:r>
      <w:r w:rsidR="002E24CD" w:rsidRPr="00361937">
        <w:fldChar w:fldCharType="separate"/>
      </w:r>
      <w:r w:rsidR="00DB548D" w:rsidRPr="00361937">
        <w:rPr>
          <w:noProof/>
        </w:rPr>
        <w:t>[23]</w:t>
      </w:r>
      <w:r w:rsidR="002E24CD" w:rsidRPr="00361937">
        <w:fldChar w:fldCharType="end"/>
      </w:r>
      <w:r w:rsidR="008A6790" w:rsidRPr="00361937">
        <w:t>.</w:t>
      </w:r>
    </w:p>
    <w:p w:rsidR="00E86559" w:rsidRPr="00361937" w:rsidRDefault="00E86559" w:rsidP="00A95E29">
      <w:pPr>
        <w:spacing w:line="480" w:lineRule="auto"/>
      </w:pPr>
    </w:p>
    <w:p w:rsidR="001322A5" w:rsidRPr="00361937" w:rsidRDefault="001322A5" w:rsidP="00A95E29">
      <w:pPr>
        <w:spacing w:line="480" w:lineRule="auto"/>
        <w:rPr>
          <w:b/>
        </w:rPr>
      </w:pPr>
      <w:r w:rsidRPr="00361937">
        <w:rPr>
          <w:b/>
        </w:rPr>
        <w:t xml:space="preserve">Study </w:t>
      </w:r>
      <w:r w:rsidR="00137238" w:rsidRPr="00361937">
        <w:rPr>
          <w:b/>
        </w:rPr>
        <w:t>e</w:t>
      </w:r>
      <w:r w:rsidR="00A95E29" w:rsidRPr="00361937">
        <w:rPr>
          <w:b/>
        </w:rPr>
        <w:t>ndpoints</w:t>
      </w:r>
    </w:p>
    <w:p w:rsidR="001322A5" w:rsidRPr="00361937" w:rsidRDefault="001322A5" w:rsidP="00A95E29">
      <w:pPr>
        <w:spacing w:line="480" w:lineRule="auto"/>
      </w:pPr>
      <w:r w:rsidRPr="00361937">
        <w:t xml:space="preserve">The primary study endpoint was proportion of patients with PCR-corrected </w:t>
      </w:r>
      <w:r w:rsidR="00D75ADA" w:rsidRPr="00361937">
        <w:t>d</w:t>
      </w:r>
      <w:r w:rsidRPr="00361937">
        <w:t>ay 42</w:t>
      </w:r>
      <w:r w:rsidR="00D75ADA" w:rsidRPr="00361937">
        <w:t xml:space="preserve"> </w:t>
      </w:r>
      <w:r w:rsidRPr="00361937">
        <w:t xml:space="preserve">ACPR, defined as </w:t>
      </w:r>
      <w:r w:rsidR="002C0F5F" w:rsidRPr="00361937">
        <w:t xml:space="preserve">patients who did not have </w:t>
      </w:r>
      <w:r w:rsidRPr="00361937">
        <w:t>parasit</w:t>
      </w:r>
      <w:r w:rsidR="0091287A" w:rsidRPr="00361937">
        <w:t>a</w:t>
      </w:r>
      <w:r w:rsidRPr="00361937">
        <w:t xml:space="preserve">emia on </w:t>
      </w:r>
      <w:r w:rsidR="00D75ADA" w:rsidRPr="00361937">
        <w:t>day 42</w:t>
      </w:r>
      <w:r w:rsidR="002C0F5F" w:rsidRPr="00361937">
        <w:t xml:space="preserve"> that </w:t>
      </w:r>
      <w:r w:rsidRPr="00361937">
        <w:t>exhibit</w:t>
      </w:r>
      <w:r w:rsidR="002C0F5F" w:rsidRPr="00361937">
        <w:t>ed</w:t>
      </w:r>
      <w:r w:rsidRPr="00361937">
        <w:t xml:space="preserve"> identical </w:t>
      </w:r>
      <w:r w:rsidR="0091287A" w:rsidRPr="00361937">
        <w:rPr>
          <w:i/>
        </w:rPr>
        <w:t xml:space="preserve">P. </w:t>
      </w:r>
      <w:r w:rsidR="00EF4477" w:rsidRPr="00361937">
        <w:rPr>
          <w:i/>
        </w:rPr>
        <w:t>falciparum</w:t>
      </w:r>
      <w:r w:rsidRPr="00361937">
        <w:t xml:space="preserve"> malaria PCR markers</w:t>
      </w:r>
      <w:r w:rsidR="00C06ED4" w:rsidRPr="00361937">
        <w:t xml:space="preserve"> (merozoite surface protein 1 and 2)</w:t>
      </w:r>
      <w:r w:rsidRPr="00361937">
        <w:t xml:space="preserve"> with those at baseline, irrespective of axillary temperature, </w:t>
      </w:r>
      <w:r w:rsidR="002C0F5F" w:rsidRPr="00361937">
        <w:t xml:space="preserve">and who had not </w:t>
      </w:r>
      <w:r w:rsidRPr="00361937">
        <w:t xml:space="preserve"> previously me</w:t>
      </w:r>
      <w:r w:rsidR="002C0F5F" w:rsidRPr="00361937">
        <w:t>t</w:t>
      </w:r>
      <w:r w:rsidRPr="00361937">
        <w:t xml:space="preserve"> any of the criteria of early treatment failure (ETF), late clinical failure (LCF) or late parasitological failure (LPF). </w:t>
      </w:r>
      <w:r w:rsidR="007759FF" w:rsidRPr="00361937">
        <w:t xml:space="preserve">Standard WHO definitions of </w:t>
      </w:r>
      <w:r w:rsidRPr="00361937">
        <w:t>ETF</w:t>
      </w:r>
      <w:r w:rsidR="007759FF" w:rsidRPr="00361937">
        <w:t xml:space="preserve"> and LCF were used</w:t>
      </w:r>
      <w:r w:rsidR="004D216E" w:rsidRPr="00361937">
        <w:t xml:space="preserve"> </w:t>
      </w:r>
      <w:r w:rsidR="002E24CD" w:rsidRPr="00361937">
        <w:fldChar w:fldCharType="begin" w:fldLock="1"/>
      </w:r>
      <w:r w:rsidR="00A620A1" w:rsidRPr="00361937">
        <w:instrText>ADDIN CSL_CITATION {"citationItems":[{"id":"ITEM-1","itemData":{"DOI":"ISBN 978 92 4 159753 1","ISBN":"9789241597531","abstract":"Routine monitoring of antimalarial drug efficacy is necessary for effective case management and early detection of resistance. WHO recommends that the efficacy of first and second-line antimalarial treatments be tested at least once every 24 months at all sentinel sites. When studies are conducted according to a standard protocol over a period of time, the data provides a key resource for informing national treatment policy.","author":[{"dropping-particle":"","family":"WHO","given":"","non-dropping-particle":"","parse-names":false,"suffix":""}],"container-title":"World Health Organization","id":"ITEM-1","issued":{"date-parts":[["2009"]]},"number-of-pages":"90","title":"Methods for surveillance of antimalarial drug efficacy","type":"report"},"uris":["http://www.mendeley.com/documents/?uuid=dec9a492-9cbd-33f9-bf20-06ef06751148"]}],"mendeley":{"formattedCitation":"[9]","plainTextFormattedCitation":"[9]","previouslyFormattedCitation":"[9]"},"properties":{"noteIndex":0},"schema":"https://github.com/citation-style-language/schema/raw/master/csl-citation.json"}</w:instrText>
      </w:r>
      <w:r w:rsidR="002E24CD" w:rsidRPr="00361937">
        <w:fldChar w:fldCharType="separate"/>
      </w:r>
      <w:r w:rsidR="001756C1" w:rsidRPr="00361937">
        <w:rPr>
          <w:noProof/>
        </w:rPr>
        <w:t>[9]</w:t>
      </w:r>
      <w:r w:rsidR="002E24CD" w:rsidRPr="00361937">
        <w:fldChar w:fldCharType="end"/>
      </w:r>
      <w:r w:rsidRPr="00361937">
        <w:t>.</w:t>
      </w:r>
    </w:p>
    <w:p w:rsidR="001322A5" w:rsidRPr="00361937" w:rsidRDefault="001322A5" w:rsidP="00A95E29">
      <w:pPr>
        <w:spacing w:line="480" w:lineRule="auto"/>
      </w:pPr>
    </w:p>
    <w:p w:rsidR="00F61482" w:rsidRPr="00361937" w:rsidRDefault="001322A5" w:rsidP="00A95E29">
      <w:pPr>
        <w:spacing w:line="480" w:lineRule="auto"/>
      </w:pPr>
      <w:r w:rsidRPr="00361937">
        <w:t>The other primary stud</w:t>
      </w:r>
      <w:r w:rsidR="004A3378" w:rsidRPr="00361937">
        <w:t xml:space="preserve">y end points were </w:t>
      </w:r>
      <w:r w:rsidR="00585E05" w:rsidRPr="00361937">
        <w:t xml:space="preserve">grade 3 or 4 </w:t>
      </w:r>
      <w:r w:rsidR="00B00DA4" w:rsidRPr="00361937">
        <w:t>TEAEs</w:t>
      </w:r>
      <w:r w:rsidR="00585E05" w:rsidRPr="00361937">
        <w:t xml:space="preserve"> </w:t>
      </w:r>
      <w:r w:rsidR="00300D0C" w:rsidRPr="00361937">
        <w:t>of special interest (</w:t>
      </w:r>
      <w:r w:rsidR="0091287A" w:rsidRPr="00361937">
        <w:t>Fridericia-</w:t>
      </w:r>
      <w:r w:rsidR="00287BCC" w:rsidRPr="00361937">
        <w:t xml:space="preserve">corrected </w:t>
      </w:r>
      <w:r w:rsidR="00300D0C" w:rsidRPr="00361937">
        <w:t xml:space="preserve">QT interval prolongation, dizziness, palpitations, urticaria or itchiness) </w:t>
      </w:r>
      <w:r w:rsidRPr="00361937">
        <w:t>and serious adverse events (SAEs)</w:t>
      </w:r>
      <w:r w:rsidR="00300D0C" w:rsidRPr="00361937">
        <w:t xml:space="preserve"> </w:t>
      </w:r>
      <w:r w:rsidR="00585E05" w:rsidRPr="00361937">
        <w:t>as per standard definitions</w:t>
      </w:r>
      <w:r w:rsidR="004D216E" w:rsidRPr="00361937">
        <w:t xml:space="preserve"> </w:t>
      </w:r>
      <w:r w:rsidR="002E24CD" w:rsidRPr="00361937">
        <w:fldChar w:fldCharType="begin" w:fldLock="1"/>
      </w:r>
      <w:r w:rsidR="004603C9" w:rsidRPr="00361937">
        <w:instrText>ADDIN CSL_CITATION {"citationItems":[{"id":"ITEM-1","itemData":{"author":[{"dropping-particle":"","family":"International Conference on Harmonisation of Technical Requirements for Registration of Pharmaceuticals for Human Use","given":"","non-dropping-particle":"","parse-names":false,"suffix":""}],"id":"ITEM-1","issue":"October","issued":{"date-parts":[["1994"]]},"title":"CLINICAL SAFETY DATA MANAGEMENT: E2A","type":"report"},"uris":["http://www.mendeley.com/documents/?uuid=0d1a6882-c8ee-39dc-b349-905949a3bea7"]}],"mendeley":{"formattedCitation":"[24]","plainTextFormattedCitation":"[24]","previouslyFormattedCitation":"[24]"},"properties":{"noteIndex":0},"schema":"https://github.com/citation-style-language/schema/raw/master/csl-citation.json"}</w:instrText>
      </w:r>
      <w:r w:rsidR="002E24CD" w:rsidRPr="00361937">
        <w:fldChar w:fldCharType="separate"/>
      </w:r>
      <w:r w:rsidR="00DB548D" w:rsidRPr="00361937">
        <w:rPr>
          <w:noProof/>
        </w:rPr>
        <w:t>[24]</w:t>
      </w:r>
      <w:r w:rsidR="002E24CD" w:rsidRPr="00361937">
        <w:fldChar w:fldCharType="end"/>
      </w:r>
      <w:r w:rsidRPr="00361937">
        <w:t xml:space="preserve">. Local study physicians determined the relationships between DPQ and the </w:t>
      </w:r>
      <w:r w:rsidR="00B00DA4" w:rsidRPr="00361937">
        <w:t>adverse events (AEs)</w:t>
      </w:r>
      <w:r w:rsidRPr="00361937">
        <w:t xml:space="preserve">. A </w:t>
      </w:r>
      <w:r w:rsidR="00E4437F" w:rsidRPr="00361937">
        <w:t>D</w:t>
      </w:r>
      <w:r w:rsidRPr="00361937">
        <w:t xml:space="preserve">ata </w:t>
      </w:r>
      <w:r w:rsidR="00E4437F" w:rsidRPr="00361937">
        <w:t>S</w:t>
      </w:r>
      <w:r w:rsidRPr="00361937">
        <w:t xml:space="preserve">afety and </w:t>
      </w:r>
      <w:r w:rsidR="00E4437F" w:rsidRPr="00361937">
        <w:t>M</w:t>
      </w:r>
      <w:r w:rsidRPr="00361937">
        <w:t xml:space="preserve">onitoring </w:t>
      </w:r>
      <w:r w:rsidR="00E4437F" w:rsidRPr="00361937">
        <w:t>B</w:t>
      </w:r>
      <w:r w:rsidR="00D3033D" w:rsidRPr="00361937">
        <w:t xml:space="preserve">oard </w:t>
      </w:r>
      <w:r w:rsidRPr="00361937">
        <w:t xml:space="preserve">reviewed </w:t>
      </w:r>
      <w:r w:rsidR="001501FB" w:rsidRPr="00361937">
        <w:t xml:space="preserve">serious </w:t>
      </w:r>
      <w:r w:rsidRPr="00361937">
        <w:t xml:space="preserve">AEs </w:t>
      </w:r>
      <w:r w:rsidR="00C50A10" w:rsidRPr="00361937">
        <w:t xml:space="preserve">and </w:t>
      </w:r>
      <w:r w:rsidR="005D6931" w:rsidRPr="00361937">
        <w:t>a</w:t>
      </w:r>
      <w:r w:rsidR="00C50A10" w:rsidRPr="00361937">
        <w:t xml:space="preserve">dverse </w:t>
      </w:r>
      <w:r w:rsidR="005D6931" w:rsidRPr="00361937">
        <w:t>e</w:t>
      </w:r>
      <w:r w:rsidR="00C50A10" w:rsidRPr="00361937">
        <w:t xml:space="preserve">vents of </w:t>
      </w:r>
      <w:r w:rsidR="005D6931" w:rsidRPr="00361937">
        <w:t>s</w:t>
      </w:r>
      <w:r w:rsidR="00C50A10" w:rsidRPr="00361937">
        <w:t xml:space="preserve">pecial </w:t>
      </w:r>
      <w:r w:rsidR="005D6931" w:rsidRPr="00361937">
        <w:t>i</w:t>
      </w:r>
      <w:r w:rsidR="00C50A10" w:rsidRPr="00361937">
        <w:t xml:space="preserve">nterest (AESIs) </w:t>
      </w:r>
      <w:r w:rsidRPr="00361937">
        <w:t>and assessed the validity of study physicians’ decisions. Seconda</w:t>
      </w:r>
      <w:r w:rsidR="00090907" w:rsidRPr="00361937">
        <w:t xml:space="preserve">ry endpoints, </w:t>
      </w:r>
      <w:r w:rsidRPr="00361937">
        <w:t xml:space="preserve">included </w:t>
      </w:r>
      <w:r w:rsidR="00D75ADA" w:rsidRPr="00361937">
        <w:t xml:space="preserve">day </w:t>
      </w:r>
      <w:r w:rsidR="003232F7" w:rsidRPr="00361937">
        <w:t>42</w:t>
      </w:r>
      <w:r w:rsidRPr="00361937">
        <w:t xml:space="preserve"> </w:t>
      </w:r>
      <w:r w:rsidR="008E1439" w:rsidRPr="00361937">
        <w:t xml:space="preserve">PCR-uncorrected </w:t>
      </w:r>
      <w:r w:rsidRPr="00361937">
        <w:t xml:space="preserve">ACPR, </w:t>
      </w:r>
      <w:r w:rsidR="00505E84" w:rsidRPr="00361937">
        <w:t>time for parasite to decline</w:t>
      </w:r>
      <w:r w:rsidRPr="00361937">
        <w:t xml:space="preserve"> by 50% (PC</w:t>
      </w:r>
      <w:r w:rsidRPr="00361937">
        <w:rPr>
          <w:vertAlign w:val="subscript"/>
        </w:rPr>
        <w:t>50</w:t>
      </w:r>
      <w:r w:rsidRPr="00361937">
        <w:t>) and 90% (PC</w:t>
      </w:r>
      <w:r w:rsidRPr="00361937">
        <w:rPr>
          <w:vertAlign w:val="subscript"/>
        </w:rPr>
        <w:t>90</w:t>
      </w:r>
      <w:r w:rsidRPr="00361937">
        <w:t>), fever clearance time</w:t>
      </w:r>
      <w:r w:rsidR="00EB34CC" w:rsidRPr="00361937">
        <w:t xml:space="preserve"> </w:t>
      </w:r>
      <w:r w:rsidRPr="00361937">
        <w:t>and trends in h</w:t>
      </w:r>
      <w:r w:rsidR="0091287A" w:rsidRPr="00361937">
        <w:t>a</w:t>
      </w:r>
      <w:r w:rsidRPr="00361937">
        <w:t xml:space="preserve">emoglobin concentrations and CD4 cell counts from baseline to </w:t>
      </w:r>
      <w:r w:rsidR="00D97D97" w:rsidRPr="00361937">
        <w:t>d</w:t>
      </w:r>
      <w:r w:rsidRPr="00361937">
        <w:t>ay 28.</w:t>
      </w:r>
      <w:r w:rsidR="00B2260E" w:rsidRPr="00361937">
        <w:t xml:space="preserve"> </w:t>
      </w:r>
    </w:p>
    <w:p w:rsidR="00F23800" w:rsidRPr="00361937" w:rsidRDefault="00F23800" w:rsidP="00A95E29">
      <w:pPr>
        <w:spacing w:line="480" w:lineRule="auto"/>
        <w:outlineLvl w:val="0"/>
      </w:pPr>
    </w:p>
    <w:p w:rsidR="001322A5" w:rsidRPr="00361937" w:rsidRDefault="00D101AA" w:rsidP="00A95E29">
      <w:pPr>
        <w:spacing w:line="480" w:lineRule="auto"/>
        <w:outlineLvl w:val="0"/>
        <w:rPr>
          <w:b/>
        </w:rPr>
      </w:pPr>
      <w:r w:rsidRPr="00361937">
        <w:rPr>
          <w:b/>
        </w:rPr>
        <w:t>Samples s</w:t>
      </w:r>
      <w:r w:rsidR="002E18CE" w:rsidRPr="00361937">
        <w:rPr>
          <w:b/>
        </w:rPr>
        <w:t xml:space="preserve">ize </w:t>
      </w:r>
    </w:p>
    <w:p w:rsidR="00E86559" w:rsidRPr="00361937" w:rsidRDefault="005F196B" w:rsidP="00A95E29">
      <w:pPr>
        <w:spacing w:line="480" w:lineRule="auto"/>
      </w:pPr>
      <w:r w:rsidRPr="00361937">
        <w:t xml:space="preserve">Sample size calculation was based on estimates of total treatment failure rate (TTFR). </w:t>
      </w:r>
      <w:r w:rsidR="005A56A4" w:rsidRPr="00361937">
        <w:t xml:space="preserve">The </w:t>
      </w:r>
      <w:r w:rsidR="001C1458" w:rsidRPr="00361937">
        <w:t>estimated day</w:t>
      </w:r>
      <w:r w:rsidR="008E1439" w:rsidRPr="00361937">
        <w:t xml:space="preserve">-42 </w:t>
      </w:r>
      <w:r w:rsidR="001C1458" w:rsidRPr="00361937">
        <w:t xml:space="preserve">PCR corrected TTFR </w:t>
      </w:r>
      <w:r w:rsidR="005A56A4" w:rsidRPr="00361937">
        <w:t xml:space="preserve">was </w:t>
      </w:r>
      <w:r w:rsidR="001C1458" w:rsidRPr="00361937">
        <w:t xml:space="preserve"> ≤10%</w:t>
      </w:r>
      <w:r w:rsidRPr="00361937">
        <w:t xml:space="preserve"> </w:t>
      </w:r>
      <w:r w:rsidR="002E24CD" w:rsidRPr="00361937">
        <w:fldChar w:fldCharType="begin" w:fldLock="1"/>
      </w:r>
      <w:r w:rsidR="004603C9" w:rsidRPr="00361937">
        <w:instrText>ADDIN CSL_CITATION {"citationItems":[{"id":"ITEM-1","itemData":{"DOI":"10.1086/507310","ISBN":"0022-1899","ISSN":"0022-1899","PMID":"16960779","abstract":"BACKGROUND: Human immunodeficiency virus (HIV)-1 infected adults with low CD4 cell count have a higher risk of malaria infection and clinical malaria. We assessed the influence that HIV-1 immune suppression has on the efficacy of antimalarial treatment in adults with uncomplicated malaria. METHODS: This clinical trial included 971 Zambian adults with uncomplicated malaria. Patients were tested for HIV-1, and, if positive, a CD4 cell count was assessed. The primary outcome was recurrent parasitemia corrected by molecular genotyping within 45 days after treatment. RESULTS: HIV-1 infection was detected in 33% (320/971) of adult patients with malaria. Treatment failure was not associated with HIV-1 infection (relative risk [RR], 1.12 [95% confidence interval {CI}, 0.82-1.53]; P=.45). HIV-1-infected patients with a CD4 cell count &lt;300 cells/microL had an increased risk of recurrent parasitemia, compared with those with a CD4 cell count &gt;or=300 cells/microL (RR, 2.24 [95% CI, 1.20-4.14]; P=.01). After genotyping, the risk of recrudescence was higher in HIV-1-infected patients with a CD4 cell count &lt;300 cells/microL than in the other patients with malaria (RR, 1.67 [95% CI, 1.13-2.47]; P=.02). CONCLUSION: HIV-1-infected patients with malaria with a CD4 cell count &lt;300 cells/microL have a higher risk of experiencing a recrudescent infection, compared with those with a CD4 cell count &gt;or=300 cells/microL or without HIV-1 infection. Trial registered at http://www.clinicaltrials.gov/; reference number NCT00304980.","author":[{"dropping-particle":"","family":"Geertruyden","given":"Jean-Pierre","non-dropping-particle":"Van","parse-names":false,"suffix":""},{"dropping-particle":"","family":"Mulenga","given":"Modest","non-dropping-particle":"","parse-names":false,"suffix":""},{"dropping-particle":"","family":"Mwananyanda","given":"Lawrence","non-dropping-particle":"","parse-names":false,"suffix":""},{"dropping-particle":"","family":"Chalwe","given":"Victor","non-dropping-particle":"","parse-names":false,"suffix":""},{"dropping-particle":"","family":"Moerman","given":"Filip","non-dropping-particle":"","parse-names":false,"suffix":""},{"dropping-particle":"","family":"Chilengi","given":"Roma","non-dropping-particle":"","parse-names":false,"suffix":""},{"dropping-particle":"","family":"Kasongo","given":"Webster","non-dropping-particle":"","parse-names":false,"suffix":""},{"dropping-particle":"","family":"Overmeir","given":"Chantal","non-dropping-particle":"Van","parse-names":false,"suffix":""},{"dropping-particle":"","family":"Dujardin","given":"Jean</w:instrText>
      </w:r>
      <w:r w:rsidR="004603C9" w:rsidRPr="00361937">
        <w:rPr>
          <w:rFonts w:ascii="PortagoITC TT" w:hAnsi="PortagoITC TT" w:cs="PortagoITC TT"/>
        </w:rPr>
        <w:instrText>‐</w:instrText>
      </w:r>
      <w:r w:rsidR="004603C9" w:rsidRPr="00361937">
        <w:instrText>Claude","non-dropping-particle":"","parse-names":false,"suffix":""},{"dropping-particle":"","family":"Colebunders","given":"Robert","non-dropping-particle":"","parse-names":false,"suffix":""},{"dropping-particle":"","family":"Kestens","given":"Luc","non-dropping-particle":"","parse-names":false,"suffix":""},{"dropping-particle":"","family":"D'Alessandro","given":"Umberto","non-dropping-particle":"","parse-names":false,"suffix":""}],"container-title":"The Journal of infectious diseases","id":"ITEM-1","issue":"7","issued":{"date-parts":[["2006","10","1"]]},"page":"917-925","publisher":"UNAIDS, June, Geneva","title":"HIV-1 immune suppression and antimalarial treatment outcome in Zambian adults with uncomplicated malaria.","type":"article-journal","volume":"194"},"uris":["http://www.mendeley.com/documents/?uuid=58f68240-a939-33b5-993b-b2e7d99e73cc"]}],"mendeley":{"formattedCitation":"[25]","plainTextFormattedCitation":"[25]","previouslyFormattedCitation":"[25]"},"properties":{"noteIndex":0},"schema":"https://github.com/citation-style-language/schema/raw/master/csl-citation.json"}</w:instrText>
      </w:r>
      <w:r w:rsidR="002E24CD" w:rsidRPr="00361937">
        <w:fldChar w:fldCharType="separate"/>
      </w:r>
      <w:r w:rsidR="00DB548D" w:rsidRPr="00361937">
        <w:rPr>
          <w:noProof/>
        </w:rPr>
        <w:t>[25]</w:t>
      </w:r>
      <w:r w:rsidR="002E24CD" w:rsidRPr="00361937">
        <w:fldChar w:fldCharType="end"/>
      </w:r>
      <w:r w:rsidR="00664A55" w:rsidRPr="00361937">
        <w:t>.</w:t>
      </w:r>
      <w:r w:rsidRPr="00361937">
        <w:t xml:space="preserve"> </w:t>
      </w:r>
      <w:r w:rsidR="005A56A4" w:rsidRPr="00361937">
        <w:t>A</w:t>
      </w:r>
      <w:r w:rsidRPr="00361937">
        <w:t xml:space="preserve"> precision of 5%</w:t>
      </w:r>
      <w:r w:rsidR="005A56A4" w:rsidRPr="00361937">
        <w:t xml:space="preserve">, </w:t>
      </w:r>
      <w:r w:rsidRPr="00361937">
        <w:t xml:space="preserve">around </w:t>
      </w:r>
      <w:r w:rsidRPr="00361937">
        <w:lastRenderedPageBreak/>
        <w:t>this point estimate</w:t>
      </w:r>
      <w:r w:rsidR="005A56A4" w:rsidRPr="00361937">
        <w:t xml:space="preserve">, </w:t>
      </w:r>
      <w:r w:rsidR="00D3033D" w:rsidRPr="00361937">
        <w:t>allowed</w:t>
      </w:r>
      <w:r w:rsidRPr="00361937">
        <w:t xml:space="preserve"> the upper limit of the 95% Wald binomial confidence interval to be 15%. </w:t>
      </w:r>
      <w:r w:rsidR="00664A55" w:rsidRPr="00361937">
        <w:t>U</w:t>
      </w:r>
      <w:r w:rsidRPr="00361937">
        <w:t xml:space="preserve">sing the formula for estimating a single study population sample size  </w:t>
      </w:r>
      <w:r w:rsidR="002E24CD" w:rsidRPr="00361937">
        <w:fldChar w:fldCharType="begin" w:fldLock="1"/>
      </w:r>
      <w:r w:rsidR="004603C9" w:rsidRPr="00361937">
        <w:instrText>ADDIN CSL_CITATION {"citationItems":[{"id":"ITEM-1","itemData":{"ISBN":"0865428719","abstract":"2nd ed. Blackwell Publishing is delighted to announce that this book has been Highly Commended in the 2004 BMA Medical Book Competition. Here is the judges' summary of this book:. \"This is a technical book on a technical subject but presented in a delightful way. There are many books on statistics for doctors but there are few that are excellent and this is certainly one of them. Statistics is not an easy subject to teach or write about. The authors have succeeded in producing a book that is as good as it can get. For the keen student who does not want a book for mathematicians, this is an excellent f. Using this book -- Defining the data -- Displaying the data -- Means, standard deviations and standard errors -- The normal distribution -- Confidence interval for a mean -- Comparison of two means : confidence intervals, hypothesis tests and P-values -- Using P-values and confidence intervals to interpret the results of statistical analyses -- Comparison of means from several groups : analysis of variance -- Linear regression and correlation -- Multiple regression -- Goodness of fit and regression diagnostics -- Transformations -- Probability, risk and odds (of disease) -- Proportions and the binomial distribution -- Comparing two proportions -- Chi-squared tests for 2 x 2 and larger contingency tables -- Controlling for confounding : stratification -- Logistic regression : comparing two or more exposure groups -- Logistic regression : controlling for confounding and other extensions -- Matched studies -- Longitudinal studies, rates and the Poisson distribution -- Comparing rates -- Poisson regression -- Standardization -- Survival analysis : displaying and comparing survival patterns -- Regression analysis of survival data -- Likelihood -- Regression modelling -- Relaxing model assumptions -- Analysis of clustered data -- Systematic reviews and meta-analysis -- Bayesian statistics -- Linking analysis to study design : summary of methods -- Calculation of required sample size -- Measurement error : assessment and implications -- Measures of association and impact -- Strategies for analysis -- Appendix : statistical tables.","author":[{"dropping-particle":"","family":"Kirkwood","given":"Betty R.","non-dropping-particle":"","parse-names":false,"suffix":""},{"dropping-particle":"","family":"Sterne","given":"Jonathan A. C.","non-dropping-particle":"","parse-names":false,"suffix":""},{"dropping-particle":"","family":"Kirkwood","given":"Betty R.","non-dropping-particle":"","parse-names":false,"suffix":""}],"id":"ITEM-1","issued":{"date-parts":[["2003"]]},"number-of-pages":"501","publisher":"Blackwell Science","title":"Essential medical statistics","type":"book"},"uris":["http://www.mendeley.com/documents/?uuid=a1cfdd77-bff5-4928-97b0-5ff1340a2db8"]}],"mendeley":{"formattedCitation":"[26]","plainTextFormattedCitation":"[26]","previouslyFormattedCitation":"[26]"},"properties":{"noteIndex":0},"schema":"https://github.com/citation-style-language/schema/raw/master/csl-citation.json"}</w:instrText>
      </w:r>
      <w:r w:rsidR="002E24CD" w:rsidRPr="00361937">
        <w:fldChar w:fldCharType="separate"/>
      </w:r>
      <w:r w:rsidR="00DB548D" w:rsidRPr="00361937">
        <w:rPr>
          <w:noProof/>
        </w:rPr>
        <w:t>[26]</w:t>
      </w:r>
      <w:r w:rsidR="002E24CD" w:rsidRPr="00361937">
        <w:fldChar w:fldCharType="end"/>
      </w:r>
      <w:r w:rsidRPr="00361937">
        <w:t xml:space="preserve">, our effective sample size was estimated </w:t>
      </w:r>
      <w:r w:rsidR="00664A55" w:rsidRPr="00361937">
        <w:t>at</w:t>
      </w:r>
      <w:r w:rsidRPr="00361937">
        <w:t xml:space="preserve"> 138 for each ART type. </w:t>
      </w:r>
      <w:r w:rsidR="00D3033D" w:rsidRPr="00361937">
        <w:t xml:space="preserve">The final sample size, for each ART group, </w:t>
      </w:r>
      <w:r w:rsidRPr="00361937">
        <w:t>was 163</w:t>
      </w:r>
      <w:r w:rsidR="000E5821" w:rsidRPr="00361937">
        <w:t xml:space="preserve"> </w:t>
      </w:r>
      <w:r w:rsidRPr="00361937">
        <w:t>after adjusting for an anticipated loss-to-follow-up</w:t>
      </w:r>
      <w:r w:rsidR="00D3033D" w:rsidRPr="00361937">
        <w:t xml:space="preserve"> rate of 15%.  This sample size </w:t>
      </w:r>
      <w:r w:rsidRPr="00361937">
        <w:t xml:space="preserve">was </w:t>
      </w:r>
      <w:r w:rsidR="000F56D5" w:rsidRPr="00361937">
        <w:t xml:space="preserve">achieved </w:t>
      </w:r>
      <w:r w:rsidR="00084191" w:rsidRPr="00361937">
        <w:t>for the efavirenz-ART group but not for nevirapine</w:t>
      </w:r>
      <w:r w:rsidRPr="00361937">
        <w:t>-ART group, as the ART programs in both countries had su</w:t>
      </w:r>
      <w:r w:rsidR="00084191" w:rsidRPr="00361937">
        <w:t>ccessfully transitioned from nevirapine- to efavirenz</w:t>
      </w:r>
      <w:r w:rsidRPr="00361937">
        <w:t xml:space="preserve">-based ART first-line regimens. </w:t>
      </w:r>
      <w:r w:rsidR="001D12A1" w:rsidRPr="00361937">
        <w:t>Sample size calculations including all subsequent statistical ana</w:t>
      </w:r>
      <w:r w:rsidR="000E5821" w:rsidRPr="00361937">
        <w:t>lysis were performed in STATA 13</w:t>
      </w:r>
      <w:r w:rsidR="001D12A1" w:rsidRPr="00361937">
        <w:t xml:space="preserve">.1 </w:t>
      </w:r>
    </w:p>
    <w:p w:rsidR="00251B5D" w:rsidRPr="00361937" w:rsidRDefault="00251B5D" w:rsidP="00A95E29">
      <w:pPr>
        <w:spacing w:line="480" w:lineRule="auto"/>
        <w:outlineLvl w:val="0"/>
        <w:rPr>
          <w:i/>
        </w:rPr>
      </w:pPr>
    </w:p>
    <w:p w:rsidR="005F196B" w:rsidRPr="00361937" w:rsidRDefault="00D101AA" w:rsidP="00A95E29">
      <w:pPr>
        <w:spacing w:line="480" w:lineRule="auto"/>
        <w:outlineLvl w:val="0"/>
        <w:rPr>
          <w:b/>
        </w:rPr>
      </w:pPr>
      <w:r w:rsidRPr="00361937">
        <w:rPr>
          <w:b/>
        </w:rPr>
        <w:t>Statistical a</w:t>
      </w:r>
      <w:r w:rsidR="005F196B" w:rsidRPr="00361937">
        <w:rPr>
          <w:b/>
        </w:rPr>
        <w:t>nalys</w:t>
      </w:r>
      <w:r w:rsidR="00251B5D" w:rsidRPr="00361937">
        <w:rPr>
          <w:b/>
        </w:rPr>
        <w:t>e</w:t>
      </w:r>
      <w:r w:rsidR="005F196B" w:rsidRPr="00361937">
        <w:rPr>
          <w:b/>
        </w:rPr>
        <w:t>s</w:t>
      </w:r>
    </w:p>
    <w:p w:rsidR="007245AF" w:rsidRPr="00361937" w:rsidRDefault="001322A5" w:rsidP="00A95E29">
      <w:pPr>
        <w:spacing w:line="480" w:lineRule="auto"/>
        <w:rPr>
          <w:color w:val="000000"/>
        </w:rPr>
      </w:pPr>
      <w:r w:rsidRPr="00361937">
        <w:t>For the primary end-point, three analys</w:t>
      </w:r>
      <w:r w:rsidR="002C0F5F" w:rsidRPr="00361937">
        <w:t>i</w:t>
      </w:r>
      <w:r w:rsidRPr="00361937">
        <w:t xml:space="preserve">s populations were used. Firstly, the Intention-to-treat (ITT) population included patients who received at least 1 dose of study medication. Secondly, the per-protocol (PP) population included all participants who had the primary endpoint data at </w:t>
      </w:r>
      <w:r w:rsidR="00D75ADA" w:rsidRPr="00361937">
        <w:t xml:space="preserve">day </w:t>
      </w:r>
      <w:r w:rsidRPr="00361937">
        <w:t xml:space="preserve">42, received a full course of </w:t>
      </w:r>
      <w:r w:rsidR="00FE51FE" w:rsidRPr="00361937">
        <w:t>DPQ</w:t>
      </w:r>
      <w:r w:rsidRPr="00361937">
        <w:t xml:space="preserve"> and adhered to the follow-up visit schedule. Thirdly, the safety population included all patients who received any amount of study medication and had at least 1 assessment after dosing. </w:t>
      </w:r>
      <w:r w:rsidRPr="00361937">
        <w:rPr>
          <w:color w:val="000000"/>
        </w:rPr>
        <w:t xml:space="preserve">ACPR plus 95% CI in PP and ITT populations were </w:t>
      </w:r>
      <w:r w:rsidR="002C0F5F" w:rsidRPr="00361937">
        <w:rPr>
          <w:color w:val="000000"/>
        </w:rPr>
        <w:t>calculated</w:t>
      </w:r>
      <w:r w:rsidRPr="00361937">
        <w:rPr>
          <w:color w:val="000000"/>
        </w:rPr>
        <w:t xml:space="preserve">. </w:t>
      </w:r>
      <w:r w:rsidR="00B01A54" w:rsidRPr="00361937">
        <w:rPr>
          <w:color w:val="000000"/>
        </w:rPr>
        <w:t>S</w:t>
      </w:r>
      <w:r w:rsidRPr="00361937">
        <w:rPr>
          <w:color w:val="000000"/>
        </w:rPr>
        <w:t>ensitivity analys</w:t>
      </w:r>
      <w:r w:rsidR="00B01A54" w:rsidRPr="00361937">
        <w:rPr>
          <w:color w:val="000000"/>
        </w:rPr>
        <w:t>e</w:t>
      </w:r>
      <w:r w:rsidRPr="00361937">
        <w:rPr>
          <w:color w:val="000000"/>
        </w:rPr>
        <w:t xml:space="preserve">s </w:t>
      </w:r>
      <w:r w:rsidR="00FE51FE" w:rsidRPr="00361937">
        <w:rPr>
          <w:color w:val="000000"/>
        </w:rPr>
        <w:t xml:space="preserve">were performed using the ITT and PP populations </w:t>
      </w:r>
      <w:r w:rsidRPr="00361937">
        <w:rPr>
          <w:color w:val="000000"/>
        </w:rPr>
        <w:t xml:space="preserve">that </w:t>
      </w:r>
      <w:r w:rsidR="00FE51FE" w:rsidRPr="00361937">
        <w:rPr>
          <w:color w:val="000000"/>
        </w:rPr>
        <w:t xml:space="preserve">first </w:t>
      </w:r>
      <w:r w:rsidRPr="00361937">
        <w:rPr>
          <w:color w:val="000000"/>
        </w:rPr>
        <w:t xml:space="preserve">considered all participants </w:t>
      </w:r>
      <w:r w:rsidR="00FE51FE" w:rsidRPr="00361937">
        <w:rPr>
          <w:color w:val="000000"/>
        </w:rPr>
        <w:t xml:space="preserve">with </w:t>
      </w:r>
      <w:r w:rsidRPr="00361937">
        <w:t xml:space="preserve">missing data </w:t>
      </w:r>
      <w:r w:rsidR="00FE51FE" w:rsidRPr="00361937">
        <w:rPr>
          <w:color w:val="000000"/>
        </w:rPr>
        <w:t xml:space="preserve">as having parasitological failure </w:t>
      </w:r>
      <w:r w:rsidR="00FE51FE" w:rsidRPr="00361937">
        <w:t xml:space="preserve">and then considered the same participants </w:t>
      </w:r>
      <w:r w:rsidR="00FE51FE" w:rsidRPr="00361937">
        <w:rPr>
          <w:color w:val="000000"/>
        </w:rPr>
        <w:t>as</w:t>
      </w:r>
      <w:r w:rsidR="00B01A54" w:rsidRPr="00361937">
        <w:rPr>
          <w:color w:val="000000"/>
        </w:rPr>
        <w:t xml:space="preserve"> having treatment success</w:t>
      </w:r>
      <w:r w:rsidRPr="00361937">
        <w:rPr>
          <w:color w:val="000000"/>
        </w:rPr>
        <w:t xml:space="preserve">. </w:t>
      </w:r>
    </w:p>
    <w:p w:rsidR="001C14F9" w:rsidRPr="00361937" w:rsidRDefault="001C14F9" w:rsidP="00A95E29">
      <w:pPr>
        <w:spacing w:line="480" w:lineRule="auto"/>
        <w:rPr>
          <w:color w:val="000000"/>
        </w:rPr>
      </w:pPr>
    </w:p>
    <w:p w:rsidR="001322A5" w:rsidRPr="00361937" w:rsidRDefault="001322A5" w:rsidP="00A95E29">
      <w:pPr>
        <w:spacing w:line="480" w:lineRule="auto"/>
        <w:rPr>
          <w:color w:val="000000"/>
        </w:rPr>
      </w:pPr>
      <w:r w:rsidRPr="00361937">
        <w:rPr>
          <w:color w:val="000000"/>
        </w:rPr>
        <w:t>Statistical analyses for secondary ACPR endpoints were s</w:t>
      </w:r>
      <w:r w:rsidR="00F70B40" w:rsidRPr="00361937">
        <w:rPr>
          <w:color w:val="000000"/>
        </w:rPr>
        <w:t>imilar to the primary endpoints</w:t>
      </w:r>
      <w:r w:rsidRPr="00361937">
        <w:rPr>
          <w:color w:val="000000"/>
        </w:rPr>
        <w:t>. In addition,</w:t>
      </w:r>
      <w:r w:rsidR="00A630FB" w:rsidRPr="00361937">
        <w:rPr>
          <w:color w:val="000000"/>
        </w:rPr>
        <w:t xml:space="preserve"> the Kaplan Meier</w:t>
      </w:r>
      <w:r w:rsidRPr="00361937">
        <w:rPr>
          <w:color w:val="000000"/>
        </w:rPr>
        <w:t xml:space="preserve"> survival </w:t>
      </w:r>
      <w:r w:rsidR="00F31FC9" w:rsidRPr="00361937">
        <w:rPr>
          <w:color w:val="000000"/>
        </w:rPr>
        <w:t>plots</w:t>
      </w:r>
      <w:r w:rsidRPr="00361937">
        <w:rPr>
          <w:color w:val="000000"/>
        </w:rPr>
        <w:t xml:space="preserve"> were used to summarize the time to PCR-corrected and uncorrected treatment failure. </w:t>
      </w:r>
      <w:r w:rsidR="00BF2311" w:rsidRPr="00361937">
        <w:rPr>
          <w:color w:val="000000"/>
        </w:rPr>
        <w:t xml:space="preserve">Parameters assessing post-treatment parasite </w:t>
      </w:r>
      <w:r w:rsidR="00BF2311" w:rsidRPr="00361937">
        <w:rPr>
          <w:color w:val="000000"/>
        </w:rPr>
        <w:lastRenderedPageBreak/>
        <w:t>clearance</w:t>
      </w:r>
      <w:r w:rsidR="0013515F" w:rsidRPr="00361937">
        <w:rPr>
          <w:color w:val="000000"/>
        </w:rPr>
        <w:t xml:space="preserve"> (</w:t>
      </w:r>
      <w:r w:rsidR="00132AB3" w:rsidRPr="00361937">
        <w:t>PC</w:t>
      </w:r>
      <w:r w:rsidR="00132AB3" w:rsidRPr="00361937">
        <w:rPr>
          <w:vertAlign w:val="subscript"/>
        </w:rPr>
        <w:t>50</w:t>
      </w:r>
      <w:r w:rsidR="00FD06DD" w:rsidRPr="00361937">
        <w:rPr>
          <w:color w:val="000000"/>
        </w:rPr>
        <w:t xml:space="preserve">, </w:t>
      </w:r>
      <w:r w:rsidR="00132AB3" w:rsidRPr="00361937">
        <w:t>PC</w:t>
      </w:r>
      <w:r w:rsidR="00132AB3" w:rsidRPr="00361937">
        <w:rPr>
          <w:vertAlign w:val="subscript"/>
        </w:rPr>
        <w:t>90</w:t>
      </w:r>
      <w:r w:rsidR="00FD06DD" w:rsidRPr="00361937">
        <w:rPr>
          <w:vertAlign w:val="subscript"/>
        </w:rPr>
        <w:t xml:space="preserve"> </w:t>
      </w:r>
      <w:r w:rsidR="00FD06DD" w:rsidRPr="00361937">
        <w:t xml:space="preserve">and </w:t>
      </w:r>
      <w:r w:rsidR="00FD06DD" w:rsidRPr="00361937">
        <w:rPr>
          <w:color w:val="000000"/>
        </w:rPr>
        <w:t>parasite clearance half-life</w:t>
      </w:r>
      <w:r w:rsidR="00FD06DD" w:rsidRPr="00361937">
        <w:rPr>
          <w:vertAlign w:val="subscript"/>
        </w:rPr>
        <w:t xml:space="preserve"> </w:t>
      </w:r>
      <w:r w:rsidR="0013515F" w:rsidRPr="00361937">
        <w:rPr>
          <w:color w:val="000000"/>
        </w:rPr>
        <w:t>)</w:t>
      </w:r>
      <w:r w:rsidR="006D3741" w:rsidRPr="00361937">
        <w:rPr>
          <w:color w:val="000000"/>
        </w:rPr>
        <w:t xml:space="preserve"> in the two ART groups</w:t>
      </w:r>
      <w:r w:rsidR="0013515F" w:rsidRPr="00361937">
        <w:rPr>
          <w:color w:val="000000"/>
        </w:rPr>
        <w:t xml:space="preserve"> </w:t>
      </w:r>
      <w:r w:rsidR="00FD06DD" w:rsidRPr="00361937">
        <w:rPr>
          <w:color w:val="000000"/>
        </w:rPr>
        <w:t>were</w:t>
      </w:r>
      <w:r w:rsidR="0013515F" w:rsidRPr="00361937">
        <w:rPr>
          <w:color w:val="000000"/>
        </w:rPr>
        <w:t xml:space="preserve"> estimated using the WorldWide Antimalarial Resistance Network parasite clearance estimator, </w:t>
      </w:r>
      <w:r w:rsidR="006912E2" w:rsidRPr="00361937">
        <w:rPr>
          <w:color w:val="000000"/>
        </w:rPr>
        <w:t>as</w:t>
      </w:r>
      <w:r w:rsidR="0013515F" w:rsidRPr="00361937">
        <w:rPr>
          <w:color w:val="000000"/>
        </w:rPr>
        <w:t xml:space="preserve"> described elsewehere</w:t>
      </w:r>
      <w:r w:rsidR="00C642F3" w:rsidRPr="00361937">
        <w:rPr>
          <w:color w:val="000000"/>
        </w:rPr>
        <w:t xml:space="preserve"> </w:t>
      </w:r>
      <w:r w:rsidR="002E24CD" w:rsidRPr="00361937">
        <w:rPr>
          <w:color w:val="000000"/>
        </w:rPr>
        <w:fldChar w:fldCharType="begin" w:fldLock="1"/>
      </w:r>
      <w:r w:rsidR="004603C9" w:rsidRPr="00361937">
        <w:rPr>
          <w:color w:val="000000"/>
        </w:rPr>
        <w:instrText>ADDIN CSL_CITATION {"citationItems":[{"id":"ITEM-1","itemData":{"DOI":"10.1186/1475-2875-10-339","ISSN":"1475-2875","PMID":"22074219","abstract":"BACKGROUND A significant reduction in parasite clearance rates following artesunate treatment of falciparum malaria, and increased failure rates following artemisinin combination treatments (ACT), signaled emergent artemisinin resistance in Western Cambodia. Accurate measurement of parasite clearance is therefore essential to assess the spread of artemisinin resistance in Plasmodium falciparum. The slope of the log-parasitaemia versus time relationship is considered to be the most robust measure of anti-malarial effect. However, an initial lag phase of numerical instability often precedes a steady exponential decline in the parasite count after the start of anti-malarial treatment. This lag complicates the clearance estimation, introduces observer subjectivity, and may influence the accuracy and consistency of reported results. METHODS To address this problem, a new approach to modelling clearance of malaria parasites from parasitaemia-time profiles has been explored and validated. The methodology detects when a lag phase is present, selects the most appropriate model (linear, quadratic or cubic) to fit log-transformed parasite data, and calculates estimates of parasite clearance adjusted for this lag phase. Departing from previous approaches, parasite counts below the level of detection are accounted for and not excluded from the calculation. RESULTS Data from large clinical studies with frequent parasite counts were examined. The effect of a lag phase on parasite clearance rate estimates is discussed, using individual patient data examples. As part of the World Wide Antimalarial Resistance Network's (WWARN) efforts to make innovative approaches available to the malaria community, an automated informatics tool: the parasite clearance estimator has been developed. CONCLUSIONS The parasite clearance estimator provides a consistent, reliable and accurate method to estimate the lag phase and malaria parasite clearance rate. It could be used to detect early signs of emerging resistance to artemisinin derivatives and other compounds which affect ring-stage clearance.","author":[{"dropping-particle":"","family":"Flegg","given":"Jennifer A","non-dropping-particle":"","parse-names":false,"suffix":""},{"dropping-particle":"","family":"Guerin","given":"Philippe J","non-dropping-particle":"","parse-names":false,"suffix":""},{"dropping-particle":"","family":"White","given":"Nicholas J","non-dropping-particle":"","parse-names":false,"suffix":""},{"dropping-particle":"","family":"Stepniewska","given":"Kasia","non-dropping-particle":"","parse-names":false,"suffix":""}],"container-title":"Malaria Journal","id":"ITEM-1","issue":"1","issued":{"date-parts":[["2011","11","10"]]},"page":"339","title":"Standardizing the measurement of parasite clearance in falciparum malaria: the parasite clearance estimator","type":"article-journal","volume":"10"},"uris":["http://www.mendeley.com/documents/?uuid=f3464b61-52a2-3f9f-8cb5-b64a9413137f"]}],"mendeley":{"formattedCitation":"[27]","plainTextFormattedCitation":"[27]","previouslyFormattedCitation":"[27]"},"properties":{"noteIndex":0},"schema":"https://github.com/citation-style-language/schema/raw/master/csl-citation.json"}</w:instrText>
      </w:r>
      <w:r w:rsidR="002E24CD" w:rsidRPr="00361937">
        <w:rPr>
          <w:color w:val="000000"/>
        </w:rPr>
        <w:fldChar w:fldCharType="separate"/>
      </w:r>
      <w:r w:rsidR="00DB548D" w:rsidRPr="00361937">
        <w:rPr>
          <w:noProof/>
          <w:color w:val="000000"/>
        </w:rPr>
        <w:t>[27]</w:t>
      </w:r>
      <w:r w:rsidR="002E24CD" w:rsidRPr="00361937">
        <w:rPr>
          <w:color w:val="000000"/>
        </w:rPr>
        <w:fldChar w:fldCharType="end"/>
      </w:r>
    </w:p>
    <w:p w:rsidR="005F196B" w:rsidRPr="00361937" w:rsidRDefault="005F196B" w:rsidP="00A95E29">
      <w:pPr>
        <w:spacing w:line="480" w:lineRule="auto"/>
        <w:rPr>
          <w:color w:val="000000"/>
        </w:rPr>
      </w:pPr>
    </w:p>
    <w:p w:rsidR="005D6931" w:rsidRPr="00361937" w:rsidRDefault="00CF5A25" w:rsidP="00A95E29">
      <w:pPr>
        <w:spacing w:line="480" w:lineRule="auto"/>
      </w:pPr>
      <w:r w:rsidRPr="00361937">
        <w:rPr>
          <w:color w:val="000000"/>
        </w:rPr>
        <w:t>D</w:t>
      </w:r>
      <w:r w:rsidR="007D668E" w:rsidRPr="00361937">
        <w:rPr>
          <w:color w:val="000000"/>
        </w:rPr>
        <w:t xml:space="preserve">escriptive </w:t>
      </w:r>
      <w:r w:rsidRPr="00361937">
        <w:rPr>
          <w:color w:val="000000"/>
        </w:rPr>
        <w:t xml:space="preserve">statistics were computed for baseline variables </w:t>
      </w:r>
      <w:r w:rsidR="00053A84" w:rsidRPr="00361937">
        <w:rPr>
          <w:color w:val="000000"/>
        </w:rPr>
        <w:t xml:space="preserve">in the two ART groups. </w:t>
      </w:r>
      <w:r w:rsidR="00B76C8F" w:rsidRPr="00361937">
        <w:rPr>
          <w:color w:val="000000"/>
        </w:rPr>
        <w:t>However, a</w:t>
      </w:r>
      <w:r w:rsidR="001C14F9" w:rsidRPr="00361937">
        <w:rPr>
          <w:color w:val="000000"/>
        </w:rPr>
        <w:t xml:space="preserve">s this study was </w:t>
      </w:r>
      <w:r w:rsidR="0022630F" w:rsidRPr="00361937">
        <w:rPr>
          <w:color w:val="000000"/>
        </w:rPr>
        <w:t>designed to estimate and not</w:t>
      </w:r>
      <w:r w:rsidR="001C14F9" w:rsidRPr="00361937">
        <w:rPr>
          <w:color w:val="000000"/>
        </w:rPr>
        <w:t xml:space="preserve"> to compare efficacy and safety of DPQ between the two ART groups, no formal statistical comparisons of </w:t>
      </w:r>
      <w:r w:rsidR="00053A84" w:rsidRPr="00361937">
        <w:rPr>
          <w:color w:val="000000"/>
        </w:rPr>
        <w:t xml:space="preserve">baseline characteristics </w:t>
      </w:r>
      <w:r w:rsidR="001C14F9" w:rsidRPr="00361937">
        <w:rPr>
          <w:color w:val="000000"/>
        </w:rPr>
        <w:t xml:space="preserve">efficacy </w:t>
      </w:r>
      <w:r w:rsidR="00053A84" w:rsidRPr="00361937">
        <w:rPr>
          <w:color w:val="000000"/>
        </w:rPr>
        <w:t>or</w:t>
      </w:r>
      <w:r w:rsidR="001C14F9" w:rsidRPr="00361937">
        <w:rPr>
          <w:color w:val="000000"/>
        </w:rPr>
        <w:t xml:space="preserve"> safety </w:t>
      </w:r>
      <w:r w:rsidR="00BD69F5" w:rsidRPr="00361937">
        <w:rPr>
          <w:color w:val="000000"/>
        </w:rPr>
        <w:t xml:space="preserve">endpoints </w:t>
      </w:r>
      <w:r w:rsidR="001C14F9" w:rsidRPr="00361937">
        <w:rPr>
          <w:color w:val="000000"/>
        </w:rPr>
        <w:t>were made between the two ART groups.</w:t>
      </w:r>
      <w:r w:rsidR="003964E8" w:rsidRPr="00361937">
        <w:rPr>
          <w:color w:val="000000"/>
        </w:rPr>
        <w:t xml:space="preserve"> </w:t>
      </w:r>
      <w:r w:rsidR="00251B5D" w:rsidRPr="00361937">
        <w:rPr>
          <w:color w:val="000000"/>
        </w:rPr>
        <w:t xml:space="preserve">As part of a priori exploratory analysis, and where appropriate, </w:t>
      </w:r>
      <w:r w:rsidR="00251B5D" w:rsidRPr="00361937">
        <w:t>Wilcoxon rank-sum/Mann–Whitney U test was used to compare distributions of the day-7 piperaquine concentrations in those wh</w:t>
      </w:r>
      <w:r w:rsidR="00434D67" w:rsidRPr="00361937">
        <w:t>o</w:t>
      </w:r>
      <w:r w:rsidR="00251B5D" w:rsidRPr="00361937">
        <w:t xml:space="preserve"> attained or did not attain ACPR by day 42. </w:t>
      </w:r>
      <w:r w:rsidR="00BD3199" w:rsidRPr="00361937">
        <w:t>Piperaquine concentrations below the LLOQ were imputed to half the lower limit of quantification</w:t>
      </w:r>
      <w:r w:rsidR="000E69BC" w:rsidRPr="00361937">
        <w:t xml:space="preserve"> and included in the estimation of median piperaquine exposure if the imputed values were &lt;10% of the data. </w:t>
      </w:r>
      <w:r w:rsidR="00434D67" w:rsidRPr="00361937">
        <w:t xml:space="preserve">Additionally, </w:t>
      </w:r>
      <w:r w:rsidR="003964E8" w:rsidRPr="00361937">
        <w:t>Wilcoxon matched paired signed</w:t>
      </w:r>
      <w:r w:rsidR="00251B5D" w:rsidRPr="00361937">
        <w:t>-</w:t>
      </w:r>
      <w:r w:rsidR="003964E8" w:rsidRPr="00361937">
        <w:t>rank test was used to compare baseline and day 28 CD4 cell and haemoglobin values in each ART group.</w:t>
      </w:r>
    </w:p>
    <w:p w:rsidR="00CF5A25" w:rsidRPr="00361937" w:rsidRDefault="00CF5A25" w:rsidP="00A95E29">
      <w:pPr>
        <w:spacing w:line="480" w:lineRule="auto"/>
        <w:rPr>
          <w:b/>
        </w:rPr>
      </w:pPr>
    </w:p>
    <w:p w:rsidR="00AC2C0C" w:rsidRPr="00361937" w:rsidRDefault="00C145C7" w:rsidP="00A95E29">
      <w:pPr>
        <w:spacing w:line="480" w:lineRule="auto"/>
        <w:rPr>
          <w:b/>
        </w:rPr>
      </w:pPr>
      <w:r w:rsidRPr="00361937">
        <w:rPr>
          <w:b/>
        </w:rPr>
        <w:t>Results</w:t>
      </w:r>
    </w:p>
    <w:p w:rsidR="009827DE" w:rsidRPr="00361937" w:rsidRDefault="009827DE" w:rsidP="00A95E29">
      <w:pPr>
        <w:spacing w:line="480" w:lineRule="auto"/>
        <w:rPr>
          <w:b/>
        </w:rPr>
      </w:pPr>
    </w:p>
    <w:p w:rsidR="007878FA" w:rsidRPr="00361937" w:rsidRDefault="00D101AA" w:rsidP="00A95E29">
      <w:pPr>
        <w:spacing w:line="480" w:lineRule="auto"/>
        <w:outlineLvl w:val="0"/>
        <w:rPr>
          <w:b/>
        </w:rPr>
      </w:pPr>
      <w:r w:rsidRPr="00361937">
        <w:rPr>
          <w:b/>
        </w:rPr>
        <w:t xml:space="preserve">Study </w:t>
      </w:r>
      <w:r w:rsidR="007878FA" w:rsidRPr="00361937">
        <w:rPr>
          <w:b/>
        </w:rPr>
        <w:t>profile</w:t>
      </w:r>
    </w:p>
    <w:p w:rsidR="00D41E9D" w:rsidRPr="00361937" w:rsidRDefault="003E3BAF" w:rsidP="00A95E29">
      <w:pPr>
        <w:spacing w:line="480" w:lineRule="auto"/>
      </w:pPr>
      <w:r w:rsidRPr="00361937">
        <w:t xml:space="preserve">A total of </w:t>
      </w:r>
      <w:r w:rsidR="00B01A54" w:rsidRPr="00361937">
        <w:rPr>
          <w:color w:val="000000" w:themeColor="text1"/>
        </w:rPr>
        <w:t>1864</w:t>
      </w:r>
      <w:r w:rsidR="00B01A54" w:rsidRPr="00361937">
        <w:rPr>
          <w:color w:val="FF0000"/>
        </w:rPr>
        <w:t xml:space="preserve"> </w:t>
      </w:r>
      <w:r w:rsidRPr="00361937">
        <w:t xml:space="preserve">patients presenting at the health facilities with symptoms suggestive of malaria were screened for </w:t>
      </w:r>
      <w:r w:rsidR="00DB7954" w:rsidRPr="00361937">
        <w:t>trial eligibility</w:t>
      </w:r>
      <w:r w:rsidR="0075191C" w:rsidRPr="00361937">
        <w:t xml:space="preserve"> (Fig</w:t>
      </w:r>
      <w:r w:rsidR="0091287A" w:rsidRPr="00361937">
        <w:t>.</w:t>
      </w:r>
      <w:r w:rsidR="0075191C" w:rsidRPr="00361937">
        <w:t xml:space="preserve"> 1)</w:t>
      </w:r>
      <w:r w:rsidR="002458EA" w:rsidRPr="00361937">
        <w:t>. Two hundered and twenty-one</w:t>
      </w:r>
      <w:r w:rsidRPr="00361937">
        <w:t xml:space="preserve"> patients</w:t>
      </w:r>
      <w:r w:rsidRPr="00361937">
        <w:rPr>
          <w:color w:val="FF0000"/>
        </w:rPr>
        <w:t xml:space="preserve"> </w:t>
      </w:r>
      <w:r w:rsidR="00B01A54" w:rsidRPr="00361937">
        <w:t xml:space="preserve">with </w:t>
      </w:r>
      <w:r w:rsidRPr="00361937">
        <w:t xml:space="preserve">positive </w:t>
      </w:r>
      <w:r w:rsidR="0091287A" w:rsidRPr="00361937">
        <w:rPr>
          <w:i/>
        </w:rPr>
        <w:t xml:space="preserve">P. </w:t>
      </w:r>
      <w:r w:rsidR="00EF4477" w:rsidRPr="00361937">
        <w:rPr>
          <w:i/>
        </w:rPr>
        <w:t>falciparum</w:t>
      </w:r>
      <w:r w:rsidR="00B01A54" w:rsidRPr="00361937">
        <w:rPr>
          <w:i/>
        </w:rPr>
        <w:t xml:space="preserve"> </w:t>
      </w:r>
      <w:r w:rsidR="00B01A54" w:rsidRPr="00361937">
        <w:t xml:space="preserve">malaria </w:t>
      </w:r>
      <w:r w:rsidRPr="00361937">
        <w:t xml:space="preserve">blood </w:t>
      </w:r>
      <w:r w:rsidR="00AB1F0D" w:rsidRPr="00361937">
        <w:t>met</w:t>
      </w:r>
      <w:r w:rsidR="00B01A54" w:rsidRPr="00361937">
        <w:t xml:space="preserve"> the eligibility criteria</w:t>
      </w:r>
      <w:r w:rsidRPr="00361937">
        <w:t xml:space="preserve"> </w:t>
      </w:r>
      <w:r w:rsidR="00AB1F0D" w:rsidRPr="00361937">
        <w:t xml:space="preserve">and </w:t>
      </w:r>
      <w:r w:rsidR="00B01A54" w:rsidRPr="00361937">
        <w:t xml:space="preserve">were </w:t>
      </w:r>
      <w:r w:rsidR="00AC2C0C" w:rsidRPr="00361937">
        <w:t xml:space="preserve">enrolled in the </w:t>
      </w:r>
      <w:r w:rsidR="00AB1F0D" w:rsidRPr="00361937">
        <w:t>trial</w:t>
      </w:r>
      <w:r w:rsidR="0029514A" w:rsidRPr="00361937">
        <w:t xml:space="preserve">. </w:t>
      </w:r>
      <w:r w:rsidR="00672AFC" w:rsidRPr="00361937">
        <w:t>N</w:t>
      </w:r>
      <w:r w:rsidR="00AB1F0D" w:rsidRPr="00361937">
        <w:t xml:space="preserve">one </w:t>
      </w:r>
      <w:r w:rsidR="00672AFC" w:rsidRPr="00361937">
        <w:t xml:space="preserve">of the participants </w:t>
      </w:r>
      <w:r w:rsidR="0021151C" w:rsidRPr="00361937">
        <w:t>on</w:t>
      </w:r>
      <w:r w:rsidR="00084191" w:rsidRPr="00361937">
        <w:t xml:space="preserve"> nevirapine</w:t>
      </w:r>
      <w:r w:rsidR="00AB1F0D" w:rsidRPr="00361937">
        <w:t xml:space="preserve">-ART </w:t>
      </w:r>
      <w:r w:rsidR="00084191" w:rsidRPr="00361937">
        <w:t>and 5.6% (9/160) on efavirenz</w:t>
      </w:r>
      <w:r w:rsidR="00672AFC" w:rsidRPr="00361937">
        <w:t>-ART were lost-to-follow-up or withdrew consent</w:t>
      </w:r>
      <w:r w:rsidR="00AC2C0C" w:rsidRPr="00361937">
        <w:t>.</w:t>
      </w:r>
    </w:p>
    <w:p w:rsidR="007C03C6" w:rsidRPr="00361937" w:rsidRDefault="007C03C6" w:rsidP="00361937">
      <w:pPr>
        <w:spacing w:line="480" w:lineRule="auto"/>
        <w:rPr>
          <w:i/>
        </w:rPr>
      </w:pPr>
    </w:p>
    <w:p w:rsidR="003E3BAF" w:rsidRPr="00361937" w:rsidRDefault="007878FA" w:rsidP="00A95E29">
      <w:pPr>
        <w:spacing w:line="480" w:lineRule="auto"/>
        <w:outlineLvl w:val="0"/>
        <w:rPr>
          <w:b/>
        </w:rPr>
      </w:pPr>
      <w:r w:rsidRPr="00361937">
        <w:rPr>
          <w:b/>
        </w:rPr>
        <w:t>Baseline characteristics</w:t>
      </w:r>
    </w:p>
    <w:p w:rsidR="00B105EC" w:rsidRPr="00361937" w:rsidRDefault="006776AF" w:rsidP="00A95E29">
      <w:pPr>
        <w:spacing w:line="480" w:lineRule="auto"/>
      </w:pPr>
      <w:r w:rsidRPr="00361937">
        <w:t>T</w:t>
      </w:r>
      <w:r w:rsidR="00B01A54" w:rsidRPr="00361937">
        <w:t>he b</w:t>
      </w:r>
      <w:r w:rsidR="003E3BAF" w:rsidRPr="00361937">
        <w:t xml:space="preserve">aseline characteristics of </w:t>
      </w:r>
      <w:r w:rsidR="00B01A54" w:rsidRPr="00361937">
        <w:t>enrolled study participants</w:t>
      </w:r>
      <w:r w:rsidRPr="00361937">
        <w:t xml:space="preserve"> are summarized in Table 1</w:t>
      </w:r>
      <w:r w:rsidR="003E3BAF" w:rsidRPr="00361937">
        <w:t xml:space="preserve">. </w:t>
      </w:r>
      <w:r w:rsidR="00677F48" w:rsidRPr="00361937">
        <w:t>Mos</w:t>
      </w:r>
      <w:r w:rsidR="00F61930" w:rsidRPr="00361937">
        <w:t>t of the participants in the nevirapine</w:t>
      </w:r>
      <w:r w:rsidR="009D77A8" w:rsidRPr="00361937">
        <w:t>-ART</w:t>
      </w:r>
      <w:r w:rsidR="00677F48" w:rsidRPr="00361937">
        <w:t xml:space="preserve"> group</w:t>
      </w:r>
      <w:r w:rsidR="0021151C" w:rsidRPr="00361937">
        <w:t xml:space="preserve"> (83.6%, N=61)</w:t>
      </w:r>
      <w:r w:rsidR="00677F48" w:rsidRPr="00361937">
        <w:t xml:space="preserve"> were fr</w:t>
      </w:r>
      <w:r w:rsidR="00F61930" w:rsidRPr="00361937">
        <w:t>om Mozambique while those on efavirenz</w:t>
      </w:r>
      <w:r w:rsidR="00FD583E" w:rsidRPr="00361937">
        <w:t>-ART</w:t>
      </w:r>
      <w:r w:rsidR="00677F48" w:rsidRPr="00361937">
        <w:t xml:space="preserve"> were predominatly from Malawi</w:t>
      </w:r>
      <w:r w:rsidR="0021151C" w:rsidRPr="00361937">
        <w:t xml:space="preserve"> (75%, N=160)</w:t>
      </w:r>
      <w:r w:rsidR="00677F48" w:rsidRPr="00361937">
        <w:t xml:space="preserve">. </w:t>
      </w:r>
      <w:r w:rsidR="007F2621" w:rsidRPr="00361937">
        <w:t xml:space="preserve">Participants in </w:t>
      </w:r>
      <w:r w:rsidR="008B054C" w:rsidRPr="00361937">
        <w:t xml:space="preserve">the </w:t>
      </w:r>
      <w:r w:rsidR="00F61930" w:rsidRPr="00361937">
        <w:t>nevirapine</w:t>
      </w:r>
      <w:r w:rsidR="009D77A8" w:rsidRPr="00361937">
        <w:t>-ART</w:t>
      </w:r>
      <w:r w:rsidR="008B054C" w:rsidRPr="00361937">
        <w:t xml:space="preserve"> gr</w:t>
      </w:r>
      <w:r w:rsidR="007F2621" w:rsidRPr="00361937">
        <w:t>o</w:t>
      </w:r>
      <w:r w:rsidR="008B054C" w:rsidRPr="00361937">
        <w:t>u</w:t>
      </w:r>
      <w:r w:rsidR="007F2621" w:rsidRPr="00361937">
        <w:t>p were older and had been on ART for a lon</w:t>
      </w:r>
      <w:r w:rsidR="00F61930" w:rsidRPr="00361937">
        <w:t>ger period than those in the efavirenz</w:t>
      </w:r>
      <w:r w:rsidR="009D77A8" w:rsidRPr="00361937">
        <w:t>-ART</w:t>
      </w:r>
      <w:r w:rsidR="007F2621" w:rsidRPr="00361937">
        <w:t xml:space="preserve"> group. The </w:t>
      </w:r>
      <w:r w:rsidR="00ED10DC" w:rsidRPr="00361937">
        <w:t xml:space="preserve">geometric mean </w:t>
      </w:r>
      <w:r w:rsidR="003E3BAF" w:rsidRPr="00361937">
        <w:t>parasite density</w:t>
      </w:r>
      <w:r w:rsidR="00ED10DC" w:rsidRPr="00361937">
        <w:t xml:space="preserve"> </w:t>
      </w:r>
      <w:r w:rsidR="007F2621" w:rsidRPr="00361937">
        <w:t xml:space="preserve">and </w:t>
      </w:r>
      <w:r w:rsidR="00BF18CA" w:rsidRPr="00361937">
        <w:t xml:space="preserve">median </w:t>
      </w:r>
      <w:r w:rsidR="007F2621" w:rsidRPr="00361937">
        <w:t xml:space="preserve">CD4 cell count were </w:t>
      </w:r>
      <w:r w:rsidR="003E3BAF" w:rsidRPr="00361937">
        <w:t>higher i</w:t>
      </w:r>
      <w:r w:rsidR="00F61930" w:rsidRPr="00361937">
        <w:t>n the nevirapine</w:t>
      </w:r>
      <w:r w:rsidR="009D77A8" w:rsidRPr="00361937">
        <w:t>-ART</w:t>
      </w:r>
      <w:r w:rsidR="00D35C5B" w:rsidRPr="00361937">
        <w:t xml:space="preserve"> </w:t>
      </w:r>
      <w:r w:rsidR="009D77A8" w:rsidRPr="00361937">
        <w:t xml:space="preserve">group </w:t>
      </w:r>
      <w:r w:rsidR="00D35C5B" w:rsidRPr="00361937">
        <w:t xml:space="preserve">than </w:t>
      </w:r>
      <w:r w:rsidR="009D77A8" w:rsidRPr="00361937">
        <w:t xml:space="preserve">in </w:t>
      </w:r>
      <w:r w:rsidR="00D35C5B" w:rsidRPr="00361937">
        <w:t xml:space="preserve">the </w:t>
      </w:r>
      <w:r w:rsidR="00F61930" w:rsidRPr="00361937">
        <w:t>efavirenz</w:t>
      </w:r>
      <w:r w:rsidR="009D77A8" w:rsidRPr="00361937">
        <w:t>-ART</w:t>
      </w:r>
      <w:r w:rsidR="00D35C5B" w:rsidRPr="00361937">
        <w:t xml:space="preserve"> arm. </w:t>
      </w:r>
      <w:r w:rsidR="00B94D6F" w:rsidRPr="00361937">
        <w:t xml:space="preserve">A lower </w:t>
      </w:r>
      <w:r w:rsidR="002A5618" w:rsidRPr="00361937">
        <w:t xml:space="preserve">proportion </w:t>
      </w:r>
      <w:r w:rsidR="00DD3DBF" w:rsidRPr="00361937">
        <w:t>of participants on nevirapine-ART</w:t>
      </w:r>
      <w:r w:rsidR="00B94D6F" w:rsidRPr="00361937">
        <w:t xml:space="preserve"> were on cotrimoxazole prophylaxis compared with those </w:t>
      </w:r>
      <w:r w:rsidR="00DD3DBF" w:rsidRPr="00361937">
        <w:t>on efavirenz-ART</w:t>
      </w:r>
      <w:r w:rsidR="00B94D6F" w:rsidRPr="00361937">
        <w:t>.</w:t>
      </w:r>
      <w:r w:rsidR="00F61930" w:rsidRPr="00361937">
        <w:t xml:space="preserve"> </w:t>
      </w:r>
      <w:r w:rsidR="00BF18CA" w:rsidRPr="00361937">
        <w:t>T</w:t>
      </w:r>
      <w:r w:rsidR="003E3BAF" w:rsidRPr="00361937">
        <w:t>here were no major differences</w:t>
      </w:r>
      <w:r w:rsidR="00D35C5B" w:rsidRPr="00361937">
        <w:t xml:space="preserve"> between</w:t>
      </w:r>
      <w:r w:rsidR="003E3BAF" w:rsidRPr="00361937">
        <w:t xml:space="preserve"> </w:t>
      </w:r>
      <w:r w:rsidR="0029514A" w:rsidRPr="00361937">
        <w:t xml:space="preserve">the two groups </w:t>
      </w:r>
      <w:r w:rsidR="00D35C5B" w:rsidRPr="00361937">
        <w:t xml:space="preserve">in body mass index and hemoglobin concentrations. The median </w:t>
      </w:r>
      <w:r w:rsidR="00F61930" w:rsidRPr="00361937">
        <w:t>Fridericia</w:t>
      </w:r>
      <w:r w:rsidR="0091287A" w:rsidRPr="00361937">
        <w:t>-</w:t>
      </w:r>
      <w:r w:rsidR="00F61930" w:rsidRPr="00361937">
        <w:t>corrected QT (</w:t>
      </w:r>
      <w:r w:rsidR="00DB7954" w:rsidRPr="00361937">
        <w:t>QTc</w:t>
      </w:r>
      <w:r w:rsidR="00A3653D" w:rsidRPr="00361937">
        <w:t>F</w:t>
      </w:r>
      <w:r w:rsidR="00F61930" w:rsidRPr="00361937">
        <w:t>)</w:t>
      </w:r>
      <w:r w:rsidR="00DB7954" w:rsidRPr="00361937">
        <w:t xml:space="preserve"> interval</w:t>
      </w:r>
      <w:r w:rsidR="00D35C5B" w:rsidRPr="00361937">
        <w:t xml:space="preserve"> </w:t>
      </w:r>
      <w:r w:rsidR="009D1310" w:rsidRPr="00361937">
        <w:t xml:space="preserve">at recruitment </w:t>
      </w:r>
      <w:r w:rsidR="00D35C5B" w:rsidRPr="00361937">
        <w:t xml:space="preserve">was </w:t>
      </w:r>
      <w:r w:rsidR="00A3653D" w:rsidRPr="00361937">
        <w:t xml:space="preserve">longer </w:t>
      </w:r>
      <w:r w:rsidR="00F61930" w:rsidRPr="00361937">
        <w:t>in the nevirapine</w:t>
      </w:r>
      <w:r w:rsidR="009D77A8" w:rsidRPr="00361937">
        <w:t>-ART</w:t>
      </w:r>
      <w:r w:rsidR="00F61930" w:rsidRPr="00361937">
        <w:t xml:space="preserve"> group than the efavirenz</w:t>
      </w:r>
      <w:r w:rsidR="009D77A8" w:rsidRPr="00361937">
        <w:t>-ART</w:t>
      </w:r>
      <w:r w:rsidR="00D35C5B" w:rsidRPr="00361937">
        <w:t xml:space="preserve"> group.</w:t>
      </w:r>
    </w:p>
    <w:p w:rsidR="005D6931" w:rsidRPr="00361937" w:rsidRDefault="005D6931" w:rsidP="00A95E29">
      <w:pPr>
        <w:spacing w:line="480" w:lineRule="auto"/>
      </w:pPr>
    </w:p>
    <w:p w:rsidR="00143F3D" w:rsidRPr="00361937" w:rsidRDefault="00143F3D" w:rsidP="00A95E29">
      <w:pPr>
        <w:spacing w:line="480" w:lineRule="auto"/>
        <w:outlineLvl w:val="0"/>
        <w:rPr>
          <w:b/>
        </w:rPr>
      </w:pPr>
      <w:r w:rsidRPr="00361937">
        <w:rPr>
          <w:b/>
        </w:rPr>
        <w:t xml:space="preserve">Treatment </w:t>
      </w:r>
      <w:r w:rsidR="00D101AA" w:rsidRPr="00361937">
        <w:rPr>
          <w:b/>
        </w:rPr>
        <w:t>dosage and t</w:t>
      </w:r>
      <w:r w:rsidR="00241E7A" w:rsidRPr="00361937">
        <w:rPr>
          <w:b/>
        </w:rPr>
        <w:t>olerability</w:t>
      </w:r>
    </w:p>
    <w:p w:rsidR="00241E7A" w:rsidRPr="00361937" w:rsidRDefault="00044557" w:rsidP="00A95E29">
      <w:pPr>
        <w:spacing w:line="480" w:lineRule="auto"/>
        <w:rPr>
          <w:bCs/>
        </w:rPr>
      </w:pPr>
      <w:r w:rsidRPr="00361937">
        <w:rPr>
          <w:color w:val="000000" w:themeColor="text1"/>
        </w:rPr>
        <w:t>T</w:t>
      </w:r>
      <w:r w:rsidR="00241E7A" w:rsidRPr="00361937">
        <w:rPr>
          <w:color w:val="000000" w:themeColor="text1"/>
        </w:rPr>
        <w:t>he total median (</w:t>
      </w:r>
      <w:r w:rsidR="009827DE" w:rsidRPr="00361937">
        <w:rPr>
          <w:color w:val="000000" w:themeColor="text1"/>
        </w:rPr>
        <w:t>range</w:t>
      </w:r>
      <w:r w:rsidR="00241E7A" w:rsidRPr="00361937">
        <w:rPr>
          <w:color w:val="000000" w:themeColor="text1"/>
        </w:rPr>
        <w:t xml:space="preserve">) dosages of </w:t>
      </w:r>
      <w:r w:rsidR="0035781C" w:rsidRPr="00361937">
        <w:rPr>
          <w:color w:val="000000" w:themeColor="text1"/>
        </w:rPr>
        <w:t>dihydroartemisini</w:t>
      </w:r>
      <w:r w:rsidR="005D7CF6" w:rsidRPr="00361937">
        <w:rPr>
          <w:color w:val="000000" w:themeColor="text1"/>
        </w:rPr>
        <w:t>n</w:t>
      </w:r>
      <w:r w:rsidR="00241E7A" w:rsidRPr="00361937">
        <w:rPr>
          <w:color w:val="000000" w:themeColor="text1"/>
        </w:rPr>
        <w:t xml:space="preserve"> and </w:t>
      </w:r>
      <w:r w:rsidR="0035781C" w:rsidRPr="00361937">
        <w:rPr>
          <w:color w:val="000000" w:themeColor="text1"/>
        </w:rPr>
        <w:t>piperaquine</w:t>
      </w:r>
      <w:r w:rsidR="00241E7A" w:rsidRPr="00361937">
        <w:rPr>
          <w:color w:val="000000" w:themeColor="text1"/>
        </w:rPr>
        <w:t xml:space="preserve"> administered to participants were </w:t>
      </w:r>
      <w:r w:rsidR="00241E7A" w:rsidRPr="00361937">
        <w:rPr>
          <w:bCs/>
        </w:rPr>
        <w:t xml:space="preserve">7.0 mg/kg (5.1-9.9) and 56.3 mg/kg (40.9-79.1), </w:t>
      </w:r>
      <w:r w:rsidR="0035781C" w:rsidRPr="00361937">
        <w:rPr>
          <w:bCs/>
        </w:rPr>
        <w:t>respectively in the efavirenz</w:t>
      </w:r>
      <w:r w:rsidR="009B2E6F" w:rsidRPr="00361937">
        <w:rPr>
          <w:bCs/>
        </w:rPr>
        <w:t>-ART</w:t>
      </w:r>
      <w:r w:rsidR="00241E7A" w:rsidRPr="00361937">
        <w:rPr>
          <w:bCs/>
        </w:rPr>
        <w:t xml:space="preserve"> group and 7.0 mg/kg (5.6-8.6) and  55.7 mg/kg (45.</w:t>
      </w:r>
      <w:r w:rsidR="0035781C" w:rsidRPr="00361937">
        <w:rPr>
          <w:bCs/>
        </w:rPr>
        <w:t>0-68.6), respectively in the nevirapine</w:t>
      </w:r>
      <w:r w:rsidR="009B2E6F" w:rsidRPr="00361937">
        <w:rPr>
          <w:bCs/>
        </w:rPr>
        <w:t>-ART</w:t>
      </w:r>
      <w:r w:rsidR="00241E7A" w:rsidRPr="00361937">
        <w:rPr>
          <w:bCs/>
        </w:rPr>
        <w:t xml:space="preserve"> group. The dosages were well tolerated</w:t>
      </w:r>
      <w:r w:rsidR="0035781C" w:rsidRPr="00361937">
        <w:rPr>
          <w:bCs/>
        </w:rPr>
        <w:t>: 3 participants in the efavirenz</w:t>
      </w:r>
      <w:r w:rsidR="009B2E6F" w:rsidRPr="00361937">
        <w:rPr>
          <w:bCs/>
        </w:rPr>
        <w:t>-ART</w:t>
      </w:r>
      <w:r w:rsidR="00BE0C8B" w:rsidRPr="00361937">
        <w:rPr>
          <w:bCs/>
        </w:rPr>
        <w:t xml:space="preserve"> </w:t>
      </w:r>
      <w:r w:rsidR="00E45399" w:rsidRPr="00361937">
        <w:rPr>
          <w:bCs/>
        </w:rPr>
        <w:t xml:space="preserve">group </w:t>
      </w:r>
      <w:r w:rsidR="00BE0C8B" w:rsidRPr="00361937">
        <w:rPr>
          <w:bCs/>
        </w:rPr>
        <w:t xml:space="preserve">and </w:t>
      </w:r>
      <w:r w:rsidR="00E45399" w:rsidRPr="00361937">
        <w:rPr>
          <w:bCs/>
        </w:rPr>
        <w:t xml:space="preserve">none in the </w:t>
      </w:r>
      <w:r w:rsidR="0035781C" w:rsidRPr="00361937">
        <w:rPr>
          <w:bCs/>
        </w:rPr>
        <w:t>nevirapine</w:t>
      </w:r>
      <w:r w:rsidR="009B2E6F" w:rsidRPr="00361937">
        <w:rPr>
          <w:bCs/>
        </w:rPr>
        <w:t>-ART</w:t>
      </w:r>
      <w:r w:rsidR="00BE0C8B" w:rsidRPr="00361937">
        <w:rPr>
          <w:bCs/>
        </w:rPr>
        <w:t xml:space="preserve"> group vomited</w:t>
      </w:r>
      <w:r w:rsidR="00E45399" w:rsidRPr="00361937">
        <w:rPr>
          <w:bCs/>
        </w:rPr>
        <w:t xml:space="preserve"> following intake of DPQ</w:t>
      </w:r>
      <w:r w:rsidR="00BE0C8B" w:rsidRPr="00361937">
        <w:rPr>
          <w:bCs/>
        </w:rPr>
        <w:t>.</w:t>
      </w:r>
      <w:r w:rsidR="00F230F7" w:rsidRPr="00361937">
        <w:rPr>
          <w:bCs/>
        </w:rPr>
        <w:t xml:space="preserve"> </w:t>
      </w:r>
      <w:r w:rsidR="006A3765" w:rsidRPr="00361937">
        <w:rPr>
          <w:bCs/>
        </w:rPr>
        <w:t>P</w:t>
      </w:r>
      <w:r w:rsidR="002C2F0F" w:rsidRPr="00361937">
        <w:rPr>
          <w:bCs/>
        </w:rPr>
        <w:t xml:space="preserve">articipants </w:t>
      </w:r>
      <w:r w:rsidR="006A3765" w:rsidRPr="00361937">
        <w:rPr>
          <w:bCs/>
        </w:rPr>
        <w:t>who</w:t>
      </w:r>
      <w:r w:rsidR="002C2F0F" w:rsidRPr="00361937">
        <w:rPr>
          <w:bCs/>
        </w:rPr>
        <w:t xml:space="preserve"> vomit</w:t>
      </w:r>
      <w:r w:rsidR="006A3765" w:rsidRPr="00361937">
        <w:rPr>
          <w:bCs/>
        </w:rPr>
        <w:t>ed were re-dosed and none</w:t>
      </w:r>
      <w:r w:rsidR="002C2F0F" w:rsidRPr="00361937">
        <w:rPr>
          <w:bCs/>
        </w:rPr>
        <w:t xml:space="preserve"> </w:t>
      </w:r>
      <w:r w:rsidR="006A3765" w:rsidRPr="00361937">
        <w:rPr>
          <w:bCs/>
        </w:rPr>
        <w:t>was</w:t>
      </w:r>
      <w:r w:rsidR="00AB268C" w:rsidRPr="00361937">
        <w:rPr>
          <w:bCs/>
        </w:rPr>
        <w:t xml:space="preserve"> withdraw</w:t>
      </w:r>
      <w:r w:rsidR="00664A55" w:rsidRPr="00361937">
        <w:rPr>
          <w:bCs/>
        </w:rPr>
        <w:t>n</w:t>
      </w:r>
      <w:r w:rsidR="00AB268C" w:rsidRPr="00361937">
        <w:rPr>
          <w:bCs/>
        </w:rPr>
        <w:t xml:space="preserve"> from the study</w:t>
      </w:r>
      <w:r w:rsidR="006A3765" w:rsidRPr="00361937">
        <w:rPr>
          <w:bCs/>
        </w:rPr>
        <w:t xml:space="preserve"> due to persistent vomiting</w:t>
      </w:r>
      <w:r w:rsidR="00AB268C" w:rsidRPr="00361937">
        <w:rPr>
          <w:bCs/>
        </w:rPr>
        <w:t>.</w:t>
      </w:r>
      <w:r w:rsidR="00981401" w:rsidRPr="00361937">
        <w:rPr>
          <w:bCs/>
        </w:rPr>
        <w:t xml:space="preserve"> </w:t>
      </w:r>
    </w:p>
    <w:p w:rsidR="00BC2ACB" w:rsidRPr="00361937" w:rsidRDefault="00BC2ACB" w:rsidP="00A95E29">
      <w:pPr>
        <w:spacing w:line="480" w:lineRule="auto"/>
        <w:rPr>
          <w:bCs/>
        </w:rPr>
      </w:pPr>
    </w:p>
    <w:p w:rsidR="00D41E9D" w:rsidRPr="00361937" w:rsidRDefault="00D41E9D" w:rsidP="00A95E29">
      <w:pPr>
        <w:spacing w:line="480" w:lineRule="auto"/>
        <w:rPr>
          <w:bCs/>
        </w:rPr>
      </w:pPr>
    </w:p>
    <w:p w:rsidR="00241E7A" w:rsidRPr="00361937" w:rsidRDefault="00241E7A" w:rsidP="00A95E29">
      <w:pPr>
        <w:spacing w:line="480" w:lineRule="auto"/>
        <w:outlineLvl w:val="0"/>
        <w:rPr>
          <w:b/>
        </w:rPr>
      </w:pPr>
      <w:r w:rsidRPr="00361937">
        <w:rPr>
          <w:b/>
        </w:rPr>
        <w:lastRenderedPageBreak/>
        <w:t xml:space="preserve">Treatment </w:t>
      </w:r>
      <w:r w:rsidR="00FD22CE" w:rsidRPr="00361937">
        <w:rPr>
          <w:b/>
        </w:rPr>
        <w:t>e</w:t>
      </w:r>
      <w:r w:rsidRPr="00361937">
        <w:rPr>
          <w:b/>
        </w:rPr>
        <w:t>fficacy</w:t>
      </w:r>
    </w:p>
    <w:p w:rsidR="00754CC7" w:rsidRPr="00361937" w:rsidRDefault="00301E2B" w:rsidP="00A95E29">
      <w:pPr>
        <w:spacing w:line="480" w:lineRule="auto"/>
        <w:rPr>
          <w:color w:val="000000" w:themeColor="text1"/>
        </w:rPr>
      </w:pPr>
      <w:r w:rsidRPr="00361937">
        <w:rPr>
          <w:color w:val="000000" w:themeColor="text1"/>
        </w:rPr>
        <w:t xml:space="preserve">As shown in Table 2, </w:t>
      </w:r>
      <w:r w:rsidR="00A11698" w:rsidRPr="00361937">
        <w:rPr>
          <w:color w:val="000000" w:themeColor="text1"/>
        </w:rPr>
        <w:t xml:space="preserve">only </w:t>
      </w:r>
      <w:r w:rsidR="00417180" w:rsidRPr="00361937">
        <w:rPr>
          <w:color w:val="000000" w:themeColor="text1"/>
        </w:rPr>
        <w:t xml:space="preserve">one </w:t>
      </w:r>
      <w:r w:rsidR="00A11698" w:rsidRPr="00361937">
        <w:rPr>
          <w:color w:val="000000" w:themeColor="text1"/>
        </w:rPr>
        <w:t xml:space="preserve">participant </w:t>
      </w:r>
      <w:r w:rsidR="0035781C" w:rsidRPr="00361937">
        <w:rPr>
          <w:color w:val="000000" w:themeColor="text1"/>
        </w:rPr>
        <w:t>in the efavirenz</w:t>
      </w:r>
      <w:r w:rsidR="00A11698" w:rsidRPr="00361937">
        <w:rPr>
          <w:color w:val="000000" w:themeColor="text1"/>
        </w:rPr>
        <w:t>-ART group, with baseline CD4 count of 26 cells/</w:t>
      </w:r>
      <w:r w:rsidR="00A11698" w:rsidRPr="00361937">
        <w:rPr>
          <w:color w:val="000000" w:themeColor="text1"/>
        </w:rPr>
        <w:sym w:font="Symbol" w:char="F06D"/>
      </w:r>
      <w:r w:rsidR="00A11698" w:rsidRPr="00361937">
        <w:rPr>
          <w:color w:val="000000" w:themeColor="text1"/>
        </w:rPr>
        <w:t>L,</w:t>
      </w:r>
      <w:r w:rsidRPr="00361937">
        <w:rPr>
          <w:color w:val="000000" w:themeColor="text1"/>
        </w:rPr>
        <w:t xml:space="preserve"> </w:t>
      </w:r>
      <w:r w:rsidR="00A11698" w:rsidRPr="00361937">
        <w:rPr>
          <w:color w:val="000000" w:themeColor="text1"/>
        </w:rPr>
        <w:t xml:space="preserve">had </w:t>
      </w:r>
      <w:r w:rsidR="00F006AC" w:rsidRPr="00361937">
        <w:rPr>
          <w:color w:val="000000" w:themeColor="text1"/>
        </w:rPr>
        <w:t>ETF</w:t>
      </w:r>
      <w:r w:rsidR="00A11698" w:rsidRPr="00361937">
        <w:rPr>
          <w:color w:val="000000" w:themeColor="text1"/>
        </w:rPr>
        <w:t xml:space="preserve"> </w:t>
      </w:r>
      <w:r w:rsidR="00F01247" w:rsidRPr="00361937">
        <w:rPr>
          <w:color w:val="000000" w:themeColor="text1"/>
        </w:rPr>
        <w:t xml:space="preserve">on </w:t>
      </w:r>
      <w:r w:rsidR="004A41AC" w:rsidRPr="00361937">
        <w:rPr>
          <w:color w:val="000000" w:themeColor="text1"/>
        </w:rPr>
        <w:t xml:space="preserve">treatment </w:t>
      </w:r>
      <w:r w:rsidR="00F01247" w:rsidRPr="00361937">
        <w:rPr>
          <w:color w:val="000000" w:themeColor="text1"/>
        </w:rPr>
        <w:t>day 2</w:t>
      </w:r>
      <w:r w:rsidRPr="00361937">
        <w:rPr>
          <w:color w:val="000000" w:themeColor="text1"/>
        </w:rPr>
        <w:t xml:space="preserve">. </w:t>
      </w:r>
      <w:r w:rsidR="00A11698" w:rsidRPr="00361937">
        <w:rPr>
          <w:color w:val="000000" w:themeColor="text1"/>
        </w:rPr>
        <w:t xml:space="preserve">Also, seven </w:t>
      </w:r>
      <w:r w:rsidR="00441D75" w:rsidRPr="00361937">
        <w:rPr>
          <w:color w:val="000000" w:themeColor="text1"/>
        </w:rPr>
        <w:t xml:space="preserve">cases </w:t>
      </w:r>
      <w:r w:rsidR="0035781C" w:rsidRPr="00361937">
        <w:rPr>
          <w:color w:val="000000" w:themeColor="text1"/>
        </w:rPr>
        <w:t>in the efavirenz</w:t>
      </w:r>
      <w:r w:rsidR="009B2E6F" w:rsidRPr="00361937">
        <w:rPr>
          <w:color w:val="000000" w:themeColor="text1"/>
        </w:rPr>
        <w:t>-ART</w:t>
      </w:r>
      <w:r w:rsidR="00A11698" w:rsidRPr="00361937">
        <w:rPr>
          <w:color w:val="000000" w:themeColor="text1"/>
        </w:rPr>
        <w:t xml:space="preserve"> group had </w:t>
      </w:r>
      <w:r w:rsidR="00F230F7" w:rsidRPr="00361937">
        <w:rPr>
          <w:color w:val="000000" w:themeColor="text1"/>
        </w:rPr>
        <w:t>LPF.</w:t>
      </w:r>
      <w:r w:rsidR="00D81D9E" w:rsidRPr="00361937">
        <w:rPr>
          <w:color w:val="000000" w:themeColor="text1"/>
        </w:rPr>
        <w:t xml:space="preserve"> </w:t>
      </w:r>
      <w:r w:rsidR="00F230F7" w:rsidRPr="00361937">
        <w:rPr>
          <w:color w:val="000000" w:themeColor="text1"/>
        </w:rPr>
        <w:t xml:space="preserve">Parasite genotyping results were available in 6 of the 7 LPF cases which </w:t>
      </w:r>
      <w:r w:rsidRPr="00361937">
        <w:rPr>
          <w:color w:val="000000" w:themeColor="text1"/>
        </w:rPr>
        <w:t xml:space="preserve">were </w:t>
      </w:r>
      <w:r w:rsidR="00947AEC" w:rsidRPr="00361937">
        <w:rPr>
          <w:color w:val="000000" w:themeColor="text1"/>
        </w:rPr>
        <w:t xml:space="preserve">all </w:t>
      </w:r>
      <w:r w:rsidRPr="00361937">
        <w:rPr>
          <w:color w:val="000000" w:themeColor="text1"/>
        </w:rPr>
        <w:t>classified as re</w:t>
      </w:r>
      <w:r w:rsidR="00BF2311" w:rsidRPr="00361937">
        <w:rPr>
          <w:color w:val="000000" w:themeColor="text1"/>
        </w:rPr>
        <w:t>-</w:t>
      </w:r>
      <w:r w:rsidRPr="00361937">
        <w:rPr>
          <w:color w:val="000000" w:themeColor="text1"/>
        </w:rPr>
        <w:t>infections</w:t>
      </w:r>
      <w:r w:rsidR="00D81D9E" w:rsidRPr="00361937">
        <w:rPr>
          <w:color w:val="000000" w:themeColor="text1"/>
        </w:rPr>
        <w:t>.</w:t>
      </w:r>
      <w:r w:rsidR="00B16105" w:rsidRPr="00361937">
        <w:rPr>
          <w:color w:val="000000" w:themeColor="text1"/>
        </w:rPr>
        <w:t xml:space="preserve"> </w:t>
      </w:r>
      <w:r w:rsidR="00F006AC" w:rsidRPr="00361937">
        <w:rPr>
          <w:color w:val="000000" w:themeColor="text1"/>
        </w:rPr>
        <w:t>No treatm</w:t>
      </w:r>
      <w:r w:rsidR="0035781C" w:rsidRPr="00361937">
        <w:rPr>
          <w:color w:val="000000" w:themeColor="text1"/>
        </w:rPr>
        <w:t>ent failures occurred in the nevirapine</w:t>
      </w:r>
      <w:r w:rsidR="00F006AC" w:rsidRPr="00361937">
        <w:rPr>
          <w:color w:val="000000" w:themeColor="text1"/>
        </w:rPr>
        <w:t xml:space="preserve">-ART group. </w:t>
      </w:r>
    </w:p>
    <w:p w:rsidR="00812203" w:rsidRPr="00361937" w:rsidRDefault="00812203" w:rsidP="00A95E29">
      <w:pPr>
        <w:spacing w:line="480" w:lineRule="auto"/>
        <w:rPr>
          <w:color w:val="000000" w:themeColor="text1"/>
        </w:rPr>
      </w:pPr>
    </w:p>
    <w:p w:rsidR="00DC3992" w:rsidRPr="00361937" w:rsidRDefault="006075B2" w:rsidP="00A95E29">
      <w:pPr>
        <w:spacing w:line="480" w:lineRule="auto"/>
      </w:pPr>
      <w:r w:rsidRPr="00361937">
        <w:t>In</w:t>
      </w:r>
      <w:r w:rsidR="00D357AC" w:rsidRPr="00361937">
        <w:t xml:space="preserve"> the </w:t>
      </w:r>
      <w:r w:rsidR="00C469E9" w:rsidRPr="00361937">
        <w:t>ITT</w:t>
      </w:r>
      <w:r w:rsidR="00D357AC" w:rsidRPr="00361937">
        <w:t xml:space="preserve"> analyses, the PCR</w:t>
      </w:r>
      <w:r w:rsidR="00E95231" w:rsidRPr="00361937">
        <w:t>-</w:t>
      </w:r>
      <w:r w:rsidR="001F505E" w:rsidRPr="00361937">
        <w:t>corrected</w:t>
      </w:r>
      <w:r w:rsidR="00D357AC" w:rsidRPr="00361937">
        <w:t xml:space="preserve"> </w:t>
      </w:r>
      <w:r w:rsidR="0035781C" w:rsidRPr="00361937">
        <w:t xml:space="preserve">day </w:t>
      </w:r>
      <w:r w:rsidR="00E95231" w:rsidRPr="00361937">
        <w:t xml:space="preserve">42 </w:t>
      </w:r>
      <w:r w:rsidR="00D357AC" w:rsidRPr="00361937">
        <w:t>ACPR</w:t>
      </w:r>
      <w:r w:rsidR="005B621F" w:rsidRPr="00361937">
        <w:t xml:space="preserve"> </w:t>
      </w:r>
      <w:r w:rsidR="00AA6B2F" w:rsidRPr="00361937">
        <w:t>was 99.4%</w:t>
      </w:r>
      <w:r w:rsidR="005B621F" w:rsidRPr="00361937">
        <w:t xml:space="preserve"> (</w:t>
      </w:r>
      <w:r w:rsidR="00AA6B2F" w:rsidRPr="00361937">
        <w:t>95%</w:t>
      </w:r>
      <w:r w:rsidR="00F30875" w:rsidRPr="00361937">
        <w:t xml:space="preserve"> </w:t>
      </w:r>
      <w:r w:rsidR="00AA6B2F" w:rsidRPr="00361937">
        <w:t>Confidence Interval [CI]</w:t>
      </w:r>
      <w:r w:rsidR="00F30875" w:rsidRPr="00361937">
        <w:t>:</w:t>
      </w:r>
      <w:r w:rsidR="00AA6B2F" w:rsidRPr="00361937">
        <w:t xml:space="preserve"> 95.6%</w:t>
      </w:r>
      <w:r w:rsidR="00F30875" w:rsidRPr="00361937">
        <w:t>-</w:t>
      </w:r>
      <w:r w:rsidR="0035781C" w:rsidRPr="00361937">
        <w:t>99.9%) in the efavirenz</w:t>
      </w:r>
      <w:r w:rsidR="009B2E6F" w:rsidRPr="00361937">
        <w:t>-ART</w:t>
      </w:r>
      <w:r w:rsidR="00AA6B2F" w:rsidRPr="00361937">
        <w:t xml:space="preserve"> </w:t>
      </w:r>
      <w:r w:rsidR="004C669C" w:rsidRPr="00361937">
        <w:t xml:space="preserve">group </w:t>
      </w:r>
      <w:r w:rsidR="00AA6B2F" w:rsidRPr="00361937">
        <w:t>and 100</w:t>
      </w:r>
      <w:r w:rsidR="0035781C" w:rsidRPr="00361937">
        <w:t>% in the nevirapine</w:t>
      </w:r>
      <w:r w:rsidR="009B2E6F" w:rsidRPr="00361937">
        <w:t>-ART</w:t>
      </w:r>
      <w:r w:rsidR="005B621F" w:rsidRPr="00361937">
        <w:t xml:space="preserve"> </w:t>
      </w:r>
      <w:r w:rsidR="004C669C" w:rsidRPr="00361937">
        <w:t xml:space="preserve">group  </w:t>
      </w:r>
      <w:r w:rsidR="00812203" w:rsidRPr="00361937">
        <w:t>(see Additional file 1</w:t>
      </w:r>
      <w:r w:rsidR="005B621F" w:rsidRPr="00361937">
        <w:t>).</w:t>
      </w:r>
      <w:r w:rsidR="00DC3992" w:rsidRPr="00361937">
        <w:t xml:space="preserve"> The day 42 </w:t>
      </w:r>
      <w:r w:rsidR="008E1439" w:rsidRPr="00361937">
        <w:t>PCR-</w:t>
      </w:r>
      <w:r w:rsidR="00997B12" w:rsidRPr="00361937">
        <w:t>un</w:t>
      </w:r>
      <w:r w:rsidR="008E1439" w:rsidRPr="00361937">
        <w:t xml:space="preserve">corrected </w:t>
      </w:r>
      <w:r w:rsidR="00DC3992" w:rsidRPr="00361937">
        <w:t>ACPR was 95.</w:t>
      </w:r>
      <w:r w:rsidR="008576FF" w:rsidRPr="00361937">
        <w:t>6</w:t>
      </w:r>
      <w:r w:rsidR="00DC3992" w:rsidRPr="00361937">
        <w:t>% (95% CI: 90.3%- 97.5%) in the efavirenz-ART group and 100%  in the nevirapine-ART group (see Additional file 2)</w:t>
      </w:r>
    </w:p>
    <w:p w:rsidR="00DC3992" w:rsidRPr="00361937" w:rsidRDefault="00DC3992" w:rsidP="00A95E29">
      <w:pPr>
        <w:spacing w:line="480" w:lineRule="auto"/>
      </w:pPr>
    </w:p>
    <w:p w:rsidR="00DC3992" w:rsidRPr="00361937" w:rsidRDefault="005B621F" w:rsidP="00A95E29">
      <w:pPr>
        <w:spacing w:line="480" w:lineRule="auto"/>
      </w:pPr>
      <w:r w:rsidRPr="00361937">
        <w:t xml:space="preserve">In the </w:t>
      </w:r>
      <w:r w:rsidR="00C469E9" w:rsidRPr="00361937">
        <w:t>PP</w:t>
      </w:r>
      <w:r w:rsidRPr="00361937">
        <w:t xml:space="preserve"> analyses</w:t>
      </w:r>
      <w:r w:rsidR="00F54FCF" w:rsidRPr="00361937">
        <w:t>,</w:t>
      </w:r>
      <w:r w:rsidR="00143F3D" w:rsidRPr="00361937">
        <w:t xml:space="preserve"> </w:t>
      </w:r>
      <w:r w:rsidRPr="00361937">
        <w:t xml:space="preserve">the </w:t>
      </w:r>
      <w:r w:rsidR="00D75ADA" w:rsidRPr="00361937">
        <w:t xml:space="preserve">day </w:t>
      </w:r>
      <w:r w:rsidR="00E95231" w:rsidRPr="00361937">
        <w:t xml:space="preserve">42 </w:t>
      </w:r>
      <w:r w:rsidR="008E1439" w:rsidRPr="00361937">
        <w:t xml:space="preserve">PCR-corrected </w:t>
      </w:r>
      <w:r w:rsidR="00275C7D" w:rsidRPr="00361937">
        <w:t>ACPR was 99.3%</w:t>
      </w:r>
      <w:r w:rsidRPr="00361937">
        <w:t xml:space="preserve"> (</w:t>
      </w:r>
      <w:r w:rsidR="00275C7D" w:rsidRPr="00361937">
        <w:t>95%</w:t>
      </w:r>
      <w:r w:rsidR="00495ABC" w:rsidRPr="00361937">
        <w:t xml:space="preserve"> </w:t>
      </w:r>
      <w:r w:rsidR="00275C7D" w:rsidRPr="00361937">
        <w:t>CI</w:t>
      </w:r>
      <w:r w:rsidR="00F30875" w:rsidRPr="00361937">
        <w:t>:</w:t>
      </w:r>
      <w:r w:rsidR="00275C7D" w:rsidRPr="00361937">
        <w:t xml:space="preserve"> 95.4</w:t>
      </w:r>
      <w:r w:rsidRPr="00361937">
        <w:t>%</w:t>
      </w:r>
      <w:r w:rsidR="00F30875" w:rsidRPr="00361937">
        <w:t>-</w:t>
      </w:r>
      <w:r w:rsidR="0035781C" w:rsidRPr="00361937">
        <w:t>99.9%) in the efavirenz</w:t>
      </w:r>
      <w:r w:rsidR="00664A55" w:rsidRPr="00361937">
        <w:t>-ART</w:t>
      </w:r>
      <w:r w:rsidR="00275C7D" w:rsidRPr="00361937">
        <w:t xml:space="preserve"> </w:t>
      </w:r>
      <w:r w:rsidR="004C669C" w:rsidRPr="00361937">
        <w:t xml:space="preserve">group </w:t>
      </w:r>
      <w:r w:rsidR="00275C7D" w:rsidRPr="00361937">
        <w:t xml:space="preserve">and 100% </w:t>
      </w:r>
      <w:r w:rsidR="0035781C" w:rsidRPr="00361937">
        <w:t xml:space="preserve"> in the nevirapine</w:t>
      </w:r>
      <w:r w:rsidR="00664A55" w:rsidRPr="00361937">
        <w:t>-ART</w:t>
      </w:r>
      <w:r w:rsidRPr="00361937">
        <w:t xml:space="preserve"> </w:t>
      </w:r>
      <w:r w:rsidR="004C669C" w:rsidRPr="00361937">
        <w:t>group</w:t>
      </w:r>
      <w:r w:rsidRPr="00361937">
        <w:t>.</w:t>
      </w:r>
      <w:r w:rsidR="00DC3992" w:rsidRPr="00361937">
        <w:t xml:space="preserve"> T</w:t>
      </w:r>
      <w:r w:rsidR="00CD579F" w:rsidRPr="00361937">
        <w:t xml:space="preserve">he </w:t>
      </w:r>
      <w:r w:rsidR="00DD3DBF" w:rsidRPr="00361937">
        <w:t xml:space="preserve">day </w:t>
      </w:r>
      <w:r w:rsidR="00E95231" w:rsidRPr="00361937">
        <w:t xml:space="preserve">42 </w:t>
      </w:r>
      <w:r w:rsidR="008E1439" w:rsidRPr="00361937">
        <w:t xml:space="preserve">PCR-uncorrected </w:t>
      </w:r>
      <w:r w:rsidR="009C5AE1" w:rsidRPr="00361937">
        <w:t>ACPR was 94.7%</w:t>
      </w:r>
      <w:r w:rsidR="00CD579F" w:rsidRPr="00361937">
        <w:t xml:space="preserve"> (</w:t>
      </w:r>
      <w:r w:rsidR="009C5AE1" w:rsidRPr="00361937">
        <w:t>95%</w:t>
      </w:r>
      <w:r w:rsidR="00495ABC" w:rsidRPr="00361937">
        <w:t xml:space="preserve"> </w:t>
      </w:r>
      <w:r w:rsidR="009C5AE1" w:rsidRPr="00361937">
        <w:t>CI</w:t>
      </w:r>
      <w:r w:rsidR="00F30875" w:rsidRPr="00361937">
        <w:t>:</w:t>
      </w:r>
      <w:r w:rsidR="009C5AE1" w:rsidRPr="00361937">
        <w:t xml:space="preserve"> 89.7%</w:t>
      </w:r>
      <w:r w:rsidR="00F30875" w:rsidRPr="00361937">
        <w:t>-</w:t>
      </w:r>
      <w:r w:rsidR="00DD3DBF" w:rsidRPr="00361937">
        <w:t>97.3%) in the efavirenz</w:t>
      </w:r>
      <w:r w:rsidR="009B2E6F" w:rsidRPr="00361937">
        <w:t>-ART</w:t>
      </w:r>
      <w:r w:rsidR="009C5AE1" w:rsidRPr="00361937">
        <w:t xml:space="preserve"> </w:t>
      </w:r>
      <w:r w:rsidR="000C60E6" w:rsidRPr="00361937">
        <w:t xml:space="preserve">group </w:t>
      </w:r>
      <w:r w:rsidR="009C5AE1" w:rsidRPr="00361937">
        <w:t>and 100</w:t>
      </w:r>
      <w:r w:rsidR="00DD3DBF" w:rsidRPr="00361937">
        <w:t>% in the nevirapine</w:t>
      </w:r>
      <w:r w:rsidR="009B2E6F" w:rsidRPr="00361937">
        <w:t>-ART</w:t>
      </w:r>
      <w:r w:rsidR="00CD579F" w:rsidRPr="00361937">
        <w:t xml:space="preserve"> </w:t>
      </w:r>
      <w:r w:rsidR="000C60E6" w:rsidRPr="00361937">
        <w:t>group</w:t>
      </w:r>
      <w:r w:rsidR="00CD579F" w:rsidRPr="00361937">
        <w:t>.</w:t>
      </w:r>
      <w:r w:rsidR="00DD3DBF" w:rsidRPr="00361937">
        <w:t xml:space="preserve"> </w:t>
      </w:r>
    </w:p>
    <w:p w:rsidR="00DC3992" w:rsidRPr="00361937" w:rsidRDefault="00DC3992" w:rsidP="00A95E29">
      <w:pPr>
        <w:spacing w:line="480" w:lineRule="auto"/>
      </w:pPr>
    </w:p>
    <w:p w:rsidR="005571A7" w:rsidRPr="00361937" w:rsidRDefault="005D6931" w:rsidP="00A95E29">
      <w:pPr>
        <w:spacing w:line="480" w:lineRule="auto"/>
      </w:pPr>
      <w:r w:rsidRPr="00361937">
        <w:t>In sensitivity analyses w</w:t>
      </w:r>
      <w:r w:rsidR="005C35AB" w:rsidRPr="00361937">
        <w:t>hic</w:t>
      </w:r>
      <w:r w:rsidRPr="00361937">
        <w:t xml:space="preserve">h </w:t>
      </w:r>
      <w:r w:rsidR="0019199B" w:rsidRPr="00361937">
        <w:t>considered</w:t>
      </w:r>
      <w:r w:rsidRPr="00361937">
        <w:t xml:space="preserve"> missed visits or samples</w:t>
      </w:r>
      <w:r w:rsidR="005C35AB" w:rsidRPr="00361937">
        <w:t xml:space="preserve">, </w:t>
      </w:r>
      <w:r w:rsidRPr="00361937">
        <w:t>unavailable PCR results</w:t>
      </w:r>
      <w:r w:rsidR="005C35AB" w:rsidRPr="00361937">
        <w:t xml:space="preserve"> and loss to follow up</w:t>
      </w:r>
      <w:r w:rsidR="0019199B" w:rsidRPr="00361937">
        <w:t xml:space="preserve"> as treatment failures</w:t>
      </w:r>
      <w:r w:rsidR="005C35AB" w:rsidRPr="00361937">
        <w:t>,</w:t>
      </w:r>
      <w:r w:rsidRPr="00361937">
        <w:t xml:space="preserve"> the </w:t>
      </w:r>
      <w:r w:rsidR="005C35AB" w:rsidRPr="00361937">
        <w:t>day</w:t>
      </w:r>
      <w:r w:rsidRPr="00361937">
        <w:t xml:space="preserve">-42 </w:t>
      </w:r>
      <w:r w:rsidR="0019199B" w:rsidRPr="00361937">
        <w:t>PCR-</w:t>
      </w:r>
      <w:r w:rsidR="008E1439" w:rsidRPr="00361937">
        <w:t>corrected</w:t>
      </w:r>
      <w:r w:rsidR="005C35AB" w:rsidRPr="00361937">
        <w:t xml:space="preserve"> </w:t>
      </w:r>
      <w:r w:rsidRPr="00361937">
        <w:t xml:space="preserve">ACPR was </w:t>
      </w:r>
      <w:r w:rsidR="005C35AB" w:rsidRPr="00361937">
        <w:t>93.1</w:t>
      </w:r>
      <w:r w:rsidRPr="00361937">
        <w:t>%</w:t>
      </w:r>
      <w:r w:rsidR="005C35AB" w:rsidRPr="00361937">
        <w:t xml:space="preserve"> (95% CI: 88.0%-96.2%) </w:t>
      </w:r>
      <w:r w:rsidRPr="00361937">
        <w:t xml:space="preserve"> in the ITT population and </w:t>
      </w:r>
      <w:r w:rsidR="005C35AB" w:rsidRPr="00361937">
        <w:t xml:space="preserve">98.8% (95% CI: 95.1%-99.7%) </w:t>
      </w:r>
      <w:r w:rsidRPr="00361937">
        <w:t>in the PP population. Details of the</w:t>
      </w:r>
      <w:r w:rsidR="005C35AB" w:rsidRPr="00361937">
        <w:t xml:space="preserve"> different</w:t>
      </w:r>
      <w:r w:rsidRPr="00361937">
        <w:t xml:space="preserve"> scenarios</w:t>
      </w:r>
      <w:r w:rsidR="00F54FCF" w:rsidRPr="00361937">
        <w:t xml:space="preserve"> accounting for the missing results</w:t>
      </w:r>
      <w:r w:rsidRPr="00361937">
        <w:t xml:space="preserve"> are</w:t>
      </w:r>
      <w:r w:rsidR="00F54FCF" w:rsidRPr="00361937">
        <w:t xml:space="preserve"> shown</w:t>
      </w:r>
      <w:r w:rsidRPr="00361937">
        <w:t xml:space="preserve"> in Table 2.</w:t>
      </w:r>
    </w:p>
    <w:p w:rsidR="00BC2ACB" w:rsidRPr="00361937" w:rsidRDefault="00BC2ACB" w:rsidP="00361937">
      <w:pPr>
        <w:spacing w:line="480" w:lineRule="auto"/>
        <w:rPr>
          <w:i/>
        </w:rPr>
      </w:pPr>
    </w:p>
    <w:p w:rsidR="001D5FC5" w:rsidRPr="00361937" w:rsidRDefault="001D5FC5" w:rsidP="00A95E29">
      <w:pPr>
        <w:spacing w:line="480" w:lineRule="auto"/>
        <w:outlineLvl w:val="0"/>
        <w:rPr>
          <w:b/>
        </w:rPr>
      </w:pPr>
      <w:r w:rsidRPr="00361937">
        <w:rPr>
          <w:b/>
        </w:rPr>
        <w:lastRenderedPageBreak/>
        <w:t>Parasite clearance</w:t>
      </w:r>
      <w:r w:rsidR="002536EC" w:rsidRPr="00361937">
        <w:rPr>
          <w:b/>
        </w:rPr>
        <w:t xml:space="preserve"> time</w:t>
      </w:r>
    </w:p>
    <w:p w:rsidR="001D12A1" w:rsidRPr="00361937" w:rsidRDefault="00C469E9" w:rsidP="00A95E29">
      <w:pPr>
        <w:spacing w:line="480" w:lineRule="auto"/>
      </w:pPr>
      <w:r w:rsidRPr="00361937">
        <w:t xml:space="preserve">Parasite clearance parameters were </w:t>
      </w:r>
      <w:r w:rsidR="00F30875" w:rsidRPr="00361937">
        <w:t>calculated</w:t>
      </w:r>
      <w:r w:rsidRPr="00361937">
        <w:t xml:space="preserve"> in </w:t>
      </w:r>
      <w:r w:rsidR="000D3F2D" w:rsidRPr="00361937">
        <w:t xml:space="preserve">46 </w:t>
      </w:r>
      <w:r w:rsidR="00FA22E7" w:rsidRPr="00361937">
        <w:t>and 84</w:t>
      </w:r>
      <w:r w:rsidRPr="00361937">
        <w:t xml:space="preserve"> participants in t</w:t>
      </w:r>
      <w:r w:rsidR="00DD3DBF" w:rsidRPr="00361937">
        <w:t>he nevirapine-and efavirenz</w:t>
      </w:r>
      <w:r w:rsidRPr="00361937">
        <w:t>-ART</w:t>
      </w:r>
      <w:r w:rsidR="00FA22E7" w:rsidRPr="00361937">
        <w:t xml:space="preserve"> group</w:t>
      </w:r>
      <w:r w:rsidRPr="00361937">
        <w:t>s, respectively, who</w:t>
      </w:r>
      <w:r w:rsidR="000D3F2D" w:rsidRPr="00361937">
        <w:t xml:space="preserve"> </w:t>
      </w:r>
      <w:r w:rsidRPr="00361937">
        <w:t>had</w:t>
      </w:r>
      <w:r w:rsidR="006508D5" w:rsidRPr="00361937">
        <w:t xml:space="preserve"> detectable</w:t>
      </w:r>
      <w:r w:rsidR="00B23D31" w:rsidRPr="00361937">
        <w:t xml:space="preserve"> parasite</w:t>
      </w:r>
      <w:r w:rsidR="006508D5" w:rsidRPr="00361937">
        <w:t>mia</w:t>
      </w:r>
      <w:r w:rsidR="00B23D31" w:rsidRPr="00361937">
        <w:t xml:space="preserve"> </w:t>
      </w:r>
      <w:r w:rsidR="004C78E0" w:rsidRPr="00361937">
        <w:t>at</w:t>
      </w:r>
      <w:r w:rsidR="00A164D7" w:rsidRPr="00361937">
        <w:t xml:space="preserve"> two</w:t>
      </w:r>
      <w:r w:rsidR="004C78E0" w:rsidRPr="00361937">
        <w:t xml:space="preserve"> or more post-dosing</w:t>
      </w:r>
      <w:r w:rsidR="00A164D7" w:rsidRPr="00361937">
        <w:t xml:space="preserve"> time points</w:t>
      </w:r>
      <w:r w:rsidR="00B83111" w:rsidRPr="00361937">
        <w:t xml:space="preserve">. The median (range) </w:t>
      </w:r>
      <w:r w:rsidR="004D6C23" w:rsidRPr="00361937">
        <w:t>PC</w:t>
      </w:r>
      <w:r w:rsidR="004D6C23" w:rsidRPr="00361937">
        <w:rPr>
          <w:vertAlign w:val="subscript"/>
        </w:rPr>
        <w:t xml:space="preserve">50 </w:t>
      </w:r>
      <w:r w:rsidR="00B83111" w:rsidRPr="00361937">
        <w:t>and the median (range) PC</w:t>
      </w:r>
      <w:r w:rsidR="00B83111" w:rsidRPr="00361937">
        <w:rPr>
          <w:vertAlign w:val="subscript"/>
        </w:rPr>
        <w:t>90</w:t>
      </w:r>
      <w:r w:rsidR="00B83111" w:rsidRPr="00361937">
        <w:t xml:space="preserve"> </w:t>
      </w:r>
      <w:r w:rsidR="00044557" w:rsidRPr="00361937">
        <w:t xml:space="preserve">in the ITT population </w:t>
      </w:r>
      <w:r w:rsidR="00B83111" w:rsidRPr="00361937">
        <w:t xml:space="preserve">were </w:t>
      </w:r>
      <w:r w:rsidR="003049A3" w:rsidRPr="00361937">
        <w:t>3.1 (0.2-10.3)</w:t>
      </w:r>
      <w:r w:rsidR="00B83111" w:rsidRPr="00361937">
        <w:t xml:space="preserve"> hours and 8.2 (2.4-19.7) hours, respectively, in the </w:t>
      </w:r>
      <w:r w:rsidR="00DD3DBF" w:rsidRPr="00361937">
        <w:t>nevirapine-</w:t>
      </w:r>
      <w:r w:rsidR="00B83111" w:rsidRPr="00361937">
        <w:t xml:space="preserve">group and </w:t>
      </w:r>
      <w:r w:rsidR="00C82D7A" w:rsidRPr="00361937">
        <w:t xml:space="preserve">4.2 (0.6-40.3) </w:t>
      </w:r>
      <w:r w:rsidR="00B83111" w:rsidRPr="00361937">
        <w:t>hours and 10.1 (3.2-63.1) hours, respectively, i</w:t>
      </w:r>
      <w:r w:rsidR="00DD3DBF" w:rsidRPr="00361937">
        <w:t>n the efavirenz</w:t>
      </w:r>
      <w:r w:rsidR="00B83111" w:rsidRPr="00361937">
        <w:t>-group</w:t>
      </w:r>
      <w:r w:rsidR="00696417" w:rsidRPr="00361937">
        <w:t xml:space="preserve">. </w:t>
      </w:r>
      <w:r w:rsidR="00B74246" w:rsidRPr="00361937">
        <w:t xml:space="preserve">The </w:t>
      </w:r>
      <w:r w:rsidR="00696417" w:rsidRPr="00361937">
        <w:t xml:space="preserve">median parasite clearance half-life </w:t>
      </w:r>
      <w:r w:rsidR="000B0A80" w:rsidRPr="00361937">
        <w:t xml:space="preserve">(range) were </w:t>
      </w:r>
      <w:r w:rsidR="00647390" w:rsidRPr="00361937">
        <w:t>2.1</w:t>
      </w:r>
      <w:r w:rsidR="00C82D7A" w:rsidRPr="00361937">
        <w:t xml:space="preserve"> (1.1-6</w:t>
      </w:r>
      <w:r w:rsidR="000B0A80" w:rsidRPr="00361937">
        <w:t xml:space="preserve">.8) </w:t>
      </w:r>
      <w:r w:rsidR="00647390" w:rsidRPr="00361937">
        <w:t xml:space="preserve">and 2.2 (1.2-9.8) </w:t>
      </w:r>
      <w:r w:rsidR="000B0A80" w:rsidRPr="00361937">
        <w:t xml:space="preserve">hours in </w:t>
      </w:r>
      <w:r w:rsidR="00647390" w:rsidRPr="00361937">
        <w:t xml:space="preserve">the </w:t>
      </w:r>
      <w:r w:rsidR="000B0A80" w:rsidRPr="00361937">
        <w:t>nevirapine-</w:t>
      </w:r>
      <w:r w:rsidR="00647390" w:rsidRPr="00361937">
        <w:t xml:space="preserve"> and efavirenz-</w:t>
      </w:r>
      <w:r w:rsidR="000B0A80" w:rsidRPr="00361937">
        <w:t>ART groups, respectively (Fig</w:t>
      </w:r>
      <w:r w:rsidR="0091287A" w:rsidRPr="00361937">
        <w:t>.</w:t>
      </w:r>
      <w:r w:rsidR="000B0A80" w:rsidRPr="00361937">
        <w:t xml:space="preserve"> 2). </w:t>
      </w:r>
      <w:r w:rsidR="00FD06DD" w:rsidRPr="00361937">
        <w:t>One participant (2.2%</w:t>
      </w:r>
      <w:r w:rsidR="00284D00" w:rsidRPr="00361937">
        <w:t xml:space="preserve"> </w:t>
      </w:r>
      <w:r w:rsidR="00EE2946" w:rsidRPr="00361937">
        <w:t>[95% CI: 0.3-14.8]</w:t>
      </w:r>
      <w:r w:rsidR="00FD06DD" w:rsidRPr="00361937">
        <w:t xml:space="preserve">) </w:t>
      </w:r>
      <w:r w:rsidR="00DD3DBF" w:rsidRPr="00361937">
        <w:t xml:space="preserve">in the nevirapine-ART group </w:t>
      </w:r>
      <w:r w:rsidR="00FD06DD" w:rsidRPr="00361937">
        <w:t>and five participants (6.0%</w:t>
      </w:r>
      <w:r w:rsidR="00EE2946" w:rsidRPr="00361937">
        <w:t xml:space="preserve"> [2.5-13.7]</w:t>
      </w:r>
      <w:r w:rsidR="00FD06DD" w:rsidRPr="00361937">
        <w:t>) in the efav</w:t>
      </w:r>
      <w:r w:rsidR="00DD3DBF" w:rsidRPr="00361937">
        <w:t>irenz-ART group</w:t>
      </w:r>
      <w:r w:rsidR="00FD06DD" w:rsidRPr="00361937">
        <w:t>, had parasite clearance half-life of &gt;5</w:t>
      </w:r>
      <w:r w:rsidR="00EE2946" w:rsidRPr="00361937">
        <w:t>.5</w:t>
      </w:r>
      <w:r w:rsidR="00FD06DD" w:rsidRPr="00361937">
        <w:t xml:space="preserve"> hours.</w:t>
      </w:r>
      <w:r w:rsidR="007149DB" w:rsidRPr="00361937">
        <w:t xml:space="preserve"> </w:t>
      </w:r>
      <w:r w:rsidR="00FD22CE" w:rsidRPr="00361937">
        <w:t xml:space="preserve">All six participants had a baseline parasite density of </w:t>
      </w:r>
      <w:r w:rsidR="00FD22CE" w:rsidRPr="00361937">
        <w:rPr>
          <w:color w:val="000000"/>
          <w:lang w:val="pt-PT"/>
        </w:rPr>
        <w:t>&gt;</w:t>
      </w:r>
      <w:r w:rsidR="00E1127C" w:rsidRPr="00361937">
        <w:rPr>
          <w:color w:val="000000"/>
          <w:lang w:val="pt-PT"/>
        </w:rPr>
        <w:t>35</w:t>
      </w:r>
      <w:r w:rsidR="00FD22CE" w:rsidRPr="00361937">
        <w:rPr>
          <w:color w:val="000000"/>
          <w:lang w:val="pt-PT"/>
        </w:rPr>
        <w:t>00 parasites/µL</w:t>
      </w:r>
      <w:r w:rsidR="00FD22CE" w:rsidRPr="00361937">
        <w:t xml:space="preserve"> and CD4 cell count of &lt;250 cells/mm</w:t>
      </w:r>
      <w:r w:rsidR="00FD22CE" w:rsidRPr="00361937">
        <w:rPr>
          <w:vertAlign w:val="superscript"/>
        </w:rPr>
        <w:t>3</w:t>
      </w:r>
      <w:r w:rsidR="00FD22CE" w:rsidRPr="00361937">
        <w:t xml:space="preserve">. </w:t>
      </w:r>
      <w:r w:rsidR="007149DB" w:rsidRPr="00361937">
        <w:t>None of these six participants experienced malaria re</w:t>
      </w:r>
      <w:r w:rsidR="00B10864" w:rsidRPr="00361937">
        <w:t>currence during the follow up period</w:t>
      </w:r>
      <w:r w:rsidR="007149DB" w:rsidRPr="00361937">
        <w:t>.</w:t>
      </w:r>
    </w:p>
    <w:p w:rsidR="001479A2" w:rsidRPr="00361937" w:rsidRDefault="001479A2" w:rsidP="00A95E29">
      <w:pPr>
        <w:spacing w:line="480" w:lineRule="auto"/>
      </w:pPr>
    </w:p>
    <w:p w:rsidR="001325A0" w:rsidRPr="00361937" w:rsidRDefault="001325A0" w:rsidP="00A95E29">
      <w:pPr>
        <w:spacing w:line="480" w:lineRule="auto"/>
        <w:outlineLvl w:val="0"/>
        <w:rPr>
          <w:b/>
          <w:bCs/>
          <w:iCs/>
          <w:color w:val="000000" w:themeColor="text1"/>
        </w:rPr>
      </w:pPr>
      <w:r w:rsidRPr="00361937">
        <w:rPr>
          <w:b/>
          <w:bCs/>
          <w:iCs/>
          <w:color w:val="000000" w:themeColor="text1"/>
        </w:rPr>
        <w:t>Day</w:t>
      </w:r>
      <w:r w:rsidR="00434D67" w:rsidRPr="00361937">
        <w:rPr>
          <w:b/>
          <w:bCs/>
          <w:iCs/>
          <w:color w:val="000000" w:themeColor="text1"/>
        </w:rPr>
        <w:t>-</w:t>
      </w:r>
      <w:r w:rsidRPr="00361937">
        <w:rPr>
          <w:b/>
          <w:bCs/>
          <w:iCs/>
          <w:color w:val="000000" w:themeColor="text1"/>
        </w:rPr>
        <w:t>7 plasma piperaquine concentrations</w:t>
      </w:r>
      <w:r w:rsidR="003C3936" w:rsidRPr="00361937">
        <w:rPr>
          <w:b/>
          <w:bCs/>
          <w:iCs/>
          <w:color w:val="000000" w:themeColor="text1"/>
        </w:rPr>
        <w:t xml:space="preserve"> </w:t>
      </w:r>
    </w:p>
    <w:p w:rsidR="00A440D5" w:rsidRPr="00361937" w:rsidRDefault="001325A0" w:rsidP="00A95E29">
      <w:pPr>
        <w:spacing w:line="480" w:lineRule="auto"/>
      </w:pPr>
      <w:r w:rsidRPr="00361937">
        <w:t>On day 7 of follow-up, blood samples</w:t>
      </w:r>
      <w:r w:rsidR="005737ED" w:rsidRPr="00361937">
        <w:t xml:space="preserve"> for plasma piperaquine quantification</w:t>
      </w:r>
      <w:r w:rsidRPr="00361937">
        <w:t xml:space="preserve"> were available from 17</w:t>
      </w:r>
      <w:r w:rsidR="00A34A72" w:rsidRPr="00361937">
        <w:t>9</w:t>
      </w:r>
      <w:r w:rsidRPr="00361937">
        <w:t xml:space="preserve"> </w:t>
      </w:r>
      <w:r w:rsidR="006E7F3E" w:rsidRPr="00361937">
        <w:t>of the</w:t>
      </w:r>
      <w:r w:rsidR="00A34A72" w:rsidRPr="00361937">
        <w:t xml:space="preserve"> retained</w:t>
      </w:r>
      <w:r w:rsidR="006E7F3E" w:rsidRPr="00361937">
        <w:t xml:space="preserve"> </w:t>
      </w:r>
      <w:r w:rsidR="00BF7267" w:rsidRPr="00361937">
        <w:t>2</w:t>
      </w:r>
      <w:r w:rsidR="00A34A72" w:rsidRPr="00361937">
        <w:t xml:space="preserve">16 </w:t>
      </w:r>
      <w:r w:rsidRPr="00361937">
        <w:t>participants</w:t>
      </w:r>
      <w:r w:rsidR="0095114F" w:rsidRPr="00361937">
        <w:t xml:space="preserve">. </w:t>
      </w:r>
      <w:r w:rsidR="006E7F3E" w:rsidRPr="00361937">
        <w:t>Of these</w:t>
      </w:r>
      <w:r w:rsidR="0095114F" w:rsidRPr="00361937">
        <w:t>, 62.0%</w:t>
      </w:r>
      <w:r w:rsidR="006E7F3E" w:rsidRPr="00361937">
        <w:t xml:space="preserve"> (111/179)</w:t>
      </w:r>
      <w:r w:rsidR="0095114F" w:rsidRPr="00361937">
        <w:t xml:space="preserve"> had day</w:t>
      </w:r>
      <w:r w:rsidR="00434D67" w:rsidRPr="00361937">
        <w:t>-</w:t>
      </w:r>
      <w:r w:rsidR="0095114F" w:rsidRPr="00361937">
        <w:t xml:space="preserve">7 </w:t>
      </w:r>
      <w:r w:rsidR="00A440D5" w:rsidRPr="00361937">
        <w:t>piperaquine</w:t>
      </w:r>
      <w:r w:rsidR="0095114F" w:rsidRPr="00361937">
        <w:t xml:space="preserve"> concentrations that were below </w:t>
      </w:r>
      <w:r w:rsidR="00DE0AE5" w:rsidRPr="00361937">
        <w:t xml:space="preserve">the </w:t>
      </w:r>
      <w:r w:rsidR="0095114F" w:rsidRPr="00361937">
        <w:t>LLOQ (&lt;25</w:t>
      </w:r>
      <w:r w:rsidR="000B0740" w:rsidRPr="00361937">
        <w:t xml:space="preserve"> </w:t>
      </w:r>
      <w:r w:rsidR="0095114F" w:rsidRPr="00361937">
        <w:t>ng/mL)</w:t>
      </w:r>
      <w:r w:rsidR="006E7F3E" w:rsidRPr="00361937">
        <w:t xml:space="preserve">: </w:t>
      </w:r>
      <w:r w:rsidR="0095114F" w:rsidRPr="00361937">
        <w:t>60.0% (</w:t>
      </w:r>
      <w:r w:rsidR="000F7423" w:rsidRPr="00361937">
        <w:t>81</w:t>
      </w:r>
      <w:r w:rsidR="006E7F3E" w:rsidRPr="00361937">
        <w:t>/</w:t>
      </w:r>
      <w:r w:rsidR="0095114F" w:rsidRPr="00361937">
        <w:t>135) in the efavirenz-ART group and 68</w:t>
      </w:r>
      <w:r w:rsidR="000B0740" w:rsidRPr="00361937">
        <w:t>.2% (</w:t>
      </w:r>
      <w:r w:rsidR="000F7423" w:rsidRPr="00361937">
        <w:t>30</w:t>
      </w:r>
      <w:r w:rsidR="006E7F3E" w:rsidRPr="00361937">
        <w:t>/</w:t>
      </w:r>
      <w:r w:rsidR="000B0740" w:rsidRPr="00361937">
        <w:t xml:space="preserve">44) in the nevirapine-ART group. </w:t>
      </w:r>
      <w:r w:rsidR="000F7423" w:rsidRPr="00361937">
        <w:t xml:space="preserve">The </w:t>
      </w:r>
      <w:r w:rsidR="00A440D5" w:rsidRPr="00361937">
        <w:t>piperaquine</w:t>
      </w:r>
      <w:r w:rsidR="000F7423" w:rsidRPr="00361937">
        <w:t xml:space="preserve"> values for these individuals were imputed to half the lower limit of quantification</w:t>
      </w:r>
      <w:r w:rsidR="00920ADD" w:rsidRPr="00361937">
        <w:t xml:space="preserve">. However, </w:t>
      </w:r>
      <w:r w:rsidR="00654894" w:rsidRPr="00361937">
        <w:t>since the</w:t>
      </w:r>
      <w:r w:rsidR="00920ADD" w:rsidRPr="00361937">
        <w:t>se values</w:t>
      </w:r>
      <w:r w:rsidR="00654894" w:rsidRPr="00361937">
        <w:t xml:space="preserve"> were more than &gt;10% of the data, they were excluded in calculation of median piperaquine exposure</w:t>
      </w:r>
      <w:r w:rsidR="000F7423" w:rsidRPr="00361937">
        <w:t>.</w:t>
      </w:r>
      <w:r w:rsidR="00654894" w:rsidRPr="00361937">
        <w:t xml:space="preserve"> </w:t>
      </w:r>
      <w:r w:rsidR="009764F7" w:rsidRPr="00361937">
        <w:t>Overall, the median (</w:t>
      </w:r>
      <w:r w:rsidR="00CC5FA6" w:rsidRPr="00361937">
        <w:t>range</w:t>
      </w:r>
      <w:r w:rsidR="009764F7" w:rsidRPr="00361937">
        <w:t xml:space="preserve">) day-7 piperaquine concentration in participants with </w:t>
      </w:r>
      <w:r w:rsidR="00913998" w:rsidRPr="00361937">
        <w:t xml:space="preserve">concentrations </w:t>
      </w:r>
      <w:r w:rsidR="009764F7" w:rsidRPr="00361937">
        <w:t>&gt;LLOQ was 57 (</w:t>
      </w:r>
      <w:r w:rsidR="00CC5FA6" w:rsidRPr="00361937">
        <w:t>25.5</w:t>
      </w:r>
      <w:r w:rsidR="009764F7" w:rsidRPr="00361937">
        <w:t>-</w:t>
      </w:r>
      <w:r w:rsidR="00CC5FA6" w:rsidRPr="00361937">
        <w:t>592.8</w:t>
      </w:r>
      <w:r w:rsidR="009764F7" w:rsidRPr="00361937">
        <w:t>) ng/mL in</w:t>
      </w:r>
      <w:r w:rsidR="00913998" w:rsidRPr="00361937">
        <w:t xml:space="preserve"> </w:t>
      </w:r>
      <w:r w:rsidR="009764F7" w:rsidRPr="00361937">
        <w:t>the efavirenz-ART group and 79.1 (</w:t>
      </w:r>
      <w:r w:rsidR="00CC5FA6" w:rsidRPr="00361937">
        <w:t>25.4</w:t>
      </w:r>
      <w:r w:rsidR="009764F7" w:rsidRPr="00361937">
        <w:t>-</w:t>
      </w:r>
      <w:r w:rsidR="00CC5FA6" w:rsidRPr="00361937">
        <w:t>211.1</w:t>
      </w:r>
      <w:r w:rsidR="009764F7" w:rsidRPr="00361937">
        <w:t>)</w:t>
      </w:r>
      <w:r w:rsidR="00913998" w:rsidRPr="00361937">
        <w:t xml:space="preserve"> ng/mL</w:t>
      </w:r>
      <w:r w:rsidR="009764F7" w:rsidRPr="00361937">
        <w:t xml:space="preserve"> in the </w:t>
      </w:r>
      <w:r w:rsidR="009764F7" w:rsidRPr="00361937">
        <w:lastRenderedPageBreak/>
        <w:t xml:space="preserve">nevirapine-ART group. </w:t>
      </w:r>
      <w:r w:rsidR="00913998" w:rsidRPr="00361937">
        <w:t>After excluding &lt;LLOQ values, p</w:t>
      </w:r>
      <w:r w:rsidR="009764F7" w:rsidRPr="00361937">
        <w:t xml:space="preserve">articipants </w:t>
      </w:r>
      <w:r w:rsidR="00913998" w:rsidRPr="00361937">
        <w:t>who experienced malaria recurrence by day 42 (n=3) had a</w:t>
      </w:r>
      <w:r w:rsidR="000F7423" w:rsidRPr="00361937">
        <w:t xml:space="preserve"> median (</w:t>
      </w:r>
      <w:r w:rsidR="00CC5FA6" w:rsidRPr="00361937">
        <w:t>range)</w:t>
      </w:r>
      <w:r w:rsidR="000F7423" w:rsidRPr="00361937">
        <w:t xml:space="preserve"> </w:t>
      </w:r>
      <w:r w:rsidR="00A440D5" w:rsidRPr="00361937">
        <w:t>day-7 piperaquine</w:t>
      </w:r>
      <w:r w:rsidR="000F7423" w:rsidRPr="00361937">
        <w:t xml:space="preserve"> concentration </w:t>
      </w:r>
      <w:r w:rsidR="00913998" w:rsidRPr="00361937">
        <w:t>of</w:t>
      </w:r>
      <w:r w:rsidR="00654894" w:rsidRPr="00361937">
        <w:t xml:space="preserve"> 63.9</w:t>
      </w:r>
      <w:r w:rsidR="000F7423" w:rsidRPr="00361937">
        <w:t xml:space="preserve"> (</w:t>
      </w:r>
      <w:r w:rsidR="00654894" w:rsidRPr="00361937">
        <w:t>49.7</w:t>
      </w:r>
      <w:r w:rsidR="000F7423" w:rsidRPr="00361937">
        <w:t>-</w:t>
      </w:r>
      <w:r w:rsidR="00654894" w:rsidRPr="00361937">
        <w:t>78</w:t>
      </w:r>
      <w:r w:rsidR="00AC38AE" w:rsidRPr="00361937">
        <w:t>.9</w:t>
      </w:r>
      <w:r w:rsidR="000F7423" w:rsidRPr="00361937">
        <w:t>)</w:t>
      </w:r>
      <w:r w:rsidR="00A34A72" w:rsidRPr="00361937">
        <w:t xml:space="preserve"> ng/mL</w:t>
      </w:r>
      <w:r w:rsidR="000F7423" w:rsidRPr="00361937">
        <w:t xml:space="preserve"> </w:t>
      </w:r>
      <w:r w:rsidR="00913998" w:rsidRPr="00361937">
        <w:t>and</w:t>
      </w:r>
      <w:r w:rsidR="005B7CE2" w:rsidRPr="00361937">
        <w:t xml:space="preserve"> </w:t>
      </w:r>
      <w:r w:rsidR="00913998" w:rsidRPr="00361937">
        <w:t xml:space="preserve">this value was </w:t>
      </w:r>
      <w:r w:rsidR="00654894" w:rsidRPr="00361937">
        <w:t>66.7</w:t>
      </w:r>
      <w:r w:rsidR="000F7423" w:rsidRPr="00361937">
        <w:t xml:space="preserve"> (</w:t>
      </w:r>
      <w:r w:rsidR="00CC5FA6" w:rsidRPr="00361937">
        <w:t>25.4-592.8)</w:t>
      </w:r>
      <w:r w:rsidR="00920ADD" w:rsidRPr="00361937">
        <w:t xml:space="preserve"> ng/mL </w:t>
      </w:r>
      <w:r w:rsidR="000F7423" w:rsidRPr="00361937">
        <w:t xml:space="preserve">in </w:t>
      </w:r>
      <w:r w:rsidR="00920ADD" w:rsidRPr="00361937">
        <w:t>participants</w:t>
      </w:r>
      <w:r w:rsidR="000F7423" w:rsidRPr="00361937">
        <w:t xml:space="preserve"> who did not</w:t>
      </w:r>
      <w:r w:rsidR="009764F7" w:rsidRPr="00361937">
        <w:t xml:space="preserve"> </w:t>
      </w:r>
      <w:r w:rsidR="00913998" w:rsidRPr="00361937">
        <w:t xml:space="preserve">experience malaria recurrence </w:t>
      </w:r>
      <w:r w:rsidR="009764F7" w:rsidRPr="00361937">
        <w:t>(n=65</w:t>
      </w:r>
      <w:r w:rsidR="00CC5FA6" w:rsidRPr="00361937">
        <w:t>, p=0.965</w:t>
      </w:r>
      <w:r w:rsidR="009764F7" w:rsidRPr="00361937">
        <w:t>)</w:t>
      </w:r>
      <w:r w:rsidR="000F7423" w:rsidRPr="00361937">
        <w:t>.</w:t>
      </w:r>
    </w:p>
    <w:p w:rsidR="00A440D5" w:rsidRPr="00361937" w:rsidRDefault="00A440D5" w:rsidP="00A95E29">
      <w:pPr>
        <w:spacing w:line="480" w:lineRule="auto"/>
        <w:rPr>
          <w:bCs/>
          <w:color w:val="000000" w:themeColor="text1"/>
        </w:rPr>
      </w:pPr>
    </w:p>
    <w:p w:rsidR="00BF2311" w:rsidRPr="00361937" w:rsidRDefault="00BF2311" w:rsidP="00A95E29">
      <w:pPr>
        <w:spacing w:line="480" w:lineRule="auto"/>
        <w:outlineLvl w:val="0"/>
        <w:rPr>
          <w:b/>
        </w:rPr>
      </w:pPr>
      <w:r w:rsidRPr="00361937">
        <w:rPr>
          <w:b/>
        </w:rPr>
        <w:t>Fever clearance</w:t>
      </w:r>
    </w:p>
    <w:p w:rsidR="00BF2311" w:rsidRPr="00361937" w:rsidRDefault="00BF2311" w:rsidP="00A95E29">
      <w:pPr>
        <w:spacing w:line="480" w:lineRule="auto"/>
      </w:pPr>
      <w:r w:rsidRPr="00361937">
        <w:t xml:space="preserve">At baseline, </w:t>
      </w:r>
      <w:r w:rsidR="00187E62" w:rsidRPr="00361937">
        <w:t>58.1% (93/160) of participants i</w:t>
      </w:r>
      <w:r w:rsidR="00DD3DBF" w:rsidRPr="00361937">
        <w:t>n the efavirenz</w:t>
      </w:r>
      <w:r w:rsidR="00187E62" w:rsidRPr="00361937">
        <w:t xml:space="preserve">-ART group and 31.1%, (19/61) in the </w:t>
      </w:r>
      <w:r w:rsidR="00DD3DBF" w:rsidRPr="00361937">
        <w:t>nevirapine</w:t>
      </w:r>
      <w:r w:rsidR="00187E62" w:rsidRPr="00361937">
        <w:t xml:space="preserve">-ART group </w:t>
      </w:r>
      <w:r w:rsidRPr="00361937">
        <w:t xml:space="preserve">were febrile (axillary temperature </w:t>
      </w:r>
      <w:r w:rsidR="0033156A" w:rsidRPr="00361937">
        <w:t>≥</w:t>
      </w:r>
      <w:r w:rsidRPr="00361937">
        <w:t xml:space="preserve">37.5°C). </w:t>
      </w:r>
      <w:r w:rsidR="00CE2A0D" w:rsidRPr="00361937">
        <w:t>T</w:t>
      </w:r>
      <w:r w:rsidRPr="00361937">
        <w:t>he median fever clearance time (</w:t>
      </w:r>
      <w:r w:rsidR="000D432F" w:rsidRPr="00361937">
        <w:t>IQR</w:t>
      </w:r>
      <w:r w:rsidR="00DD3DBF" w:rsidRPr="00361937">
        <w:t>) was 6 hours (6-60) in the efavirenz</w:t>
      </w:r>
      <w:r w:rsidR="00F30875" w:rsidRPr="00361937">
        <w:t>-</w:t>
      </w:r>
      <w:r w:rsidR="00CE2A0D" w:rsidRPr="00361937">
        <w:t>ART</w:t>
      </w:r>
      <w:r w:rsidRPr="00361937">
        <w:t xml:space="preserve"> </w:t>
      </w:r>
      <w:r w:rsidR="00CE2A0D" w:rsidRPr="00361937">
        <w:t xml:space="preserve">group </w:t>
      </w:r>
      <w:r w:rsidR="00DD3DBF" w:rsidRPr="00361937">
        <w:t>and 6 hours (6-12) in the nevirapine</w:t>
      </w:r>
      <w:r w:rsidR="00CE2A0D" w:rsidRPr="00361937">
        <w:t>-ART</w:t>
      </w:r>
      <w:r w:rsidRPr="00361937">
        <w:t xml:space="preserve"> </w:t>
      </w:r>
      <w:r w:rsidR="00CE2A0D" w:rsidRPr="00361937">
        <w:t>group</w:t>
      </w:r>
      <w:r w:rsidR="00A64CE3" w:rsidRPr="00361937">
        <w:t xml:space="preserve">. By </w:t>
      </w:r>
      <w:r w:rsidR="00DD3DBF" w:rsidRPr="00361937">
        <w:t>t</w:t>
      </w:r>
      <w:r w:rsidR="00A64CE3" w:rsidRPr="00361937">
        <w:t>reatment</w:t>
      </w:r>
      <w:r w:rsidR="00DD3DBF" w:rsidRPr="00361937">
        <w:t xml:space="preserve"> d</w:t>
      </w:r>
      <w:r w:rsidR="00CE2A0D" w:rsidRPr="00361937">
        <w:t>ay 2</w:t>
      </w:r>
      <w:r w:rsidR="00044557" w:rsidRPr="00361937">
        <w:t>,</w:t>
      </w:r>
      <w:r w:rsidR="00A64CE3" w:rsidRPr="00361937">
        <w:t xml:space="preserve"> only </w:t>
      </w:r>
      <w:r w:rsidR="00EE5548" w:rsidRPr="00361937">
        <w:t>3.8</w:t>
      </w:r>
      <w:r w:rsidR="000D432F" w:rsidRPr="00361937">
        <w:t xml:space="preserve">% </w:t>
      </w:r>
      <w:r w:rsidR="00EE5548" w:rsidRPr="00361937">
        <w:t>(6</w:t>
      </w:r>
      <w:r w:rsidR="000D432F" w:rsidRPr="00361937">
        <w:t>/160)</w:t>
      </w:r>
      <w:r w:rsidR="00DD3DBF" w:rsidRPr="00361937">
        <w:t xml:space="preserve"> participants in the efavirenz</w:t>
      </w:r>
      <w:r w:rsidR="00CE2A0D" w:rsidRPr="00361937">
        <w:t>-ART</w:t>
      </w:r>
      <w:r w:rsidR="00A64CE3" w:rsidRPr="00361937">
        <w:t xml:space="preserve"> group  and </w:t>
      </w:r>
      <w:r w:rsidR="000D432F" w:rsidRPr="00361937">
        <w:t>1.6% (1/61)</w:t>
      </w:r>
      <w:r w:rsidR="00DD3DBF" w:rsidRPr="00361937">
        <w:t xml:space="preserve"> in the nevirapine</w:t>
      </w:r>
      <w:r w:rsidR="00CE2A0D" w:rsidRPr="00361937">
        <w:t>-ART</w:t>
      </w:r>
      <w:r w:rsidR="00A64CE3" w:rsidRPr="00361937">
        <w:t xml:space="preserve"> group were febrile.  </w:t>
      </w:r>
      <w:r w:rsidRPr="00361937">
        <w:t xml:space="preserve"> </w:t>
      </w:r>
    </w:p>
    <w:p w:rsidR="00754CC7" w:rsidRPr="00361937" w:rsidRDefault="00754CC7" w:rsidP="00A95E29">
      <w:pPr>
        <w:spacing w:line="480" w:lineRule="auto"/>
        <w:outlineLvl w:val="0"/>
        <w:rPr>
          <w:b/>
          <w:color w:val="000000" w:themeColor="text1"/>
        </w:rPr>
      </w:pPr>
    </w:p>
    <w:p w:rsidR="00A82E08" w:rsidRPr="00361937" w:rsidRDefault="00A82E08" w:rsidP="00A95E29">
      <w:pPr>
        <w:spacing w:line="480" w:lineRule="auto"/>
        <w:outlineLvl w:val="0"/>
        <w:rPr>
          <w:b/>
        </w:rPr>
      </w:pPr>
      <w:r w:rsidRPr="00361937">
        <w:rPr>
          <w:b/>
        </w:rPr>
        <w:t>Safety</w:t>
      </w:r>
    </w:p>
    <w:p w:rsidR="00BC2ACB" w:rsidRPr="00361937" w:rsidRDefault="000253BF" w:rsidP="00A95E29">
      <w:pPr>
        <w:spacing w:line="480" w:lineRule="auto"/>
      </w:pPr>
      <w:r w:rsidRPr="00361937">
        <w:t xml:space="preserve">From enrolment to </w:t>
      </w:r>
      <w:r w:rsidR="00B843B5" w:rsidRPr="00361937">
        <w:t xml:space="preserve">follow-up </w:t>
      </w:r>
      <w:r w:rsidRPr="00361937">
        <w:t xml:space="preserve">day 63, </w:t>
      </w:r>
      <w:r w:rsidR="00862121" w:rsidRPr="00361937">
        <w:t>there were 6</w:t>
      </w:r>
      <w:r w:rsidR="0072081C" w:rsidRPr="00361937">
        <w:t>9</w:t>
      </w:r>
      <w:r w:rsidR="00862121" w:rsidRPr="00361937">
        <w:t xml:space="preserve"> adverse events of special interest</w:t>
      </w:r>
      <w:r w:rsidR="00FD06DD" w:rsidRPr="00361937">
        <w:t xml:space="preserve"> (AESIs)</w:t>
      </w:r>
      <w:r w:rsidR="00862121" w:rsidRPr="00361937">
        <w:t xml:space="preserve"> (5</w:t>
      </w:r>
      <w:r w:rsidR="0072081C" w:rsidRPr="00361937">
        <w:t>4</w:t>
      </w:r>
      <w:r w:rsidR="004C78E0" w:rsidRPr="00361937">
        <w:t xml:space="preserve"> and 1</w:t>
      </w:r>
      <w:r w:rsidR="0072081C" w:rsidRPr="00361937">
        <w:t>5</w:t>
      </w:r>
      <w:r w:rsidR="00FD06DD" w:rsidRPr="00361937">
        <w:t xml:space="preserve"> in the efavirenz</w:t>
      </w:r>
      <w:r w:rsidR="003232F7" w:rsidRPr="00361937">
        <w:t>-ART</w:t>
      </w:r>
      <w:r w:rsidR="00FD06DD" w:rsidRPr="00361937">
        <w:t xml:space="preserve"> group and nevirapine</w:t>
      </w:r>
      <w:r w:rsidR="003232F7" w:rsidRPr="00361937">
        <w:t>-ART</w:t>
      </w:r>
      <w:r w:rsidR="00862121" w:rsidRPr="00361937">
        <w:t xml:space="preserve"> group</w:t>
      </w:r>
      <w:r w:rsidR="00FD06DD" w:rsidRPr="00361937">
        <w:t>,</w:t>
      </w:r>
      <w:r w:rsidR="004C78E0" w:rsidRPr="00361937">
        <w:t xml:space="preserve"> respectively</w:t>
      </w:r>
      <w:r w:rsidR="00862121" w:rsidRPr="00361937">
        <w:t xml:space="preserve">) and 12 </w:t>
      </w:r>
      <w:r w:rsidR="00FD06DD" w:rsidRPr="00361937">
        <w:t>serious adverse events (SAEs)</w:t>
      </w:r>
      <w:r w:rsidR="0069253B" w:rsidRPr="00361937">
        <w:t xml:space="preserve"> </w:t>
      </w:r>
      <w:r w:rsidR="00862121" w:rsidRPr="00361937">
        <w:t xml:space="preserve">(10 </w:t>
      </w:r>
      <w:r w:rsidR="004C78E0" w:rsidRPr="00361937">
        <w:t xml:space="preserve">and 2 </w:t>
      </w:r>
      <w:r w:rsidR="00FD06DD" w:rsidRPr="00361937">
        <w:t>in the efavirenz</w:t>
      </w:r>
      <w:r w:rsidR="00F30875" w:rsidRPr="00361937">
        <w:t>-ART</w:t>
      </w:r>
      <w:r w:rsidR="00FD06DD" w:rsidRPr="00361937">
        <w:t xml:space="preserve"> group and nevirapine</w:t>
      </w:r>
      <w:r w:rsidR="00F30875" w:rsidRPr="00361937">
        <w:t>-ART</w:t>
      </w:r>
      <w:r w:rsidR="00862121" w:rsidRPr="00361937">
        <w:t xml:space="preserve"> group</w:t>
      </w:r>
      <w:r w:rsidR="00FD06DD" w:rsidRPr="00361937">
        <w:t>,</w:t>
      </w:r>
      <w:r w:rsidR="004C78E0" w:rsidRPr="00361937">
        <w:t xml:space="preserve"> respectively</w:t>
      </w:r>
      <w:r w:rsidR="00862121" w:rsidRPr="00361937">
        <w:t xml:space="preserve">) </w:t>
      </w:r>
      <w:r w:rsidR="00D97967" w:rsidRPr="00361937">
        <w:t>(Table</w:t>
      </w:r>
      <w:r w:rsidR="00393BC7" w:rsidRPr="00361937">
        <w:t xml:space="preserve"> 3</w:t>
      </w:r>
      <w:r w:rsidR="00FF0CBD" w:rsidRPr="00361937">
        <w:t>)</w:t>
      </w:r>
      <w:r w:rsidR="007B7249" w:rsidRPr="00361937">
        <w:t xml:space="preserve">. </w:t>
      </w:r>
      <w:r w:rsidR="008245FF" w:rsidRPr="00361937">
        <w:t xml:space="preserve">None of the SAEs </w:t>
      </w:r>
      <w:r w:rsidR="0069253B" w:rsidRPr="00361937">
        <w:t xml:space="preserve">and AESIs </w:t>
      </w:r>
      <w:r w:rsidR="008245FF" w:rsidRPr="00361937">
        <w:t>were</w:t>
      </w:r>
      <w:r w:rsidR="00D32C88" w:rsidRPr="00361937">
        <w:t xml:space="preserve"> judged to</w:t>
      </w:r>
      <w:r w:rsidR="008245FF" w:rsidRPr="00361937">
        <w:t xml:space="preserve"> </w:t>
      </w:r>
      <w:r w:rsidR="00DF2F27" w:rsidRPr="00361937">
        <w:t xml:space="preserve">be </w:t>
      </w:r>
      <w:r w:rsidR="00E97481" w:rsidRPr="00361937">
        <w:t>definitely</w:t>
      </w:r>
      <w:r w:rsidR="008245FF" w:rsidRPr="00361937">
        <w:t xml:space="preserve"> related to DPQ. </w:t>
      </w:r>
      <w:r w:rsidR="0091287A" w:rsidRPr="00361937">
        <w:t>Forty-</w:t>
      </w:r>
      <w:r w:rsidR="00E97481" w:rsidRPr="00361937">
        <w:t>eight</w:t>
      </w:r>
      <w:r w:rsidR="00D32C88" w:rsidRPr="00361937">
        <w:t xml:space="preserve"> (</w:t>
      </w:r>
      <w:r w:rsidR="00E97481" w:rsidRPr="00361937">
        <w:t>30.0</w:t>
      </w:r>
      <w:r w:rsidR="00160FC6" w:rsidRPr="00361937" w:rsidDel="00160FC6">
        <w:t xml:space="preserve"> </w:t>
      </w:r>
      <w:r w:rsidR="00D32C88" w:rsidRPr="00361937">
        <w:t xml:space="preserve">%) of the </w:t>
      </w:r>
      <w:r w:rsidR="0069253B" w:rsidRPr="00361937">
        <w:t>AESI</w:t>
      </w:r>
      <w:r w:rsidR="00160FC6" w:rsidRPr="00361937">
        <w:t>s</w:t>
      </w:r>
      <w:r w:rsidR="0069253B" w:rsidRPr="00361937">
        <w:t xml:space="preserve"> </w:t>
      </w:r>
      <w:r w:rsidR="00434C61" w:rsidRPr="00361937">
        <w:t>in the efavirenz</w:t>
      </w:r>
      <w:r w:rsidR="00F30875" w:rsidRPr="00361937">
        <w:t>-ART</w:t>
      </w:r>
      <w:r w:rsidR="00D32C88" w:rsidRPr="00361937">
        <w:t xml:space="preserve"> group and </w:t>
      </w:r>
      <w:r w:rsidR="00E464CC" w:rsidRPr="00361937">
        <w:t xml:space="preserve">8 </w:t>
      </w:r>
      <w:r w:rsidR="00160FC6" w:rsidRPr="00361937">
        <w:t>(13.1%)</w:t>
      </w:r>
      <w:r w:rsidR="00434C61" w:rsidRPr="00361937">
        <w:t xml:space="preserve"> in the nevirapine</w:t>
      </w:r>
      <w:r w:rsidR="00F30875" w:rsidRPr="00361937">
        <w:t>-ART</w:t>
      </w:r>
      <w:r w:rsidR="00D32C88" w:rsidRPr="00361937">
        <w:t xml:space="preserve"> group were judged to be </w:t>
      </w:r>
      <w:r w:rsidR="008C59EA" w:rsidRPr="00361937">
        <w:t>p</w:t>
      </w:r>
      <w:r w:rsidR="001479A2" w:rsidRPr="00361937">
        <w:t>robably</w:t>
      </w:r>
      <w:r w:rsidR="008C59EA" w:rsidRPr="00361937">
        <w:t xml:space="preserve"> </w:t>
      </w:r>
      <w:r w:rsidR="00D32C88" w:rsidRPr="00361937">
        <w:t>related to DPQ</w:t>
      </w:r>
      <w:r w:rsidR="00D97967" w:rsidRPr="00361937">
        <w:t xml:space="preserve"> (Table </w:t>
      </w:r>
      <w:r w:rsidR="004E7576" w:rsidRPr="00361937">
        <w:t>3</w:t>
      </w:r>
      <w:r w:rsidR="00D97967" w:rsidRPr="00361937">
        <w:t>)</w:t>
      </w:r>
      <w:r w:rsidR="00D32C88" w:rsidRPr="00361937">
        <w:t xml:space="preserve">. </w:t>
      </w:r>
      <w:r w:rsidR="006A2A4A" w:rsidRPr="00361937">
        <w:t xml:space="preserve">These were </w:t>
      </w:r>
      <w:r w:rsidR="00C51E5E" w:rsidRPr="00361937">
        <w:t xml:space="preserve">mostly </w:t>
      </w:r>
      <w:r w:rsidR="006A2A4A" w:rsidRPr="00361937">
        <w:t xml:space="preserve">cases of prolonged </w:t>
      </w:r>
      <w:r w:rsidR="00502D02" w:rsidRPr="00361937">
        <w:t>QTcF</w:t>
      </w:r>
      <w:r w:rsidR="00502D02" w:rsidRPr="00361937" w:rsidDel="00502D02">
        <w:t xml:space="preserve"> </w:t>
      </w:r>
      <w:r w:rsidR="006A2A4A" w:rsidRPr="00361937">
        <w:t xml:space="preserve">interval. </w:t>
      </w:r>
      <w:r w:rsidR="00F30875" w:rsidRPr="00361937">
        <w:t>O</w:t>
      </w:r>
      <w:r w:rsidR="006A2A4A" w:rsidRPr="00361937">
        <w:t xml:space="preserve">ne death </w:t>
      </w:r>
      <w:r w:rsidR="0004061D" w:rsidRPr="00361937">
        <w:t>o</w:t>
      </w:r>
      <w:r w:rsidR="00537D48" w:rsidRPr="00361937">
        <w:t xml:space="preserve">ccurred </w:t>
      </w:r>
      <w:r w:rsidR="00926E22" w:rsidRPr="00361937">
        <w:t>on</w:t>
      </w:r>
      <w:r w:rsidR="00537D48" w:rsidRPr="00361937">
        <w:t xml:space="preserve"> day </w:t>
      </w:r>
      <w:r w:rsidR="00926E22" w:rsidRPr="00361937">
        <w:t>59</w:t>
      </w:r>
      <w:r w:rsidR="00537D48" w:rsidRPr="00361937">
        <w:t xml:space="preserve"> </w:t>
      </w:r>
      <w:r w:rsidR="0004061D" w:rsidRPr="00361937">
        <w:t xml:space="preserve">in a participant </w:t>
      </w:r>
      <w:r w:rsidR="00434C61" w:rsidRPr="00361937">
        <w:t>on efavirenz</w:t>
      </w:r>
      <w:r w:rsidR="00F30875" w:rsidRPr="00361937">
        <w:t>-ART</w:t>
      </w:r>
      <w:r w:rsidR="008245FF" w:rsidRPr="00361937">
        <w:t xml:space="preserve"> </w:t>
      </w:r>
      <w:r w:rsidR="0004061D" w:rsidRPr="00361937">
        <w:t xml:space="preserve">who </w:t>
      </w:r>
      <w:r w:rsidR="00156724" w:rsidRPr="00361937">
        <w:t xml:space="preserve">had </w:t>
      </w:r>
      <w:r w:rsidR="008245FF" w:rsidRPr="00361937">
        <w:t xml:space="preserve">been treated for deep vein thrombosis from day 33 and had </w:t>
      </w:r>
      <w:r w:rsidR="00F30875" w:rsidRPr="00361937">
        <w:t xml:space="preserve">CD4 count </w:t>
      </w:r>
      <w:r w:rsidR="008245FF" w:rsidRPr="00361937">
        <w:t xml:space="preserve">persistently </w:t>
      </w:r>
      <w:r w:rsidR="00F30875" w:rsidRPr="00361937">
        <w:t xml:space="preserve">below </w:t>
      </w:r>
      <w:r w:rsidR="00156724" w:rsidRPr="00361937">
        <w:t xml:space="preserve">50 </w:t>
      </w:r>
      <w:r w:rsidR="00926E22" w:rsidRPr="00361937">
        <w:t>since</w:t>
      </w:r>
      <w:r w:rsidR="00156724" w:rsidRPr="00361937">
        <w:t xml:space="preserve"> </w:t>
      </w:r>
      <w:r w:rsidR="00156724" w:rsidRPr="00361937">
        <w:lastRenderedPageBreak/>
        <w:t>enrolment</w:t>
      </w:r>
      <w:r w:rsidR="00926E22" w:rsidRPr="00361937">
        <w:t xml:space="preserve">. </w:t>
      </w:r>
      <w:r w:rsidR="00EE0CB9" w:rsidRPr="00361937">
        <w:t>Additional file 3</w:t>
      </w:r>
      <w:r w:rsidR="006D61B9" w:rsidRPr="00361937">
        <w:t xml:space="preserve"> </w:t>
      </w:r>
      <w:r w:rsidR="00287C04" w:rsidRPr="00361937">
        <w:t>provides details on the SAEs that occurred during follow up.</w:t>
      </w:r>
      <w:r w:rsidR="005D4AAD" w:rsidRPr="00361937">
        <w:t xml:space="preserve"> Except for the death, all participants with AESI</w:t>
      </w:r>
      <w:r w:rsidR="003232F7" w:rsidRPr="00361937">
        <w:t>s</w:t>
      </w:r>
      <w:r w:rsidR="005D4AAD" w:rsidRPr="00361937">
        <w:t xml:space="preserve"> and SAE</w:t>
      </w:r>
      <w:r w:rsidR="003232F7" w:rsidRPr="00361937">
        <w:t>s</w:t>
      </w:r>
      <w:r w:rsidR="00CA0539" w:rsidRPr="00361937">
        <w:t xml:space="preserve"> recovered without seque</w:t>
      </w:r>
      <w:r w:rsidR="005D4AAD" w:rsidRPr="00361937">
        <w:t xml:space="preserve">lae.  </w:t>
      </w:r>
    </w:p>
    <w:p w:rsidR="00251B5D" w:rsidRPr="00361937" w:rsidRDefault="00251B5D" w:rsidP="00A95E29">
      <w:pPr>
        <w:spacing w:line="480" w:lineRule="auto"/>
      </w:pPr>
    </w:p>
    <w:p w:rsidR="00537D48" w:rsidRPr="00361937" w:rsidRDefault="00537D48" w:rsidP="00A95E29">
      <w:pPr>
        <w:spacing w:line="480" w:lineRule="auto"/>
        <w:rPr>
          <w:b/>
        </w:rPr>
      </w:pPr>
      <w:r w:rsidRPr="00361937">
        <w:rPr>
          <w:b/>
        </w:rPr>
        <w:t>H</w:t>
      </w:r>
      <w:r w:rsidR="00A95E29" w:rsidRPr="00361937">
        <w:rPr>
          <w:b/>
        </w:rPr>
        <w:t>a</w:t>
      </w:r>
      <w:r w:rsidRPr="00361937">
        <w:rPr>
          <w:b/>
        </w:rPr>
        <w:t>ematological parameters</w:t>
      </w:r>
    </w:p>
    <w:p w:rsidR="0048618B" w:rsidRPr="00361937" w:rsidRDefault="009E03F1" w:rsidP="00A95E29">
      <w:pPr>
        <w:spacing w:line="480" w:lineRule="auto"/>
      </w:pPr>
      <w:r w:rsidRPr="00361937">
        <w:t>The mean (SD) h</w:t>
      </w:r>
      <w:r w:rsidR="0091287A" w:rsidRPr="00361937">
        <w:t>a</w:t>
      </w:r>
      <w:r w:rsidRPr="00361937">
        <w:t>emoglobin concentration decreased f</w:t>
      </w:r>
      <w:r w:rsidR="00741090" w:rsidRPr="00361937">
        <w:t>rom baseline</w:t>
      </w:r>
      <w:r w:rsidR="00DF06A0" w:rsidRPr="00361937">
        <w:t xml:space="preserve"> to </w:t>
      </w:r>
      <w:r w:rsidR="00D97D97" w:rsidRPr="00361937">
        <w:t>d</w:t>
      </w:r>
      <w:r w:rsidR="000B3EC7" w:rsidRPr="00361937">
        <w:t>ay 7 (efavirenz</w:t>
      </w:r>
      <w:r w:rsidR="009D77A8" w:rsidRPr="00361937">
        <w:t>-ART group</w:t>
      </w:r>
      <w:r w:rsidR="00DF06A0" w:rsidRPr="00361937">
        <w:t>: 12.2 to 11.7g/dL</w:t>
      </w:r>
      <w:r w:rsidR="009D77A8" w:rsidRPr="00361937">
        <w:t>, p&lt;0.001</w:t>
      </w:r>
      <w:r w:rsidR="00741090" w:rsidRPr="00361937">
        <w:t xml:space="preserve"> </w:t>
      </w:r>
      <w:r w:rsidR="000B3EC7" w:rsidRPr="00361937">
        <w:t>and nevirapine</w:t>
      </w:r>
      <w:r w:rsidR="009D77A8" w:rsidRPr="00361937">
        <w:t>-ART group</w:t>
      </w:r>
      <w:r w:rsidR="00DF06A0" w:rsidRPr="00361937">
        <w:t>: 11.7 to 10.7 g/dL</w:t>
      </w:r>
      <w:r w:rsidR="009D77A8" w:rsidRPr="00361937">
        <w:t xml:space="preserve">, </w:t>
      </w:r>
      <w:r w:rsidR="00741090" w:rsidRPr="00361937">
        <w:t>p&lt;0.001</w:t>
      </w:r>
      <w:r w:rsidR="009D77A8" w:rsidRPr="00361937">
        <w:t>)</w:t>
      </w:r>
      <w:r w:rsidR="0091287A" w:rsidRPr="00361937">
        <w:t>,</w:t>
      </w:r>
      <w:r w:rsidR="00741090" w:rsidRPr="00361937">
        <w:t xml:space="preserve"> </w:t>
      </w:r>
      <w:r w:rsidRPr="00361937">
        <w:t xml:space="preserve">but increased thereafter up to </w:t>
      </w:r>
      <w:r w:rsidR="00D97D97" w:rsidRPr="00361937">
        <w:t>d</w:t>
      </w:r>
      <w:r w:rsidRPr="00361937">
        <w:t>ay 42</w:t>
      </w:r>
      <w:r w:rsidR="00133065" w:rsidRPr="00361937">
        <w:t xml:space="preserve">, </w:t>
      </w:r>
      <w:r w:rsidR="00DF06A0" w:rsidRPr="00361937">
        <w:t>from 11.7 to 12.4 g/dL</w:t>
      </w:r>
      <w:r w:rsidR="000B3EC7" w:rsidRPr="00361937">
        <w:t xml:space="preserve"> in the efavinrez</w:t>
      </w:r>
      <w:r w:rsidR="009D77A8" w:rsidRPr="00361937">
        <w:t>-ART</w:t>
      </w:r>
      <w:r w:rsidR="004066C8" w:rsidRPr="00361937">
        <w:t xml:space="preserve"> group</w:t>
      </w:r>
      <w:r w:rsidR="009D77A8" w:rsidRPr="00361937">
        <w:t xml:space="preserve"> (p&lt;0.001)</w:t>
      </w:r>
      <w:r w:rsidR="00DF06A0" w:rsidRPr="00361937">
        <w:t xml:space="preserve">  and from 10.7 to 11.6 g/dL</w:t>
      </w:r>
      <w:r w:rsidR="000B3EC7" w:rsidRPr="00361937">
        <w:t xml:space="preserve"> in the nevirapine</w:t>
      </w:r>
      <w:r w:rsidR="009D77A8" w:rsidRPr="00361937">
        <w:t>-ART</w:t>
      </w:r>
      <w:r w:rsidR="004066C8" w:rsidRPr="00361937">
        <w:t xml:space="preserve"> group (p&lt;0.001)</w:t>
      </w:r>
      <w:r w:rsidRPr="00361937">
        <w:t xml:space="preserve">. </w:t>
      </w:r>
      <w:r w:rsidR="002E3796" w:rsidRPr="00361937">
        <w:t xml:space="preserve">Following </w:t>
      </w:r>
      <w:r w:rsidR="009D77A8" w:rsidRPr="00361937">
        <w:t xml:space="preserve">DPQ </w:t>
      </w:r>
      <w:r w:rsidR="002E3796" w:rsidRPr="00361937">
        <w:t>treatment, t</w:t>
      </w:r>
      <w:r w:rsidR="00133065" w:rsidRPr="00361937">
        <w:t>he median (IQR) CD4 cell count increased f</w:t>
      </w:r>
      <w:r w:rsidR="002E3796" w:rsidRPr="00361937">
        <w:t xml:space="preserve">rom baseline to </w:t>
      </w:r>
      <w:r w:rsidR="00D97D97" w:rsidRPr="00361937">
        <w:t>d</w:t>
      </w:r>
      <w:r w:rsidR="002E3796" w:rsidRPr="00361937">
        <w:t>ay 28, from 257</w:t>
      </w:r>
      <w:r w:rsidR="00E93ED1" w:rsidRPr="00361937">
        <w:t xml:space="preserve"> (140-357) to 320 (216-521</w:t>
      </w:r>
      <w:r w:rsidR="000B3EC7" w:rsidRPr="00361937">
        <w:t>) in the efavirenz</w:t>
      </w:r>
      <w:r w:rsidR="009D77A8" w:rsidRPr="00361937">
        <w:t>-ART</w:t>
      </w:r>
      <w:r w:rsidR="00133065" w:rsidRPr="00361937">
        <w:t xml:space="preserve"> group </w:t>
      </w:r>
      <w:r w:rsidR="00DF2F27" w:rsidRPr="00361937">
        <w:t xml:space="preserve">(p&lt;0.001) </w:t>
      </w:r>
      <w:r w:rsidR="00133065" w:rsidRPr="00361937">
        <w:t>and from 3</w:t>
      </w:r>
      <w:r w:rsidR="00E93ED1" w:rsidRPr="00361937">
        <w:t>90 (204-500)  to 429 (204-580</w:t>
      </w:r>
      <w:r w:rsidR="00133065" w:rsidRPr="00361937">
        <w:t xml:space="preserve">) in the </w:t>
      </w:r>
      <w:r w:rsidR="000B3EC7" w:rsidRPr="00361937">
        <w:t>nevirapine</w:t>
      </w:r>
      <w:r w:rsidR="009D77A8" w:rsidRPr="00361937">
        <w:t>-ART</w:t>
      </w:r>
      <w:r w:rsidR="00B85AB4" w:rsidRPr="00361937">
        <w:t xml:space="preserve"> group</w:t>
      </w:r>
      <w:r w:rsidR="00DF2F27" w:rsidRPr="00361937">
        <w:t xml:space="preserve"> (p=0.133).</w:t>
      </w:r>
      <w:r w:rsidR="00133065" w:rsidRPr="00361937">
        <w:t xml:space="preserve">  </w:t>
      </w:r>
    </w:p>
    <w:p w:rsidR="004410D0" w:rsidRPr="00361937" w:rsidRDefault="004410D0" w:rsidP="00A95E29">
      <w:pPr>
        <w:spacing w:line="480" w:lineRule="auto"/>
      </w:pPr>
    </w:p>
    <w:p w:rsidR="00B85AB4" w:rsidRPr="00361937" w:rsidRDefault="00ED2B4F" w:rsidP="00A95E29">
      <w:pPr>
        <w:spacing w:line="480" w:lineRule="auto"/>
        <w:rPr>
          <w:b/>
        </w:rPr>
      </w:pPr>
      <w:r w:rsidRPr="00361937">
        <w:rPr>
          <w:b/>
        </w:rPr>
        <w:t>QT interval</w:t>
      </w:r>
      <w:r w:rsidR="00965A50" w:rsidRPr="00361937">
        <w:rPr>
          <w:b/>
        </w:rPr>
        <w:t xml:space="preserve"> abnormalities  </w:t>
      </w:r>
    </w:p>
    <w:p w:rsidR="005571A7" w:rsidRPr="00361937" w:rsidRDefault="00DF2F27" w:rsidP="00A95E29">
      <w:pPr>
        <w:spacing w:line="480" w:lineRule="auto"/>
      </w:pPr>
      <w:r w:rsidRPr="00361937">
        <w:t xml:space="preserve">Data on baseline </w:t>
      </w:r>
      <w:r w:rsidR="009D2792" w:rsidRPr="00361937">
        <w:t xml:space="preserve">QTcF </w:t>
      </w:r>
      <w:r w:rsidRPr="00361937">
        <w:t xml:space="preserve">interval were available for </w:t>
      </w:r>
      <w:r w:rsidR="00733605" w:rsidRPr="00361937">
        <w:t xml:space="preserve"> 218 participants</w:t>
      </w:r>
      <w:r w:rsidRPr="00361937">
        <w:t>;</w:t>
      </w:r>
      <w:r w:rsidR="00733605" w:rsidRPr="00361937">
        <w:t xml:space="preserve"> </w:t>
      </w:r>
      <w:r w:rsidR="0046162C" w:rsidRPr="00361937">
        <w:t>158</w:t>
      </w:r>
      <w:r w:rsidR="00A73B27" w:rsidRPr="00361937">
        <w:t xml:space="preserve"> </w:t>
      </w:r>
      <w:r w:rsidR="00FE34F5" w:rsidRPr="00361937">
        <w:t xml:space="preserve">and </w:t>
      </w:r>
      <w:r w:rsidR="000B3EC7" w:rsidRPr="00361937">
        <w:t>60 in the efavirenz</w:t>
      </w:r>
      <w:r w:rsidR="009D77A8" w:rsidRPr="00361937">
        <w:t>-ART</w:t>
      </w:r>
      <w:r w:rsidR="0046162C" w:rsidRPr="00361937">
        <w:t xml:space="preserve"> and</w:t>
      </w:r>
      <w:r w:rsidR="000B3EC7" w:rsidRPr="00361937">
        <w:t xml:space="preserve"> nevirapine</w:t>
      </w:r>
      <w:r w:rsidR="009D77A8" w:rsidRPr="00361937">
        <w:t>-ART</w:t>
      </w:r>
      <w:r w:rsidR="00FE34F5" w:rsidRPr="00361937">
        <w:t xml:space="preserve"> </w:t>
      </w:r>
      <w:r w:rsidR="009D77A8" w:rsidRPr="00361937">
        <w:t>group</w:t>
      </w:r>
      <w:r w:rsidR="0046162C" w:rsidRPr="00361937">
        <w:t>, respectively</w:t>
      </w:r>
      <w:r w:rsidR="00FE34F5" w:rsidRPr="00361937">
        <w:t xml:space="preserve">. </w:t>
      </w:r>
      <w:r w:rsidR="00CB0B8E" w:rsidRPr="00361937">
        <w:t>The proportion</w:t>
      </w:r>
      <w:r w:rsidR="009D77A8" w:rsidRPr="00361937">
        <w:t>s</w:t>
      </w:r>
      <w:r w:rsidR="004B3492" w:rsidRPr="00361937">
        <w:t xml:space="preserve"> </w:t>
      </w:r>
      <w:r w:rsidR="00CB0B8E" w:rsidRPr="00361937">
        <w:t>of participants with predose QTc</w:t>
      </w:r>
      <w:r w:rsidR="009D2792" w:rsidRPr="00361937">
        <w:t>F</w:t>
      </w:r>
      <w:r w:rsidR="00CB0B8E" w:rsidRPr="00361937">
        <w:t xml:space="preserve"> </w:t>
      </w:r>
      <w:r w:rsidR="006E321D" w:rsidRPr="00361937">
        <w:sym w:font="Symbol" w:char="F0B3"/>
      </w:r>
      <w:r w:rsidR="006E321D" w:rsidRPr="00361937">
        <w:t>450msec</w:t>
      </w:r>
      <w:r w:rsidR="0063356E" w:rsidRPr="00361937">
        <w:t xml:space="preserve"> </w:t>
      </w:r>
      <w:r w:rsidR="009D77A8" w:rsidRPr="00361937">
        <w:t xml:space="preserve">were </w:t>
      </w:r>
      <w:r w:rsidR="0063356E" w:rsidRPr="00361937">
        <w:t>3.8% (</w:t>
      </w:r>
      <w:r w:rsidR="004B3492" w:rsidRPr="00361937">
        <w:t>6/158</w:t>
      </w:r>
      <w:r w:rsidR="000B3EC7" w:rsidRPr="00361937">
        <w:t>) in the efavirenz</w:t>
      </w:r>
      <w:r w:rsidR="009D77A8" w:rsidRPr="00361937">
        <w:t>-ART</w:t>
      </w:r>
      <w:r w:rsidR="006E321D" w:rsidRPr="00361937">
        <w:t xml:space="preserve"> </w:t>
      </w:r>
      <w:r w:rsidR="005D43CF" w:rsidRPr="00361937">
        <w:t xml:space="preserve">group </w:t>
      </w:r>
      <w:r w:rsidR="006E321D" w:rsidRPr="00361937">
        <w:t xml:space="preserve">and </w:t>
      </w:r>
      <w:r w:rsidR="00404B80" w:rsidRPr="00361937">
        <w:t>11.</w:t>
      </w:r>
      <w:r w:rsidR="0063356E" w:rsidRPr="00361937">
        <w:t>7</w:t>
      </w:r>
      <w:r w:rsidR="006E321D" w:rsidRPr="00361937">
        <w:t xml:space="preserve">% </w:t>
      </w:r>
      <w:r w:rsidR="0063356E" w:rsidRPr="00361937">
        <w:t>(7/60</w:t>
      </w:r>
      <w:r w:rsidR="000B3EC7" w:rsidRPr="00361937">
        <w:t>) in the nevirapine</w:t>
      </w:r>
      <w:r w:rsidR="009D77A8" w:rsidRPr="00361937">
        <w:t>-ART</w:t>
      </w:r>
      <w:r w:rsidR="006E321D" w:rsidRPr="00361937">
        <w:t xml:space="preserve"> </w:t>
      </w:r>
      <w:r w:rsidR="005D43CF" w:rsidRPr="00361937">
        <w:t>group</w:t>
      </w:r>
      <w:r w:rsidR="006E321D" w:rsidRPr="00361937">
        <w:t xml:space="preserve">. </w:t>
      </w:r>
      <w:r w:rsidR="000A727F" w:rsidRPr="00361937">
        <w:t xml:space="preserve">Only </w:t>
      </w:r>
      <w:r w:rsidR="00FE34F5" w:rsidRPr="00361937">
        <w:t xml:space="preserve">4 </w:t>
      </w:r>
      <w:r w:rsidR="000A727F" w:rsidRPr="00361937">
        <w:t xml:space="preserve">participants </w:t>
      </w:r>
      <w:r w:rsidR="000B3EC7" w:rsidRPr="00361937">
        <w:t>in the efavirenz</w:t>
      </w:r>
      <w:r w:rsidR="009D77A8" w:rsidRPr="00361937">
        <w:t>-ART</w:t>
      </w:r>
      <w:r w:rsidR="000A727F" w:rsidRPr="00361937">
        <w:t xml:space="preserve"> </w:t>
      </w:r>
      <w:r w:rsidR="009D77A8" w:rsidRPr="00361937">
        <w:t xml:space="preserve">group </w:t>
      </w:r>
      <w:r w:rsidR="000A727F" w:rsidRPr="00361937">
        <w:t xml:space="preserve">had </w:t>
      </w:r>
      <w:r w:rsidR="00FE34F5" w:rsidRPr="00361937">
        <w:t>missing QTc</w:t>
      </w:r>
      <w:r w:rsidR="000B3EC7" w:rsidRPr="00361937">
        <w:t>F</w:t>
      </w:r>
      <w:r w:rsidR="00FE34F5" w:rsidRPr="00361937">
        <w:t xml:space="preserve"> values </w:t>
      </w:r>
      <w:r w:rsidR="000A727F" w:rsidRPr="00361937">
        <w:t>on day 2 (last day of treatment)</w:t>
      </w:r>
      <w:r w:rsidR="00FE34F5" w:rsidRPr="00361937">
        <w:t xml:space="preserve">.  </w:t>
      </w:r>
      <w:r w:rsidRPr="00361937">
        <w:t>A</w:t>
      </w:r>
      <w:r w:rsidR="00992D0C" w:rsidRPr="00361937">
        <w:t xml:space="preserve"> change in QTc</w:t>
      </w:r>
      <w:r w:rsidR="009D2792" w:rsidRPr="00361937">
        <w:t>F</w:t>
      </w:r>
      <w:r w:rsidR="00992D0C" w:rsidRPr="00361937">
        <w:t xml:space="preserve"> interval </w:t>
      </w:r>
      <w:r w:rsidRPr="00361937">
        <w:t xml:space="preserve">of &gt;60msec </w:t>
      </w:r>
      <w:r w:rsidR="00992D0C" w:rsidRPr="00361937">
        <w:t>from bas</w:t>
      </w:r>
      <w:r w:rsidR="00EA7CBF" w:rsidRPr="00361937">
        <w:t xml:space="preserve">eline to day 2 </w:t>
      </w:r>
      <w:r w:rsidRPr="00361937">
        <w:t xml:space="preserve">occurred in </w:t>
      </w:r>
      <w:r w:rsidR="00E97481" w:rsidRPr="00361937">
        <w:t>31.2</w:t>
      </w:r>
      <w:r w:rsidR="004222A3" w:rsidRPr="00361937">
        <w:t>% (</w:t>
      </w:r>
      <w:r w:rsidR="00E97481" w:rsidRPr="00361937">
        <w:t>48</w:t>
      </w:r>
      <w:r w:rsidR="00EA7CBF" w:rsidRPr="00361937">
        <w:t>/</w:t>
      </w:r>
      <w:r w:rsidR="000B3EC7" w:rsidRPr="00361937">
        <w:t>154) and 13.3% (8/60) in the efavirenz and nevirapine</w:t>
      </w:r>
      <w:r w:rsidR="00EA7CBF" w:rsidRPr="00361937">
        <w:t xml:space="preserve"> </w:t>
      </w:r>
      <w:r w:rsidR="005D43CF" w:rsidRPr="00361937">
        <w:t>groups</w:t>
      </w:r>
      <w:r w:rsidR="0091287A" w:rsidRPr="00361937">
        <w:t>,</w:t>
      </w:r>
      <w:r w:rsidR="00EA7CBF" w:rsidRPr="00361937">
        <w:t xml:space="preserve"> respectively</w:t>
      </w:r>
      <w:r w:rsidR="00C5390D" w:rsidRPr="00361937">
        <w:t xml:space="preserve"> (Table 4)</w:t>
      </w:r>
      <w:r w:rsidR="00EA7CBF" w:rsidRPr="00361937">
        <w:t xml:space="preserve">. </w:t>
      </w:r>
      <w:r w:rsidR="008D3203" w:rsidRPr="00361937">
        <w:t xml:space="preserve"> </w:t>
      </w:r>
      <w:r w:rsidR="00393BC7" w:rsidRPr="00361937">
        <w:t>No</w:t>
      </w:r>
      <w:r w:rsidR="00262FE2" w:rsidRPr="00361937">
        <w:t xml:space="preserve"> participant had an absolute day 2 QTc</w:t>
      </w:r>
      <w:r w:rsidR="009D2792" w:rsidRPr="00361937">
        <w:t>F</w:t>
      </w:r>
      <w:r w:rsidR="00262FE2" w:rsidRPr="00361937">
        <w:t xml:space="preserve"> interval </w:t>
      </w:r>
      <w:r w:rsidR="00262FE2" w:rsidRPr="00361937">
        <w:sym w:font="Symbol" w:char="F0B3"/>
      </w:r>
      <w:r w:rsidR="00F175FF" w:rsidRPr="00361937">
        <w:t xml:space="preserve">500msec. Observed </w:t>
      </w:r>
      <w:r w:rsidR="00262FE2" w:rsidRPr="00361937">
        <w:t>QTc</w:t>
      </w:r>
      <w:r w:rsidR="009D2792" w:rsidRPr="00361937">
        <w:t>F</w:t>
      </w:r>
      <w:r w:rsidR="00262FE2" w:rsidRPr="00361937">
        <w:t xml:space="preserve"> interval abnormalities </w:t>
      </w:r>
      <w:r w:rsidR="00F175FF" w:rsidRPr="00361937">
        <w:t xml:space="preserve">resolved by day </w:t>
      </w:r>
      <w:r w:rsidR="00393BC7" w:rsidRPr="00361937">
        <w:t xml:space="preserve">7 or </w:t>
      </w:r>
      <w:r w:rsidR="00F175FF" w:rsidRPr="00361937">
        <w:t>14</w:t>
      </w:r>
      <w:r w:rsidR="00CF21EB" w:rsidRPr="00361937">
        <w:t xml:space="preserve"> of follow up</w:t>
      </w:r>
      <w:r w:rsidR="00F175FF" w:rsidRPr="00361937">
        <w:t xml:space="preserve">. </w:t>
      </w:r>
      <w:r w:rsidR="000A727F" w:rsidRPr="00361937">
        <w:t>No</w:t>
      </w:r>
      <w:r w:rsidR="0068150B" w:rsidRPr="00361937">
        <w:t xml:space="preserve"> </w:t>
      </w:r>
      <w:r w:rsidR="004E2DE6" w:rsidRPr="00361937">
        <w:t xml:space="preserve">cardiovascular </w:t>
      </w:r>
      <w:r w:rsidR="0068150B" w:rsidRPr="00361937">
        <w:t>abnormalities</w:t>
      </w:r>
      <w:r w:rsidR="004E2DE6" w:rsidRPr="00361937">
        <w:t xml:space="preserve"> </w:t>
      </w:r>
      <w:r w:rsidR="000A727F" w:rsidRPr="00361937">
        <w:t>were detected</w:t>
      </w:r>
      <w:r w:rsidR="004E2DE6" w:rsidRPr="00361937">
        <w:t xml:space="preserve"> </w:t>
      </w:r>
      <w:r w:rsidR="00FB2F8A" w:rsidRPr="00361937">
        <w:t xml:space="preserve">in </w:t>
      </w:r>
      <w:r w:rsidR="003002B3" w:rsidRPr="00361937">
        <w:t>these individuals.</w:t>
      </w:r>
    </w:p>
    <w:p w:rsidR="00BC2ACB" w:rsidRPr="00361937" w:rsidRDefault="00BC2ACB" w:rsidP="00A95E29">
      <w:pPr>
        <w:spacing w:line="480" w:lineRule="auto"/>
      </w:pPr>
    </w:p>
    <w:p w:rsidR="00A95E29" w:rsidRPr="00361937" w:rsidRDefault="00211EE1" w:rsidP="00A95E29">
      <w:pPr>
        <w:spacing w:line="480" w:lineRule="auto"/>
        <w:outlineLvl w:val="0"/>
        <w:rPr>
          <w:b/>
        </w:rPr>
      </w:pPr>
      <w:r w:rsidRPr="00361937">
        <w:rPr>
          <w:b/>
        </w:rPr>
        <w:lastRenderedPageBreak/>
        <w:t>Discussion</w:t>
      </w:r>
    </w:p>
    <w:p w:rsidR="00211EE1" w:rsidRPr="00361937" w:rsidRDefault="00211EE1" w:rsidP="00A95E29">
      <w:pPr>
        <w:spacing w:line="480" w:lineRule="auto"/>
        <w:outlineLvl w:val="0"/>
        <w:rPr>
          <w:b/>
        </w:rPr>
      </w:pPr>
    </w:p>
    <w:p w:rsidR="00211EE1" w:rsidRPr="00361937" w:rsidRDefault="00BE1151" w:rsidP="00A95E29">
      <w:pPr>
        <w:spacing w:line="480" w:lineRule="auto"/>
      </w:pPr>
      <w:r w:rsidRPr="00361937">
        <w:t>The WHO recommends</w:t>
      </w:r>
      <w:r w:rsidR="00211EE1" w:rsidRPr="00361937">
        <w:t xml:space="preserve"> </w:t>
      </w:r>
      <w:r w:rsidR="00A46F09" w:rsidRPr="00361937">
        <w:t xml:space="preserve">the </w:t>
      </w:r>
      <w:r w:rsidR="00211EE1" w:rsidRPr="00361937">
        <w:t>use of first-line anti</w:t>
      </w:r>
      <w:r w:rsidR="0091287A" w:rsidRPr="00361937">
        <w:t>-</w:t>
      </w:r>
      <w:r w:rsidR="00211EE1" w:rsidRPr="00361937">
        <w:t>malarial drugs with PCR-</w:t>
      </w:r>
      <w:r w:rsidR="001F505E" w:rsidRPr="00361937">
        <w:t>corrected</w:t>
      </w:r>
      <w:r w:rsidR="00211EE1" w:rsidRPr="00361937">
        <w:t xml:space="preserve"> ACPR of </w:t>
      </w:r>
      <w:r w:rsidR="003232F7" w:rsidRPr="00361937">
        <w:t>&gt;</w:t>
      </w:r>
      <w:r w:rsidR="00211EE1" w:rsidRPr="00361937">
        <w:t>9</w:t>
      </w:r>
      <w:r w:rsidR="001A5CDA" w:rsidRPr="00361937">
        <w:t>0</w:t>
      </w:r>
      <w:r w:rsidR="00211EE1" w:rsidRPr="00361937">
        <w:t xml:space="preserve">%.  In this study, the </w:t>
      </w:r>
      <w:r w:rsidR="000B3EC7" w:rsidRPr="00361937">
        <w:t xml:space="preserve">day </w:t>
      </w:r>
      <w:r w:rsidR="00211EE1" w:rsidRPr="00361937">
        <w:t>42 PCR-</w:t>
      </w:r>
      <w:r w:rsidR="008E1439" w:rsidRPr="00361937">
        <w:t xml:space="preserve">corrected </w:t>
      </w:r>
      <w:r w:rsidR="00211EE1" w:rsidRPr="00361937">
        <w:t>ACPR for D</w:t>
      </w:r>
      <w:r w:rsidR="00A65C62" w:rsidRPr="00361937">
        <w:t>PQ exceeded 99% among adult HIV-infected</w:t>
      </w:r>
      <w:r w:rsidR="00211EE1" w:rsidRPr="00361937">
        <w:t xml:space="preserve"> patients with uncomplicated</w:t>
      </w:r>
      <w:r w:rsidR="000B3EC7" w:rsidRPr="00361937">
        <w:t xml:space="preserve"> malaria concurrently taking efavirenz- or nevirapine</w:t>
      </w:r>
      <w:r w:rsidR="00211EE1" w:rsidRPr="00361937">
        <w:t>-based ART</w:t>
      </w:r>
      <w:r w:rsidR="00C776D8" w:rsidRPr="00361937">
        <w:t xml:space="preserve">; </w:t>
      </w:r>
      <w:r w:rsidR="00211EE1" w:rsidRPr="00361937">
        <w:t>the lower limit of the 95%</w:t>
      </w:r>
      <w:r w:rsidR="00014B84" w:rsidRPr="00361937">
        <w:t xml:space="preserve"> </w:t>
      </w:r>
      <w:r w:rsidR="00211EE1" w:rsidRPr="00361937">
        <w:t xml:space="preserve">CI for the DPQ ACPR exceeded 95%.  </w:t>
      </w:r>
      <w:r w:rsidR="00C776D8" w:rsidRPr="00361937">
        <w:t>Rapid parasite clearance</w:t>
      </w:r>
      <w:r w:rsidR="00211EE1" w:rsidRPr="00361937">
        <w:t xml:space="preserve">, similar to </w:t>
      </w:r>
      <w:r w:rsidR="00C776D8" w:rsidRPr="00361937">
        <w:t xml:space="preserve">that in </w:t>
      </w:r>
      <w:r w:rsidR="00695B1C" w:rsidRPr="00361937">
        <w:t>HIV-uninfected</w:t>
      </w:r>
      <w:r w:rsidR="00211EE1" w:rsidRPr="00361937">
        <w:t xml:space="preserve"> individuals</w:t>
      </w:r>
      <w:r w:rsidR="00D8086C" w:rsidRPr="00361937">
        <w:t xml:space="preserve"> </w:t>
      </w:r>
      <w:r w:rsidR="002E24CD" w:rsidRPr="00361937">
        <w:fldChar w:fldCharType="begin" w:fldLock="1"/>
      </w:r>
      <w:r w:rsidR="008A6790" w:rsidRPr="00361937">
        <w:instrText>ADDIN CSL_CITATION {"citationItems":[{"id":"ITEM-1","itemData":{"DOI":"10.1186/1475-2875-11-233","ISBN":"1475-2875 (Electronic)\\r1475-2875 (Linking)","ISSN":"14752875","PMID":"22818552","abstract":"Background: Resistance in Plasmodium falciparum to commonly used anti-malarial drugs, especially chloroquine, is being increasingly documented in India. By 2007, the first-line treatment for uncomplicated malaria has been revised to recommend artemisinin-based combination therapy (ACT) for all confirmed P. falciparum cases. Objective: The objective of this study was to compare the efficacy, safety and tolerability between dihydroartemisinin-piperaquine (DP) and artesunate plus mefloquine (A + M) drug combinations in the treatment of uncomplicated P. falciparum malaria in India. Methods: Between 2006 and 2007, 150 patients with acute uncomplicated P. falciparum malaria were enrolled, randomized to DP (101) or A + M (49) and followed up for 63 days as part of an open-label, non-inferiority, randomized, phase III multicenter trial in Asia. Results: The heterogeneity analysis showed no statistically significant difference between India and the other countries involved in the phase III study, for both the PCR-corrected and uncorrected cure rates. As shown at the whole study level, both forms of ACT were highly efficacious in India. In fact, in the per protocol population, the 63-day cure rates were 100% for A + M and 98.8% for DP. The DP combination exerted a significant post-treatment prophylactic effect, and compared with A + M a significant reduction in the incidence of new infections for DP was observed (respectively 17.1% versus 7.5% of patients experienced new infection within follow up). Parasite and fever clearance was rapid in both treatment arms (median time to parasite clearance of one day for both groups). Both DP and A + M were well tolerated, with the majority of adverse events of mild or moderate severity. The frequencies of individual adverse events were generally similar between treatments, although the incidence of post treatment adverse events was slightly higher in patients who received A + M with respect to those treated with DP. Conclusion: DP is a new ACT displaying high efficacy and safety in the treatment of uncomplicated P. falciparum malaria and could potentially be considered for the first-line treatment of uncomplicated falciparum malaria in India. Trial registration: Current Controlled Trials ISRCTN 81306618","author":[{"dropping-particle":"","family":"Gargano","given":"Nicola","non-dropping-particle":"","parse-names":false,"suffix":""},{"dropping-particle":"","family":"Ubben","given":"David","non-dropping-particle":"","parse-names":false,"suffix":""},{"dropping-particle":"","family":"Tommasini","given":"Silva","non-dropping-particle":"","parse-names":false,"suffix":""},{"dropping-particle":"","family":"Bacchieri","given":"Antonella","non-dropping-particle":"","parse-names":false,"suffix":""},{"dropping-particle":"","family":"Corsi","given":"Marco","non-dropping-particle":"","parse-names":false,"suffix":""},{"dropping-particle":"","family":"Bhattacharyya","given":"Prabhash C","non-dropping-particle":"","parse-names":false,"suffix":""},{"dropping-particle":"","family":"Rao","given":"Bappanad HK","non-dropping-particle":"","parse-names":false,"suffix":""},{"dropping-particle":"","family":"Dubashi","given":"Nagesh","non-dropping-particle":"","parse-names":false,"suffix":""},{"dropping-particle":"","family":"Dev","given":"Vas","non-dropping-particle":"","parse-names":false,"suffix":""},{"dropping-particle":"","family":"Ghosh","given":"Susanta K","non-dropping-particle":"","parse-names":false,"suffix":""},{"dropping-particle":"","family":"Kumar","given":"Ashwani","non-dropping-particle":"","parse-names":false,"suffix":""},{"dropping-particle":"","family":"Srivastava","given":"Bina","non-dropping-particle":"","parse-names":false,"suffix":""},{"dropping-particle":"","family":"Valecha","given":"Neena","non-dropping-particle":"","parse-names":false,"suffix":""}],"container-title":"Malaria Journal","id":"ITEM-1","issue":"1","issued":{"date-parts":[["2012","7","20"]]},"page":"233","title":"Therapeutic efficacy and safety of dihydroartemisinin-piperaquine versus artesunate-mefloquine in uncomplicated Plasmodium falciparum malaria in India","type":"article-journal","volume":"11"},"uris":["http://www.mendeley.com/documents/?uuid=faffa521-65ef-3cab-8050-93334c9d8ec0"]},{"id":"ITEM-2","itemData":{"DOI":"10.1186/1471-2334-13-598","ISBN":"1471-2334 (Electronic)\\r1471-2334 (Linking)","ISSN":"14712334","PMID":"24354627","abstract":"Background: Malaria remains a major public health problem in developing countries. Then in these countries prompt access to effective antimalarial treatment such as Artemisinin based-Combination Therapies (ACT) proves to be an essential tool for controlling the disease. In Senegal, since 2006 a nationwide scaling up program of ACT is being implemented. In this context it has become relevant to monitor ACT efficacy and provide recommendations for the Senegalese national malaria control program.; Methods: An open randomized trial was conducted during two malaria transmission seasons (2011 and 2012) to assess the efficacy and safety of three combinations: dihydro-artemisinin-piperaquine (DHAPQ), artemether-lumefantrine (AL) and artesunate-amodiaquine (ASAQ). The primary end point of the study was represented by a PCR adjusted adequate clinical and parasitological response (ACPR) at day 28. Secondary end points included: (i) a ACPR at days 35 and 42, (ii) a parasite and fever clearance time, (iii) ACTs safety and tolerability. The 2003 WHO's protocol for antimalarial drug evaluation was used to assess each outcome.; Results: Overall, 534 patients were randomized selected to receive, either ASAQ (n = 180), AL (n = 178) or DHAPQ (n = 176). The PCR adjusted ACPR at day 28 was 99.41% for the group ASAQ, while that was 100% in the AL and DHAPQ groups (p = 0.37). The therapeutic efficacy was evaluated at 99.37% in the ASAQ arm versus 100% in AL and DHAPQ arm at day 35 (p = 0.37). At day 42, the ACPR was 99.27% in the ASAQ group versus 100% for both AL and DHAPQ groups, (p = 0.36). No serious adverse event was noted during the study period. Also a similar safety profile was noted in the 3 study groups.; Conclusion: In the context of scaling up of ACTs in Senegal, ASAQ, AL and DHAPQ are highly effective and safe antimalarial drugs. However, it's remains important to continue to monitor their efficacy.; Trial Registration: PACTR 201305000552290.;","author":[{"dropping-particle":"","family":"Sylla","given":"Khadime","non-dropping-particle":"","parse-names":false,"suffix":""},{"dropping-particle":"","family":"Abiola","given":"Annie","non-dropping-particle":"","parse-names":false,"suffix":""},{"dropping-particle":"","family":"Tine","given":"Roger C.K.","non-dropping-particle":"","parse-names":false,"suffix":""},{"dropping-particle":"","family":"Faye","given":"Babacar","non-dropping-particle":"","parse-names":false,"suffix":""},{"dropping-particle":"","family":"Sow","given":"Doudou","non-dropping-particle":"","parse-names":false,"suffix":""},{"dropping-particle":"","family":"Ndiaye","given":"Jean L.","non-dropping-particle":"","parse-names":false,"suffix":""},{"dropping-particle":"","family":"Ndiaye","given":"Magatte","non-dropping-particle":"","parse-names":false,"suffix":""},{"dropping-particle":"","family":"LO","given":"Aminata Colé","non-dropping-particle":"","parse-names":false,"suffix":""},{"dropping-particle":"","family":"Folly","given":"Kuaku","non-dropping-particle":"","parse-names":false,"suffix":""},{"dropping-particle":"","family":"Ndiaye","given":"Léon Amath","non-dropping-particle":"","parse-names":false,"suffix":""},{"dropping-particle":"","family":"Gaye","given":"Oumar","non-dropping-particle":"","parse-names":false,"suffix":""}],"container-title":"BMC Infectious Diseases","id":"ITEM-2","issue":"1","issued":{"date-parts":[["2013","12","20"]]},"page":"598","title":"Monitoring the efficacy and safety of three artemisinin based-combinations therapies in Senegal: Results from two years surveillance","type":"article-journal","volume":"13"},"uris":["http://www.mendeley.com/documents/?uuid=9c065666-68f6-3cb5-a3ca-4332aa9e1870"]},{"id":"ITEM-3","itemData":{"DOI":"10.1684/mst.2015.0524","ISBN":"2261-2211 (Electronic)","ISSN":"2261-2211","PMID":"26644184","abstract":"BACKGROUND Since 2006, artemisinin-based combination therapies (ACT) have been used to treat uncomplicated Plasmodium falciparum malaria in Senegal, as recommended by WHO. Recently, decreased parasite clearance with artemisinin derivatives has been reported in Cambodia and Thailand. The effectiveness of artemisinin derivatives in Africa must be monitored. This study was conducted to evaluate the efficacy and the tolerability of three ACT widely used in Senegal. METHODS From October 2010 to February 2011, a descriptive and analytical sequential study was conducted in adults and children to evaluate these three combinations: artemether-lumefantrine (AL), artesunate-amodiaquine (ASAQ), and dihydroartemisinin-piperaquine (DHAPQ). The study took place at the health posts of Deggo and Pikine and the health center of Guédiawaye, in the suburbs of Dakar. The primary endpoint was the PCR-corrected adequate clinical and parasitological response (ACPR) at day 28 (D28); the secondary endpoints included ACPR at D42, clearance times for parasites, fever, and gametocytes, and the incidence of adverse events. RESULTS The study included 393 patients: 139 in the AL group, 130 in the ASAQ group, and 124 in the DHAPQ group. In the intent-to-treat population, PCR-corrected ACPR at day 28 was 92.8% in the AL, 89.2% in the ASAQ, and 91.1% in the DHAPQ (p = 0.58) groups, and in the per-protocol population, 98.4%, 98.3%, and 100% respectively (p = 0.39). At D42, ACPR was 99.2% in the AL, and 99.1% in each of the ASAQ and DHAPQ arms (p = 1). No early therapeutic failure (ETF) was observed. The combinations were well tolerated, with no serious adverse events reported during the follow-up period. CONCLUSION These combinations are still effective and well-tolerated. Continued monitoring is nonetheless essential to detect early artemisinin resistance in Africa.","author":[{"dropping-particle":"","family":"Sow","given":"D","non-dropping-particle":"","parse-names":false,"suffix":""},{"dropping-particle":"","family":"Ndiaye","given":"J-L","non-dropping-particle":"","parse-names":false,"suffix":""},{"dropping-particle":"","family":"Sylla","given":"K","non-dropping-particle":"","parse-names":false,"suffix":""},{"dropping-particle":"","family":"Ba","given":"M S","non-dropping-particle":"","parse-names":false,"suffix":""},{"dropping-particle":"","family":"Tine","given":"R C K","non-dropping-particle":"","parse-names":false,"suffix":""},{"dropping-particle":"","family":"Faye","given":"B","non-dropping-particle":"","parse-names":false,"suffix":""},{"dropping-particle":"","family":"Pene","given":"M","non-dropping-particle":"","parse-names":false,"suffix":""},{"dropping-particle":"","family":"Ndiaye","given":"M","non-dropping-particle":"","parse-names":false,"suffix":""},{"dropping-particle":"","family":"Seck","given":"A","non-dropping-particle":"","parse-names":false,"suffix":""},{"dropping-particle":"","family":"Lo","given":"A C","non-dropping-particle":"","parse-names":false,"suffix":""},{"dropping-particle":"","family":"Abiola","given":"A","non-dropping-particle":"","parse-names":false,"suffix":""},{"dropping-particle":"","family":"Dieng","given":"Y","non-dropping-particle":"","parse-names":false,"suffix":""},{"dropping-particle":"","family":"Gaye","given":"O","non-dropping-particle":"","parse-names":false,"suffix":""}],"container-title":"Medecine et sante tropicales","id":"ITEM-3","issue":"1","issued":{"date-parts":[["2015"]]},"page":"45-50","title":"[Evaluation of the efficacy and safety of three 2-drug combinations for the treatment of uncomplicated Plasmodium falciparum malaria in Senegal: artesunate-amodiaquine, dihydroartemisinin-piperaquine, and artemether-lumefantrine].","type":"article-journal","volume":"26"},"uris":["http://www.mendeley.com/documents/?uuid=ce1c5965-2cb5-3275-b6de-da6e6536d423"]},{"id":"ITEM-4","itemData":{"DOI":"10.1186/s12936-018-2200-1","ISBN":"1475-2875","ISSN":"14752875","PMID":"29370844","abstract":"BACKGROUND Malaria endemic countries need to assess efficacy of anti-malarial treatments on a regular basis. Moreover, resistance to artemisinin that is established across mainland South-East Asia represents today a major threat to global health. Monitoring the efficacy of artemisinin-based combination therapies is of paramount importance to detect as early as possible the emergence of resistance in African countries that toll the highest burden of malaria morbidity and mortality. METHODS A WHO standard protocol was used to assess efficacy of the combinations artesunate-amodiaquine (AS-AQ Winthrop®), dihydroartemisinin-piperaquine (DHA-PPQ, Eurartesim®) and artemether-lumefantrine (AM-LM, Coartem®) taken under supervision and respecting pharmaceutical recommendations. The study enrolled for each treatment arm 212 children aged 6-59 months living in Maradi (Niger) and suffering with uncomplicated falciparum malaria. The Kaplan-Meier 42-day PCR-adjusted cure rate was the primary outcome. A standardized parasite clearance estimator was used to assess delayed parasite clearance as surrogate maker of suspected artemisinin resistance. RESULTS No early treatment failures were found in any of the study treatment arms. The day-42 PCR-adjusted cure rate estimates were 99.5, 98.4 and 99.0% in the AS-AQ, DHA-PPQ and AM-LM arms, respectively. The reinfection rate (expressed also as Kaplan-Meier estimates) was higher in the AM-LM arm (32.4%) than in the AS-AQ (13.8%) and the DHA-PPQ arm (24.9%). The parasite clearance rate constant was 0.27, 0.26 and 0.25 per hour for AS-AQ, DHA-PPQ and AM-LM, respectively. CONCLUSIONS All the three treatments evaluated largely meet WHO criteria (at least 95% efficacy). AS-AQ and AL-LM may continue to be used and DHA-PPQ may be also recommended as first-line treatment for uncomplicated falciparum malaria in Maradi. The parasite clearance rate were consistent with reference values indicating no suspected artemisinin resistance. Nevertheless, the monitoring of anti-malarial drug efficacy should continue. Trial registration details Registry number at ClinicalTrial.gov: NCT01755559.","author":[{"dropping-particle":"","family":"Grandesso","given":"Francesco","non-dropping-particle":"","parse-names":false,"suffix":""},{"dropping-particle":"","family":"Guindo","given":"Ousmane","non-dropping-particle":"","parse-names":false,"suffix":""},{"dropping-particle":"","family":"Woi Messe","given":"Lynda","non-dropping-particle":"","parse-names":false,"suffix":""},{"dropping-particle":"","family":"Makarimi","given":"Rockyath","non-dropping-particle":"","parse-names":false,"suffix":""},{"dropping-particle":"","family":"Traore","given":"Aliou","non-dropping-particle":"","parse-names":false,"suffix":""},{"dropping-particle":"","family":"Dama","given":"Souleymane","non-dropping-particle":"","parse-names":false,"suffix":""},{"dropping-particle":"","family":"Laminou","given":"Ibrahim Maman","non-dropping-particle":"","parse-names":false,"suffix":""},{"dropping-particle":"","family":"Rigal","given":"Jean","non-dropping-particle":"","parse-names":false,"suffix":""},{"dropping-particle":"","family":"Smet","given":"Martin","non-dropping-particle":"De","parse-names":false,"suffix":""},{"dropping-particle":"","family":"Ouwe Missi Oukem-Boyer","given":"Odile","non-dropping-particle":"","parse-names":false,"suffix":""},{"dropping-particle":"","family":"Doumbo","given":"Ogobara K.","non-dropping-particle":"","parse-names":false,"suffix":""},{"dropping-particle":"","family":"Djimdé","given":"Abdoulaye","non-dropping-particle":"","parse-names":false,"suffix":""},{"dropping-particle":"","family":"Etard","given":"Jean François","non-dropping-particle":"","parse-names":false,"suffix":""}],"container-title":"Malaria Journal","id":"ITEM-4","issue":"1","issued":{"date-parts":[["2018","12","25"]]},"page":"52","title":"Efficacy of artesunate-amodiaquine, dihydroartemisinin-piperaquine and artemether-lumefantrine for the treatment of uncomplicated Plasmodium falciparum malaria in Maradi, Niger NCT01755559 NCT","type":"article-journal","volume":"17"},"uris":["http://www.mendeley.com/documents/?uuid=d8b98a1b-913a-3afa-b2ee-486ac45b743b"]}],"mendeley":{"formattedCitation":"[28–31]","plainTextFormattedCitation":"[28–31]","previouslyFormattedCitation":"[28–31]"},"properties":{"noteIndex":0},"schema":"https://github.com/citation-style-language/schema/raw/master/csl-citation.json"}</w:instrText>
      </w:r>
      <w:r w:rsidR="002E24CD" w:rsidRPr="00361937">
        <w:fldChar w:fldCharType="separate"/>
      </w:r>
      <w:r w:rsidR="002427DA" w:rsidRPr="00361937">
        <w:rPr>
          <w:noProof/>
        </w:rPr>
        <w:t>[28–31]</w:t>
      </w:r>
      <w:r w:rsidR="002E24CD" w:rsidRPr="00361937">
        <w:fldChar w:fldCharType="end"/>
      </w:r>
      <w:r w:rsidR="00C776D8" w:rsidRPr="00361937">
        <w:t xml:space="preserve"> was </w:t>
      </w:r>
      <w:r w:rsidR="00C61745" w:rsidRPr="00361937">
        <w:t>achieved</w:t>
      </w:r>
      <w:r w:rsidR="00211EE1" w:rsidRPr="00361937">
        <w:t xml:space="preserve">, irrespective of the type of ART taken by the study participants. </w:t>
      </w:r>
      <w:r w:rsidR="00FD583E" w:rsidRPr="00361937">
        <w:t>M</w:t>
      </w:r>
      <w:r w:rsidR="005D43CF" w:rsidRPr="00361937">
        <w:t>alaria rei</w:t>
      </w:r>
      <w:r w:rsidR="00A6490C" w:rsidRPr="00361937">
        <w:t xml:space="preserve">nfections </w:t>
      </w:r>
      <w:r w:rsidR="004C76D5" w:rsidRPr="00361937">
        <w:t xml:space="preserve">occurred </w:t>
      </w:r>
      <w:r w:rsidR="000B3EC7" w:rsidRPr="00361937">
        <w:t>in the efavirenz</w:t>
      </w:r>
      <w:r w:rsidR="00FD583E" w:rsidRPr="00361937">
        <w:t>-ART</w:t>
      </w:r>
      <w:r w:rsidR="00A6490C" w:rsidRPr="00361937">
        <w:t xml:space="preserve"> group</w:t>
      </w:r>
      <w:r w:rsidR="005D43CF" w:rsidRPr="00361937">
        <w:t xml:space="preserve"> but</w:t>
      </w:r>
      <w:r w:rsidR="00A6490C" w:rsidRPr="00361937">
        <w:t>,</w:t>
      </w:r>
      <w:r w:rsidR="005D43CF" w:rsidRPr="00361937">
        <w:t xml:space="preserve"> overall</w:t>
      </w:r>
      <w:r w:rsidR="00A6490C" w:rsidRPr="00361937">
        <w:t>,</w:t>
      </w:r>
      <w:r w:rsidR="000B3EC7" w:rsidRPr="00361937">
        <w:t xml:space="preserve"> day </w:t>
      </w:r>
      <w:r w:rsidR="00211EE1" w:rsidRPr="00361937">
        <w:t>42-PCR un</w:t>
      </w:r>
      <w:r w:rsidR="001F505E" w:rsidRPr="00361937">
        <w:t>corrected</w:t>
      </w:r>
      <w:r w:rsidR="00211EE1" w:rsidRPr="00361937">
        <w:t xml:space="preserve"> ACPR </w:t>
      </w:r>
      <w:r w:rsidR="00A6490C" w:rsidRPr="00361937">
        <w:t>remained</w:t>
      </w:r>
      <w:r w:rsidR="00211EE1" w:rsidRPr="00361937">
        <w:t xml:space="preserve"> high </w:t>
      </w:r>
      <w:r w:rsidR="00A6490C" w:rsidRPr="00361937">
        <w:t>in both</w:t>
      </w:r>
      <w:r w:rsidR="00211EE1" w:rsidRPr="00361937">
        <w:t xml:space="preserve"> ART</w:t>
      </w:r>
      <w:r w:rsidR="00A6490C" w:rsidRPr="00361937">
        <w:t xml:space="preserve"> groups</w:t>
      </w:r>
      <w:r w:rsidR="00211EE1" w:rsidRPr="00361937">
        <w:t xml:space="preserve">, suggesting that DPQ had </w:t>
      </w:r>
      <w:r w:rsidR="004C76D5" w:rsidRPr="00361937">
        <w:t xml:space="preserve">a </w:t>
      </w:r>
      <w:r w:rsidR="00211EE1" w:rsidRPr="00361937">
        <w:t>good prophylactic effect against malaria reinfection</w:t>
      </w:r>
      <w:r w:rsidR="00FD583E" w:rsidRPr="00361937">
        <w:t>s</w:t>
      </w:r>
      <w:r w:rsidR="00211EE1" w:rsidRPr="00361937">
        <w:t xml:space="preserve">. DPQ treatment </w:t>
      </w:r>
      <w:r w:rsidR="004C76D5" w:rsidRPr="00361937">
        <w:t xml:space="preserve">also </w:t>
      </w:r>
      <w:r w:rsidR="00211EE1" w:rsidRPr="00361937">
        <w:t xml:space="preserve">resulted in </w:t>
      </w:r>
      <w:r w:rsidR="00584D8C" w:rsidRPr="00361937">
        <w:t xml:space="preserve">rapid </w:t>
      </w:r>
      <w:r w:rsidR="00211EE1" w:rsidRPr="00361937">
        <w:t xml:space="preserve">resolution of fever and marked improvement </w:t>
      </w:r>
      <w:r w:rsidR="003964B8" w:rsidRPr="00361937">
        <w:t>in h</w:t>
      </w:r>
      <w:r w:rsidR="0091287A" w:rsidRPr="00361937">
        <w:t>a</w:t>
      </w:r>
      <w:r w:rsidR="003964B8" w:rsidRPr="00361937">
        <w:t>emoglobin concentrations irrespective of ART as well as</w:t>
      </w:r>
      <w:r w:rsidR="00211EE1" w:rsidRPr="00361937">
        <w:t xml:space="preserve"> </w:t>
      </w:r>
      <w:r w:rsidR="003964B8" w:rsidRPr="00361937">
        <w:t xml:space="preserve">improvement in </w:t>
      </w:r>
      <w:r w:rsidR="00211EE1" w:rsidRPr="00361937">
        <w:t xml:space="preserve">CD4 cell count, </w:t>
      </w:r>
      <w:r w:rsidR="000B3EC7" w:rsidRPr="00361937">
        <w:t>especially in those taking efavirenz</w:t>
      </w:r>
      <w:r w:rsidR="003964B8" w:rsidRPr="00361937">
        <w:t xml:space="preserve">-based ART. </w:t>
      </w:r>
    </w:p>
    <w:p w:rsidR="00211EE1" w:rsidRPr="00361937" w:rsidRDefault="00211EE1" w:rsidP="00A95E29">
      <w:pPr>
        <w:spacing w:line="480" w:lineRule="auto"/>
      </w:pPr>
    </w:p>
    <w:p w:rsidR="00A95E29" w:rsidRPr="00361937" w:rsidRDefault="00584D8C" w:rsidP="00A95E29">
      <w:pPr>
        <w:spacing w:line="480" w:lineRule="auto"/>
      </w:pPr>
      <w:r w:rsidRPr="00361937">
        <w:t>An a</w:t>
      </w:r>
      <w:r w:rsidR="00211EE1" w:rsidRPr="00361937">
        <w:t>nti</w:t>
      </w:r>
      <w:r w:rsidR="0091287A" w:rsidRPr="00361937">
        <w:t>-</w:t>
      </w:r>
      <w:r w:rsidR="00211EE1" w:rsidRPr="00361937">
        <w:t>malarial treatment response depends on host immunity and anti</w:t>
      </w:r>
      <w:r w:rsidR="0091287A" w:rsidRPr="00361937">
        <w:t>-</w:t>
      </w:r>
      <w:r w:rsidR="00211EE1" w:rsidRPr="00361937">
        <w:t>malaria</w:t>
      </w:r>
      <w:r w:rsidR="000B3EC7" w:rsidRPr="00361937">
        <w:t>l drug blood concentrations. Efavirenz</w:t>
      </w:r>
      <w:r w:rsidR="00211EE1" w:rsidRPr="00361937">
        <w:t xml:space="preserve"> has been associated with induction of CYP3A4 and </w:t>
      </w:r>
      <w:r w:rsidR="000B3EC7" w:rsidRPr="00361937">
        <w:t>CYP2B6 enzymes while nevirapine has</w:t>
      </w:r>
      <w:r w:rsidR="00211EE1" w:rsidRPr="00361937">
        <w:t xml:space="preserve"> been associated with inhibition or sometime</w:t>
      </w:r>
      <w:r w:rsidR="00B73BDA" w:rsidRPr="00361937">
        <w:t>s</w:t>
      </w:r>
      <w:r w:rsidR="00211EE1" w:rsidRPr="00361937">
        <w:t xml:space="preserve"> induction of the enzymes</w:t>
      </w:r>
      <w:r w:rsidR="000B3EC7" w:rsidRPr="00361937">
        <w:t xml:space="preserve"> </w:t>
      </w:r>
      <w:r w:rsidR="002E24CD" w:rsidRPr="00361937">
        <w:fldChar w:fldCharType="begin" w:fldLock="1"/>
      </w:r>
      <w:r w:rsidR="00A70360" w:rsidRPr="00361937">
        <w:instrText>ADDIN CSL_CITATION {"citationItems":[{"id":"ITEM-1","itemData":{"ISSN":"0269-9370","PMID":"15958830","author":[{"dropping-particle":"","family":"Khoo","given":"Saye","non-dropping-particle":"","parse-names":false,"suffix":""},{"dropping-particle":"","family":"Back","given":"David","non-dropping-particle":"","parse-names":false,"suffix":""},{"dropping-particle":"","family":"Winstanley","given":"Peter","non-dropping-particle":"","parse-names":false,"suffix":""}],"container-title":"AIDS (London, England)","id":"ITEM-1","issue":"10","issued":{"date-parts":[["2005","7","1"]]},"page":"995-1005","publisher":"AIDS (London, England)","title":"The potential for interactions between antimalarial and antiretroviral drugs.","type":"article-journal","volume":"19"},"uris":["http://www.mendeley.com/documents/?uuid=d97240c8-0580-361e-ba2e-7d88e9b6c265"]}],"mendeley":{"formattedCitation":"[5]","plainTextFormattedCitation":"[5]","previouslyFormattedCitation":"[5]"},"properties":{"noteIndex":0},"schema":"https://github.com/citation-style-language/schema/raw/master/csl-citation.json"}</w:instrText>
      </w:r>
      <w:r w:rsidR="002E24CD" w:rsidRPr="00361937">
        <w:fldChar w:fldCharType="separate"/>
      </w:r>
      <w:r w:rsidR="00A70360" w:rsidRPr="00361937">
        <w:rPr>
          <w:noProof/>
        </w:rPr>
        <w:t>[5]</w:t>
      </w:r>
      <w:r w:rsidR="002E24CD" w:rsidRPr="00361937">
        <w:fldChar w:fldCharType="end"/>
      </w:r>
      <w:r w:rsidR="00211EE1" w:rsidRPr="00361937">
        <w:t>.</w:t>
      </w:r>
      <w:r w:rsidR="000B3EC7" w:rsidRPr="00361937">
        <w:t xml:space="preserve"> Previous pharmacokinetic</w:t>
      </w:r>
      <w:r w:rsidR="00211EE1" w:rsidRPr="00361937">
        <w:t xml:space="preserve"> studies found that, compare</w:t>
      </w:r>
      <w:r w:rsidR="00F121C4" w:rsidRPr="00361937">
        <w:t>d with antiretroviral naïve HIV-infected</w:t>
      </w:r>
      <w:r w:rsidR="00211EE1" w:rsidRPr="00361937">
        <w:t xml:space="preserve"> indivi</w:t>
      </w:r>
      <w:r w:rsidR="000B3EC7" w:rsidRPr="00361937">
        <w:t>duals, those taking DPQ plus efavirenz-ART had lower piperaquine</w:t>
      </w:r>
      <w:r w:rsidR="00211EE1" w:rsidRPr="00361937">
        <w:t xml:space="preserve"> area under the concentration-time curve (AUC)</w:t>
      </w:r>
      <w:r w:rsidR="00107029" w:rsidRPr="00361937">
        <w:t xml:space="preserve"> </w:t>
      </w:r>
      <w:r w:rsidR="002E24CD" w:rsidRPr="00361937">
        <w:fldChar w:fldCharType="begin" w:fldLock="1"/>
      </w:r>
      <w:r w:rsidR="008A6790" w:rsidRPr="00361937">
        <w:instrText>ADDIN CSL_CITATION {"citationItems":[{"id":"ITEM-1","itemData":{"DOI":"10.1128/AAC.00634-18","ISSN":"1098-6596","PMID":"29784846","abstract":"There are limited data on the pharmacokinetic and safety profiles of dihydroartemisinin-piperaquine (DHA-PQ) among human immunodeficiency virus-infected (HIV-positive [HIV+]) individuals taking antiretroviral therapy (ART). In a two-step (parallel-group) pharmacokinetic trial with intensive blood sampling, we compared the area under the concentration-time curve from days 0 to 28 (AUC0-28 days) and the safety outcomes of piperaquine among malaria-uninfected HIV+ adults. In step 1, half the adult dose of DHA-PQ was administered for 3 days as an initial safety check to four groups (n = 6/group) of HIV+ adults (age ≥18 years): (i) antiretroviral-naive individuals, (ii) individuals on nevirapine-based ART, (iii) individuals on efavirenz-based ART, and (iv) individuals on ritonavir-boosted lopinavir-based ART. In step 2, a full adult treatment course of DHA-PQ was administered to a different cohort of participants in three groups: (i) antiretroviral-naive individuals, (ii) individuals on efavirenz-based ART, and (iii) individuals on nevirapine-based ART (n = 10 to 15/group). The ritonavir-boosted lopinavir-based ART group was dropped in step 2 due to the limited number of participants who were on this second-line ART and were eligible for recruitment. Piperaquine's AUC0-28 days in both steps was 43% lower among participants on efavirenz-based ART than among ART-naive participants. There were no significant differences in AUC0-28 days between the other ART groups and the ART-naive group in each of the two steps. Furthermore, no differences in treatment-emergent clinical and laboratory adverse events were observed across the groups in steps 1 and 2. Although it was well tolerated at the half and full standard adult treatment courses, the efavirenz-based antiretroviral regimen was associated with reduced piperaquine exposure, which may compromise dihydroartemisinin-piperaquine's effectiveness in programmatic settings. (The clinical trials presented in this study have been registered at the WHO's International Clinical Trials Registry Platform under ID numbers PACTR2010030001871293 and PACTR2010030001971409.).","author":[{"dropping-particle":"","family":"Banda","given":"Clifford G","non-dropping-particle":"","parse-names":false,"suffix":""},{"dropping-particle":"","family":"Dzinjalamala","given":"Fraction","non-dropping-particle":"","parse-names":false,"suffix":""},{"dropping-particle":"","family":"Mukaka","given":"Mavuto","non-dropping-particle":"","parse-names":false,"suffix":""},{"dropping-particle":"","family":"Mallewa","given":"Jane","non-dropping-particle":"","parse-names":false,"suffix":""},{"dropping-particle":"","family":"Maiden","given":"Victor","non-dropping-particle":"","parse-names":false,"suffix":""},{"dropping-particle":"","family":"Terlouw","given":"Dianne J","non-dropping-particle":"","parse-names":false,"suffix":""},{"dropping-particle":"","family":"Lalloo","given":"David G","non-dropping-particle":"","parse-names":false,"suffix":""},{"dropping-particle":"","family":"Khoo","given":"Saye H","non-dropping-particle":"","parse-names":false,"suffix":""},{"dropping-particle":"","family":"Mwapasa","given":"Victor","non-dropping-particle":"","parse-names":false,"suffix":""}],"container-title":"Antimicrobial agents and chemotherapy","id":"ITEM-1","issue":"8","issued":{"date-parts":[["2018","8"]]},"publisher":"American Society for Microbiology (ASM)","title":"Pharmacokinetics of Piperaquine and Safety Profile of Dihydroartemisinin-Piperaquine Coadministered with Antiretroviral Therapy in Malaria-Uninfected HIV-Positive Malawian Adults.","type":"article-journal","volume":"62"},"uris":["http://www.mendeley.com/documents/?uuid=749d8e22-81c9-3a15-8455-63748b5aebdc"]},{"id":"ITEM-2","itemData":{"DOI":"10.1002/cpt.664","ISSN":"15326535","abstract":"Dihydroartemisinin (DHA)-piperaquine is promising for malaria chemoprevention in pregnancy. We assessed the impacts of pregnancy and efavirenz-based antiretroviral therapy on exposure to DHA and piperaquine in pregnant Ugandan women. Intensive sampling was performed at 28 weeks gestation in 31 HIV-uninfected pregnant women, in 27 HIV-infected pregnant women receiving efavirenz, and in 30 HIV-uninfected nonpregnant women. DHA peak concentration and area under the concentration time curve (AUC0-8hr ) were 50% and 47% lower, respectively, and piperaquine AUC0-21d was 40% lower in pregnant women compared to nonpregnant women. DHA AUC0-8hr and piperaquine AUC0-21d were 27% and 38% lower, respectively, in pregnant women receiving efavirenz compared to HIV-uninfected pregnant women. Exposure to DHA and piperaquine were lower among pregnant women and particularly in women on efavirenz, suggesting a need for dose modifications. The study of modified dosing strategies for these populations is urgently needed.","author":[{"dropping-particle":"","family":"Kajubi","given":"R","non-dropping-particle":"","parse-names":false,"suffix":""},{"dropping-particle":"","family":"Huang","given":"L","non-dropping-particle":"","parse-names":false,"suffix":""},{"dropping-particle":"","family":"Jagannathan","given":"P","non-dropping-particle":"","parse-names":false,"suffix":""},{"dropping-particle":"","family":"Chamankhah","given":"N","non-dropping-particle":"","parse-names":false,"suffix":""},{"dropping-particle":"","family":"Were","given":"M","non-dropping-particle":"","parse-names":false,"suffix":""},{"dropping-particle":"","family":"Ruel","given":"T","non-dropping-particle":"","parse-names":false,"suffix":""},{"dropping-particle":"","family":"Koss","given":"C. A.","non-dropping-particle":"","parse-names":false,"suffix":""},{"dropping-particle":"","family":"Kakuru","given":"A","non-dropping-particle":"","parse-names":false,"suffix":""},{"dropping-particle":"","family":"Mwebaza","given":"N","non-dropping-particle":"","parse-names":false,"suffix":""},{"dropping-particle":"","family":"Kamya","given":"M","non-dropping-particle":"","parse-names":false,"suffix":""},{"dropping-particle":"","family":"Havlir","given":"D","non-dropping-particle":"","parse-names":false,"suffix":""},{"dropping-particle":"","family":"Dorsey","given":"G","non-dropping-particle":"","parse-names":false,"suffix":""},{"dropping-particle":"","family":"Rosenthal","given":"P. J.","non-dropping-particle":"","parse-names":false,"suffix":""},{"dropping-particle":"","family":"Aweeka","given":"F. T.","non-dropping-particle":"","parse-names":false,"suffix":""}],"container-title":"Clinical Pharmacology and Therapeutics","id":"ITEM-2","issue":"3","issued":{"date-parts":[["2017","9","1"]]},"page":"520-528","title":"Antiretroviral Therapy With Efavirenz Accentuates Pregnancy-Associated Reduction of Dihydroartemisinin-Piperaquine Exposure During Malaria Chemoprevention","type":"article-journal","volume":"102"},"uris":["http://www.mendeley.com/documents/?uuid=010b5734-cee0-3664-97fa-ba5fb84734c4"]}],"mendeley":{"formattedCitation":"[8,32]","plainTextFormattedCitation":"[8,32]","previouslyFormattedCitation":"[8,32]"},"properties":{"noteIndex":0},"schema":"https://github.com/citation-style-language/schema/raw/master/csl-citation.json"}</w:instrText>
      </w:r>
      <w:r w:rsidR="002E24CD" w:rsidRPr="00361937">
        <w:fldChar w:fldCharType="separate"/>
      </w:r>
      <w:r w:rsidR="002427DA" w:rsidRPr="00361937">
        <w:rPr>
          <w:noProof/>
        </w:rPr>
        <w:t>[8,32]</w:t>
      </w:r>
      <w:r w:rsidR="002E24CD" w:rsidRPr="00361937">
        <w:fldChar w:fldCharType="end"/>
      </w:r>
      <w:r w:rsidR="000B3EC7" w:rsidRPr="00361937">
        <w:t xml:space="preserve"> while those taking DPQ plus nevirapine</w:t>
      </w:r>
      <w:r w:rsidR="00211EE1" w:rsidRPr="00361937">
        <w:t>-ART had hi</w:t>
      </w:r>
      <w:r w:rsidR="000B3EC7" w:rsidRPr="00361937">
        <w:t>gher piperaquine</w:t>
      </w:r>
      <w:r w:rsidR="00211EE1" w:rsidRPr="00361937">
        <w:t xml:space="preserve"> AUC</w:t>
      </w:r>
      <w:r w:rsidR="00107029" w:rsidRPr="00361937">
        <w:t xml:space="preserve"> </w:t>
      </w:r>
      <w:r w:rsidR="002E24CD" w:rsidRPr="00361937">
        <w:fldChar w:fldCharType="begin" w:fldLock="1"/>
      </w:r>
      <w:r w:rsidR="004C75F4" w:rsidRPr="00361937">
        <w:instrText>ADDIN CSL_CITATION {"citationItems":[{"id":"ITEM-1","itemData":{"DOI":"10.1128/AAC.00634-18","ISSN":"1098-6596","PMID":"29784846","abstract":"There are limited data on the pharmacokinetic and safety profiles of dihydroartemisinin-piperaquine (DHA-PQ) among human immunodeficiency virus-infected (HIV-positive [HIV+]) individuals taking antiretroviral therapy (ART). In a two-step (parallel-group) pharmacokinetic trial with intensive blood sampling, we compared the area under the concentration-time curve from days 0 to 28 (AUC0-28 days) and the safety outcomes of piperaquine among malaria-uninfected HIV+ adults. In step 1, half the adult dose of DHA-PQ was administered for 3 days as an initial safety check to four groups (n = 6/group) of HIV+ adults (age ≥18 years): (i) antiretroviral-naive individuals, (ii) individuals on nevirapine-based ART, (iii) individuals on efavirenz-based ART, and (iv) individuals on ritonavir-boosted lopinavir-based ART. In step 2, a full adult treatment course of DHA-PQ was administered to a different cohort of participants in three groups: (i) antiretroviral-naive individuals, (ii) individuals on efavirenz-based ART, and (iii) individuals on nevirapine-based ART (n = 10 to 15/group). The ritonavir-boosted lopinavir-based ART group was dropped in step 2 due to the limited number of participants who were on this second-line ART and were eligible for recruitment. Piperaquine's AUC0-28 days in both steps was 43% lower among participants on efavirenz-based ART than among ART-naive participants. There were no significant differences in AUC0-28 days between the other ART groups and the ART-naive group in each of the two steps. Furthermore, no differences in treatment-emergent clinical and laboratory adverse events were observed across the groups in steps 1 and 2. Although it was well tolerated at the half and full standard adult treatment courses, the efavirenz-based antiretroviral regimen was associated with reduced piperaquine exposure, which may compromise dihydroartemisinin-piperaquine's effectiveness in programmatic settings. (The clinical trials presented in this study have been registered at the WHO's International Clinical Trials Registry Platform under ID numbers PACTR2010030001871293 and PACTR2010030001971409.).","author":[{"dropping-particle":"","family":"Banda","given":"Clifford G","non-dropping-particle":"","parse-names":false,"suffix":""},{"dropping-particle":"","family":"Dzinjalamala","given":"Fraction","non-dropping-particle":"","parse-names":false,"suffix":""},{"dropping-particle":"","family":"Mukaka","given":"Mavuto","non-dropping-particle":"","parse-names":false,"suffix":""},{"dropping-particle":"","family":"Mallewa","given":"Jane","non-dropping-particle":"","parse-names":false,"suffix":""},{"dropping-particle":"","family":"Maiden","given":"Victor","non-dropping-particle":"","parse-names":false,"suffix":""},{"dropping-particle":"","family":"Terlouw","given":"Dianne J","non-dropping-particle":"","parse-names":false,"suffix":""},{"dropping-particle":"","family":"Lalloo","given":"David G","non-dropping-particle":"","parse-names":false,"suffix":""},{"dropping-particle":"","family":"Khoo","given":"Saye H","non-dropping-particle":"","parse-names":false,"suffix":""},{"dropping-particle":"","family":"Mwapasa","given":"Victor","non-dropping-particle":"","parse-names":false,"suffix":""}],"container-title":"Antimicrobial agents and chemotherapy","id":"ITEM-1","issue":"8","issued":{"date-parts":[["2018","8"]]},"publisher":"American Society for Microbiology (ASM)","title":"Pharmacokinetics of Piperaquine and Safety Profile of Dihydroartemisinin-Piperaquine Coadministered with Antiretroviral Therapy in Malaria-Uninfected HIV-Positive Malawian Adults.","type":"article-journal","volume":"62"},"uris":["http://www.mendeley.com/documents/?uuid=749d8e22-81c9-3a15-8455-63748b5aebdc"]}],"mendeley":{"formattedCitation":"[8]","plainTextFormattedCitation":"[8]","previouslyFormattedCitation":"[8]"},"properties":{"noteIndex":0},"schema":"https://github.com/citation-style-language/schema/raw/master/csl-citation.json"}</w:instrText>
      </w:r>
      <w:r w:rsidR="002E24CD" w:rsidRPr="00361937">
        <w:fldChar w:fldCharType="separate"/>
      </w:r>
      <w:r w:rsidR="00A70360" w:rsidRPr="00361937">
        <w:rPr>
          <w:noProof/>
        </w:rPr>
        <w:t>[8]</w:t>
      </w:r>
      <w:r w:rsidR="002E24CD" w:rsidRPr="00361937">
        <w:fldChar w:fldCharType="end"/>
      </w:r>
      <w:r w:rsidR="00211EE1" w:rsidRPr="00361937">
        <w:t xml:space="preserve">. Similarly, other studies found that </w:t>
      </w:r>
      <w:r w:rsidR="00107029" w:rsidRPr="00361937">
        <w:t>when co-admin</w:t>
      </w:r>
      <w:r w:rsidR="0033156A" w:rsidRPr="00361937">
        <w:t>i</w:t>
      </w:r>
      <w:r w:rsidR="000B3EC7" w:rsidRPr="00361937">
        <w:t>stered with efavirenz or nevirapine</w:t>
      </w:r>
      <w:r w:rsidR="00107029" w:rsidRPr="00361937">
        <w:t xml:space="preserve">, </w:t>
      </w:r>
      <w:r w:rsidR="000B3EC7" w:rsidRPr="00361937">
        <w:t>ACT resulted in altered pharmacokinetics</w:t>
      </w:r>
      <w:r w:rsidR="00211EE1" w:rsidRPr="00361937">
        <w:t xml:space="preserve"> of artemisinin and its metabolites</w:t>
      </w:r>
      <w:r w:rsidR="00E70E76" w:rsidRPr="00361937">
        <w:t xml:space="preserve"> </w:t>
      </w:r>
      <w:r w:rsidR="002E24CD" w:rsidRPr="00361937">
        <w:fldChar w:fldCharType="begin" w:fldLock="1"/>
      </w:r>
      <w:r w:rsidR="008A6790" w:rsidRPr="00361937">
        <w:instrText>ADDIN CSL_CITATION {"citationItems":[{"id":"ITEM-1","itemData":{"DOI":"10.1093/jac/dks207","ISSN":"1460-2091","PMID":"22687893","abstract":"OBJECTIVES Co-administration of artemether/lumefantrine with antiretroviral therapy has potential for pharmacokinetic drug interactions. We investigated drug-drug interactions between artemether/lumefantrine and efavirenz or nevirapine. METHODS We performed a cross-over study in which HIV-infected adults received standard six-dose artemether/lumefantrine 80/480 mg before and at efavirenz or nevirapine steady state. Artemether, dihydroartemisinin, lumefantrine, efavirenz and nevirapine plasma concentrations were measured and compared. RESULTS Efavirenz significantly reduced artemether maximum concentration (C(max)) and plasma AUC (median 29 versus 12 ng/mL, P &lt; 0.01, and 119 versus 25 ng · h/mL, P &lt; 0.01), dihydroartemisinin C(max) and AUC (median 120 versus 26 ng/mL, P &lt; 0.01, and 341 versus 84 ng · h/mL, P &lt; 0.01), and lumefantrine C(max) and AUC (median 8737 versus 6331 ng/mL, P = 0.03, and 280 370 versus 124 381 ng · h/mL, P &lt; 0.01). Nevirapine significantly reduced artemether C(max) and AUC (median 28 versus 11 ng/mL, P &lt; 0.01, and 123 versus 34 ng · h/mL, P &lt; 0.01) and dihydroartemisinin C(max) and AUC (median 107 versus 59 ng/mL, P &lt; 0.01, and 364 versus 228 ng · h/mL, P &lt; 0.01). Lumefantrine C(max) and AUC were non-significantly reduced by nevirapine. Artemether/lumefantrine reduced nevirapine C(max) and AUC (median 8620 versus 4958 ng/mL, P &lt; 0.01, and 66 329 versus 35 728 ng · h/mL, P &lt; 0.01), but did not affect efavirenz exposure. CONCLUSIONS Co-administration of artemether/lumefantrine with efavirenz or nevirapine resulted in a reduction in artemether, dihydroartemisinin, lumefantrine and nevirapine exposure. These drug interactions may increase the risk of malaria treatment failure and development of resistance to artemether/lumefantrine and nevirapine. Clinical data from population pharmacokinetic and pharmacodynamic trials evaluating the impact of these drug interactions are urgently needed.","author":[{"dropping-particle":"","family":"Byakika-Kibwika","given":"Pauline","non-dropping-particle":"","parse-names":false,"suffix":""},{"dropping-particle":"","family":"Lamorde","given":"Mohammed","non-dropping-particle":"","parse-names":false,"suffix":""},{"dropping-particle":"","family":"Mayito","given":"Jonathan","non-dropping-particle":"","parse-names":false,"suffix":""},{"dropping-particle":"","family":"Nabukeera","given":"Lillian","non-dropping-particle":"","parse-names":false,"suffix":""},{"dropping-particle":"","family":"Namakula","given":"Rhoda","non-dropping-particle":"","parse-names":false,"suffix":""},{"dropping-particle":"","family":"Mayanja-Kizza","given":"Harriet","non-dropping-particle":"","parse-names":false,"suffix":""},{"dropping-particle":"","family":"Katabira","given":"Elly","non-dropping-particle":"","parse-names":false,"suffix":""},{"dropping-particle":"","family":"Ntale","given":"Muhammad","non-dropping-particle":"","parse-names":false,"suffix":""},{"dropping-particle":"","family":"Pakker","given":"Nadine","non-dropping-particle":"","parse-names":false,"suffix":""},{"dropping-particle":"","family":"Ryan","given":"Mairin","non-dropping-particle":"","parse-names":false,"suffix":""},{"dropping-particle":"","family":"Hanpithakpong","given":"Warunee","non-dropping-particle":"","parse-names":false,"suffix":""},{"dropping-particle":"","family":"Tarning","given":"Joel","non-dropping-particle":"","parse-names":false,"suffix":""},{"dropping-particle":"","family":"Lindegardh","given":"Niklas","non-dropping-particle":"","parse-names":false,"suffix":""},{"dropping-particle":"","family":"Vries","given":"Peter J","non-dropping-particle":"de","parse-names":false,"suffix":""},{"dropping-particle":"","family":"Khoo","given":"Saye","non-dropping-particle":"","parse-names":false,"suffix":""},{"dropping-particle":"","family":"Back","given":"David","non-dropping-particle":"","parse-names":false,"suffix":""},{"dropping-particle":"","family":"Merry","given":"Concepta","non-dropping-particle":"","parse-names":false,"suffix":""}],"container-title":"The Journal of antimicrobial chemotherapy","id":"ITEM-1","issue":"9","issued":{"date-parts":[["2012","9"]]},"page":"2213-21","publisher":"Oxford University Press","title":"Significant pharmacokinetic interactions between artemether/lumefantrine and efavirenz or nevirapine in HIV-infected Ugandan adults.","type":"article-journal","volume":"67"},"uris":["http://www.mendeley.com/documents/?uuid=3dd603e4-edd3-3005-9db0-f0750c451ae3"]},{"id":"ITEM-2","itemData":{"DOI":"10.1111/bcp.12529","ISSN":"03065251","author":[{"dropping-particle":"","family":"Hoglund","given":"Richard M.","non-dropping-particle":"","parse-names":false,"suffix":""},{"dropping-particle":"","family":"Byakika-Kibwika","given":"Pauline","non-dropping-particle":"","parse-names":false,"suffix":""},{"dropping-particle":"","family":"Lamorde","given":"Mohammed","non-dropping-particle":"","parse-names":false,"suffix":""},{"dropping-particle":"","family":"Merry","given":"Concepta","non-dropping-particle":"","parse-names":false,"suffix":""},{"dropping-particle":"","family":"Ashton","given":"Michael","non-dropping-particle":"","parse-names":false,"suffix":""},{"dropping-particle":"","family":"Hanpithakpong","given":"Warunee","non-dropping-particle":"","parse-names":false,"suffix":""},{"dropping-particle":"","family":"Day","given":"Nicholas P. J.","non-dropping-particle":"","parse-names":false,"suffix":""},{"dropping-particle":"","family":"White","given":"Nicholas J.","non-dropping-particle":"","parse-names":false,"suffix":""},{"dropping-particle":"","family":"Äbelö","given":"Angela","non-dropping-particle":"","parse-names":false,"suffix":""},{"dropping-particle":"","family":"Tarning","given":"Joel","non-dropping-particle":"","parse-names":false,"suffix":""}],"container-title":"British Journal of Clinical Pharmacology","id":"ITEM-2","issue":"4","issued":{"date-parts":[["2015","4","1"]]},"page":"636-649","title":"Artemether-lumefantrine co-administration with antiretrovirals: population pharmacokinetics and dosing implications","type":"article-journal","volume":"79"},"uris":["http://www.mendeley.com/documents/?uuid=7d689080-d550-34d5-adf3-2f197bed8014"]},{"id":"ITEM-3","itemData":{"DOI":"10.1128/AAC.05265-11","ISBN":"0066-4804","ISSN":"00664804","PMID":"21947399","abstract":"Artemetherlumefantrine and nevirapinebased antiretroviral therapy (ART) are the most commonly recommended firstline treatments for malaria and HIV, respectively, in Africa. Artemether, lumefantrine, and nevirapine are metabolized by the cytochrome P450 3A4 enzyme system, which nevirapine induces, creating potential for important drug interactions. In a paralleldesign pharmacokinetic study, concentrationtime profiles were obtained in two groups of HIVinfected patients: ARTnaïve patients and those stable on nevirapinebased therapy. Both groups received the recommended artemetherlumefantrine dose. Patients were admitted for intense pharmacokinetic sampling (0 to 72 h) with outpatient sampling until 21 days. Concentrations of lumefantrine, artemether, dihydroartemisinin, and nevirapine were determined by validated liquid chromatographytandem mass spectrometry (LCMS/MS) methods. The primary outcome was observed day 7 lumefantrine concentrations, as these are associated with therapeutic response in malaria. We enrolled 36 patients (32 females). Median (range) day 7 lumefantrine concentrations were 622 ng/ml (185 to 2,040 ng/ml) and 336 ng/ml (29 to 934 ng/ml) in the nevirapine and ARTnaïve groups, respectively (P ؍</w:instrText>
      </w:r>
      <w:r w:rsidR="008A6790" w:rsidRPr="00361937">
        <w:instrText>‬ 0.0002). The median artemether area under the plasma concentrationtime curve from 0 to 8 h [AUC (08 h) ] (P &lt; 0.0001) and dihydroartemisinin AUC (6068 h) (P ؍</w:instrText>
      </w:r>
      <w:r w:rsidR="008A6790" w:rsidRPr="00361937">
        <w:instrText>‬ 0.01) were lower in the nevirapine group. Combined artemether and dihydroartemisinin exposure decreased over time only in the nevirapine group (geometric mean ratio [GMR], 0.76 [95% confidence interval {CI}, 0.65 to 0.90]; P &lt; 0.0001) and increased with the weightadjusted artemether dose (GMR, 2.12 [95% CI, 1.31 to 3.45]; P ؍</w:instrText>
      </w:r>
      <w:r w:rsidR="008A6790" w:rsidRPr="00361937">
        <w:instrText>‬ 0.002). Adverse events were similar between groups, with no difference in electrocardiographic Fridericia corrected QT and PR intervals at the expected time of maximum lumefantrine concentration (T max). Nevirapinebased ART decreased artemether and dihydroartemisinin AUCs but unexpectedly increased lumefantrine exposure. The mechanism of the lumefantrine interaction remains to be elucidated. Studies investigating the interaction of nevirapine and artemetherlumefantrine in HIVinfected patients with malaria are urgently needed. Malaria and HIV are among the greatest global health burdens, resulting in an estimated combined mortality of 4 million deaths annually (44). Currently, the World Health Organization recommends artemisininbased combination therapies (ACTs) as …","author":[{"dropping-particle":"","family":"Kredo","given":"T","non-dropping-particle":"","parse-names":false,"suffix":""},{"dropping-particle":"","family":"Mauff","given":"K","non-dropping-particle":"","parse-names":false,"suffix":""},{"dropping-particle":"","family":"Walt","given":"J. S.","non-dropping-particle":"Van Der","parse-names":false,"suffix":""},{"dropping-particle":"","family":"Wiesner","given":"L","non-dropping-particle":"","parse-names":false,"suffix":""},{"dropping-particle":"","family":"Maartens","given":"G","non-dropping-particle":"","parse-names":false,"suffix":""},{"dropping-particle":"","family":"Cohen","given":"K","non-dropping-particle":"","parse-names":false,"suffix":""},{"dropping-particle":"","family":"Smith","given":"P","non-dropping-particle":"","parse-names":false,"suffix":""},{"dropping-particle":"","family":"Barnes","given":"K I","non-dropping-particle":"","parse-names":false,"suffix":""}],"container-title":"Antimicrobial Agents and Chemotherapy","id":"ITEM-3","issue":"12","issued":{"date-parts":[["2011","12"]]},"page":"5616-5623","publisher":"American Society for Microbiology (ASM)","title":"Interaction between artemether-lumefantrine and nevirapine-based antiretroviral therapy in HIV-1-infected patients","type":"article-journal","volume":"55"},"uris":["http://www.mendeley.com/documents/?uuid=d00fd149-732e-38fe-b7e6-0622499c054c"]},{"id":"ITEM-4","itemData":{"DOI":"10.1155/2012/703604","ISSN":"2090-1259","PMID":"22500218","abstract":"Background. Nevirapine- (NVP-) based antiretroviral therapy (ART) and artesunate-amodiaquine are frequently coprescribed in areas of HIV and malaria endemicity. We explored the impact of this practice on artesunate and dihydroartemisinin pharmacokinetics. Methods. We conducted a parallel-group pharmacokinetic comparison between HIV-infected patients receiving NVP-based ART (n = 10) and ART-naive controls (n = 11). Artesunate-amodiaquine 200/600 mg was given daily for three days. Measurement of drug concentrations occurred between 0 and 96 hours after the final dose. Pharmacokinetic parameters were determined using noncompartmental analysis. Results. Comparing the NVP group to controls, clearance of artesunate was reduced 50% (1950 versus 2995 L/h; P = 0.03), resulting in a 45% increase in the AUC(0-96) (105 versus 69 ug(</w:instrText>
      </w:r>
      <w:r w:rsidR="008A6790" w:rsidRPr="00361937">
        <w:rPr>
          <w:rFonts w:ascii="STIXGeneral-Regular" w:hAnsi="STIXGeneral-Regular" w:cs="STIXGeneral-Regular"/>
        </w:rPr>
        <w:instrText>∗</w:instrText>
      </w:r>
      <w:r w:rsidR="008A6790" w:rsidRPr="00361937">
        <w:instrText>)hr/L; P = 0.02). The half-life of dihydroartemisinin was shorter in the NVP group (1.6 versuss 3.2 h; P = 0.004), but other dihydroartemisinin pharmacokinetic parameters were unchanged. A lower conversion of artesunate to dihydroartemisinin was observed in the NVP group (dihydroartemisinin: artesunate AUC(0-96) = 5.6 versuss 8.5 in NVP and control groups, respectively, P = 0.008). Conclusion. Although NVP-containing ART impacted some pharmacokinetic parameters of artesunate and dihydroartemisinin, overall exposure was similar or better in the NVP group.","author":[{"dropping-particle":"","family":"Fehintola","given":"Fatai A","non-dropping-particle":"","parse-names":false,"suffix":""},{"dropping-particle":"","family":"Scarsi","given":"Kimberly K","non-dropping-particle":"","parse-names":false,"suffix":""},{"dropping-particle":"","family":"Ma","given":"Qing","non-dropping-particle":"","parse-names":false,"suffix":""},{"dropping-particle":"","family":"Parikh","given":"Sunil","non-dropping-particle":"","parse-names":false,"suffix":""},{"dropping-particle":"","family":"Morse","given":"Gene D","non-dropping-particle":"","parse-names":false,"suffix":""},{"dropping-particle":"","family":"Taiwo","given":"Babafemi","non-dropping-particle":"","parse-names":false,"suffix":""},{"dropping-particle":"","family":"Akinola","given":"Ibrahim Tope","non-dropping-particle":"","parse-names":false,"suffix":""},{"dropping-particle":"","family":"Adewole","given":"Isaac F","non-dropping-particle":"","parse-names":false,"suffix":""},{"dropping-particle":"","family":"Lindegardh","given":"Niklas","non-dropping-particle":"","parse-names":false,"suffix":""},{"dropping-particle":"","family":"Phakderaj","given":"Aphiradee","non-dropping-particle":"","parse-names":false,"suffix":""},{"dropping-particle":"","family":"Ojengbede","given":"Oladosu","non-dropping-particle":"","parse-names":false,"suffix":""},{"dropping-particle":"","family":"Murphy","given":"Robert L","non-dropping-particle":"","parse-names":false,"suffix":""},{"dropping-particle":"","family":"Akinyinka","given":"Olusegun O","non-dropping-particle":"","parse-names":false,"suffix":""},{"dropping-particle":"","family":"Aweeka","given":"Francesca T","non-dropping-particle":"","parse-names":false,"suffix":""}],"container-title":"AIDS research and treatment","id":"ITEM-4","issued":{"date-parts":[["2012"]]},"page":"703604","publisher":"Hindawi","title":"Nevirapine-Based Antiretroviral Therapy Impacts Artesunate and Dihydroartemisinin Disposition in HIV-Infected Nigerian Adults.","type":"article-journal","volume":"2012"},"uris":["http://www.mendeley.com/documents/?uuid=1b08bd6d-f282-34b4-bdf7-ebebbdf70913"]},{"id":"ITEM-5","itemData":{"DOI":"10.1093/jac/dkt513","ISSN":"0305-7453","PMID":"24446424","abstract":"OBJECTIVES Artesunate plus amodiaquine is used for malaria treatment in regions with overlapping HIV endemicity. Co-administration of artesunate/amodiaquine with antiretroviral therapy (ART) may result in drug-drug interactions, but minimal data exist. This study evaluated the impact of nevirapine-based ART, containing a backbone of zidovudine and lamivudine, on the disposition of amodiaquine and its active metabolite, desethylamodiaquine (DEAQ). METHODS This was an open-label, parallel-group pharmacokinetic comparison between HIV-infected, adult subjects receiving steady-state nevirapine-based ART (n = 10) and ART-naive subjects (control group, n = 11). All subjects received a loose formulation of artesunate/amodiaquine (200/600 mg) daily for 3 days, with serial pharmacokinetic sampling over 96 h following the final dose of artesunate/amodiaquine. Amodiaquine and DEAQ were quantified using a validated HPLC method with UV detection. Pharmacokinetic parameters were determined using standard non-compartmental methods. RESULTS Exposures to both amodiaquine and DEAQ were significantly lower in the nevirapine-based ART group compared with the control group (amodiaquine AUC</w:instrText>
      </w:r>
      <w:r w:rsidR="008A6790" w:rsidRPr="00361937">
        <w:rPr>
          <w:rFonts w:ascii="Palatino" w:hAnsi="Palatino" w:cs="Palatino"/>
        </w:rPr>
        <w:instrText>₀₋</w:instrText>
      </w:r>
      <w:r w:rsidR="008A6790" w:rsidRPr="00361937">
        <w:rPr>
          <w:rFonts w:ascii="PT Sans" w:hAnsi="PT Sans" w:cs="PT Sans"/>
        </w:rPr>
        <w:instrText>₂₄</w:instrText>
      </w:r>
      <w:r w:rsidR="008A6790" w:rsidRPr="00361937">
        <w:instrText xml:space="preserve"> 145 versus 204 ng·h/mL, P = 0.02; DEAQ AUC</w:instrText>
      </w:r>
      <w:r w:rsidR="008A6790" w:rsidRPr="00361937">
        <w:rPr>
          <w:rFonts w:ascii="Palatino" w:hAnsi="Palatino" w:cs="Palatino"/>
        </w:rPr>
        <w:instrText>₀₋₉₆</w:instrText>
      </w:r>
      <w:r w:rsidR="008A6790" w:rsidRPr="00361937">
        <w:instrText xml:space="preserve"> 14,571 versus 21,648 ng·h/mL, P &lt; 0.01). The AUCDEAQ/AUC(amodiaquine) ratio was not different between groups (ART group 116 versus control group 102, P = 0.67). CONCLUSIONS Subjects on nevirapine-based ART had lower exposure to both amodiaquine and DEAQ (28.9% and 32.7%, respectively). Consequently, this may negatively impact the effectiveness of artesunate/amodiaquine in HIV-infected individuals on this ART combination.","author":[{"dropping-particle":"","family":"Scarsi","given":"K. K.","non-dropping-particle":"","parse-names":false,"suffix":""},{"dropping-particle":"","family":"Fehintola","given":"F. A.","non-dropping-particle":"","parse-names":false,"suffix":""},{"dropping-particle":"","family":"Ma","given":"Q.","non-dropping-particle":"","parse-names":false,"suffix":""},{"dropping-particle":"","family":"Aweeka","given":"F. T.","non-dropping-particle":"","parse-names":false,"suffix":""},{"dropping-particle":"","family":"Darin","given":"K. M.","non-dropping-particle":"","parse-names":false,"suffix":""},{"dropping-particle":"","family":"Morse","given":"G. D.","non-dropping-particle":"","parse-names":false,"suffix":""},{"dropping-particle":"","family":"Akinola","given":"I. T.","non-dropping-particle":"","parse-names":false,"suffix":""},{"dropping-particle":"","family":"Adedeji","given":"W. A.","non-dropping-particle":"","parse-names":false,"suffix":""},{"dropping-particle":"","family":"Lindegardh","given":"N.","non-dropping-particle":"","parse-names":false,"suffix":""},{"dropping-particle":"","family":"Tarning","given":"J.","non-dropping-particle":"","parse-names":false,"suffix":""},{"dropping-particle":"","family":"Ojengbede","given":"O.","non-dropping-particle":"","parse-names":false,"suffix":""},{"dropping-particle":"","family":"Adewole","given":"I. F.","non-dropping-particle":"","parse-names":false,"suffix":""},{"dropping-particle":"","family":"Taiwo","given":"B.","non-dropping-particle":"","parse-names":false,"suffix":""},{"dropping-particle":"","family":"Murphy","given":"R. L.","non-dropping-particle":"","parse-names":false,"suffix":""},{"dropping-particle":"","family":"Akinyinka","given":"O. O.","non-dropping-particle":"","parse-names":false,"suffix":""},{"dropping-particle":"","family":"Parikh","given":"S.","non-dropping-particle":"","parse-names":false,"suffix":""}],"container-title":"Journal of Antimicrobial Chemotherapy","id":"ITEM-5","issue":"5","issued":{"date-parts":[["2014","5","1"]]},"page":"1370-1376","title":"Disposition of amodiaquine and desethylamodiaquine in HIV-infected Nigerian subjects on nevirapine-containing antiretroviral therapy","type":"article-journal","volume":"69"},"uris":["http://www.mendeley.com/documents/?uuid=1d110f32-2847-3697-8de8-30cacea44f3a"]}],"mendeley":{"formattedCitation":"[33–37]","plainTextFormattedCitation":"[33–37]","previouslyFormattedCitation":"[33–37]"},"properties":{"noteIndex":0},"schema":"https://github.com/citation-style-language/schema/raw/master/csl-citation.json"}</w:instrText>
      </w:r>
      <w:r w:rsidR="002E24CD" w:rsidRPr="00361937">
        <w:fldChar w:fldCharType="separate"/>
      </w:r>
      <w:r w:rsidR="002427DA" w:rsidRPr="00361937">
        <w:rPr>
          <w:noProof/>
        </w:rPr>
        <w:t>[33–37]</w:t>
      </w:r>
      <w:r w:rsidR="002E24CD" w:rsidRPr="00361937">
        <w:fldChar w:fldCharType="end"/>
      </w:r>
      <w:r w:rsidR="00211EE1" w:rsidRPr="00361937">
        <w:t xml:space="preserve">. </w:t>
      </w:r>
      <w:r w:rsidR="005571A7" w:rsidRPr="00361937">
        <w:t>The</w:t>
      </w:r>
      <w:r w:rsidR="00211EE1" w:rsidRPr="00361937">
        <w:t xml:space="preserve"> finding of high </w:t>
      </w:r>
      <w:r w:rsidR="00211EE1" w:rsidRPr="00361937">
        <w:lastRenderedPageBreak/>
        <w:t>efficacy of DPQ suggest</w:t>
      </w:r>
      <w:r w:rsidR="00AE2274" w:rsidRPr="00361937">
        <w:t>s</w:t>
      </w:r>
      <w:r w:rsidR="000B3EC7" w:rsidRPr="00361937">
        <w:t xml:space="preserve"> that any alterations in the pharmacokinetics</w:t>
      </w:r>
      <w:r w:rsidR="00211EE1" w:rsidRPr="00361937">
        <w:t xml:space="preserve"> of dihydroartemisin</w:t>
      </w:r>
      <w:r w:rsidR="0033156A" w:rsidRPr="00361937">
        <w:t>in</w:t>
      </w:r>
      <w:r w:rsidR="000B3EC7" w:rsidRPr="00361937">
        <w:t xml:space="preserve"> or piperaquine due to efavirenz or nevirapine</w:t>
      </w:r>
      <w:r w:rsidR="00211EE1" w:rsidRPr="00361937">
        <w:t xml:space="preserve"> </w:t>
      </w:r>
      <w:r w:rsidR="00DD458E" w:rsidRPr="00361937">
        <w:t>had limited</w:t>
      </w:r>
      <w:r w:rsidR="003A7630" w:rsidRPr="00361937">
        <w:t xml:space="preserve"> </w:t>
      </w:r>
      <w:r w:rsidRPr="00361937">
        <w:t>clinical significance</w:t>
      </w:r>
      <w:r w:rsidR="00AE2274" w:rsidRPr="00361937">
        <w:t xml:space="preserve"> </w:t>
      </w:r>
      <w:r w:rsidR="00A95E29" w:rsidRPr="00361937">
        <w:t xml:space="preserve">in this study </w:t>
      </w:r>
      <w:r w:rsidR="00AE2274" w:rsidRPr="00361937">
        <w:t>population</w:t>
      </w:r>
      <w:r w:rsidR="00211EE1" w:rsidRPr="00361937">
        <w:t>.</w:t>
      </w:r>
      <w:r w:rsidR="0091287A" w:rsidRPr="00361937">
        <w:rPr>
          <w:rFonts w:eastAsia="MS Mincho"/>
        </w:rPr>
        <w:t xml:space="preserve"> </w:t>
      </w:r>
      <w:r w:rsidR="00DD458E" w:rsidRPr="00361937">
        <w:t>However, t</w:t>
      </w:r>
      <w:r w:rsidR="00AE2274" w:rsidRPr="00361937">
        <w:t xml:space="preserve">his needs </w:t>
      </w:r>
      <w:r w:rsidR="00DD458E" w:rsidRPr="00361937">
        <w:t>further</w:t>
      </w:r>
      <w:r w:rsidR="00AE2274" w:rsidRPr="00361937">
        <w:t xml:space="preserve"> confirm</w:t>
      </w:r>
      <w:r w:rsidR="00DD458E" w:rsidRPr="00361937">
        <w:t>ation</w:t>
      </w:r>
      <w:r w:rsidR="00AE2274" w:rsidRPr="00361937">
        <w:t xml:space="preserve"> in future studies </w:t>
      </w:r>
      <w:r w:rsidR="00DD458E" w:rsidRPr="00361937">
        <w:t>which</w:t>
      </w:r>
      <w:r w:rsidR="00AE2274" w:rsidRPr="00361937">
        <w:t xml:space="preserve"> </w:t>
      </w:r>
      <w:r w:rsidR="001479A2" w:rsidRPr="00361937">
        <w:t xml:space="preserve">would </w:t>
      </w:r>
      <w:r w:rsidR="00AE2274" w:rsidRPr="00361937">
        <w:t>correlate PK</w:t>
      </w:r>
      <w:r w:rsidR="00DD458E" w:rsidRPr="00361937">
        <w:t xml:space="preserve"> data </w:t>
      </w:r>
      <w:r w:rsidR="00AE2274" w:rsidRPr="00361937">
        <w:t xml:space="preserve"> </w:t>
      </w:r>
      <w:r w:rsidR="00DD458E" w:rsidRPr="00361937">
        <w:t xml:space="preserve">with </w:t>
      </w:r>
      <w:r w:rsidR="00AE2274" w:rsidRPr="00361937">
        <w:t xml:space="preserve">observed efficacy endpoints. </w:t>
      </w:r>
    </w:p>
    <w:p w:rsidR="000B3EC7" w:rsidRPr="00361937" w:rsidRDefault="000B3EC7" w:rsidP="00A95E29">
      <w:pPr>
        <w:spacing w:line="480" w:lineRule="auto"/>
      </w:pPr>
    </w:p>
    <w:p w:rsidR="00211EE1" w:rsidRPr="00361937" w:rsidRDefault="00665033" w:rsidP="00A95E29">
      <w:pPr>
        <w:spacing w:line="480" w:lineRule="auto"/>
      </w:pPr>
      <w:r w:rsidRPr="00361937">
        <w:t xml:space="preserve">To </w:t>
      </w:r>
      <w:r w:rsidR="00685120" w:rsidRPr="00361937">
        <w:t>date</w:t>
      </w:r>
      <w:r w:rsidRPr="00361937">
        <w:t xml:space="preserve">, </w:t>
      </w:r>
      <w:r w:rsidR="00D45C14" w:rsidRPr="00361937">
        <w:t>no previous study has</w:t>
      </w:r>
      <w:r w:rsidR="00584D8C" w:rsidRPr="00361937">
        <w:t xml:space="preserve"> </w:t>
      </w:r>
      <w:r w:rsidR="00211EE1" w:rsidRPr="00361937">
        <w:t>assess</w:t>
      </w:r>
      <w:r w:rsidR="00D45C14" w:rsidRPr="00361937">
        <w:t>ed</w:t>
      </w:r>
      <w:r w:rsidR="00211EE1" w:rsidRPr="00361937">
        <w:t xml:space="preserve"> the efficacy and safety of DPQ in </w:t>
      </w:r>
      <w:r w:rsidR="00D45C14" w:rsidRPr="00361937">
        <w:t>malaria-</w:t>
      </w:r>
      <w:r w:rsidR="00211EE1" w:rsidRPr="00361937">
        <w:t>HIV</w:t>
      </w:r>
      <w:r w:rsidR="00D45C14" w:rsidRPr="00361937">
        <w:t xml:space="preserve"> co</w:t>
      </w:r>
      <w:r w:rsidR="00211EE1" w:rsidRPr="00361937">
        <w:t>infected</w:t>
      </w:r>
      <w:r w:rsidRPr="00361937">
        <w:t xml:space="preserve"> </w:t>
      </w:r>
      <w:r w:rsidR="00D45C14" w:rsidRPr="00361937">
        <w:t xml:space="preserve">non-pregnant </w:t>
      </w:r>
      <w:r w:rsidRPr="00361937">
        <w:t xml:space="preserve">adults </w:t>
      </w:r>
      <w:r w:rsidR="00211EE1" w:rsidRPr="00361937">
        <w:t xml:space="preserve">on ART. </w:t>
      </w:r>
      <w:r w:rsidR="00584D8C" w:rsidRPr="00361937">
        <w:t>A</w:t>
      </w:r>
      <w:r w:rsidR="00211EE1" w:rsidRPr="00361937">
        <w:t xml:space="preserve"> previous Tanzanian study </w:t>
      </w:r>
      <w:r w:rsidR="002E24CD" w:rsidRPr="00361937">
        <w:fldChar w:fldCharType="begin" w:fldLock="1"/>
      </w:r>
      <w:r w:rsidR="008A6790" w:rsidRPr="00361937">
        <w:instrText>ADDIN CSL_CITATION {"citationItems":[{"id":"ITEM-1","itemData":{"DOI":"10.1186/1475-2875-13-205","ISSN":"1475-2875","PMID":"24885714","abstract":"BACKGROUND Malaria and HIV infections are both highly prevalent in sub-Saharan Africa, with HIV-infected patients being at higher risks of acquiring malaria. The majority of antiretroviral (ART) and anti-malarial drugs are metabolized by the CYP450 system, creating a chance of drug-drug interaction upon co-administration. Limited data are available on the effectiveness of the artemether-lumefantrine combination (AL) when co-administered with non-nucleoside reverse transcriptase inhibitors (NNRTIs). The aim of this study was to compare anti-malarial treatment responses between HIV-1 infected patients on either nevirapine- or efavirenz-based treatment and those not yet on ART (control-arm) with uncomplicated falciparum malaria, treated with AL. METHOD This was a prospective, non-randomized, open-label study conducted in Bagamoyo district, with three arms of HIV-infected adults: efavirenz-based treatment arm (EFV-arm) n = 66, nevirapine-based treatment arm (NVP-arm) n = 128, and control-arm n = 75, with uncomplicated malaria. All patients were treated with AL and followed up for 28 days. The primary outcome measure was an adequate clinical and parasitological response (ACPR) after treatment with AL by day 28. RESULTS Day 28 ACPR was 97.6%, 82.5% and 94.5% for the NVP-arm, EFV-arm and control-arm, respectively. No early treatment or late parasitological failure was reported. The cumulative risk of recurrent parasitaemia was &gt;19-fold higher in the EFV-arm than in the control-arm (Hazard ratio [HR], 19.11 [95% confidence interval {CI}, 10.5-34.5]; P &lt; 0.01). The cumulative risk of recurrent parasitaemia in the NVP-arm was not significantly higher than in the control-arm ([HR], 2.44 [95% {CI}, 0.79-7.6]; P = 0.53). The median (IQR) day 7 plasma concentrations of lumefantrine for the three arms were: 1,125 ng/m (638.8-1913), 300.4 ng/ml (220.8-343.1) and 970 ng/ml (562.1-1729) for the NVP-arm, the EFV-arm and the control-arm, respectively (P &lt; 0.001). In all three arms, the reported adverse events were mostly mild. CONCLUSION After 28 days of follow-up, AL was statistically safe and effective in the treatment of uncomplicated malaria in the NVP-arm. The results of this study also provide an indication of the possible impact of EFV on the performance of AL and the likelihood of it affecting uncomplicated falciparum malaria treatment outcome.","author":[{"dropping-particle":"","family":"Maganda","given":"Betty A","non-dropping-particle":"","parse-names":false,"suffix":""},{"dropping-particle":"","family":"Minzi","given":"Omary M S","non-dropping-particle":"","parse-names":false,"suffix":""},{"dropping-particle":"","family":"Kamuhabwa","given":"Appolinary A R","non-dropping-particle":"","parse-names":false,"suffix":""},{"dropping-particle":"","family":"Ngasala","given":"Billy","non-dropping-particle":"","parse-names":false,"suffix":""},{"dropping-particle":"","family":"Sasi","given":"Philip G","non-dropping-particle":"","parse-names":false,"suffix":""}],"container-title":"Malaria journal","id":"ITEM-1","issued":{"date-parts":[["2014","5","30"]]},"page":"205","publisher":"BioMed Central","title":"Outcome of artemether-lumefantrine treatment for uncomplicated malaria in HIV-infected adult patients on anti-retroviral therapy.","type":"article-journal","volume":"13"},"uris":["http://www.mendeley.com/documents/?uuid=986bf0d9-02de-3fb1-9491-1c2af7149219"]}],"mendeley":{"formattedCitation":"[38]","plainTextFormattedCitation":"[38]","previouslyFormattedCitation":"[38]"},"properties":{"noteIndex":0},"schema":"https://github.com/citation-style-language/schema/raw/master/csl-citation.json"}</w:instrText>
      </w:r>
      <w:r w:rsidR="002E24CD" w:rsidRPr="00361937">
        <w:fldChar w:fldCharType="separate"/>
      </w:r>
      <w:r w:rsidR="002427DA" w:rsidRPr="00361937">
        <w:rPr>
          <w:noProof/>
        </w:rPr>
        <w:t>[38]</w:t>
      </w:r>
      <w:r w:rsidR="002E24CD" w:rsidRPr="00361937">
        <w:fldChar w:fldCharType="end"/>
      </w:r>
      <w:r w:rsidR="00211EE1" w:rsidRPr="00361937">
        <w:t xml:space="preserve"> found that HIV-infected adults with uncomplicate</w:t>
      </w:r>
      <w:r w:rsidR="000B3EC7" w:rsidRPr="00361937">
        <w:t>d malaria on efavirenz</w:t>
      </w:r>
      <w:r w:rsidR="00211EE1" w:rsidRPr="00361937">
        <w:t>-ART who were treated with artemether-lumefantrine had a lowe</w:t>
      </w:r>
      <w:r w:rsidR="000B3EC7" w:rsidRPr="00361937">
        <w:t>r PCR-un</w:t>
      </w:r>
      <w:r w:rsidR="008E1439" w:rsidRPr="00361937">
        <w:t>corrected</w:t>
      </w:r>
      <w:r w:rsidR="000B3EC7" w:rsidRPr="00361937">
        <w:t xml:space="preserve"> day </w:t>
      </w:r>
      <w:r w:rsidR="00D3426F" w:rsidRPr="00361937">
        <w:t>28 ACPR (82.5</w:t>
      </w:r>
      <w:r w:rsidR="000B466E" w:rsidRPr="00361937">
        <w:t xml:space="preserve">%) than HIV-infected </w:t>
      </w:r>
      <w:r w:rsidR="00211EE1" w:rsidRPr="00361937">
        <w:t>antiretroviral naïve individ</w:t>
      </w:r>
      <w:r w:rsidR="000B3EC7" w:rsidRPr="00361937">
        <w:t xml:space="preserve">uals (94.5%), while those on nevirapine-based ART had a higher day </w:t>
      </w:r>
      <w:r w:rsidR="00211EE1" w:rsidRPr="00361937">
        <w:t>28 PCR-</w:t>
      </w:r>
      <w:r w:rsidR="008E1439" w:rsidRPr="00361937">
        <w:t xml:space="preserve">uncorrected </w:t>
      </w:r>
      <w:r w:rsidR="00211EE1" w:rsidRPr="00361937">
        <w:t xml:space="preserve">ACPR (97.6%). </w:t>
      </w:r>
      <w:r w:rsidR="00584D8C" w:rsidRPr="00361937">
        <w:t xml:space="preserve">No cases of ETF were detected in a </w:t>
      </w:r>
      <w:r w:rsidR="00211EE1" w:rsidRPr="00361937">
        <w:t>study</w:t>
      </w:r>
      <w:r w:rsidR="00584D8C" w:rsidRPr="00361937">
        <w:t xml:space="preserve"> population in which almost </w:t>
      </w:r>
      <w:r w:rsidR="00211EE1" w:rsidRPr="00361937">
        <w:t xml:space="preserve">half of the participants </w:t>
      </w:r>
      <w:r w:rsidR="00584D8C" w:rsidRPr="00361937">
        <w:t xml:space="preserve">had </w:t>
      </w:r>
      <w:r w:rsidR="00211EE1" w:rsidRPr="00361937">
        <w:t>CD4 cell count</w:t>
      </w:r>
      <w:r w:rsidR="00584D8C" w:rsidRPr="00361937">
        <w:t xml:space="preserve">s </w:t>
      </w:r>
      <w:r w:rsidR="00211EE1" w:rsidRPr="00361937">
        <w:t>&lt;350</w:t>
      </w:r>
      <w:r w:rsidR="00A81D30" w:rsidRPr="00361937">
        <w:t>.</w:t>
      </w:r>
      <w:r w:rsidR="00211EE1" w:rsidRPr="00361937">
        <w:t xml:space="preserve"> Thus, the study showed high efficacy of artemether and its metabolites (responsible for the initial clearance of malaria parasite </w:t>
      </w:r>
      <w:r w:rsidR="002E24CD" w:rsidRPr="00361937">
        <w:fldChar w:fldCharType="begin" w:fldLock="1"/>
      </w:r>
      <w:r w:rsidR="008A6790" w:rsidRPr="00361937">
        <w:instrText>ADDIN CSL_CITATION {"citationItems":[{"id":"ITEM-1","itemData":{"DOI":"10.1186/1475-2875-10-278","ISSN":"1475-2875","PMID":"21939506","abstract":"Parasite clearance rates are important measures of anti-malarial drug efficacy. They are particularly important in the assessment of artemisinin resistance. The slope of the log-linear segment in the middle of the parasite clearance curve has the least inter-individual variance and is the focus of therapeutic assessment. The factors affecting parasite clearance are reviewed. Methods of presentation and the approaches to analysis are discussed.","author":[{"dropping-particle":"","family":"White","given":"NJ","non-dropping-particle":"","parse-names":false,"suffix":""}],"container-title":"Malaria Journal","id":"ITEM-1","issue":"1","issued":{"date-parts":[["2011","9","22"]]},"page":"278","title":"The parasite clearance curve","type":"article-journal","volume":"10"},"uris":["http://www.mendeley.com/documents/?uuid=47b6669c-9259-3dcd-ab22-4d9799c261ae"]},{"id":"ITEM-2","itemData":{"DOI":"10.1186/s12936-015-0874-1","ISSN":"1475-2875","PMID":"26390866","abstract":"BACKGROUND Artemisinin resistance in Plasmodium falciparum manifests as slow parasite clearance but this measure is also influenced by host immunity, initial parasite biomass and partner drug efficacy. This study collated data from clinical trials of artemisinin derivatives in falciparum malaria with frequent parasite counts to provide reference parasite clearance estimates stratified by location, treatment and time, to examine host factors affecting parasite clearance, and to assess the relationships between parasite clearance and risk of recrudescence during follow-up. METHODS Data from 24 studies, conducted from 1996 to 2013, with frequent parasite counts were pooled. Parasite clearance half-life (PC1/2) was estimated using the WWARN Parasite Clearance Estimator. Random effects regression models accounting for study and site heterogeneity were used to explore factors affecting PC1/2 and risk of recrudescence within areas with reported delayed parasite clearance (western Cambodia, western Thailand after 2000, southern Vietnam, southern Myanmar) and in all other areas where parasite populations are artemisinin sensitive. RESULTS PC1/2 was estimated in 6975 patients, 3288 of whom also had treatment outcomes evaluate d during 28-63 days follow-up, with 93 (2.8 %) PCR-confirmed recrudescences. In areas with artemisinin-sensitive parasites, the median PC1/2 following three-day artesunate treatment (4 mg/kg/day) ranged from 1.8 to 3.0 h and the proportion of patients with PC1/2 &gt;5 h from 0 to 10 %. Artesunate doses of 4 mg/kg/day decreased PC1/2 by 8.1 % (95 % CI 3.2-12.6) compared to 2 mg/kg/day, except in populations with delayed parasite clearance. PC1/2 was longer in children and in patients with fever or anaemia at enrolment. Long PC1/2 (HR = 2.91, 95 % CI 1.95-4.34 for twofold increase, p &lt; 0.001) and high initial parasitaemia (HR = 2.23, 95 % CI 1.44-3.45 for tenfold increase, p &lt; 0.001) were associated independently with an increased risk of recrudescence. In western Cambodia, the region with the highest prevalence of artemisinin resistance, there was no evidence for increasing PC1/2 since 2007. CONCLUSIONS Several factors affect PC1/2. As substantial heterogeneity in parasite clearance exists between locations, early detection of artemisinin resistance requires reference PC1/2 data. Studies with frequent parasite count measurements to characterize PC1/2 should be encouraged. In western Cambodia, where PC1/2 values are longest, there is no evidence …","author":[{"dropping-particle":"","family":"WWARN Parasite Clearance Study Group","given":"WWARN Parasite Clearance Study","non-dropping-particle":"","parse-names":false,"suffix":""},{"dropping-particle":"","family":"Abdulla","given":"Salim","non-dropping-particle":"","parse-names":false,"suffix":""},{"dropping-particle":"","family":"Ashley","given":"Elizabeth A","non-dropping-particle":"","parse-names":false,"suffix":""},{"dropping-particle":"","family":"Bassat","given":"Quique","non-dropping-particle":"","parse-names":false,"suffix":""},{"dropping-particle":"","family":"Bethell","given":"Delia","non-dropping-particle":"","parse-names":false,"suffix":""},{"dropping-particle":"","family":"Björkman","given":"Anders","non-dropping-particle":"","parse-names":false,"suffix":""},{"dropping-particle":"","family":"Borrmann","given":"Steffen","non-dropping-particle":"","parse-names":false,"suffix":""},{"dropping-particle":"","family":"D'Alessandro","given":"Umberto","non-dropping-particle":"","parse-names":false,"suffix":""},{"dropping-particle":"","family":"Dahal","given":"Prabin","non-dropping-particle":"","parse-names":false,"suffix":""},{"dropping-particle":"","family":"Day","given":"Nicholas P","non-dropping-particle":"","parse-names":false,"suffix":""},{"dropping-particle":"","family":"Diakite","given":"Mahamadou","non-dropping-particle":"","parse-names":false,"suffix":""},{"dropping-particle":"","family":"Djimde","given":"Abdoulaye A","non-dropping-particle":"","parse-names":false,"suffix":""},{"dropping-particle":"","family":"Dondorp","given":"Arjen M","non-dropping-particle":"","parse-names":false,"suffix":""},{"dropping-particle":"","family":"Duong","given":"Socheat","non-dropping-particle":"","parse-names":false,"suffix":""},{"dropping-particle":"","family":"Edstein","given":"Michael D","non-dropping-particle":"","parse-names":false,"suffix":""},{"dropping-particle":"","family":"Fairhurst","given":"Rick M","non-dropping-particle":"","parse-names":false,"suffix":""},{"dropping-particle":"","family":"Faiz","given":"M Abul","non-dropping-particle":"","parse-names":false,"suffix":""},{"dropping-particle":"","family":"Falade","given":"Catherine","non-dropping-particle":"","parse-names":false,"suffix":""},{"dropping-particle":"","family":"Flegg","given":"Jennifer A","non-dropping-particle":"","parse-names":false,"suffix":""},{"dropping-particle":"","family":"Fogg","given":"Carole","non-dropping-particle":"","parse-names":false,"suffix":""},{"dropping-particle":"","family":"Gonzalez","given":"Raquel","non-dropping-particle":"","parse-names":false,"suffix":""},{"dropping-particle":"","family":"Greenwood","given":"Brian","non-dropping-particle":"","parse-names":false,"suffix":""},{"dropping-particle":"","family":"Guérin","given":"Philippe J","non-dropping-particle":"","parse-names":false,"suffix":""},{"dropping-particle":"","family":"Guthmann","given":"Jean-Paul","non-dropping-particle":"","parse-names":false,"suffix":""},{"dropping-particle":"","family":"Hamed","given":"Kamal","non-dropping-particle":"","parse-names":false,"suffix":""},{"dropping-particle":"","family":"Hien","given":"Tran Tinh","non-dropping-particle":"","parse-names":false,"suffix":""},{"dropping-particle":"","family":"Htut","given":"Ye","non-dropping-particle":"","parse-names":false,"suffix":""},{"dropping-particle":"","family":"Juma","given":"Elizabeth","non-dropping-particle":"","parse-names":false,"suffix":""},{"dropping-particle":"","family":"Lim","given":"Pharath","non-dropping-particle":"","parse-names":false,"suffix":""},{"dropping-particle":"","family":"Mårtensson","given":"Andreas","non-dropping-particle":"","parse-names":false,"suffix":""},{"dropping-particle":"","family":"Mayxay","given":"Mayfong","non-dropping-particle":"","parse-names":false,"suffix":""},{"dropping-particle":"","family":"Mokuolu","given":"Olugbenga A","non-dropping-particle":"","parse-names":false,"suffix":""},{"dropping-particle":"","family":"Moreira","given":"Clarissa","non-dropping-particle":"","parse-names":false,"suffix":""},{"dropping-particle":"","family":"Newton","given":"Paul","non-dropping-particle":"","parse-names":false,"suffix":""},{"dropping-particle":"","family":"Noedl","given":"Harald","non-dropping-particle":"","parse-names":false,"suffix":""},{"dropping-particle":"","family":"Nosten","given":"Francois","non-dropping-particle":"","parse-names":false,"suffix":""},{"dropping-particle":"","family":"Ogutu","given":"Bernhards R","non-dropping-particle":"","parse-names":false,"suffix":""},{"dropping-particle":"","family":"Onyamboko","given":"Marie A","non-dropping-particle":"","parse-names":false,"suffix":""},{"dropping-particle":"","family":"Owusu-Agyei","given":"Seth","non-dropping-particle":"","parse-names":false,"suffix":""},{"dropping-particle":"","family":"Phyo","given":"Aung Pyae","non-dropping-particle":"","parse-names":false,"suffix":""},{"dropping-particle":"","family":"Premji","given":"Zul","non-dropping-particle":"","parse-names":false,"suffix":""},{"dropping-particle":"","family":"Price","given":"Ric N","non-dropping-particle":"","parse-names":false,"suffix":""},{"dropping-particle":"","family":"Pukrittayakamee","given":"Sasithon","non-dropping-particle":"","parse-names":false,"suffix":""},{"dropping-particle":"","family":"Ramharter","given":"Michael","non-dropping-particle":"","parse-names":false,"suffix":""},{"dropping-particle":"","family":"Sagara","given":"Issaka","non-dropping-particle":"","parse-names":false,"suffix":""},{"dropping-particle":"","family":"Se","given":"Youry","non-dropping-particle":"","parse-names":false,"suffix":""},{"dropping-particle":"","family":"Suon","given":"Seila","non-dropping-particle":"","parse-names":false,"suffix":""},{"dropping-particle":"","family":"Stepniewska","given":"Kasia","non-dropping-particle":"","parse-names":false,"suffix":""},{"dropping-particle":"","family":"Ward","given":"Stephen A","non-dropping-particle":"","parse-names":false,"suffix":""},{"dropping-particle":"","family":"White","given":"Nicholas J","non-dropping-particle":"","parse-names":false,"suffix":""},{"dropping-particle":"","family":"Winstanley","given":"Peter A","non-dropping-particle":"","parse-names":false,"suffix":""}],"container-title":"Malaria journal","id":"ITEM-2","issued":{"date-parts":[["2015","9","22"]]},"page":"359","publisher":"BioMed Central","title":"Baseline data of parasite clearance in patients with falciparum malaria treated with an artemisinin derivative: an individual patient data meta-analysis.","type":"article-journal","volume":"14"},"uris":["http://www.mendeley.com/documents/?uuid=3b6c9fee-18f7-31fd-bfba-bddb76a3d7b4"]}],"mendeley":{"formattedCitation":"[39,40]","plainTextFormattedCitation":"[39,40]","previouslyFormattedCitation":"[39,40]"},"properties":{"noteIndex":0},"schema":"https://github.com/citation-style-language/schema/raw/master/csl-citation.json"}</w:instrText>
      </w:r>
      <w:r w:rsidR="002E24CD" w:rsidRPr="00361937">
        <w:fldChar w:fldCharType="separate"/>
      </w:r>
      <w:r w:rsidR="002427DA" w:rsidRPr="00361937">
        <w:rPr>
          <w:noProof/>
        </w:rPr>
        <w:t>[39,40]</w:t>
      </w:r>
      <w:r w:rsidR="002E24CD" w:rsidRPr="00361937">
        <w:fldChar w:fldCharType="end"/>
      </w:r>
      <w:r w:rsidR="00211EE1" w:rsidRPr="00361937">
        <w:t>)</w:t>
      </w:r>
      <w:r w:rsidR="00584D8C" w:rsidRPr="00361937">
        <w:t xml:space="preserve"> </w:t>
      </w:r>
      <w:r w:rsidR="00211EE1" w:rsidRPr="00361937">
        <w:t>despite ART co-administration, which is consistent with our study findings. However, in contrast to our findings, the Tanzanian study found high rates of recurrent mala</w:t>
      </w:r>
      <w:r w:rsidR="000B3EC7" w:rsidRPr="00361937">
        <w:t>ria in those on efavirenz</w:t>
      </w:r>
      <w:r w:rsidR="004F24D2" w:rsidRPr="00361937">
        <w:t xml:space="preserve">-ART. </w:t>
      </w:r>
      <w:r w:rsidR="00211EE1" w:rsidRPr="00361937">
        <w:t>Th</w:t>
      </w:r>
      <w:r w:rsidR="00584D8C" w:rsidRPr="00361937">
        <w:t>is is likely to ref</w:t>
      </w:r>
      <w:r w:rsidR="00A81D30" w:rsidRPr="00361937">
        <w:t>l</w:t>
      </w:r>
      <w:r w:rsidR="00584D8C" w:rsidRPr="00361937">
        <w:t xml:space="preserve">ect </w:t>
      </w:r>
      <w:r w:rsidR="00211EE1" w:rsidRPr="00361937">
        <w:t xml:space="preserve">the longer half life </w:t>
      </w:r>
      <w:r w:rsidR="005D03E5" w:rsidRPr="00361937">
        <w:t xml:space="preserve">and hence superior prophylactic effect </w:t>
      </w:r>
      <w:r w:rsidR="00211EE1" w:rsidRPr="00361937">
        <w:t xml:space="preserve">of </w:t>
      </w:r>
      <w:r w:rsidR="005D03E5" w:rsidRPr="00361937">
        <w:t xml:space="preserve">the ACT-partner drug, </w:t>
      </w:r>
      <w:r w:rsidR="000B3EC7" w:rsidRPr="00361937">
        <w:t>piperaquine</w:t>
      </w:r>
      <w:r w:rsidR="005D03E5" w:rsidRPr="00361937">
        <w:t>,</w:t>
      </w:r>
      <w:r w:rsidR="00211EE1" w:rsidRPr="00361937">
        <w:t xml:space="preserve"> </w:t>
      </w:r>
      <w:r w:rsidR="005D03E5" w:rsidRPr="00361937">
        <w:t xml:space="preserve">in </w:t>
      </w:r>
      <w:r w:rsidR="00CE09CA" w:rsidRPr="00361937">
        <w:t>this</w:t>
      </w:r>
      <w:r w:rsidR="005D03E5" w:rsidRPr="00361937">
        <w:t xml:space="preserve"> study </w:t>
      </w:r>
      <w:r w:rsidR="00211EE1" w:rsidRPr="00361937">
        <w:t>compared with lumefantrine</w:t>
      </w:r>
      <w:r w:rsidR="005D03E5" w:rsidRPr="00361937">
        <w:t xml:space="preserve"> in the previous study</w:t>
      </w:r>
      <w:r w:rsidR="00211EE1" w:rsidRPr="00361937">
        <w:t xml:space="preserve">. </w:t>
      </w:r>
    </w:p>
    <w:p w:rsidR="00313D5D" w:rsidRPr="00361937" w:rsidRDefault="00313D5D" w:rsidP="00A95E29">
      <w:pPr>
        <w:spacing w:line="480" w:lineRule="auto"/>
      </w:pPr>
    </w:p>
    <w:p w:rsidR="00920ADD" w:rsidRPr="00361937" w:rsidRDefault="00760175" w:rsidP="00A95E29">
      <w:pPr>
        <w:spacing w:line="480" w:lineRule="auto"/>
      </w:pPr>
      <w:r w:rsidRPr="00361937">
        <w:t>Day-7 plasma ACT concentrations have been proposed as a marker of overall exposure of the longer acting partner drug of ACT</w:t>
      </w:r>
      <w:r w:rsidR="00317AE3" w:rsidRPr="00361937">
        <w:t xml:space="preserve"> </w:t>
      </w:r>
      <w:r w:rsidRPr="00361937">
        <w:t>and have been shown to be predictive of treatment efficacy by day 28 after malaria treatment</w:t>
      </w:r>
      <w:r w:rsidR="00317AE3" w:rsidRPr="00361937">
        <w:t xml:space="preserve"> </w:t>
      </w:r>
      <w:r w:rsidR="002E24CD" w:rsidRPr="00361937">
        <w:fldChar w:fldCharType="begin" w:fldLock="1"/>
      </w:r>
      <w:r w:rsidR="008A6790" w:rsidRPr="00361937">
        <w:instrText>ADDIN CSL_CITATION {"citationItems":[{"id":"ITEM-1","itemData":{"DOI":"10.1016/j.pt.2008.01.006","ISSN":"14714922","PMID":"18353727","abstract":"The blood concentration profiles of most antimalarial drugs vary considerably between patients. The interpretation of antimalarial drug trials evaluating efficacy and effectiveness would be improved considerably if the exposure of the infecting parasite population to the antimalarial drug treatment could be measured. Artemisinin combination treatments are now recommended as first-line drugs for the treatment of falciparum malaria. Measurement of the blood, serum or plasma concentration of the slowly eliminated partner antimalarial drug on day 7 of follow-up is simpler and might be a better determinant of therapeutic response than the area under the concentration-time curve. Measurement of the day-7 drug level should be considered as a routine part of antimalarial drug trials.","author":[{"dropping-particle":"","family":"White","given":"Nicholas J.","non-dropping-particle":"","parse-names":false,"suffix":""},{"dropping-particle":"","family":"Stepniewska","given":"Kasia","non-dropping-particle":"","parse-names":false,"suffix":""},{"dropping-particle":"","family":"Barnes","given":"Karen","non-dropping-particle":"","parse-names":false,"suffix":""},{"dropping-particle":"","family":"Price","given":"Ric N.","non-dropping-particle":"","parse-names":false,"suffix":""},{"dropping-particle":"","family":"Simpson","given":"Julie","non-dropping-particle":"","parse-names":false,"suffix":""}],"container-title":"Trends in Parasitology","id":"ITEM-1","issue":"4","issued":{"date-parts":[["2008","4"]]},"page":"159-163","title":"Simplified antimalarial therapeutic monitoring: using the day-7 drug level?","type":"article-journal","volume":"24"},"uris":["http://www.mendeley.com/documents/?uuid=3121bf6e-fa64-3ac9-a5f6-f782f655d26b"]}],"mendeley":{"formattedCitation":"[41]","plainTextFormattedCitation":"[41]","previouslyFormattedCitation":"[41]"},"properties":{"noteIndex":0},"schema":"https://github.com/citation-style-language/schema/raw/master/csl-citation.json"}</w:instrText>
      </w:r>
      <w:r w:rsidR="002E24CD" w:rsidRPr="00361937">
        <w:fldChar w:fldCharType="separate"/>
      </w:r>
      <w:r w:rsidR="002427DA" w:rsidRPr="00361937">
        <w:rPr>
          <w:noProof/>
        </w:rPr>
        <w:t>[41]</w:t>
      </w:r>
      <w:r w:rsidR="002E24CD" w:rsidRPr="00361937">
        <w:fldChar w:fldCharType="end"/>
      </w:r>
      <w:r w:rsidRPr="00361937">
        <w:t>. In the present malaria-HIV co-infected sub-population</w:t>
      </w:r>
      <w:r w:rsidR="00ED3771" w:rsidRPr="00361937">
        <w:t>, most participants had</w:t>
      </w:r>
      <w:r w:rsidR="008C178B" w:rsidRPr="00361937">
        <w:rPr>
          <w:rStyle w:val="CommentReference"/>
          <w:rFonts w:eastAsiaTheme="minorEastAsia" w:cstheme="minorBidi"/>
          <w:sz w:val="24"/>
          <w:lang w:val="en-US"/>
        </w:rPr>
        <w:t xml:space="preserve"> </w:t>
      </w:r>
      <w:r w:rsidR="008C178B" w:rsidRPr="00361937">
        <w:rPr>
          <w:rStyle w:val="CommentReference"/>
          <w:rFonts w:eastAsiaTheme="minorEastAsia"/>
          <w:sz w:val="24"/>
          <w:szCs w:val="24"/>
          <w:lang w:val="en-US"/>
        </w:rPr>
        <w:t>day-7</w:t>
      </w:r>
      <w:r w:rsidR="000E69BC" w:rsidRPr="00361937">
        <w:t xml:space="preserve"> piperaquine concentrations that were below </w:t>
      </w:r>
      <w:r w:rsidR="000E69BC" w:rsidRPr="00361937">
        <w:lastRenderedPageBreak/>
        <w:t xml:space="preserve">the LLOQ. </w:t>
      </w:r>
      <w:r w:rsidR="00ED3771" w:rsidRPr="00361937">
        <w:t xml:space="preserve">However, in participants who had </w:t>
      </w:r>
      <w:r w:rsidR="008C178B" w:rsidRPr="00361937">
        <w:t xml:space="preserve">piperaquine concentration </w:t>
      </w:r>
      <w:r w:rsidR="00ED3771" w:rsidRPr="00361937">
        <w:t xml:space="preserve">values &gt;LLOQ, </w:t>
      </w:r>
      <w:r w:rsidR="008C178B" w:rsidRPr="00361937">
        <w:t>the piperaquine</w:t>
      </w:r>
      <w:r w:rsidR="00ED3771" w:rsidRPr="00361937">
        <w:t xml:space="preserve"> concentrations were not significantly different between those who experienced malaria recurrence by day 42 and those who did not</w:t>
      </w:r>
      <w:r w:rsidR="008C178B" w:rsidRPr="00361937">
        <w:t>.</w:t>
      </w:r>
      <w:r w:rsidR="00ED3771" w:rsidRPr="00361937" w:rsidDel="00A440D5">
        <w:rPr>
          <w:rStyle w:val="CommentReference"/>
          <w:rFonts w:eastAsiaTheme="minorEastAsia" w:cstheme="minorBidi"/>
          <w:sz w:val="24"/>
          <w:lang w:val="en-US"/>
        </w:rPr>
        <w:t xml:space="preserve"> </w:t>
      </w:r>
      <w:r w:rsidR="000E69BC" w:rsidRPr="00361937">
        <w:t>Th</w:t>
      </w:r>
      <w:r w:rsidR="00ED3771" w:rsidRPr="00361937">
        <w:t xml:space="preserve">e </w:t>
      </w:r>
      <w:r w:rsidR="008C178B" w:rsidRPr="00361937">
        <w:t xml:space="preserve">observed </w:t>
      </w:r>
      <w:r w:rsidR="00ED3771" w:rsidRPr="00361937">
        <w:t>&lt;LLOQ concentrations</w:t>
      </w:r>
      <w:r w:rsidR="000E69BC" w:rsidRPr="00361937">
        <w:t xml:space="preserve"> could be due to increased metabolism of piperaquine, as a result of efavirenz induction of CYP3A4 enzymes, or a limitation in the </w:t>
      </w:r>
      <w:r w:rsidR="00C86E5B" w:rsidRPr="00361937">
        <w:t xml:space="preserve">HPLC </w:t>
      </w:r>
      <w:r w:rsidR="000E69BC" w:rsidRPr="00361937">
        <w:t xml:space="preserve">assay to detect smaller concentrations of piperaquine. </w:t>
      </w:r>
      <w:r w:rsidRPr="00361937">
        <w:t xml:space="preserve">Nevertheless, the observed high </w:t>
      </w:r>
      <w:r w:rsidR="00313D5D" w:rsidRPr="00361937">
        <w:t xml:space="preserve">efficacy of DPQ </w:t>
      </w:r>
      <w:r w:rsidRPr="00361937">
        <w:t>highlight</w:t>
      </w:r>
      <w:r w:rsidR="00913998" w:rsidRPr="00361937">
        <w:t>s</w:t>
      </w:r>
      <w:r w:rsidRPr="00361937">
        <w:t xml:space="preserve"> that any PK interaction between efavirenz or nevirapine and piperaquine </w:t>
      </w:r>
      <w:r w:rsidR="00C86E5B" w:rsidRPr="00361937">
        <w:t>did not predict</w:t>
      </w:r>
      <w:r w:rsidRPr="00361937">
        <w:t xml:space="preserve"> </w:t>
      </w:r>
      <w:r w:rsidR="00C86E5B" w:rsidRPr="00361937">
        <w:t>the</w:t>
      </w:r>
      <w:r w:rsidRPr="00361937">
        <w:t xml:space="preserve"> clinical </w:t>
      </w:r>
      <w:r w:rsidR="00C86E5B" w:rsidRPr="00361937">
        <w:t>outcomes in this study</w:t>
      </w:r>
      <w:r w:rsidRPr="00361937">
        <w:t>.</w:t>
      </w:r>
    </w:p>
    <w:p w:rsidR="00913998" w:rsidRPr="00361937" w:rsidRDefault="00913998" w:rsidP="00A95E29">
      <w:pPr>
        <w:spacing w:line="480" w:lineRule="auto"/>
      </w:pPr>
    </w:p>
    <w:p w:rsidR="007149DB" w:rsidRPr="00361937" w:rsidRDefault="00FD4887" w:rsidP="00A95E29">
      <w:pPr>
        <w:spacing w:line="480" w:lineRule="auto"/>
      </w:pPr>
      <w:r w:rsidRPr="00361937">
        <w:t>Delayed parasite clearance (p</w:t>
      </w:r>
      <w:r w:rsidR="00B10864" w:rsidRPr="00361937">
        <w:t>arasite clearance half-life of &gt;5.5 hours</w:t>
      </w:r>
      <w:r w:rsidRPr="00361937">
        <w:t>)</w:t>
      </w:r>
      <w:r w:rsidR="00B10864" w:rsidRPr="00361937">
        <w:t xml:space="preserve"> has been shown to be associated with resistance of </w:t>
      </w:r>
      <w:r w:rsidRPr="00361937">
        <w:t xml:space="preserve">the </w:t>
      </w:r>
      <w:r w:rsidR="00B10864" w:rsidRPr="00361937">
        <w:t xml:space="preserve">parasites to artemisinins </w:t>
      </w:r>
      <w:r w:rsidR="002E24CD" w:rsidRPr="00361937">
        <w:fldChar w:fldCharType="begin" w:fldLock="1"/>
      </w:r>
      <w:r w:rsidR="008A6790" w:rsidRPr="00361937">
        <w:instrText>ADDIN CSL_CITATION {"citationItems":[{"id":"ITEM-1","itemData":{"DOI":"10.1186/s12916-018-1207-3","ISSN":"1741-7015","PMID":"30651111","abstract":"BACKGROUND Plasmodium falciparum infections with slow parasite clearance following artemisinin-based therapies are widespread in the Greater Mekong Subregion. A molecular marker of the slow clearance phenotype has been identified: single genetic changes within the propeller region of the Kelch13 protein (pfk13; Pf3D7_1343700). Global searches have identified almost 200 different non-synonymous mutant pfk13 genotypes. Most mutations occur at low prevalence and have uncertain functional significance. To characterize the impact of different pfk13 mutations on parasite clearance, we conducted an individual patient data meta-analysis of the associations between parasite clearance half-life (PC1/2) and pfk13 genotype based on a large set of individual patient records from Asia and Africa. METHODS A systematic literature review following the PRISMA protocol was conducted to identify studies published between 2000 and 2017 which included frequent parasite counts and pfk13 genotyping. Four databases (Ovid Medline, PubMed, Ovid Embase, and Web of Science Core Collection) were searched. Eighteen studies (15 from Asia, 2 from Africa, and one multicenter study with sites on both continents) met inclusion criteria and were shared. Associations between the log transformed PC1/2 values and pfk13 genotype were assessed using multivariable regression models with random effects for study site. RESULTS Both the pfk13 genotypes and the PC1/2 were available from 3250 (95%) patients (n = 3012 from Asia (93%), n = 238 from Africa (7%)). Among Asian isolates, all pfk13 propeller region mutant alleles observed in five or more specific isolates were associated with a 1.5- to 2.7-fold longer geometric mean PC1/2 compared to the PC1/2 of wild type isolates (all p ≤ 0.002). In addition, mutant allele E252Q located in the P. falciparum region of pfk13 was associated with 1.5-fold (95%CI 1.4-1.6) longer PC1/2. None of the isolates from four countries in Africa showed a significant difference between the PC1/2 of parasites with or without pfk13 propeller region mutations. Previously, the association of six pfk13 propeller mutant alleles with delayed parasite clearance had been confirmed. This analysis demonstrates that 15 additional pfk13 alleles are associated strongly with the slow-clearing phenotype in Southeast Asia. CONCLUSION Pooled analysis associated 20 pfk13 propeller region mutant alleles with the slow clearance phenotype, including 15 mutations not confirmed previously.","author":[{"dropping-particle":"","family":"WWARN K13 Genotype-Phenotype Study Group","given":"WWARN K13 Genotype-Phenotype Study","non-dropping-particle":"","parse-names":false,"suffix":""}],"container-title":"BMC Medicine","id":"ITEM-1","issue":"1","issued":{"date-parts":[["2019","12","17"]]},"page":"1","publisher":"BioMed Central","title":"Association of mutations in the Plasmodium falciparum Kelch13 gene (Pf3D7_1343700) with parasite clearance rates after artemisinin-based treatments—a WWARN individual patient data meta-analysis","type":"article-journal","volume":"17"},"uris":["http://www.mendeley.com/documents/?uuid=c3e57138-d6c1-3899-bd4d-23db28b8049a"]}],"mendeley":{"formattedCitation":"[42]","plainTextFormattedCitation":"[42]","previouslyFormattedCitation":"[42]"},"properties":{"noteIndex":0},"schema":"https://github.com/citation-style-language/schema/raw/master/csl-citation.json"}</w:instrText>
      </w:r>
      <w:r w:rsidR="002E24CD" w:rsidRPr="00361937">
        <w:fldChar w:fldCharType="separate"/>
      </w:r>
      <w:r w:rsidR="002427DA" w:rsidRPr="00361937">
        <w:rPr>
          <w:noProof/>
        </w:rPr>
        <w:t>[42]</w:t>
      </w:r>
      <w:r w:rsidR="002E24CD" w:rsidRPr="00361937">
        <w:fldChar w:fldCharType="end"/>
      </w:r>
      <w:r w:rsidR="00BF0410" w:rsidRPr="00361937">
        <w:t>.</w:t>
      </w:r>
      <w:r w:rsidR="00B10864" w:rsidRPr="00361937">
        <w:t xml:space="preserve"> Although a smaller proportion of participants in both </w:t>
      </w:r>
      <w:r w:rsidRPr="00361937">
        <w:t xml:space="preserve">ART </w:t>
      </w:r>
      <w:r w:rsidR="00B10864" w:rsidRPr="00361937">
        <w:t>groups had parasite clearance half-life of &gt;5.5 hours, the</w:t>
      </w:r>
      <w:r w:rsidRPr="00361937">
        <w:t>y</w:t>
      </w:r>
      <w:r w:rsidR="00B10864" w:rsidRPr="00361937">
        <w:t xml:space="preserve"> did not experience malaria recurrence in the follow up period</w:t>
      </w:r>
      <w:r w:rsidR="00D37CD4" w:rsidRPr="00361937">
        <w:t xml:space="preserve">, despite having </w:t>
      </w:r>
      <w:r w:rsidR="00760175" w:rsidRPr="00361937">
        <w:t xml:space="preserve">most </w:t>
      </w:r>
      <w:r w:rsidR="00BD060D" w:rsidRPr="00361937">
        <w:t xml:space="preserve">participants with </w:t>
      </w:r>
      <w:r w:rsidR="00A440D5" w:rsidRPr="00361937">
        <w:t>piperaquine</w:t>
      </w:r>
      <w:r w:rsidR="00BD060D" w:rsidRPr="00361937">
        <w:t xml:space="preserve"> concentrations </w:t>
      </w:r>
      <w:r w:rsidR="00760175" w:rsidRPr="00361937">
        <w:t>below the lower limit of quantification</w:t>
      </w:r>
      <w:r w:rsidR="00B10864" w:rsidRPr="00361937">
        <w:t xml:space="preserve">. Notably, they all had </w:t>
      </w:r>
      <w:r w:rsidR="00FD22CE" w:rsidRPr="00361937">
        <w:t xml:space="preserve">a low </w:t>
      </w:r>
      <w:r w:rsidRPr="00361937">
        <w:t xml:space="preserve">baseline CD4 cell count </w:t>
      </w:r>
      <w:r w:rsidR="00FD22CE" w:rsidRPr="00361937">
        <w:t xml:space="preserve">with </w:t>
      </w:r>
      <w:r w:rsidR="009B4DB3" w:rsidRPr="00361937">
        <w:t xml:space="preserve">a relatively higher </w:t>
      </w:r>
      <w:r w:rsidR="00FD22CE" w:rsidRPr="00361937">
        <w:t xml:space="preserve">malaria parasite </w:t>
      </w:r>
      <w:r w:rsidR="009B4DB3" w:rsidRPr="00361937">
        <w:t>load compared to the rest of the participants</w:t>
      </w:r>
      <w:r w:rsidR="00FD22CE" w:rsidRPr="00361937">
        <w:t xml:space="preserve">. </w:t>
      </w:r>
      <w:r w:rsidRPr="00361937">
        <w:t>Th</w:t>
      </w:r>
      <w:r w:rsidR="00BF0410" w:rsidRPr="00361937">
        <w:t>is</w:t>
      </w:r>
      <w:r w:rsidRPr="00361937">
        <w:t xml:space="preserve"> </w:t>
      </w:r>
      <w:r w:rsidR="00FD22CE" w:rsidRPr="00361937">
        <w:t>high</w:t>
      </w:r>
      <w:r w:rsidR="009B4DB3" w:rsidRPr="00361937">
        <w:t>er</w:t>
      </w:r>
      <w:r w:rsidR="00FD22CE" w:rsidRPr="00361937">
        <w:t xml:space="preserve"> parasit</w:t>
      </w:r>
      <w:r w:rsidR="00BF0410" w:rsidRPr="00361937">
        <w:t>e load</w:t>
      </w:r>
      <w:r w:rsidR="00FD22CE" w:rsidRPr="00361937">
        <w:t xml:space="preserve"> coupled with </w:t>
      </w:r>
      <w:r w:rsidRPr="00361937">
        <w:t>low immunity at presentation could explain the delayed clearance of malaria parasites</w:t>
      </w:r>
      <w:r w:rsidR="00BF0410" w:rsidRPr="00361937">
        <w:t xml:space="preserve"> that was observed in these participants</w:t>
      </w:r>
      <w:r w:rsidRPr="00361937">
        <w:t xml:space="preserve">. </w:t>
      </w:r>
    </w:p>
    <w:p w:rsidR="00211EE1" w:rsidRPr="00361937" w:rsidRDefault="00211EE1" w:rsidP="00A95E29">
      <w:pPr>
        <w:spacing w:line="480" w:lineRule="auto"/>
      </w:pPr>
    </w:p>
    <w:p w:rsidR="00211EE1" w:rsidRPr="00361937" w:rsidRDefault="00584D8C" w:rsidP="00A95E29">
      <w:pPr>
        <w:spacing w:line="480" w:lineRule="auto"/>
      </w:pPr>
      <w:r w:rsidRPr="00361937">
        <w:t>T</w:t>
      </w:r>
      <w:r w:rsidR="00211EE1" w:rsidRPr="00361937">
        <w:t>reatment</w:t>
      </w:r>
      <w:r w:rsidR="000D0700" w:rsidRPr="00361937">
        <w:t>-</w:t>
      </w:r>
      <w:r w:rsidR="00211EE1" w:rsidRPr="00361937">
        <w:t xml:space="preserve">emergent </w:t>
      </w:r>
      <w:r w:rsidR="000F40A6" w:rsidRPr="00361937">
        <w:t>AESIs</w:t>
      </w:r>
      <w:r w:rsidR="00211EE1" w:rsidRPr="00361937">
        <w:t xml:space="preserve"> </w:t>
      </w:r>
      <w:r w:rsidR="000F40A6" w:rsidRPr="00361937">
        <w:t xml:space="preserve"> occurred </w:t>
      </w:r>
      <w:r w:rsidR="00211EE1" w:rsidRPr="00361937">
        <w:t xml:space="preserve">in nearly </w:t>
      </w:r>
      <w:r w:rsidR="000F40A6" w:rsidRPr="00361937">
        <w:t xml:space="preserve">a third </w:t>
      </w:r>
      <w:r w:rsidR="00AB268C" w:rsidRPr="00361937">
        <w:t xml:space="preserve"> </w:t>
      </w:r>
      <w:r w:rsidR="00211EE1" w:rsidRPr="00361937">
        <w:t>and one-qu</w:t>
      </w:r>
      <w:r w:rsidR="000B3EC7" w:rsidRPr="00361937">
        <w:t>arter of the participants on efavirenz</w:t>
      </w:r>
      <w:r w:rsidR="00CE09CA" w:rsidRPr="00361937">
        <w:t>-</w:t>
      </w:r>
      <w:r w:rsidR="000B3EC7" w:rsidRPr="00361937">
        <w:t xml:space="preserve"> and nevirapine</w:t>
      </w:r>
      <w:r w:rsidR="00CE09CA" w:rsidRPr="00361937">
        <w:t xml:space="preserve">-based ART, </w:t>
      </w:r>
      <w:r w:rsidR="00211EE1" w:rsidRPr="00361937">
        <w:t xml:space="preserve">respectively. However, </w:t>
      </w:r>
      <w:r w:rsidRPr="00361937">
        <w:t xml:space="preserve">only </w:t>
      </w:r>
      <w:r w:rsidR="00211EE1" w:rsidRPr="00361937">
        <w:t xml:space="preserve">a few cases of </w:t>
      </w:r>
      <w:r w:rsidR="000F40A6" w:rsidRPr="00361937">
        <w:t>AESIs</w:t>
      </w:r>
      <w:r w:rsidR="000B3EC7" w:rsidRPr="00361937">
        <w:t xml:space="preserve"> in the efavirenz-group and none in the nevirapine-</w:t>
      </w:r>
      <w:r w:rsidR="00211EE1" w:rsidRPr="00361937">
        <w:t xml:space="preserve">group were judged to be </w:t>
      </w:r>
      <w:r w:rsidR="000F40A6" w:rsidRPr="00361937">
        <w:t xml:space="preserve">possibly </w:t>
      </w:r>
      <w:r w:rsidR="00211EE1" w:rsidRPr="00361937">
        <w:t>associated with DPQ</w:t>
      </w:r>
      <w:r w:rsidR="003C6774" w:rsidRPr="00361937">
        <w:t xml:space="preserve"> (Table </w:t>
      </w:r>
      <w:r w:rsidR="004E7576" w:rsidRPr="00361937">
        <w:t>3</w:t>
      </w:r>
      <w:r w:rsidR="003C6774" w:rsidRPr="00361937">
        <w:t>)</w:t>
      </w:r>
      <w:r w:rsidR="00211EE1" w:rsidRPr="00361937">
        <w:t>. QTc</w:t>
      </w:r>
      <w:r w:rsidR="000D0700" w:rsidRPr="00361937">
        <w:t>F</w:t>
      </w:r>
      <w:r w:rsidR="00211EE1" w:rsidRPr="00361937">
        <w:t xml:space="preserve"> prolo</w:t>
      </w:r>
      <w:r w:rsidR="00593A60" w:rsidRPr="00361937">
        <w:t>n</w:t>
      </w:r>
      <w:r w:rsidR="00211EE1" w:rsidRPr="00361937">
        <w:t>gation of at least 60ms</w:t>
      </w:r>
      <w:r w:rsidR="00AB268C" w:rsidRPr="00361937">
        <w:t>ec</w:t>
      </w:r>
      <w:r w:rsidR="00211EE1" w:rsidRPr="00361937">
        <w:t xml:space="preserve"> from baseline to the last treatment d</w:t>
      </w:r>
      <w:r w:rsidRPr="00361937">
        <w:t>a</w:t>
      </w:r>
      <w:r w:rsidR="00211EE1" w:rsidRPr="00361937">
        <w:t>y</w:t>
      </w:r>
      <w:r w:rsidRPr="00361937">
        <w:t xml:space="preserve"> did occur in a sizable proportion of participants but</w:t>
      </w:r>
      <w:r w:rsidR="00211EE1" w:rsidRPr="00361937">
        <w:t xml:space="preserve"> </w:t>
      </w:r>
      <w:r w:rsidR="00211EE1" w:rsidRPr="00361937">
        <w:lastRenderedPageBreak/>
        <w:t xml:space="preserve">none had </w:t>
      </w:r>
      <w:r w:rsidR="00593A60" w:rsidRPr="00361937">
        <w:t xml:space="preserve">an </w:t>
      </w:r>
      <w:r w:rsidR="00211EE1" w:rsidRPr="00361937">
        <w:t>absolute QTc</w:t>
      </w:r>
      <w:r w:rsidR="000D0700" w:rsidRPr="00361937">
        <w:t>F</w:t>
      </w:r>
      <w:r w:rsidR="00211EE1" w:rsidRPr="00361937">
        <w:t xml:space="preserve"> interval of 500ms</w:t>
      </w:r>
      <w:r w:rsidR="00AB268C" w:rsidRPr="00361937">
        <w:t>ec</w:t>
      </w:r>
      <w:r w:rsidR="00211EE1" w:rsidRPr="00361937">
        <w:t xml:space="preserve"> </w:t>
      </w:r>
      <w:r w:rsidRPr="00361937">
        <w:t xml:space="preserve">and there were no </w:t>
      </w:r>
      <w:r w:rsidR="00211EE1" w:rsidRPr="00361937">
        <w:t>clinical</w:t>
      </w:r>
      <w:r w:rsidRPr="00361937">
        <w:t>ly</w:t>
      </w:r>
      <w:r w:rsidR="00211EE1" w:rsidRPr="00361937">
        <w:t xml:space="preserve"> detectable </w:t>
      </w:r>
      <w:r w:rsidRPr="00361937">
        <w:t>events</w:t>
      </w:r>
      <w:r w:rsidR="00211EE1" w:rsidRPr="00361937">
        <w:t>. The QTc</w:t>
      </w:r>
      <w:r w:rsidR="000D0700" w:rsidRPr="00361937">
        <w:t>F</w:t>
      </w:r>
      <w:r w:rsidR="00211EE1" w:rsidRPr="00361937">
        <w:t xml:space="preserve"> prolongation resolved spontaneously by day 14. </w:t>
      </w:r>
      <w:r w:rsidR="00772B4D" w:rsidRPr="00361937">
        <w:t xml:space="preserve">The observed </w:t>
      </w:r>
      <w:r w:rsidR="00211EE1" w:rsidRPr="00361937">
        <w:t>QTc</w:t>
      </w:r>
      <w:r w:rsidR="000D0700" w:rsidRPr="00361937">
        <w:t>F</w:t>
      </w:r>
      <w:r w:rsidR="00211EE1" w:rsidRPr="00361937">
        <w:t xml:space="preserve"> prolongation </w:t>
      </w:r>
      <w:r w:rsidR="00772B4D" w:rsidRPr="00361937">
        <w:t xml:space="preserve">may have </w:t>
      </w:r>
      <w:r w:rsidR="0031168A" w:rsidRPr="00361937">
        <w:t xml:space="preserve">been </w:t>
      </w:r>
      <w:r w:rsidR="00211EE1" w:rsidRPr="00361937">
        <w:t>due</w:t>
      </w:r>
      <w:r w:rsidR="00A81D30" w:rsidRPr="00361937">
        <w:t xml:space="preserve"> to</w:t>
      </w:r>
      <w:r w:rsidR="00211EE1" w:rsidRPr="00361937">
        <w:t xml:space="preserve"> fever</w:t>
      </w:r>
      <w:r w:rsidR="00A81D30" w:rsidRPr="00361937">
        <w:t xml:space="preserve"> resolution</w:t>
      </w:r>
      <w:r w:rsidR="00211EE1" w:rsidRPr="00361937">
        <w:t xml:space="preserve"> </w:t>
      </w:r>
      <w:r w:rsidR="002E24CD" w:rsidRPr="00361937">
        <w:fldChar w:fldCharType="begin" w:fldLock="1"/>
      </w:r>
      <w:r w:rsidR="008A6790" w:rsidRPr="00361937">
        <w:instrText>ADDIN CSL_CITATION {"citationItems":[{"id":"ITEM-1","itemData":{"ISSN":"0002-9637","PMID":"17827358","abstract":"Dihydroartemisinin-piperaquine (DP) could become a leading fixed combination malaria treatment worldwide. Although there is accumulating evidence of efficacy and safety from clinical trials, data on cardiotoxicity are limited. In two randomized controlled trials in Thailand, 56 patients had ECGs performed before treatment, 4 hours after the first dose, and 4 hours after the last dose. The mean (95% CI) changes in QTc interval (Bazett's correction) were 2 (-6 to 9) ms and 14 (7 to 21) ms, respectively. These small changes on the third day of treatment are similar to those observed elsewhere in the convalescent phase following antimalarial treatment with drugs known to have no cardiac effects and are therefore likely to result from recovery from acute malaria and not the treatment given. At therapeutic doses, DP does not have clinically significant effects on the electrocardiogram.","author":[{"dropping-particle":"","family":"Mytton","given":"Oliver T","non-dropping-particle":"","parse-names":false,"suffix":""},{"dropping-particle":"","family":"Ashley","given":"Elizabeth A","non-dropping-particle":"","parse-names":false,"suffix":""},{"dropping-particle":"","family":"Peto","given":"Leon","non-dropping-particle":"","parse-names":false,"suffix":""},{"dropping-particle":"","family":"Price","given":"Ric N","non-dropping-particle":"","parse-names":false,"suffix":""},{"dropping-particle":"","family":"La","given":"Yar","non-dropping-particle":"","parse-names":false,"suffix":""},{"dropping-particle":"","family":"Hae","given":"Rae","non-dropping-particle":"","parse-names":false,"suffix":""},{"dropping-particle":"","family":"Singhasivanon","given":"Pratap","non-dropping-particle":"","parse-names":false,"suffix":""},{"dropping-particle":"","family":"White","given":"Nicholas J","non-dropping-particle":"","parse-names":false,"suffix":""},{"dropping-particle":"","family":"Nosten","given":"François","non-dropping-particle":"","parse-names":false,"suffix":""}],"container-title":"The American journal of tropical medicine and hygiene","id":"ITEM-1","issue":"3","issued":{"date-parts":[["2007","9"]]},"page":"447-50","title":"Electrocardiographic safety evaluation of dihydroartemisinin piperaquine in the treatment of uncomplicated falciparum malaria.","type":"article-journal","volume":"77"},"uris":["http://www.mendeley.com/documents/?uuid=04e2f537-29f9-3d9f-8684-e5cbd5220e98"]},{"id":"ITEM-2","itemData":{"ISSN":"0002-9637","PMID":"9790416","author":[{"dropping-particle":"","family":"Price","given":"R N","non-dropping-particle":"","parse-names":false,"suffix":""},{"dropping-particle":"","family":"Nosten","given":"F","non-dropping-particle":"","parse-names":false,"suffix":""},{"dropping-particle":"","family":"White","given":"N J","non-dropping-particle":"","parse-names":false,"suffix":""}],"container-title":"The American journal of tropical medicine and hygiene","id":"ITEM-2","issue":"4","issued":{"date-parts":[["1998","10"]]},"page":"503","title":"Prolongation of the QTc interval in African children treated for falciparum malaria.","type":"article-journal","volume":"59"},"uris":["http://www.mendeley.com/documents/?uuid=92910a41-c817-3147-a911-c318b8afd18e"]}],"mendeley":{"formattedCitation":"[43,44]","plainTextFormattedCitation":"[43,44]","previouslyFormattedCitation":"[43,44]"},"properties":{"noteIndex":0},"schema":"https://github.com/citation-style-language/schema/raw/master/csl-citation.json"}</w:instrText>
      </w:r>
      <w:r w:rsidR="002E24CD" w:rsidRPr="00361937">
        <w:fldChar w:fldCharType="separate"/>
      </w:r>
      <w:r w:rsidR="002427DA" w:rsidRPr="00361937">
        <w:rPr>
          <w:noProof/>
        </w:rPr>
        <w:t>[43,44]</w:t>
      </w:r>
      <w:r w:rsidR="002E24CD" w:rsidRPr="00361937">
        <w:fldChar w:fldCharType="end"/>
      </w:r>
      <w:r w:rsidR="00211EE1" w:rsidRPr="00361937">
        <w:t xml:space="preserve"> </w:t>
      </w:r>
      <w:r w:rsidR="00593A60" w:rsidRPr="00361937">
        <w:t>rather than</w:t>
      </w:r>
      <w:r w:rsidR="000B3EC7" w:rsidRPr="00361937">
        <w:t xml:space="preserve"> piperaquine</w:t>
      </w:r>
      <w:r w:rsidR="00772B4D" w:rsidRPr="00361937">
        <w:t xml:space="preserve">, but whatever the mechanism,  </w:t>
      </w:r>
      <w:r w:rsidR="00593A60" w:rsidRPr="00361937">
        <w:t xml:space="preserve">we </w:t>
      </w:r>
      <w:r w:rsidR="00772B4D" w:rsidRPr="00361937">
        <w:t xml:space="preserve">can </w:t>
      </w:r>
      <w:r w:rsidR="00593A60" w:rsidRPr="00361937">
        <w:t xml:space="preserve">conclude </w:t>
      </w:r>
      <w:r w:rsidR="00772B4D" w:rsidRPr="00361937">
        <w:t xml:space="preserve">that </w:t>
      </w:r>
      <w:r w:rsidR="00211EE1" w:rsidRPr="00361937">
        <w:t xml:space="preserve">DPQ </w:t>
      </w:r>
      <w:r w:rsidR="00593A60" w:rsidRPr="00361937">
        <w:t xml:space="preserve">can be </w:t>
      </w:r>
      <w:r w:rsidR="00211EE1" w:rsidRPr="00361937">
        <w:t>safe</w:t>
      </w:r>
      <w:r w:rsidR="00593A60" w:rsidRPr="00361937">
        <w:t xml:space="preserve">ly used </w:t>
      </w:r>
      <w:r w:rsidR="00FB78BF" w:rsidRPr="00361937">
        <w:t>in this group of patients. This observation is also in line with WHO’</w:t>
      </w:r>
      <w:r w:rsidR="004E7274" w:rsidRPr="00361937">
        <w:t>s recommendation</w:t>
      </w:r>
      <w:r w:rsidR="00FB78BF" w:rsidRPr="00361937">
        <w:t xml:space="preserve"> that there is no evidence of increased risk of cardiotoxicity following exposure to current doses of DPQ for treatment of uncomplicated malaria </w:t>
      </w:r>
      <w:r w:rsidR="002E24CD" w:rsidRPr="00361937">
        <w:fldChar w:fldCharType="begin" w:fldLock="1"/>
      </w:r>
      <w:r w:rsidR="008A6790" w:rsidRPr="00361937">
        <w:instrText>ADDIN CSL_CITATION {"citationItems":[{"id":"ITEM-1","itemData":{"abstract":"Executive summary The cardiotoxicity of antimalarial medicines has received renewed interest in recent years following the 'Thorough QT' assessment of the dihydroartemisinin-piperaquine formulation approved by the European Medicines Agency, which showed evidence of QT interval prolongation. Piperaquine is a bisquinoline antimalarial that is structurally related to chloroquine. Many drugs among the quinoline and structurally-related medicines affect myocardial depolarization and repolarization. WHO currently recommends the artemisinin-based combination treatment dihydroartemisinin-piperaquine for the treatment of uncomplicated malaria. This treatment is being considered alongside other antimalarial medicines for preventive therapy and mass drug administration. To inform WHO recommendations, a group of experts met in October 2016 to review evidence on the cardiotoxicity risk of quinoline antimalarials and structurally-related medicines in people with and without clinical malaria.","author":[{"dropping-particle":"","family":"WHO Evidence Review Group","given":"","non-dropping-particle":"","parse-names":false,"suffix":""}],"container-title":"http://www.who.int/malaria/mpac/mpac-mar2017-erg-cardiotoxicity-report-session2.pdf","id":"ITEM-1","issued":{"date-parts":[["2017"]]},"title":"The cardiotoxicity of antimalarials","type":"report"},"uris":["http://www.mendeley.com/documents/?uuid=3c538c60-dcf1-338a-8acb-0fb06e1b31c1"]}],"mendeley":{"formattedCitation":"[45]","plainTextFormattedCitation":"[45]","previouslyFormattedCitation":"[45]"},"properties":{"noteIndex":0},"schema":"https://github.com/citation-style-language/schema/raw/master/csl-citation.json"}</w:instrText>
      </w:r>
      <w:r w:rsidR="002E24CD" w:rsidRPr="00361937">
        <w:fldChar w:fldCharType="separate"/>
      </w:r>
      <w:r w:rsidR="002427DA" w:rsidRPr="00361937">
        <w:rPr>
          <w:noProof/>
        </w:rPr>
        <w:t>[45]</w:t>
      </w:r>
      <w:r w:rsidR="002E24CD" w:rsidRPr="00361937">
        <w:fldChar w:fldCharType="end"/>
      </w:r>
      <w:r w:rsidR="00FB78BF" w:rsidRPr="00361937">
        <w:t>.</w:t>
      </w:r>
      <w:r w:rsidR="001A5CDA" w:rsidRPr="00361937">
        <w:t xml:space="preserve"> </w:t>
      </w:r>
      <w:r w:rsidR="002D1328" w:rsidRPr="00361937">
        <w:t xml:space="preserve">Additionally, a similar </w:t>
      </w:r>
      <w:r w:rsidR="001A5CDA" w:rsidRPr="00361937">
        <w:t>phenomenon</w:t>
      </w:r>
      <w:r w:rsidR="002D1328" w:rsidRPr="00361937">
        <w:t xml:space="preserve">, of prolonged QTc interval which resolves following recovery from malaria, </w:t>
      </w:r>
      <w:r w:rsidR="00A620A1" w:rsidRPr="00361937">
        <w:t>has</w:t>
      </w:r>
      <w:r w:rsidR="001A5CDA" w:rsidRPr="00361937">
        <w:t xml:space="preserve"> been </w:t>
      </w:r>
      <w:r w:rsidR="00A620A1" w:rsidRPr="00361937">
        <w:t xml:space="preserve">previously </w:t>
      </w:r>
      <w:r w:rsidR="001A5CDA" w:rsidRPr="00361937">
        <w:t xml:space="preserve">observed in </w:t>
      </w:r>
      <w:r w:rsidR="00A620A1" w:rsidRPr="00361937">
        <w:t xml:space="preserve">17.1% (n=152) of </w:t>
      </w:r>
      <w:r w:rsidR="001A5CDA" w:rsidRPr="00361937">
        <w:t xml:space="preserve">adults </w:t>
      </w:r>
      <w:r w:rsidR="002D1328" w:rsidRPr="00361937">
        <w:t>living with HIV and on efavirenz-based ART who were treated for uncomplicated malaria with artemether-lumefantrine</w:t>
      </w:r>
      <w:r w:rsidR="00CE09CA" w:rsidRPr="00361937">
        <w:t xml:space="preserve"> in Zambia</w:t>
      </w:r>
      <w:r w:rsidR="00A620A1" w:rsidRPr="00361937">
        <w:t xml:space="preserve"> </w:t>
      </w:r>
      <w:r w:rsidR="002E24CD" w:rsidRPr="00361937">
        <w:fldChar w:fldCharType="begin" w:fldLock="1"/>
      </w:r>
      <w:r w:rsidR="00937CB6" w:rsidRPr="00361937">
        <w:instrText>ADDIN CSL_CITATION {"citationItems":[{"id":"ITEM-1","itemData":{"DOI":"10.1186/s12936-019-2818-7","ISSN":"1475-2875","abstract":"Background: HIV-infected individuals on antiretroviral therapy (ART) require treatment with artemisinin-based combination therapy (ACT) when infected with malaria. Artemether-lumefantrine (AL) is the most commonly used ACT for treatment of falciparum malaria in Africa but there is limited evidence on the safety and efficacy of AL in HIV-infected individuals on ART, among whom drug-drug interactions are expected. Day-42 adequate clinical and para-sitological response (ACPR) and incidence of adverse events was assessed in HIV-infected individuals on efavirenz-based ART with uncomplicated falciparum malaria treated with AL. Methods: A prospective, open label, non-randomized, interventional clinical trial was conducted at St Paul's Hospital in northern Zambia, involving 152 patients aged 15-65 years with uncomplicated falciparum malaria, who were on efavirenz-based ART. They received a 3-day directly observed standard treatment of AL and were followed up until day 63. Day-42 polymerase chain reaction (PCR)-corrected ACPRs (95% confidence interval [CI]) were calculated for the intention-to-treat population. Results: Enrolled patients had a baseline geometric mean (95% CI) parasite density of 1108 (841-1463) parasites/ µL; 16.4% (25/152) of the participants had a recurrent malaria episode by day 42. However, PCR data was available for 17 out of the 25 patients who had malaria recurrence. Among all the 17 patients, PCR findings demonstrated malaria re-infection, making the PCR-adjusted day-42 ACPR 100% in the 144 patients who could be evaluated. Even when eight patients with missing PCR data were considered very conservatively as failures, the day-42 ACPR was over 94%. None of the participants, disease or treatment characteristics, including day-7 lumefantrine concentrations, predicted the risk of malaria recurrence by day 42. AL was well tolerated following administration. There were only two cases","author":[{"dropping-particle":"","family":"Banda","given":"Clifford G","non-dropping-particle":"","parse-names":false,"suffix":""},{"dropping-particle":"","family":"Chaponda","given":"Mike","non-dropping-particle":"","parse-names":false,"suffix":""},{"dropping-particle":"","family":"Mukaka","given":"Mavuto","non-dropping-particle":"","parse-names":false,"suffix":""},{"dropping-particle":"","family":"Mulenga","given":"Modest","non-dropping-particle":"","parse-names":false,"suffix":""},{"dropping-particle":"","family":"Hachizovu","given":"Sebastian","non-dropping-particle":"","parse-names":false,"suffix":""},{"dropping-particle":"","family":"Kabuya","given":"Jean B","non-dropping-particle":"","parse-names":false,"suffix":""},{"dropping-particle":"","family":"Mulenga","given":"Joyce","non-dropping-particle":"","parse-names":false,"suffix":""},{"dropping-particle":"","family":"Sikalima","given":"Jay","non-dropping-particle":"","parse-names":false,"suffix":""},{"dropping-particle":"","family":"Kalilani-Phiri","given":"Linda","non-dropping-particle":"","parse-names":false,"suffix":""},{"dropping-particle":"","family":"Terlouw","given":"Dianne J","non-dropping-particle":"","parse-names":false,"suffix":""},{"dropping-particle":"","family":"Khoo","given":"Saye H","non-dropping-particle":"","parse-names":false,"suffix":""},{"dropping-particle":"","family":"Lalloo","given":"David G","non-dropping-particle":"","parse-names":false,"suffix":""},{"dropping-particle":"","family":"Mwapasa","given":"Victor","non-dropping-particle":"","parse-names":false,"suffix":""}],"container-title":"Malaria Journal","id":"ITEM-1","issue":"1","issued":{"date-parts":[["2019"]]},"page":"180","title":"Efficacy and safety of artemether–lumefantrine as treatment for Plasmodium falciparum uncomplicated malaria in adult patients on efavirenz-based antiretroviral therapy in Zambia: an open label non-randomized interventional trial","type":"article-journal","volume":"18"},"uris":["http://www.mendeley.com/documents/?uuid=2823192b-44a7-358b-bf3e-62a839fe992d"]}],"mendeley":{"formattedCitation":"[10]","plainTextFormattedCitation":"[10]","previouslyFormattedCitation":"[10]"},"properties":{"noteIndex":0},"schema":"https://github.com/citation-style-language/schema/raw/master/csl-citation.json"}</w:instrText>
      </w:r>
      <w:r w:rsidR="002E24CD" w:rsidRPr="00361937">
        <w:fldChar w:fldCharType="separate"/>
      </w:r>
      <w:r w:rsidR="00A620A1" w:rsidRPr="00361937">
        <w:rPr>
          <w:noProof/>
        </w:rPr>
        <w:t>[10]</w:t>
      </w:r>
      <w:r w:rsidR="002E24CD" w:rsidRPr="00361937">
        <w:fldChar w:fldCharType="end"/>
      </w:r>
      <w:r w:rsidR="002D1328" w:rsidRPr="00361937">
        <w:t xml:space="preserve">. </w:t>
      </w:r>
      <w:r w:rsidR="001A5CDA" w:rsidRPr="00361937">
        <w:t>Nevertheless, this</w:t>
      </w:r>
      <w:r w:rsidR="002D1328" w:rsidRPr="00361937">
        <w:t xml:space="preserve"> </w:t>
      </w:r>
      <w:r w:rsidR="001A5CDA" w:rsidRPr="00361937">
        <w:t>needs to be confirmed in future studies o</w:t>
      </w:r>
      <w:r w:rsidR="002D1328" w:rsidRPr="00361937">
        <w:t>f DPQ</w:t>
      </w:r>
      <w:r w:rsidR="001A5CDA" w:rsidRPr="00361937">
        <w:t xml:space="preserve"> use in </w:t>
      </w:r>
      <w:r w:rsidR="002D1328" w:rsidRPr="00361937">
        <w:t xml:space="preserve">malaria-HIV coinfected adults on efavirenz- or nevirapine based ART. </w:t>
      </w:r>
    </w:p>
    <w:p w:rsidR="004148CE" w:rsidRPr="00361937" w:rsidRDefault="004148CE" w:rsidP="00A95E29">
      <w:pPr>
        <w:spacing w:line="480" w:lineRule="auto"/>
      </w:pPr>
    </w:p>
    <w:p w:rsidR="00211EE1" w:rsidRPr="00361937" w:rsidRDefault="00211EE1" w:rsidP="00A95E29">
      <w:pPr>
        <w:spacing w:line="480" w:lineRule="auto"/>
      </w:pPr>
      <w:r w:rsidRPr="00361937">
        <w:t xml:space="preserve">The major strengths of </w:t>
      </w:r>
      <w:r w:rsidR="0045519A" w:rsidRPr="00361937">
        <w:t xml:space="preserve">this </w:t>
      </w:r>
      <w:r w:rsidRPr="00361937">
        <w:t>study were the directly-supervised DPQ dosing, large sa</w:t>
      </w:r>
      <w:r w:rsidR="00FB78BF" w:rsidRPr="00361937">
        <w:t>mple size of participants on efavirenz</w:t>
      </w:r>
      <w:r w:rsidRPr="00361937">
        <w:t xml:space="preserve">-based ART and minimal loss to follow-up (&lt;5%). However, the required sample </w:t>
      </w:r>
      <w:r w:rsidR="00FB78BF" w:rsidRPr="00361937">
        <w:t>size was not achieved in the nevirapine</w:t>
      </w:r>
      <w:r w:rsidRPr="00361937">
        <w:t xml:space="preserve">-based ART group because the national ART programme phased out this regimen during the course of the study. </w:t>
      </w:r>
      <w:r w:rsidR="00D45C14" w:rsidRPr="00361937">
        <w:t>Nevertheless</w:t>
      </w:r>
      <w:r w:rsidRPr="00361937">
        <w:t>, participants in this group had high baseline parasite densit</w:t>
      </w:r>
      <w:r w:rsidR="00F819DE" w:rsidRPr="00361937">
        <w:t>ies</w:t>
      </w:r>
      <w:r w:rsidRPr="00361937">
        <w:t xml:space="preserve"> which permitted accurate assessment of DPQ</w:t>
      </w:r>
      <w:r w:rsidR="00272442" w:rsidRPr="00361937">
        <w:t>’s</w:t>
      </w:r>
      <w:r w:rsidRPr="00361937">
        <w:t xml:space="preserve"> parasit</w:t>
      </w:r>
      <w:r w:rsidR="003A7C69" w:rsidRPr="00361937">
        <w:t>e</w:t>
      </w:r>
      <w:r w:rsidRPr="00361937">
        <w:t xml:space="preserve"> </w:t>
      </w:r>
      <w:r w:rsidR="003A7C69" w:rsidRPr="00361937">
        <w:t xml:space="preserve">clearance </w:t>
      </w:r>
      <w:r w:rsidRPr="00361937">
        <w:t xml:space="preserve">and </w:t>
      </w:r>
      <w:r w:rsidR="003A7C69" w:rsidRPr="00361937">
        <w:t>prophylactic efficacy</w:t>
      </w:r>
      <w:r w:rsidRPr="00361937">
        <w:t xml:space="preserve">. </w:t>
      </w:r>
    </w:p>
    <w:p w:rsidR="00A81D30" w:rsidRPr="00361937" w:rsidRDefault="00A81D30" w:rsidP="00A95E29">
      <w:pPr>
        <w:spacing w:line="480" w:lineRule="auto"/>
      </w:pPr>
    </w:p>
    <w:p w:rsidR="00211EE1" w:rsidRPr="00361937" w:rsidRDefault="00211EE1" w:rsidP="00A95E29">
      <w:pPr>
        <w:spacing w:line="480" w:lineRule="auto"/>
      </w:pPr>
      <w:r w:rsidRPr="00361937">
        <w:t>Nearly one-half of enroll</w:t>
      </w:r>
      <w:r w:rsidR="00FB78BF" w:rsidRPr="00361937">
        <w:t>ed study participants in the efavirez</w:t>
      </w:r>
      <w:r w:rsidRPr="00361937">
        <w:t xml:space="preserve"> group had parasite densities of </w:t>
      </w:r>
      <w:r w:rsidR="00272442" w:rsidRPr="00361937">
        <w:t>&lt;</w:t>
      </w:r>
      <w:r w:rsidRPr="00361937">
        <w:t>2000/mm</w:t>
      </w:r>
      <w:r w:rsidRPr="00361937">
        <w:rPr>
          <w:vertAlign w:val="superscript"/>
        </w:rPr>
        <w:t>3</w:t>
      </w:r>
      <w:r w:rsidRPr="00361937">
        <w:t xml:space="preserve"> and nearly two-thirds were on cotrimoxazole prop</w:t>
      </w:r>
      <w:r w:rsidR="003119D0" w:rsidRPr="00361937">
        <w:t>h</w:t>
      </w:r>
      <w:r w:rsidRPr="00361937">
        <w:t>ylaxis which has some antimalarial effects</w:t>
      </w:r>
      <w:r w:rsidR="00DB032D" w:rsidRPr="00361937">
        <w:t xml:space="preserve"> </w:t>
      </w:r>
      <w:r w:rsidR="002E24CD" w:rsidRPr="00361937">
        <w:fldChar w:fldCharType="begin" w:fldLock="1"/>
      </w:r>
      <w:r w:rsidR="008A6790" w:rsidRPr="00361937">
        <w:instrText>ADDIN CSL_CITATION {"citationItems":[{"id":"ITEM-1","itemData":{"DOI":"10.1371/journal.pone.0056916","ISSN":"1932-6203","PMID":"23451110","abstract":"INTRODUCTION Cotrimoxazole (CTX) has been used for half a century. It is inexpensive hence the reason for its almost universal availability and wide clinical spectrum of use. In the last decade, CTX was used for prophylaxis of opportunistic infections in HIV infected people. It also had an impact on the malaria risk in this specific group. OBJECTIVE We performed a systematic review to explore the efficacy and safety of CTX used for P.falciparum malaria treatment and prophylaxis. RESULT CTX is safe and efficacious against malaria. Up to 75% of the safety concerns relate to skin reactions and this increases in HIV/AIDs patients. In different study areas, in HIV negative individuals, CTX used as malaria treatment cleared 56%-97% of the malaria infections, reduced fever and improved anaemia. CTX prophylaxis reduces the incidence of clinical malaria in HIV-1 infected individuals from 46%-97%. In HIV negative non pregnant participants, CTX prophylaxis had 39.5%-99.5% protective efficacy against clinical malaria. The lowest figures were observed in zones of high sulfadoxine-pyrimethamine resistance. There were no data reported on CTX prophylaxis in HIV negative pregnant women. CONCLUSION CTX is safe and still efficacious for the treatment of P.falciparum malaria in non-pregnant adults and children irrespective of HIV status and antifolate resistance profiles. There is need to explore its effect in pregnant women, irrespective of HIV status. CTX prophylaxis in HIV infected individuals protects against malaria and CTX may have a role for malaria prophylaxis in specific HIV negative target groups.","author":[{"dropping-particle":"","family":"Manyando","given":"Christine","non-dropping-particle":"","parse-names":false,"suffix":""},{"dropping-particle":"","family":"Njunju","given":"Eric M.","non-dropping-particle":"","parse-names":false,"suffix":""},{"dropping-particle":"","family":"D’Alessandro","given":"Umberto","non-dropping-particle":"","parse-names":false,"suffix":""},{"dropping-particle":"","family":"geertruyden","given":"Jean-Pierre","non-dropping-particle":"Van","parse-names":false,"suffix":""}],"container-title":"PLoS ONE","editor":[{"dropping-particle":"","family":"Bejon","given":"Philip","non-dropping-particle":"","parse-names":false,"suffix":""}],"id":"ITEM-1","issue":"2","issued":{"date-parts":[["2013","2","22"]]},"page":"e56916","title":"Safety and Efficacy of Co-Trimoxazole for Treatment and Prevention of Plasmodium falciparum Malaria: A Systematic Review","type":"article-journal","volume":"8"},"uris":["http://www.mendeley.com/documents/?uuid=b27401c4-2f73-3a68-8850-19491a028dd1"]},{"id":"ITEM-2","itemData":{"DOI":"10.1111/tmi.12352","ISSN":"13602276","PMID":"25039469","abstract":"OBJECTIVES Cotrimoxazole prophylactic treatment (CPT) prevents opportunistic infections in HIV-infected or HIV-exposed children, but estimates of the effectiveness in preventing malaria vary. We reviewed studies that examined the effect of CPT on incidence of malaria in children in sub-Saharan Africa. METHODS We searched PubMed and EMBASE for randomised controlled trials (RCTs) and cohort studies on the effect of CPT on incidence of malaria and mortality in children and extracted data on the prevalence of sulphadoxine-pyrimethamine resistance-conferring point mutations. Incidence rate ratios (IRR) from individual studies were combined using random effects meta-analysis; confounder-adjusted estimates were used for cohort studies. The importance of resistance was examined in meta-regression analyses. RESULTS Three RCTs and four cohort studies with 5039 children (1692 HIV-exposed; 2800 HIV-uninfected; 1486 HIV-infected) were included. Children on CPT were less likely to develop clinical malaria episodes than those without prophylaxis (combined IRR 0.37, 95% confidence interval: 0.21-0.66), but there was substantial between-study heterogeneity (I-squared = 94%, P &lt; 0.001). The protective efficacy of CPT was highest in an RCT from Mali, where the prevalence of antifolate resistant plasmodia was low. In meta-regression analyses, there was some evidence that the efficacy of CPT declined with increasing levels of resistance. Mortality was reduced with CPT in an RCT from Zambia, but not in a cohort study from Côte d'Ivoire. CONCLUSIONS Cotrimoxazole prophylactic treatment reduces incidence of malaria and mortality in children in sub-Saharan Africa, but study designs, settings and results were heterogeneous. CPT appears to be beneficial for HIV-infected and HIV-exposed as well as HIV-uninfected children.","author":[{"dropping-particle":"","family":"Mbeye","given":"Nyanyiwe M.","non-dropping-particle":"","parse-names":false,"suffix":""},{"dropping-particle":"","family":"Kuile","given":"Feiko O.","non-dropping-particle":"ter","parse-names":false,"suffix":""},{"dropping-particle":"","family":"Davies","given":"Mary-Ann","non-dropping-particle":"","parse-names":false,"suffix":""},{"dropping-particle":"","family":"Phiri","given":"Kamija S.","non-dropping-particle":"","parse-names":false,"suffix":""},{"dropping-particle":"","family":"Egger","given":"Matthias","non-dropping-particle":"","parse-names":false,"suffix":""},{"dropping-particle":"","family":"Wandeler","given":"Gilles","non-dropping-particle":"","parse-names":false,"suffix":""},{"dropping-particle":"","family":"IeDEA-Southern Africa","given":"","non-dropping-particle":"","parse-names":false,"suffix":""}],"container-title":"Tropical Medicine &amp; International Health","id":"ITEM-2","issue":"9","issued":{"date-parts":[["2014","9"]]},"page":"1057-1067","title":"Cotrimoxazole prophylactic treatment prevents malaria in children in sub-Saharan Africa: systematic review and meta-analysis","type":"article-journal","volume":"19"},"uris":["http://www.mendeley.com/documents/?uuid=ac526d95-9582-392c-9ba5-d9e8d13073c2"]}],"mendeley":{"formattedCitation":"[46,47]","plainTextFormattedCitation":"[46,47]","previouslyFormattedCitation":"[46,47]"},"properties":{"noteIndex":0},"schema":"https://github.com/citation-style-language/schema/raw/master/csl-citation.json"}</w:instrText>
      </w:r>
      <w:r w:rsidR="002E24CD" w:rsidRPr="00361937">
        <w:fldChar w:fldCharType="separate"/>
      </w:r>
      <w:r w:rsidR="002427DA" w:rsidRPr="00361937">
        <w:rPr>
          <w:noProof/>
        </w:rPr>
        <w:t>[46,47]</w:t>
      </w:r>
      <w:r w:rsidR="002E24CD" w:rsidRPr="00361937">
        <w:fldChar w:fldCharType="end"/>
      </w:r>
      <w:r w:rsidRPr="00361937">
        <w:t>. Thus, it can be argued tha</w:t>
      </w:r>
      <w:r w:rsidR="00FB78BF" w:rsidRPr="00361937">
        <w:t>t the high ACPR found in the efavirenz</w:t>
      </w:r>
      <w:r w:rsidRPr="00361937">
        <w:t>-group could have partly been due to</w:t>
      </w:r>
      <w:r w:rsidR="00FB78BF" w:rsidRPr="00361937">
        <w:t xml:space="preserve"> the anti</w:t>
      </w:r>
      <w:r w:rsidR="00116FFA" w:rsidRPr="00361937">
        <w:t>-</w:t>
      </w:r>
      <w:r w:rsidR="00FB78BF" w:rsidRPr="00361937">
        <w:t>malarial effects of cotrimoxazole</w:t>
      </w:r>
      <w:r w:rsidRPr="00361937">
        <w:t xml:space="preserve"> </w:t>
      </w:r>
      <w:r w:rsidRPr="00361937">
        <w:lastRenderedPageBreak/>
        <w:t xml:space="preserve">and </w:t>
      </w:r>
      <w:r w:rsidR="00116FFA" w:rsidRPr="00361937">
        <w:t>immunity-</w:t>
      </w:r>
      <w:r w:rsidRPr="00361937">
        <w:t xml:space="preserve">mediated clearance of low </w:t>
      </w:r>
      <w:r w:rsidR="00FB78BF" w:rsidRPr="00361937">
        <w:t>density parasit</w:t>
      </w:r>
      <w:r w:rsidR="00116FFA" w:rsidRPr="00361937">
        <w:t>a</w:t>
      </w:r>
      <w:r w:rsidR="00FB78BF" w:rsidRPr="00361937">
        <w:t>emias. However, day</w:t>
      </w:r>
      <w:r w:rsidR="001547AC" w:rsidRPr="00361937">
        <w:t>-</w:t>
      </w:r>
      <w:r w:rsidRPr="00361937">
        <w:t>42 PCR-</w:t>
      </w:r>
      <w:r w:rsidR="008E1439" w:rsidRPr="00361937">
        <w:t xml:space="preserve">corrected </w:t>
      </w:r>
      <w:r w:rsidRPr="00361937">
        <w:t xml:space="preserve">and </w:t>
      </w:r>
      <w:r w:rsidR="008E1439" w:rsidRPr="00361937">
        <w:t xml:space="preserve">uncorrected </w:t>
      </w:r>
      <w:r w:rsidRPr="00361937">
        <w:t xml:space="preserve">ACPR did not significantly </w:t>
      </w:r>
      <w:r w:rsidR="00FB78BF" w:rsidRPr="00361937">
        <w:t>vary according to the use of cotrimoxazole</w:t>
      </w:r>
      <w:r w:rsidRPr="00361937">
        <w:t xml:space="preserve"> prophylaxis or baseline parasite density. In addition, at least two-thirds of participants in this group </w:t>
      </w:r>
      <w:r w:rsidR="000D0700" w:rsidRPr="00361937">
        <w:t xml:space="preserve">had </w:t>
      </w:r>
      <w:r w:rsidRPr="00361937">
        <w:t>CD4 cell count &lt;350/mm</w:t>
      </w:r>
      <w:r w:rsidRPr="00361937">
        <w:rPr>
          <w:vertAlign w:val="superscript"/>
        </w:rPr>
        <w:t>3</w:t>
      </w:r>
      <w:r w:rsidRPr="00361937">
        <w:t xml:space="preserve"> which is likely to have compromised their ability to clear parasites and prevent reinfections </w:t>
      </w:r>
      <w:r w:rsidR="002E24CD" w:rsidRPr="00361937">
        <w:fldChar w:fldCharType="begin" w:fldLock="1"/>
      </w:r>
      <w:r w:rsidR="004603C9" w:rsidRPr="00361937">
        <w:instrText>ADDIN CSL_CITATION {"citationItems":[{"id":"ITEM-1","itemData":{"DOI":"10.1086/500245","ISSN":"0022-1899","abstract":"BACKGROUND: Human immunodeficiency virus (HIV) infection and malaria coexist in much of Africa. Previous studies differ in their findings on the interactions between the 2 infections. METHODS: Adults living with HIV infection in Blantyre, Malawi, were enrolled in a longitudinal observational study from September 2002 to August 2004. Malaria blood smears were obtained monthly and for any illness suggestive of malaria. Complete evaluations of all illness episodes were conducted, regardless of malaria smear results. RESULTS: The incidence of clinical malaria episodes was higher in participants with CD4 cell counts &lt;200 cells/mm3 than in those with CD4 cell counts &gt;500 cells/mm3. The trend was preserved when increasingly specific definitions of malaria disease were used. The prevalence of malaria infection was not associated with CD4 cell count. In per-visit analysis, lower CD4 cell counts were associated with higher incidences of pneumonia, sepsis, and tuberculosis but not of malaria. Severe malaria was rare, with only 3 cases in 591 person-years of observation. Parasite density and CD4 cell count were independent risk factors for fever. CONCLUSIONS: Profoundly immunosuppressed adults with HIV infection require more-frequent treatment for uncomplicated malaria, but malaria infection and disease are less strongly associated with HIV-associated immunosuppression than are other opportunistic infections. Where malaria is common, the high incidence of fever found among immunosuppressed adults may lead to misclassification of illness episodes as malaria.","author":[{"dropping-particle":"","family":"Laufer","given":"Miriam K.","non-dropping-particle":"","parse-names":false,"suffix":""},{"dropping-particle":"","family":"Oosterhout","given":"Joep J. G.","non-dropping-particle":"van","parse-names":false,"suffix":""},{"dropping-particle":"","family":"Thesing","given":"Philip C.","non-dropping-particle":"","parse-names":false,"suffix":""},{"dropping-particle":"","family":"Thumba","given":"Feston","non-dropping-particle":"","parse-names":false,"suffix":""},{"dropping-particle":"","family":"Zijlstra","given":"Eduard E.","non-dropping-particle":"","parse-names":false,"suffix":""},{"dropping-particle":"","family":"Graham","given":"Stephen M.","non-dropping-particle":"","parse-names":false,"suffix":""},{"dropping-particle":"","family":"Taylor","given":"Terrie E.","non-dropping-particle":"","parse-names":false,"suffix":""},{"dropping-particle":"V.","family":"Plowe","given":"Christopher","non-dropping-particle":"","parse-names":false,"suffix":""}],"container-title":"The Journal of Infectious Diseases","id":"ITEM-1","issue":"6","issued":{"date-parts":[["2006","3","15"]]},"page":"872-878","publisher":"StataCorp LP, College Station, TX","title":"Impact of HIV</w:instrText>
      </w:r>
      <w:r w:rsidR="004603C9" w:rsidRPr="00361937">
        <w:rPr>
          <w:rFonts w:ascii="PortagoITC TT" w:hAnsi="PortagoITC TT" w:cs="PortagoITC TT"/>
        </w:rPr>
        <w:instrText>‐</w:instrText>
      </w:r>
      <w:r w:rsidR="004603C9" w:rsidRPr="00361937">
        <w:instrText>Associated Immunosuppression on Malaria Infection and Disease in Malawi","type":"article-journal","volume":"193"},"uris":["http://www.mendeley.com/documents/?uuid=01cdd214-f9bc-3159-83f6-aee74f594c31"]},{"id":"ITEM-2","itemData":{"DOI":"10.1097/01.aids.0000247572.95880.92","ISSN":"0269-9370","abstract":"This article reviews the evidence regarding human immunodeficiency virus type 1 (HIV-1) infection-Plasmodium falciparum malaria interactions in adults, for whom the likely overall public health impact is less clear. It focuses on how HIV-1 infection alters the clinical presentation and outcome of malaria, what effect malaria may have on the natural history of HIV-1 infection, and the implications of an interaction for surveillance systems, burden estimates and prediction of future trends. The implications of the interactions on policies for prevention and control of both diseases are considered, as are priority areas for research.","author":[{"dropping-particle":"","family":"Hewitt","given":"Kirsten","non-dropping-particle":"","parse-names":false,"suffix":""},{"dropping-particle":"","family":"Steketee","given":"Richard","non-dropping-particle":"","parse-names":false,"suffix":""},{"dropping-particle":"","family":"Mwapasa","given":"Victor","non-dropping-particle":"","parse-names":false,"suffix":""},{"dropping-particle":"","family":"Whitworth","given":"Jimmy","non-dropping-particle":"","parse-names":false,"suffix":""},{"dropping-particle":"","family":"French","given":"Neil","non-dropping-particle":"","parse-names":false,"suffix":""}],"container-title":"AIDS","id":"ITEM-2","issue":"16","issued":{"date-parts":[["2006"]]},"page":"1993-2004","title":"Interactions between HIV and malaria in non-pregnant adults: evidence and implications","type":"article-journal","volume":"20"},"uris":["http://www.mendeley.com/documents/?uuid=6ea17038-d6f3-3830-a575-9819090d8cb8"]},{"id":"ITEM-3","itemData":{"DOI":"10.1086/507310","ISBN":"0022-1899","ISSN":"0022-1899","PMID":"16960779","abstract":"BACKGROUND: Human immunodeficiency virus (HIV)-1 infected adults with low CD4 cell count have a higher risk of malaria infection and clinical malaria. We assessed the influence that HIV-1 immune suppression has on the efficacy of antimalarial treatment in adults with uncomplicated malaria. METHODS: This clinical trial included 971 Zambian adults with uncomplicated malaria. Patients were tested for HIV-1, and, if positive, a CD4 cell count was assessed. The primary outcome was recurrent parasitemia corrected by molecular genotyping within 45 days after treatment. RESULTS: HIV-1 infection was detected in 33% (320/971) of adult patients with malaria. Treatment failure was not associated with HIV-1 infection (relative risk [RR], 1.12 [95% confidence interval {CI}, 0.82-1.53]; P=.45). HIV-1-infected patients with a CD4 cell count &lt;300 cells/microL had an increased risk of recurrent parasitemia, compared with those with a CD4 cell count &gt;or=300 cells/microL (RR, 2.24 [95% CI, 1.20-4.14]; P=.01). After genotyping, the risk of recrudescence was higher in HIV-1-infected patients with a CD4 cell count &lt;300 cells/microL than in the other patients with malaria (RR, 1.67 [95% CI, 1.13-2.47]; P=.02). CONCLUSION: HIV-1-infected patients with malaria with a CD4 cell count &lt;300 cells/microL have a higher risk of experiencing a recrudescent infection, compared with those with a CD4 cell count &gt;or=300 cells/microL or without HIV-1 infection. Trial registered at http://www.clinicaltrials.gov/; reference number NCT00304980.","author":[{"dropping-particle":"","family":"Geertruyden","given":"Jean-Pierre","non-dropping-particle":"Van","parse-names":false,"suffix":""},{"dropping-particle":"","family":"Mulenga","given":"Modest","non-dropping-particle":"","parse-names":false,"suffix":""},{"dropping-particle":"","family":"Mwananyanda","given":"Lawrence","non-dropping-particle":"","parse-names":false,"suffix":""},{"dropping-particle":"","family":"Chalwe","given":"Victor","non-dropping-particle":"","parse-names":false,"suffix":""},{"dropping-particle":"","family":"Moerman","given":"Filip","non-dropping-particle":"","parse-names":false,"suffix":""},{"dropping-particle":"","family":"Chilengi","given":"Roma","non-dropping-particle":"","parse-names":false,"suffix":""},{"dropping-particle":"","family":"Kasongo","given":"Webster","non-dropping-particle":"","parse-names":false,"suffix":""},{"dropping-particle":"","family":"Overmeir","given":"Chantal","non-dropping-particle":"Van","parse-names":false,"suffix":""},{"dropping-particle":"","family":"Dujardin","given":"Jean</w:instrText>
      </w:r>
      <w:r w:rsidR="004603C9" w:rsidRPr="00361937">
        <w:rPr>
          <w:rFonts w:ascii="PortagoITC TT" w:hAnsi="PortagoITC TT" w:cs="PortagoITC TT"/>
        </w:rPr>
        <w:instrText>‐</w:instrText>
      </w:r>
      <w:r w:rsidR="004603C9" w:rsidRPr="00361937">
        <w:instrText>Claude","non-dropping-particle":"","parse-names":false,"suffix":""},{"dropping-particle":"","family":"Colebunders","given":"Robert","non-dropping-particle":"","parse-names":false,"suffix":""},{"dropping-particle":"","family":"Kestens","given":"Luc","non-dropping-particle":"","parse-names":false,"suffix":""},{"dropping-particle":"","family":"D'Alessandro","given":"Umberto","non-dropping-particle":"","parse-names":false,"suffix":""}],"container-title":"The Journal of infectious diseases","id":"ITEM-3","issue":"7","issued":{"date-parts":[["2006","10","1"]]},"page":"917-925","publisher":"UNAIDS, June, Geneva","title":"HIV-1 immune suppression and antimalarial treatment outcome in Zambian adults with uncomplicated malaria.","type":"article-journal","volume":"194"},"uris":["http://www.mendeley.com/documents/?uuid=58f68240-a939-33b5-993b-b2e7d99e73cc"]}],"mendeley":{"formattedCitation":"[2,3,25]","plainTextFormattedCitation":"[2,3,25]","previouslyFormattedCitation":"[2,3,25]"},"properties":{"noteIndex":0},"schema":"https://github.com/citation-style-language/schema/raw/master/csl-citation.json"}</w:instrText>
      </w:r>
      <w:r w:rsidR="002E24CD" w:rsidRPr="00361937">
        <w:fldChar w:fldCharType="separate"/>
      </w:r>
      <w:r w:rsidR="00DB548D" w:rsidRPr="00361937">
        <w:rPr>
          <w:noProof/>
        </w:rPr>
        <w:t>[2,3,25]</w:t>
      </w:r>
      <w:r w:rsidR="002E24CD" w:rsidRPr="00361937">
        <w:fldChar w:fldCharType="end"/>
      </w:r>
      <w:r w:rsidRPr="00361937">
        <w:t xml:space="preserve">. In spite of this, DPQ achieved high ACPR in this group suggesting its high therapeutic and prophylactic effectiveness. </w:t>
      </w:r>
    </w:p>
    <w:p w:rsidR="00932E80" w:rsidRPr="00361937" w:rsidRDefault="00932E80" w:rsidP="00A95E29">
      <w:pPr>
        <w:spacing w:line="480" w:lineRule="auto"/>
        <w:jc w:val="both"/>
      </w:pPr>
    </w:p>
    <w:p w:rsidR="00932E80" w:rsidRPr="00361937" w:rsidRDefault="00932E80" w:rsidP="00A95E29">
      <w:pPr>
        <w:spacing w:line="480" w:lineRule="auto"/>
      </w:pPr>
      <w:r w:rsidRPr="00361937">
        <w:t>In thi</w:t>
      </w:r>
      <w:r w:rsidR="00FB78BF" w:rsidRPr="00361937">
        <w:t>s study, the day</w:t>
      </w:r>
      <w:r w:rsidR="001547AC" w:rsidRPr="00361937">
        <w:t>-</w:t>
      </w:r>
      <w:r w:rsidRPr="00361937">
        <w:t xml:space="preserve">42 </w:t>
      </w:r>
      <w:r w:rsidR="008E1439" w:rsidRPr="00361937">
        <w:t xml:space="preserve">PCR corrected </w:t>
      </w:r>
      <w:r w:rsidRPr="00361937">
        <w:t xml:space="preserve">and </w:t>
      </w:r>
      <w:r w:rsidR="008E1439" w:rsidRPr="00361937">
        <w:t xml:space="preserve">uncorrected </w:t>
      </w:r>
      <w:r w:rsidRPr="00361937">
        <w:t>ACPR appeared to be higher among  individuals on</w:t>
      </w:r>
      <w:r w:rsidR="00FB78BF" w:rsidRPr="00361937">
        <w:t xml:space="preserve"> nevirapine</w:t>
      </w:r>
      <w:r w:rsidRPr="00361937">
        <w:t>-b</w:t>
      </w:r>
      <w:r w:rsidR="00FB78BF" w:rsidRPr="00361937">
        <w:t>ased ART than among those on efavirenz</w:t>
      </w:r>
      <w:r w:rsidRPr="00361937">
        <w:t xml:space="preserve">-based ART. However, this study was not designed to compare the efficacy and safety of  DPQ between the two groups and the full sample size was not achieved in the </w:t>
      </w:r>
      <w:r w:rsidR="00FB78BF" w:rsidRPr="00361937">
        <w:t>nevirapine</w:t>
      </w:r>
      <w:r w:rsidRPr="00361937">
        <w:t xml:space="preserve"> arm. It is therefore inappropriate to make direct comparison of DPQ efficacy between individals taking the two ART regimens.</w:t>
      </w:r>
    </w:p>
    <w:p w:rsidR="00A95E29" w:rsidRPr="00361937" w:rsidRDefault="00A95E29" w:rsidP="00A95E29">
      <w:pPr>
        <w:spacing w:line="480" w:lineRule="auto"/>
        <w:jc w:val="both"/>
      </w:pPr>
    </w:p>
    <w:p w:rsidR="00E7104E" w:rsidRPr="00361937" w:rsidRDefault="00E7104E" w:rsidP="00A95E29">
      <w:pPr>
        <w:spacing w:line="480" w:lineRule="auto"/>
        <w:jc w:val="both"/>
        <w:rPr>
          <w:b/>
        </w:rPr>
      </w:pPr>
      <w:r w:rsidRPr="00361937">
        <w:rPr>
          <w:b/>
        </w:rPr>
        <w:t>Conclusion</w:t>
      </w:r>
    </w:p>
    <w:p w:rsidR="00A95E29" w:rsidRPr="00361937" w:rsidRDefault="00A95E29" w:rsidP="00A95E29">
      <w:pPr>
        <w:spacing w:line="480" w:lineRule="auto"/>
        <w:jc w:val="both"/>
        <w:rPr>
          <w:b/>
        </w:rPr>
      </w:pPr>
    </w:p>
    <w:p w:rsidR="00A74E78" w:rsidRPr="00361937" w:rsidRDefault="00E7104E" w:rsidP="00A95E29">
      <w:pPr>
        <w:spacing w:line="480" w:lineRule="auto"/>
      </w:pPr>
      <w:r w:rsidRPr="00361937">
        <w:t>T</w:t>
      </w:r>
      <w:r w:rsidR="001547AC" w:rsidRPr="00361937">
        <w:t>his</w:t>
      </w:r>
      <w:r w:rsidR="00EF4477" w:rsidRPr="00361937">
        <w:t xml:space="preserve"> study found </w:t>
      </w:r>
      <w:r w:rsidR="00642C56" w:rsidRPr="00361937">
        <w:t xml:space="preserve">that </w:t>
      </w:r>
      <w:r w:rsidR="00EF4477" w:rsidRPr="00361937">
        <w:t>dihyroartemisin-piperaquine</w:t>
      </w:r>
      <w:r w:rsidR="00211EE1" w:rsidRPr="00361937">
        <w:t xml:space="preserve"> was highly efficacious and safe when used to treat uncomplicated </w:t>
      </w:r>
      <w:r w:rsidR="00EF4477" w:rsidRPr="00361937">
        <w:rPr>
          <w:i/>
        </w:rPr>
        <w:t>P</w:t>
      </w:r>
      <w:r w:rsidR="00116FFA" w:rsidRPr="00361937">
        <w:rPr>
          <w:i/>
        </w:rPr>
        <w:t>.</w:t>
      </w:r>
      <w:r w:rsidR="00EF4477" w:rsidRPr="00361937">
        <w:rPr>
          <w:i/>
        </w:rPr>
        <w:t xml:space="preserve"> falciparum</w:t>
      </w:r>
      <w:r w:rsidR="00211EE1" w:rsidRPr="00361937">
        <w:rPr>
          <w:i/>
        </w:rPr>
        <w:t xml:space="preserve"> </w:t>
      </w:r>
      <w:r w:rsidR="00211EE1" w:rsidRPr="00361937">
        <w:t>malaria i</w:t>
      </w:r>
      <w:r w:rsidR="00EF4477" w:rsidRPr="00361937">
        <w:t xml:space="preserve">n individuals taking efavirenz or </w:t>
      </w:r>
      <w:r w:rsidR="00642C56" w:rsidRPr="00361937">
        <w:t>nevirapi</w:t>
      </w:r>
      <w:r w:rsidR="00EF4477" w:rsidRPr="00361937">
        <w:t>ne</w:t>
      </w:r>
      <w:r w:rsidR="00211EE1" w:rsidRPr="00361937">
        <w:t xml:space="preserve">-based ART. </w:t>
      </w:r>
      <w:r w:rsidR="001547AC" w:rsidRPr="00361937">
        <w:t>A</w:t>
      </w:r>
      <w:r w:rsidR="001E0B68" w:rsidRPr="00361937">
        <w:t xml:space="preserve"> higher than </w:t>
      </w:r>
      <w:r w:rsidR="00AE2274" w:rsidRPr="00361937">
        <w:t>expected</w:t>
      </w:r>
      <w:r w:rsidR="001E0B68" w:rsidRPr="00361937">
        <w:t xml:space="preserve"> observed cases of QTc</w:t>
      </w:r>
      <w:r w:rsidR="00AE2274" w:rsidRPr="00361937">
        <w:t xml:space="preserve"> interval</w:t>
      </w:r>
      <w:r w:rsidR="001E0B68" w:rsidRPr="00361937">
        <w:t xml:space="preserve"> prolongation</w:t>
      </w:r>
      <w:r w:rsidR="001547AC" w:rsidRPr="00361937">
        <w:t xml:space="preserve"> (&gt;60msec from baseline to day 2</w:t>
      </w:r>
      <w:r w:rsidR="00DB4AEC" w:rsidRPr="00361937">
        <w:t>)</w:t>
      </w:r>
      <w:r w:rsidR="001E0B68" w:rsidRPr="00361937">
        <w:t xml:space="preserve"> following treatment with dihyroartemisin-piperaquine </w:t>
      </w:r>
      <w:r w:rsidR="00DB4AEC" w:rsidRPr="00361937">
        <w:t>were observed and thought to</w:t>
      </w:r>
      <w:r w:rsidR="001E0B68" w:rsidRPr="00361937">
        <w:t xml:space="preserve"> likely </w:t>
      </w:r>
      <w:r w:rsidR="00DB4AEC" w:rsidRPr="00361937">
        <w:t>be</w:t>
      </w:r>
      <w:r w:rsidR="001E0B68" w:rsidRPr="00361937">
        <w:t xml:space="preserve"> due to resolution of fever as part of the malaria recovery process</w:t>
      </w:r>
      <w:r w:rsidR="00DB4AEC" w:rsidRPr="00361937">
        <w:t xml:space="preserve">. </w:t>
      </w:r>
      <w:r w:rsidR="00211EE1" w:rsidRPr="00361937">
        <w:t>Under the “HIV Tes</w:t>
      </w:r>
      <w:r w:rsidR="000C3C23" w:rsidRPr="00361937">
        <w:t>t and Treat” approach, many HIV-infected</w:t>
      </w:r>
      <w:r w:rsidR="00211EE1" w:rsidRPr="00361937">
        <w:t xml:space="preserve"> individuals </w:t>
      </w:r>
      <w:r w:rsidR="00B02284" w:rsidRPr="00361937">
        <w:t xml:space="preserve">in high burden countries </w:t>
      </w:r>
      <w:r w:rsidR="003119D0" w:rsidRPr="00361937">
        <w:t xml:space="preserve">will </w:t>
      </w:r>
      <w:r w:rsidR="00211EE1" w:rsidRPr="00361937">
        <w:t>initiat</w:t>
      </w:r>
      <w:r w:rsidR="003119D0" w:rsidRPr="00361937">
        <w:t>e</w:t>
      </w:r>
      <w:r w:rsidR="00211EE1" w:rsidRPr="00361937">
        <w:t xml:space="preserve"> ART early before they are </w:t>
      </w:r>
      <w:r w:rsidR="00211EE1" w:rsidRPr="00361937">
        <w:lastRenderedPageBreak/>
        <w:t>severely immunosuppressed</w:t>
      </w:r>
      <w:r w:rsidR="00731862" w:rsidRPr="00361937">
        <w:t xml:space="preserve"> an</w:t>
      </w:r>
      <w:r w:rsidR="00EF4477" w:rsidRPr="00361937">
        <w:t xml:space="preserve">d </w:t>
      </w:r>
      <w:r w:rsidR="005571A7" w:rsidRPr="00361937">
        <w:t>this</w:t>
      </w:r>
      <w:r w:rsidR="00EF4477" w:rsidRPr="00361937">
        <w:t xml:space="preserve"> study supports the use of dihyroartemisin-piperaquine</w:t>
      </w:r>
      <w:r w:rsidR="00211EE1" w:rsidRPr="00361937">
        <w:t xml:space="preserve"> </w:t>
      </w:r>
      <w:r w:rsidR="00731862" w:rsidRPr="00361937">
        <w:t xml:space="preserve">for the treatment of </w:t>
      </w:r>
      <w:r w:rsidRPr="00361937">
        <w:t xml:space="preserve">uncomplicated </w:t>
      </w:r>
      <w:r w:rsidR="00731862" w:rsidRPr="00361937">
        <w:t>malaria in such patients</w:t>
      </w:r>
      <w:r w:rsidR="00211EE1" w:rsidRPr="00361937">
        <w:t xml:space="preserve">. </w:t>
      </w:r>
    </w:p>
    <w:p w:rsidR="00BF0410" w:rsidRPr="00361937" w:rsidRDefault="00BF0410" w:rsidP="00A95E29">
      <w:pPr>
        <w:spacing w:line="480" w:lineRule="auto"/>
        <w:outlineLvl w:val="0"/>
        <w:rPr>
          <w:b/>
          <w:lang w:eastAsia="en-GB"/>
        </w:rPr>
      </w:pPr>
    </w:p>
    <w:p w:rsidR="00A95E29" w:rsidRPr="00361937" w:rsidRDefault="00A95E29">
      <w:pPr>
        <w:rPr>
          <w:b/>
          <w:lang w:eastAsia="en-GB"/>
        </w:rPr>
      </w:pPr>
      <w:r w:rsidRPr="00361937">
        <w:rPr>
          <w:b/>
          <w:lang w:eastAsia="en-GB"/>
        </w:rPr>
        <w:br w:type="page"/>
      </w:r>
    </w:p>
    <w:p w:rsidR="005D6A8C" w:rsidRPr="00361937" w:rsidRDefault="005D6A8C" w:rsidP="00A95E29">
      <w:pPr>
        <w:spacing w:line="480" w:lineRule="auto"/>
        <w:outlineLvl w:val="0"/>
        <w:rPr>
          <w:b/>
          <w:lang w:eastAsia="en-GB"/>
        </w:rPr>
      </w:pPr>
      <w:r w:rsidRPr="00361937">
        <w:rPr>
          <w:b/>
          <w:lang w:eastAsia="en-GB"/>
        </w:rPr>
        <w:lastRenderedPageBreak/>
        <w:t>List of abbreviations</w:t>
      </w:r>
    </w:p>
    <w:p w:rsidR="005D6A8C" w:rsidRPr="00361937" w:rsidRDefault="005D6A8C" w:rsidP="00A95E29">
      <w:pPr>
        <w:spacing w:line="480" w:lineRule="auto"/>
        <w:outlineLvl w:val="0"/>
        <w:rPr>
          <w:b/>
          <w:lang w:eastAsia="en-GB"/>
        </w:rPr>
      </w:pPr>
    </w:p>
    <w:p w:rsidR="005D6A8C" w:rsidRPr="00361937" w:rsidRDefault="005D6A8C" w:rsidP="00A95E29">
      <w:pPr>
        <w:spacing w:line="480" w:lineRule="auto"/>
        <w:outlineLvl w:val="0"/>
        <w:rPr>
          <w:lang w:eastAsia="en-GB"/>
        </w:rPr>
      </w:pPr>
      <w:r w:rsidRPr="00361937">
        <w:rPr>
          <w:lang w:eastAsia="en-GB"/>
        </w:rPr>
        <w:t xml:space="preserve">ACT: artemisinin-based combination therapy </w:t>
      </w:r>
    </w:p>
    <w:p w:rsidR="005D6A8C" w:rsidRPr="00361937" w:rsidRDefault="005D6A8C" w:rsidP="00A95E29">
      <w:pPr>
        <w:spacing w:line="480" w:lineRule="auto"/>
        <w:outlineLvl w:val="0"/>
        <w:rPr>
          <w:lang w:eastAsia="en-GB"/>
        </w:rPr>
      </w:pPr>
      <w:r w:rsidRPr="00361937">
        <w:rPr>
          <w:lang w:eastAsia="en-GB"/>
        </w:rPr>
        <w:t xml:space="preserve">ACPR: adequate clinical and parasitological response </w:t>
      </w:r>
    </w:p>
    <w:p w:rsidR="005D6A8C" w:rsidRPr="00361937" w:rsidRDefault="005D6A8C" w:rsidP="00A95E29">
      <w:pPr>
        <w:spacing w:line="480" w:lineRule="auto"/>
        <w:outlineLvl w:val="0"/>
        <w:rPr>
          <w:lang w:eastAsia="en-GB"/>
        </w:rPr>
      </w:pPr>
      <w:r w:rsidRPr="00361937">
        <w:rPr>
          <w:lang w:eastAsia="en-GB"/>
        </w:rPr>
        <w:t>ART: antiretroviral therapy</w:t>
      </w:r>
    </w:p>
    <w:p w:rsidR="005D6A8C" w:rsidRPr="00361937" w:rsidRDefault="005D6A8C" w:rsidP="00A95E29">
      <w:pPr>
        <w:spacing w:line="480" w:lineRule="auto"/>
        <w:outlineLvl w:val="0"/>
        <w:rPr>
          <w:lang w:eastAsia="en-GB"/>
        </w:rPr>
      </w:pPr>
      <w:r w:rsidRPr="00361937">
        <w:rPr>
          <w:lang w:eastAsia="en-GB"/>
        </w:rPr>
        <w:t>DPQ: dihydroartemisinin-piperaquine</w:t>
      </w:r>
    </w:p>
    <w:p w:rsidR="005D6A8C" w:rsidRPr="00361937" w:rsidRDefault="005D6A8C" w:rsidP="00A95E29">
      <w:pPr>
        <w:spacing w:line="480" w:lineRule="auto"/>
        <w:outlineLvl w:val="0"/>
        <w:rPr>
          <w:b/>
          <w:lang w:eastAsia="en-GB"/>
        </w:rPr>
      </w:pPr>
    </w:p>
    <w:p w:rsidR="0018263A" w:rsidRPr="00361937" w:rsidRDefault="0018263A" w:rsidP="00A95E29">
      <w:pPr>
        <w:spacing w:line="480" w:lineRule="auto"/>
        <w:rPr>
          <w:b/>
        </w:rPr>
      </w:pPr>
      <w:r w:rsidRPr="00361937">
        <w:rPr>
          <w:b/>
        </w:rPr>
        <w:t>Declarations</w:t>
      </w:r>
    </w:p>
    <w:p w:rsidR="00B07533" w:rsidRPr="00361937" w:rsidRDefault="00B07533" w:rsidP="00A95E29">
      <w:pPr>
        <w:spacing w:line="480" w:lineRule="auto"/>
        <w:rPr>
          <w:b/>
        </w:rPr>
      </w:pPr>
    </w:p>
    <w:p w:rsidR="0018263A" w:rsidRPr="00361937" w:rsidRDefault="0018263A" w:rsidP="00A95E29">
      <w:pPr>
        <w:spacing w:line="480" w:lineRule="auto"/>
        <w:outlineLvl w:val="0"/>
        <w:rPr>
          <w:b/>
          <w:i/>
        </w:rPr>
      </w:pPr>
      <w:r w:rsidRPr="00361937">
        <w:rPr>
          <w:b/>
          <w:i/>
        </w:rPr>
        <w:t xml:space="preserve">Ethics approval and conset to participate </w:t>
      </w:r>
    </w:p>
    <w:p w:rsidR="00371C6D" w:rsidRPr="00361937" w:rsidRDefault="00371C6D" w:rsidP="00A95E29">
      <w:pPr>
        <w:spacing w:line="480" w:lineRule="auto"/>
        <w:rPr>
          <w:color w:val="000000"/>
        </w:rPr>
      </w:pPr>
      <w:r w:rsidRPr="00361937">
        <w:t>The trial received ethics approval from the College of Medicine Research and Ethics Committee, Malawi; Comité Nacional de Bioética para Saúde, Mozambique and Liverpool School of Tropical Medicine Research Committee, UK and regulatory approval from the Pharmacy Medicines and Poisons Board, Malawi and Ministério da Saúde, Departamento Farmacêutico, Mozambique. Written informed consent was sought from all participants aged ≥18 years. Assent was sought from those who were aged &lt;18 years.</w:t>
      </w:r>
      <w:r w:rsidRPr="00361937">
        <w:rPr>
          <w:color w:val="000000"/>
        </w:rPr>
        <w:t xml:space="preserve"> </w:t>
      </w:r>
    </w:p>
    <w:p w:rsidR="0018263A" w:rsidRPr="00361937" w:rsidRDefault="0018263A" w:rsidP="00A95E29">
      <w:pPr>
        <w:spacing w:line="480" w:lineRule="auto"/>
        <w:outlineLvl w:val="0"/>
        <w:rPr>
          <w:b/>
        </w:rPr>
      </w:pPr>
    </w:p>
    <w:p w:rsidR="0018263A" w:rsidRPr="00361937" w:rsidRDefault="0018263A" w:rsidP="00A95E29">
      <w:pPr>
        <w:spacing w:line="480" w:lineRule="auto"/>
        <w:outlineLvl w:val="0"/>
        <w:rPr>
          <w:b/>
          <w:i/>
        </w:rPr>
      </w:pPr>
      <w:r w:rsidRPr="00361937">
        <w:rPr>
          <w:b/>
          <w:i/>
        </w:rPr>
        <w:t xml:space="preserve">Consent for publication </w:t>
      </w:r>
    </w:p>
    <w:p w:rsidR="0018263A" w:rsidRPr="00361937" w:rsidRDefault="0018263A" w:rsidP="00A95E29">
      <w:pPr>
        <w:spacing w:line="480" w:lineRule="auto"/>
        <w:rPr>
          <w:color w:val="000000"/>
        </w:rPr>
      </w:pPr>
      <w:r w:rsidRPr="00361937">
        <w:t>Written informed consent to publish the data was sought from all participants aged ≥18 years. Assent was sought from those who were aged &lt;18 years, except for “mature minors”</w:t>
      </w:r>
      <w:r w:rsidRPr="00361937">
        <w:rPr>
          <w:color w:val="000000"/>
        </w:rPr>
        <w:t xml:space="preserve">. </w:t>
      </w:r>
    </w:p>
    <w:p w:rsidR="0018263A" w:rsidRPr="00361937" w:rsidRDefault="0018263A" w:rsidP="00A95E29">
      <w:pPr>
        <w:spacing w:line="480" w:lineRule="auto"/>
        <w:outlineLvl w:val="0"/>
        <w:rPr>
          <w:b/>
        </w:rPr>
      </w:pPr>
    </w:p>
    <w:p w:rsidR="005571A7" w:rsidRPr="00361937" w:rsidRDefault="005571A7" w:rsidP="00A95E29">
      <w:pPr>
        <w:spacing w:line="480" w:lineRule="auto"/>
        <w:outlineLvl w:val="0"/>
        <w:rPr>
          <w:b/>
        </w:rPr>
      </w:pPr>
    </w:p>
    <w:p w:rsidR="0018263A" w:rsidRPr="00361937" w:rsidRDefault="0018263A" w:rsidP="00A95E29">
      <w:pPr>
        <w:spacing w:line="480" w:lineRule="auto"/>
        <w:outlineLvl w:val="0"/>
        <w:rPr>
          <w:b/>
          <w:i/>
        </w:rPr>
      </w:pPr>
      <w:r w:rsidRPr="00361937">
        <w:rPr>
          <w:b/>
          <w:i/>
        </w:rPr>
        <w:lastRenderedPageBreak/>
        <w:t xml:space="preserve">Availability of data and material </w:t>
      </w:r>
    </w:p>
    <w:p w:rsidR="0018263A" w:rsidRPr="00361937" w:rsidRDefault="0018263A" w:rsidP="00A95E29">
      <w:pPr>
        <w:spacing w:line="480" w:lineRule="auto"/>
        <w:outlineLvl w:val="0"/>
        <w:rPr>
          <w:rStyle w:val="Hyperlink"/>
        </w:rPr>
      </w:pPr>
      <w:r w:rsidRPr="00361937">
        <w:t xml:space="preserve">Data from this trial are held at the Malawi Liverpool Wellcome Trust Clinical Research Programme (MLW) which encourages optimal use of data by employing controlled access approach to data sharing with a robust system to review requests for data use and provide secure data access that is consistent with relevant ethics committee approvals. The datasets are therefore not publicly available but are available on reasonable request from the corresponding author and requests can also be initiated by contacting MLW: </w:t>
      </w:r>
      <w:hyperlink r:id="rId11" w:history="1">
        <w:r w:rsidRPr="00361937">
          <w:rPr>
            <w:rStyle w:val="Hyperlink"/>
          </w:rPr>
          <w:t>data@mlw.mw</w:t>
        </w:r>
      </w:hyperlink>
    </w:p>
    <w:p w:rsidR="00BC2ACB" w:rsidRPr="00361937" w:rsidRDefault="00BC2ACB" w:rsidP="00A95E29">
      <w:pPr>
        <w:spacing w:line="480" w:lineRule="auto"/>
        <w:outlineLvl w:val="0"/>
      </w:pPr>
    </w:p>
    <w:p w:rsidR="0018263A" w:rsidRPr="00361937" w:rsidRDefault="0018263A" w:rsidP="00A95E29">
      <w:pPr>
        <w:spacing w:line="480" w:lineRule="auto"/>
        <w:rPr>
          <w:b/>
          <w:i/>
        </w:rPr>
      </w:pPr>
      <w:r w:rsidRPr="00361937">
        <w:rPr>
          <w:b/>
          <w:i/>
        </w:rPr>
        <w:t xml:space="preserve">Competing interests </w:t>
      </w:r>
    </w:p>
    <w:p w:rsidR="0018263A" w:rsidRPr="00361937" w:rsidRDefault="0018263A" w:rsidP="00A95E29">
      <w:pPr>
        <w:spacing w:line="480" w:lineRule="auto"/>
      </w:pPr>
      <w:r w:rsidRPr="00361937">
        <w:t>The authors declare that they have no competing interests.</w:t>
      </w:r>
    </w:p>
    <w:p w:rsidR="00A74E78" w:rsidRPr="00361937" w:rsidRDefault="00A74E78" w:rsidP="00A95E29">
      <w:pPr>
        <w:spacing w:line="480" w:lineRule="auto"/>
      </w:pPr>
    </w:p>
    <w:p w:rsidR="0018263A" w:rsidRPr="00361937" w:rsidRDefault="0018263A" w:rsidP="00A95E29">
      <w:pPr>
        <w:spacing w:line="480" w:lineRule="auto"/>
        <w:rPr>
          <w:b/>
          <w:i/>
        </w:rPr>
      </w:pPr>
      <w:r w:rsidRPr="00361937">
        <w:rPr>
          <w:b/>
          <w:i/>
        </w:rPr>
        <w:t xml:space="preserve">Funding </w:t>
      </w:r>
    </w:p>
    <w:p w:rsidR="0018263A" w:rsidRPr="00361937" w:rsidRDefault="0018263A" w:rsidP="00A95E29">
      <w:pPr>
        <w:spacing w:line="480" w:lineRule="auto"/>
      </w:pPr>
      <w:r w:rsidRPr="00361937">
        <w:t>This work was supported by the European &amp; Developing Countries Clinical Trials Partnership (EDCTP) (Grant number IP.07.31060.003 to VM.). The funder had no role in study design, data collection and interpretation, or the decision to submit the work for publication.</w:t>
      </w:r>
    </w:p>
    <w:p w:rsidR="0018263A" w:rsidRPr="00361937" w:rsidRDefault="0018263A" w:rsidP="00A95E29">
      <w:pPr>
        <w:spacing w:line="480" w:lineRule="auto"/>
      </w:pPr>
    </w:p>
    <w:p w:rsidR="0018263A" w:rsidRPr="00361937" w:rsidRDefault="0018263A" w:rsidP="00A95E29">
      <w:pPr>
        <w:spacing w:line="480" w:lineRule="auto"/>
        <w:rPr>
          <w:b/>
          <w:i/>
        </w:rPr>
      </w:pPr>
      <w:r w:rsidRPr="00361937">
        <w:rPr>
          <w:b/>
          <w:i/>
        </w:rPr>
        <w:t xml:space="preserve">Author’s contributions </w:t>
      </w:r>
    </w:p>
    <w:p w:rsidR="0018263A" w:rsidRPr="00361937" w:rsidRDefault="00371C6D" w:rsidP="00A95E29">
      <w:pPr>
        <w:spacing w:line="480" w:lineRule="auto"/>
      </w:pPr>
      <w:r w:rsidRPr="00361937">
        <w:t>ES</w:t>
      </w:r>
      <w:r w:rsidR="0018263A" w:rsidRPr="00361937">
        <w:t xml:space="preserve">, </w:t>
      </w:r>
      <w:r w:rsidRPr="00361937">
        <w:t>CGB</w:t>
      </w:r>
      <w:r w:rsidR="00771EBA" w:rsidRPr="00361937">
        <w:t xml:space="preserve">, S </w:t>
      </w:r>
      <w:r w:rsidR="00771EBA" w:rsidRPr="00361937">
        <w:rPr>
          <w:lang w:eastAsia="en-GB"/>
        </w:rPr>
        <w:t>Maculuve, S Macuacua</w:t>
      </w:r>
      <w:r w:rsidR="0018263A" w:rsidRPr="00361937">
        <w:t xml:space="preserve">, </w:t>
      </w:r>
      <w:r w:rsidR="00771EBA" w:rsidRPr="00361937">
        <w:t>AV</w:t>
      </w:r>
      <w:r w:rsidR="0018263A" w:rsidRPr="00361937">
        <w:t xml:space="preserve">, </w:t>
      </w:r>
      <w:r w:rsidR="00771EBA" w:rsidRPr="00361937">
        <w:t>MP and JM</w:t>
      </w:r>
      <w:r w:rsidR="0018263A" w:rsidRPr="00361937">
        <w:t xml:space="preserve"> collected the data and supervised the day to day running of the study with support from VM. DJT,</w:t>
      </w:r>
      <w:r w:rsidR="0042381F" w:rsidRPr="00361937">
        <w:t xml:space="preserve"> </w:t>
      </w:r>
      <w:r w:rsidR="0018263A" w:rsidRPr="00361937">
        <w:t>SHK, DGL and VM designed the experiment while VM conceived the idea of the study. CGB, LKP, M</w:t>
      </w:r>
      <w:r w:rsidR="00771EBA" w:rsidRPr="00361937">
        <w:t>M</w:t>
      </w:r>
      <w:r w:rsidR="0018263A" w:rsidRPr="00361937">
        <w:t xml:space="preserve"> and VM conducted the analyses and interpretation of the data. CGB compiled the first draft of </w:t>
      </w:r>
      <w:r w:rsidR="0018263A" w:rsidRPr="00361937">
        <w:lastRenderedPageBreak/>
        <w:t>the manuscript</w:t>
      </w:r>
      <w:r w:rsidR="00771EBA" w:rsidRPr="00361937">
        <w:t xml:space="preserve"> </w:t>
      </w:r>
      <w:r w:rsidR="0018263A" w:rsidRPr="00361937">
        <w:t>including generating the manuscript figures</w:t>
      </w:r>
      <w:r w:rsidR="00771EBA" w:rsidRPr="00361937">
        <w:t xml:space="preserve"> with support from ES and VM</w:t>
      </w:r>
      <w:r w:rsidR="0018263A" w:rsidRPr="00361937">
        <w:t xml:space="preserve">. All authors read and approved the final version of the manuscript. </w:t>
      </w:r>
    </w:p>
    <w:p w:rsidR="0018263A" w:rsidRPr="00361937" w:rsidRDefault="0018263A" w:rsidP="00A95E29">
      <w:pPr>
        <w:spacing w:line="480" w:lineRule="auto"/>
      </w:pPr>
    </w:p>
    <w:p w:rsidR="0018263A" w:rsidRPr="00361937" w:rsidRDefault="0018263A" w:rsidP="00A95E29">
      <w:pPr>
        <w:spacing w:line="480" w:lineRule="auto"/>
        <w:outlineLvl w:val="0"/>
        <w:rPr>
          <w:b/>
          <w:i/>
        </w:rPr>
      </w:pPr>
      <w:r w:rsidRPr="00361937">
        <w:rPr>
          <w:b/>
          <w:i/>
        </w:rPr>
        <w:t>Acknowledgements</w:t>
      </w:r>
    </w:p>
    <w:p w:rsidR="00DB4AEC" w:rsidRPr="00361937" w:rsidRDefault="0018263A" w:rsidP="00A95E29">
      <w:pPr>
        <w:spacing w:line="480" w:lineRule="auto"/>
      </w:pPr>
      <w:r w:rsidRPr="00361937">
        <w:t xml:space="preserve">We thank all trial participants for their participation in this study and the study team for their unwavering dedication. </w:t>
      </w:r>
    </w:p>
    <w:p w:rsidR="00771EBA" w:rsidRPr="00361937" w:rsidRDefault="00771EBA" w:rsidP="00A95E29">
      <w:pPr>
        <w:spacing w:line="480" w:lineRule="auto"/>
        <w:rPr>
          <w:b/>
        </w:rPr>
      </w:pPr>
    </w:p>
    <w:p w:rsidR="00B4602A" w:rsidRPr="00361937" w:rsidRDefault="00B4602A" w:rsidP="00A95E29">
      <w:pPr>
        <w:spacing w:line="480" w:lineRule="auto"/>
        <w:rPr>
          <w:b/>
        </w:rPr>
      </w:pPr>
    </w:p>
    <w:p w:rsidR="000E69BC" w:rsidRPr="00361937" w:rsidRDefault="000E69BC" w:rsidP="00A95E29">
      <w:pPr>
        <w:spacing w:line="480" w:lineRule="auto"/>
        <w:rPr>
          <w:b/>
        </w:rPr>
      </w:pPr>
    </w:p>
    <w:p w:rsidR="00BC2ACB" w:rsidRPr="00361937" w:rsidRDefault="00BC2ACB" w:rsidP="00A95E29">
      <w:pPr>
        <w:spacing w:line="480" w:lineRule="auto"/>
        <w:rPr>
          <w:b/>
        </w:rPr>
      </w:pPr>
    </w:p>
    <w:p w:rsidR="00BC2ACB" w:rsidRPr="00361937" w:rsidRDefault="00BC2ACB" w:rsidP="00A95E29">
      <w:pPr>
        <w:spacing w:line="480" w:lineRule="auto"/>
        <w:rPr>
          <w:b/>
        </w:rPr>
      </w:pPr>
    </w:p>
    <w:p w:rsidR="00BC2ACB" w:rsidRPr="00361937" w:rsidRDefault="00BC2ACB" w:rsidP="00A95E29">
      <w:pPr>
        <w:spacing w:line="480" w:lineRule="auto"/>
        <w:rPr>
          <w:b/>
        </w:rPr>
      </w:pPr>
    </w:p>
    <w:p w:rsidR="008C178B" w:rsidRPr="00361937" w:rsidRDefault="008C178B" w:rsidP="00A95E29">
      <w:pPr>
        <w:spacing w:line="480" w:lineRule="auto"/>
        <w:rPr>
          <w:b/>
        </w:rPr>
      </w:pPr>
    </w:p>
    <w:p w:rsidR="00B4602A" w:rsidRPr="00361937" w:rsidRDefault="00B4602A" w:rsidP="00A95E29">
      <w:pPr>
        <w:spacing w:line="480" w:lineRule="auto"/>
        <w:rPr>
          <w:b/>
        </w:rPr>
      </w:pPr>
    </w:p>
    <w:p w:rsidR="00116FFA" w:rsidRPr="00361937" w:rsidRDefault="00116FFA">
      <w:pPr>
        <w:rPr>
          <w:b/>
        </w:rPr>
      </w:pPr>
      <w:r w:rsidRPr="00361937">
        <w:rPr>
          <w:b/>
        </w:rPr>
        <w:br w:type="page"/>
      </w:r>
    </w:p>
    <w:p w:rsidR="00AD4EBA" w:rsidRPr="00361937" w:rsidRDefault="00AD4EBA" w:rsidP="00A95E29">
      <w:pPr>
        <w:spacing w:line="480" w:lineRule="auto"/>
        <w:outlineLvl w:val="0"/>
        <w:rPr>
          <w:b/>
        </w:rPr>
      </w:pPr>
      <w:r w:rsidRPr="00361937">
        <w:rPr>
          <w:b/>
        </w:rPr>
        <w:lastRenderedPageBreak/>
        <w:t>References</w:t>
      </w:r>
    </w:p>
    <w:p w:rsidR="004603C9" w:rsidRPr="00361937" w:rsidRDefault="002E24CD" w:rsidP="00A95E29">
      <w:pPr>
        <w:widowControl w:val="0"/>
        <w:autoSpaceDE w:val="0"/>
        <w:autoSpaceDN w:val="0"/>
        <w:adjustRightInd w:val="0"/>
        <w:spacing w:line="480" w:lineRule="auto"/>
        <w:rPr>
          <w:noProof/>
          <w:lang w:val="en-US"/>
        </w:rPr>
      </w:pPr>
      <w:r w:rsidRPr="00361937">
        <w:rPr>
          <w:b/>
        </w:rPr>
        <w:fldChar w:fldCharType="begin" w:fldLock="1"/>
      </w:r>
      <w:r w:rsidR="00AD4EBA" w:rsidRPr="00361937">
        <w:rPr>
          <w:b/>
        </w:rPr>
        <w:instrText xml:space="preserve">ADDIN Mendeley Bibliography CSL_BIBLIOGRAPHY </w:instrText>
      </w:r>
      <w:r w:rsidRPr="00361937">
        <w:rPr>
          <w:b/>
        </w:rPr>
        <w:fldChar w:fldCharType="separate"/>
      </w:r>
      <w:r w:rsidR="004603C9" w:rsidRPr="00361937">
        <w:rPr>
          <w:noProof/>
          <w:lang w:val="en-US"/>
        </w:rPr>
        <w:t xml:space="preserve">1. Kwenti TE. Malaria and HIV coinfection in sub-Saharan Africa: prevalence, impact, and treatment strategies. Res Rep Trop Med. 2018;9:123–36. </w:t>
      </w:r>
    </w:p>
    <w:p w:rsidR="004603C9" w:rsidRPr="00361937" w:rsidRDefault="004603C9" w:rsidP="00A95E29">
      <w:pPr>
        <w:widowControl w:val="0"/>
        <w:autoSpaceDE w:val="0"/>
        <w:autoSpaceDN w:val="0"/>
        <w:adjustRightInd w:val="0"/>
        <w:spacing w:line="480" w:lineRule="auto"/>
        <w:rPr>
          <w:noProof/>
          <w:lang w:val="en-US"/>
        </w:rPr>
      </w:pPr>
      <w:r w:rsidRPr="00361937">
        <w:rPr>
          <w:noProof/>
          <w:lang w:val="en-US"/>
        </w:rPr>
        <w:t xml:space="preserve">2. Hewitt K, Steketee R, Mwapasa V, Whitworth J, French N. Interactions between HIV and malaria in non-pregnant adults: evidence and implications. AIDS. 2006;20:1993–2004. </w:t>
      </w:r>
    </w:p>
    <w:p w:rsidR="004603C9" w:rsidRPr="00361937" w:rsidRDefault="004603C9" w:rsidP="00A95E29">
      <w:pPr>
        <w:widowControl w:val="0"/>
        <w:autoSpaceDE w:val="0"/>
        <w:autoSpaceDN w:val="0"/>
        <w:adjustRightInd w:val="0"/>
        <w:spacing w:line="480" w:lineRule="auto"/>
        <w:rPr>
          <w:noProof/>
          <w:lang w:val="en-US"/>
        </w:rPr>
      </w:pPr>
      <w:r w:rsidRPr="00361937">
        <w:rPr>
          <w:noProof/>
          <w:lang w:val="en-US"/>
        </w:rPr>
        <w:t>3. Laufer MK, van Oosterhout JJG, Thesing PC, Thumba F, Zijlstra EE, Graham SM, et al. Impact of HIV</w:t>
      </w:r>
      <w:r w:rsidRPr="00361937">
        <w:rPr>
          <w:rFonts w:ascii="PortagoITC TT" w:hAnsi="PortagoITC TT" w:cs="PortagoITC TT"/>
          <w:noProof/>
          <w:lang w:val="en-US"/>
        </w:rPr>
        <w:t>‐</w:t>
      </w:r>
      <w:r w:rsidR="003476D0" w:rsidRPr="00361937">
        <w:rPr>
          <w:noProof/>
          <w:lang w:val="en-US"/>
        </w:rPr>
        <w:t>a</w:t>
      </w:r>
      <w:r w:rsidRPr="00361937">
        <w:rPr>
          <w:noProof/>
          <w:lang w:val="en-US"/>
        </w:rPr>
        <w:t xml:space="preserve">ssociated </w:t>
      </w:r>
      <w:r w:rsidR="003476D0" w:rsidRPr="00361937">
        <w:rPr>
          <w:noProof/>
          <w:lang w:val="en-US"/>
        </w:rPr>
        <w:t>i</w:t>
      </w:r>
      <w:r w:rsidRPr="00361937">
        <w:rPr>
          <w:noProof/>
          <w:lang w:val="en-US"/>
        </w:rPr>
        <w:t xml:space="preserve">mmunosuppression on </w:t>
      </w:r>
      <w:r w:rsidR="00116FFA" w:rsidRPr="00361937">
        <w:rPr>
          <w:noProof/>
          <w:lang w:val="en-US"/>
        </w:rPr>
        <w:t xml:space="preserve">malaria infection </w:t>
      </w:r>
      <w:r w:rsidRPr="00361937">
        <w:rPr>
          <w:noProof/>
          <w:lang w:val="en-US"/>
        </w:rPr>
        <w:t xml:space="preserve">and </w:t>
      </w:r>
      <w:r w:rsidR="00116FFA" w:rsidRPr="00361937">
        <w:rPr>
          <w:noProof/>
          <w:lang w:val="en-US"/>
        </w:rPr>
        <w:t xml:space="preserve">disease </w:t>
      </w:r>
      <w:r w:rsidRPr="00361937">
        <w:rPr>
          <w:noProof/>
          <w:lang w:val="en-US"/>
        </w:rPr>
        <w:t xml:space="preserve">in Malawi. J Infect Dis. 2006;193:872–8. </w:t>
      </w:r>
    </w:p>
    <w:p w:rsidR="004603C9" w:rsidRPr="00361937" w:rsidRDefault="004603C9" w:rsidP="00A95E29">
      <w:pPr>
        <w:widowControl w:val="0"/>
        <w:autoSpaceDE w:val="0"/>
        <w:autoSpaceDN w:val="0"/>
        <w:adjustRightInd w:val="0"/>
        <w:spacing w:line="480" w:lineRule="auto"/>
        <w:rPr>
          <w:noProof/>
          <w:lang w:val="en-US"/>
        </w:rPr>
      </w:pPr>
      <w:r w:rsidRPr="00361937">
        <w:rPr>
          <w:noProof/>
          <w:lang w:val="en-US"/>
        </w:rPr>
        <w:t xml:space="preserve">4. WHO. Guidelines for the treatment of malaria. </w:t>
      </w:r>
      <w:r w:rsidR="00116FFA" w:rsidRPr="00361937">
        <w:rPr>
          <w:noProof/>
          <w:lang w:val="en-US"/>
        </w:rPr>
        <w:t>3</w:t>
      </w:r>
      <w:r w:rsidR="00116FFA" w:rsidRPr="00361937">
        <w:rPr>
          <w:noProof/>
          <w:vertAlign w:val="superscript"/>
          <w:lang w:val="en-US"/>
        </w:rPr>
        <w:t>rd</w:t>
      </w:r>
      <w:r w:rsidR="00116FFA" w:rsidRPr="00361937">
        <w:rPr>
          <w:noProof/>
          <w:lang w:val="en-US"/>
        </w:rPr>
        <w:t xml:space="preserve"> Edn</w:t>
      </w:r>
      <w:r w:rsidRPr="00361937">
        <w:rPr>
          <w:noProof/>
          <w:lang w:val="en-US"/>
        </w:rPr>
        <w:t xml:space="preserve">. </w:t>
      </w:r>
      <w:r w:rsidR="00116FFA" w:rsidRPr="00361937">
        <w:rPr>
          <w:noProof/>
          <w:lang w:val="en-US"/>
        </w:rPr>
        <w:t xml:space="preserve">Geneva, </w:t>
      </w:r>
      <w:r w:rsidRPr="00361937">
        <w:rPr>
          <w:noProof/>
          <w:lang w:val="en-US"/>
        </w:rPr>
        <w:t xml:space="preserve">World Health Organization; 2015. </w:t>
      </w:r>
    </w:p>
    <w:p w:rsidR="004603C9" w:rsidRPr="00361937" w:rsidRDefault="004603C9" w:rsidP="00A95E29">
      <w:pPr>
        <w:widowControl w:val="0"/>
        <w:autoSpaceDE w:val="0"/>
        <w:autoSpaceDN w:val="0"/>
        <w:adjustRightInd w:val="0"/>
        <w:spacing w:line="480" w:lineRule="auto"/>
        <w:rPr>
          <w:noProof/>
          <w:lang w:val="en-US"/>
        </w:rPr>
      </w:pPr>
      <w:r w:rsidRPr="00361937">
        <w:rPr>
          <w:noProof/>
          <w:lang w:val="en-US"/>
        </w:rPr>
        <w:t xml:space="preserve">5. Khoo S, Back D, Winstanley P. The potential for interactions between antimalarial and antiretroviral drugs. AIDS. 2005;19:995–1005. </w:t>
      </w:r>
    </w:p>
    <w:p w:rsidR="004603C9" w:rsidRPr="00361937" w:rsidRDefault="004603C9" w:rsidP="00A95E29">
      <w:pPr>
        <w:widowControl w:val="0"/>
        <w:autoSpaceDE w:val="0"/>
        <w:autoSpaceDN w:val="0"/>
        <w:adjustRightInd w:val="0"/>
        <w:spacing w:line="480" w:lineRule="auto"/>
        <w:rPr>
          <w:noProof/>
          <w:lang w:val="en-US"/>
        </w:rPr>
      </w:pPr>
      <w:r w:rsidRPr="00361937">
        <w:rPr>
          <w:noProof/>
          <w:lang w:val="en-US"/>
        </w:rPr>
        <w:t xml:space="preserve">6. Lee TM-N, Huang L, Johnson MK, Lizak P, Kroetz D, Aweeka F, et al. In vitro metabolism of piperaquine is primarily mediated by CYP3A4. Xenobiotica. 2012;42:1088–95. </w:t>
      </w:r>
    </w:p>
    <w:p w:rsidR="004603C9" w:rsidRPr="00361937" w:rsidRDefault="004603C9" w:rsidP="00A95E29">
      <w:pPr>
        <w:widowControl w:val="0"/>
        <w:autoSpaceDE w:val="0"/>
        <w:autoSpaceDN w:val="0"/>
        <w:adjustRightInd w:val="0"/>
        <w:spacing w:line="480" w:lineRule="auto"/>
        <w:rPr>
          <w:noProof/>
          <w:lang w:val="en-US"/>
        </w:rPr>
      </w:pPr>
      <w:r w:rsidRPr="00361937">
        <w:rPr>
          <w:noProof/>
          <w:lang w:val="en-US"/>
        </w:rPr>
        <w:t xml:space="preserve">7. Seden K, Gibbons S, Marzolini C, Schapiro JM, Burger DM, Back DJ, et al. Development of an evidence evaluation and synthesis system for drug-drug interactions, and its application to a systematic review of HIV and malaria co-infection. PLoS One. 2017;12:e0173509. </w:t>
      </w:r>
    </w:p>
    <w:p w:rsidR="004603C9" w:rsidRPr="00361937" w:rsidRDefault="004603C9" w:rsidP="00A95E29">
      <w:pPr>
        <w:widowControl w:val="0"/>
        <w:autoSpaceDE w:val="0"/>
        <w:autoSpaceDN w:val="0"/>
        <w:adjustRightInd w:val="0"/>
        <w:spacing w:line="480" w:lineRule="auto"/>
        <w:rPr>
          <w:noProof/>
          <w:lang w:val="en-US"/>
        </w:rPr>
      </w:pPr>
      <w:r w:rsidRPr="00361937">
        <w:rPr>
          <w:noProof/>
          <w:lang w:val="en-US"/>
        </w:rPr>
        <w:t xml:space="preserve">8. Banda CG, Dzinjalamala F, Mukaka M, Mallewa J, Maiden V, Terlouw DJ, et al. Pharmacokinetics of </w:t>
      </w:r>
      <w:r w:rsidR="00A1056B" w:rsidRPr="00361937">
        <w:rPr>
          <w:noProof/>
          <w:lang w:val="en-US"/>
        </w:rPr>
        <w:t>p</w:t>
      </w:r>
      <w:r w:rsidRPr="00361937">
        <w:rPr>
          <w:noProof/>
          <w:lang w:val="en-US"/>
        </w:rPr>
        <w:t xml:space="preserve">iperaquine and </w:t>
      </w:r>
      <w:r w:rsidR="00A1056B" w:rsidRPr="00361937">
        <w:rPr>
          <w:noProof/>
          <w:lang w:val="en-US"/>
        </w:rPr>
        <w:t>s</w:t>
      </w:r>
      <w:r w:rsidRPr="00361937">
        <w:rPr>
          <w:noProof/>
          <w:lang w:val="en-US"/>
        </w:rPr>
        <w:t xml:space="preserve">afety </w:t>
      </w:r>
      <w:r w:rsidR="00A1056B" w:rsidRPr="00361937">
        <w:rPr>
          <w:noProof/>
          <w:lang w:val="en-US"/>
        </w:rPr>
        <w:t>p</w:t>
      </w:r>
      <w:r w:rsidRPr="00361937">
        <w:rPr>
          <w:noProof/>
          <w:lang w:val="en-US"/>
        </w:rPr>
        <w:t xml:space="preserve">rofile of </w:t>
      </w:r>
      <w:r w:rsidR="00A1056B" w:rsidRPr="00361937">
        <w:rPr>
          <w:noProof/>
          <w:lang w:val="en-US"/>
        </w:rPr>
        <w:t>d</w:t>
      </w:r>
      <w:r w:rsidRPr="00361937">
        <w:rPr>
          <w:noProof/>
          <w:lang w:val="en-US"/>
        </w:rPr>
        <w:t>ihydroartemisinin-</w:t>
      </w:r>
      <w:r w:rsidR="00A1056B" w:rsidRPr="00361937">
        <w:rPr>
          <w:noProof/>
          <w:lang w:val="en-US"/>
        </w:rPr>
        <w:t>p</w:t>
      </w:r>
      <w:r w:rsidRPr="00361937">
        <w:rPr>
          <w:noProof/>
          <w:lang w:val="en-US"/>
        </w:rPr>
        <w:t xml:space="preserve">iperaquine </w:t>
      </w:r>
      <w:r w:rsidR="00A1056B" w:rsidRPr="00361937">
        <w:rPr>
          <w:noProof/>
          <w:lang w:val="en-US"/>
        </w:rPr>
        <w:t>c</w:t>
      </w:r>
      <w:r w:rsidRPr="00361937">
        <w:rPr>
          <w:noProof/>
          <w:lang w:val="en-US"/>
        </w:rPr>
        <w:t xml:space="preserve">oadministered with </w:t>
      </w:r>
      <w:r w:rsidR="00A1056B" w:rsidRPr="00361937">
        <w:rPr>
          <w:noProof/>
          <w:lang w:val="en-US"/>
        </w:rPr>
        <w:t>a</w:t>
      </w:r>
      <w:r w:rsidRPr="00361937">
        <w:rPr>
          <w:noProof/>
          <w:lang w:val="en-US"/>
        </w:rPr>
        <w:t xml:space="preserve">ntiretroviral </w:t>
      </w:r>
      <w:r w:rsidR="00A1056B" w:rsidRPr="00361937">
        <w:rPr>
          <w:noProof/>
          <w:lang w:val="en-US"/>
        </w:rPr>
        <w:t>t</w:t>
      </w:r>
      <w:r w:rsidRPr="00361937">
        <w:rPr>
          <w:noProof/>
          <w:lang w:val="en-US"/>
        </w:rPr>
        <w:t xml:space="preserve">herapy in </w:t>
      </w:r>
      <w:r w:rsidR="00A1056B" w:rsidRPr="00361937">
        <w:rPr>
          <w:noProof/>
          <w:lang w:val="en-US"/>
        </w:rPr>
        <w:t>m</w:t>
      </w:r>
      <w:r w:rsidRPr="00361937">
        <w:rPr>
          <w:noProof/>
          <w:lang w:val="en-US"/>
        </w:rPr>
        <w:t>alaria-</w:t>
      </w:r>
      <w:r w:rsidR="00A1056B" w:rsidRPr="00361937">
        <w:rPr>
          <w:noProof/>
          <w:lang w:val="en-US"/>
        </w:rPr>
        <w:t>u</w:t>
      </w:r>
      <w:r w:rsidRPr="00361937">
        <w:rPr>
          <w:noProof/>
          <w:lang w:val="en-US"/>
        </w:rPr>
        <w:t>ninfected HIV-</w:t>
      </w:r>
      <w:r w:rsidR="00A1056B" w:rsidRPr="00361937">
        <w:rPr>
          <w:noProof/>
          <w:lang w:val="en-US"/>
        </w:rPr>
        <w:t>p</w:t>
      </w:r>
      <w:r w:rsidRPr="00361937">
        <w:rPr>
          <w:noProof/>
          <w:lang w:val="en-US"/>
        </w:rPr>
        <w:t xml:space="preserve">ositive Malawian </w:t>
      </w:r>
      <w:r w:rsidR="00A1056B" w:rsidRPr="00361937">
        <w:rPr>
          <w:noProof/>
          <w:lang w:val="en-US"/>
        </w:rPr>
        <w:t>a</w:t>
      </w:r>
      <w:r w:rsidRPr="00361937">
        <w:rPr>
          <w:noProof/>
          <w:lang w:val="en-US"/>
        </w:rPr>
        <w:t xml:space="preserve">dults. Antimicrob. Agents Chemother. American Society for Microbiology (ASM); </w:t>
      </w:r>
      <w:r w:rsidRPr="00361937">
        <w:rPr>
          <w:noProof/>
          <w:lang w:val="en-US"/>
        </w:rPr>
        <w:lastRenderedPageBreak/>
        <w:t xml:space="preserve">2018;62. </w:t>
      </w:r>
    </w:p>
    <w:p w:rsidR="004603C9" w:rsidRPr="00361937" w:rsidRDefault="004603C9" w:rsidP="00A95E29">
      <w:pPr>
        <w:widowControl w:val="0"/>
        <w:autoSpaceDE w:val="0"/>
        <w:autoSpaceDN w:val="0"/>
        <w:adjustRightInd w:val="0"/>
        <w:spacing w:line="480" w:lineRule="auto"/>
        <w:rPr>
          <w:noProof/>
          <w:lang w:val="en-US"/>
        </w:rPr>
      </w:pPr>
      <w:r w:rsidRPr="00361937">
        <w:rPr>
          <w:noProof/>
          <w:lang w:val="en-US"/>
        </w:rPr>
        <w:t>9. WHO. Methods for surveillance of antimalarial drug efficacy. World Heal</w:t>
      </w:r>
      <w:r w:rsidR="003476D0" w:rsidRPr="00361937">
        <w:rPr>
          <w:noProof/>
          <w:lang w:val="en-US"/>
        </w:rPr>
        <w:t xml:space="preserve">th </w:t>
      </w:r>
      <w:r w:rsidRPr="00361937">
        <w:rPr>
          <w:noProof/>
          <w:lang w:val="en-US"/>
        </w:rPr>
        <w:t>Organ</w:t>
      </w:r>
      <w:r w:rsidR="003476D0" w:rsidRPr="00361937">
        <w:rPr>
          <w:noProof/>
          <w:lang w:val="en-US"/>
        </w:rPr>
        <w:t>ization</w:t>
      </w:r>
      <w:r w:rsidRPr="00361937">
        <w:rPr>
          <w:noProof/>
          <w:lang w:val="en-US"/>
        </w:rPr>
        <w:t xml:space="preserve">. 2009. </w:t>
      </w:r>
    </w:p>
    <w:p w:rsidR="004603C9" w:rsidRPr="00361937" w:rsidRDefault="004603C9" w:rsidP="00A95E29">
      <w:pPr>
        <w:widowControl w:val="0"/>
        <w:autoSpaceDE w:val="0"/>
        <w:autoSpaceDN w:val="0"/>
        <w:adjustRightInd w:val="0"/>
        <w:spacing w:line="480" w:lineRule="auto"/>
        <w:rPr>
          <w:noProof/>
          <w:lang w:val="en-US"/>
        </w:rPr>
      </w:pPr>
      <w:r w:rsidRPr="00361937">
        <w:rPr>
          <w:noProof/>
          <w:lang w:val="en-US"/>
        </w:rPr>
        <w:t xml:space="preserve">10. Banda CG, Chaponda M, Mukaka M, Mulenga M, Hachizovu S, Kabuya JB, et al. Efficacy and safety of artemether–lumefantrine as treatment for Plasmodium falciparum uncomplicated malaria in adult patients on efavirenz-based antiretroviral therapy in Zambia: an open label non-randomized interventional trial. Malar. J. 2019;18:180. </w:t>
      </w:r>
    </w:p>
    <w:p w:rsidR="004603C9" w:rsidRPr="00361937" w:rsidRDefault="004603C9" w:rsidP="00A95E29">
      <w:pPr>
        <w:widowControl w:val="0"/>
        <w:autoSpaceDE w:val="0"/>
        <w:autoSpaceDN w:val="0"/>
        <w:adjustRightInd w:val="0"/>
        <w:spacing w:line="480" w:lineRule="auto"/>
        <w:rPr>
          <w:noProof/>
          <w:lang w:val="en-US"/>
        </w:rPr>
      </w:pPr>
      <w:r w:rsidRPr="00361937">
        <w:rPr>
          <w:noProof/>
          <w:lang w:val="en-US"/>
        </w:rPr>
        <w:t xml:space="preserve">11. Malawi </w:t>
      </w:r>
      <w:r w:rsidR="00A1056B" w:rsidRPr="00361937">
        <w:rPr>
          <w:noProof/>
          <w:lang w:val="en-US"/>
        </w:rPr>
        <w:t>m</w:t>
      </w:r>
      <w:r w:rsidRPr="00361937">
        <w:rPr>
          <w:noProof/>
          <w:lang w:val="en-US"/>
        </w:rPr>
        <w:t xml:space="preserve">alaria </w:t>
      </w:r>
      <w:r w:rsidR="00A1056B" w:rsidRPr="00361937">
        <w:rPr>
          <w:noProof/>
          <w:lang w:val="en-US"/>
        </w:rPr>
        <w:t>i</w:t>
      </w:r>
      <w:r w:rsidRPr="00361937">
        <w:rPr>
          <w:noProof/>
          <w:lang w:val="en-US"/>
        </w:rPr>
        <w:t xml:space="preserve">ndicator </w:t>
      </w:r>
      <w:r w:rsidR="00A1056B" w:rsidRPr="00361937">
        <w:rPr>
          <w:noProof/>
          <w:lang w:val="en-US"/>
        </w:rPr>
        <w:t>s</w:t>
      </w:r>
      <w:r w:rsidRPr="00361937">
        <w:rPr>
          <w:noProof/>
          <w:lang w:val="en-US"/>
        </w:rPr>
        <w:t>urvey 2014</w:t>
      </w:r>
      <w:r w:rsidR="00A1056B" w:rsidRPr="00361937">
        <w:rPr>
          <w:noProof/>
          <w:lang w:val="en-US"/>
        </w:rPr>
        <w:t xml:space="preserve">. </w:t>
      </w:r>
      <w:r w:rsidRPr="00361937">
        <w:rPr>
          <w:noProof/>
          <w:lang w:val="en-US"/>
        </w:rPr>
        <w:t xml:space="preserve">Ministry of Health National Malaria Control Programme, Malawi. 2015. </w:t>
      </w:r>
    </w:p>
    <w:p w:rsidR="004603C9" w:rsidRPr="00361937" w:rsidRDefault="004603C9" w:rsidP="00A95E29">
      <w:pPr>
        <w:widowControl w:val="0"/>
        <w:autoSpaceDE w:val="0"/>
        <w:autoSpaceDN w:val="0"/>
        <w:adjustRightInd w:val="0"/>
        <w:spacing w:line="480" w:lineRule="auto"/>
        <w:rPr>
          <w:noProof/>
          <w:lang w:val="en-US"/>
        </w:rPr>
      </w:pPr>
      <w:r w:rsidRPr="00361937">
        <w:rPr>
          <w:noProof/>
          <w:lang w:val="en-US"/>
        </w:rPr>
        <w:t xml:space="preserve">12. Galatas B, Guinovart C, Bassat Q, Aponte JJ, Nhamússua L, Macete E, et al. A prospective cohort study to assess the micro-epidemiology of Plasmodium falciparum clinical malaria in Ilha Josina Machel (Manhiça, Mozambique). Malar. J. 2016;15:444. </w:t>
      </w:r>
    </w:p>
    <w:p w:rsidR="004603C9" w:rsidRPr="00361937" w:rsidRDefault="004603C9" w:rsidP="00A95E29">
      <w:pPr>
        <w:widowControl w:val="0"/>
        <w:autoSpaceDE w:val="0"/>
        <w:autoSpaceDN w:val="0"/>
        <w:adjustRightInd w:val="0"/>
        <w:spacing w:line="480" w:lineRule="auto"/>
        <w:rPr>
          <w:noProof/>
          <w:lang w:val="en-US"/>
        </w:rPr>
      </w:pPr>
      <w:r w:rsidRPr="00361937">
        <w:rPr>
          <w:noProof/>
          <w:lang w:val="en-US"/>
        </w:rPr>
        <w:t xml:space="preserve">13. National Statistical Office. Malawi </w:t>
      </w:r>
      <w:r w:rsidR="003476D0" w:rsidRPr="00361937">
        <w:rPr>
          <w:noProof/>
          <w:lang w:val="en-US"/>
        </w:rPr>
        <w:t>d</w:t>
      </w:r>
      <w:r w:rsidRPr="00361937">
        <w:rPr>
          <w:noProof/>
          <w:lang w:val="en-US"/>
        </w:rPr>
        <w:t xml:space="preserve">emographic and </w:t>
      </w:r>
      <w:r w:rsidR="003476D0" w:rsidRPr="00361937">
        <w:rPr>
          <w:noProof/>
          <w:lang w:val="en-US"/>
        </w:rPr>
        <w:t>h</w:t>
      </w:r>
      <w:r w:rsidRPr="00361937">
        <w:rPr>
          <w:noProof/>
          <w:lang w:val="en-US"/>
        </w:rPr>
        <w:t xml:space="preserve">ealth </w:t>
      </w:r>
      <w:r w:rsidR="003476D0" w:rsidRPr="00361937">
        <w:rPr>
          <w:noProof/>
          <w:lang w:val="en-US"/>
        </w:rPr>
        <w:t>s</w:t>
      </w:r>
      <w:r w:rsidRPr="00361937">
        <w:rPr>
          <w:noProof/>
          <w:lang w:val="en-US"/>
        </w:rPr>
        <w:t>urvey 2015-16</w:t>
      </w:r>
      <w:r w:rsidR="003476D0" w:rsidRPr="00361937">
        <w:rPr>
          <w:noProof/>
          <w:lang w:val="en-US"/>
        </w:rPr>
        <w:t>;</w:t>
      </w:r>
      <w:r w:rsidRPr="00361937">
        <w:rPr>
          <w:noProof/>
          <w:lang w:val="en-US"/>
        </w:rPr>
        <w:t xml:space="preserve"> 2017. </w:t>
      </w:r>
    </w:p>
    <w:p w:rsidR="004603C9" w:rsidRPr="00361937" w:rsidRDefault="004603C9" w:rsidP="00A95E29">
      <w:pPr>
        <w:widowControl w:val="0"/>
        <w:autoSpaceDE w:val="0"/>
        <w:autoSpaceDN w:val="0"/>
        <w:adjustRightInd w:val="0"/>
        <w:spacing w:line="480" w:lineRule="auto"/>
        <w:rPr>
          <w:noProof/>
          <w:lang w:val="en-US"/>
        </w:rPr>
      </w:pPr>
      <w:r w:rsidRPr="00361937">
        <w:rPr>
          <w:noProof/>
          <w:lang w:val="en-US"/>
        </w:rPr>
        <w:t xml:space="preserve">14. Ministerio da Saúde. National </w:t>
      </w:r>
      <w:r w:rsidR="00A1056B" w:rsidRPr="00361937">
        <w:rPr>
          <w:noProof/>
          <w:lang w:val="en-US"/>
        </w:rPr>
        <w:t>s</w:t>
      </w:r>
      <w:r w:rsidRPr="00361937">
        <w:rPr>
          <w:noProof/>
          <w:lang w:val="en-US"/>
        </w:rPr>
        <w:t xml:space="preserve">urvey on </w:t>
      </w:r>
      <w:r w:rsidR="00A1056B" w:rsidRPr="00361937">
        <w:rPr>
          <w:noProof/>
          <w:lang w:val="en-US"/>
        </w:rPr>
        <w:t>p</w:t>
      </w:r>
      <w:r w:rsidRPr="00361937">
        <w:rPr>
          <w:noProof/>
          <w:lang w:val="en-US"/>
        </w:rPr>
        <w:t xml:space="preserve">revalence, </w:t>
      </w:r>
      <w:r w:rsidR="00A1056B" w:rsidRPr="00361937">
        <w:rPr>
          <w:noProof/>
          <w:lang w:val="en-US"/>
        </w:rPr>
        <w:t>b</w:t>
      </w:r>
      <w:r w:rsidRPr="00361937">
        <w:rPr>
          <w:noProof/>
          <w:lang w:val="en-US"/>
        </w:rPr>
        <w:t xml:space="preserve">ehavioral </w:t>
      </w:r>
      <w:r w:rsidR="00A1056B" w:rsidRPr="00361937">
        <w:rPr>
          <w:noProof/>
          <w:lang w:val="en-US"/>
        </w:rPr>
        <w:t>r</w:t>
      </w:r>
      <w:r w:rsidRPr="00361937">
        <w:rPr>
          <w:noProof/>
          <w:lang w:val="en-US"/>
        </w:rPr>
        <w:t xml:space="preserve">isks and </w:t>
      </w:r>
      <w:r w:rsidR="00A1056B" w:rsidRPr="00361937">
        <w:rPr>
          <w:noProof/>
          <w:lang w:val="en-US"/>
        </w:rPr>
        <w:t>i</w:t>
      </w:r>
      <w:r w:rsidRPr="00361937">
        <w:rPr>
          <w:noProof/>
          <w:lang w:val="en-US"/>
        </w:rPr>
        <w:t xml:space="preserve">nformation about HIV and AIDS in Mozambique (INSIDE). Maputo; 2009. </w:t>
      </w:r>
    </w:p>
    <w:p w:rsidR="004603C9" w:rsidRPr="00361937" w:rsidRDefault="004603C9" w:rsidP="00A95E29">
      <w:pPr>
        <w:widowControl w:val="0"/>
        <w:autoSpaceDE w:val="0"/>
        <w:autoSpaceDN w:val="0"/>
        <w:adjustRightInd w:val="0"/>
        <w:spacing w:line="480" w:lineRule="auto"/>
        <w:rPr>
          <w:noProof/>
          <w:lang w:val="en-US"/>
        </w:rPr>
      </w:pPr>
      <w:r w:rsidRPr="00361937">
        <w:rPr>
          <w:noProof/>
          <w:lang w:val="en-US"/>
        </w:rPr>
        <w:t>15. WHO. Consolidated guidelines on the use of antiretroviral grugs for treating and preventing HIV infection</w:t>
      </w:r>
      <w:r w:rsidR="00A1056B" w:rsidRPr="00361937">
        <w:rPr>
          <w:noProof/>
          <w:lang w:val="en-US"/>
        </w:rPr>
        <w:t>;</w:t>
      </w:r>
      <w:r w:rsidRPr="00361937">
        <w:rPr>
          <w:noProof/>
          <w:lang w:val="en-US"/>
        </w:rPr>
        <w:t xml:space="preserve"> 2013. </w:t>
      </w:r>
    </w:p>
    <w:p w:rsidR="004603C9" w:rsidRPr="00361937" w:rsidRDefault="004603C9" w:rsidP="00A95E29">
      <w:pPr>
        <w:widowControl w:val="0"/>
        <w:autoSpaceDE w:val="0"/>
        <w:autoSpaceDN w:val="0"/>
        <w:adjustRightInd w:val="0"/>
        <w:spacing w:line="480" w:lineRule="auto"/>
        <w:rPr>
          <w:noProof/>
          <w:lang w:val="en-US"/>
        </w:rPr>
      </w:pPr>
      <w:r w:rsidRPr="00361937">
        <w:rPr>
          <w:noProof/>
          <w:lang w:val="en-US"/>
        </w:rPr>
        <w:t xml:space="preserve">16. Ministry of Health. Malawi </w:t>
      </w:r>
      <w:r w:rsidR="007A5104" w:rsidRPr="00361937">
        <w:rPr>
          <w:noProof/>
          <w:lang w:val="en-US"/>
        </w:rPr>
        <w:t>i</w:t>
      </w:r>
      <w:r w:rsidRPr="00361937">
        <w:rPr>
          <w:noProof/>
          <w:lang w:val="en-US"/>
        </w:rPr>
        <w:t xml:space="preserve">ntegrated HIV </w:t>
      </w:r>
      <w:r w:rsidR="007A5104" w:rsidRPr="00361937">
        <w:rPr>
          <w:noProof/>
          <w:lang w:val="en-US"/>
        </w:rPr>
        <w:t>p</w:t>
      </w:r>
      <w:r w:rsidRPr="00361937">
        <w:rPr>
          <w:noProof/>
          <w:lang w:val="en-US"/>
        </w:rPr>
        <w:t xml:space="preserve">rogram </w:t>
      </w:r>
      <w:r w:rsidR="007A5104" w:rsidRPr="00361937">
        <w:rPr>
          <w:noProof/>
          <w:lang w:val="en-US"/>
        </w:rPr>
        <w:t>r</w:t>
      </w:r>
      <w:r w:rsidRPr="00361937">
        <w:rPr>
          <w:noProof/>
          <w:lang w:val="en-US"/>
        </w:rPr>
        <w:t>eport</w:t>
      </w:r>
      <w:r w:rsidR="003476D0" w:rsidRPr="00361937">
        <w:rPr>
          <w:noProof/>
          <w:lang w:val="en-US"/>
        </w:rPr>
        <w:t>;</w:t>
      </w:r>
      <w:r w:rsidRPr="00361937">
        <w:rPr>
          <w:noProof/>
          <w:lang w:val="en-US"/>
        </w:rPr>
        <w:t xml:space="preserve"> 2013. </w:t>
      </w:r>
    </w:p>
    <w:p w:rsidR="004603C9" w:rsidRPr="00361937" w:rsidRDefault="004603C9" w:rsidP="00A95E29">
      <w:pPr>
        <w:widowControl w:val="0"/>
        <w:autoSpaceDE w:val="0"/>
        <w:autoSpaceDN w:val="0"/>
        <w:adjustRightInd w:val="0"/>
        <w:spacing w:line="480" w:lineRule="auto"/>
        <w:rPr>
          <w:noProof/>
          <w:lang w:val="en-US"/>
        </w:rPr>
      </w:pPr>
      <w:r w:rsidRPr="00361937">
        <w:rPr>
          <w:noProof/>
          <w:lang w:val="en-US"/>
        </w:rPr>
        <w:t>17. W</w:t>
      </w:r>
      <w:r w:rsidR="007A5104" w:rsidRPr="00361937">
        <w:rPr>
          <w:noProof/>
          <w:lang w:val="en-US"/>
        </w:rPr>
        <w:t>HO</w:t>
      </w:r>
      <w:r w:rsidRPr="00361937">
        <w:rPr>
          <w:noProof/>
          <w:lang w:val="en-US"/>
        </w:rPr>
        <w:t>. Management of severe malaria -</w:t>
      </w:r>
      <w:r w:rsidR="007A5104" w:rsidRPr="00361937">
        <w:rPr>
          <w:noProof/>
          <w:lang w:val="en-US"/>
        </w:rPr>
        <w:t xml:space="preserve"> a</w:t>
      </w:r>
      <w:r w:rsidRPr="00361937">
        <w:rPr>
          <w:noProof/>
          <w:lang w:val="en-US"/>
        </w:rPr>
        <w:t xml:space="preserve"> practical handbook. </w:t>
      </w:r>
      <w:r w:rsidR="007A5104" w:rsidRPr="00361937">
        <w:rPr>
          <w:noProof/>
          <w:lang w:val="en-US"/>
        </w:rPr>
        <w:t>3rd</w:t>
      </w:r>
      <w:r w:rsidRPr="00361937">
        <w:rPr>
          <w:noProof/>
          <w:lang w:val="en-US"/>
        </w:rPr>
        <w:t xml:space="preserve"> </w:t>
      </w:r>
      <w:r w:rsidR="007A5104" w:rsidRPr="00361937">
        <w:rPr>
          <w:noProof/>
          <w:lang w:val="en-US"/>
        </w:rPr>
        <w:t>E</w:t>
      </w:r>
      <w:r w:rsidRPr="00361937">
        <w:rPr>
          <w:noProof/>
          <w:lang w:val="en-US"/>
        </w:rPr>
        <w:t>dn</w:t>
      </w:r>
      <w:r w:rsidR="007A5104" w:rsidRPr="00361937">
        <w:rPr>
          <w:noProof/>
          <w:lang w:val="en-US"/>
        </w:rPr>
        <w:t xml:space="preserve">. Geneva; </w:t>
      </w:r>
      <w:r w:rsidRPr="00361937">
        <w:rPr>
          <w:noProof/>
          <w:lang w:val="en-US"/>
        </w:rPr>
        <w:t xml:space="preserve">2013. </w:t>
      </w:r>
    </w:p>
    <w:p w:rsidR="004603C9" w:rsidRPr="00361937" w:rsidRDefault="004603C9" w:rsidP="00A95E29">
      <w:pPr>
        <w:widowControl w:val="0"/>
        <w:autoSpaceDE w:val="0"/>
        <w:autoSpaceDN w:val="0"/>
        <w:adjustRightInd w:val="0"/>
        <w:spacing w:line="480" w:lineRule="auto"/>
        <w:rPr>
          <w:noProof/>
          <w:lang w:val="en-US"/>
        </w:rPr>
      </w:pPr>
      <w:r w:rsidRPr="00361937">
        <w:rPr>
          <w:noProof/>
          <w:lang w:val="en-US"/>
        </w:rPr>
        <w:t xml:space="preserve">18. DAIDS. Division of </w:t>
      </w:r>
      <w:r w:rsidR="007A5104" w:rsidRPr="00361937">
        <w:rPr>
          <w:noProof/>
          <w:lang w:val="en-US"/>
        </w:rPr>
        <w:t>a</w:t>
      </w:r>
      <w:r w:rsidRPr="00361937">
        <w:rPr>
          <w:noProof/>
          <w:lang w:val="en-US"/>
        </w:rPr>
        <w:t xml:space="preserve">ids </w:t>
      </w:r>
      <w:r w:rsidR="007A5104" w:rsidRPr="00361937">
        <w:rPr>
          <w:noProof/>
          <w:lang w:val="en-US"/>
        </w:rPr>
        <w:t>t</w:t>
      </w:r>
      <w:r w:rsidRPr="00361937">
        <w:rPr>
          <w:noProof/>
          <w:lang w:val="en-US"/>
        </w:rPr>
        <w:t xml:space="preserve">able for </w:t>
      </w:r>
      <w:r w:rsidR="007A5104" w:rsidRPr="00361937">
        <w:rPr>
          <w:noProof/>
          <w:lang w:val="en-US"/>
        </w:rPr>
        <w:t>g</w:t>
      </w:r>
      <w:r w:rsidRPr="00361937">
        <w:rPr>
          <w:noProof/>
          <w:lang w:val="en-US"/>
        </w:rPr>
        <w:t xml:space="preserve">rading the </w:t>
      </w:r>
      <w:r w:rsidR="007A5104" w:rsidRPr="00361937">
        <w:rPr>
          <w:noProof/>
          <w:lang w:val="en-US"/>
        </w:rPr>
        <w:t>s</w:t>
      </w:r>
      <w:r w:rsidRPr="00361937">
        <w:rPr>
          <w:noProof/>
          <w:lang w:val="en-US"/>
        </w:rPr>
        <w:t xml:space="preserve">everity of </w:t>
      </w:r>
      <w:r w:rsidR="007A5104" w:rsidRPr="00361937">
        <w:rPr>
          <w:noProof/>
          <w:lang w:val="en-US"/>
        </w:rPr>
        <w:t>a</w:t>
      </w:r>
      <w:r w:rsidRPr="00361937">
        <w:rPr>
          <w:noProof/>
          <w:lang w:val="en-US"/>
        </w:rPr>
        <w:t xml:space="preserve">dult and </w:t>
      </w:r>
      <w:r w:rsidR="007A5104" w:rsidRPr="00361937">
        <w:rPr>
          <w:noProof/>
          <w:lang w:val="en-US"/>
        </w:rPr>
        <w:t>p</w:t>
      </w:r>
      <w:r w:rsidRPr="00361937">
        <w:rPr>
          <w:noProof/>
          <w:lang w:val="en-US"/>
        </w:rPr>
        <w:t xml:space="preserve">ediatric </w:t>
      </w:r>
      <w:r w:rsidR="007A5104" w:rsidRPr="00361937">
        <w:rPr>
          <w:noProof/>
          <w:lang w:val="en-US"/>
        </w:rPr>
        <w:t>a</w:t>
      </w:r>
      <w:r w:rsidRPr="00361937">
        <w:rPr>
          <w:noProof/>
          <w:lang w:val="en-US"/>
        </w:rPr>
        <w:t xml:space="preserve">dverse </w:t>
      </w:r>
      <w:r w:rsidR="007A5104" w:rsidRPr="00361937">
        <w:rPr>
          <w:noProof/>
          <w:lang w:val="en-US"/>
        </w:rPr>
        <w:t>e</w:t>
      </w:r>
      <w:r w:rsidRPr="00361937">
        <w:rPr>
          <w:noProof/>
          <w:lang w:val="en-US"/>
        </w:rPr>
        <w:t>vents</w:t>
      </w:r>
      <w:r w:rsidR="003B132E" w:rsidRPr="00361937">
        <w:rPr>
          <w:noProof/>
          <w:lang w:val="en-US"/>
        </w:rPr>
        <w:t xml:space="preserve">. </w:t>
      </w:r>
      <w:r w:rsidRPr="00361937">
        <w:rPr>
          <w:noProof/>
          <w:lang w:val="en-US"/>
        </w:rPr>
        <w:t xml:space="preserve">2004;1–20. </w:t>
      </w:r>
    </w:p>
    <w:p w:rsidR="004603C9" w:rsidRPr="00361937" w:rsidRDefault="004603C9" w:rsidP="00A95E29">
      <w:pPr>
        <w:widowControl w:val="0"/>
        <w:autoSpaceDE w:val="0"/>
        <w:autoSpaceDN w:val="0"/>
        <w:adjustRightInd w:val="0"/>
        <w:spacing w:line="480" w:lineRule="auto"/>
        <w:rPr>
          <w:noProof/>
          <w:lang w:val="en-US"/>
        </w:rPr>
      </w:pPr>
      <w:r w:rsidRPr="00361937">
        <w:rPr>
          <w:noProof/>
          <w:lang w:val="en-US"/>
        </w:rPr>
        <w:t xml:space="preserve">19. WPRO | Malaria </w:t>
      </w:r>
      <w:r w:rsidR="003476D0" w:rsidRPr="00361937">
        <w:rPr>
          <w:noProof/>
          <w:lang w:val="en-US"/>
        </w:rPr>
        <w:t>m</w:t>
      </w:r>
      <w:r w:rsidRPr="00361937">
        <w:rPr>
          <w:noProof/>
          <w:lang w:val="en-US"/>
        </w:rPr>
        <w:t xml:space="preserve">icroscopy </w:t>
      </w:r>
      <w:r w:rsidR="003476D0" w:rsidRPr="00361937">
        <w:rPr>
          <w:noProof/>
          <w:lang w:val="en-US"/>
        </w:rPr>
        <w:t>s</w:t>
      </w:r>
      <w:r w:rsidRPr="00361937">
        <w:rPr>
          <w:noProof/>
          <w:lang w:val="en-US"/>
        </w:rPr>
        <w:t xml:space="preserve">tandard </w:t>
      </w:r>
      <w:r w:rsidR="003476D0" w:rsidRPr="00361937">
        <w:rPr>
          <w:noProof/>
          <w:lang w:val="en-US"/>
        </w:rPr>
        <w:t>o</w:t>
      </w:r>
      <w:r w:rsidRPr="00361937">
        <w:rPr>
          <w:noProof/>
          <w:lang w:val="en-US"/>
        </w:rPr>
        <w:t xml:space="preserve">perating </w:t>
      </w:r>
      <w:r w:rsidR="003476D0" w:rsidRPr="00361937">
        <w:rPr>
          <w:noProof/>
          <w:lang w:val="en-US"/>
        </w:rPr>
        <w:t>p</w:t>
      </w:r>
      <w:r w:rsidRPr="00361937">
        <w:rPr>
          <w:noProof/>
          <w:lang w:val="en-US"/>
        </w:rPr>
        <w:t>rocedures. WPRO | WHO Western Pacific Region; 2018</w:t>
      </w:r>
      <w:r w:rsidR="003476D0" w:rsidRPr="00361937">
        <w:rPr>
          <w:noProof/>
          <w:lang w:val="en-US"/>
        </w:rPr>
        <w:t>.</w:t>
      </w:r>
    </w:p>
    <w:p w:rsidR="004603C9" w:rsidRPr="00361937" w:rsidRDefault="004603C9" w:rsidP="00A95E29">
      <w:pPr>
        <w:widowControl w:val="0"/>
        <w:autoSpaceDE w:val="0"/>
        <w:autoSpaceDN w:val="0"/>
        <w:adjustRightInd w:val="0"/>
        <w:spacing w:line="480" w:lineRule="auto"/>
        <w:rPr>
          <w:noProof/>
          <w:lang w:val="en-US"/>
        </w:rPr>
      </w:pPr>
      <w:r w:rsidRPr="00361937">
        <w:rPr>
          <w:noProof/>
          <w:lang w:val="en-US"/>
        </w:rPr>
        <w:t xml:space="preserve">20. Reeder JC, Marshall VM. A simple method for typing Plasmodium falciparum </w:t>
      </w:r>
      <w:r w:rsidRPr="00361937">
        <w:rPr>
          <w:noProof/>
          <w:lang w:val="en-US"/>
        </w:rPr>
        <w:lastRenderedPageBreak/>
        <w:t xml:space="preserve">merozoite surface antigens 1 and 2 (MSA-1 and MSA-2) using a dimorphic-form specific polymerase chain reaction. Mol. Biochem. Parasitol. 1994;68:329–32. </w:t>
      </w:r>
    </w:p>
    <w:p w:rsidR="004603C9" w:rsidRPr="00361937" w:rsidRDefault="004603C9" w:rsidP="00A95E29">
      <w:pPr>
        <w:widowControl w:val="0"/>
        <w:autoSpaceDE w:val="0"/>
        <w:autoSpaceDN w:val="0"/>
        <w:adjustRightInd w:val="0"/>
        <w:spacing w:line="480" w:lineRule="auto"/>
        <w:rPr>
          <w:noProof/>
          <w:lang w:val="en-US"/>
        </w:rPr>
      </w:pPr>
      <w:r w:rsidRPr="00361937">
        <w:rPr>
          <w:noProof/>
          <w:lang w:val="en-US"/>
        </w:rPr>
        <w:t>21. WHO | Methods and techniques for assessing exposure to antimalarial drugs in clinical ﬁeld studies. World Health Organization; 2016</w:t>
      </w:r>
      <w:r w:rsidR="003B132E" w:rsidRPr="00361937">
        <w:rPr>
          <w:noProof/>
          <w:lang w:val="en-US"/>
        </w:rPr>
        <w:t>.</w:t>
      </w:r>
      <w:r w:rsidRPr="00361937">
        <w:rPr>
          <w:noProof/>
          <w:lang w:val="en-US"/>
        </w:rPr>
        <w:t xml:space="preserve"> </w:t>
      </w:r>
    </w:p>
    <w:p w:rsidR="004603C9" w:rsidRPr="00361937" w:rsidRDefault="004603C9" w:rsidP="00A95E29">
      <w:pPr>
        <w:widowControl w:val="0"/>
        <w:autoSpaceDE w:val="0"/>
        <w:autoSpaceDN w:val="0"/>
        <w:adjustRightInd w:val="0"/>
        <w:spacing w:line="480" w:lineRule="auto"/>
        <w:rPr>
          <w:noProof/>
          <w:lang w:val="en-US"/>
        </w:rPr>
      </w:pPr>
      <w:r w:rsidRPr="00361937">
        <w:rPr>
          <w:noProof/>
          <w:lang w:val="en-US"/>
        </w:rPr>
        <w:t>22. White NJ, Stepniewska K, Barnes K, Price RN, Simpson J. Simplified antimalarial therapeutic monitoring: using the day-7 drug level? Trends Parasitol</w:t>
      </w:r>
      <w:r w:rsidR="003B132E" w:rsidRPr="00361937">
        <w:rPr>
          <w:noProof/>
          <w:lang w:val="en-US"/>
        </w:rPr>
        <w:t>.</w:t>
      </w:r>
      <w:r w:rsidRPr="00361937">
        <w:rPr>
          <w:noProof/>
          <w:lang w:val="en-US"/>
        </w:rPr>
        <w:t xml:space="preserve"> 2008;24:159–63. </w:t>
      </w:r>
    </w:p>
    <w:p w:rsidR="004603C9" w:rsidRPr="00361937" w:rsidRDefault="004603C9" w:rsidP="00A95E29">
      <w:pPr>
        <w:widowControl w:val="0"/>
        <w:autoSpaceDE w:val="0"/>
        <w:autoSpaceDN w:val="0"/>
        <w:adjustRightInd w:val="0"/>
        <w:spacing w:line="480" w:lineRule="auto"/>
        <w:rPr>
          <w:noProof/>
          <w:lang w:val="en-US"/>
        </w:rPr>
      </w:pPr>
      <w:r w:rsidRPr="00361937">
        <w:rPr>
          <w:noProof/>
          <w:lang w:val="en-US"/>
        </w:rPr>
        <w:t>23. Lourens C, Watkins WM, Barnes KI, Sibley CH, Guerin PJ, White NJ, et al. Implementation of a reference standard and proficiency testing programme by the World Wide Antimalarial Resistance Network (WWARN). Malar. J. BioMed Central</w:t>
      </w:r>
      <w:r w:rsidR="003B132E" w:rsidRPr="00361937">
        <w:rPr>
          <w:noProof/>
          <w:lang w:val="en-US"/>
        </w:rPr>
        <w:t>.</w:t>
      </w:r>
      <w:r w:rsidRPr="00361937">
        <w:rPr>
          <w:noProof/>
          <w:lang w:val="en-US"/>
        </w:rPr>
        <w:t xml:space="preserve"> 2010;9:375. </w:t>
      </w:r>
    </w:p>
    <w:p w:rsidR="004603C9" w:rsidRPr="00361937" w:rsidRDefault="004603C9" w:rsidP="00A95E29">
      <w:pPr>
        <w:widowControl w:val="0"/>
        <w:autoSpaceDE w:val="0"/>
        <w:autoSpaceDN w:val="0"/>
        <w:adjustRightInd w:val="0"/>
        <w:spacing w:line="480" w:lineRule="auto"/>
        <w:rPr>
          <w:noProof/>
          <w:lang w:val="en-US"/>
        </w:rPr>
      </w:pPr>
      <w:r w:rsidRPr="00361937">
        <w:rPr>
          <w:noProof/>
          <w:lang w:val="en-US"/>
        </w:rPr>
        <w:t xml:space="preserve">24. </w:t>
      </w:r>
      <w:r w:rsidR="003476D0" w:rsidRPr="00361937">
        <w:rPr>
          <w:noProof/>
          <w:lang w:val="en-US"/>
        </w:rPr>
        <w:t xml:space="preserve">ICH. </w:t>
      </w:r>
      <w:r w:rsidRPr="00361937">
        <w:rPr>
          <w:noProof/>
          <w:lang w:val="en-US"/>
        </w:rPr>
        <w:t xml:space="preserve">International </w:t>
      </w:r>
      <w:r w:rsidR="003476D0" w:rsidRPr="00361937">
        <w:rPr>
          <w:noProof/>
          <w:lang w:val="en-US"/>
        </w:rPr>
        <w:t>c</w:t>
      </w:r>
      <w:r w:rsidRPr="00361937">
        <w:rPr>
          <w:noProof/>
          <w:lang w:val="en-US"/>
        </w:rPr>
        <w:t xml:space="preserve">onference on </w:t>
      </w:r>
      <w:r w:rsidR="003476D0" w:rsidRPr="00361937">
        <w:rPr>
          <w:noProof/>
          <w:lang w:val="en-US"/>
        </w:rPr>
        <w:t>h</w:t>
      </w:r>
      <w:r w:rsidRPr="00361937">
        <w:rPr>
          <w:noProof/>
          <w:lang w:val="en-US"/>
        </w:rPr>
        <w:t xml:space="preserve">armonisation of </w:t>
      </w:r>
      <w:r w:rsidR="003476D0" w:rsidRPr="00361937">
        <w:rPr>
          <w:noProof/>
          <w:lang w:val="en-US"/>
        </w:rPr>
        <w:t>t</w:t>
      </w:r>
      <w:r w:rsidRPr="00361937">
        <w:rPr>
          <w:noProof/>
          <w:lang w:val="en-US"/>
        </w:rPr>
        <w:t xml:space="preserve">echnical </w:t>
      </w:r>
      <w:r w:rsidR="003476D0" w:rsidRPr="00361937">
        <w:rPr>
          <w:noProof/>
          <w:lang w:val="en-US"/>
        </w:rPr>
        <w:t>r</w:t>
      </w:r>
      <w:r w:rsidRPr="00361937">
        <w:rPr>
          <w:noProof/>
          <w:lang w:val="en-US"/>
        </w:rPr>
        <w:t xml:space="preserve">equirements for </w:t>
      </w:r>
      <w:r w:rsidR="003476D0" w:rsidRPr="00361937">
        <w:rPr>
          <w:noProof/>
          <w:lang w:val="en-US"/>
        </w:rPr>
        <w:t>r</w:t>
      </w:r>
      <w:r w:rsidRPr="00361937">
        <w:rPr>
          <w:noProof/>
          <w:lang w:val="en-US"/>
        </w:rPr>
        <w:t xml:space="preserve">egistration of </w:t>
      </w:r>
      <w:r w:rsidR="003476D0" w:rsidRPr="00361937">
        <w:rPr>
          <w:noProof/>
          <w:lang w:val="en-US"/>
        </w:rPr>
        <w:t>p</w:t>
      </w:r>
      <w:r w:rsidRPr="00361937">
        <w:rPr>
          <w:noProof/>
          <w:lang w:val="en-US"/>
        </w:rPr>
        <w:t xml:space="preserve">harmaceuticals for </w:t>
      </w:r>
      <w:r w:rsidR="003476D0" w:rsidRPr="00361937">
        <w:rPr>
          <w:noProof/>
          <w:lang w:val="en-US"/>
        </w:rPr>
        <w:t>h</w:t>
      </w:r>
      <w:r w:rsidRPr="00361937">
        <w:rPr>
          <w:noProof/>
          <w:lang w:val="en-US"/>
        </w:rPr>
        <w:t xml:space="preserve">uman </w:t>
      </w:r>
      <w:r w:rsidR="003476D0" w:rsidRPr="00361937">
        <w:rPr>
          <w:noProof/>
          <w:lang w:val="en-US"/>
        </w:rPr>
        <w:t>us</w:t>
      </w:r>
      <w:r w:rsidRPr="00361937">
        <w:rPr>
          <w:noProof/>
          <w:lang w:val="en-US"/>
        </w:rPr>
        <w:t>e</w:t>
      </w:r>
      <w:r w:rsidR="003476D0" w:rsidRPr="00361937">
        <w:rPr>
          <w:noProof/>
          <w:lang w:val="en-US"/>
        </w:rPr>
        <w:t>:</w:t>
      </w:r>
      <w:r w:rsidRPr="00361937">
        <w:rPr>
          <w:noProof/>
          <w:lang w:val="en-US"/>
        </w:rPr>
        <w:t xml:space="preserve"> C</w:t>
      </w:r>
      <w:r w:rsidR="003476D0" w:rsidRPr="00361937">
        <w:rPr>
          <w:noProof/>
          <w:lang w:val="en-US"/>
        </w:rPr>
        <w:t>linical safety data management</w:t>
      </w:r>
      <w:r w:rsidR="003B132E" w:rsidRPr="00361937">
        <w:rPr>
          <w:noProof/>
          <w:lang w:val="en-US"/>
        </w:rPr>
        <w:t>:</w:t>
      </w:r>
      <w:r w:rsidRPr="00361937">
        <w:rPr>
          <w:noProof/>
          <w:lang w:val="en-US"/>
        </w:rPr>
        <w:t xml:space="preserve"> E2A</w:t>
      </w:r>
      <w:r w:rsidR="003476D0" w:rsidRPr="00361937">
        <w:rPr>
          <w:noProof/>
          <w:lang w:val="en-US"/>
        </w:rPr>
        <w:t>;</w:t>
      </w:r>
      <w:r w:rsidRPr="00361937">
        <w:rPr>
          <w:noProof/>
          <w:lang w:val="en-US"/>
        </w:rPr>
        <w:t xml:space="preserve"> 1994. </w:t>
      </w:r>
    </w:p>
    <w:p w:rsidR="004603C9" w:rsidRPr="00361937" w:rsidRDefault="004603C9" w:rsidP="00A95E29">
      <w:pPr>
        <w:widowControl w:val="0"/>
        <w:autoSpaceDE w:val="0"/>
        <w:autoSpaceDN w:val="0"/>
        <w:adjustRightInd w:val="0"/>
        <w:spacing w:line="480" w:lineRule="auto"/>
        <w:rPr>
          <w:noProof/>
          <w:lang w:val="en-US"/>
        </w:rPr>
      </w:pPr>
      <w:r w:rsidRPr="00361937">
        <w:rPr>
          <w:noProof/>
          <w:lang w:val="en-US"/>
        </w:rPr>
        <w:t>25. Van Geertruyden J-P, Mulenga M, Mwananyanda L, Chalwe V, Moerman F, Chilengi R, et al. HIV-1 immune suppression and antimalarial treatment outcome in Zambian adults with uncomplicated malaria. J. Infect. Dis. UNAIDS, June, Geneva</w:t>
      </w:r>
      <w:r w:rsidR="003B132E" w:rsidRPr="00361937">
        <w:rPr>
          <w:noProof/>
          <w:lang w:val="en-US"/>
        </w:rPr>
        <w:t>.</w:t>
      </w:r>
      <w:r w:rsidRPr="00361937">
        <w:rPr>
          <w:noProof/>
          <w:lang w:val="en-US"/>
        </w:rPr>
        <w:t xml:space="preserve"> 2006;194:917–25. </w:t>
      </w:r>
    </w:p>
    <w:p w:rsidR="004603C9" w:rsidRPr="00361937" w:rsidRDefault="004603C9" w:rsidP="00A95E29">
      <w:pPr>
        <w:widowControl w:val="0"/>
        <w:autoSpaceDE w:val="0"/>
        <w:autoSpaceDN w:val="0"/>
        <w:adjustRightInd w:val="0"/>
        <w:spacing w:line="480" w:lineRule="auto"/>
        <w:rPr>
          <w:noProof/>
          <w:lang w:val="en-US"/>
        </w:rPr>
      </w:pPr>
      <w:r w:rsidRPr="00361937">
        <w:rPr>
          <w:noProof/>
          <w:lang w:val="en-US"/>
        </w:rPr>
        <w:t xml:space="preserve">26. Kirkwood BR, Sterne JAC, Kirkwood BR. Essential medical statistics. Blackwell Science; 2003. </w:t>
      </w:r>
    </w:p>
    <w:p w:rsidR="004603C9" w:rsidRPr="00361937" w:rsidRDefault="004603C9" w:rsidP="00A95E29">
      <w:pPr>
        <w:widowControl w:val="0"/>
        <w:autoSpaceDE w:val="0"/>
        <w:autoSpaceDN w:val="0"/>
        <w:adjustRightInd w:val="0"/>
        <w:spacing w:line="480" w:lineRule="auto"/>
        <w:rPr>
          <w:noProof/>
          <w:lang w:val="en-US"/>
        </w:rPr>
      </w:pPr>
      <w:r w:rsidRPr="00361937">
        <w:rPr>
          <w:noProof/>
          <w:lang w:val="en-US"/>
        </w:rPr>
        <w:t xml:space="preserve">27. Flegg JA, Guerin PJ, White NJ, Stepniewska K. Standardizing the measurement of parasite clearance in falciparum malaria: the parasite clearance estimator. Malar. J. 2011;10:339. </w:t>
      </w:r>
    </w:p>
    <w:p w:rsidR="004603C9" w:rsidRPr="00361937" w:rsidRDefault="004603C9" w:rsidP="00A95E29">
      <w:pPr>
        <w:widowControl w:val="0"/>
        <w:autoSpaceDE w:val="0"/>
        <w:autoSpaceDN w:val="0"/>
        <w:adjustRightInd w:val="0"/>
        <w:spacing w:line="480" w:lineRule="auto"/>
        <w:rPr>
          <w:noProof/>
          <w:lang w:val="en-US"/>
        </w:rPr>
      </w:pPr>
      <w:r w:rsidRPr="00361937">
        <w:rPr>
          <w:noProof/>
          <w:lang w:val="en-US"/>
        </w:rPr>
        <w:t>28. Gargano N, Ubben D, Tommasini S, Bacchieri A, Corsi M, Bhattacharyya PC, et al. Therapeutic efficacy and safety of dihydroartemisinin-piperaquine versus artesunate-</w:t>
      </w:r>
      <w:r w:rsidRPr="00361937">
        <w:rPr>
          <w:noProof/>
          <w:lang w:val="en-US"/>
        </w:rPr>
        <w:lastRenderedPageBreak/>
        <w:t xml:space="preserve">mefloquine in uncomplicated Plasmodium falciparum malaria in India. Malar. J. 2012;11:233. </w:t>
      </w:r>
    </w:p>
    <w:p w:rsidR="004603C9" w:rsidRPr="00361937" w:rsidRDefault="004603C9" w:rsidP="00A95E29">
      <w:pPr>
        <w:widowControl w:val="0"/>
        <w:autoSpaceDE w:val="0"/>
        <w:autoSpaceDN w:val="0"/>
        <w:adjustRightInd w:val="0"/>
        <w:spacing w:line="480" w:lineRule="auto"/>
        <w:rPr>
          <w:noProof/>
          <w:lang w:val="en-US"/>
        </w:rPr>
      </w:pPr>
      <w:r w:rsidRPr="00361937">
        <w:rPr>
          <w:noProof/>
          <w:lang w:val="en-US"/>
        </w:rPr>
        <w:t xml:space="preserve">29. Sylla K, Abiola A, Tine RCK, Faye B, Sow D, Ndiaye JL, et al. Monitoring the efficacy and safety of three artemisinin based-combinations therapies in Senegal: Results from two years surveillance. BMC Infect. Dis. 2013;13:598. </w:t>
      </w:r>
    </w:p>
    <w:p w:rsidR="004603C9" w:rsidRPr="00361937" w:rsidRDefault="004603C9" w:rsidP="00A95E29">
      <w:pPr>
        <w:widowControl w:val="0"/>
        <w:autoSpaceDE w:val="0"/>
        <w:autoSpaceDN w:val="0"/>
        <w:adjustRightInd w:val="0"/>
        <w:spacing w:line="480" w:lineRule="auto"/>
        <w:rPr>
          <w:noProof/>
          <w:lang w:val="en-US"/>
        </w:rPr>
      </w:pPr>
      <w:r w:rsidRPr="00361937">
        <w:rPr>
          <w:noProof/>
          <w:lang w:val="en-US"/>
        </w:rPr>
        <w:t xml:space="preserve">30. Sow D, Ndiaye J-L, Sylla K, Ba MS, Tine RCK, Faye B, et al. Evaluation of the efficacy and safety of three 2-drug combinations for the treatment of uncomplicated Plasmodium falciparum malaria in Senegal: artesunate-amodiaquine, dihydroartemisinin-piperaquine, and artemether-lumefantrine. Med. Sante Trop. 2015;26:45–50. </w:t>
      </w:r>
    </w:p>
    <w:p w:rsidR="004603C9" w:rsidRPr="00361937" w:rsidRDefault="004603C9" w:rsidP="00A95E29">
      <w:pPr>
        <w:widowControl w:val="0"/>
        <w:autoSpaceDE w:val="0"/>
        <w:autoSpaceDN w:val="0"/>
        <w:adjustRightInd w:val="0"/>
        <w:spacing w:line="480" w:lineRule="auto"/>
        <w:rPr>
          <w:noProof/>
          <w:lang w:val="en-US"/>
        </w:rPr>
      </w:pPr>
      <w:r w:rsidRPr="00361937">
        <w:rPr>
          <w:noProof/>
          <w:lang w:val="en-US"/>
        </w:rPr>
        <w:t xml:space="preserve">31. Grandesso F, Guindo O, Woi Messe L, Makarimi R, Traore A, Dama S, et al. Efficacy of artesunate-amodiaquine, dihydroartemisinin-piperaquine and artemether-lumefantrine for the treatment of uncomplicated Plasmodium falciparum malaria in Maradi, Niger. Malar. J. 2018;17:52. </w:t>
      </w:r>
    </w:p>
    <w:p w:rsidR="004603C9" w:rsidRPr="00361937" w:rsidRDefault="004603C9" w:rsidP="00A95E29">
      <w:pPr>
        <w:widowControl w:val="0"/>
        <w:autoSpaceDE w:val="0"/>
        <w:autoSpaceDN w:val="0"/>
        <w:adjustRightInd w:val="0"/>
        <w:spacing w:line="480" w:lineRule="auto"/>
        <w:rPr>
          <w:noProof/>
          <w:lang w:val="en-US"/>
        </w:rPr>
      </w:pPr>
      <w:r w:rsidRPr="00361937">
        <w:rPr>
          <w:noProof/>
          <w:lang w:val="en-US"/>
        </w:rPr>
        <w:t xml:space="preserve">32. Kajubi R, Huang L, Jagannathan P, Chamankhah N, Were M, Ruel T, et al. Antiretroviral </w:t>
      </w:r>
      <w:r w:rsidR="000A3069" w:rsidRPr="00361937">
        <w:rPr>
          <w:noProof/>
          <w:lang w:val="en-US"/>
        </w:rPr>
        <w:t>t</w:t>
      </w:r>
      <w:r w:rsidRPr="00361937">
        <w:rPr>
          <w:noProof/>
          <w:lang w:val="en-US"/>
        </w:rPr>
        <w:t xml:space="preserve">herapy </w:t>
      </w:r>
      <w:r w:rsidR="000A3069" w:rsidRPr="00361937">
        <w:rPr>
          <w:noProof/>
          <w:lang w:val="en-US"/>
        </w:rPr>
        <w:t>w</w:t>
      </w:r>
      <w:r w:rsidRPr="00361937">
        <w:rPr>
          <w:noProof/>
          <w:lang w:val="en-US"/>
        </w:rPr>
        <w:t xml:space="preserve">ith </w:t>
      </w:r>
      <w:r w:rsidR="000A3069" w:rsidRPr="00361937">
        <w:rPr>
          <w:noProof/>
          <w:lang w:val="en-US"/>
        </w:rPr>
        <w:t>e</w:t>
      </w:r>
      <w:r w:rsidRPr="00361937">
        <w:rPr>
          <w:noProof/>
          <w:lang w:val="en-US"/>
        </w:rPr>
        <w:t xml:space="preserve">favirenz </w:t>
      </w:r>
      <w:r w:rsidR="000A3069" w:rsidRPr="00361937">
        <w:rPr>
          <w:noProof/>
          <w:lang w:val="en-US"/>
        </w:rPr>
        <w:t>a</w:t>
      </w:r>
      <w:r w:rsidRPr="00361937">
        <w:rPr>
          <w:noProof/>
          <w:lang w:val="en-US"/>
        </w:rPr>
        <w:t xml:space="preserve">ccentuates </w:t>
      </w:r>
      <w:r w:rsidR="000A3069" w:rsidRPr="00361937">
        <w:rPr>
          <w:noProof/>
          <w:lang w:val="en-US"/>
        </w:rPr>
        <w:t>p</w:t>
      </w:r>
      <w:r w:rsidRPr="00361937">
        <w:rPr>
          <w:noProof/>
          <w:lang w:val="en-US"/>
        </w:rPr>
        <w:t>regnancy-</w:t>
      </w:r>
      <w:r w:rsidR="000A3069" w:rsidRPr="00361937">
        <w:rPr>
          <w:noProof/>
          <w:lang w:val="en-US"/>
        </w:rPr>
        <w:t>a</w:t>
      </w:r>
      <w:r w:rsidRPr="00361937">
        <w:rPr>
          <w:noProof/>
          <w:lang w:val="en-US"/>
        </w:rPr>
        <w:t xml:space="preserve">ssociated </w:t>
      </w:r>
      <w:r w:rsidR="000A3069" w:rsidRPr="00361937">
        <w:rPr>
          <w:noProof/>
          <w:lang w:val="en-US"/>
        </w:rPr>
        <w:t>r</w:t>
      </w:r>
      <w:r w:rsidRPr="00361937">
        <w:rPr>
          <w:noProof/>
          <w:lang w:val="en-US"/>
        </w:rPr>
        <w:t xml:space="preserve">eduction of </w:t>
      </w:r>
      <w:r w:rsidR="000A3069" w:rsidRPr="00361937">
        <w:rPr>
          <w:noProof/>
          <w:lang w:val="en-US"/>
        </w:rPr>
        <w:t>d</w:t>
      </w:r>
      <w:r w:rsidRPr="00361937">
        <w:rPr>
          <w:noProof/>
          <w:lang w:val="en-US"/>
        </w:rPr>
        <w:t>ihydroartemisinin-</w:t>
      </w:r>
      <w:r w:rsidR="000A3069" w:rsidRPr="00361937">
        <w:rPr>
          <w:noProof/>
          <w:lang w:val="en-US"/>
        </w:rPr>
        <w:t>p</w:t>
      </w:r>
      <w:r w:rsidRPr="00361937">
        <w:rPr>
          <w:noProof/>
          <w:lang w:val="en-US"/>
        </w:rPr>
        <w:t xml:space="preserve">iperaquine </w:t>
      </w:r>
      <w:r w:rsidR="000A3069" w:rsidRPr="00361937">
        <w:rPr>
          <w:noProof/>
          <w:lang w:val="en-US"/>
        </w:rPr>
        <w:t>e</w:t>
      </w:r>
      <w:r w:rsidRPr="00361937">
        <w:rPr>
          <w:noProof/>
          <w:lang w:val="en-US"/>
        </w:rPr>
        <w:t xml:space="preserve">xposure </w:t>
      </w:r>
      <w:r w:rsidR="000A3069" w:rsidRPr="00361937">
        <w:rPr>
          <w:noProof/>
          <w:lang w:val="en-US"/>
        </w:rPr>
        <w:t>d</w:t>
      </w:r>
      <w:r w:rsidRPr="00361937">
        <w:rPr>
          <w:noProof/>
          <w:lang w:val="en-US"/>
        </w:rPr>
        <w:t xml:space="preserve">uring </w:t>
      </w:r>
      <w:r w:rsidR="000A3069" w:rsidRPr="00361937">
        <w:rPr>
          <w:noProof/>
          <w:lang w:val="en-US"/>
        </w:rPr>
        <w:t>m</w:t>
      </w:r>
      <w:r w:rsidRPr="00361937">
        <w:rPr>
          <w:noProof/>
          <w:lang w:val="en-US"/>
        </w:rPr>
        <w:t xml:space="preserve">alaria </w:t>
      </w:r>
      <w:r w:rsidR="000A3069" w:rsidRPr="00361937">
        <w:rPr>
          <w:noProof/>
          <w:lang w:val="en-US"/>
        </w:rPr>
        <w:t>c</w:t>
      </w:r>
      <w:r w:rsidRPr="00361937">
        <w:rPr>
          <w:noProof/>
          <w:lang w:val="en-US"/>
        </w:rPr>
        <w:t xml:space="preserve">hemoprevention. Clin. Pharmacol. Ther. 2017;102:520–8. </w:t>
      </w:r>
    </w:p>
    <w:p w:rsidR="004603C9" w:rsidRPr="00361937" w:rsidRDefault="004603C9" w:rsidP="00A95E29">
      <w:pPr>
        <w:widowControl w:val="0"/>
        <w:autoSpaceDE w:val="0"/>
        <w:autoSpaceDN w:val="0"/>
        <w:adjustRightInd w:val="0"/>
        <w:spacing w:line="480" w:lineRule="auto"/>
        <w:rPr>
          <w:noProof/>
          <w:lang w:val="en-US"/>
        </w:rPr>
      </w:pPr>
      <w:r w:rsidRPr="00361937">
        <w:rPr>
          <w:noProof/>
          <w:lang w:val="en-US"/>
        </w:rPr>
        <w:t xml:space="preserve">33. Byakika-Kibwika P, Lamorde M, Mayito J, Nabukeera L, Namakula R, Mayanja-Kizza H, et al. Significant pharmacokinetic interactions between artemether/lumefantrine and efavirenz or nevirapine in HIV-infected Ugandan adults. J. Antimicrob. Chemother. 2012;67:2213–21. </w:t>
      </w:r>
    </w:p>
    <w:p w:rsidR="004603C9" w:rsidRPr="00361937" w:rsidRDefault="004603C9" w:rsidP="00A95E29">
      <w:pPr>
        <w:widowControl w:val="0"/>
        <w:autoSpaceDE w:val="0"/>
        <w:autoSpaceDN w:val="0"/>
        <w:adjustRightInd w:val="0"/>
        <w:spacing w:line="480" w:lineRule="auto"/>
        <w:rPr>
          <w:noProof/>
          <w:lang w:val="en-US"/>
        </w:rPr>
      </w:pPr>
      <w:r w:rsidRPr="00361937">
        <w:rPr>
          <w:noProof/>
          <w:lang w:val="en-US"/>
        </w:rPr>
        <w:t xml:space="preserve">34. Hoglund RM, Byakika-Kibwika P, Lamorde M, Merry C, Ashton M, Hanpithakpong W, et al. Artemether-lumefantrine co-administration with antiretrovirals: population pharmacokinetics and dosing implications. Br. J. Clin. Pharmacol. 2015;79:636–49. </w:t>
      </w:r>
    </w:p>
    <w:p w:rsidR="004603C9" w:rsidRPr="00361937" w:rsidRDefault="004603C9" w:rsidP="00A95E29">
      <w:pPr>
        <w:widowControl w:val="0"/>
        <w:autoSpaceDE w:val="0"/>
        <w:autoSpaceDN w:val="0"/>
        <w:adjustRightInd w:val="0"/>
        <w:spacing w:line="480" w:lineRule="auto"/>
        <w:rPr>
          <w:noProof/>
          <w:lang w:val="en-US"/>
        </w:rPr>
      </w:pPr>
      <w:r w:rsidRPr="00361937">
        <w:rPr>
          <w:noProof/>
          <w:lang w:val="en-US"/>
        </w:rPr>
        <w:lastRenderedPageBreak/>
        <w:t>35. Kredo T, Mauff K, Van Der Walt JS, Wiesner L, Maartens G, Cohen K, et al. Interaction between artemether-lumefantrine and nevirapine-based antiretroviral therapy in HIV-1-infected patients. Antimicrob. Agents Chemother</w:t>
      </w:r>
      <w:r w:rsidR="003B132E" w:rsidRPr="00361937">
        <w:rPr>
          <w:noProof/>
          <w:lang w:val="en-US"/>
        </w:rPr>
        <w:t>.</w:t>
      </w:r>
      <w:r w:rsidRPr="00361937">
        <w:rPr>
          <w:noProof/>
          <w:lang w:val="en-US"/>
        </w:rPr>
        <w:t xml:space="preserve"> 2011;55:5616–23. </w:t>
      </w:r>
    </w:p>
    <w:p w:rsidR="004603C9" w:rsidRPr="00361937" w:rsidRDefault="004603C9" w:rsidP="00A95E29">
      <w:pPr>
        <w:widowControl w:val="0"/>
        <w:autoSpaceDE w:val="0"/>
        <w:autoSpaceDN w:val="0"/>
        <w:adjustRightInd w:val="0"/>
        <w:spacing w:line="480" w:lineRule="auto"/>
        <w:rPr>
          <w:noProof/>
          <w:lang w:val="en-US"/>
        </w:rPr>
      </w:pPr>
      <w:r w:rsidRPr="00361937">
        <w:rPr>
          <w:noProof/>
          <w:lang w:val="en-US"/>
        </w:rPr>
        <w:t>36. Fehintola FA, Scarsi KK, Ma Q, Parikh S, Morse GD, Taiwo B, et al. Nevirapine-</w:t>
      </w:r>
      <w:r w:rsidR="000A3069" w:rsidRPr="00361937">
        <w:rPr>
          <w:noProof/>
          <w:lang w:val="en-US"/>
        </w:rPr>
        <w:t>b</w:t>
      </w:r>
      <w:r w:rsidRPr="00361937">
        <w:rPr>
          <w:noProof/>
          <w:lang w:val="en-US"/>
        </w:rPr>
        <w:t xml:space="preserve">ased </w:t>
      </w:r>
      <w:r w:rsidR="000A3069" w:rsidRPr="00361937">
        <w:rPr>
          <w:noProof/>
          <w:lang w:val="en-US"/>
        </w:rPr>
        <w:t>a</w:t>
      </w:r>
      <w:r w:rsidRPr="00361937">
        <w:rPr>
          <w:noProof/>
          <w:lang w:val="en-US"/>
        </w:rPr>
        <w:t xml:space="preserve">ntiretroviral </w:t>
      </w:r>
      <w:r w:rsidR="000A3069" w:rsidRPr="00361937">
        <w:rPr>
          <w:noProof/>
          <w:lang w:val="en-US"/>
        </w:rPr>
        <w:t>t</w:t>
      </w:r>
      <w:r w:rsidRPr="00361937">
        <w:rPr>
          <w:noProof/>
          <w:lang w:val="en-US"/>
        </w:rPr>
        <w:t xml:space="preserve">herapy </w:t>
      </w:r>
      <w:r w:rsidR="000A3069" w:rsidRPr="00361937">
        <w:rPr>
          <w:noProof/>
          <w:lang w:val="en-US"/>
        </w:rPr>
        <w:t>i</w:t>
      </w:r>
      <w:r w:rsidRPr="00361937">
        <w:rPr>
          <w:noProof/>
          <w:lang w:val="en-US"/>
        </w:rPr>
        <w:t xml:space="preserve">mpacts </w:t>
      </w:r>
      <w:r w:rsidR="000A3069" w:rsidRPr="00361937">
        <w:rPr>
          <w:noProof/>
          <w:lang w:val="en-US"/>
        </w:rPr>
        <w:t>a</w:t>
      </w:r>
      <w:r w:rsidRPr="00361937">
        <w:rPr>
          <w:noProof/>
          <w:lang w:val="en-US"/>
        </w:rPr>
        <w:t xml:space="preserve">rtesunate and </w:t>
      </w:r>
      <w:r w:rsidR="000A3069" w:rsidRPr="00361937">
        <w:rPr>
          <w:noProof/>
          <w:lang w:val="en-US"/>
        </w:rPr>
        <w:t>d</w:t>
      </w:r>
      <w:r w:rsidRPr="00361937">
        <w:rPr>
          <w:noProof/>
          <w:lang w:val="en-US"/>
        </w:rPr>
        <w:t xml:space="preserve">ihydroartemisinin </w:t>
      </w:r>
      <w:r w:rsidR="000A3069" w:rsidRPr="00361937">
        <w:rPr>
          <w:noProof/>
          <w:lang w:val="en-US"/>
        </w:rPr>
        <w:t>d</w:t>
      </w:r>
      <w:r w:rsidRPr="00361937">
        <w:rPr>
          <w:noProof/>
          <w:lang w:val="en-US"/>
        </w:rPr>
        <w:t>isposition in HIV-</w:t>
      </w:r>
      <w:r w:rsidR="000A3069" w:rsidRPr="00361937">
        <w:rPr>
          <w:noProof/>
          <w:lang w:val="en-US"/>
        </w:rPr>
        <w:t>i</w:t>
      </w:r>
      <w:r w:rsidRPr="00361937">
        <w:rPr>
          <w:noProof/>
          <w:lang w:val="en-US"/>
        </w:rPr>
        <w:t xml:space="preserve">nfected Nigerian </w:t>
      </w:r>
      <w:r w:rsidR="000A3069" w:rsidRPr="00361937">
        <w:rPr>
          <w:noProof/>
          <w:lang w:val="en-US"/>
        </w:rPr>
        <w:t>a</w:t>
      </w:r>
      <w:r w:rsidRPr="00361937">
        <w:rPr>
          <w:noProof/>
          <w:lang w:val="en-US"/>
        </w:rPr>
        <w:t>dults. AIDS Res. Treat. Hindawi</w:t>
      </w:r>
      <w:r w:rsidR="003B132E" w:rsidRPr="00361937">
        <w:rPr>
          <w:noProof/>
          <w:lang w:val="en-US"/>
        </w:rPr>
        <w:t>.</w:t>
      </w:r>
      <w:r w:rsidRPr="00361937">
        <w:rPr>
          <w:noProof/>
          <w:lang w:val="en-US"/>
        </w:rPr>
        <w:t xml:space="preserve"> 2012;2012:703604. </w:t>
      </w:r>
    </w:p>
    <w:p w:rsidR="004603C9" w:rsidRPr="00361937" w:rsidRDefault="004603C9" w:rsidP="00A95E29">
      <w:pPr>
        <w:widowControl w:val="0"/>
        <w:autoSpaceDE w:val="0"/>
        <w:autoSpaceDN w:val="0"/>
        <w:adjustRightInd w:val="0"/>
        <w:spacing w:line="480" w:lineRule="auto"/>
        <w:rPr>
          <w:noProof/>
          <w:lang w:val="en-US"/>
        </w:rPr>
      </w:pPr>
      <w:r w:rsidRPr="00361937">
        <w:rPr>
          <w:noProof/>
          <w:lang w:val="en-US"/>
        </w:rPr>
        <w:t xml:space="preserve">37. Scarsi KK, Fehintola FA, Ma Q, Aweeka FT, Darin KM, Morse GD, et al. Disposition of amodiaquine and desethylamodiaquine in HIV-infected Nigerian subjects on nevirapine-containing antiretroviral therapy. J. Antimicrob. Chemother. 2014;69:1370–6. </w:t>
      </w:r>
    </w:p>
    <w:p w:rsidR="004603C9" w:rsidRPr="00361937" w:rsidRDefault="004603C9" w:rsidP="00A95E29">
      <w:pPr>
        <w:widowControl w:val="0"/>
        <w:autoSpaceDE w:val="0"/>
        <w:autoSpaceDN w:val="0"/>
        <w:adjustRightInd w:val="0"/>
        <w:spacing w:line="480" w:lineRule="auto"/>
        <w:rPr>
          <w:noProof/>
          <w:lang w:val="en-US"/>
        </w:rPr>
      </w:pPr>
      <w:r w:rsidRPr="00361937">
        <w:rPr>
          <w:noProof/>
          <w:lang w:val="en-US"/>
        </w:rPr>
        <w:t>38. Maganda BA, Minzi OMS, Kamuhabwa AAR, Ngasala B, Sasi PG. Outcome of artemether-lumefantrine treatment for uncomplicated malaria in HIV-infected adult patients on anti-retroviral therapy. Malar. J.</w:t>
      </w:r>
      <w:r w:rsidR="003B132E" w:rsidRPr="00361937">
        <w:rPr>
          <w:noProof/>
          <w:lang w:val="en-US"/>
        </w:rPr>
        <w:t xml:space="preserve"> </w:t>
      </w:r>
      <w:r w:rsidRPr="00361937">
        <w:rPr>
          <w:noProof/>
          <w:lang w:val="en-US"/>
        </w:rPr>
        <w:t xml:space="preserve">2014;13:205. </w:t>
      </w:r>
    </w:p>
    <w:p w:rsidR="004603C9" w:rsidRPr="00361937" w:rsidRDefault="004603C9" w:rsidP="00A95E29">
      <w:pPr>
        <w:widowControl w:val="0"/>
        <w:autoSpaceDE w:val="0"/>
        <w:autoSpaceDN w:val="0"/>
        <w:adjustRightInd w:val="0"/>
        <w:spacing w:line="480" w:lineRule="auto"/>
        <w:rPr>
          <w:noProof/>
          <w:lang w:val="en-US"/>
        </w:rPr>
      </w:pPr>
      <w:r w:rsidRPr="00361937">
        <w:rPr>
          <w:noProof/>
          <w:lang w:val="en-US"/>
        </w:rPr>
        <w:t xml:space="preserve">39. White N. The parasite clearance curve. Malar. J. 2011;10:278. </w:t>
      </w:r>
    </w:p>
    <w:p w:rsidR="004603C9" w:rsidRPr="00361937" w:rsidRDefault="004603C9" w:rsidP="00A95E29">
      <w:pPr>
        <w:widowControl w:val="0"/>
        <w:autoSpaceDE w:val="0"/>
        <w:autoSpaceDN w:val="0"/>
        <w:adjustRightInd w:val="0"/>
        <w:spacing w:line="480" w:lineRule="auto"/>
        <w:rPr>
          <w:noProof/>
          <w:lang w:val="en-US"/>
        </w:rPr>
      </w:pPr>
      <w:r w:rsidRPr="00361937">
        <w:rPr>
          <w:noProof/>
          <w:lang w:val="en-US"/>
        </w:rPr>
        <w:t>40. WWARN Parasite Clearance Study Group WPCS, Abdulla S, Ashley EA, Bassat Q, Bethell D, Björkman A, et al. Baseline data of parasite clearance in patients with falciparum malaria treated with an artemisinin derivative: an individual patient data meta-analysis. Malar. J.</w:t>
      </w:r>
      <w:r w:rsidR="003B132E" w:rsidRPr="00361937">
        <w:rPr>
          <w:noProof/>
          <w:lang w:val="en-US"/>
        </w:rPr>
        <w:t xml:space="preserve"> </w:t>
      </w:r>
      <w:r w:rsidRPr="00361937">
        <w:rPr>
          <w:noProof/>
          <w:lang w:val="en-US"/>
        </w:rPr>
        <w:t xml:space="preserve">2015;14:359. </w:t>
      </w:r>
    </w:p>
    <w:p w:rsidR="004603C9" w:rsidRPr="00361937" w:rsidRDefault="004603C9" w:rsidP="00A95E29">
      <w:pPr>
        <w:widowControl w:val="0"/>
        <w:autoSpaceDE w:val="0"/>
        <w:autoSpaceDN w:val="0"/>
        <w:adjustRightInd w:val="0"/>
        <w:spacing w:line="480" w:lineRule="auto"/>
        <w:rPr>
          <w:noProof/>
          <w:lang w:val="en-US"/>
        </w:rPr>
      </w:pPr>
      <w:r w:rsidRPr="00361937">
        <w:rPr>
          <w:noProof/>
          <w:lang w:val="en-US"/>
        </w:rPr>
        <w:t xml:space="preserve">41. White NJ, Stepniewska K, Barnes K, Price RN, Simpson J. Simplified antimalarial therapeutic monitoring: using the day-7 drug level? Trends Parasitol. 2008;24:159–63. </w:t>
      </w:r>
    </w:p>
    <w:p w:rsidR="004603C9" w:rsidRPr="00361937" w:rsidRDefault="004603C9" w:rsidP="00A95E29">
      <w:pPr>
        <w:widowControl w:val="0"/>
        <w:autoSpaceDE w:val="0"/>
        <w:autoSpaceDN w:val="0"/>
        <w:adjustRightInd w:val="0"/>
        <w:spacing w:line="480" w:lineRule="auto"/>
        <w:rPr>
          <w:noProof/>
          <w:lang w:val="en-US"/>
        </w:rPr>
      </w:pPr>
      <w:r w:rsidRPr="00361937">
        <w:rPr>
          <w:noProof/>
          <w:lang w:val="en-US"/>
        </w:rPr>
        <w:t xml:space="preserve">42. WWARN K13 Genotype-Phenotype Study Group WKG-PS. Association of mutations in the Plasmodium falciparum Kelch13 gene (Pf3D7_1343700) with parasite clearance rates after artemisinin-based treatments—a WWARN individual patient data meta-analysis. BMC Med. 2019;17:1. </w:t>
      </w:r>
    </w:p>
    <w:p w:rsidR="004603C9" w:rsidRPr="00361937" w:rsidRDefault="004603C9" w:rsidP="00A95E29">
      <w:pPr>
        <w:widowControl w:val="0"/>
        <w:autoSpaceDE w:val="0"/>
        <w:autoSpaceDN w:val="0"/>
        <w:adjustRightInd w:val="0"/>
        <w:spacing w:line="480" w:lineRule="auto"/>
        <w:rPr>
          <w:noProof/>
          <w:lang w:val="en-US"/>
        </w:rPr>
      </w:pPr>
      <w:r w:rsidRPr="00361937">
        <w:rPr>
          <w:noProof/>
          <w:lang w:val="en-US"/>
        </w:rPr>
        <w:lastRenderedPageBreak/>
        <w:t xml:space="preserve">43. Mytton OT, Ashley EA, Peto L, Price RN, La Y, Hae R, et al. Electrocardiographic safety evaluation of dihydroartemisinin piperaquine in the treatment of uncomplicated falciparum malaria. Am. J. Trop. Med. Hyg. 2007;77:447–50. </w:t>
      </w:r>
    </w:p>
    <w:p w:rsidR="004603C9" w:rsidRPr="00361937" w:rsidRDefault="004603C9" w:rsidP="00A95E29">
      <w:pPr>
        <w:widowControl w:val="0"/>
        <w:autoSpaceDE w:val="0"/>
        <w:autoSpaceDN w:val="0"/>
        <w:adjustRightInd w:val="0"/>
        <w:spacing w:line="480" w:lineRule="auto"/>
        <w:rPr>
          <w:noProof/>
          <w:lang w:val="en-US"/>
        </w:rPr>
      </w:pPr>
      <w:r w:rsidRPr="00361937">
        <w:rPr>
          <w:noProof/>
          <w:lang w:val="en-US"/>
        </w:rPr>
        <w:t xml:space="preserve">44. Price RN, Nosten F, White NJ. Prolongation of the QTc interval in African children treated for falciparum malaria. Am. J. Trop. Med. Hyg. 1998;59:503. </w:t>
      </w:r>
    </w:p>
    <w:p w:rsidR="004603C9" w:rsidRPr="00361937" w:rsidRDefault="004603C9" w:rsidP="00A95E29">
      <w:pPr>
        <w:widowControl w:val="0"/>
        <w:autoSpaceDE w:val="0"/>
        <w:autoSpaceDN w:val="0"/>
        <w:adjustRightInd w:val="0"/>
        <w:spacing w:line="480" w:lineRule="auto"/>
        <w:rPr>
          <w:noProof/>
          <w:lang w:val="en-US"/>
        </w:rPr>
      </w:pPr>
      <w:r w:rsidRPr="00361937">
        <w:rPr>
          <w:noProof/>
          <w:lang w:val="en-US"/>
        </w:rPr>
        <w:t xml:space="preserve">45. WHO Evidence Review Group. The cardiotoxicity of antimalarials. http://www.who.int/malaria/mpac/mpac-mar2017-erg-cardiotoxicity-report-session2.pdf. 2017. </w:t>
      </w:r>
    </w:p>
    <w:p w:rsidR="004603C9" w:rsidRPr="00361937" w:rsidRDefault="004603C9" w:rsidP="00A95E29">
      <w:pPr>
        <w:widowControl w:val="0"/>
        <w:autoSpaceDE w:val="0"/>
        <w:autoSpaceDN w:val="0"/>
        <w:adjustRightInd w:val="0"/>
        <w:spacing w:line="480" w:lineRule="auto"/>
        <w:rPr>
          <w:noProof/>
          <w:lang w:val="en-US"/>
        </w:rPr>
      </w:pPr>
      <w:r w:rsidRPr="00361937">
        <w:rPr>
          <w:noProof/>
          <w:lang w:val="en-US"/>
        </w:rPr>
        <w:t xml:space="preserve">46. Manyando C, Njunju EM, D’Alessandro U, Van geertruyden J-P. Safety and </w:t>
      </w:r>
      <w:r w:rsidR="003B132E" w:rsidRPr="00361937">
        <w:rPr>
          <w:noProof/>
          <w:lang w:val="en-US"/>
        </w:rPr>
        <w:t>e</w:t>
      </w:r>
      <w:r w:rsidRPr="00361937">
        <w:rPr>
          <w:noProof/>
          <w:lang w:val="en-US"/>
        </w:rPr>
        <w:t xml:space="preserve">fficacy of </w:t>
      </w:r>
      <w:r w:rsidR="003B132E" w:rsidRPr="00361937">
        <w:rPr>
          <w:noProof/>
          <w:lang w:val="en-US"/>
        </w:rPr>
        <w:t>c</w:t>
      </w:r>
      <w:r w:rsidRPr="00361937">
        <w:rPr>
          <w:noProof/>
          <w:lang w:val="en-US"/>
        </w:rPr>
        <w:t>o-</w:t>
      </w:r>
      <w:r w:rsidR="003B132E" w:rsidRPr="00361937">
        <w:rPr>
          <w:noProof/>
          <w:lang w:val="en-US"/>
        </w:rPr>
        <w:t>t</w:t>
      </w:r>
      <w:r w:rsidRPr="00361937">
        <w:rPr>
          <w:noProof/>
          <w:lang w:val="en-US"/>
        </w:rPr>
        <w:t xml:space="preserve">rimoxazole for </w:t>
      </w:r>
      <w:r w:rsidR="003B132E" w:rsidRPr="00361937">
        <w:rPr>
          <w:noProof/>
          <w:lang w:val="en-US"/>
        </w:rPr>
        <w:t>t</w:t>
      </w:r>
      <w:r w:rsidRPr="00361937">
        <w:rPr>
          <w:noProof/>
          <w:lang w:val="en-US"/>
        </w:rPr>
        <w:t xml:space="preserve">reatment and </w:t>
      </w:r>
      <w:r w:rsidR="003B132E" w:rsidRPr="00361937">
        <w:rPr>
          <w:noProof/>
          <w:lang w:val="en-US"/>
        </w:rPr>
        <w:t>p</w:t>
      </w:r>
      <w:r w:rsidRPr="00361937">
        <w:rPr>
          <w:noProof/>
          <w:lang w:val="en-US"/>
        </w:rPr>
        <w:t xml:space="preserve">revention of Plasmodium falciparum </w:t>
      </w:r>
      <w:r w:rsidR="003B132E" w:rsidRPr="00361937">
        <w:rPr>
          <w:noProof/>
          <w:lang w:val="en-US"/>
        </w:rPr>
        <w:t>m</w:t>
      </w:r>
      <w:r w:rsidRPr="00361937">
        <w:rPr>
          <w:noProof/>
          <w:lang w:val="en-US"/>
        </w:rPr>
        <w:t xml:space="preserve">alaria: A </w:t>
      </w:r>
      <w:r w:rsidR="003B132E" w:rsidRPr="00361937">
        <w:rPr>
          <w:noProof/>
          <w:lang w:val="en-US"/>
        </w:rPr>
        <w:t>s</w:t>
      </w:r>
      <w:r w:rsidRPr="00361937">
        <w:rPr>
          <w:noProof/>
          <w:lang w:val="en-US"/>
        </w:rPr>
        <w:t xml:space="preserve">ystematic </w:t>
      </w:r>
      <w:r w:rsidR="003B132E" w:rsidRPr="00361937">
        <w:rPr>
          <w:noProof/>
          <w:lang w:val="en-US"/>
        </w:rPr>
        <w:t>r</w:t>
      </w:r>
      <w:r w:rsidRPr="00361937">
        <w:rPr>
          <w:noProof/>
          <w:lang w:val="en-US"/>
        </w:rPr>
        <w:t xml:space="preserve">eview. PLoS One. 2013;8:e56916. </w:t>
      </w:r>
    </w:p>
    <w:p w:rsidR="004603C9" w:rsidRPr="00361937" w:rsidRDefault="004603C9" w:rsidP="00A95E29">
      <w:pPr>
        <w:widowControl w:val="0"/>
        <w:autoSpaceDE w:val="0"/>
        <w:autoSpaceDN w:val="0"/>
        <w:adjustRightInd w:val="0"/>
        <w:spacing w:line="480" w:lineRule="auto"/>
        <w:rPr>
          <w:noProof/>
        </w:rPr>
      </w:pPr>
      <w:r w:rsidRPr="00361937">
        <w:rPr>
          <w:noProof/>
          <w:lang w:val="en-US"/>
        </w:rPr>
        <w:t xml:space="preserve">47. Mbeye NM, ter Kuile FO, Davies M-A, Phiri KS, Egger M, Wandeler G, et al. Cotrimoxazole prophylactic treatment prevents malaria in children in sub-Saharan Africa: systematic review and meta-analysis. Trop. Med. Int. Heal. 2014;19:1057–67. </w:t>
      </w:r>
    </w:p>
    <w:p w:rsidR="00A5552E" w:rsidRPr="00361937" w:rsidRDefault="002E24CD" w:rsidP="00A95E29">
      <w:pPr>
        <w:widowControl w:val="0"/>
        <w:autoSpaceDE w:val="0"/>
        <w:autoSpaceDN w:val="0"/>
        <w:adjustRightInd w:val="0"/>
        <w:spacing w:line="480" w:lineRule="auto"/>
        <w:rPr>
          <w:b/>
        </w:rPr>
      </w:pPr>
      <w:r w:rsidRPr="00361937">
        <w:rPr>
          <w:b/>
        </w:rPr>
        <w:fldChar w:fldCharType="end"/>
      </w:r>
    </w:p>
    <w:p w:rsidR="00C010A5" w:rsidRPr="00361937" w:rsidRDefault="00C010A5" w:rsidP="00A95E29">
      <w:pPr>
        <w:widowControl w:val="0"/>
        <w:autoSpaceDE w:val="0"/>
        <w:autoSpaceDN w:val="0"/>
        <w:adjustRightInd w:val="0"/>
        <w:spacing w:line="480" w:lineRule="auto"/>
        <w:rPr>
          <w:b/>
        </w:rPr>
      </w:pPr>
    </w:p>
    <w:p w:rsidR="00A95E29" w:rsidRPr="00361937" w:rsidRDefault="00A95E29">
      <w:pPr>
        <w:rPr>
          <w:b/>
        </w:rPr>
      </w:pPr>
      <w:r w:rsidRPr="00361937">
        <w:rPr>
          <w:b/>
        </w:rPr>
        <w:br w:type="page"/>
      </w:r>
    </w:p>
    <w:p w:rsidR="00A95E29" w:rsidRPr="00361937" w:rsidRDefault="00A95E29" w:rsidP="00A95E29">
      <w:pPr>
        <w:spacing w:line="480" w:lineRule="auto"/>
        <w:outlineLvl w:val="0"/>
        <w:rPr>
          <w:b/>
          <w:lang w:eastAsia="en-GB"/>
        </w:rPr>
      </w:pPr>
      <w:r w:rsidRPr="00361937">
        <w:rPr>
          <w:b/>
          <w:lang w:eastAsia="en-GB"/>
        </w:rPr>
        <w:lastRenderedPageBreak/>
        <w:t>Figure legends</w:t>
      </w:r>
    </w:p>
    <w:p w:rsidR="00A95E29" w:rsidRPr="00361937" w:rsidRDefault="00A95E29" w:rsidP="00A95E29">
      <w:pPr>
        <w:spacing w:line="480" w:lineRule="auto"/>
        <w:outlineLvl w:val="0"/>
        <w:rPr>
          <w:b/>
          <w:lang w:eastAsia="en-GB"/>
        </w:rPr>
      </w:pPr>
    </w:p>
    <w:p w:rsidR="00A95E29" w:rsidRPr="00361937" w:rsidRDefault="00A95E29" w:rsidP="00A95E29">
      <w:pPr>
        <w:spacing w:line="480" w:lineRule="auto"/>
        <w:outlineLvl w:val="0"/>
        <w:rPr>
          <w:b/>
          <w:lang w:eastAsia="en-GB"/>
        </w:rPr>
      </w:pPr>
      <w:r w:rsidRPr="00361937">
        <w:rPr>
          <w:b/>
        </w:rPr>
        <w:t>Fig. 1 Trial profile and flow chart of participants</w:t>
      </w:r>
      <w:r w:rsidRPr="00361937">
        <w:t>. Trial profile and flow chart of participants enrolled into the efavirenz (EFV) and nevirapine (NVP) antiretroviral groups in Malawi and Mozambique  and receiving dihydroartemisinin-piperaquine (DPQ)</w:t>
      </w:r>
    </w:p>
    <w:p w:rsidR="00A95E29" w:rsidRPr="00361937" w:rsidRDefault="00A95E29" w:rsidP="00A95E29">
      <w:pPr>
        <w:spacing w:line="480" w:lineRule="auto"/>
        <w:outlineLvl w:val="0"/>
        <w:rPr>
          <w:b/>
          <w:lang w:eastAsia="en-GB"/>
        </w:rPr>
      </w:pPr>
    </w:p>
    <w:p w:rsidR="00A95E29" w:rsidRPr="00361937" w:rsidRDefault="00A95E29" w:rsidP="00A95E29">
      <w:pPr>
        <w:spacing w:line="480" w:lineRule="auto"/>
        <w:outlineLvl w:val="0"/>
      </w:pPr>
      <w:r w:rsidRPr="00361937">
        <w:rPr>
          <w:b/>
        </w:rPr>
        <w:t xml:space="preserve">Fig. 2  Parasite clearance half-life. </w:t>
      </w:r>
      <w:r w:rsidRPr="00361937">
        <w:t>Parasite clearance half-life in the intention-to-treat population stratified by antiretroviral therapy group (efavirenz (</w:t>
      </w:r>
      <w:r w:rsidRPr="00361937">
        <w:sym w:font="Symbol" w:char="F0E0"/>
      </w:r>
      <w:r w:rsidRPr="00361937">
        <w:t xml:space="preserve">) and nevirapine (o)). Red dotted middle line is the median parasite clearance rate, lower and upper red solid bars represent the interquartile range </w:t>
      </w:r>
    </w:p>
    <w:p w:rsidR="00DB4AEC" w:rsidRPr="00361937" w:rsidRDefault="00DB4AEC" w:rsidP="00A95E29">
      <w:pPr>
        <w:widowControl w:val="0"/>
        <w:autoSpaceDE w:val="0"/>
        <w:autoSpaceDN w:val="0"/>
        <w:adjustRightInd w:val="0"/>
        <w:spacing w:line="480" w:lineRule="auto"/>
        <w:rPr>
          <w:b/>
        </w:rPr>
      </w:pPr>
    </w:p>
    <w:p w:rsidR="008A7453" w:rsidRPr="00361937" w:rsidRDefault="00CA66EE" w:rsidP="00A95E29">
      <w:pPr>
        <w:widowControl w:val="0"/>
        <w:autoSpaceDE w:val="0"/>
        <w:autoSpaceDN w:val="0"/>
        <w:adjustRightInd w:val="0"/>
        <w:spacing w:line="480" w:lineRule="auto"/>
        <w:rPr>
          <w:b/>
        </w:rPr>
      </w:pPr>
      <w:r w:rsidRPr="00361937">
        <w:rPr>
          <w:b/>
        </w:rPr>
        <w:t xml:space="preserve">Additional files </w:t>
      </w:r>
    </w:p>
    <w:p w:rsidR="008A7453" w:rsidRPr="00361937" w:rsidRDefault="008A7453" w:rsidP="00A95E29">
      <w:pPr>
        <w:widowControl w:val="0"/>
        <w:autoSpaceDE w:val="0"/>
        <w:autoSpaceDN w:val="0"/>
        <w:adjustRightInd w:val="0"/>
        <w:spacing w:line="480" w:lineRule="auto"/>
        <w:rPr>
          <w:b/>
        </w:rPr>
      </w:pPr>
    </w:p>
    <w:p w:rsidR="008A7453" w:rsidRPr="00361937" w:rsidRDefault="008A7453" w:rsidP="00A95E29">
      <w:pPr>
        <w:widowControl w:val="0"/>
        <w:autoSpaceDE w:val="0"/>
        <w:autoSpaceDN w:val="0"/>
        <w:adjustRightInd w:val="0"/>
        <w:spacing w:line="480" w:lineRule="auto"/>
        <w:rPr>
          <w:b/>
        </w:rPr>
      </w:pPr>
      <w:r w:rsidRPr="00361937">
        <w:rPr>
          <w:b/>
        </w:rPr>
        <w:t>Additional file 1: Day 42 PCR-</w:t>
      </w:r>
      <w:r w:rsidR="001F505E" w:rsidRPr="00361937">
        <w:rPr>
          <w:b/>
        </w:rPr>
        <w:t>corrected</w:t>
      </w:r>
      <w:r w:rsidRPr="00361937">
        <w:rPr>
          <w:b/>
        </w:rPr>
        <w:t xml:space="preserve"> efficacy plot. </w:t>
      </w:r>
      <w:r w:rsidRPr="00361937">
        <w:t>Kaplan-Meier</w:t>
      </w:r>
      <w:r w:rsidRPr="00361937">
        <w:rPr>
          <w:b/>
        </w:rPr>
        <w:t xml:space="preserve"> </w:t>
      </w:r>
      <w:r w:rsidRPr="00361937">
        <w:t xml:space="preserve">survival plot of participants who were treated with dihydroartemisinin-piperaquine (DHA PPQ) in the efavirenz (EFV)- and nevirapine (NVP) based antiretroviral therapy (ART) groups according to polymerase chain reaction (PCR) </w:t>
      </w:r>
      <w:r w:rsidR="001F505E" w:rsidRPr="00361937">
        <w:t>corrected</w:t>
      </w:r>
      <w:r w:rsidRPr="00361937">
        <w:t xml:space="preserve"> adequate clinical and parasitological response (ACPR) by day 42 in the intention-to-treat population with loss to follow up and indeterminate or unavailable PCR samples treated as treatment success. </w:t>
      </w:r>
    </w:p>
    <w:p w:rsidR="00CA66EE" w:rsidRPr="00361937" w:rsidRDefault="00CA66EE" w:rsidP="00A95E29">
      <w:pPr>
        <w:widowControl w:val="0"/>
        <w:autoSpaceDE w:val="0"/>
        <w:autoSpaceDN w:val="0"/>
        <w:adjustRightInd w:val="0"/>
        <w:spacing w:line="480" w:lineRule="auto"/>
        <w:rPr>
          <w:b/>
        </w:rPr>
      </w:pPr>
    </w:p>
    <w:p w:rsidR="00CA66EE" w:rsidRPr="00361937" w:rsidRDefault="00CA66EE" w:rsidP="00A95E29">
      <w:pPr>
        <w:spacing w:line="480" w:lineRule="auto"/>
        <w:outlineLvl w:val="0"/>
        <w:rPr>
          <w:b/>
          <w:lang w:eastAsia="en-GB"/>
        </w:rPr>
      </w:pPr>
      <w:r w:rsidRPr="00361937">
        <w:rPr>
          <w:b/>
        </w:rPr>
        <w:t>Additional file 2: Day 42 PCR-un</w:t>
      </w:r>
      <w:r w:rsidR="001F505E" w:rsidRPr="00361937">
        <w:rPr>
          <w:b/>
        </w:rPr>
        <w:t>corrected</w:t>
      </w:r>
      <w:r w:rsidRPr="00361937">
        <w:rPr>
          <w:b/>
        </w:rPr>
        <w:t xml:space="preserve"> efficacy plot</w:t>
      </w:r>
      <w:r w:rsidRPr="00361937">
        <w:t>. Kaplan-Meier survival plot of participants who were treated with dihydroartemisinin-piperaquine (DHA PPQ) in the efavirenz (EFV)- and nevirapine (NVP) based antiretroviral therapy (ART) groups according to polymerase chain reaction (PCR) un</w:t>
      </w:r>
      <w:r w:rsidR="001F505E" w:rsidRPr="00361937">
        <w:t>corrected</w:t>
      </w:r>
      <w:r w:rsidRPr="00361937">
        <w:t xml:space="preserve"> adequate clinical and </w:t>
      </w:r>
      <w:r w:rsidRPr="00361937">
        <w:lastRenderedPageBreak/>
        <w:t>parasitological response (ACPR) by day 42 in the intention-to-treat population with loss to follow up and indeterminate or unavailable PCR samples treated as treatment success.</w:t>
      </w:r>
    </w:p>
    <w:p w:rsidR="00EE0CB9" w:rsidRPr="00361937" w:rsidRDefault="00EE0CB9" w:rsidP="00A95E29">
      <w:pPr>
        <w:widowControl w:val="0"/>
        <w:autoSpaceDE w:val="0"/>
        <w:autoSpaceDN w:val="0"/>
        <w:adjustRightInd w:val="0"/>
        <w:spacing w:line="480" w:lineRule="auto"/>
      </w:pPr>
    </w:p>
    <w:p w:rsidR="00EE0CB9" w:rsidRPr="00361937" w:rsidRDefault="007D6EB2" w:rsidP="00A95E29">
      <w:pPr>
        <w:widowControl w:val="0"/>
        <w:autoSpaceDE w:val="0"/>
        <w:autoSpaceDN w:val="0"/>
        <w:adjustRightInd w:val="0"/>
        <w:spacing w:line="480" w:lineRule="auto"/>
        <w:sectPr w:rsidR="00EE0CB9" w:rsidRPr="00361937" w:rsidSect="00A95E29">
          <w:footerReference w:type="even" r:id="rId12"/>
          <w:footerReference w:type="default" r:id="rId13"/>
          <w:pgSz w:w="12240" w:h="15840"/>
          <w:pgMar w:top="1174" w:right="1797" w:bottom="1440" w:left="1797" w:header="720" w:footer="720" w:gutter="0"/>
          <w:pgNumType w:start="1"/>
          <w:cols w:space="720"/>
          <w:docGrid w:linePitch="360"/>
        </w:sectPr>
      </w:pPr>
      <w:r w:rsidRPr="00361937">
        <w:rPr>
          <w:b/>
        </w:rPr>
        <w:t>Additional file 3</w:t>
      </w:r>
      <w:r w:rsidRPr="00361937">
        <w:t>: Details of serious adverse events that occurred during follow up</w:t>
      </w:r>
    </w:p>
    <w:p w:rsidR="00BD2F06" w:rsidRPr="00361937" w:rsidRDefault="00812203" w:rsidP="00A95E29">
      <w:pPr>
        <w:suppressLineNumbers/>
        <w:spacing w:line="480" w:lineRule="auto"/>
        <w:rPr>
          <w:b/>
        </w:rPr>
      </w:pPr>
      <w:r w:rsidRPr="00361937">
        <w:rPr>
          <w:b/>
        </w:rPr>
        <w:lastRenderedPageBreak/>
        <w:t xml:space="preserve">Tables </w:t>
      </w:r>
    </w:p>
    <w:p w:rsidR="008576FF" w:rsidRPr="00361937" w:rsidRDefault="008576FF" w:rsidP="00A95E29">
      <w:pPr>
        <w:suppressLineNumbers/>
        <w:spacing w:line="480" w:lineRule="auto"/>
        <w:rPr>
          <w:b/>
        </w:rPr>
      </w:pPr>
    </w:p>
    <w:p w:rsidR="00CA66EE" w:rsidRPr="00361937" w:rsidRDefault="00BD2F06" w:rsidP="00A95E29">
      <w:pPr>
        <w:suppressLineNumbers/>
        <w:spacing w:line="480" w:lineRule="auto"/>
        <w:ind w:left="-567"/>
        <w:rPr>
          <w:b/>
        </w:rPr>
      </w:pPr>
      <w:r w:rsidRPr="00361937">
        <w:rPr>
          <w:b/>
          <w:bCs/>
          <w:color w:val="000000"/>
          <w:szCs w:val="20"/>
        </w:rPr>
        <w:t>Table 1: Baseline characteristics of enrolled participants in Malawi and Mozambique, stratified by group of antiretroviral therapy</w:t>
      </w:r>
    </w:p>
    <w:tbl>
      <w:tblPr>
        <w:tblW w:w="9212" w:type="dxa"/>
        <w:tblInd w:w="-707" w:type="dxa"/>
        <w:tblLook w:val="04A0" w:firstRow="1" w:lastRow="0" w:firstColumn="1" w:lastColumn="0" w:noHBand="0" w:noVBand="1"/>
      </w:tblPr>
      <w:tblGrid>
        <w:gridCol w:w="5520"/>
        <w:gridCol w:w="1850"/>
        <w:gridCol w:w="1842"/>
      </w:tblGrid>
      <w:tr w:rsidR="00BD2F06" w:rsidRPr="00361937" w:rsidTr="00E5273B">
        <w:trPr>
          <w:trHeight w:val="500"/>
        </w:trPr>
        <w:tc>
          <w:tcPr>
            <w:tcW w:w="5520" w:type="dxa"/>
            <w:tcBorders>
              <w:top w:val="single" w:sz="4" w:space="0" w:color="auto"/>
              <w:left w:val="nil"/>
              <w:bottom w:val="single" w:sz="8" w:space="0" w:color="auto"/>
              <w:right w:val="nil"/>
            </w:tcBorders>
            <w:shd w:val="clear" w:color="auto" w:fill="auto"/>
            <w:noWrap/>
          </w:tcPr>
          <w:p w:rsidR="00BD2F06" w:rsidRPr="00361937" w:rsidRDefault="00BD2F06" w:rsidP="00A95E29">
            <w:pPr>
              <w:spacing w:line="480" w:lineRule="auto"/>
              <w:rPr>
                <w:b/>
                <w:bCs/>
                <w:color w:val="000000"/>
                <w:szCs w:val="18"/>
              </w:rPr>
            </w:pPr>
            <w:r w:rsidRPr="00361937">
              <w:rPr>
                <w:b/>
                <w:bCs/>
                <w:color w:val="000000"/>
                <w:szCs w:val="18"/>
              </w:rPr>
              <w:t xml:space="preserve">Variable </w:t>
            </w:r>
          </w:p>
        </w:tc>
        <w:tc>
          <w:tcPr>
            <w:tcW w:w="1850" w:type="dxa"/>
            <w:tcBorders>
              <w:top w:val="single" w:sz="4" w:space="0" w:color="auto"/>
              <w:left w:val="nil"/>
              <w:bottom w:val="single" w:sz="8" w:space="0" w:color="auto"/>
              <w:right w:val="nil"/>
            </w:tcBorders>
            <w:shd w:val="clear" w:color="auto" w:fill="auto"/>
          </w:tcPr>
          <w:p w:rsidR="00BD2F06" w:rsidRPr="00361937" w:rsidRDefault="00BD2F06" w:rsidP="00A95E29">
            <w:pPr>
              <w:spacing w:line="480" w:lineRule="auto"/>
              <w:rPr>
                <w:b/>
                <w:bCs/>
                <w:color w:val="000000"/>
                <w:szCs w:val="18"/>
              </w:rPr>
            </w:pPr>
            <w:r w:rsidRPr="00361937">
              <w:rPr>
                <w:b/>
                <w:bCs/>
                <w:color w:val="000000"/>
                <w:szCs w:val="18"/>
              </w:rPr>
              <w:t>Efavirenz group</w:t>
            </w:r>
            <w:r w:rsidRPr="00361937">
              <w:rPr>
                <w:b/>
                <w:bCs/>
                <w:color w:val="000000"/>
                <w:szCs w:val="18"/>
              </w:rPr>
              <w:br/>
              <w:t xml:space="preserve">(N=160) </w:t>
            </w:r>
          </w:p>
        </w:tc>
        <w:tc>
          <w:tcPr>
            <w:tcW w:w="1842" w:type="dxa"/>
            <w:tcBorders>
              <w:top w:val="single" w:sz="4" w:space="0" w:color="auto"/>
              <w:left w:val="nil"/>
              <w:bottom w:val="single" w:sz="8" w:space="0" w:color="auto"/>
              <w:right w:val="nil"/>
            </w:tcBorders>
            <w:shd w:val="clear" w:color="auto" w:fill="auto"/>
          </w:tcPr>
          <w:p w:rsidR="00BD2F06" w:rsidRPr="00361937" w:rsidRDefault="00BD2F06" w:rsidP="00A95E29">
            <w:pPr>
              <w:spacing w:line="480" w:lineRule="auto"/>
              <w:rPr>
                <w:b/>
                <w:bCs/>
                <w:color w:val="000000"/>
                <w:szCs w:val="18"/>
              </w:rPr>
            </w:pPr>
            <w:r w:rsidRPr="00361937">
              <w:rPr>
                <w:b/>
                <w:bCs/>
                <w:color w:val="000000"/>
                <w:szCs w:val="18"/>
              </w:rPr>
              <w:t>Nevirapine group</w:t>
            </w:r>
            <w:r w:rsidRPr="00361937">
              <w:rPr>
                <w:b/>
                <w:bCs/>
                <w:color w:val="000000"/>
                <w:szCs w:val="18"/>
              </w:rPr>
              <w:br/>
              <w:t>(N=61)</w:t>
            </w:r>
          </w:p>
        </w:tc>
      </w:tr>
      <w:tr w:rsidR="00BD2F06" w:rsidRPr="00361937" w:rsidTr="00E5273B">
        <w:trPr>
          <w:trHeight w:val="320"/>
        </w:trPr>
        <w:tc>
          <w:tcPr>
            <w:tcW w:w="5520" w:type="dxa"/>
            <w:tcBorders>
              <w:top w:val="single" w:sz="4" w:space="0" w:color="auto"/>
              <w:left w:val="nil"/>
              <w:bottom w:val="single" w:sz="4" w:space="0" w:color="auto"/>
              <w:right w:val="nil"/>
            </w:tcBorders>
            <w:shd w:val="clear" w:color="auto" w:fill="auto"/>
            <w:noWrap/>
            <w:vAlign w:val="bottom"/>
          </w:tcPr>
          <w:p w:rsidR="00BD2F06" w:rsidRPr="00361937" w:rsidRDefault="00BD2F06" w:rsidP="00A95E29">
            <w:pPr>
              <w:spacing w:line="480" w:lineRule="auto"/>
              <w:rPr>
                <w:color w:val="000000"/>
                <w:szCs w:val="18"/>
              </w:rPr>
            </w:pPr>
            <w:r w:rsidRPr="00361937">
              <w:rPr>
                <w:color w:val="000000"/>
                <w:szCs w:val="18"/>
              </w:rPr>
              <w:t>Age in years, median (IQR)</w:t>
            </w:r>
          </w:p>
        </w:tc>
        <w:tc>
          <w:tcPr>
            <w:tcW w:w="1850" w:type="dxa"/>
            <w:tcBorders>
              <w:top w:val="single" w:sz="4" w:space="0" w:color="auto"/>
              <w:left w:val="nil"/>
              <w:bottom w:val="single" w:sz="4" w:space="0" w:color="auto"/>
              <w:right w:val="nil"/>
            </w:tcBorders>
            <w:shd w:val="clear" w:color="auto" w:fill="auto"/>
            <w:noWrap/>
            <w:vAlign w:val="bottom"/>
          </w:tcPr>
          <w:p w:rsidR="00BD2F06" w:rsidRPr="00361937" w:rsidRDefault="00BD2F06" w:rsidP="00A95E29">
            <w:pPr>
              <w:spacing w:line="480" w:lineRule="auto"/>
              <w:rPr>
                <w:color w:val="000000"/>
                <w:szCs w:val="18"/>
              </w:rPr>
            </w:pPr>
            <w:r w:rsidRPr="00361937">
              <w:rPr>
                <w:color w:val="000000"/>
                <w:szCs w:val="18"/>
              </w:rPr>
              <w:t>38.6 (32.3- 44.7)</w:t>
            </w:r>
          </w:p>
        </w:tc>
        <w:tc>
          <w:tcPr>
            <w:tcW w:w="1842" w:type="dxa"/>
            <w:tcBorders>
              <w:top w:val="single" w:sz="4" w:space="0" w:color="auto"/>
              <w:left w:val="nil"/>
              <w:bottom w:val="single" w:sz="4" w:space="0" w:color="auto"/>
              <w:right w:val="nil"/>
            </w:tcBorders>
            <w:shd w:val="clear" w:color="auto" w:fill="auto"/>
            <w:noWrap/>
            <w:vAlign w:val="bottom"/>
          </w:tcPr>
          <w:p w:rsidR="00BD2F06" w:rsidRPr="00361937" w:rsidRDefault="00BD2F06" w:rsidP="00A95E29">
            <w:pPr>
              <w:spacing w:line="480" w:lineRule="auto"/>
              <w:rPr>
                <w:color w:val="000000"/>
                <w:szCs w:val="18"/>
              </w:rPr>
            </w:pPr>
            <w:r w:rsidRPr="00361937">
              <w:rPr>
                <w:color w:val="000000"/>
                <w:szCs w:val="18"/>
              </w:rPr>
              <w:t>47.0 (37.9- 51.8)</w:t>
            </w:r>
          </w:p>
        </w:tc>
      </w:tr>
      <w:tr w:rsidR="00BD2F06" w:rsidRPr="00361937" w:rsidTr="00E5273B">
        <w:trPr>
          <w:trHeight w:val="320"/>
        </w:trPr>
        <w:tc>
          <w:tcPr>
            <w:tcW w:w="5520" w:type="dxa"/>
            <w:tcBorders>
              <w:top w:val="nil"/>
              <w:left w:val="nil"/>
              <w:bottom w:val="single" w:sz="4" w:space="0" w:color="auto"/>
              <w:right w:val="nil"/>
            </w:tcBorders>
            <w:shd w:val="clear" w:color="auto" w:fill="auto"/>
            <w:noWrap/>
            <w:vAlign w:val="bottom"/>
          </w:tcPr>
          <w:p w:rsidR="00BD2F06" w:rsidRPr="00361937" w:rsidRDefault="00BD2F06" w:rsidP="00A95E29">
            <w:pPr>
              <w:spacing w:line="480" w:lineRule="auto"/>
              <w:rPr>
                <w:color w:val="000000"/>
                <w:szCs w:val="18"/>
              </w:rPr>
            </w:pPr>
            <w:r w:rsidRPr="00361937">
              <w:rPr>
                <w:color w:val="000000"/>
                <w:szCs w:val="18"/>
              </w:rPr>
              <w:t>Female, %</w:t>
            </w:r>
          </w:p>
        </w:tc>
        <w:tc>
          <w:tcPr>
            <w:tcW w:w="1850" w:type="dxa"/>
            <w:tcBorders>
              <w:top w:val="nil"/>
              <w:left w:val="nil"/>
              <w:bottom w:val="single" w:sz="4" w:space="0" w:color="auto"/>
              <w:right w:val="nil"/>
            </w:tcBorders>
            <w:shd w:val="clear" w:color="auto" w:fill="auto"/>
            <w:noWrap/>
            <w:vAlign w:val="bottom"/>
          </w:tcPr>
          <w:p w:rsidR="00BD2F06" w:rsidRPr="00361937" w:rsidRDefault="00BD2F06" w:rsidP="00A95E29">
            <w:pPr>
              <w:spacing w:line="480" w:lineRule="auto"/>
              <w:rPr>
                <w:color w:val="000000"/>
                <w:szCs w:val="18"/>
              </w:rPr>
            </w:pPr>
            <w:r w:rsidRPr="00361937">
              <w:rPr>
                <w:color w:val="000000"/>
                <w:szCs w:val="18"/>
              </w:rPr>
              <w:t>107 (66.9)</w:t>
            </w:r>
          </w:p>
        </w:tc>
        <w:tc>
          <w:tcPr>
            <w:tcW w:w="1842" w:type="dxa"/>
            <w:tcBorders>
              <w:top w:val="nil"/>
              <w:left w:val="nil"/>
              <w:bottom w:val="single" w:sz="4" w:space="0" w:color="auto"/>
              <w:right w:val="nil"/>
            </w:tcBorders>
            <w:shd w:val="clear" w:color="auto" w:fill="auto"/>
            <w:noWrap/>
            <w:vAlign w:val="bottom"/>
          </w:tcPr>
          <w:p w:rsidR="00BD2F06" w:rsidRPr="00361937" w:rsidRDefault="00BD2F06" w:rsidP="00A95E29">
            <w:pPr>
              <w:spacing w:line="480" w:lineRule="auto"/>
              <w:rPr>
                <w:color w:val="000000"/>
                <w:szCs w:val="18"/>
              </w:rPr>
            </w:pPr>
            <w:r w:rsidRPr="00361937">
              <w:rPr>
                <w:color w:val="000000"/>
                <w:szCs w:val="18"/>
              </w:rPr>
              <w:t>46 (75.4)</w:t>
            </w:r>
          </w:p>
        </w:tc>
      </w:tr>
      <w:tr w:rsidR="00BD2F06" w:rsidRPr="00361937" w:rsidTr="00E5273B">
        <w:trPr>
          <w:trHeight w:val="320"/>
        </w:trPr>
        <w:tc>
          <w:tcPr>
            <w:tcW w:w="5520" w:type="dxa"/>
            <w:tcBorders>
              <w:top w:val="nil"/>
              <w:left w:val="nil"/>
              <w:bottom w:val="nil"/>
              <w:right w:val="nil"/>
            </w:tcBorders>
            <w:shd w:val="clear" w:color="auto" w:fill="auto"/>
            <w:noWrap/>
            <w:vAlign w:val="bottom"/>
          </w:tcPr>
          <w:p w:rsidR="00BD2F06" w:rsidRPr="00361937" w:rsidRDefault="00BD2F06" w:rsidP="00A95E29">
            <w:pPr>
              <w:spacing w:line="480" w:lineRule="auto"/>
              <w:rPr>
                <w:color w:val="000000"/>
                <w:szCs w:val="18"/>
              </w:rPr>
            </w:pPr>
            <w:r w:rsidRPr="00361937">
              <w:rPr>
                <w:color w:val="000000"/>
                <w:szCs w:val="18"/>
              </w:rPr>
              <w:t>Body Mass Index , Kg/m2, median (IQR)</w:t>
            </w:r>
          </w:p>
        </w:tc>
        <w:tc>
          <w:tcPr>
            <w:tcW w:w="1850" w:type="dxa"/>
            <w:tcBorders>
              <w:top w:val="nil"/>
              <w:left w:val="nil"/>
              <w:bottom w:val="nil"/>
              <w:right w:val="nil"/>
            </w:tcBorders>
            <w:shd w:val="clear" w:color="auto" w:fill="auto"/>
            <w:noWrap/>
            <w:vAlign w:val="center"/>
          </w:tcPr>
          <w:p w:rsidR="00BD2F06" w:rsidRPr="00361937" w:rsidRDefault="00BD2F06" w:rsidP="00A95E29">
            <w:pPr>
              <w:spacing w:line="480" w:lineRule="auto"/>
              <w:rPr>
                <w:color w:val="000000"/>
                <w:szCs w:val="18"/>
              </w:rPr>
            </w:pPr>
            <w:r w:rsidRPr="00361937">
              <w:rPr>
                <w:color w:val="000000"/>
                <w:szCs w:val="18"/>
              </w:rPr>
              <w:t>20.8 (19.3-22.7)</w:t>
            </w:r>
          </w:p>
        </w:tc>
        <w:tc>
          <w:tcPr>
            <w:tcW w:w="1842" w:type="dxa"/>
            <w:tcBorders>
              <w:top w:val="nil"/>
              <w:left w:val="nil"/>
              <w:bottom w:val="nil"/>
              <w:right w:val="nil"/>
            </w:tcBorders>
            <w:shd w:val="clear" w:color="auto" w:fill="auto"/>
            <w:noWrap/>
            <w:vAlign w:val="center"/>
          </w:tcPr>
          <w:p w:rsidR="00BD2F06" w:rsidRPr="00361937" w:rsidRDefault="00BD2F06" w:rsidP="00A95E29">
            <w:pPr>
              <w:spacing w:line="480" w:lineRule="auto"/>
              <w:rPr>
                <w:color w:val="000000"/>
                <w:szCs w:val="18"/>
              </w:rPr>
            </w:pPr>
            <w:r w:rsidRPr="00361937">
              <w:rPr>
                <w:color w:val="000000"/>
                <w:szCs w:val="18"/>
              </w:rPr>
              <w:t>21.1 (18.5-23.9)</w:t>
            </w:r>
          </w:p>
        </w:tc>
      </w:tr>
      <w:tr w:rsidR="00BD2F06" w:rsidRPr="00361937" w:rsidTr="00E5273B">
        <w:trPr>
          <w:trHeight w:val="320"/>
        </w:trPr>
        <w:tc>
          <w:tcPr>
            <w:tcW w:w="5520" w:type="dxa"/>
            <w:tcBorders>
              <w:top w:val="nil"/>
              <w:left w:val="nil"/>
              <w:bottom w:val="nil"/>
              <w:right w:val="nil"/>
            </w:tcBorders>
            <w:shd w:val="clear" w:color="auto" w:fill="auto"/>
            <w:noWrap/>
            <w:vAlign w:val="center"/>
          </w:tcPr>
          <w:p w:rsidR="00BD2F06" w:rsidRPr="00361937" w:rsidRDefault="00BD2F06" w:rsidP="00A95E29">
            <w:pPr>
              <w:spacing w:line="480" w:lineRule="auto"/>
              <w:rPr>
                <w:color w:val="000000"/>
                <w:szCs w:val="18"/>
              </w:rPr>
            </w:pPr>
            <w:r w:rsidRPr="00361937">
              <w:rPr>
                <w:color w:val="000000"/>
                <w:szCs w:val="18"/>
              </w:rPr>
              <w:t>WHO BMI classification, n (%)</w:t>
            </w:r>
          </w:p>
        </w:tc>
        <w:tc>
          <w:tcPr>
            <w:tcW w:w="1850" w:type="dxa"/>
            <w:tcBorders>
              <w:top w:val="nil"/>
              <w:left w:val="nil"/>
              <w:bottom w:val="nil"/>
              <w:right w:val="nil"/>
            </w:tcBorders>
            <w:shd w:val="clear" w:color="auto" w:fill="auto"/>
            <w:noWrap/>
            <w:vAlign w:val="bottom"/>
          </w:tcPr>
          <w:p w:rsidR="00BD2F06" w:rsidRPr="00361937" w:rsidRDefault="00BD2F06" w:rsidP="00A95E29">
            <w:pPr>
              <w:spacing w:line="480" w:lineRule="auto"/>
              <w:rPr>
                <w:color w:val="000000"/>
                <w:szCs w:val="18"/>
              </w:rPr>
            </w:pPr>
          </w:p>
        </w:tc>
        <w:tc>
          <w:tcPr>
            <w:tcW w:w="1842" w:type="dxa"/>
            <w:tcBorders>
              <w:top w:val="nil"/>
              <w:left w:val="nil"/>
              <w:bottom w:val="nil"/>
              <w:right w:val="nil"/>
            </w:tcBorders>
            <w:shd w:val="clear" w:color="auto" w:fill="auto"/>
            <w:noWrap/>
            <w:vAlign w:val="bottom"/>
          </w:tcPr>
          <w:p w:rsidR="00BD2F06" w:rsidRPr="00361937" w:rsidRDefault="00BD2F06" w:rsidP="00A95E29">
            <w:pPr>
              <w:spacing w:line="480" w:lineRule="auto"/>
              <w:rPr>
                <w:szCs w:val="20"/>
              </w:rPr>
            </w:pPr>
          </w:p>
        </w:tc>
      </w:tr>
      <w:tr w:rsidR="00BD2F06" w:rsidRPr="00361937" w:rsidTr="00E5273B">
        <w:trPr>
          <w:trHeight w:val="320"/>
        </w:trPr>
        <w:tc>
          <w:tcPr>
            <w:tcW w:w="5520" w:type="dxa"/>
            <w:tcBorders>
              <w:top w:val="nil"/>
              <w:left w:val="nil"/>
              <w:bottom w:val="nil"/>
              <w:right w:val="nil"/>
            </w:tcBorders>
            <w:shd w:val="clear" w:color="auto" w:fill="auto"/>
            <w:noWrap/>
            <w:vAlign w:val="bottom"/>
          </w:tcPr>
          <w:p w:rsidR="00BD2F06" w:rsidRPr="00361937" w:rsidRDefault="00BD2F06" w:rsidP="00A95E29">
            <w:pPr>
              <w:spacing w:line="480" w:lineRule="auto"/>
              <w:ind w:firstLineChars="100" w:firstLine="240"/>
              <w:rPr>
                <w:color w:val="000000"/>
                <w:szCs w:val="18"/>
              </w:rPr>
            </w:pPr>
            <w:r w:rsidRPr="00361937">
              <w:rPr>
                <w:color w:val="000000"/>
                <w:szCs w:val="18"/>
              </w:rPr>
              <w:t xml:space="preserve">Underweight </w:t>
            </w:r>
          </w:p>
        </w:tc>
        <w:tc>
          <w:tcPr>
            <w:tcW w:w="1850" w:type="dxa"/>
            <w:tcBorders>
              <w:top w:val="nil"/>
              <w:left w:val="nil"/>
              <w:bottom w:val="nil"/>
              <w:right w:val="nil"/>
            </w:tcBorders>
            <w:shd w:val="clear" w:color="auto" w:fill="auto"/>
            <w:noWrap/>
            <w:vAlign w:val="center"/>
          </w:tcPr>
          <w:p w:rsidR="00BD2F06" w:rsidRPr="00361937" w:rsidRDefault="00BD2F06" w:rsidP="00A95E29">
            <w:pPr>
              <w:spacing w:line="480" w:lineRule="auto"/>
              <w:rPr>
                <w:color w:val="000000"/>
                <w:szCs w:val="18"/>
              </w:rPr>
            </w:pPr>
            <w:r w:rsidRPr="00361937">
              <w:rPr>
                <w:color w:val="000000"/>
                <w:szCs w:val="18"/>
              </w:rPr>
              <w:t xml:space="preserve"> 26(16.3)</w:t>
            </w:r>
          </w:p>
        </w:tc>
        <w:tc>
          <w:tcPr>
            <w:tcW w:w="1842" w:type="dxa"/>
            <w:tcBorders>
              <w:top w:val="nil"/>
              <w:left w:val="nil"/>
              <w:bottom w:val="nil"/>
              <w:right w:val="nil"/>
            </w:tcBorders>
            <w:shd w:val="clear" w:color="auto" w:fill="auto"/>
            <w:noWrap/>
            <w:vAlign w:val="center"/>
          </w:tcPr>
          <w:p w:rsidR="00BD2F06" w:rsidRPr="00361937" w:rsidRDefault="00BD2F06" w:rsidP="00A95E29">
            <w:pPr>
              <w:spacing w:line="480" w:lineRule="auto"/>
              <w:rPr>
                <w:color w:val="000000"/>
                <w:szCs w:val="18"/>
              </w:rPr>
            </w:pPr>
            <w:r w:rsidRPr="00361937">
              <w:rPr>
                <w:color w:val="000000"/>
                <w:szCs w:val="18"/>
              </w:rPr>
              <w:t>15 (24.6)</w:t>
            </w:r>
          </w:p>
        </w:tc>
      </w:tr>
      <w:tr w:rsidR="00BD2F06" w:rsidRPr="00361937" w:rsidTr="00E5273B">
        <w:trPr>
          <w:trHeight w:val="320"/>
        </w:trPr>
        <w:tc>
          <w:tcPr>
            <w:tcW w:w="5520" w:type="dxa"/>
            <w:tcBorders>
              <w:top w:val="nil"/>
              <w:left w:val="nil"/>
              <w:bottom w:val="nil"/>
              <w:right w:val="nil"/>
            </w:tcBorders>
            <w:shd w:val="clear" w:color="auto" w:fill="auto"/>
            <w:noWrap/>
            <w:vAlign w:val="bottom"/>
          </w:tcPr>
          <w:p w:rsidR="00BD2F06" w:rsidRPr="00361937" w:rsidRDefault="00BD2F06" w:rsidP="00A95E29">
            <w:pPr>
              <w:spacing w:line="480" w:lineRule="auto"/>
              <w:ind w:firstLineChars="100" w:firstLine="240"/>
              <w:rPr>
                <w:color w:val="000000"/>
                <w:szCs w:val="18"/>
              </w:rPr>
            </w:pPr>
            <w:r w:rsidRPr="00361937">
              <w:rPr>
                <w:color w:val="000000"/>
                <w:szCs w:val="18"/>
              </w:rPr>
              <w:t xml:space="preserve">Normal </w:t>
            </w:r>
          </w:p>
        </w:tc>
        <w:tc>
          <w:tcPr>
            <w:tcW w:w="1850" w:type="dxa"/>
            <w:tcBorders>
              <w:top w:val="nil"/>
              <w:left w:val="nil"/>
              <w:bottom w:val="nil"/>
              <w:right w:val="nil"/>
            </w:tcBorders>
            <w:shd w:val="clear" w:color="auto" w:fill="auto"/>
            <w:noWrap/>
            <w:vAlign w:val="center"/>
          </w:tcPr>
          <w:p w:rsidR="00BD2F06" w:rsidRPr="00361937" w:rsidRDefault="00BD2F06" w:rsidP="00A95E29">
            <w:pPr>
              <w:spacing w:line="480" w:lineRule="auto"/>
              <w:rPr>
                <w:color w:val="000000"/>
                <w:szCs w:val="18"/>
              </w:rPr>
            </w:pPr>
            <w:r w:rsidRPr="00361937">
              <w:rPr>
                <w:color w:val="000000"/>
                <w:szCs w:val="18"/>
              </w:rPr>
              <w:t>123 (76.8)</w:t>
            </w:r>
          </w:p>
        </w:tc>
        <w:tc>
          <w:tcPr>
            <w:tcW w:w="1842" w:type="dxa"/>
            <w:tcBorders>
              <w:top w:val="nil"/>
              <w:left w:val="nil"/>
              <w:bottom w:val="nil"/>
              <w:right w:val="nil"/>
            </w:tcBorders>
            <w:shd w:val="clear" w:color="auto" w:fill="auto"/>
            <w:noWrap/>
            <w:vAlign w:val="center"/>
          </w:tcPr>
          <w:p w:rsidR="00BD2F06" w:rsidRPr="00361937" w:rsidRDefault="00BD2F06" w:rsidP="00A95E29">
            <w:pPr>
              <w:spacing w:line="480" w:lineRule="auto"/>
              <w:rPr>
                <w:color w:val="000000"/>
                <w:szCs w:val="18"/>
              </w:rPr>
            </w:pPr>
            <w:r w:rsidRPr="00361937">
              <w:rPr>
                <w:color w:val="000000"/>
                <w:szCs w:val="18"/>
              </w:rPr>
              <w:t>35 (57.4)</w:t>
            </w:r>
          </w:p>
        </w:tc>
      </w:tr>
      <w:tr w:rsidR="00BD2F06" w:rsidRPr="00361937" w:rsidTr="00E5273B">
        <w:trPr>
          <w:trHeight w:val="320"/>
        </w:trPr>
        <w:tc>
          <w:tcPr>
            <w:tcW w:w="5520" w:type="dxa"/>
            <w:tcBorders>
              <w:top w:val="nil"/>
              <w:left w:val="nil"/>
              <w:bottom w:val="nil"/>
              <w:right w:val="nil"/>
            </w:tcBorders>
            <w:shd w:val="clear" w:color="auto" w:fill="auto"/>
            <w:noWrap/>
            <w:vAlign w:val="bottom"/>
          </w:tcPr>
          <w:p w:rsidR="00BD2F06" w:rsidRPr="00361937" w:rsidRDefault="00BD2F06" w:rsidP="00A95E29">
            <w:pPr>
              <w:spacing w:line="480" w:lineRule="auto"/>
              <w:ind w:firstLineChars="100" w:firstLine="240"/>
              <w:rPr>
                <w:color w:val="000000"/>
                <w:szCs w:val="18"/>
              </w:rPr>
            </w:pPr>
            <w:r w:rsidRPr="00361937">
              <w:rPr>
                <w:color w:val="000000"/>
                <w:szCs w:val="18"/>
              </w:rPr>
              <w:t xml:space="preserve">Overweight </w:t>
            </w:r>
          </w:p>
        </w:tc>
        <w:tc>
          <w:tcPr>
            <w:tcW w:w="1850" w:type="dxa"/>
            <w:tcBorders>
              <w:top w:val="nil"/>
              <w:left w:val="nil"/>
              <w:bottom w:val="nil"/>
              <w:right w:val="nil"/>
            </w:tcBorders>
            <w:shd w:val="clear" w:color="auto" w:fill="auto"/>
            <w:noWrap/>
            <w:vAlign w:val="center"/>
          </w:tcPr>
          <w:p w:rsidR="00BD2F06" w:rsidRPr="00361937" w:rsidRDefault="00BD2F06" w:rsidP="00A95E29">
            <w:pPr>
              <w:spacing w:line="480" w:lineRule="auto"/>
              <w:rPr>
                <w:color w:val="000000"/>
                <w:szCs w:val="18"/>
              </w:rPr>
            </w:pPr>
            <w:r w:rsidRPr="00361937">
              <w:rPr>
                <w:color w:val="000000"/>
                <w:szCs w:val="18"/>
              </w:rPr>
              <w:t xml:space="preserve"> 5 (3.1)</w:t>
            </w:r>
          </w:p>
        </w:tc>
        <w:tc>
          <w:tcPr>
            <w:tcW w:w="1842" w:type="dxa"/>
            <w:tcBorders>
              <w:top w:val="nil"/>
              <w:left w:val="nil"/>
              <w:bottom w:val="nil"/>
              <w:right w:val="nil"/>
            </w:tcBorders>
            <w:shd w:val="clear" w:color="auto" w:fill="auto"/>
            <w:noWrap/>
            <w:vAlign w:val="center"/>
          </w:tcPr>
          <w:p w:rsidR="00BD2F06" w:rsidRPr="00361937" w:rsidRDefault="00BD2F06" w:rsidP="00A95E29">
            <w:pPr>
              <w:spacing w:line="480" w:lineRule="auto"/>
              <w:rPr>
                <w:color w:val="000000"/>
                <w:szCs w:val="18"/>
              </w:rPr>
            </w:pPr>
            <w:r w:rsidRPr="00361937">
              <w:rPr>
                <w:color w:val="000000"/>
                <w:szCs w:val="18"/>
              </w:rPr>
              <w:t>6 (9.8)</w:t>
            </w:r>
          </w:p>
        </w:tc>
      </w:tr>
      <w:tr w:rsidR="00BD2F06" w:rsidRPr="00361937" w:rsidTr="00E5273B">
        <w:trPr>
          <w:trHeight w:val="320"/>
        </w:trPr>
        <w:tc>
          <w:tcPr>
            <w:tcW w:w="5520" w:type="dxa"/>
            <w:tcBorders>
              <w:top w:val="nil"/>
              <w:left w:val="nil"/>
              <w:bottom w:val="nil"/>
              <w:right w:val="nil"/>
            </w:tcBorders>
            <w:shd w:val="clear" w:color="auto" w:fill="auto"/>
            <w:noWrap/>
            <w:vAlign w:val="bottom"/>
          </w:tcPr>
          <w:p w:rsidR="00BD2F06" w:rsidRPr="00361937" w:rsidRDefault="00BD2F06" w:rsidP="00A95E29">
            <w:pPr>
              <w:spacing w:line="480" w:lineRule="auto"/>
              <w:ind w:firstLineChars="100" w:firstLine="240"/>
              <w:rPr>
                <w:color w:val="000000"/>
                <w:szCs w:val="18"/>
              </w:rPr>
            </w:pPr>
            <w:r w:rsidRPr="00361937">
              <w:rPr>
                <w:color w:val="000000"/>
                <w:szCs w:val="18"/>
              </w:rPr>
              <w:t xml:space="preserve">Obese </w:t>
            </w:r>
          </w:p>
        </w:tc>
        <w:tc>
          <w:tcPr>
            <w:tcW w:w="1850" w:type="dxa"/>
            <w:tcBorders>
              <w:top w:val="nil"/>
              <w:left w:val="nil"/>
              <w:bottom w:val="nil"/>
              <w:right w:val="nil"/>
            </w:tcBorders>
            <w:shd w:val="clear" w:color="auto" w:fill="auto"/>
            <w:noWrap/>
            <w:vAlign w:val="bottom"/>
          </w:tcPr>
          <w:p w:rsidR="00BD2F06" w:rsidRPr="00361937" w:rsidRDefault="00BD2F06" w:rsidP="00A95E29">
            <w:pPr>
              <w:spacing w:line="480" w:lineRule="auto"/>
              <w:rPr>
                <w:color w:val="000000"/>
                <w:szCs w:val="18"/>
              </w:rPr>
            </w:pPr>
            <w:r w:rsidRPr="00361937">
              <w:rPr>
                <w:color w:val="000000"/>
                <w:szCs w:val="18"/>
              </w:rPr>
              <w:t xml:space="preserve"> 6 (3.8 )</w:t>
            </w:r>
          </w:p>
        </w:tc>
        <w:tc>
          <w:tcPr>
            <w:tcW w:w="1842" w:type="dxa"/>
            <w:tcBorders>
              <w:top w:val="nil"/>
              <w:left w:val="nil"/>
              <w:bottom w:val="nil"/>
              <w:right w:val="nil"/>
            </w:tcBorders>
            <w:shd w:val="clear" w:color="auto" w:fill="auto"/>
            <w:noWrap/>
            <w:vAlign w:val="bottom"/>
          </w:tcPr>
          <w:p w:rsidR="00BD2F06" w:rsidRPr="00361937" w:rsidRDefault="00BD2F06" w:rsidP="00A95E29">
            <w:pPr>
              <w:spacing w:line="480" w:lineRule="auto"/>
              <w:rPr>
                <w:color w:val="000000"/>
                <w:szCs w:val="18"/>
              </w:rPr>
            </w:pPr>
            <w:r w:rsidRPr="00361937">
              <w:rPr>
                <w:color w:val="000000"/>
                <w:szCs w:val="18"/>
              </w:rPr>
              <w:t>5 (8.2)</w:t>
            </w:r>
          </w:p>
        </w:tc>
      </w:tr>
      <w:tr w:rsidR="00BD2F06" w:rsidRPr="00361937" w:rsidTr="00E5273B">
        <w:trPr>
          <w:trHeight w:val="320"/>
        </w:trPr>
        <w:tc>
          <w:tcPr>
            <w:tcW w:w="5520" w:type="dxa"/>
            <w:tcBorders>
              <w:top w:val="single" w:sz="4" w:space="0" w:color="auto"/>
              <w:left w:val="nil"/>
              <w:bottom w:val="single" w:sz="4" w:space="0" w:color="auto"/>
              <w:right w:val="nil"/>
            </w:tcBorders>
            <w:shd w:val="clear" w:color="auto" w:fill="auto"/>
          </w:tcPr>
          <w:p w:rsidR="00BD2F06" w:rsidRPr="00361937" w:rsidRDefault="00BD2F06" w:rsidP="00A95E29">
            <w:pPr>
              <w:spacing w:line="480" w:lineRule="auto"/>
              <w:rPr>
                <w:color w:val="000000"/>
                <w:szCs w:val="18"/>
              </w:rPr>
            </w:pPr>
            <w:r w:rsidRPr="00361937">
              <w:rPr>
                <w:color w:val="000000"/>
                <w:szCs w:val="18"/>
              </w:rPr>
              <w:t>Duration on ART in months, median (IQR)</w:t>
            </w:r>
          </w:p>
        </w:tc>
        <w:tc>
          <w:tcPr>
            <w:tcW w:w="1850" w:type="dxa"/>
            <w:tcBorders>
              <w:top w:val="single" w:sz="4" w:space="0" w:color="auto"/>
              <w:left w:val="nil"/>
              <w:bottom w:val="single" w:sz="4" w:space="0" w:color="auto"/>
              <w:right w:val="nil"/>
            </w:tcBorders>
            <w:shd w:val="clear" w:color="auto" w:fill="auto"/>
            <w:noWrap/>
          </w:tcPr>
          <w:p w:rsidR="00BD2F06" w:rsidRPr="00361937" w:rsidRDefault="00BD2F06" w:rsidP="00A95E29">
            <w:pPr>
              <w:spacing w:line="480" w:lineRule="auto"/>
              <w:rPr>
                <w:color w:val="000000"/>
                <w:szCs w:val="18"/>
              </w:rPr>
            </w:pPr>
            <w:r w:rsidRPr="00361937">
              <w:rPr>
                <w:color w:val="000000"/>
                <w:szCs w:val="18"/>
              </w:rPr>
              <w:t>11 (5-32)</w:t>
            </w:r>
          </w:p>
        </w:tc>
        <w:tc>
          <w:tcPr>
            <w:tcW w:w="1842" w:type="dxa"/>
            <w:tcBorders>
              <w:top w:val="single" w:sz="4" w:space="0" w:color="auto"/>
              <w:left w:val="nil"/>
              <w:bottom w:val="single" w:sz="4" w:space="0" w:color="auto"/>
              <w:right w:val="nil"/>
            </w:tcBorders>
            <w:shd w:val="clear" w:color="auto" w:fill="auto"/>
            <w:noWrap/>
          </w:tcPr>
          <w:p w:rsidR="00BD2F06" w:rsidRPr="00361937" w:rsidRDefault="00BD2F06" w:rsidP="00A95E29">
            <w:pPr>
              <w:spacing w:line="480" w:lineRule="auto"/>
              <w:rPr>
                <w:color w:val="000000"/>
                <w:szCs w:val="18"/>
              </w:rPr>
            </w:pPr>
            <w:r w:rsidRPr="00361937">
              <w:rPr>
                <w:color w:val="000000"/>
                <w:szCs w:val="18"/>
              </w:rPr>
              <w:t>55 (33-70)</w:t>
            </w:r>
          </w:p>
        </w:tc>
      </w:tr>
      <w:tr w:rsidR="00BD2F06" w:rsidRPr="00361937" w:rsidTr="00E5273B">
        <w:trPr>
          <w:trHeight w:val="320"/>
        </w:trPr>
        <w:tc>
          <w:tcPr>
            <w:tcW w:w="5520" w:type="dxa"/>
            <w:tcBorders>
              <w:top w:val="nil"/>
              <w:left w:val="nil"/>
              <w:bottom w:val="nil"/>
              <w:right w:val="nil"/>
            </w:tcBorders>
            <w:shd w:val="clear" w:color="auto" w:fill="auto"/>
            <w:noWrap/>
            <w:vAlign w:val="bottom"/>
          </w:tcPr>
          <w:p w:rsidR="00BD2F06" w:rsidRPr="00361937" w:rsidRDefault="00BD2F06" w:rsidP="00A95E29">
            <w:pPr>
              <w:spacing w:line="480" w:lineRule="auto"/>
              <w:rPr>
                <w:color w:val="000000"/>
                <w:szCs w:val="18"/>
              </w:rPr>
            </w:pPr>
            <w:r w:rsidRPr="00361937">
              <w:rPr>
                <w:color w:val="000000"/>
                <w:szCs w:val="18"/>
              </w:rPr>
              <w:t>Presenting symptoms, n (%)</w:t>
            </w:r>
          </w:p>
        </w:tc>
        <w:tc>
          <w:tcPr>
            <w:tcW w:w="1850" w:type="dxa"/>
            <w:tcBorders>
              <w:top w:val="nil"/>
              <w:left w:val="nil"/>
              <w:bottom w:val="nil"/>
              <w:right w:val="nil"/>
            </w:tcBorders>
            <w:shd w:val="clear" w:color="auto" w:fill="auto"/>
            <w:vAlign w:val="center"/>
          </w:tcPr>
          <w:p w:rsidR="00BD2F06" w:rsidRPr="00361937" w:rsidRDefault="00BD2F06" w:rsidP="00A95E29">
            <w:pPr>
              <w:spacing w:line="480" w:lineRule="auto"/>
              <w:rPr>
                <w:color w:val="000000"/>
                <w:szCs w:val="18"/>
              </w:rPr>
            </w:pPr>
          </w:p>
        </w:tc>
        <w:tc>
          <w:tcPr>
            <w:tcW w:w="1842" w:type="dxa"/>
            <w:tcBorders>
              <w:top w:val="nil"/>
              <w:left w:val="nil"/>
              <w:bottom w:val="nil"/>
              <w:right w:val="nil"/>
            </w:tcBorders>
            <w:shd w:val="clear" w:color="auto" w:fill="auto"/>
            <w:vAlign w:val="center"/>
          </w:tcPr>
          <w:p w:rsidR="00BD2F06" w:rsidRPr="00361937" w:rsidRDefault="00BD2F06" w:rsidP="00A95E29">
            <w:pPr>
              <w:spacing w:line="480" w:lineRule="auto"/>
              <w:rPr>
                <w:szCs w:val="20"/>
              </w:rPr>
            </w:pPr>
          </w:p>
        </w:tc>
      </w:tr>
      <w:tr w:rsidR="00BD2F06" w:rsidRPr="00361937" w:rsidTr="00E5273B">
        <w:trPr>
          <w:trHeight w:val="320"/>
        </w:trPr>
        <w:tc>
          <w:tcPr>
            <w:tcW w:w="5520" w:type="dxa"/>
            <w:tcBorders>
              <w:top w:val="nil"/>
              <w:left w:val="nil"/>
              <w:bottom w:val="nil"/>
              <w:right w:val="nil"/>
            </w:tcBorders>
            <w:shd w:val="clear" w:color="auto" w:fill="auto"/>
            <w:noWrap/>
            <w:vAlign w:val="bottom"/>
          </w:tcPr>
          <w:p w:rsidR="00BD2F06" w:rsidRPr="00361937" w:rsidRDefault="00BD2F06" w:rsidP="00A95E29">
            <w:pPr>
              <w:spacing w:line="480" w:lineRule="auto"/>
              <w:ind w:firstLineChars="100" w:firstLine="240"/>
              <w:rPr>
                <w:color w:val="000000"/>
                <w:szCs w:val="18"/>
              </w:rPr>
            </w:pPr>
            <w:r w:rsidRPr="00361937">
              <w:rPr>
                <w:color w:val="000000"/>
                <w:szCs w:val="18"/>
              </w:rPr>
              <w:t>Fever</w:t>
            </w:r>
          </w:p>
        </w:tc>
        <w:tc>
          <w:tcPr>
            <w:tcW w:w="1850" w:type="dxa"/>
            <w:tcBorders>
              <w:top w:val="nil"/>
              <w:left w:val="nil"/>
              <w:bottom w:val="nil"/>
              <w:right w:val="nil"/>
            </w:tcBorders>
            <w:shd w:val="clear" w:color="auto" w:fill="auto"/>
            <w:vAlign w:val="center"/>
          </w:tcPr>
          <w:p w:rsidR="00BD2F06" w:rsidRPr="00361937" w:rsidRDefault="00BD2F06" w:rsidP="00A95E29">
            <w:pPr>
              <w:spacing w:line="480" w:lineRule="auto"/>
              <w:rPr>
                <w:color w:val="000000"/>
                <w:szCs w:val="18"/>
              </w:rPr>
            </w:pPr>
            <w:r w:rsidRPr="00361937">
              <w:rPr>
                <w:color w:val="000000"/>
                <w:szCs w:val="18"/>
              </w:rPr>
              <w:t>146 (91.3)</w:t>
            </w:r>
          </w:p>
        </w:tc>
        <w:tc>
          <w:tcPr>
            <w:tcW w:w="1842" w:type="dxa"/>
            <w:tcBorders>
              <w:top w:val="nil"/>
              <w:left w:val="nil"/>
              <w:bottom w:val="nil"/>
              <w:right w:val="nil"/>
            </w:tcBorders>
            <w:shd w:val="clear" w:color="auto" w:fill="auto"/>
            <w:vAlign w:val="center"/>
          </w:tcPr>
          <w:p w:rsidR="00BD2F06" w:rsidRPr="00361937" w:rsidRDefault="00BD2F06" w:rsidP="00A95E29">
            <w:pPr>
              <w:spacing w:line="480" w:lineRule="auto"/>
              <w:rPr>
                <w:color w:val="000000"/>
                <w:szCs w:val="18"/>
              </w:rPr>
            </w:pPr>
            <w:r w:rsidRPr="00361937">
              <w:rPr>
                <w:color w:val="000000"/>
                <w:szCs w:val="18"/>
              </w:rPr>
              <w:t xml:space="preserve"> 57 (93.4)</w:t>
            </w:r>
          </w:p>
        </w:tc>
      </w:tr>
      <w:tr w:rsidR="00BD2F06" w:rsidRPr="00361937" w:rsidTr="00E5273B">
        <w:trPr>
          <w:trHeight w:val="320"/>
        </w:trPr>
        <w:tc>
          <w:tcPr>
            <w:tcW w:w="5520" w:type="dxa"/>
            <w:tcBorders>
              <w:top w:val="nil"/>
              <w:left w:val="nil"/>
              <w:bottom w:val="nil"/>
              <w:right w:val="nil"/>
            </w:tcBorders>
            <w:shd w:val="clear" w:color="auto" w:fill="auto"/>
            <w:noWrap/>
            <w:vAlign w:val="bottom"/>
          </w:tcPr>
          <w:p w:rsidR="00BD2F06" w:rsidRPr="00361937" w:rsidRDefault="00BD2F06" w:rsidP="00A95E29">
            <w:pPr>
              <w:spacing w:line="480" w:lineRule="auto"/>
              <w:ind w:firstLineChars="100" w:firstLine="240"/>
              <w:rPr>
                <w:color w:val="000000"/>
                <w:szCs w:val="18"/>
              </w:rPr>
            </w:pPr>
            <w:r w:rsidRPr="00361937">
              <w:rPr>
                <w:color w:val="000000"/>
                <w:szCs w:val="18"/>
              </w:rPr>
              <w:t xml:space="preserve">Headache </w:t>
            </w:r>
          </w:p>
        </w:tc>
        <w:tc>
          <w:tcPr>
            <w:tcW w:w="1850" w:type="dxa"/>
            <w:tcBorders>
              <w:top w:val="nil"/>
              <w:left w:val="nil"/>
              <w:bottom w:val="nil"/>
              <w:right w:val="nil"/>
            </w:tcBorders>
            <w:shd w:val="clear" w:color="auto" w:fill="auto"/>
            <w:vAlign w:val="center"/>
          </w:tcPr>
          <w:p w:rsidR="00BD2F06" w:rsidRPr="00361937" w:rsidRDefault="00BD2F06" w:rsidP="00A95E29">
            <w:pPr>
              <w:spacing w:line="480" w:lineRule="auto"/>
              <w:rPr>
                <w:color w:val="000000"/>
                <w:szCs w:val="18"/>
              </w:rPr>
            </w:pPr>
            <w:r w:rsidRPr="00361937">
              <w:rPr>
                <w:color w:val="000000"/>
                <w:szCs w:val="18"/>
              </w:rPr>
              <w:t>144 (90.0)</w:t>
            </w:r>
          </w:p>
        </w:tc>
        <w:tc>
          <w:tcPr>
            <w:tcW w:w="1842" w:type="dxa"/>
            <w:tcBorders>
              <w:top w:val="nil"/>
              <w:left w:val="nil"/>
              <w:bottom w:val="nil"/>
              <w:right w:val="nil"/>
            </w:tcBorders>
            <w:shd w:val="clear" w:color="auto" w:fill="auto"/>
            <w:vAlign w:val="center"/>
          </w:tcPr>
          <w:p w:rsidR="00BD2F06" w:rsidRPr="00361937" w:rsidRDefault="00BD2F06" w:rsidP="00A95E29">
            <w:pPr>
              <w:spacing w:line="480" w:lineRule="auto"/>
              <w:rPr>
                <w:color w:val="000000"/>
                <w:szCs w:val="18"/>
              </w:rPr>
            </w:pPr>
            <w:r w:rsidRPr="00361937">
              <w:rPr>
                <w:color w:val="000000"/>
                <w:szCs w:val="18"/>
              </w:rPr>
              <w:t xml:space="preserve"> 57 (93.4)</w:t>
            </w:r>
          </w:p>
        </w:tc>
      </w:tr>
      <w:tr w:rsidR="00BD2F06" w:rsidRPr="00361937" w:rsidTr="00E5273B">
        <w:trPr>
          <w:trHeight w:val="320"/>
        </w:trPr>
        <w:tc>
          <w:tcPr>
            <w:tcW w:w="5520" w:type="dxa"/>
            <w:tcBorders>
              <w:top w:val="nil"/>
              <w:left w:val="nil"/>
              <w:bottom w:val="nil"/>
              <w:right w:val="nil"/>
            </w:tcBorders>
            <w:shd w:val="clear" w:color="auto" w:fill="auto"/>
            <w:noWrap/>
            <w:vAlign w:val="bottom"/>
          </w:tcPr>
          <w:p w:rsidR="00BD2F06" w:rsidRPr="00361937" w:rsidRDefault="00BD2F06" w:rsidP="00A95E29">
            <w:pPr>
              <w:spacing w:line="480" w:lineRule="auto"/>
              <w:ind w:firstLineChars="100" w:firstLine="240"/>
              <w:rPr>
                <w:color w:val="000000"/>
                <w:szCs w:val="18"/>
              </w:rPr>
            </w:pPr>
            <w:r w:rsidRPr="00361937">
              <w:rPr>
                <w:color w:val="000000"/>
                <w:szCs w:val="18"/>
              </w:rPr>
              <w:t>Body aches</w:t>
            </w:r>
          </w:p>
        </w:tc>
        <w:tc>
          <w:tcPr>
            <w:tcW w:w="1850" w:type="dxa"/>
            <w:tcBorders>
              <w:top w:val="nil"/>
              <w:left w:val="nil"/>
              <w:bottom w:val="nil"/>
              <w:right w:val="nil"/>
            </w:tcBorders>
            <w:shd w:val="clear" w:color="auto" w:fill="auto"/>
            <w:vAlign w:val="center"/>
          </w:tcPr>
          <w:p w:rsidR="00BD2F06" w:rsidRPr="00361937" w:rsidRDefault="00BD2F06" w:rsidP="00A95E29">
            <w:pPr>
              <w:spacing w:line="480" w:lineRule="auto"/>
              <w:rPr>
                <w:color w:val="000000"/>
                <w:szCs w:val="18"/>
              </w:rPr>
            </w:pPr>
            <w:r w:rsidRPr="00361937">
              <w:rPr>
                <w:color w:val="000000"/>
                <w:szCs w:val="18"/>
              </w:rPr>
              <w:t>89 (55.6)</w:t>
            </w:r>
          </w:p>
        </w:tc>
        <w:tc>
          <w:tcPr>
            <w:tcW w:w="1842" w:type="dxa"/>
            <w:tcBorders>
              <w:top w:val="nil"/>
              <w:left w:val="nil"/>
              <w:bottom w:val="nil"/>
              <w:right w:val="nil"/>
            </w:tcBorders>
            <w:shd w:val="clear" w:color="auto" w:fill="auto"/>
            <w:vAlign w:val="center"/>
          </w:tcPr>
          <w:p w:rsidR="00BD2F06" w:rsidRPr="00361937" w:rsidRDefault="00BD2F06" w:rsidP="00A95E29">
            <w:pPr>
              <w:spacing w:line="480" w:lineRule="auto"/>
              <w:rPr>
                <w:color w:val="000000"/>
                <w:szCs w:val="18"/>
              </w:rPr>
            </w:pPr>
            <w:r w:rsidRPr="00361937">
              <w:rPr>
                <w:color w:val="000000"/>
                <w:szCs w:val="18"/>
              </w:rPr>
              <w:t xml:space="preserve"> 41 (67.2)</w:t>
            </w:r>
          </w:p>
        </w:tc>
      </w:tr>
      <w:tr w:rsidR="00BD2F06" w:rsidRPr="00361937" w:rsidTr="00E5273B">
        <w:trPr>
          <w:trHeight w:val="320"/>
        </w:trPr>
        <w:tc>
          <w:tcPr>
            <w:tcW w:w="5520" w:type="dxa"/>
            <w:tcBorders>
              <w:top w:val="nil"/>
              <w:left w:val="nil"/>
              <w:bottom w:val="single" w:sz="4" w:space="0" w:color="auto"/>
              <w:right w:val="nil"/>
            </w:tcBorders>
            <w:shd w:val="clear" w:color="auto" w:fill="auto"/>
            <w:noWrap/>
            <w:vAlign w:val="bottom"/>
          </w:tcPr>
          <w:p w:rsidR="00BD2F06" w:rsidRPr="00361937" w:rsidRDefault="00BD2F06" w:rsidP="00A95E29">
            <w:pPr>
              <w:spacing w:line="480" w:lineRule="auto"/>
              <w:ind w:firstLineChars="100" w:firstLine="240"/>
              <w:rPr>
                <w:color w:val="000000"/>
                <w:szCs w:val="18"/>
              </w:rPr>
            </w:pPr>
            <w:r w:rsidRPr="00361937">
              <w:rPr>
                <w:color w:val="000000"/>
                <w:szCs w:val="18"/>
              </w:rPr>
              <w:t>Nausea</w:t>
            </w:r>
          </w:p>
        </w:tc>
        <w:tc>
          <w:tcPr>
            <w:tcW w:w="1850" w:type="dxa"/>
            <w:tcBorders>
              <w:top w:val="nil"/>
              <w:left w:val="nil"/>
              <w:bottom w:val="single" w:sz="4" w:space="0" w:color="auto"/>
              <w:right w:val="nil"/>
            </w:tcBorders>
            <w:shd w:val="clear" w:color="auto" w:fill="auto"/>
            <w:vAlign w:val="center"/>
          </w:tcPr>
          <w:p w:rsidR="00BD2F06" w:rsidRPr="00361937" w:rsidRDefault="00BD2F06" w:rsidP="00A95E29">
            <w:pPr>
              <w:spacing w:line="480" w:lineRule="auto"/>
              <w:rPr>
                <w:color w:val="000000"/>
                <w:szCs w:val="18"/>
              </w:rPr>
            </w:pPr>
            <w:r w:rsidRPr="00361937">
              <w:rPr>
                <w:color w:val="000000"/>
                <w:szCs w:val="18"/>
              </w:rPr>
              <w:t>40 (25.0)</w:t>
            </w:r>
          </w:p>
        </w:tc>
        <w:tc>
          <w:tcPr>
            <w:tcW w:w="1842" w:type="dxa"/>
            <w:tcBorders>
              <w:top w:val="nil"/>
              <w:left w:val="nil"/>
              <w:bottom w:val="single" w:sz="4" w:space="0" w:color="auto"/>
              <w:right w:val="nil"/>
            </w:tcBorders>
            <w:shd w:val="clear" w:color="auto" w:fill="auto"/>
            <w:vAlign w:val="center"/>
          </w:tcPr>
          <w:p w:rsidR="00BD2F06" w:rsidRPr="00361937" w:rsidRDefault="00BD2F06" w:rsidP="00A95E29">
            <w:pPr>
              <w:spacing w:line="480" w:lineRule="auto"/>
              <w:rPr>
                <w:color w:val="000000"/>
                <w:szCs w:val="18"/>
              </w:rPr>
            </w:pPr>
            <w:r w:rsidRPr="00361937">
              <w:rPr>
                <w:color w:val="000000"/>
                <w:szCs w:val="18"/>
              </w:rPr>
              <w:t xml:space="preserve"> 33 (54.1)</w:t>
            </w:r>
          </w:p>
        </w:tc>
      </w:tr>
      <w:tr w:rsidR="00BD2F06" w:rsidRPr="00361937" w:rsidTr="00E5273B">
        <w:trPr>
          <w:trHeight w:val="320"/>
        </w:trPr>
        <w:tc>
          <w:tcPr>
            <w:tcW w:w="5520" w:type="dxa"/>
            <w:tcBorders>
              <w:top w:val="nil"/>
              <w:left w:val="nil"/>
              <w:bottom w:val="single" w:sz="4" w:space="0" w:color="auto"/>
              <w:right w:val="nil"/>
            </w:tcBorders>
            <w:shd w:val="clear" w:color="auto" w:fill="auto"/>
            <w:noWrap/>
            <w:vAlign w:val="bottom"/>
          </w:tcPr>
          <w:p w:rsidR="00BD2F06" w:rsidRPr="00361937" w:rsidRDefault="00BD2F06" w:rsidP="00A95E29">
            <w:pPr>
              <w:spacing w:line="480" w:lineRule="auto"/>
              <w:rPr>
                <w:color w:val="000000"/>
                <w:szCs w:val="18"/>
              </w:rPr>
            </w:pPr>
            <w:r w:rsidRPr="00361937">
              <w:rPr>
                <w:color w:val="000000"/>
                <w:szCs w:val="18"/>
              </w:rPr>
              <w:t>Axillary temperature at enrolnment, median (IQR)</w:t>
            </w:r>
          </w:p>
        </w:tc>
        <w:tc>
          <w:tcPr>
            <w:tcW w:w="1850" w:type="dxa"/>
            <w:tcBorders>
              <w:top w:val="nil"/>
              <w:left w:val="nil"/>
              <w:bottom w:val="single" w:sz="4" w:space="0" w:color="auto"/>
              <w:right w:val="nil"/>
            </w:tcBorders>
            <w:shd w:val="clear" w:color="auto" w:fill="auto"/>
            <w:noWrap/>
            <w:vAlign w:val="bottom"/>
          </w:tcPr>
          <w:p w:rsidR="00BD2F06" w:rsidRPr="00361937" w:rsidRDefault="00BD2F06" w:rsidP="00A95E29">
            <w:pPr>
              <w:spacing w:line="480" w:lineRule="auto"/>
              <w:rPr>
                <w:color w:val="000000"/>
                <w:szCs w:val="18"/>
              </w:rPr>
            </w:pPr>
            <w:r w:rsidRPr="00361937">
              <w:rPr>
                <w:color w:val="000000"/>
                <w:szCs w:val="18"/>
              </w:rPr>
              <w:t>37.7 (37.0-37.9)</w:t>
            </w:r>
          </w:p>
        </w:tc>
        <w:tc>
          <w:tcPr>
            <w:tcW w:w="1842" w:type="dxa"/>
            <w:tcBorders>
              <w:top w:val="nil"/>
              <w:left w:val="nil"/>
              <w:bottom w:val="single" w:sz="4" w:space="0" w:color="auto"/>
              <w:right w:val="nil"/>
            </w:tcBorders>
            <w:shd w:val="clear" w:color="auto" w:fill="auto"/>
            <w:noWrap/>
            <w:vAlign w:val="bottom"/>
          </w:tcPr>
          <w:p w:rsidR="00BD2F06" w:rsidRPr="00361937" w:rsidRDefault="00BD2F06" w:rsidP="00A95E29">
            <w:pPr>
              <w:spacing w:line="480" w:lineRule="auto"/>
              <w:rPr>
                <w:color w:val="000000"/>
                <w:szCs w:val="18"/>
              </w:rPr>
            </w:pPr>
            <w:r w:rsidRPr="00361937">
              <w:rPr>
                <w:color w:val="000000"/>
                <w:szCs w:val="18"/>
              </w:rPr>
              <w:t xml:space="preserve"> 37.1 (36.6-37.8)</w:t>
            </w:r>
          </w:p>
        </w:tc>
      </w:tr>
      <w:tr w:rsidR="00BD2F06" w:rsidRPr="00361937" w:rsidTr="00E5273B">
        <w:trPr>
          <w:trHeight w:val="320"/>
        </w:trPr>
        <w:tc>
          <w:tcPr>
            <w:tcW w:w="5520" w:type="dxa"/>
            <w:tcBorders>
              <w:top w:val="nil"/>
              <w:left w:val="nil"/>
              <w:bottom w:val="nil"/>
              <w:right w:val="nil"/>
            </w:tcBorders>
            <w:shd w:val="clear" w:color="auto" w:fill="auto"/>
            <w:noWrap/>
            <w:vAlign w:val="bottom"/>
          </w:tcPr>
          <w:p w:rsidR="00BD2F06" w:rsidRPr="00361937" w:rsidRDefault="00BD2F06" w:rsidP="00A95E29">
            <w:pPr>
              <w:spacing w:line="480" w:lineRule="auto"/>
              <w:rPr>
                <w:color w:val="000000"/>
                <w:szCs w:val="18"/>
              </w:rPr>
            </w:pPr>
            <w:r w:rsidRPr="00361937">
              <w:rPr>
                <w:color w:val="000000"/>
                <w:szCs w:val="18"/>
              </w:rPr>
              <w:lastRenderedPageBreak/>
              <w:t>Geometric Mean Parasite density, 95% CI.</w:t>
            </w:r>
          </w:p>
        </w:tc>
        <w:tc>
          <w:tcPr>
            <w:tcW w:w="1850" w:type="dxa"/>
            <w:tcBorders>
              <w:top w:val="nil"/>
              <w:left w:val="nil"/>
              <w:bottom w:val="nil"/>
              <w:right w:val="nil"/>
            </w:tcBorders>
            <w:shd w:val="clear" w:color="auto" w:fill="auto"/>
            <w:noWrap/>
            <w:vAlign w:val="bottom"/>
          </w:tcPr>
          <w:p w:rsidR="00BD2F06" w:rsidRPr="00361937" w:rsidRDefault="00BD2F06" w:rsidP="00A95E29">
            <w:pPr>
              <w:spacing w:line="480" w:lineRule="auto"/>
              <w:rPr>
                <w:color w:val="000000"/>
                <w:szCs w:val="18"/>
              </w:rPr>
            </w:pPr>
            <w:r w:rsidRPr="00361937">
              <w:rPr>
                <w:color w:val="000000"/>
                <w:szCs w:val="18"/>
              </w:rPr>
              <w:t>2,681 (1964-3661)</w:t>
            </w:r>
          </w:p>
        </w:tc>
        <w:tc>
          <w:tcPr>
            <w:tcW w:w="1842" w:type="dxa"/>
            <w:tcBorders>
              <w:top w:val="nil"/>
              <w:left w:val="nil"/>
              <w:bottom w:val="nil"/>
              <w:right w:val="nil"/>
            </w:tcBorders>
            <w:shd w:val="clear" w:color="auto" w:fill="auto"/>
            <w:noWrap/>
            <w:vAlign w:val="bottom"/>
          </w:tcPr>
          <w:p w:rsidR="00BD2F06" w:rsidRPr="00361937" w:rsidRDefault="00BD2F06" w:rsidP="00A95E29">
            <w:pPr>
              <w:spacing w:line="480" w:lineRule="auto"/>
              <w:rPr>
                <w:color w:val="000000"/>
                <w:szCs w:val="18"/>
              </w:rPr>
            </w:pPr>
            <w:r w:rsidRPr="00361937">
              <w:rPr>
                <w:color w:val="000000"/>
                <w:szCs w:val="18"/>
              </w:rPr>
              <w:t xml:space="preserve"> 9,819 (6606-14593)</w:t>
            </w:r>
          </w:p>
        </w:tc>
      </w:tr>
      <w:tr w:rsidR="00BD2F06" w:rsidRPr="00361937" w:rsidTr="00E5273B">
        <w:trPr>
          <w:trHeight w:val="320"/>
        </w:trPr>
        <w:tc>
          <w:tcPr>
            <w:tcW w:w="5520" w:type="dxa"/>
            <w:tcBorders>
              <w:top w:val="nil"/>
              <w:left w:val="nil"/>
              <w:bottom w:val="single" w:sz="4" w:space="0" w:color="auto"/>
              <w:right w:val="nil"/>
            </w:tcBorders>
            <w:shd w:val="clear" w:color="auto" w:fill="auto"/>
            <w:noWrap/>
            <w:vAlign w:val="bottom"/>
          </w:tcPr>
          <w:p w:rsidR="00BD2F06" w:rsidRPr="00361937" w:rsidRDefault="00BD2F06" w:rsidP="00A95E29">
            <w:pPr>
              <w:spacing w:line="480" w:lineRule="auto"/>
              <w:ind w:firstLineChars="100" w:firstLine="240"/>
              <w:rPr>
                <w:color w:val="000000"/>
                <w:szCs w:val="18"/>
                <w:lang w:val="pt-PT"/>
              </w:rPr>
            </w:pPr>
            <w:r w:rsidRPr="00361937">
              <w:rPr>
                <w:color w:val="000000"/>
                <w:szCs w:val="18"/>
                <w:lang w:val="pt-PT"/>
              </w:rPr>
              <w:t>Parasite density &gt;2000 parasites/µL, n (% )</w:t>
            </w:r>
          </w:p>
        </w:tc>
        <w:tc>
          <w:tcPr>
            <w:tcW w:w="1850" w:type="dxa"/>
            <w:tcBorders>
              <w:top w:val="nil"/>
              <w:left w:val="nil"/>
              <w:bottom w:val="single" w:sz="4" w:space="0" w:color="auto"/>
              <w:right w:val="nil"/>
            </w:tcBorders>
            <w:shd w:val="clear" w:color="auto" w:fill="auto"/>
            <w:vAlign w:val="center"/>
          </w:tcPr>
          <w:p w:rsidR="00BD2F06" w:rsidRPr="00361937" w:rsidRDefault="00BD2F06" w:rsidP="00A95E29">
            <w:pPr>
              <w:spacing w:line="480" w:lineRule="auto"/>
              <w:rPr>
                <w:color w:val="000000"/>
                <w:szCs w:val="18"/>
              </w:rPr>
            </w:pPr>
            <w:r w:rsidRPr="00361937">
              <w:rPr>
                <w:color w:val="000000"/>
                <w:szCs w:val="18"/>
              </w:rPr>
              <w:t>84 (52.5)</w:t>
            </w:r>
          </w:p>
        </w:tc>
        <w:tc>
          <w:tcPr>
            <w:tcW w:w="1842" w:type="dxa"/>
            <w:tcBorders>
              <w:top w:val="nil"/>
              <w:left w:val="nil"/>
              <w:bottom w:val="single" w:sz="4" w:space="0" w:color="auto"/>
              <w:right w:val="nil"/>
            </w:tcBorders>
            <w:shd w:val="clear" w:color="auto" w:fill="auto"/>
            <w:noWrap/>
            <w:vAlign w:val="bottom"/>
          </w:tcPr>
          <w:p w:rsidR="00BD2F06" w:rsidRPr="00361937" w:rsidRDefault="00BD2F06" w:rsidP="00A95E29">
            <w:pPr>
              <w:spacing w:line="480" w:lineRule="auto"/>
              <w:rPr>
                <w:color w:val="000000"/>
                <w:szCs w:val="18"/>
              </w:rPr>
            </w:pPr>
            <w:r w:rsidRPr="00361937">
              <w:rPr>
                <w:color w:val="000000"/>
                <w:szCs w:val="18"/>
              </w:rPr>
              <w:t xml:space="preserve"> 53 (86.9)</w:t>
            </w:r>
          </w:p>
        </w:tc>
      </w:tr>
      <w:tr w:rsidR="00BD2F06" w:rsidRPr="00361937" w:rsidTr="00E5273B">
        <w:trPr>
          <w:trHeight w:val="320"/>
        </w:trPr>
        <w:tc>
          <w:tcPr>
            <w:tcW w:w="5520" w:type="dxa"/>
            <w:tcBorders>
              <w:top w:val="single" w:sz="4" w:space="0" w:color="auto"/>
              <w:left w:val="nil"/>
              <w:bottom w:val="single" w:sz="4" w:space="0" w:color="auto"/>
              <w:right w:val="nil"/>
            </w:tcBorders>
            <w:shd w:val="clear" w:color="auto" w:fill="auto"/>
            <w:vAlign w:val="bottom"/>
          </w:tcPr>
          <w:p w:rsidR="00BD2F06" w:rsidRPr="00361937" w:rsidRDefault="00BD2F06" w:rsidP="00A95E29">
            <w:pPr>
              <w:spacing w:line="480" w:lineRule="auto"/>
              <w:rPr>
                <w:color w:val="000000"/>
                <w:szCs w:val="18"/>
              </w:rPr>
            </w:pPr>
            <w:r w:rsidRPr="00361937">
              <w:rPr>
                <w:color w:val="000000"/>
                <w:szCs w:val="18"/>
              </w:rPr>
              <w:t>Pre-treatment hemoglobin concentration, g/dL, median (IQR)</w:t>
            </w:r>
          </w:p>
        </w:tc>
        <w:tc>
          <w:tcPr>
            <w:tcW w:w="1850" w:type="dxa"/>
            <w:tcBorders>
              <w:top w:val="single" w:sz="4" w:space="0" w:color="auto"/>
              <w:left w:val="nil"/>
              <w:bottom w:val="single" w:sz="4" w:space="0" w:color="auto"/>
              <w:right w:val="nil"/>
            </w:tcBorders>
            <w:shd w:val="clear" w:color="auto" w:fill="auto"/>
            <w:noWrap/>
            <w:vAlign w:val="bottom"/>
          </w:tcPr>
          <w:p w:rsidR="00BD2F06" w:rsidRPr="00361937" w:rsidRDefault="00BD2F06" w:rsidP="00A95E29">
            <w:pPr>
              <w:spacing w:line="480" w:lineRule="auto"/>
              <w:rPr>
                <w:color w:val="000000"/>
                <w:szCs w:val="18"/>
              </w:rPr>
            </w:pPr>
            <w:r w:rsidRPr="00361937">
              <w:rPr>
                <w:color w:val="000000"/>
                <w:szCs w:val="18"/>
              </w:rPr>
              <w:t>12.2 (10.9-13.5)</w:t>
            </w:r>
          </w:p>
        </w:tc>
        <w:tc>
          <w:tcPr>
            <w:tcW w:w="1842" w:type="dxa"/>
            <w:tcBorders>
              <w:top w:val="single" w:sz="4" w:space="0" w:color="auto"/>
              <w:left w:val="nil"/>
              <w:bottom w:val="single" w:sz="4" w:space="0" w:color="auto"/>
              <w:right w:val="nil"/>
            </w:tcBorders>
            <w:shd w:val="clear" w:color="auto" w:fill="auto"/>
            <w:noWrap/>
            <w:vAlign w:val="bottom"/>
          </w:tcPr>
          <w:p w:rsidR="00BD2F06" w:rsidRPr="00361937" w:rsidRDefault="00BD2F06" w:rsidP="00A95E29">
            <w:pPr>
              <w:spacing w:line="480" w:lineRule="auto"/>
              <w:rPr>
                <w:color w:val="000000"/>
                <w:szCs w:val="18"/>
              </w:rPr>
            </w:pPr>
            <w:r w:rsidRPr="00361937">
              <w:rPr>
                <w:color w:val="000000"/>
                <w:szCs w:val="18"/>
              </w:rPr>
              <w:t>11.9 (10.7-12.7)</w:t>
            </w:r>
          </w:p>
        </w:tc>
      </w:tr>
      <w:tr w:rsidR="00BD2F06" w:rsidRPr="00361937" w:rsidTr="00E5273B">
        <w:trPr>
          <w:trHeight w:val="320"/>
        </w:trPr>
        <w:tc>
          <w:tcPr>
            <w:tcW w:w="5520" w:type="dxa"/>
            <w:tcBorders>
              <w:top w:val="nil"/>
              <w:left w:val="nil"/>
              <w:bottom w:val="nil"/>
              <w:right w:val="nil"/>
            </w:tcBorders>
            <w:shd w:val="clear" w:color="auto" w:fill="auto"/>
            <w:noWrap/>
            <w:vAlign w:val="center"/>
          </w:tcPr>
          <w:p w:rsidR="00BD2F06" w:rsidRPr="00361937" w:rsidRDefault="00BD2F06" w:rsidP="00A95E29">
            <w:pPr>
              <w:spacing w:line="480" w:lineRule="auto"/>
              <w:rPr>
                <w:color w:val="000000"/>
                <w:szCs w:val="18"/>
              </w:rPr>
            </w:pPr>
            <w:r w:rsidRPr="00361937">
              <w:rPr>
                <w:color w:val="000000"/>
                <w:szCs w:val="18"/>
              </w:rPr>
              <w:t>Pre-treatment CD4 cell count, median (IQR) cells/mm</w:t>
            </w:r>
            <w:r w:rsidRPr="00361937">
              <w:rPr>
                <w:color w:val="000000"/>
                <w:szCs w:val="18"/>
                <w:vertAlign w:val="superscript"/>
              </w:rPr>
              <w:t>3</w:t>
            </w:r>
          </w:p>
        </w:tc>
        <w:tc>
          <w:tcPr>
            <w:tcW w:w="1850" w:type="dxa"/>
            <w:tcBorders>
              <w:top w:val="nil"/>
              <w:left w:val="nil"/>
              <w:bottom w:val="nil"/>
              <w:right w:val="nil"/>
            </w:tcBorders>
            <w:shd w:val="clear" w:color="auto" w:fill="auto"/>
            <w:noWrap/>
            <w:vAlign w:val="center"/>
          </w:tcPr>
          <w:p w:rsidR="00BD2F06" w:rsidRPr="00361937" w:rsidRDefault="00BD2F06" w:rsidP="00A95E29">
            <w:pPr>
              <w:spacing w:line="480" w:lineRule="auto"/>
              <w:rPr>
                <w:color w:val="000000"/>
                <w:szCs w:val="18"/>
              </w:rPr>
            </w:pPr>
            <w:r w:rsidRPr="00361937">
              <w:rPr>
                <w:color w:val="000000"/>
                <w:szCs w:val="18"/>
              </w:rPr>
              <w:t>256 (140-360)</w:t>
            </w:r>
          </w:p>
        </w:tc>
        <w:tc>
          <w:tcPr>
            <w:tcW w:w="1842" w:type="dxa"/>
            <w:tcBorders>
              <w:top w:val="nil"/>
              <w:left w:val="nil"/>
              <w:bottom w:val="nil"/>
              <w:right w:val="nil"/>
            </w:tcBorders>
            <w:shd w:val="clear" w:color="auto" w:fill="auto"/>
            <w:noWrap/>
            <w:vAlign w:val="center"/>
          </w:tcPr>
          <w:p w:rsidR="00BD2F06" w:rsidRPr="00361937" w:rsidRDefault="00BD2F06" w:rsidP="00A95E29">
            <w:pPr>
              <w:spacing w:line="480" w:lineRule="auto"/>
              <w:rPr>
                <w:color w:val="000000"/>
                <w:szCs w:val="18"/>
              </w:rPr>
            </w:pPr>
            <w:r w:rsidRPr="00361937">
              <w:rPr>
                <w:color w:val="000000"/>
                <w:szCs w:val="18"/>
              </w:rPr>
              <w:t xml:space="preserve">390 (237-500) </w:t>
            </w:r>
          </w:p>
        </w:tc>
      </w:tr>
      <w:tr w:rsidR="00BD2F06" w:rsidRPr="00361937" w:rsidTr="00E5273B">
        <w:trPr>
          <w:trHeight w:val="300"/>
        </w:trPr>
        <w:tc>
          <w:tcPr>
            <w:tcW w:w="5520" w:type="dxa"/>
            <w:tcBorders>
              <w:top w:val="nil"/>
              <w:left w:val="nil"/>
              <w:bottom w:val="single" w:sz="4" w:space="0" w:color="auto"/>
              <w:right w:val="nil"/>
            </w:tcBorders>
            <w:shd w:val="clear" w:color="auto" w:fill="auto"/>
            <w:noWrap/>
            <w:vAlign w:val="bottom"/>
          </w:tcPr>
          <w:p w:rsidR="00BD2F06" w:rsidRPr="00361937" w:rsidRDefault="00BD2F06" w:rsidP="00A95E29">
            <w:pPr>
              <w:spacing w:line="480" w:lineRule="auto"/>
              <w:ind w:firstLineChars="100" w:firstLine="240"/>
              <w:rPr>
                <w:color w:val="000000"/>
                <w:szCs w:val="18"/>
              </w:rPr>
            </w:pPr>
            <w:r w:rsidRPr="00361937">
              <w:rPr>
                <w:color w:val="000000"/>
                <w:szCs w:val="18"/>
              </w:rPr>
              <w:t>CD4 cell count &lt;350, n (%)</w:t>
            </w:r>
          </w:p>
        </w:tc>
        <w:tc>
          <w:tcPr>
            <w:tcW w:w="1850" w:type="dxa"/>
            <w:tcBorders>
              <w:top w:val="nil"/>
              <w:left w:val="nil"/>
              <w:bottom w:val="single" w:sz="4" w:space="0" w:color="auto"/>
              <w:right w:val="nil"/>
            </w:tcBorders>
            <w:shd w:val="clear" w:color="auto" w:fill="auto"/>
            <w:noWrap/>
            <w:vAlign w:val="bottom"/>
          </w:tcPr>
          <w:p w:rsidR="00BD2F06" w:rsidRPr="00361937" w:rsidRDefault="00BD2F06" w:rsidP="00A95E29">
            <w:pPr>
              <w:spacing w:line="480" w:lineRule="auto"/>
              <w:rPr>
                <w:color w:val="000000"/>
                <w:szCs w:val="18"/>
              </w:rPr>
            </w:pPr>
            <w:r w:rsidRPr="00361937">
              <w:rPr>
                <w:color w:val="000000"/>
                <w:szCs w:val="18"/>
              </w:rPr>
              <w:t>106 (66.3)</w:t>
            </w:r>
          </w:p>
        </w:tc>
        <w:tc>
          <w:tcPr>
            <w:tcW w:w="1842" w:type="dxa"/>
            <w:tcBorders>
              <w:top w:val="nil"/>
              <w:left w:val="nil"/>
              <w:bottom w:val="single" w:sz="4" w:space="0" w:color="auto"/>
              <w:right w:val="nil"/>
            </w:tcBorders>
            <w:shd w:val="clear" w:color="auto" w:fill="auto"/>
            <w:noWrap/>
            <w:vAlign w:val="bottom"/>
          </w:tcPr>
          <w:p w:rsidR="00BD2F06" w:rsidRPr="00361937" w:rsidRDefault="00BD2F06" w:rsidP="00A95E29">
            <w:pPr>
              <w:spacing w:line="480" w:lineRule="auto"/>
              <w:rPr>
                <w:color w:val="000000"/>
                <w:szCs w:val="18"/>
              </w:rPr>
            </w:pPr>
            <w:r w:rsidRPr="00361937">
              <w:rPr>
                <w:color w:val="000000"/>
                <w:szCs w:val="18"/>
              </w:rPr>
              <w:t>27 (44.3)</w:t>
            </w:r>
          </w:p>
        </w:tc>
      </w:tr>
      <w:tr w:rsidR="00BD2F06" w:rsidRPr="00361937" w:rsidTr="00E5273B">
        <w:trPr>
          <w:trHeight w:val="320"/>
        </w:trPr>
        <w:tc>
          <w:tcPr>
            <w:tcW w:w="5520" w:type="dxa"/>
            <w:tcBorders>
              <w:top w:val="nil"/>
              <w:left w:val="nil"/>
              <w:bottom w:val="single" w:sz="4" w:space="0" w:color="auto"/>
              <w:right w:val="nil"/>
            </w:tcBorders>
            <w:shd w:val="clear" w:color="auto" w:fill="auto"/>
            <w:noWrap/>
            <w:vAlign w:val="bottom"/>
          </w:tcPr>
          <w:p w:rsidR="00BD2F06" w:rsidRPr="00361937" w:rsidRDefault="00BD2F06" w:rsidP="00A95E29">
            <w:pPr>
              <w:spacing w:line="480" w:lineRule="auto"/>
              <w:rPr>
                <w:color w:val="000000"/>
                <w:szCs w:val="18"/>
              </w:rPr>
            </w:pPr>
            <w:r w:rsidRPr="00361937">
              <w:rPr>
                <w:color w:val="000000"/>
                <w:szCs w:val="18"/>
              </w:rPr>
              <w:t>Median (IQR) QTcF interval (msec)</w:t>
            </w:r>
          </w:p>
        </w:tc>
        <w:tc>
          <w:tcPr>
            <w:tcW w:w="1850" w:type="dxa"/>
            <w:tcBorders>
              <w:top w:val="nil"/>
              <w:left w:val="nil"/>
              <w:bottom w:val="nil"/>
              <w:right w:val="nil"/>
            </w:tcBorders>
            <w:shd w:val="clear" w:color="auto" w:fill="auto"/>
            <w:noWrap/>
            <w:vAlign w:val="bottom"/>
          </w:tcPr>
          <w:p w:rsidR="00BD2F06" w:rsidRPr="00361937" w:rsidRDefault="00BD2F06" w:rsidP="00A95E29">
            <w:pPr>
              <w:spacing w:line="480" w:lineRule="auto"/>
              <w:rPr>
                <w:color w:val="000000"/>
                <w:szCs w:val="18"/>
              </w:rPr>
            </w:pPr>
            <w:r w:rsidRPr="00361937">
              <w:rPr>
                <w:color w:val="000000"/>
                <w:szCs w:val="18"/>
              </w:rPr>
              <w:t>395 (360-418)</w:t>
            </w:r>
          </w:p>
        </w:tc>
        <w:tc>
          <w:tcPr>
            <w:tcW w:w="1842" w:type="dxa"/>
            <w:tcBorders>
              <w:top w:val="nil"/>
              <w:left w:val="nil"/>
              <w:bottom w:val="nil"/>
              <w:right w:val="nil"/>
            </w:tcBorders>
            <w:shd w:val="clear" w:color="auto" w:fill="auto"/>
            <w:noWrap/>
            <w:vAlign w:val="bottom"/>
          </w:tcPr>
          <w:p w:rsidR="00BD2F06" w:rsidRPr="00361937" w:rsidRDefault="00BD2F06" w:rsidP="00A95E29">
            <w:pPr>
              <w:spacing w:line="480" w:lineRule="auto"/>
              <w:rPr>
                <w:color w:val="000000"/>
                <w:szCs w:val="18"/>
              </w:rPr>
            </w:pPr>
            <w:r w:rsidRPr="00361937">
              <w:rPr>
                <w:color w:val="000000"/>
                <w:szCs w:val="18"/>
              </w:rPr>
              <w:t>418 (389-438)</w:t>
            </w:r>
          </w:p>
        </w:tc>
      </w:tr>
      <w:tr w:rsidR="00BD2F06" w:rsidRPr="00361937" w:rsidTr="00E5273B">
        <w:trPr>
          <w:trHeight w:val="320"/>
        </w:trPr>
        <w:tc>
          <w:tcPr>
            <w:tcW w:w="5520" w:type="dxa"/>
            <w:tcBorders>
              <w:top w:val="nil"/>
              <w:left w:val="nil"/>
              <w:bottom w:val="single" w:sz="4" w:space="0" w:color="auto"/>
              <w:right w:val="nil"/>
            </w:tcBorders>
            <w:shd w:val="clear" w:color="auto" w:fill="auto"/>
            <w:vAlign w:val="bottom"/>
          </w:tcPr>
          <w:p w:rsidR="00BD2F06" w:rsidRPr="00361937" w:rsidRDefault="00BD2F06" w:rsidP="00A95E29">
            <w:pPr>
              <w:spacing w:line="480" w:lineRule="auto"/>
              <w:rPr>
                <w:color w:val="000000"/>
                <w:szCs w:val="18"/>
              </w:rPr>
            </w:pPr>
            <w:r w:rsidRPr="00361937">
              <w:rPr>
                <w:color w:val="000000"/>
                <w:szCs w:val="18"/>
              </w:rPr>
              <w:t>Reported use of any insecticide-treated bednet before presentation, % (n)</w:t>
            </w:r>
          </w:p>
        </w:tc>
        <w:tc>
          <w:tcPr>
            <w:tcW w:w="1850" w:type="dxa"/>
            <w:tcBorders>
              <w:top w:val="single" w:sz="4" w:space="0" w:color="auto"/>
              <w:left w:val="nil"/>
              <w:bottom w:val="single" w:sz="4" w:space="0" w:color="auto"/>
              <w:right w:val="nil"/>
            </w:tcBorders>
            <w:shd w:val="clear" w:color="auto" w:fill="auto"/>
            <w:vAlign w:val="bottom"/>
          </w:tcPr>
          <w:p w:rsidR="00BD2F06" w:rsidRPr="00361937" w:rsidRDefault="00BD2F06" w:rsidP="00A95E29">
            <w:pPr>
              <w:spacing w:line="480" w:lineRule="auto"/>
              <w:rPr>
                <w:color w:val="000000"/>
                <w:szCs w:val="18"/>
              </w:rPr>
            </w:pPr>
            <w:r w:rsidRPr="00361937">
              <w:rPr>
                <w:color w:val="000000"/>
                <w:szCs w:val="18"/>
              </w:rPr>
              <w:t>44 (27.5)</w:t>
            </w:r>
          </w:p>
        </w:tc>
        <w:tc>
          <w:tcPr>
            <w:tcW w:w="1842" w:type="dxa"/>
            <w:tcBorders>
              <w:top w:val="single" w:sz="4" w:space="0" w:color="auto"/>
              <w:left w:val="nil"/>
              <w:bottom w:val="single" w:sz="4" w:space="0" w:color="auto"/>
              <w:right w:val="nil"/>
            </w:tcBorders>
            <w:shd w:val="clear" w:color="auto" w:fill="auto"/>
            <w:vAlign w:val="bottom"/>
          </w:tcPr>
          <w:p w:rsidR="00BD2F06" w:rsidRPr="00361937" w:rsidRDefault="00BD2F06" w:rsidP="00A95E29">
            <w:pPr>
              <w:spacing w:line="480" w:lineRule="auto"/>
              <w:rPr>
                <w:color w:val="000000"/>
                <w:szCs w:val="18"/>
              </w:rPr>
            </w:pPr>
            <w:r w:rsidRPr="00361937">
              <w:rPr>
                <w:color w:val="000000"/>
                <w:szCs w:val="18"/>
              </w:rPr>
              <w:t>16 (26.2)</w:t>
            </w:r>
          </w:p>
        </w:tc>
      </w:tr>
      <w:tr w:rsidR="00BD2F06" w:rsidRPr="00361937" w:rsidTr="00E5273B">
        <w:trPr>
          <w:trHeight w:val="340"/>
        </w:trPr>
        <w:tc>
          <w:tcPr>
            <w:tcW w:w="5520" w:type="dxa"/>
            <w:tcBorders>
              <w:top w:val="single" w:sz="4" w:space="0" w:color="auto"/>
              <w:left w:val="nil"/>
              <w:bottom w:val="single" w:sz="8" w:space="0" w:color="auto"/>
              <w:right w:val="nil"/>
            </w:tcBorders>
            <w:shd w:val="clear" w:color="auto" w:fill="auto"/>
            <w:noWrap/>
            <w:vAlign w:val="bottom"/>
          </w:tcPr>
          <w:p w:rsidR="00BD2F06" w:rsidRPr="00361937" w:rsidRDefault="00BD2F06" w:rsidP="00A95E29">
            <w:pPr>
              <w:spacing w:line="480" w:lineRule="auto"/>
              <w:rPr>
                <w:color w:val="000000"/>
                <w:szCs w:val="18"/>
              </w:rPr>
            </w:pPr>
            <w:r w:rsidRPr="00361937">
              <w:rPr>
                <w:color w:val="000000"/>
                <w:szCs w:val="18"/>
              </w:rPr>
              <w:t>Current use of cotrimoxazole prophylaxis, % (n)</w:t>
            </w:r>
          </w:p>
        </w:tc>
        <w:tc>
          <w:tcPr>
            <w:tcW w:w="1850" w:type="dxa"/>
            <w:tcBorders>
              <w:top w:val="single" w:sz="4" w:space="0" w:color="auto"/>
              <w:left w:val="nil"/>
              <w:bottom w:val="single" w:sz="8" w:space="0" w:color="auto"/>
              <w:right w:val="nil"/>
            </w:tcBorders>
            <w:shd w:val="clear" w:color="auto" w:fill="auto"/>
            <w:vAlign w:val="center"/>
          </w:tcPr>
          <w:p w:rsidR="00BD2F06" w:rsidRPr="00361937" w:rsidRDefault="00BD2F06" w:rsidP="00A95E29">
            <w:pPr>
              <w:spacing w:line="480" w:lineRule="auto"/>
              <w:rPr>
                <w:color w:val="000000"/>
                <w:szCs w:val="18"/>
              </w:rPr>
            </w:pPr>
            <w:r w:rsidRPr="00361937">
              <w:rPr>
                <w:color w:val="000000"/>
                <w:szCs w:val="18"/>
              </w:rPr>
              <w:t>109 (68.1)</w:t>
            </w:r>
          </w:p>
        </w:tc>
        <w:tc>
          <w:tcPr>
            <w:tcW w:w="1842" w:type="dxa"/>
            <w:tcBorders>
              <w:top w:val="single" w:sz="4" w:space="0" w:color="auto"/>
              <w:left w:val="nil"/>
              <w:bottom w:val="single" w:sz="8" w:space="0" w:color="auto"/>
              <w:right w:val="nil"/>
            </w:tcBorders>
            <w:shd w:val="clear" w:color="auto" w:fill="auto"/>
            <w:vAlign w:val="center"/>
          </w:tcPr>
          <w:p w:rsidR="00BD2F06" w:rsidRPr="00361937" w:rsidRDefault="00BD2F06" w:rsidP="00A95E29">
            <w:pPr>
              <w:spacing w:line="480" w:lineRule="auto"/>
              <w:rPr>
                <w:color w:val="000000"/>
                <w:szCs w:val="18"/>
              </w:rPr>
            </w:pPr>
            <w:r w:rsidRPr="00361937">
              <w:rPr>
                <w:color w:val="000000"/>
                <w:szCs w:val="18"/>
              </w:rPr>
              <w:t>12 (19.6)</w:t>
            </w:r>
          </w:p>
        </w:tc>
      </w:tr>
    </w:tbl>
    <w:p w:rsidR="00812203" w:rsidRPr="00361937" w:rsidRDefault="00812203" w:rsidP="00A95E29">
      <w:pPr>
        <w:suppressLineNumbers/>
        <w:spacing w:line="480" w:lineRule="auto"/>
      </w:pPr>
    </w:p>
    <w:p w:rsidR="00CA66EE" w:rsidRPr="00361937" w:rsidRDefault="00CA66EE" w:rsidP="00A95E29">
      <w:pPr>
        <w:widowControl w:val="0"/>
        <w:suppressLineNumbers/>
        <w:autoSpaceDE w:val="0"/>
        <w:autoSpaceDN w:val="0"/>
        <w:adjustRightInd w:val="0"/>
        <w:spacing w:line="480" w:lineRule="auto"/>
        <w:ind w:left="-567"/>
        <w:rPr>
          <w:b/>
          <w:bCs/>
          <w:color w:val="000000"/>
          <w:szCs w:val="20"/>
        </w:rPr>
      </w:pPr>
    </w:p>
    <w:p w:rsidR="00CF0254" w:rsidRPr="00361937" w:rsidRDefault="00CF0254" w:rsidP="00A95E29">
      <w:pPr>
        <w:widowControl w:val="0"/>
        <w:suppressLineNumbers/>
        <w:autoSpaceDE w:val="0"/>
        <w:autoSpaceDN w:val="0"/>
        <w:adjustRightInd w:val="0"/>
        <w:spacing w:line="480" w:lineRule="auto"/>
        <w:ind w:left="-567"/>
        <w:rPr>
          <w:b/>
          <w:bCs/>
          <w:color w:val="000000"/>
          <w:szCs w:val="20"/>
        </w:rPr>
      </w:pPr>
    </w:p>
    <w:p w:rsidR="00CF0254" w:rsidRPr="00361937" w:rsidRDefault="00CF0254" w:rsidP="00A95E29">
      <w:pPr>
        <w:widowControl w:val="0"/>
        <w:suppressLineNumbers/>
        <w:autoSpaceDE w:val="0"/>
        <w:autoSpaceDN w:val="0"/>
        <w:adjustRightInd w:val="0"/>
        <w:spacing w:line="480" w:lineRule="auto"/>
        <w:ind w:left="-567"/>
        <w:rPr>
          <w:b/>
          <w:bCs/>
          <w:color w:val="000000"/>
          <w:szCs w:val="20"/>
        </w:rPr>
      </w:pPr>
    </w:p>
    <w:p w:rsidR="00CF0254" w:rsidRPr="00361937" w:rsidRDefault="00CF0254" w:rsidP="00A95E29">
      <w:pPr>
        <w:widowControl w:val="0"/>
        <w:suppressLineNumbers/>
        <w:autoSpaceDE w:val="0"/>
        <w:autoSpaceDN w:val="0"/>
        <w:adjustRightInd w:val="0"/>
        <w:spacing w:line="480" w:lineRule="auto"/>
        <w:ind w:left="-567"/>
        <w:rPr>
          <w:b/>
          <w:bCs/>
          <w:color w:val="000000"/>
          <w:szCs w:val="20"/>
        </w:rPr>
      </w:pPr>
    </w:p>
    <w:p w:rsidR="008576FF" w:rsidRPr="00361937" w:rsidRDefault="008576FF" w:rsidP="00A95E29">
      <w:pPr>
        <w:widowControl w:val="0"/>
        <w:suppressLineNumbers/>
        <w:autoSpaceDE w:val="0"/>
        <w:autoSpaceDN w:val="0"/>
        <w:adjustRightInd w:val="0"/>
        <w:spacing w:line="480" w:lineRule="auto"/>
        <w:rPr>
          <w:b/>
          <w:bCs/>
          <w:color w:val="000000"/>
          <w:szCs w:val="20"/>
        </w:rPr>
      </w:pPr>
    </w:p>
    <w:p w:rsidR="005571A7" w:rsidRPr="00361937" w:rsidRDefault="005571A7" w:rsidP="00A95E29">
      <w:pPr>
        <w:widowControl w:val="0"/>
        <w:suppressLineNumbers/>
        <w:autoSpaceDE w:val="0"/>
        <w:autoSpaceDN w:val="0"/>
        <w:adjustRightInd w:val="0"/>
        <w:spacing w:line="480" w:lineRule="auto"/>
        <w:rPr>
          <w:b/>
          <w:bCs/>
          <w:color w:val="000000"/>
          <w:szCs w:val="20"/>
        </w:rPr>
      </w:pPr>
    </w:p>
    <w:p w:rsidR="005571A7" w:rsidRPr="00361937" w:rsidRDefault="005571A7" w:rsidP="00A95E29">
      <w:pPr>
        <w:widowControl w:val="0"/>
        <w:suppressLineNumbers/>
        <w:autoSpaceDE w:val="0"/>
        <w:autoSpaceDN w:val="0"/>
        <w:adjustRightInd w:val="0"/>
        <w:spacing w:line="480" w:lineRule="auto"/>
        <w:rPr>
          <w:b/>
          <w:bCs/>
          <w:color w:val="000000"/>
          <w:szCs w:val="20"/>
        </w:rPr>
      </w:pPr>
    </w:p>
    <w:p w:rsidR="005571A7" w:rsidRDefault="005571A7" w:rsidP="00A95E29">
      <w:pPr>
        <w:widowControl w:val="0"/>
        <w:suppressLineNumbers/>
        <w:autoSpaceDE w:val="0"/>
        <w:autoSpaceDN w:val="0"/>
        <w:adjustRightInd w:val="0"/>
        <w:spacing w:line="480" w:lineRule="auto"/>
        <w:rPr>
          <w:b/>
          <w:bCs/>
          <w:color w:val="000000"/>
          <w:szCs w:val="20"/>
        </w:rPr>
      </w:pPr>
    </w:p>
    <w:p w:rsidR="00E5273B" w:rsidRDefault="00E5273B" w:rsidP="00A95E29">
      <w:pPr>
        <w:widowControl w:val="0"/>
        <w:suppressLineNumbers/>
        <w:autoSpaceDE w:val="0"/>
        <w:autoSpaceDN w:val="0"/>
        <w:adjustRightInd w:val="0"/>
        <w:spacing w:line="480" w:lineRule="auto"/>
        <w:rPr>
          <w:b/>
          <w:bCs/>
          <w:color w:val="000000"/>
          <w:szCs w:val="20"/>
        </w:rPr>
      </w:pPr>
    </w:p>
    <w:p w:rsidR="00E5273B" w:rsidRPr="00361937" w:rsidRDefault="00E5273B" w:rsidP="00A95E29">
      <w:pPr>
        <w:widowControl w:val="0"/>
        <w:suppressLineNumbers/>
        <w:autoSpaceDE w:val="0"/>
        <w:autoSpaceDN w:val="0"/>
        <w:adjustRightInd w:val="0"/>
        <w:spacing w:line="480" w:lineRule="auto"/>
        <w:rPr>
          <w:b/>
          <w:bCs/>
          <w:color w:val="000000"/>
          <w:szCs w:val="20"/>
        </w:rPr>
      </w:pPr>
    </w:p>
    <w:tbl>
      <w:tblPr>
        <w:tblW w:w="11613" w:type="dxa"/>
        <w:tblInd w:w="-1276" w:type="dxa"/>
        <w:tblLook w:val="04A0" w:firstRow="1" w:lastRow="0" w:firstColumn="1" w:lastColumn="0" w:noHBand="0" w:noVBand="1"/>
      </w:tblPr>
      <w:tblGrid>
        <w:gridCol w:w="5795"/>
        <w:gridCol w:w="1903"/>
        <w:gridCol w:w="1766"/>
        <w:gridCol w:w="1072"/>
        <w:gridCol w:w="1077"/>
      </w:tblGrid>
      <w:tr w:rsidR="008576FF" w:rsidRPr="00361937" w:rsidTr="00E5273B">
        <w:trPr>
          <w:trHeight w:val="883"/>
        </w:trPr>
        <w:tc>
          <w:tcPr>
            <w:tcW w:w="9464" w:type="dxa"/>
            <w:gridSpan w:val="3"/>
            <w:tcBorders>
              <w:top w:val="nil"/>
              <w:left w:val="nil"/>
              <w:bottom w:val="nil"/>
              <w:right w:val="nil"/>
            </w:tcBorders>
            <w:shd w:val="clear" w:color="auto" w:fill="auto"/>
            <w:vAlign w:val="bottom"/>
          </w:tcPr>
          <w:p w:rsidR="008576FF" w:rsidRPr="00361937" w:rsidRDefault="008576FF" w:rsidP="00A95E29">
            <w:pPr>
              <w:spacing w:line="480" w:lineRule="auto"/>
              <w:rPr>
                <w:szCs w:val="20"/>
              </w:rPr>
            </w:pPr>
            <w:r w:rsidRPr="00361937">
              <w:rPr>
                <w:b/>
                <w:bCs/>
                <w:color w:val="000000"/>
                <w:szCs w:val="20"/>
              </w:rPr>
              <w:lastRenderedPageBreak/>
              <w:t xml:space="preserve">Table 2. Efficacy outcomes and </w:t>
            </w:r>
            <w:r w:rsidR="00F54FCF" w:rsidRPr="00361937">
              <w:rPr>
                <w:b/>
                <w:bCs/>
                <w:color w:val="000000"/>
                <w:szCs w:val="20"/>
              </w:rPr>
              <w:t>adequate clinical and parasitilogical re</w:t>
            </w:r>
            <w:r w:rsidR="008500C9" w:rsidRPr="00361937">
              <w:rPr>
                <w:b/>
                <w:bCs/>
                <w:color w:val="000000"/>
                <w:szCs w:val="20"/>
              </w:rPr>
              <w:t>sponse</w:t>
            </w:r>
            <w:r w:rsidR="00F54FCF" w:rsidRPr="00361937">
              <w:rPr>
                <w:b/>
                <w:bCs/>
                <w:color w:val="000000"/>
                <w:szCs w:val="20"/>
              </w:rPr>
              <w:t xml:space="preserve"> </w:t>
            </w:r>
            <w:r w:rsidRPr="00361937">
              <w:rPr>
                <w:b/>
                <w:bCs/>
                <w:color w:val="000000"/>
                <w:szCs w:val="20"/>
              </w:rPr>
              <w:t>rates by day 42 among the enrolled participants</w:t>
            </w:r>
            <w:r w:rsidR="008500C9" w:rsidRPr="00361937">
              <w:rPr>
                <w:b/>
                <w:bCs/>
                <w:color w:val="000000"/>
                <w:szCs w:val="20"/>
              </w:rPr>
              <w:t xml:space="preserve"> </w:t>
            </w:r>
            <w:r w:rsidRPr="00361937">
              <w:rPr>
                <w:b/>
                <w:bCs/>
                <w:color w:val="000000"/>
                <w:szCs w:val="20"/>
              </w:rPr>
              <w:t>stratified by group of</w:t>
            </w:r>
            <w:r w:rsidR="00F54FCF" w:rsidRPr="00361937">
              <w:rPr>
                <w:b/>
                <w:bCs/>
                <w:color w:val="000000"/>
                <w:szCs w:val="20"/>
              </w:rPr>
              <w:t xml:space="preserve"> </w:t>
            </w:r>
            <w:r w:rsidRPr="00361937">
              <w:rPr>
                <w:b/>
                <w:bCs/>
                <w:color w:val="000000"/>
                <w:szCs w:val="20"/>
              </w:rPr>
              <w:t>antiretroviral therapy</w:t>
            </w:r>
          </w:p>
        </w:tc>
        <w:tc>
          <w:tcPr>
            <w:tcW w:w="1072" w:type="dxa"/>
            <w:tcBorders>
              <w:top w:val="nil"/>
              <w:left w:val="nil"/>
              <w:bottom w:val="nil"/>
              <w:right w:val="nil"/>
            </w:tcBorders>
            <w:shd w:val="clear" w:color="auto" w:fill="auto"/>
            <w:noWrap/>
            <w:vAlign w:val="bottom"/>
          </w:tcPr>
          <w:p w:rsidR="008576FF" w:rsidRPr="00361937" w:rsidRDefault="008576FF" w:rsidP="00A95E29">
            <w:pPr>
              <w:spacing w:line="480" w:lineRule="auto"/>
              <w:rPr>
                <w:szCs w:val="20"/>
              </w:rPr>
            </w:pPr>
          </w:p>
        </w:tc>
        <w:tc>
          <w:tcPr>
            <w:tcW w:w="1077" w:type="dxa"/>
            <w:tcBorders>
              <w:top w:val="nil"/>
              <w:left w:val="nil"/>
              <w:bottom w:val="nil"/>
              <w:right w:val="nil"/>
            </w:tcBorders>
            <w:shd w:val="clear" w:color="auto" w:fill="auto"/>
            <w:noWrap/>
            <w:vAlign w:val="bottom"/>
          </w:tcPr>
          <w:p w:rsidR="008576FF" w:rsidRPr="00361937" w:rsidRDefault="008576FF" w:rsidP="00A95E29">
            <w:pPr>
              <w:spacing w:line="480" w:lineRule="auto"/>
              <w:rPr>
                <w:szCs w:val="20"/>
              </w:rPr>
            </w:pPr>
          </w:p>
        </w:tc>
      </w:tr>
      <w:tr w:rsidR="008576FF" w:rsidRPr="00361937" w:rsidTr="00E5273B">
        <w:trPr>
          <w:trHeight w:val="575"/>
        </w:trPr>
        <w:tc>
          <w:tcPr>
            <w:tcW w:w="5795" w:type="dxa"/>
            <w:tcBorders>
              <w:top w:val="single" w:sz="4" w:space="0" w:color="auto"/>
              <w:left w:val="nil"/>
              <w:bottom w:val="single" w:sz="4" w:space="0" w:color="auto"/>
              <w:right w:val="nil"/>
            </w:tcBorders>
            <w:shd w:val="clear" w:color="auto" w:fill="auto"/>
            <w:noWrap/>
          </w:tcPr>
          <w:p w:rsidR="008576FF" w:rsidRPr="00361937" w:rsidRDefault="008576FF" w:rsidP="00A95E29">
            <w:pPr>
              <w:spacing w:line="480" w:lineRule="auto"/>
              <w:rPr>
                <w:b/>
                <w:bCs/>
                <w:color w:val="000000"/>
                <w:szCs w:val="20"/>
              </w:rPr>
            </w:pPr>
            <w:r w:rsidRPr="00361937">
              <w:rPr>
                <w:b/>
                <w:bCs/>
                <w:color w:val="000000"/>
                <w:szCs w:val="20"/>
              </w:rPr>
              <w:t xml:space="preserve">Variable </w:t>
            </w:r>
          </w:p>
        </w:tc>
        <w:tc>
          <w:tcPr>
            <w:tcW w:w="1903" w:type="dxa"/>
            <w:tcBorders>
              <w:top w:val="single" w:sz="4" w:space="0" w:color="auto"/>
              <w:left w:val="nil"/>
              <w:bottom w:val="single" w:sz="4" w:space="0" w:color="auto"/>
              <w:right w:val="nil"/>
            </w:tcBorders>
            <w:shd w:val="clear" w:color="auto" w:fill="auto"/>
          </w:tcPr>
          <w:p w:rsidR="008576FF" w:rsidRPr="00361937" w:rsidRDefault="008576FF" w:rsidP="00A95E29">
            <w:pPr>
              <w:spacing w:line="480" w:lineRule="auto"/>
              <w:rPr>
                <w:b/>
                <w:bCs/>
                <w:color w:val="000000"/>
                <w:szCs w:val="20"/>
              </w:rPr>
            </w:pPr>
            <w:r w:rsidRPr="00361937">
              <w:rPr>
                <w:b/>
                <w:bCs/>
                <w:color w:val="000000"/>
                <w:szCs w:val="20"/>
              </w:rPr>
              <w:t>DPQ + Efavirenz</w:t>
            </w:r>
            <w:r w:rsidRPr="00361937">
              <w:rPr>
                <w:b/>
                <w:bCs/>
                <w:color w:val="000000"/>
                <w:szCs w:val="20"/>
              </w:rPr>
              <w:br/>
              <w:t>N=160</w:t>
            </w:r>
          </w:p>
        </w:tc>
        <w:tc>
          <w:tcPr>
            <w:tcW w:w="1766" w:type="dxa"/>
            <w:tcBorders>
              <w:top w:val="single" w:sz="4" w:space="0" w:color="auto"/>
              <w:left w:val="nil"/>
              <w:bottom w:val="single" w:sz="4" w:space="0" w:color="auto"/>
              <w:right w:val="nil"/>
            </w:tcBorders>
            <w:shd w:val="clear" w:color="auto" w:fill="auto"/>
          </w:tcPr>
          <w:p w:rsidR="008576FF" w:rsidRPr="00361937" w:rsidRDefault="008576FF" w:rsidP="00A95E29">
            <w:pPr>
              <w:spacing w:line="480" w:lineRule="auto"/>
              <w:rPr>
                <w:b/>
                <w:bCs/>
                <w:color w:val="000000"/>
                <w:szCs w:val="20"/>
              </w:rPr>
            </w:pPr>
            <w:r w:rsidRPr="00361937">
              <w:rPr>
                <w:b/>
                <w:bCs/>
                <w:color w:val="000000"/>
                <w:szCs w:val="20"/>
              </w:rPr>
              <w:t>DPQ + Nevirapine</w:t>
            </w:r>
            <w:r w:rsidRPr="00361937">
              <w:rPr>
                <w:b/>
                <w:bCs/>
                <w:color w:val="000000"/>
                <w:szCs w:val="20"/>
              </w:rPr>
              <w:br/>
              <w:t>N=61</w:t>
            </w:r>
          </w:p>
        </w:tc>
        <w:tc>
          <w:tcPr>
            <w:tcW w:w="1072" w:type="dxa"/>
            <w:tcBorders>
              <w:top w:val="nil"/>
              <w:left w:val="nil"/>
              <w:bottom w:val="nil"/>
              <w:right w:val="nil"/>
            </w:tcBorders>
            <w:shd w:val="clear" w:color="auto" w:fill="auto"/>
            <w:noWrap/>
            <w:vAlign w:val="bottom"/>
          </w:tcPr>
          <w:p w:rsidR="008576FF" w:rsidRPr="00361937" w:rsidRDefault="008576FF" w:rsidP="00A95E29">
            <w:pPr>
              <w:spacing w:line="480" w:lineRule="auto"/>
              <w:rPr>
                <w:b/>
                <w:bCs/>
                <w:color w:val="000000"/>
                <w:szCs w:val="20"/>
              </w:rPr>
            </w:pPr>
          </w:p>
        </w:tc>
        <w:tc>
          <w:tcPr>
            <w:tcW w:w="1077" w:type="dxa"/>
            <w:tcBorders>
              <w:top w:val="nil"/>
              <w:left w:val="nil"/>
              <w:bottom w:val="nil"/>
              <w:right w:val="nil"/>
            </w:tcBorders>
            <w:shd w:val="clear" w:color="auto" w:fill="auto"/>
            <w:noWrap/>
            <w:vAlign w:val="bottom"/>
          </w:tcPr>
          <w:p w:rsidR="008576FF" w:rsidRPr="00361937" w:rsidRDefault="008576FF" w:rsidP="00A95E29">
            <w:pPr>
              <w:spacing w:line="480" w:lineRule="auto"/>
              <w:rPr>
                <w:szCs w:val="20"/>
              </w:rPr>
            </w:pPr>
          </w:p>
        </w:tc>
      </w:tr>
      <w:tr w:rsidR="008576FF" w:rsidRPr="00361937" w:rsidTr="00E5273B">
        <w:trPr>
          <w:trHeight w:val="307"/>
        </w:trPr>
        <w:tc>
          <w:tcPr>
            <w:tcW w:w="5795" w:type="dxa"/>
            <w:tcBorders>
              <w:top w:val="nil"/>
              <w:left w:val="nil"/>
              <w:bottom w:val="nil"/>
              <w:right w:val="nil"/>
            </w:tcBorders>
            <w:shd w:val="clear" w:color="auto" w:fill="auto"/>
            <w:noWrap/>
            <w:vAlign w:val="bottom"/>
          </w:tcPr>
          <w:p w:rsidR="008576FF" w:rsidRPr="00361937" w:rsidRDefault="008576FF" w:rsidP="00A95E29">
            <w:pPr>
              <w:spacing w:line="480" w:lineRule="auto"/>
              <w:rPr>
                <w:b/>
                <w:bCs/>
                <w:color w:val="000000"/>
                <w:szCs w:val="20"/>
              </w:rPr>
            </w:pPr>
            <w:r w:rsidRPr="00361937">
              <w:rPr>
                <w:b/>
                <w:bCs/>
                <w:color w:val="000000"/>
                <w:szCs w:val="20"/>
              </w:rPr>
              <w:t>Early treatment failure-no. (%)</w:t>
            </w:r>
          </w:p>
        </w:tc>
        <w:tc>
          <w:tcPr>
            <w:tcW w:w="1903" w:type="dxa"/>
            <w:tcBorders>
              <w:top w:val="nil"/>
              <w:left w:val="nil"/>
              <w:bottom w:val="nil"/>
              <w:right w:val="nil"/>
            </w:tcBorders>
            <w:shd w:val="clear" w:color="auto" w:fill="auto"/>
            <w:noWrap/>
            <w:vAlign w:val="bottom"/>
          </w:tcPr>
          <w:p w:rsidR="008576FF" w:rsidRPr="00361937" w:rsidRDefault="008576FF" w:rsidP="00A95E29">
            <w:pPr>
              <w:spacing w:line="480" w:lineRule="auto"/>
              <w:rPr>
                <w:color w:val="000000"/>
                <w:szCs w:val="20"/>
              </w:rPr>
            </w:pPr>
            <w:r w:rsidRPr="00361937">
              <w:rPr>
                <w:color w:val="000000"/>
                <w:szCs w:val="20"/>
              </w:rPr>
              <w:t>1 (0.6)</w:t>
            </w:r>
          </w:p>
        </w:tc>
        <w:tc>
          <w:tcPr>
            <w:tcW w:w="1766" w:type="dxa"/>
            <w:tcBorders>
              <w:top w:val="nil"/>
              <w:left w:val="nil"/>
              <w:bottom w:val="nil"/>
              <w:right w:val="nil"/>
            </w:tcBorders>
            <w:shd w:val="clear" w:color="auto" w:fill="auto"/>
            <w:noWrap/>
            <w:vAlign w:val="bottom"/>
          </w:tcPr>
          <w:p w:rsidR="008576FF" w:rsidRPr="00361937" w:rsidRDefault="008576FF" w:rsidP="00A95E29">
            <w:pPr>
              <w:spacing w:line="480" w:lineRule="auto"/>
              <w:rPr>
                <w:color w:val="000000"/>
                <w:szCs w:val="20"/>
              </w:rPr>
            </w:pPr>
            <w:r w:rsidRPr="00361937">
              <w:rPr>
                <w:color w:val="000000"/>
                <w:szCs w:val="20"/>
              </w:rPr>
              <w:t>0</w:t>
            </w:r>
          </w:p>
        </w:tc>
        <w:tc>
          <w:tcPr>
            <w:tcW w:w="1072" w:type="dxa"/>
            <w:tcBorders>
              <w:top w:val="nil"/>
              <w:left w:val="nil"/>
              <w:bottom w:val="nil"/>
              <w:right w:val="nil"/>
            </w:tcBorders>
            <w:shd w:val="clear" w:color="auto" w:fill="auto"/>
            <w:noWrap/>
            <w:vAlign w:val="bottom"/>
          </w:tcPr>
          <w:p w:rsidR="008576FF" w:rsidRPr="00361937" w:rsidRDefault="008576FF" w:rsidP="00A95E29">
            <w:pPr>
              <w:spacing w:line="480" w:lineRule="auto"/>
              <w:rPr>
                <w:color w:val="000000"/>
                <w:szCs w:val="20"/>
              </w:rPr>
            </w:pPr>
          </w:p>
        </w:tc>
        <w:tc>
          <w:tcPr>
            <w:tcW w:w="1077" w:type="dxa"/>
            <w:tcBorders>
              <w:top w:val="nil"/>
              <w:left w:val="nil"/>
              <w:bottom w:val="nil"/>
              <w:right w:val="nil"/>
            </w:tcBorders>
            <w:shd w:val="clear" w:color="auto" w:fill="auto"/>
            <w:noWrap/>
            <w:vAlign w:val="bottom"/>
          </w:tcPr>
          <w:p w:rsidR="008576FF" w:rsidRPr="00361937" w:rsidRDefault="008576FF" w:rsidP="00A95E29">
            <w:pPr>
              <w:spacing w:line="480" w:lineRule="auto"/>
              <w:rPr>
                <w:szCs w:val="20"/>
              </w:rPr>
            </w:pPr>
          </w:p>
        </w:tc>
      </w:tr>
      <w:tr w:rsidR="008576FF" w:rsidRPr="00361937" w:rsidTr="00E5273B">
        <w:trPr>
          <w:trHeight w:val="307"/>
        </w:trPr>
        <w:tc>
          <w:tcPr>
            <w:tcW w:w="5795" w:type="dxa"/>
            <w:tcBorders>
              <w:top w:val="nil"/>
              <w:left w:val="nil"/>
              <w:bottom w:val="nil"/>
              <w:right w:val="nil"/>
            </w:tcBorders>
            <w:shd w:val="clear" w:color="auto" w:fill="auto"/>
            <w:noWrap/>
            <w:vAlign w:val="bottom"/>
          </w:tcPr>
          <w:p w:rsidR="008576FF" w:rsidRPr="00361937" w:rsidRDefault="008576FF" w:rsidP="00A95E29">
            <w:pPr>
              <w:spacing w:line="480" w:lineRule="auto"/>
              <w:ind w:firstLineChars="100" w:firstLine="240"/>
              <w:rPr>
                <w:color w:val="000000"/>
                <w:szCs w:val="20"/>
              </w:rPr>
            </w:pPr>
            <w:r w:rsidRPr="00361937">
              <w:rPr>
                <w:color w:val="000000"/>
                <w:szCs w:val="20"/>
              </w:rPr>
              <w:t xml:space="preserve">Development of danger signs or severe malaria </w:t>
            </w:r>
          </w:p>
        </w:tc>
        <w:tc>
          <w:tcPr>
            <w:tcW w:w="1903" w:type="dxa"/>
            <w:tcBorders>
              <w:top w:val="nil"/>
              <w:left w:val="nil"/>
              <w:bottom w:val="nil"/>
              <w:right w:val="nil"/>
            </w:tcBorders>
            <w:shd w:val="clear" w:color="auto" w:fill="auto"/>
            <w:noWrap/>
            <w:vAlign w:val="bottom"/>
          </w:tcPr>
          <w:p w:rsidR="008576FF" w:rsidRPr="00361937" w:rsidRDefault="008576FF" w:rsidP="00A95E29">
            <w:pPr>
              <w:spacing w:line="480" w:lineRule="auto"/>
              <w:rPr>
                <w:color w:val="000000"/>
                <w:szCs w:val="20"/>
              </w:rPr>
            </w:pPr>
            <w:r w:rsidRPr="00361937">
              <w:rPr>
                <w:color w:val="000000"/>
                <w:szCs w:val="20"/>
              </w:rPr>
              <w:t>0</w:t>
            </w:r>
          </w:p>
        </w:tc>
        <w:tc>
          <w:tcPr>
            <w:tcW w:w="1766" w:type="dxa"/>
            <w:tcBorders>
              <w:top w:val="nil"/>
              <w:left w:val="nil"/>
              <w:bottom w:val="nil"/>
              <w:right w:val="nil"/>
            </w:tcBorders>
            <w:shd w:val="clear" w:color="auto" w:fill="auto"/>
            <w:noWrap/>
            <w:vAlign w:val="bottom"/>
          </w:tcPr>
          <w:p w:rsidR="008576FF" w:rsidRPr="00361937" w:rsidRDefault="008576FF" w:rsidP="00A95E29">
            <w:pPr>
              <w:spacing w:line="480" w:lineRule="auto"/>
              <w:rPr>
                <w:color w:val="000000"/>
                <w:szCs w:val="20"/>
              </w:rPr>
            </w:pPr>
            <w:r w:rsidRPr="00361937">
              <w:rPr>
                <w:color w:val="000000"/>
                <w:szCs w:val="20"/>
              </w:rPr>
              <w:t>0</w:t>
            </w:r>
          </w:p>
        </w:tc>
        <w:tc>
          <w:tcPr>
            <w:tcW w:w="1072" w:type="dxa"/>
            <w:tcBorders>
              <w:top w:val="nil"/>
              <w:left w:val="nil"/>
              <w:bottom w:val="nil"/>
              <w:right w:val="nil"/>
            </w:tcBorders>
            <w:shd w:val="clear" w:color="auto" w:fill="auto"/>
            <w:noWrap/>
            <w:vAlign w:val="bottom"/>
          </w:tcPr>
          <w:p w:rsidR="008576FF" w:rsidRPr="00361937" w:rsidRDefault="008576FF" w:rsidP="00A95E29">
            <w:pPr>
              <w:spacing w:line="480" w:lineRule="auto"/>
              <w:rPr>
                <w:color w:val="000000"/>
                <w:szCs w:val="20"/>
              </w:rPr>
            </w:pPr>
          </w:p>
        </w:tc>
        <w:tc>
          <w:tcPr>
            <w:tcW w:w="1077" w:type="dxa"/>
            <w:tcBorders>
              <w:top w:val="nil"/>
              <w:left w:val="nil"/>
              <w:bottom w:val="nil"/>
              <w:right w:val="nil"/>
            </w:tcBorders>
            <w:shd w:val="clear" w:color="auto" w:fill="auto"/>
            <w:noWrap/>
            <w:vAlign w:val="bottom"/>
          </w:tcPr>
          <w:p w:rsidR="008576FF" w:rsidRPr="00361937" w:rsidRDefault="008576FF" w:rsidP="00A95E29">
            <w:pPr>
              <w:spacing w:line="480" w:lineRule="auto"/>
              <w:rPr>
                <w:szCs w:val="20"/>
              </w:rPr>
            </w:pPr>
          </w:p>
        </w:tc>
      </w:tr>
      <w:tr w:rsidR="008576FF" w:rsidRPr="00361937" w:rsidTr="00E5273B">
        <w:trPr>
          <w:trHeight w:val="307"/>
        </w:trPr>
        <w:tc>
          <w:tcPr>
            <w:tcW w:w="5795" w:type="dxa"/>
            <w:tcBorders>
              <w:top w:val="nil"/>
              <w:left w:val="nil"/>
              <w:bottom w:val="nil"/>
              <w:right w:val="nil"/>
            </w:tcBorders>
            <w:shd w:val="clear" w:color="auto" w:fill="auto"/>
            <w:noWrap/>
            <w:vAlign w:val="bottom"/>
          </w:tcPr>
          <w:p w:rsidR="008576FF" w:rsidRPr="00361937" w:rsidRDefault="008576FF" w:rsidP="00A95E29">
            <w:pPr>
              <w:spacing w:line="480" w:lineRule="auto"/>
              <w:ind w:firstLineChars="100" w:firstLine="240"/>
              <w:rPr>
                <w:color w:val="000000"/>
                <w:szCs w:val="20"/>
              </w:rPr>
            </w:pPr>
            <w:r w:rsidRPr="00361937">
              <w:rPr>
                <w:color w:val="000000"/>
                <w:szCs w:val="20"/>
              </w:rPr>
              <w:t>Parasitaemia on day 2 greater than day 0</w:t>
            </w:r>
          </w:p>
        </w:tc>
        <w:tc>
          <w:tcPr>
            <w:tcW w:w="1903" w:type="dxa"/>
            <w:tcBorders>
              <w:top w:val="nil"/>
              <w:left w:val="nil"/>
              <w:bottom w:val="nil"/>
              <w:right w:val="nil"/>
            </w:tcBorders>
            <w:shd w:val="clear" w:color="auto" w:fill="auto"/>
            <w:noWrap/>
            <w:vAlign w:val="bottom"/>
          </w:tcPr>
          <w:p w:rsidR="008576FF" w:rsidRPr="00361937" w:rsidRDefault="008576FF" w:rsidP="00A95E29">
            <w:pPr>
              <w:spacing w:line="480" w:lineRule="auto"/>
              <w:rPr>
                <w:color w:val="000000"/>
                <w:szCs w:val="20"/>
              </w:rPr>
            </w:pPr>
            <w:r w:rsidRPr="00361937">
              <w:rPr>
                <w:color w:val="000000"/>
                <w:szCs w:val="20"/>
              </w:rPr>
              <w:t>0</w:t>
            </w:r>
          </w:p>
        </w:tc>
        <w:tc>
          <w:tcPr>
            <w:tcW w:w="1766" w:type="dxa"/>
            <w:tcBorders>
              <w:top w:val="nil"/>
              <w:left w:val="nil"/>
              <w:bottom w:val="nil"/>
              <w:right w:val="nil"/>
            </w:tcBorders>
            <w:shd w:val="clear" w:color="auto" w:fill="auto"/>
            <w:noWrap/>
            <w:vAlign w:val="bottom"/>
          </w:tcPr>
          <w:p w:rsidR="008576FF" w:rsidRPr="00361937" w:rsidRDefault="008576FF" w:rsidP="00A95E29">
            <w:pPr>
              <w:spacing w:line="480" w:lineRule="auto"/>
              <w:rPr>
                <w:color w:val="000000"/>
                <w:szCs w:val="20"/>
              </w:rPr>
            </w:pPr>
            <w:r w:rsidRPr="00361937">
              <w:rPr>
                <w:color w:val="000000"/>
                <w:szCs w:val="20"/>
              </w:rPr>
              <w:t>0</w:t>
            </w:r>
          </w:p>
        </w:tc>
        <w:tc>
          <w:tcPr>
            <w:tcW w:w="1072" w:type="dxa"/>
            <w:tcBorders>
              <w:top w:val="nil"/>
              <w:left w:val="nil"/>
              <w:bottom w:val="nil"/>
              <w:right w:val="nil"/>
            </w:tcBorders>
            <w:shd w:val="clear" w:color="auto" w:fill="auto"/>
            <w:noWrap/>
            <w:vAlign w:val="bottom"/>
          </w:tcPr>
          <w:p w:rsidR="008576FF" w:rsidRPr="00361937" w:rsidRDefault="008576FF" w:rsidP="00A95E29">
            <w:pPr>
              <w:spacing w:line="480" w:lineRule="auto"/>
              <w:rPr>
                <w:color w:val="000000"/>
                <w:szCs w:val="20"/>
              </w:rPr>
            </w:pPr>
          </w:p>
        </w:tc>
        <w:tc>
          <w:tcPr>
            <w:tcW w:w="1077" w:type="dxa"/>
            <w:tcBorders>
              <w:top w:val="nil"/>
              <w:left w:val="nil"/>
              <w:bottom w:val="nil"/>
              <w:right w:val="nil"/>
            </w:tcBorders>
            <w:shd w:val="clear" w:color="auto" w:fill="auto"/>
            <w:noWrap/>
            <w:vAlign w:val="bottom"/>
          </w:tcPr>
          <w:p w:rsidR="008576FF" w:rsidRPr="00361937" w:rsidRDefault="008576FF" w:rsidP="00A95E29">
            <w:pPr>
              <w:spacing w:line="480" w:lineRule="auto"/>
              <w:rPr>
                <w:szCs w:val="20"/>
              </w:rPr>
            </w:pPr>
          </w:p>
        </w:tc>
      </w:tr>
      <w:tr w:rsidR="008576FF" w:rsidRPr="00361937" w:rsidTr="00E5273B">
        <w:trPr>
          <w:trHeight w:val="307"/>
        </w:trPr>
        <w:tc>
          <w:tcPr>
            <w:tcW w:w="5795" w:type="dxa"/>
            <w:tcBorders>
              <w:top w:val="nil"/>
              <w:left w:val="nil"/>
              <w:bottom w:val="nil"/>
              <w:right w:val="nil"/>
            </w:tcBorders>
            <w:shd w:val="clear" w:color="auto" w:fill="auto"/>
            <w:noWrap/>
            <w:vAlign w:val="bottom"/>
          </w:tcPr>
          <w:p w:rsidR="008576FF" w:rsidRPr="00361937" w:rsidRDefault="008576FF" w:rsidP="00A95E29">
            <w:pPr>
              <w:spacing w:line="480" w:lineRule="auto"/>
              <w:ind w:firstLineChars="100" w:firstLine="240"/>
              <w:rPr>
                <w:color w:val="000000"/>
                <w:szCs w:val="20"/>
              </w:rPr>
            </w:pPr>
            <w:r w:rsidRPr="00361937">
              <w:rPr>
                <w:color w:val="000000"/>
                <w:szCs w:val="20"/>
              </w:rPr>
              <w:t>Parasitemia on day 3 ≥ 25% of count on day 0.</w:t>
            </w:r>
          </w:p>
        </w:tc>
        <w:tc>
          <w:tcPr>
            <w:tcW w:w="1903" w:type="dxa"/>
            <w:tcBorders>
              <w:top w:val="nil"/>
              <w:left w:val="nil"/>
              <w:bottom w:val="nil"/>
              <w:right w:val="nil"/>
            </w:tcBorders>
            <w:shd w:val="clear" w:color="auto" w:fill="auto"/>
            <w:noWrap/>
            <w:vAlign w:val="bottom"/>
          </w:tcPr>
          <w:p w:rsidR="008576FF" w:rsidRPr="00361937" w:rsidRDefault="008576FF" w:rsidP="00A95E29">
            <w:pPr>
              <w:spacing w:line="480" w:lineRule="auto"/>
              <w:rPr>
                <w:color w:val="000000"/>
                <w:szCs w:val="20"/>
              </w:rPr>
            </w:pPr>
            <w:r w:rsidRPr="00361937">
              <w:rPr>
                <w:color w:val="000000"/>
                <w:szCs w:val="20"/>
              </w:rPr>
              <w:t>1 (0.6)</w:t>
            </w:r>
          </w:p>
        </w:tc>
        <w:tc>
          <w:tcPr>
            <w:tcW w:w="1766" w:type="dxa"/>
            <w:tcBorders>
              <w:top w:val="nil"/>
              <w:left w:val="nil"/>
              <w:bottom w:val="nil"/>
              <w:right w:val="nil"/>
            </w:tcBorders>
            <w:shd w:val="clear" w:color="auto" w:fill="auto"/>
            <w:noWrap/>
            <w:vAlign w:val="bottom"/>
          </w:tcPr>
          <w:p w:rsidR="008576FF" w:rsidRPr="00361937" w:rsidRDefault="008576FF" w:rsidP="00A95E29">
            <w:pPr>
              <w:spacing w:line="480" w:lineRule="auto"/>
              <w:rPr>
                <w:color w:val="000000"/>
                <w:szCs w:val="20"/>
              </w:rPr>
            </w:pPr>
            <w:r w:rsidRPr="00361937">
              <w:rPr>
                <w:color w:val="000000"/>
                <w:szCs w:val="20"/>
              </w:rPr>
              <w:t>0</w:t>
            </w:r>
          </w:p>
        </w:tc>
        <w:tc>
          <w:tcPr>
            <w:tcW w:w="1072" w:type="dxa"/>
            <w:tcBorders>
              <w:top w:val="nil"/>
              <w:left w:val="nil"/>
              <w:bottom w:val="nil"/>
              <w:right w:val="nil"/>
            </w:tcBorders>
            <w:shd w:val="clear" w:color="auto" w:fill="auto"/>
            <w:noWrap/>
            <w:vAlign w:val="bottom"/>
          </w:tcPr>
          <w:p w:rsidR="008576FF" w:rsidRPr="00361937" w:rsidRDefault="008576FF" w:rsidP="00A95E29">
            <w:pPr>
              <w:spacing w:line="480" w:lineRule="auto"/>
              <w:rPr>
                <w:color w:val="000000"/>
                <w:szCs w:val="20"/>
              </w:rPr>
            </w:pPr>
          </w:p>
        </w:tc>
        <w:tc>
          <w:tcPr>
            <w:tcW w:w="1077" w:type="dxa"/>
            <w:tcBorders>
              <w:top w:val="nil"/>
              <w:left w:val="nil"/>
              <w:bottom w:val="nil"/>
              <w:right w:val="nil"/>
            </w:tcBorders>
            <w:shd w:val="clear" w:color="auto" w:fill="auto"/>
            <w:noWrap/>
            <w:vAlign w:val="bottom"/>
          </w:tcPr>
          <w:p w:rsidR="008576FF" w:rsidRPr="00361937" w:rsidRDefault="008576FF" w:rsidP="00A95E29">
            <w:pPr>
              <w:spacing w:line="480" w:lineRule="auto"/>
              <w:rPr>
                <w:szCs w:val="20"/>
              </w:rPr>
            </w:pPr>
          </w:p>
        </w:tc>
      </w:tr>
      <w:tr w:rsidR="008576FF" w:rsidRPr="00361937" w:rsidTr="00E5273B">
        <w:trPr>
          <w:trHeight w:val="307"/>
        </w:trPr>
        <w:tc>
          <w:tcPr>
            <w:tcW w:w="5795" w:type="dxa"/>
            <w:tcBorders>
              <w:top w:val="nil"/>
              <w:left w:val="nil"/>
              <w:bottom w:val="single" w:sz="4" w:space="0" w:color="auto"/>
              <w:right w:val="nil"/>
            </w:tcBorders>
            <w:shd w:val="clear" w:color="auto" w:fill="auto"/>
            <w:noWrap/>
            <w:vAlign w:val="center"/>
          </w:tcPr>
          <w:p w:rsidR="008576FF" w:rsidRPr="00361937" w:rsidRDefault="008576FF" w:rsidP="00A95E29">
            <w:pPr>
              <w:spacing w:line="480" w:lineRule="auto"/>
              <w:ind w:firstLineChars="100" w:firstLine="240"/>
              <w:rPr>
                <w:color w:val="000000"/>
                <w:szCs w:val="20"/>
              </w:rPr>
            </w:pPr>
            <w:r w:rsidRPr="00361937">
              <w:rPr>
                <w:color w:val="000000"/>
                <w:szCs w:val="20"/>
              </w:rPr>
              <w:t>Parasitemia on day 3 with axillary temperature ≥ 37.5 °C</w:t>
            </w:r>
          </w:p>
        </w:tc>
        <w:tc>
          <w:tcPr>
            <w:tcW w:w="1903" w:type="dxa"/>
            <w:tcBorders>
              <w:top w:val="nil"/>
              <w:left w:val="nil"/>
              <w:bottom w:val="single" w:sz="4" w:space="0" w:color="auto"/>
              <w:right w:val="nil"/>
            </w:tcBorders>
            <w:shd w:val="clear" w:color="auto" w:fill="auto"/>
            <w:noWrap/>
            <w:vAlign w:val="bottom"/>
          </w:tcPr>
          <w:p w:rsidR="008576FF" w:rsidRPr="00361937" w:rsidRDefault="008576FF" w:rsidP="00A95E29">
            <w:pPr>
              <w:spacing w:line="480" w:lineRule="auto"/>
              <w:rPr>
                <w:color w:val="000000"/>
                <w:szCs w:val="20"/>
              </w:rPr>
            </w:pPr>
            <w:r w:rsidRPr="00361937">
              <w:rPr>
                <w:color w:val="000000"/>
                <w:szCs w:val="20"/>
              </w:rPr>
              <w:t>0</w:t>
            </w:r>
          </w:p>
        </w:tc>
        <w:tc>
          <w:tcPr>
            <w:tcW w:w="1766" w:type="dxa"/>
            <w:tcBorders>
              <w:top w:val="nil"/>
              <w:left w:val="nil"/>
              <w:bottom w:val="single" w:sz="4" w:space="0" w:color="auto"/>
              <w:right w:val="nil"/>
            </w:tcBorders>
            <w:shd w:val="clear" w:color="auto" w:fill="auto"/>
            <w:noWrap/>
            <w:vAlign w:val="bottom"/>
          </w:tcPr>
          <w:p w:rsidR="008576FF" w:rsidRPr="00361937" w:rsidRDefault="008576FF" w:rsidP="00A95E29">
            <w:pPr>
              <w:spacing w:line="480" w:lineRule="auto"/>
              <w:rPr>
                <w:color w:val="000000"/>
                <w:szCs w:val="20"/>
              </w:rPr>
            </w:pPr>
            <w:r w:rsidRPr="00361937">
              <w:rPr>
                <w:color w:val="000000"/>
                <w:szCs w:val="20"/>
              </w:rPr>
              <w:t>0</w:t>
            </w:r>
          </w:p>
        </w:tc>
        <w:tc>
          <w:tcPr>
            <w:tcW w:w="1072" w:type="dxa"/>
            <w:tcBorders>
              <w:top w:val="nil"/>
              <w:left w:val="nil"/>
              <w:bottom w:val="nil"/>
              <w:right w:val="nil"/>
            </w:tcBorders>
            <w:shd w:val="clear" w:color="auto" w:fill="auto"/>
            <w:noWrap/>
            <w:vAlign w:val="bottom"/>
          </w:tcPr>
          <w:p w:rsidR="008576FF" w:rsidRPr="00361937" w:rsidRDefault="008576FF" w:rsidP="00A95E29">
            <w:pPr>
              <w:spacing w:line="480" w:lineRule="auto"/>
              <w:rPr>
                <w:color w:val="000000"/>
                <w:szCs w:val="20"/>
              </w:rPr>
            </w:pPr>
          </w:p>
        </w:tc>
        <w:tc>
          <w:tcPr>
            <w:tcW w:w="1077" w:type="dxa"/>
            <w:tcBorders>
              <w:top w:val="nil"/>
              <w:left w:val="nil"/>
              <w:bottom w:val="nil"/>
              <w:right w:val="nil"/>
            </w:tcBorders>
            <w:shd w:val="clear" w:color="auto" w:fill="auto"/>
            <w:noWrap/>
            <w:vAlign w:val="bottom"/>
          </w:tcPr>
          <w:p w:rsidR="008576FF" w:rsidRPr="00361937" w:rsidRDefault="008576FF" w:rsidP="00A95E29">
            <w:pPr>
              <w:spacing w:line="480" w:lineRule="auto"/>
              <w:rPr>
                <w:szCs w:val="20"/>
              </w:rPr>
            </w:pPr>
          </w:p>
        </w:tc>
      </w:tr>
      <w:tr w:rsidR="008576FF" w:rsidRPr="00361937" w:rsidTr="00E5273B">
        <w:trPr>
          <w:trHeight w:val="307"/>
        </w:trPr>
        <w:tc>
          <w:tcPr>
            <w:tcW w:w="5795" w:type="dxa"/>
            <w:tcBorders>
              <w:top w:val="nil"/>
              <w:left w:val="nil"/>
              <w:bottom w:val="single" w:sz="4" w:space="0" w:color="auto"/>
              <w:right w:val="nil"/>
            </w:tcBorders>
            <w:shd w:val="clear" w:color="auto" w:fill="auto"/>
            <w:noWrap/>
            <w:vAlign w:val="bottom"/>
          </w:tcPr>
          <w:p w:rsidR="008576FF" w:rsidRPr="00361937" w:rsidRDefault="008576FF" w:rsidP="00A95E29">
            <w:pPr>
              <w:spacing w:line="480" w:lineRule="auto"/>
              <w:rPr>
                <w:b/>
                <w:bCs/>
                <w:color w:val="000000"/>
                <w:szCs w:val="20"/>
              </w:rPr>
            </w:pPr>
            <w:r w:rsidRPr="00361937">
              <w:rPr>
                <w:b/>
                <w:bCs/>
                <w:color w:val="000000"/>
                <w:szCs w:val="20"/>
              </w:rPr>
              <w:t>Late clinical failure-no. (%)</w:t>
            </w:r>
          </w:p>
        </w:tc>
        <w:tc>
          <w:tcPr>
            <w:tcW w:w="1903" w:type="dxa"/>
            <w:tcBorders>
              <w:top w:val="nil"/>
              <w:left w:val="nil"/>
              <w:bottom w:val="single" w:sz="4" w:space="0" w:color="auto"/>
              <w:right w:val="nil"/>
            </w:tcBorders>
            <w:shd w:val="clear" w:color="auto" w:fill="auto"/>
            <w:noWrap/>
            <w:vAlign w:val="bottom"/>
          </w:tcPr>
          <w:p w:rsidR="008576FF" w:rsidRPr="00361937" w:rsidRDefault="008576FF" w:rsidP="00A95E29">
            <w:pPr>
              <w:spacing w:line="480" w:lineRule="auto"/>
              <w:rPr>
                <w:color w:val="000000"/>
                <w:szCs w:val="20"/>
              </w:rPr>
            </w:pPr>
            <w:r w:rsidRPr="00361937">
              <w:rPr>
                <w:color w:val="000000"/>
                <w:szCs w:val="20"/>
              </w:rPr>
              <w:t>0</w:t>
            </w:r>
          </w:p>
        </w:tc>
        <w:tc>
          <w:tcPr>
            <w:tcW w:w="1766" w:type="dxa"/>
            <w:tcBorders>
              <w:top w:val="nil"/>
              <w:left w:val="nil"/>
              <w:bottom w:val="single" w:sz="4" w:space="0" w:color="auto"/>
              <w:right w:val="nil"/>
            </w:tcBorders>
            <w:shd w:val="clear" w:color="auto" w:fill="auto"/>
            <w:noWrap/>
            <w:vAlign w:val="bottom"/>
          </w:tcPr>
          <w:p w:rsidR="008576FF" w:rsidRPr="00361937" w:rsidRDefault="008576FF" w:rsidP="00A95E29">
            <w:pPr>
              <w:spacing w:line="480" w:lineRule="auto"/>
              <w:rPr>
                <w:color w:val="000000"/>
                <w:szCs w:val="20"/>
              </w:rPr>
            </w:pPr>
            <w:r w:rsidRPr="00361937">
              <w:rPr>
                <w:color w:val="000000"/>
                <w:szCs w:val="20"/>
              </w:rPr>
              <w:t>0</w:t>
            </w:r>
          </w:p>
        </w:tc>
        <w:tc>
          <w:tcPr>
            <w:tcW w:w="1072" w:type="dxa"/>
            <w:tcBorders>
              <w:top w:val="nil"/>
              <w:left w:val="nil"/>
              <w:bottom w:val="nil"/>
              <w:right w:val="nil"/>
            </w:tcBorders>
            <w:shd w:val="clear" w:color="auto" w:fill="auto"/>
            <w:noWrap/>
            <w:vAlign w:val="bottom"/>
          </w:tcPr>
          <w:p w:rsidR="008576FF" w:rsidRPr="00361937" w:rsidRDefault="008576FF" w:rsidP="00A95E29">
            <w:pPr>
              <w:spacing w:line="480" w:lineRule="auto"/>
              <w:rPr>
                <w:color w:val="000000"/>
                <w:szCs w:val="20"/>
              </w:rPr>
            </w:pPr>
          </w:p>
        </w:tc>
        <w:tc>
          <w:tcPr>
            <w:tcW w:w="1077" w:type="dxa"/>
            <w:tcBorders>
              <w:top w:val="nil"/>
              <w:left w:val="nil"/>
              <w:bottom w:val="nil"/>
              <w:right w:val="nil"/>
            </w:tcBorders>
            <w:shd w:val="clear" w:color="auto" w:fill="auto"/>
            <w:noWrap/>
            <w:vAlign w:val="bottom"/>
          </w:tcPr>
          <w:p w:rsidR="008576FF" w:rsidRPr="00361937" w:rsidRDefault="008576FF" w:rsidP="00A95E29">
            <w:pPr>
              <w:spacing w:line="480" w:lineRule="auto"/>
              <w:rPr>
                <w:szCs w:val="20"/>
              </w:rPr>
            </w:pPr>
          </w:p>
        </w:tc>
      </w:tr>
      <w:tr w:rsidR="008576FF" w:rsidRPr="00361937" w:rsidTr="00E5273B">
        <w:trPr>
          <w:trHeight w:val="307"/>
        </w:trPr>
        <w:tc>
          <w:tcPr>
            <w:tcW w:w="5795" w:type="dxa"/>
            <w:tcBorders>
              <w:top w:val="nil"/>
              <w:left w:val="nil"/>
              <w:bottom w:val="nil"/>
              <w:right w:val="nil"/>
            </w:tcBorders>
            <w:shd w:val="clear" w:color="auto" w:fill="auto"/>
            <w:noWrap/>
            <w:vAlign w:val="bottom"/>
          </w:tcPr>
          <w:p w:rsidR="008576FF" w:rsidRPr="00361937" w:rsidRDefault="008576FF" w:rsidP="00A95E29">
            <w:pPr>
              <w:spacing w:line="480" w:lineRule="auto"/>
              <w:rPr>
                <w:b/>
                <w:bCs/>
                <w:color w:val="000000"/>
                <w:szCs w:val="20"/>
              </w:rPr>
            </w:pPr>
            <w:r w:rsidRPr="00361937">
              <w:rPr>
                <w:b/>
                <w:bCs/>
                <w:color w:val="000000"/>
                <w:szCs w:val="20"/>
              </w:rPr>
              <w:t>Late parasitological failure-no.(%)</w:t>
            </w:r>
          </w:p>
        </w:tc>
        <w:tc>
          <w:tcPr>
            <w:tcW w:w="1903" w:type="dxa"/>
            <w:tcBorders>
              <w:top w:val="nil"/>
              <w:left w:val="nil"/>
              <w:bottom w:val="nil"/>
              <w:right w:val="nil"/>
            </w:tcBorders>
            <w:shd w:val="clear" w:color="auto" w:fill="auto"/>
            <w:noWrap/>
            <w:vAlign w:val="bottom"/>
          </w:tcPr>
          <w:p w:rsidR="008576FF" w:rsidRPr="00361937" w:rsidRDefault="008576FF" w:rsidP="00A95E29">
            <w:pPr>
              <w:spacing w:line="480" w:lineRule="auto"/>
              <w:rPr>
                <w:color w:val="000000"/>
                <w:szCs w:val="20"/>
              </w:rPr>
            </w:pPr>
            <w:r w:rsidRPr="00361937">
              <w:rPr>
                <w:color w:val="000000"/>
                <w:szCs w:val="20"/>
              </w:rPr>
              <w:t>7 (4.4)</w:t>
            </w:r>
          </w:p>
        </w:tc>
        <w:tc>
          <w:tcPr>
            <w:tcW w:w="1766" w:type="dxa"/>
            <w:tcBorders>
              <w:top w:val="nil"/>
              <w:left w:val="nil"/>
              <w:bottom w:val="nil"/>
              <w:right w:val="nil"/>
            </w:tcBorders>
            <w:shd w:val="clear" w:color="auto" w:fill="auto"/>
            <w:noWrap/>
            <w:vAlign w:val="bottom"/>
          </w:tcPr>
          <w:p w:rsidR="008576FF" w:rsidRPr="00361937" w:rsidRDefault="008576FF" w:rsidP="00A95E29">
            <w:pPr>
              <w:spacing w:line="480" w:lineRule="auto"/>
              <w:rPr>
                <w:color w:val="000000"/>
                <w:szCs w:val="20"/>
              </w:rPr>
            </w:pPr>
            <w:r w:rsidRPr="00361937">
              <w:rPr>
                <w:color w:val="000000"/>
                <w:szCs w:val="20"/>
              </w:rPr>
              <w:t>0</w:t>
            </w:r>
          </w:p>
        </w:tc>
        <w:tc>
          <w:tcPr>
            <w:tcW w:w="1072" w:type="dxa"/>
            <w:tcBorders>
              <w:top w:val="nil"/>
              <w:left w:val="nil"/>
              <w:bottom w:val="nil"/>
              <w:right w:val="nil"/>
            </w:tcBorders>
            <w:shd w:val="clear" w:color="auto" w:fill="auto"/>
            <w:noWrap/>
            <w:vAlign w:val="bottom"/>
          </w:tcPr>
          <w:p w:rsidR="008576FF" w:rsidRPr="00361937" w:rsidRDefault="008576FF" w:rsidP="00A95E29">
            <w:pPr>
              <w:spacing w:line="480" w:lineRule="auto"/>
              <w:rPr>
                <w:color w:val="000000"/>
                <w:szCs w:val="20"/>
              </w:rPr>
            </w:pPr>
          </w:p>
        </w:tc>
        <w:tc>
          <w:tcPr>
            <w:tcW w:w="1077" w:type="dxa"/>
            <w:tcBorders>
              <w:top w:val="nil"/>
              <w:left w:val="nil"/>
              <w:bottom w:val="nil"/>
              <w:right w:val="nil"/>
            </w:tcBorders>
            <w:shd w:val="clear" w:color="auto" w:fill="auto"/>
            <w:noWrap/>
            <w:vAlign w:val="bottom"/>
          </w:tcPr>
          <w:p w:rsidR="008576FF" w:rsidRPr="00361937" w:rsidRDefault="008576FF" w:rsidP="00A95E29">
            <w:pPr>
              <w:spacing w:line="480" w:lineRule="auto"/>
              <w:rPr>
                <w:szCs w:val="20"/>
              </w:rPr>
            </w:pPr>
          </w:p>
        </w:tc>
      </w:tr>
      <w:tr w:rsidR="008576FF" w:rsidRPr="00361937" w:rsidTr="00E5273B">
        <w:trPr>
          <w:trHeight w:val="307"/>
        </w:trPr>
        <w:tc>
          <w:tcPr>
            <w:tcW w:w="5795" w:type="dxa"/>
            <w:tcBorders>
              <w:top w:val="nil"/>
              <w:left w:val="nil"/>
              <w:bottom w:val="nil"/>
              <w:right w:val="nil"/>
            </w:tcBorders>
            <w:shd w:val="clear" w:color="auto" w:fill="auto"/>
            <w:noWrap/>
            <w:vAlign w:val="bottom"/>
          </w:tcPr>
          <w:p w:rsidR="008576FF" w:rsidRPr="00361937" w:rsidRDefault="008576FF" w:rsidP="00A95E29">
            <w:pPr>
              <w:spacing w:line="480" w:lineRule="auto"/>
              <w:ind w:firstLineChars="100" w:firstLine="240"/>
              <w:rPr>
                <w:color w:val="000000"/>
                <w:szCs w:val="20"/>
              </w:rPr>
            </w:pPr>
            <w:r w:rsidRPr="00361937">
              <w:rPr>
                <w:color w:val="000000"/>
                <w:szCs w:val="20"/>
              </w:rPr>
              <w:t>Recrudescence</w:t>
            </w:r>
          </w:p>
        </w:tc>
        <w:tc>
          <w:tcPr>
            <w:tcW w:w="1903" w:type="dxa"/>
            <w:tcBorders>
              <w:top w:val="nil"/>
              <w:left w:val="nil"/>
              <w:bottom w:val="nil"/>
              <w:right w:val="nil"/>
            </w:tcBorders>
            <w:shd w:val="clear" w:color="auto" w:fill="auto"/>
            <w:noWrap/>
            <w:vAlign w:val="bottom"/>
          </w:tcPr>
          <w:p w:rsidR="008576FF" w:rsidRPr="00361937" w:rsidRDefault="008576FF" w:rsidP="00A95E29">
            <w:pPr>
              <w:spacing w:line="480" w:lineRule="auto"/>
              <w:rPr>
                <w:color w:val="000000"/>
                <w:szCs w:val="20"/>
              </w:rPr>
            </w:pPr>
            <w:r w:rsidRPr="00361937">
              <w:rPr>
                <w:color w:val="000000"/>
                <w:szCs w:val="20"/>
              </w:rPr>
              <w:t>0</w:t>
            </w:r>
          </w:p>
        </w:tc>
        <w:tc>
          <w:tcPr>
            <w:tcW w:w="1766" w:type="dxa"/>
            <w:tcBorders>
              <w:top w:val="nil"/>
              <w:left w:val="nil"/>
              <w:bottom w:val="nil"/>
              <w:right w:val="nil"/>
            </w:tcBorders>
            <w:shd w:val="clear" w:color="auto" w:fill="auto"/>
            <w:noWrap/>
            <w:vAlign w:val="bottom"/>
          </w:tcPr>
          <w:p w:rsidR="008576FF" w:rsidRPr="00361937" w:rsidRDefault="008576FF" w:rsidP="00A95E29">
            <w:pPr>
              <w:spacing w:line="480" w:lineRule="auto"/>
              <w:rPr>
                <w:color w:val="000000"/>
                <w:szCs w:val="20"/>
              </w:rPr>
            </w:pPr>
            <w:r w:rsidRPr="00361937">
              <w:rPr>
                <w:color w:val="000000"/>
                <w:szCs w:val="20"/>
              </w:rPr>
              <w:t>0</w:t>
            </w:r>
          </w:p>
        </w:tc>
        <w:tc>
          <w:tcPr>
            <w:tcW w:w="1072" w:type="dxa"/>
            <w:tcBorders>
              <w:top w:val="nil"/>
              <w:left w:val="nil"/>
              <w:bottom w:val="nil"/>
              <w:right w:val="nil"/>
            </w:tcBorders>
            <w:shd w:val="clear" w:color="auto" w:fill="auto"/>
            <w:noWrap/>
            <w:vAlign w:val="bottom"/>
          </w:tcPr>
          <w:p w:rsidR="008576FF" w:rsidRPr="00361937" w:rsidRDefault="008576FF" w:rsidP="00A95E29">
            <w:pPr>
              <w:spacing w:line="480" w:lineRule="auto"/>
              <w:rPr>
                <w:color w:val="000000"/>
                <w:szCs w:val="20"/>
              </w:rPr>
            </w:pPr>
          </w:p>
        </w:tc>
        <w:tc>
          <w:tcPr>
            <w:tcW w:w="1077" w:type="dxa"/>
            <w:tcBorders>
              <w:top w:val="nil"/>
              <w:left w:val="nil"/>
              <w:bottom w:val="nil"/>
              <w:right w:val="nil"/>
            </w:tcBorders>
            <w:shd w:val="clear" w:color="auto" w:fill="auto"/>
            <w:noWrap/>
            <w:vAlign w:val="bottom"/>
          </w:tcPr>
          <w:p w:rsidR="008576FF" w:rsidRPr="00361937" w:rsidRDefault="008576FF" w:rsidP="00A95E29">
            <w:pPr>
              <w:spacing w:line="480" w:lineRule="auto"/>
              <w:rPr>
                <w:szCs w:val="20"/>
              </w:rPr>
            </w:pPr>
          </w:p>
        </w:tc>
      </w:tr>
      <w:tr w:rsidR="008576FF" w:rsidRPr="00361937" w:rsidTr="00E5273B">
        <w:trPr>
          <w:trHeight w:val="307"/>
        </w:trPr>
        <w:tc>
          <w:tcPr>
            <w:tcW w:w="5795" w:type="dxa"/>
            <w:tcBorders>
              <w:top w:val="nil"/>
              <w:left w:val="nil"/>
              <w:right w:val="nil"/>
            </w:tcBorders>
            <w:shd w:val="clear" w:color="auto" w:fill="auto"/>
            <w:noWrap/>
            <w:vAlign w:val="bottom"/>
          </w:tcPr>
          <w:p w:rsidR="008576FF" w:rsidRPr="00361937" w:rsidRDefault="008576FF" w:rsidP="00A95E29">
            <w:pPr>
              <w:spacing w:line="480" w:lineRule="auto"/>
              <w:ind w:firstLineChars="100" w:firstLine="240"/>
              <w:rPr>
                <w:color w:val="000000"/>
                <w:szCs w:val="20"/>
              </w:rPr>
            </w:pPr>
            <w:r w:rsidRPr="00361937">
              <w:rPr>
                <w:color w:val="000000"/>
                <w:szCs w:val="20"/>
              </w:rPr>
              <w:t xml:space="preserve">Reinfection </w:t>
            </w:r>
          </w:p>
        </w:tc>
        <w:tc>
          <w:tcPr>
            <w:tcW w:w="1903" w:type="dxa"/>
            <w:tcBorders>
              <w:top w:val="nil"/>
              <w:left w:val="nil"/>
              <w:right w:val="nil"/>
            </w:tcBorders>
            <w:shd w:val="clear" w:color="auto" w:fill="auto"/>
            <w:noWrap/>
            <w:vAlign w:val="bottom"/>
          </w:tcPr>
          <w:p w:rsidR="008576FF" w:rsidRPr="00361937" w:rsidRDefault="008576FF" w:rsidP="00A95E29">
            <w:pPr>
              <w:spacing w:line="480" w:lineRule="auto"/>
              <w:rPr>
                <w:color w:val="000000"/>
                <w:szCs w:val="20"/>
              </w:rPr>
            </w:pPr>
            <w:r w:rsidRPr="00361937">
              <w:rPr>
                <w:color w:val="000000"/>
                <w:szCs w:val="20"/>
              </w:rPr>
              <w:t>6 (3.8)</w:t>
            </w:r>
          </w:p>
        </w:tc>
        <w:tc>
          <w:tcPr>
            <w:tcW w:w="1766" w:type="dxa"/>
            <w:tcBorders>
              <w:top w:val="nil"/>
              <w:left w:val="nil"/>
              <w:right w:val="nil"/>
            </w:tcBorders>
            <w:shd w:val="clear" w:color="auto" w:fill="auto"/>
            <w:noWrap/>
            <w:vAlign w:val="bottom"/>
          </w:tcPr>
          <w:p w:rsidR="008576FF" w:rsidRPr="00361937" w:rsidRDefault="008576FF" w:rsidP="00A95E29">
            <w:pPr>
              <w:spacing w:line="480" w:lineRule="auto"/>
              <w:rPr>
                <w:color w:val="000000"/>
                <w:szCs w:val="20"/>
              </w:rPr>
            </w:pPr>
            <w:r w:rsidRPr="00361937">
              <w:rPr>
                <w:color w:val="000000"/>
                <w:szCs w:val="20"/>
              </w:rPr>
              <w:t>0</w:t>
            </w:r>
          </w:p>
        </w:tc>
        <w:tc>
          <w:tcPr>
            <w:tcW w:w="1072" w:type="dxa"/>
            <w:tcBorders>
              <w:top w:val="nil"/>
              <w:left w:val="nil"/>
              <w:bottom w:val="nil"/>
              <w:right w:val="nil"/>
            </w:tcBorders>
            <w:shd w:val="clear" w:color="auto" w:fill="auto"/>
            <w:noWrap/>
            <w:vAlign w:val="bottom"/>
          </w:tcPr>
          <w:p w:rsidR="008576FF" w:rsidRPr="00361937" w:rsidRDefault="008576FF" w:rsidP="00A95E29">
            <w:pPr>
              <w:spacing w:line="480" w:lineRule="auto"/>
              <w:rPr>
                <w:color w:val="000000"/>
                <w:szCs w:val="20"/>
              </w:rPr>
            </w:pPr>
          </w:p>
        </w:tc>
        <w:tc>
          <w:tcPr>
            <w:tcW w:w="1077" w:type="dxa"/>
            <w:tcBorders>
              <w:top w:val="nil"/>
              <w:left w:val="nil"/>
              <w:bottom w:val="nil"/>
              <w:right w:val="nil"/>
            </w:tcBorders>
            <w:shd w:val="clear" w:color="auto" w:fill="auto"/>
            <w:noWrap/>
            <w:vAlign w:val="bottom"/>
          </w:tcPr>
          <w:p w:rsidR="008576FF" w:rsidRPr="00361937" w:rsidRDefault="008576FF" w:rsidP="00A95E29">
            <w:pPr>
              <w:spacing w:line="480" w:lineRule="auto"/>
              <w:rPr>
                <w:szCs w:val="20"/>
              </w:rPr>
            </w:pPr>
          </w:p>
        </w:tc>
      </w:tr>
      <w:tr w:rsidR="008576FF" w:rsidRPr="00361937" w:rsidTr="00E5273B">
        <w:trPr>
          <w:trHeight w:val="307"/>
        </w:trPr>
        <w:tc>
          <w:tcPr>
            <w:tcW w:w="5795" w:type="dxa"/>
            <w:tcBorders>
              <w:top w:val="nil"/>
              <w:left w:val="nil"/>
              <w:bottom w:val="single" w:sz="4" w:space="0" w:color="auto"/>
              <w:right w:val="nil"/>
            </w:tcBorders>
            <w:shd w:val="clear" w:color="auto" w:fill="auto"/>
            <w:noWrap/>
            <w:vAlign w:val="bottom"/>
          </w:tcPr>
          <w:p w:rsidR="008576FF" w:rsidRPr="00361937" w:rsidRDefault="008576FF" w:rsidP="00A95E29">
            <w:pPr>
              <w:spacing w:line="480" w:lineRule="auto"/>
              <w:ind w:firstLineChars="100" w:firstLine="240"/>
              <w:rPr>
                <w:color w:val="000000"/>
                <w:szCs w:val="20"/>
              </w:rPr>
            </w:pPr>
            <w:r w:rsidRPr="00361937">
              <w:rPr>
                <w:color w:val="000000"/>
                <w:szCs w:val="20"/>
              </w:rPr>
              <w:t>Indeterminate or sample unava</w:t>
            </w:r>
            <w:r w:rsidR="001D233F" w:rsidRPr="00361937">
              <w:rPr>
                <w:color w:val="000000"/>
                <w:szCs w:val="20"/>
              </w:rPr>
              <w:t>i</w:t>
            </w:r>
            <w:r w:rsidRPr="00361937">
              <w:rPr>
                <w:color w:val="000000"/>
                <w:szCs w:val="20"/>
              </w:rPr>
              <w:t xml:space="preserve">lable </w:t>
            </w:r>
          </w:p>
        </w:tc>
        <w:tc>
          <w:tcPr>
            <w:tcW w:w="1903" w:type="dxa"/>
            <w:tcBorders>
              <w:top w:val="nil"/>
              <w:left w:val="nil"/>
              <w:bottom w:val="single" w:sz="4" w:space="0" w:color="auto"/>
              <w:right w:val="nil"/>
            </w:tcBorders>
            <w:shd w:val="clear" w:color="auto" w:fill="auto"/>
            <w:noWrap/>
            <w:vAlign w:val="bottom"/>
          </w:tcPr>
          <w:p w:rsidR="008576FF" w:rsidRPr="00361937" w:rsidRDefault="008576FF" w:rsidP="00A95E29">
            <w:pPr>
              <w:spacing w:line="480" w:lineRule="auto"/>
              <w:rPr>
                <w:color w:val="000000"/>
                <w:szCs w:val="20"/>
              </w:rPr>
            </w:pPr>
            <w:r w:rsidRPr="00361937">
              <w:rPr>
                <w:color w:val="000000"/>
                <w:szCs w:val="20"/>
              </w:rPr>
              <w:t>1 (0.6)</w:t>
            </w:r>
          </w:p>
        </w:tc>
        <w:tc>
          <w:tcPr>
            <w:tcW w:w="1766" w:type="dxa"/>
            <w:tcBorders>
              <w:top w:val="nil"/>
              <w:left w:val="nil"/>
              <w:bottom w:val="single" w:sz="4" w:space="0" w:color="auto"/>
              <w:right w:val="nil"/>
            </w:tcBorders>
            <w:shd w:val="clear" w:color="auto" w:fill="auto"/>
            <w:noWrap/>
            <w:vAlign w:val="bottom"/>
          </w:tcPr>
          <w:p w:rsidR="008576FF" w:rsidRPr="00361937" w:rsidRDefault="008576FF" w:rsidP="00A95E29">
            <w:pPr>
              <w:spacing w:line="480" w:lineRule="auto"/>
              <w:rPr>
                <w:color w:val="000000"/>
                <w:szCs w:val="20"/>
              </w:rPr>
            </w:pPr>
            <w:r w:rsidRPr="00361937">
              <w:rPr>
                <w:color w:val="000000"/>
                <w:szCs w:val="20"/>
              </w:rPr>
              <w:t>0</w:t>
            </w:r>
          </w:p>
        </w:tc>
        <w:tc>
          <w:tcPr>
            <w:tcW w:w="1072" w:type="dxa"/>
            <w:tcBorders>
              <w:top w:val="nil"/>
              <w:left w:val="nil"/>
              <w:bottom w:val="nil"/>
              <w:right w:val="nil"/>
            </w:tcBorders>
            <w:shd w:val="clear" w:color="auto" w:fill="auto"/>
            <w:noWrap/>
            <w:vAlign w:val="bottom"/>
          </w:tcPr>
          <w:p w:rsidR="008576FF" w:rsidRPr="00361937" w:rsidRDefault="008576FF" w:rsidP="00A95E29">
            <w:pPr>
              <w:spacing w:line="480" w:lineRule="auto"/>
              <w:rPr>
                <w:color w:val="000000"/>
                <w:szCs w:val="20"/>
              </w:rPr>
            </w:pPr>
          </w:p>
        </w:tc>
        <w:tc>
          <w:tcPr>
            <w:tcW w:w="1077" w:type="dxa"/>
            <w:tcBorders>
              <w:top w:val="nil"/>
              <w:left w:val="nil"/>
              <w:bottom w:val="nil"/>
              <w:right w:val="nil"/>
            </w:tcBorders>
            <w:shd w:val="clear" w:color="auto" w:fill="auto"/>
            <w:noWrap/>
            <w:vAlign w:val="bottom"/>
          </w:tcPr>
          <w:p w:rsidR="008576FF" w:rsidRPr="00361937" w:rsidRDefault="008576FF" w:rsidP="00A95E29">
            <w:pPr>
              <w:spacing w:line="480" w:lineRule="auto"/>
              <w:rPr>
                <w:szCs w:val="20"/>
              </w:rPr>
            </w:pPr>
          </w:p>
        </w:tc>
      </w:tr>
      <w:tr w:rsidR="008576FF" w:rsidRPr="00361937" w:rsidTr="00E5273B">
        <w:trPr>
          <w:trHeight w:val="307"/>
        </w:trPr>
        <w:tc>
          <w:tcPr>
            <w:tcW w:w="5795" w:type="dxa"/>
            <w:tcBorders>
              <w:top w:val="single" w:sz="4" w:space="0" w:color="auto"/>
              <w:left w:val="nil"/>
              <w:bottom w:val="nil"/>
              <w:right w:val="nil"/>
            </w:tcBorders>
            <w:shd w:val="clear" w:color="auto" w:fill="auto"/>
            <w:noWrap/>
            <w:vAlign w:val="bottom"/>
          </w:tcPr>
          <w:p w:rsidR="008576FF" w:rsidRPr="00361937" w:rsidRDefault="008500C9" w:rsidP="00A95E29">
            <w:pPr>
              <w:spacing w:line="480" w:lineRule="auto"/>
              <w:rPr>
                <w:b/>
                <w:bCs/>
                <w:color w:val="000000"/>
                <w:szCs w:val="20"/>
              </w:rPr>
            </w:pPr>
            <w:r w:rsidRPr="00361937">
              <w:rPr>
                <w:b/>
                <w:bCs/>
                <w:color w:val="000000"/>
                <w:szCs w:val="20"/>
              </w:rPr>
              <w:t>Adequate clinical and parasitolocal response</w:t>
            </w:r>
            <w:r w:rsidR="008576FF" w:rsidRPr="00361937">
              <w:rPr>
                <w:b/>
                <w:bCs/>
                <w:color w:val="000000"/>
                <w:szCs w:val="20"/>
              </w:rPr>
              <w:t xml:space="preserve"> rates by different scenarios</w:t>
            </w:r>
          </w:p>
        </w:tc>
        <w:tc>
          <w:tcPr>
            <w:tcW w:w="1903" w:type="dxa"/>
            <w:tcBorders>
              <w:top w:val="single" w:sz="4" w:space="0" w:color="auto"/>
              <w:left w:val="nil"/>
              <w:bottom w:val="nil"/>
              <w:right w:val="nil"/>
            </w:tcBorders>
            <w:shd w:val="clear" w:color="auto" w:fill="auto"/>
            <w:noWrap/>
            <w:vAlign w:val="bottom"/>
          </w:tcPr>
          <w:p w:rsidR="008576FF" w:rsidRPr="00361937" w:rsidRDefault="008576FF" w:rsidP="00A95E29">
            <w:pPr>
              <w:spacing w:line="480" w:lineRule="auto"/>
              <w:rPr>
                <w:b/>
                <w:bCs/>
                <w:color w:val="000000"/>
                <w:szCs w:val="20"/>
              </w:rPr>
            </w:pPr>
          </w:p>
        </w:tc>
        <w:tc>
          <w:tcPr>
            <w:tcW w:w="1766" w:type="dxa"/>
            <w:tcBorders>
              <w:top w:val="single" w:sz="4" w:space="0" w:color="auto"/>
              <w:left w:val="nil"/>
              <w:bottom w:val="nil"/>
              <w:right w:val="nil"/>
            </w:tcBorders>
            <w:shd w:val="clear" w:color="auto" w:fill="auto"/>
            <w:noWrap/>
            <w:vAlign w:val="bottom"/>
          </w:tcPr>
          <w:p w:rsidR="008576FF" w:rsidRPr="00361937" w:rsidRDefault="008576FF" w:rsidP="00A95E29">
            <w:pPr>
              <w:spacing w:line="480" w:lineRule="auto"/>
              <w:rPr>
                <w:szCs w:val="20"/>
              </w:rPr>
            </w:pPr>
          </w:p>
        </w:tc>
        <w:tc>
          <w:tcPr>
            <w:tcW w:w="1072" w:type="dxa"/>
            <w:tcBorders>
              <w:top w:val="nil"/>
              <w:left w:val="nil"/>
              <w:bottom w:val="nil"/>
              <w:right w:val="nil"/>
            </w:tcBorders>
            <w:shd w:val="clear" w:color="auto" w:fill="auto"/>
            <w:noWrap/>
            <w:vAlign w:val="bottom"/>
          </w:tcPr>
          <w:p w:rsidR="008576FF" w:rsidRPr="00361937" w:rsidRDefault="008576FF" w:rsidP="00A95E29">
            <w:pPr>
              <w:spacing w:line="480" w:lineRule="auto"/>
              <w:rPr>
                <w:szCs w:val="20"/>
              </w:rPr>
            </w:pPr>
          </w:p>
        </w:tc>
        <w:tc>
          <w:tcPr>
            <w:tcW w:w="1077" w:type="dxa"/>
            <w:tcBorders>
              <w:top w:val="nil"/>
              <w:left w:val="nil"/>
              <w:bottom w:val="nil"/>
              <w:right w:val="nil"/>
            </w:tcBorders>
            <w:shd w:val="clear" w:color="auto" w:fill="auto"/>
            <w:noWrap/>
            <w:vAlign w:val="bottom"/>
          </w:tcPr>
          <w:p w:rsidR="008576FF" w:rsidRPr="00361937" w:rsidRDefault="008576FF" w:rsidP="00A95E29">
            <w:pPr>
              <w:spacing w:line="480" w:lineRule="auto"/>
              <w:rPr>
                <w:szCs w:val="20"/>
              </w:rPr>
            </w:pPr>
          </w:p>
        </w:tc>
      </w:tr>
      <w:tr w:rsidR="008576FF" w:rsidRPr="00361937" w:rsidTr="00E5273B">
        <w:trPr>
          <w:trHeight w:val="307"/>
        </w:trPr>
        <w:tc>
          <w:tcPr>
            <w:tcW w:w="5795" w:type="dxa"/>
            <w:tcBorders>
              <w:top w:val="nil"/>
              <w:left w:val="nil"/>
              <w:bottom w:val="nil"/>
              <w:right w:val="nil"/>
            </w:tcBorders>
            <w:shd w:val="clear" w:color="auto" w:fill="auto"/>
            <w:noWrap/>
            <w:vAlign w:val="bottom"/>
          </w:tcPr>
          <w:p w:rsidR="008576FF" w:rsidRPr="00361937" w:rsidRDefault="008576FF" w:rsidP="00A95E29">
            <w:pPr>
              <w:spacing w:line="480" w:lineRule="auto"/>
              <w:ind w:firstLineChars="100" w:firstLine="241"/>
              <w:rPr>
                <w:b/>
                <w:bCs/>
                <w:i/>
                <w:iCs/>
                <w:color w:val="000000"/>
                <w:szCs w:val="20"/>
              </w:rPr>
            </w:pPr>
            <w:r w:rsidRPr="00361937">
              <w:rPr>
                <w:b/>
                <w:bCs/>
                <w:i/>
                <w:iCs/>
                <w:color w:val="000000"/>
                <w:szCs w:val="20"/>
              </w:rPr>
              <w:t>Intention-to-treat analysis</w:t>
            </w:r>
          </w:p>
        </w:tc>
        <w:tc>
          <w:tcPr>
            <w:tcW w:w="1903" w:type="dxa"/>
            <w:tcBorders>
              <w:top w:val="nil"/>
              <w:left w:val="nil"/>
              <w:bottom w:val="nil"/>
              <w:right w:val="nil"/>
            </w:tcBorders>
            <w:shd w:val="clear" w:color="auto" w:fill="auto"/>
            <w:noWrap/>
            <w:vAlign w:val="bottom"/>
          </w:tcPr>
          <w:p w:rsidR="008576FF" w:rsidRPr="00361937" w:rsidRDefault="008576FF" w:rsidP="00A95E29">
            <w:pPr>
              <w:spacing w:line="480" w:lineRule="auto"/>
              <w:ind w:firstLineChars="100" w:firstLine="241"/>
              <w:rPr>
                <w:b/>
                <w:bCs/>
                <w:i/>
                <w:iCs/>
                <w:color w:val="000000"/>
                <w:szCs w:val="20"/>
              </w:rPr>
            </w:pPr>
          </w:p>
        </w:tc>
        <w:tc>
          <w:tcPr>
            <w:tcW w:w="1766" w:type="dxa"/>
            <w:tcBorders>
              <w:top w:val="nil"/>
              <w:left w:val="nil"/>
              <w:bottom w:val="nil"/>
              <w:right w:val="nil"/>
            </w:tcBorders>
            <w:shd w:val="clear" w:color="auto" w:fill="auto"/>
            <w:noWrap/>
            <w:vAlign w:val="bottom"/>
          </w:tcPr>
          <w:p w:rsidR="008576FF" w:rsidRPr="00361937" w:rsidRDefault="008576FF" w:rsidP="00A95E29">
            <w:pPr>
              <w:spacing w:line="480" w:lineRule="auto"/>
              <w:rPr>
                <w:szCs w:val="20"/>
              </w:rPr>
            </w:pPr>
          </w:p>
        </w:tc>
        <w:tc>
          <w:tcPr>
            <w:tcW w:w="1072" w:type="dxa"/>
            <w:tcBorders>
              <w:top w:val="nil"/>
              <w:left w:val="nil"/>
              <w:bottom w:val="nil"/>
              <w:right w:val="nil"/>
            </w:tcBorders>
            <w:shd w:val="clear" w:color="auto" w:fill="auto"/>
            <w:noWrap/>
            <w:vAlign w:val="bottom"/>
          </w:tcPr>
          <w:p w:rsidR="008576FF" w:rsidRPr="00361937" w:rsidRDefault="008576FF" w:rsidP="00A95E29">
            <w:pPr>
              <w:spacing w:line="480" w:lineRule="auto"/>
              <w:rPr>
                <w:szCs w:val="20"/>
              </w:rPr>
            </w:pPr>
          </w:p>
        </w:tc>
        <w:tc>
          <w:tcPr>
            <w:tcW w:w="1077" w:type="dxa"/>
            <w:tcBorders>
              <w:top w:val="nil"/>
              <w:left w:val="nil"/>
              <w:bottom w:val="nil"/>
              <w:right w:val="nil"/>
            </w:tcBorders>
            <w:shd w:val="clear" w:color="auto" w:fill="auto"/>
            <w:noWrap/>
            <w:vAlign w:val="bottom"/>
          </w:tcPr>
          <w:p w:rsidR="008576FF" w:rsidRPr="00361937" w:rsidRDefault="008576FF" w:rsidP="00A95E29">
            <w:pPr>
              <w:spacing w:line="480" w:lineRule="auto"/>
              <w:rPr>
                <w:szCs w:val="20"/>
              </w:rPr>
            </w:pPr>
          </w:p>
        </w:tc>
      </w:tr>
      <w:tr w:rsidR="008576FF" w:rsidRPr="00361937" w:rsidTr="00E5273B">
        <w:trPr>
          <w:trHeight w:val="307"/>
        </w:trPr>
        <w:tc>
          <w:tcPr>
            <w:tcW w:w="5795" w:type="dxa"/>
            <w:tcBorders>
              <w:top w:val="nil"/>
              <w:left w:val="nil"/>
              <w:bottom w:val="nil"/>
              <w:right w:val="nil"/>
            </w:tcBorders>
            <w:shd w:val="clear" w:color="auto" w:fill="auto"/>
            <w:noWrap/>
            <w:vAlign w:val="bottom"/>
          </w:tcPr>
          <w:p w:rsidR="008576FF" w:rsidRPr="00361937" w:rsidRDefault="008576FF" w:rsidP="00A95E29">
            <w:pPr>
              <w:spacing w:line="480" w:lineRule="auto"/>
              <w:ind w:firstLineChars="200" w:firstLine="480"/>
              <w:rPr>
                <w:i/>
                <w:iCs/>
                <w:color w:val="000000"/>
                <w:szCs w:val="20"/>
              </w:rPr>
            </w:pPr>
            <w:r w:rsidRPr="00361937">
              <w:rPr>
                <w:i/>
                <w:iCs/>
                <w:color w:val="000000"/>
                <w:szCs w:val="20"/>
              </w:rPr>
              <w:t>PCR-</w:t>
            </w:r>
            <w:r w:rsidR="001F505E" w:rsidRPr="00361937">
              <w:rPr>
                <w:i/>
                <w:iCs/>
                <w:color w:val="000000"/>
                <w:szCs w:val="20"/>
              </w:rPr>
              <w:t>corrected</w:t>
            </w:r>
            <w:r w:rsidRPr="00361937">
              <w:rPr>
                <w:i/>
                <w:iCs/>
                <w:color w:val="000000"/>
                <w:szCs w:val="20"/>
              </w:rPr>
              <w:t xml:space="preserve"> </w:t>
            </w:r>
            <w:r w:rsidR="008500C9" w:rsidRPr="00361937">
              <w:rPr>
                <w:i/>
                <w:iCs/>
                <w:color w:val="000000"/>
                <w:szCs w:val="20"/>
              </w:rPr>
              <w:t xml:space="preserve">cure </w:t>
            </w:r>
            <w:r w:rsidRPr="00361937">
              <w:rPr>
                <w:i/>
                <w:iCs/>
                <w:color w:val="000000"/>
                <w:szCs w:val="20"/>
              </w:rPr>
              <w:t xml:space="preserve">rate-% (95% CI)  </w:t>
            </w:r>
          </w:p>
        </w:tc>
        <w:tc>
          <w:tcPr>
            <w:tcW w:w="1903" w:type="dxa"/>
            <w:tcBorders>
              <w:top w:val="nil"/>
              <w:left w:val="nil"/>
              <w:bottom w:val="nil"/>
              <w:right w:val="nil"/>
            </w:tcBorders>
            <w:shd w:val="clear" w:color="auto" w:fill="auto"/>
            <w:noWrap/>
            <w:vAlign w:val="bottom"/>
          </w:tcPr>
          <w:p w:rsidR="008576FF" w:rsidRPr="00361937" w:rsidRDefault="008576FF" w:rsidP="00A95E29">
            <w:pPr>
              <w:spacing w:line="480" w:lineRule="auto"/>
              <w:ind w:firstLineChars="200" w:firstLine="480"/>
              <w:rPr>
                <w:i/>
                <w:iCs/>
                <w:color w:val="000000"/>
                <w:szCs w:val="20"/>
              </w:rPr>
            </w:pPr>
          </w:p>
        </w:tc>
        <w:tc>
          <w:tcPr>
            <w:tcW w:w="1766" w:type="dxa"/>
            <w:tcBorders>
              <w:top w:val="nil"/>
              <w:left w:val="nil"/>
              <w:bottom w:val="nil"/>
              <w:right w:val="nil"/>
            </w:tcBorders>
            <w:shd w:val="clear" w:color="auto" w:fill="auto"/>
            <w:noWrap/>
            <w:vAlign w:val="bottom"/>
          </w:tcPr>
          <w:p w:rsidR="008576FF" w:rsidRPr="00361937" w:rsidRDefault="008576FF" w:rsidP="00A95E29">
            <w:pPr>
              <w:spacing w:line="480" w:lineRule="auto"/>
              <w:rPr>
                <w:szCs w:val="20"/>
              </w:rPr>
            </w:pPr>
          </w:p>
        </w:tc>
        <w:tc>
          <w:tcPr>
            <w:tcW w:w="1072" w:type="dxa"/>
            <w:tcBorders>
              <w:top w:val="nil"/>
              <w:left w:val="nil"/>
              <w:bottom w:val="nil"/>
              <w:right w:val="nil"/>
            </w:tcBorders>
            <w:shd w:val="clear" w:color="auto" w:fill="auto"/>
            <w:noWrap/>
            <w:vAlign w:val="bottom"/>
          </w:tcPr>
          <w:p w:rsidR="008576FF" w:rsidRPr="00361937" w:rsidRDefault="008576FF" w:rsidP="00A95E29">
            <w:pPr>
              <w:spacing w:line="480" w:lineRule="auto"/>
              <w:rPr>
                <w:szCs w:val="20"/>
              </w:rPr>
            </w:pPr>
          </w:p>
        </w:tc>
        <w:tc>
          <w:tcPr>
            <w:tcW w:w="1077" w:type="dxa"/>
            <w:tcBorders>
              <w:top w:val="nil"/>
              <w:left w:val="nil"/>
              <w:bottom w:val="nil"/>
              <w:right w:val="nil"/>
            </w:tcBorders>
            <w:shd w:val="clear" w:color="auto" w:fill="auto"/>
            <w:noWrap/>
            <w:vAlign w:val="bottom"/>
          </w:tcPr>
          <w:p w:rsidR="008576FF" w:rsidRPr="00361937" w:rsidRDefault="008576FF" w:rsidP="00A95E29">
            <w:pPr>
              <w:spacing w:line="480" w:lineRule="auto"/>
              <w:rPr>
                <w:szCs w:val="20"/>
              </w:rPr>
            </w:pPr>
          </w:p>
        </w:tc>
      </w:tr>
      <w:tr w:rsidR="008576FF" w:rsidRPr="00361937" w:rsidTr="00E5273B">
        <w:trPr>
          <w:trHeight w:val="327"/>
        </w:trPr>
        <w:tc>
          <w:tcPr>
            <w:tcW w:w="5795" w:type="dxa"/>
            <w:tcBorders>
              <w:top w:val="nil"/>
              <w:left w:val="nil"/>
              <w:bottom w:val="nil"/>
              <w:right w:val="nil"/>
            </w:tcBorders>
            <w:shd w:val="clear" w:color="auto" w:fill="auto"/>
            <w:noWrap/>
            <w:vAlign w:val="bottom"/>
          </w:tcPr>
          <w:p w:rsidR="008576FF" w:rsidRPr="00361937" w:rsidRDefault="008576FF" w:rsidP="00A95E29">
            <w:pPr>
              <w:spacing w:line="480" w:lineRule="auto"/>
              <w:ind w:firstLineChars="300" w:firstLine="720"/>
              <w:rPr>
                <w:color w:val="000000"/>
                <w:szCs w:val="20"/>
              </w:rPr>
            </w:pPr>
            <w:r w:rsidRPr="00361937">
              <w:rPr>
                <w:color w:val="000000"/>
                <w:szCs w:val="20"/>
                <w:vertAlign w:val="superscript"/>
              </w:rPr>
              <w:t xml:space="preserve">a </w:t>
            </w:r>
            <w:r w:rsidRPr="00361937">
              <w:rPr>
                <w:color w:val="000000"/>
                <w:szCs w:val="20"/>
              </w:rPr>
              <w:t>Scenario 1:</w:t>
            </w:r>
          </w:p>
        </w:tc>
        <w:tc>
          <w:tcPr>
            <w:tcW w:w="1903" w:type="dxa"/>
            <w:tcBorders>
              <w:top w:val="nil"/>
              <w:left w:val="nil"/>
              <w:bottom w:val="nil"/>
              <w:right w:val="nil"/>
            </w:tcBorders>
            <w:shd w:val="clear" w:color="auto" w:fill="auto"/>
            <w:noWrap/>
            <w:vAlign w:val="bottom"/>
          </w:tcPr>
          <w:p w:rsidR="008576FF" w:rsidRPr="00361937" w:rsidRDefault="008576FF" w:rsidP="00A95E29">
            <w:pPr>
              <w:spacing w:line="480" w:lineRule="auto"/>
              <w:rPr>
                <w:color w:val="000000"/>
                <w:szCs w:val="20"/>
              </w:rPr>
            </w:pPr>
            <w:r w:rsidRPr="00361937">
              <w:rPr>
                <w:color w:val="000000"/>
                <w:szCs w:val="20"/>
              </w:rPr>
              <w:t>99.4 (95.6-99.9)</w:t>
            </w:r>
          </w:p>
        </w:tc>
        <w:tc>
          <w:tcPr>
            <w:tcW w:w="1766" w:type="dxa"/>
            <w:tcBorders>
              <w:top w:val="nil"/>
              <w:left w:val="nil"/>
              <w:bottom w:val="nil"/>
              <w:right w:val="nil"/>
            </w:tcBorders>
            <w:shd w:val="clear" w:color="auto" w:fill="auto"/>
            <w:noWrap/>
            <w:vAlign w:val="bottom"/>
          </w:tcPr>
          <w:p w:rsidR="008576FF" w:rsidRPr="00361937" w:rsidRDefault="008576FF" w:rsidP="00A95E29">
            <w:pPr>
              <w:spacing w:line="480" w:lineRule="auto"/>
              <w:rPr>
                <w:color w:val="000000"/>
                <w:szCs w:val="20"/>
              </w:rPr>
            </w:pPr>
            <w:r w:rsidRPr="00361937">
              <w:rPr>
                <w:color w:val="000000"/>
                <w:szCs w:val="20"/>
              </w:rPr>
              <w:t>100</w:t>
            </w:r>
          </w:p>
        </w:tc>
        <w:tc>
          <w:tcPr>
            <w:tcW w:w="1072" w:type="dxa"/>
            <w:tcBorders>
              <w:top w:val="nil"/>
              <w:left w:val="nil"/>
              <w:bottom w:val="nil"/>
              <w:right w:val="nil"/>
            </w:tcBorders>
            <w:shd w:val="clear" w:color="auto" w:fill="auto"/>
            <w:noWrap/>
            <w:vAlign w:val="bottom"/>
          </w:tcPr>
          <w:p w:rsidR="008576FF" w:rsidRPr="00361937" w:rsidRDefault="008576FF" w:rsidP="00A95E29">
            <w:pPr>
              <w:spacing w:line="480" w:lineRule="auto"/>
              <w:rPr>
                <w:color w:val="000000"/>
                <w:szCs w:val="20"/>
              </w:rPr>
            </w:pPr>
          </w:p>
        </w:tc>
        <w:tc>
          <w:tcPr>
            <w:tcW w:w="1077" w:type="dxa"/>
            <w:tcBorders>
              <w:top w:val="nil"/>
              <w:left w:val="nil"/>
              <w:bottom w:val="nil"/>
              <w:right w:val="nil"/>
            </w:tcBorders>
            <w:shd w:val="clear" w:color="auto" w:fill="auto"/>
            <w:noWrap/>
            <w:vAlign w:val="bottom"/>
          </w:tcPr>
          <w:p w:rsidR="008576FF" w:rsidRPr="00361937" w:rsidRDefault="008576FF" w:rsidP="00A95E29">
            <w:pPr>
              <w:spacing w:line="480" w:lineRule="auto"/>
              <w:rPr>
                <w:szCs w:val="20"/>
              </w:rPr>
            </w:pPr>
          </w:p>
        </w:tc>
      </w:tr>
      <w:tr w:rsidR="008576FF" w:rsidRPr="00361937" w:rsidTr="00E5273B">
        <w:trPr>
          <w:trHeight w:val="327"/>
        </w:trPr>
        <w:tc>
          <w:tcPr>
            <w:tcW w:w="5795" w:type="dxa"/>
            <w:tcBorders>
              <w:top w:val="nil"/>
              <w:left w:val="nil"/>
              <w:bottom w:val="nil"/>
              <w:right w:val="nil"/>
            </w:tcBorders>
            <w:shd w:val="clear" w:color="auto" w:fill="auto"/>
          </w:tcPr>
          <w:p w:rsidR="008576FF" w:rsidRPr="00361937" w:rsidRDefault="008576FF" w:rsidP="00A95E29">
            <w:pPr>
              <w:spacing w:line="480" w:lineRule="auto"/>
              <w:ind w:firstLineChars="300" w:firstLine="720"/>
              <w:rPr>
                <w:color w:val="000000"/>
                <w:szCs w:val="20"/>
              </w:rPr>
            </w:pPr>
            <w:r w:rsidRPr="00361937">
              <w:rPr>
                <w:color w:val="000000"/>
                <w:szCs w:val="20"/>
                <w:vertAlign w:val="superscript"/>
              </w:rPr>
              <w:t xml:space="preserve">b </w:t>
            </w:r>
            <w:r w:rsidRPr="00361937">
              <w:rPr>
                <w:color w:val="000000"/>
                <w:szCs w:val="20"/>
              </w:rPr>
              <w:t>Scenario 2:</w:t>
            </w:r>
          </w:p>
        </w:tc>
        <w:tc>
          <w:tcPr>
            <w:tcW w:w="1903" w:type="dxa"/>
            <w:tcBorders>
              <w:top w:val="nil"/>
              <w:left w:val="nil"/>
              <w:bottom w:val="nil"/>
              <w:right w:val="nil"/>
            </w:tcBorders>
            <w:shd w:val="clear" w:color="auto" w:fill="auto"/>
            <w:noWrap/>
            <w:vAlign w:val="bottom"/>
          </w:tcPr>
          <w:p w:rsidR="008576FF" w:rsidRPr="00361937" w:rsidRDefault="008576FF" w:rsidP="00A95E29">
            <w:pPr>
              <w:spacing w:line="480" w:lineRule="auto"/>
              <w:rPr>
                <w:color w:val="000000"/>
                <w:szCs w:val="20"/>
              </w:rPr>
            </w:pPr>
            <w:r w:rsidRPr="00361937">
              <w:rPr>
                <w:color w:val="000000"/>
                <w:szCs w:val="20"/>
              </w:rPr>
              <w:t>93.1 (88.0-96.2)</w:t>
            </w:r>
          </w:p>
        </w:tc>
        <w:tc>
          <w:tcPr>
            <w:tcW w:w="1766" w:type="dxa"/>
            <w:tcBorders>
              <w:top w:val="nil"/>
              <w:left w:val="nil"/>
              <w:bottom w:val="nil"/>
              <w:right w:val="nil"/>
            </w:tcBorders>
            <w:shd w:val="clear" w:color="auto" w:fill="auto"/>
            <w:noWrap/>
            <w:vAlign w:val="bottom"/>
          </w:tcPr>
          <w:p w:rsidR="008576FF" w:rsidRPr="00361937" w:rsidRDefault="008576FF" w:rsidP="00A95E29">
            <w:pPr>
              <w:spacing w:line="480" w:lineRule="auto"/>
              <w:rPr>
                <w:color w:val="000000"/>
                <w:szCs w:val="20"/>
              </w:rPr>
            </w:pPr>
            <w:r w:rsidRPr="00361937">
              <w:rPr>
                <w:color w:val="000000"/>
                <w:szCs w:val="20"/>
              </w:rPr>
              <w:t>100</w:t>
            </w:r>
          </w:p>
        </w:tc>
        <w:tc>
          <w:tcPr>
            <w:tcW w:w="1072" w:type="dxa"/>
            <w:tcBorders>
              <w:top w:val="nil"/>
              <w:left w:val="nil"/>
              <w:bottom w:val="nil"/>
              <w:right w:val="nil"/>
            </w:tcBorders>
            <w:shd w:val="clear" w:color="auto" w:fill="auto"/>
            <w:noWrap/>
            <w:vAlign w:val="bottom"/>
          </w:tcPr>
          <w:p w:rsidR="008576FF" w:rsidRPr="00361937" w:rsidRDefault="008576FF" w:rsidP="00A95E29">
            <w:pPr>
              <w:spacing w:line="480" w:lineRule="auto"/>
              <w:rPr>
                <w:color w:val="000000"/>
                <w:szCs w:val="20"/>
              </w:rPr>
            </w:pPr>
          </w:p>
        </w:tc>
        <w:tc>
          <w:tcPr>
            <w:tcW w:w="1077" w:type="dxa"/>
            <w:tcBorders>
              <w:top w:val="nil"/>
              <w:left w:val="nil"/>
              <w:bottom w:val="nil"/>
              <w:right w:val="nil"/>
            </w:tcBorders>
            <w:shd w:val="clear" w:color="auto" w:fill="auto"/>
            <w:noWrap/>
            <w:vAlign w:val="bottom"/>
          </w:tcPr>
          <w:p w:rsidR="008576FF" w:rsidRPr="00361937" w:rsidRDefault="008576FF" w:rsidP="00A95E29">
            <w:pPr>
              <w:spacing w:line="480" w:lineRule="auto"/>
              <w:rPr>
                <w:szCs w:val="20"/>
              </w:rPr>
            </w:pPr>
          </w:p>
        </w:tc>
      </w:tr>
      <w:tr w:rsidR="008576FF" w:rsidRPr="00361937" w:rsidTr="00E5273B">
        <w:trPr>
          <w:trHeight w:val="307"/>
        </w:trPr>
        <w:tc>
          <w:tcPr>
            <w:tcW w:w="5795" w:type="dxa"/>
            <w:tcBorders>
              <w:top w:val="nil"/>
              <w:left w:val="nil"/>
              <w:bottom w:val="nil"/>
              <w:right w:val="nil"/>
            </w:tcBorders>
            <w:shd w:val="clear" w:color="auto" w:fill="auto"/>
            <w:noWrap/>
            <w:vAlign w:val="bottom"/>
          </w:tcPr>
          <w:p w:rsidR="008576FF" w:rsidRPr="00361937" w:rsidRDefault="008576FF" w:rsidP="00A95E29">
            <w:pPr>
              <w:spacing w:line="480" w:lineRule="auto"/>
              <w:ind w:firstLineChars="200" w:firstLine="480"/>
              <w:rPr>
                <w:i/>
                <w:iCs/>
                <w:color w:val="000000"/>
                <w:szCs w:val="20"/>
              </w:rPr>
            </w:pPr>
            <w:r w:rsidRPr="00361937">
              <w:rPr>
                <w:i/>
                <w:iCs/>
                <w:color w:val="000000"/>
                <w:szCs w:val="20"/>
              </w:rPr>
              <w:t>PCR-un</w:t>
            </w:r>
            <w:r w:rsidR="001F505E" w:rsidRPr="00361937">
              <w:rPr>
                <w:i/>
                <w:iCs/>
                <w:color w:val="000000"/>
                <w:szCs w:val="20"/>
              </w:rPr>
              <w:t>corrected</w:t>
            </w:r>
            <w:r w:rsidRPr="00361937">
              <w:rPr>
                <w:i/>
                <w:iCs/>
                <w:color w:val="000000"/>
                <w:szCs w:val="20"/>
              </w:rPr>
              <w:t xml:space="preserve"> </w:t>
            </w:r>
            <w:r w:rsidR="008500C9" w:rsidRPr="00361937">
              <w:rPr>
                <w:i/>
                <w:iCs/>
                <w:color w:val="000000"/>
                <w:szCs w:val="20"/>
              </w:rPr>
              <w:t xml:space="preserve">cure </w:t>
            </w:r>
            <w:r w:rsidRPr="00361937">
              <w:rPr>
                <w:i/>
                <w:iCs/>
                <w:color w:val="000000"/>
                <w:szCs w:val="20"/>
              </w:rPr>
              <w:t xml:space="preserve">rate-% (95% CI)  </w:t>
            </w:r>
          </w:p>
        </w:tc>
        <w:tc>
          <w:tcPr>
            <w:tcW w:w="1903" w:type="dxa"/>
            <w:tcBorders>
              <w:top w:val="nil"/>
              <w:left w:val="nil"/>
              <w:bottom w:val="nil"/>
              <w:right w:val="nil"/>
            </w:tcBorders>
            <w:shd w:val="clear" w:color="auto" w:fill="auto"/>
            <w:noWrap/>
            <w:vAlign w:val="bottom"/>
          </w:tcPr>
          <w:p w:rsidR="008576FF" w:rsidRPr="00361937" w:rsidRDefault="008576FF" w:rsidP="00A95E29">
            <w:pPr>
              <w:spacing w:line="480" w:lineRule="auto"/>
              <w:ind w:firstLineChars="200" w:firstLine="480"/>
              <w:rPr>
                <w:i/>
                <w:iCs/>
                <w:color w:val="000000"/>
                <w:szCs w:val="20"/>
              </w:rPr>
            </w:pPr>
          </w:p>
        </w:tc>
        <w:tc>
          <w:tcPr>
            <w:tcW w:w="1766" w:type="dxa"/>
            <w:tcBorders>
              <w:top w:val="nil"/>
              <w:left w:val="nil"/>
              <w:bottom w:val="nil"/>
              <w:right w:val="nil"/>
            </w:tcBorders>
            <w:shd w:val="clear" w:color="auto" w:fill="auto"/>
            <w:noWrap/>
            <w:vAlign w:val="bottom"/>
          </w:tcPr>
          <w:p w:rsidR="008576FF" w:rsidRPr="00361937" w:rsidRDefault="008576FF" w:rsidP="00A95E29">
            <w:pPr>
              <w:spacing w:line="480" w:lineRule="auto"/>
              <w:rPr>
                <w:szCs w:val="20"/>
              </w:rPr>
            </w:pPr>
          </w:p>
        </w:tc>
        <w:tc>
          <w:tcPr>
            <w:tcW w:w="1072" w:type="dxa"/>
            <w:tcBorders>
              <w:top w:val="nil"/>
              <w:left w:val="nil"/>
              <w:bottom w:val="nil"/>
              <w:right w:val="nil"/>
            </w:tcBorders>
            <w:shd w:val="clear" w:color="auto" w:fill="auto"/>
            <w:noWrap/>
            <w:vAlign w:val="bottom"/>
          </w:tcPr>
          <w:p w:rsidR="008576FF" w:rsidRPr="00361937" w:rsidRDefault="008576FF" w:rsidP="00A95E29">
            <w:pPr>
              <w:spacing w:line="480" w:lineRule="auto"/>
              <w:rPr>
                <w:szCs w:val="20"/>
              </w:rPr>
            </w:pPr>
          </w:p>
        </w:tc>
        <w:tc>
          <w:tcPr>
            <w:tcW w:w="1077" w:type="dxa"/>
            <w:tcBorders>
              <w:top w:val="nil"/>
              <w:left w:val="nil"/>
              <w:bottom w:val="nil"/>
              <w:right w:val="nil"/>
            </w:tcBorders>
            <w:shd w:val="clear" w:color="auto" w:fill="auto"/>
            <w:noWrap/>
            <w:vAlign w:val="bottom"/>
          </w:tcPr>
          <w:p w:rsidR="008576FF" w:rsidRPr="00361937" w:rsidRDefault="008576FF" w:rsidP="00A95E29">
            <w:pPr>
              <w:spacing w:line="480" w:lineRule="auto"/>
              <w:rPr>
                <w:szCs w:val="20"/>
              </w:rPr>
            </w:pPr>
          </w:p>
        </w:tc>
      </w:tr>
      <w:tr w:rsidR="008576FF" w:rsidRPr="00361937" w:rsidTr="00E5273B">
        <w:trPr>
          <w:trHeight w:val="327"/>
        </w:trPr>
        <w:tc>
          <w:tcPr>
            <w:tcW w:w="5795" w:type="dxa"/>
            <w:tcBorders>
              <w:top w:val="nil"/>
              <w:left w:val="nil"/>
              <w:bottom w:val="nil"/>
              <w:right w:val="nil"/>
            </w:tcBorders>
            <w:shd w:val="clear" w:color="auto" w:fill="auto"/>
            <w:noWrap/>
            <w:vAlign w:val="bottom"/>
          </w:tcPr>
          <w:p w:rsidR="008576FF" w:rsidRPr="00361937" w:rsidRDefault="008576FF" w:rsidP="00A95E29">
            <w:pPr>
              <w:spacing w:line="480" w:lineRule="auto"/>
              <w:ind w:firstLineChars="300" w:firstLine="720"/>
              <w:rPr>
                <w:color w:val="000000"/>
                <w:szCs w:val="20"/>
              </w:rPr>
            </w:pPr>
            <w:r w:rsidRPr="00361937">
              <w:rPr>
                <w:color w:val="000000"/>
                <w:szCs w:val="20"/>
                <w:vertAlign w:val="superscript"/>
              </w:rPr>
              <w:lastRenderedPageBreak/>
              <w:t xml:space="preserve">a </w:t>
            </w:r>
            <w:r w:rsidRPr="00361937">
              <w:rPr>
                <w:color w:val="000000"/>
                <w:szCs w:val="20"/>
              </w:rPr>
              <w:t>Scenario 1:</w:t>
            </w:r>
          </w:p>
        </w:tc>
        <w:tc>
          <w:tcPr>
            <w:tcW w:w="1903" w:type="dxa"/>
            <w:tcBorders>
              <w:top w:val="nil"/>
              <w:left w:val="nil"/>
              <w:bottom w:val="nil"/>
              <w:right w:val="nil"/>
            </w:tcBorders>
            <w:shd w:val="clear" w:color="auto" w:fill="auto"/>
            <w:noWrap/>
            <w:vAlign w:val="bottom"/>
          </w:tcPr>
          <w:p w:rsidR="008576FF" w:rsidRPr="00361937" w:rsidRDefault="008576FF" w:rsidP="00A95E29">
            <w:pPr>
              <w:spacing w:line="480" w:lineRule="auto"/>
              <w:rPr>
                <w:color w:val="000000"/>
                <w:szCs w:val="20"/>
              </w:rPr>
            </w:pPr>
            <w:r w:rsidRPr="00361937">
              <w:rPr>
                <w:color w:val="000000"/>
                <w:szCs w:val="20"/>
              </w:rPr>
              <w:t>95.6 (90.3-97.5)</w:t>
            </w:r>
          </w:p>
        </w:tc>
        <w:tc>
          <w:tcPr>
            <w:tcW w:w="1766" w:type="dxa"/>
            <w:tcBorders>
              <w:top w:val="nil"/>
              <w:left w:val="nil"/>
              <w:bottom w:val="nil"/>
              <w:right w:val="nil"/>
            </w:tcBorders>
            <w:shd w:val="clear" w:color="auto" w:fill="auto"/>
            <w:noWrap/>
            <w:vAlign w:val="bottom"/>
          </w:tcPr>
          <w:p w:rsidR="008576FF" w:rsidRPr="00361937" w:rsidRDefault="008576FF" w:rsidP="00A95E29">
            <w:pPr>
              <w:spacing w:line="480" w:lineRule="auto"/>
              <w:rPr>
                <w:color w:val="000000"/>
                <w:szCs w:val="20"/>
              </w:rPr>
            </w:pPr>
            <w:r w:rsidRPr="00361937">
              <w:rPr>
                <w:color w:val="000000"/>
                <w:szCs w:val="20"/>
              </w:rPr>
              <w:t>100</w:t>
            </w:r>
          </w:p>
        </w:tc>
        <w:tc>
          <w:tcPr>
            <w:tcW w:w="1072" w:type="dxa"/>
            <w:tcBorders>
              <w:top w:val="nil"/>
              <w:left w:val="nil"/>
              <w:bottom w:val="nil"/>
              <w:right w:val="nil"/>
            </w:tcBorders>
            <w:shd w:val="clear" w:color="auto" w:fill="auto"/>
            <w:noWrap/>
            <w:vAlign w:val="bottom"/>
          </w:tcPr>
          <w:p w:rsidR="008576FF" w:rsidRPr="00361937" w:rsidRDefault="008576FF" w:rsidP="00A95E29">
            <w:pPr>
              <w:spacing w:line="480" w:lineRule="auto"/>
              <w:rPr>
                <w:color w:val="000000"/>
                <w:szCs w:val="20"/>
              </w:rPr>
            </w:pPr>
          </w:p>
        </w:tc>
        <w:tc>
          <w:tcPr>
            <w:tcW w:w="1077" w:type="dxa"/>
            <w:tcBorders>
              <w:top w:val="nil"/>
              <w:left w:val="nil"/>
              <w:bottom w:val="nil"/>
              <w:right w:val="nil"/>
            </w:tcBorders>
            <w:shd w:val="clear" w:color="auto" w:fill="auto"/>
            <w:noWrap/>
            <w:vAlign w:val="bottom"/>
          </w:tcPr>
          <w:p w:rsidR="008576FF" w:rsidRPr="00361937" w:rsidRDefault="008576FF" w:rsidP="00A95E29">
            <w:pPr>
              <w:spacing w:line="480" w:lineRule="auto"/>
              <w:rPr>
                <w:szCs w:val="20"/>
              </w:rPr>
            </w:pPr>
          </w:p>
        </w:tc>
      </w:tr>
      <w:tr w:rsidR="008576FF" w:rsidRPr="00361937" w:rsidTr="00E5273B">
        <w:trPr>
          <w:trHeight w:val="327"/>
        </w:trPr>
        <w:tc>
          <w:tcPr>
            <w:tcW w:w="5795" w:type="dxa"/>
            <w:tcBorders>
              <w:top w:val="nil"/>
              <w:left w:val="nil"/>
              <w:bottom w:val="nil"/>
              <w:right w:val="nil"/>
            </w:tcBorders>
            <w:shd w:val="clear" w:color="auto" w:fill="auto"/>
            <w:noWrap/>
            <w:vAlign w:val="bottom"/>
          </w:tcPr>
          <w:p w:rsidR="008576FF" w:rsidRPr="00361937" w:rsidRDefault="008576FF" w:rsidP="00A95E29">
            <w:pPr>
              <w:spacing w:line="480" w:lineRule="auto"/>
              <w:ind w:firstLineChars="300" w:firstLine="720"/>
              <w:rPr>
                <w:color w:val="000000"/>
                <w:szCs w:val="20"/>
              </w:rPr>
            </w:pPr>
            <w:r w:rsidRPr="00361937">
              <w:rPr>
                <w:color w:val="000000"/>
                <w:szCs w:val="20"/>
                <w:vertAlign w:val="superscript"/>
              </w:rPr>
              <w:t xml:space="preserve">b </w:t>
            </w:r>
            <w:r w:rsidRPr="00361937">
              <w:rPr>
                <w:color w:val="000000"/>
                <w:szCs w:val="20"/>
              </w:rPr>
              <w:t>Scenario 2:</w:t>
            </w:r>
          </w:p>
        </w:tc>
        <w:tc>
          <w:tcPr>
            <w:tcW w:w="1903" w:type="dxa"/>
            <w:tcBorders>
              <w:top w:val="nil"/>
              <w:left w:val="nil"/>
              <w:bottom w:val="nil"/>
              <w:right w:val="nil"/>
            </w:tcBorders>
            <w:shd w:val="clear" w:color="auto" w:fill="auto"/>
            <w:noWrap/>
            <w:vAlign w:val="bottom"/>
          </w:tcPr>
          <w:p w:rsidR="008576FF" w:rsidRPr="00361937" w:rsidRDefault="008576FF" w:rsidP="00A95E29">
            <w:pPr>
              <w:spacing w:line="480" w:lineRule="auto"/>
              <w:rPr>
                <w:color w:val="000000"/>
                <w:szCs w:val="20"/>
              </w:rPr>
            </w:pPr>
            <w:r w:rsidRPr="00361937">
              <w:rPr>
                <w:color w:val="000000"/>
                <w:szCs w:val="20"/>
              </w:rPr>
              <w:t>89.4 (83.5-93.3)</w:t>
            </w:r>
          </w:p>
        </w:tc>
        <w:tc>
          <w:tcPr>
            <w:tcW w:w="1766" w:type="dxa"/>
            <w:tcBorders>
              <w:top w:val="nil"/>
              <w:left w:val="nil"/>
              <w:bottom w:val="nil"/>
              <w:right w:val="nil"/>
            </w:tcBorders>
            <w:shd w:val="clear" w:color="auto" w:fill="auto"/>
            <w:noWrap/>
            <w:vAlign w:val="bottom"/>
          </w:tcPr>
          <w:p w:rsidR="008576FF" w:rsidRPr="00361937" w:rsidRDefault="008576FF" w:rsidP="00A95E29">
            <w:pPr>
              <w:spacing w:line="480" w:lineRule="auto"/>
              <w:rPr>
                <w:color w:val="000000"/>
                <w:szCs w:val="20"/>
              </w:rPr>
            </w:pPr>
            <w:r w:rsidRPr="00361937">
              <w:rPr>
                <w:color w:val="000000"/>
                <w:szCs w:val="20"/>
              </w:rPr>
              <w:t>100</w:t>
            </w:r>
          </w:p>
        </w:tc>
        <w:tc>
          <w:tcPr>
            <w:tcW w:w="1072" w:type="dxa"/>
            <w:tcBorders>
              <w:top w:val="nil"/>
              <w:left w:val="nil"/>
              <w:bottom w:val="nil"/>
              <w:right w:val="nil"/>
            </w:tcBorders>
            <w:shd w:val="clear" w:color="auto" w:fill="auto"/>
            <w:noWrap/>
            <w:vAlign w:val="bottom"/>
          </w:tcPr>
          <w:p w:rsidR="008576FF" w:rsidRPr="00361937" w:rsidRDefault="008576FF" w:rsidP="00A95E29">
            <w:pPr>
              <w:spacing w:line="480" w:lineRule="auto"/>
              <w:rPr>
                <w:color w:val="000000"/>
                <w:szCs w:val="20"/>
              </w:rPr>
            </w:pPr>
          </w:p>
        </w:tc>
        <w:tc>
          <w:tcPr>
            <w:tcW w:w="1077" w:type="dxa"/>
            <w:tcBorders>
              <w:top w:val="nil"/>
              <w:left w:val="nil"/>
              <w:bottom w:val="nil"/>
              <w:right w:val="nil"/>
            </w:tcBorders>
            <w:shd w:val="clear" w:color="auto" w:fill="auto"/>
            <w:noWrap/>
            <w:vAlign w:val="bottom"/>
          </w:tcPr>
          <w:p w:rsidR="008576FF" w:rsidRPr="00361937" w:rsidRDefault="008576FF" w:rsidP="00A95E29">
            <w:pPr>
              <w:spacing w:line="480" w:lineRule="auto"/>
              <w:rPr>
                <w:szCs w:val="20"/>
              </w:rPr>
            </w:pPr>
          </w:p>
        </w:tc>
      </w:tr>
      <w:tr w:rsidR="008576FF" w:rsidRPr="00361937" w:rsidTr="00E5273B">
        <w:trPr>
          <w:trHeight w:val="327"/>
        </w:trPr>
        <w:tc>
          <w:tcPr>
            <w:tcW w:w="5795" w:type="dxa"/>
            <w:tcBorders>
              <w:top w:val="nil"/>
              <w:left w:val="nil"/>
              <w:bottom w:val="nil"/>
              <w:right w:val="nil"/>
            </w:tcBorders>
            <w:shd w:val="clear" w:color="auto" w:fill="auto"/>
            <w:noWrap/>
            <w:vAlign w:val="bottom"/>
          </w:tcPr>
          <w:p w:rsidR="008576FF" w:rsidRPr="00361937" w:rsidRDefault="008576FF" w:rsidP="00A95E29">
            <w:pPr>
              <w:spacing w:line="480" w:lineRule="auto"/>
              <w:ind w:firstLineChars="300" w:firstLine="720"/>
              <w:rPr>
                <w:color w:val="000000"/>
                <w:szCs w:val="20"/>
              </w:rPr>
            </w:pPr>
            <w:r w:rsidRPr="00361937">
              <w:rPr>
                <w:color w:val="000000"/>
                <w:szCs w:val="20"/>
                <w:vertAlign w:val="superscript"/>
              </w:rPr>
              <w:t>c</w:t>
            </w:r>
            <w:r w:rsidRPr="00361937">
              <w:rPr>
                <w:color w:val="000000"/>
                <w:szCs w:val="20"/>
              </w:rPr>
              <w:t xml:space="preserve"> Scenario 3:</w:t>
            </w:r>
          </w:p>
        </w:tc>
        <w:tc>
          <w:tcPr>
            <w:tcW w:w="1903" w:type="dxa"/>
            <w:tcBorders>
              <w:top w:val="nil"/>
              <w:left w:val="nil"/>
              <w:bottom w:val="nil"/>
              <w:right w:val="nil"/>
            </w:tcBorders>
            <w:shd w:val="clear" w:color="auto" w:fill="auto"/>
            <w:noWrap/>
            <w:vAlign w:val="bottom"/>
          </w:tcPr>
          <w:p w:rsidR="008576FF" w:rsidRPr="00361937" w:rsidRDefault="008576FF" w:rsidP="00A95E29">
            <w:pPr>
              <w:spacing w:line="480" w:lineRule="auto"/>
              <w:rPr>
                <w:color w:val="000000"/>
                <w:szCs w:val="20"/>
              </w:rPr>
            </w:pPr>
            <w:r w:rsidRPr="00361937">
              <w:rPr>
                <w:color w:val="000000"/>
                <w:szCs w:val="20"/>
              </w:rPr>
              <w:t>89.9 (82.3-94.4)</w:t>
            </w:r>
          </w:p>
        </w:tc>
        <w:tc>
          <w:tcPr>
            <w:tcW w:w="1766" w:type="dxa"/>
            <w:tcBorders>
              <w:top w:val="nil"/>
              <w:left w:val="nil"/>
              <w:bottom w:val="nil"/>
              <w:right w:val="nil"/>
            </w:tcBorders>
            <w:shd w:val="clear" w:color="auto" w:fill="auto"/>
            <w:noWrap/>
            <w:vAlign w:val="bottom"/>
          </w:tcPr>
          <w:p w:rsidR="008576FF" w:rsidRPr="00361937" w:rsidRDefault="008576FF" w:rsidP="00A95E29">
            <w:pPr>
              <w:spacing w:line="480" w:lineRule="auto"/>
              <w:rPr>
                <w:color w:val="000000"/>
                <w:szCs w:val="20"/>
              </w:rPr>
            </w:pPr>
            <w:r w:rsidRPr="00361937">
              <w:rPr>
                <w:color w:val="000000"/>
                <w:szCs w:val="20"/>
              </w:rPr>
              <w:t>100</w:t>
            </w:r>
          </w:p>
        </w:tc>
        <w:tc>
          <w:tcPr>
            <w:tcW w:w="1072" w:type="dxa"/>
            <w:tcBorders>
              <w:top w:val="nil"/>
              <w:left w:val="nil"/>
              <w:bottom w:val="nil"/>
              <w:right w:val="nil"/>
            </w:tcBorders>
            <w:shd w:val="clear" w:color="auto" w:fill="auto"/>
            <w:noWrap/>
            <w:vAlign w:val="bottom"/>
          </w:tcPr>
          <w:p w:rsidR="008576FF" w:rsidRPr="00361937" w:rsidRDefault="008576FF" w:rsidP="00A95E29">
            <w:pPr>
              <w:spacing w:line="480" w:lineRule="auto"/>
              <w:rPr>
                <w:color w:val="000000"/>
                <w:szCs w:val="20"/>
              </w:rPr>
            </w:pPr>
          </w:p>
        </w:tc>
        <w:tc>
          <w:tcPr>
            <w:tcW w:w="1077" w:type="dxa"/>
            <w:tcBorders>
              <w:top w:val="nil"/>
              <w:left w:val="nil"/>
              <w:bottom w:val="nil"/>
              <w:right w:val="nil"/>
            </w:tcBorders>
            <w:shd w:val="clear" w:color="auto" w:fill="auto"/>
            <w:noWrap/>
            <w:vAlign w:val="bottom"/>
          </w:tcPr>
          <w:p w:rsidR="008576FF" w:rsidRPr="00361937" w:rsidRDefault="008576FF" w:rsidP="00A95E29">
            <w:pPr>
              <w:spacing w:line="480" w:lineRule="auto"/>
              <w:rPr>
                <w:szCs w:val="20"/>
              </w:rPr>
            </w:pPr>
          </w:p>
        </w:tc>
      </w:tr>
      <w:tr w:rsidR="008576FF" w:rsidRPr="00361937" w:rsidTr="00E5273B">
        <w:trPr>
          <w:trHeight w:val="327"/>
        </w:trPr>
        <w:tc>
          <w:tcPr>
            <w:tcW w:w="5795" w:type="dxa"/>
            <w:tcBorders>
              <w:top w:val="nil"/>
              <w:left w:val="nil"/>
              <w:bottom w:val="single" w:sz="4" w:space="0" w:color="auto"/>
              <w:right w:val="nil"/>
            </w:tcBorders>
            <w:shd w:val="clear" w:color="auto" w:fill="auto"/>
            <w:noWrap/>
            <w:vAlign w:val="bottom"/>
          </w:tcPr>
          <w:p w:rsidR="008576FF" w:rsidRPr="00361937" w:rsidRDefault="008576FF" w:rsidP="00A95E29">
            <w:pPr>
              <w:spacing w:line="480" w:lineRule="auto"/>
              <w:ind w:firstLineChars="300" w:firstLine="720"/>
              <w:rPr>
                <w:color w:val="000000"/>
                <w:szCs w:val="20"/>
              </w:rPr>
            </w:pPr>
            <w:r w:rsidRPr="00361937">
              <w:rPr>
                <w:color w:val="000000"/>
                <w:szCs w:val="20"/>
                <w:vertAlign w:val="superscript"/>
              </w:rPr>
              <w:t>d</w:t>
            </w:r>
            <w:r w:rsidRPr="00361937">
              <w:rPr>
                <w:color w:val="000000"/>
                <w:szCs w:val="20"/>
              </w:rPr>
              <w:t xml:space="preserve"> Scenario 4:</w:t>
            </w:r>
          </w:p>
        </w:tc>
        <w:tc>
          <w:tcPr>
            <w:tcW w:w="1903" w:type="dxa"/>
            <w:tcBorders>
              <w:top w:val="nil"/>
              <w:left w:val="nil"/>
              <w:bottom w:val="single" w:sz="4" w:space="0" w:color="auto"/>
              <w:right w:val="nil"/>
            </w:tcBorders>
            <w:shd w:val="clear" w:color="auto" w:fill="auto"/>
            <w:noWrap/>
            <w:vAlign w:val="bottom"/>
          </w:tcPr>
          <w:p w:rsidR="008576FF" w:rsidRPr="00361937" w:rsidRDefault="008576FF" w:rsidP="00A95E29">
            <w:pPr>
              <w:spacing w:line="480" w:lineRule="auto"/>
              <w:rPr>
                <w:color w:val="000000"/>
                <w:szCs w:val="20"/>
              </w:rPr>
            </w:pPr>
            <w:r w:rsidRPr="00361937">
              <w:rPr>
                <w:color w:val="000000"/>
                <w:szCs w:val="20"/>
              </w:rPr>
              <w:t>89.8 (77.4-95.8)</w:t>
            </w:r>
          </w:p>
        </w:tc>
        <w:tc>
          <w:tcPr>
            <w:tcW w:w="1766" w:type="dxa"/>
            <w:tcBorders>
              <w:top w:val="nil"/>
              <w:left w:val="nil"/>
              <w:bottom w:val="single" w:sz="4" w:space="0" w:color="auto"/>
              <w:right w:val="nil"/>
            </w:tcBorders>
            <w:shd w:val="clear" w:color="auto" w:fill="auto"/>
            <w:noWrap/>
            <w:vAlign w:val="bottom"/>
          </w:tcPr>
          <w:p w:rsidR="008576FF" w:rsidRPr="00361937" w:rsidRDefault="008576FF" w:rsidP="00A95E29">
            <w:pPr>
              <w:spacing w:line="480" w:lineRule="auto"/>
              <w:rPr>
                <w:color w:val="000000"/>
                <w:szCs w:val="20"/>
              </w:rPr>
            </w:pPr>
            <w:r w:rsidRPr="00361937">
              <w:rPr>
                <w:color w:val="000000"/>
                <w:szCs w:val="20"/>
              </w:rPr>
              <w:t>100</w:t>
            </w:r>
          </w:p>
        </w:tc>
        <w:tc>
          <w:tcPr>
            <w:tcW w:w="1072" w:type="dxa"/>
            <w:tcBorders>
              <w:top w:val="nil"/>
              <w:left w:val="nil"/>
              <w:bottom w:val="nil"/>
              <w:right w:val="nil"/>
            </w:tcBorders>
            <w:shd w:val="clear" w:color="auto" w:fill="auto"/>
            <w:noWrap/>
            <w:vAlign w:val="bottom"/>
          </w:tcPr>
          <w:p w:rsidR="008576FF" w:rsidRPr="00361937" w:rsidRDefault="008576FF" w:rsidP="00A95E29">
            <w:pPr>
              <w:spacing w:line="480" w:lineRule="auto"/>
              <w:rPr>
                <w:color w:val="000000"/>
                <w:szCs w:val="20"/>
              </w:rPr>
            </w:pPr>
          </w:p>
        </w:tc>
        <w:tc>
          <w:tcPr>
            <w:tcW w:w="1077" w:type="dxa"/>
            <w:tcBorders>
              <w:top w:val="nil"/>
              <w:left w:val="nil"/>
              <w:bottom w:val="nil"/>
              <w:right w:val="nil"/>
            </w:tcBorders>
            <w:shd w:val="clear" w:color="auto" w:fill="auto"/>
            <w:noWrap/>
            <w:vAlign w:val="bottom"/>
          </w:tcPr>
          <w:p w:rsidR="008576FF" w:rsidRPr="00361937" w:rsidRDefault="008576FF" w:rsidP="00A95E29">
            <w:pPr>
              <w:spacing w:line="480" w:lineRule="auto"/>
              <w:rPr>
                <w:szCs w:val="20"/>
              </w:rPr>
            </w:pPr>
          </w:p>
        </w:tc>
      </w:tr>
      <w:tr w:rsidR="008576FF" w:rsidRPr="00361937" w:rsidTr="00E5273B">
        <w:trPr>
          <w:trHeight w:val="307"/>
        </w:trPr>
        <w:tc>
          <w:tcPr>
            <w:tcW w:w="5795" w:type="dxa"/>
            <w:tcBorders>
              <w:top w:val="nil"/>
              <w:left w:val="nil"/>
              <w:bottom w:val="nil"/>
              <w:right w:val="nil"/>
            </w:tcBorders>
            <w:shd w:val="clear" w:color="auto" w:fill="auto"/>
            <w:noWrap/>
            <w:vAlign w:val="bottom"/>
          </w:tcPr>
          <w:p w:rsidR="008576FF" w:rsidRPr="00361937" w:rsidRDefault="008576FF" w:rsidP="00A95E29">
            <w:pPr>
              <w:spacing w:line="480" w:lineRule="auto"/>
              <w:ind w:firstLineChars="100" w:firstLine="241"/>
              <w:rPr>
                <w:b/>
                <w:bCs/>
                <w:i/>
                <w:iCs/>
                <w:color w:val="000000"/>
                <w:szCs w:val="20"/>
              </w:rPr>
            </w:pPr>
            <w:r w:rsidRPr="00361937">
              <w:rPr>
                <w:b/>
                <w:bCs/>
                <w:i/>
                <w:iCs/>
                <w:color w:val="000000"/>
                <w:szCs w:val="20"/>
              </w:rPr>
              <w:t xml:space="preserve">Per-protocol analysis </w:t>
            </w:r>
          </w:p>
        </w:tc>
        <w:tc>
          <w:tcPr>
            <w:tcW w:w="1903" w:type="dxa"/>
            <w:tcBorders>
              <w:top w:val="nil"/>
              <w:left w:val="nil"/>
              <w:bottom w:val="nil"/>
              <w:right w:val="nil"/>
            </w:tcBorders>
            <w:shd w:val="clear" w:color="auto" w:fill="auto"/>
            <w:noWrap/>
            <w:vAlign w:val="bottom"/>
          </w:tcPr>
          <w:p w:rsidR="008576FF" w:rsidRPr="00361937" w:rsidRDefault="008576FF" w:rsidP="00A95E29">
            <w:pPr>
              <w:spacing w:line="480" w:lineRule="auto"/>
              <w:ind w:firstLineChars="100" w:firstLine="241"/>
              <w:rPr>
                <w:b/>
                <w:bCs/>
                <w:i/>
                <w:iCs/>
                <w:color w:val="000000"/>
                <w:szCs w:val="20"/>
              </w:rPr>
            </w:pPr>
          </w:p>
        </w:tc>
        <w:tc>
          <w:tcPr>
            <w:tcW w:w="1766" w:type="dxa"/>
            <w:tcBorders>
              <w:top w:val="nil"/>
              <w:left w:val="nil"/>
              <w:bottom w:val="nil"/>
              <w:right w:val="nil"/>
            </w:tcBorders>
            <w:shd w:val="clear" w:color="auto" w:fill="auto"/>
            <w:noWrap/>
            <w:vAlign w:val="bottom"/>
          </w:tcPr>
          <w:p w:rsidR="008576FF" w:rsidRPr="00361937" w:rsidRDefault="008576FF" w:rsidP="00A95E29">
            <w:pPr>
              <w:spacing w:line="480" w:lineRule="auto"/>
              <w:rPr>
                <w:szCs w:val="20"/>
              </w:rPr>
            </w:pPr>
          </w:p>
        </w:tc>
        <w:tc>
          <w:tcPr>
            <w:tcW w:w="1072" w:type="dxa"/>
            <w:tcBorders>
              <w:top w:val="nil"/>
              <w:left w:val="nil"/>
              <w:bottom w:val="nil"/>
              <w:right w:val="nil"/>
            </w:tcBorders>
            <w:shd w:val="clear" w:color="auto" w:fill="auto"/>
            <w:noWrap/>
            <w:vAlign w:val="bottom"/>
          </w:tcPr>
          <w:p w:rsidR="008576FF" w:rsidRPr="00361937" w:rsidRDefault="008576FF" w:rsidP="00A95E29">
            <w:pPr>
              <w:spacing w:line="480" w:lineRule="auto"/>
              <w:rPr>
                <w:szCs w:val="20"/>
              </w:rPr>
            </w:pPr>
          </w:p>
        </w:tc>
        <w:tc>
          <w:tcPr>
            <w:tcW w:w="1077" w:type="dxa"/>
            <w:tcBorders>
              <w:top w:val="nil"/>
              <w:left w:val="nil"/>
              <w:bottom w:val="nil"/>
              <w:right w:val="nil"/>
            </w:tcBorders>
            <w:shd w:val="clear" w:color="auto" w:fill="auto"/>
            <w:noWrap/>
            <w:vAlign w:val="bottom"/>
          </w:tcPr>
          <w:p w:rsidR="008576FF" w:rsidRPr="00361937" w:rsidRDefault="008576FF" w:rsidP="00A95E29">
            <w:pPr>
              <w:spacing w:line="480" w:lineRule="auto"/>
              <w:rPr>
                <w:szCs w:val="20"/>
              </w:rPr>
            </w:pPr>
          </w:p>
        </w:tc>
      </w:tr>
      <w:tr w:rsidR="008576FF" w:rsidRPr="00361937" w:rsidTr="00E5273B">
        <w:trPr>
          <w:trHeight w:val="307"/>
        </w:trPr>
        <w:tc>
          <w:tcPr>
            <w:tcW w:w="5795" w:type="dxa"/>
            <w:tcBorders>
              <w:top w:val="nil"/>
              <w:left w:val="nil"/>
              <w:bottom w:val="nil"/>
              <w:right w:val="nil"/>
            </w:tcBorders>
            <w:shd w:val="clear" w:color="auto" w:fill="auto"/>
            <w:noWrap/>
            <w:vAlign w:val="bottom"/>
          </w:tcPr>
          <w:p w:rsidR="008576FF" w:rsidRPr="00361937" w:rsidRDefault="008576FF" w:rsidP="00A95E29">
            <w:pPr>
              <w:spacing w:line="480" w:lineRule="auto"/>
              <w:ind w:firstLineChars="200" w:firstLine="480"/>
              <w:rPr>
                <w:color w:val="000000"/>
                <w:szCs w:val="20"/>
              </w:rPr>
            </w:pPr>
            <w:r w:rsidRPr="00361937">
              <w:rPr>
                <w:color w:val="000000"/>
                <w:szCs w:val="20"/>
              </w:rPr>
              <w:t>Number of patients</w:t>
            </w:r>
          </w:p>
        </w:tc>
        <w:tc>
          <w:tcPr>
            <w:tcW w:w="1903" w:type="dxa"/>
            <w:tcBorders>
              <w:top w:val="nil"/>
              <w:left w:val="nil"/>
              <w:bottom w:val="nil"/>
              <w:right w:val="nil"/>
            </w:tcBorders>
            <w:shd w:val="clear" w:color="auto" w:fill="auto"/>
            <w:noWrap/>
            <w:vAlign w:val="bottom"/>
          </w:tcPr>
          <w:p w:rsidR="008576FF" w:rsidRPr="00361937" w:rsidRDefault="008576FF" w:rsidP="00A95E29">
            <w:pPr>
              <w:spacing w:line="480" w:lineRule="auto"/>
              <w:rPr>
                <w:color w:val="000000"/>
                <w:szCs w:val="20"/>
              </w:rPr>
            </w:pPr>
            <w:r w:rsidRPr="00361937">
              <w:rPr>
                <w:color w:val="000000"/>
                <w:szCs w:val="20"/>
              </w:rPr>
              <w:t>151</w:t>
            </w:r>
          </w:p>
        </w:tc>
        <w:tc>
          <w:tcPr>
            <w:tcW w:w="1766" w:type="dxa"/>
            <w:tcBorders>
              <w:top w:val="nil"/>
              <w:left w:val="nil"/>
              <w:bottom w:val="nil"/>
              <w:right w:val="nil"/>
            </w:tcBorders>
            <w:shd w:val="clear" w:color="auto" w:fill="auto"/>
            <w:noWrap/>
            <w:vAlign w:val="bottom"/>
          </w:tcPr>
          <w:p w:rsidR="008576FF" w:rsidRPr="00361937" w:rsidRDefault="008576FF" w:rsidP="00A95E29">
            <w:pPr>
              <w:spacing w:line="480" w:lineRule="auto"/>
              <w:rPr>
                <w:color w:val="000000"/>
                <w:szCs w:val="20"/>
              </w:rPr>
            </w:pPr>
            <w:r w:rsidRPr="00361937">
              <w:rPr>
                <w:color w:val="000000"/>
                <w:szCs w:val="20"/>
              </w:rPr>
              <w:t>61</w:t>
            </w:r>
          </w:p>
        </w:tc>
        <w:tc>
          <w:tcPr>
            <w:tcW w:w="1072" w:type="dxa"/>
            <w:tcBorders>
              <w:top w:val="nil"/>
              <w:left w:val="nil"/>
              <w:bottom w:val="nil"/>
              <w:right w:val="nil"/>
            </w:tcBorders>
            <w:shd w:val="clear" w:color="auto" w:fill="auto"/>
            <w:noWrap/>
            <w:vAlign w:val="bottom"/>
          </w:tcPr>
          <w:p w:rsidR="008576FF" w:rsidRPr="00361937" w:rsidRDefault="008576FF" w:rsidP="00A95E29">
            <w:pPr>
              <w:spacing w:line="480" w:lineRule="auto"/>
              <w:rPr>
                <w:color w:val="000000"/>
                <w:szCs w:val="20"/>
              </w:rPr>
            </w:pPr>
          </w:p>
        </w:tc>
        <w:tc>
          <w:tcPr>
            <w:tcW w:w="1077" w:type="dxa"/>
            <w:tcBorders>
              <w:top w:val="nil"/>
              <w:left w:val="nil"/>
              <w:bottom w:val="nil"/>
              <w:right w:val="nil"/>
            </w:tcBorders>
            <w:shd w:val="clear" w:color="auto" w:fill="auto"/>
            <w:noWrap/>
            <w:vAlign w:val="bottom"/>
          </w:tcPr>
          <w:p w:rsidR="008576FF" w:rsidRPr="00361937" w:rsidRDefault="008576FF" w:rsidP="00A95E29">
            <w:pPr>
              <w:spacing w:line="480" w:lineRule="auto"/>
              <w:rPr>
                <w:szCs w:val="20"/>
              </w:rPr>
            </w:pPr>
          </w:p>
        </w:tc>
      </w:tr>
      <w:tr w:rsidR="008576FF" w:rsidRPr="00361937" w:rsidTr="00E5273B">
        <w:trPr>
          <w:trHeight w:val="307"/>
        </w:trPr>
        <w:tc>
          <w:tcPr>
            <w:tcW w:w="5795" w:type="dxa"/>
            <w:tcBorders>
              <w:top w:val="nil"/>
              <w:left w:val="nil"/>
              <w:bottom w:val="nil"/>
              <w:right w:val="nil"/>
            </w:tcBorders>
            <w:shd w:val="clear" w:color="auto" w:fill="auto"/>
            <w:vAlign w:val="bottom"/>
          </w:tcPr>
          <w:p w:rsidR="008576FF" w:rsidRPr="00361937" w:rsidRDefault="008576FF" w:rsidP="00A95E29">
            <w:pPr>
              <w:spacing w:line="480" w:lineRule="auto"/>
              <w:ind w:firstLineChars="200" w:firstLine="480"/>
              <w:rPr>
                <w:i/>
                <w:iCs/>
                <w:color w:val="000000"/>
                <w:szCs w:val="20"/>
              </w:rPr>
            </w:pPr>
            <w:r w:rsidRPr="00361937">
              <w:rPr>
                <w:i/>
                <w:iCs/>
                <w:color w:val="000000"/>
                <w:szCs w:val="20"/>
              </w:rPr>
              <w:t>PCR-</w:t>
            </w:r>
            <w:r w:rsidR="001F505E" w:rsidRPr="00361937">
              <w:rPr>
                <w:i/>
                <w:iCs/>
                <w:color w:val="000000"/>
                <w:szCs w:val="20"/>
              </w:rPr>
              <w:t>corrected</w:t>
            </w:r>
            <w:r w:rsidRPr="00361937">
              <w:rPr>
                <w:i/>
                <w:iCs/>
                <w:color w:val="000000"/>
                <w:szCs w:val="20"/>
              </w:rPr>
              <w:t xml:space="preserve"> </w:t>
            </w:r>
            <w:r w:rsidR="008500C9" w:rsidRPr="00361937">
              <w:rPr>
                <w:i/>
                <w:iCs/>
                <w:color w:val="000000"/>
                <w:szCs w:val="20"/>
              </w:rPr>
              <w:t xml:space="preserve">cure </w:t>
            </w:r>
            <w:r w:rsidRPr="00361937">
              <w:rPr>
                <w:i/>
                <w:iCs/>
                <w:color w:val="000000"/>
                <w:szCs w:val="20"/>
              </w:rPr>
              <w:t xml:space="preserve">rate-% (95% CI) </w:t>
            </w:r>
          </w:p>
        </w:tc>
        <w:tc>
          <w:tcPr>
            <w:tcW w:w="1903" w:type="dxa"/>
            <w:tcBorders>
              <w:top w:val="nil"/>
              <w:left w:val="nil"/>
              <w:bottom w:val="nil"/>
              <w:right w:val="nil"/>
            </w:tcBorders>
            <w:shd w:val="clear" w:color="auto" w:fill="auto"/>
            <w:noWrap/>
            <w:vAlign w:val="bottom"/>
          </w:tcPr>
          <w:p w:rsidR="008576FF" w:rsidRPr="00361937" w:rsidRDefault="008576FF" w:rsidP="00A95E29">
            <w:pPr>
              <w:spacing w:line="480" w:lineRule="auto"/>
              <w:ind w:firstLineChars="200" w:firstLine="480"/>
              <w:rPr>
                <w:i/>
                <w:iCs/>
                <w:color w:val="000000"/>
                <w:szCs w:val="20"/>
              </w:rPr>
            </w:pPr>
          </w:p>
        </w:tc>
        <w:tc>
          <w:tcPr>
            <w:tcW w:w="1766" w:type="dxa"/>
            <w:tcBorders>
              <w:top w:val="nil"/>
              <w:left w:val="nil"/>
              <w:bottom w:val="nil"/>
              <w:right w:val="nil"/>
            </w:tcBorders>
            <w:shd w:val="clear" w:color="auto" w:fill="auto"/>
            <w:noWrap/>
            <w:vAlign w:val="bottom"/>
          </w:tcPr>
          <w:p w:rsidR="008576FF" w:rsidRPr="00361937" w:rsidRDefault="008576FF" w:rsidP="00A95E29">
            <w:pPr>
              <w:spacing w:line="480" w:lineRule="auto"/>
              <w:rPr>
                <w:szCs w:val="20"/>
              </w:rPr>
            </w:pPr>
          </w:p>
        </w:tc>
        <w:tc>
          <w:tcPr>
            <w:tcW w:w="1072" w:type="dxa"/>
            <w:tcBorders>
              <w:top w:val="nil"/>
              <w:left w:val="nil"/>
              <w:bottom w:val="nil"/>
              <w:right w:val="nil"/>
            </w:tcBorders>
            <w:shd w:val="clear" w:color="auto" w:fill="auto"/>
            <w:noWrap/>
            <w:vAlign w:val="bottom"/>
          </w:tcPr>
          <w:p w:rsidR="008576FF" w:rsidRPr="00361937" w:rsidRDefault="008576FF" w:rsidP="00A95E29">
            <w:pPr>
              <w:spacing w:line="480" w:lineRule="auto"/>
              <w:rPr>
                <w:szCs w:val="20"/>
              </w:rPr>
            </w:pPr>
          </w:p>
        </w:tc>
        <w:tc>
          <w:tcPr>
            <w:tcW w:w="1077" w:type="dxa"/>
            <w:tcBorders>
              <w:top w:val="nil"/>
              <w:left w:val="nil"/>
              <w:bottom w:val="nil"/>
              <w:right w:val="nil"/>
            </w:tcBorders>
            <w:shd w:val="clear" w:color="auto" w:fill="auto"/>
            <w:noWrap/>
            <w:vAlign w:val="bottom"/>
          </w:tcPr>
          <w:p w:rsidR="008576FF" w:rsidRPr="00361937" w:rsidRDefault="008576FF" w:rsidP="00A95E29">
            <w:pPr>
              <w:spacing w:line="480" w:lineRule="auto"/>
              <w:rPr>
                <w:szCs w:val="20"/>
              </w:rPr>
            </w:pPr>
          </w:p>
        </w:tc>
      </w:tr>
      <w:tr w:rsidR="008576FF" w:rsidRPr="00361937" w:rsidTr="00E5273B">
        <w:trPr>
          <w:trHeight w:val="327"/>
        </w:trPr>
        <w:tc>
          <w:tcPr>
            <w:tcW w:w="5795" w:type="dxa"/>
            <w:tcBorders>
              <w:top w:val="nil"/>
              <w:left w:val="nil"/>
              <w:bottom w:val="nil"/>
              <w:right w:val="nil"/>
            </w:tcBorders>
            <w:shd w:val="clear" w:color="auto" w:fill="auto"/>
            <w:noWrap/>
            <w:vAlign w:val="bottom"/>
          </w:tcPr>
          <w:p w:rsidR="008576FF" w:rsidRPr="00361937" w:rsidRDefault="008576FF" w:rsidP="00A95E29">
            <w:pPr>
              <w:spacing w:line="480" w:lineRule="auto"/>
              <w:ind w:firstLineChars="300" w:firstLine="720"/>
              <w:rPr>
                <w:color w:val="000000"/>
                <w:szCs w:val="20"/>
              </w:rPr>
            </w:pPr>
            <w:r w:rsidRPr="00361937">
              <w:rPr>
                <w:color w:val="000000"/>
                <w:szCs w:val="20"/>
                <w:vertAlign w:val="superscript"/>
              </w:rPr>
              <w:t xml:space="preserve">e </w:t>
            </w:r>
            <w:r w:rsidRPr="00361937">
              <w:rPr>
                <w:color w:val="000000"/>
                <w:szCs w:val="20"/>
              </w:rPr>
              <w:t>Scenario 5:</w:t>
            </w:r>
          </w:p>
        </w:tc>
        <w:tc>
          <w:tcPr>
            <w:tcW w:w="1903" w:type="dxa"/>
            <w:tcBorders>
              <w:top w:val="nil"/>
              <w:left w:val="nil"/>
              <w:bottom w:val="nil"/>
              <w:right w:val="nil"/>
            </w:tcBorders>
            <w:shd w:val="clear" w:color="auto" w:fill="auto"/>
            <w:noWrap/>
            <w:vAlign w:val="bottom"/>
          </w:tcPr>
          <w:p w:rsidR="008576FF" w:rsidRPr="00361937" w:rsidRDefault="008576FF" w:rsidP="00A95E29">
            <w:pPr>
              <w:spacing w:line="480" w:lineRule="auto"/>
              <w:rPr>
                <w:color w:val="000000"/>
                <w:szCs w:val="20"/>
              </w:rPr>
            </w:pPr>
            <w:r w:rsidRPr="00361937">
              <w:rPr>
                <w:color w:val="000000"/>
                <w:szCs w:val="20"/>
              </w:rPr>
              <w:t>99.3 (95.4-99.9)</w:t>
            </w:r>
          </w:p>
        </w:tc>
        <w:tc>
          <w:tcPr>
            <w:tcW w:w="1766" w:type="dxa"/>
            <w:tcBorders>
              <w:top w:val="nil"/>
              <w:left w:val="nil"/>
              <w:bottom w:val="nil"/>
              <w:right w:val="nil"/>
            </w:tcBorders>
            <w:shd w:val="clear" w:color="auto" w:fill="auto"/>
            <w:noWrap/>
            <w:vAlign w:val="bottom"/>
          </w:tcPr>
          <w:p w:rsidR="008576FF" w:rsidRPr="00361937" w:rsidRDefault="008576FF" w:rsidP="00A95E29">
            <w:pPr>
              <w:spacing w:line="480" w:lineRule="auto"/>
              <w:rPr>
                <w:color w:val="000000"/>
                <w:szCs w:val="20"/>
              </w:rPr>
            </w:pPr>
            <w:r w:rsidRPr="00361937">
              <w:rPr>
                <w:color w:val="000000"/>
                <w:szCs w:val="20"/>
              </w:rPr>
              <w:t>100</w:t>
            </w:r>
          </w:p>
        </w:tc>
        <w:tc>
          <w:tcPr>
            <w:tcW w:w="1072" w:type="dxa"/>
            <w:tcBorders>
              <w:top w:val="nil"/>
              <w:left w:val="nil"/>
              <w:bottom w:val="nil"/>
              <w:right w:val="nil"/>
            </w:tcBorders>
            <w:shd w:val="clear" w:color="auto" w:fill="auto"/>
            <w:noWrap/>
            <w:vAlign w:val="bottom"/>
          </w:tcPr>
          <w:p w:rsidR="008576FF" w:rsidRPr="00361937" w:rsidRDefault="008576FF" w:rsidP="00A95E29">
            <w:pPr>
              <w:spacing w:line="480" w:lineRule="auto"/>
              <w:rPr>
                <w:color w:val="000000"/>
                <w:szCs w:val="20"/>
              </w:rPr>
            </w:pPr>
          </w:p>
        </w:tc>
        <w:tc>
          <w:tcPr>
            <w:tcW w:w="1077" w:type="dxa"/>
            <w:tcBorders>
              <w:top w:val="nil"/>
              <w:left w:val="nil"/>
              <w:bottom w:val="nil"/>
              <w:right w:val="nil"/>
            </w:tcBorders>
            <w:shd w:val="clear" w:color="auto" w:fill="auto"/>
            <w:noWrap/>
            <w:vAlign w:val="bottom"/>
          </w:tcPr>
          <w:p w:rsidR="008576FF" w:rsidRPr="00361937" w:rsidRDefault="008576FF" w:rsidP="00A95E29">
            <w:pPr>
              <w:spacing w:line="480" w:lineRule="auto"/>
              <w:rPr>
                <w:szCs w:val="20"/>
              </w:rPr>
            </w:pPr>
          </w:p>
        </w:tc>
      </w:tr>
      <w:tr w:rsidR="008576FF" w:rsidRPr="00361937" w:rsidTr="00E5273B">
        <w:trPr>
          <w:trHeight w:val="327"/>
        </w:trPr>
        <w:tc>
          <w:tcPr>
            <w:tcW w:w="5795" w:type="dxa"/>
            <w:tcBorders>
              <w:top w:val="nil"/>
              <w:left w:val="nil"/>
              <w:bottom w:val="nil"/>
              <w:right w:val="nil"/>
            </w:tcBorders>
            <w:shd w:val="clear" w:color="auto" w:fill="auto"/>
            <w:noWrap/>
            <w:vAlign w:val="bottom"/>
          </w:tcPr>
          <w:p w:rsidR="008576FF" w:rsidRPr="00361937" w:rsidRDefault="008576FF" w:rsidP="00A95E29">
            <w:pPr>
              <w:spacing w:line="480" w:lineRule="auto"/>
              <w:ind w:firstLineChars="300" w:firstLine="720"/>
              <w:rPr>
                <w:color w:val="000000"/>
                <w:szCs w:val="20"/>
              </w:rPr>
            </w:pPr>
            <w:r w:rsidRPr="00361937">
              <w:rPr>
                <w:color w:val="000000"/>
                <w:szCs w:val="20"/>
                <w:vertAlign w:val="superscript"/>
              </w:rPr>
              <w:t xml:space="preserve">f </w:t>
            </w:r>
            <w:r w:rsidRPr="00361937">
              <w:rPr>
                <w:color w:val="000000"/>
                <w:szCs w:val="20"/>
              </w:rPr>
              <w:t>Scenario 6:</w:t>
            </w:r>
          </w:p>
        </w:tc>
        <w:tc>
          <w:tcPr>
            <w:tcW w:w="1903" w:type="dxa"/>
            <w:tcBorders>
              <w:top w:val="nil"/>
              <w:left w:val="nil"/>
              <w:bottom w:val="nil"/>
              <w:right w:val="nil"/>
            </w:tcBorders>
            <w:shd w:val="clear" w:color="auto" w:fill="auto"/>
            <w:noWrap/>
            <w:vAlign w:val="bottom"/>
          </w:tcPr>
          <w:p w:rsidR="008576FF" w:rsidRPr="00361937" w:rsidRDefault="008576FF" w:rsidP="00A95E29">
            <w:pPr>
              <w:spacing w:line="480" w:lineRule="auto"/>
              <w:rPr>
                <w:color w:val="000000"/>
                <w:szCs w:val="20"/>
              </w:rPr>
            </w:pPr>
            <w:r w:rsidRPr="00361937">
              <w:rPr>
                <w:color w:val="000000"/>
                <w:szCs w:val="20"/>
              </w:rPr>
              <w:t>98.8 (95.1-99.7)</w:t>
            </w:r>
          </w:p>
        </w:tc>
        <w:tc>
          <w:tcPr>
            <w:tcW w:w="1766" w:type="dxa"/>
            <w:tcBorders>
              <w:top w:val="nil"/>
              <w:left w:val="nil"/>
              <w:bottom w:val="nil"/>
              <w:right w:val="nil"/>
            </w:tcBorders>
            <w:shd w:val="clear" w:color="auto" w:fill="auto"/>
            <w:noWrap/>
            <w:vAlign w:val="bottom"/>
          </w:tcPr>
          <w:p w:rsidR="008576FF" w:rsidRPr="00361937" w:rsidRDefault="008576FF" w:rsidP="00A95E29">
            <w:pPr>
              <w:spacing w:line="480" w:lineRule="auto"/>
              <w:rPr>
                <w:color w:val="000000"/>
                <w:szCs w:val="20"/>
              </w:rPr>
            </w:pPr>
            <w:r w:rsidRPr="00361937">
              <w:rPr>
                <w:color w:val="000000"/>
                <w:szCs w:val="20"/>
              </w:rPr>
              <w:t>100</w:t>
            </w:r>
          </w:p>
        </w:tc>
        <w:tc>
          <w:tcPr>
            <w:tcW w:w="1072" w:type="dxa"/>
            <w:tcBorders>
              <w:top w:val="nil"/>
              <w:left w:val="nil"/>
              <w:bottom w:val="nil"/>
              <w:right w:val="nil"/>
            </w:tcBorders>
            <w:shd w:val="clear" w:color="auto" w:fill="auto"/>
            <w:noWrap/>
            <w:vAlign w:val="bottom"/>
          </w:tcPr>
          <w:p w:rsidR="008576FF" w:rsidRPr="00361937" w:rsidRDefault="008576FF" w:rsidP="00A95E29">
            <w:pPr>
              <w:spacing w:line="480" w:lineRule="auto"/>
              <w:rPr>
                <w:color w:val="000000"/>
                <w:szCs w:val="20"/>
              </w:rPr>
            </w:pPr>
          </w:p>
        </w:tc>
        <w:tc>
          <w:tcPr>
            <w:tcW w:w="1077" w:type="dxa"/>
            <w:tcBorders>
              <w:top w:val="nil"/>
              <w:left w:val="nil"/>
              <w:bottom w:val="nil"/>
              <w:right w:val="nil"/>
            </w:tcBorders>
            <w:shd w:val="clear" w:color="auto" w:fill="auto"/>
            <w:noWrap/>
            <w:vAlign w:val="bottom"/>
          </w:tcPr>
          <w:p w:rsidR="008576FF" w:rsidRPr="00361937" w:rsidRDefault="008576FF" w:rsidP="00A95E29">
            <w:pPr>
              <w:spacing w:line="480" w:lineRule="auto"/>
              <w:rPr>
                <w:szCs w:val="20"/>
              </w:rPr>
            </w:pPr>
          </w:p>
        </w:tc>
      </w:tr>
      <w:tr w:rsidR="008576FF" w:rsidRPr="00361937" w:rsidTr="00E5273B">
        <w:trPr>
          <w:trHeight w:val="307"/>
        </w:trPr>
        <w:tc>
          <w:tcPr>
            <w:tcW w:w="5795" w:type="dxa"/>
            <w:tcBorders>
              <w:top w:val="nil"/>
              <w:left w:val="nil"/>
              <w:bottom w:val="nil"/>
              <w:right w:val="nil"/>
            </w:tcBorders>
            <w:shd w:val="clear" w:color="auto" w:fill="auto"/>
            <w:noWrap/>
            <w:vAlign w:val="bottom"/>
          </w:tcPr>
          <w:p w:rsidR="008576FF" w:rsidRPr="00361937" w:rsidRDefault="008576FF" w:rsidP="00A95E29">
            <w:pPr>
              <w:spacing w:line="480" w:lineRule="auto"/>
              <w:ind w:firstLineChars="200" w:firstLine="480"/>
              <w:rPr>
                <w:i/>
                <w:iCs/>
                <w:color w:val="000000"/>
                <w:szCs w:val="20"/>
              </w:rPr>
            </w:pPr>
            <w:r w:rsidRPr="00361937">
              <w:rPr>
                <w:i/>
                <w:iCs/>
                <w:color w:val="000000"/>
                <w:szCs w:val="20"/>
              </w:rPr>
              <w:t>PCR-un</w:t>
            </w:r>
            <w:r w:rsidR="001F505E" w:rsidRPr="00361937">
              <w:rPr>
                <w:i/>
                <w:iCs/>
                <w:color w:val="000000"/>
                <w:szCs w:val="20"/>
              </w:rPr>
              <w:t>corrected</w:t>
            </w:r>
            <w:r w:rsidRPr="00361937">
              <w:rPr>
                <w:i/>
                <w:iCs/>
                <w:color w:val="000000"/>
                <w:szCs w:val="20"/>
              </w:rPr>
              <w:t xml:space="preserve"> </w:t>
            </w:r>
            <w:r w:rsidR="008500C9" w:rsidRPr="00361937">
              <w:rPr>
                <w:i/>
                <w:iCs/>
                <w:color w:val="000000"/>
                <w:szCs w:val="20"/>
              </w:rPr>
              <w:t xml:space="preserve">cure </w:t>
            </w:r>
            <w:r w:rsidRPr="00361937">
              <w:rPr>
                <w:i/>
                <w:iCs/>
                <w:color w:val="000000"/>
                <w:szCs w:val="20"/>
              </w:rPr>
              <w:t xml:space="preserve">rate-% (95% CI) </w:t>
            </w:r>
          </w:p>
        </w:tc>
        <w:tc>
          <w:tcPr>
            <w:tcW w:w="1903" w:type="dxa"/>
            <w:tcBorders>
              <w:top w:val="nil"/>
              <w:left w:val="nil"/>
              <w:bottom w:val="nil"/>
              <w:right w:val="nil"/>
            </w:tcBorders>
            <w:shd w:val="clear" w:color="auto" w:fill="auto"/>
            <w:noWrap/>
            <w:vAlign w:val="bottom"/>
          </w:tcPr>
          <w:p w:rsidR="008576FF" w:rsidRPr="00361937" w:rsidRDefault="008576FF" w:rsidP="00A95E29">
            <w:pPr>
              <w:spacing w:line="480" w:lineRule="auto"/>
              <w:ind w:firstLineChars="200" w:firstLine="480"/>
              <w:rPr>
                <w:i/>
                <w:iCs/>
                <w:color w:val="000000"/>
                <w:szCs w:val="20"/>
              </w:rPr>
            </w:pPr>
          </w:p>
        </w:tc>
        <w:tc>
          <w:tcPr>
            <w:tcW w:w="1766" w:type="dxa"/>
            <w:tcBorders>
              <w:top w:val="nil"/>
              <w:left w:val="nil"/>
              <w:bottom w:val="nil"/>
              <w:right w:val="nil"/>
            </w:tcBorders>
            <w:shd w:val="clear" w:color="auto" w:fill="auto"/>
            <w:noWrap/>
            <w:vAlign w:val="bottom"/>
          </w:tcPr>
          <w:p w:rsidR="008576FF" w:rsidRPr="00361937" w:rsidRDefault="008576FF" w:rsidP="00A95E29">
            <w:pPr>
              <w:spacing w:line="480" w:lineRule="auto"/>
              <w:rPr>
                <w:color w:val="000000"/>
                <w:szCs w:val="20"/>
              </w:rPr>
            </w:pPr>
            <w:r w:rsidRPr="00361937">
              <w:rPr>
                <w:color w:val="000000"/>
                <w:szCs w:val="20"/>
              </w:rPr>
              <w:t xml:space="preserve">   </w:t>
            </w:r>
          </w:p>
        </w:tc>
        <w:tc>
          <w:tcPr>
            <w:tcW w:w="1072" w:type="dxa"/>
            <w:tcBorders>
              <w:top w:val="nil"/>
              <w:left w:val="nil"/>
              <w:bottom w:val="nil"/>
              <w:right w:val="nil"/>
            </w:tcBorders>
            <w:shd w:val="clear" w:color="auto" w:fill="auto"/>
            <w:noWrap/>
            <w:vAlign w:val="bottom"/>
          </w:tcPr>
          <w:p w:rsidR="008576FF" w:rsidRPr="00361937" w:rsidRDefault="008576FF" w:rsidP="00A95E29">
            <w:pPr>
              <w:spacing w:line="480" w:lineRule="auto"/>
              <w:rPr>
                <w:color w:val="000000"/>
                <w:szCs w:val="20"/>
              </w:rPr>
            </w:pPr>
          </w:p>
        </w:tc>
        <w:tc>
          <w:tcPr>
            <w:tcW w:w="1077" w:type="dxa"/>
            <w:tcBorders>
              <w:top w:val="nil"/>
              <w:left w:val="nil"/>
              <w:bottom w:val="nil"/>
              <w:right w:val="nil"/>
            </w:tcBorders>
            <w:shd w:val="clear" w:color="auto" w:fill="auto"/>
            <w:noWrap/>
            <w:vAlign w:val="bottom"/>
          </w:tcPr>
          <w:p w:rsidR="008576FF" w:rsidRPr="00361937" w:rsidRDefault="008576FF" w:rsidP="00A95E29">
            <w:pPr>
              <w:spacing w:line="480" w:lineRule="auto"/>
              <w:rPr>
                <w:szCs w:val="20"/>
              </w:rPr>
            </w:pPr>
          </w:p>
        </w:tc>
      </w:tr>
      <w:tr w:rsidR="008576FF" w:rsidRPr="00361937" w:rsidTr="00E5273B">
        <w:trPr>
          <w:trHeight w:val="327"/>
        </w:trPr>
        <w:tc>
          <w:tcPr>
            <w:tcW w:w="5795" w:type="dxa"/>
            <w:tcBorders>
              <w:top w:val="nil"/>
              <w:left w:val="nil"/>
              <w:bottom w:val="nil"/>
              <w:right w:val="nil"/>
            </w:tcBorders>
            <w:shd w:val="clear" w:color="auto" w:fill="auto"/>
            <w:noWrap/>
            <w:vAlign w:val="bottom"/>
          </w:tcPr>
          <w:p w:rsidR="008576FF" w:rsidRPr="00361937" w:rsidRDefault="008576FF" w:rsidP="00A95E29">
            <w:pPr>
              <w:spacing w:line="480" w:lineRule="auto"/>
              <w:ind w:firstLineChars="300" w:firstLine="720"/>
              <w:rPr>
                <w:color w:val="000000"/>
                <w:szCs w:val="20"/>
              </w:rPr>
            </w:pPr>
            <w:r w:rsidRPr="00361937">
              <w:rPr>
                <w:color w:val="000000"/>
                <w:szCs w:val="20"/>
                <w:vertAlign w:val="superscript"/>
              </w:rPr>
              <w:t xml:space="preserve">e </w:t>
            </w:r>
            <w:r w:rsidRPr="00361937">
              <w:rPr>
                <w:color w:val="000000"/>
                <w:szCs w:val="20"/>
              </w:rPr>
              <w:t>Scenario 5:</w:t>
            </w:r>
          </w:p>
        </w:tc>
        <w:tc>
          <w:tcPr>
            <w:tcW w:w="1903" w:type="dxa"/>
            <w:tcBorders>
              <w:top w:val="nil"/>
              <w:left w:val="nil"/>
              <w:bottom w:val="nil"/>
              <w:right w:val="nil"/>
            </w:tcBorders>
            <w:shd w:val="clear" w:color="auto" w:fill="auto"/>
            <w:noWrap/>
            <w:vAlign w:val="bottom"/>
          </w:tcPr>
          <w:p w:rsidR="008576FF" w:rsidRPr="00361937" w:rsidRDefault="008576FF" w:rsidP="00A95E29">
            <w:pPr>
              <w:spacing w:line="480" w:lineRule="auto"/>
              <w:rPr>
                <w:color w:val="000000"/>
                <w:szCs w:val="20"/>
              </w:rPr>
            </w:pPr>
            <w:r w:rsidRPr="00361937">
              <w:rPr>
                <w:color w:val="000000"/>
                <w:szCs w:val="20"/>
              </w:rPr>
              <w:t>95.3 (90.5-97.8)</w:t>
            </w:r>
          </w:p>
        </w:tc>
        <w:tc>
          <w:tcPr>
            <w:tcW w:w="1766" w:type="dxa"/>
            <w:tcBorders>
              <w:top w:val="nil"/>
              <w:left w:val="nil"/>
              <w:bottom w:val="nil"/>
              <w:right w:val="nil"/>
            </w:tcBorders>
            <w:shd w:val="clear" w:color="auto" w:fill="auto"/>
            <w:noWrap/>
            <w:vAlign w:val="bottom"/>
          </w:tcPr>
          <w:p w:rsidR="008576FF" w:rsidRPr="00361937" w:rsidRDefault="008576FF" w:rsidP="00A95E29">
            <w:pPr>
              <w:spacing w:line="480" w:lineRule="auto"/>
              <w:rPr>
                <w:color w:val="000000"/>
                <w:szCs w:val="20"/>
              </w:rPr>
            </w:pPr>
            <w:r w:rsidRPr="00361937">
              <w:rPr>
                <w:color w:val="000000"/>
                <w:szCs w:val="20"/>
              </w:rPr>
              <w:t>100</w:t>
            </w:r>
          </w:p>
        </w:tc>
        <w:tc>
          <w:tcPr>
            <w:tcW w:w="1072" w:type="dxa"/>
            <w:tcBorders>
              <w:top w:val="nil"/>
              <w:left w:val="nil"/>
              <w:bottom w:val="nil"/>
              <w:right w:val="nil"/>
            </w:tcBorders>
            <w:shd w:val="clear" w:color="auto" w:fill="auto"/>
            <w:noWrap/>
            <w:vAlign w:val="bottom"/>
          </w:tcPr>
          <w:p w:rsidR="008576FF" w:rsidRPr="00361937" w:rsidRDefault="008576FF" w:rsidP="00A95E29">
            <w:pPr>
              <w:spacing w:line="480" w:lineRule="auto"/>
              <w:rPr>
                <w:color w:val="000000"/>
                <w:szCs w:val="20"/>
              </w:rPr>
            </w:pPr>
          </w:p>
        </w:tc>
        <w:tc>
          <w:tcPr>
            <w:tcW w:w="1077" w:type="dxa"/>
            <w:tcBorders>
              <w:top w:val="nil"/>
              <w:left w:val="nil"/>
              <w:bottom w:val="nil"/>
              <w:right w:val="nil"/>
            </w:tcBorders>
            <w:shd w:val="clear" w:color="auto" w:fill="auto"/>
            <w:noWrap/>
            <w:vAlign w:val="bottom"/>
          </w:tcPr>
          <w:p w:rsidR="008576FF" w:rsidRPr="00361937" w:rsidRDefault="008576FF" w:rsidP="00A95E29">
            <w:pPr>
              <w:spacing w:line="480" w:lineRule="auto"/>
              <w:rPr>
                <w:szCs w:val="20"/>
              </w:rPr>
            </w:pPr>
          </w:p>
        </w:tc>
      </w:tr>
      <w:tr w:rsidR="008576FF" w:rsidRPr="00361937" w:rsidTr="00E5273B">
        <w:trPr>
          <w:trHeight w:val="327"/>
        </w:trPr>
        <w:tc>
          <w:tcPr>
            <w:tcW w:w="5795" w:type="dxa"/>
            <w:tcBorders>
              <w:top w:val="nil"/>
              <w:left w:val="nil"/>
              <w:bottom w:val="single" w:sz="4" w:space="0" w:color="auto"/>
              <w:right w:val="nil"/>
            </w:tcBorders>
            <w:shd w:val="clear" w:color="auto" w:fill="auto"/>
            <w:noWrap/>
            <w:vAlign w:val="bottom"/>
          </w:tcPr>
          <w:p w:rsidR="008576FF" w:rsidRPr="00361937" w:rsidRDefault="008576FF" w:rsidP="00A95E29">
            <w:pPr>
              <w:spacing w:line="480" w:lineRule="auto"/>
              <w:ind w:firstLineChars="300" w:firstLine="720"/>
              <w:rPr>
                <w:color w:val="000000"/>
                <w:szCs w:val="20"/>
              </w:rPr>
            </w:pPr>
            <w:r w:rsidRPr="00361937">
              <w:rPr>
                <w:color w:val="000000"/>
                <w:szCs w:val="20"/>
                <w:vertAlign w:val="superscript"/>
              </w:rPr>
              <w:t xml:space="preserve">f </w:t>
            </w:r>
            <w:r w:rsidRPr="00361937">
              <w:rPr>
                <w:color w:val="000000"/>
                <w:szCs w:val="20"/>
              </w:rPr>
              <w:t>Scenario 6:</w:t>
            </w:r>
          </w:p>
        </w:tc>
        <w:tc>
          <w:tcPr>
            <w:tcW w:w="1903" w:type="dxa"/>
            <w:tcBorders>
              <w:top w:val="nil"/>
              <w:left w:val="nil"/>
              <w:bottom w:val="single" w:sz="4" w:space="0" w:color="auto"/>
              <w:right w:val="nil"/>
            </w:tcBorders>
            <w:shd w:val="clear" w:color="auto" w:fill="auto"/>
            <w:noWrap/>
            <w:vAlign w:val="bottom"/>
          </w:tcPr>
          <w:p w:rsidR="008576FF" w:rsidRPr="00361937" w:rsidRDefault="008576FF" w:rsidP="00A95E29">
            <w:pPr>
              <w:spacing w:line="480" w:lineRule="auto"/>
              <w:rPr>
                <w:color w:val="000000"/>
                <w:szCs w:val="20"/>
              </w:rPr>
            </w:pPr>
            <w:r w:rsidRPr="00361937">
              <w:rPr>
                <w:color w:val="000000"/>
                <w:szCs w:val="20"/>
              </w:rPr>
              <w:t>94.7 (89.7-97.3)</w:t>
            </w:r>
          </w:p>
        </w:tc>
        <w:tc>
          <w:tcPr>
            <w:tcW w:w="1766" w:type="dxa"/>
            <w:tcBorders>
              <w:top w:val="nil"/>
              <w:left w:val="nil"/>
              <w:bottom w:val="single" w:sz="4" w:space="0" w:color="auto"/>
              <w:right w:val="nil"/>
            </w:tcBorders>
            <w:shd w:val="clear" w:color="auto" w:fill="auto"/>
            <w:noWrap/>
            <w:vAlign w:val="bottom"/>
          </w:tcPr>
          <w:p w:rsidR="008576FF" w:rsidRPr="00361937" w:rsidRDefault="008576FF" w:rsidP="00A95E29">
            <w:pPr>
              <w:spacing w:line="480" w:lineRule="auto"/>
              <w:rPr>
                <w:color w:val="000000"/>
                <w:szCs w:val="20"/>
              </w:rPr>
            </w:pPr>
            <w:r w:rsidRPr="00361937">
              <w:rPr>
                <w:color w:val="000000"/>
                <w:szCs w:val="20"/>
              </w:rPr>
              <w:t>100</w:t>
            </w:r>
          </w:p>
        </w:tc>
        <w:tc>
          <w:tcPr>
            <w:tcW w:w="1072" w:type="dxa"/>
            <w:tcBorders>
              <w:top w:val="nil"/>
              <w:left w:val="nil"/>
              <w:bottom w:val="nil"/>
              <w:right w:val="nil"/>
            </w:tcBorders>
            <w:shd w:val="clear" w:color="auto" w:fill="auto"/>
            <w:noWrap/>
            <w:vAlign w:val="bottom"/>
          </w:tcPr>
          <w:p w:rsidR="008576FF" w:rsidRPr="00361937" w:rsidRDefault="008576FF" w:rsidP="00A95E29">
            <w:pPr>
              <w:spacing w:line="480" w:lineRule="auto"/>
              <w:rPr>
                <w:color w:val="000000"/>
                <w:szCs w:val="20"/>
              </w:rPr>
            </w:pPr>
          </w:p>
        </w:tc>
        <w:tc>
          <w:tcPr>
            <w:tcW w:w="1077" w:type="dxa"/>
            <w:tcBorders>
              <w:top w:val="nil"/>
              <w:left w:val="nil"/>
              <w:bottom w:val="nil"/>
              <w:right w:val="nil"/>
            </w:tcBorders>
            <w:shd w:val="clear" w:color="auto" w:fill="auto"/>
            <w:noWrap/>
            <w:vAlign w:val="bottom"/>
          </w:tcPr>
          <w:p w:rsidR="008576FF" w:rsidRPr="00361937" w:rsidRDefault="008576FF" w:rsidP="00A95E29">
            <w:pPr>
              <w:spacing w:line="480" w:lineRule="auto"/>
              <w:rPr>
                <w:szCs w:val="20"/>
              </w:rPr>
            </w:pPr>
          </w:p>
        </w:tc>
      </w:tr>
      <w:tr w:rsidR="008576FF" w:rsidRPr="00361937" w:rsidTr="00E5273B">
        <w:trPr>
          <w:trHeight w:val="307"/>
        </w:trPr>
        <w:tc>
          <w:tcPr>
            <w:tcW w:w="11613" w:type="dxa"/>
            <w:gridSpan w:val="5"/>
            <w:tcBorders>
              <w:top w:val="nil"/>
              <w:left w:val="nil"/>
              <w:bottom w:val="nil"/>
              <w:right w:val="nil"/>
            </w:tcBorders>
            <w:shd w:val="clear" w:color="auto" w:fill="auto"/>
            <w:noWrap/>
            <w:vAlign w:val="bottom"/>
          </w:tcPr>
          <w:p w:rsidR="008576FF" w:rsidRPr="00361937" w:rsidRDefault="008576FF" w:rsidP="00E5273B">
            <w:pPr>
              <w:spacing w:line="360" w:lineRule="auto"/>
              <w:contextualSpacing/>
              <w:rPr>
                <w:color w:val="000000"/>
                <w:szCs w:val="14"/>
              </w:rPr>
            </w:pPr>
            <w:r w:rsidRPr="00361937">
              <w:rPr>
                <w:color w:val="000000"/>
                <w:szCs w:val="14"/>
                <w:vertAlign w:val="superscript"/>
              </w:rPr>
              <w:t xml:space="preserve">a </w:t>
            </w:r>
            <w:r w:rsidRPr="00361937">
              <w:rPr>
                <w:color w:val="000000"/>
                <w:szCs w:val="14"/>
              </w:rPr>
              <w:t>Scenario 1: Indeterminate or unavailable PCR samples or loss to follow up</w:t>
            </w:r>
            <w:r w:rsidR="001D233F" w:rsidRPr="00361937">
              <w:rPr>
                <w:color w:val="000000"/>
                <w:szCs w:val="14"/>
              </w:rPr>
              <w:t xml:space="preserve"> by day 42 (n=9</w:t>
            </w:r>
            <w:r w:rsidR="00AE09B2" w:rsidRPr="00361937">
              <w:rPr>
                <w:color w:val="000000"/>
                <w:szCs w:val="14"/>
              </w:rPr>
              <w:t>, in efavirenz-ART group</w:t>
            </w:r>
            <w:r w:rsidR="001D233F" w:rsidRPr="00361937">
              <w:rPr>
                <w:color w:val="000000"/>
                <w:szCs w:val="14"/>
              </w:rPr>
              <w:t>)</w:t>
            </w:r>
            <w:r w:rsidRPr="00361937">
              <w:rPr>
                <w:color w:val="000000"/>
                <w:szCs w:val="14"/>
              </w:rPr>
              <w:t xml:space="preserve"> in intention-to-treat population treated as treatment success </w:t>
            </w:r>
          </w:p>
        </w:tc>
      </w:tr>
      <w:tr w:rsidR="008576FF" w:rsidRPr="00361937" w:rsidTr="00E5273B">
        <w:trPr>
          <w:trHeight w:val="307"/>
        </w:trPr>
        <w:tc>
          <w:tcPr>
            <w:tcW w:w="11613" w:type="dxa"/>
            <w:gridSpan w:val="5"/>
            <w:tcBorders>
              <w:top w:val="nil"/>
              <w:left w:val="nil"/>
              <w:bottom w:val="nil"/>
              <w:right w:val="nil"/>
            </w:tcBorders>
            <w:shd w:val="clear" w:color="auto" w:fill="auto"/>
            <w:noWrap/>
            <w:vAlign w:val="bottom"/>
          </w:tcPr>
          <w:p w:rsidR="008576FF" w:rsidRPr="00361937" w:rsidRDefault="008576FF" w:rsidP="00E5273B">
            <w:pPr>
              <w:spacing w:line="360" w:lineRule="auto"/>
              <w:contextualSpacing/>
              <w:rPr>
                <w:color w:val="000000"/>
                <w:szCs w:val="14"/>
              </w:rPr>
            </w:pPr>
            <w:r w:rsidRPr="00361937">
              <w:rPr>
                <w:color w:val="000000"/>
                <w:szCs w:val="14"/>
                <w:vertAlign w:val="superscript"/>
              </w:rPr>
              <w:t xml:space="preserve">b </w:t>
            </w:r>
            <w:r w:rsidRPr="00361937">
              <w:rPr>
                <w:color w:val="000000"/>
                <w:szCs w:val="14"/>
              </w:rPr>
              <w:t>Scenario 2: Indeterminate or unavailable PCR samples or loss to follow up</w:t>
            </w:r>
            <w:r w:rsidR="001D233F" w:rsidRPr="00361937">
              <w:rPr>
                <w:color w:val="000000"/>
                <w:szCs w:val="14"/>
              </w:rPr>
              <w:t xml:space="preserve"> by day 42 (n=9</w:t>
            </w:r>
            <w:r w:rsidR="00AE09B2" w:rsidRPr="00361937">
              <w:rPr>
                <w:color w:val="000000"/>
                <w:szCs w:val="14"/>
              </w:rPr>
              <w:t>, in efavirenz-ART group</w:t>
            </w:r>
            <w:r w:rsidR="001D233F" w:rsidRPr="00361937">
              <w:rPr>
                <w:color w:val="000000"/>
                <w:szCs w:val="14"/>
              </w:rPr>
              <w:t>)</w:t>
            </w:r>
            <w:r w:rsidRPr="00361937">
              <w:rPr>
                <w:color w:val="000000"/>
                <w:szCs w:val="14"/>
              </w:rPr>
              <w:t xml:space="preserve"> in the intention-to-treat population treated as treatment failures </w:t>
            </w:r>
          </w:p>
        </w:tc>
      </w:tr>
      <w:tr w:rsidR="008576FF" w:rsidRPr="00361937" w:rsidTr="00E5273B">
        <w:trPr>
          <w:trHeight w:val="307"/>
        </w:trPr>
        <w:tc>
          <w:tcPr>
            <w:tcW w:w="9464" w:type="dxa"/>
            <w:gridSpan w:val="3"/>
            <w:tcBorders>
              <w:top w:val="nil"/>
              <w:left w:val="nil"/>
              <w:bottom w:val="nil"/>
              <w:right w:val="nil"/>
            </w:tcBorders>
            <w:shd w:val="clear" w:color="auto" w:fill="auto"/>
            <w:noWrap/>
            <w:vAlign w:val="bottom"/>
          </w:tcPr>
          <w:p w:rsidR="008576FF" w:rsidRPr="00361937" w:rsidRDefault="008576FF" w:rsidP="00E5273B">
            <w:pPr>
              <w:spacing w:line="360" w:lineRule="auto"/>
              <w:contextualSpacing/>
              <w:rPr>
                <w:color w:val="000000"/>
                <w:szCs w:val="14"/>
              </w:rPr>
            </w:pPr>
            <w:r w:rsidRPr="00361937">
              <w:rPr>
                <w:color w:val="000000"/>
                <w:szCs w:val="14"/>
                <w:vertAlign w:val="superscript"/>
              </w:rPr>
              <w:t xml:space="preserve">c </w:t>
            </w:r>
            <w:r w:rsidRPr="00361937">
              <w:rPr>
                <w:color w:val="000000"/>
                <w:szCs w:val="14"/>
              </w:rPr>
              <w:t>Scenario 3: On cotrimoxazole prophylaxis in the intention-to treat analysis and combined with scenario 2 above</w:t>
            </w:r>
          </w:p>
        </w:tc>
        <w:tc>
          <w:tcPr>
            <w:tcW w:w="1072" w:type="dxa"/>
            <w:tcBorders>
              <w:top w:val="nil"/>
              <w:left w:val="nil"/>
              <w:bottom w:val="nil"/>
              <w:right w:val="nil"/>
            </w:tcBorders>
            <w:shd w:val="clear" w:color="auto" w:fill="auto"/>
            <w:noWrap/>
            <w:vAlign w:val="bottom"/>
          </w:tcPr>
          <w:p w:rsidR="008576FF" w:rsidRPr="00361937" w:rsidRDefault="008576FF" w:rsidP="00E5273B">
            <w:pPr>
              <w:spacing w:line="360" w:lineRule="auto"/>
              <w:rPr>
                <w:color w:val="000000"/>
                <w:szCs w:val="14"/>
              </w:rPr>
            </w:pPr>
          </w:p>
        </w:tc>
        <w:tc>
          <w:tcPr>
            <w:tcW w:w="1077" w:type="dxa"/>
            <w:tcBorders>
              <w:top w:val="nil"/>
              <w:left w:val="nil"/>
              <w:bottom w:val="nil"/>
              <w:right w:val="nil"/>
            </w:tcBorders>
            <w:shd w:val="clear" w:color="auto" w:fill="auto"/>
            <w:noWrap/>
            <w:vAlign w:val="bottom"/>
          </w:tcPr>
          <w:p w:rsidR="008576FF" w:rsidRPr="00361937" w:rsidRDefault="008576FF" w:rsidP="00E5273B">
            <w:pPr>
              <w:spacing w:line="360" w:lineRule="auto"/>
              <w:rPr>
                <w:szCs w:val="14"/>
              </w:rPr>
            </w:pPr>
          </w:p>
        </w:tc>
      </w:tr>
      <w:tr w:rsidR="008576FF" w:rsidRPr="00361937" w:rsidTr="00E5273B">
        <w:trPr>
          <w:trHeight w:val="307"/>
        </w:trPr>
        <w:tc>
          <w:tcPr>
            <w:tcW w:w="9464" w:type="dxa"/>
            <w:gridSpan w:val="3"/>
            <w:tcBorders>
              <w:top w:val="nil"/>
              <w:left w:val="nil"/>
              <w:bottom w:val="nil"/>
              <w:right w:val="nil"/>
            </w:tcBorders>
            <w:shd w:val="clear" w:color="auto" w:fill="auto"/>
            <w:noWrap/>
            <w:vAlign w:val="bottom"/>
          </w:tcPr>
          <w:p w:rsidR="008576FF" w:rsidRPr="00361937" w:rsidRDefault="008576FF" w:rsidP="00E5273B">
            <w:pPr>
              <w:spacing w:line="360" w:lineRule="auto"/>
              <w:contextualSpacing/>
              <w:rPr>
                <w:color w:val="000000"/>
                <w:szCs w:val="14"/>
              </w:rPr>
            </w:pPr>
            <w:r w:rsidRPr="00361937">
              <w:rPr>
                <w:color w:val="000000"/>
                <w:szCs w:val="14"/>
                <w:vertAlign w:val="superscript"/>
              </w:rPr>
              <w:t xml:space="preserve">d </w:t>
            </w:r>
            <w:r w:rsidRPr="00361937">
              <w:rPr>
                <w:color w:val="000000"/>
                <w:szCs w:val="14"/>
              </w:rPr>
              <w:t xml:space="preserve">Scenario </w:t>
            </w:r>
            <w:r w:rsidR="001479A2" w:rsidRPr="00361937">
              <w:rPr>
                <w:color w:val="000000"/>
                <w:szCs w:val="14"/>
              </w:rPr>
              <w:t>4</w:t>
            </w:r>
            <w:r w:rsidRPr="00361937">
              <w:rPr>
                <w:color w:val="000000"/>
                <w:szCs w:val="14"/>
              </w:rPr>
              <w:t>: Not on cotrimoxazole prophylaxis in the intention-to treat and combined with scenario 2 above</w:t>
            </w:r>
          </w:p>
        </w:tc>
        <w:tc>
          <w:tcPr>
            <w:tcW w:w="1072" w:type="dxa"/>
            <w:tcBorders>
              <w:top w:val="nil"/>
              <w:left w:val="nil"/>
              <w:bottom w:val="nil"/>
              <w:right w:val="nil"/>
            </w:tcBorders>
            <w:shd w:val="clear" w:color="auto" w:fill="auto"/>
            <w:noWrap/>
            <w:vAlign w:val="bottom"/>
          </w:tcPr>
          <w:p w:rsidR="008576FF" w:rsidRPr="00361937" w:rsidRDefault="008576FF" w:rsidP="00E5273B">
            <w:pPr>
              <w:spacing w:line="360" w:lineRule="auto"/>
              <w:rPr>
                <w:color w:val="000000"/>
                <w:szCs w:val="14"/>
              </w:rPr>
            </w:pPr>
          </w:p>
        </w:tc>
        <w:tc>
          <w:tcPr>
            <w:tcW w:w="1077" w:type="dxa"/>
            <w:tcBorders>
              <w:top w:val="nil"/>
              <w:left w:val="nil"/>
              <w:bottom w:val="nil"/>
              <w:right w:val="nil"/>
            </w:tcBorders>
            <w:shd w:val="clear" w:color="auto" w:fill="auto"/>
            <w:noWrap/>
            <w:vAlign w:val="bottom"/>
          </w:tcPr>
          <w:p w:rsidR="008576FF" w:rsidRPr="00361937" w:rsidRDefault="008576FF" w:rsidP="00E5273B">
            <w:pPr>
              <w:spacing w:line="360" w:lineRule="auto"/>
              <w:rPr>
                <w:szCs w:val="14"/>
              </w:rPr>
            </w:pPr>
          </w:p>
        </w:tc>
      </w:tr>
      <w:tr w:rsidR="008576FF" w:rsidRPr="00361937" w:rsidTr="00E5273B">
        <w:trPr>
          <w:trHeight w:val="295"/>
        </w:trPr>
        <w:tc>
          <w:tcPr>
            <w:tcW w:w="9464" w:type="dxa"/>
            <w:gridSpan w:val="3"/>
            <w:tcBorders>
              <w:top w:val="nil"/>
              <w:left w:val="nil"/>
              <w:bottom w:val="nil"/>
              <w:right w:val="nil"/>
            </w:tcBorders>
            <w:shd w:val="clear" w:color="auto" w:fill="auto"/>
            <w:noWrap/>
            <w:vAlign w:val="bottom"/>
          </w:tcPr>
          <w:p w:rsidR="00062F1E" w:rsidRPr="00361937" w:rsidRDefault="008576FF" w:rsidP="00E5273B">
            <w:pPr>
              <w:spacing w:line="360" w:lineRule="auto"/>
              <w:contextualSpacing/>
              <w:rPr>
                <w:color w:val="000000"/>
                <w:szCs w:val="14"/>
              </w:rPr>
            </w:pPr>
            <w:r w:rsidRPr="00361937">
              <w:rPr>
                <w:color w:val="000000"/>
                <w:szCs w:val="14"/>
                <w:vertAlign w:val="superscript"/>
              </w:rPr>
              <w:t>e</w:t>
            </w:r>
            <w:r w:rsidRPr="00361937">
              <w:rPr>
                <w:color w:val="000000"/>
                <w:szCs w:val="14"/>
              </w:rPr>
              <w:t xml:space="preserve"> Scenario 5: Indeterminate or unavailable PCR samples in per-protocol population treated as treatment success </w:t>
            </w:r>
          </w:p>
        </w:tc>
        <w:tc>
          <w:tcPr>
            <w:tcW w:w="1072" w:type="dxa"/>
            <w:tcBorders>
              <w:top w:val="nil"/>
              <w:left w:val="nil"/>
              <w:bottom w:val="nil"/>
              <w:right w:val="nil"/>
            </w:tcBorders>
            <w:shd w:val="clear" w:color="auto" w:fill="auto"/>
            <w:noWrap/>
            <w:vAlign w:val="bottom"/>
          </w:tcPr>
          <w:p w:rsidR="008576FF" w:rsidRPr="00361937" w:rsidRDefault="008576FF" w:rsidP="00E5273B">
            <w:pPr>
              <w:spacing w:line="360" w:lineRule="auto"/>
              <w:rPr>
                <w:color w:val="000000"/>
                <w:szCs w:val="14"/>
              </w:rPr>
            </w:pPr>
          </w:p>
        </w:tc>
        <w:tc>
          <w:tcPr>
            <w:tcW w:w="1077" w:type="dxa"/>
            <w:tcBorders>
              <w:top w:val="nil"/>
              <w:left w:val="nil"/>
              <w:bottom w:val="nil"/>
              <w:right w:val="nil"/>
            </w:tcBorders>
            <w:shd w:val="clear" w:color="auto" w:fill="auto"/>
            <w:noWrap/>
            <w:vAlign w:val="bottom"/>
          </w:tcPr>
          <w:p w:rsidR="008576FF" w:rsidRPr="00361937" w:rsidRDefault="008576FF" w:rsidP="00E5273B">
            <w:pPr>
              <w:spacing w:line="360" w:lineRule="auto"/>
              <w:rPr>
                <w:szCs w:val="14"/>
              </w:rPr>
            </w:pPr>
          </w:p>
        </w:tc>
      </w:tr>
      <w:tr w:rsidR="008576FF" w:rsidRPr="00361937" w:rsidTr="00E5273B">
        <w:trPr>
          <w:trHeight w:val="490"/>
        </w:trPr>
        <w:tc>
          <w:tcPr>
            <w:tcW w:w="9464" w:type="dxa"/>
            <w:gridSpan w:val="3"/>
            <w:tcBorders>
              <w:top w:val="nil"/>
              <w:left w:val="nil"/>
              <w:bottom w:val="nil"/>
              <w:right w:val="nil"/>
            </w:tcBorders>
            <w:shd w:val="clear" w:color="auto" w:fill="auto"/>
            <w:noWrap/>
            <w:vAlign w:val="bottom"/>
          </w:tcPr>
          <w:p w:rsidR="008576FF" w:rsidRPr="00361937" w:rsidRDefault="008576FF" w:rsidP="00E5273B">
            <w:pPr>
              <w:spacing w:line="360" w:lineRule="auto"/>
              <w:contextualSpacing/>
              <w:rPr>
                <w:color w:val="000000"/>
                <w:szCs w:val="14"/>
              </w:rPr>
            </w:pPr>
            <w:r w:rsidRPr="00361937">
              <w:rPr>
                <w:color w:val="000000"/>
                <w:szCs w:val="14"/>
                <w:vertAlign w:val="superscript"/>
              </w:rPr>
              <w:t xml:space="preserve">f </w:t>
            </w:r>
            <w:r w:rsidRPr="00361937">
              <w:rPr>
                <w:color w:val="000000"/>
                <w:szCs w:val="14"/>
              </w:rPr>
              <w:t>Scenario 6: Indeterminate or unavailable PCR samples in per-protocol population treated as treatment failure</w:t>
            </w:r>
          </w:p>
          <w:p w:rsidR="00630FF1" w:rsidRPr="00361937" w:rsidRDefault="00630FF1" w:rsidP="00E5273B">
            <w:pPr>
              <w:spacing w:line="360" w:lineRule="auto"/>
              <w:contextualSpacing/>
              <w:rPr>
                <w:color w:val="000000"/>
                <w:szCs w:val="14"/>
              </w:rPr>
            </w:pPr>
          </w:p>
          <w:p w:rsidR="00630FF1" w:rsidRPr="00361937" w:rsidRDefault="00630FF1" w:rsidP="00E5273B">
            <w:pPr>
              <w:spacing w:line="360" w:lineRule="auto"/>
              <w:contextualSpacing/>
              <w:rPr>
                <w:color w:val="000000"/>
                <w:szCs w:val="14"/>
              </w:rPr>
            </w:pPr>
          </w:p>
        </w:tc>
        <w:tc>
          <w:tcPr>
            <w:tcW w:w="1072" w:type="dxa"/>
            <w:tcBorders>
              <w:top w:val="nil"/>
              <w:left w:val="nil"/>
              <w:bottom w:val="nil"/>
              <w:right w:val="nil"/>
            </w:tcBorders>
            <w:shd w:val="clear" w:color="auto" w:fill="auto"/>
            <w:noWrap/>
            <w:vAlign w:val="bottom"/>
          </w:tcPr>
          <w:p w:rsidR="008576FF" w:rsidRPr="00361937" w:rsidRDefault="008576FF" w:rsidP="00E5273B">
            <w:pPr>
              <w:spacing w:line="360" w:lineRule="auto"/>
              <w:rPr>
                <w:color w:val="000000"/>
                <w:szCs w:val="14"/>
              </w:rPr>
            </w:pPr>
          </w:p>
        </w:tc>
        <w:tc>
          <w:tcPr>
            <w:tcW w:w="1077" w:type="dxa"/>
            <w:tcBorders>
              <w:top w:val="nil"/>
              <w:left w:val="nil"/>
              <w:bottom w:val="nil"/>
              <w:right w:val="nil"/>
            </w:tcBorders>
            <w:shd w:val="clear" w:color="auto" w:fill="auto"/>
            <w:noWrap/>
            <w:vAlign w:val="bottom"/>
          </w:tcPr>
          <w:p w:rsidR="008576FF" w:rsidRPr="00361937" w:rsidRDefault="008576FF" w:rsidP="00E5273B">
            <w:pPr>
              <w:spacing w:line="360" w:lineRule="auto"/>
              <w:rPr>
                <w:szCs w:val="14"/>
              </w:rPr>
            </w:pPr>
          </w:p>
        </w:tc>
      </w:tr>
    </w:tbl>
    <w:tbl>
      <w:tblPr>
        <w:tblpPr w:leftFromText="180" w:rightFromText="180" w:vertAnchor="page" w:horzAnchor="page" w:tblpX="1014" w:tblpY="1148"/>
        <w:tblW w:w="9057" w:type="dxa"/>
        <w:tblLook w:val="04A0" w:firstRow="1" w:lastRow="0" w:firstColumn="1" w:lastColumn="0" w:noHBand="0" w:noVBand="1"/>
      </w:tblPr>
      <w:tblGrid>
        <w:gridCol w:w="3841"/>
        <w:gridCol w:w="2447"/>
        <w:gridCol w:w="2769"/>
      </w:tblGrid>
      <w:tr w:rsidR="00630FF1" w:rsidRPr="00361937">
        <w:trPr>
          <w:trHeight w:val="154"/>
        </w:trPr>
        <w:tc>
          <w:tcPr>
            <w:tcW w:w="9057" w:type="dxa"/>
            <w:gridSpan w:val="3"/>
            <w:tcBorders>
              <w:top w:val="nil"/>
              <w:left w:val="nil"/>
              <w:bottom w:val="single" w:sz="8" w:space="0" w:color="auto"/>
              <w:right w:val="nil"/>
            </w:tcBorders>
            <w:shd w:val="clear" w:color="auto" w:fill="auto"/>
            <w:noWrap/>
            <w:vAlign w:val="bottom"/>
          </w:tcPr>
          <w:p w:rsidR="00630FF1" w:rsidRPr="00361937" w:rsidRDefault="00630FF1" w:rsidP="00A95E29">
            <w:pPr>
              <w:spacing w:line="480" w:lineRule="auto"/>
              <w:rPr>
                <w:b/>
                <w:bCs/>
                <w:color w:val="000000"/>
                <w:szCs w:val="20"/>
              </w:rPr>
            </w:pPr>
            <w:r w:rsidRPr="00361937">
              <w:rPr>
                <w:b/>
                <w:bCs/>
                <w:color w:val="000000"/>
                <w:szCs w:val="20"/>
              </w:rPr>
              <w:lastRenderedPageBreak/>
              <w:t>Table 3. Summary of serious adverse events  and adverse events of special interest</w:t>
            </w:r>
            <w:r w:rsidRPr="00361937">
              <w:rPr>
                <w:b/>
                <w:color w:val="000000"/>
                <w:szCs w:val="20"/>
              </w:rPr>
              <w:t> stratified by antiretroviral group</w:t>
            </w:r>
          </w:p>
        </w:tc>
      </w:tr>
      <w:tr w:rsidR="00630FF1" w:rsidRPr="00361937">
        <w:trPr>
          <w:trHeight w:val="479"/>
        </w:trPr>
        <w:tc>
          <w:tcPr>
            <w:tcW w:w="3841" w:type="dxa"/>
            <w:tcBorders>
              <w:top w:val="nil"/>
              <w:left w:val="nil"/>
              <w:bottom w:val="single" w:sz="8" w:space="0" w:color="auto"/>
              <w:right w:val="single" w:sz="4" w:space="0" w:color="auto"/>
            </w:tcBorders>
            <w:shd w:val="clear" w:color="auto" w:fill="auto"/>
            <w:noWrap/>
          </w:tcPr>
          <w:p w:rsidR="00630FF1" w:rsidRPr="00361937" w:rsidRDefault="00630FF1" w:rsidP="00A95E29">
            <w:pPr>
              <w:spacing w:line="480" w:lineRule="auto"/>
              <w:rPr>
                <w:b/>
                <w:bCs/>
                <w:color w:val="000000"/>
                <w:szCs w:val="20"/>
              </w:rPr>
            </w:pPr>
            <w:r w:rsidRPr="00361937">
              <w:rPr>
                <w:b/>
                <w:bCs/>
                <w:color w:val="000000"/>
                <w:szCs w:val="20"/>
              </w:rPr>
              <w:t xml:space="preserve">Type of adverse event </w:t>
            </w:r>
          </w:p>
        </w:tc>
        <w:tc>
          <w:tcPr>
            <w:tcW w:w="2447" w:type="dxa"/>
            <w:tcBorders>
              <w:top w:val="single" w:sz="8" w:space="0" w:color="auto"/>
              <w:left w:val="nil"/>
              <w:bottom w:val="single" w:sz="8" w:space="0" w:color="auto"/>
              <w:right w:val="nil"/>
            </w:tcBorders>
            <w:shd w:val="clear" w:color="auto" w:fill="auto"/>
            <w:vAlign w:val="bottom"/>
          </w:tcPr>
          <w:p w:rsidR="00630FF1" w:rsidRPr="00361937" w:rsidRDefault="00630FF1" w:rsidP="00A95E29">
            <w:pPr>
              <w:spacing w:line="480" w:lineRule="auto"/>
              <w:rPr>
                <w:b/>
                <w:bCs/>
                <w:color w:val="000000"/>
                <w:szCs w:val="20"/>
              </w:rPr>
            </w:pPr>
            <w:r w:rsidRPr="00361937">
              <w:rPr>
                <w:b/>
                <w:bCs/>
                <w:color w:val="000000"/>
                <w:szCs w:val="20"/>
              </w:rPr>
              <w:t>DPQ and Efavirenz-based ART regimen</w:t>
            </w:r>
            <w:r w:rsidRPr="00361937">
              <w:rPr>
                <w:b/>
                <w:bCs/>
                <w:color w:val="000000"/>
                <w:szCs w:val="20"/>
              </w:rPr>
              <w:br/>
              <w:t xml:space="preserve"> N=160</w:t>
            </w:r>
          </w:p>
        </w:tc>
        <w:tc>
          <w:tcPr>
            <w:tcW w:w="2769" w:type="dxa"/>
            <w:tcBorders>
              <w:top w:val="nil"/>
              <w:left w:val="single" w:sz="4" w:space="0" w:color="auto"/>
              <w:bottom w:val="single" w:sz="8" w:space="0" w:color="auto"/>
              <w:right w:val="nil"/>
            </w:tcBorders>
            <w:shd w:val="clear" w:color="auto" w:fill="auto"/>
            <w:vAlign w:val="bottom"/>
          </w:tcPr>
          <w:p w:rsidR="00630FF1" w:rsidRPr="00361937" w:rsidRDefault="00630FF1" w:rsidP="00A95E29">
            <w:pPr>
              <w:spacing w:line="480" w:lineRule="auto"/>
              <w:rPr>
                <w:b/>
                <w:bCs/>
                <w:color w:val="000000"/>
                <w:szCs w:val="20"/>
              </w:rPr>
            </w:pPr>
            <w:r w:rsidRPr="00361937">
              <w:rPr>
                <w:b/>
                <w:bCs/>
                <w:color w:val="000000"/>
                <w:szCs w:val="20"/>
              </w:rPr>
              <w:t>DPQ and Nevirapine-based ART regimen</w:t>
            </w:r>
            <w:r w:rsidRPr="00361937">
              <w:rPr>
                <w:b/>
                <w:bCs/>
                <w:color w:val="000000"/>
                <w:szCs w:val="20"/>
              </w:rPr>
              <w:br/>
              <w:t>N=61</w:t>
            </w:r>
          </w:p>
        </w:tc>
      </w:tr>
      <w:tr w:rsidR="00630FF1" w:rsidRPr="00361937">
        <w:trPr>
          <w:trHeight w:val="154"/>
        </w:trPr>
        <w:tc>
          <w:tcPr>
            <w:tcW w:w="3841" w:type="dxa"/>
            <w:vMerge w:val="restart"/>
            <w:tcBorders>
              <w:top w:val="nil"/>
              <w:left w:val="nil"/>
              <w:right w:val="single" w:sz="4" w:space="0" w:color="auto"/>
            </w:tcBorders>
            <w:shd w:val="clear" w:color="auto" w:fill="auto"/>
            <w:noWrap/>
            <w:vAlign w:val="bottom"/>
          </w:tcPr>
          <w:p w:rsidR="00630FF1" w:rsidRPr="00361937" w:rsidRDefault="00630FF1" w:rsidP="00A95E29">
            <w:pPr>
              <w:spacing w:line="480" w:lineRule="auto"/>
              <w:rPr>
                <w:bCs/>
                <w:color w:val="000000"/>
                <w:szCs w:val="20"/>
              </w:rPr>
            </w:pPr>
          </w:p>
          <w:p w:rsidR="00630FF1" w:rsidRPr="00361937" w:rsidRDefault="00630FF1" w:rsidP="00A95E29">
            <w:pPr>
              <w:spacing w:line="480" w:lineRule="auto"/>
              <w:rPr>
                <w:bCs/>
                <w:color w:val="000000"/>
                <w:szCs w:val="20"/>
              </w:rPr>
            </w:pPr>
            <w:r w:rsidRPr="00361937">
              <w:rPr>
                <w:bCs/>
                <w:i/>
                <w:iCs/>
                <w:color w:val="000000"/>
                <w:szCs w:val="20"/>
              </w:rPr>
              <w:t xml:space="preserve">  Serious adverse events (SAEs)</w:t>
            </w:r>
          </w:p>
        </w:tc>
        <w:tc>
          <w:tcPr>
            <w:tcW w:w="2447" w:type="dxa"/>
            <w:tcBorders>
              <w:top w:val="nil"/>
              <w:left w:val="nil"/>
              <w:bottom w:val="nil"/>
              <w:right w:val="nil"/>
            </w:tcBorders>
            <w:shd w:val="clear" w:color="auto" w:fill="auto"/>
            <w:noWrap/>
            <w:vAlign w:val="bottom"/>
          </w:tcPr>
          <w:p w:rsidR="00630FF1" w:rsidRPr="00361937" w:rsidRDefault="00630FF1" w:rsidP="00A95E29">
            <w:pPr>
              <w:spacing w:line="480" w:lineRule="auto"/>
              <w:jc w:val="center"/>
              <w:rPr>
                <w:color w:val="000000"/>
                <w:szCs w:val="20"/>
              </w:rPr>
            </w:pPr>
            <w:r w:rsidRPr="00361937">
              <w:rPr>
                <w:color w:val="000000"/>
                <w:szCs w:val="20"/>
              </w:rPr>
              <w:t>n</w:t>
            </w:r>
            <w:r w:rsidRPr="00361937">
              <w:rPr>
                <w:color w:val="000000"/>
                <w:szCs w:val="20"/>
                <w:vertAlign w:val="superscript"/>
              </w:rPr>
              <w:t>a</w:t>
            </w:r>
            <w:r w:rsidRPr="00361937">
              <w:rPr>
                <w:color w:val="000000"/>
                <w:szCs w:val="20"/>
              </w:rPr>
              <w:t xml:space="preserve"> (%) [#]</w:t>
            </w:r>
            <w:r w:rsidRPr="00361937">
              <w:rPr>
                <w:color w:val="000000"/>
                <w:szCs w:val="20"/>
                <w:vertAlign w:val="superscript"/>
              </w:rPr>
              <w:t>b</w:t>
            </w:r>
          </w:p>
        </w:tc>
        <w:tc>
          <w:tcPr>
            <w:tcW w:w="2769" w:type="dxa"/>
            <w:tcBorders>
              <w:top w:val="nil"/>
              <w:left w:val="single" w:sz="4" w:space="0" w:color="auto"/>
              <w:bottom w:val="nil"/>
              <w:right w:val="nil"/>
            </w:tcBorders>
            <w:shd w:val="clear" w:color="auto" w:fill="auto"/>
            <w:noWrap/>
            <w:vAlign w:val="bottom"/>
          </w:tcPr>
          <w:p w:rsidR="00630FF1" w:rsidRPr="00361937" w:rsidRDefault="00630FF1" w:rsidP="00A95E29">
            <w:pPr>
              <w:spacing w:line="480" w:lineRule="auto"/>
              <w:jc w:val="center"/>
              <w:rPr>
                <w:color w:val="000000"/>
                <w:szCs w:val="20"/>
              </w:rPr>
            </w:pPr>
            <w:r w:rsidRPr="00361937">
              <w:rPr>
                <w:color w:val="000000"/>
                <w:szCs w:val="20"/>
              </w:rPr>
              <w:t>n</w:t>
            </w:r>
            <w:r w:rsidRPr="00361937">
              <w:rPr>
                <w:color w:val="000000"/>
                <w:szCs w:val="20"/>
                <w:vertAlign w:val="superscript"/>
              </w:rPr>
              <w:t>a</w:t>
            </w:r>
            <w:r w:rsidRPr="00361937">
              <w:rPr>
                <w:color w:val="000000"/>
                <w:szCs w:val="20"/>
              </w:rPr>
              <w:t xml:space="preserve"> (%) [#]</w:t>
            </w:r>
            <w:r w:rsidRPr="00361937">
              <w:rPr>
                <w:color w:val="000000"/>
                <w:szCs w:val="20"/>
                <w:vertAlign w:val="superscript"/>
              </w:rPr>
              <w:t>b</w:t>
            </w:r>
            <w:r w:rsidRPr="00361937">
              <w:rPr>
                <w:color w:val="000000"/>
                <w:szCs w:val="20"/>
              </w:rPr>
              <w:t xml:space="preserve"> </w:t>
            </w:r>
          </w:p>
        </w:tc>
      </w:tr>
      <w:tr w:rsidR="00630FF1" w:rsidRPr="00361937">
        <w:trPr>
          <w:trHeight w:val="547"/>
        </w:trPr>
        <w:tc>
          <w:tcPr>
            <w:tcW w:w="3841" w:type="dxa"/>
            <w:vMerge/>
            <w:tcBorders>
              <w:left w:val="nil"/>
              <w:bottom w:val="single" w:sz="4" w:space="0" w:color="auto"/>
              <w:right w:val="single" w:sz="4" w:space="0" w:color="auto"/>
            </w:tcBorders>
            <w:shd w:val="clear" w:color="auto" w:fill="auto"/>
            <w:noWrap/>
            <w:vAlign w:val="bottom"/>
          </w:tcPr>
          <w:p w:rsidR="00630FF1" w:rsidRPr="00361937" w:rsidRDefault="00630FF1" w:rsidP="00A95E29">
            <w:pPr>
              <w:spacing w:line="480" w:lineRule="auto"/>
              <w:rPr>
                <w:bCs/>
                <w:i/>
                <w:iCs/>
                <w:color w:val="000000"/>
                <w:szCs w:val="20"/>
              </w:rPr>
            </w:pPr>
          </w:p>
        </w:tc>
        <w:tc>
          <w:tcPr>
            <w:tcW w:w="2447" w:type="dxa"/>
            <w:tcBorders>
              <w:top w:val="single" w:sz="4" w:space="0" w:color="auto"/>
              <w:left w:val="nil"/>
              <w:bottom w:val="single" w:sz="4" w:space="0" w:color="auto"/>
              <w:right w:val="nil"/>
            </w:tcBorders>
            <w:shd w:val="clear" w:color="auto" w:fill="auto"/>
            <w:noWrap/>
          </w:tcPr>
          <w:p w:rsidR="00630FF1" w:rsidRPr="00361937" w:rsidRDefault="00630FF1" w:rsidP="00A95E29">
            <w:pPr>
              <w:spacing w:line="480" w:lineRule="auto"/>
              <w:rPr>
                <w:bCs/>
                <w:i/>
                <w:color w:val="000000"/>
                <w:szCs w:val="20"/>
              </w:rPr>
            </w:pPr>
          </w:p>
          <w:p w:rsidR="00630FF1" w:rsidRPr="00361937" w:rsidRDefault="00630FF1" w:rsidP="00A95E29">
            <w:pPr>
              <w:spacing w:line="480" w:lineRule="auto"/>
              <w:rPr>
                <w:bCs/>
                <w:i/>
                <w:color w:val="000000"/>
                <w:szCs w:val="20"/>
              </w:rPr>
            </w:pPr>
            <w:r w:rsidRPr="00361937">
              <w:rPr>
                <w:bCs/>
                <w:i/>
                <w:color w:val="000000"/>
                <w:szCs w:val="20"/>
              </w:rPr>
              <w:t xml:space="preserve">            8 (5.0), [10]</w:t>
            </w:r>
          </w:p>
        </w:tc>
        <w:tc>
          <w:tcPr>
            <w:tcW w:w="2769" w:type="dxa"/>
            <w:tcBorders>
              <w:top w:val="single" w:sz="4" w:space="0" w:color="auto"/>
              <w:left w:val="single" w:sz="4" w:space="0" w:color="auto"/>
              <w:bottom w:val="single" w:sz="4" w:space="0" w:color="auto"/>
              <w:right w:val="nil"/>
            </w:tcBorders>
            <w:shd w:val="clear" w:color="auto" w:fill="auto"/>
            <w:noWrap/>
          </w:tcPr>
          <w:p w:rsidR="00630FF1" w:rsidRPr="00361937" w:rsidRDefault="00630FF1" w:rsidP="00A95E29">
            <w:pPr>
              <w:spacing w:line="480" w:lineRule="auto"/>
              <w:jc w:val="center"/>
              <w:rPr>
                <w:bCs/>
                <w:i/>
                <w:color w:val="000000"/>
                <w:szCs w:val="20"/>
              </w:rPr>
            </w:pPr>
          </w:p>
          <w:p w:rsidR="00630FF1" w:rsidRPr="00361937" w:rsidRDefault="00630FF1" w:rsidP="00A95E29">
            <w:pPr>
              <w:spacing w:line="480" w:lineRule="auto"/>
              <w:jc w:val="center"/>
              <w:rPr>
                <w:bCs/>
                <w:i/>
                <w:color w:val="000000"/>
                <w:szCs w:val="20"/>
              </w:rPr>
            </w:pPr>
            <w:r w:rsidRPr="00361937">
              <w:rPr>
                <w:bCs/>
                <w:i/>
                <w:color w:val="000000"/>
                <w:szCs w:val="20"/>
              </w:rPr>
              <w:t>2 (3.3), [2]</w:t>
            </w:r>
          </w:p>
        </w:tc>
      </w:tr>
      <w:tr w:rsidR="00630FF1" w:rsidRPr="00361937">
        <w:trPr>
          <w:trHeight w:val="306"/>
        </w:trPr>
        <w:tc>
          <w:tcPr>
            <w:tcW w:w="3841" w:type="dxa"/>
            <w:tcBorders>
              <w:top w:val="nil"/>
              <w:left w:val="nil"/>
              <w:bottom w:val="nil"/>
              <w:right w:val="single" w:sz="4" w:space="0" w:color="auto"/>
            </w:tcBorders>
            <w:shd w:val="clear" w:color="auto" w:fill="auto"/>
            <w:noWrap/>
          </w:tcPr>
          <w:p w:rsidR="00630FF1" w:rsidRPr="00361937" w:rsidRDefault="00630FF1" w:rsidP="00A95E29">
            <w:pPr>
              <w:spacing w:line="480" w:lineRule="auto"/>
              <w:rPr>
                <w:bCs/>
                <w:i/>
                <w:iCs/>
                <w:color w:val="000000"/>
                <w:szCs w:val="20"/>
              </w:rPr>
            </w:pPr>
          </w:p>
          <w:p w:rsidR="00630FF1" w:rsidRPr="00361937" w:rsidRDefault="00630FF1" w:rsidP="00A95E29">
            <w:pPr>
              <w:spacing w:line="480" w:lineRule="auto"/>
              <w:jc w:val="center"/>
              <w:rPr>
                <w:bCs/>
                <w:i/>
                <w:iCs/>
                <w:color w:val="000000"/>
                <w:szCs w:val="20"/>
              </w:rPr>
            </w:pPr>
            <w:r w:rsidRPr="00361937">
              <w:rPr>
                <w:bCs/>
                <w:i/>
                <w:iCs/>
                <w:color w:val="000000"/>
                <w:szCs w:val="20"/>
              </w:rPr>
              <w:t>Adverse event (s) of special interest (AESI)</w:t>
            </w:r>
          </w:p>
        </w:tc>
        <w:tc>
          <w:tcPr>
            <w:tcW w:w="2447" w:type="dxa"/>
            <w:tcBorders>
              <w:top w:val="nil"/>
              <w:left w:val="nil"/>
              <w:bottom w:val="nil"/>
              <w:right w:val="nil"/>
            </w:tcBorders>
            <w:shd w:val="clear" w:color="auto" w:fill="auto"/>
            <w:noWrap/>
          </w:tcPr>
          <w:p w:rsidR="00630FF1" w:rsidRPr="00361937" w:rsidRDefault="00630FF1" w:rsidP="00A95E29">
            <w:pPr>
              <w:spacing w:line="480" w:lineRule="auto"/>
              <w:jc w:val="center"/>
              <w:rPr>
                <w:bCs/>
                <w:color w:val="000000"/>
                <w:szCs w:val="20"/>
              </w:rPr>
            </w:pPr>
          </w:p>
          <w:p w:rsidR="00630FF1" w:rsidRPr="00361937" w:rsidRDefault="00630FF1" w:rsidP="00A95E29">
            <w:pPr>
              <w:spacing w:line="480" w:lineRule="auto"/>
              <w:jc w:val="center"/>
              <w:rPr>
                <w:bCs/>
                <w:color w:val="000000"/>
                <w:szCs w:val="20"/>
              </w:rPr>
            </w:pPr>
            <w:r w:rsidRPr="00361937">
              <w:rPr>
                <w:bCs/>
                <w:color w:val="000000"/>
                <w:szCs w:val="20"/>
              </w:rPr>
              <w:t>54 (33.8), [54]</w:t>
            </w:r>
          </w:p>
        </w:tc>
        <w:tc>
          <w:tcPr>
            <w:tcW w:w="2769" w:type="dxa"/>
            <w:tcBorders>
              <w:top w:val="nil"/>
              <w:left w:val="single" w:sz="4" w:space="0" w:color="auto"/>
              <w:bottom w:val="nil"/>
              <w:right w:val="nil"/>
            </w:tcBorders>
            <w:shd w:val="clear" w:color="auto" w:fill="auto"/>
            <w:noWrap/>
          </w:tcPr>
          <w:p w:rsidR="00630FF1" w:rsidRPr="00361937" w:rsidRDefault="00630FF1" w:rsidP="00A95E29">
            <w:pPr>
              <w:spacing w:line="480" w:lineRule="auto"/>
              <w:rPr>
                <w:bCs/>
                <w:color w:val="000000"/>
                <w:szCs w:val="20"/>
              </w:rPr>
            </w:pPr>
            <w:r w:rsidRPr="00361937">
              <w:rPr>
                <w:bCs/>
                <w:color w:val="000000"/>
                <w:szCs w:val="20"/>
              </w:rPr>
              <w:t xml:space="preserve">              </w:t>
            </w:r>
          </w:p>
          <w:p w:rsidR="00630FF1" w:rsidRPr="00361937" w:rsidRDefault="00630FF1" w:rsidP="00A95E29">
            <w:pPr>
              <w:spacing w:line="480" w:lineRule="auto"/>
              <w:rPr>
                <w:bCs/>
                <w:color w:val="000000"/>
                <w:szCs w:val="20"/>
              </w:rPr>
            </w:pPr>
            <w:r w:rsidRPr="00361937">
              <w:rPr>
                <w:bCs/>
                <w:color w:val="000000"/>
                <w:szCs w:val="20"/>
              </w:rPr>
              <w:t xml:space="preserve">              15 (24.6), [15]</w:t>
            </w:r>
          </w:p>
          <w:p w:rsidR="00630FF1" w:rsidRPr="00361937" w:rsidRDefault="00630FF1" w:rsidP="00A95E29">
            <w:pPr>
              <w:spacing w:line="480" w:lineRule="auto"/>
              <w:jc w:val="center"/>
              <w:rPr>
                <w:bCs/>
                <w:color w:val="000000"/>
                <w:szCs w:val="20"/>
              </w:rPr>
            </w:pPr>
          </w:p>
        </w:tc>
      </w:tr>
      <w:tr w:rsidR="00630FF1" w:rsidRPr="00361937">
        <w:trPr>
          <w:trHeight w:val="135"/>
        </w:trPr>
        <w:tc>
          <w:tcPr>
            <w:tcW w:w="3841" w:type="dxa"/>
            <w:tcBorders>
              <w:top w:val="nil"/>
              <w:left w:val="nil"/>
              <w:bottom w:val="nil"/>
              <w:right w:val="single" w:sz="4" w:space="0" w:color="auto"/>
            </w:tcBorders>
            <w:shd w:val="clear" w:color="auto" w:fill="auto"/>
            <w:noWrap/>
            <w:vAlign w:val="bottom"/>
          </w:tcPr>
          <w:p w:rsidR="00630FF1" w:rsidRPr="00361937" w:rsidRDefault="00630FF1" w:rsidP="00A95E29">
            <w:pPr>
              <w:spacing w:line="480" w:lineRule="auto"/>
              <w:ind w:left="720"/>
              <w:rPr>
                <w:bCs/>
                <w:iCs/>
                <w:color w:val="000000"/>
                <w:szCs w:val="20"/>
              </w:rPr>
            </w:pPr>
            <w:r w:rsidRPr="00361937">
              <w:rPr>
                <w:bCs/>
                <w:iCs/>
                <w:color w:val="000000"/>
                <w:szCs w:val="20"/>
              </w:rPr>
              <w:t xml:space="preserve"> Fridericia corrected </w:t>
            </w:r>
          </w:p>
          <w:p w:rsidR="00630FF1" w:rsidRPr="00361937" w:rsidRDefault="00630FF1" w:rsidP="00A95E29">
            <w:pPr>
              <w:spacing w:line="480" w:lineRule="auto"/>
              <w:ind w:left="720"/>
              <w:rPr>
                <w:bCs/>
                <w:iCs/>
                <w:color w:val="000000"/>
                <w:szCs w:val="20"/>
              </w:rPr>
            </w:pPr>
            <w:r w:rsidRPr="00361937">
              <w:rPr>
                <w:bCs/>
                <w:iCs/>
                <w:color w:val="000000"/>
                <w:szCs w:val="20"/>
              </w:rPr>
              <w:t xml:space="preserve"> QT prolongation</w:t>
            </w:r>
            <w:r w:rsidRPr="00361937">
              <w:rPr>
                <w:bCs/>
                <w:iCs/>
                <w:color w:val="000000"/>
                <w:szCs w:val="20"/>
                <w:vertAlign w:val="superscript"/>
              </w:rPr>
              <w:t>c,</w:t>
            </w:r>
          </w:p>
        </w:tc>
        <w:tc>
          <w:tcPr>
            <w:tcW w:w="2447" w:type="dxa"/>
            <w:tcBorders>
              <w:top w:val="nil"/>
              <w:left w:val="nil"/>
              <w:bottom w:val="nil"/>
              <w:right w:val="nil"/>
            </w:tcBorders>
            <w:shd w:val="clear" w:color="auto" w:fill="auto"/>
            <w:noWrap/>
            <w:vAlign w:val="bottom"/>
          </w:tcPr>
          <w:p w:rsidR="00630FF1" w:rsidRPr="00361937" w:rsidRDefault="00630FF1" w:rsidP="00A95E29">
            <w:pPr>
              <w:spacing w:line="480" w:lineRule="auto"/>
              <w:jc w:val="center"/>
              <w:rPr>
                <w:bCs/>
                <w:color w:val="000000"/>
                <w:szCs w:val="20"/>
              </w:rPr>
            </w:pPr>
            <w:r w:rsidRPr="00361937">
              <w:rPr>
                <w:bCs/>
                <w:color w:val="000000"/>
                <w:szCs w:val="20"/>
              </w:rPr>
              <w:t>48 (30.0)</w:t>
            </w:r>
          </w:p>
        </w:tc>
        <w:tc>
          <w:tcPr>
            <w:tcW w:w="2769" w:type="dxa"/>
            <w:tcBorders>
              <w:top w:val="nil"/>
              <w:left w:val="single" w:sz="4" w:space="0" w:color="auto"/>
              <w:bottom w:val="nil"/>
              <w:right w:val="nil"/>
            </w:tcBorders>
            <w:shd w:val="clear" w:color="auto" w:fill="auto"/>
            <w:noWrap/>
            <w:vAlign w:val="bottom"/>
          </w:tcPr>
          <w:p w:rsidR="00630FF1" w:rsidRPr="00361937" w:rsidRDefault="00630FF1" w:rsidP="00A95E29">
            <w:pPr>
              <w:spacing w:line="480" w:lineRule="auto"/>
              <w:jc w:val="center"/>
              <w:rPr>
                <w:bCs/>
                <w:color w:val="000000"/>
                <w:szCs w:val="20"/>
              </w:rPr>
            </w:pPr>
            <w:r w:rsidRPr="00361937">
              <w:rPr>
                <w:bCs/>
                <w:color w:val="000000"/>
                <w:szCs w:val="20"/>
              </w:rPr>
              <w:t>8 (13.1)</w:t>
            </w:r>
          </w:p>
        </w:tc>
      </w:tr>
      <w:tr w:rsidR="00630FF1" w:rsidRPr="00361937">
        <w:trPr>
          <w:trHeight w:val="135"/>
        </w:trPr>
        <w:tc>
          <w:tcPr>
            <w:tcW w:w="3841" w:type="dxa"/>
            <w:tcBorders>
              <w:top w:val="nil"/>
              <w:left w:val="nil"/>
              <w:bottom w:val="nil"/>
              <w:right w:val="nil"/>
            </w:tcBorders>
            <w:shd w:val="clear" w:color="auto" w:fill="auto"/>
            <w:noWrap/>
            <w:vAlign w:val="bottom"/>
          </w:tcPr>
          <w:p w:rsidR="00630FF1" w:rsidRPr="00361937" w:rsidRDefault="00630FF1" w:rsidP="00A95E29">
            <w:pPr>
              <w:spacing w:line="480" w:lineRule="auto"/>
              <w:rPr>
                <w:color w:val="000000"/>
                <w:szCs w:val="20"/>
              </w:rPr>
            </w:pPr>
            <w:r w:rsidRPr="00361937">
              <w:rPr>
                <w:color w:val="000000"/>
                <w:szCs w:val="20"/>
              </w:rPr>
              <w:t xml:space="preserve">                Palpitations</w:t>
            </w:r>
          </w:p>
        </w:tc>
        <w:tc>
          <w:tcPr>
            <w:tcW w:w="2447" w:type="dxa"/>
            <w:tcBorders>
              <w:top w:val="nil"/>
              <w:left w:val="single" w:sz="4" w:space="0" w:color="auto"/>
              <w:bottom w:val="nil"/>
              <w:right w:val="nil"/>
            </w:tcBorders>
            <w:shd w:val="clear" w:color="auto" w:fill="auto"/>
            <w:noWrap/>
            <w:vAlign w:val="bottom"/>
          </w:tcPr>
          <w:p w:rsidR="00630FF1" w:rsidRPr="00361937" w:rsidRDefault="00630FF1" w:rsidP="00A95E29">
            <w:pPr>
              <w:spacing w:line="480" w:lineRule="auto"/>
              <w:jc w:val="center"/>
              <w:rPr>
                <w:color w:val="000000"/>
                <w:szCs w:val="20"/>
              </w:rPr>
            </w:pPr>
            <w:r w:rsidRPr="00361937">
              <w:rPr>
                <w:color w:val="000000"/>
                <w:szCs w:val="20"/>
              </w:rPr>
              <w:t>4 (2.5)</w:t>
            </w:r>
          </w:p>
        </w:tc>
        <w:tc>
          <w:tcPr>
            <w:tcW w:w="2769" w:type="dxa"/>
            <w:tcBorders>
              <w:top w:val="nil"/>
              <w:left w:val="single" w:sz="4" w:space="0" w:color="auto"/>
              <w:bottom w:val="nil"/>
              <w:right w:val="nil"/>
            </w:tcBorders>
            <w:shd w:val="clear" w:color="auto" w:fill="auto"/>
            <w:noWrap/>
            <w:vAlign w:val="bottom"/>
          </w:tcPr>
          <w:p w:rsidR="00630FF1" w:rsidRPr="00361937" w:rsidRDefault="00630FF1" w:rsidP="00A95E29">
            <w:pPr>
              <w:spacing w:line="480" w:lineRule="auto"/>
              <w:jc w:val="center"/>
              <w:rPr>
                <w:color w:val="000000"/>
                <w:szCs w:val="20"/>
              </w:rPr>
            </w:pPr>
            <w:r w:rsidRPr="00361937">
              <w:rPr>
                <w:color w:val="000000"/>
                <w:szCs w:val="20"/>
              </w:rPr>
              <w:t>2 (3.3)</w:t>
            </w:r>
          </w:p>
        </w:tc>
      </w:tr>
      <w:tr w:rsidR="00630FF1" w:rsidRPr="00361937">
        <w:trPr>
          <w:trHeight w:val="135"/>
        </w:trPr>
        <w:tc>
          <w:tcPr>
            <w:tcW w:w="3841" w:type="dxa"/>
            <w:tcBorders>
              <w:top w:val="nil"/>
              <w:left w:val="nil"/>
              <w:bottom w:val="nil"/>
              <w:right w:val="nil"/>
            </w:tcBorders>
            <w:shd w:val="clear" w:color="auto" w:fill="auto"/>
            <w:noWrap/>
            <w:vAlign w:val="bottom"/>
          </w:tcPr>
          <w:p w:rsidR="00630FF1" w:rsidRPr="00361937" w:rsidRDefault="00630FF1" w:rsidP="00A95E29">
            <w:pPr>
              <w:spacing w:line="480" w:lineRule="auto"/>
              <w:rPr>
                <w:color w:val="000000"/>
                <w:szCs w:val="20"/>
              </w:rPr>
            </w:pPr>
            <w:r w:rsidRPr="00361937">
              <w:rPr>
                <w:color w:val="000000"/>
                <w:szCs w:val="20"/>
              </w:rPr>
              <w:t xml:space="preserve">                Dizziness</w:t>
            </w:r>
          </w:p>
        </w:tc>
        <w:tc>
          <w:tcPr>
            <w:tcW w:w="2447" w:type="dxa"/>
            <w:tcBorders>
              <w:top w:val="nil"/>
              <w:left w:val="single" w:sz="4" w:space="0" w:color="auto"/>
              <w:bottom w:val="nil"/>
              <w:right w:val="nil"/>
            </w:tcBorders>
            <w:shd w:val="clear" w:color="auto" w:fill="auto"/>
            <w:noWrap/>
            <w:vAlign w:val="bottom"/>
          </w:tcPr>
          <w:p w:rsidR="00630FF1" w:rsidRPr="00361937" w:rsidRDefault="00630FF1" w:rsidP="00A95E29">
            <w:pPr>
              <w:spacing w:line="480" w:lineRule="auto"/>
              <w:jc w:val="center"/>
              <w:rPr>
                <w:color w:val="000000"/>
                <w:szCs w:val="20"/>
              </w:rPr>
            </w:pPr>
            <w:r w:rsidRPr="00361937">
              <w:rPr>
                <w:color w:val="000000"/>
                <w:szCs w:val="20"/>
              </w:rPr>
              <w:t>2 (1.3)</w:t>
            </w:r>
          </w:p>
        </w:tc>
        <w:tc>
          <w:tcPr>
            <w:tcW w:w="2769" w:type="dxa"/>
            <w:tcBorders>
              <w:top w:val="nil"/>
              <w:left w:val="single" w:sz="4" w:space="0" w:color="auto"/>
              <w:bottom w:val="nil"/>
              <w:right w:val="nil"/>
            </w:tcBorders>
            <w:shd w:val="clear" w:color="auto" w:fill="auto"/>
            <w:noWrap/>
            <w:vAlign w:val="bottom"/>
          </w:tcPr>
          <w:p w:rsidR="00630FF1" w:rsidRPr="00361937" w:rsidRDefault="00630FF1" w:rsidP="00A95E29">
            <w:pPr>
              <w:spacing w:line="480" w:lineRule="auto"/>
              <w:jc w:val="center"/>
              <w:rPr>
                <w:color w:val="000000"/>
                <w:szCs w:val="20"/>
              </w:rPr>
            </w:pPr>
            <w:r w:rsidRPr="00361937">
              <w:rPr>
                <w:color w:val="000000"/>
                <w:szCs w:val="20"/>
              </w:rPr>
              <w:t>2 (3.3)</w:t>
            </w:r>
          </w:p>
        </w:tc>
      </w:tr>
      <w:tr w:rsidR="00630FF1" w:rsidRPr="00361937">
        <w:trPr>
          <w:trHeight w:val="135"/>
        </w:trPr>
        <w:tc>
          <w:tcPr>
            <w:tcW w:w="3841" w:type="dxa"/>
            <w:tcBorders>
              <w:top w:val="nil"/>
              <w:left w:val="nil"/>
              <w:bottom w:val="nil"/>
              <w:right w:val="nil"/>
            </w:tcBorders>
            <w:shd w:val="clear" w:color="auto" w:fill="auto"/>
            <w:noWrap/>
            <w:vAlign w:val="bottom"/>
          </w:tcPr>
          <w:p w:rsidR="00630FF1" w:rsidRPr="00361937" w:rsidRDefault="00630FF1" w:rsidP="00A95E29">
            <w:pPr>
              <w:spacing w:line="480" w:lineRule="auto"/>
              <w:rPr>
                <w:color w:val="000000"/>
                <w:szCs w:val="20"/>
              </w:rPr>
            </w:pPr>
            <w:r w:rsidRPr="00361937">
              <w:rPr>
                <w:color w:val="000000"/>
                <w:szCs w:val="20"/>
              </w:rPr>
              <w:t xml:space="preserve">                Urticaria</w:t>
            </w:r>
          </w:p>
        </w:tc>
        <w:tc>
          <w:tcPr>
            <w:tcW w:w="2447" w:type="dxa"/>
            <w:tcBorders>
              <w:top w:val="nil"/>
              <w:left w:val="single" w:sz="4" w:space="0" w:color="auto"/>
              <w:bottom w:val="nil"/>
              <w:right w:val="nil"/>
            </w:tcBorders>
            <w:shd w:val="clear" w:color="auto" w:fill="auto"/>
            <w:noWrap/>
            <w:vAlign w:val="bottom"/>
          </w:tcPr>
          <w:p w:rsidR="00630FF1" w:rsidRPr="00361937" w:rsidRDefault="00630FF1" w:rsidP="00A95E29">
            <w:pPr>
              <w:spacing w:line="480" w:lineRule="auto"/>
              <w:jc w:val="center"/>
              <w:rPr>
                <w:color w:val="000000"/>
                <w:szCs w:val="20"/>
              </w:rPr>
            </w:pPr>
            <w:r w:rsidRPr="00361937">
              <w:rPr>
                <w:color w:val="000000"/>
                <w:szCs w:val="20"/>
              </w:rPr>
              <w:t>0</w:t>
            </w:r>
          </w:p>
        </w:tc>
        <w:tc>
          <w:tcPr>
            <w:tcW w:w="2769" w:type="dxa"/>
            <w:tcBorders>
              <w:top w:val="nil"/>
              <w:left w:val="single" w:sz="4" w:space="0" w:color="auto"/>
              <w:bottom w:val="nil"/>
              <w:right w:val="nil"/>
            </w:tcBorders>
            <w:shd w:val="clear" w:color="auto" w:fill="auto"/>
            <w:noWrap/>
            <w:vAlign w:val="bottom"/>
          </w:tcPr>
          <w:p w:rsidR="00630FF1" w:rsidRPr="00361937" w:rsidRDefault="00630FF1" w:rsidP="00A95E29">
            <w:pPr>
              <w:spacing w:line="480" w:lineRule="auto"/>
              <w:jc w:val="center"/>
              <w:rPr>
                <w:color w:val="000000"/>
                <w:szCs w:val="20"/>
              </w:rPr>
            </w:pPr>
            <w:r w:rsidRPr="00361937">
              <w:rPr>
                <w:color w:val="000000"/>
                <w:szCs w:val="20"/>
              </w:rPr>
              <w:t>1 (1.6)</w:t>
            </w:r>
          </w:p>
        </w:tc>
      </w:tr>
      <w:tr w:rsidR="00630FF1" w:rsidRPr="00361937">
        <w:trPr>
          <w:trHeight w:val="135"/>
        </w:trPr>
        <w:tc>
          <w:tcPr>
            <w:tcW w:w="3841" w:type="dxa"/>
            <w:tcBorders>
              <w:top w:val="nil"/>
              <w:left w:val="nil"/>
              <w:bottom w:val="nil"/>
              <w:right w:val="nil"/>
            </w:tcBorders>
            <w:shd w:val="clear" w:color="auto" w:fill="auto"/>
            <w:noWrap/>
            <w:vAlign w:val="bottom"/>
          </w:tcPr>
          <w:p w:rsidR="00630FF1" w:rsidRPr="00361937" w:rsidRDefault="00630FF1" w:rsidP="00A95E29">
            <w:pPr>
              <w:spacing w:line="480" w:lineRule="auto"/>
              <w:rPr>
                <w:color w:val="000000"/>
                <w:szCs w:val="20"/>
              </w:rPr>
            </w:pPr>
            <w:r w:rsidRPr="00361937">
              <w:rPr>
                <w:color w:val="000000"/>
                <w:szCs w:val="20"/>
              </w:rPr>
              <w:t xml:space="preserve">                Itchiness</w:t>
            </w:r>
          </w:p>
        </w:tc>
        <w:tc>
          <w:tcPr>
            <w:tcW w:w="2447" w:type="dxa"/>
            <w:tcBorders>
              <w:top w:val="nil"/>
              <w:left w:val="single" w:sz="4" w:space="0" w:color="auto"/>
              <w:bottom w:val="nil"/>
              <w:right w:val="nil"/>
            </w:tcBorders>
            <w:shd w:val="clear" w:color="auto" w:fill="auto"/>
            <w:noWrap/>
            <w:vAlign w:val="bottom"/>
          </w:tcPr>
          <w:p w:rsidR="00630FF1" w:rsidRPr="00361937" w:rsidRDefault="00630FF1" w:rsidP="00A95E29">
            <w:pPr>
              <w:spacing w:line="480" w:lineRule="auto"/>
              <w:jc w:val="center"/>
              <w:rPr>
                <w:color w:val="000000"/>
                <w:szCs w:val="20"/>
              </w:rPr>
            </w:pPr>
            <w:r w:rsidRPr="00361937">
              <w:rPr>
                <w:color w:val="000000"/>
                <w:szCs w:val="20"/>
              </w:rPr>
              <w:t>0</w:t>
            </w:r>
          </w:p>
        </w:tc>
        <w:tc>
          <w:tcPr>
            <w:tcW w:w="2769" w:type="dxa"/>
            <w:tcBorders>
              <w:top w:val="nil"/>
              <w:left w:val="single" w:sz="4" w:space="0" w:color="auto"/>
              <w:bottom w:val="nil"/>
              <w:right w:val="nil"/>
            </w:tcBorders>
            <w:shd w:val="clear" w:color="auto" w:fill="auto"/>
            <w:noWrap/>
            <w:vAlign w:val="bottom"/>
          </w:tcPr>
          <w:p w:rsidR="00630FF1" w:rsidRPr="00361937" w:rsidRDefault="00630FF1" w:rsidP="00A95E29">
            <w:pPr>
              <w:spacing w:line="480" w:lineRule="auto"/>
              <w:jc w:val="center"/>
              <w:rPr>
                <w:color w:val="000000"/>
                <w:szCs w:val="20"/>
              </w:rPr>
            </w:pPr>
            <w:r w:rsidRPr="00361937">
              <w:rPr>
                <w:color w:val="000000"/>
                <w:szCs w:val="20"/>
              </w:rPr>
              <w:t>1 (1.6)</w:t>
            </w:r>
          </w:p>
        </w:tc>
      </w:tr>
      <w:tr w:rsidR="00630FF1" w:rsidRPr="00361937">
        <w:trPr>
          <w:trHeight w:val="273"/>
        </w:trPr>
        <w:tc>
          <w:tcPr>
            <w:tcW w:w="3841" w:type="dxa"/>
            <w:tcBorders>
              <w:top w:val="nil"/>
              <w:left w:val="nil"/>
              <w:bottom w:val="single" w:sz="4" w:space="0" w:color="auto"/>
              <w:right w:val="single" w:sz="4" w:space="0" w:color="auto"/>
            </w:tcBorders>
            <w:shd w:val="clear" w:color="auto" w:fill="auto"/>
            <w:noWrap/>
            <w:vAlign w:val="bottom"/>
          </w:tcPr>
          <w:p w:rsidR="00630FF1" w:rsidRPr="00361937" w:rsidRDefault="00630FF1" w:rsidP="00A95E29">
            <w:pPr>
              <w:spacing w:line="480" w:lineRule="auto"/>
              <w:rPr>
                <w:color w:val="000000"/>
                <w:szCs w:val="20"/>
              </w:rPr>
            </w:pPr>
            <w:r w:rsidRPr="00361937">
              <w:rPr>
                <w:color w:val="000000"/>
                <w:szCs w:val="20"/>
              </w:rPr>
              <w:t xml:space="preserve">                Chest pain </w:t>
            </w:r>
          </w:p>
        </w:tc>
        <w:tc>
          <w:tcPr>
            <w:tcW w:w="2447" w:type="dxa"/>
            <w:tcBorders>
              <w:top w:val="nil"/>
              <w:left w:val="nil"/>
              <w:bottom w:val="nil"/>
              <w:right w:val="nil"/>
            </w:tcBorders>
            <w:shd w:val="clear" w:color="auto" w:fill="auto"/>
            <w:noWrap/>
            <w:vAlign w:val="bottom"/>
          </w:tcPr>
          <w:p w:rsidR="00630FF1" w:rsidRPr="00361937" w:rsidRDefault="00630FF1" w:rsidP="00A95E29">
            <w:pPr>
              <w:spacing w:line="480" w:lineRule="auto"/>
              <w:jc w:val="center"/>
              <w:rPr>
                <w:color w:val="000000"/>
                <w:szCs w:val="20"/>
              </w:rPr>
            </w:pPr>
            <w:r w:rsidRPr="00361937">
              <w:rPr>
                <w:color w:val="000000"/>
                <w:szCs w:val="20"/>
              </w:rPr>
              <w:t>0</w:t>
            </w:r>
          </w:p>
        </w:tc>
        <w:tc>
          <w:tcPr>
            <w:tcW w:w="2769" w:type="dxa"/>
            <w:tcBorders>
              <w:top w:val="nil"/>
              <w:left w:val="single" w:sz="4" w:space="0" w:color="auto"/>
              <w:bottom w:val="single" w:sz="4" w:space="0" w:color="auto"/>
              <w:right w:val="nil"/>
            </w:tcBorders>
            <w:shd w:val="clear" w:color="auto" w:fill="auto"/>
            <w:noWrap/>
            <w:vAlign w:val="bottom"/>
          </w:tcPr>
          <w:p w:rsidR="00630FF1" w:rsidRPr="00361937" w:rsidRDefault="00630FF1" w:rsidP="00A95E29">
            <w:pPr>
              <w:spacing w:line="480" w:lineRule="auto"/>
              <w:jc w:val="center"/>
              <w:rPr>
                <w:color w:val="000000"/>
                <w:szCs w:val="20"/>
              </w:rPr>
            </w:pPr>
            <w:r w:rsidRPr="00361937">
              <w:rPr>
                <w:color w:val="000000"/>
                <w:szCs w:val="20"/>
              </w:rPr>
              <w:t>1 (1.6)</w:t>
            </w:r>
          </w:p>
        </w:tc>
      </w:tr>
      <w:tr w:rsidR="00630FF1" w:rsidRPr="00361937">
        <w:trPr>
          <w:trHeight w:val="552"/>
        </w:trPr>
        <w:tc>
          <w:tcPr>
            <w:tcW w:w="3841" w:type="dxa"/>
            <w:vMerge w:val="restart"/>
            <w:tcBorders>
              <w:top w:val="nil"/>
              <w:left w:val="nil"/>
              <w:bottom w:val="nil"/>
              <w:right w:val="single" w:sz="4" w:space="0" w:color="auto"/>
            </w:tcBorders>
            <w:shd w:val="clear" w:color="000000" w:fill="FFFFFF"/>
            <w:noWrap/>
            <w:vAlign w:val="center"/>
          </w:tcPr>
          <w:p w:rsidR="00630FF1" w:rsidRPr="00361937" w:rsidRDefault="00630FF1" w:rsidP="00A95E29">
            <w:pPr>
              <w:spacing w:line="480" w:lineRule="auto"/>
              <w:rPr>
                <w:bCs/>
                <w:i/>
                <w:iCs/>
                <w:color w:val="000000"/>
                <w:szCs w:val="20"/>
              </w:rPr>
            </w:pPr>
          </w:p>
          <w:p w:rsidR="00630FF1" w:rsidRPr="00361937" w:rsidRDefault="00630FF1" w:rsidP="00A95E29">
            <w:pPr>
              <w:spacing w:line="480" w:lineRule="auto"/>
              <w:rPr>
                <w:bCs/>
                <w:i/>
                <w:iCs/>
                <w:color w:val="000000"/>
                <w:szCs w:val="20"/>
              </w:rPr>
            </w:pPr>
            <w:r w:rsidRPr="00361937">
              <w:rPr>
                <w:bCs/>
                <w:i/>
                <w:iCs/>
                <w:color w:val="000000"/>
                <w:szCs w:val="20"/>
              </w:rPr>
              <w:t xml:space="preserve">Drug-related adverse events (SAEs) </w:t>
            </w:r>
          </w:p>
        </w:tc>
        <w:tc>
          <w:tcPr>
            <w:tcW w:w="2447" w:type="dxa"/>
            <w:vMerge w:val="restart"/>
            <w:tcBorders>
              <w:top w:val="single" w:sz="4" w:space="0" w:color="auto"/>
              <w:left w:val="nil"/>
              <w:bottom w:val="nil"/>
              <w:right w:val="nil"/>
            </w:tcBorders>
            <w:shd w:val="clear" w:color="auto" w:fill="auto"/>
            <w:noWrap/>
            <w:vAlign w:val="center"/>
          </w:tcPr>
          <w:p w:rsidR="00630FF1" w:rsidRPr="00361937" w:rsidRDefault="00630FF1" w:rsidP="00A95E29">
            <w:pPr>
              <w:spacing w:line="480" w:lineRule="auto"/>
              <w:rPr>
                <w:color w:val="000000"/>
                <w:szCs w:val="20"/>
              </w:rPr>
            </w:pPr>
            <w:r w:rsidRPr="00361937">
              <w:rPr>
                <w:color w:val="000000"/>
                <w:szCs w:val="20"/>
              </w:rPr>
              <w:t> </w:t>
            </w:r>
          </w:p>
        </w:tc>
        <w:tc>
          <w:tcPr>
            <w:tcW w:w="2769" w:type="dxa"/>
            <w:vMerge w:val="restart"/>
            <w:tcBorders>
              <w:top w:val="nil"/>
              <w:left w:val="single" w:sz="4" w:space="0" w:color="auto"/>
              <w:bottom w:val="nil"/>
              <w:right w:val="nil"/>
            </w:tcBorders>
            <w:shd w:val="clear" w:color="auto" w:fill="auto"/>
            <w:noWrap/>
            <w:vAlign w:val="center"/>
          </w:tcPr>
          <w:p w:rsidR="00630FF1" w:rsidRPr="00361937" w:rsidRDefault="00630FF1" w:rsidP="00A95E29">
            <w:pPr>
              <w:spacing w:line="480" w:lineRule="auto"/>
              <w:rPr>
                <w:color w:val="000000"/>
                <w:szCs w:val="20"/>
              </w:rPr>
            </w:pPr>
          </w:p>
        </w:tc>
      </w:tr>
      <w:tr w:rsidR="00630FF1" w:rsidRPr="00361937">
        <w:trPr>
          <w:trHeight w:val="552"/>
        </w:trPr>
        <w:tc>
          <w:tcPr>
            <w:tcW w:w="3841" w:type="dxa"/>
            <w:vMerge/>
            <w:tcBorders>
              <w:top w:val="nil"/>
              <w:left w:val="nil"/>
              <w:bottom w:val="nil"/>
              <w:right w:val="single" w:sz="4" w:space="0" w:color="auto"/>
            </w:tcBorders>
            <w:vAlign w:val="center"/>
          </w:tcPr>
          <w:p w:rsidR="00630FF1" w:rsidRPr="00361937" w:rsidRDefault="00630FF1" w:rsidP="00A95E29">
            <w:pPr>
              <w:spacing w:line="480" w:lineRule="auto"/>
              <w:rPr>
                <w:b/>
                <w:bCs/>
                <w:i/>
                <w:iCs/>
                <w:color w:val="000000"/>
                <w:szCs w:val="20"/>
              </w:rPr>
            </w:pPr>
          </w:p>
        </w:tc>
        <w:tc>
          <w:tcPr>
            <w:tcW w:w="2447" w:type="dxa"/>
            <w:vMerge/>
            <w:tcBorders>
              <w:top w:val="single" w:sz="4" w:space="0" w:color="auto"/>
              <w:left w:val="nil"/>
              <w:bottom w:val="nil"/>
              <w:right w:val="nil"/>
            </w:tcBorders>
            <w:vAlign w:val="center"/>
          </w:tcPr>
          <w:p w:rsidR="00630FF1" w:rsidRPr="00361937" w:rsidRDefault="00630FF1" w:rsidP="00A95E29">
            <w:pPr>
              <w:spacing w:line="480" w:lineRule="auto"/>
              <w:rPr>
                <w:color w:val="000000"/>
                <w:szCs w:val="20"/>
              </w:rPr>
            </w:pPr>
          </w:p>
        </w:tc>
        <w:tc>
          <w:tcPr>
            <w:tcW w:w="2769" w:type="dxa"/>
            <w:vMerge/>
            <w:tcBorders>
              <w:top w:val="nil"/>
              <w:left w:val="single" w:sz="4" w:space="0" w:color="auto"/>
              <w:bottom w:val="nil"/>
              <w:right w:val="nil"/>
            </w:tcBorders>
            <w:vAlign w:val="center"/>
          </w:tcPr>
          <w:p w:rsidR="00630FF1" w:rsidRPr="00361937" w:rsidRDefault="00630FF1" w:rsidP="00A95E29">
            <w:pPr>
              <w:spacing w:line="480" w:lineRule="auto"/>
              <w:rPr>
                <w:color w:val="000000"/>
                <w:szCs w:val="20"/>
              </w:rPr>
            </w:pPr>
          </w:p>
        </w:tc>
      </w:tr>
      <w:tr w:rsidR="00630FF1" w:rsidRPr="00361937">
        <w:trPr>
          <w:trHeight w:val="135"/>
        </w:trPr>
        <w:tc>
          <w:tcPr>
            <w:tcW w:w="3841" w:type="dxa"/>
            <w:tcBorders>
              <w:top w:val="nil"/>
              <w:left w:val="nil"/>
              <w:bottom w:val="nil"/>
              <w:right w:val="nil"/>
            </w:tcBorders>
            <w:shd w:val="clear" w:color="000000" w:fill="FFFFFF"/>
            <w:noWrap/>
            <w:vAlign w:val="bottom"/>
          </w:tcPr>
          <w:p w:rsidR="00630FF1" w:rsidRPr="00361937" w:rsidRDefault="00630FF1" w:rsidP="00A95E29">
            <w:pPr>
              <w:spacing w:line="480" w:lineRule="auto"/>
              <w:rPr>
                <w:color w:val="000000"/>
                <w:szCs w:val="20"/>
              </w:rPr>
            </w:pPr>
            <w:r w:rsidRPr="00361937">
              <w:rPr>
                <w:color w:val="000000"/>
                <w:szCs w:val="20"/>
              </w:rPr>
              <w:t xml:space="preserve">                Not related</w:t>
            </w:r>
          </w:p>
        </w:tc>
        <w:tc>
          <w:tcPr>
            <w:tcW w:w="2447" w:type="dxa"/>
            <w:tcBorders>
              <w:top w:val="nil"/>
              <w:left w:val="single" w:sz="4" w:space="0" w:color="auto"/>
              <w:bottom w:val="nil"/>
              <w:right w:val="nil"/>
            </w:tcBorders>
            <w:shd w:val="clear" w:color="auto" w:fill="auto"/>
            <w:noWrap/>
            <w:vAlign w:val="bottom"/>
          </w:tcPr>
          <w:p w:rsidR="00630FF1" w:rsidRPr="00361937" w:rsidRDefault="00630FF1" w:rsidP="00A95E29">
            <w:pPr>
              <w:spacing w:line="480" w:lineRule="auto"/>
              <w:jc w:val="center"/>
              <w:rPr>
                <w:color w:val="000000"/>
                <w:szCs w:val="20"/>
              </w:rPr>
            </w:pPr>
            <w:r w:rsidRPr="00361937">
              <w:rPr>
                <w:color w:val="000000"/>
                <w:szCs w:val="20"/>
              </w:rPr>
              <w:t>7 (4.4), [9]</w:t>
            </w:r>
          </w:p>
        </w:tc>
        <w:tc>
          <w:tcPr>
            <w:tcW w:w="2769" w:type="dxa"/>
            <w:tcBorders>
              <w:top w:val="nil"/>
              <w:left w:val="single" w:sz="4" w:space="0" w:color="auto"/>
              <w:bottom w:val="nil"/>
              <w:right w:val="nil"/>
            </w:tcBorders>
            <w:shd w:val="clear" w:color="auto" w:fill="auto"/>
            <w:noWrap/>
            <w:vAlign w:val="bottom"/>
          </w:tcPr>
          <w:p w:rsidR="00630FF1" w:rsidRPr="00361937" w:rsidRDefault="00630FF1" w:rsidP="00A95E29">
            <w:pPr>
              <w:spacing w:line="480" w:lineRule="auto"/>
              <w:jc w:val="center"/>
              <w:rPr>
                <w:color w:val="000000"/>
                <w:szCs w:val="20"/>
              </w:rPr>
            </w:pPr>
            <w:r w:rsidRPr="00361937">
              <w:rPr>
                <w:color w:val="000000"/>
                <w:szCs w:val="20"/>
              </w:rPr>
              <w:t>2 (3.3), [2]</w:t>
            </w:r>
          </w:p>
        </w:tc>
      </w:tr>
      <w:tr w:rsidR="00630FF1" w:rsidRPr="00361937">
        <w:trPr>
          <w:trHeight w:val="135"/>
        </w:trPr>
        <w:tc>
          <w:tcPr>
            <w:tcW w:w="3841" w:type="dxa"/>
            <w:tcBorders>
              <w:top w:val="nil"/>
              <w:left w:val="nil"/>
              <w:bottom w:val="nil"/>
              <w:right w:val="nil"/>
            </w:tcBorders>
            <w:shd w:val="clear" w:color="000000" w:fill="FFFFFF"/>
            <w:noWrap/>
            <w:vAlign w:val="bottom"/>
          </w:tcPr>
          <w:p w:rsidR="00630FF1" w:rsidRPr="00361937" w:rsidRDefault="00630FF1" w:rsidP="00A95E29">
            <w:pPr>
              <w:spacing w:line="480" w:lineRule="auto"/>
              <w:rPr>
                <w:color w:val="000000"/>
                <w:szCs w:val="20"/>
              </w:rPr>
            </w:pPr>
            <w:r w:rsidRPr="00361937">
              <w:rPr>
                <w:color w:val="000000"/>
                <w:szCs w:val="20"/>
              </w:rPr>
              <w:t xml:space="preserve">                Possibly related</w:t>
            </w:r>
          </w:p>
        </w:tc>
        <w:tc>
          <w:tcPr>
            <w:tcW w:w="2447" w:type="dxa"/>
            <w:tcBorders>
              <w:top w:val="nil"/>
              <w:left w:val="single" w:sz="4" w:space="0" w:color="auto"/>
              <w:bottom w:val="nil"/>
              <w:right w:val="nil"/>
            </w:tcBorders>
            <w:shd w:val="clear" w:color="auto" w:fill="auto"/>
            <w:noWrap/>
            <w:vAlign w:val="bottom"/>
          </w:tcPr>
          <w:p w:rsidR="00630FF1" w:rsidRPr="00361937" w:rsidRDefault="00630FF1" w:rsidP="00A95E29">
            <w:pPr>
              <w:spacing w:line="480" w:lineRule="auto"/>
              <w:jc w:val="center"/>
              <w:rPr>
                <w:color w:val="000000"/>
                <w:szCs w:val="20"/>
              </w:rPr>
            </w:pPr>
            <w:r w:rsidRPr="00361937">
              <w:rPr>
                <w:color w:val="000000"/>
                <w:szCs w:val="20"/>
              </w:rPr>
              <w:t>1 (0.6), [1]</w:t>
            </w:r>
          </w:p>
        </w:tc>
        <w:tc>
          <w:tcPr>
            <w:tcW w:w="2769" w:type="dxa"/>
            <w:tcBorders>
              <w:top w:val="nil"/>
              <w:left w:val="single" w:sz="4" w:space="0" w:color="auto"/>
              <w:bottom w:val="nil"/>
              <w:right w:val="nil"/>
            </w:tcBorders>
            <w:shd w:val="clear" w:color="auto" w:fill="auto"/>
            <w:noWrap/>
            <w:vAlign w:val="bottom"/>
          </w:tcPr>
          <w:p w:rsidR="00630FF1" w:rsidRPr="00361937" w:rsidRDefault="00630FF1" w:rsidP="00A95E29">
            <w:pPr>
              <w:spacing w:line="480" w:lineRule="auto"/>
              <w:jc w:val="center"/>
              <w:rPr>
                <w:color w:val="000000"/>
                <w:szCs w:val="20"/>
              </w:rPr>
            </w:pPr>
            <w:r w:rsidRPr="00361937">
              <w:rPr>
                <w:color w:val="000000"/>
                <w:szCs w:val="20"/>
              </w:rPr>
              <w:t>0</w:t>
            </w:r>
          </w:p>
        </w:tc>
      </w:tr>
      <w:tr w:rsidR="00630FF1" w:rsidRPr="00361937">
        <w:trPr>
          <w:trHeight w:val="135"/>
        </w:trPr>
        <w:tc>
          <w:tcPr>
            <w:tcW w:w="3841" w:type="dxa"/>
            <w:tcBorders>
              <w:top w:val="nil"/>
              <w:left w:val="nil"/>
              <w:bottom w:val="nil"/>
              <w:right w:val="nil"/>
            </w:tcBorders>
            <w:shd w:val="clear" w:color="000000" w:fill="FFFFFF"/>
            <w:noWrap/>
            <w:vAlign w:val="bottom"/>
          </w:tcPr>
          <w:p w:rsidR="00630FF1" w:rsidRPr="00361937" w:rsidRDefault="00630FF1" w:rsidP="00A95E29">
            <w:pPr>
              <w:spacing w:line="480" w:lineRule="auto"/>
              <w:rPr>
                <w:color w:val="000000"/>
                <w:szCs w:val="20"/>
              </w:rPr>
            </w:pPr>
            <w:r w:rsidRPr="00361937">
              <w:rPr>
                <w:color w:val="000000"/>
                <w:szCs w:val="20"/>
              </w:rPr>
              <w:t xml:space="preserve">                Probably related</w:t>
            </w:r>
          </w:p>
        </w:tc>
        <w:tc>
          <w:tcPr>
            <w:tcW w:w="2447" w:type="dxa"/>
            <w:tcBorders>
              <w:top w:val="nil"/>
              <w:left w:val="single" w:sz="4" w:space="0" w:color="auto"/>
              <w:bottom w:val="nil"/>
              <w:right w:val="nil"/>
            </w:tcBorders>
            <w:shd w:val="clear" w:color="auto" w:fill="auto"/>
            <w:noWrap/>
            <w:vAlign w:val="bottom"/>
          </w:tcPr>
          <w:p w:rsidR="00630FF1" w:rsidRPr="00361937" w:rsidRDefault="00630FF1" w:rsidP="00A95E29">
            <w:pPr>
              <w:spacing w:line="480" w:lineRule="auto"/>
              <w:jc w:val="center"/>
              <w:rPr>
                <w:color w:val="000000"/>
                <w:szCs w:val="20"/>
              </w:rPr>
            </w:pPr>
            <w:r w:rsidRPr="00361937">
              <w:rPr>
                <w:color w:val="000000"/>
                <w:szCs w:val="20"/>
              </w:rPr>
              <w:t>0</w:t>
            </w:r>
          </w:p>
        </w:tc>
        <w:tc>
          <w:tcPr>
            <w:tcW w:w="2769" w:type="dxa"/>
            <w:tcBorders>
              <w:top w:val="nil"/>
              <w:left w:val="single" w:sz="4" w:space="0" w:color="auto"/>
              <w:bottom w:val="nil"/>
              <w:right w:val="nil"/>
            </w:tcBorders>
            <w:shd w:val="clear" w:color="auto" w:fill="auto"/>
            <w:noWrap/>
            <w:vAlign w:val="bottom"/>
          </w:tcPr>
          <w:p w:rsidR="00630FF1" w:rsidRPr="00361937" w:rsidRDefault="00630FF1" w:rsidP="00A95E29">
            <w:pPr>
              <w:spacing w:line="480" w:lineRule="auto"/>
              <w:jc w:val="center"/>
              <w:rPr>
                <w:color w:val="000000"/>
                <w:szCs w:val="20"/>
              </w:rPr>
            </w:pPr>
            <w:r w:rsidRPr="00361937">
              <w:rPr>
                <w:color w:val="000000"/>
                <w:szCs w:val="20"/>
              </w:rPr>
              <w:t>0</w:t>
            </w:r>
          </w:p>
        </w:tc>
      </w:tr>
      <w:tr w:rsidR="00630FF1" w:rsidRPr="00361937">
        <w:trPr>
          <w:trHeight w:val="218"/>
        </w:trPr>
        <w:tc>
          <w:tcPr>
            <w:tcW w:w="3841" w:type="dxa"/>
            <w:tcBorders>
              <w:top w:val="nil"/>
              <w:left w:val="nil"/>
              <w:bottom w:val="single" w:sz="4" w:space="0" w:color="auto"/>
              <w:right w:val="single" w:sz="4" w:space="0" w:color="auto"/>
            </w:tcBorders>
            <w:shd w:val="clear" w:color="000000" w:fill="FFFFFF"/>
            <w:noWrap/>
            <w:vAlign w:val="bottom"/>
          </w:tcPr>
          <w:p w:rsidR="00630FF1" w:rsidRPr="00361937" w:rsidRDefault="00630FF1" w:rsidP="00A95E29">
            <w:pPr>
              <w:spacing w:line="480" w:lineRule="auto"/>
              <w:rPr>
                <w:color w:val="000000"/>
                <w:szCs w:val="20"/>
              </w:rPr>
            </w:pPr>
            <w:r w:rsidRPr="00361937">
              <w:rPr>
                <w:color w:val="000000"/>
                <w:szCs w:val="20"/>
              </w:rPr>
              <w:lastRenderedPageBreak/>
              <w:t xml:space="preserve">                Definitely related</w:t>
            </w:r>
          </w:p>
        </w:tc>
        <w:tc>
          <w:tcPr>
            <w:tcW w:w="2447" w:type="dxa"/>
            <w:tcBorders>
              <w:top w:val="nil"/>
              <w:left w:val="nil"/>
              <w:bottom w:val="single" w:sz="4" w:space="0" w:color="auto"/>
              <w:right w:val="nil"/>
            </w:tcBorders>
            <w:shd w:val="clear" w:color="auto" w:fill="auto"/>
            <w:noWrap/>
            <w:vAlign w:val="bottom"/>
          </w:tcPr>
          <w:p w:rsidR="00630FF1" w:rsidRPr="00361937" w:rsidRDefault="00630FF1" w:rsidP="00A95E29">
            <w:pPr>
              <w:spacing w:line="480" w:lineRule="auto"/>
              <w:jc w:val="center"/>
              <w:rPr>
                <w:color w:val="000000"/>
                <w:szCs w:val="20"/>
              </w:rPr>
            </w:pPr>
            <w:r w:rsidRPr="00361937">
              <w:rPr>
                <w:color w:val="000000"/>
                <w:szCs w:val="20"/>
              </w:rPr>
              <w:t>0</w:t>
            </w:r>
          </w:p>
        </w:tc>
        <w:tc>
          <w:tcPr>
            <w:tcW w:w="2769" w:type="dxa"/>
            <w:tcBorders>
              <w:top w:val="nil"/>
              <w:left w:val="single" w:sz="4" w:space="0" w:color="auto"/>
              <w:bottom w:val="single" w:sz="4" w:space="0" w:color="auto"/>
              <w:right w:val="nil"/>
            </w:tcBorders>
            <w:shd w:val="clear" w:color="auto" w:fill="auto"/>
            <w:noWrap/>
            <w:vAlign w:val="bottom"/>
          </w:tcPr>
          <w:p w:rsidR="00630FF1" w:rsidRPr="00361937" w:rsidRDefault="00630FF1" w:rsidP="00A95E29">
            <w:pPr>
              <w:spacing w:line="480" w:lineRule="auto"/>
              <w:jc w:val="center"/>
              <w:rPr>
                <w:color w:val="000000"/>
                <w:szCs w:val="20"/>
              </w:rPr>
            </w:pPr>
            <w:r w:rsidRPr="00361937">
              <w:rPr>
                <w:color w:val="000000"/>
                <w:szCs w:val="20"/>
              </w:rPr>
              <w:t>0</w:t>
            </w:r>
          </w:p>
        </w:tc>
      </w:tr>
      <w:tr w:rsidR="00630FF1" w:rsidRPr="00361937">
        <w:trPr>
          <w:trHeight w:val="135"/>
        </w:trPr>
        <w:tc>
          <w:tcPr>
            <w:tcW w:w="3841" w:type="dxa"/>
            <w:tcBorders>
              <w:top w:val="nil"/>
              <w:left w:val="nil"/>
              <w:bottom w:val="nil"/>
              <w:right w:val="single" w:sz="4" w:space="0" w:color="auto"/>
            </w:tcBorders>
            <w:shd w:val="clear" w:color="000000" w:fill="FFFFFF"/>
            <w:noWrap/>
            <w:vAlign w:val="bottom"/>
          </w:tcPr>
          <w:p w:rsidR="00630FF1" w:rsidRPr="00361937" w:rsidRDefault="00630FF1" w:rsidP="00A95E29">
            <w:pPr>
              <w:spacing w:line="480" w:lineRule="auto"/>
              <w:rPr>
                <w:bCs/>
                <w:i/>
                <w:iCs/>
                <w:color w:val="000000"/>
                <w:szCs w:val="20"/>
              </w:rPr>
            </w:pPr>
          </w:p>
          <w:p w:rsidR="00630FF1" w:rsidRPr="00361937" w:rsidRDefault="00630FF1" w:rsidP="00A95E29">
            <w:pPr>
              <w:spacing w:line="480" w:lineRule="auto"/>
              <w:rPr>
                <w:bCs/>
                <w:i/>
                <w:iCs/>
                <w:color w:val="000000"/>
                <w:szCs w:val="20"/>
              </w:rPr>
            </w:pPr>
            <w:r w:rsidRPr="00361937">
              <w:rPr>
                <w:bCs/>
                <w:i/>
                <w:iCs/>
                <w:color w:val="000000"/>
                <w:szCs w:val="20"/>
              </w:rPr>
              <w:t>Drug-related adverse events (AESI)</w:t>
            </w:r>
          </w:p>
        </w:tc>
        <w:tc>
          <w:tcPr>
            <w:tcW w:w="2447" w:type="dxa"/>
            <w:tcBorders>
              <w:top w:val="nil"/>
              <w:left w:val="nil"/>
              <w:bottom w:val="nil"/>
              <w:right w:val="nil"/>
            </w:tcBorders>
            <w:shd w:val="clear" w:color="auto" w:fill="auto"/>
            <w:noWrap/>
            <w:vAlign w:val="bottom"/>
          </w:tcPr>
          <w:p w:rsidR="00630FF1" w:rsidRPr="00361937" w:rsidRDefault="00630FF1" w:rsidP="00A95E29">
            <w:pPr>
              <w:spacing w:line="480" w:lineRule="auto"/>
              <w:rPr>
                <w:b/>
                <w:bCs/>
                <w:i/>
                <w:iCs/>
                <w:color w:val="000000"/>
                <w:szCs w:val="20"/>
              </w:rPr>
            </w:pPr>
          </w:p>
        </w:tc>
        <w:tc>
          <w:tcPr>
            <w:tcW w:w="2769" w:type="dxa"/>
            <w:tcBorders>
              <w:top w:val="nil"/>
              <w:left w:val="single" w:sz="4" w:space="0" w:color="auto"/>
              <w:bottom w:val="nil"/>
              <w:right w:val="nil"/>
            </w:tcBorders>
            <w:shd w:val="clear" w:color="auto" w:fill="auto"/>
            <w:noWrap/>
            <w:vAlign w:val="bottom"/>
          </w:tcPr>
          <w:p w:rsidR="00630FF1" w:rsidRPr="00361937" w:rsidRDefault="00630FF1" w:rsidP="00A95E29">
            <w:pPr>
              <w:spacing w:line="480" w:lineRule="auto"/>
              <w:jc w:val="center"/>
              <w:rPr>
                <w:color w:val="000000"/>
                <w:szCs w:val="20"/>
              </w:rPr>
            </w:pPr>
            <w:r w:rsidRPr="00361937">
              <w:rPr>
                <w:color w:val="000000"/>
                <w:szCs w:val="20"/>
              </w:rPr>
              <w:t> </w:t>
            </w:r>
          </w:p>
        </w:tc>
      </w:tr>
      <w:tr w:rsidR="00630FF1" w:rsidRPr="00361937">
        <w:trPr>
          <w:trHeight w:val="135"/>
        </w:trPr>
        <w:tc>
          <w:tcPr>
            <w:tcW w:w="3841" w:type="dxa"/>
            <w:tcBorders>
              <w:top w:val="nil"/>
              <w:left w:val="nil"/>
              <w:bottom w:val="nil"/>
              <w:right w:val="nil"/>
            </w:tcBorders>
            <w:shd w:val="clear" w:color="000000" w:fill="FFFFFF"/>
            <w:noWrap/>
            <w:vAlign w:val="bottom"/>
          </w:tcPr>
          <w:p w:rsidR="00630FF1" w:rsidRPr="00361937" w:rsidRDefault="00630FF1" w:rsidP="00A95E29">
            <w:pPr>
              <w:spacing w:line="480" w:lineRule="auto"/>
              <w:rPr>
                <w:color w:val="000000"/>
                <w:szCs w:val="20"/>
              </w:rPr>
            </w:pPr>
            <w:r w:rsidRPr="00361937">
              <w:rPr>
                <w:color w:val="000000"/>
                <w:szCs w:val="20"/>
              </w:rPr>
              <w:t xml:space="preserve">                Not related</w:t>
            </w:r>
          </w:p>
        </w:tc>
        <w:tc>
          <w:tcPr>
            <w:tcW w:w="2447" w:type="dxa"/>
            <w:tcBorders>
              <w:top w:val="nil"/>
              <w:left w:val="single" w:sz="4" w:space="0" w:color="auto"/>
              <w:bottom w:val="nil"/>
              <w:right w:val="nil"/>
            </w:tcBorders>
            <w:shd w:val="clear" w:color="auto" w:fill="auto"/>
            <w:noWrap/>
            <w:vAlign w:val="bottom"/>
          </w:tcPr>
          <w:p w:rsidR="00630FF1" w:rsidRPr="00361937" w:rsidRDefault="00630FF1" w:rsidP="00A95E29">
            <w:pPr>
              <w:spacing w:line="480" w:lineRule="auto"/>
              <w:jc w:val="center"/>
              <w:rPr>
                <w:color w:val="000000"/>
                <w:szCs w:val="20"/>
              </w:rPr>
            </w:pPr>
            <w:r w:rsidRPr="00361937">
              <w:rPr>
                <w:color w:val="000000"/>
                <w:szCs w:val="20"/>
              </w:rPr>
              <w:t>1 (0.6), [1]</w:t>
            </w:r>
          </w:p>
        </w:tc>
        <w:tc>
          <w:tcPr>
            <w:tcW w:w="2769" w:type="dxa"/>
            <w:tcBorders>
              <w:top w:val="nil"/>
              <w:left w:val="single" w:sz="4" w:space="0" w:color="auto"/>
              <w:bottom w:val="nil"/>
              <w:right w:val="nil"/>
            </w:tcBorders>
            <w:shd w:val="clear" w:color="auto" w:fill="auto"/>
            <w:noWrap/>
            <w:vAlign w:val="bottom"/>
          </w:tcPr>
          <w:p w:rsidR="00630FF1" w:rsidRPr="00361937" w:rsidRDefault="00630FF1" w:rsidP="00A95E29">
            <w:pPr>
              <w:spacing w:line="480" w:lineRule="auto"/>
              <w:jc w:val="center"/>
              <w:rPr>
                <w:color w:val="000000"/>
                <w:szCs w:val="20"/>
              </w:rPr>
            </w:pPr>
            <w:r w:rsidRPr="00361937">
              <w:rPr>
                <w:color w:val="000000"/>
                <w:szCs w:val="20"/>
              </w:rPr>
              <w:t>4 (6.6) [4]</w:t>
            </w:r>
          </w:p>
        </w:tc>
      </w:tr>
      <w:tr w:rsidR="00630FF1" w:rsidRPr="00361937">
        <w:trPr>
          <w:trHeight w:val="135"/>
        </w:trPr>
        <w:tc>
          <w:tcPr>
            <w:tcW w:w="3841" w:type="dxa"/>
            <w:tcBorders>
              <w:top w:val="nil"/>
              <w:left w:val="nil"/>
              <w:bottom w:val="nil"/>
              <w:right w:val="nil"/>
            </w:tcBorders>
            <w:shd w:val="clear" w:color="000000" w:fill="FFFFFF"/>
            <w:noWrap/>
            <w:vAlign w:val="bottom"/>
          </w:tcPr>
          <w:p w:rsidR="00630FF1" w:rsidRPr="00361937" w:rsidRDefault="00630FF1" w:rsidP="00A95E29">
            <w:pPr>
              <w:spacing w:line="480" w:lineRule="auto"/>
              <w:rPr>
                <w:color w:val="000000"/>
                <w:szCs w:val="20"/>
              </w:rPr>
            </w:pPr>
            <w:r w:rsidRPr="00361937">
              <w:rPr>
                <w:color w:val="000000"/>
                <w:szCs w:val="20"/>
              </w:rPr>
              <w:t xml:space="preserve">                Possibly related</w:t>
            </w:r>
          </w:p>
        </w:tc>
        <w:tc>
          <w:tcPr>
            <w:tcW w:w="2447" w:type="dxa"/>
            <w:tcBorders>
              <w:top w:val="nil"/>
              <w:left w:val="single" w:sz="4" w:space="0" w:color="auto"/>
              <w:bottom w:val="nil"/>
              <w:right w:val="nil"/>
            </w:tcBorders>
            <w:shd w:val="clear" w:color="auto" w:fill="auto"/>
            <w:noWrap/>
            <w:vAlign w:val="bottom"/>
          </w:tcPr>
          <w:p w:rsidR="00630FF1" w:rsidRPr="00361937" w:rsidRDefault="00630FF1" w:rsidP="00A95E29">
            <w:pPr>
              <w:spacing w:line="480" w:lineRule="auto"/>
              <w:jc w:val="center"/>
              <w:rPr>
                <w:color w:val="000000"/>
                <w:szCs w:val="20"/>
              </w:rPr>
            </w:pPr>
            <w:r w:rsidRPr="00361937">
              <w:rPr>
                <w:color w:val="000000"/>
                <w:szCs w:val="20"/>
              </w:rPr>
              <w:t>5 (3.1), [5]</w:t>
            </w:r>
          </w:p>
        </w:tc>
        <w:tc>
          <w:tcPr>
            <w:tcW w:w="2769" w:type="dxa"/>
            <w:tcBorders>
              <w:top w:val="nil"/>
              <w:left w:val="single" w:sz="4" w:space="0" w:color="auto"/>
              <w:bottom w:val="nil"/>
              <w:right w:val="nil"/>
            </w:tcBorders>
            <w:shd w:val="clear" w:color="auto" w:fill="auto"/>
            <w:noWrap/>
            <w:vAlign w:val="bottom"/>
          </w:tcPr>
          <w:p w:rsidR="00630FF1" w:rsidRPr="00361937" w:rsidRDefault="00630FF1" w:rsidP="00A95E29">
            <w:pPr>
              <w:spacing w:line="480" w:lineRule="auto"/>
              <w:jc w:val="center"/>
              <w:rPr>
                <w:color w:val="000000"/>
                <w:szCs w:val="20"/>
              </w:rPr>
            </w:pPr>
            <w:r w:rsidRPr="00361937">
              <w:rPr>
                <w:color w:val="000000"/>
                <w:szCs w:val="20"/>
              </w:rPr>
              <w:t>3 (4.9), [3]</w:t>
            </w:r>
          </w:p>
        </w:tc>
      </w:tr>
      <w:tr w:rsidR="00630FF1" w:rsidRPr="00361937">
        <w:trPr>
          <w:trHeight w:val="135"/>
        </w:trPr>
        <w:tc>
          <w:tcPr>
            <w:tcW w:w="3841" w:type="dxa"/>
            <w:tcBorders>
              <w:top w:val="nil"/>
              <w:left w:val="nil"/>
              <w:bottom w:val="nil"/>
              <w:right w:val="nil"/>
            </w:tcBorders>
            <w:shd w:val="clear" w:color="000000" w:fill="FFFFFF"/>
            <w:noWrap/>
            <w:vAlign w:val="bottom"/>
          </w:tcPr>
          <w:p w:rsidR="00630FF1" w:rsidRPr="00361937" w:rsidRDefault="00630FF1" w:rsidP="00A95E29">
            <w:pPr>
              <w:spacing w:line="480" w:lineRule="auto"/>
              <w:rPr>
                <w:color w:val="000000"/>
                <w:szCs w:val="20"/>
              </w:rPr>
            </w:pPr>
            <w:r w:rsidRPr="00361937">
              <w:rPr>
                <w:color w:val="000000"/>
                <w:szCs w:val="20"/>
              </w:rPr>
              <w:t xml:space="preserve">                Probably related</w:t>
            </w:r>
          </w:p>
        </w:tc>
        <w:tc>
          <w:tcPr>
            <w:tcW w:w="2447" w:type="dxa"/>
            <w:tcBorders>
              <w:top w:val="nil"/>
              <w:left w:val="single" w:sz="4" w:space="0" w:color="auto"/>
              <w:bottom w:val="nil"/>
              <w:right w:val="nil"/>
            </w:tcBorders>
            <w:shd w:val="clear" w:color="auto" w:fill="auto"/>
            <w:noWrap/>
            <w:vAlign w:val="bottom"/>
          </w:tcPr>
          <w:p w:rsidR="00630FF1" w:rsidRPr="00361937" w:rsidRDefault="00630FF1" w:rsidP="00A95E29">
            <w:pPr>
              <w:spacing w:line="480" w:lineRule="auto"/>
              <w:jc w:val="center"/>
              <w:rPr>
                <w:color w:val="000000"/>
                <w:szCs w:val="20"/>
              </w:rPr>
            </w:pPr>
            <w:r w:rsidRPr="00361937">
              <w:rPr>
                <w:color w:val="000000"/>
                <w:szCs w:val="20"/>
              </w:rPr>
              <w:t>48 (30.0), [48]</w:t>
            </w:r>
          </w:p>
        </w:tc>
        <w:tc>
          <w:tcPr>
            <w:tcW w:w="2769" w:type="dxa"/>
            <w:tcBorders>
              <w:top w:val="nil"/>
              <w:left w:val="single" w:sz="4" w:space="0" w:color="auto"/>
              <w:bottom w:val="nil"/>
              <w:right w:val="nil"/>
            </w:tcBorders>
            <w:shd w:val="clear" w:color="auto" w:fill="auto"/>
            <w:noWrap/>
            <w:vAlign w:val="bottom"/>
          </w:tcPr>
          <w:p w:rsidR="00630FF1" w:rsidRPr="00361937" w:rsidRDefault="00630FF1" w:rsidP="00A95E29">
            <w:pPr>
              <w:spacing w:line="480" w:lineRule="auto"/>
              <w:jc w:val="center"/>
              <w:rPr>
                <w:color w:val="000000"/>
                <w:szCs w:val="20"/>
              </w:rPr>
            </w:pPr>
            <w:r w:rsidRPr="00361937">
              <w:rPr>
                <w:color w:val="000000"/>
                <w:szCs w:val="20"/>
              </w:rPr>
              <w:t>8 (13.1) [8]</w:t>
            </w:r>
          </w:p>
        </w:tc>
      </w:tr>
      <w:tr w:rsidR="00630FF1" w:rsidRPr="00361937">
        <w:trPr>
          <w:trHeight w:val="145"/>
        </w:trPr>
        <w:tc>
          <w:tcPr>
            <w:tcW w:w="3841" w:type="dxa"/>
            <w:tcBorders>
              <w:top w:val="nil"/>
              <w:left w:val="nil"/>
              <w:bottom w:val="single" w:sz="8" w:space="0" w:color="auto"/>
              <w:right w:val="single" w:sz="4" w:space="0" w:color="auto"/>
            </w:tcBorders>
            <w:shd w:val="clear" w:color="000000" w:fill="FFFFFF"/>
            <w:noWrap/>
            <w:vAlign w:val="bottom"/>
          </w:tcPr>
          <w:p w:rsidR="00630FF1" w:rsidRPr="00361937" w:rsidRDefault="00630FF1" w:rsidP="00A95E29">
            <w:pPr>
              <w:spacing w:line="480" w:lineRule="auto"/>
              <w:rPr>
                <w:color w:val="000000"/>
                <w:szCs w:val="20"/>
              </w:rPr>
            </w:pPr>
            <w:r w:rsidRPr="00361937">
              <w:rPr>
                <w:color w:val="000000"/>
                <w:szCs w:val="20"/>
              </w:rPr>
              <w:t xml:space="preserve">                Definitely related</w:t>
            </w:r>
          </w:p>
        </w:tc>
        <w:tc>
          <w:tcPr>
            <w:tcW w:w="2447" w:type="dxa"/>
            <w:tcBorders>
              <w:top w:val="nil"/>
              <w:left w:val="nil"/>
              <w:bottom w:val="single" w:sz="8" w:space="0" w:color="auto"/>
              <w:right w:val="nil"/>
            </w:tcBorders>
            <w:shd w:val="clear" w:color="auto" w:fill="auto"/>
            <w:noWrap/>
            <w:vAlign w:val="bottom"/>
          </w:tcPr>
          <w:p w:rsidR="00630FF1" w:rsidRPr="00361937" w:rsidRDefault="00630FF1" w:rsidP="00A95E29">
            <w:pPr>
              <w:spacing w:line="480" w:lineRule="auto"/>
              <w:jc w:val="center"/>
              <w:rPr>
                <w:color w:val="000000"/>
                <w:szCs w:val="20"/>
              </w:rPr>
            </w:pPr>
            <w:r w:rsidRPr="00361937">
              <w:rPr>
                <w:color w:val="000000"/>
                <w:szCs w:val="20"/>
              </w:rPr>
              <w:t>0</w:t>
            </w:r>
          </w:p>
        </w:tc>
        <w:tc>
          <w:tcPr>
            <w:tcW w:w="2769" w:type="dxa"/>
            <w:tcBorders>
              <w:top w:val="nil"/>
              <w:left w:val="single" w:sz="4" w:space="0" w:color="auto"/>
              <w:bottom w:val="single" w:sz="8" w:space="0" w:color="auto"/>
              <w:right w:val="nil"/>
            </w:tcBorders>
            <w:shd w:val="clear" w:color="auto" w:fill="auto"/>
            <w:noWrap/>
            <w:vAlign w:val="bottom"/>
          </w:tcPr>
          <w:p w:rsidR="00630FF1" w:rsidRPr="00361937" w:rsidRDefault="00630FF1" w:rsidP="00A95E29">
            <w:pPr>
              <w:spacing w:line="480" w:lineRule="auto"/>
              <w:jc w:val="center"/>
              <w:rPr>
                <w:color w:val="000000"/>
                <w:szCs w:val="20"/>
              </w:rPr>
            </w:pPr>
            <w:r w:rsidRPr="00361937">
              <w:rPr>
                <w:color w:val="000000"/>
                <w:szCs w:val="20"/>
              </w:rPr>
              <w:t>0</w:t>
            </w:r>
          </w:p>
        </w:tc>
      </w:tr>
      <w:tr w:rsidR="00630FF1" w:rsidRPr="00361937">
        <w:trPr>
          <w:trHeight w:val="306"/>
        </w:trPr>
        <w:tc>
          <w:tcPr>
            <w:tcW w:w="9057" w:type="dxa"/>
            <w:gridSpan w:val="3"/>
            <w:tcBorders>
              <w:top w:val="single" w:sz="8" w:space="0" w:color="auto"/>
              <w:left w:val="nil"/>
              <w:right w:val="nil"/>
            </w:tcBorders>
            <w:shd w:val="clear" w:color="000000" w:fill="FFFFFF"/>
            <w:noWrap/>
            <w:vAlign w:val="bottom"/>
          </w:tcPr>
          <w:p w:rsidR="00630FF1" w:rsidRPr="00361937" w:rsidRDefault="00630FF1" w:rsidP="00E5273B">
            <w:pPr>
              <w:spacing w:line="360" w:lineRule="auto"/>
              <w:rPr>
                <w:color w:val="000000"/>
                <w:szCs w:val="18"/>
              </w:rPr>
            </w:pPr>
            <w:r w:rsidRPr="00361937">
              <w:rPr>
                <w:color w:val="000000"/>
                <w:szCs w:val="18"/>
                <w:vertAlign w:val="superscript"/>
              </w:rPr>
              <w:t>a</w:t>
            </w:r>
            <w:r w:rsidRPr="00361937">
              <w:rPr>
                <w:color w:val="000000"/>
                <w:szCs w:val="18"/>
              </w:rPr>
              <w:t>n The number of participants that experienced the event; % is percentage of participants experiencing that event in the intention-to-treat population.</w:t>
            </w:r>
          </w:p>
          <w:p w:rsidR="00630FF1" w:rsidRPr="00361937" w:rsidRDefault="00630FF1" w:rsidP="00E5273B">
            <w:pPr>
              <w:spacing w:line="360" w:lineRule="auto"/>
              <w:rPr>
                <w:color w:val="000000"/>
                <w:szCs w:val="18"/>
              </w:rPr>
            </w:pPr>
            <w:r w:rsidRPr="00361937">
              <w:rPr>
                <w:color w:val="000000"/>
                <w:szCs w:val="18"/>
                <w:vertAlign w:val="superscript"/>
              </w:rPr>
              <w:t>b</w:t>
            </w:r>
            <w:r w:rsidRPr="00361937">
              <w:rPr>
                <w:color w:val="000000"/>
                <w:szCs w:val="18"/>
              </w:rPr>
              <w:t xml:space="preserve"># The total number of events that occurred </w:t>
            </w:r>
          </w:p>
          <w:p w:rsidR="00630FF1" w:rsidRPr="00361937" w:rsidRDefault="00630FF1" w:rsidP="00E5273B">
            <w:pPr>
              <w:spacing w:line="360" w:lineRule="auto"/>
              <w:rPr>
                <w:color w:val="000000"/>
                <w:szCs w:val="20"/>
              </w:rPr>
            </w:pPr>
            <w:r w:rsidRPr="00361937">
              <w:rPr>
                <w:color w:val="000000"/>
                <w:szCs w:val="18"/>
                <w:vertAlign w:val="superscript"/>
              </w:rPr>
              <w:t xml:space="preserve">c </w:t>
            </w:r>
            <w:r w:rsidRPr="00361937">
              <w:rPr>
                <w:color w:val="000000"/>
                <w:szCs w:val="18"/>
              </w:rPr>
              <w:t xml:space="preserve">Fridericia corrected QT prolongation defined as change in QTc interval of &gt;60 msec from baseline to day 2 (last day) of antimalarial treatment, also reported separately (in detail) in Table 4. </w:t>
            </w:r>
          </w:p>
        </w:tc>
      </w:tr>
    </w:tbl>
    <w:p w:rsidR="00CF0254" w:rsidRPr="00361937" w:rsidRDefault="00CF0254" w:rsidP="00A95E29">
      <w:pPr>
        <w:suppressLineNumbers/>
        <w:spacing w:line="480" w:lineRule="auto"/>
      </w:pPr>
    </w:p>
    <w:p w:rsidR="00D101AA" w:rsidRPr="00361937" w:rsidRDefault="00D101AA" w:rsidP="00A95E29">
      <w:pPr>
        <w:suppressLineNumbers/>
        <w:spacing w:line="480" w:lineRule="auto"/>
      </w:pPr>
    </w:p>
    <w:p w:rsidR="00630FF1" w:rsidRPr="00361937" w:rsidRDefault="00630FF1" w:rsidP="00A95E29">
      <w:pPr>
        <w:suppressLineNumbers/>
        <w:spacing w:line="480" w:lineRule="auto"/>
      </w:pPr>
    </w:p>
    <w:p w:rsidR="00630FF1" w:rsidRPr="00361937" w:rsidRDefault="00630FF1" w:rsidP="00A95E29">
      <w:pPr>
        <w:suppressLineNumbers/>
        <w:spacing w:line="480" w:lineRule="auto"/>
      </w:pPr>
    </w:p>
    <w:p w:rsidR="00630FF1" w:rsidRPr="00361937" w:rsidRDefault="00630FF1" w:rsidP="00A95E29">
      <w:pPr>
        <w:suppressLineNumbers/>
        <w:spacing w:line="480" w:lineRule="auto"/>
      </w:pPr>
    </w:p>
    <w:p w:rsidR="00630FF1" w:rsidRPr="00361937" w:rsidRDefault="00630FF1" w:rsidP="00A95E29">
      <w:pPr>
        <w:suppressLineNumbers/>
        <w:spacing w:line="480" w:lineRule="auto"/>
      </w:pPr>
    </w:p>
    <w:p w:rsidR="00630FF1" w:rsidRDefault="00630FF1" w:rsidP="00A95E29">
      <w:pPr>
        <w:suppressLineNumbers/>
        <w:spacing w:line="480" w:lineRule="auto"/>
      </w:pPr>
    </w:p>
    <w:p w:rsidR="00E5273B" w:rsidRDefault="00E5273B" w:rsidP="00A95E29">
      <w:pPr>
        <w:suppressLineNumbers/>
        <w:spacing w:line="480" w:lineRule="auto"/>
      </w:pPr>
    </w:p>
    <w:p w:rsidR="00E5273B" w:rsidRDefault="00E5273B" w:rsidP="00A95E29">
      <w:pPr>
        <w:suppressLineNumbers/>
        <w:spacing w:line="480" w:lineRule="auto"/>
      </w:pPr>
    </w:p>
    <w:p w:rsidR="00E5273B" w:rsidRPr="00361937" w:rsidRDefault="00E5273B" w:rsidP="00A95E29">
      <w:pPr>
        <w:suppressLineNumbers/>
        <w:spacing w:line="480" w:lineRule="auto"/>
      </w:pPr>
    </w:p>
    <w:p w:rsidR="00D101AA" w:rsidRPr="00361937" w:rsidRDefault="00D101AA" w:rsidP="00A95E29">
      <w:pPr>
        <w:suppressLineNumbers/>
        <w:spacing w:line="480" w:lineRule="auto"/>
      </w:pPr>
    </w:p>
    <w:tbl>
      <w:tblPr>
        <w:tblW w:w="10574" w:type="dxa"/>
        <w:tblInd w:w="-509" w:type="dxa"/>
        <w:tblLayout w:type="fixed"/>
        <w:tblLook w:val="04A0" w:firstRow="1" w:lastRow="0" w:firstColumn="1" w:lastColumn="0" w:noHBand="0" w:noVBand="1"/>
      </w:tblPr>
      <w:tblGrid>
        <w:gridCol w:w="1927"/>
        <w:gridCol w:w="1559"/>
        <w:gridCol w:w="1559"/>
        <w:gridCol w:w="1134"/>
        <w:gridCol w:w="993"/>
        <w:gridCol w:w="1381"/>
        <w:gridCol w:w="2021"/>
      </w:tblGrid>
      <w:tr w:rsidR="00D101AA" w:rsidRPr="00E5273B" w:rsidTr="00E5273B">
        <w:trPr>
          <w:trHeight w:val="820"/>
        </w:trPr>
        <w:tc>
          <w:tcPr>
            <w:tcW w:w="10574" w:type="dxa"/>
            <w:gridSpan w:val="7"/>
            <w:tcBorders>
              <w:top w:val="nil"/>
              <w:left w:val="nil"/>
              <w:bottom w:val="single" w:sz="8" w:space="0" w:color="auto"/>
              <w:right w:val="nil"/>
            </w:tcBorders>
            <w:shd w:val="clear" w:color="000000" w:fill="FFFFFF"/>
          </w:tcPr>
          <w:p w:rsidR="00D101AA" w:rsidRPr="00E5273B" w:rsidRDefault="00D101AA" w:rsidP="00A95E29">
            <w:pPr>
              <w:spacing w:line="480" w:lineRule="auto"/>
              <w:rPr>
                <w:b/>
                <w:bCs/>
                <w:color w:val="000000"/>
                <w:sz w:val="21"/>
                <w:szCs w:val="21"/>
              </w:rPr>
            </w:pPr>
            <w:r w:rsidRPr="00E5273B">
              <w:rPr>
                <w:b/>
                <w:bCs/>
                <w:color w:val="000000"/>
                <w:sz w:val="21"/>
                <w:szCs w:val="21"/>
              </w:rPr>
              <w:lastRenderedPageBreak/>
              <w:t>Table 4: Median Fridericia corrected QT interval (QTcF), and proportion with abnormal ECG findings from baseline to last day of dosing among participants in the efavirenz- (N=158) and nevirapine- (N=60) based antiretroviral therapy groups</w:t>
            </w:r>
          </w:p>
        </w:tc>
      </w:tr>
      <w:tr w:rsidR="00D101AA" w:rsidRPr="00E5273B" w:rsidTr="00E5273B">
        <w:trPr>
          <w:trHeight w:val="1020"/>
        </w:trPr>
        <w:tc>
          <w:tcPr>
            <w:tcW w:w="1927" w:type="dxa"/>
            <w:tcBorders>
              <w:top w:val="single" w:sz="8" w:space="0" w:color="auto"/>
              <w:left w:val="nil"/>
              <w:bottom w:val="single" w:sz="8" w:space="0" w:color="auto"/>
              <w:right w:val="nil"/>
            </w:tcBorders>
            <w:shd w:val="clear" w:color="000000" w:fill="FFFFFF"/>
          </w:tcPr>
          <w:p w:rsidR="00D101AA" w:rsidRPr="00E5273B" w:rsidRDefault="00D101AA" w:rsidP="00A95E29">
            <w:pPr>
              <w:spacing w:line="480" w:lineRule="auto"/>
              <w:rPr>
                <w:color w:val="000000"/>
                <w:sz w:val="21"/>
                <w:szCs w:val="21"/>
              </w:rPr>
            </w:pPr>
            <w:r w:rsidRPr="00E5273B">
              <w:rPr>
                <w:color w:val="000000"/>
                <w:sz w:val="21"/>
                <w:szCs w:val="21"/>
              </w:rPr>
              <w:t> </w:t>
            </w:r>
          </w:p>
        </w:tc>
        <w:tc>
          <w:tcPr>
            <w:tcW w:w="3118" w:type="dxa"/>
            <w:gridSpan w:val="2"/>
            <w:tcBorders>
              <w:top w:val="single" w:sz="8" w:space="0" w:color="auto"/>
              <w:left w:val="nil"/>
              <w:bottom w:val="single" w:sz="8" w:space="0" w:color="auto"/>
              <w:right w:val="single" w:sz="4" w:space="0" w:color="000000"/>
            </w:tcBorders>
            <w:shd w:val="clear" w:color="000000" w:fill="FFFFFF"/>
          </w:tcPr>
          <w:p w:rsidR="00D101AA" w:rsidRPr="00E5273B" w:rsidRDefault="00D101AA" w:rsidP="00A95E29">
            <w:pPr>
              <w:spacing w:line="480" w:lineRule="auto"/>
              <w:rPr>
                <w:b/>
                <w:bCs/>
                <w:color w:val="000000"/>
                <w:sz w:val="21"/>
                <w:szCs w:val="21"/>
              </w:rPr>
            </w:pPr>
            <w:r w:rsidRPr="00E5273B">
              <w:rPr>
                <w:b/>
                <w:bCs/>
                <w:color w:val="000000"/>
                <w:sz w:val="21"/>
                <w:szCs w:val="21"/>
              </w:rPr>
              <w:t xml:space="preserve">Median (IQR) QTcF in msec </w:t>
            </w:r>
          </w:p>
        </w:tc>
        <w:tc>
          <w:tcPr>
            <w:tcW w:w="2127" w:type="dxa"/>
            <w:gridSpan w:val="2"/>
            <w:tcBorders>
              <w:top w:val="single" w:sz="8" w:space="0" w:color="auto"/>
              <w:left w:val="nil"/>
              <w:bottom w:val="single" w:sz="8" w:space="0" w:color="auto"/>
              <w:right w:val="single" w:sz="4" w:space="0" w:color="000000"/>
            </w:tcBorders>
            <w:shd w:val="clear" w:color="000000" w:fill="FFFFFF"/>
          </w:tcPr>
          <w:p w:rsidR="00D101AA" w:rsidRPr="00E5273B" w:rsidRDefault="00D101AA" w:rsidP="00A95E29">
            <w:pPr>
              <w:spacing w:line="480" w:lineRule="auto"/>
              <w:rPr>
                <w:b/>
                <w:bCs/>
                <w:color w:val="000000"/>
                <w:sz w:val="21"/>
                <w:szCs w:val="21"/>
              </w:rPr>
            </w:pPr>
            <w:r w:rsidRPr="00E5273B">
              <w:rPr>
                <w:b/>
                <w:bCs/>
                <w:color w:val="000000"/>
                <w:sz w:val="21"/>
                <w:szCs w:val="21"/>
              </w:rPr>
              <w:t>Proportion with QTcF ≥450 msec</w:t>
            </w:r>
          </w:p>
        </w:tc>
        <w:tc>
          <w:tcPr>
            <w:tcW w:w="3402" w:type="dxa"/>
            <w:gridSpan w:val="2"/>
            <w:tcBorders>
              <w:top w:val="single" w:sz="8" w:space="0" w:color="auto"/>
              <w:left w:val="nil"/>
              <w:bottom w:val="single" w:sz="8" w:space="0" w:color="auto"/>
              <w:right w:val="nil"/>
            </w:tcBorders>
            <w:shd w:val="clear" w:color="000000" w:fill="FFFFFF"/>
          </w:tcPr>
          <w:p w:rsidR="00D101AA" w:rsidRPr="00E5273B" w:rsidRDefault="00D101AA" w:rsidP="00A95E29">
            <w:pPr>
              <w:spacing w:line="480" w:lineRule="auto"/>
              <w:rPr>
                <w:b/>
                <w:bCs/>
                <w:color w:val="000000"/>
                <w:sz w:val="21"/>
                <w:szCs w:val="21"/>
              </w:rPr>
            </w:pPr>
            <w:r w:rsidRPr="00E5273B">
              <w:rPr>
                <w:b/>
                <w:bCs/>
                <w:color w:val="000000"/>
                <w:sz w:val="21"/>
                <w:szCs w:val="21"/>
              </w:rPr>
              <w:t>Proportion with QTcF change &gt;60 msec from baseline to last day of dosing on day 2 (taken within 2 hours of dosing)</w:t>
            </w:r>
            <w:r w:rsidRPr="00E5273B">
              <w:rPr>
                <w:b/>
                <w:bCs/>
                <w:color w:val="000000"/>
                <w:sz w:val="21"/>
                <w:szCs w:val="21"/>
                <w:vertAlign w:val="superscript"/>
              </w:rPr>
              <w:t>a</w:t>
            </w:r>
          </w:p>
        </w:tc>
      </w:tr>
      <w:tr w:rsidR="00E5273B" w:rsidRPr="00E5273B" w:rsidTr="00E5273B">
        <w:trPr>
          <w:trHeight w:val="540"/>
        </w:trPr>
        <w:tc>
          <w:tcPr>
            <w:tcW w:w="1927" w:type="dxa"/>
            <w:vMerge w:val="restart"/>
            <w:tcBorders>
              <w:top w:val="nil"/>
              <w:left w:val="nil"/>
              <w:right w:val="nil"/>
            </w:tcBorders>
            <w:shd w:val="clear" w:color="000000" w:fill="FFFFFF"/>
          </w:tcPr>
          <w:p w:rsidR="00D101AA" w:rsidRPr="00E5273B" w:rsidRDefault="00D101AA" w:rsidP="00A95E29">
            <w:pPr>
              <w:spacing w:line="480" w:lineRule="auto"/>
              <w:rPr>
                <w:b/>
                <w:bCs/>
                <w:color w:val="000000"/>
                <w:sz w:val="21"/>
                <w:szCs w:val="21"/>
              </w:rPr>
            </w:pPr>
            <w:r w:rsidRPr="00E5273B">
              <w:rPr>
                <w:b/>
                <w:bCs/>
                <w:color w:val="000000"/>
                <w:sz w:val="21"/>
                <w:szCs w:val="21"/>
              </w:rPr>
              <w:t>Time of ECG test</w:t>
            </w:r>
          </w:p>
          <w:p w:rsidR="00D101AA" w:rsidRPr="00E5273B" w:rsidRDefault="00D101AA" w:rsidP="00A95E29">
            <w:pPr>
              <w:spacing w:line="480" w:lineRule="auto"/>
              <w:rPr>
                <w:b/>
                <w:bCs/>
                <w:color w:val="000000"/>
                <w:sz w:val="21"/>
                <w:szCs w:val="21"/>
              </w:rPr>
            </w:pPr>
            <w:r w:rsidRPr="00E5273B">
              <w:rPr>
                <w:b/>
                <w:bCs/>
                <w:color w:val="000000"/>
                <w:sz w:val="21"/>
                <w:szCs w:val="21"/>
              </w:rPr>
              <w:t> </w:t>
            </w:r>
          </w:p>
        </w:tc>
        <w:tc>
          <w:tcPr>
            <w:tcW w:w="1559" w:type="dxa"/>
            <w:tcBorders>
              <w:top w:val="nil"/>
              <w:left w:val="single" w:sz="4" w:space="0" w:color="auto"/>
              <w:bottom w:val="single" w:sz="8" w:space="0" w:color="auto"/>
              <w:right w:val="single" w:sz="4" w:space="0" w:color="auto"/>
            </w:tcBorders>
            <w:shd w:val="clear" w:color="auto" w:fill="auto"/>
          </w:tcPr>
          <w:p w:rsidR="00D101AA" w:rsidRPr="00E5273B" w:rsidRDefault="00D101AA" w:rsidP="00A95E29">
            <w:pPr>
              <w:spacing w:line="480" w:lineRule="auto"/>
              <w:rPr>
                <w:b/>
                <w:bCs/>
                <w:color w:val="000000"/>
                <w:sz w:val="21"/>
                <w:szCs w:val="21"/>
              </w:rPr>
            </w:pPr>
            <w:r w:rsidRPr="00E5273B">
              <w:rPr>
                <w:b/>
                <w:bCs/>
                <w:color w:val="000000"/>
                <w:sz w:val="21"/>
                <w:szCs w:val="21"/>
              </w:rPr>
              <w:t>Efavirenz-</w:t>
            </w:r>
            <w:r w:rsidRPr="00E5273B">
              <w:rPr>
                <w:b/>
                <w:bCs/>
                <w:color w:val="000000"/>
                <w:sz w:val="21"/>
                <w:szCs w:val="21"/>
              </w:rPr>
              <w:br/>
              <w:t>based ART group</w:t>
            </w:r>
          </w:p>
        </w:tc>
        <w:tc>
          <w:tcPr>
            <w:tcW w:w="1559" w:type="dxa"/>
            <w:tcBorders>
              <w:top w:val="nil"/>
              <w:left w:val="nil"/>
              <w:bottom w:val="single" w:sz="8" w:space="0" w:color="auto"/>
              <w:right w:val="single" w:sz="4" w:space="0" w:color="auto"/>
            </w:tcBorders>
            <w:shd w:val="clear" w:color="auto" w:fill="auto"/>
          </w:tcPr>
          <w:p w:rsidR="00D101AA" w:rsidRPr="00E5273B" w:rsidRDefault="00D101AA" w:rsidP="00A95E29">
            <w:pPr>
              <w:spacing w:line="480" w:lineRule="auto"/>
              <w:rPr>
                <w:b/>
                <w:bCs/>
                <w:color w:val="000000"/>
                <w:sz w:val="21"/>
                <w:szCs w:val="21"/>
              </w:rPr>
            </w:pPr>
            <w:r w:rsidRPr="00E5273B">
              <w:rPr>
                <w:b/>
                <w:bCs/>
                <w:color w:val="000000"/>
                <w:sz w:val="21"/>
                <w:szCs w:val="21"/>
              </w:rPr>
              <w:t>Nevirapine-based ART group</w:t>
            </w:r>
          </w:p>
        </w:tc>
        <w:tc>
          <w:tcPr>
            <w:tcW w:w="1134" w:type="dxa"/>
            <w:tcBorders>
              <w:top w:val="nil"/>
              <w:left w:val="nil"/>
              <w:bottom w:val="single" w:sz="8" w:space="0" w:color="auto"/>
              <w:right w:val="single" w:sz="4" w:space="0" w:color="auto"/>
            </w:tcBorders>
            <w:shd w:val="clear" w:color="auto" w:fill="auto"/>
          </w:tcPr>
          <w:p w:rsidR="00D101AA" w:rsidRPr="00E5273B" w:rsidRDefault="00D101AA" w:rsidP="00A95E29">
            <w:pPr>
              <w:spacing w:line="480" w:lineRule="auto"/>
              <w:rPr>
                <w:b/>
                <w:bCs/>
                <w:color w:val="000000"/>
                <w:sz w:val="21"/>
                <w:szCs w:val="21"/>
              </w:rPr>
            </w:pPr>
            <w:r w:rsidRPr="00E5273B">
              <w:rPr>
                <w:b/>
                <w:bCs/>
                <w:color w:val="000000"/>
                <w:sz w:val="21"/>
                <w:szCs w:val="21"/>
              </w:rPr>
              <w:t>Efavirenz-</w:t>
            </w:r>
            <w:r w:rsidRPr="00E5273B">
              <w:rPr>
                <w:b/>
                <w:bCs/>
                <w:color w:val="000000"/>
                <w:sz w:val="21"/>
                <w:szCs w:val="21"/>
              </w:rPr>
              <w:br/>
              <w:t>based ART group</w:t>
            </w:r>
          </w:p>
        </w:tc>
        <w:tc>
          <w:tcPr>
            <w:tcW w:w="993" w:type="dxa"/>
            <w:tcBorders>
              <w:top w:val="nil"/>
              <w:left w:val="single" w:sz="4" w:space="0" w:color="auto"/>
              <w:bottom w:val="single" w:sz="8" w:space="0" w:color="auto"/>
              <w:right w:val="single" w:sz="4" w:space="0" w:color="auto"/>
            </w:tcBorders>
            <w:shd w:val="clear" w:color="auto" w:fill="auto"/>
          </w:tcPr>
          <w:p w:rsidR="00D101AA" w:rsidRPr="00E5273B" w:rsidRDefault="00D101AA" w:rsidP="00A95E29">
            <w:pPr>
              <w:spacing w:line="480" w:lineRule="auto"/>
              <w:rPr>
                <w:b/>
                <w:bCs/>
                <w:color w:val="000000"/>
                <w:sz w:val="21"/>
                <w:szCs w:val="21"/>
              </w:rPr>
            </w:pPr>
            <w:r w:rsidRPr="00E5273B">
              <w:rPr>
                <w:b/>
                <w:bCs/>
                <w:color w:val="000000"/>
                <w:sz w:val="21"/>
                <w:szCs w:val="21"/>
              </w:rPr>
              <w:t xml:space="preserve">Nevirapine-based ART group </w:t>
            </w:r>
          </w:p>
        </w:tc>
        <w:tc>
          <w:tcPr>
            <w:tcW w:w="1381" w:type="dxa"/>
            <w:tcBorders>
              <w:top w:val="single" w:sz="8" w:space="0" w:color="auto"/>
              <w:left w:val="single" w:sz="4" w:space="0" w:color="auto"/>
              <w:bottom w:val="single" w:sz="8" w:space="0" w:color="auto"/>
              <w:right w:val="single" w:sz="4" w:space="0" w:color="auto"/>
            </w:tcBorders>
            <w:shd w:val="clear" w:color="auto" w:fill="auto"/>
          </w:tcPr>
          <w:p w:rsidR="00D101AA" w:rsidRPr="00E5273B" w:rsidRDefault="00D101AA" w:rsidP="00A95E29">
            <w:pPr>
              <w:spacing w:line="480" w:lineRule="auto"/>
              <w:rPr>
                <w:b/>
                <w:bCs/>
                <w:color w:val="000000"/>
                <w:sz w:val="21"/>
                <w:szCs w:val="21"/>
              </w:rPr>
            </w:pPr>
            <w:r w:rsidRPr="00E5273B">
              <w:rPr>
                <w:b/>
                <w:bCs/>
                <w:color w:val="000000"/>
                <w:sz w:val="21"/>
                <w:szCs w:val="21"/>
              </w:rPr>
              <w:t>Efavirenz</w:t>
            </w:r>
            <w:r w:rsidRPr="00E5273B">
              <w:rPr>
                <w:b/>
                <w:bCs/>
                <w:color w:val="000000"/>
                <w:sz w:val="21"/>
                <w:szCs w:val="21"/>
                <w:vertAlign w:val="superscript"/>
              </w:rPr>
              <w:t>b</w:t>
            </w:r>
            <w:r w:rsidRPr="00E5273B">
              <w:rPr>
                <w:b/>
                <w:bCs/>
                <w:color w:val="000000"/>
                <w:sz w:val="21"/>
                <w:szCs w:val="21"/>
              </w:rPr>
              <w:t>-</w:t>
            </w:r>
            <w:r w:rsidRPr="00E5273B">
              <w:rPr>
                <w:b/>
                <w:bCs/>
                <w:color w:val="000000"/>
                <w:sz w:val="21"/>
                <w:szCs w:val="21"/>
              </w:rPr>
              <w:br/>
              <w:t>based ART group</w:t>
            </w:r>
          </w:p>
        </w:tc>
        <w:tc>
          <w:tcPr>
            <w:tcW w:w="2021" w:type="dxa"/>
            <w:tcBorders>
              <w:top w:val="nil"/>
              <w:left w:val="nil"/>
              <w:bottom w:val="single" w:sz="8" w:space="0" w:color="auto"/>
              <w:right w:val="nil"/>
            </w:tcBorders>
            <w:shd w:val="clear" w:color="auto" w:fill="auto"/>
          </w:tcPr>
          <w:p w:rsidR="00D101AA" w:rsidRPr="00E5273B" w:rsidRDefault="00D101AA" w:rsidP="00A95E29">
            <w:pPr>
              <w:spacing w:line="480" w:lineRule="auto"/>
              <w:rPr>
                <w:b/>
                <w:bCs/>
                <w:color w:val="000000"/>
                <w:sz w:val="21"/>
                <w:szCs w:val="21"/>
              </w:rPr>
            </w:pPr>
            <w:r w:rsidRPr="00E5273B">
              <w:rPr>
                <w:b/>
                <w:bCs/>
                <w:color w:val="000000"/>
                <w:sz w:val="21"/>
                <w:szCs w:val="21"/>
              </w:rPr>
              <w:t>Nevirapine</w:t>
            </w:r>
            <w:r w:rsidRPr="00E5273B">
              <w:rPr>
                <w:b/>
                <w:bCs/>
                <w:color w:val="000000"/>
                <w:sz w:val="21"/>
                <w:szCs w:val="21"/>
                <w:vertAlign w:val="superscript"/>
              </w:rPr>
              <w:t>b</w:t>
            </w:r>
            <w:r w:rsidRPr="00E5273B">
              <w:rPr>
                <w:b/>
                <w:bCs/>
                <w:color w:val="000000"/>
                <w:sz w:val="21"/>
                <w:szCs w:val="21"/>
              </w:rPr>
              <w:t>-based ART group</w:t>
            </w:r>
          </w:p>
        </w:tc>
      </w:tr>
      <w:tr w:rsidR="00E5273B" w:rsidRPr="00E5273B" w:rsidTr="00E5273B">
        <w:trPr>
          <w:trHeight w:val="320"/>
        </w:trPr>
        <w:tc>
          <w:tcPr>
            <w:tcW w:w="1927" w:type="dxa"/>
            <w:vMerge/>
            <w:tcBorders>
              <w:left w:val="nil"/>
              <w:bottom w:val="single" w:sz="4" w:space="0" w:color="auto"/>
              <w:right w:val="nil"/>
            </w:tcBorders>
            <w:shd w:val="clear" w:color="000000" w:fill="FFFFFF"/>
            <w:vAlign w:val="bottom"/>
          </w:tcPr>
          <w:p w:rsidR="00D101AA" w:rsidRPr="00E5273B" w:rsidRDefault="00D101AA" w:rsidP="00A95E29">
            <w:pPr>
              <w:spacing w:line="480" w:lineRule="auto"/>
              <w:rPr>
                <w:b/>
                <w:bCs/>
                <w:color w:val="000000"/>
                <w:sz w:val="21"/>
                <w:szCs w:val="21"/>
              </w:rPr>
            </w:pPr>
          </w:p>
        </w:tc>
        <w:tc>
          <w:tcPr>
            <w:tcW w:w="1559" w:type="dxa"/>
            <w:tcBorders>
              <w:top w:val="single" w:sz="8" w:space="0" w:color="auto"/>
              <w:left w:val="single" w:sz="4" w:space="0" w:color="auto"/>
              <w:bottom w:val="single" w:sz="4" w:space="0" w:color="auto"/>
              <w:right w:val="single" w:sz="4" w:space="0" w:color="auto"/>
            </w:tcBorders>
            <w:shd w:val="clear" w:color="auto" w:fill="auto"/>
            <w:noWrap/>
            <w:vAlign w:val="bottom"/>
          </w:tcPr>
          <w:p w:rsidR="00D101AA" w:rsidRPr="00E5273B" w:rsidRDefault="00D101AA" w:rsidP="00A95E29">
            <w:pPr>
              <w:spacing w:line="480" w:lineRule="auto"/>
              <w:rPr>
                <w:color w:val="000000"/>
                <w:sz w:val="21"/>
                <w:szCs w:val="21"/>
              </w:rPr>
            </w:pPr>
            <w:r w:rsidRPr="00E5273B">
              <w:rPr>
                <w:color w:val="000000"/>
                <w:sz w:val="21"/>
                <w:szCs w:val="21"/>
              </w:rPr>
              <w:t>NA</w:t>
            </w:r>
          </w:p>
        </w:tc>
        <w:tc>
          <w:tcPr>
            <w:tcW w:w="1559" w:type="dxa"/>
            <w:tcBorders>
              <w:top w:val="nil"/>
              <w:left w:val="nil"/>
              <w:bottom w:val="nil"/>
              <w:right w:val="nil"/>
            </w:tcBorders>
            <w:shd w:val="clear" w:color="auto" w:fill="auto"/>
            <w:noWrap/>
            <w:vAlign w:val="bottom"/>
          </w:tcPr>
          <w:p w:rsidR="00D101AA" w:rsidRPr="00E5273B" w:rsidRDefault="00D101AA" w:rsidP="00A95E29">
            <w:pPr>
              <w:spacing w:line="480" w:lineRule="auto"/>
              <w:rPr>
                <w:color w:val="000000"/>
                <w:sz w:val="21"/>
                <w:szCs w:val="21"/>
              </w:rPr>
            </w:pPr>
            <w:r w:rsidRPr="00E5273B">
              <w:rPr>
                <w:color w:val="000000"/>
                <w:sz w:val="21"/>
                <w:szCs w:val="21"/>
              </w:rPr>
              <w:t>NA</w:t>
            </w:r>
          </w:p>
        </w:tc>
        <w:tc>
          <w:tcPr>
            <w:tcW w:w="1134" w:type="dxa"/>
            <w:tcBorders>
              <w:top w:val="nil"/>
              <w:left w:val="single" w:sz="4" w:space="0" w:color="auto"/>
              <w:bottom w:val="nil"/>
              <w:right w:val="single" w:sz="4" w:space="0" w:color="auto"/>
            </w:tcBorders>
            <w:shd w:val="clear" w:color="auto" w:fill="auto"/>
            <w:noWrap/>
            <w:vAlign w:val="bottom"/>
          </w:tcPr>
          <w:p w:rsidR="00D101AA" w:rsidRPr="00E5273B" w:rsidRDefault="00D101AA" w:rsidP="00A95E29">
            <w:pPr>
              <w:spacing w:line="480" w:lineRule="auto"/>
              <w:rPr>
                <w:i/>
                <w:iCs/>
                <w:color w:val="000000"/>
                <w:sz w:val="21"/>
                <w:szCs w:val="21"/>
              </w:rPr>
            </w:pPr>
            <w:r w:rsidRPr="00E5273B">
              <w:rPr>
                <w:i/>
                <w:iCs/>
                <w:color w:val="000000"/>
                <w:sz w:val="21"/>
                <w:szCs w:val="21"/>
              </w:rPr>
              <w:t>n (%)</w:t>
            </w:r>
          </w:p>
        </w:tc>
        <w:tc>
          <w:tcPr>
            <w:tcW w:w="993" w:type="dxa"/>
            <w:tcBorders>
              <w:top w:val="nil"/>
              <w:left w:val="single" w:sz="4" w:space="0" w:color="auto"/>
              <w:bottom w:val="nil"/>
              <w:right w:val="single" w:sz="4" w:space="0" w:color="auto"/>
            </w:tcBorders>
            <w:shd w:val="clear" w:color="auto" w:fill="auto"/>
            <w:noWrap/>
            <w:vAlign w:val="bottom"/>
          </w:tcPr>
          <w:p w:rsidR="00D101AA" w:rsidRPr="00E5273B" w:rsidRDefault="00D101AA" w:rsidP="00A95E29">
            <w:pPr>
              <w:spacing w:line="480" w:lineRule="auto"/>
              <w:rPr>
                <w:i/>
                <w:iCs/>
                <w:color w:val="000000"/>
                <w:sz w:val="21"/>
                <w:szCs w:val="21"/>
              </w:rPr>
            </w:pPr>
            <w:r w:rsidRPr="00E5273B">
              <w:rPr>
                <w:i/>
                <w:iCs/>
                <w:color w:val="000000"/>
                <w:sz w:val="21"/>
                <w:szCs w:val="21"/>
              </w:rPr>
              <w:t>n (%)</w:t>
            </w:r>
          </w:p>
        </w:tc>
        <w:tc>
          <w:tcPr>
            <w:tcW w:w="1381" w:type="dxa"/>
            <w:tcBorders>
              <w:top w:val="nil"/>
              <w:left w:val="single" w:sz="4" w:space="0" w:color="auto"/>
              <w:bottom w:val="nil"/>
              <w:right w:val="single" w:sz="4" w:space="0" w:color="auto"/>
            </w:tcBorders>
            <w:shd w:val="clear" w:color="auto" w:fill="auto"/>
            <w:noWrap/>
            <w:vAlign w:val="bottom"/>
          </w:tcPr>
          <w:p w:rsidR="00D101AA" w:rsidRPr="00E5273B" w:rsidRDefault="00D101AA" w:rsidP="00A95E29">
            <w:pPr>
              <w:spacing w:line="480" w:lineRule="auto"/>
              <w:rPr>
                <w:i/>
                <w:iCs/>
                <w:color w:val="000000"/>
                <w:sz w:val="21"/>
                <w:szCs w:val="21"/>
              </w:rPr>
            </w:pPr>
            <w:r w:rsidRPr="00E5273B">
              <w:rPr>
                <w:i/>
                <w:iCs/>
                <w:color w:val="000000"/>
                <w:sz w:val="21"/>
                <w:szCs w:val="21"/>
              </w:rPr>
              <w:t>n (%)</w:t>
            </w:r>
          </w:p>
        </w:tc>
        <w:tc>
          <w:tcPr>
            <w:tcW w:w="2021" w:type="dxa"/>
            <w:tcBorders>
              <w:top w:val="nil"/>
              <w:left w:val="nil"/>
              <w:bottom w:val="nil"/>
              <w:right w:val="nil"/>
            </w:tcBorders>
            <w:shd w:val="clear" w:color="auto" w:fill="auto"/>
            <w:noWrap/>
            <w:vAlign w:val="bottom"/>
          </w:tcPr>
          <w:p w:rsidR="00D101AA" w:rsidRPr="00E5273B" w:rsidRDefault="00D101AA" w:rsidP="00A95E29">
            <w:pPr>
              <w:spacing w:line="480" w:lineRule="auto"/>
              <w:rPr>
                <w:i/>
                <w:iCs/>
                <w:color w:val="000000"/>
                <w:sz w:val="21"/>
                <w:szCs w:val="21"/>
              </w:rPr>
            </w:pPr>
            <w:r w:rsidRPr="00E5273B">
              <w:rPr>
                <w:i/>
                <w:iCs/>
                <w:color w:val="000000"/>
                <w:sz w:val="21"/>
                <w:szCs w:val="21"/>
              </w:rPr>
              <w:t>n (%)</w:t>
            </w:r>
          </w:p>
        </w:tc>
      </w:tr>
      <w:tr w:rsidR="00E5273B" w:rsidRPr="00E5273B" w:rsidTr="00E5273B">
        <w:trPr>
          <w:trHeight w:val="320"/>
        </w:trPr>
        <w:tc>
          <w:tcPr>
            <w:tcW w:w="1927" w:type="dxa"/>
            <w:tcBorders>
              <w:top w:val="nil"/>
              <w:left w:val="nil"/>
              <w:bottom w:val="nil"/>
              <w:right w:val="nil"/>
            </w:tcBorders>
            <w:shd w:val="clear" w:color="000000" w:fill="FFFFFF"/>
            <w:vAlign w:val="bottom"/>
          </w:tcPr>
          <w:p w:rsidR="00D101AA" w:rsidRPr="00E5273B" w:rsidRDefault="00D101AA" w:rsidP="00A95E29">
            <w:pPr>
              <w:spacing w:line="480" w:lineRule="auto"/>
              <w:ind w:firstLineChars="100" w:firstLine="210"/>
              <w:rPr>
                <w:color w:val="000000"/>
                <w:sz w:val="21"/>
                <w:szCs w:val="21"/>
              </w:rPr>
            </w:pPr>
            <w:r w:rsidRPr="00E5273B">
              <w:rPr>
                <w:color w:val="000000"/>
                <w:sz w:val="21"/>
                <w:szCs w:val="21"/>
              </w:rPr>
              <w:t>Day 0</w:t>
            </w:r>
          </w:p>
        </w:tc>
        <w:tc>
          <w:tcPr>
            <w:tcW w:w="1559" w:type="dxa"/>
            <w:tcBorders>
              <w:top w:val="nil"/>
              <w:left w:val="single" w:sz="4" w:space="0" w:color="auto"/>
              <w:bottom w:val="single" w:sz="4" w:space="0" w:color="auto"/>
              <w:right w:val="single" w:sz="4" w:space="0" w:color="auto"/>
            </w:tcBorders>
            <w:shd w:val="clear" w:color="auto" w:fill="auto"/>
            <w:vAlign w:val="center"/>
          </w:tcPr>
          <w:p w:rsidR="00D101AA" w:rsidRPr="00E5273B" w:rsidRDefault="00D101AA" w:rsidP="00A95E29">
            <w:pPr>
              <w:spacing w:line="480" w:lineRule="auto"/>
              <w:rPr>
                <w:color w:val="000000"/>
                <w:sz w:val="21"/>
                <w:szCs w:val="21"/>
              </w:rPr>
            </w:pPr>
            <w:r w:rsidRPr="00E5273B">
              <w:rPr>
                <w:color w:val="000000"/>
                <w:sz w:val="21"/>
                <w:szCs w:val="21"/>
              </w:rPr>
              <w:t>395 (360-418)</w:t>
            </w:r>
          </w:p>
        </w:tc>
        <w:tc>
          <w:tcPr>
            <w:tcW w:w="1559" w:type="dxa"/>
            <w:tcBorders>
              <w:top w:val="single" w:sz="4" w:space="0" w:color="auto"/>
              <w:left w:val="nil"/>
              <w:bottom w:val="single" w:sz="4" w:space="0" w:color="auto"/>
              <w:right w:val="nil"/>
            </w:tcBorders>
            <w:shd w:val="clear" w:color="auto" w:fill="auto"/>
            <w:vAlign w:val="center"/>
          </w:tcPr>
          <w:p w:rsidR="00D101AA" w:rsidRPr="00E5273B" w:rsidRDefault="00D101AA" w:rsidP="00A95E29">
            <w:pPr>
              <w:spacing w:line="480" w:lineRule="auto"/>
              <w:rPr>
                <w:color w:val="000000"/>
                <w:sz w:val="21"/>
                <w:szCs w:val="21"/>
              </w:rPr>
            </w:pPr>
            <w:r w:rsidRPr="00E5273B">
              <w:rPr>
                <w:color w:val="000000"/>
                <w:sz w:val="21"/>
                <w:szCs w:val="21"/>
              </w:rPr>
              <w:t>418 (390-438)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101AA" w:rsidRPr="00E5273B" w:rsidRDefault="00D101AA" w:rsidP="00A95E29">
            <w:pPr>
              <w:spacing w:line="480" w:lineRule="auto"/>
              <w:rPr>
                <w:color w:val="000000"/>
                <w:sz w:val="21"/>
                <w:szCs w:val="21"/>
              </w:rPr>
            </w:pPr>
            <w:r w:rsidRPr="00E5273B">
              <w:rPr>
                <w:color w:val="000000"/>
                <w:sz w:val="21"/>
                <w:szCs w:val="21"/>
              </w:rPr>
              <w:t>6 (3.8)</w:t>
            </w:r>
          </w:p>
        </w:tc>
        <w:tc>
          <w:tcPr>
            <w:tcW w:w="993" w:type="dxa"/>
            <w:tcBorders>
              <w:top w:val="single" w:sz="4" w:space="0" w:color="auto"/>
              <w:left w:val="nil"/>
              <w:bottom w:val="single" w:sz="4" w:space="0" w:color="auto"/>
              <w:right w:val="single" w:sz="4" w:space="0" w:color="auto"/>
            </w:tcBorders>
            <w:shd w:val="clear" w:color="auto" w:fill="auto"/>
            <w:vAlign w:val="center"/>
          </w:tcPr>
          <w:p w:rsidR="00D101AA" w:rsidRPr="00E5273B" w:rsidRDefault="00D101AA" w:rsidP="00A95E29">
            <w:pPr>
              <w:spacing w:line="480" w:lineRule="auto"/>
              <w:rPr>
                <w:color w:val="000000"/>
                <w:sz w:val="21"/>
                <w:szCs w:val="21"/>
              </w:rPr>
            </w:pPr>
            <w:r w:rsidRPr="00E5273B">
              <w:rPr>
                <w:color w:val="000000"/>
                <w:sz w:val="21"/>
                <w:szCs w:val="21"/>
              </w:rPr>
              <w:t>7 (11.8)</w:t>
            </w:r>
          </w:p>
        </w:tc>
        <w:tc>
          <w:tcPr>
            <w:tcW w:w="1381" w:type="dxa"/>
            <w:tcBorders>
              <w:top w:val="single" w:sz="4" w:space="0" w:color="auto"/>
              <w:left w:val="nil"/>
              <w:bottom w:val="single" w:sz="4" w:space="0" w:color="auto"/>
              <w:right w:val="single" w:sz="4" w:space="0" w:color="auto"/>
            </w:tcBorders>
            <w:shd w:val="clear" w:color="auto" w:fill="auto"/>
            <w:vAlign w:val="center"/>
          </w:tcPr>
          <w:p w:rsidR="00D101AA" w:rsidRPr="00E5273B" w:rsidRDefault="00D101AA" w:rsidP="00A95E29">
            <w:pPr>
              <w:spacing w:line="480" w:lineRule="auto"/>
              <w:rPr>
                <w:color w:val="000000"/>
                <w:sz w:val="21"/>
                <w:szCs w:val="21"/>
              </w:rPr>
            </w:pPr>
            <w:r w:rsidRPr="00E5273B">
              <w:rPr>
                <w:color w:val="000000"/>
                <w:sz w:val="21"/>
                <w:szCs w:val="21"/>
              </w:rPr>
              <w:t>NA</w:t>
            </w:r>
          </w:p>
        </w:tc>
        <w:tc>
          <w:tcPr>
            <w:tcW w:w="2021" w:type="dxa"/>
            <w:tcBorders>
              <w:top w:val="single" w:sz="4" w:space="0" w:color="auto"/>
              <w:left w:val="nil"/>
              <w:bottom w:val="single" w:sz="4" w:space="0" w:color="auto"/>
              <w:right w:val="nil"/>
            </w:tcBorders>
            <w:shd w:val="clear" w:color="auto" w:fill="auto"/>
            <w:vAlign w:val="center"/>
          </w:tcPr>
          <w:p w:rsidR="00D101AA" w:rsidRPr="00E5273B" w:rsidRDefault="00D101AA" w:rsidP="00A95E29">
            <w:pPr>
              <w:spacing w:line="480" w:lineRule="auto"/>
              <w:rPr>
                <w:color w:val="000000"/>
                <w:sz w:val="21"/>
                <w:szCs w:val="21"/>
              </w:rPr>
            </w:pPr>
            <w:r w:rsidRPr="00E5273B">
              <w:rPr>
                <w:color w:val="000000"/>
                <w:sz w:val="21"/>
                <w:szCs w:val="21"/>
              </w:rPr>
              <w:t>NA</w:t>
            </w:r>
          </w:p>
        </w:tc>
      </w:tr>
      <w:tr w:rsidR="00E5273B" w:rsidRPr="00E5273B" w:rsidTr="00E5273B">
        <w:trPr>
          <w:trHeight w:val="320"/>
        </w:trPr>
        <w:tc>
          <w:tcPr>
            <w:tcW w:w="1927" w:type="dxa"/>
            <w:tcBorders>
              <w:top w:val="single" w:sz="4" w:space="0" w:color="auto"/>
              <w:left w:val="nil"/>
              <w:bottom w:val="single" w:sz="4" w:space="0" w:color="auto"/>
              <w:right w:val="nil"/>
            </w:tcBorders>
            <w:shd w:val="clear" w:color="000000" w:fill="FFFFFF"/>
            <w:vAlign w:val="bottom"/>
          </w:tcPr>
          <w:p w:rsidR="00D101AA" w:rsidRPr="00E5273B" w:rsidRDefault="00D101AA" w:rsidP="00A95E29">
            <w:pPr>
              <w:spacing w:line="480" w:lineRule="auto"/>
              <w:ind w:firstLineChars="100" w:firstLine="210"/>
              <w:rPr>
                <w:color w:val="000000"/>
                <w:sz w:val="21"/>
                <w:szCs w:val="21"/>
              </w:rPr>
            </w:pPr>
            <w:r w:rsidRPr="00E5273B">
              <w:rPr>
                <w:color w:val="000000"/>
                <w:sz w:val="21"/>
                <w:szCs w:val="21"/>
              </w:rPr>
              <w:t>Day 1</w:t>
            </w: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D101AA" w:rsidRPr="00E5273B" w:rsidRDefault="00D101AA" w:rsidP="00A95E29">
            <w:pPr>
              <w:spacing w:line="480" w:lineRule="auto"/>
              <w:rPr>
                <w:color w:val="000000"/>
                <w:sz w:val="21"/>
                <w:szCs w:val="21"/>
              </w:rPr>
            </w:pPr>
            <w:r w:rsidRPr="00E5273B">
              <w:rPr>
                <w:color w:val="000000"/>
                <w:sz w:val="21"/>
                <w:szCs w:val="21"/>
              </w:rPr>
              <w:t>403 (383-423)</w:t>
            </w:r>
          </w:p>
        </w:tc>
        <w:tc>
          <w:tcPr>
            <w:tcW w:w="1559" w:type="dxa"/>
            <w:tcBorders>
              <w:top w:val="nil"/>
              <w:left w:val="nil"/>
              <w:bottom w:val="nil"/>
              <w:right w:val="nil"/>
            </w:tcBorders>
            <w:shd w:val="clear" w:color="auto" w:fill="auto"/>
            <w:noWrap/>
            <w:vAlign w:val="bottom"/>
          </w:tcPr>
          <w:p w:rsidR="00D101AA" w:rsidRPr="00E5273B" w:rsidRDefault="00D101AA" w:rsidP="00A95E29">
            <w:pPr>
              <w:spacing w:line="480" w:lineRule="auto"/>
              <w:rPr>
                <w:color w:val="000000"/>
                <w:sz w:val="21"/>
                <w:szCs w:val="21"/>
              </w:rPr>
            </w:pPr>
            <w:r w:rsidRPr="00E5273B">
              <w:rPr>
                <w:color w:val="000000"/>
                <w:sz w:val="21"/>
                <w:szCs w:val="21"/>
              </w:rPr>
              <w:t>418 (388-437)</w:t>
            </w:r>
          </w:p>
        </w:tc>
        <w:tc>
          <w:tcPr>
            <w:tcW w:w="1134" w:type="dxa"/>
            <w:tcBorders>
              <w:top w:val="nil"/>
              <w:left w:val="single" w:sz="4" w:space="0" w:color="auto"/>
              <w:bottom w:val="nil"/>
              <w:right w:val="single" w:sz="4" w:space="0" w:color="auto"/>
            </w:tcBorders>
            <w:shd w:val="clear" w:color="auto" w:fill="auto"/>
            <w:noWrap/>
            <w:vAlign w:val="bottom"/>
          </w:tcPr>
          <w:p w:rsidR="00D101AA" w:rsidRPr="00E5273B" w:rsidRDefault="00D101AA" w:rsidP="00A95E29">
            <w:pPr>
              <w:spacing w:line="480" w:lineRule="auto"/>
              <w:rPr>
                <w:color w:val="000000"/>
                <w:sz w:val="21"/>
                <w:szCs w:val="21"/>
              </w:rPr>
            </w:pPr>
            <w:r w:rsidRPr="00E5273B">
              <w:rPr>
                <w:color w:val="000000"/>
                <w:sz w:val="21"/>
                <w:szCs w:val="21"/>
              </w:rPr>
              <w:t>10 (6.3)</w:t>
            </w:r>
          </w:p>
        </w:tc>
        <w:tc>
          <w:tcPr>
            <w:tcW w:w="993" w:type="dxa"/>
            <w:tcBorders>
              <w:top w:val="nil"/>
              <w:left w:val="single" w:sz="4" w:space="0" w:color="auto"/>
              <w:bottom w:val="nil"/>
              <w:right w:val="single" w:sz="4" w:space="0" w:color="auto"/>
            </w:tcBorders>
            <w:shd w:val="clear" w:color="auto" w:fill="auto"/>
            <w:noWrap/>
            <w:vAlign w:val="bottom"/>
          </w:tcPr>
          <w:p w:rsidR="00D101AA" w:rsidRPr="00E5273B" w:rsidRDefault="00D101AA" w:rsidP="00A95E29">
            <w:pPr>
              <w:spacing w:line="480" w:lineRule="auto"/>
              <w:rPr>
                <w:color w:val="000000"/>
                <w:sz w:val="21"/>
                <w:szCs w:val="21"/>
              </w:rPr>
            </w:pPr>
            <w:r w:rsidRPr="00E5273B">
              <w:rPr>
                <w:color w:val="000000"/>
                <w:sz w:val="21"/>
                <w:szCs w:val="21"/>
              </w:rPr>
              <w:t>6 (10.0)</w:t>
            </w:r>
          </w:p>
        </w:tc>
        <w:tc>
          <w:tcPr>
            <w:tcW w:w="1381" w:type="dxa"/>
            <w:tcBorders>
              <w:top w:val="nil"/>
              <w:left w:val="single" w:sz="4" w:space="0" w:color="auto"/>
              <w:bottom w:val="single" w:sz="4" w:space="0" w:color="auto"/>
              <w:right w:val="single" w:sz="4" w:space="0" w:color="auto"/>
            </w:tcBorders>
            <w:shd w:val="clear" w:color="auto" w:fill="auto"/>
            <w:noWrap/>
            <w:vAlign w:val="bottom"/>
          </w:tcPr>
          <w:p w:rsidR="00D101AA" w:rsidRPr="00E5273B" w:rsidRDefault="00D101AA" w:rsidP="00A95E29">
            <w:pPr>
              <w:spacing w:line="480" w:lineRule="auto"/>
              <w:rPr>
                <w:color w:val="000000"/>
                <w:sz w:val="21"/>
                <w:szCs w:val="21"/>
              </w:rPr>
            </w:pPr>
            <w:r w:rsidRPr="00E5273B">
              <w:rPr>
                <w:color w:val="000000"/>
                <w:sz w:val="21"/>
                <w:szCs w:val="21"/>
              </w:rPr>
              <w:t>19 (12.3)</w:t>
            </w:r>
          </w:p>
        </w:tc>
        <w:tc>
          <w:tcPr>
            <w:tcW w:w="2021" w:type="dxa"/>
            <w:tcBorders>
              <w:top w:val="nil"/>
              <w:left w:val="nil"/>
              <w:bottom w:val="single" w:sz="4" w:space="0" w:color="auto"/>
              <w:right w:val="nil"/>
            </w:tcBorders>
            <w:shd w:val="clear" w:color="auto" w:fill="auto"/>
            <w:noWrap/>
            <w:vAlign w:val="bottom"/>
          </w:tcPr>
          <w:p w:rsidR="00D101AA" w:rsidRPr="00E5273B" w:rsidRDefault="00D101AA" w:rsidP="00A95E29">
            <w:pPr>
              <w:spacing w:line="480" w:lineRule="auto"/>
              <w:rPr>
                <w:color w:val="000000"/>
                <w:sz w:val="21"/>
                <w:szCs w:val="21"/>
              </w:rPr>
            </w:pPr>
            <w:r w:rsidRPr="00E5273B">
              <w:rPr>
                <w:color w:val="000000"/>
                <w:sz w:val="21"/>
                <w:szCs w:val="21"/>
              </w:rPr>
              <w:t>1 (1.7)</w:t>
            </w:r>
          </w:p>
        </w:tc>
      </w:tr>
      <w:tr w:rsidR="00E5273B" w:rsidRPr="00E5273B" w:rsidTr="00E5273B">
        <w:trPr>
          <w:trHeight w:val="320"/>
        </w:trPr>
        <w:tc>
          <w:tcPr>
            <w:tcW w:w="1927" w:type="dxa"/>
            <w:tcBorders>
              <w:top w:val="nil"/>
              <w:left w:val="nil"/>
              <w:bottom w:val="nil"/>
              <w:right w:val="nil"/>
            </w:tcBorders>
            <w:shd w:val="clear" w:color="000000" w:fill="FFFFFF"/>
            <w:vAlign w:val="bottom"/>
          </w:tcPr>
          <w:p w:rsidR="00D101AA" w:rsidRPr="00E5273B" w:rsidRDefault="00D101AA" w:rsidP="00A95E29">
            <w:pPr>
              <w:spacing w:line="480" w:lineRule="auto"/>
              <w:ind w:firstLineChars="100" w:firstLine="210"/>
              <w:rPr>
                <w:color w:val="000000"/>
                <w:sz w:val="21"/>
                <w:szCs w:val="21"/>
              </w:rPr>
            </w:pPr>
            <w:r w:rsidRPr="00E5273B">
              <w:rPr>
                <w:color w:val="000000"/>
                <w:sz w:val="21"/>
                <w:szCs w:val="21"/>
              </w:rPr>
              <w:t xml:space="preserve">Day 2 </w:t>
            </w:r>
          </w:p>
        </w:tc>
        <w:tc>
          <w:tcPr>
            <w:tcW w:w="1559" w:type="dxa"/>
            <w:tcBorders>
              <w:top w:val="nil"/>
              <w:left w:val="single" w:sz="4" w:space="0" w:color="auto"/>
              <w:bottom w:val="nil"/>
              <w:right w:val="single" w:sz="4" w:space="0" w:color="auto"/>
            </w:tcBorders>
            <w:shd w:val="clear" w:color="auto" w:fill="auto"/>
            <w:noWrap/>
            <w:vAlign w:val="bottom"/>
          </w:tcPr>
          <w:p w:rsidR="00D101AA" w:rsidRPr="00E5273B" w:rsidRDefault="00D101AA" w:rsidP="00A95E29">
            <w:pPr>
              <w:spacing w:line="480" w:lineRule="auto"/>
              <w:rPr>
                <w:color w:val="000000"/>
                <w:sz w:val="21"/>
                <w:szCs w:val="21"/>
              </w:rPr>
            </w:pPr>
            <w:r w:rsidRPr="00E5273B">
              <w:rPr>
                <w:color w:val="000000"/>
                <w:sz w:val="21"/>
                <w:szCs w:val="21"/>
              </w:rPr>
              <w:t>424 (408-442)</w:t>
            </w:r>
          </w:p>
        </w:tc>
        <w:tc>
          <w:tcPr>
            <w:tcW w:w="1559" w:type="dxa"/>
            <w:tcBorders>
              <w:top w:val="single" w:sz="4" w:space="0" w:color="auto"/>
              <w:left w:val="nil"/>
              <w:bottom w:val="single" w:sz="4" w:space="0" w:color="auto"/>
              <w:right w:val="nil"/>
            </w:tcBorders>
            <w:shd w:val="clear" w:color="auto" w:fill="auto"/>
            <w:noWrap/>
            <w:vAlign w:val="bottom"/>
          </w:tcPr>
          <w:p w:rsidR="00D101AA" w:rsidRPr="00E5273B" w:rsidRDefault="00D101AA" w:rsidP="00A95E29">
            <w:pPr>
              <w:spacing w:line="480" w:lineRule="auto"/>
              <w:rPr>
                <w:color w:val="000000"/>
                <w:sz w:val="21"/>
                <w:szCs w:val="21"/>
              </w:rPr>
            </w:pPr>
            <w:r w:rsidRPr="00E5273B">
              <w:rPr>
                <w:color w:val="000000"/>
                <w:sz w:val="21"/>
                <w:szCs w:val="21"/>
              </w:rPr>
              <w:t>434 (414-459)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101AA" w:rsidRPr="00E5273B" w:rsidRDefault="00D101AA" w:rsidP="00A95E29">
            <w:pPr>
              <w:spacing w:line="480" w:lineRule="auto"/>
              <w:rPr>
                <w:color w:val="000000"/>
                <w:sz w:val="21"/>
                <w:szCs w:val="21"/>
              </w:rPr>
            </w:pPr>
            <w:r w:rsidRPr="00E5273B">
              <w:rPr>
                <w:color w:val="000000"/>
                <w:sz w:val="21"/>
                <w:szCs w:val="21"/>
              </w:rPr>
              <w:t>29 (18.4)</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D101AA" w:rsidRPr="00E5273B" w:rsidRDefault="00D101AA" w:rsidP="00A95E29">
            <w:pPr>
              <w:spacing w:line="480" w:lineRule="auto"/>
              <w:rPr>
                <w:color w:val="000000"/>
                <w:sz w:val="21"/>
                <w:szCs w:val="21"/>
              </w:rPr>
            </w:pPr>
            <w:r w:rsidRPr="00E5273B">
              <w:rPr>
                <w:color w:val="000000"/>
                <w:sz w:val="21"/>
                <w:szCs w:val="21"/>
              </w:rPr>
              <w:t>21 (35.0)</w:t>
            </w:r>
          </w:p>
        </w:tc>
        <w:tc>
          <w:tcPr>
            <w:tcW w:w="1381" w:type="dxa"/>
            <w:tcBorders>
              <w:top w:val="nil"/>
              <w:left w:val="nil"/>
              <w:bottom w:val="nil"/>
              <w:right w:val="single" w:sz="4" w:space="0" w:color="auto"/>
            </w:tcBorders>
            <w:shd w:val="clear" w:color="auto" w:fill="auto"/>
            <w:noWrap/>
            <w:vAlign w:val="bottom"/>
          </w:tcPr>
          <w:p w:rsidR="00D101AA" w:rsidRPr="00E5273B" w:rsidRDefault="00D101AA" w:rsidP="00A95E29">
            <w:pPr>
              <w:spacing w:line="480" w:lineRule="auto"/>
              <w:rPr>
                <w:color w:val="000000"/>
                <w:sz w:val="21"/>
                <w:szCs w:val="21"/>
              </w:rPr>
            </w:pPr>
            <w:r w:rsidRPr="00E5273B">
              <w:rPr>
                <w:color w:val="000000"/>
                <w:sz w:val="21"/>
                <w:szCs w:val="21"/>
              </w:rPr>
              <w:t>48 (31.2)</w:t>
            </w:r>
          </w:p>
        </w:tc>
        <w:tc>
          <w:tcPr>
            <w:tcW w:w="2021" w:type="dxa"/>
            <w:tcBorders>
              <w:top w:val="nil"/>
              <w:left w:val="nil"/>
              <w:bottom w:val="nil"/>
              <w:right w:val="nil"/>
            </w:tcBorders>
            <w:shd w:val="clear" w:color="auto" w:fill="auto"/>
            <w:noWrap/>
            <w:vAlign w:val="bottom"/>
          </w:tcPr>
          <w:p w:rsidR="00D101AA" w:rsidRPr="00E5273B" w:rsidRDefault="00D101AA" w:rsidP="00A95E29">
            <w:pPr>
              <w:spacing w:line="480" w:lineRule="auto"/>
              <w:rPr>
                <w:color w:val="000000"/>
                <w:sz w:val="21"/>
                <w:szCs w:val="21"/>
              </w:rPr>
            </w:pPr>
            <w:r w:rsidRPr="00E5273B">
              <w:rPr>
                <w:color w:val="000000"/>
                <w:sz w:val="21"/>
                <w:szCs w:val="21"/>
              </w:rPr>
              <w:t>8 (13.3)</w:t>
            </w:r>
          </w:p>
        </w:tc>
      </w:tr>
      <w:tr w:rsidR="00E5273B" w:rsidRPr="00E5273B" w:rsidTr="00E5273B">
        <w:trPr>
          <w:trHeight w:val="500"/>
        </w:trPr>
        <w:tc>
          <w:tcPr>
            <w:tcW w:w="1927" w:type="dxa"/>
            <w:tcBorders>
              <w:top w:val="single" w:sz="4" w:space="0" w:color="auto"/>
              <w:left w:val="nil"/>
              <w:bottom w:val="single" w:sz="8" w:space="0" w:color="auto"/>
              <w:right w:val="nil"/>
            </w:tcBorders>
            <w:shd w:val="clear" w:color="000000" w:fill="FFFFFF"/>
          </w:tcPr>
          <w:p w:rsidR="00D101AA" w:rsidRPr="00E5273B" w:rsidRDefault="00D101AA" w:rsidP="00A95E29">
            <w:pPr>
              <w:spacing w:line="480" w:lineRule="auto"/>
              <w:ind w:firstLineChars="100" w:firstLine="210"/>
              <w:rPr>
                <w:color w:val="000000"/>
                <w:sz w:val="21"/>
                <w:szCs w:val="21"/>
              </w:rPr>
            </w:pPr>
            <w:r w:rsidRPr="00E5273B">
              <w:rPr>
                <w:color w:val="000000"/>
                <w:sz w:val="21"/>
                <w:szCs w:val="21"/>
              </w:rPr>
              <w:t xml:space="preserve">Follow up visit   </w:t>
            </w:r>
          </w:p>
          <w:p w:rsidR="00D101AA" w:rsidRPr="00E5273B" w:rsidRDefault="00D101AA" w:rsidP="00A95E29">
            <w:pPr>
              <w:spacing w:line="480" w:lineRule="auto"/>
              <w:ind w:firstLineChars="100" w:firstLine="210"/>
              <w:rPr>
                <w:color w:val="000000"/>
                <w:sz w:val="21"/>
                <w:szCs w:val="21"/>
              </w:rPr>
            </w:pPr>
            <w:r w:rsidRPr="00E5273B">
              <w:rPr>
                <w:color w:val="000000"/>
                <w:sz w:val="21"/>
                <w:szCs w:val="21"/>
              </w:rPr>
              <w:t xml:space="preserve">after day 2 (day </w:t>
            </w:r>
          </w:p>
          <w:p w:rsidR="00D101AA" w:rsidRPr="00E5273B" w:rsidRDefault="00D101AA" w:rsidP="00A95E29">
            <w:pPr>
              <w:spacing w:line="480" w:lineRule="auto"/>
              <w:ind w:firstLineChars="100" w:firstLine="210"/>
              <w:rPr>
                <w:color w:val="000000"/>
                <w:sz w:val="21"/>
                <w:szCs w:val="21"/>
              </w:rPr>
            </w:pPr>
            <w:r w:rsidRPr="00E5273B">
              <w:rPr>
                <w:color w:val="000000"/>
                <w:sz w:val="21"/>
                <w:szCs w:val="21"/>
              </w:rPr>
              <w:t xml:space="preserve">7 or 14 of follow </w:t>
            </w:r>
          </w:p>
          <w:p w:rsidR="00D101AA" w:rsidRPr="00E5273B" w:rsidRDefault="00D101AA" w:rsidP="00A95E29">
            <w:pPr>
              <w:spacing w:line="480" w:lineRule="auto"/>
              <w:ind w:firstLineChars="100" w:firstLine="210"/>
              <w:rPr>
                <w:color w:val="000000"/>
                <w:sz w:val="21"/>
                <w:szCs w:val="21"/>
              </w:rPr>
            </w:pPr>
            <w:r w:rsidRPr="00E5273B">
              <w:rPr>
                <w:color w:val="000000"/>
                <w:sz w:val="21"/>
                <w:szCs w:val="21"/>
              </w:rPr>
              <w:t>up)</w:t>
            </w:r>
          </w:p>
        </w:tc>
        <w:tc>
          <w:tcPr>
            <w:tcW w:w="1559" w:type="dxa"/>
            <w:tcBorders>
              <w:top w:val="single" w:sz="4" w:space="0" w:color="auto"/>
              <w:left w:val="single" w:sz="4" w:space="0" w:color="auto"/>
              <w:bottom w:val="single" w:sz="8" w:space="0" w:color="auto"/>
              <w:right w:val="single" w:sz="4" w:space="0" w:color="auto"/>
            </w:tcBorders>
            <w:shd w:val="clear" w:color="auto" w:fill="auto"/>
            <w:noWrap/>
          </w:tcPr>
          <w:p w:rsidR="00D101AA" w:rsidRPr="00E5273B" w:rsidRDefault="00D101AA" w:rsidP="00A95E29">
            <w:pPr>
              <w:spacing w:line="480" w:lineRule="auto"/>
              <w:rPr>
                <w:color w:val="000000"/>
                <w:sz w:val="21"/>
                <w:szCs w:val="21"/>
              </w:rPr>
            </w:pPr>
            <w:r w:rsidRPr="00E5273B">
              <w:rPr>
                <w:color w:val="000000"/>
                <w:sz w:val="21"/>
                <w:szCs w:val="21"/>
              </w:rPr>
              <w:t>410 (384-436)</w:t>
            </w:r>
          </w:p>
        </w:tc>
        <w:tc>
          <w:tcPr>
            <w:tcW w:w="1559" w:type="dxa"/>
            <w:tcBorders>
              <w:top w:val="nil"/>
              <w:left w:val="nil"/>
              <w:bottom w:val="single" w:sz="8" w:space="0" w:color="auto"/>
              <w:right w:val="nil"/>
            </w:tcBorders>
            <w:shd w:val="clear" w:color="auto" w:fill="auto"/>
            <w:noWrap/>
          </w:tcPr>
          <w:p w:rsidR="00D101AA" w:rsidRPr="00E5273B" w:rsidRDefault="00D101AA" w:rsidP="00A95E29">
            <w:pPr>
              <w:spacing w:line="480" w:lineRule="auto"/>
              <w:rPr>
                <w:color w:val="000000"/>
                <w:sz w:val="21"/>
                <w:szCs w:val="21"/>
              </w:rPr>
            </w:pPr>
            <w:r w:rsidRPr="00E5273B">
              <w:rPr>
                <w:color w:val="000000"/>
                <w:sz w:val="21"/>
                <w:szCs w:val="21"/>
              </w:rPr>
              <w:t>424 (402-437)</w:t>
            </w:r>
          </w:p>
        </w:tc>
        <w:tc>
          <w:tcPr>
            <w:tcW w:w="1134" w:type="dxa"/>
            <w:tcBorders>
              <w:top w:val="nil"/>
              <w:left w:val="single" w:sz="4" w:space="0" w:color="auto"/>
              <w:bottom w:val="single" w:sz="8" w:space="0" w:color="auto"/>
              <w:right w:val="single" w:sz="4" w:space="0" w:color="auto"/>
            </w:tcBorders>
            <w:shd w:val="clear" w:color="auto" w:fill="auto"/>
            <w:noWrap/>
          </w:tcPr>
          <w:p w:rsidR="00D101AA" w:rsidRPr="00E5273B" w:rsidRDefault="00D101AA" w:rsidP="00A95E29">
            <w:pPr>
              <w:spacing w:line="480" w:lineRule="auto"/>
              <w:rPr>
                <w:color w:val="000000"/>
                <w:sz w:val="21"/>
                <w:szCs w:val="21"/>
              </w:rPr>
            </w:pPr>
            <w:r w:rsidRPr="00E5273B">
              <w:rPr>
                <w:color w:val="000000"/>
                <w:sz w:val="21"/>
                <w:szCs w:val="21"/>
              </w:rPr>
              <w:t>0</w:t>
            </w:r>
          </w:p>
        </w:tc>
        <w:tc>
          <w:tcPr>
            <w:tcW w:w="993" w:type="dxa"/>
            <w:tcBorders>
              <w:top w:val="nil"/>
              <w:left w:val="single" w:sz="4" w:space="0" w:color="auto"/>
              <w:bottom w:val="single" w:sz="8" w:space="0" w:color="auto"/>
              <w:right w:val="single" w:sz="4" w:space="0" w:color="auto"/>
            </w:tcBorders>
            <w:shd w:val="clear" w:color="auto" w:fill="auto"/>
            <w:noWrap/>
          </w:tcPr>
          <w:p w:rsidR="00D101AA" w:rsidRPr="00E5273B" w:rsidRDefault="00D101AA" w:rsidP="00A95E29">
            <w:pPr>
              <w:spacing w:line="480" w:lineRule="auto"/>
              <w:rPr>
                <w:color w:val="000000"/>
                <w:sz w:val="21"/>
                <w:szCs w:val="21"/>
              </w:rPr>
            </w:pPr>
            <w:r w:rsidRPr="00E5273B">
              <w:rPr>
                <w:color w:val="000000"/>
                <w:sz w:val="21"/>
                <w:szCs w:val="21"/>
              </w:rPr>
              <w:t>0</w:t>
            </w:r>
          </w:p>
        </w:tc>
        <w:tc>
          <w:tcPr>
            <w:tcW w:w="1381" w:type="dxa"/>
            <w:tcBorders>
              <w:top w:val="single" w:sz="4" w:space="0" w:color="auto"/>
              <w:left w:val="nil"/>
              <w:bottom w:val="single" w:sz="8" w:space="0" w:color="auto"/>
              <w:right w:val="single" w:sz="4" w:space="0" w:color="auto"/>
            </w:tcBorders>
            <w:shd w:val="clear" w:color="auto" w:fill="auto"/>
            <w:noWrap/>
          </w:tcPr>
          <w:p w:rsidR="00D101AA" w:rsidRPr="00E5273B" w:rsidRDefault="00D101AA" w:rsidP="00A95E29">
            <w:pPr>
              <w:spacing w:line="480" w:lineRule="auto"/>
              <w:rPr>
                <w:color w:val="000000"/>
                <w:sz w:val="21"/>
                <w:szCs w:val="21"/>
              </w:rPr>
            </w:pPr>
            <w:r w:rsidRPr="00E5273B">
              <w:rPr>
                <w:color w:val="000000"/>
                <w:sz w:val="21"/>
                <w:szCs w:val="21"/>
              </w:rPr>
              <w:t>NA</w:t>
            </w:r>
          </w:p>
        </w:tc>
        <w:tc>
          <w:tcPr>
            <w:tcW w:w="2021" w:type="dxa"/>
            <w:tcBorders>
              <w:top w:val="single" w:sz="4" w:space="0" w:color="auto"/>
              <w:left w:val="nil"/>
              <w:bottom w:val="single" w:sz="8" w:space="0" w:color="auto"/>
              <w:right w:val="nil"/>
            </w:tcBorders>
            <w:shd w:val="clear" w:color="auto" w:fill="auto"/>
            <w:noWrap/>
          </w:tcPr>
          <w:p w:rsidR="00D101AA" w:rsidRPr="00E5273B" w:rsidRDefault="00D101AA" w:rsidP="00A95E29">
            <w:pPr>
              <w:spacing w:line="480" w:lineRule="auto"/>
              <w:rPr>
                <w:color w:val="000000"/>
                <w:sz w:val="21"/>
                <w:szCs w:val="21"/>
              </w:rPr>
            </w:pPr>
            <w:r w:rsidRPr="00E5273B">
              <w:rPr>
                <w:color w:val="000000"/>
                <w:sz w:val="21"/>
                <w:szCs w:val="21"/>
              </w:rPr>
              <w:t>NA</w:t>
            </w:r>
          </w:p>
        </w:tc>
      </w:tr>
      <w:tr w:rsidR="00D101AA" w:rsidRPr="00E5273B" w:rsidTr="00E5273B">
        <w:trPr>
          <w:trHeight w:val="240"/>
        </w:trPr>
        <w:tc>
          <w:tcPr>
            <w:tcW w:w="10574" w:type="dxa"/>
            <w:gridSpan w:val="7"/>
            <w:tcBorders>
              <w:top w:val="single" w:sz="8" w:space="0" w:color="auto"/>
              <w:left w:val="nil"/>
              <w:bottom w:val="nil"/>
              <w:right w:val="nil"/>
            </w:tcBorders>
            <w:shd w:val="clear" w:color="000000" w:fill="FFFFFF"/>
          </w:tcPr>
          <w:p w:rsidR="00D101AA" w:rsidRPr="00E5273B" w:rsidRDefault="00D101AA" w:rsidP="00A95E29">
            <w:pPr>
              <w:spacing w:line="480" w:lineRule="auto"/>
              <w:rPr>
                <w:color w:val="000000"/>
                <w:sz w:val="21"/>
                <w:szCs w:val="21"/>
              </w:rPr>
            </w:pPr>
            <w:r w:rsidRPr="00E5273B">
              <w:rPr>
                <w:color w:val="000000"/>
                <w:sz w:val="21"/>
                <w:szCs w:val="21"/>
              </w:rPr>
              <w:t xml:space="preserve">IQR: interquartile range; ECG: Electrocardiogram; ART: antiretroviral drug </w:t>
            </w:r>
          </w:p>
          <w:p w:rsidR="00D101AA" w:rsidRPr="00E5273B" w:rsidRDefault="00D101AA" w:rsidP="00A95E29">
            <w:pPr>
              <w:spacing w:line="480" w:lineRule="auto"/>
              <w:rPr>
                <w:color w:val="000000"/>
                <w:sz w:val="21"/>
                <w:szCs w:val="21"/>
              </w:rPr>
            </w:pPr>
            <w:r w:rsidRPr="00E5273B">
              <w:rPr>
                <w:color w:val="000000"/>
                <w:sz w:val="21"/>
                <w:szCs w:val="21"/>
                <w:vertAlign w:val="superscript"/>
              </w:rPr>
              <w:t>a</w:t>
            </w:r>
            <w:r w:rsidRPr="00E5273B">
              <w:rPr>
                <w:color w:val="000000"/>
                <w:sz w:val="21"/>
                <w:szCs w:val="21"/>
              </w:rPr>
              <w:t>Adverse event of special interest</w:t>
            </w:r>
          </w:p>
        </w:tc>
      </w:tr>
      <w:tr w:rsidR="00D101AA" w:rsidRPr="00E5273B" w:rsidTr="00E5273B">
        <w:trPr>
          <w:trHeight w:val="300"/>
        </w:trPr>
        <w:tc>
          <w:tcPr>
            <w:tcW w:w="10574" w:type="dxa"/>
            <w:gridSpan w:val="7"/>
            <w:tcBorders>
              <w:top w:val="nil"/>
              <w:left w:val="nil"/>
              <w:bottom w:val="nil"/>
              <w:right w:val="nil"/>
            </w:tcBorders>
            <w:shd w:val="clear" w:color="000000" w:fill="FFFFFF"/>
          </w:tcPr>
          <w:p w:rsidR="00D101AA" w:rsidRPr="00E5273B" w:rsidRDefault="00D101AA" w:rsidP="00A95E29">
            <w:pPr>
              <w:spacing w:line="480" w:lineRule="auto"/>
              <w:rPr>
                <w:color w:val="000000"/>
                <w:sz w:val="21"/>
                <w:szCs w:val="21"/>
              </w:rPr>
            </w:pPr>
            <w:r w:rsidRPr="00E5273B">
              <w:rPr>
                <w:color w:val="000000"/>
                <w:sz w:val="21"/>
                <w:szCs w:val="21"/>
                <w:vertAlign w:val="superscript"/>
              </w:rPr>
              <w:t>b</w:t>
            </w:r>
            <w:r w:rsidRPr="00E5273B">
              <w:rPr>
                <w:color w:val="000000"/>
                <w:sz w:val="21"/>
                <w:szCs w:val="21"/>
              </w:rPr>
              <w:t xml:space="preserve">N=154 in Efavirenz group and 60 in the Nevirapine group </w:t>
            </w:r>
          </w:p>
          <w:p w:rsidR="00D101AA" w:rsidRPr="00E5273B" w:rsidRDefault="00D101AA" w:rsidP="00A95E29">
            <w:pPr>
              <w:spacing w:line="480" w:lineRule="auto"/>
              <w:rPr>
                <w:color w:val="000000"/>
                <w:sz w:val="21"/>
                <w:szCs w:val="21"/>
              </w:rPr>
            </w:pPr>
            <w:r w:rsidRPr="00E5273B">
              <w:rPr>
                <w:color w:val="000000"/>
                <w:sz w:val="21"/>
                <w:szCs w:val="21"/>
              </w:rPr>
              <w:t xml:space="preserve">NA: Not applicable </w:t>
            </w:r>
          </w:p>
          <w:p w:rsidR="00D101AA" w:rsidRPr="00E5273B" w:rsidRDefault="00D101AA" w:rsidP="00A95E29">
            <w:pPr>
              <w:spacing w:line="480" w:lineRule="auto"/>
              <w:rPr>
                <w:color w:val="000000"/>
                <w:sz w:val="21"/>
                <w:szCs w:val="21"/>
              </w:rPr>
            </w:pPr>
          </w:p>
        </w:tc>
      </w:tr>
    </w:tbl>
    <w:p w:rsidR="00D101AA" w:rsidRPr="00A95E29" w:rsidRDefault="00D101AA" w:rsidP="00A95E29">
      <w:pPr>
        <w:suppressLineNumbers/>
        <w:spacing w:line="480" w:lineRule="auto"/>
      </w:pPr>
      <w:bookmarkStart w:id="0" w:name="_GoBack"/>
      <w:bookmarkEnd w:id="0"/>
    </w:p>
    <w:sectPr w:rsidR="00D101AA" w:rsidRPr="00A95E29" w:rsidSect="00F61482">
      <w:pgSz w:w="12240" w:h="15840"/>
      <w:pgMar w:top="1440" w:right="1800" w:bottom="1440" w:left="180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0B9D" w:rsidRDefault="00430B9D" w:rsidP="00B015EA">
      <w:r>
        <w:separator/>
      </w:r>
    </w:p>
  </w:endnote>
  <w:endnote w:type="continuationSeparator" w:id="0">
    <w:p w:rsidR="00430B9D" w:rsidRDefault="00430B9D" w:rsidP="00B01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tling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notTrueType/>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PortagoITC TT">
    <w:altName w:val="Calibri"/>
    <w:panose1 w:val="020B0604020202020204"/>
    <w:charset w:val="00"/>
    <w:family w:val="auto"/>
    <w:pitch w:val="variable"/>
    <w:sig w:usb0="00000003" w:usb1="00000000" w:usb2="00000000" w:usb3="00000000" w:csb0="00000001" w:csb1="00000000"/>
  </w:font>
  <w:font w:name="STIXGeneral-Regular">
    <w:panose1 w:val="00000000000000000000"/>
    <w:charset w:val="00"/>
    <w:family w:val="auto"/>
    <w:pitch w:val="variable"/>
    <w:sig w:usb0="00000003" w:usb1="00000000" w:usb2="00000000" w:usb3="00000000" w:csb0="00000001" w:csb1="00000000"/>
  </w:font>
  <w:font w:name="Palatino">
    <w:panose1 w:val="00000000000000000000"/>
    <w:charset w:val="4D"/>
    <w:family w:val="auto"/>
    <w:pitch w:val="variable"/>
    <w:sig w:usb0="A00002FF" w:usb1="7800205A" w:usb2="14600000" w:usb3="00000000" w:csb0="00000193" w:csb1="00000000"/>
  </w:font>
  <w:font w:name="PT Sans">
    <w:panose1 w:val="020B0503020203020204"/>
    <w:charset w:val="4D"/>
    <w:family w:val="swiss"/>
    <w:pitch w:val="variable"/>
    <w:sig w:usb0="A00002EF" w:usb1="5000204B"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Calibri">
    <w:altName w:val="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761" w:rsidRDefault="00204761" w:rsidP="00F2792B">
    <w:pPr>
      <w:pStyle w:val="Footer"/>
      <w:framePr w:wrap="none" w:vAnchor="text" w:hAnchor="margin" w:xAlign="right" w:y="1"/>
      <w:rPr>
        <w:rStyle w:val="PageNumber"/>
        <w:rFonts w:ascii="Times New Roman" w:hAnsi="Times New Roman" w:cs="Times New Roman"/>
        <w:lang w:val="en-GB"/>
      </w:rPr>
    </w:pPr>
    <w:r>
      <w:rPr>
        <w:rStyle w:val="PageNumber"/>
      </w:rPr>
      <w:fldChar w:fldCharType="begin"/>
    </w:r>
    <w:r>
      <w:rPr>
        <w:rStyle w:val="PageNumber"/>
      </w:rPr>
      <w:instrText xml:space="preserve">PAGE  </w:instrText>
    </w:r>
    <w:r>
      <w:rPr>
        <w:rStyle w:val="PageNumber"/>
      </w:rPr>
      <w:fldChar w:fldCharType="end"/>
    </w:r>
  </w:p>
  <w:p w:rsidR="00204761" w:rsidRDefault="00204761" w:rsidP="00F279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761" w:rsidRDefault="00204761" w:rsidP="00F2792B">
    <w:pPr>
      <w:pStyle w:val="Footer"/>
      <w:framePr w:wrap="none" w:vAnchor="text" w:hAnchor="margin" w:xAlign="right" w:y="1"/>
      <w:rPr>
        <w:rStyle w:val="PageNumber"/>
        <w:rFonts w:ascii="Times New Roman" w:hAnsi="Times New Roman" w:cs="Times New Roman"/>
        <w:lang w:val="en-GB"/>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04761" w:rsidRDefault="00204761" w:rsidP="00F2792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0B9D" w:rsidRDefault="00430B9D" w:rsidP="00B015EA">
      <w:r>
        <w:separator/>
      </w:r>
    </w:p>
  </w:footnote>
  <w:footnote w:type="continuationSeparator" w:id="0">
    <w:p w:rsidR="00430B9D" w:rsidRDefault="00430B9D" w:rsidP="00B015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F657E"/>
    <w:multiLevelType w:val="hybridMultilevel"/>
    <w:tmpl w:val="9AC02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9326DD"/>
    <w:multiLevelType w:val="hybridMultilevel"/>
    <w:tmpl w:val="BB64891C"/>
    <w:lvl w:ilvl="0" w:tplc="30090017">
      <w:start w:val="1"/>
      <w:numFmt w:val="lowerLetter"/>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15:restartNumberingAfterBreak="0">
    <w:nsid w:val="20E8145A"/>
    <w:multiLevelType w:val="hybridMultilevel"/>
    <w:tmpl w:val="F29E2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CA7406"/>
    <w:multiLevelType w:val="hybridMultilevel"/>
    <w:tmpl w:val="C9B00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D85F21"/>
    <w:multiLevelType w:val="hybridMultilevel"/>
    <w:tmpl w:val="FC2A8E72"/>
    <w:lvl w:ilvl="0" w:tplc="8EF82572">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B2D0C13"/>
    <w:multiLevelType w:val="hybridMultilevel"/>
    <w:tmpl w:val="AD9A5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363155"/>
    <w:multiLevelType w:val="hybridMultilevel"/>
    <w:tmpl w:val="8D7EB42E"/>
    <w:lvl w:ilvl="0" w:tplc="AC7A3C04">
      <w:start w:val="1"/>
      <w:numFmt w:val="bullet"/>
      <w:lvlText w:val=""/>
      <w:lvlJc w:val="left"/>
      <w:pPr>
        <w:tabs>
          <w:tab w:val="num" w:pos="1080"/>
        </w:tabs>
        <w:ind w:left="1080" w:hanging="360"/>
      </w:pPr>
      <w:rPr>
        <w:rFonts w:ascii="Symbol" w:hAnsi="Symbol" w:hint="default"/>
        <w:color w:val="auto"/>
        <w:sz w:val="20"/>
        <w:szCs w:val="20"/>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3565206C"/>
    <w:multiLevelType w:val="hybridMultilevel"/>
    <w:tmpl w:val="E918F0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870669F"/>
    <w:multiLevelType w:val="hybridMultilevel"/>
    <w:tmpl w:val="3E9C499A"/>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9" w15:restartNumberingAfterBreak="0">
    <w:nsid w:val="4C521B7A"/>
    <w:multiLevelType w:val="hybridMultilevel"/>
    <w:tmpl w:val="BB64891C"/>
    <w:lvl w:ilvl="0" w:tplc="30090017">
      <w:start w:val="1"/>
      <w:numFmt w:val="lowerLetter"/>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0" w15:restartNumberingAfterBreak="0">
    <w:nsid w:val="56C761C6"/>
    <w:multiLevelType w:val="hybridMultilevel"/>
    <w:tmpl w:val="8764A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347034"/>
    <w:multiLevelType w:val="hybridMultilevel"/>
    <w:tmpl w:val="6F4AE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C485FDC"/>
    <w:multiLevelType w:val="hybridMultilevel"/>
    <w:tmpl w:val="9CBC44FE"/>
    <w:lvl w:ilvl="0" w:tplc="8EF82572">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6DF0630A"/>
    <w:multiLevelType w:val="hybridMultilevel"/>
    <w:tmpl w:val="7ADE1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847B74"/>
    <w:multiLevelType w:val="hybridMultilevel"/>
    <w:tmpl w:val="9AC02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C06B5E"/>
    <w:multiLevelType w:val="hybridMultilevel"/>
    <w:tmpl w:val="7BE6A262"/>
    <w:lvl w:ilvl="0" w:tplc="3009000F">
      <w:start w:val="1"/>
      <w:numFmt w:val="decimal"/>
      <w:lvlText w:val="%1."/>
      <w:lvlJc w:val="left"/>
      <w:pPr>
        <w:ind w:left="720" w:hanging="360"/>
      </w:pPr>
    </w:lvl>
    <w:lvl w:ilvl="1" w:tplc="30090019">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6" w15:restartNumberingAfterBreak="0">
    <w:nsid w:val="7F053DFD"/>
    <w:multiLevelType w:val="hybridMultilevel"/>
    <w:tmpl w:val="C0DC27E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1"/>
  </w:num>
  <w:num w:numId="2">
    <w:abstractNumId w:val="7"/>
  </w:num>
  <w:num w:numId="3">
    <w:abstractNumId w:val="9"/>
  </w:num>
  <w:num w:numId="4">
    <w:abstractNumId w:val="1"/>
  </w:num>
  <w:num w:numId="5">
    <w:abstractNumId w:val="15"/>
  </w:num>
  <w:num w:numId="6">
    <w:abstractNumId w:val="8"/>
  </w:num>
  <w:num w:numId="7">
    <w:abstractNumId w:val="12"/>
  </w:num>
  <w:num w:numId="8">
    <w:abstractNumId w:val="4"/>
  </w:num>
  <w:num w:numId="9">
    <w:abstractNumId w:val="16"/>
  </w:num>
  <w:num w:numId="10">
    <w:abstractNumId w:val="6"/>
  </w:num>
  <w:num w:numId="11">
    <w:abstractNumId w:val="10"/>
  </w:num>
  <w:num w:numId="12">
    <w:abstractNumId w:val="5"/>
  </w:num>
  <w:num w:numId="13">
    <w:abstractNumId w:val="0"/>
  </w:num>
  <w:num w:numId="14">
    <w:abstractNumId w:val="14"/>
  </w:num>
  <w:num w:numId="15">
    <w:abstractNumId w:val="3"/>
  </w:num>
  <w:num w:numId="16">
    <w:abstractNumId w:val="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removePersonalInformation/>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95axpaxrwsvzne2wr8xpvx1txpa2zt59wfe&quot;&gt;My EndNote Library&lt;record-ids&gt;&lt;item&gt;329&lt;/item&gt;&lt;/record-ids&gt;&lt;/item&gt;&lt;/Libraries&gt;"/>
  </w:docVars>
  <w:rsids>
    <w:rsidRoot w:val="00D169CB"/>
    <w:rsid w:val="00010CCE"/>
    <w:rsid w:val="00011585"/>
    <w:rsid w:val="00011938"/>
    <w:rsid w:val="0001225F"/>
    <w:rsid w:val="00014B84"/>
    <w:rsid w:val="00016E03"/>
    <w:rsid w:val="0001735D"/>
    <w:rsid w:val="00017F90"/>
    <w:rsid w:val="000253BF"/>
    <w:rsid w:val="000271D9"/>
    <w:rsid w:val="000276F5"/>
    <w:rsid w:val="00027EA1"/>
    <w:rsid w:val="00027F37"/>
    <w:rsid w:val="0003237C"/>
    <w:rsid w:val="00034C77"/>
    <w:rsid w:val="0004061D"/>
    <w:rsid w:val="00041917"/>
    <w:rsid w:val="00041FA2"/>
    <w:rsid w:val="0004261A"/>
    <w:rsid w:val="00044557"/>
    <w:rsid w:val="00044A19"/>
    <w:rsid w:val="00044BFD"/>
    <w:rsid w:val="00045711"/>
    <w:rsid w:val="00046C95"/>
    <w:rsid w:val="00050C94"/>
    <w:rsid w:val="00052E0F"/>
    <w:rsid w:val="00053185"/>
    <w:rsid w:val="00053A84"/>
    <w:rsid w:val="00055CD6"/>
    <w:rsid w:val="00060239"/>
    <w:rsid w:val="00061B8C"/>
    <w:rsid w:val="00061DE4"/>
    <w:rsid w:val="00062F1E"/>
    <w:rsid w:val="00067C5B"/>
    <w:rsid w:val="00070139"/>
    <w:rsid w:val="0007187C"/>
    <w:rsid w:val="00071CC1"/>
    <w:rsid w:val="00076862"/>
    <w:rsid w:val="00077987"/>
    <w:rsid w:val="0008135C"/>
    <w:rsid w:val="00081D2F"/>
    <w:rsid w:val="00083061"/>
    <w:rsid w:val="00084191"/>
    <w:rsid w:val="0008623B"/>
    <w:rsid w:val="0008719F"/>
    <w:rsid w:val="0009047E"/>
    <w:rsid w:val="00090907"/>
    <w:rsid w:val="00096474"/>
    <w:rsid w:val="000A183A"/>
    <w:rsid w:val="000A3069"/>
    <w:rsid w:val="000A32A9"/>
    <w:rsid w:val="000A4938"/>
    <w:rsid w:val="000A554D"/>
    <w:rsid w:val="000A706C"/>
    <w:rsid w:val="000A727F"/>
    <w:rsid w:val="000A7936"/>
    <w:rsid w:val="000B04FF"/>
    <w:rsid w:val="000B0740"/>
    <w:rsid w:val="000B0A80"/>
    <w:rsid w:val="000B2CD6"/>
    <w:rsid w:val="000B30D4"/>
    <w:rsid w:val="000B3EC7"/>
    <w:rsid w:val="000B466E"/>
    <w:rsid w:val="000B4CD6"/>
    <w:rsid w:val="000B52C0"/>
    <w:rsid w:val="000B7398"/>
    <w:rsid w:val="000B73EF"/>
    <w:rsid w:val="000C20F5"/>
    <w:rsid w:val="000C2477"/>
    <w:rsid w:val="000C3C23"/>
    <w:rsid w:val="000C60E6"/>
    <w:rsid w:val="000D0700"/>
    <w:rsid w:val="000D2DD7"/>
    <w:rsid w:val="000D3F2D"/>
    <w:rsid w:val="000D432F"/>
    <w:rsid w:val="000D6CF9"/>
    <w:rsid w:val="000E0AF3"/>
    <w:rsid w:val="000E2B40"/>
    <w:rsid w:val="000E3526"/>
    <w:rsid w:val="000E49C6"/>
    <w:rsid w:val="000E4ACE"/>
    <w:rsid w:val="000E5821"/>
    <w:rsid w:val="000E69BC"/>
    <w:rsid w:val="000F40A6"/>
    <w:rsid w:val="000F5147"/>
    <w:rsid w:val="000F52DA"/>
    <w:rsid w:val="000F56D5"/>
    <w:rsid w:val="000F59A6"/>
    <w:rsid w:val="000F6CFF"/>
    <w:rsid w:val="000F7423"/>
    <w:rsid w:val="00101024"/>
    <w:rsid w:val="00105854"/>
    <w:rsid w:val="00105F3D"/>
    <w:rsid w:val="00107029"/>
    <w:rsid w:val="00107F1A"/>
    <w:rsid w:val="00111644"/>
    <w:rsid w:val="00112733"/>
    <w:rsid w:val="00115E30"/>
    <w:rsid w:val="00115F3E"/>
    <w:rsid w:val="00116355"/>
    <w:rsid w:val="0011680A"/>
    <w:rsid w:val="00116FFA"/>
    <w:rsid w:val="00120225"/>
    <w:rsid w:val="00120632"/>
    <w:rsid w:val="00123DA3"/>
    <w:rsid w:val="0012675D"/>
    <w:rsid w:val="001268ED"/>
    <w:rsid w:val="00127671"/>
    <w:rsid w:val="00130CDB"/>
    <w:rsid w:val="001322A5"/>
    <w:rsid w:val="001325A0"/>
    <w:rsid w:val="00132AB3"/>
    <w:rsid w:val="00133065"/>
    <w:rsid w:val="00133605"/>
    <w:rsid w:val="001342F2"/>
    <w:rsid w:val="00134432"/>
    <w:rsid w:val="0013515F"/>
    <w:rsid w:val="00137238"/>
    <w:rsid w:val="00140716"/>
    <w:rsid w:val="00140783"/>
    <w:rsid w:val="00143F3D"/>
    <w:rsid w:val="001479A2"/>
    <w:rsid w:val="001501FB"/>
    <w:rsid w:val="00151F74"/>
    <w:rsid w:val="001527AF"/>
    <w:rsid w:val="00152A2D"/>
    <w:rsid w:val="00153607"/>
    <w:rsid w:val="001547AC"/>
    <w:rsid w:val="00156724"/>
    <w:rsid w:val="001569C7"/>
    <w:rsid w:val="00160EC8"/>
    <w:rsid w:val="00160FC6"/>
    <w:rsid w:val="00162321"/>
    <w:rsid w:val="001636E2"/>
    <w:rsid w:val="00165298"/>
    <w:rsid w:val="00170853"/>
    <w:rsid w:val="00173870"/>
    <w:rsid w:val="001756C1"/>
    <w:rsid w:val="0018263A"/>
    <w:rsid w:val="00187C11"/>
    <w:rsid w:val="00187E62"/>
    <w:rsid w:val="0019199B"/>
    <w:rsid w:val="00193F40"/>
    <w:rsid w:val="00197F2C"/>
    <w:rsid w:val="001A5CDA"/>
    <w:rsid w:val="001A5EE1"/>
    <w:rsid w:val="001A604F"/>
    <w:rsid w:val="001A6A05"/>
    <w:rsid w:val="001A70B2"/>
    <w:rsid w:val="001B06AD"/>
    <w:rsid w:val="001B26F0"/>
    <w:rsid w:val="001B6EF8"/>
    <w:rsid w:val="001B7952"/>
    <w:rsid w:val="001C1458"/>
    <w:rsid w:val="001C14F9"/>
    <w:rsid w:val="001D06A7"/>
    <w:rsid w:val="001D0986"/>
    <w:rsid w:val="001D0CAD"/>
    <w:rsid w:val="001D12A1"/>
    <w:rsid w:val="001D1C0A"/>
    <w:rsid w:val="001D20D5"/>
    <w:rsid w:val="001D233F"/>
    <w:rsid w:val="001D2A4E"/>
    <w:rsid w:val="001D5764"/>
    <w:rsid w:val="001D5CFF"/>
    <w:rsid w:val="001D5FC5"/>
    <w:rsid w:val="001D622F"/>
    <w:rsid w:val="001D6460"/>
    <w:rsid w:val="001E0B68"/>
    <w:rsid w:val="001E6B91"/>
    <w:rsid w:val="001F0968"/>
    <w:rsid w:val="001F0D96"/>
    <w:rsid w:val="001F505E"/>
    <w:rsid w:val="001F6477"/>
    <w:rsid w:val="00200A8F"/>
    <w:rsid w:val="002041CC"/>
    <w:rsid w:val="00204761"/>
    <w:rsid w:val="00204FE0"/>
    <w:rsid w:val="00206AB6"/>
    <w:rsid w:val="00206B4C"/>
    <w:rsid w:val="00207802"/>
    <w:rsid w:val="00207ACA"/>
    <w:rsid w:val="0021151C"/>
    <w:rsid w:val="0021168B"/>
    <w:rsid w:val="00211EE1"/>
    <w:rsid w:val="00213A67"/>
    <w:rsid w:val="00223857"/>
    <w:rsid w:val="0022630F"/>
    <w:rsid w:val="002273A3"/>
    <w:rsid w:val="0023055C"/>
    <w:rsid w:val="0023105E"/>
    <w:rsid w:val="0023106B"/>
    <w:rsid w:val="00232645"/>
    <w:rsid w:val="00234D2E"/>
    <w:rsid w:val="0023543A"/>
    <w:rsid w:val="00241E7A"/>
    <w:rsid w:val="002427DA"/>
    <w:rsid w:val="002458EA"/>
    <w:rsid w:val="00245ADF"/>
    <w:rsid w:val="002462FA"/>
    <w:rsid w:val="00247900"/>
    <w:rsid w:val="00251B5D"/>
    <w:rsid w:val="00252689"/>
    <w:rsid w:val="002536EC"/>
    <w:rsid w:val="00260062"/>
    <w:rsid w:val="002605F2"/>
    <w:rsid w:val="002610F6"/>
    <w:rsid w:val="00262FE2"/>
    <w:rsid w:val="00263534"/>
    <w:rsid w:val="002636B0"/>
    <w:rsid w:val="002654BA"/>
    <w:rsid w:val="002658D1"/>
    <w:rsid w:val="002660DB"/>
    <w:rsid w:val="00267E00"/>
    <w:rsid w:val="00272442"/>
    <w:rsid w:val="0027253B"/>
    <w:rsid w:val="00272C7B"/>
    <w:rsid w:val="00273A14"/>
    <w:rsid w:val="00274257"/>
    <w:rsid w:val="002751D7"/>
    <w:rsid w:val="002758B6"/>
    <w:rsid w:val="00275C7D"/>
    <w:rsid w:val="0027629D"/>
    <w:rsid w:val="00276BF0"/>
    <w:rsid w:val="002801BD"/>
    <w:rsid w:val="0028168D"/>
    <w:rsid w:val="0028215C"/>
    <w:rsid w:val="002840A8"/>
    <w:rsid w:val="002846B0"/>
    <w:rsid w:val="00284D00"/>
    <w:rsid w:val="002866F1"/>
    <w:rsid w:val="00287BCC"/>
    <w:rsid w:val="00287C04"/>
    <w:rsid w:val="00292DC6"/>
    <w:rsid w:val="002937DE"/>
    <w:rsid w:val="002944DB"/>
    <w:rsid w:val="0029514A"/>
    <w:rsid w:val="002A5618"/>
    <w:rsid w:val="002A6749"/>
    <w:rsid w:val="002B43E7"/>
    <w:rsid w:val="002B53F5"/>
    <w:rsid w:val="002B56D9"/>
    <w:rsid w:val="002C0C01"/>
    <w:rsid w:val="002C0F5F"/>
    <w:rsid w:val="002C1C7F"/>
    <w:rsid w:val="002C217F"/>
    <w:rsid w:val="002C2F0F"/>
    <w:rsid w:val="002C4012"/>
    <w:rsid w:val="002C425C"/>
    <w:rsid w:val="002C42E5"/>
    <w:rsid w:val="002C729C"/>
    <w:rsid w:val="002D0B42"/>
    <w:rsid w:val="002D1328"/>
    <w:rsid w:val="002D31F3"/>
    <w:rsid w:val="002D43A6"/>
    <w:rsid w:val="002D4790"/>
    <w:rsid w:val="002D50F5"/>
    <w:rsid w:val="002E1091"/>
    <w:rsid w:val="002E18CE"/>
    <w:rsid w:val="002E24CD"/>
    <w:rsid w:val="002E314F"/>
    <w:rsid w:val="002E33AA"/>
    <w:rsid w:val="002E3796"/>
    <w:rsid w:val="002F1006"/>
    <w:rsid w:val="002F180E"/>
    <w:rsid w:val="002F1A0C"/>
    <w:rsid w:val="002F7363"/>
    <w:rsid w:val="003002B3"/>
    <w:rsid w:val="00300D0C"/>
    <w:rsid w:val="00301E2B"/>
    <w:rsid w:val="00302901"/>
    <w:rsid w:val="00302FFE"/>
    <w:rsid w:val="00303391"/>
    <w:rsid w:val="00303A0F"/>
    <w:rsid w:val="003049A3"/>
    <w:rsid w:val="00305BDA"/>
    <w:rsid w:val="003067D1"/>
    <w:rsid w:val="00310D06"/>
    <w:rsid w:val="0031168A"/>
    <w:rsid w:val="003119D0"/>
    <w:rsid w:val="003136D8"/>
    <w:rsid w:val="00313D5D"/>
    <w:rsid w:val="00314759"/>
    <w:rsid w:val="00314EAA"/>
    <w:rsid w:val="003153FF"/>
    <w:rsid w:val="00317AE3"/>
    <w:rsid w:val="00320F98"/>
    <w:rsid w:val="003232F7"/>
    <w:rsid w:val="00324666"/>
    <w:rsid w:val="00326877"/>
    <w:rsid w:val="00326E0D"/>
    <w:rsid w:val="0033156A"/>
    <w:rsid w:val="00332B8A"/>
    <w:rsid w:val="00332E83"/>
    <w:rsid w:val="00334A2F"/>
    <w:rsid w:val="003406ED"/>
    <w:rsid w:val="00340C5F"/>
    <w:rsid w:val="00341774"/>
    <w:rsid w:val="00341F2B"/>
    <w:rsid w:val="00346977"/>
    <w:rsid w:val="003476D0"/>
    <w:rsid w:val="00347BB4"/>
    <w:rsid w:val="00350300"/>
    <w:rsid w:val="003521D2"/>
    <w:rsid w:val="003522ED"/>
    <w:rsid w:val="00354D95"/>
    <w:rsid w:val="0035781C"/>
    <w:rsid w:val="00361937"/>
    <w:rsid w:val="00362518"/>
    <w:rsid w:val="00366F2A"/>
    <w:rsid w:val="00371C6D"/>
    <w:rsid w:val="0037365A"/>
    <w:rsid w:val="00375486"/>
    <w:rsid w:val="00375E36"/>
    <w:rsid w:val="003804B5"/>
    <w:rsid w:val="00380C96"/>
    <w:rsid w:val="0038214B"/>
    <w:rsid w:val="00384BCC"/>
    <w:rsid w:val="00393BC7"/>
    <w:rsid w:val="00395310"/>
    <w:rsid w:val="003964B8"/>
    <w:rsid w:val="003964E8"/>
    <w:rsid w:val="003A0541"/>
    <w:rsid w:val="003A0892"/>
    <w:rsid w:val="003A7630"/>
    <w:rsid w:val="003A7C69"/>
    <w:rsid w:val="003B03E2"/>
    <w:rsid w:val="003B0884"/>
    <w:rsid w:val="003B106C"/>
    <w:rsid w:val="003B132E"/>
    <w:rsid w:val="003B1789"/>
    <w:rsid w:val="003B280E"/>
    <w:rsid w:val="003B33C9"/>
    <w:rsid w:val="003B43B0"/>
    <w:rsid w:val="003B5710"/>
    <w:rsid w:val="003C2BA5"/>
    <w:rsid w:val="003C30C4"/>
    <w:rsid w:val="003C3300"/>
    <w:rsid w:val="003C3936"/>
    <w:rsid w:val="003C6774"/>
    <w:rsid w:val="003D2122"/>
    <w:rsid w:val="003D53D6"/>
    <w:rsid w:val="003D5A52"/>
    <w:rsid w:val="003D6162"/>
    <w:rsid w:val="003D6943"/>
    <w:rsid w:val="003D726A"/>
    <w:rsid w:val="003D7C46"/>
    <w:rsid w:val="003E032E"/>
    <w:rsid w:val="003E1AB7"/>
    <w:rsid w:val="003E3BAF"/>
    <w:rsid w:val="003E3BC3"/>
    <w:rsid w:val="003E55CE"/>
    <w:rsid w:val="003E7101"/>
    <w:rsid w:val="003E74CE"/>
    <w:rsid w:val="003F06E6"/>
    <w:rsid w:val="003F1BBA"/>
    <w:rsid w:val="003F293B"/>
    <w:rsid w:val="003F3F21"/>
    <w:rsid w:val="003F5C36"/>
    <w:rsid w:val="003F70E9"/>
    <w:rsid w:val="00403266"/>
    <w:rsid w:val="0040343C"/>
    <w:rsid w:val="00404B80"/>
    <w:rsid w:val="00405296"/>
    <w:rsid w:val="004066C8"/>
    <w:rsid w:val="004109CB"/>
    <w:rsid w:val="004116E6"/>
    <w:rsid w:val="00412C4B"/>
    <w:rsid w:val="00412D26"/>
    <w:rsid w:val="00413379"/>
    <w:rsid w:val="00413610"/>
    <w:rsid w:val="004141D1"/>
    <w:rsid w:val="004148CE"/>
    <w:rsid w:val="00417180"/>
    <w:rsid w:val="004222A3"/>
    <w:rsid w:val="00422552"/>
    <w:rsid w:val="0042381F"/>
    <w:rsid w:val="00426970"/>
    <w:rsid w:val="00427928"/>
    <w:rsid w:val="00430B9D"/>
    <w:rsid w:val="00431773"/>
    <w:rsid w:val="00432216"/>
    <w:rsid w:val="00432C52"/>
    <w:rsid w:val="00434C61"/>
    <w:rsid w:val="00434D67"/>
    <w:rsid w:val="00435939"/>
    <w:rsid w:val="004359D8"/>
    <w:rsid w:val="00437F18"/>
    <w:rsid w:val="0044099E"/>
    <w:rsid w:val="004410D0"/>
    <w:rsid w:val="00441D75"/>
    <w:rsid w:val="00441F73"/>
    <w:rsid w:val="0044243A"/>
    <w:rsid w:val="00442E2F"/>
    <w:rsid w:val="00444D4D"/>
    <w:rsid w:val="00445560"/>
    <w:rsid w:val="004456E5"/>
    <w:rsid w:val="0044578C"/>
    <w:rsid w:val="00445E3B"/>
    <w:rsid w:val="00445F0F"/>
    <w:rsid w:val="00446493"/>
    <w:rsid w:val="00451756"/>
    <w:rsid w:val="004529C3"/>
    <w:rsid w:val="00452C9B"/>
    <w:rsid w:val="004536C8"/>
    <w:rsid w:val="004550C4"/>
    <w:rsid w:val="0045519A"/>
    <w:rsid w:val="004578D5"/>
    <w:rsid w:val="004603C9"/>
    <w:rsid w:val="0046162C"/>
    <w:rsid w:val="00466102"/>
    <w:rsid w:val="00467992"/>
    <w:rsid w:val="00470959"/>
    <w:rsid w:val="00471C3B"/>
    <w:rsid w:val="004726F6"/>
    <w:rsid w:val="00472F71"/>
    <w:rsid w:val="00474824"/>
    <w:rsid w:val="004805D6"/>
    <w:rsid w:val="0048545F"/>
    <w:rsid w:val="0048618B"/>
    <w:rsid w:val="00486695"/>
    <w:rsid w:val="00486C24"/>
    <w:rsid w:val="0049157D"/>
    <w:rsid w:val="00492E10"/>
    <w:rsid w:val="00495ABC"/>
    <w:rsid w:val="00496EFF"/>
    <w:rsid w:val="004A1535"/>
    <w:rsid w:val="004A23A6"/>
    <w:rsid w:val="004A3378"/>
    <w:rsid w:val="004A41AC"/>
    <w:rsid w:val="004A6337"/>
    <w:rsid w:val="004A6E3D"/>
    <w:rsid w:val="004B07A2"/>
    <w:rsid w:val="004B0F82"/>
    <w:rsid w:val="004B2624"/>
    <w:rsid w:val="004B3492"/>
    <w:rsid w:val="004B355C"/>
    <w:rsid w:val="004B4643"/>
    <w:rsid w:val="004B4F30"/>
    <w:rsid w:val="004B5B57"/>
    <w:rsid w:val="004B77CF"/>
    <w:rsid w:val="004C4511"/>
    <w:rsid w:val="004C538C"/>
    <w:rsid w:val="004C57D4"/>
    <w:rsid w:val="004C5BA8"/>
    <w:rsid w:val="004C669C"/>
    <w:rsid w:val="004C6E7A"/>
    <w:rsid w:val="004C703C"/>
    <w:rsid w:val="004C75F4"/>
    <w:rsid w:val="004C76D5"/>
    <w:rsid w:val="004C78E0"/>
    <w:rsid w:val="004C79C0"/>
    <w:rsid w:val="004D216E"/>
    <w:rsid w:val="004D3648"/>
    <w:rsid w:val="004D64D0"/>
    <w:rsid w:val="004D6C23"/>
    <w:rsid w:val="004D721C"/>
    <w:rsid w:val="004D73F2"/>
    <w:rsid w:val="004E047E"/>
    <w:rsid w:val="004E2DE6"/>
    <w:rsid w:val="004E338A"/>
    <w:rsid w:val="004E7274"/>
    <w:rsid w:val="004E7576"/>
    <w:rsid w:val="004F00E1"/>
    <w:rsid w:val="004F24D2"/>
    <w:rsid w:val="004F2F62"/>
    <w:rsid w:val="004F3C63"/>
    <w:rsid w:val="004F439E"/>
    <w:rsid w:val="004F5960"/>
    <w:rsid w:val="004F59AC"/>
    <w:rsid w:val="004F7122"/>
    <w:rsid w:val="00500AE8"/>
    <w:rsid w:val="00502D02"/>
    <w:rsid w:val="005052EE"/>
    <w:rsid w:val="00505E84"/>
    <w:rsid w:val="00506002"/>
    <w:rsid w:val="005065FB"/>
    <w:rsid w:val="00506ACE"/>
    <w:rsid w:val="00506B46"/>
    <w:rsid w:val="00507C0C"/>
    <w:rsid w:val="00513122"/>
    <w:rsid w:val="00516973"/>
    <w:rsid w:val="0052240A"/>
    <w:rsid w:val="00524C25"/>
    <w:rsid w:val="00530CA8"/>
    <w:rsid w:val="0053235D"/>
    <w:rsid w:val="00534397"/>
    <w:rsid w:val="005349CE"/>
    <w:rsid w:val="00537D48"/>
    <w:rsid w:val="00541B34"/>
    <w:rsid w:val="00543D12"/>
    <w:rsid w:val="00546260"/>
    <w:rsid w:val="00550BB9"/>
    <w:rsid w:val="00552198"/>
    <w:rsid w:val="00553EFD"/>
    <w:rsid w:val="005542DB"/>
    <w:rsid w:val="005560E2"/>
    <w:rsid w:val="005571A7"/>
    <w:rsid w:val="00561DC6"/>
    <w:rsid w:val="0056319A"/>
    <w:rsid w:val="005737ED"/>
    <w:rsid w:val="005750CF"/>
    <w:rsid w:val="00584D8C"/>
    <w:rsid w:val="00585E05"/>
    <w:rsid w:val="005866F5"/>
    <w:rsid w:val="00587DC4"/>
    <w:rsid w:val="00591AFF"/>
    <w:rsid w:val="00592CAD"/>
    <w:rsid w:val="00593A60"/>
    <w:rsid w:val="00593CE8"/>
    <w:rsid w:val="0059431A"/>
    <w:rsid w:val="005958DD"/>
    <w:rsid w:val="005979E1"/>
    <w:rsid w:val="005A0685"/>
    <w:rsid w:val="005A070C"/>
    <w:rsid w:val="005A56A4"/>
    <w:rsid w:val="005A5947"/>
    <w:rsid w:val="005A5AA6"/>
    <w:rsid w:val="005B0ED7"/>
    <w:rsid w:val="005B3C7D"/>
    <w:rsid w:val="005B553D"/>
    <w:rsid w:val="005B621F"/>
    <w:rsid w:val="005B7CE2"/>
    <w:rsid w:val="005C07DA"/>
    <w:rsid w:val="005C1363"/>
    <w:rsid w:val="005C1BA7"/>
    <w:rsid w:val="005C24C9"/>
    <w:rsid w:val="005C35AB"/>
    <w:rsid w:val="005C39A2"/>
    <w:rsid w:val="005C4540"/>
    <w:rsid w:val="005C5E42"/>
    <w:rsid w:val="005C68B8"/>
    <w:rsid w:val="005D03E5"/>
    <w:rsid w:val="005D2510"/>
    <w:rsid w:val="005D43CF"/>
    <w:rsid w:val="005D4AAD"/>
    <w:rsid w:val="005D4D4D"/>
    <w:rsid w:val="005D5007"/>
    <w:rsid w:val="005D561F"/>
    <w:rsid w:val="005D61BB"/>
    <w:rsid w:val="005D6627"/>
    <w:rsid w:val="005D6931"/>
    <w:rsid w:val="005D6A8C"/>
    <w:rsid w:val="005D7CF6"/>
    <w:rsid w:val="005E4E1A"/>
    <w:rsid w:val="005E699C"/>
    <w:rsid w:val="005E6DCE"/>
    <w:rsid w:val="005F196B"/>
    <w:rsid w:val="005F36A4"/>
    <w:rsid w:val="005F4DFA"/>
    <w:rsid w:val="005F7F77"/>
    <w:rsid w:val="00601AEC"/>
    <w:rsid w:val="0060346F"/>
    <w:rsid w:val="00603821"/>
    <w:rsid w:val="0060592B"/>
    <w:rsid w:val="00605DF5"/>
    <w:rsid w:val="006075B2"/>
    <w:rsid w:val="0060788F"/>
    <w:rsid w:val="00613034"/>
    <w:rsid w:val="006130FD"/>
    <w:rsid w:val="0061427B"/>
    <w:rsid w:val="00614EFB"/>
    <w:rsid w:val="0061534C"/>
    <w:rsid w:val="00616530"/>
    <w:rsid w:val="006168E8"/>
    <w:rsid w:val="00617537"/>
    <w:rsid w:val="0062197B"/>
    <w:rsid w:val="006229FC"/>
    <w:rsid w:val="00624BC1"/>
    <w:rsid w:val="006266DD"/>
    <w:rsid w:val="00626CCD"/>
    <w:rsid w:val="006271CE"/>
    <w:rsid w:val="006276D1"/>
    <w:rsid w:val="00630FF1"/>
    <w:rsid w:val="0063356E"/>
    <w:rsid w:val="00636D25"/>
    <w:rsid w:val="006374ED"/>
    <w:rsid w:val="00642C56"/>
    <w:rsid w:val="00643736"/>
    <w:rsid w:val="00645621"/>
    <w:rsid w:val="006464E3"/>
    <w:rsid w:val="00646578"/>
    <w:rsid w:val="00647390"/>
    <w:rsid w:val="006508D5"/>
    <w:rsid w:val="0065194B"/>
    <w:rsid w:val="00651D9C"/>
    <w:rsid w:val="006530E1"/>
    <w:rsid w:val="00654894"/>
    <w:rsid w:val="00655AA1"/>
    <w:rsid w:val="0065631C"/>
    <w:rsid w:val="00657CC2"/>
    <w:rsid w:val="0066025E"/>
    <w:rsid w:val="0066033A"/>
    <w:rsid w:val="006616C2"/>
    <w:rsid w:val="006634B0"/>
    <w:rsid w:val="00663817"/>
    <w:rsid w:val="006646FD"/>
    <w:rsid w:val="00664A55"/>
    <w:rsid w:val="00665033"/>
    <w:rsid w:val="006667FD"/>
    <w:rsid w:val="00672AFC"/>
    <w:rsid w:val="00673282"/>
    <w:rsid w:val="00673347"/>
    <w:rsid w:val="006776AF"/>
    <w:rsid w:val="00677F48"/>
    <w:rsid w:val="00680980"/>
    <w:rsid w:val="00680B93"/>
    <w:rsid w:val="0068150B"/>
    <w:rsid w:val="00682A19"/>
    <w:rsid w:val="00683899"/>
    <w:rsid w:val="00683A83"/>
    <w:rsid w:val="00683DE4"/>
    <w:rsid w:val="00685120"/>
    <w:rsid w:val="00685B59"/>
    <w:rsid w:val="00686866"/>
    <w:rsid w:val="00686C33"/>
    <w:rsid w:val="00687CFD"/>
    <w:rsid w:val="006912E2"/>
    <w:rsid w:val="0069253B"/>
    <w:rsid w:val="00695B1C"/>
    <w:rsid w:val="00696417"/>
    <w:rsid w:val="00697FCA"/>
    <w:rsid w:val="006A264A"/>
    <w:rsid w:val="006A2A4A"/>
    <w:rsid w:val="006A2D29"/>
    <w:rsid w:val="006A3765"/>
    <w:rsid w:val="006A4399"/>
    <w:rsid w:val="006A497D"/>
    <w:rsid w:val="006A56F3"/>
    <w:rsid w:val="006B1169"/>
    <w:rsid w:val="006B11E5"/>
    <w:rsid w:val="006B1593"/>
    <w:rsid w:val="006B6FE0"/>
    <w:rsid w:val="006B72FC"/>
    <w:rsid w:val="006C238C"/>
    <w:rsid w:val="006C3060"/>
    <w:rsid w:val="006C43CB"/>
    <w:rsid w:val="006C6801"/>
    <w:rsid w:val="006D0954"/>
    <w:rsid w:val="006D2BD2"/>
    <w:rsid w:val="006D3741"/>
    <w:rsid w:val="006D61B9"/>
    <w:rsid w:val="006D6D69"/>
    <w:rsid w:val="006E2C83"/>
    <w:rsid w:val="006E2DF2"/>
    <w:rsid w:val="006E321D"/>
    <w:rsid w:val="006E7F3E"/>
    <w:rsid w:val="006F0588"/>
    <w:rsid w:val="006F30E7"/>
    <w:rsid w:val="006F75AE"/>
    <w:rsid w:val="00700468"/>
    <w:rsid w:val="007005C0"/>
    <w:rsid w:val="0070278C"/>
    <w:rsid w:val="00702FE4"/>
    <w:rsid w:val="00705495"/>
    <w:rsid w:val="00707E5F"/>
    <w:rsid w:val="00712190"/>
    <w:rsid w:val="00712E86"/>
    <w:rsid w:val="007149DB"/>
    <w:rsid w:val="00716A41"/>
    <w:rsid w:val="0072081C"/>
    <w:rsid w:val="00720F2B"/>
    <w:rsid w:val="00722F9E"/>
    <w:rsid w:val="00723199"/>
    <w:rsid w:val="007245AF"/>
    <w:rsid w:val="007246B2"/>
    <w:rsid w:val="007258E0"/>
    <w:rsid w:val="00730182"/>
    <w:rsid w:val="00730277"/>
    <w:rsid w:val="00730D9F"/>
    <w:rsid w:val="00731862"/>
    <w:rsid w:val="00731886"/>
    <w:rsid w:val="0073213C"/>
    <w:rsid w:val="00733605"/>
    <w:rsid w:val="007339E9"/>
    <w:rsid w:val="00733AD9"/>
    <w:rsid w:val="00733DB4"/>
    <w:rsid w:val="007345B8"/>
    <w:rsid w:val="00734662"/>
    <w:rsid w:val="00740694"/>
    <w:rsid w:val="00741090"/>
    <w:rsid w:val="00743C41"/>
    <w:rsid w:val="0074449E"/>
    <w:rsid w:val="0075191C"/>
    <w:rsid w:val="0075479F"/>
    <w:rsid w:val="00754CC7"/>
    <w:rsid w:val="00755FC2"/>
    <w:rsid w:val="00760175"/>
    <w:rsid w:val="00761CCD"/>
    <w:rsid w:val="00762295"/>
    <w:rsid w:val="00762AC8"/>
    <w:rsid w:val="007667F3"/>
    <w:rsid w:val="00770DC2"/>
    <w:rsid w:val="00771EBA"/>
    <w:rsid w:val="00772B4D"/>
    <w:rsid w:val="007759FF"/>
    <w:rsid w:val="0077623E"/>
    <w:rsid w:val="00783137"/>
    <w:rsid w:val="007865BB"/>
    <w:rsid w:val="007867EC"/>
    <w:rsid w:val="007878FA"/>
    <w:rsid w:val="00791E87"/>
    <w:rsid w:val="00792E34"/>
    <w:rsid w:val="007938FA"/>
    <w:rsid w:val="007949C7"/>
    <w:rsid w:val="00796B86"/>
    <w:rsid w:val="0079735B"/>
    <w:rsid w:val="007976CB"/>
    <w:rsid w:val="007A0342"/>
    <w:rsid w:val="007A27BD"/>
    <w:rsid w:val="007A319D"/>
    <w:rsid w:val="007A3D1B"/>
    <w:rsid w:val="007A41EC"/>
    <w:rsid w:val="007A5104"/>
    <w:rsid w:val="007A5DE7"/>
    <w:rsid w:val="007A602D"/>
    <w:rsid w:val="007A70AB"/>
    <w:rsid w:val="007B1A90"/>
    <w:rsid w:val="007B439C"/>
    <w:rsid w:val="007B56F3"/>
    <w:rsid w:val="007B5A37"/>
    <w:rsid w:val="007B5D42"/>
    <w:rsid w:val="007B7249"/>
    <w:rsid w:val="007B7786"/>
    <w:rsid w:val="007B7DFB"/>
    <w:rsid w:val="007C03C6"/>
    <w:rsid w:val="007C183D"/>
    <w:rsid w:val="007C31FC"/>
    <w:rsid w:val="007C434D"/>
    <w:rsid w:val="007C7436"/>
    <w:rsid w:val="007D1A9A"/>
    <w:rsid w:val="007D5D14"/>
    <w:rsid w:val="007D5EA2"/>
    <w:rsid w:val="007D668E"/>
    <w:rsid w:val="007D6EB2"/>
    <w:rsid w:val="007E45F9"/>
    <w:rsid w:val="007E46A6"/>
    <w:rsid w:val="007E5C9A"/>
    <w:rsid w:val="007E6E70"/>
    <w:rsid w:val="007F0552"/>
    <w:rsid w:val="007F1C54"/>
    <w:rsid w:val="007F2621"/>
    <w:rsid w:val="007F41DC"/>
    <w:rsid w:val="007F4325"/>
    <w:rsid w:val="007F45D8"/>
    <w:rsid w:val="007F5A7D"/>
    <w:rsid w:val="007F7841"/>
    <w:rsid w:val="0080192E"/>
    <w:rsid w:val="008020D1"/>
    <w:rsid w:val="0080340F"/>
    <w:rsid w:val="00803E77"/>
    <w:rsid w:val="0080494E"/>
    <w:rsid w:val="00810830"/>
    <w:rsid w:val="00811892"/>
    <w:rsid w:val="00812203"/>
    <w:rsid w:val="008134E6"/>
    <w:rsid w:val="008144E6"/>
    <w:rsid w:val="00815989"/>
    <w:rsid w:val="008245FF"/>
    <w:rsid w:val="00832D9A"/>
    <w:rsid w:val="00835224"/>
    <w:rsid w:val="008373E1"/>
    <w:rsid w:val="00837E5B"/>
    <w:rsid w:val="008408A1"/>
    <w:rsid w:val="008437C8"/>
    <w:rsid w:val="00843C84"/>
    <w:rsid w:val="00844190"/>
    <w:rsid w:val="00844F32"/>
    <w:rsid w:val="00846627"/>
    <w:rsid w:val="008467CF"/>
    <w:rsid w:val="0084689B"/>
    <w:rsid w:val="008500C9"/>
    <w:rsid w:val="008500D2"/>
    <w:rsid w:val="0085035C"/>
    <w:rsid w:val="008506FE"/>
    <w:rsid w:val="00850F03"/>
    <w:rsid w:val="00852E90"/>
    <w:rsid w:val="008542D1"/>
    <w:rsid w:val="008561B5"/>
    <w:rsid w:val="008567B4"/>
    <w:rsid w:val="008576FF"/>
    <w:rsid w:val="00860A95"/>
    <w:rsid w:val="00862121"/>
    <w:rsid w:val="00863382"/>
    <w:rsid w:val="008637BA"/>
    <w:rsid w:val="00864559"/>
    <w:rsid w:val="008659F0"/>
    <w:rsid w:val="00867E35"/>
    <w:rsid w:val="00870741"/>
    <w:rsid w:val="00871B84"/>
    <w:rsid w:val="0087211F"/>
    <w:rsid w:val="00872DD7"/>
    <w:rsid w:val="008742C8"/>
    <w:rsid w:val="00875223"/>
    <w:rsid w:val="0087756A"/>
    <w:rsid w:val="00882A63"/>
    <w:rsid w:val="00885479"/>
    <w:rsid w:val="00891FB1"/>
    <w:rsid w:val="00892FA5"/>
    <w:rsid w:val="008934A7"/>
    <w:rsid w:val="00896D51"/>
    <w:rsid w:val="008A38D7"/>
    <w:rsid w:val="008A3FF2"/>
    <w:rsid w:val="008A5C55"/>
    <w:rsid w:val="008A646D"/>
    <w:rsid w:val="008A6790"/>
    <w:rsid w:val="008A6AEF"/>
    <w:rsid w:val="008A7453"/>
    <w:rsid w:val="008B054C"/>
    <w:rsid w:val="008B60CB"/>
    <w:rsid w:val="008B63DF"/>
    <w:rsid w:val="008B65FE"/>
    <w:rsid w:val="008C0005"/>
    <w:rsid w:val="008C0164"/>
    <w:rsid w:val="008C178B"/>
    <w:rsid w:val="008C21EE"/>
    <w:rsid w:val="008C3342"/>
    <w:rsid w:val="008C477D"/>
    <w:rsid w:val="008C53C1"/>
    <w:rsid w:val="008C59EA"/>
    <w:rsid w:val="008C5DE3"/>
    <w:rsid w:val="008C7538"/>
    <w:rsid w:val="008D1797"/>
    <w:rsid w:val="008D3203"/>
    <w:rsid w:val="008E1439"/>
    <w:rsid w:val="008E2A53"/>
    <w:rsid w:val="008E433B"/>
    <w:rsid w:val="008E5E57"/>
    <w:rsid w:val="008E6847"/>
    <w:rsid w:val="008F0C21"/>
    <w:rsid w:val="008F5D6A"/>
    <w:rsid w:val="008F765F"/>
    <w:rsid w:val="009006BA"/>
    <w:rsid w:val="00904C8E"/>
    <w:rsid w:val="009067E8"/>
    <w:rsid w:val="00906A5D"/>
    <w:rsid w:val="00906D5E"/>
    <w:rsid w:val="0091287A"/>
    <w:rsid w:val="00912B4E"/>
    <w:rsid w:val="009131C9"/>
    <w:rsid w:val="00913998"/>
    <w:rsid w:val="009157BC"/>
    <w:rsid w:val="00916230"/>
    <w:rsid w:val="00920ADD"/>
    <w:rsid w:val="00922136"/>
    <w:rsid w:val="0092227C"/>
    <w:rsid w:val="009259EB"/>
    <w:rsid w:val="00926E22"/>
    <w:rsid w:val="0093014F"/>
    <w:rsid w:val="00930A48"/>
    <w:rsid w:val="00931DA3"/>
    <w:rsid w:val="0093228F"/>
    <w:rsid w:val="00932971"/>
    <w:rsid w:val="00932CBD"/>
    <w:rsid w:val="00932E80"/>
    <w:rsid w:val="0093428D"/>
    <w:rsid w:val="00935194"/>
    <w:rsid w:val="00936EB6"/>
    <w:rsid w:val="00937CB6"/>
    <w:rsid w:val="0094093A"/>
    <w:rsid w:val="0094600D"/>
    <w:rsid w:val="00947AEC"/>
    <w:rsid w:val="00947ECC"/>
    <w:rsid w:val="0095114F"/>
    <w:rsid w:val="0095503A"/>
    <w:rsid w:val="009575A0"/>
    <w:rsid w:val="0095764D"/>
    <w:rsid w:val="00960B02"/>
    <w:rsid w:val="00961608"/>
    <w:rsid w:val="00963DFB"/>
    <w:rsid w:val="00964415"/>
    <w:rsid w:val="009646C6"/>
    <w:rsid w:val="00965A50"/>
    <w:rsid w:val="00974C0F"/>
    <w:rsid w:val="009764F7"/>
    <w:rsid w:val="00981401"/>
    <w:rsid w:val="009827DE"/>
    <w:rsid w:val="009839A1"/>
    <w:rsid w:val="00985AD0"/>
    <w:rsid w:val="00987315"/>
    <w:rsid w:val="009902E2"/>
    <w:rsid w:val="00992D0C"/>
    <w:rsid w:val="009953E6"/>
    <w:rsid w:val="00995F4C"/>
    <w:rsid w:val="00997286"/>
    <w:rsid w:val="00997786"/>
    <w:rsid w:val="00997B12"/>
    <w:rsid w:val="009A3301"/>
    <w:rsid w:val="009A472F"/>
    <w:rsid w:val="009A7D9A"/>
    <w:rsid w:val="009B121C"/>
    <w:rsid w:val="009B243A"/>
    <w:rsid w:val="009B2E6F"/>
    <w:rsid w:val="009B489A"/>
    <w:rsid w:val="009B4DB3"/>
    <w:rsid w:val="009B7158"/>
    <w:rsid w:val="009B7226"/>
    <w:rsid w:val="009B7DA8"/>
    <w:rsid w:val="009C003A"/>
    <w:rsid w:val="009C466A"/>
    <w:rsid w:val="009C5046"/>
    <w:rsid w:val="009C5AE1"/>
    <w:rsid w:val="009D1310"/>
    <w:rsid w:val="009D15D7"/>
    <w:rsid w:val="009D2792"/>
    <w:rsid w:val="009D3FC6"/>
    <w:rsid w:val="009D6396"/>
    <w:rsid w:val="009D6ADA"/>
    <w:rsid w:val="009D6F70"/>
    <w:rsid w:val="009D77A8"/>
    <w:rsid w:val="009E03F1"/>
    <w:rsid w:val="009E06F4"/>
    <w:rsid w:val="009E0FCE"/>
    <w:rsid w:val="009E1926"/>
    <w:rsid w:val="009E2039"/>
    <w:rsid w:val="009E2611"/>
    <w:rsid w:val="009E3072"/>
    <w:rsid w:val="009E3A04"/>
    <w:rsid w:val="009E3CE1"/>
    <w:rsid w:val="009E3D99"/>
    <w:rsid w:val="009F21D7"/>
    <w:rsid w:val="009F23C8"/>
    <w:rsid w:val="009F2DE4"/>
    <w:rsid w:val="009F44A3"/>
    <w:rsid w:val="009F4DA3"/>
    <w:rsid w:val="009F4F3A"/>
    <w:rsid w:val="00A000A8"/>
    <w:rsid w:val="00A03882"/>
    <w:rsid w:val="00A1056B"/>
    <w:rsid w:val="00A11698"/>
    <w:rsid w:val="00A164D7"/>
    <w:rsid w:val="00A16987"/>
    <w:rsid w:val="00A22FE7"/>
    <w:rsid w:val="00A300AF"/>
    <w:rsid w:val="00A31B02"/>
    <w:rsid w:val="00A3370F"/>
    <w:rsid w:val="00A34A72"/>
    <w:rsid w:val="00A3653D"/>
    <w:rsid w:val="00A370D2"/>
    <w:rsid w:val="00A409CD"/>
    <w:rsid w:val="00A423F9"/>
    <w:rsid w:val="00A437D1"/>
    <w:rsid w:val="00A440D5"/>
    <w:rsid w:val="00A46F09"/>
    <w:rsid w:val="00A472F4"/>
    <w:rsid w:val="00A47AA2"/>
    <w:rsid w:val="00A53BA8"/>
    <w:rsid w:val="00A5552E"/>
    <w:rsid w:val="00A577D1"/>
    <w:rsid w:val="00A61233"/>
    <w:rsid w:val="00A615E6"/>
    <w:rsid w:val="00A620A1"/>
    <w:rsid w:val="00A630FB"/>
    <w:rsid w:val="00A6490C"/>
    <w:rsid w:val="00A64CE3"/>
    <w:rsid w:val="00A65066"/>
    <w:rsid w:val="00A65C62"/>
    <w:rsid w:val="00A70360"/>
    <w:rsid w:val="00A70CFA"/>
    <w:rsid w:val="00A73209"/>
    <w:rsid w:val="00A73419"/>
    <w:rsid w:val="00A73470"/>
    <w:rsid w:val="00A73B27"/>
    <w:rsid w:val="00A74E78"/>
    <w:rsid w:val="00A8139E"/>
    <w:rsid w:val="00A81D30"/>
    <w:rsid w:val="00A82856"/>
    <w:rsid w:val="00A82E08"/>
    <w:rsid w:val="00A873E0"/>
    <w:rsid w:val="00A901C0"/>
    <w:rsid w:val="00A94BD9"/>
    <w:rsid w:val="00A95025"/>
    <w:rsid w:val="00A95E29"/>
    <w:rsid w:val="00A97B51"/>
    <w:rsid w:val="00A97C10"/>
    <w:rsid w:val="00AA22A7"/>
    <w:rsid w:val="00AA449A"/>
    <w:rsid w:val="00AA6B2F"/>
    <w:rsid w:val="00AB1F0D"/>
    <w:rsid w:val="00AB268C"/>
    <w:rsid w:val="00AB68A0"/>
    <w:rsid w:val="00AB7DBF"/>
    <w:rsid w:val="00AC0215"/>
    <w:rsid w:val="00AC1E3E"/>
    <w:rsid w:val="00AC2C0C"/>
    <w:rsid w:val="00AC3775"/>
    <w:rsid w:val="00AC38AE"/>
    <w:rsid w:val="00AC4689"/>
    <w:rsid w:val="00AC4839"/>
    <w:rsid w:val="00AC4A2C"/>
    <w:rsid w:val="00AC53EC"/>
    <w:rsid w:val="00AC5CB1"/>
    <w:rsid w:val="00AC7DE7"/>
    <w:rsid w:val="00AC7EF5"/>
    <w:rsid w:val="00AD17DF"/>
    <w:rsid w:val="00AD1D6C"/>
    <w:rsid w:val="00AD2983"/>
    <w:rsid w:val="00AD4EBA"/>
    <w:rsid w:val="00AD5BC3"/>
    <w:rsid w:val="00AE09B2"/>
    <w:rsid w:val="00AE1DD7"/>
    <w:rsid w:val="00AE2274"/>
    <w:rsid w:val="00AE268B"/>
    <w:rsid w:val="00AE2F31"/>
    <w:rsid w:val="00AE3B74"/>
    <w:rsid w:val="00AE47C7"/>
    <w:rsid w:val="00AE4997"/>
    <w:rsid w:val="00AE77FA"/>
    <w:rsid w:val="00AF2E48"/>
    <w:rsid w:val="00AF79B6"/>
    <w:rsid w:val="00B00003"/>
    <w:rsid w:val="00B00DA4"/>
    <w:rsid w:val="00B015EA"/>
    <w:rsid w:val="00B01A54"/>
    <w:rsid w:val="00B02284"/>
    <w:rsid w:val="00B023E9"/>
    <w:rsid w:val="00B07533"/>
    <w:rsid w:val="00B105EC"/>
    <w:rsid w:val="00B10864"/>
    <w:rsid w:val="00B10E5D"/>
    <w:rsid w:val="00B12A71"/>
    <w:rsid w:val="00B12F16"/>
    <w:rsid w:val="00B143A3"/>
    <w:rsid w:val="00B16105"/>
    <w:rsid w:val="00B1633A"/>
    <w:rsid w:val="00B17059"/>
    <w:rsid w:val="00B209B0"/>
    <w:rsid w:val="00B2176F"/>
    <w:rsid w:val="00B2260E"/>
    <w:rsid w:val="00B23D31"/>
    <w:rsid w:val="00B2435A"/>
    <w:rsid w:val="00B255AE"/>
    <w:rsid w:val="00B257EF"/>
    <w:rsid w:val="00B261C4"/>
    <w:rsid w:val="00B30C60"/>
    <w:rsid w:val="00B34359"/>
    <w:rsid w:val="00B421BE"/>
    <w:rsid w:val="00B44D9C"/>
    <w:rsid w:val="00B4602A"/>
    <w:rsid w:val="00B531B1"/>
    <w:rsid w:val="00B543C2"/>
    <w:rsid w:val="00B55E74"/>
    <w:rsid w:val="00B6233A"/>
    <w:rsid w:val="00B6557B"/>
    <w:rsid w:val="00B675B8"/>
    <w:rsid w:val="00B71CE0"/>
    <w:rsid w:val="00B72976"/>
    <w:rsid w:val="00B73BDA"/>
    <w:rsid w:val="00B74246"/>
    <w:rsid w:val="00B7430A"/>
    <w:rsid w:val="00B7439C"/>
    <w:rsid w:val="00B74958"/>
    <w:rsid w:val="00B76C8F"/>
    <w:rsid w:val="00B8233E"/>
    <w:rsid w:val="00B83111"/>
    <w:rsid w:val="00B83AC9"/>
    <w:rsid w:val="00B843B5"/>
    <w:rsid w:val="00B84726"/>
    <w:rsid w:val="00B85AB4"/>
    <w:rsid w:val="00B90053"/>
    <w:rsid w:val="00B902D5"/>
    <w:rsid w:val="00B94D6F"/>
    <w:rsid w:val="00B95385"/>
    <w:rsid w:val="00B96982"/>
    <w:rsid w:val="00BB2727"/>
    <w:rsid w:val="00BB3CBA"/>
    <w:rsid w:val="00BB3F2D"/>
    <w:rsid w:val="00BB5182"/>
    <w:rsid w:val="00BC2ACB"/>
    <w:rsid w:val="00BD060D"/>
    <w:rsid w:val="00BD2F06"/>
    <w:rsid w:val="00BD3199"/>
    <w:rsid w:val="00BD42B0"/>
    <w:rsid w:val="00BD4E23"/>
    <w:rsid w:val="00BD69F5"/>
    <w:rsid w:val="00BD7129"/>
    <w:rsid w:val="00BE06F2"/>
    <w:rsid w:val="00BE0C8B"/>
    <w:rsid w:val="00BE1151"/>
    <w:rsid w:val="00BE1F38"/>
    <w:rsid w:val="00BE2101"/>
    <w:rsid w:val="00BE3CDE"/>
    <w:rsid w:val="00BE5980"/>
    <w:rsid w:val="00BE7563"/>
    <w:rsid w:val="00BE7DCE"/>
    <w:rsid w:val="00BF0410"/>
    <w:rsid w:val="00BF18CA"/>
    <w:rsid w:val="00BF2311"/>
    <w:rsid w:val="00BF2612"/>
    <w:rsid w:val="00BF2810"/>
    <w:rsid w:val="00BF2BF0"/>
    <w:rsid w:val="00BF4BC9"/>
    <w:rsid w:val="00BF5130"/>
    <w:rsid w:val="00BF518E"/>
    <w:rsid w:val="00BF51FD"/>
    <w:rsid w:val="00BF68B4"/>
    <w:rsid w:val="00BF7267"/>
    <w:rsid w:val="00C010A5"/>
    <w:rsid w:val="00C01A3F"/>
    <w:rsid w:val="00C01CCC"/>
    <w:rsid w:val="00C05FED"/>
    <w:rsid w:val="00C06ED4"/>
    <w:rsid w:val="00C076FC"/>
    <w:rsid w:val="00C10132"/>
    <w:rsid w:val="00C145C7"/>
    <w:rsid w:val="00C1763E"/>
    <w:rsid w:val="00C20353"/>
    <w:rsid w:val="00C229FE"/>
    <w:rsid w:val="00C30D5E"/>
    <w:rsid w:val="00C31DBB"/>
    <w:rsid w:val="00C32BE9"/>
    <w:rsid w:val="00C34386"/>
    <w:rsid w:val="00C34CDC"/>
    <w:rsid w:val="00C3583E"/>
    <w:rsid w:val="00C424E3"/>
    <w:rsid w:val="00C43E61"/>
    <w:rsid w:val="00C44305"/>
    <w:rsid w:val="00C446F6"/>
    <w:rsid w:val="00C45084"/>
    <w:rsid w:val="00C46540"/>
    <w:rsid w:val="00C469E9"/>
    <w:rsid w:val="00C50A10"/>
    <w:rsid w:val="00C513E8"/>
    <w:rsid w:val="00C51E5E"/>
    <w:rsid w:val="00C53249"/>
    <w:rsid w:val="00C5390D"/>
    <w:rsid w:val="00C540A4"/>
    <w:rsid w:val="00C544BE"/>
    <w:rsid w:val="00C61745"/>
    <w:rsid w:val="00C642F3"/>
    <w:rsid w:val="00C643D3"/>
    <w:rsid w:val="00C65107"/>
    <w:rsid w:val="00C653EC"/>
    <w:rsid w:val="00C66D7B"/>
    <w:rsid w:val="00C7345A"/>
    <w:rsid w:val="00C75966"/>
    <w:rsid w:val="00C75F36"/>
    <w:rsid w:val="00C776D8"/>
    <w:rsid w:val="00C8157B"/>
    <w:rsid w:val="00C82D7A"/>
    <w:rsid w:val="00C86E5B"/>
    <w:rsid w:val="00C87E49"/>
    <w:rsid w:val="00C90600"/>
    <w:rsid w:val="00C91884"/>
    <w:rsid w:val="00C92D1F"/>
    <w:rsid w:val="00C9483E"/>
    <w:rsid w:val="00C95D13"/>
    <w:rsid w:val="00CA0539"/>
    <w:rsid w:val="00CA12F1"/>
    <w:rsid w:val="00CA4387"/>
    <w:rsid w:val="00CA5766"/>
    <w:rsid w:val="00CA6646"/>
    <w:rsid w:val="00CA66EE"/>
    <w:rsid w:val="00CB0B8E"/>
    <w:rsid w:val="00CB0D18"/>
    <w:rsid w:val="00CB52CB"/>
    <w:rsid w:val="00CC00BC"/>
    <w:rsid w:val="00CC1446"/>
    <w:rsid w:val="00CC3C4E"/>
    <w:rsid w:val="00CC5FA6"/>
    <w:rsid w:val="00CD4865"/>
    <w:rsid w:val="00CD579F"/>
    <w:rsid w:val="00CE09CA"/>
    <w:rsid w:val="00CE179E"/>
    <w:rsid w:val="00CE2A0D"/>
    <w:rsid w:val="00CE4AC9"/>
    <w:rsid w:val="00CE5F42"/>
    <w:rsid w:val="00CF00B8"/>
    <w:rsid w:val="00CF0254"/>
    <w:rsid w:val="00CF0E81"/>
    <w:rsid w:val="00CF21EB"/>
    <w:rsid w:val="00CF2271"/>
    <w:rsid w:val="00CF3790"/>
    <w:rsid w:val="00CF4E4A"/>
    <w:rsid w:val="00CF5A25"/>
    <w:rsid w:val="00D03A16"/>
    <w:rsid w:val="00D042AF"/>
    <w:rsid w:val="00D05780"/>
    <w:rsid w:val="00D101AA"/>
    <w:rsid w:val="00D114ED"/>
    <w:rsid w:val="00D169CB"/>
    <w:rsid w:val="00D17015"/>
    <w:rsid w:val="00D23E33"/>
    <w:rsid w:val="00D2527E"/>
    <w:rsid w:val="00D3033D"/>
    <w:rsid w:val="00D32C88"/>
    <w:rsid w:val="00D3426F"/>
    <w:rsid w:val="00D356E3"/>
    <w:rsid w:val="00D357AC"/>
    <w:rsid w:val="00D35C5B"/>
    <w:rsid w:val="00D37CD4"/>
    <w:rsid w:val="00D40E88"/>
    <w:rsid w:val="00D40EED"/>
    <w:rsid w:val="00D4194A"/>
    <w:rsid w:val="00D41E9D"/>
    <w:rsid w:val="00D438E0"/>
    <w:rsid w:val="00D442B3"/>
    <w:rsid w:val="00D451DE"/>
    <w:rsid w:val="00D45C14"/>
    <w:rsid w:val="00D46DC5"/>
    <w:rsid w:val="00D47345"/>
    <w:rsid w:val="00D478C7"/>
    <w:rsid w:val="00D519BD"/>
    <w:rsid w:val="00D51D27"/>
    <w:rsid w:val="00D56DC9"/>
    <w:rsid w:val="00D57E0D"/>
    <w:rsid w:val="00D613E3"/>
    <w:rsid w:val="00D63F15"/>
    <w:rsid w:val="00D66C66"/>
    <w:rsid w:val="00D71CBE"/>
    <w:rsid w:val="00D73E18"/>
    <w:rsid w:val="00D75ADA"/>
    <w:rsid w:val="00D764AC"/>
    <w:rsid w:val="00D77412"/>
    <w:rsid w:val="00D7786B"/>
    <w:rsid w:val="00D8086C"/>
    <w:rsid w:val="00D81D9E"/>
    <w:rsid w:val="00D83116"/>
    <w:rsid w:val="00D861CA"/>
    <w:rsid w:val="00D9057D"/>
    <w:rsid w:val="00D91A11"/>
    <w:rsid w:val="00D921B8"/>
    <w:rsid w:val="00D92B20"/>
    <w:rsid w:val="00D936A1"/>
    <w:rsid w:val="00D93DE6"/>
    <w:rsid w:val="00D9765A"/>
    <w:rsid w:val="00D97967"/>
    <w:rsid w:val="00D97D97"/>
    <w:rsid w:val="00DA2CA3"/>
    <w:rsid w:val="00DA3983"/>
    <w:rsid w:val="00DA476C"/>
    <w:rsid w:val="00DA54E7"/>
    <w:rsid w:val="00DB032D"/>
    <w:rsid w:val="00DB068D"/>
    <w:rsid w:val="00DB08A1"/>
    <w:rsid w:val="00DB2C00"/>
    <w:rsid w:val="00DB3A2B"/>
    <w:rsid w:val="00DB4135"/>
    <w:rsid w:val="00DB4AEC"/>
    <w:rsid w:val="00DB53BB"/>
    <w:rsid w:val="00DB548D"/>
    <w:rsid w:val="00DB7954"/>
    <w:rsid w:val="00DB79EE"/>
    <w:rsid w:val="00DC01CF"/>
    <w:rsid w:val="00DC294A"/>
    <w:rsid w:val="00DC3992"/>
    <w:rsid w:val="00DC3A15"/>
    <w:rsid w:val="00DC3B39"/>
    <w:rsid w:val="00DC3C5A"/>
    <w:rsid w:val="00DC6445"/>
    <w:rsid w:val="00DC6924"/>
    <w:rsid w:val="00DC72B1"/>
    <w:rsid w:val="00DC7DD5"/>
    <w:rsid w:val="00DD217A"/>
    <w:rsid w:val="00DD2F8D"/>
    <w:rsid w:val="00DD3B0F"/>
    <w:rsid w:val="00DD3DBF"/>
    <w:rsid w:val="00DD458E"/>
    <w:rsid w:val="00DD4747"/>
    <w:rsid w:val="00DE0AE5"/>
    <w:rsid w:val="00DE1347"/>
    <w:rsid w:val="00DE3F56"/>
    <w:rsid w:val="00DE5AE3"/>
    <w:rsid w:val="00DE6424"/>
    <w:rsid w:val="00DE67EE"/>
    <w:rsid w:val="00DF0408"/>
    <w:rsid w:val="00DF06A0"/>
    <w:rsid w:val="00DF2F27"/>
    <w:rsid w:val="00E01F7F"/>
    <w:rsid w:val="00E02B13"/>
    <w:rsid w:val="00E03083"/>
    <w:rsid w:val="00E04624"/>
    <w:rsid w:val="00E04E6C"/>
    <w:rsid w:val="00E11191"/>
    <w:rsid w:val="00E1127C"/>
    <w:rsid w:val="00E1168B"/>
    <w:rsid w:val="00E11B93"/>
    <w:rsid w:val="00E16B30"/>
    <w:rsid w:val="00E20E29"/>
    <w:rsid w:val="00E2193F"/>
    <w:rsid w:val="00E21C56"/>
    <w:rsid w:val="00E25240"/>
    <w:rsid w:val="00E25521"/>
    <w:rsid w:val="00E27934"/>
    <w:rsid w:val="00E370B0"/>
    <w:rsid w:val="00E41EE7"/>
    <w:rsid w:val="00E4437F"/>
    <w:rsid w:val="00E45399"/>
    <w:rsid w:val="00E464CC"/>
    <w:rsid w:val="00E513DE"/>
    <w:rsid w:val="00E5273B"/>
    <w:rsid w:val="00E5368A"/>
    <w:rsid w:val="00E53F85"/>
    <w:rsid w:val="00E5564D"/>
    <w:rsid w:val="00E56F67"/>
    <w:rsid w:val="00E61803"/>
    <w:rsid w:val="00E62309"/>
    <w:rsid w:val="00E63CE5"/>
    <w:rsid w:val="00E64425"/>
    <w:rsid w:val="00E6644D"/>
    <w:rsid w:val="00E7000D"/>
    <w:rsid w:val="00E70E76"/>
    <w:rsid w:val="00E70EFB"/>
    <w:rsid w:val="00E7104E"/>
    <w:rsid w:val="00E7110A"/>
    <w:rsid w:val="00E7458D"/>
    <w:rsid w:val="00E756E9"/>
    <w:rsid w:val="00E80DF1"/>
    <w:rsid w:val="00E841CF"/>
    <w:rsid w:val="00E86559"/>
    <w:rsid w:val="00E867ED"/>
    <w:rsid w:val="00E869A0"/>
    <w:rsid w:val="00E875D3"/>
    <w:rsid w:val="00E931CA"/>
    <w:rsid w:val="00E93ED1"/>
    <w:rsid w:val="00E94031"/>
    <w:rsid w:val="00E95231"/>
    <w:rsid w:val="00E95BAD"/>
    <w:rsid w:val="00E97481"/>
    <w:rsid w:val="00E97B36"/>
    <w:rsid w:val="00EA3883"/>
    <w:rsid w:val="00EA4C8E"/>
    <w:rsid w:val="00EA62AC"/>
    <w:rsid w:val="00EA7CBF"/>
    <w:rsid w:val="00EB3170"/>
    <w:rsid w:val="00EB33FE"/>
    <w:rsid w:val="00EB34CC"/>
    <w:rsid w:val="00EB40B2"/>
    <w:rsid w:val="00EB4D70"/>
    <w:rsid w:val="00EC0FF6"/>
    <w:rsid w:val="00EC1CFB"/>
    <w:rsid w:val="00EC1DC3"/>
    <w:rsid w:val="00EC1EF5"/>
    <w:rsid w:val="00EC5FC0"/>
    <w:rsid w:val="00EC6B62"/>
    <w:rsid w:val="00ED10DC"/>
    <w:rsid w:val="00ED2B4F"/>
    <w:rsid w:val="00ED3069"/>
    <w:rsid w:val="00ED3771"/>
    <w:rsid w:val="00ED5A28"/>
    <w:rsid w:val="00ED5E1A"/>
    <w:rsid w:val="00ED758D"/>
    <w:rsid w:val="00EE0CB9"/>
    <w:rsid w:val="00EE0CC8"/>
    <w:rsid w:val="00EE1CF1"/>
    <w:rsid w:val="00EE2946"/>
    <w:rsid w:val="00EE2E50"/>
    <w:rsid w:val="00EE5548"/>
    <w:rsid w:val="00EE5C4C"/>
    <w:rsid w:val="00EF02B4"/>
    <w:rsid w:val="00EF28CE"/>
    <w:rsid w:val="00EF4477"/>
    <w:rsid w:val="00EF4563"/>
    <w:rsid w:val="00EF5084"/>
    <w:rsid w:val="00EF5137"/>
    <w:rsid w:val="00EF5C82"/>
    <w:rsid w:val="00EF62A3"/>
    <w:rsid w:val="00EF62F7"/>
    <w:rsid w:val="00EF6DD1"/>
    <w:rsid w:val="00F006AC"/>
    <w:rsid w:val="00F01247"/>
    <w:rsid w:val="00F0669B"/>
    <w:rsid w:val="00F070D9"/>
    <w:rsid w:val="00F1078D"/>
    <w:rsid w:val="00F10D20"/>
    <w:rsid w:val="00F121C4"/>
    <w:rsid w:val="00F15B83"/>
    <w:rsid w:val="00F15C63"/>
    <w:rsid w:val="00F175FF"/>
    <w:rsid w:val="00F21341"/>
    <w:rsid w:val="00F22018"/>
    <w:rsid w:val="00F230F7"/>
    <w:rsid w:val="00F23800"/>
    <w:rsid w:val="00F23B02"/>
    <w:rsid w:val="00F2433C"/>
    <w:rsid w:val="00F26386"/>
    <w:rsid w:val="00F2792B"/>
    <w:rsid w:val="00F30875"/>
    <w:rsid w:val="00F30A42"/>
    <w:rsid w:val="00F31FC9"/>
    <w:rsid w:val="00F33B7A"/>
    <w:rsid w:val="00F35910"/>
    <w:rsid w:val="00F37481"/>
    <w:rsid w:val="00F4210F"/>
    <w:rsid w:val="00F44FF1"/>
    <w:rsid w:val="00F466A1"/>
    <w:rsid w:val="00F52BED"/>
    <w:rsid w:val="00F53673"/>
    <w:rsid w:val="00F53DD4"/>
    <w:rsid w:val="00F54A7B"/>
    <w:rsid w:val="00F54FCF"/>
    <w:rsid w:val="00F55C1E"/>
    <w:rsid w:val="00F61482"/>
    <w:rsid w:val="00F61930"/>
    <w:rsid w:val="00F62C16"/>
    <w:rsid w:val="00F62DC7"/>
    <w:rsid w:val="00F672D3"/>
    <w:rsid w:val="00F703C6"/>
    <w:rsid w:val="00F70B40"/>
    <w:rsid w:val="00F72B42"/>
    <w:rsid w:val="00F73CCD"/>
    <w:rsid w:val="00F75031"/>
    <w:rsid w:val="00F80022"/>
    <w:rsid w:val="00F80513"/>
    <w:rsid w:val="00F8156E"/>
    <w:rsid w:val="00F819DE"/>
    <w:rsid w:val="00F87E32"/>
    <w:rsid w:val="00F940A8"/>
    <w:rsid w:val="00F950BB"/>
    <w:rsid w:val="00F95E1B"/>
    <w:rsid w:val="00FA22E7"/>
    <w:rsid w:val="00FA33EE"/>
    <w:rsid w:val="00FA6C59"/>
    <w:rsid w:val="00FA7B17"/>
    <w:rsid w:val="00FB065F"/>
    <w:rsid w:val="00FB0E7E"/>
    <w:rsid w:val="00FB2E08"/>
    <w:rsid w:val="00FB2F8A"/>
    <w:rsid w:val="00FB39C4"/>
    <w:rsid w:val="00FB7477"/>
    <w:rsid w:val="00FB78BF"/>
    <w:rsid w:val="00FC19B1"/>
    <w:rsid w:val="00FC349D"/>
    <w:rsid w:val="00FC7126"/>
    <w:rsid w:val="00FC76D3"/>
    <w:rsid w:val="00FD06DD"/>
    <w:rsid w:val="00FD22CE"/>
    <w:rsid w:val="00FD4887"/>
    <w:rsid w:val="00FD583E"/>
    <w:rsid w:val="00FD7E04"/>
    <w:rsid w:val="00FE091A"/>
    <w:rsid w:val="00FE1235"/>
    <w:rsid w:val="00FE34F5"/>
    <w:rsid w:val="00FE3B81"/>
    <w:rsid w:val="00FE51FE"/>
    <w:rsid w:val="00FE547D"/>
    <w:rsid w:val="00FF0284"/>
    <w:rsid w:val="00FF0CBD"/>
    <w:rsid w:val="00FF231A"/>
    <w:rsid w:val="00FF33FA"/>
    <w:rsid w:val="00FF5B67"/>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D43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1B5D"/>
    <w:rPr>
      <w:rFonts w:ascii="Times New Roman" w:eastAsia="Times New Roman" w:hAnsi="Times New Roman" w:cs="Times New Roman"/>
      <w:lang w:val="en-GB"/>
    </w:rPr>
  </w:style>
  <w:style w:type="paragraph" w:styleId="Heading3">
    <w:name w:val="heading 3"/>
    <w:basedOn w:val="Normal"/>
    <w:next w:val="Normal"/>
    <w:link w:val="Heading3Char"/>
    <w:qFormat/>
    <w:rsid w:val="006B72FC"/>
    <w:pPr>
      <w:keepNext/>
      <w:overflowPunct w:val="0"/>
      <w:autoSpaceDE w:val="0"/>
      <w:autoSpaceDN w:val="0"/>
      <w:adjustRightInd w:val="0"/>
      <w:spacing w:line="302" w:lineRule="exact"/>
      <w:textAlignment w:val="baseline"/>
      <w:outlineLvl w:val="2"/>
    </w:pPr>
    <w:rPr>
      <w:rFonts w:ascii="Arial Narrow" w:eastAsia="Batang" w:hAnsi="Arial Narrow" w:cs="Arial Unicode MS"/>
      <w:color w:val="FF66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69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62518"/>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62518"/>
    <w:rPr>
      <w:rFonts w:ascii="Lucida Grande" w:hAnsi="Lucida Grande" w:cs="Lucida Grande"/>
      <w:sz w:val="18"/>
      <w:szCs w:val="18"/>
    </w:rPr>
  </w:style>
  <w:style w:type="paragraph" w:styleId="FootnoteText">
    <w:name w:val="footnote text"/>
    <w:basedOn w:val="Normal"/>
    <w:link w:val="FootnoteTextChar"/>
    <w:unhideWhenUsed/>
    <w:rsid w:val="00B015EA"/>
    <w:rPr>
      <w:rFonts w:asciiTheme="minorHAnsi" w:eastAsiaTheme="minorEastAsia" w:hAnsiTheme="minorHAnsi" w:cstheme="minorBidi"/>
      <w:lang w:val="en-US"/>
    </w:rPr>
  </w:style>
  <w:style w:type="character" w:customStyle="1" w:styleId="FootnoteTextChar">
    <w:name w:val="Footnote Text Char"/>
    <w:basedOn w:val="DefaultParagraphFont"/>
    <w:link w:val="FootnoteText"/>
    <w:rsid w:val="00B015EA"/>
  </w:style>
  <w:style w:type="character" w:styleId="FootnoteReference">
    <w:name w:val="footnote reference"/>
    <w:basedOn w:val="DefaultParagraphFont"/>
    <w:unhideWhenUsed/>
    <w:rsid w:val="00B015EA"/>
    <w:rPr>
      <w:vertAlign w:val="superscript"/>
    </w:rPr>
  </w:style>
  <w:style w:type="paragraph" w:customStyle="1" w:styleId="C-BodyText">
    <w:name w:val="C-Body Text"/>
    <w:rsid w:val="00B015EA"/>
    <w:pPr>
      <w:spacing w:before="120" w:after="120" w:line="280" w:lineRule="atLeast"/>
    </w:pPr>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sid w:val="00B85AB4"/>
    <w:rPr>
      <w:sz w:val="18"/>
      <w:szCs w:val="18"/>
    </w:rPr>
  </w:style>
  <w:style w:type="paragraph" w:styleId="CommentText">
    <w:name w:val="annotation text"/>
    <w:basedOn w:val="Normal"/>
    <w:link w:val="CommentTextChar"/>
    <w:uiPriority w:val="99"/>
    <w:semiHidden/>
    <w:unhideWhenUsed/>
    <w:rsid w:val="00B85AB4"/>
    <w:rPr>
      <w:rFonts w:asciiTheme="minorHAnsi" w:eastAsiaTheme="minorEastAsia" w:hAnsiTheme="minorHAnsi" w:cstheme="minorBidi"/>
      <w:lang w:val="en-US"/>
    </w:rPr>
  </w:style>
  <w:style w:type="character" w:customStyle="1" w:styleId="CommentTextChar">
    <w:name w:val="Comment Text Char"/>
    <w:basedOn w:val="DefaultParagraphFont"/>
    <w:link w:val="CommentText"/>
    <w:uiPriority w:val="99"/>
    <w:semiHidden/>
    <w:rsid w:val="00B85AB4"/>
  </w:style>
  <w:style w:type="paragraph" w:styleId="CommentSubject">
    <w:name w:val="annotation subject"/>
    <w:basedOn w:val="CommentText"/>
    <w:next w:val="CommentText"/>
    <w:link w:val="CommentSubjectChar"/>
    <w:uiPriority w:val="99"/>
    <w:semiHidden/>
    <w:unhideWhenUsed/>
    <w:rsid w:val="00B85AB4"/>
    <w:rPr>
      <w:b/>
      <w:bCs/>
      <w:sz w:val="20"/>
      <w:szCs w:val="20"/>
    </w:rPr>
  </w:style>
  <w:style w:type="character" w:customStyle="1" w:styleId="CommentSubjectChar">
    <w:name w:val="Comment Subject Char"/>
    <w:basedOn w:val="CommentTextChar"/>
    <w:link w:val="CommentSubject"/>
    <w:uiPriority w:val="99"/>
    <w:semiHidden/>
    <w:rsid w:val="00B85AB4"/>
    <w:rPr>
      <w:b/>
      <w:bCs/>
      <w:sz w:val="20"/>
      <w:szCs w:val="20"/>
    </w:rPr>
  </w:style>
  <w:style w:type="paragraph" w:styleId="NoSpacing">
    <w:name w:val="No Spacing"/>
    <w:uiPriority w:val="1"/>
    <w:qFormat/>
    <w:rsid w:val="00CA4387"/>
    <w:rPr>
      <w:sz w:val="22"/>
      <w:szCs w:val="22"/>
      <w:lang w:val="en-GB" w:eastAsia="en-CA"/>
    </w:rPr>
  </w:style>
  <w:style w:type="paragraph" w:styleId="ListParagraph">
    <w:name w:val="List Paragraph"/>
    <w:basedOn w:val="Normal"/>
    <w:uiPriority w:val="34"/>
    <w:qFormat/>
    <w:rsid w:val="00375E36"/>
    <w:pPr>
      <w:ind w:left="720"/>
      <w:contextualSpacing/>
    </w:pPr>
    <w:rPr>
      <w:rFonts w:asciiTheme="minorHAnsi" w:eastAsiaTheme="minorEastAsia" w:hAnsiTheme="minorHAnsi" w:cstheme="minorBidi"/>
      <w:lang w:val="en-US"/>
    </w:rPr>
  </w:style>
  <w:style w:type="paragraph" w:customStyle="1" w:styleId="DefaultText">
    <w:name w:val="Default Text"/>
    <w:basedOn w:val="Normal"/>
    <w:rsid w:val="0007187C"/>
    <w:rPr>
      <w:snapToGrid w:val="0"/>
      <w:lang w:val="en-US"/>
    </w:rPr>
  </w:style>
  <w:style w:type="character" w:customStyle="1" w:styleId="Heading3Char">
    <w:name w:val="Heading 3 Char"/>
    <w:basedOn w:val="DefaultParagraphFont"/>
    <w:link w:val="Heading3"/>
    <w:rsid w:val="006B72FC"/>
    <w:rPr>
      <w:rFonts w:ascii="Arial Narrow" w:eastAsia="Batang" w:hAnsi="Arial Narrow" w:cs="Arial Unicode MS"/>
      <w:color w:val="FF6600"/>
      <w:sz w:val="28"/>
      <w:szCs w:val="28"/>
      <w:lang w:val="en-GB"/>
    </w:rPr>
  </w:style>
  <w:style w:type="paragraph" w:styleId="Footer">
    <w:name w:val="footer"/>
    <w:basedOn w:val="Normal"/>
    <w:link w:val="FooterChar"/>
    <w:uiPriority w:val="99"/>
    <w:unhideWhenUsed/>
    <w:rsid w:val="006F0588"/>
    <w:pPr>
      <w:tabs>
        <w:tab w:val="center" w:pos="4320"/>
        <w:tab w:val="right" w:pos="8640"/>
      </w:tabs>
    </w:pPr>
    <w:rPr>
      <w:rFonts w:asciiTheme="minorHAnsi" w:eastAsiaTheme="minorEastAsia" w:hAnsiTheme="minorHAnsi" w:cstheme="minorBidi"/>
      <w:lang w:val="en-US"/>
    </w:rPr>
  </w:style>
  <w:style w:type="character" w:customStyle="1" w:styleId="FooterChar">
    <w:name w:val="Footer Char"/>
    <w:basedOn w:val="DefaultParagraphFont"/>
    <w:link w:val="Footer"/>
    <w:uiPriority w:val="99"/>
    <w:rsid w:val="006F0588"/>
  </w:style>
  <w:style w:type="character" w:styleId="PageNumber">
    <w:name w:val="page number"/>
    <w:basedOn w:val="DefaultParagraphFont"/>
    <w:uiPriority w:val="99"/>
    <w:semiHidden/>
    <w:unhideWhenUsed/>
    <w:rsid w:val="006F0588"/>
  </w:style>
  <w:style w:type="character" w:styleId="EndnoteReference">
    <w:name w:val="endnote reference"/>
    <w:basedOn w:val="DefaultParagraphFont"/>
    <w:uiPriority w:val="99"/>
    <w:semiHidden/>
    <w:unhideWhenUsed/>
    <w:rsid w:val="00AD4EBA"/>
    <w:rPr>
      <w:vertAlign w:val="superscript"/>
    </w:rPr>
  </w:style>
  <w:style w:type="paragraph" w:styleId="Revision">
    <w:name w:val="Revision"/>
    <w:hidden/>
    <w:uiPriority w:val="99"/>
    <w:semiHidden/>
    <w:rsid w:val="0052240A"/>
  </w:style>
  <w:style w:type="paragraph" w:customStyle="1" w:styleId="EndNoteBibliographyTitle">
    <w:name w:val="EndNote Bibliography Title"/>
    <w:basedOn w:val="Normal"/>
    <w:rsid w:val="004A3378"/>
    <w:pPr>
      <w:jc w:val="center"/>
    </w:pPr>
    <w:rPr>
      <w:rFonts w:ascii="Cambria" w:eastAsiaTheme="minorEastAsia" w:hAnsi="Cambria" w:cstheme="minorBidi"/>
      <w:lang w:val="en-US"/>
    </w:rPr>
  </w:style>
  <w:style w:type="paragraph" w:customStyle="1" w:styleId="EndNoteBibliography">
    <w:name w:val="EndNote Bibliography"/>
    <w:basedOn w:val="Normal"/>
    <w:rsid w:val="004A3378"/>
    <w:rPr>
      <w:rFonts w:ascii="Cambria" w:eastAsiaTheme="minorEastAsia" w:hAnsi="Cambria" w:cstheme="minorBidi"/>
      <w:lang w:val="en-US"/>
    </w:rPr>
  </w:style>
  <w:style w:type="paragraph" w:styleId="Header">
    <w:name w:val="header"/>
    <w:basedOn w:val="Normal"/>
    <w:link w:val="HeaderChar"/>
    <w:uiPriority w:val="99"/>
    <w:unhideWhenUsed/>
    <w:rsid w:val="00287C04"/>
    <w:pPr>
      <w:tabs>
        <w:tab w:val="center" w:pos="4513"/>
        <w:tab w:val="right" w:pos="9026"/>
      </w:tabs>
    </w:pPr>
    <w:rPr>
      <w:rFonts w:asciiTheme="minorHAnsi" w:eastAsiaTheme="minorEastAsia" w:hAnsiTheme="minorHAnsi" w:cstheme="minorBidi"/>
      <w:lang w:val="en-US"/>
    </w:rPr>
  </w:style>
  <w:style w:type="character" w:customStyle="1" w:styleId="HeaderChar">
    <w:name w:val="Header Char"/>
    <w:basedOn w:val="DefaultParagraphFont"/>
    <w:link w:val="Header"/>
    <w:uiPriority w:val="99"/>
    <w:rsid w:val="00287C04"/>
  </w:style>
  <w:style w:type="character" w:styleId="LineNumber">
    <w:name w:val="line number"/>
    <w:basedOn w:val="DefaultParagraphFont"/>
    <w:uiPriority w:val="99"/>
    <w:semiHidden/>
    <w:unhideWhenUsed/>
    <w:rsid w:val="00AB68A0"/>
  </w:style>
  <w:style w:type="character" w:styleId="Hyperlink">
    <w:name w:val="Hyperlink"/>
    <w:basedOn w:val="DefaultParagraphFont"/>
    <w:uiPriority w:val="99"/>
    <w:unhideWhenUsed/>
    <w:rsid w:val="00FA6C59"/>
    <w:rPr>
      <w:color w:val="0000FF" w:themeColor="hyperlink"/>
      <w:u w:val="single"/>
    </w:rPr>
  </w:style>
  <w:style w:type="character" w:customStyle="1" w:styleId="UnresolvedMention1">
    <w:name w:val="Unresolved Mention1"/>
    <w:basedOn w:val="DefaultParagraphFont"/>
    <w:uiPriority w:val="99"/>
    <w:semiHidden/>
    <w:unhideWhenUsed/>
    <w:rsid w:val="00FA6C59"/>
    <w:rPr>
      <w:color w:val="605E5C"/>
      <w:shd w:val="clear" w:color="auto" w:fill="E1DFDD"/>
    </w:rPr>
  </w:style>
  <w:style w:type="character" w:customStyle="1" w:styleId="UnresolvedMention2">
    <w:name w:val="Unresolved Mention2"/>
    <w:basedOn w:val="DefaultParagraphFont"/>
    <w:uiPriority w:val="99"/>
    <w:semiHidden/>
    <w:unhideWhenUsed/>
    <w:rsid w:val="00AE77FA"/>
    <w:rPr>
      <w:color w:val="605E5C"/>
      <w:shd w:val="clear" w:color="auto" w:fill="E1DFDD"/>
    </w:rPr>
  </w:style>
  <w:style w:type="character" w:customStyle="1" w:styleId="UnresolvedMention3">
    <w:name w:val="Unresolved Mention3"/>
    <w:basedOn w:val="DefaultParagraphFont"/>
    <w:uiPriority w:val="99"/>
    <w:semiHidden/>
    <w:unhideWhenUsed/>
    <w:rsid w:val="003F70E9"/>
    <w:rPr>
      <w:color w:val="605E5C"/>
      <w:shd w:val="clear" w:color="auto" w:fill="E1DFDD"/>
    </w:rPr>
  </w:style>
  <w:style w:type="character" w:styleId="FollowedHyperlink">
    <w:name w:val="FollowedHyperlink"/>
    <w:basedOn w:val="DefaultParagraphFont"/>
    <w:uiPriority w:val="99"/>
    <w:semiHidden/>
    <w:unhideWhenUsed/>
    <w:rsid w:val="009006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231410">
      <w:bodyDiv w:val="1"/>
      <w:marLeft w:val="0"/>
      <w:marRight w:val="0"/>
      <w:marTop w:val="0"/>
      <w:marBottom w:val="0"/>
      <w:divBdr>
        <w:top w:val="none" w:sz="0" w:space="0" w:color="auto"/>
        <w:left w:val="none" w:sz="0" w:space="0" w:color="auto"/>
        <w:bottom w:val="none" w:sz="0" w:space="0" w:color="auto"/>
        <w:right w:val="none" w:sz="0" w:space="0" w:color="auto"/>
      </w:divBdr>
    </w:div>
    <w:div w:id="133451078">
      <w:bodyDiv w:val="1"/>
      <w:marLeft w:val="0"/>
      <w:marRight w:val="0"/>
      <w:marTop w:val="0"/>
      <w:marBottom w:val="0"/>
      <w:divBdr>
        <w:top w:val="none" w:sz="0" w:space="0" w:color="auto"/>
        <w:left w:val="none" w:sz="0" w:space="0" w:color="auto"/>
        <w:bottom w:val="none" w:sz="0" w:space="0" w:color="auto"/>
        <w:right w:val="none" w:sz="0" w:space="0" w:color="auto"/>
      </w:divBdr>
    </w:div>
    <w:div w:id="178353886">
      <w:bodyDiv w:val="1"/>
      <w:marLeft w:val="0"/>
      <w:marRight w:val="0"/>
      <w:marTop w:val="0"/>
      <w:marBottom w:val="0"/>
      <w:divBdr>
        <w:top w:val="none" w:sz="0" w:space="0" w:color="auto"/>
        <w:left w:val="none" w:sz="0" w:space="0" w:color="auto"/>
        <w:bottom w:val="none" w:sz="0" w:space="0" w:color="auto"/>
        <w:right w:val="none" w:sz="0" w:space="0" w:color="auto"/>
      </w:divBdr>
    </w:div>
    <w:div w:id="203180208">
      <w:bodyDiv w:val="1"/>
      <w:marLeft w:val="0"/>
      <w:marRight w:val="0"/>
      <w:marTop w:val="0"/>
      <w:marBottom w:val="0"/>
      <w:divBdr>
        <w:top w:val="none" w:sz="0" w:space="0" w:color="auto"/>
        <w:left w:val="none" w:sz="0" w:space="0" w:color="auto"/>
        <w:bottom w:val="none" w:sz="0" w:space="0" w:color="auto"/>
        <w:right w:val="none" w:sz="0" w:space="0" w:color="auto"/>
      </w:divBdr>
    </w:div>
    <w:div w:id="210851840">
      <w:bodyDiv w:val="1"/>
      <w:marLeft w:val="0"/>
      <w:marRight w:val="0"/>
      <w:marTop w:val="0"/>
      <w:marBottom w:val="0"/>
      <w:divBdr>
        <w:top w:val="none" w:sz="0" w:space="0" w:color="auto"/>
        <w:left w:val="none" w:sz="0" w:space="0" w:color="auto"/>
        <w:bottom w:val="none" w:sz="0" w:space="0" w:color="auto"/>
        <w:right w:val="none" w:sz="0" w:space="0" w:color="auto"/>
      </w:divBdr>
    </w:div>
    <w:div w:id="258612082">
      <w:bodyDiv w:val="1"/>
      <w:marLeft w:val="0"/>
      <w:marRight w:val="0"/>
      <w:marTop w:val="0"/>
      <w:marBottom w:val="0"/>
      <w:divBdr>
        <w:top w:val="none" w:sz="0" w:space="0" w:color="auto"/>
        <w:left w:val="none" w:sz="0" w:space="0" w:color="auto"/>
        <w:bottom w:val="none" w:sz="0" w:space="0" w:color="auto"/>
        <w:right w:val="none" w:sz="0" w:space="0" w:color="auto"/>
      </w:divBdr>
    </w:div>
    <w:div w:id="302194125">
      <w:bodyDiv w:val="1"/>
      <w:marLeft w:val="0"/>
      <w:marRight w:val="0"/>
      <w:marTop w:val="0"/>
      <w:marBottom w:val="0"/>
      <w:divBdr>
        <w:top w:val="none" w:sz="0" w:space="0" w:color="auto"/>
        <w:left w:val="none" w:sz="0" w:space="0" w:color="auto"/>
        <w:bottom w:val="none" w:sz="0" w:space="0" w:color="auto"/>
        <w:right w:val="none" w:sz="0" w:space="0" w:color="auto"/>
      </w:divBdr>
    </w:div>
    <w:div w:id="369653498">
      <w:bodyDiv w:val="1"/>
      <w:marLeft w:val="0"/>
      <w:marRight w:val="0"/>
      <w:marTop w:val="0"/>
      <w:marBottom w:val="0"/>
      <w:divBdr>
        <w:top w:val="none" w:sz="0" w:space="0" w:color="auto"/>
        <w:left w:val="none" w:sz="0" w:space="0" w:color="auto"/>
        <w:bottom w:val="none" w:sz="0" w:space="0" w:color="auto"/>
        <w:right w:val="none" w:sz="0" w:space="0" w:color="auto"/>
      </w:divBdr>
    </w:div>
    <w:div w:id="457145951">
      <w:bodyDiv w:val="1"/>
      <w:marLeft w:val="0"/>
      <w:marRight w:val="0"/>
      <w:marTop w:val="0"/>
      <w:marBottom w:val="0"/>
      <w:divBdr>
        <w:top w:val="none" w:sz="0" w:space="0" w:color="auto"/>
        <w:left w:val="none" w:sz="0" w:space="0" w:color="auto"/>
        <w:bottom w:val="none" w:sz="0" w:space="0" w:color="auto"/>
        <w:right w:val="none" w:sz="0" w:space="0" w:color="auto"/>
      </w:divBdr>
    </w:div>
    <w:div w:id="517936100">
      <w:bodyDiv w:val="1"/>
      <w:marLeft w:val="0"/>
      <w:marRight w:val="0"/>
      <w:marTop w:val="0"/>
      <w:marBottom w:val="0"/>
      <w:divBdr>
        <w:top w:val="none" w:sz="0" w:space="0" w:color="auto"/>
        <w:left w:val="none" w:sz="0" w:space="0" w:color="auto"/>
        <w:bottom w:val="none" w:sz="0" w:space="0" w:color="auto"/>
        <w:right w:val="none" w:sz="0" w:space="0" w:color="auto"/>
      </w:divBdr>
    </w:div>
    <w:div w:id="674187373">
      <w:bodyDiv w:val="1"/>
      <w:marLeft w:val="0"/>
      <w:marRight w:val="0"/>
      <w:marTop w:val="0"/>
      <w:marBottom w:val="0"/>
      <w:divBdr>
        <w:top w:val="none" w:sz="0" w:space="0" w:color="auto"/>
        <w:left w:val="none" w:sz="0" w:space="0" w:color="auto"/>
        <w:bottom w:val="none" w:sz="0" w:space="0" w:color="auto"/>
        <w:right w:val="none" w:sz="0" w:space="0" w:color="auto"/>
      </w:divBdr>
    </w:div>
    <w:div w:id="741945508">
      <w:bodyDiv w:val="1"/>
      <w:marLeft w:val="0"/>
      <w:marRight w:val="0"/>
      <w:marTop w:val="0"/>
      <w:marBottom w:val="0"/>
      <w:divBdr>
        <w:top w:val="none" w:sz="0" w:space="0" w:color="auto"/>
        <w:left w:val="none" w:sz="0" w:space="0" w:color="auto"/>
        <w:bottom w:val="none" w:sz="0" w:space="0" w:color="auto"/>
        <w:right w:val="none" w:sz="0" w:space="0" w:color="auto"/>
      </w:divBdr>
    </w:div>
    <w:div w:id="754016531">
      <w:bodyDiv w:val="1"/>
      <w:marLeft w:val="0"/>
      <w:marRight w:val="0"/>
      <w:marTop w:val="0"/>
      <w:marBottom w:val="0"/>
      <w:divBdr>
        <w:top w:val="none" w:sz="0" w:space="0" w:color="auto"/>
        <w:left w:val="none" w:sz="0" w:space="0" w:color="auto"/>
        <w:bottom w:val="none" w:sz="0" w:space="0" w:color="auto"/>
        <w:right w:val="none" w:sz="0" w:space="0" w:color="auto"/>
      </w:divBdr>
    </w:div>
    <w:div w:id="788595684">
      <w:bodyDiv w:val="1"/>
      <w:marLeft w:val="0"/>
      <w:marRight w:val="0"/>
      <w:marTop w:val="0"/>
      <w:marBottom w:val="0"/>
      <w:divBdr>
        <w:top w:val="none" w:sz="0" w:space="0" w:color="auto"/>
        <w:left w:val="none" w:sz="0" w:space="0" w:color="auto"/>
        <w:bottom w:val="none" w:sz="0" w:space="0" w:color="auto"/>
        <w:right w:val="none" w:sz="0" w:space="0" w:color="auto"/>
      </w:divBdr>
    </w:div>
    <w:div w:id="816604839">
      <w:bodyDiv w:val="1"/>
      <w:marLeft w:val="0"/>
      <w:marRight w:val="0"/>
      <w:marTop w:val="0"/>
      <w:marBottom w:val="0"/>
      <w:divBdr>
        <w:top w:val="none" w:sz="0" w:space="0" w:color="auto"/>
        <w:left w:val="none" w:sz="0" w:space="0" w:color="auto"/>
        <w:bottom w:val="none" w:sz="0" w:space="0" w:color="auto"/>
        <w:right w:val="none" w:sz="0" w:space="0" w:color="auto"/>
      </w:divBdr>
    </w:div>
    <w:div w:id="848250090">
      <w:bodyDiv w:val="1"/>
      <w:marLeft w:val="0"/>
      <w:marRight w:val="0"/>
      <w:marTop w:val="0"/>
      <w:marBottom w:val="0"/>
      <w:divBdr>
        <w:top w:val="none" w:sz="0" w:space="0" w:color="auto"/>
        <w:left w:val="none" w:sz="0" w:space="0" w:color="auto"/>
        <w:bottom w:val="none" w:sz="0" w:space="0" w:color="auto"/>
        <w:right w:val="none" w:sz="0" w:space="0" w:color="auto"/>
      </w:divBdr>
    </w:div>
    <w:div w:id="970481802">
      <w:bodyDiv w:val="1"/>
      <w:marLeft w:val="0"/>
      <w:marRight w:val="0"/>
      <w:marTop w:val="0"/>
      <w:marBottom w:val="0"/>
      <w:divBdr>
        <w:top w:val="none" w:sz="0" w:space="0" w:color="auto"/>
        <w:left w:val="none" w:sz="0" w:space="0" w:color="auto"/>
        <w:bottom w:val="none" w:sz="0" w:space="0" w:color="auto"/>
        <w:right w:val="none" w:sz="0" w:space="0" w:color="auto"/>
      </w:divBdr>
    </w:div>
    <w:div w:id="991372119">
      <w:bodyDiv w:val="1"/>
      <w:marLeft w:val="0"/>
      <w:marRight w:val="0"/>
      <w:marTop w:val="0"/>
      <w:marBottom w:val="0"/>
      <w:divBdr>
        <w:top w:val="none" w:sz="0" w:space="0" w:color="auto"/>
        <w:left w:val="none" w:sz="0" w:space="0" w:color="auto"/>
        <w:bottom w:val="none" w:sz="0" w:space="0" w:color="auto"/>
        <w:right w:val="none" w:sz="0" w:space="0" w:color="auto"/>
      </w:divBdr>
    </w:div>
    <w:div w:id="1025594151">
      <w:bodyDiv w:val="1"/>
      <w:marLeft w:val="0"/>
      <w:marRight w:val="0"/>
      <w:marTop w:val="0"/>
      <w:marBottom w:val="0"/>
      <w:divBdr>
        <w:top w:val="none" w:sz="0" w:space="0" w:color="auto"/>
        <w:left w:val="none" w:sz="0" w:space="0" w:color="auto"/>
        <w:bottom w:val="none" w:sz="0" w:space="0" w:color="auto"/>
        <w:right w:val="none" w:sz="0" w:space="0" w:color="auto"/>
      </w:divBdr>
      <w:divsChild>
        <w:div w:id="176121898">
          <w:marLeft w:val="0"/>
          <w:marRight w:val="0"/>
          <w:marTop w:val="0"/>
          <w:marBottom w:val="0"/>
          <w:divBdr>
            <w:top w:val="none" w:sz="0" w:space="0" w:color="auto"/>
            <w:left w:val="none" w:sz="0" w:space="0" w:color="auto"/>
            <w:bottom w:val="none" w:sz="0" w:space="0" w:color="auto"/>
            <w:right w:val="none" w:sz="0" w:space="0" w:color="auto"/>
          </w:divBdr>
        </w:div>
        <w:div w:id="1321349647">
          <w:marLeft w:val="0"/>
          <w:marRight w:val="0"/>
          <w:marTop w:val="0"/>
          <w:marBottom w:val="0"/>
          <w:divBdr>
            <w:top w:val="none" w:sz="0" w:space="0" w:color="auto"/>
            <w:left w:val="none" w:sz="0" w:space="0" w:color="auto"/>
            <w:bottom w:val="none" w:sz="0" w:space="0" w:color="auto"/>
            <w:right w:val="none" w:sz="0" w:space="0" w:color="auto"/>
          </w:divBdr>
        </w:div>
      </w:divsChild>
    </w:div>
    <w:div w:id="1060132585">
      <w:bodyDiv w:val="1"/>
      <w:marLeft w:val="0"/>
      <w:marRight w:val="0"/>
      <w:marTop w:val="0"/>
      <w:marBottom w:val="0"/>
      <w:divBdr>
        <w:top w:val="none" w:sz="0" w:space="0" w:color="auto"/>
        <w:left w:val="none" w:sz="0" w:space="0" w:color="auto"/>
        <w:bottom w:val="none" w:sz="0" w:space="0" w:color="auto"/>
        <w:right w:val="none" w:sz="0" w:space="0" w:color="auto"/>
      </w:divBdr>
    </w:div>
    <w:div w:id="1078476393">
      <w:bodyDiv w:val="1"/>
      <w:marLeft w:val="0"/>
      <w:marRight w:val="0"/>
      <w:marTop w:val="0"/>
      <w:marBottom w:val="0"/>
      <w:divBdr>
        <w:top w:val="none" w:sz="0" w:space="0" w:color="auto"/>
        <w:left w:val="none" w:sz="0" w:space="0" w:color="auto"/>
        <w:bottom w:val="none" w:sz="0" w:space="0" w:color="auto"/>
        <w:right w:val="none" w:sz="0" w:space="0" w:color="auto"/>
      </w:divBdr>
    </w:div>
    <w:div w:id="1093934519">
      <w:bodyDiv w:val="1"/>
      <w:marLeft w:val="0"/>
      <w:marRight w:val="0"/>
      <w:marTop w:val="0"/>
      <w:marBottom w:val="0"/>
      <w:divBdr>
        <w:top w:val="none" w:sz="0" w:space="0" w:color="auto"/>
        <w:left w:val="none" w:sz="0" w:space="0" w:color="auto"/>
        <w:bottom w:val="none" w:sz="0" w:space="0" w:color="auto"/>
        <w:right w:val="none" w:sz="0" w:space="0" w:color="auto"/>
      </w:divBdr>
    </w:div>
    <w:div w:id="1140461286">
      <w:bodyDiv w:val="1"/>
      <w:marLeft w:val="0"/>
      <w:marRight w:val="0"/>
      <w:marTop w:val="0"/>
      <w:marBottom w:val="0"/>
      <w:divBdr>
        <w:top w:val="none" w:sz="0" w:space="0" w:color="auto"/>
        <w:left w:val="none" w:sz="0" w:space="0" w:color="auto"/>
        <w:bottom w:val="none" w:sz="0" w:space="0" w:color="auto"/>
        <w:right w:val="none" w:sz="0" w:space="0" w:color="auto"/>
      </w:divBdr>
    </w:div>
    <w:div w:id="1234007436">
      <w:bodyDiv w:val="1"/>
      <w:marLeft w:val="0"/>
      <w:marRight w:val="0"/>
      <w:marTop w:val="0"/>
      <w:marBottom w:val="0"/>
      <w:divBdr>
        <w:top w:val="none" w:sz="0" w:space="0" w:color="auto"/>
        <w:left w:val="none" w:sz="0" w:space="0" w:color="auto"/>
        <w:bottom w:val="none" w:sz="0" w:space="0" w:color="auto"/>
        <w:right w:val="none" w:sz="0" w:space="0" w:color="auto"/>
      </w:divBdr>
    </w:div>
    <w:div w:id="1322614016">
      <w:bodyDiv w:val="1"/>
      <w:marLeft w:val="0"/>
      <w:marRight w:val="0"/>
      <w:marTop w:val="0"/>
      <w:marBottom w:val="0"/>
      <w:divBdr>
        <w:top w:val="none" w:sz="0" w:space="0" w:color="auto"/>
        <w:left w:val="none" w:sz="0" w:space="0" w:color="auto"/>
        <w:bottom w:val="none" w:sz="0" w:space="0" w:color="auto"/>
        <w:right w:val="none" w:sz="0" w:space="0" w:color="auto"/>
      </w:divBdr>
    </w:div>
    <w:div w:id="1415589914">
      <w:bodyDiv w:val="1"/>
      <w:marLeft w:val="0"/>
      <w:marRight w:val="0"/>
      <w:marTop w:val="0"/>
      <w:marBottom w:val="0"/>
      <w:divBdr>
        <w:top w:val="none" w:sz="0" w:space="0" w:color="auto"/>
        <w:left w:val="none" w:sz="0" w:space="0" w:color="auto"/>
        <w:bottom w:val="none" w:sz="0" w:space="0" w:color="auto"/>
        <w:right w:val="none" w:sz="0" w:space="0" w:color="auto"/>
      </w:divBdr>
    </w:div>
    <w:div w:id="1579024779">
      <w:bodyDiv w:val="1"/>
      <w:marLeft w:val="0"/>
      <w:marRight w:val="0"/>
      <w:marTop w:val="0"/>
      <w:marBottom w:val="0"/>
      <w:divBdr>
        <w:top w:val="none" w:sz="0" w:space="0" w:color="auto"/>
        <w:left w:val="none" w:sz="0" w:space="0" w:color="auto"/>
        <w:bottom w:val="none" w:sz="0" w:space="0" w:color="auto"/>
        <w:right w:val="none" w:sz="0" w:space="0" w:color="auto"/>
      </w:divBdr>
    </w:div>
    <w:div w:id="1589314348">
      <w:bodyDiv w:val="1"/>
      <w:marLeft w:val="0"/>
      <w:marRight w:val="0"/>
      <w:marTop w:val="0"/>
      <w:marBottom w:val="0"/>
      <w:divBdr>
        <w:top w:val="none" w:sz="0" w:space="0" w:color="auto"/>
        <w:left w:val="none" w:sz="0" w:space="0" w:color="auto"/>
        <w:bottom w:val="none" w:sz="0" w:space="0" w:color="auto"/>
        <w:right w:val="none" w:sz="0" w:space="0" w:color="auto"/>
      </w:divBdr>
    </w:div>
    <w:div w:id="1623418634">
      <w:bodyDiv w:val="1"/>
      <w:marLeft w:val="0"/>
      <w:marRight w:val="0"/>
      <w:marTop w:val="0"/>
      <w:marBottom w:val="0"/>
      <w:divBdr>
        <w:top w:val="none" w:sz="0" w:space="0" w:color="auto"/>
        <w:left w:val="none" w:sz="0" w:space="0" w:color="auto"/>
        <w:bottom w:val="none" w:sz="0" w:space="0" w:color="auto"/>
        <w:right w:val="none" w:sz="0" w:space="0" w:color="auto"/>
      </w:divBdr>
    </w:div>
    <w:div w:id="1655987213">
      <w:bodyDiv w:val="1"/>
      <w:marLeft w:val="0"/>
      <w:marRight w:val="0"/>
      <w:marTop w:val="0"/>
      <w:marBottom w:val="0"/>
      <w:divBdr>
        <w:top w:val="none" w:sz="0" w:space="0" w:color="auto"/>
        <w:left w:val="none" w:sz="0" w:space="0" w:color="auto"/>
        <w:bottom w:val="none" w:sz="0" w:space="0" w:color="auto"/>
        <w:right w:val="none" w:sz="0" w:space="0" w:color="auto"/>
      </w:divBdr>
    </w:div>
    <w:div w:id="1676229618">
      <w:bodyDiv w:val="1"/>
      <w:marLeft w:val="0"/>
      <w:marRight w:val="0"/>
      <w:marTop w:val="0"/>
      <w:marBottom w:val="0"/>
      <w:divBdr>
        <w:top w:val="none" w:sz="0" w:space="0" w:color="auto"/>
        <w:left w:val="none" w:sz="0" w:space="0" w:color="auto"/>
        <w:bottom w:val="none" w:sz="0" w:space="0" w:color="auto"/>
        <w:right w:val="none" w:sz="0" w:space="0" w:color="auto"/>
      </w:divBdr>
    </w:div>
    <w:div w:id="1762139097">
      <w:bodyDiv w:val="1"/>
      <w:marLeft w:val="0"/>
      <w:marRight w:val="0"/>
      <w:marTop w:val="0"/>
      <w:marBottom w:val="0"/>
      <w:divBdr>
        <w:top w:val="none" w:sz="0" w:space="0" w:color="auto"/>
        <w:left w:val="none" w:sz="0" w:space="0" w:color="auto"/>
        <w:bottom w:val="none" w:sz="0" w:space="0" w:color="auto"/>
        <w:right w:val="none" w:sz="0" w:space="0" w:color="auto"/>
      </w:divBdr>
    </w:div>
    <w:div w:id="1798596377">
      <w:bodyDiv w:val="1"/>
      <w:marLeft w:val="0"/>
      <w:marRight w:val="0"/>
      <w:marTop w:val="0"/>
      <w:marBottom w:val="0"/>
      <w:divBdr>
        <w:top w:val="none" w:sz="0" w:space="0" w:color="auto"/>
        <w:left w:val="none" w:sz="0" w:space="0" w:color="auto"/>
        <w:bottom w:val="none" w:sz="0" w:space="0" w:color="auto"/>
        <w:right w:val="none" w:sz="0" w:space="0" w:color="auto"/>
      </w:divBdr>
    </w:div>
    <w:div w:id="1818767570">
      <w:bodyDiv w:val="1"/>
      <w:marLeft w:val="0"/>
      <w:marRight w:val="0"/>
      <w:marTop w:val="0"/>
      <w:marBottom w:val="0"/>
      <w:divBdr>
        <w:top w:val="none" w:sz="0" w:space="0" w:color="auto"/>
        <w:left w:val="none" w:sz="0" w:space="0" w:color="auto"/>
        <w:bottom w:val="none" w:sz="0" w:space="0" w:color="auto"/>
        <w:right w:val="none" w:sz="0" w:space="0" w:color="auto"/>
      </w:divBdr>
    </w:div>
    <w:div w:id="1829974903">
      <w:bodyDiv w:val="1"/>
      <w:marLeft w:val="0"/>
      <w:marRight w:val="0"/>
      <w:marTop w:val="0"/>
      <w:marBottom w:val="0"/>
      <w:divBdr>
        <w:top w:val="none" w:sz="0" w:space="0" w:color="auto"/>
        <w:left w:val="none" w:sz="0" w:space="0" w:color="auto"/>
        <w:bottom w:val="none" w:sz="0" w:space="0" w:color="auto"/>
        <w:right w:val="none" w:sz="0" w:space="0" w:color="auto"/>
      </w:divBdr>
    </w:div>
    <w:div w:id="1878621738">
      <w:bodyDiv w:val="1"/>
      <w:marLeft w:val="0"/>
      <w:marRight w:val="0"/>
      <w:marTop w:val="0"/>
      <w:marBottom w:val="0"/>
      <w:divBdr>
        <w:top w:val="none" w:sz="0" w:space="0" w:color="auto"/>
        <w:left w:val="none" w:sz="0" w:space="0" w:color="auto"/>
        <w:bottom w:val="none" w:sz="0" w:space="0" w:color="auto"/>
        <w:right w:val="none" w:sz="0" w:space="0" w:color="auto"/>
      </w:divBdr>
    </w:div>
    <w:div w:id="1951467269">
      <w:bodyDiv w:val="1"/>
      <w:marLeft w:val="0"/>
      <w:marRight w:val="0"/>
      <w:marTop w:val="0"/>
      <w:marBottom w:val="0"/>
      <w:divBdr>
        <w:top w:val="none" w:sz="0" w:space="0" w:color="auto"/>
        <w:left w:val="none" w:sz="0" w:space="0" w:color="auto"/>
        <w:bottom w:val="none" w:sz="0" w:space="0" w:color="auto"/>
        <w:right w:val="none" w:sz="0" w:space="0" w:color="auto"/>
      </w:divBdr>
    </w:div>
    <w:div w:id="1960717080">
      <w:bodyDiv w:val="1"/>
      <w:marLeft w:val="0"/>
      <w:marRight w:val="0"/>
      <w:marTop w:val="0"/>
      <w:marBottom w:val="0"/>
      <w:divBdr>
        <w:top w:val="none" w:sz="0" w:space="0" w:color="auto"/>
        <w:left w:val="none" w:sz="0" w:space="0" w:color="auto"/>
        <w:bottom w:val="none" w:sz="0" w:space="0" w:color="auto"/>
        <w:right w:val="none" w:sz="0" w:space="0" w:color="auto"/>
      </w:divBdr>
    </w:div>
    <w:div w:id="1967855624">
      <w:bodyDiv w:val="1"/>
      <w:marLeft w:val="0"/>
      <w:marRight w:val="0"/>
      <w:marTop w:val="0"/>
      <w:marBottom w:val="0"/>
      <w:divBdr>
        <w:top w:val="none" w:sz="0" w:space="0" w:color="auto"/>
        <w:left w:val="none" w:sz="0" w:space="0" w:color="auto"/>
        <w:bottom w:val="none" w:sz="0" w:space="0" w:color="auto"/>
        <w:right w:val="none" w:sz="0" w:space="0" w:color="auto"/>
      </w:divBdr>
    </w:div>
    <w:div w:id="2003779500">
      <w:bodyDiv w:val="1"/>
      <w:marLeft w:val="0"/>
      <w:marRight w:val="0"/>
      <w:marTop w:val="0"/>
      <w:marBottom w:val="0"/>
      <w:divBdr>
        <w:top w:val="none" w:sz="0" w:space="0" w:color="auto"/>
        <w:left w:val="none" w:sz="0" w:space="0" w:color="auto"/>
        <w:bottom w:val="none" w:sz="0" w:space="0" w:color="auto"/>
        <w:right w:val="none" w:sz="0" w:space="0" w:color="auto"/>
      </w:divBdr>
    </w:div>
    <w:div w:id="2045206264">
      <w:bodyDiv w:val="1"/>
      <w:marLeft w:val="0"/>
      <w:marRight w:val="0"/>
      <w:marTop w:val="0"/>
      <w:marBottom w:val="0"/>
      <w:divBdr>
        <w:top w:val="none" w:sz="0" w:space="0" w:color="auto"/>
        <w:left w:val="none" w:sz="0" w:space="0" w:color="auto"/>
        <w:bottom w:val="none" w:sz="0" w:space="0" w:color="auto"/>
        <w:right w:val="none" w:sz="0" w:space="0" w:color="auto"/>
      </w:divBdr>
    </w:div>
    <w:div w:id="2067990436">
      <w:bodyDiv w:val="1"/>
      <w:marLeft w:val="0"/>
      <w:marRight w:val="0"/>
      <w:marTop w:val="0"/>
      <w:marBottom w:val="0"/>
      <w:divBdr>
        <w:top w:val="none" w:sz="0" w:space="0" w:color="auto"/>
        <w:left w:val="none" w:sz="0" w:space="0" w:color="auto"/>
        <w:bottom w:val="none" w:sz="0" w:space="0" w:color="auto"/>
        <w:right w:val="none" w:sz="0" w:space="0" w:color="auto"/>
      </w:divBdr>
    </w:div>
    <w:div w:id="2099448173">
      <w:bodyDiv w:val="1"/>
      <w:marLeft w:val="0"/>
      <w:marRight w:val="0"/>
      <w:marTop w:val="0"/>
      <w:marBottom w:val="0"/>
      <w:divBdr>
        <w:top w:val="none" w:sz="0" w:space="0" w:color="auto"/>
        <w:left w:val="none" w:sz="0" w:space="0" w:color="auto"/>
        <w:bottom w:val="none" w:sz="0" w:space="0" w:color="auto"/>
        <w:right w:val="none" w:sz="0" w:space="0" w:color="auto"/>
      </w:divBdr>
    </w:div>
    <w:div w:id="21156363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mwapasa69@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ta@mlw.mw"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actr.samrc.ac.za/Search.aspx" TargetMode="External"/><Relationship Id="rId4" Type="http://schemas.openxmlformats.org/officeDocument/2006/relationships/settings" Target="settings.xml"/><Relationship Id="rId9" Type="http://schemas.openxmlformats.org/officeDocument/2006/relationships/hyperlink" Target="mailto:esevene68@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8A23F-61DD-3A44-94E7-DCB70D8DD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33821</Words>
  <Characters>192781</Characters>
  <Application>Microsoft Office Word</Application>
  <DocSecurity>0</DocSecurity>
  <Lines>1606</Lines>
  <Paragraphs>452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2019-07-26T12:29:00Z</dcterms:created>
  <dcterms:modified xsi:type="dcterms:W3CDTF">2019-07-26T12:43:00Z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bac785d0-c8b6-3be9-8b3c-a9b780255bd0</vt:lpwstr>
  </property>
  <property fmtid="{D5CDD505-2E9C-101B-9397-08002B2CF9AE}" pid="4" name="Mendeley Citation Style_1">
    <vt:lpwstr>http://www.zotero.org/styles/malaria-journal</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vt:lpwstr>
  </property>
  <property fmtid="{D5CDD505-2E9C-101B-9397-08002B2CF9AE}" pid="9" name="Mendeley Recent Style Id 2_1">
    <vt:lpwstr>http://www.zotero.org/styles/bmc-medicine</vt:lpwstr>
  </property>
  <property fmtid="{D5CDD505-2E9C-101B-9397-08002B2CF9AE}" pid="10" name="Mendeley Recent Style Name 2_1">
    <vt:lpwstr>BMC Medicine</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http://www.zotero.org/styles/clinical-infectious-diseases</vt:lpwstr>
  </property>
  <property fmtid="{D5CDD505-2E9C-101B-9397-08002B2CF9AE}" pid="14" name="Mendeley Recent Style Name 4_1">
    <vt:lpwstr>Clinical Infectious Diseases</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http://www.zotero.org/styles/journal-of-infectious-diseases</vt:lpwstr>
  </property>
  <property fmtid="{D5CDD505-2E9C-101B-9397-08002B2CF9AE}" pid="18" name="Mendeley Recent Style Name 6_1">
    <vt:lpwstr>Journal of Infectious Diseases</vt:lpwstr>
  </property>
  <property fmtid="{D5CDD505-2E9C-101B-9397-08002B2CF9AE}" pid="19" name="Mendeley Recent Style Id 7_1">
    <vt:lpwstr>http://www.zotero.org/styles/malaria-journal</vt:lpwstr>
  </property>
  <property fmtid="{D5CDD505-2E9C-101B-9397-08002B2CF9AE}" pid="20" name="Mendeley Recent Style Name 7_1">
    <vt:lpwstr>Malaria Journal</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http://www.zotero.org/styles/plos-one</vt:lpwstr>
  </property>
  <property fmtid="{D5CDD505-2E9C-101B-9397-08002B2CF9AE}" pid="24" name="Mendeley Recent Style Name 9_1">
    <vt:lpwstr>PLOS ONE</vt:lpwstr>
  </property>
</Properties>
</file>