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F0F84A" w14:textId="510559AA" w:rsidR="007C3F26" w:rsidRPr="00B36586" w:rsidRDefault="00125266" w:rsidP="0022515F">
      <w:pPr>
        <w:spacing w:after="240"/>
        <w:rPr>
          <w:b/>
          <w:sz w:val="40"/>
          <w:szCs w:val="40"/>
        </w:rPr>
      </w:pPr>
      <w:r w:rsidRPr="00B36586">
        <w:rPr>
          <w:b/>
          <w:sz w:val="40"/>
          <w:szCs w:val="40"/>
        </w:rPr>
        <w:t>Comparison of long-read sequencing technologies in the hybrid assembly of complex bacterial genomes</w:t>
      </w:r>
    </w:p>
    <w:p w14:paraId="6D31BFAF" w14:textId="06A62DE0" w:rsidR="008A3389" w:rsidRPr="0022515F" w:rsidRDefault="00B2619C" w:rsidP="0022515F">
      <w:pPr>
        <w:spacing w:after="240"/>
      </w:pPr>
      <w:r w:rsidRPr="00B36586">
        <w:t xml:space="preserve">Nicola </w:t>
      </w:r>
      <w:r w:rsidR="009465F0" w:rsidRPr="00B36586">
        <w:t>De Maio</w:t>
      </w:r>
      <w:r w:rsidR="0016173D" w:rsidRPr="00B36586">
        <w:rPr>
          <w:vertAlign w:val="superscript"/>
        </w:rPr>
        <w:t>1</w:t>
      </w:r>
      <w:r w:rsidR="00181491" w:rsidRPr="00B36586">
        <w:rPr>
          <w:vertAlign w:val="superscript"/>
        </w:rPr>
        <w:t>*</w:t>
      </w:r>
      <w:r w:rsidR="00FB658C" w:rsidRPr="00B36586">
        <w:t xml:space="preserve">, </w:t>
      </w:r>
      <w:r w:rsidRPr="00B36586">
        <w:t xml:space="preserve">Liam P. </w:t>
      </w:r>
      <w:r w:rsidR="00125266" w:rsidRPr="00B36586">
        <w:t>Shaw</w:t>
      </w:r>
      <w:r w:rsidR="0016173D" w:rsidRPr="00B36586">
        <w:rPr>
          <w:vertAlign w:val="superscript"/>
        </w:rPr>
        <w:t>1</w:t>
      </w:r>
      <w:r w:rsidR="00181491" w:rsidRPr="00B36586">
        <w:rPr>
          <w:vertAlign w:val="superscript"/>
        </w:rPr>
        <w:t>*</w:t>
      </w:r>
      <w:r w:rsidR="00125266" w:rsidRPr="00B36586">
        <w:t xml:space="preserve">, </w:t>
      </w:r>
      <w:r w:rsidR="00126729">
        <w:t>Ala</w:t>
      </w:r>
      <w:r w:rsidRPr="00B36586">
        <w:t xml:space="preserve">sdair </w:t>
      </w:r>
      <w:r w:rsidR="009465F0" w:rsidRPr="00B36586">
        <w:t>Hubbard</w:t>
      </w:r>
      <w:r w:rsidR="00156502" w:rsidRPr="00B36586">
        <w:rPr>
          <w:vertAlign w:val="superscript"/>
        </w:rPr>
        <w:t>2</w:t>
      </w:r>
      <w:r w:rsidR="009465F0" w:rsidRPr="00B36586">
        <w:t>,</w:t>
      </w:r>
      <w:r w:rsidRPr="00B36586">
        <w:t xml:space="preserve"> Sophie</w:t>
      </w:r>
      <w:r w:rsidR="009465F0" w:rsidRPr="00B36586">
        <w:t xml:space="preserve"> George</w:t>
      </w:r>
      <w:r w:rsidR="0016173D" w:rsidRPr="00B36586">
        <w:rPr>
          <w:vertAlign w:val="superscript"/>
        </w:rPr>
        <w:t>1</w:t>
      </w:r>
      <w:r w:rsidR="00D83132" w:rsidRPr="00B36586">
        <w:rPr>
          <w:vertAlign w:val="superscript"/>
        </w:rPr>
        <w:t>,3</w:t>
      </w:r>
      <w:r w:rsidR="009465F0" w:rsidRPr="00B36586">
        <w:t xml:space="preserve">, </w:t>
      </w:r>
      <w:r w:rsidR="00431920">
        <w:t>Nicholas D.</w:t>
      </w:r>
      <w:r w:rsidR="00431920" w:rsidRPr="00B36586">
        <w:t xml:space="preserve"> </w:t>
      </w:r>
      <w:r w:rsidR="009465F0" w:rsidRPr="00B36586">
        <w:t>Sanderson</w:t>
      </w:r>
      <w:r w:rsidR="0016173D" w:rsidRPr="00B36586">
        <w:rPr>
          <w:vertAlign w:val="superscript"/>
        </w:rPr>
        <w:t>1</w:t>
      </w:r>
      <w:r w:rsidR="009465F0" w:rsidRPr="00B36586">
        <w:t xml:space="preserve">, </w:t>
      </w:r>
      <w:r w:rsidRPr="00B36586">
        <w:t xml:space="preserve">Jeremy </w:t>
      </w:r>
      <w:r w:rsidR="009465F0" w:rsidRPr="00B36586">
        <w:t>Swann</w:t>
      </w:r>
      <w:r w:rsidR="0016173D" w:rsidRPr="00B36586">
        <w:rPr>
          <w:vertAlign w:val="superscript"/>
        </w:rPr>
        <w:t>1</w:t>
      </w:r>
      <w:r w:rsidR="009465F0" w:rsidRPr="00B36586">
        <w:t xml:space="preserve">, </w:t>
      </w:r>
      <w:r w:rsidRPr="00B36586">
        <w:t xml:space="preserve">Ryan </w:t>
      </w:r>
      <w:r w:rsidR="009465F0" w:rsidRPr="00B36586">
        <w:t>Wick</w:t>
      </w:r>
      <w:r w:rsidR="00D83132" w:rsidRPr="00B36586">
        <w:rPr>
          <w:vertAlign w:val="superscript"/>
        </w:rPr>
        <w:t>4</w:t>
      </w:r>
      <w:r w:rsidR="009465F0" w:rsidRPr="00B36586">
        <w:t xml:space="preserve">, </w:t>
      </w:r>
      <w:r w:rsidRPr="00B36586">
        <w:t xml:space="preserve">Manal </w:t>
      </w:r>
      <w:r w:rsidR="00796408" w:rsidRPr="00B36586">
        <w:t>Abu</w:t>
      </w:r>
      <w:r w:rsidRPr="00B36586">
        <w:t>Oun</w:t>
      </w:r>
      <w:r w:rsidR="00D83132" w:rsidRPr="00B36586">
        <w:rPr>
          <w:vertAlign w:val="superscript"/>
        </w:rPr>
        <w:t>5</w:t>
      </w:r>
      <w:r w:rsidR="00796408" w:rsidRPr="00B36586">
        <w:t xml:space="preserve">, </w:t>
      </w:r>
      <w:r w:rsidRPr="00B36586">
        <w:t xml:space="preserve">Emma </w:t>
      </w:r>
      <w:r w:rsidR="00796408" w:rsidRPr="00B36586">
        <w:t>Stubberfield</w:t>
      </w:r>
      <w:r w:rsidR="00D83132" w:rsidRPr="00B36586">
        <w:rPr>
          <w:vertAlign w:val="superscript"/>
        </w:rPr>
        <w:t>5</w:t>
      </w:r>
      <w:r w:rsidR="00796408" w:rsidRPr="00B36586">
        <w:t xml:space="preserve">, </w:t>
      </w:r>
      <w:r w:rsidRPr="00B36586">
        <w:t xml:space="preserve">Sarah J. </w:t>
      </w:r>
      <w:r w:rsidR="008A3389" w:rsidRPr="00B36586">
        <w:t>Hoosdally</w:t>
      </w:r>
      <w:r w:rsidR="00560FFD" w:rsidRPr="00B36586">
        <w:rPr>
          <w:vertAlign w:val="superscript"/>
        </w:rPr>
        <w:t>1</w:t>
      </w:r>
      <w:r w:rsidR="008A3389" w:rsidRPr="00B36586">
        <w:t xml:space="preserve">, </w:t>
      </w:r>
      <w:r w:rsidRPr="00B36586">
        <w:t xml:space="preserve">Derrick W. </w:t>
      </w:r>
      <w:r w:rsidR="00AB51C0" w:rsidRPr="00B36586">
        <w:t>Crook</w:t>
      </w:r>
      <w:r w:rsidR="00560FFD" w:rsidRPr="00B36586">
        <w:rPr>
          <w:vertAlign w:val="superscript"/>
        </w:rPr>
        <w:t>1</w:t>
      </w:r>
      <w:r w:rsidR="00D83132" w:rsidRPr="00B36586">
        <w:rPr>
          <w:vertAlign w:val="superscript"/>
        </w:rPr>
        <w:t>,3</w:t>
      </w:r>
      <w:r w:rsidR="009465F0" w:rsidRPr="00B36586">
        <w:t xml:space="preserve">, </w:t>
      </w:r>
      <w:r w:rsidRPr="00B36586">
        <w:t xml:space="preserve">Timothy E. A. </w:t>
      </w:r>
      <w:r w:rsidR="009465F0" w:rsidRPr="00B36586">
        <w:t>Peto</w:t>
      </w:r>
      <w:r w:rsidR="00560FFD" w:rsidRPr="00B36586">
        <w:rPr>
          <w:vertAlign w:val="superscript"/>
        </w:rPr>
        <w:t>1</w:t>
      </w:r>
      <w:r w:rsidR="00D83132" w:rsidRPr="00B36586">
        <w:rPr>
          <w:vertAlign w:val="superscript"/>
        </w:rPr>
        <w:t>,3</w:t>
      </w:r>
      <w:r w:rsidR="009465F0" w:rsidRPr="00B36586">
        <w:t>,</w:t>
      </w:r>
      <w:r w:rsidR="00645B33" w:rsidRPr="00B36586">
        <w:t xml:space="preserve"> </w:t>
      </w:r>
      <w:r w:rsidRPr="00B36586">
        <w:t xml:space="preserve">Anna E. </w:t>
      </w:r>
      <w:r w:rsidR="00B607EC" w:rsidRPr="00B36586">
        <w:t>Sh</w:t>
      </w:r>
      <w:r w:rsidRPr="00B36586">
        <w:t>eppard</w:t>
      </w:r>
      <w:r w:rsidR="00560FFD" w:rsidRPr="00B36586">
        <w:rPr>
          <w:vertAlign w:val="superscript"/>
        </w:rPr>
        <w:t>1</w:t>
      </w:r>
      <w:r w:rsidR="00D83132" w:rsidRPr="00B36586">
        <w:rPr>
          <w:vertAlign w:val="superscript"/>
        </w:rPr>
        <w:t>,3</w:t>
      </w:r>
      <w:r w:rsidR="00B607EC" w:rsidRPr="00B36586">
        <w:t xml:space="preserve">, </w:t>
      </w:r>
      <w:r w:rsidRPr="00B36586">
        <w:t xml:space="preserve">Mark J. </w:t>
      </w:r>
      <w:r w:rsidR="008B2001" w:rsidRPr="00B36586">
        <w:t>Bailey</w:t>
      </w:r>
      <w:r w:rsidR="00D83132" w:rsidRPr="00B36586">
        <w:rPr>
          <w:vertAlign w:val="superscript"/>
        </w:rPr>
        <w:t>6</w:t>
      </w:r>
      <w:r w:rsidR="008B2001" w:rsidRPr="00B36586">
        <w:t xml:space="preserve">, </w:t>
      </w:r>
      <w:r w:rsidRPr="00B36586">
        <w:t xml:space="preserve">Daniel S. </w:t>
      </w:r>
      <w:r w:rsidR="009465F0" w:rsidRPr="00B36586">
        <w:t>Read</w:t>
      </w:r>
      <w:r w:rsidR="00D83132" w:rsidRPr="00B36586">
        <w:rPr>
          <w:vertAlign w:val="superscript"/>
        </w:rPr>
        <w:t>6</w:t>
      </w:r>
      <w:r w:rsidR="009465F0" w:rsidRPr="00B36586">
        <w:t xml:space="preserve">, </w:t>
      </w:r>
      <w:r w:rsidRPr="00B36586">
        <w:t xml:space="preserve">Muna F. </w:t>
      </w:r>
      <w:r w:rsidR="009465F0" w:rsidRPr="00B36586">
        <w:t>Anjum</w:t>
      </w:r>
      <w:r w:rsidR="00D83132" w:rsidRPr="00B36586">
        <w:rPr>
          <w:vertAlign w:val="superscript"/>
        </w:rPr>
        <w:t>5</w:t>
      </w:r>
      <w:r w:rsidR="009465F0" w:rsidRPr="00B36586">
        <w:t xml:space="preserve">, </w:t>
      </w:r>
      <w:r w:rsidRPr="00B36586">
        <w:t xml:space="preserve">A. Sarah </w:t>
      </w:r>
      <w:r w:rsidR="00645B33" w:rsidRPr="00B36586">
        <w:t>Walker</w:t>
      </w:r>
      <w:r w:rsidR="00D4507E" w:rsidRPr="00B36586">
        <w:rPr>
          <w:vertAlign w:val="superscript"/>
        </w:rPr>
        <w:t>1</w:t>
      </w:r>
      <w:r w:rsidR="00D83132" w:rsidRPr="00B36586">
        <w:rPr>
          <w:vertAlign w:val="superscript"/>
        </w:rPr>
        <w:t>,3</w:t>
      </w:r>
      <w:r w:rsidR="00645B33" w:rsidRPr="00B36586">
        <w:t xml:space="preserve">, </w:t>
      </w:r>
      <w:r w:rsidRPr="00B36586">
        <w:t xml:space="preserve">Nicole </w:t>
      </w:r>
      <w:r w:rsidR="009465F0" w:rsidRPr="00B36586">
        <w:t>Stoesser</w:t>
      </w:r>
      <w:r w:rsidR="00D4507E" w:rsidRPr="00B36586">
        <w:rPr>
          <w:vertAlign w:val="superscript"/>
        </w:rPr>
        <w:t>1</w:t>
      </w:r>
      <w:r w:rsidR="009465F0" w:rsidRPr="00B36586">
        <w:t xml:space="preserve"> on behalf of </w:t>
      </w:r>
      <w:r w:rsidR="00AB51C0" w:rsidRPr="00B36586">
        <w:t>the REHAB consortium</w:t>
      </w:r>
    </w:p>
    <w:p w14:paraId="7A134618" w14:textId="77777777" w:rsidR="0022515F" w:rsidRDefault="0016173D" w:rsidP="0022515F">
      <w:pPr>
        <w:spacing w:after="80"/>
      </w:pPr>
      <w:r w:rsidRPr="00B36586">
        <w:t xml:space="preserve">1: </w:t>
      </w:r>
      <w:r w:rsidR="007412C4" w:rsidRPr="00B36586">
        <w:t xml:space="preserve">Nuffield Department of Medicine, University of Oxford, Oxford, </w:t>
      </w:r>
      <w:r w:rsidR="00A62FC5" w:rsidRPr="00B36586">
        <w:t>UK.</w:t>
      </w:r>
    </w:p>
    <w:p w14:paraId="1CB3894C" w14:textId="77777777" w:rsidR="0022515F" w:rsidRDefault="00351270" w:rsidP="0022515F">
      <w:pPr>
        <w:spacing w:after="80"/>
      </w:pPr>
      <w:r w:rsidRPr="00B36586">
        <w:t>2</w:t>
      </w:r>
      <w:r w:rsidR="0016173D" w:rsidRPr="00B36586">
        <w:t>: Department of Tropical Disease Biology</w:t>
      </w:r>
      <w:r w:rsidR="001F2F71" w:rsidRPr="00B36586">
        <w:t xml:space="preserve">, Liverpool School of Tropical Medicine, </w:t>
      </w:r>
      <w:r w:rsidR="00E76D4F" w:rsidRPr="00B36586">
        <w:t xml:space="preserve">Liverpool, </w:t>
      </w:r>
      <w:r w:rsidR="001F2F71" w:rsidRPr="00B36586">
        <w:t>L3 5QA</w:t>
      </w:r>
      <w:r w:rsidR="005670D7" w:rsidRPr="00B36586">
        <w:t xml:space="preserve">, </w:t>
      </w:r>
      <w:r w:rsidR="001F2F71" w:rsidRPr="00B36586">
        <w:t>UK</w:t>
      </w:r>
      <w:r w:rsidR="006D4DB5" w:rsidRPr="00B36586">
        <w:t>.</w:t>
      </w:r>
    </w:p>
    <w:p w14:paraId="319DE227" w14:textId="303A93A9" w:rsidR="0022515F" w:rsidRDefault="00351270" w:rsidP="0022515F">
      <w:pPr>
        <w:spacing w:after="80"/>
      </w:pPr>
      <w:r w:rsidRPr="00B36586">
        <w:t>3</w:t>
      </w:r>
      <w:r w:rsidR="00ED4283" w:rsidRPr="00B36586">
        <w:t xml:space="preserve">: </w:t>
      </w:r>
      <w:r w:rsidR="00431920">
        <w:t xml:space="preserve">NIHR </w:t>
      </w:r>
      <w:r w:rsidR="00D83132" w:rsidRPr="00B36586">
        <w:t>HPRU Health Protection Research Unit in Healthcare Associated Infections and Antimicrobial Resistance at University of Oxford in partnership with Public Health England, Oxford</w:t>
      </w:r>
      <w:r w:rsidR="00C01440" w:rsidRPr="00B36586">
        <w:t xml:space="preserve">, UK. </w:t>
      </w:r>
    </w:p>
    <w:p w14:paraId="0DDD480E" w14:textId="77777777" w:rsidR="0022515F" w:rsidRDefault="00D83132" w:rsidP="0022515F">
      <w:pPr>
        <w:spacing w:after="80"/>
      </w:pPr>
      <w:r w:rsidRPr="00B36586">
        <w:t xml:space="preserve">4: </w:t>
      </w:r>
      <w:r w:rsidR="00ED4283" w:rsidRPr="00B36586">
        <w:t>Department of Biochemistry and Molecular Biology, Bio21 Molecular Science and Biotechnology Institute, University of Melbourne, Australia</w:t>
      </w:r>
      <w:r w:rsidR="006D4DB5" w:rsidRPr="00B36586">
        <w:t>.</w:t>
      </w:r>
    </w:p>
    <w:p w14:paraId="23FE3AF4" w14:textId="77777777" w:rsidR="0022515F" w:rsidRDefault="00D83132" w:rsidP="0022515F">
      <w:pPr>
        <w:spacing w:after="80"/>
      </w:pPr>
      <w:r w:rsidRPr="00B36586">
        <w:t>5</w:t>
      </w:r>
      <w:r w:rsidR="0016173D" w:rsidRPr="00B36586">
        <w:t xml:space="preserve">: </w:t>
      </w:r>
      <w:r w:rsidR="005072CE" w:rsidRPr="00B36586">
        <w:t>Department of Bacteriology, Animal and Plant Health Agency, Addlestone, Surrey, KT15 3NB</w:t>
      </w:r>
      <w:r w:rsidR="00696FF7" w:rsidRPr="00B36586">
        <w:t>, UK</w:t>
      </w:r>
    </w:p>
    <w:p w14:paraId="3C18288C" w14:textId="77777777" w:rsidR="0022515F" w:rsidRDefault="00D83132" w:rsidP="0022515F">
      <w:pPr>
        <w:spacing w:after="120"/>
      </w:pPr>
      <w:r w:rsidRPr="00B36586">
        <w:t>6</w:t>
      </w:r>
      <w:r w:rsidR="00ED4283" w:rsidRPr="00B36586">
        <w:t>: Centre for Ecology &amp; Hydrology, Benson Lane, Crowmarsh Gifford, Wallingford, OX10 8BB, UK</w:t>
      </w:r>
      <w:r w:rsidR="006D4DB5" w:rsidRPr="00B36586">
        <w:t>.</w:t>
      </w:r>
    </w:p>
    <w:p w14:paraId="1874900C" w14:textId="7B81C2B9" w:rsidR="0022515F" w:rsidRDefault="00181491" w:rsidP="0022515F">
      <w:pPr>
        <w:spacing w:after="120"/>
      </w:pPr>
      <w:r w:rsidRPr="00B36586">
        <w:t xml:space="preserve">* These authors contributed equally. </w:t>
      </w:r>
    </w:p>
    <w:p w14:paraId="7F840359" w14:textId="5121CAF9" w:rsidR="00191143" w:rsidRPr="00B36586" w:rsidRDefault="00F15DDF" w:rsidP="0022515F">
      <w:pPr>
        <w:spacing w:after="120"/>
      </w:pPr>
      <w:r w:rsidRPr="00B36586">
        <w:t>Corresponding author</w:t>
      </w:r>
      <w:r w:rsidR="005B307A" w:rsidRPr="00B36586">
        <w:t>s</w:t>
      </w:r>
      <w:r w:rsidRPr="00B36586">
        <w:t xml:space="preserve">: </w:t>
      </w:r>
      <w:r w:rsidR="00C16145">
        <w:br/>
        <w:t>Liam Shaw (</w:t>
      </w:r>
      <w:hyperlink r:id="rId8" w:history="1">
        <w:r w:rsidR="00C16145" w:rsidRPr="007C6963">
          <w:rPr>
            <w:rStyle w:val="Hyperlink"/>
          </w:rPr>
          <w:t>liam.shaw@ndm.ox.ac.uk</w:t>
        </w:r>
      </w:hyperlink>
      <w:r w:rsidR="00C16145">
        <w:t xml:space="preserve">) &amp; </w:t>
      </w:r>
      <w:r w:rsidRPr="00B36586">
        <w:t>Nicole Stoesser</w:t>
      </w:r>
      <w:r w:rsidR="00C16145">
        <w:t xml:space="preserve"> (</w:t>
      </w:r>
      <w:hyperlink r:id="rId9" w:history="1">
        <w:r w:rsidR="00C16145" w:rsidRPr="007C6963">
          <w:rPr>
            <w:rStyle w:val="Hyperlink"/>
          </w:rPr>
          <w:t>nicole.stoesser@ndm.ox.ac.uk</w:t>
        </w:r>
      </w:hyperlink>
      <w:r w:rsidR="00C16145" w:rsidRPr="00C16145">
        <w:rPr>
          <w:rStyle w:val="Hyperlink"/>
          <w:color w:val="auto"/>
        </w:rPr>
        <w:t>)</w:t>
      </w:r>
      <w:r w:rsidRPr="00B36586">
        <w:t xml:space="preserve"> </w:t>
      </w:r>
      <w:r w:rsidR="00191143" w:rsidRPr="00B36586">
        <w:rPr>
          <w:b/>
          <w:color w:val="008461" w:themeColor="accent3"/>
        </w:rPr>
        <w:br w:type="page"/>
      </w:r>
    </w:p>
    <w:p w14:paraId="61DF4C0E" w14:textId="2BEB8E46" w:rsidR="00AB51C0" w:rsidRPr="00B36586" w:rsidRDefault="00C95227" w:rsidP="00223FA0">
      <w:pPr>
        <w:spacing w:before="120" w:after="120"/>
        <w:jc w:val="both"/>
        <w:rPr>
          <w:b/>
          <w:color w:val="008461" w:themeColor="accent3"/>
          <w:sz w:val="32"/>
          <w:szCs w:val="32"/>
        </w:rPr>
      </w:pPr>
      <w:r w:rsidRPr="00B36586">
        <w:rPr>
          <w:b/>
          <w:color w:val="008461" w:themeColor="accent3"/>
          <w:sz w:val="32"/>
          <w:szCs w:val="32"/>
        </w:rPr>
        <w:lastRenderedPageBreak/>
        <w:t>ABSTRACT</w:t>
      </w:r>
    </w:p>
    <w:p w14:paraId="5C042FD8" w14:textId="3F7B36F4" w:rsidR="00C95227" w:rsidRPr="00B36586" w:rsidRDefault="00F103A7" w:rsidP="00223FA0">
      <w:pPr>
        <w:jc w:val="both"/>
      </w:pPr>
      <w:r w:rsidRPr="00B36586">
        <w:t xml:space="preserve">Illumina sequencing allows rapid, cheap and accurate whole genome bacterial </w:t>
      </w:r>
      <w:r w:rsidR="00552ED7" w:rsidRPr="00B36586">
        <w:t>analyses, but</w:t>
      </w:r>
      <w:r w:rsidR="00A16349" w:rsidRPr="00B36586">
        <w:t xml:space="preserve"> </w:t>
      </w:r>
      <w:r w:rsidRPr="00B36586">
        <w:t>short read</w:t>
      </w:r>
      <w:r w:rsidR="00696B3C" w:rsidRPr="00B36586">
        <w:t xml:space="preserve">s </w:t>
      </w:r>
      <w:r w:rsidR="00363688" w:rsidRPr="00B36586">
        <w:t xml:space="preserve">(&lt;300 bp) </w:t>
      </w:r>
      <w:r w:rsidRPr="00B36586">
        <w:t xml:space="preserve">do not </w:t>
      </w:r>
      <w:r w:rsidR="004772A8" w:rsidRPr="00B36586">
        <w:t xml:space="preserve">usually enable </w:t>
      </w:r>
      <w:r w:rsidRPr="00B36586">
        <w:t>complete</w:t>
      </w:r>
      <w:r w:rsidR="004772A8" w:rsidRPr="00B36586">
        <w:t xml:space="preserve"> </w:t>
      </w:r>
      <w:r w:rsidRPr="00B36586">
        <w:t>genome</w:t>
      </w:r>
      <w:r w:rsidR="004772A8" w:rsidRPr="00B36586">
        <w:t xml:space="preserve"> assembly</w:t>
      </w:r>
      <w:r w:rsidR="008C5E1E" w:rsidRPr="00B36586">
        <w:t>. Long</w:t>
      </w:r>
      <w:r w:rsidR="00CF52C2">
        <w:t>-</w:t>
      </w:r>
      <w:r w:rsidR="008C5E1E" w:rsidRPr="00B36586">
        <w:t>read sequenc</w:t>
      </w:r>
      <w:r w:rsidR="00A16349" w:rsidRPr="00B36586">
        <w:t>ing</w:t>
      </w:r>
      <w:r w:rsidR="00470A2B" w:rsidRPr="00B36586">
        <w:t xml:space="preserve"> greatly </w:t>
      </w:r>
      <w:r w:rsidR="00696B3C" w:rsidRPr="00B36586">
        <w:t>assist</w:t>
      </w:r>
      <w:r w:rsidR="00A16349" w:rsidRPr="00B36586">
        <w:t>s</w:t>
      </w:r>
      <w:r w:rsidRPr="00B36586">
        <w:t xml:space="preserve"> </w:t>
      </w:r>
      <w:r w:rsidR="00125266" w:rsidRPr="00B36586">
        <w:t>with resolving complex</w:t>
      </w:r>
      <w:r w:rsidRPr="00B36586">
        <w:t xml:space="preserve"> bacterial genomes, particular</w:t>
      </w:r>
      <w:r w:rsidR="00696B3C" w:rsidRPr="00B36586">
        <w:t>ly</w:t>
      </w:r>
      <w:r w:rsidRPr="00B36586">
        <w:t xml:space="preserve"> </w:t>
      </w:r>
      <w:r w:rsidR="00A16349" w:rsidRPr="00B36586">
        <w:t xml:space="preserve">when combined </w:t>
      </w:r>
      <w:r w:rsidR="00D62C1B" w:rsidRPr="00B36586">
        <w:t>with short-read Illumina data</w:t>
      </w:r>
      <w:r w:rsidR="009C1E7A" w:rsidRPr="00B36586">
        <w:t xml:space="preserve"> (h</w:t>
      </w:r>
      <w:r w:rsidR="00A16349" w:rsidRPr="00B36586">
        <w:t>ybri</w:t>
      </w:r>
      <w:r w:rsidR="009C1E7A" w:rsidRPr="00B36586">
        <w:t>d</w:t>
      </w:r>
      <w:r w:rsidR="00A16349" w:rsidRPr="00B36586">
        <w:t xml:space="preserve"> assembly</w:t>
      </w:r>
      <w:r w:rsidR="009C1E7A" w:rsidRPr="00B36586">
        <w:t>)</w:t>
      </w:r>
      <w:r w:rsidR="00460B84" w:rsidRPr="00B36586">
        <w:t>. H</w:t>
      </w:r>
      <w:r w:rsidR="0082201B" w:rsidRPr="00B36586">
        <w:t xml:space="preserve">owever, it is not clear </w:t>
      </w:r>
      <w:r w:rsidR="00D62C1B" w:rsidRPr="00B36586">
        <w:t xml:space="preserve">how </w:t>
      </w:r>
      <w:r w:rsidR="00125266" w:rsidRPr="00B36586">
        <w:t>different</w:t>
      </w:r>
      <w:r w:rsidR="004772A8" w:rsidRPr="00B36586">
        <w:t xml:space="preserve"> </w:t>
      </w:r>
      <w:r w:rsidR="0082201B" w:rsidRPr="00B36586">
        <w:t>long</w:t>
      </w:r>
      <w:r w:rsidR="00125266" w:rsidRPr="00B36586">
        <w:t>-</w:t>
      </w:r>
      <w:r w:rsidR="0082201B" w:rsidRPr="00B36586">
        <w:t xml:space="preserve">read sequencing </w:t>
      </w:r>
      <w:r w:rsidR="00D62C1B" w:rsidRPr="00B36586">
        <w:t xml:space="preserve">methods </w:t>
      </w:r>
      <w:r w:rsidR="009C1E7A" w:rsidRPr="00B36586">
        <w:t>impact on</w:t>
      </w:r>
      <w:r w:rsidR="00D62C1B" w:rsidRPr="00B36586">
        <w:t xml:space="preserve"> assembly accuracy</w:t>
      </w:r>
      <w:r w:rsidR="0082201B" w:rsidRPr="00B36586">
        <w:t>.</w:t>
      </w:r>
      <w:r w:rsidRPr="00B36586">
        <w:t xml:space="preserve"> </w:t>
      </w:r>
      <w:r w:rsidR="008C5E1E" w:rsidRPr="00B36586">
        <w:t>Relative automation of the assembly process</w:t>
      </w:r>
      <w:r w:rsidR="00A16349" w:rsidRPr="00B36586">
        <w:t xml:space="preserve"> is also crucial to facilitating high-throughput complete bacterial genome reconstruction</w:t>
      </w:r>
      <w:r w:rsidR="008C5E1E" w:rsidRPr="00B36586">
        <w:t xml:space="preserve">, </w:t>
      </w:r>
      <w:r w:rsidR="00A16349" w:rsidRPr="00B36586">
        <w:t>avoiding</w:t>
      </w:r>
      <w:r w:rsidR="008C5E1E" w:rsidRPr="00B36586">
        <w:t xml:space="preserve"> multiple bespoke filtering and data manipulation steps.</w:t>
      </w:r>
      <w:r w:rsidR="00470A2B" w:rsidRPr="00B36586">
        <w:t xml:space="preserve"> In this study, we</w:t>
      </w:r>
      <w:r w:rsidRPr="00B36586">
        <w:t xml:space="preserve"> </w:t>
      </w:r>
      <w:r w:rsidR="008C5E1E" w:rsidRPr="00B36586">
        <w:t>compare</w:t>
      </w:r>
      <w:r w:rsidR="00470A2B" w:rsidRPr="00B36586">
        <w:t>d</w:t>
      </w:r>
      <w:r w:rsidR="008C5E1E" w:rsidRPr="00B36586">
        <w:t xml:space="preserve"> hybrid assemblies for </w:t>
      </w:r>
      <w:r w:rsidRPr="00B36586">
        <w:t>20 bacterial isol</w:t>
      </w:r>
      <w:r w:rsidR="004772A8" w:rsidRPr="00B36586">
        <w:t>a</w:t>
      </w:r>
      <w:r w:rsidRPr="00B36586">
        <w:t>t</w:t>
      </w:r>
      <w:r w:rsidR="004772A8" w:rsidRPr="00B36586">
        <w:t>e</w:t>
      </w:r>
      <w:r w:rsidRPr="00B36586">
        <w:t>s</w:t>
      </w:r>
      <w:r w:rsidR="008C5E1E" w:rsidRPr="00B36586">
        <w:t>, including two reference strains,</w:t>
      </w:r>
      <w:r w:rsidRPr="00B36586">
        <w:t xml:space="preserve"> using Illumina sequencing and long</w:t>
      </w:r>
      <w:r w:rsidR="00DF2225">
        <w:t xml:space="preserve"> </w:t>
      </w:r>
      <w:r w:rsidRPr="00B36586">
        <w:t xml:space="preserve">reads from </w:t>
      </w:r>
      <w:r w:rsidR="008C5E1E" w:rsidRPr="00B36586">
        <w:t xml:space="preserve">either </w:t>
      </w:r>
      <w:r w:rsidRPr="00B36586">
        <w:t xml:space="preserve">Oxford Nanopore Technologies (ONT) or from </w:t>
      </w:r>
      <w:r w:rsidR="00E02E14" w:rsidRPr="00B36586">
        <w:t xml:space="preserve">SMRT </w:t>
      </w:r>
      <w:r w:rsidRPr="00B36586">
        <w:t>Pacific Biosci</w:t>
      </w:r>
      <w:r w:rsidR="0082201B" w:rsidRPr="00B36586">
        <w:t>ence</w:t>
      </w:r>
      <w:r w:rsidR="008C5E1E" w:rsidRPr="00B36586">
        <w:t>s</w:t>
      </w:r>
      <w:r w:rsidR="0082201B" w:rsidRPr="00B36586">
        <w:t xml:space="preserve"> (PacBio) sequencing</w:t>
      </w:r>
      <w:r w:rsidR="008C5E1E" w:rsidRPr="00B36586">
        <w:t xml:space="preserve"> platforms</w:t>
      </w:r>
      <w:r w:rsidR="0082201B" w:rsidRPr="00B36586">
        <w:t xml:space="preserve">. </w:t>
      </w:r>
      <w:r w:rsidR="008C5E1E" w:rsidRPr="00B36586">
        <w:t>We chose isolates from the Enterobacteriaceae</w:t>
      </w:r>
      <w:r w:rsidR="00696B3C" w:rsidRPr="00B36586">
        <w:t xml:space="preserve"> family</w:t>
      </w:r>
      <w:r w:rsidR="008C5E1E" w:rsidRPr="00B36586">
        <w:t xml:space="preserve">, as these frequently have highly plastic, repetitive genetic structures and complete genome reconstruction for these species is </w:t>
      </w:r>
      <w:r w:rsidR="00125266" w:rsidRPr="00B36586">
        <w:t>relevant for a</w:t>
      </w:r>
      <w:r w:rsidR="00B43EB5" w:rsidRPr="00B36586">
        <w:t xml:space="preserve"> precise</w:t>
      </w:r>
      <w:r w:rsidR="00926626" w:rsidRPr="00B36586">
        <w:t xml:space="preserve"> </w:t>
      </w:r>
      <w:r w:rsidR="008C5E1E" w:rsidRPr="00B36586">
        <w:t xml:space="preserve">understanding of </w:t>
      </w:r>
      <w:r w:rsidR="00470A2B" w:rsidRPr="00B36586">
        <w:t xml:space="preserve">the </w:t>
      </w:r>
      <w:r w:rsidR="008C5E1E" w:rsidRPr="00B36586">
        <w:t xml:space="preserve">epidemiology of antimicrobial resistance. </w:t>
      </w:r>
      <w:r w:rsidR="0082201B" w:rsidRPr="00B36586">
        <w:t xml:space="preserve">We </w:t>
      </w:r>
      <w:r w:rsidR="0082201B" w:rsidRPr="00B36586">
        <w:rPr>
          <w:i/>
        </w:rPr>
        <w:t xml:space="preserve">de </w:t>
      </w:r>
      <w:r w:rsidRPr="00B36586">
        <w:rPr>
          <w:i/>
        </w:rPr>
        <w:t>novo</w:t>
      </w:r>
      <w:r w:rsidRPr="00B36586">
        <w:t xml:space="preserve"> assembled genomes using the hybrid</w:t>
      </w:r>
      <w:r w:rsidR="00552ED7" w:rsidRPr="00B36586">
        <w:t xml:space="preserve"> assembler Unicycler and</w:t>
      </w:r>
      <w:r w:rsidRPr="00B36586">
        <w:t xml:space="preserve"> compar</w:t>
      </w:r>
      <w:r w:rsidR="004772A8" w:rsidRPr="00B36586">
        <w:t>ed</w:t>
      </w:r>
      <w:r w:rsidRPr="00B36586">
        <w:t xml:space="preserve"> different read processing strategies</w:t>
      </w:r>
      <w:r w:rsidR="009C13F7">
        <w:t>, as well as comparing to long-read only assembly with Flye followed by short</w:t>
      </w:r>
      <w:r w:rsidR="00174090">
        <w:t>-</w:t>
      </w:r>
      <w:r w:rsidR="009C13F7">
        <w:t>read polishing with Pilon</w:t>
      </w:r>
      <w:r w:rsidRPr="00B36586">
        <w:t xml:space="preserve">. </w:t>
      </w:r>
      <w:r w:rsidR="009C13F7">
        <w:t>Hybrid assembly with either PacBio or ONT reads</w:t>
      </w:r>
      <w:r w:rsidR="009C1E7A" w:rsidRPr="00B36586">
        <w:t xml:space="preserve"> facilitate</w:t>
      </w:r>
      <w:r w:rsidR="009C13F7">
        <w:t>d</w:t>
      </w:r>
      <w:r w:rsidR="009C1E7A" w:rsidRPr="00B36586">
        <w:t xml:space="preserve"> </w:t>
      </w:r>
      <w:r w:rsidR="00E515CF" w:rsidRPr="00B36586">
        <w:t xml:space="preserve">high-quality </w:t>
      </w:r>
      <w:r w:rsidR="009C1E7A" w:rsidRPr="00B36586">
        <w:t>genome reconstruction</w:t>
      </w:r>
      <w:r w:rsidR="008178D1">
        <w:t>, and was superior to the long-read assembly and polishing approach evaluated with respect to accuracy and completeness</w:t>
      </w:r>
      <w:r w:rsidR="00E515CF" w:rsidRPr="00B36586">
        <w:t>. C</w:t>
      </w:r>
      <w:r w:rsidR="009C1E7A" w:rsidRPr="00B36586">
        <w:t>ombining ONT and Illumina reads fully resolve</w:t>
      </w:r>
      <w:r w:rsidR="00B86B66" w:rsidRPr="00B36586">
        <w:t>d</w:t>
      </w:r>
      <w:r w:rsidR="009C1E7A" w:rsidRPr="00B36586">
        <w:t xml:space="preserve"> most genomes without additional manual steps, and at a lower </w:t>
      </w:r>
      <w:r w:rsidR="00AB2B9C" w:rsidRPr="00B36586">
        <w:t>consumable</w:t>
      </w:r>
      <w:r w:rsidR="006276A0" w:rsidRPr="00B36586">
        <w:t>s</w:t>
      </w:r>
      <w:r w:rsidR="00AB2B9C" w:rsidRPr="00B36586">
        <w:t xml:space="preserve"> </w:t>
      </w:r>
      <w:r w:rsidR="009C1E7A" w:rsidRPr="00B36586">
        <w:t>cost per isolate</w:t>
      </w:r>
      <w:r w:rsidR="00B86B66" w:rsidRPr="00B36586">
        <w:t xml:space="preserve"> in our setting</w:t>
      </w:r>
      <w:r w:rsidR="009C1E7A" w:rsidRPr="00B36586">
        <w:t xml:space="preserve">. </w:t>
      </w:r>
      <w:r w:rsidR="00B86B66" w:rsidRPr="00B36586">
        <w:t>Automated hybrid</w:t>
      </w:r>
      <w:r w:rsidR="009C1E7A" w:rsidRPr="00B36586">
        <w:t xml:space="preserve"> assembly is a powerful tool for complete and accurate bacterial genome assembly. </w:t>
      </w:r>
      <w:r w:rsidR="00C95227" w:rsidRPr="00B36586">
        <w:rPr>
          <w:noProof/>
        </w:rPr>
        <w:t xml:space="preserve"> </w:t>
      </w:r>
    </w:p>
    <w:p w14:paraId="27AC6396" w14:textId="77777777" w:rsidR="00476ABF" w:rsidRPr="00B36586" w:rsidRDefault="00A8260B" w:rsidP="00223FA0">
      <w:pPr>
        <w:jc w:val="both"/>
        <w:rPr>
          <w:b/>
          <w:color w:val="008461" w:themeColor="accent3"/>
          <w:sz w:val="32"/>
          <w:szCs w:val="32"/>
        </w:rPr>
      </w:pPr>
      <w:r w:rsidRPr="00A8260B">
        <w:rPr>
          <w:noProof/>
          <w14:ligatures w14:val="none"/>
        </w:rPr>
        <w:pict w14:anchorId="7B879F07">
          <v:rect id="_x0000_i1033" alt="" style="width:451.3pt;height:.05pt;mso-width-percent:0;mso-height-percent:0;mso-width-percent:0;mso-height-percent:0" o:hralign="center" o:hrstd="t" o:hr="t" fillcolor="#a0a0a0" stroked="f"/>
        </w:pict>
      </w:r>
    </w:p>
    <w:p w14:paraId="333B26C0" w14:textId="4EC77A64" w:rsidR="00F103A7" w:rsidRPr="00B36586" w:rsidRDefault="00C95227" w:rsidP="00223FA0">
      <w:pPr>
        <w:spacing w:before="120" w:after="120"/>
        <w:jc w:val="both"/>
        <w:rPr>
          <w:b/>
          <w:color w:val="008461" w:themeColor="accent3"/>
          <w:sz w:val="32"/>
          <w:szCs w:val="32"/>
        </w:rPr>
      </w:pPr>
      <w:r w:rsidRPr="00B36586">
        <w:rPr>
          <w:b/>
          <w:color w:val="008461" w:themeColor="accent3"/>
          <w:sz w:val="32"/>
          <w:szCs w:val="32"/>
        </w:rPr>
        <w:t>IMPACT STATEMENT</w:t>
      </w:r>
      <w:r w:rsidR="00345734" w:rsidRPr="00B36586">
        <w:rPr>
          <w:b/>
          <w:color w:val="008461" w:themeColor="accent3"/>
          <w:sz w:val="32"/>
          <w:szCs w:val="32"/>
        </w:rPr>
        <w:t xml:space="preserve"> </w:t>
      </w:r>
    </w:p>
    <w:p w14:paraId="14A6970D" w14:textId="3DD46516" w:rsidR="00476ABF" w:rsidRPr="00B36586" w:rsidRDefault="00F103A7" w:rsidP="00223FA0">
      <w:pPr>
        <w:jc w:val="both"/>
      </w:pPr>
      <w:r w:rsidRPr="00B36586">
        <w:t xml:space="preserve">Illumina </w:t>
      </w:r>
      <w:r w:rsidR="00C636CF" w:rsidRPr="00B36586">
        <w:t xml:space="preserve">short-read </w:t>
      </w:r>
      <w:r w:rsidRPr="00B36586">
        <w:t xml:space="preserve">sequencing is frequently used </w:t>
      </w:r>
      <w:r w:rsidR="00125266" w:rsidRPr="00B36586">
        <w:t>for tasks in</w:t>
      </w:r>
      <w:r w:rsidRPr="00B36586">
        <w:t xml:space="preserve"> bacterial genomics, </w:t>
      </w:r>
      <w:r w:rsidR="00AB51C0" w:rsidRPr="00B36586">
        <w:t>such as</w:t>
      </w:r>
      <w:r w:rsidRPr="00B36586">
        <w:t xml:space="preserve"> assess</w:t>
      </w:r>
      <w:r w:rsidR="00AB51C0" w:rsidRPr="00B36586">
        <w:t>ing</w:t>
      </w:r>
      <w:r w:rsidRPr="00B36586">
        <w:t xml:space="preserve"> which species are present within samples, </w:t>
      </w:r>
      <w:r w:rsidR="00FB49E5" w:rsidRPr="00B36586">
        <w:t>checking if</w:t>
      </w:r>
      <w:r w:rsidR="00125266" w:rsidRPr="00B36586">
        <w:t xml:space="preserve"> </w:t>
      </w:r>
      <w:r w:rsidR="004772A8" w:rsidRPr="00B36586">
        <w:t xml:space="preserve">specific genes of interest are present within individual isolates, </w:t>
      </w:r>
      <w:r w:rsidRPr="00B36586">
        <w:t xml:space="preserve">and </w:t>
      </w:r>
      <w:r w:rsidR="00E02E14" w:rsidRPr="00B36586">
        <w:t xml:space="preserve">reconstructing </w:t>
      </w:r>
      <w:r w:rsidR="004772A8" w:rsidRPr="00B36586">
        <w:t>the</w:t>
      </w:r>
      <w:r w:rsidRPr="00B36586">
        <w:t xml:space="preserve"> evolutionary relationship</w:t>
      </w:r>
      <w:r w:rsidR="004772A8" w:rsidRPr="00B36586">
        <w:t>s</w:t>
      </w:r>
      <w:r w:rsidRPr="00B36586">
        <w:t xml:space="preserve"> between </w:t>
      </w:r>
      <w:r w:rsidR="004772A8" w:rsidRPr="00B36586">
        <w:t>strains</w:t>
      </w:r>
      <w:r w:rsidRPr="00B36586">
        <w:t xml:space="preserve">. However, while </w:t>
      </w:r>
      <w:r w:rsidR="00125266" w:rsidRPr="00B36586">
        <w:t>short-read</w:t>
      </w:r>
      <w:r w:rsidRPr="00B36586">
        <w:t xml:space="preserve"> sequencing can reveal </w:t>
      </w:r>
      <w:r w:rsidR="004772A8" w:rsidRPr="00B36586">
        <w:t>significant</w:t>
      </w:r>
      <w:r w:rsidRPr="00B36586">
        <w:t xml:space="preserve"> detail </w:t>
      </w:r>
      <w:r w:rsidR="004772A8" w:rsidRPr="00B36586">
        <w:t xml:space="preserve">about </w:t>
      </w:r>
      <w:r w:rsidRPr="00B36586">
        <w:t xml:space="preserve">the genomic </w:t>
      </w:r>
      <w:r w:rsidRPr="00B36586">
        <w:rPr>
          <w:i/>
        </w:rPr>
        <w:t>content</w:t>
      </w:r>
      <w:r w:rsidRPr="00B36586">
        <w:t xml:space="preserve"> of bacterial isol</w:t>
      </w:r>
      <w:r w:rsidR="004772A8" w:rsidRPr="00B36586">
        <w:t>a</w:t>
      </w:r>
      <w:r w:rsidRPr="00B36586">
        <w:t>t</w:t>
      </w:r>
      <w:r w:rsidR="004772A8" w:rsidRPr="00B36586">
        <w:t>e</w:t>
      </w:r>
      <w:r w:rsidRPr="00B36586">
        <w:t xml:space="preserve">s, it is often </w:t>
      </w:r>
      <w:r w:rsidR="004772A8" w:rsidRPr="00B36586">
        <w:t>in</w:t>
      </w:r>
      <w:r w:rsidRPr="00B36586">
        <w:t xml:space="preserve">sufficient </w:t>
      </w:r>
      <w:r w:rsidR="00125266" w:rsidRPr="00B36586">
        <w:t>for</w:t>
      </w:r>
      <w:r w:rsidR="004772A8" w:rsidRPr="00B36586">
        <w:t xml:space="preserve"> assessing </w:t>
      </w:r>
      <w:r w:rsidR="00FB49E5" w:rsidRPr="00B36586">
        <w:t>genomic</w:t>
      </w:r>
      <w:r w:rsidR="004772A8" w:rsidRPr="00B36586">
        <w:t xml:space="preserve"> </w:t>
      </w:r>
      <w:r w:rsidR="004772A8" w:rsidRPr="00B36586">
        <w:rPr>
          <w:i/>
        </w:rPr>
        <w:t>structure</w:t>
      </w:r>
      <w:r w:rsidR="00FB49E5" w:rsidRPr="00B36586">
        <w:t>:</w:t>
      </w:r>
      <w:r w:rsidR="004772A8" w:rsidRPr="00B36586">
        <w:t xml:space="preserve"> </w:t>
      </w:r>
      <w:r w:rsidRPr="00B36586">
        <w:t xml:space="preserve">how different genes are arranged within </w:t>
      </w:r>
      <w:r w:rsidR="00FB49E5" w:rsidRPr="00B36586">
        <w:t>genomes</w:t>
      </w:r>
      <w:r w:rsidRPr="00B36586">
        <w:t>, and</w:t>
      </w:r>
      <w:r w:rsidR="00FB49E5" w:rsidRPr="00B36586">
        <w:t xml:space="preserve"> particularly</w:t>
      </w:r>
      <w:r w:rsidRPr="00B36586">
        <w:t xml:space="preserve"> which genes are on plasmids</w:t>
      </w:r>
      <w:r w:rsidR="00C636CF" w:rsidRPr="00B36586">
        <w:t xml:space="preserve"> </w:t>
      </w:r>
      <w:r w:rsidR="00125266" w:rsidRPr="00B36586">
        <w:t>–</w:t>
      </w:r>
      <w:r w:rsidR="00C636CF" w:rsidRPr="00B36586">
        <w:t xml:space="preserve"> </w:t>
      </w:r>
      <w:r w:rsidR="004772A8" w:rsidRPr="00B36586">
        <w:t>potentially highly mobile</w:t>
      </w:r>
      <w:r w:rsidR="00AF3097" w:rsidRPr="00B36586">
        <w:t xml:space="preserve"> </w:t>
      </w:r>
      <w:r w:rsidR="004772A8" w:rsidRPr="00B36586">
        <w:t xml:space="preserve">components </w:t>
      </w:r>
      <w:r w:rsidR="00AF3097" w:rsidRPr="00B36586">
        <w:t>of the genome</w:t>
      </w:r>
      <w:r w:rsidR="007057CA" w:rsidRPr="00B36586">
        <w:t xml:space="preserve"> </w:t>
      </w:r>
      <w:r w:rsidR="00DC2887" w:rsidRPr="00B36586">
        <w:t>frequently</w:t>
      </w:r>
      <w:r w:rsidR="007057CA" w:rsidRPr="00B36586">
        <w:t xml:space="preserve"> </w:t>
      </w:r>
      <w:r w:rsidR="00FB49E5" w:rsidRPr="00B36586">
        <w:t>carrying</w:t>
      </w:r>
      <w:r w:rsidR="007057CA" w:rsidRPr="00B36586">
        <w:t xml:space="preserve"> antimicrobial resistance</w:t>
      </w:r>
      <w:r w:rsidR="00FB49E5" w:rsidRPr="00B36586">
        <w:t xml:space="preserve"> elements</w:t>
      </w:r>
      <w:r w:rsidR="00AF3097" w:rsidRPr="00B36586">
        <w:t>. This</w:t>
      </w:r>
      <w:r w:rsidR="004772A8" w:rsidRPr="00B36586">
        <w:t xml:space="preserve"> is because</w:t>
      </w:r>
      <w:r w:rsidR="00AF3097" w:rsidRPr="00B36586">
        <w:t xml:space="preserve"> </w:t>
      </w:r>
      <w:r w:rsidR="009C1E7A" w:rsidRPr="00B36586">
        <w:t xml:space="preserve">Illumina </w:t>
      </w:r>
      <w:r w:rsidR="00FB49E5" w:rsidRPr="00B36586">
        <w:t xml:space="preserve">short </w:t>
      </w:r>
      <w:r w:rsidRPr="00B36586">
        <w:t xml:space="preserve">reads </w:t>
      </w:r>
      <w:r w:rsidR="00696B3C" w:rsidRPr="00B36586">
        <w:t>are typically</w:t>
      </w:r>
      <w:r w:rsidR="004772A8" w:rsidRPr="00B36586">
        <w:t xml:space="preserve"> too short to span</w:t>
      </w:r>
      <w:r w:rsidRPr="00B36586">
        <w:t xml:space="preserve"> repetiti</w:t>
      </w:r>
      <w:r w:rsidR="004772A8" w:rsidRPr="00B36586">
        <w:t>ve structures</w:t>
      </w:r>
      <w:r w:rsidRPr="00B36586">
        <w:t xml:space="preserve"> in </w:t>
      </w:r>
      <w:r w:rsidR="004772A8" w:rsidRPr="00B36586">
        <w:t xml:space="preserve">the </w:t>
      </w:r>
      <w:r w:rsidRPr="00B36586">
        <w:t>genome,</w:t>
      </w:r>
      <w:r w:rsidR="004772A8" w:rsidRPr="00B36586">
        <w:t xml:space="preserve"> making</w:t>
      </w:r>
      <w:r w:rsidRPr="00B36586">
        <w:t xml:space="preserve"> it </w:t>
      </w:r>
      <w:r w:rsidR="004772A8" w:rsidRPr="00B36586">
        <w:t>impossible</w:t>
      </w:r>
      <w:r w:rsidRPr="00B36586">
        <w:t xml:space="preserve"> to </w:t>
      </w:r>
      <w:r w:rsidR="007057CA" w:rsidRPr="00B36586">
        <w:t xml:space="preserve">accurately </w:t>
      </w:r>
      <w:r w:rsidRPr="00B36586">
        <w:t xml:space="preserve">reconstruct </w:t>
      </w:r>
      <w:r w:rsidR="004772A8" w:rsidRPr="00B36586">
        <w:t>these repetitive regions</w:t>
      </w:r>
      <w:r w:rsidRPr="00B36586">
        <w:t xml:space="preserve">. </w:t>
      </w:r>
      <w:r w:rsidR="004772A8" w:rsidRPr="00B36586">
        <w:t>One</w:t>
      </w:r>
      <w:r w:rsidRPr="00B36586">
        <w:t xml:space="preserve"> solution</w:t>
      </w:r>
      <w:r w:rsidR="004772A8" w:rsidRPr="00B36586">
        <w:t xml:space="preserve"> </w:t>
      </w:r>
      <w:r w:rsidRPr="00B36586">
        <w:t xml:space="preserve">is </w:t>
      </w:r>
      <w:r w:rsidR="004772A8" w:rsidRPr="00B36586">
        <w:t xml:space="preserve">to complement </w:t>
      </w:r>
      <w:r w:rsidRPr="00B36586">
        <w:t xml:space="preserve">Illumina </w:t>
      </w:r>
      <w:r w:rsidR="00125266" w:rsidRPr="00B36586">
        <w:t>short</w:t>
      </w:r>
      <w:r w:rsidR="0043554A">
        <w:t xml:space="preserve"> </w:t>
      </w:r>
      <w:r w:rsidRPr="00B36586">
        <w:t>reads with long</w:t>
      </w:r>
      <w:r w:rsidR="0043554A">
        <w:t xml:space="preserve"> </w:t>
      </w:r>
      <w:r w:rsidRPr="00B36586">
        <w:t xml:space="preserve">reads generated with </w:t>
      </w:r>
      <w:r w:rsidR="009C1E7A" w:rsidRPr="00B36586">
        <w:t xml:space="preserve">SMRT </w:t>
      </w:r>
      <w:r w:rsidR="00E02E14" w:rsidRPr="00B36586">
        <w:t>Pacific Biosciences (PacBio)</w:t>
      </w:r>
      <w:r w:rsidRPr="00B36586">
        <w:t xml:space="preserve"> or Oxford Nanopore Technologies (ONT)</w:t>
      </w:r>
      <w:r w:rsidR="00AF3097" w:rsidRPr="00B36586">
        <w:t xml:space="preserve"> sequencing</w:t>
      </w:r>
      <w:r w:rsidRPr="00B36586">
        <w:t xml:space="preserve"> platfo</w:t>
      </w:r>
      <w:r w:rsidR="00AF3097" w:rsidRPr="00B36586">
        <w:t xml:space="preserve">rms. </w:t>
      </w:r>
      <w:r w:rsidR="004D6CDB" w:rsidRPr="00B36586">
        <w:t>Using</w:t>
      </w:r>
      <w:r w:rsidR="00AF3097" w:rsidRPr="00B36586">
        <w:t xml:space="preserve"> this approach</w:t>
      </w:r>
      <w:r w:rsidRPr="00B36586">
        <w:t xml:space="preserve">, called </w:t>
      </w:r>
      <w:r w:rsidR="00125266" w:rsidRPr="00B36586">
        <w:t>‘</w:t>
      </w:r>
      <w:r w:rsidRPr="00B36586">
        <w:t xml:space="preserve">hybrid </w:t>
      </w:r>
      <w:r w:rsidR="00AF3097" w:rsidRPr="00B36586">
        <w:t>assembly</w:t>
      </w:r>
      <w:r w:rsidR="00125266" w:rsidRPr="00B36586">
        <w:t>’</w:t>
      </w:r>
      <w:r w:rsidR="00AF3097" w:rsidRPr="00B36586">
        <w:t>,</w:t>
      </w:r>
      <w:r w:rsidR="004D6CDB" w:rsidRPr="00B36586">
        <w:t xml:space="preserve"> we show that we</w:t>
      </w:r>
      <w:r w:rsidR="00AF3097" w:rsidRPr="00B36586">
        <w:t xml:space="preserve"> can </w:t>
      </w:r>
      <w:r w:rsidRPr="00B36586">
        <w:t xml:space="preserve">automatically fully reconstruct </w:t>
      </w:r>
      <w:r w:rsidR="004772A8" w:rsidRPr="00B36586">
        <w:t xml:space="preserve">complex </w:t>
      </w:r>
      <w:r w:rsidRPr="00B36586">
        <w:t>bacterial genom</w:t>
      </w:r>
      <w:r w:rsidR="00AF3097" w:rsidRPr="00B36586">
        <w:t>e</w:t>
      </w:r>
      <w:r w:rsidR="004772A8" w:rsidRPr="00B36586">
        <w:t>s</w:t>
      </w:r>
      <w:r w:rsidR="004D6CDB" w:rsidRPr="00B36586">
        <w:t xml:space="preserve"> of Enterobacteriaceae isolates</w:t>
      </w:r>
      <w:r w:rsidR="00AD26F0" w:rsidRPr="00B36586">
        <w:t xml:space="preserve"> in the majority of cases (</w:t>
      </w:r>
      <w:r w:rsidR="001849D8" w:rsidRPr="00B36586">
        <w:t>best-performing method</w:t>
      </w:r>
      <w:r w:rsidR="00F6756D" w:rsidRPr="00B36586">
        <w:t xml:space="preserve">: </w:t>
      </w:r>
      <w:r w:rsidR="00C574CE" w:rsidRPr="00B36586">
        <w:t>17/20</w:t>
      </w:r>
      <w:r w:rsidR="00C13D50" w:rsidRPr="00B36586">
        <w:t xml:space="preserve"> </w:t>
      </w:r>
      <w:r w:rsidR="00A17AE1" w:rsidRPr="00B36586">
        <w:t>isolates</w:t>
      </w:r>
      <w:r w:rsidR="00C574CE" w:rsidRPr="00B36586">
        <w:t>)</w:t>
      </w:r>
      <w:r w:rsidR="00AF3097" w:rsidRPr="00B36586">
        <w:t xml:space="preserve">. </w:t>
      </w:r>
      <w:r w:rsidR="00FB49E5" w:rsidRPr="00B36586">
        <w:t>In particular, by comparing different methods we find that</w:t>
      </w:r>
      <w:r w:rsidR="004D6CDB" w:rsidRPr="00B36586">
        <w:t xml:space="preserve"> using the assembler Unicycler </w:t>
      </w:r>
      <w:r w:rsidR="00125266" w:rsidRPr="00B36586">
        <w:t>with Illumina and</w:t>
      </w:r>
      <w:r w:rsidR="004D6CDB" w:rsidRPr="00B36586">
        <w:t xml:space="preserve"> </w:t>
      </w:r>
      <w:r w:rsidRPr="00B36586">
        <w:t>ONT</w:t>
      </w:r>
      <w:r w:rsidR="004D6CDB" w:rsidRPr="00B36586">
        <w:t xml:space="preserve"> reads</w:t>
      </w:r>
      <w:r w:rsidR="00C636CF" w:rsidRPr="00B36586">
        <w:t xml:space="preserve"> </w:t>
      </w:r>
      <w:r w:rsidR="004D6CDB" w:rsidRPr="00B36586">
        <w:t>represents a</w:t>
      </w:r>
      <w:r w:rsidR="00202AE4" w:rsidRPr="00B36586">
        <w:t xml:space="preserve"> low-cost, </w:t>
      </w:r>
      <w:r w:rsidR="004D6CDB" w:rsidRPr="00B36586">
        <w:t>high-</w:t>
      </w:r>
      <w:r w:rsidR="00202AE4" w:rsidRPr="00B36586">
        <w:t xml:space="preserve">quality approach </w:t>
      </w:r>
      <w:r w:rsidR="00125266" w:rsidRPr="00B36586">
        <w:t>for</w:t>
      </w:r>
      <w:r w:rsidR="00AF3097" w:rsidRPr="00B36586">
        <w:t xml:space="preserve"> reconstructing bacterial genomes</w:t>
      </w:r>
      <w:r w:rsidR="009C1E7A" w:rsidRPr="00B36586">
        <w:t xml:space="preserve"> using publicly available software</w:t>
      </w:r>
      <w:r w:rsidR="00AF3097" w:rsidRPr="00B36586">
        <w:t>.</w:t>
      </w:r>
    </w:p>
    <w:p w14:paraId="55FD7F79" w14:textId="77777777" w:rsidR="00476ABF" w:rsidRPr="00B36586" w:rsidRDefault="00A8260B" w:rsidP="00223FA0">
      <w:pPr>
        <w:jc w:val="both"/>
        <w:rPr>
          <w:u w:val="single"/>
        </w:rPr>
      </w:pPr>
      <w:r w:rsidRPr="00A8260B">
        <w:rPr>
          <w:noProof/>
          <w14:ligatures w14:val="none"/>
        </w:rPr>
        <w:pict w14:anchorId="24ECAB25">
          <v:rect id="_x0000_i1032" alt="" style="width:451.3pt;height:.05pt;mso-width-percent:0;mso-height-percent:0;mso-width-percent:0;mso-height-percent:0" o:hralign="center" o:hrstd="t" o:hr="t" fillcolor="#a0a0a0" stroked="f"/>
        </w:pict>
      </w:r>
    </w:p>
    <w:p w14:paraId="7C1712A4" w14:textId="3AAB8B8F" w:rsidR="0061456E" w:rsidRPr="00B36586" w:rsidRDefault="0061456E" w:rsidP="00223FA0">
      <w:pPr>
        <w:spacing w:before="120" w:after="120"/>
        <w:jc w:val="both"/>
        <w:rPr>
          <w:u w:val="single"/>
        </w:rPr>
      </w:pPr>
      <w:r w:rsidRPr="00B36586">
        <w:rPr>
          <w:b/>
          <w:color w:val="008461" w:themeColor="accent3"/>
          <w:sz w:val="32"/>
          <w:szCs w:val="32"/>
        </w:rPr>
        <w:t xml:space="preserve">DATA </w:t>
      </w:r>
      <w:r w:rsidR="000262CA">
        <w:rPr>
          <w:b/>
          <w:color w:val="008461" w:themeColor="accent3"/>
          <w:sz w:val="32"/>
          <w:szCs w:val="32"/>
        </w:rPr>
        <w:t>SUMMARY</w:t>
      </w:r>
    </w:p>
    <w:p w14:paraId="7732F8BF" w14:textId="77777777" w:rsidR="002668F1" w:rsidRDefault="0061456E" w:rsidP="002668F1">
      <w:pPr>
        <w:jc w:val="both"/>
      </w:pPr>
      <w:r w:rsidRPr="00B36586">
        <w:t xml:space="preserve">Raw sequencing data have been deposited </w:t>
      </w:r>
      <w:r w:rsidR="001705FF" w:rsidRPr="00B36586">
        <w:t xml:space="preserve">under </w:t>
      </w:r>
      <w:r w:rsidR="00FE11C5">
        <w:t xml:space="preserve">NCBI </w:t>
      </w:r>
      <w:r w:rsidR="001705FF" w:rsidRPr="00B36586">
        <w:t>BioProject Accession</w:t>
      </w:r>
      <w:r w:rsidRPr="00B36586">
        <w:t xml:space="preserve"> PRJNA422511 (</w:t>
      </w:r>
      <w:hyperlink r:id="rId10" w:history="1">
        <w:r w:rsidRPr="008E5560">
          <w:rPr>
            <w:rStyle w:val="Hyperlink"/>
            <w:sz w:val="20"/>
            <w:szCs w:val="20"/>
          </w:rPr>
          <w:t>https://www.ncbi.nlm.nih.gov/bioproject/PRJNA422511</w:t>
        </w:r>
      </w:hyperlink>
      <w:r w:rsidRPr="00B36586">
        <w:t xml:space="preserve">). </w:t>
      </w:r>
      <w:r w:rsidR="00FE11C5">
        <w:t>A</w:t>
      </w:r>
      <w:r w:rsidR="00416748">
        <w:t>ssemblies</w:t>
      </w:r>
      <w:r w:rsidR="00FE11C5">
        <w:t xml:space="preserve"> are available</w:t>
      </w:r>
      <w:r w:rsidR="00416748">
        <w:t xml:space="preserve"> on FigShare (</w:t>
      </w:r>
      <w:hyperlink r:id="rId11" w:history="1">
        <w:r w:rsidR="008E5560" w:rsidRPr="008E5560">
          <w:rPr>
            <w:rStyle w:val="Hyperlink"/>
            <w:sz w:val="20"/>
            <w:szCs w:val="20"/>
          </w:rPr>
          <w:t>https://figshare.com/articles/Hybrid_Enterobacteriaceae_assemblies_using_PacBio_Illumina_or_ONT_Illumin</w:t>
        </w:r>
        <w:r w:rsidR="008E5560" w:rsidRPr="008E5560">
          <w:rPr>
            <w:rStyle w:val="Hyperlink"/>
            <w:sz w:val="20"/>
            <w:szCs w:val="20"/>
          </w:rPr>
          <w:lastRenderedPageBreak/>
          <w:t>a_sequencing/7649051</w:t>
        </w:r>
      </w:hyperlink>
      <w:r w:rsidR="008E5560">
        <w:t xml:space="preserve">). </w:t>
      </w:r>
      <w:r w:rsidRPr="00B36586">
        <w:t xml:space="preserve">We confirm all supporting data, code and protocols have been provided within the article or through supplementary data files. </w:t>
      </w:r>
      <w:r w:rsidRPr="00B36586">
        <w:rPr>
          <w:u w:val="single"/>
        </w:rPr>
        <w:t xml:space="preserve"> </w:t>
      </w:r>
      <w:r w:rsidRPr="00B36586">
        <w:rPr>
          <w:noProof/>
        </w:rPr>
        <w:t xml:space="preserve">  </w:t>
      </w:r>
      <w:r w:rsidRPr="00B36586">
        <w:rPr>
          <w:b/>
          <w:color w:val="008461" w:themeColor="accent3"/>
          <w:sz w:val="32"/>
          <w:szCs w:val="32"/>
        </w:rPr>
        <w:br w:type="page"/>
      </w:r>
    </w:p>
    <w:p w14:paraId="42B8B4AA" w14:textId="577323D8" w:rsidR="00F103A7" w:rsidRPr="002668F1" w:rsidRDefault="00476ABF" w:rsidP="002668F1">
      <w:pPr>
        <w:jc w:val="both"/>
      </w:pPr>
      <w:r w:rsidRPr="00B36586">
        <w:rPr>
          <w:b/>
          <w:color w:val="008461" w:themeColor="accent3"/>
          <w:sz w:val="32"/>
          <w:szCs w:val="32"/>
        </w:rPr>
        <w:lastRenderedPageBreak/>
        <w:t>INTRODUCTION</w:t>
      </w:r>
    </w:p>
    <w:p w14:paraId="19F27358" w14:textId="12B8B39F" w:rsidR="002668F1" w:rsidRDefault="00E47703" w:rsidP="002668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color w:val="000000"/>
          <w:lang w:eastAsia="en-GB"/>
        </w:rPr>
      </w:pPr>
      <w:r w:rsidRPr="00B36586">
        <w:rPr>
          <w:color w:val="000000"/>
          <w:lang w:eastAsia="en-GB"/>
        </w:rPr>
        <w:t xml:space="preserve">The rapid </w:t>
      </w:r>
      <w:r w:rsidR="00FB49E5" w:rsidRPr="00B36586">
        <w:rPr>
          <w:color w:val="000000"/>
          <w:lang w:eastAsia="en-GB"/>
        </w:rPr>
        <w:t>development</w:t>
      </w:r>
      <w:r w:rsidRPr="00B36586">
        <w:rPr>
          <w:color w:val="000000"/>
          <w:lang w:eastAsia="en-GB"/>
        </w:rPr>
        <w:t xml:space="preserve"> of microbial genome sequencing methods over the last </w:t>
      </w:r>
      <w:r w:rsidR="00696B3C" w:rsidRPr="00B36586">
        <w:rPr>
          <w:color w:val="000000"/>
          <w:lang w:eastAsia="en-GB"/>
        </w:rPr>
        <w:t>decade</w:t>
      </w:r>
      <w:r w:rsidRPr="00B36586">
        <w:rPr>
          <w:color w:val="000000"/>
          <w:lang w:eastAsia="en-GB"/>
        </w:rPr>
        <w:t xml:space="preserve"> has revolutioni</w:t>
      </w:r>
      <w:r w:rsidR="008B1849" w:rsidRPr="00B36586">
        <w:rPr>
          <w:color w:val="000000"/>
          <w:lang w:eastAsia="en-GB"/>
        </w:rPr>
        <w:t>z</w:t>
      </w:r>
      <w:r w:rsidRPr="00B36586">
        <w:rPr>
          <w:color w:val="000000"/>
          <w:lang w:eastAsia="en-GB"/>
        </w:rPr>
        <w:t>ed infectious disease epidemiology, and whole genome sequencing has become the standard for many molecular typing applications in research and public health</w:t>
      </w:r>
      <w:r w:rsidR="009F5E93" w:rsidRPr="00B36586">
        <w:rPr>
          <w:color w:val="000000"/>
          <w:lang w:eastAsia="en-GB"/>
        </w:rPr>
        <w:t xml:space="preserve"> </w:t>
      </w:r>
      <w:r w:rsidR="009F5E93" w:rsidRPr="00B36586">
        <w:rPr>
          <w:color w:val="000000"/>
          <w:lang w:eastAsia="en-GB"/>
        </w:rPr>
        <w:fldChar w:fldCharType="begin"/>
      </w:r>
      <w:r w:rsidR="008B3DB0" w:rsidRPr="00B36586">
        <w:rPr>
          <w:color w:val="000000"/>
          <w:lang w:eastAsia="en-GB"/>
        </w:rPr>
        <w:instrText xml:space="preserve"> ADDIN ZOTERO_ITEM CSL_CITATION {"citationID":"RAK8Y4Pu","properties":{"formattedCitation":"(1\\uc0\\u8211{}4)","plainCitation":"(1–4)","noteIndex":0},"citationItems":[{"id":2232,"uris":["http://zotero.org/users/5334349/items/FQ7GJCRX"],"uri":["http://zotero.org/users/5334349/items/FQ7GJCRX"],"itemData":{"id":2232,"type":"article-journal","title":"Transforming clinical microbiology with bacterial genome sequencing","container-title":"Nature Reviews. Genetics","page":"601-612","volume":"13","issue":"9","source":"PubMed","abstract":"Whole-genome sequencing of bacteria has recently emerged as a cost-effective and convenient approach for addressing many microbiological questions. Here, we review the current status of clinical microbiology and how it has already begun to be transformed by using next-generation sequencing. We focus on three essential tasks: identifying the species of an isolate, testing its properties, such as resistance to antibiotics and virulence, and monitoring the emergence and spread of bacterial pathogens. We predict that the application of next-generation sequencing will soon be sufficiently fast, accurate and cheap to be used in routine clinical microbiology practice, where it could replace many complex current techniques with a single, more efficient workflow.","DOI":"10.1038/nrg3226","ISSN":"1471-0064","note":"PMID: 22868263\nPMCID: PMC5049685","journalAbbreviation":"Nat. Rev. Genet.","language":"eng","author":[{"family":"Didelot","given":"Xavier"},{"family":"Bowden","given":"Rory"},{"family":"Wilson","given":"Daniel J."},{"family":"Peto","given":"Tim E. A."},{"family":"Crook","given":"Derrick W."}],"issued":{"date-parts":[["2012",9]]}}},{"id":2235,"uris":["http://zotero.org/users/5334349/items/EM4GAN4P"],"uri":["http://zotero.org/users/5334349/items/EM4GAN4P"],"itemData":{"id":2235,"type":"article-journal","title":"Rapid antibiotic-resistance predictions from genome sequence data for Staphylococcus aureus and Mycobacterium tuberculosis","container-title":"Nature Communications","page":"10063","volume":"6","source":"PubMed","abstract":"The rise of antibiotic-resistant bacteria has led to an urgent need for rapid detection of drug resistance in clinical samples, and improvements in global surveillance. Here we show how de Bruijn graph representation of bacterial diversity can be used to identify species and resistance profiles of clinical isolates. We implement this method for Staphylococcus aureus and Mycobacterium tuberculosis in a software package ('Mykrobe predictor') that takes raw sequence data as input, and generates a clinician-friendly report within 3 minutes on a laptop. For S. aureus, the error rates of our method are comparable to gold-standard phenotypic methods, with sensitivity/specificity of 99.1%/99.6% across 12 antibiotics (using an independent validation set, n=470). For M. tuberculosis, our method predicts resistance with sensitivity/specificity of 82.6%/98.5% (independent validation set, n=1,609); sensitivity is lower here, probably because of limited understanding of the underlying genetic mechanisms. We give evidence that minor alleles improve detection of extremely drug-resistant strains, and demonstrate feasibility of the use of emerging single-molecule nanopore sequencing techniques for these purposes.","DOI":"10.1038/ncomms10063","ISSN":"2041-1723","note":"PMID: 26686880\nPMCID: PMC4703848","journalAbbreviation":"Nat Commun","language":"eng","author":[{"family":"Bradley","given":"Phelim"},{"family":"Gordon","given":"N. Claire"},{"family":"Walker","given":"Timothy M."},{"family":"Dunn","given":"Laura"},{"family":"Heys","given":"Simon"},{"family":"Huang","given":"Bill"},{"family":"Earle","given":"Sarah"},{"family":"Pankhurst","given":"Louise J."},{"family":"Anson","given":"Luke"},{"family":"Cesare","given":"Mariateresa","non-dropping-particle":"de"},{"family":"Piazza","given":"Paolo"},{"family":"Votintseva","given":"Antonina A."},{"family":"Golubchik","given":"Tanya"},{"family":"Wilson","given":"Daniel J."},{"family":"Wyllie","given":"David H."},{"family":"Diel","given":"Roland"},{"family":"Niemann","given":"Stefan"},{"family":"Feuerriegel","given":"Silke"},{"family":"Kohl","given":"Thomas A."},{"family":"Ismail","given":"Nazir"},{"family":"Omar","given":"Shaheed V."},{"family":"Smith","given":"E. Grace"},{"family":"Buck","given":"David"},{"family":"McVean","given":"Gil"},{"family":"Walker","given":"A. Sarah"},{"family":"Peto","given":"Tim E. A."},{"family":"Crook","given":"Derrick W."},{"family":"Iqbal","given":"Zamin"}],"issued":{"date-parts":[["2015",12,21]]}}},{"id":2238,"uris":["http://zotero.org/users/5334349/items/ZPTB7R6D"],"uri":["http://zotero.org/users/5334349/items/ZPTB7R6D"],"itemData":{"id":2238,"type":"article-journal","title":"Within-host evolution of bacterial pathogens","container-title":"Nature Reviews. Microbiology","page":"150-162","volume":"14","issue":"3","source":"PubMed","abstract":"Whole-genome sequencing has opened the way for investigating the dynamics and genomic evolution of bacterial pathogens during the colonization and infection of humans. The application of this technology to the longitudinal study of adaptation in an infected host--in particular, the evolution of drug resistance and host adaptation in patients who are chronically infected with opportunistic pathogens--has revealed remarkable patterns of convergent evolution, suggestive of an inherent repeatability of evolution. In this Review, we describe how these studies have advanced our understanding of the mechanisms and principles of within-host genome evolution, and we consider the consequences of findings such as a potent adaptive potential for pathogenicity. Finally, we discuss the possibility that genomics may be used in the future to predict the clinical progression of bacterial infections and to suggest the best option for treatment.","DOI":"10.1038/nrmicro.2015.13","ISSN":"1740-1534","note":"PMID: 26806595\nPMCID: PMC5053366","journalAbbreviation":"Nat. Rev. Microbiol.","language":"eng","author":[{"family":"Didelot","given":"Xavier"},{"family":"Walker","given":"A. Sarah"},{"family":"Peto","given":"Tim E."},{"family":"Crook","given":"Derrick W."},{"family":"Wilson","given":"Daniel J."}],"issued":{"date-parts":[["2016",3]]}}},{"id":2241,"uris":["http://zotero.org/users/5334349/items/FI8U363X"],"uri":["http://zotero.org/users/5334349/items/FI8U363X"],"itemData":{"id":2241,"type":"article-journal","title":"A human gut microbial gene catalogue established by metagenomic sequencing","container-title":"Nature","page":"59-65","volume":"464","issue":"7285","source":"PubMed","abstract":"To understand the impact of gut microbes on human health and well-being it is crucial to assess their genetic potential. Here we describe the Illumina-based metagenomic sequencing, assembly and characterization of 3.3 million non-redundant microbial genes, derived from 576.7 gigabases of sequence, from faecal samples of 124 European individuals. The gene set, approximately 150 times larger than the human gene complement, contains an overwhelming majority of the prevalent (more frequent) microbial genes of the cohort and probably includes a large proportion of the prevalent human intestinal microbial genes. The genes are largely shared among individuals of the cohort. Over 99% of the genes are bacterial, indicating that the entire cohort harbours between 1,000 and 1,150 prevalent bacterial species and each individual at least 160 such species, which are also largely shared. We define and describe the minimal gut metagenome and the minimal gut bacterial genome in terms of functions present in all individuals and most bacteria, respectively.","DOI":"10.1038/nature08821","ISSN":"1476-4687","note":"PMID: 20203603\nPMCID: PMC3779803","journalAbbreviation":"Nature","language":"eng","author":[{"family":"Qin","given":"Junjie"},{"family":"Li","given":"Ruiqiang"},{"family":"Raes","given":"Jeroen"},{"family":"Arumugam","given":"Manimozhiyan"},{"family":"Burgdorf","given":"Kristoffer Solvsten"},{"family":"Manichanh","given":"Chaysavanh"},{"family":"Nielsen","given":"Trine"},{"family":"Pons","given":"Nicolas"},{"family":"Levenez","given":"Florence"},{"family":"Yamada","given":"Takuji"},{"family":"Mende","given":"Daniel R."},{"family":"Li","given":"Junhua"},{"family":"Xu","given":"Junming"},{"family":"Li","given":"Shaochuan"},{"family":"Li","given":"Dongfang"},{"family":"Cao","given":"Jianjun"},{"family":"Wang","given":"Bo"},{"family":"Liang","given":"Huiqing"},{"family":"Zheng","given":"Huisong"},{"family":"Xie","given":"Yinlong"},{"family":"Tap","given":"Julien"},{"family":"Lepage","given":"Patricia"},{"family":"Bertalan","given":"Marcelo"},{"family":"Batto","given":"Jean-Michel"},{"family":"Hansen","given":"Torben"},{"family":"Le Paslier","given":"Denis"},{"family":"Linneberg","given":"Allan"},{"family":"Nielsen","given":"H. Bjørn"},{"family":"Pelletier","given":"Eric"},{"family":"Renault","given":"Pierre"},{"family":"Sicheritz-Ponten","given":"Thomas"},{"family":"Turner","given":"Keith"},{"family":"Zhu","given":"Hongmei"},{"family":"Yu","given":"Chang"},{"family":"Li","given":"Shengting"},{"family":"Jian","given":"Min"},{"family":"Zhou","given":"Yan"},{"family":"Li","given":"Yingrui"},{"family":"Zhang","given":"Xiuqing"},{"family":"Li","given":"Songgang"},{"family":"Qin","given":"Nan"},{"family":"Yang","given":"Huanming"},{"family":"Wang","given":"Jian"},{"family":"Brunak","given":"Søren"},{"family":"Doré","given":"Joel"},{"family":"Guarner","given":"Francisco"},{"family":"Kristiansen","given":"Karsten"},{"family":"Pedersen","given":"Oluf"},{"family":"Parkhill","given":"Julian"},{"family":"Weissenbach","given":"Jean"},{"literal":"MetaHIT Consortium"},{"family":"Bork","given":"Peer"},{"family":"Ehrlich","given":"S. Dusko"},{"family":"Wang","given":"Jun"}],"issued":{"date-parts":[["2010",3,4]]}}}],"schema":"https://github.com/citation-style-language/schema/raw/master/csl-citation.json"} </w:instrText>
      </w:r>
      <w:r w:rsidR="009F5E93" w:rsidRPr="00B36586">
        <w:rPr>
          <w:color w:val="000000"/>
          <w:lang w:eastAsia="en-GB"/>
        </w:rPr>
        <w:fldChar w:fldCharType="separate"/>
      </w:r>
      <w:r w:rsidR="00167D05" w:rsidRPr="00B36586">
        <w:rPr>
          <w:color w:val="000000"/>
        </w:rPr>
        <w:t>(1–4)</w:t>
      </w:r>
      <w:r w:rsidR="009F5E93" w:rsidRPr="00B36586">
        <w:rPr>
          <w:color w:val="000000"/>
          <w:lang w:eastAsia="en-GB"/>
        </w:rPr>
        <w:fldChar w:fldCharType="end"/>
      </w:r>
      <w:r w:rsidR="00F103A7" w:rsidRPr="00B36586">
        <w:rPr>
          <w:color w:val="000000"/>
          <w:lang w:eastAsia="en-GB"/>
        </w:rPr>
        <w:t xml:space="preserve">. </w:t>
      </w:r>
      <w:r w:rsidRPr="00B36586">
        <w:rPr>
          <w:color w:val="000000"/>
          <w:lang w:val="en" w:eastAsia="en-GB"/>
        </w:rPr>
        <w:t>Much of this evolution has been driven by the development of high-throughput, low-cost, second generation (short-read) sequencing methods, such as Illumina’s HiSeq and MiSeq platforms, which produce millions of low-error (</w:t>
      </w:r>
      <w:r w:rsidR="00CD612A" w:rsidRPr="00B36586">
        <w:rPr>
          <w:color w:val="000000"/>
          <w:lang w:val="en" w:eastAsia="en-GB"/>
        </w:rPr>
        <w:t>0.</w:t>
      </w:r>
      <w:r w:rsidRPr="00B36586">
        <w:rPr>
          <w:color w:val="000000"/>
          <w:lang w:val="en" w:eastAsia="en-GB"/>
        </w:rPr>
        <w:t>1%) paired-end reads, generally 100-300</w:t>
      </w:r>
      <w:r w:rsidR="001677DE">
        <w:rPr>
          <w:color w:val="000000"/>
          <w:lang w:val="en" w:eastAsia="en-GB"/>
        </w:rPr>
        <w:t xml:space="preserve"> </w:t>
      </w:r>
      <w:r w:rsidRPr="00B36586">
        <w:rPr>
          <w:color w:val="000000"/>
          <w:lang w:val="en" w:eastAsia="en-GB"/>
        </w:rPr>
        <w:t xml:space="preserve">bp in length. </w:t>
      </w:r>
      <w:r w:rsidRPr="00B36586">
        <w:rPr>
          <w:color w:val="000000"/>
          <w:lang w:eastAsia="en-GB"/>
        </w:rPr>
        <w:t xml:space="preserve">As such, Illumina sequencing has become the most widely used sequencing technology for microbial genomics. </w:t>
      </w:r>
      <w:r w:rsidRPr="00B36586">
        <w:rPr>
          <w:color w:val="000000"/>
          <w:lang w:val="en" w:eastAsia="en-GB"/>
        </w:rPr>
        <w:t>Multiple read processing algorithms now exist, typically enabling variant detection following mapping to a reference</w:t>
      </w:r>
      <w:r w:rsidR="00345734" w:rsidRPr="00B36586">
        <w:rPr>
          <w:color w:val="000000"/>
          <w:lang w:val="en" w:eastAsia="en-GB"/>
        </w:rPr>
        <w:t xml:space="preserve"> genome</w:t>
      </w:r>
      <w:r w:rsidRPr="00B36586">
        <w:rPr>
          <w:color w:val="000000"/>
          <w:lang w:val="en" w:eastAsia="en-GB"/>
        </w:rPr>
        <w:t xml:space="preserve"> to assess genetic relatedness (e.g. for outbreak investigation or population genetic studies), or </w:t>
      </w:r>
      <w:r w:rsidRPr="00B36586">
        <w:rPr>
          <w:i/>
          <w:color w:val="000000"/>
          <w:lang w:val="en" w:eastAsia="en-GB"/>
        </w:rPr>
        <w:t xml:space="preserve">de novo </w:t>
      </w:r>
      <w:r w:rsidRPr="00B36586">
        <w:rPr>
          <w:color w:val="000000"/>
          <w:lang w:val="en" w:eastAsia="en-GB"/>
        </w:rPr>
        <w:t xml:space="preserve">assembly to facilitate the identification of important loci in the accessory genome, such as antimicrobial resistance </w:t>
      </w:r>
      <w:r w:rsidR="002423CD">
        <w:rPr>
          <w:color w:val="000000"/>
          <w:lang w:val="en" w:eastAsia="en-GB"/>
        </w:rPr>
        <w:t xml:space="preserve">(AMR) </w:t>
      </w:r>
      <w:r w:rsidRPr="00B36586">
        <w:rPr>
          <w:color w:val="000000"/>
          <w:lang w:val="en" w:eastAsia="en-GB"/>
        </w:rPr>
        <w:t xml:space="preserve">genes (e.g. for epidemiological studies of resistance gene prevalence or for susceptibility prediction). </w:t>
      </w:r>
    </w:p>
    <w:p w14:paraId="092CE140" w14:textId="6F6F13D2" w:rsidR="002668F1" w:rsidRDefault="009E11C5" w:rsidP="002668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color w:val="000000"/>
          <w:lang w:eastAsia="en-GB"/>
        </w:rPr>
      </w:pPr>
      <w:r w:rsidRPr="00B36586">
        <w:rPr>
          <w:color w:val="000000"/>
          <w:lang w:val="en" w:eastAsia="en-GB"/>
        </w:rPr>
        <w:t xml:space="preserve">However, </w:t>
      </w:r>
      <w:r w:rsidR="00E47703" w:rsidRPr="00B36586">
        <w:rPr>
          <w:color w:val="000000"/>
          <w:lang w:val="en" w:eastAsia="en-GB"/>
        </w:rPr>
        <w:t xml:space="preserve">it has become clear that short-read sequencing </w:t>
      </w:r>
      <w:r w:rsidR="0098590B" w:rsidRPr="00B36586">
        <w:rPr>
          <w:color w:val="000000"/>
          <w:lang w:val="en" w:eastAsia="en-GB"/>
        </w:rPr>
        <w:t>has</w:t>
      </w:r>
      <w:r w:rsidR="00E47703" w:rsidRPr="00B36586">
        <w:rPr>
          <w:color w:val="000000"/>
          <w:lang w:val="en" w:eastAsia="en-GB"/>
        </w:rPr>
        <w:t xml:space="preserve"> significant limitation</w:t>
      </w:r>
      <w:r w:rsidR="00193DD2" w:rsidRPr="00B36586">
        <w:rPr>
          <w:color w:val="000000"/>
          <w:lang w:val="en" w:eastAsia="en-GB"/>
        </w:rPr>
        <w:t xml:space="preserve">s depending on the bacterial species and/or epidemiological question. </w:t>
      </w:r>
      <w:r w:rsidRPr="00B36586">
        <w:rPr>
          <w:color w:val="000000"/>
          <w:lang w:val="en" w:eastAsia="en-GB"/>
        </w:rPr>
        <w:t>These limitations</w:t>
      </w:r>
      <w:r w:rsidR="00E47703" w:rsidRPr="00B36586">
        <w:rPr>
          <w:color w:val="000000"/>
          <w:lang w:val="en" w:eastAsia="en-GB"/>
        </w:rPr>
        <w:t xml:space="preserve"> </w:t>
      </w:r>
      <w:r w:rsidR="004679CA" w:rsidRPr="00B36586">
        <w:rPr>
          <w:color w:val="000000"/>
          <w:lang w:val="en" w:eastAsia="en-GB"/>
        </w:rPr>
        <w:t>largely aris</w:t>
      </w:r>
      <w:r w:rsidRPr="00B36586">
        <w:rPr>
          <w:color w:val="000000"/>
          <w:lang w:val="en" w:eastAsia="en-GB"/>
        </w:rPr>
        <w:t xml:space="preserve">e </w:t>
      </w:r>
      <w:r w:rsidR="004679CA" w:rsidRPr="00B36586">
        <w:rPr>
          <w:color w:val="000000"/>
          <w:lang w:val="en" w:eastAsia="en-GB"/>
        </w:rPr>
        <w:t xml:space="preserve">from </w:t>
      </w:r>
      <w:r w:rsidR="0098590B" w:rsidRPr="00B36586">
        <w:rPr>
          <w:color w:val="000000"/>
          <w:lang w:val="en" w:eastAsia="en-GB"/>
        </w:rPr>
        <w:t>the</w:t>
      </w:r>
      <w:r w:rsidR="00696B3C" w:rsidRPr="00B36586">
        <w:rPr>
          <w:color w:val="000000"/>
          <w:lang w:val="en" w:eastAsia="en-GB"/>
        </w:rPr>
        <w:t xml:space="preserve"> inability to </w:t>
      </w:r>
      <w:r w:rsidR="00E47703" w:rsidRPr="00B36586">
        <w:rPr>
          <w:color w:val="000000"/>
          <w:lang w:val="en" w:eastAsia="en-GB"/>
        </w:rPr>
        <w:t xml:space="preserve">fully reconstruct </w:t>
      </w:r>
      <w:r w:rsidRPr="00B36586">
        <w:rPr>
          <w:color w:val="000000"/>
          <w:lang w:val="en" w:eastAsia="en-GB"/>
        </w:rPr>
        <w:t>genomic</w:t>
      </w:r>
      <w:r w:rsidR="00E47703" w:rsidRPr="00B36586">
        <w:rPr>
          <w:color w:val="000000"/>
          <w:lang w:val="en" w:eastAsia="en-GB"/>
        </w:rPr>
        <w:t xml:space="preserve"> structures of interest</w:t>
      </w:r>
      <w:r w:rsidR="0098590B" w:rsidRPr="00B36586">
        <w:rPr>
          <w:color w:val="000000"/>
          <w:lang w:val="en" w:eastAsia="en-GB"/>
        </w:rPr>
        <w:t xml:space="preserve"> from short reads</w:t>
      </w:r>
      <w:r w:rsidR="00E47703" w:rsidRPr="00B36586">
        <w:rPr>
          <w:color w:val="000000"/>
          <w:lang w:val="en" w:eastAsia="en-GB"/>
        </w:rPr>
        <w:t xml:space="preserve">, including </w:t>
      </w:r>
      <w:r w:rsidR="0098590B" w:rsidRPr="00B36586">
        <w:rPr>
          <w:color w:val="000000"/>
          <w:lang w:val="en" w:eastAsia="en-GB"/>
        </w:rPr>
        <w:t>those on</w:t>
      </w:r>
      <w:r w:rsidR="00E47703" w:rsidRPr="00B36586">
        <w:rPr>
          <w:color w:val="000000"/>
          <w:lang w:val="en" w:eastAsia="en-GB"/>
        </w:rPr>
        <w:t xml:space="preserve"> chromosomes and mobile genetic elements such as plasmids</w:t>
      </w:r>
      <w:r w:rsidR="00401F8C" w:rsidRPr="00B36586">
        <w:rPr>
          <w:color w:val="000000"/>
          <w:lang w:val="en" w:eastAsia="en-GB"/>
        </w:rPr>
        <w:t xml:space="preserve"> </w:t>
      </w:r>
      <w:r w:rsidR="00401F8C" w:rsidRPr="00B36586">
        <w:rPr>
          <w:color w:val="000000"/>
          <w:lang w:val="en" w:eastAsia="en-GB"/>
        </w:rPr>
        <w:fldChar w:fldCharType="begin"/>
      </w:r>
      <w:r w:rsidR="009F7B65">
        <w:rPr>
          <w:color w:val="000000"/>
          <w:lang w:val="en" w:eastAsia="en-GB"/>
        </w:rPr>
        <w:instrText xml:space="preserve"> ADDIN ZOTERO_ITEM CSL_CITATION {"citationID":"volJq1gN","properties":{"formattedCitation":"(5)","plainCitation":"(5)","noteIndex":0},"citationItems":[{"id":2278,"uris":["http://zotero.org/users/5334349/items/IB7R7ESX"],"uri":["http://zotero.org/users/5334349/items/IB7R7ESX"],"itemData":{"id":2278,"type":"article-journal","title":"Resolving plasmid structures in Enterobacteriaceae using the MinION nanopore sequencer: assessment of MinION and MinION/Illumina hybrid data assembly approaches","container-title":"Microbial Genomics","page":"e000118","volume":"3","issue":"8","source":"PubMed","abstract":"This study aimed to assess the feasibility of using the Oxford Nanopore Technologies (ONT) MinION long-read sequencer in reconstructing fully closed plasmid sequences from eight Enterobacteriaceae isolates of six different species with plasmid populations of varying complexity. Species represented were Escherichia coli, Klebsiella pneumoniae, Citrobacter freundii, Enterobacter cloacae, Serratia marcescens and Klebsiella oxytoca, with plasmid populations ranging from 1-11 plasmids with sizes of 2-330 kb. Isolates were sequenced using Illumina (short-read) and ONT's MinION (long-read) platforms, and compared with fully resolved PacBio (long-read) sequence assemblies for the same isolates. We compared the performance of different assembly approaches including SPAdes, plasmidSPAdes, hybridSPAdes, Canu, Canu+Pilon (canuPilon) and npScarf in recovering the plasmid structures of these isolates by comparing with the gold-standard PacBio reference sequences. Overall, canuPilon provided consistently good quality assemblies both in terms of assembly statistics (N50, number of contigs) and assembly accuracy [presence of single nucleotide polymorphisms (SNPs)/indels with respect to the reference sequence]. For plasmid reconstruction, Canu recovered 70 % of the plasmids in complete contigs, and combining three assembly approaches (Canu or canuPilon, hybridSPAdes and plasmidSPAdes) resulted in a total 78 % recovery rate for all the plasmids. The analysis demonstrated the potential of using MinION sequencing technology to resolve important plasmid structures in Enterobacteriaceae species independent of and in conjunction with Illumina sequencing data. A consensus assembly derived from several assembly approaches could present significant benefit in accurately resolving the greatest number of plasmid structures.","DOI":"10.1099/mgen.0.000118","ISSN":"2057-5858","note":"PMID: 29026658\nPMCID: PMC5610714","title-short":"Resolving plasmid structures in Enterobacteriaceae using the MinION nanopore sequencer","journalAbbreviation":"Microb Genom","language":"eng","author":[{"family":"George","given":"Sophie"},{"family":"Pankhurst","given":"Louise"},{"family":"Hubbard","given":"Alasdair"},{"family":"Votintseva","given":"Antonia"},{"family":"Stoesser","given":"Nicole"},{"family":"Sheppard","given":"Anna E."},{"family":"Mathers","given":"Amy"},{"family":"Norris","given":"Rachel"},{"family":"Navickaite","given":"Indre"},{"family":"Eaton","given":"Chloe"},{"family":"Iqbal","given":"Zamin"},{"family":"Crook","given":"Derrick W."},{"family":"Phan","given":"Hang T. T."}],"issued":{"date-parts":[["2017"]]}}}],"schema":"https://github.com/citation-style-language/schema/raw/master/csl-citation.json"} </w:instrText>
      </w:r>
      <w:r w:rsidR="00401F8C" w:rsidRPr="00B36586">
        <w:rPr>
          <w:color w:val="000000"/>
          <w:lang w:val="en" w:eastAsia="en-GB"/>
        </w:rPr>
        <w:fldChar w:fldCharType="separate"/>
      </w:r>
      <w:r w:rsidR="00401F8C" w:rsidRPr="00B36586">
        <w:rPr>
          <w:noProof/>
          <w:color w:val="000000"/>
          <w:lang w:val="en" w:eastAsia="en-GB"/>
        </w:rPr>
        <w:t>(5)</w:t>
      </w:r>
      <w:r w:rsidR="00401F8C" w:rsidRPr="00B36586">
        <w:rPr>
          <w:color w:val="000000"/>
          <w:lang w:val="en" w:eastAsia="en-GB"/>
        </w:rPr>
        <w:fldChar w:fldCharType="end"/>
      </w:r>
      <w:r w:rsidR="00E47703" w:rsidRPr="00B36586">
        <w:rPr>
          <w:color w:val="000000"/>
          <w:lang w:val="en" w:eastAsia="en-GB"/>
        </w:rPr>
        <w:t xml:space="preserve">. An example where this </w:t>
      </w:r>
      <w:r w:rsidR="0098590B" w:rsidRPr="00B36586">
        <w:rPr>
          <w:color w:val="000000"/>
          <w:lang w:val="en" w:eastAsia="en-GB"/>
        </w:rPr>
        <w:t xml:space="preserve">genomic </w:t>
      </w:r>
      <w:r w:rsidRPr="00B36586">
        <w:rPr>
          <w:color w:val="000000"/>
          <w:lang w:val="en" w:eastAsia="en-GB"/>
        </w:rPr>
        <w:t xml:space="preserve">structure </w:t>
      </w:r>
      <w:r w:rsidR="00E47703" w:rsidRPr="00B36586">
        <w:rPr>
          <w:color w:val="000000"/>
          <w:lang w:val="en" w:eastAsia="en-GB"/>
        </w:rPr>
        <w:t xml:space="preserve">is highly relevant </w:t>
      </w:r>
      <w:r w:rsidR="00696B3C" w:rsidRPr="00B36586">
        <w:rPr>
          <w:color w:val="000000"/>
          <w:lang w:val="en" w:eastAsia="en-GB"/>
        </w:rPr>
        <w:t>is</w:t>
      </w:r>
      <w:r w:rsidR="00E47703" w:rsidRPr="00B36586">
        <w:rPr>
          <w:color w:val="000000"/>
          <w:lang w:val="en" w:eastAsia="en-GB"/>
        </w:rPr>
        <w:t xml:space="preserve"> the study of</w:t>
      </w:r>
      <w:r w:rsidR="00345734" w:rsidRPr="00B36586">
        <w:rPr>
          <w:color w:val="000000"/>
          <w:lang w:val="en" w:eastAsia="en-GB"/>
        </w:rPr>
        <w:t xml:space="preserve"> </w:t>
      </w:r>
      <w:r w:rsidR="0029222F" w:rsidRPr="00B36586">
        <w:rPr>
          <w:color w:val="000000"/>
          <w:lang w:val="en" w:eastAsia="en-GB"/>
        </w:rPr>
        <w:t xml:space="preserve">AMR </w:t>
      </w:r>
      <w:r w:rsidR="00E47703" w:rsidRPr="00B36586">
        <w:rPr>
          <w:color w:val="000000"/>
          <w:lang w:val="en" w:eastAsia="en-GB"/>
        </w:rPr>
        <w:t>gene transmission</w:t>
      </w:r>
      <w:r w:rsidR="00345734" w:rsidRPr="00B36586">
        <w:rPr>
          <w:color w:val="000000"/>
          <w:lang w:val="en" w:eastAsia="en-GB"/>
        </w:rPr>
        <w:t xml:space="preserve"> and evolution</w:t>
      </w:r>
      <w:r w:rsidR="00E47703" w:rsidRPr="00B36586">
        <w:rPr>
          <w:color w:val="000000"/>
          <w:lang w:val="en" w:eastAsia="en-GB"/>
        </w:rPr>
        <w:t xml:space="preserve"> in </w:t>
      </w:r>
      <w:r w:rsidR="00C636CF" w:rsidRPr="00B36586">
        <w:rPr>
          <w:color w:val="000000"/>
          <w:lang w:val="en" w:eastAsia="en-GB"/>
        </w:rPr>
        <w:t xml:space="preserve">species of </w:t>
      </w:r>
      <w:r w:rsidR="00E47703" w:rsidRPr="00B36586">
        <w:rPr>
          <w:color w:val="000000"/>
          <w:lang w:val="en" w:eastAsia="en-GB"/>
        </w:rPr>
        <w:t>Enterobacteriaceae, which have emerged as a major clinical problem in the last decade</w:t>
      </w:r>
      <w:r w:rsidR="00C242D4" w:rsidRPr="00B36586">
        <w:rPr>
          <w:color w:val="000000"/>
          <w:lang w:val="en" w:eastAsia="en-GB"/>
        </w:rPr>
        <w:t xml:space="preserve"> </w:t>
      </w:r>
      <w:r w:rsidR="00C242D4" w:rsidRPr="00B36586">
        <w:rPr>
          <w:color w:val="000000"/>
          <w:lang w:val="en" w:eastAsia="en-GB"/>
        </w:rPr>
        <w:fldChar w:fldCharType="begin"/>
      </w:r>
      <w:r w:rsidR="009F7B65">
        <w:rPr>
          <w:color w:val="000000"/>
          <w:lang w:val="en" w:eastAsia="en-GB"/>
        </w:rPr>
        <w:instrText xml:space="preserve"> ADDIN ZOTERO_ITEM CSL_CITATION {"citationID":"tKLwLrZ5","properties":{"formattedCitation":"(6)","plainCitation":"(6)","noteIndex":0},"citationItems":[{"id":2409,"uris":["http://zotero.org/users/5334349/items/DXX6PCDV"],"uri":["http://zotero.org/users/5334349/items/DXX6PCDV"],"itemData":{"id":2409,"type":"article-journal","title":"The Epidemiology of Carbapenem-Resistant Enterobacteriaceae: The Impact and Evolution of a Global Menace","container-title":"The Journal of Infectious Diseases","page":"S28-S36","volume":"215","issue":"suppl_1","source":"PubMed","abstract":"Carbapenem-resistant Enterobacteriaceae (CRE) are a serious public health threat. Infections due to these organisms are associated with significant morbidity and mortality. Mechanisms of drug resistance in gram-negative bacteria (GNB) are numerous; β-lactamase genes carried on mobile genetic elements are a key mechanism for the rapid spread of antibiotic-resistant GNB worldwide. Transmissible carbapenem-resistance in Enterobacteriaceae has been recognized for the last 2 decades, but global dissemination of carbapenemase-producing Enterobacteriaceae (CPE) is a more recent problem that, once initiated, has been occurring at an alarming pace. In this article, we discuss the evolution of CRE, with a focus on the epidemiology of the CPE pandemic; review risk factors for colonization and infection with the most common transmissible CPE worldwide, Klebsiella pneumoniae carbapenemase-producing K. pneumoniae; and present strategies used to halt the striking spread of these deadly pathogens.","DOI":"10.1093/infdis/jiw282","ISSN":"1537-6613","note":"PMID: 28375512\nPMCID: PMC5853342","title-short":"The Epidemiology of Carbapenem-Resistant Enterobacteriaceae","journalAbbreviation":"J. Infect. Dis.","language":"eng","author":[{"family":"Logan","given":"Latania K."},{"family":"Weinstein","given":"Robert A."}],"issued":{"date-parts":[["2017",2,15]]}}}],"schema":"https://github.com/citation-style-language/schema/raw/master/csl-citation.json"} </w:instrText>
      </w:r>
      <w:r w:rsidR="00C242D4" w:rsidRPr="00B36586">
        <w:rPr>
          <w:color w:val="000000"/>
          <w:lang w:val="en" w:eastAsia="en-GB"/>
        </w:rPr>
        <w:fldChar w:fldCharType="separate"/>
      </w:r>
      <w:r w:rsidR="00401F8C" w:rsidRPr="00B36586">
        <w:rPr>
          <w:noProof/>
          <w:color w:val="000000"/>
          <w:lang w:val="en" w:eastAsia="en-GB"/>
        </w:rPr>
        <w:t>(6)</w:t>
      </w:r>
      <w:r w:rsidR="00C242D4" w:rsidRPr="00B36586">
        <w:rPr>
          <w:color w:val="000000"/>
          <w:lang w:val="en" w:eastAsia="en-GB"/>
        </w:rPr>
        <w:fldChar w:fldCharType="end"/>
      </w:r>
      <w:r w:rsidR="00E47703" w:rsidRPr="00B36586">
        <w:rPr>
          <w:color w:val="000000"/>
          <w:lang w:val="en" w:eastAsia="en-GB"/>
        </w:rPr>
        <w:t xml:space="preserve">. </w:t>
      </w:r>
      <w:r w:rsidR="00696B3C" w:rsidRPr="00B36586">
        <w:rPr>
          <w:color w:val="000000"/>
          <w:lang w:val="en" w:eastAsia="en-GB"/>
        </w:rPr>
        <w:t>S</w:t>
      </w:r>
      <w:r w:rsidR="00E47703" w:rsidRPr="00B36586">
        <w:rPr>
          <w:color w:val="000000"/>
          <w:lang w:val="en" w:eastAsia="en-GB"/>
        </w:rPr>
        <w:t xml:space="preserve">hort-read </w:t>
      </w:r>
      <w:r w:rsidR="00696B3C" w:rsidRPr="00B36586">
        <w:rPr>
          <w:color w:val="000000"/>
          <w:lang w:val="en" w:eastAsia="en-GB"/>
        </w:rPr>
        <w:t>data from these species</w:t>
      </w:r>
      <w:r w:rsidR="00E47703" w:rsidRPr="00B36586">
        <w:rPr>
          <w:color w:val="000000"/>
          <w:lang w:val="en" w:eastAsia="en-GB"/>
        </w:rPr>
        <w:t xml:space="preserve"> </w:t>
      </w:r>
      <w:r w:rsidR="00696B3C" w:rsidRPr="00B36586">
        <w:rPr>
          <w:color w:val="000000"/>
          <w:lang w:val="en" w:eastAsia="en-GB"/>
        </w:rPr>
        <w:t xml:space="preserve">do not </w:t>
      </w:r>
      <w:r w:rsidR="00E47703" w:rsidRPr="00B36586">
        <w:rPr>
          <w:color w:val="000000"/>
          <w:lang w:val="en" w:eastAsia="en-GB"/>
        </w:rPr>
        <w:t>successful</w:t>
      </w:r>
      <w:r w:rsidR="00696B3C" w:rsidRPr="00B36586">
        <w:rPr>
          <w:color w:val="000000"/>
          <w:lang w:val="en" w:eastAsia="en-GB"/>
        </w:rPr>
        <w:t>ly</w:t>
      </w:r>
      <w:r w:rsidR="00E47703" w:rsidRPr="00B36586">
        <w:rPr>
          <w:color w:val="000000"/>
          <w:lang w:val="en" w:eastAsia="en-GB"/>
        </w:rPr>
        <w:t xml:space="preserve"> </w:t>
      </w:r>
      <w:r w:rsidR="004679CA" w:rsidRPr="00B36586">
        <w:rPr>
          <w:color w:val="000000"/>
          <w:lang w:val="en" w:eastAsia="en-GB"/>
        </w:rPr>
        <w:t xml:space="preserve">facilitate </w:t>
      </w:r>
      <w:r w:rsidR="00E47703" w:rsidRPr="00B36586">
        <w:rPr>
          <w:color w:val="000000"/>
          <w:lang w:val="en" w:eastAsia="en-GB"/>
        </w:rPr>
        <w:t>assembl</w:t>
      </w:r>
      <w:r w:rsidR="004679CA" w:rsidRPr="00B36586">
        <w:rPr>
          <w:color w:val="000000"/>
          <w:lang w:val="en" w:eastAsia="en-GB"/>
        </w:rPr>
        <w:t xml:space="preserve">y of the </w:t>
      </w:r>
      <w:r w:rsidR="00E47703" w:rsidRPr="00B36586">
        <w:rPr>
          <w:color w:val="000000"/>
          <w:lang w:val="en" w:eastAsia="en-GB"/>
        </w:rPr>
        <w:t>repetitive structures that extend beyond the maximum read length generated</w:t>
      </w:r>
      <w:r w:rsidR="004679CA" w:rsidRPr="00B36586">
        <w:rPr>
          <w:color w:val="000000"/>
          <w:lang w:val="en" w:eastAsia="en-GB"/>
        </w:rPr>
        <w:t>, including</w:t>
      </w:r>
      <w:r w:rsidR="00CD612A" w:rsidRPr="00B36586">
        <w:rPr>
          <w:color w:val="000000"/>
          <w:lang w:val="en" w:eastAsia="en-GB"/>
        </w:rPr>
        <w:t xml:space="preserve"> </w:t>
      </w:r>
      <w:r w:rsidR="00E47703" w:rsidRPr="00B36586">
        <w:rPr>
          <w:color w:val="000000"/>
          <w:lang w:val="en" w:eastAsia="en-GB"/>
        </w:rPr>
        <w:t>structure</w:t>
      </w:r>
      <w:r w:rsidR="00CD612A" w:rsidRPr="00B36586">
        <w:rPr>
          <w:color w:val="000000"/>
          <w:lang w:val="en" w:eastAsia="en-GB"/>
        </w:rPr>
        <w:t>s</w:t>
      </w:r>
      <w:r w:rsidR="004679CA" w:rsidRPr="00B36586">
        <w:rPr>
          <w:color w:val="000000"/>
          <w:lang w:val="en" w:eastAsia="en-GB"/>
        </w:rPr>
        <w:t xml:space="preserve"> such as</w:t>
      </w:r>
      <w:r w:rsidR="00E47703" w:rsidRPr="00B36586">
        <w:rPr>
          <w:color w:val="000000"/>
          <w:lang w:val="en" w:eastAsia="en-GB"/>
        </w:rPr>
        <w:t xml:space="preserve"> resistance gene cas</w:t>
      </w:r>
      <w:r w:rsidR="00710F26" w:rsidRPr="00B36586">
        <w:rPr>
          <w:color w:val="000000"/>
          <w:lang w:val="en" w:eastAsia="en-GB"/>
        </w:rPr>
        <w:t>s</w:t>
      </w:r>
      <w:r w:rsidR="00E47703" w:rsidRPr="00B36586">
        <w:rPr>
          <w:color w:val="000000"/>
          <w:lang w:val="en" w:eastAsia="en-GB"/>
        </w:rPr>
        <w:t xml:space="preserve">ettes, insertion sequences and transposons that are of </w:t>
      </w:r>
      <w:r w:rsidR="00696B3C" w:rsidRPr="00B36586">
        <w:rPr>
          <w:color w:val="000000"/>
          <w:lang w:val="en" w:eastAsia="en-GB"/>
        </w:rPr>
        <w:t xml:space="preserve">crucial </w:t>
      </w:r>
      <w:r w:rsidR="00E47703" w:rsidRPr="00B36586">
        <w:rPr>
          <w:color w:val="000000"/>
          <w:lang w:val="en" w:eastAsia="en-GB"/>
        </w:rPr>
        <w:t>biological relevance to understanding the dissemination of key antim</w:t>
      </w:r>
      <w:r w:rsidR="00710F26" w:rsidRPr="00B36586">
        <w:rPr>
          <w:color w:val="000000"/>
          <w:lang w:val="en" w:eastAsia="en-GB"/>
        </w:rPr>
        <w:t>i</w:t>
      </w:r>
      <w:r w:rsidR="00E47703" w:rsidRPr="00B36586">
        <w:rPr>
          <w:color w:val="000000"/>
          <w:lang w:val="en" w:eastAsia="en-GB"/>
        </w:rPr>
        <w:t>crobial resistance genes</w:t>
      </w:r>
      <w:r w:rsidR="00CF01A7" w:rsidRPr="00B36586">
        <w:rPr>
          <w:color w:val="000000"/>
          <w:lang w:eastAsia="en-GB"/>
        </w:rPr>
        <w:t>.</w:t>
      </w:r>
    </w:p>
    <w:p w14:paraId="24089773" w14:textId="51717D06" w:rsidR="006D395B" w:rsidRPr="00FD5974" w:rsidRDefault="004F1454" w:rsidP="002471A3">
      <w:pPr>
        <w:spacing w:after="120"/>
        <w:jc w:val="both"/>
      </w:pPr>
      <w:r w:rsidRPr="00B36586">
        <w:rPr>
          <w:color w:val="000000"/>
          <w:lang w:val="en" w:eastAsia="en-GB"/>
        </w:rPr>
        <w:t xml:space="preserve">The most widely used </w:t>
      </w:r>
      <w:r w:rsidR="004679CA" w:rsidRPr="00B36586">
        <w:rPr>
          <w:color w:val="000000"/>
          <w:lang w:val="en" w:eastAsia="en-GB"/>
        </w:rPr>
        <w:t>single molecule, long-read</w:t>
      </w:r>
      <w:r w:rsidRPr="00B36586">
        <w:rPr>
          <w:color w:val="000000"/>
          <w:lang w:val="en" w:eastAsia="en-GB"/>
        </w:rPr>
        <w:t xml:space="preserve"> sequencing platforms, currently represented by Pacific Biosciences’ (PacBio) Single Molecule Real-Time (SMRT) and Oxford Nanopore Technologies’ </w:t>
      </w:r>
      <w:r w:rsidR="00931324" w:rsidRPr="00B36586">
        <w:rPr>
          <w:color w:val="000000"/>
          <w:lang w:val="en" w:eastAsia="en-GB"/>
        </w:rPr>
        <w:t xml:space="preserve">(ONT) </w:t>
      </w:r>
      <w:r w:rsidRPr="00B36586">
        <w:rPr>
          <w:color w:val="000000"/>
          <w:lang w:val="en" w:eastAsia="en-GB"/>
        </w:rPr>
        <w:t xml:space="preserve">MinION sequencers, are </w:t>
      </w:r>
      <w:r w:rsidR="004679CA" w:rsidRPr="00B36586">
        <w:rPr>
          <w:color w:val="000000"/>
          <w:lang w:val="en" w:eastAsia="en-GB"/>
        </w:rPr>
        <w:t xml:space="preserve">often </w:t>
      </w:r>
      <w:r w:rsidRPr="00B36586">
        <w:rPr>
          <w:color w:val="000000"/>
          <w:lang w:val="en" w:eastAsia="en-GB"/>
        </w:rPr>
        <w:t>able to overcome these limitations by generating reads with a median length of 8-10</w:t>
      </w:r>
      <w:r w:rsidR="001677DE">
        <w:rPr>
          <w:color w:val="000000"/>
          <w:lang w:val="en" w:eastAsia="en-GB"/>
        </w:rPr>
        <w:t xml:space="preserve"> </w:t>
      </w:r>
      <w:r w:rsidRPr="00B36586">
        <w:rPr>
          <w:color w:val="000000"/>
          <w:lang w:val="en" w:eastAsia="en-GB"/>
        </w:rPr>
        <w:t>kb, and as long as 100</w:t>
      </w:r>
      <w:r w:rsidR="001677DE">
        <w:rPr>
          <w:color w:val="000000"/>
          <w:lang w:val="en" w:eastAsia="en-GB"/>
        </w:rPr>
        <w:t xml:space="preserve"> </w:t>
      </w:r>
      <w:r w:rsidRPr="00B36586">
        <w:rPr>
          <w:color w:val="000000"/>
          <w:lang w:val="en" w:eastAsia="en-GB"/>
        </w:rPr>
        <w:t>kb</w:t>
      </w:r>
      <w:r w:rsidR="00770092" w:rsidRPr="00B36586">
        <w:rPr>
          <w:color w:val="000000"/>
          <w:lang w:val="en" w:eastAsia="en-GB"/>
        </w:rPr>
        <w:t xml:space="preserve"> </w:t>
      </w:r>
      <w:r w:rsidR="00770092" w:rsidRPr="00B36586">
        <w:rPr>
          <w:color w:val="000000"/>
          <w:lang w:val="en" w:eastAsia="en-GB"/>
        </w:rPr>
        <w:fldChar w:fldCharType="begin"/>
      </w:r>
      <w:r w:rsidR="009F7B65">
        <w:rPr>
          <w:color w:val="000000"/>
          <w:lang w:val="en" w:eastAsia="en-GB"/>
        </w:rPr>
        <w:instrText xml:space="preserve"> ADDIN ZOTERO_ITEM CSL_CITATION {"citationID":"aIzOPvrL","properties":{"formattedCitation":"(5,7,8)","plainCitation":"(5,7,8)","noteIndex":0},"citationItems":[{"id":482,"uris":["http://zotero.org/users/5334349/items/FQDTTKE9"],"uri":["http://zotero.org/users/5334349/items/FQDTTKE9"],"itemData":{"id":482,"type":"article-journal","title":"Canu: scalable and accurate long-read assembly via adaptive k-mer weighting and repeat separation.","container-title":"Genome Research","page":"722–736","volume":"27","issue":"5","abstract":"Long-read single-molecule sequencing has revolutionized de novo genome assembly and enabled the automated reconstruction of reference-quality genomes. However, given the relatively high error rates of such technologies, efficient and accurate assembly of large repeats and closely related haplotypes remains challenging. We address these issues with Canu, a successor of Celera Assembler that is specifically designed for noisy single-molecule sequences. Canu introduces support for nanopore sequencing, halves depth-of-coverage requirements, and improves assembly continuity while simultaneously reducing runtime by an order of magnitude on large genomes versus Celera Assembler 8.2. These advances result from new overlapping and assembly algorithms, including an adaptive overlapping strategy based on tf-idf weighted MinHash and a sparse assembly graph construction that avoids collapsing diverged repeats and haplotypes. We demonstrate that Canu can reliably assemble complete microbial genomes and near-complete eukaryotic chromosomes using either Pacific Biosciences (PacBio) or Oxford Nanopore technologies and achieves a contig NG50 of \\textgreater21 Mbp on both human and Drosophila melanogaster PacBio data sets. For assembly structures that cannot be linearly represented, Canu provides graph-based assembly outputs in graphical fragment assembly (GFA) format for analysis or integration with complementary phasing and scaffolding techniques. The combination of such highly resolved assembly graphs with long-range scaffolding information promises the complete and automated assembly of complex genomes.","DOI":"10.1101/gr.215087.116","ISSN":"1549-5469","note":"PMID: 28298431","author":[{"family":"Koren","given":"Sergey"},{"family":"Walenz","given":"Brian P"},{"family":"Berlin","given":"Konstantin"},{"family":"Miller","given":"Jason R"},{"family":"Bergman","given":"Nicholas H"},{"family":"Phillippy","given":"Adam M"}],"issued":{"date-parts":[["2017",5]]}}},{"id":2249,"uris":["http://zotero.org/users/5334349/items/5FT9SP6A"],"uri":["http://zotero.org/users/5334349/items/5FT9SP6A"],"itemData":{"id":2249,"type":"article-journal","title":"A complete bacterial genome assembled de novo using only nanopore sequencing data","container-title":"Nature Methods","page":"733-735","volume":"12","issue":"8","source":"PubMed","abstract":"We have assembled de novo the Escherichia coli K-12 MG1655 chromosome in a single 4.6-Mb contig using only nanopore data. Our method has three stages: (i) overlaps are detected between reads and then corrected by a multiple-alignment process; (ii) corrected reads are assembled using the Celera Assembler; and (iii) the assembly is polished using a probabilistic model of the signal-level data. The assembly reconstructs gene order and has 99.5% nucleotide identity.","DOI":"10.1038/nmeth.3444","ISSN":"1548-7105","note":"PMID: 26076426","journalAbbreviation":"Nat. Methods","language":"eng","author":[{"family":"Loman","given":"Nicholas J."},{"family":"Quick","given":"Joshua"},{"family":"Simpson","given":"Jared T."}],"issued":{"date-parts":[["2015",8]]}}},{"id":2278,"uris":["http://zotero.org/users/5334349/items/IB7R7ESX"],"uri":["http://zotero.org/users/5334349/items/IB7R7ESX"],"itemData":{"id":2278,"type":"article-journal","title":"Resolving plasmid structures in Enterobacteriaceae using the MinION nanopore sequencer: assessment of MinION and MinION/Illumina hybrid data assembly approaches","container-title":"Microbial Genomics","page":"e000118","volume":"3","issue":"8","source":"PubMed","abstract":"This study aimed to assess the feasibility of using the Oxford Nanopore Technologies (ONT) MinION long-read sequencer in reconstructing fully closed plasmid sequences from eight Enterobacteriaceae isolates of six different species with plasmid populations of varying complexity. Species represented were Escherichia coli, Klebsiella pneumoniae, Citrobacter freundii, Enterobacter cloacae, Serratia marcescens and Klebsiella oxytoca, with plasmid populations ranging from 1-11 plasmids with sizes of 2-330 kb. Isolates were sequenced using Illumina (short-read) and ONT's MinION (long-read) platforms, and compared with fully resolved PacBio (long-read) sequence assemblies for the same isolates. We compared the performance of different assembly approaches including SPAdes, plasmidSPAdes, hybridSPAdes, Canu, Canu+Pilon (canuPilon) and npScarf in recovering the plasmid structures of these isolates by comparing with the gold-standard PacBio reference sequences. Overall, canuPilon provided consistently good quality assemblies both in terms of assembly statistics (N50, number of contigs) and assembly accuracy [presence of single nucleotide polymorphisms (SNPs)/indels with respect to the reference sequence]. For plasmid reconstruction, Canu recovered 70 % of the plasmids in complete contigs, and combining three assembly approaches (Canu or canuPilon, hybridSPAdes and plasmidSPAdes) resulted in a total 78 % recovery rate for all the plasmids. The analysis demonstrated the potential of using MinION sequencing technology to resolve important plasmid structures in Enterobacteriaceae species independent of and in conjunction with Illumina sequencing data. A consensus assembly derived from several assembly approaches could present significant benefit in accurately resolving the greatest number of plasmid structures.","DOI":"10.1099/mgen.0.000118","ISSN":"2057-5858","note":"PMID: 29026658\nPMCID: PMC5610714","title-short":"Resolving plasmid structures in Enterobacteriaceae using the MinION nanopore sequencer","journalAbbreviation":"Microb Genom","language":"eng","author":[{"family":"George","given":"Sophie"},{"family":"Pankhurst","given":"Louise"},{"family":"Hubbard","given":"Alasdair"},{"family":"Votintseva","given":"Antonia"},{"family":"Stoesser","given":"Nicole"},{"family":"Sheppard","given":"Anna E."},{"family":"Mathers","given":"Amy"},{"family":"Norris","given":"Rachel"},{"family":"Navickaite","given":"Indre"},{"family":"Eaton","given":"Chloe"},{"family":"Iqbal","given":"Zamin"},{"family":"Crook","given":"Derrick W."},{"family":"Phan","given":"Hang T. T."}],"issued":{"date-parts":[["2017"]]}}}],"schema":"https://github.com/citation-style-language/schema/raw/master/csl-citation.json"} </w:instrText>
      </w:r>
      <w:r w:rsidR="00770092" w:rsidRPr="00B36586">
        <w:rPr>
          <w:color w:val="000000"/>
          <w:lang w:val="en" w:eastAsia="en-GB"/>
        </w:rPr>
        <w:fldChar w:fldCharType="separate"/>
      </w:r>
      <w:r w:rsidR="00401F8C" w:rsidRPr="00B36586">
        <w:rPr>
          <w:color w:val="000000"/>
        </w:rPr>
        <w:t>(5,7,8)</w:t>
      </w:r>
      <w:r w:rsidR="00770092" w:rsidRPr="00B36586">
        <w:rPr>
          <w:color w:val="000000"/>
          <w:lang w:val="en" w:eastAsia="en-GB"/>
        </w:rPr>
        <w:fldChar w:fldCharType="end"/>
      </w:r>
      <w:r w:rsidR="00F103A7" w:rsidRPr="00B36586">
        <w:rPr>
          <w:color w:val="000000"/>
          <w:lang w:eastAsia="en-GB"/>
        </w:rPr>
        <w:t>.</w:t>
      </w:r>
      <w:r w:rsidRPr="00B36586">
        <w:rPr>
          <w:color w:val="000000"/>
          <w:lang w:eastAsia="en-GB"/>
        </w:rPr>
        <w:t xml:space="preserve"> </w:t>
      </w:r>
      <w:r w:rsidRPr="00B36586">
        <w:rPr>
          <w:color w:val="000000"/>
          <w:lang w:val="en" w:eastAsia="en-GB"/>
        </w:rPr>
        <w:t xml:space="preserve">However, the sequencing error rates of both long-read </w:t>
      </w:r>
      <w:r w:rsidR="0043554A">
        <w:rPr>
          <w:color w:val="000000"/>
          <w:lang w:val="en" w:eastAsia="en-GB"/>
        </w:rPr>
        <w:t>platforms</w:t>
      </w:r>
      <w:r w:rsidRPr="00B36586">
        <w:rPr>
          <w:color w:val="000000"/>
          <w:lang w:val="en" w:eastAsia="en-GB"/>
        </w:rPr>
        <w:t xml:space="preserve"> </w:t>
      </w:r>
      <w:r w:rsidR="00BD1328">
        <w:rPr>
          <w:color w:val="000000"/>
          <w:lang w:val="en" w:eastAsia="en-GB"/>
        </w:rPr>
        <w:t xml:space="preserve">have typically been </w:t>
      </w:r>
      <w:r w:rsidR="00696B3C" w:rsidRPr="00B36586">
        <w:rPr>
          <w:color w:val="000000"/>
          <w:lang w:val="en" w:eastAsia="en-GB"/>
        </w:rPr>
        <w:t xml:space="preserve">greater than </w:t>
      </w:r>
      <w:r w:rsidR="009E2005">
        <w:rPr>
          <w:color w:val="000000"/>
          <w:lang w:val="en" w:eastAsia="en-GB"/>
        </w:rPr>
        <w:t xml:space="preserve">for </w:t>
      </w:r>
      <w:r w:rsidR="00696B3C" w:rsidRPr="00B36586">
        <w:rPr>
          <w:color w:val="000000"/>
          <w:lang w:val="en" w:eastAsia="en-GB"/>
        </w:rPr>
        <w:t>Illumina</w:t>
      </w:r>
      <w:r w:rsidR="0053142F">
        <w:rPr>
          <w:color w:val="000000"/>
          <w:lang w:val="en" w:eastAsia="en-GB"/>
        </w:rPr>
        <w:t xml:space="preserve"> platforms</w:t>
      </w:r>
      <w:r w:rsidR="00106508">
        <w:rPr>
          <w:color w:val="000000"/>
          <w:lang w:val="en" w:eastAsia="en-GB"/>
        </w:rPr>
        <w:t>, although they have decreased over recent years and continue to do s</w:t>
      </w:r>
      <w:r w:rsidR="00CB4DEB">
        <w:rPr>
          <w:color w:val="000000"/>
          <w:lang w:val="en" w:eastAsia="en-GB"/>
        </w:rPr>
        <w:t xml:space="preserve">o. As a guide, </w:t>
      </w:r>
      <w:r w:rsidRPr="00B36586">
        <w:rPr>
          <w:color w:val="000000"/>
          <w:lang w:val="en" w:eastAsia="en-GB"/>
        </w:rPr>
        <w:t>PacBio</w:t>
      </w:r>
      <w:r w:rsidR="00CB4DEB">
        <w:rPr>
          <w:color w:val="000000"/>
          <w:lang w:val="en" w:eastAsia="en-GB"/>
        </w:rPr>
        <w:t xml:space="preserve"> errors have been estimated at</w:t>
      </w:r>
      <w:r w:rsidRPr="00B36586">
        <w:rPr>
          <w:color w:val="000000"/>
          <w:lang w:val="en" w:eastAsia="en-GB"/>
        </w:rPr>
        <w:t xml:space="preserve"> 1</w:t>
      </w:r>
      <w:r w:rsidR="00DD3CDC" w:rsidRPr="00B36586">
        <w:rPr>
          <w:color w:val="000000"/>
          <w:lang w:val="en" w:eastAsia="en-GB"/>
        </w:rPr>
        <w:t>1</w:t>
      </w:r>
      <w:r w:rsidRPr="00B36586">
        <w:rPr>
          <w:color w:val="000000"/>
          <w:lang w:val="en" w:eastAsia="en-GB"/>
        </w:rPr>
        <w:t>-15%</w:t>
      </w:r>
      <w:r w:rsidR="00CB4DEB">
        <w:rPr>
          <w:color w:val="000000"/>
          <w:lang w:val="en" w:eastAsia="en-GB"/>
        </w:rPr>
        <w:t xml:space="preserve"> </w:t>
      </w:r>
      <w:r w:rsidR="00AC05BC">
        <w:rPr>
          <w:color w:val="000000"/>
          <w:lang w:val="en" w:eastAsia="en-GB"/>
        </w:rPr>
        <w:t>for</w:t>
      </w:r>
      <w:r w:rsidR="00CB4DEB">
        <w:rPr>
          <w:color w:val="000000"/>
          <w:lang w:val="en" w:eastAsia="en-GB"/>
        </w:rPr>
        <w:t xml:space="preserve"> the single pass method</w:t>
      </w:r>
      <w:r w:rsidR="00CB4DEB" w:rsidRPr="00B36586">
        <w:rPr>
          <w:color w:val="000000"/>
          <w:lang w:val="en" w:eastAsia="en-GB"/>
        </w:rPr>
        <w:t xml:space="preserve"> </w:t>
      </w:r>
      <w:r w:rsidR="00CB4DEB" w:rsidRPr="00B36586">
        <w:rPr>
          <w:color w:val="000000"/>
          <w:lang w:val="en" w:eastAsia="en-GB"/>
        </w:rPr>
        <w:fldChar w:fldCharType="begin"/>
      </w:r>
      <w:r w:rsidR="00CB4DEB" w:rsidRPr="00B36586">
        <w:rPr>
          <w:color w:val="000000"/>
          <w:lang w:val="en" w:eastAsia="en-GB"/>
        </w:rPr>
        <w:instrText xml:space="preserve"> ADDIN ZOTERO_ITEM CSL_CITATION {"citationID":"52NOAuRN","properties":{"formattedCitation":"(9)","plainCitation":"(9)","noteIndex":0},"citationItems":[{"id":2287,"uris":["http://zotero.org/users/5334349/items/CIUKQWEX"],"uri":["http://zotero.org/users/5334349/items/CIUKQWEX"],"itemData":{"id":2287,"type":"article-journal","title":"PacBio Sequencing and Its Applications","container-title":"Genomics, Proteomics &amp; Bioinformatics","page":"278-289","volume":"13","issue":"5","source":"PubMed","abstract":"Single-molecule, real-time sequencing developed by Pacific BioSciences offers longer read lengths than the second-generation sequencing (SGS) technologies, making it well-suited for unsolved problems in genome, transcriptome, and epigenetics research. The highly-contiguous de novo assemblies using PacBio sequencing can close gaps in current reference assemblies and characterize structural variation (SV) in personal genomes. With longer reads, we can sequence through extended repetitive regions and detect mutations, many of which are associated with diseases. Moreover, PacBio transcriptome sequencing is advantageous for the identification of gene isoforms and facilitates reliable discoveries of novel genes and novel isoforms of annotated genes, due to its ability to sequence full-length transcripts or fragments with significant lengths. Additionally, PacBio's sequencing technique provides information that is useful for the direct detection of base modifications, such as methylation. In addition to using PacBio sequencing alone, many hybrid sequencing strategies have been developed to make use of more accurate short reads in conjunction with PacBio long reads. In general, hybrid sequencing strategies are more affordable and scalable especially for small-size laboratories than using PacBio Sequencing alone. The advent of PacBio sequencing has made available much information that could not be obtained via SGS alone.","DOI":"10.1016/j.gpb.2015.08.002","ISSN":"2210-3244","note":"PMID: 26542840\nPMCID: PMC4678779","journalAbbreviation":"Genomics Proteomics Bioinformatics","language":"eng","author":[{"family":"Rhoads","given":"Anthony"},{"family":"Au","given":"Kin Fai"}],"issued":{"date-parts":[["2015",10]]}}}],"schema":"https://github.com/citation-style-language/schema/raw/master/csl-citation.json"} </w:instrText>
      </w:r>
      <w:r w:rsidR="00CB4DEB" w:rsidRPr="00B36586">
        <w:rPr>
          <w:color w:val="000000"/>
          <w:lang w:val="en" w:eastAsia="en-GB"/>
        </w:rPr>
        <w:fldChar w:fldCharType="separate"/>
      </w:r>
      <w:r w:rsidR="00CB4DEB" w:rsidRPr="00B36586">
        <w:rPr>
          <w:noProof/>
          <w:color w:val="000000"/>
          <w:lang w:val="en" w:eastAsia="en-GB"/>
        </w:rPr>
        <w:t>(9)</w:t>
      </w:r>
      <w:r w:rsidR="00CB4DEB" w:rsidRPr="00B36586">
        <w:rPr>
          <w:color w:val="000000"/>
          <w:lang w:val="en" w:eastAsia="en-GB"/>
        </w:rPr>
        <w:fldChar w:fldCharType="end"/>
      </w:r>
      <w:r w:rsidR="00CB4DEB">
        <w:rPr>
          <w:color w:val="000000"/>
          <w:lang w:val="en" w:eastAsia="en-GB"/>
        </w:rPr>
        <w:t xml:space="preserve"> and significantly </w:t>
      </w:r>
      <w:r w:rsidRPr="00B36586">
        <w:rPr>
          <w:color w:val="000000"/>
          <w:lang w:val="en" w:eastAsia="en-GB"/>
        </w:rPr>
        <w:t>less in circular consensus reads</w:t>
      </w:r>
      <w:r w:rsidR="00CB4DEB">
        <w:rPr>
          <w:color w:val="000000"/>
          <w:lang w:val="en" w:eastAsia="en-GB"/>
        </w:rPr>
        <w:t>, which can achieve ~0.001% error</w:t>
      </w:r>
      <w:r w:rsidR="00CB4DEB">
        <w:t xml:space="preserve"> </w:t>
      </w:r>
      <w:r w:rsidR="006D395B">
        <w:t xml:space="preserve">leading to assemblies at &gt;Q50 </w:t>
      </w:r>
      <w:r w:rsidR="00CB4DEB">
        <w:fldChar w:fldCharType="begin"/>
      </w:r>
      <w:r w:rsidR="00CB4DEB">
        <w:instrText xml:space="preserve"> ADDIN ZOTERO_ITEM CSL_CITATION {"citationID":"2OTqnmIR","properties":{"formattedCitation":"(10)","plainCitation":"(10)","noteIndex":0},"citationItems":[{"id":3061,"uris":["http://zotero.org/users/5334349/items/W88YIUZ9"],"uri":["http://zotero.org/users/5334349/items/W88YIUZ9"],"itemData":{"id":3061,"type":"article-journal","title":"Coming of age: ten years of next-generation sequencing technologies","container-title":"Nature Reviews Genetics","page":"333-351","volume":"17","issue":"6","source":"www.nature.com","abstract":"Since the completion of the human genome project in 2003, extraordinary progress has been made in genome sequencing technologies, which has led to a decreased cost per megabase and an increase in the number and diversity of sequenced genomes. An astonishing complexity of genome architecture has been revealed, bringing these sequencing technologies to even greater advancements. Some approaches maximize the number of bases sequenced in the least amount of time, generating a wealth of data that can be used to understand increasingly complex phenotypes. Alternatively, other approaches now aim to sequence longer contiguous pieces of DNA, which are essential for resolving structurally complex regions. These and other strategies are providing researchers and clinicians a variety of tools to probe genomes in greater depth, leading to an enhanced understanding of how genome sequence variants underlie phenotype and disease.","DOI":"10.1038/nrg.2016.49","ISSN":"1471-0064","title-short":"Coming of age","language":"en","author":[{"family":"Goodwin","given":"Sara"},{"family":"McPherson","given":"John D."},{"family":"McCombie","given":"W. Richard"}],"issued":{"date-parts":[["2016",6]]}}}],"schema":"https://github.com/citation-style-language/schema/raw/master/csl-citation.json"} </w:instrText>
      </w:r>
      <w:r w:rsidR="00CB4DEB">
        <w:fldChar w:fldCharType="separate"/>
      </w:r>
      <w:r w:rsidR="00CB4DEB">
        <w:rPr>
          <w:noProof/>
        </w:rPr>
        <w:t>(10)</w:t>
      </w:r>
      <w:r w:rsidR="00CB4DEB">
        <w:fldChar w:fldCharType="end"/>
      </w:r>
      <w:r w:rsidRPr="00B36586">
        <w:rPr>
          <w:color w:val="000000"/>
          <w:lang w:val="en" w:eastAsia="en-GB"/>
        </w:rPr>
        <w:t xml:space="preserve">; </w:t>
      </w:r>
      <w:r w:rsidR="00CB4DEB">
        <w:rPr>
          <w:color w:val="000000"/>
          <w:lang w:val="en" w:eastAsia="en-GB"/>
        </w:rPr>
        <w:t xml:space="preserve">for </w:t>
      </w:r>
      <w:r w:rsidR="009E11C5" w:rsidRPr="00B36586">
        <w:rPr>
          <w:color w:val="000000"/>
          <w:lang w:val="en" w:eastAsia="en-GB"/>
        </w:rPr>
        <w:t>ONT</w:t>
      </w:r>
      <w:r w:rsidR="00CB4DEB">
        <w:rPr>
          <w:color w:val="000000"/>
          <w:lang w:val="en" w:eastAsia="en-GB"/>
        </w:rPr>
        <w:t>,</w:t>
      </w:r>
      <w:r w:rsidR="009E11C5" w:rsidRPr="00B36586">
        <w:rPr>
          <w:color w:val="000000"/>
          <w:lang w:val="en" w:eastAsia="en-GB"/>
        </w:rPr>
        <w:t xml:space="preserve"> </w:t>
      </w:r>
      <w:r w:rsidR="00CB4DEB">
        <w:rPr>
          <w:color w:val="000000"/>
          <w:lang w:val="en" w:eastAsia="en-GB"/>
        </w:rPr>
        <w:t xml:space="preserve">a recent meta-analysis put the error range between </w:t>
      </w:r>
      <w:r w:rsidR="00DD3CDC" w:rsidRPr="00B36586">
        <w:rPr>
          <w:color w:val="000000"/>
          <w:lang w:val="en" w:eastAsia="en-GB"/>
        </w:rPr>
        <w:t>5</w:t>
      </w:r>
      <w:r w:rsidRPr="00B36586">
        <w:rPr>
          <w:color w:val="000000"/>
          <w:lang w:val="en" w:eastAsia="en-GB"/>
        </w:rPr>
        <w:t>-</w:t>
      </w:r>
      <w:r w:rsidR="00106508">
        <w:rPr>
          <w:color w:val="000000"/>
          <w:lang w:val="en" w:eastAsia="en-GB"/>
        </w:rPr>
        <w:t>15</w:t>
      </w:r>
      <w:r w:rsidRPr="00B36586">
        <w:rPr>
          <w:color w:val="000000"/>
          <w:lang w:val="en" w:eastAsia="en-GB"/>
        </w:rPr>
        <w:t>%</w:t>
      </w:r>
      <w:r w:rsidR="00CB4DEB">
        <w:rPr>
          <w:color w:val="000000"/>
          <w:lang w:val="en" w:eastAsia="en-GB"/>
        </w:rPr>
        <w:t>, varying by chemistry and base caller used</w:t>
      </w:r>
      <w:r w:rsidR="00106508">
        <w:rPr>
          <w:color w:val="000000"/>
          <w:lang w:val="en" w:eastAsia="en-GB"/>
        </w:rPr>
        <w:t xml:space="preserve"> </w:t>
      </w:r>
      <w:r w:rsidR="00106508">
        <w:rPr>
          <w:color w:val="000000"/>
          <w:lang w:val="en" w:eastAsia="en-GB"/>
        </w:rPr>
        <w:fldChar w:fldCharType="begin"/>
      </w:r>
      <w:r w:rsidR="00CB4DEB">
        <w:rPr>
          <w:color w:val="000000"/>
          <w:lang w:val="en" w:eastAsia="en-GB"/>
        </w:rPr>
        <w:instrText xml:space="preserve"> ADDIN ZOTERO_ITEM CSL_CITATION {"citationID":"HdYrLQDe","properties":{"formattedCitation":"(11)","plainCitation":"(11)","noteIndex":0},"citationItems":[{"id":3058,"uris":["http://zotero.org/users/5334349/items/LXJM3KAG"],"uri":["http://zotero.org/users/5334349/items/LXJM3KAG"],"itemData":{"id":3058,"type":"article-journal","title":"From squiggle to basepair: computational approaches for improving nanopore sequencing read accuracy","container-title":"Genome Biology","page":"90","volume":"19","issue":"1","source":"PubMed","abstract":"Nanopore sequencing is a rapidly maturing technology delivering long reads in real time on a portable instrument at low cost. Not surprisingly, the community has rapidly taken up this new way of sequencing and has used it successfully for a variety of research applications. A major limitation of nanopore sequencing is its high error rate, which despite recent improvements to the nanopore chemistry and computational tools still ranges between 5% and 15%. Here, we review computational approaches determining the nanopore sequencing error rate. Furthermore, we outline strategies for translation of raw sequencing data into base calls for detection of base modifications and for obtaining consensus sequences.","DOI":"10.1186/s13059-018-1462-9","ISSN":"1474-760X","note":"PMID: 30005597\nPMCID: PMC6045860","title-short":"From squiggle to basepair","journalAbbreviation":"Genome Biol.","language":"eng","author":[{"family":"Rang","given":"Franka J."},{"family":"Kloosterman","given":"Wigard P."},{"family":"Ridder","given":"Jeroen","non-dropping-particle":"de"}],"issued":{"date-parts":[["2018"]],"season":"13"}}}],"schema":"https://github.com/citation-style-language/schema/raw/master/csl-citation.json"} </w:instrText>
      </w:r>
      <w:r w:rsidR="00106508">
        <w:rPr>
          <w:color w:val="000000"/>
          <w:lang w:val="en" w:eastAsia="en-GB"/>
        </w:rPr>
        <w:fldChar w:fldCharType="separate"/>
      </w:r>
      <w:r w:rsidR="00CB4DEB">
        <w:rPr>
          <w:noProof/>
          <w:color w:val="000000"/>
          <w:lang w:val="en" w:eastAsia="en-GB"/>
        </w:rPr>
        <w:t>(11)</w:t>
      </w:r>
      <w:r w:rsidR="00106508">
        <w:rPr>
          <w:color w:val="000000"/>
          <w:lang w:val="en" w:eastAsia="en-GB"/>
        </w:rPr>
        <w:fldChar w:fldCharType="end"/>
      </w:r>
      <w:r w:rsidR="00696B3C" w:rsidRPr="00B36586">
        <w:rPr>
          <w:color w:val="000000"/>
          <w:lang w:val="en" w:eastAsia="en-GB"/>
        </w:rPr>
        <w:t>.</w:t>
      </w:r>
      <w:r w:rsidRPr="00B36586">
        <w:rPr>
          <w:color w:val="000000"/>
          <w:lang w:val="en" w:eastAsia="en-GB"/>
        </w:rPr>
        <w:t xml:space="preserve"> </w:t>
      </w:r>
      <w:r w:rsidR="00696B3C" w:rsidRPr="00B36586">
        <w:rPr>
          <w:color w:val="000000"/>
          <w:lang w:val="en" w:eastAsia="en-GB"/>
        </w:rPr>
        <w:t>H</w:t>
      </w:r>
      <w:r w:rsidRPr="00B36586">
        <w:rPr>
          <w:color w:val="000000"/>
          <w:lang w:val="en" w:eastAsia="en-GB"/>
        </w:rPr>
        <w:t xml:space="preserve">ybrid assembly, using combined short-read and long-read sequencing datasets, has emerged as </w:t>
      </w:r>
      <w:r w:rsidR="00345734" w:rsidRPr="00B36586">
        <w:rPr>
          <w:color w:val="000000"/>
          <w:lang w:val="en" w:eastAsia="en-GB"/>
        </w:rPr>
        <w:t xml:space="preserve">a </w:t>
      </w:r>
      <w:r w:rsidRPr="00B36586">
        <w:rPr>
          <w:color w:val="000000"/>
          <w:lang w:val="en" w:eastAsia="en-GB"/>
        </w:rPr>
        <w:t>promising approach to generating fully resolved, accurate</w:t>
      </w:r>
      <w:r w:rsidR="00CE6FED">
        <w:rPr>
          <w:color w:val="000000"/>
          <w:lang w:val="en" w:eastAsia="en-GB"/>
        </w:rPr>
        <w:t>,</w:t>
      </w:r>
      <w:r w:rsidRPr="00B36586">
        <w:rPr>
          <w:color w:val="000000"/>
          <w:lang w:val="en" w:eastAsia="en-GB"/>
        </w:rPr>
        <w:t xml:space="preserve"> </w:t>
      </w:r>
      <w:r w:rsidR="003A1336">
        <w:rPr>
          <w:color w:val="000000"/>
          <w:lang w:val="en" w:eastAsia="en-GB"/>
        </w:rPr>
        <w:t xml:space="preserve">bacterial </w:t>
      </w:r>
      <w:r w:rsidRPr="00B36586">
        <w:rPr>
          <w:color w:val="000000"/>
          <w:lang w:val="en" w:eastAsia="en-GB"/>
        </w:rPr>
        <w:t xml:space="preserve">genome assemblies. </w:t>
      </w:r>
      <w:r w:rsidRPr="00B36586">
        <w:rPr>
          <w:color w:val="000000"/>
          <w:lang w:eastAsia="en-GB"/>
        </w:rPr>
        <w:t>With hybrid approaches,</w:t>
      </w:r>
      <w:r w:rsidR="00F103A7" w:rsidRPr="00B36586">
        <w:rPr>
          <w:color w:val="000000"/>
          <w:lang w:eastAsia="en-GB"/>
        </w:rPr>
        <w:t xml:space="preserve"> long</w:t>
      </w:r>
      <w:r w:rsidR="004B4D9B">
        <w:rPr>
          <w:color w:val="000000"/>
          <w:lang w:eastAsia="en-GB"/>
        </w:rPr>
        <w:t xml:space="preserve"> </w:t>
      </w:r>
      <w:r w:rsidR="00F103A7" w:rsidRPr="00B36586">
        <w:rPr>
          <w:color w:val="000000"/>
          <w:lang w:eastAsia="en-GB"/>
        </w:rPr>
        <w:t>reads provide information regarding the structure of the genome</w:t>
      </w:r>
      <w:r w:rsidR="00986555" w:rsidRPr="00B36586">
        <w:rPr>
          <w:color w:val="000000"/>
          <w:lang w:eastAsia="en-GB"/>
        </w:rPr>
        <w:t>, specifically in plasmids</w:t>
      </w:r>
      <w:r w:rsidR="00F101B0" w:rsidRPr="00B36586">
        <w:rPr>
          <w:rStyle w:val="CommentReference"/>
        </w:rPr>
        <w:t>,</w:t>
      </w:r>
      <w:r w:rsidRPr="00B36586">
        <w:rPr>
          <w:color w:val="000000"/>
          <w:lang w:eastAsia="en-GB"/>
        </w:rPr>
        <w:t xml:space="preserve"> and</w:t>
      </w:r>
      <w:r w:rsidR="00F103A7" w:rsidRPr="00B36586">
        <w:rPr>
          <w:color w:val="000000"/>
          <w:lang w:eastAsia="en-GB"/>
        </w:rPr>
        <w:t xml:space="preserve"> short</w:t>
      </w:r>
      <w:r w:rsidR="004B4D9B">
        <w:rPr>
          <w:color w:val="000000"/>
          <w:lang w:eastAsia="en-GB"/>
        </w:rPr>
        <w:t xml:space="preserve"> </w:t>
      </w:r>
      <w:r w:rsidR="00F103A7" w:rsidRPr="00B36586">
        <w:rPr>
          <w:color w:val="000000"/>
          <w:lang w:eastAsia="en-GB"/>
        </w:rPr>
        <w:t xml:space="preserve">reads </w:t>
      </w:r>
      <w:r w:rsidR="00E47703" w:rsidRPr="00B36586">
        <w:rPr>
          <w:color w:val="000000"/>
          <w:lang w:eastAsia="en-GB"/>
        </w:rPr>
        <w:t>facilitate</w:t>
      </w:r>
      <w:r w:rsidR="00AF3097" w:rsidRPr="00B36586">
        <w:rPr>
          <w:color w:val="000000"/>
          <w:lang w:eastAsia="en-GB"/>
        </w:rPr>
        <w:t xml:space="preserve"> detailed</w:t>
      </w:r>
      <w:r w:rsidR="00F103A7" w:rsidRPr="00B36586">
        <w:rPr>
          <w:color w:val="000000"/>
          <w:lang w:eastAsia="en-GB"/>
        </w:rPr>
        <w:t xml:space="preserve"> assembly at local scales</w:t>
      </w:r>
      <w:r w:rsidR="00931324" w:rsidRPr="00B36586">
        <w:rPr>
          <w:color w:val="000000"/>
          <w:lang w:eastAsia="en-GB"/>
        </w:rPr>
        <w:t>,</w:t>
      </w:r>
      <w:r w:rsidRPr="00B36586">
        <w:rPr>
          <w:color w:val="000000"/>
          <w:lang w:eastAsia="en-GB"/>
        </w:rPr>
        <w:t xml:space="preserve"> and can be used to correct errors in long</w:t>
      </w:r>
      <w:r w:rsidR="004B4D9B">
        <w:rPr>
          <w:color w:val="000000"/>
          <w:lang w:eastAsia="en-GB"/>
        </w:rPr>
        <w:t xml:space="preserve"> </w:t>
      </w:r>
      <w:r w:rsidRPr="00B36586">
        <w:rPr>
          <w:color w:val="000000"/>
          <w:lang w:eastAsia="en-GB"/>
        </w:rPr>
        <w:t>reads</w:t>
      </w:r>
      <w:r w:rsidR="00F103A7" w:rsidRPr="00B36586">
        <w:rPr>
          <w:color w:val="000000"/>
          <w:lang w:eastAsia="en-GB"/>
        </w:rPr>
        <w:t xml:space="preserve"> </w:t>
      </w:r>
      <w:r w:rsidR="00770092" w:rsidRPr="00B36586">
        <w:rPr>
          <w:color w:val="000000"/>
          <w:lang w:eastAsia="en-GB"/>
        </w:rPr>
        <w:fldChar w:fldCharType="begin"/>
      </w:r>
      <w:r w:rsidR="00CB4DEB">
        <w:rPr>
          <w:color w:val="000000"/>
          <w:lang w:eastAsia="en-GB"/>
        </w:rPr>
        <w:instrText xml:space="preserve"> ADDIN ZOTERO_ITEM CSL_CITATION {"citationID":"ow2CCV3s","properties":{"formattedCitation":"(12\\uc0\\u8211{}14)","plainCitation":"(12–14)","noteIndex":0},"citationItems":[{"id":2251,"uris":["http://zotero.org/users/5334349/items/T27YNCQ7"],"uri":["http://zotero.org/users/5334349/items/T27YNCQ7"],"itemData":{"id":2251,"type":"article-journal","title":"A single chromosome assembly of Bacteroides fragilis strain BE1 from Illumina and MinION nanopore sequencing data","container-title":"GigaScience","page":"60","volume":"4","source":"PubMed","abstract":"BACKGROUND: Second and third generation sequencing technologies have revolutionised bacterial genomics. Short-read Illumina reads result in cheap but fragmented assemblies, whereas longer reads are more expensive but result in more complete genomes. The Oxford Nanopore MinION device is a revolutionary mobile sequencer that can produce thousands of long, single molecule reads.\nRESULTS: We sequenced Bacteroides fragilis strain BE1 using both the Illumina MiSeq and Oxford Nanopore MinION platforms. We were able to assemble a single chromosome of 5.18 Mb, with no gaps, using publicly available software and commodity computing hardware. We identified gene rearrangements and the state of invertible promoters in the strain.\nCONCLUSIONS: The single chromosome assembly of Bacteroides fragilis strain BE1 was achieved using only modest amounts of data, publicly available software and commodity computing hardware. This combination of technologies offers the possibility of ultra-cheap, high quality, finished bacterial genomes.","DOI":"10.1186/s13742-015-0101-6","ISSN":"2047-217X","note":"PMID: 26640692\nPMCID: PMC4670535","journalAbbreviation":"Gigascience","language":"eng","author":[{"family":"Risse","given":"Judith"},{"family":"Thomson","given":"Marian"},{"family":"Patrick","given":"Sheila"},{"family":"Blakely","given":"Garry"},{"family":"Koutsovoulos","given":"Georgios"},{"family":"Blaxter","given":"Mark"},{"family":"Watson","given":"Mick"}],"issued":{"date-parts":[["2015"]]}}},{"id":2255,"uris":["http://zotero.org/users/5334349/items/L4EIYQE7"],"uri":["http://zotero.org/users/5334349/items/L4EIYQE7"],"itemData":{"id":2255,"type":"article-journal","title":"Unicycler: Resolving bacterial genome assemblies from short and long sequencing reads","container-title":"PLoS computational biology","page":"e1005595","volume":"13","issue":"6","source":"PubMed","abstract":"The Illumina DNA sequencing platform generates accurate but short reads, which can be used to produce accurate but fragmented genome assemblies. Pacific Biosciences and Oxford Nanopore Technologies DNA sequencing platforms generate long reads that can produce complete genome assemblies, but the sequencing is more expensive and error-prone. There is significant interest in combining data from these complementary sequencing technologies to generate more accurate \"hybrid\" assemblies. However, few tools exist that truly leverage the benefits of both types of data, namely the accuracy of short reads and the structural resolving power of long reads. Here we present Unicycler, a new tool for assembling bacterial genomes from a combination of short and long reads, which produces assemblies that are accurate, complete and cost-effective. Unicycler builds an initial assembly graph from short reads using the de novo assembler SPAdes and then simplifies the graph using information from short and long reads. Unicycler uses a novel semi-global aligner to align long reads to the assembly graph. Tests on both synthetic and real reads show Unicycler can assemble larger contigs with fewer misassemblies than other hybrid assemblers, even when long-read depth and accuracy are low. Unicycler is open source (GPLv3) and available at github.com/rrwick/Unicycler.","DOI":"10.1371/journal.pcbi.1005595","ISSN":"1553-7358","note":"PMID: 28594827\nPMCID: PMC5481147","title-short":"Unicycler","journalAbbreviation":"PLoS Comput. Biol.","language":"eng","author":[{"family":"Wick","given":"Ryan R."},{"family":"Judd","given":"Louise M."},{"family":"Gorrie","given":"Claire L."},{"family":"Holt","given":"Kathryn E."}],"issued":{"date-parts":[["2017",6]]}}},{"id":2257,"uris":["http://zotero.org/users/5334349/items/SPFTJLUK"],"uri":["http://zotero.org/users/5334349/items/SPFTJLUK"],"itemData":{"id":2257,"type":"article-journal","title":"Completing bacterial genome assemblies with multiplex MinION sequencing","container-title":"Microbial Genomics","page":"e000132","volume":"3","issue":"10","source":"PubMed","abstract":"Illumina sequencing platforms have enabled widespread bacterial whole genome sequencing. While Illumina data is appropriate for many analyses, its short read length limits its ability to resolve genomic structure. This has major implications for tracking the spread of mobile genetic elements, including those which carry antimicrobial resistance determinants. Fully resolving a bacterial genome requires long-read sequencing such as those generated by Oxford Nanopore Technologies (ONT) platforms. Here we describe our use of the ONT MinION to sequence 12 isolates of Klebsiella pneumoniae on a single flow cell. We assembled each genome using a combination of ONT reads and previously available Illumina reads, and little to no manual intervention was needed to achieve fully resolved assemblies using the Unicycler hybrid assembler. Assembling only ONT reads with Canu was less effective, resulting in fewer resolved genomes and higher error rates even following error correction with Nanopolish. We demonstrate that multiplexed ONT sequencing is a valuable tool for high-throughput bacterial genome finishing. Specifically, we advocate the use of Illumina sequencing as a first analysis step, followed by ONT reads as needed to resolve genomic structure.","DOI":"10.1099/mgen.0.000132","ISSN":"2057-5858","note":"PMID: 29177090\nPMCID: PMC5695209","journalAbbreviation":"Microb Genom","language":"eng","author":[{"family":"Wick","given":"Ryan R."},{"family":"Judd","given":"Louise M."},{"family":"Gorrie","given":"Claire L."},{"family":"Holt","given":"Kathryn E."}],"issued":{"date-parts":[["2017"]]}}}],"schema":"https://github.com/citation-style-language/schema/raw/master/csl-citation.json"} </w:instrText>
      </w:r>
      <w:r w:rsidR="00770092" w:rsidRPr="00B36586">
        <w:rPr>
          <w:color w:val="000000"/>
          <w:lang w:eastAsia="en-GB"/>
        </w:rPr>
        <w:fldChar w:fldCharType="separate"/>
      </w:r>
      <w:r w:rsidR="00CB4DEB" w:rsidRPr="00FD5974">
        <w:rPr>
          <w:color w:val="000000"/>
          <w:lang w:val="en-US"/>
        </w:rPr>
        <w:t>(12–14)</w:t>
      </w:r>
      <w:r w:rsidR="00770092" w:rsidRPr="00B36586">
        <w:rPr>
          <w:color w:val="000000"/>
          <w:lang w:eastAsia="en-GB"/>
        </w:rPr>
        <w:fldChar w:fldCharType="end"/>
      </w:r>
      <w:r w:rsidR="00F103A7" w:rsidRPr="00B36586">
        <w:rPr>
          <w:color w:val="000000"/>
          <w:lang w:eastAsia="en-GB"/>
        </w:rPr>
        <w:t>.</w:t>
      </w:r>
      <w:r w:rsidRPr="00B36586">
        <w:rPr>
          <w:color w:val="000000"/>
          <w:lang w:eastAsia="en-GB"/>
        </w:rPr>
        <w:t xml:space="preserve"> </w:t>
      </w:r>
      <w:r w:rsidR="009E11C5" w:rsidRPr="00B36586">
        <w:rPr>
          <w:color w:val="000000"/>
          <w:lang w:val="en" w:eastAsia="en-GB"/>
        </w:rPr>
        <w:t>The</w:t>
      </w:r>
      <w:r w:rsidRPr="00B36586">
        <w:rPr>
          <w:color w:val="000000"/>
          <w:lang w:val="en" w:eastAsia="en-GB"/>
        </w:rPr>
        <w:t xml:space="preserve"> hybrid assembly tool Unicycler </w:t>
      </w:r>
      <w:r w:rsidR="009E11C5" w:rsidRPr="00B36586">
        <w:rPr>
          <w:color w:val="000000"/>
          <w:lang w:val="en" w:eastAsia="en-GB"/>
        </w:rPr>
        <w:t>has been</w:t>
      </w:r>
      <w:r w:rsidRPr="00B36586">
        <w:rPr>
          <w:color w:val="000000"/>
          <w:lang w:val="en" w:eastAsia="en-GB"/>
        </w:rPr>
        <w:t xml:space="preserve"> shown to outperform other hybrid assemblers in generating fully closed genomes</w:t>
      </w:r>
      <w:r w:rsidR="00770092" w:rsidRPr="00B36586">
        <w:rPr>
          <w:color w:val="000000"/>
          <w:lang w:val="en" w:eastAsia="en-GB"/>
        </w:rPr>
        <w:t xml:space="preserve"> </w:t>
      </w:r>
      <w:r w:rsidR="00770092" w:rsidRPr="00B36586">
        <w:rPr>
          <w:color w:val="000000"/>
          <w:lang w:val="en" w:eastAsia="en-GB"/>
        </w:rPr>
        <w:fldChar w:fldCharType="begin"/>
      </w:r>
      <w:r w:rsidR="00CB4DEB">
        <w:rPr>
          <w:color w:val="000000"/>
          <w:lang w:val="en" w:eastAsia="en-GB"/>
        </w:rPr>
        <w:instrText xml:space="preserve"> ADDIN ZOTERO_ITEM CSL_CITATION {"citationID":"YEjCZHaa","properties":{"formattedCitation":"(13)","plainCitation":"(13)","noteIndex":0},"citationItems":[{"id":2255,"uris":["http://zotero.org/users/5334349/items/L4EIYQE7"],"uri":["http://zotero.org/users/5334349/items/L4EIYQE7"],"itemData":{"id":2255,"type":"article-journal","title":"Unicycler: Resolving bacterial genome assemblies from short and long sequencing reads","container-title":"PLoS computational biology","page":"e1005595","volume":"13","issue":"6","source":"PubMed","abstract":"The Illumina DNA sequencing platform generates accurate but short reads, which can be used to produce accurate but fragmented genome assemblies. Pacific Biosciences and Oxford Nanopore Technologies DNA sequencing platforms generate long reads that can produce complete genome assemblies, but the sequencing is more expensive and error-prone. There is significant interest in combining data from these complementary sequencing technologies to generate more accurate \"hybrid\" assemblies. However, few tools exist that truly leverage the benefits of both types of data, namely the accuracy of short reads and the structural resolving power of long reads. Here we present Unicycler, a new tool for assembling bacterial genomes from a combination of short and long reads, which produces assemblies that are accurate, complete and cost-effective. Unicycler builds an initial assembly graph from short reads using the de novo assembler SPAdes and then simplifies the graph using information from short and long reads. Unicycler uses a novel semi-global aligner to align long reads to the assembly graph. Tests on both synthetic and real reads show Unicycler can assemble larger contigs with fewer misassemblies than other hybrid assemblers, even when long-read depth and accuracy are low. Unicycler is open source (GPLv3) and available at github.com/rrwick/Unicycler.","DOI":"10.1371/journal.pcbi.1005595","ISSN":"1553-7358","note":"PMID: 28594827\nPMCID: PMC5481147","title-short":"Unicycler","journalAbbreviation":"PLoS Comput. Biol.","language":"eng","author":[{"family":"Wick","given":"Ryan R."},{"family":"Judd","given":"Louise M."},{"family":"Gorrie","given":"Claire L."},{"family":"Holt","given":"Kathryn E."}],"issued":{"date-parts":[["2017",6]]}}}],"schema":"https://github.com/citation-style-language/schema/raw/master/csl-citation.json"} </w:instrText>
      </w:r>
      <w:r w:rsidR="00770092" w:rsidRPr="00B36586">
        <w:rPr>
          <w:color w:val="000000"/>
          <w:lang w:val="en" w:eastAsia="en-GB"/>
        </w:rPr>
        <w:fldChar w:fldCharType="separate"/>
      </w:r>
      <w:r w:rsidR="00CB4DEB">
        <w:rPr>
          <w:noProof/>
          <w:color w:val="000000"/>
          <w:lang w:val="en" w:eastAsia="en-GB"/>
        </w:rPr>
        <w:t>(13)</w:t>
      </w:r>
      <w:r w:rsidR="00770092" w:rsidRPr="00B36586">
        <w:rPr>
          <w:color w:val="000000"/>
          <w:lang w:val="en" w:eastAsia="en-GB"/>
        </w:rPr>
        <w:fldChar w:fldCharType="end"/>
      </w:r>
      <w:r w:rsidRPr="00B36586">
        <w:rPr>
          <w:color w:val="000000"/>
          <w:lang w:val="en" w:eastAsia="en-GB"/>
        </w:rPr>
        <w:t>.</w:t>
      </w:r>
    </w:p>
    <w:p w14:paraId="2F12AF63" w14:textId="34724AC7" w:rsidR="004F1454" w:rsidRPr="00B36586" w:rsidRDefault="00E14B8E" w:rsidP="002471A3">
      <w:pPr>
        <w:spacing w:after="120"/>
        <w:jc w:val="both"/>
        <w:rPr>
          <w:color w:val="000000"/>
          <w:lang w:eastAsia="en-GB"/>
        </w:rPr>
      </w:pPr>
      <w:r w:rsidRPr="00B36586">
        <w:rPr>
          <w:color w:val="000000"/>
          <w:lang w:eastAsia="en-GB"/>
        </w:rPr>
        <w:t>W</w:t>
      </w:r>
      <w:r w:rsidR="009F15DF" w:rsidRPr="00B36586">
        <w:rPr>
          <w:color w:val="000000"/>
          <w:lang w:eastAsia="en-GB"/>
        </w:rPr>
        <w:t xml:space="preserve">e are not aware of any </w:t>
      </w:r>
      <w:r w:rsidR="004066BA" w:rsidRPr="00B36586">
        <w:rPr>
          <w:color w:val="000000"/>
          <w:lang w:eastAsia="en-GB"/>
        </w:rPr>
        <w:t xml:space="preserve">previously </w:t>
      </w:r>
      <w:r w:rsidR="00DB01FE" w:rsidRPr="00B36586">
        <w:rPr>
          <w:color w:val="000000"/>
          <w:lang w:eastAsia="en-GB"/>
        </w:rPr>
        <w:t xml:space="preserve">published </w:t>
      </w:r>
      <w:r w:rsidR="001519D9" w:rsidRPr="00B36586">
        <w:rPr>
          <w:color w:val="000000"/>
          <w:lang w:eastAsia="en-GB"/>
        </w:rPr>
        <w:t xml:space="preserve">direct comparisons of hybrid bacterial assemblies generated using long-read sequencing methods, yet the selection of a long-read sequencing approach has important cost, throughput and logistical implications. Currently, the two </w:t>
      </w:r>
      <w:r w:rsidR="00A31FEB" w:rsidRPr="00B36586">
        <w:rPr>
          <w:color w:val="000000"/>
          <w:lang w:eastAsia="en-GB"/>
        </w:rPr>
        <w:t>dominant</w:t>
      </w:r>
      <w:r w:rsidR="001D514B" w:rsidRPr="00B36586">
        <w:rPr>
          <w:color w:val="000000"/>
          <w:lang w:eastAsia="en-GB"/>
        </w:rPr>
        <w:t xml:space="preserve"> </w:t>
      </w:r>
      <w:r w:rsidR="00BF5703" w:rsidRPr="00B36586">
        <w:rPr>
          <w:color w:val="000000"/>
          <w:lang w:eastAsia="en-GB"/>
        </w:rPr>
        <w:t xml:space="preserve">long-read </w:t>
      </w:r>
      <w:r w:rsidR="001D514B" w:rsidRPr="00B36586">
        <w:rPr>
          <w:color w:val="000000"/>
          <w:lang w:eastAsia="en-GB"/>
        </w:rPr>
        <w:t xml:space="preserve">technologies are </w:t>
      </w:r>
      <w:r w:rsidR="001519D9" w:rsidRPr="00B36586">
        <w:rPr>
          <w:color w:val="000000"/>
          <w:lang w:eastAsia="en-GB"/>
        </w:rPr>
        <w:t xml:space="preserve">ONT and PacBio. The </w:t>
      </w:r>
      <w:r w:rsidR="00DD4368" w:rsidRPr="00B36586">
        <w:rPr>
          <w:color w:val="000000"/>
          <w:lang w:eastAsia="en-GB"/>
        </w:rPr>
        <w:t xml:space="preserve">ONT </w:t>
      </w:r>
      <w:r w:rsidR="001519D9" w:rsidRPr="00B36586">
        <w:rPr>
          <w:color w:val="000000"/>
          <w:lang w:eastAsia="en-GB"/>
        </w:rPr>
        <w:t xml:space="preserve">MinION is a highly portable platform that has been deployed in several molecular laboratories, including those in low-income settings </w:t>
      </w:r>
      <w:r w:rsidR="001519D9" w:rsidRPr="00B36586">
        <w:rPr>
          <w:color w:val="000000"/>
          <w:lang w:eastAsia="en-GB"/>
        </w:rPr>
        <w:fldChar w:fldCharType="begin"/>
      </w:r>
      <w:r w:rsidR="00CB4DEB">
        <w:rPr>
          <w:color w:val="000000"/>
          <w:lang w:eastAsia="en-GB"/>
        </w:rPr>
        <w:instrText xml:space="preserve"> ADDIN ZOTERO_ITEM CSL_CITATION {"citationID":"oHQmppFt","properties":{"formattedCitation":"(15)","plainCitation":"(15)","noteIndex":0},"citationItems":[{"id":2281,"uris":["http://zotero.org/users/5334349/items/7JRH7GD4"],"uri":["http://zotero.org/users/5334349/items/7JRH7GD4"],"itemData":{"id":2281,"type":"article-journal","title":"Real-time, portable genome sequencing for Ebola surveillance","container-title":"Nature","page":"228-232","volume":"530","issue":"7589","source":"PubMed","abstract":"The Ebola virus disease epidemic in West Africa is the largest on record, responsible for over 28,599 cases and more than 11,299 deaths. Genome sequencing in viral outbreaks is desirable to characterize the infectious agent and determine its evolutionary rate. Genome sequencing also allows the identification of signatures of host adaptation, identification and monitoring of diagnostic targets, and characterization of responses to vaccines and treatments. The Ebola virus (EBOV) genome substitution rate in the Makona strain has been estimated at between 0.87 × 10(-3) and 1.42 × 10(-3) mutations per site per year. This is equivalent to 16-27 mutations in each genome, meaning that sequences diverge rapidly enough to identify distinct sub-lineages during a prolonged epidemic. Genome sequencing provides a high-resolution view of pathogen evolution and is increasingly sought after for outbreak surveillance. Sequence data may be used to guide control measures, but only if the results are generated quickly enough to inform interventions. Genomic surveillance during the epidemic has been sporadic owing to a lack of local sequencing capacity coupled with practical difficulties transporting samples to remote sequencing facilities. To address this problem, here we devise a genomic surveillance system that utilizes a novel nanopore DNA sequencing instrument. In April 2015 this system was transported in standard airline luggage to Guinea and used for real-time genomic surveillance of the ongoing epidemic. We present sequence data and analysis of 142 EBOV samples collected during the period March to October 2015. We were able to generate results less than 24 h after receiving an Ebola-positive sample, with the sequencing process taking as little as 15-60 min. We show that real-time genomic surveillance is possible in resource-limited settings and can be established rapidly to monitor outbreaks.","DOI":"10.1038/nature16996","ISSN":"1476-4687","note":"PMID: 26840485\nPMCID: PMC4817224","journalAbbreviation":"Nature","language":"eng","author":[{"family":"Quick","given":"Joshua"},{"family":"Loman","given":"Nicholas J."},{"family":"Duraffour","given":"Sophie"},{"family":"Simpson","given":"Jared T."},{"family":"Severi","given":"Ettore"},{"family":"Cowley","given":"Lauren"},{"family":"Bore","given":"Joseph Akoi"},{"family":"Koundouno","given":"Raymond"},{"family":"Dudas","given":"Gytis"},{"family":"Mikhail","given":"Amy"},{"family":"Ouédraogo","given":"Nobila"},{"family":"Afrough","given":"Babak"},{"family":"Bah","given":"Amadou"},{"family":"Baum","given":"Jonathan Hj"},{"family":"Becker-Ziaja","given":"Beate"},{"family":"Boettcher","given":"Jan-Peter"},{"family":"Cabeza-Cabrerizo","given":"Mar"},{"family":"Camino-Sanchez","given":"Alvaro"},{"family":"Carter","given":"Lisa L."},{"family":"Doerrbecker","given":"Juiliane"},{"family":"Enkirch","given":"Theresa"},{"family":"Dorival","given":"Isabel Graciela García"},{"family":"Hetzelt","given":"Nicole"},{"family":"Hinzmann","given":"Julia"},{"family":"Holm","given":"Tobias"},{"family":"Kafetzopoulou","given":"Liana Eleni"},{"family":"Koropogui","given":"Michel"},{"family":"Kosgey","given":"Abigail"},{"family":"Kuisma","given":"Eeva"},{"family":"Logue","given":"Christopher H."},{"family":"Mazzarelli","given":"Antonio"},{"family":"Meisel","given":"Sarah"},{"family":"Mertens","given":"Marc"},{"family":"Michel","given":"Janine"},{"family":"Ngabo","given":"Didier"},{"family":"Nitzsche","given":"Katja"},{"family":"Pallash","given":"Elisa"},{"family":"Patrono","given":"Livia Victoria"},{"family":"Portmann","given":"Jasmine"},{"family":"Repits","given":"Johanna Gabriella"},{"family":"Rickett","given":"Natasha Yasmin"},{"family":"Sachse","given":"Andrea"},{"family":"Singethan","given":"Katrin"},{"family":"Vitoriano","given":"Inês"},{"family":"Yemanaberhan","given":"Rahel L."},{"family":"Zekeng","given":"Elsa G."},{"family":"Trina","given":"Racine"},{"family":"Bello","given":"Alexander"},{"family":"Sall","given":"Amadou Alpha"},{"family":"Faye","given":"Ousmane"},{"family":"Faye","given":"Oumar"},{"family":"Magassouba","given":"N'Faly"},{"family":"Williams","given":"Cecelia V."},{"family":"Amburgey","given":"Victoria"},{"family":"Winona","given":"Linda"},{"family":"Davis","given":"Emily"},{"family":"Gerlach","given":"Jon"},{"family":"Washington","given":"Franck"},{"family":"Monteil","given":"Vanessa"},{"family":"Jourdain","given":"Marine"},{"family":"Bererd","given":"Marion"},{"family":"Camara","given":"Alimou"},{"family":"Somlare","given":"Hermann"},{"family":"Camara","given":"Abdoulaye"},{"family":"Gerard","given":"Marianne"},{"family":"Bado","given":"Guillaume"},{"family":"Baillet","given":"Bernard"},{"family":"Delaune","given":"Déborah"},{"family":"Nebie","given":"Koumpingnin Yacouba"},{"family":"Diarra","given":"Abdoulaye"},{"family":"Savane","given":"Yacouba"},{"family":"Pallawo","given":"Raymond Bernard"},{"family":"Gutierrez","given":"Giovanna Jaramillo"},{"family":"Milhano","given":"Natacha"},{"family":"Roger","given":"Isabelle"},{"family":"Williams","given":"Christopher J."},{"family":"Yattara","given":"Facinet"},{"family":"Lewandowski","given":"Kuiama"},{"family":"Taylor","given":"Jamie"},{"family":"Rachwal","given":"Philip"},{"family":"Turner","given":"Daniel"},{"family":"Pollakis","given":"Georgios"},{"family":"Hiscox","given":"Julian A."},{"family":"Matthews","given":"David A."},{"family":"O'Shea","given":"Matthew K."},{"family":"Johnston","given":"Andrew McD"},{"family":"Wilson","given":"Duncan"},{"family":"Hutley","given":"Emma"},{"family":"Smit","given":"Erasmus"},{"family":"Di Caro","given":"Antonino"},{"family":"Woelfel","given":"Roman"},{"family":"Stoecker","given":"Kilian"},{"family":"Fleischmann","given":"Erna"},{"family":"Gabriel","given":"Martin"},{"family":"Weller","given":"Simon A."},{"family":"Koivogui","given":"Lamine"},{"family":"Diallo","given":"Boubacar"},{"family":"Keita","given":"Sakoba"},{"family":"Rambaut","given":"Andrew"},{"family":"Formenty","given":"Pierre"},{"family":"Gunther","given":"Stephan"},{"family":"Carroll","given":"Miles W."}],"issued":{"date-parts":[["2016",2,11]]}}}],"schema":"https://github.com/citation-style-language/schema/raw/master/csl-citation.json"} </w:instrText>
      </w:r>
      <w:r w:rsidR="001519D9" w:rsidRPr="00B36586">
        <w:rPr>
          <w:color w:val="000000"/>
          <w:lang w:eastAsia="en-GB"/>
        </w:rPr>
        <w:fldChar w:fldCharType="separate"/>
      </w:r>
      <w:r w:rsidR="00CB4DEB">
        <w:rPr>
          <w:noProof/>
          <w:color w:val="000000"/>
          <w:lang w:eastAsia="en-GB"/>
        </w:rPr>
        <w:t>(15)</w:t>
      </w:r>
      <w:r w:rsidR="001519D9" w:rsidRPr="00B36586">
        <w:rPr>
          <w:color w:val="000000"/>
          <w:lang w:eastAsia="en-GB"/>
        </w:rPr>
        <w:fldChar w:fldCharType="end"/>
      </w:r>
      <w:r w:rsidR="001519D9" w:rsidRPr="00B36586">
        <w:rPr>
          <w:color w:val="000000"/>
          <w:lang w:eastAsia="en-GB"/>
        </w:rPr>
        <w:t>. Reported data yields of 10-30</w:t>
      </w:r>
      <w:r w:rsidR="00311809">
        <w:rPr>
          <w:color w:val="000000"/>
          <w:lang w:eastAsia="en-GB"/>
        </w:rPr>
        <w:t xml:space="preserve"> </w:t>
      </w:r>
      <w:r w:rsidR="001519D9" w:rsidRPr="00B36586">
        <w:rPr>
          <w:color w:val="000000"/>
          <w:lang w:eastAsia="en-GB"/>
        </w:rPr>
        <w:t xml:space="preserve">Gb and indexed barcoding </w:t>
      </w:r>
      <w:r w:rsidR="00AF2266">
        <w:rPr>
          <w:color w:val="000000"/>
          <w:lang w:eastAsia="en-GB"/>
        </w:rPr>
        <w:t>have</w:t>
      </w:r>
      <w:r w:rsidR="00AF2266" w:rsidRPr="00B36586">
        <w:rPr>
          <w:color w:val="000000"/>
          <w:lang w:eastAsia="en-GB"/>
        </w:rPr>
        <w:t xml:space="preserve"> </w:t>
      </w:r>
      <w:r w:rsidR="001519D9" w:rsidRPr="00B36586">
        <w:rPr>
          <w:color w:val="000000"/>
          <w:lang w:eastAsia="en-GB"/>
        </w:rPr>
        <w:t>enable</w:t>
      </w:r>
      <w:r w:rsidR="00AF2266">
        <w:rPr>
          <w:color w:val="000000"/>
          <w:lang w:eastAsia="en-GB"/>
        </w:rPr>
        <w:t>d</w:t>
      </w:r>
      <w:r w:rsidR="001519D9" w:rsidRPr="00B36586">
        <w:rPr>
          <w:color w:val="000000"/>
          <w:lang w:eastAsia="en-GB"/>
        </w:rPr>
        <w:t xml:space="preserve"> </w:t>
      </w:r>
      <w:r w:rsidR="00AF2266">
        <w:rPr>
          <w:color w:val="000000"/>
          <w:lang w:eastAsia="en-GB"/>
        </w:rPr>
        <w:t xml:space="preserve">successful assembly with </w:t>
      </w:r>
      <w:r w:rsidR="001519D9" w:rsidRPr="00B36586">
        <w:rPr>
          <w:color w:val="000000"/>
          <w:lang w:eastAsia="en-GB"/>
        </w:rPr>
        <w:t xml:space="preserve">multiplexing of </w:t>
      </w:r>
      <w:r w:rsidR="00F36496">
        <w:rPr>
          <w:color w:val="000000"/>
          <w:lang w:eastAsia="en-GB"/>
        </w:rPr>
        <w:t>twelve</w:t>
      </w:r>
      <w:r w:rsidR="001519D9" w:rsidRPr="00B36586">
        <w:rPr>
          <w:color w:val="000000"/>
          <w:lang w:eastAsia="en-GB"/>
        </w:rPr>
        <w:t xml:space="preserve"> bacterial isolates </w:t>
      </w:r>
      <w:r w:rsidR="001519D9" w:rsidRPr="00B36586">
        <w:rPr>
          <w:color w:val="000000"/>
          <w:lang w:eastAsia="en-GB"/>
        </w:rPr>
        <w:fldChar w:fldCharType="begin"/>
      </w:r>
      <w:r w:rsidR="00CB4DEB">
        <w:rPr>
          <w:color w:val="000000"/>
          <w:lang w:eastAsia="en-GB"/>
        </w:rPr>
        <w:instrText xml:space="preserve"> ADDIN ZOTERO_ITEM CSL_CITATION {"citationID":"VblQEAep","properties":{"formattedCitation":"(14,16)","plainCitation":"(14,16)","noteIndex":0},"citationItems":[{"id":2257,"uris":["http://zotero.org/users/5334349/items/SPFTJLUK"],"uri":["http://zotero.org/users/5334349/items/SPFTJLUK"],"itemData":{"id":2257,"type":"article-journal","title":"Completing bacterial genome assemblies with multiplex MinION sequencing","container-title":"Microbial Genomics","page":"e000132","volume":"3","issue":"10","source":"PubMed","abstract":"Illumina sequencing platforms have enabled widespread bacterial whole genome sequencing. While Illumina data is appropriate for many analyses, its short read length limits its ability to resolve genomic structure. This has major implications for tracking the spread of mobile genetic elements, including those which carry antimicrobial resistance determinants. Fully resolving a bacterial genome requires long-read sequencing such as those generated by Oxford Nanopore Technologies (ONT) platforms. Here we describe our use of the ONT MinION to sequence 12 isolates of Klebsiella pneumoniae on a single flow cell. We assembled each genome using a combination of ONT reads and previously available Illumina reads, and little to no manual intervention was needed to achieve fully resolved assemblies using the Unicycler hybrid assembler. Assembling only ONT reads with Canu was less effective, resulting in fewer resolved genomes and higher error rates even following error correction with Nanopolish. We demonstrate that multiplexed ONT sequencing is a valuable tool for high-throughput bacterial genome finishing. Specifically, we advocate the use of Illumina sequencing as a first analysis step, followed by ONT reads as needed to resolve genomic structure.","DOI":"10.1099/mgen.0.000132","ISSN":"2057-5858","note":"PMID: 29177090\nPMCID: PMC5695209","journalAbbreviation":"Microb Genom","language":"eng","author":[{"family":"Wick","given":"Ryan R."},{"family":"Judd","given":"Louise M."},{"family":"Gorrie","given":"Claire L."},{"family":"Holt","given":"Kathryn E."}],"issued":{"date-parts":[["2017"]]}}},{"id":3022,"uris":["http://zotero.org/users/5334349/items/JEJV5SH2"],"uri":["http://zotero.org/users/5334349/items/JEJV5SH2"],"itemData":{"id":3022,"type":"article-journal","title":"The use of Oxford Nanopore native barcoding for complete genome assembly","container-title":"GigaScience","page":"1-6","volume":"6","issue":"3","source":"PubMed","abstract":"Background: The Oxford Nanopore Technologies MinION(TM) is a mobile DNA sequencer that can produce long read sequences with a short turn-around time. Here we report the first demonstration of single contig genome assembly using Oxford Nanopore native barcoding when applied to a multiplexed library of 12 samples and combined with existing Illumina short read data. This paves the way for the closure of multiple bacterial genomes from a single MinION(TM) sequencing run, given the availability of existing short read data. The strain we used, MHO_001, represents the important community-acquired methicillin-resistant Staphylococcus aureus lineage USA300.\nFindings: Using a hybrid assembly of existing short read and barcoded long read sequences from multiplexed data, we completed a genome of the S. aureus USA300 strain MHO_001. The long read data represented only </w:instrText>
      </w:r>
      <w:r w:rsidR="00CB4DEB">
        <w:rPr>
          <w:rFonts w:ascii="Cambria Math" w:hAnsi="Cambria Math" w:cs="Cambria Math"/>
          <w:color w:val="000000"/>
          <w:lang w:eastAsia="en-GB"/>
        </w:rPr>
        <w:instrText>∼</w:instrText>
      </w:r>
      <w:r w:rsidR="00CB4DEB">
        <w:rPr>
          <w:color w:val="000000"/>
          <w:lang w:eastAsia="en-GB"/>
        </w:rPr>
        <w:instrText>5% to 10% of an average MinION(TM) run (</w:instrText>
      </w:r>
      <w:r w:rsidR="00CB4DEB">
        <w:rPr>
          <w:rFonts w:ascii="Cambria Math" w:hAnsi="Cambria Math" w:cs="Cambria Math"/>
          <w:color w:val="000000"/>
          <w:lang w:eastAsia="en-GB"/>
        </w:rPr>
        <w:instrText>∼</w:instrText>
      </w:r>
      <w:r w:rsidR="00CB4DEB">
        <w:rPr>
          <w:color w:val="000000"/>
          <w:lang w:eastAsia="en-GB"/>
        </w:rPr>
        <w:instrText xml:space="preserve">7x genomic coverage), but, using standard tools, this was sufficient to complete the circular chromosome of S. aureus strain MHO_001 (2.86 Mb) and two complete plasmids (27 Kb and 3 Kb). Minor differences were noted when compared to USA300 reference genome, USA300_FPR3757, including the translocation, loss, and gain of mobile genetic elements.\nConclusion: Here we demonstrate that MinION(TM) reads, multiplexed using native barcoding, can be used in combination with short read data to fully complete a bacterial genome. The ability to complete multiple genomes, for which short read data is already available, from a single MinION(TM) run is set to impact our understanding of accessory genome content, plasmid diversity, and genome rearrangements.","DOI":"10.1093/gigascience/gix001","ISSN":"2047-217X","note":"PMID: 28327913\nPMCID: PMC5467021","journalAbbreviation":"Gigascience","language":"eng","author":[{"family":"Bayliss","given":"Sion C."},{"family":"Hunt","given":"Vicky L."},{"family":"Yokoyama","given":"Maho"},{"family":"Thorpe","given":"Harry A."},{"family":"Feil","given":"Edward J."}],"issued":{"date-parts":[["2017"]],"season":"01"}}}],"schema":"https://github.com/citation-style-language/schema/raw/master/csl-citation.json"} </w:instrText>
      </w:r>
      <w:r w:rsidR="001519D9" w:rsidRPr="00B36586">
        <w:rPr>
          <w:color w:val="000000"/>
          <w:lang w:eastAsia="en-GB"/>
        </w:rPr>
        <w:fldChar w:fldCharType="separate"/>
      </w:r>
      <w:r w:rsidR="00CB4DEB">
        <w:rPr>
          <w:noProof/>
          <w:color w:val="000000"/>
          <w:lang w:eastAsia="en-GB"/>
        </w:rPr>
        <w:t>(14,16)</w:t>
      </w:r>
      <w:r w:rsidR="001519D9" w:rsidRPr="00B36586">
        <w:rPr>
          <w:color w:val="000000"/>
          <w:lang w:eastAsia="en-GB"/>
        </w:rPr>
        <w:fldChar w:fldCharType="end"/>
      </w:r>
      <w:r w:rsidR="009F7B65">
        <w:rPr>
          <w:color w:val="000000"/>
          <w:lang w:eastAsia="en-GB"/>
        </w:rPr>
        <w:t xml:space="preserve">: </w:t>
      </w:r>
      <w:r w:rsidR="00CA7E3D">
        <w:rPr>
          <w:color w:val="000000"/>
          <w:lang w:eastAsia="en-GB"/>
        </w:rPr>
        <w:t>a</w:t>
      </w:r>
      <w:r w:rsidR="00AF2266">
        <w:rPr>
          <w:color w:val="000000"/>
          <w:lang w:eastAsia="en-GB"/>
        </w:rPr>
        <w:t xml:space="preserve"> 24 barcode </w:t>
      </w:r>
      <w:r w:rsidR="00AF2266">
        <w:rPr>
          <w:color w:val="000000"/>
          <w:lang w:eastAsia="en-GB"/>
        </w:rPr>
        <w:lastRenderedPageBreak/>
        <w:t xml:space="preserve">ligation kit </w:t>
      </w:r>
      <w:r w:rsidR="00CE6FED">
        <w:rPr>
          <w:color w:val="000000"/>
          <w:lang w:eastAsia="en-GB"/>
        </w:rPr>
        <w:t xml:space="preserve">has </w:t>
      </w:r>
      <w:r w:rsidR="008C7252">
        <w:rPr>
          <w:color w:val="000000"/>
          <w:lang w:eastAsia="en-GB"/>
        </w:rPr>
        <w:t>recently been released by</w:t>
      </w:r>
      <w:r w:rsidR="00400471">
        <w:rPr>
          <w:color w:val="000000"/>
          <w:lang w:eastAsia="en-GB"/>
        </w:rPr>
        <w:t xml:space="preserve"> ONT</w:t>
      </w:r>
      <w:r w:rsidR="009F7B65">
        <w:rPr>
          <w:color w:val="000000"/>
          <w:lang w:eastAsia="en-GB"/>
        </w:rPr>
        <w:t xml:space="preserve">, </w:t>
      </w:r>
      <w:r w:rsidR="00CE6FED">
        <w:rPr>
          <w:color w:val="000000"/>
          <w:lang w:eastAsia="en-GB"/>
        </w:rPr>
        <w:t>and</w:t>
      </w:r>
      <w:r w:rsidR="0055310D">
        <w:rPr>
          <w:color w:val="000000"/>
          <w:lang w:eastAsia="en-GB"/>
        </w:rPr>
        <w:t xml:space="preserve"> </w:t>
      </w:r>
      <w:r w:rsidR="00CE3010">
        <w:rPr>
          <w:color w:val="000000"/>
          <w:lang w:eastAsia="en-GB"/>
        </w:rPr>
        <w:t xml:space="preserve">a </w:t>
      </w:r>
      <w:r w:rsidR="00CA7E3D">
        <w:rPr>
          <w:color w:val="000000"/>
          <w:lang w:eastAsia="en-GB"/>
        </w:rPr>
        <w:t xml:space="preserve">recent </w:t>
      </w:r>
      <w:r w:rsidR="00CE3010">
        <w:rPr>
          <w:color w:val="000000"/>
          <w:lang w:eastAsia="en-GB"/>
        </w:rPr>
        <w:t>report</w:t>
      </w:r>
      <w:r w:rsidR="00CA7E3D">
        <w:rPr>
          <w:color w:val="000000"/>
          <w:lang w:eastAsia="en-GB"/>
        </w:rPr>
        <w:t xml:space="preserve"> outlined successful assembly with</w:t>
      </w:r>
      <w:r w:rsidR="009F7B65">
        <w:rPr>
          <w:color w:val="000000"/>
          <w:lang w:eastAsia="en-GB"/>
        </w:rPr>
        <w:t xml:space="preserve"> 48 </w:t>
      </w:r>
      <w:r w:rsidR="00751316">
        <w:rPr>
          <w:color w:val="000000"/>
          <w:lang w:eastAsia="en-GB"/>
        </w:rPr>
        <w:t xml:space="preserve">clinical </w:t>
      </w:r>
      <w:r w:rsidR="00751316">
        <w:rPr>
          <w:i/>
          <w:iCs/>
          <w:color w:val="000000"/>
          <w:lang w:eastAsia="en-GB"/>
        </w:rPr>
        <w:t>S</w:t>
      </w:r>
      <w:r w:rsidR="00CE6FED">
        <w:rPr>
          <w:i/>
          <w:iCs/>
          <w:color w:val="000000"/>
          <w:lang w:eastAsia="en-GB"/>
        </w:rPr>
        <w:t>taphylococcus</w:t>
      </w:r>
      <w:r w:rsidR="00751316">
        <w:rPr>
          <w:i/>
          <w:iCs/>
          <w:color w:val="000000"/>
          <w:lang w:eastAsia="en-GB"/>
        </w:rPr>
        <w:t xml:space="preserve"> aureus </w:t>
      </w:r>
      <w:r w:rsidR="009F7B65">
        <w:rPr>
          <w:color w:val="000000"/>
          <w:lang w:eastAsia="en-GB"/>
        </w:rPr>
        <w:t xml:space="preserve">isolates per flow cell </w:t>
      </w:r>
      <w:r w:rsidR="00CA7E3D">
        <w:rPr>
          <w:color w:val="000000"/>
          <w:lang w:eastAsia="en-GB"/>
        </w:rPr>
        <w:t xml:space="preserve">without barcoding </w:t>
      </w:r>
      <w:r w:rsidR="009F7B65">
        <w:rPr>
          <w:color w:val="000000"/>
          <w:lang w:eastAsia="en-GB"/>
        </w:rPr>
        <w:fldChar w:fldCharType="begin"/>
      </w:r>
      <w:r w:rsidR="00CB4DEB">
        <w:rPr>
          <w:color w:val="000000"/>
          <w:lang w:eastAsia="en-GB"/>
        </w:rPr>
        <w:instrText xml:space="preserve"> ADDIN ZOTERO_ITEM CSL_CITATION {"citationID":"C3ayggkJ","properties":{"formattedCitation":"(17)","plainCitation":"(17)","noteIndex":0},"citationItems":[{"id":3042,"uris":["http://zotero.org/users/5334349/items/DRY88JGZ"],"uri":["http://zotero.org/users/5334349/items/DRY88JGZ"],"itemData":{"id":3042,"type":"article-journal","title":"Increasing the efficiency of long-read sequencing for hybrid assembly with k-mer-based multiplexing","container-title":"bioRxiv","page":"680827","source":"www.biorxiv.org","abstract":"&lt;p&gt;Hybrid genome assembly has emerged as an important technique in bacterial genomics, but cost and labor requirements limit large-scale application. We present Ultraplexing, a method to improve per-sample sequencing cost and hands-on-time of Nanopore sequencing for hybrid assembly by at least 50%, compared to molecular barcoding while maintaining high assembly quality (Quality Value; QV &amp;gt;= 42). Ultraplexing requires the availability of Illumina data and uses inter-sample genetic variability to assign reads to isolates, which obviates the need for molecular barcoding. Thus, Ultraplexing can enable significant sequencing and labor cost reductions in large-scale bacterial genome projects.&lt;/p&gt;","DOI":"10.1101/680827","language":"en","author":[{"family":"Dilthey","given":"Alexander"},{"family":"Meyer","given":"Sebastian A."},{"family":"Kaasch","given":"Achim J."}],"issued":{"date-parts":[["2019",6,25]]}}}],"schema":"https://github.com/citation-style-language/schema/raw/master/csl-citation.json"} </w:instrText>
      </w:r>
      <w:r w:rsidR="009F7B65">
        <w:rPr>
          <w:color w:val="000000"/>
          <w:lang w:eastAsia="en-GB"/>
        </w:rPr>
        <w:fldChar w:fldCharType="separate"/>
      </w:r>
      <w:r w:rsidR="00CB4DEB">
        <w:rPr>
          <w:noProof/>
          <w:color w:val="000000"/>
          <w:lang w:eastAsia="en-GB"/>
        </w:rPr>
        <w:t>(17)</w:t>
      </w:r>
      <w:r w:rsidR="009F7B65">
        <w:rPr>
          <w:color w:val="000000"/>
          <w:lang w:eastAsia="en-GB"/>
        </w:rPr>
        <w:fldChar w:fldCharType="end"/>
      </w:r>
      <w:r w:rsidR="00922AF6">
        <w:rPr>
          <w:color w:val="000000"/>
          <w:lang w:eastAsia="en-GB"/>
        </w:rPr>
        <w:t>, although this may not be effective for closely-related isolates with plasmids</w:t>
      </w:r>
      <w:r w:rsidR="001519D9" w:rsidRPr="00B36586">
        <w:rPr>
          <w:color w:val="000000"/>
          <w:lang w:eastAsia="en-GB"/>
        </w:rPr>
        <w:t xml:space="preserve">. </w:t>
      </w:r>
      <w:r w:rsidR="00E22D2D" w:rsidRPr="00B36586">
        <w:rPr>
          <w:color w:val="000000"/>
          <w:lang w:eastAsia="en-GB"/>
        </w:rPr>
        <w:t>In contrast, the PacBio platform</w:t>
      </w:r>
      <w:r w:rsidR="000F2FFF" w:rsidRPr="00B36586">
        <w:rPr>
          <w:color w:val="000000"/>
          <w:lang w:eastAsia="en-GB"/>
        </w:rPr>
        <w:t xml:space="preserve"> is non-portable </w:t>
      </w:r>
      <w:r w:rsidR="00CB569D" w:rsidRPr="00B36586">
        <w:rPr>
          <w:color w:val="000000"/>
          <w:lang w:eastAsia="en-GB"/>
        </w:rPr>
        <w:t xml:space="preserve">but </w:t>
      </w:r>
      <w:r w:rsidR="00A550EE">
        <w:rPr>
          <w:color w:val="000000"/>
          <w:lang w:eastAsia="en-GB"/>
        </w:rPr>
        <w:t>has been</w:t>
      </w:r>
      <w:r w:rsidR="004158EC" w:rsidRPr="00B36586">
        <w:rPr>
          <w:color w:val="000000"/>
          <w:lang w:eastAsia="en-GB"/>
        </w:rPr>
        <w:t xml:space="preserve"> </w:t>
      </w:r>
      <w:r w:rsidR="00126A07" w:rsidRPr="00B36586">
        <w:rPr>
          <w:color w:val="000000"/>
          <w:lang w:eastAsia="en-GB"/>
        </w:rPr>
        <w:t xml:space="preserve">the </w:t>
      </w:r>
      <w:r w:rsidR="001519D9" w:rsidRPr="00B36586">
        <w:rPr>
          <w:color w:val="000000"/>
          <w:lang w:eastAsia="en-GB"/>
        </w:rPr>
        <w:t>most widely used for generating reference-grade bacterial assemblies to date</w:t>
      </w:r>
      <w:r w:rsidR="00507120">
        <w:rPr>
          <w:color w:val="000000"/>
          <w:lang w:eastAsia="en-GB"/>
        </w:rPr>
        <w:t xml:space="preserve">, </w:t>
      </w:r>
      <w:r w:rsidR="008C7252">
        <w:rPr>
          <w:color w:val="000000"/>
          <w:lang w:eastAsia="en-GB"/>
        </w:rPr>
        <w:t xml:space="preserve">such as </w:t>
      </w:r>
      <w:r w:rsidR="00507120">
        <w:rPr>
          <w:color w:val="000000"/>
          <w:lang w:eastAsia="en-GB"/>
        </w:rPr>
        <w:t xml:space="preserve">in </w:t>
      </w:r>
      <w:r w:rsidR="008C7252">
        <w:rPr>
          <w:color w:val="000000"/>
          <w:lang w:eastAsia="en-GB"/>
        </w:rPr>
        <w:t>the NCTC 3000 Project</w:t>
      </w:r>
      <w:r w:rsidR="005974A4">
        <w:rPr>
          <w:color w:val="000000"/>
          <w:lang w:eastAsia="en-GB"/>
        </w:rPr>
        <w:t xml:space="preserve"> </w:t>
      </w:r>
      <w:r w:rsidR="005974A4">
        <w:rPr>
          <w:color w:val="000000"/>
          <w:lang w:eastAsia="en-GB"/>
        </w:rPr>
        <w:fldChar w:fldCharType="begin"/>
      </w:r>
      <w:r w:rsidR="005974A4">
        <w:rPr>
          <w:color w:val="000000"/>
          <w:lang w:eastAsia="en-GB"/>
        </w:rPr>
        <w:instrText xml:space="preserve"> ADDIN ZOTERO_ITEM CSL_CITATION {"citationID":"6sPYwNzO","properties":{"formattedCitation":"(18)","plainCitation":"(18)","noteIndex":0},"citationItems":[{"id":3063,"uris":["http://zotero.org/users/5334349/items/PIBX8D8F"],"uri":["http://zotero.org/users/5334349/items/PIBX8D8F"],"itemData":{"id":3063,"type":"webpage","title":"NCTC 3000 Project","URL":"https://www.sanger.ac.uk/resources/downloads/bacteria/nctc/","author":[{"literal":"Wellcome Sanger Institute"}],"accessed":{"date-parts":[["2019",7,1]]}}}],"schema":"https://github.com/citation-style-language/schema/raw/master/csl-citation.json"} </w:instrText>
      </w:r>
      <w:r w:rsidR="005974A4">
        <w:rPr>
          <w:color w:val="000000"/>
          <w:lang w:eastAsia="en-GB"/>
        </w:rPr>
        <w:fldChar w:fldCharType="separate"/>
      </w:r>
      <w:r w:rsidR="005974A4">
        <w:rPr>
          <w:noProof/>
          <w:color w:val="000000"/>
          <w:lang w:eastAsia="en-GB"/>
        </w:rPr>
        <w:t>(18)</w:t>
      </w:r>
      <w:r w:rsidR="005974A4">
        <w:rPr>
          <w:color w:val="000000"/>
          <w:lang w:eastAsia="en-GB"/>
        </w:rPr>
        <w:fldChar w:fldCharType="end"/>
      </w:r>
      <w:r w:rsidR="008C7252">
        <w:rPr>
          <w:color w:val="000000"/>
          <w:lang w:eastAsia="en-GB"/>
        </w:rPr>
        <w:t xml:space="preserve"> </w:t>
      </w:r>
      <w:r w:rsidR="004158EC" w:rsidRPr="00B36586">
        <w:rPr>
          <w:color w:val="000000"/>
          <w:lang w:eastAsia="en-GB"/>
        </w:rPr>
        <w:t>(</w:t>
      </w:r>
      <w:r w:rsidR="003C3042" w:rsidRPr="00B36586">
        <w:rPr>
          <w:color w:val="000000"/>
          <w:lang w:eastAsia="en-GB"/>
        </w:rPr>
        <w:t>by way of example</w:t>
      </w:r>
      <w:r w:rsidR="00EC7915" w:rsidRPr="00B36586">
        <w:rPr>
          <w:color w:val="000000"/>
          <w:lang w:eastAsia="en-GB"/>
        </w:rPr>
        <w:t>:</w:t>
      </w:r>
      <w:r w:rsidR="003C3042" w:rsidRPr="00B36586">
        <w:rPr>
          <w:color w:val="000000"/>
          <w:lang w:eastAsia="en-GB"/>
        </w:rPr>
        <w:t xml:space="preserve"> </w:t>
      </w:r>
      <w:r w:rsidR="00067A26" w:rsidRPr="00B36586">
        <w:rPr>
          <w:color w:val="000000"/>
          <w:lang w:eastAsia="en-GB"/>
        </w:rPr>
        <w:t xml:space="preserve">as of </w:t>
      </w:r>
      <w:r w:rsidR="00B76DDB" w:rsidRPr="00B36586">
        <w:rPr>
          <w:color w:val="000000"/>
          <w:lang w:eastAsia="en-GB"/>
        </w:rPr>
        <w:t>21</w:t>
      </w:r>
      <w:r w:rsidR="00B76DDB" w:rsidRPr="00B36586">
        <w:rPr>
          <w:color w:val="000000"/>
          <w:vertAlign w:val="superscript"/>
          <w:lang w:eastAsia="en-GB"/>
        </w:rPr>
        <w:t>st</w:t>
      </w:r>
      <w:r w:rsidR="00B76DDB" w:rsidRPr="00B36586">
        <w:rPr>
          <w:color w:val="000000"/>
          <w:lang w:eastAsia="en-GB"/>
        </w:rPr>
        <w:t xml:space="preserve"> </w:t>
      </w:r>
      <w:r w:rsidR="00067A26" w:rsidRPr="00B36586">
        <w:rPr>
          <w:color w:val="000000"/>
          <w:lang w:eastAsia="en-GB"/>
        </w:rPr>
        <w:t xml:space="preserve">January 2019, </w:t>
      </w:r>
      <w:r w:rsidR="00CF6844" w:rsidRPr="00B36586">
        <w:rPr>
          <w:color w:val="000000"/>
          <w:lang w:eastAsia="en-GB"/>
        </w:rPr>
        <w:t xml:space="preserve">NCBI </w:t>
      </w:r>
      <w:r w:rsidR="009D2B55" w:rsidRPr="00B36586">
        <w:rPr>
          <w:color w:val="000000"/>
          <w:lang w:eastAsia="en-GB"/>
        </w:rPr>
        <w:t xml:space="preserve">Assembly </w:t>
      </w:r>
      <w:r w:rsidR="00DE4EF1">
        <w:rPr>
          <w:color w:val="000000"/>
          <w:lang w:eastAsia="en-GB"/>
        </w:rPr>
        <w:t>contained</w:t>
      </w:r>
      <w:r w:rsidR="00DE4EF1" w:rsidRPr="00B36586">
        <w:rPr>
          <w:color w:val="000000"/>
          <w:lang w:eastAsia="en-GB"/>
        </w:rPr>
        <w:t xml:space="preserve"> </w:t>
      </w:r>
      <w:r w:rsidR="00A2718C" w:rsidRPr="00B36586">
        <w:rPr>
          <w:color w:val="000000"/>
          <w:lang w:eastAsia="en-GB"/>
        </w:rPr>
        <w:t xml:space="preserve">201 </w:t>
      </w:r>
      <w:r w:rsidR="009B15AB" w:rsidRPr="00B36586">
        <w:rPr>
          <w:i/>
          <w:color w:val="000000"/>
          <w:lang w:eastAsia="en-GB"/>
        </w:rPr>
        <w:t>E</w:t>
      </w:r>
      <w:r w:rsidR="00CE6FED">
        <w:rPr>
          <w:i/>
          <w:color w:val="000000"/>
          <w:lang w:eastAsia="en-GB"/>
        </w:rPr>
        <w:t>scherichia</w:t>
      </w:r>
      <w:r w:rsidR="009B15AB" w:rsidRPr="00B36586">
        <w:rPr>
          <w:i/>
          <w:color w:val="000000"/>
          <w:lang w:eastAsia="en-GB"/>
        </w:rPr>
        <w:t xml:space="preserve"> coli </w:t>
      </w:r>
      <w:r w:rsidR="009B15AB" w:rsidRPr="00B36586">
        <w:rPr>
          <w:color w:val="000000"/>
          <w:lang w:eastAsia="en-GB"/>
        </w:rPr>
        <w:t xml:space="preserve">assemblies </w:t>
      </w:r>
      <w:r w:rsidR="007C7E6A" w:rsidRPr="00B36586">
        <w:rPr>
          <w:color w:val="000000"/>
          <w:lang w:eastAsia="en-GB"/>
        </w:rPr>
        <w:t xml:space="preserve">generated with PacBio vs. </w:t>
      </w:r>
      <w:r w:rsidR="00227314" w:rsidRPr="00B36586">
        <w:rPr>
          <w:color w:val="000000"/>
          <w:lang w:eastAsia="en-GB"/>
        </w:rPr>
        <w:t xml:space="preserve">3 generated with </w:t>
      </w:r>
      <w:r w:rsidR="007C7E6A" w:rsidRPr="00B36586">
        <w:rPr>
          <w:color w:val="000000"/>
          <w:lang w:eastAsia="en-GB"/>
        </w:rPr>
        <w:t>MinION</w:t>
      </w:r>
      <w:r w:rsidR="001F7DC1" w:rsidRPr="00B36586">
        <w:rPr>
          <w:color w:val="000000"/>
          <w:lang w:eastAsia="en-GB"/>
        </w:rPr>
        <w:t>)</w:t>
      </w:r>
      <w:r w:rsidR="001519D9" w:rsidRPr="00B36586">
        <w:rPr>
          <w:color w:val="000000"/>
          <w:lang w:eastAsia="en-GB"/>
        </w:rPr>
        <w:t>.</w:t>
      </w:r>
    </w:p>
    <w:p w14:paraId="664BC554" w14:textId="1134E714" w:rsidR="00B0347C" w:rsidRPr="00B36586" w:rsidRDefault="00F103A7" w:rsidP="00FD5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color w:val="000000"/>
          <w:sz w:val="28"/>
          <w:szCs w:val="28"/>
          <w:lang w:eastAsia="en-GB"/>
        </w:rPr>
      </w:pPr>
      <w:r w:rsidRPr="00B36586">
        <w:rPr>
          <w:color w:val="000000"/>
          <w:lang w:eastAsia="en-GB"/>
        </w:rPr>
        <w:t>Here we compare</w:t>
      </w:r>
      <w:r w:rsidR="004406DE" w:rsidRPr="00B36586">
        <w:rPr>
          <w:color w:val="000000"/>
          <w:lang w:eastAsia="en-GB"/>
        </w:rPr>
        <w:t>d</w:t>
      </w:r>
      <w:r w:rsidRPr="00B36586">
        <w:rPr>
          <w:color w:val="000000"/>
          <w:lang w:eastAsia="en-GB"/>
        </w:rPr>
        <w:t xml:space="preserve"> different approaches for hybrid bacterial genome assembly</w:t>
      </w:r>
      <w:r w:rsidR="004406DE" w:rsidRPr="00B36586">
        <w:rPr>
          <w:color w:val="000000"/>
          <w:lang w:eastAsia="en-GB"/>
        </w:rPr>
        <w:t xml:space="preserve">, using </w:t>
      </w:r>
      <w:r w:rsidR="00E47946" w:rsidRPr="00B36586">
        <w:rPr>
          <w:color w:val="000000"/>
          <w:lang w:eastAsia="en-GB"/>
        </w:rPr>
        <w:t xml:space="preserve">ONT </w:t>
      </w:r>
      <w:r w:rsidR="004406DE" w:rsidRPr="00B36586">
        <w:rPr>
          <w:color w:val="000000"/>
          <w:lang w:eastAsia="en-GB"/>
        </w:rPr>
        <w:t xml:space="preserve">MinION, PacBio and Illumina HiSeq data generated from the same DNA </w:t>
      </w:r>
      <w:r w:rsidR="004679CA" w:rsidRPr="00B36586">
        <w:rPr>
          <w:color w:val="000000"/>
          <w:lang w:eastAsia="en-GB"/>
        </w:rPr>
        <w:t>extracts</w:t>
      </w:r>
      <w:r w:rsidRPr="00B36586">
        <w:rPr>
          <w:color w:val="000000"/>
          <w:lang w:eastAsia="en-GB"/>
        </w:rPr>
        <w:t xml:space="preserve">. We </w:t>
      </w:r>
      <w:r w:rsidR="004406DE" w:rsidRPr="00B36586">
        <w:rPr>
          <w:color w:val="000000"/>
          <w:lang w:eastAsia="en-GB"/>
        </w:rPr>
        <w:t xml:space="preserve">selected </w:t>
      </w:r>
      <w:r w:rsidRPr="00B36586">
        <w:rPr>
          <w:color w:val="000000"/>
          <w:lang w:eastAsia="en-GB"/>
        </w:rPr>
        <w:t>20 bacterial</w:t>
      </w:r>
      <w:r w:rsidR="004406DE" w:rsidRPr="00B36586">
        <w:rPr>
          <w:color w:val="000000"/>
          <w:lang w:eastAsia="en-GB"/>
        </w:rPr>
        <w:t xml:space="preserve"> isolates from four genera of the Enterobacteriaceae family of bacteria</w:t>
      </w:r>
      <w:r w:rsidR="00345734" w:rsidRPr="00B36586">
        <w:rPr>
          <w:color w:val="000000"/>
          <w:lang w:eastAsia="en-GB"/>
        </w:rPr>
        <w:t xml:space="preserve"> (</w:t>
      </w:r>
      <w:r w:rsidR="00345734" w:rsidRPr="00B36586">
        <w:rPr>
          <w:i/>
          <w:color w:val="000000"/>
          <w:lang w:eastAsia="en-GB"/>
        </w:rPr>
        <w:t>Escherichia</w:t>
      </w:r>
      <w:r w:rsidR="00345734" w:rsidRPr="00B36586">
        <w:rPr>
          <w:color w:val="000000"/>
          <w:lang w:eastAsia="en-GB"/>
        </w:rPr>
        <w:t xml:space="preserve">, </w:t>
      </w:r>
      <w:r w:rsidR="00345734" w:rsidRPr="00B36586">
        <w:rPr>
          <w:i/>
          <w:color w:val="000000"/>
          <w:lang w:eastAsia="en-GB"/>
        </w:rPr>
        <w:t>Klebsiella</w:t>
      </w:r>
      <w:r w:rsidR="00345734" w:rsidRPr="00B36586">
        <w:rPr>
          <w:color w:val="000000"/>
          <w:lang w:eastAsia="en-GB"/>
        </w:rPr>
        <w:t xml:space="preserve">, </w:t>
      </w:r>
      <w:r w:rsidR="00345734" w:rsidRPr="00B36586">
        <w:rPr>
          <w:i/>
          <w:color w:val="000000"/>
          <w:lang w:eastAsia="en-GB"/>
        </w:rPr>
        <w:t xml:space="preserve">Citrobacter </w:t>
      </w:r>
      <w:r w:rsidR="00345734" w:rsidRPr="00B36586">
        <w:rPr>
          <w:color w:val="000000"/>
          <w:lang w:eastAsia="en-GB"/>
        </w:rPr>
        <w:t xml:space="preserve">and </w:t>
      </w:r>
      <w:r w:rsidR="00345734" w:rsidRPr="00B36586">
        <w:rPr>
          <w:i/>
          <w:color w:val="000000"/>
          <w:lang w:eastAsia="en-GB"/>
        </w:rPr>
        <w:t>Enterobacter</w:t>
      </w:r>
      <w:r w:rsidR="00E51F30" w:rsidRPr="00B36586">
        <w:rPr>
          <w:color w:val="000000"/>
          <w:lang w:eastAsia="en-GB"/>
        </w:rPr>
        <w:t>)</w:t>
      </w:r>
      <w:r w:rsidR="00345734" w:rsidRPr="00B36586">
        <w:rPr>
          <w:color w:val="000000"/>
          <w:lang w:eastAsia="en-GB"/>
        </w:rPr>
        <w:t xml:space="preserve"> including two reference strains</w:t>
      </w:r>
      <w:r w:rsidR="005C4595" w:rsidRPr="00B36586">
        <w:rPr>
          <w:color w:val="000000"/>
          <w:lang w:eastAsia="en-GB"/>
        </w:rPr>
        <w:t xml:space="preserve">. </w:t>
      </w:r>
      <w:r w:rsidR="00DA11BF" w:rsidRPr="00B36586">
        <w:rPr>
          <w:color w:val="000000"/>
          <w:lang w:eastAsia="en-GB"/>
        </w:rPr>
        <w:t xml:space="preserve">These genera typically </w:t>
      </w:r>
      <w:r w:rsidR="004406DE" w:rsidRPr="00B36586">
        <w:rPr>
          <w:color w:val="000000"/>
          <w:lang w:eastAsia="en-GB"/>
        </w:rPr>
        <w:t xml:space="preserve">have large bacterial </w:t>
      </w:r>
      <w:r w:rsidR="007962E5" w:rsidRPr="00B36586">
        <w:rPr>
          <w:color w:val="000000"/>
          <w:lang w:eastAsia="en-GB"/>
        </w:rPr>
        <w:t xml:space="preserve">genomes between </w:t>
      </w:r>
      <w:r w:rsidR="004406DE" w:rsidRPr="00B36586">
        <w:rPr>
          <w:color w:val="000000"/>
          <w:lang w:eastAsia="en-GB"/>
        </w:rPr>
        <w:t>5-6.5</w:t>
      </w:r>
      <w:r w:rsidR="008A2DA8">
        <w:rPr>
          <w:color w:val="000000"/>
          <w:lang w:eastAsia="en-GB"/>
        </w:rPr>
        <w:t xml:space="preserve"> </w:t>
      </w:r>
      <w:r w:rsidR="004406DE" w:rsidRPr="00B36586">
        <w:rPr>
          <w:color w:val="000000"/>
          <w:lang w:eastAsia="en-GB"/>
        </w:rPr>
        <w:t>Mb</w:t>
      </w:r>
      <w:r w:rsidR="006277C6" w:rsidRPr="00B36586">
        <w:rPr>
          <w:color w:val="000000"/>
          <w:lang w:eastAsia="en-GB"/>
        </w:rPr>
        <w:t xml:space="preserve"> with</w:t>
      </w:r>
      <w:r w:rsidR="00C11778" w:rsidRPr="00B36586">
        <w:rPr>
          <w:color w:val="000000"/>
          <w:lang w:eastAsia="en-GB"/>
        </w:rPr>
        <w:t xml:space="preserve"> </w:t>
      </w:r>
      <w:r w:rsidR="007B1444" w:rsidRPr="00B36586">
        <w:rPr>
          <w:color w:val="000000"/>
          <w:lang w:eastAsia="en-GB"/>
        </w:rPr>
        <w:t xml:space="preserve">diverse </w:t>
      </w:r>
      <w:r w:rsidR="006277C6" w:rsidRPr="00B36586">
        <w:rPr>
          <w:color w:val="000000"/>
          <w:lang w:eastAsia="en-GB"/>
        </w:rPr>
        <w:t xml:space="preserve">sets of </w:t>
      </w:r>
      <w:r w:rsidR="004406DE" w:rsidRPr="00B36586">
        <w:rPr>
          <w:color w:val="000000"/>
          <w:lang w:eastAsia="en-GB"/>
        </w:rPr>
        <w:t>plasmids</w:t>
      </w:r>
      <w:r w:rsidR="00C11778" w:rsidRPr="00B36586">
        <w:rPr>
          <w:color w:val="000000"/>
          <w:lang w:eastAsia="en-GB"/>
        </w:rPr>
        <w:t xml:space="preserve"> </w:t>
      </w:r>
      <w:r w:rsidR="007962E5" w:rsidRPr="00B36586">
        <w:rPr>
          <w:color w:val="000000"/>
          <w:lang w:eastAsia="en-GB"/>
        </w:rPr>
        <w:fldChar w:fldCharType="begin"/>
      </w:r>
      <w:r w:rsidR="005974A4">
        <w:rPr>
          <w:color w:val="000000"/>
          <w:lang w:eastAsia="en-GB"/>
        </w:rPr>
        <w:instrText xml:space="preserve"> ADDIN ZOTERO_ITEM CSL_CITATION {"citationID":"vIuOjFgl","properties":{"formattedCitation":"(19)","plainCitation":"(19)","noteIndex":0},"citationItems":[{"id":2406,"uris":["http://zotero.org/users/5334349/items/LLTLZTWF"],"uri":["http://zotero.org/users/5334349/items/LLTLZTWF"],"itemData":{"id":2406,"type":"article-journal","title":"Resistance plasmid families in Enterobacteriaceae","container-title":"Antimicrobial Agents and Chemotherapy","page":"2227-2238","volume":"53","issue":"6","source":"PubMed","DOI":"10.1128/AAC.01707-08","ISSN":"1098-6596","note":"PMID: 19307361\nPMCID: PMC2687249","journalAbbreviation":"Antimicrob. Agents Chemother.","language":"eng","author":[{"family":"Carattoli","given":"Alessandra"}],"issued":{"date-parts":[["2009",6]]}}}],"schema":"https://github.com/citation-style-language/schema/raw/master/csl-citation.json"} </w:instrText>
      </w:r>
      <w:r w:rsidR="007962E5" w:rsidRPr="00B36586">
        <w:rPr>
          <w:color w:val="000000"/>
          <w:lang w:eastAsia="en-GB"/>
        </w:rPr>
        <w:fldChar w:fldCharType="separate"/>
      </w:r>
      <w:r w:rsidR="005974A4">
        <w:rPr>
          <w:noProof/>
          <w:color w:val="000000"/>
          <w:lang w:eastAsia="en-GB"/>
        </w:rPr>
        <w:t>(19)</w:t>
      </w:r>
      <w:r w:rsidR="007962E5" w:rsidRPr="00B36586">
        <w:rPr>
          <w:color w:val="000000"/>
          <w:lang w:eastAsia="en-GB"/>
        </w:rPr>
        <w:fldChar w:fldCharType="end"/>
      </w:r>
      <w:r w:rsidR="002A08FB" w:rsidRPr="00B36586">
        <w:rPr>
          <w:color w:val="000000"/>
          <w:lang w:eastAsia="en-GB"/>
        </w:rPr>
        <w:t xml:space="preserve">. We </w:t>
      </w:r>
      <w:r w:rsidRPr="00B36586">
        <w:rPr>
          <w:color w:val="000000"/>
          <w:lang w:eastAsia="en-GB"/>
        </w:rPr>
        <w:t>compare</w:t>
      </w:r>
      <w:r w:rsidR="004406DE" w:rsidRPr="00B36586">
        <w:rPr>
          <w:color w:val="000000"/>
          <w:lang w:eastAsia="en-GB"/>
        </w:rPr>
        <w:t>d</w:t>
      </w:r>
      <w:r w:rsidRPr="00B36586">
        <w:rPr>
          <w:color w:val="000000"/>
          <w:lang w:eastAsia="en-GB"/>
        </w:rPr>
        <w:t xml:space="preserve"> the advantages and disadvantages of ONT+Illumina versus PacBio+Illumina hybrid assembly</w:t>
      </w:r>
      <w:r w:rsidR="00E85225" w:rsidRPr="00B36586">
        <w:rPr>
          <w:color w:val="000000"/>
          <w:lang w:eastAsia="en-GB"/>
        </w:rPr>
        <w:t>, including the need for additional manual processing steps</w:t>
      </w:r>
      <w:r w:rsidR="00CE6FED">
        <w:rPr>
          <w:color w:val="000000"/>
          <w:lang w:eastAsia="en-GB"/>
        </w:rPr>
        <w:t>, and compared these assemblies with those generated by using long-read assembly (Flye) followed by polishing with Illumina data (Pilon)</w:t>
      </w:r>
      <w:r w:rsidR="00ED42AA">
        <w:rPr>
          <w:color w:val="000000"/>
          <w:lang w:eastAsia="en-GB"/>
        </w:rPr>
        <w:t xml:space="preserve"> </w:t>
      </w:r>
      <w:r w:rsidR="005A4F9A">
        <w:rPr>
          <w:color w:val="000000"/>
          <w:lang w:eastAsia="en-GB"/>
        </w:rPr>
        <w:t xml:space="preserve">We also </w:t>
      </w:r>
      <w:r w:rsidRPr="00B36586">
        <w:rPr>
          <w:color w:val="000000"/>
          <w:lang w:eastAsia="en-GB"/>
        </w:rPr>
        <w:t>investigate</w:t>
      </w:r>
      <w:r w:rsidR="004406DE" w:rsidRPr="00B36586">
        <w:rPr>
          <w:color w:val="000000"/>
          <w:lang w:eastAsia="en-GB"/>
        </w:rPr>
        <w:t>d</w:t>
      </w:r>
      <w:r w:rsidRPr="00B36586">
        <w:rPr>
          <w:color w:val="000000"/>
          <w:lang w:eastAsia="en-GB"/>
        </w:rPr>
        <w:t xml:space="preserve"> different strategies to </w:t>
      </w:r>
      <w:r w:rsidR="004406DE" w:rsidRPr="00B36586">
        <w:rPr>
          <w:color w:val="000000"/>
          <w:lang w:eastAsia="en-GB"/>
        </w:rPr>
        <w:t xml:space="preserve">optimize </w:t>
      </w:r>
      <w:r w:rsidRPr="00B36586">
        <w:rPr>
          <w:color w:val="000000"/>
          <w:lang w:eastAsia="en-GB"/>
        </w:rPr>
        <w:t>hybrid assembly</w:t>
      </w:r>
      <w:r w:rsidR="004679CA" w:rsidRPr="00B36586">
        <w:rPr>
          <w:color w:val="000000"/>
          <w:lang w:eastAsia="en-GB"/>
        </w:rPr>
        <w:t xml:space="preserve"> using Unicycler</w:t>
      </w:r>
      <w:r w:rsidRPr="00B36586">
        <w:rPr>
          <w:color w:val="000000"/>
          <w:lang w:eastAsia="en-GB"/>
        </w:rPr>
        <w:t xml:space="preserve"> </w:t>
      </w:r>
      <w:r w:rsidR="004406DE" w:rsidRPr="00B36586">
        <w:rPr>
          <w:color w:val="000000"/>
          <w:lang w:eastAsia="en-GB"/>
        </w:rPr>
        <w:t xml:space="preserve">for </w:t>
      </w:r>
      <w:r w:rsidRPr="00B36586">
        <w:rPr>
          <w:color w:val="000000"/>
          <w:lang w:eastAsia="en-GB"/>
        </w:rPr>
        <w:t xml:space="preserve">both </w:t>
      </w:r>
      <w:r w:rsidR="004679CA" w:rsidRPr="00B36586">
        <w:rPr>
          <w:color w:val="000000"/>
          <w:lang w:eastAsia="en-GB"/>
        </w:rPr>
        <w:t>long-read approaches</w:t>
      </w:r>
      <w:r w:rsidRPr="00B36586">
        <w:rPr>
          <w:color w:val="000000"/>
          <w:lang w:eastAsia="en-GB"/>
        </w:rPr>
        <w:t>.</w:t>
      </w:r>
      <w:r w:rsidRPr="00B36586">
        <w:rPr>
          <w:color w:val="000000"/>
          <w:sz w:val="28"/>
          <w:szCs w:val="28"/>
          <w:lang w:eastAsia="en-GB"/>
        </w:rPr>
        <w:t xml:space="preserve"> </w:t>
      </w:r>
    </w:p>
    <w:p w14:paraId="26C56CEA" w14:textId="5ABD2090" w:rsidR="00C636CF" w:rsidRPr="00B36586" w:rsidRDefault="00A8260B" w:rsidP="00223FA0">
      <w:pPr>
        <w:jc w:val="both"/>
        <w:rPr>
          <w:b/>
          <w:color w:val="008461" w:themeColor="accent3"/>
          <w:sz w:val="32"/>
          <w:szCs w:val="32"/>
        </w:rPr>
      </w:pPr>
      <w:r w:rsidRPr="00A8260B">
        <w:rPr>
          <w:noProof/>
          <w14:ligatures w14:val="none"/>
        </w:rPr>
        <w:pict w14:anchorId="3952E09A">
          <v:rect id="_x0000_i1031" alt="" style="width:451.3pt;height:.05pt;mso-width-percent:0;mso-height-percent:0;mso-width-percent:0;mso-height-percent:0" o:hralign="center" o:hrstd="t" o:hr="t" fillcolor="#a0a0a0" stroked="f"/>
        </w:pict>
      </w:r>
    </w:p>
    <w:p w14:paraId="078EFBD6" w14:textId="517064C3" w:rsidR="006D66C3" w:rsidRPr="00B36586" w:rsidRDefault="00F103A7" w:rsidP="00223FA0">
      <w:pPr>
        <w:spacing w:before="120" w:after="120"/>
        <w:jc w:val="both"/>
        <w:rPr>
          <w:b/>
          <w:color w:val="008461" w:themeColor="accent3"/>
          <w:sz w:val="32"/>
          <w:szCs w:val="32"/>
        </w:rPr>
      </w:pPr>
      <w:r w:rsidRPr="00B36586">
        <w:rPr>
          <w:b/>
          <w:color w:val="008461" w:themeColor="accent3"/>
          <w:sz w:val="32"/>
          <w:szCs w:val="32"/>
        </w:rPr>
        <w:t>METHODS</w:t>
      </w:r>
    </w:p>
    <w:p w14:paraId="222B4634" w14:textId="20BDDB3C" w:rsidR="00F103A7" w:rsidRPr="00B36586" w:rsidRDefault="00F103A7" w:rsidP="00223FA0">
      <w:pPr>
        <w:jc w:val="both"/>
        <w:rPr>
          <w:b/>
          <w:color w:val="008461" w:themeColor="accent3"/>
          <w:sz w:val="28"/>
          <w:szCs w:val="28"/>
        </w:rPr>
      </w:pPr>
      <w:r w:rsidRPr="00B36586">
        <w:rPr>
          <w:b/>
          <w:color w:val="008461" w:themeColor="accent3"/>
          <w:sz w:val="28"/>
          <w:szCs w:val="28"/>
        </w:rPr>
        <w:t>Bacterial isolates</w:t>
      </w:r>
      <w:r w:rsidR="007F712E" w:rsidRPr="00B36586">
        <w:rPr>
          <w:b/>
          <w:color w:val="008461" w:themeColor="accent3"/>
          <w:sz w:val="28"/>
          <w:szCs w:val="28"/>
        </w:rPr>
        <w:t>, DNA extraction</w:t>
      </w:r>
      <w:r w:rsidRPr="00B36586">
        <w:rPr>
          <w:b/>
          <w:color w:val="008461" w:themeColor="accent3"/>
          <w:sz w:val="28"/>
          <w:szCs w:val="28"/>
        </w:rPr>
        <w:t xml:space="preserve"> and Illumina sequencing </w:t>
      </w:r>
    </w:p>
    <w:p w14:paraId="0C2E8FE1" w14:textId="002A8C18" w:rsidR="002E4340" w:rsidRDefault="00BB03AE" w:rsidP="002E4340">
      <w:pPr>
        <w:spacing w:after="120"/>
        <w:jc w:val="both"/>
        <w:rPr>
          <w:lang w:eastAsia="en-GB"/>
        </w:rPr>
      </w:pPr>
      <w:r w:rsidRPr="00B36586">
        <w:t>For sequencing, we selected and sub-cultured 20 isolates across the four genera of interest from stocks of pure culture, stored in nutrient broth with 10% glycerol at</w:t>
      </w:r>
      <w:r w:rsidR="002E4340">
        <w:t xml:space="preserve"> </w:t>
      </w:r>
      <w:r w:rsidRPr="00B36586">
        <w:t xml:space="preserve">-80°C. </w:t>
      </w:r>
      <w:r w:rsidR="007F712E" w:rsidRPr="00B36586">
        <w:t xml:space="preserve">Sub-cultures were undertaken aerobically on Columbia blood agar at 37°C overnight. </w:t>
      </w:r>
      <w:r w:rsidRPr="00B36586">
        <w:t xml:space="preserve">We chose two reference strains, </w:t>
      </w:r>
      <w:r w:rsidRPr="00B36586">
        <w:rPr>
          <w:i/>
        </w:rPr>
        <w:t>E</w:t>
      </w:r>
      <w:r w:rsidR="004679CA" w:rsidRPr="00B36586">
        <w:rPr>
          <w:i/>
        </w:rPr>
        <w:t>scherichia</w:t>
      </w:r>
      <w:r w:rsidRPr="00B36586">
        <w:rPr>
          <w:i/>
        </w:rPr>
        <w:t xml:space="preserve"> coli</w:t>
      </w:r>
      <w:r w:rsidRPr="00B36586">
        <w:t xml:space="preserve"> CFT073</w:t>
      </w:r>
      <w:r w:rsidR="00BC2971">
        <w:t xml:space="preserve"> (</w:t>
      </w:r>
      <w:r w:rsidR="00BC2971" w:rsidRPr="005608F8">
        <w:rPr>
          <w:color w:val="000000"/>
          <w:lang w:val="en-US" w:eastAsia="en-GB"/>
        </w:rPr>
        <w:t>NC_004431.1</w:t>
      </w:r>
      <w:r w:rsidR="00BC2971">
        <w:rPr>
          <w:color w:val="000000"/>
          <w:lang w:val="en-US" w:eastAsia="en-GB"/>
        </w:rPr>
        <w:t>)</w:t>
      </w:r>
      <w:r w:rsidRPr="00B36586">
        <w:t xml:space="preserve"> and </w:t>
      </w:r>
      <w:r w:rsidRPr="00B36586">
        <w:rPr>
          <w:i/>
        </w:rPr>
        <w:t>K</w:t>
      </w:r>
      <w:r w:rsidR="004679CA" w:rsidRPr="00B36586">
        <w:rPr>
          <w:i/>
        </w:rPr>
        <w:t>lebsiella</w:t>
      </w:r>
      <w:r w:rsidRPr="00B36586">
        <w:rPr>
          <w:i/>
        </w:rPr>
        <w:t xml:space="preserve"> pneumoniae</w:t>
      </w:r>
      <w:r w:rsidRPr="00B36586">
        <w:t xml:space="preserve"> MGH78578</w:t>
      </w:r>
      <w:r w:rsidR="00BC2971">
        <w:t xml:space="preserve"> </w:t>
      </w:r>
      <w:r w:rsidR="00BC2971">
        <w:rPr>
          <w:color w:val="000000"/>
          <w:lang w:eastAsia="en-GB"/>
        </w:rPr>
        <w:t>(</w:t>
      </w:r>
      <w:r w:rsidR="00BC2971" w:rsidRPr="00E60D4A">
        <w:rPr>
          <w:color w:val="000000"/>
          <w:lang w:eastAsia="en-GB"/>
        </w:rPr>
        <w:t>NC_009648</w:t>
      </w:r>
      <w:r w:rsidR="00BC2971">
        <w:rPr>
          <w:color w:val="000000"/>
          <w:lang w:eastAsia="en-GB"/>
        </w:rPr>
        <w:t>.1-</w:t>
      </w:r>
      <w:r w:rsidR="00BC2971" w:rsidRPr="00E60D4A">
        <w:rPr>
          <w:color w:val="000000"/>
          <w:lang w:eastAsia="en-GB"/>
        </w:rPr>
        <w:t>NC_0096</w:t>
      </w:r>
      <w:r w:rsidR="00BC2971">
        <w:rPr>
          <w:color w:val="000000"/>
          <w:lang w:eastAsia="en-GB"/>
        </w:rPr>
        <w:t>53.1)</w:t>
      </w:r>
      <w:r w:rsidR="00345734" w:rsidRPr="00B36586">
        <w:t>,</w:t>
      </w:r>
      <w:r w:rsidRPr="00B36586">
        <w:t xml:space="preserve"> and 18 isolates that were part of a study investigating antim</w:t>
      </w:r>
      <w:r w:rsidR="003F275A" w:rsidRPr="00B36586">
        <w:t>i</w:t>
      </w:r>
      <w:r w:rsidRPr="00B36586">
        <w:t xml:space="preserve">crobial resistance in </w:t>
      </w:r>
      <w:r w:rsidR="007F712E" w:rsidRPr="00B36586">
        <w:t xml:space="preserve">diverse </w:t>
      </w:r>
      <w:r w:rsidRPr="00B36586">
        <w:t xml:space="preserve">Enterobacteriaceae from farm animals and environmental specimens (the REHAB study </w:t>
      </w:r>
      <w:hyperlink r:id="rId12" w:history="1">
        <w:r w:rsidR="000F193F" w:rsidRPr="00B36586">
          <w:rPr>
            <w:rStyle w:val="Hyperlink"/>
            <w:sz w:val="20"/>
            <w:szCs w:val="20"/>
          </w:rPr>
          <w:t>http://modmedmicro.nsms.ox.ac.uk/rehab</w:t>
        </w:r>
      </w:hyperlink>
      <w:r w:rsidRPr="00B36586">
        <w:t xml:space="preserve">; details of isolates in Table S1). These </w:t>
      </w:r>
      <w:r w:rsidR="000F193F" w:rsidRPr="00B36586">
        <w:t>comprised</w:t>
      </w:r>
      <w:r w:rsidRPr="00B36586">
        <w:t xml:space="preserve"> </w:t>
      </w:r>
      <w:r w:rsidRPr="00B36586">
        <w:rPr>
          <w:i/>
        </w:rPr>
        <w:t xml:space="preserve">E. coli </w:t>
      </w:r>
      <w:r w:rsidRPr="00B36586">
        <w:t xml:space="preserve">(n=4), </w:t>
      </w:r>
      <w:r w:rsidRPr="00B36586">
        <w:rPr>
          <w:i/>
        </w:rPr>
        <w:t xml:space="preserve">K. pneumoniae </w:t>
      </w:r>
      <w:r w:rsidRPr="00B36586">
        <w:t xml:space="preserve">(n=2), </w:t>
      </w:r>
      <w:r w:rsidRPr="00B36586">
        <w:rPr>
          <w:i/>
        </w:rPr>
        <w:t>K. oxytoca</w:t>
      </w:r>
      <w:r w:rsidRPr="00B36586">
        <w:t xml:space="preserve"> (n=2), </w:t>
      </w:r>
      <w:r w:rsidRPr="00B36586">
        <w:rPr>
          <w:i/>
        </w:rPr>
        <w:t>Citrobacter freundii</w:t>
      </w:r>
      <w:r w:rsidRPr="00B36586">
        <w:t xml:space="preserve"> (n=2), </w:t>
      </w:r>
      <w:r w:rsidRPr="00B36586">
        <w:rPr>
          <w:i/>
        </w:rPr>
        <w:t>C. braakii</w:t>
      </w:r>
      <w:r w:rsidRPr="00B36586">
        <w:t xml:space="preserve"> (n=2), </w:t>
      </w:r>
      <w:r w:rsidRPr="00B36586">
        <w:rPr>
          <w:i/>
        </w:rPr>
        <w:t>C. gillenii</w:t>
      </w:r>
      <w:r w:rsidRPr="00B36586">
        <w:t xml:space="preserve"> (n=1), </w:t>
      </w:r>
      <w:r w:rsidRPr="00B36586">
        <w:rPr>
          <w:i/>
        </w:rPr>
        <w:t xml:space="preserve">Enterobacter cloacae </w:t>
      </w:r>
      <w:r w:rsidRPr="00B36586">
        <w:t xml:space="preserve">(n=3), </w:t>
      </w:r>
      <w:r w:rsidRPr="00B36586">
        <w:rPr>
          <w:i/>
        </w:rPr>
        <w:t>E. kobei</w:t>
      </w:r>
      <w:r w:rsidRPr="00B36586">
        <w:t xml:space="preserve"> (n=2). </w:t>
      </w:r>
      <w:r w:rsidR="007F712E" w:rsidRPr="00B36586">
        <w:t>We chose to investigate Enterobacteriaceae isolates as these bacteria are ge</w:t>
      </w:r>
      <w:r w:rsidR="00345734" w:rsidRPr="00B36586">
        <w:t>netically complex</w:t>
      </w:r>
      <w:r w:rsidR="00154F8C" w:rsidRPr="00B36586">
        <w:t>:</w:t>
      </w:r>
      <w:r w:rsidR="00345734" w:rsidRPr="00B36586">
        <w:t xml:space="preserve"> </w:t>
      </w:r>
      <w:r w:rsidR="00E47946" w:rsidRPr="00B36586">
        <w:t xml:space="preserve">their genomes </w:t>
      </w:r>
      <w:r w:rsidR="00345734" w:rsidRPr="00B36586">
        <w:t xml:space="preserve">commonly contain </w:t>
      </w:r>
      <w:r w:rsidR="007F712E" w:rsidRPr="00B36586">
        <w:t>multiple plasmids and repeat structures</w:t>
      </w:r>
      <w:r w:rsidR="00345734" w:rsidRPr="00B36586">
        <w:t xml:space="preserve"> of varying size</w:t>
      </w:r>
      <w:r w:rsidR="007F712E" w:rsidRPr="00B36586">
        <w:t xml:space="preserve">, </w:t>
      </w:r>
      <w:r w:rsidR="00E47946" w:rsidRPr="00B36586">
        <w:t>making them</w:t>
      </w:r>
      <w:r w:rsidR="007F712E" w:rsidRPr="00B36586">
        <w:t xml:space="preserve"> difficult to assemble using other methods </w:t>
      </w:r>
      <w:r w:rsidR="00E23386" w:rsidRPr="00B36586">
        <w:fldChar w:fldCharType="begin"/>
      </w:r>
      <w:r w:rsidR="009F7B65">
        <w:instrText xml:space="preserve"> ADDIN ZOTERO_ITEM CSL_CITATION {"citationID":"uOPn0MpF","properties":{"formattedCitation":"(5)","plainCitation":"(5)","noteIndex":0},"citationItems":[{"id":2278,"uris":["http://zotero.org/users/5334349/items/IB7R7ESX"],"uri":["http://zotero.org/users/5334349/items/IB7R7ESX"],"itemData":{"id":2278,"type":"article-journal","title":"Resolving plasmid structures in Enterobacteriaceae using the MinION nanopore sequencer: assessment of MinION and MinION/Illumina hybrid data assembly approaches","container-title":"Microbial Genomics","page":"e000118","volume":"3","issue":"8","source":"PubMed","abstract":"This study aimed to assess the feasibility of using the Oxford Nanopore Technologies (ONT) MinION long-read sequencer in reconstructing fully closed plasmid sequences from eight Enterobacteriaceae isolates of six different species with plasmid populations of varying complexity. Species represented were Escherichia coli, Klebsiella pneumoniae, Citrobacter freundii, Enterobacter cloacae, Serratia marcescens and Klebsiella oxytoca, with plasmid populations ranging from 1-11 plasmids with sizes of 2-330 kb. Isolates were sequenced using Illumina (short-read) and ONT's MinION (long-read) platforms, and compared with fully resolved PacBio (long-read) sequence assemblies for the same isolates. We compared the performance of different assembly approaches including SPAdes, plasmidSPAdes, hybridSPAdes, Canu, Canu+Pilon (canuPilon) and npScarf in recovering the plasmid structures of these isolates by comparing with the gold-standard PacBio reference sequences. Overall, canuPilon provided consistently good quality assemblies both in terms of assembly statistics (N50, number of contigs) and assembly accuracy [presence of single nucleotide polymorphisms (SNPs)/indels with respect to the reference sequence]. For plasmid reconstruction, Canu recovered 70 % of the plasmids in complete contigs, and combining three assembly approaches (Canu or canuPilon, hybridSPAdes and plasmidSPAdes) resulted in a total 78 % recovery rate for all the plasmids. The analysis demonstrated the potential of using MinION sequencing technology to resolve important plasmid structures in Enterobacteriaceae species independent of and in conjunction with Illumina sequencing data. A consensus assembly derived from several assembly approaches could present significant benefit in accurately resolving the greatest number of plasmid structures.","DOI":"10.1099/mgen.0.000118","ISSN":"2057-5858","note":"PMID: 29026658\nPMCID: PMC5610714","title-short":"Resolving plasmid structures in Enterobacteriaceae using the MinION nanopore sequencer","journalAbbreviation":"Microb Genom","language":"eng","author":[{"family":"George","given":"Sophie"},{"family":"Pankhurst","given":"Louise"},{"family":"Hubbard","given":"Alasdair"},{"family":"Votintseva","given":"Antonia"},{"family":"Stoesser","given":"Nicole"},{"family":"Sheppard","given":"Anna E."},{"family":"Mathers","given":"Amy"},{"family":"Norris","given":"Rachel"},{"family":"Navickaite","given":"Indre"},{"family":"Eaton","given":"Chloe"},{"family":"Iqbal","given":"Zamin"},{"family":"Crook","given":"Derrick W."},{"family":"Phan","given":"Hang T. T."}],"issued":{"date-parts":[["2017"]]}}}],"schema":"https://github.com/citation-style-language/schema/raw/master/csl-citation.json"} </w:instrText>
      </w:r>
      <w:r w:rsidR="00E23386" w:rsidRPr="00B36586">
        <w:fldChar w:fldCharType="separate"/>
      </w:r>
      <w:r w:rsidR="007B03D9" w:rsidRPr="00B36586">
        <w:rPr>
          <w:noProof/>
        </w:rPr>
        <w:t>(5)</w:t>
      </w:r>
      <w:r w:rsidR="00E23386" w:rsidRPr="00B36586">
        <w:fldChar w:fldCharType="end"/>
      </w:r>
      <w:r w:rsidR="00C54033" w:rsidRPr="00B36586">
        <w:t>.</w:t>
      </w:r>
    </w:p>
    <w:p w14:paraId="616067E8" w14:textId="77777777" w:rsidR="002E4340" w:rsidRDefault="00DC2887" w:rsidP="002E4340">
      <w:pPr>
        <w:spacing w:after="120"/>
        <w:jc w:val="both"/>
        <w:rPr>
          <w:lang w:eastAsia="en-GB"/>
        </w:rPr>
      </w:pPr>
      <w:r w:rsidRPr="00B36586">
        <w:rPr>
          <w:lang w:eastAsia="en-GB"/>
        </w:rPr>
        <w:t>DNA was</w:t>
      </w:r>
      <w:r w:rsidR="004C7BAF" w:rsidRPr="00B36586">
        <w:rPr>
          <w:lang w:eastAsia="en-GB"/>
        </w:rPr>
        <w:t xml:space="preserve"> extracted from sub-cultured isolates using the Qiagen Genomic tip 100/G kit (Qiagen, Valencia, CA, USA)</w:t>
      </w:r>
      <w:r w:rsidRPr="00B36586">
        <w:rPr>
          <w:lang w:eastAsia="en-GB"/>
        </w:rPr>
        <w:t xml:space="preserve"> to facilitat</w:t>
      </w:r>
      <w:r w:rsidR="00E463D7" w:rsidRPr="00B36586">
        <w:rPr>
          <w:lang w:eastAsia="en-GB"/>
        </w:rPr>
        <w:t>e</w:t>
      </w:r>
      <w:r w:rsidRPr="00B36586">
        <w:rPr>
          <w:lang w:eastAsia="en-GB"/>
        </w:rPr>
        <w:t xml:space="preserve"> long-fragment extraction. Quality and fragment length distributions were assessed using the Qubit</w:t>
      </w:r>
      <w:r w:rsidR="00AC149D" w:rsidRPr="00B36586">
        <w:rPr>
          <w:lang w:eastAsia="en-GB"/>
        </w:rPr>
        <w:t xml:space="preserve"> fluorometer (ThermoFisher Scientific, Waltham, MA, USA) </w:t>
      </w:r>
      <w:r w:rsidRPr="00B36586">
        <w:rPr>
          <w:lang w:eastAsia="en-GB"/>
        </w:rPr>
        <w:t>and TapeStation</w:t>
      </w:r>
      <w:r w:rsidR="00AC149D" w:rsidRPr="00B36586">
        <w:rPr>
          <w:lang w:eastAsia="en-GB"/>
        </w:rPr>
        <w:t xml:space="preserve"> (Agilent, Santa Clara, CA, USA).</w:t>
      </w:r>
    </w:p>
    <w:p w14:paraId="5EEFFBCC" w14:textId="7C4AA64F" w:rsidR="002E4340" w:rsidRDefault="007F712E" w:rsidP="002E4340">
      <w:pPr>
        <w:spacing w:after="120"/>
        <w:jc w:val="both"/>
        <w:rPr>
          <w:lang w:eastAsia="en-GB"/>
        </w:rPr>
      </w:pPr>
      <w:r w:rsidRPr="00B36586">
        <w:rPr>
          <w:color w:val="000000"/>
          <w:lang w:eastAsia="en-GB"/>
        </w:rPr>
        <w:t xml:space="preserve">All </w:t>
      </w:r>
      <w:r w:rsidR="00DC2887" w:rsidRPr="00B36586">
        <w:rPr>
          <w:color w:val="000000"/>
          <w:lang w:eastAsia="en-GB"/>
        </w:rPr>
        <w:t xml:space="preserve">DNA extracts </w:t>
      </w:r>
      <w:r w:rsidRPr="00B36586">
        <w:rPr>
          <w:color w:val="000000"/>
          <w:lang w:eastAsia="en-GB"/>
        </w:rPr>
        <w:t>were sequenced using the Illumina HiSeq 4000, generating 150</w:t>
      </w:r>
      <w:r w:rsidR="001677DE">
        <w:rPr>
          <w:color w:val="000000"/>
          <w:lang w:eastAsia="en-GB"/>
        </w:rPr>
        <w:t xml:space="preserve"> </w:t>
      </w:r>
      <w:r w:rsidRPr="00B36586">
        <w:rPr>
          <w:color w:val="000000"/>
          <w:lang w:eastAsia="en-GB"/>
        </w:rPr>
        <w:t>bp paired-end reads.</w:t>
      </w:r>
      <w:r w:rsidR="00E70D2E" w:rsidRPr="00B36586">
        <w:rPr>
          <w:color w:val="000000"/>
          <w:lang w:eastAsia="en-GB"/>
        </w:rPr>
        <w:t xml:space="preserve"> Libraries were constructed using the NEBNext Ultra DNA Sample Prep Master Mix Kit (NEB</w:t>
      </w:r>
      <w:r w:rsidR="00151040" w:rsidRPr="00B36586">
        <w:rPr>
          <w:color w:val="000000"/>
          <w:lang w:eastAsia="en-GB"/>
        </w:rPr>
        <w:t>, Ipswich, MA, USA</w:t>
      </w:r>
      <w:r w:rsidR="00E70D2E" w:rsidRPr="00B36586">
        <w:rPr>
          <w:color w:val="000000"/>
          <w:lang w:eastAsia="en-GB"/>
        </w:rPr>
        <w:t>) with minor modifications and a custom automated protocol on a Biomek FX (Beckman</w:t>
      </w:r>
      <w:r w:rsidR="00AC149D" w:rsidRPr="00B36586">
        <w:rPr>
          <w:color w:val="000000"/>
          <w:lang w:eastAsia="en-GB"/>
        </w:rPr>
        <w:t xml:space="preserve"> Coulter, Brea, CA, USA)</w:t>
      </w:r>
      <w:r w:rsidR="00E70D2E" w:rsidRPr="00B36586">
        <w:rPr>
          <w:color w:val="000000"/>
          <w:lang w:eastAsia="en-GB"/>
        </w:rPr>
        <w:t>. Ligation of adapters was performed using Illumina Multiplex Adapters, and ligated libraries were size-selected using</w:t>
      </w:r>
      <w:r w:rsidR="00AC149D" w:rsidRPr="00B36586">
        <w:rPr>
          <w:color w:val="000000"/>
          <w:lang w:eastAsia="en-GB"/>
        </w:rPr>
        <w:t xml:space="preserve"> Agencourt</w:t>
      </w:r>
      <w:r w:rsidR="00E70D2E" w:rsidRPr="00B36586">
        <w:rPr>
          <w:color w:val="000000"/>
          <w:lang w:eastAsia="en-GB"/>
        </w:rPr>
        <w:t xml:space="preserve"> Ampure magnetic beads (</w:t>
      </w:r>
      <w:r w:rsidR="00AC149D" w:rsidRPr="00B36586">
        <w:rPr>
          <w:color w:val="000000"/>
          <w:lang w:eastAsia="en-GB"/>
        </w:rPr>
        <w:t>Beckman Coulter, Brea, CA, US</w:t>
      </w:r>
      <w:r w:rsidR="008A3389" w:rsidRPr="00B36586">
        <w:rPr>
          <w:color w:val="000000"/>
          <w:lang w:eastAsia="en-GB"/>
        </w:rPr>
        <w:t>A</w:t>
      </w:r>
      <w:r w:rsidR="00E70D2E" w:rsidRPr="00B36586">
        <w:rPr>
          <w:color w:val="000000"/>
          <w:lang w:eastAsia="en-GB"/>
        </w:rPr>
        <w:t>). Each library was PCR-enriched with custom primers (</w:t>
      </w:r>
      <w:r w:rsidR="00A67EB0" w:rsidRPr="00B36586">
        <w:rPr>
          <w:color w:val="000000"/>
          <w:lang w:eastAsia="en-GB"/>
        </w:rPr>
        <w:t>i</w:t>
      </w:r>
      <w:r w:rsidR="00E70D2E" w:rsidRPr="00B36586">
        <w:rPr>
          <w:color w:val="000000"/>
          <w:lang w:eastAsia="en-GB"/>
        </w:rPr>
        <w:t>ndex primer plus dual index PCR primer</w:t>
      </w:r>
      <w:r w:rsidR="00701A76" w:rsidRPr="00B36586">
        <w:rPr>
          <w:color w:val="000000"/>
          <w:lang w:eastAsia="en-GB"/>
        </w:rPr>
        <w:t xml:space="preserve"> </w:t>
      </w:r>
      <w:r w:rsidR="00701A76" w:rsidRPr="00B36586">
        <w:rPr>
          <w:color w:val="000000"/>
          <w:lang w:eastAsia="en-GB"/>
        </w:rPr>
        <w:fldChar w:fldCharType="begin"/>
      </w:r>
      <w:r w:rsidR="005974A4">
        <w:rPr>
          <w:color w:val="000000"/>
          <w:lang w:eastAsia="en-GB"/>
        </w:rPr>
        <w:instrText xml:space="preserve"> ADDIN ZOTERO_ITEM CSL_CITATION {"citationID":"KgaTcTEE","properties":{"formattedCitation":"(20)","plainCitation":"(20)","noteIndex":0},"citationItems":[{"id":2292,"uris":["http://zotero.org/users/5334349/items/KF9N6ACS"],"uri":["http://zotero.org/users/5334349/items/KF9N6ACS"],"itemData":{"id":2292,"type":"article-journal","title":"Improved workflows for high throughput library preparation using the transposome-based Nextera system","container-title":"BMC biotechnology","page":"104","volume":"13","source":"PubMed","abstract":"BACKGROUND: The Nextera protocol, which utilises a transposome based approach to create libraries for Illumina sequencing, requires pure DNA template, an accurate assessment of input concentration and a column clean-up that limits its applicability for high-throughput sample preparation. We addressed the identified limitations to develop a robust workflow that supports both rapid and high-throughput projects also reducing reagent costs.\nRESULTS: We show that an initial bead-based normalisation step can remove the need for quantification and improves sample purity. A 75% cost reduction was achieved with a low-volume modified protocol which was tested over genomes with different GC content to demonstrate its robustness. Finally we developed a custom set of index tags and primers which increase the number of samples that can simultaneously be sequenced on a single lane of an Illumina instrument.\nCONCLUSIONS: We addressed the bottlenecks of Nextera library construction to produce a modified protocol which harnesses the full power of the Nextera kit and allows the reproducible construction of libraries on a high-throughput scale reducing the associated cost of the kit.","DOI":"10.1186/1472-6750-13-104","ISSN":"1472-6750","note":"PMID: 24256843\nPMCID: PMC4222894","journalAbbreviation":"BMC Biotechnol.","language":"eng","author":[{"family":"Lamble","given":"Sarah"},{"family":"Batty","given":"Elizabeth"},{"family":"Attar","given":"Moustafa"},{"family":"Buck","given":"David"},{"family":"Bowden","given":"Rory"},{"family":"Lunter","given":"Gerton"},{"family":"Crook","given":"Derrick"},{"family":"El-Fahmawi","given":"Bassam"},{"family":"Piazza","given":"Paolo"}],"issued":{"date-parts":[["2013",11,20]]}}}],"schema":"https://github.com/citation-style-language/schema/raw/master/csl-citation.json"} </w:instrText>
      </w:r>
      <w:r w:rsidR="00701A76" w:rsidRPr="00B36586">
        <w:rPr>
          <w:color w:val="000000"/>
          <w:lang w:eastAsia="en-GB"/>
        </w:rPr>
        <w:fldChar w:fldCharType="separate"/>
      </w:r>
      <w:r w:rsidR="005974A4">
        <w:rPr>
          <w:noProof/>
          <w:color w:val="000000"/>
          <w:lang w:eastAsia="en-GB"/>
        </w:rPr>
        <w:t>(20)</w:t>
      </w:r>
      <w:r w:rsidR="00701A76" w:rsidRPr="00B36586">
        <w:rPr>
          <w:color w:val="000000"/>
          <w:lang w:eastAsia="en-GB"/>
        </w:rPr>
        <w:fldChar w:fldCharType="end"/>
      </w:r>
      <w:r w:rsidR="00701A76" w:rsidRPr="00B36586">
        <w:rPr>
          <w:color w:val="000000"/>
          <w:lang w:eastAsia="en-GB"/>
        </w:rPr>
        <w:t>).</w:t>
      </w:r>
      <w:r w:rsidR="00E70D2E" w:rsidRPr="00B36586">
        <w:rPr>
          <w:color w:val="000000"/>
          <w:lang w:eastAsia="en-GB"/>
        </w:rPr>
        <w:t xml:space="preserve"> Enrichment and adapter extension of each preparation was obtained using 9</w:t>
      </w:r>
      <w:r w:rsidR="00B01745">
        <w:rPr>
          <w:color w:val="000000"/>
          <w:lang w:eastAsia="en-GB"/>
        </w:rPr>
        <w:t xml:space="preserve"> </w:t>
      </w:r>
      <w:r w:rsidR="00701A76" w:rsidRPr="00B36586">
        <w:rPr>
          <w:color w:val="000000"/>
          <w:lang w:eastAsia="en-GB"/>
        </w:rPr>
        <w:t>μ</w:t>
      </w:r>
      <w:r w:rsidR="00E70D2E" w:rsidRPr="00B36586">
        <w:rPr>
          <w:color w:val="000000"/>
          <w:lang w:eastAsia="en-GB"/>
        </w:rPr>
        <w:t>l of size-selected library in a 50</w:t>
      </w:r>
      <w:r w:rsidR="00B01745">
        <w:rPr>
          <w:color w:val="000000"/>
          <w:lang w:eastAsia="en-GB"/>
        </w:rPr>
        <w:t xml:space="preserve"> </w:t>
      </w:r>
      <w:r w:rsidR="00701A76" w:rsidRPr="00B36586">
        <w:rPr>
          <w:color w:val="000000"/>
          <w:lang w:eastAsia="en-GB"/>
        </w:rPr>
        <w:t>μ</w:t>
      </w:r>
      <w:r w:rsidR="00E70D2E" w:rsidRPr="00B36586">
        <w:rPr>
          <w:color w:val="000000"/>
          <w:lang w:eastAsia="en-GB"/>
        </w:rPr>
        <w:t xml:space="preserve">l PCR reaction. Reactions were then purified with </w:t>
      </w:r>
      <w:r w:rsidR="00176783" w:rsidRPr="00B36586">
        <w:rPr>
          <w:color w:val="000000"/>
          <w:lang w:eastAsia="en-GB"/>
        </w:rPr>
        <w:t xml:space="preserve">Agencourt </w:t>
      </w:r>
      <w:r w:rsidR="00E70D2E" w:rsidRPr="00B36586">
        <w:rPr>
          <w:color w:val="000000"/>
          <w:lang w:eastAsia="en-GB"/>
        </w:rPr>
        <w:t xml:space="preserve">Ampure </w:t>
      </w:r>
      <w:r w:rsidR="002628A7" w:rsidRPr="00B36586">
        <w:rPr>
          <w:color w:val="000000"/>
          <w:lang w:eastAsia="en-GB"/>
        </w:rPr>
        <w:t xml:space="preserve">XP </w:t>
      </w:r>
      <w:r w:rsidR="00E70D2E" w:rsidRPr="00B36586">
        <w:rPr>
          <w:color w:val="000000"/>
          <w:lang w:eastAsia="en-GB"/>
        </w:rPr>
        <w:t>beads (</w:t>
      </w:r>
      <w:r w:rsidR="00FF3F67" w:rsidRPr="00B36586">
        <w:rPr>
          <w:color w:val="000000"/>
          <w:lang w:eastAsia="en-GB"/>
        </w:rPr>
        <w:t>Beckman Coulter, Brea, CA, USA</w:t>
      </w:r>
      <w:r w:rsidR="00E70D2E" w:rsidRPr="00B36586">
        <w:rPr>
          <w:color w:val="000000"/>
          <w:lang w:eastAsia="en-GB"/>
        </w:rPr>
        <w:t xml:space="preserve">) on a Biomek NXp after 10 cycles of amplification (as per Illumina </w:t>
      </w:r>
      <w:r w:rsidR="00E70D2E" w:rsidRPr="00B36586">
        <w:rPr>
          <w:color w:val="000000"/>
          <w:lang w:eastAsia="en-GB"/>
        </w:rPr>
        <w:lastRenderedPageBreak/>
        <w:t>recommendations). Final size distributions of libraries were determined using a Tape</w:t>
      </w:r>
      <w:r w:rsidR="005D2A6B" w:rsidRPr="00B36586">
        <w:rPr>
          <w:color w:val="000000"/>
          <w:lang w:eastAsia="en-GB"/>
        </w:rPr>
        <w:t>S</w:t>
      </w:r>
      <w:r w:rsidR="00E70D2E" w:rsidRPr="00B36586">
        <w:rPr>
          <w:color w:val="000000"/>
          <w:lang w:eastAsia="en-GB"/>
        </w:rPr>
        <w:t>tation system</w:t>
      </w:r>
      <w:r w:rsidR="00AC149D" w:rsidRPr="00B36586">
        <w:rPr>
          <w:color w:val="000000"/>
          <w:lang w:eastAsia="en-GB"/>
        </w:rPr>
        <w:t xml:space="preserve"> as above</w:t>
      </w:r>
      <w:r w:rsidR="002454CC" w:rsidRPr="00B36586">
        <w:rPr>
          <w:color w:val="000000"/>
          <w:lang w:eastAsia="en-GB"/>
        </w:rPr>
        <w:t xml:space="preserve"> </w:t>
      </w:r>
      <w:r w:rsidR="00E70D2E" w:rsidRPr="00B36586">
        <w:rPr>
          <w:color w:val="000000"/>
          <w:lang w:eastAsia="en-GB"/>
        </w:rPr>
        <w:t xml:space="preserve">and quantified by Qubit </w:t>
      </w:r>
      <w:r w:rsidR="00E95441" w:rsidRPr="00B36586">
        <w:rPr>
          <w:color w:val="000000"/>
          <w:lang w:eastAsia="en-GB"/>
        </w:rPr>
        <w:t>flu</w:t>
      </w:r>
      <w:r w:rsidR="007A1326" w:rsidRPr="00B36586">
        <w:rPr>
          <w:color w:val="000000"/>
          <w:lang w:eastAsia="en-GB"/>
        </w:rPr>
        <w:t>o</w:t>
      </w:r>
      <w:r w:rsidR="00E95441" w:rsidRPr="00B36586">
        <w:rPr>
          <w:color w:val="000000"/>
          <w:lang w:eastAsia="en-GB"/>
        </w:rPr>
        <w:t>rometry</w:t>
      </w:r>
      <w:r w:rsidR="00E70D2E" w:rsidRPr="00B36586">
        <w:rPr>
          <w:color w:val="000000"/>
          <w:lang w:eastAsia="en-GB"/>
        </w:rPr>
        <w:t>.</w:t>
      </w:r>
    </w:p>
    <w:p w14:paraId="7927F149" w14:textId="0361EDE4" w:rsidR="00F103A7" w:rsidRPr="002E4340" w:rsidRDefault="000C2BB1" w:rsidP="002E4340">
      <w:pPr>
        <w:spacing w:after="120"/>
        <w:jc w:val="both"/>
        <w:rPr>
          <w:lang w:eastAsia="en-GB"/>
        </w:rPr>
      </w:pPr>
      <w:r w:rsidRPr="00B36586">
        <w:rPr>
          <w:b/>
          <w:color w:val="008461" w:themeColor="accent3"/>
          <w:sz w:val="28"/>
          <w:szCs w:val="28"/>
        </w:rPr>
        <w:t>ONT library preparation and sequencing</w:t>
      </w:r>
    </w:p>
    <w:p w14:paraId="0757630D" w14:textId="7508E2B6" w:rsidR="00826F59" w:rsidRPr="00B36586" w:rsidRDefault="00BE7621" w:rsidP="00223FA0">
      <w:pPr>
        <w:jc w:val="both"/>
      </w:pPr>
      <w:r w:rsidRPr="00B36586">
        <w:t xml:space="preserve">ONT sequencing libraries were prepared by multiplexing </w:t>
      </w:r>
      <w:r w:rsidR="00345734" w:rsidRPr="00B36586">
        <w:t xml:space="preserve">DNA extracts from </w:t>
      </w:r>
      <w:r w:rsidRPr="00B36586">
        <w:t>four isolates</w:t>
      </w:r>
      <w:r w:rsidR="000F193F" w:rsidRPr="00B36586">
        <w:t xml:space="preserve"> per flowcell</w:t>
      </w:r>
      <w:r w:rsidRPr="00B36586">
        <w:t xml:space="preserve"> using the SQK-LSK108 and EXP-NBD103 kits according to the manufacturer's protocol</w:t>
      </w:r>
      <w:r w:rsidR="004C7BAF" w:rsidRPr="00B36586">
        <w:t xml:space="preserve"> with the following amendments: input DNA (1.5</w:t>
      </w:r>
      <w:r w:rsidR="00B01745">
        <w:t xml:space="preserve"> </w:t>
      </w:r>
      <w:r w:rsidR="00AC149D" w:rsidRPr="00B36586">
        <w:rPr>
          <w:color w:val="000000"/>
          <w:lang w:eastAsia="en-GB"/>
        </w:rPr>
        <w:t>μ</w:t>
      </w:r>
      <w:r w:rsidR="004C7BAF" w:rsidRPr="00B36586">
        <w:t>g) was not fragmented, 2</w:t>
      </w:r>
      <w:r w:rsidR="00B01745">
        <w:t xml:space="preserve"> </w:t>
      </w:r>
      <w:r w:rsidR="004C7BAF" w:rsidRPr="00B36586">
        <w:t>ml Eppendorf DNA LoBind tubes (Eppendorf, Hamburg, Germany) were used, all reactions were purified using 0.4x Agencourt AMPure XP beads, incubation time with Agencourt AMPure XP beads was doubled, elution volumes were reduced to the minimum required for the subsequent step, and elution was heated to 37°C</w:t>
      </w:r>
      <w:r w:rsidRPr="00B36586">
        <w:t>. Libraries were loaded onto flow cell versions FLO-MIN106 R9.4 SpotON and sequenced for 48 hours.</w:t>
      </w:r>
    </w:p>
    <w:p w14:paraId="0A53FE3A" w14:textId="77777777" w:rsidR="000C2BB1" w:rsidRPr="00B36586" w:rsidRDefault="000C2BB1" w:rsidP="00223FA0">
      <w:pPr>
        <w:jc w:val="both"/>
        <w:rPr>
          <w:b/>
          <w:color w:val="008461" w:themeColor="accent3"/>
          <w:sz w:val="28"/>
          <w:szCs w:val="28"/>
        </w:rPr>
      </w:pPr>
      <w:r w:rsidRPr="00B36586">
        <w:rPr>
          <w:b/>
          <w:color w:val="008461" w:themeColor="accent3"/>
          <w:sz w:val="28"/>
          <w:szCs w:val="28"/>
        </w:rPr>
        <w:t>PacBio library preparation and sequencing</w:t>
      </w:r>
    </w:p>
    <w:p w14:paraId="019E7534" w14:textId="1841ADD7" w:rsidR="002E4340" w:rsidRDefault="00DC2887" w:rsidP="002E4340">
      <w:pPr>
        <w:spacing w:after="120"/>
        <w:jc w:val="both"/>
        <w:rPr>
          <w:color w:val="000000" w:themeColor="text1"/>
        </w:rPr>
      </w:pPr>
      <w:r w:rsidRPr="00B36586">
        <w:rPr>
          <w:color w:val="000000" w:themeColor="text1"/>
        </w:rPr>
        <w:t>DNA</w:t>
      </w:r>
      <w:r w:rsidR="00DC41C8" w:rsidRPr="00B36586">
        <w:rPr>
          <w:color w:val="000000" w:themeColor="text1"/>
        </w:rPr>
        <w:t xml:space="preserve"> extr</w:t>
      </w:r>
      <w:r w:rsidRPr="00B36586">
        <w:rPr>
          <w:color w:val="000000" w:themeColor="text1"/>
        </w:rPr>
        <w:t>a</w:t>
      </w:r>
      <w:r w:rsidR="00DC41C8" w:rsidRPr="00B36586">
        <w:rPr>
          <w:color w:val="000000" w:themeColor="text1"/>
        </w:rPr>
        <w:t>c</w:t>
      </w:r>
      <w:r w:rsidRPr="00B36586">
        <w:rPr>
          <w:color w:val="000000" w:themeColor="text1"/>
        </w:rPr>
        <w:t>ts were initially sheared to an average length of 15</w:t>
      </w:r>
      <w:r w:rsidR="00F02436">
        <w:rPr>
          <w:color w:val="000000" w:themeColor="text1"/>
        </w:rPr>
        <w:t xml:space="preserve"> </w:t>
      </w:r>
      <w:r w:rsidRPr="00B36586">
        <w:rPr>
          <w:color w:val="000000" w:themeColor="text1"/>
        </w:rPr>
        <w:t>kb using g-tubes, as specified by the manufa</w:t>
      </w:r>
      <w:r w:rsidR="00E95441" w:rsidRPr="00B36586">
        <w:rPr>
          <w:color w:val="000000" w:themeColor="text1"/>
        </w:rPr>
        <w:t>cturer (Covaris</w:t>
      </w:r>
      <w:r w:rsidR="00AC149D" w:rsidRPr="00B36586">
        <w:rPr>
          <w:color w:val="000000" w:themeColor="text1"/>
        </w:rPr>
        <w:t>, Woburn, MA, USA</w:t>
      </w:r>
      <w:r w:rsidR="00E95441" w:rsidRPr="00B36586">
        <w:rPr>
          <w:color w:val="000000" w:themeColor="text1"/>
        </w:rPr>
        <w:t>). S</w:t>
      </w:r>
      <w:r w:rsidRPr="00B36586">
        <w:rPr>
          <w:color w:val="000000" w:themeColor="text1"/>
        </w:rPr>
        <w:t>heared DNA wa</w:t>
      </w:r>
      <w:r w:rsidR="00E95441" w:rsidRPr="00B36586">
        <w:rPr>
          <w:color w:val="000000" w:themeColor="text1"/>
        </w:rPr>
        <w:t xml:space="preserve">s used in </w:t>
      </w:r>
      <w:r w:rsidRPr="00B36586">
        <w:rPr>
          <w:color w:val="000000" w:themeColor="text1"/>
        </w:rPr>
        <w:t>SMRTbell library preparation, as recommended by the manufacturer</w:t>
      </w:r>
      <w:r w:rsidR="00AC149D" w:rsidRPr="00B36586">
        <w:rPr>
          <w:color w:val="000000" w:themeColor="text1"/>
        </w:rPr>
        <w:t xml:space="preserve">. </w:t>
      </w:r>
      <w:r w:rsidRPr="00B36586">
        <w:rPr>
          <w:color w:val="000000" w:themeColor="text1"/>
        </w:rPr>
        <w:t xml:space="preserve">Quantity and quality of the SMRTbell libraries were evaluated using the High Sensitivity dsDNA kit and Qubit </w:t>
      </w:r>
      <w:r w:rsidR="00AC149D" w:rsidRPr="00B36586">
        <w:rPr>
          <w:color w:val="000000" w:themeColor="text1"/>
        </w:rPr>
        <w:t>f</w:t>
      </w:r>
      <w:r w:rsidRPr="00B36586">
        <w:rPr>
          <w:color w:val="000000" w:themeColor="text1"/>
        </w:rPr>
        <w:t>luor</w:t>
      </w:r>
      <w:r w:rsidR="00AC149D" w:rsidRPr="00B36586">
        <w:rPr>
          <w:color w:val="000000" w:themeColor="text1"/>
        </w:rPr>
        <w:t>o</w:t>
      </w:r>
      <w:r w:rsidRPr="00B36586">
        <w:rPr>
          <w:color w:val="000000" w:themeColor="text1"/>
        </w:rPr>
        <w:t>meter and DNA 12000 kit on the 2100 Bioanalyzer (Agilent</w:t>
      </w:r>
      <w:r w:rsidR="00AC149D" w:rsidRPr="00B36586">
        <w:rPr>
          <w:lang w:eastAsia="en-GB"/>
        </w:rPr>
        <w:t>, Santa Clara, CA, USA</w:t>
      </w:r>
      <w:r w:rsidRPr="00B36586">
        <w:rPr>
          <w:color w:val="000000" w:themeColor="text1"/>
        </w:rPr>
        <w:t>). To obtain the longest possible SMRTbell libraries for sequencing</w:t>
      </w:r>
      <w:r w:rsidR="00E95441" w:rsidRPr="00B36586">
        <w:rPr>
          <w:color w:val="000000" w:themeColor="text1"/>
        </w:rPr>
        <w:t xml:space="preserve"> (as recommended by the manufacturer)</w:t>
      </w:r>
      <w:r w:rsidRPr="00B36586">
        <w:rPr>
          <w:color w:val="000000" w:themeColor="text1"/>
        </w:rPr>
        <w:t>, a further size selection step was performed using the PippinHT pulsed-field gel electrophoresis system (Sage Science</w:t>
      </w:r>
      <w:r w:rsidR="00AC149D" w:rsidRPr="00B36586">
        <w:rPr>
          <w:color w:val="000000" w:themeColor="text1"/>
        </w:rPr>
        <w:t>, Beverley, MA, USA</w:t>
      </w:r>
      <w:r w:rsidRPr="00B36586">
        <w:rPr>
          <w:color w:val="000000" w:themeColor="text1"/>
        </w:rPr>
        <w:t>), enriching for the SMRTbell libraries &gt;15</w:t>
      </w:r>
      <w:r w:rsidR="00F02436">
        <w:rPr>
          <w:color w:val="000000" w:themeColor="text1"/>
        </w:rPr>
        <w:t xml:space="preserve"> </w:t>
      </w:r>
      <w:r w:rsidRPr="00B36586">
        <w:rPr>
          <w:color w:val="000000" w:themeColor="text1"/>
        </w:rPr>
        <w:t>kb for loading onto the instrument. Sequencing primer and P6 polymerase were annealed and bound to the SMRTbell libraries, and each library was sequenced using a single SMRT cell on the PacBio RSII sequencing system with 240-minute movies.</w:t>
      </w:r>
      <w:r w:rsidR="0053131B">
        <w:rPr>
          <w:color w:val="000000" w:themeColor="text1"/>
        </w:rPr>
        <w:t xml:space="preserve"> We combined all subread</w:t>
      </w:r>
      <w:r w:rsidR="008372C9">
        <w:rPr>
          <w:color w:val="000000" w:themeColor="text1"/>
        </w:rPr>
        <w:t xml:space="preserve">s </w:t>
      </w:r>
      <w:r w:rsidR="00F362B2">
        <w:rPr>
          <w:color w:val="000000" w:themeColor="text1"/>
        </w:rPr>
        <w:t xml:space="preserve">from the fastq outputs in Analysis_results from the </w:t>
      </w:r>
      <w:r w:rsidR="002C26AD">
        <w:rPr>
          <w:color w:val="000000" w:themeColor="text1"/>
        </w:rPr>
        <w:t>SMRT</w:t>
      </w:r>
      <w:r w:rsidR="00F362B2">
        <w:rPr>
          <w:color w:val="000000" w:themeColor="text1"/>
        </w:rPr>
        <w:t xml:space="preserve"> Analysis Suite</w:t>
      </w:r>
      <w:r w:rsidR="00CA67C5">
        <w:rPr>
          <w:color w:val="000000" w:themeColor="text1"/>
        </w:rPr>
        <w:t xml:space="preserve"> for each isolate</w:t>
      </w:r>
      <w:r w:rsidR="00F362B2">
        <w:rPr>
          <w:color w:val="000000" w:themeColor="text1"/>
        </w:rPr>
        <w:t xml:space="preserve">. </w:t>
      </w:r>
      <w:r w:rsidR="0053131B">
        <w:rPr>
          <w:color w:val="000000" w:themeColor="text1"/>
        </w:rPr>
        <w:t xml:space="preserve"> </w:t>
      </w:r>
    </w:p>
    <w:p w14:paraId="27FDBE2C" w14:textId="5F956708" w:rsidR="00B0347C" w:rsidRPr="002E4340" w:rsidRDefault="00B0347C" w:rsidP="002E4340">
      <w:pPr>
        <w:spacing w:after="120"/>
        <w:jc w:val="both"/>
        <w:rPr>
          <w:color w:val="000000" w:themeColor="text1"/>
          <w:highlight w:val="yellow"/>
        </w:rPr>
      </w:pPr>
      <w:r w:rsidRPr="00B36586">
        <w:rPr>
          <w:b/>
          <w:color w:val="008461" w:themeColor="accent3"/>
          <w:sz w:val="28"/>
          <w:szCs w:val="28"/>
        </w:rPr>
        <w:t xml:space="preserve">Read preparation and </w:t>
      </w:r>
      <w:r w:rsidR="00DC2887" w:rsidRPr="00B36586">
        <w:rPr>
          <w:b/>
          <w:color w:val="008461" w:themeColor="accent3"/>
          <w:sz w:val="28"/>
          <w:szCs w:val="28"/>
        </w:rPr>
        <w:t xml:space="preserve">hybrid </w:t>
      </w:r>
      <w:r w:rsidRPr="00B36586">
        <w:rPr>
          <w:b/>
          <w:color w:val="008461" w:themeColor="accent3"/>
          <w:sz w:val="28"/>
          <w:szCs w:val="28"/>
        </w:rPr>
        <w:t>assembly</w:t>
      </w:r>
    </w:p>
    <w:p w14:paraId="3D6611C2" w14:textId="62DF74C6" w:rsidR="002E4340" w:rsidRDefault="00B0347C" w:rsidP="002E4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color w:val="000000"/>
          <w:lang w:eastAsia="en-GB"/>
        </w:rPr>
      </w:pPr>
      <w:r w:rsidRPr="00B36586">
        <w:rPr>
          <w:color w:val="000000"/>
          <w:lang w:eastAsia="en-GB"/>
        </w:rPr>
        <w:t xml:space="preserve">ONT fast5 read files were base-called </w:t>
      </w:r>
      <w:r w:rsidR="00B53E3F" w:rsidRPr="00B36586">
        <w:rPr>
          <w:color w:val="000000"/>
          <w:lang w:eastAsia="en-GB"/>
        </w:rPr>
        <w:t>with</w:t>
      </w:r>
      <w:r w:rsidRPr="00B36586">
        <w:rPr>
          <w:color w:val="000000"/>
          <w:lang w:eastAsia="en-GB"/>
        </w:rPr>
        <w:t xml:space="preserve"> Albacore (v</w:t>
      </w:r>
      <w:r w:rsidR="00AA4838" w:rsidRPr="00B36586">
        <w:rPr>
          <w:color w:val="000000"/>
          <w:lang w:eastAsia="en-GB"/>
        </w:rPr>
        <w:t>2.0.2</w:t>
      </w:r>
      <w:r w:rsidR="00B37155" w:rsidRPr="00B36586">
        <w:rPr>
          <w:color w:val="000000"/>
          <w:lang w:eastAsia="en-GB"/>
        </w:rPr>
        <w:t xml:space="preserve">, </w:t>
      </w:r>
      <w:hyperlink r:id="rId13" w:history="1">
        <w:r w:rsidR="00B37155" w:rsidRPr="00B36586">
          <w:rPr>
            <w:rStyle w:val="Hyperlink"/>
            <w:sz w:val="20"/>
            <w:szCs w:val="20"/>
            <w:lang w:eastAsia="en-GB"/>
          </w:rPr>
          <w:t>https://github.com/JGI-Bioinformatics/albacore</w:t>
        </w:r>
      </w:hyperlink>
      <w:r w:rsidR="00AA4838" w:rsidRPr="00B36586">
        <w:rPr>
          <w:color w:val="000000"/>
          <w:lang w:eastAsia="en-GB"/>
        </w:rPr>
        <w:t>)</w:t>
      </w:r>
      <w:r w:rsidR="00AA1628" w:rsidRPr="00B36586">
        <w:rPr>
          <w:color w:val="000000"/>
          <w:lang w:eastAsia="en-GB"/>
        </w:rPr>
        <w:t>,</w:t>
      </w:r>
      <w:r w:rsidR="00AA4838" w:rsidRPr="00B36586">
        <w:rPr>
          <w:color w:val="000000"/>
          <w:lang w:eastAsia="en-GB"/>
        </w:rPr>
        <w:t xml:space="preserve"> </w:t>
      </w:r>
      <w:r w:rsidRPr="00B36586">
        <w:rPr>
          <w:color w:val="000000"/>
          <w:lang w:eastAsia="en-GB"/>
        </w:rPr>
        <w:t xml:space="preserve">with barcode demultiplexing and fastq output. </w:t>
      </w:r>
      <w:r w:rsidR="00473C0D" w:rsidRPr="00B36586">
        <w:rPr>
          <w:color w:val="000000"/>
          <w:lang w:eastAsia="en-GB"/>
        </w:rPr>
        <w:t>Adapter</w:t>
      </w:r>
      <w:r w:rsidR="00D86598" w:rsidRPr="00B36586">
        <w:rPr>
          <w:color w:val="000000"/>
          <w:lang w:eastAsia="en-GB"/>
        </w:rPr>
        <w:t xml:space="preserve"> sequences</w:t>
      </w:r>
      <w:r w:rsidR="00133123" w:rsidRPr="00B36586">
        <w:rPr>
          <w:color w:val="000000"/>
          <w:lang w:eastAsia="en-GB"/>
        </w:rPr>
        <w:t xml:space="preserve"> were trimmed </w:t>
      </w:r>
      <w:r w:rsidR="002A3CC7" w:rsidRPr="00B36586">
        <w:rPr>
          <w:color w:val="000000"/>
          <w:lang w:eastAsia="en-GB"/>
        </w:rPr>
        <w:t xml:space="preserve">with </w:t>
      </w:r>
      <w:r w:rsidRPr="00B36586">
        <w:rPr>
          <w:color w:val="000000"/>
          <w:lang w:eastAsia="en-GB"/>
        </w:rPr>
        <w:t xml:space="preserve">Porechop </w:t>
      </w:r>
      <w:r w:rsidR="005D7304" w:rsidRPr="00B36586">
        <w:rPr>
          <w:color w:val="000000"/>
          <w:lang w:eastAsia="en-GB"/>
        </w:rPr>
        <w:t>(</w:t>
      </w:r>
      <w:r w:rsidRPr="00B36586">
        <w:rPr>
          <w:color w:val="000000"/>
          <w:lang w:eastAsia="en-GB"/>
        </w:rPr>
        <w:t>v0.2.2</w:t>
      </w:r>
      <w:r w:rsidR="005D7304" w:rsidRPr="00B36586">
        <w:rPr>
          <w:color w:val="000000"/>
          <w:lang w:eastAsia="en-GB"/>
        </w:rPr>
        <w:t xml:space="preserve">, </w:t>
      </w:r>
      <w:r w:rsidR="00D45ADD" w:rsidRPr="00B36586">
        <w:rPr>
          <w:color w:val="0000FF" w:themeColor="accent4"/>
          <w:sz w:val="20"/>
          <w:szCs w:val="20"/>
          <w:lang w:eastAsia="en-GB"/>
        </w:rPr>
        <w:t>https://github.com/</w:t>
      </w:r>
      <w:r w:rsidRPr="00B36586">
        <w:rPr>
          <w:color w:val="0000FF" w:themeColor="accent4"/>
          <w:sz w:val="20"/>
          <w:szCs w:val="20"/>
          <w:lang w:eastAsia="en-GB"/>
        </w:rPr>
        <w:t>rrwick/Porechop</w:t>
      </w:r>
      <w:r w:rsidRPr="00B36586">
        <w:rPr>
          <w:color w:val="000000"/>
          <w:lang w:eastAsia="en-GB"/>
        </w:rPr>
        <w:t>).</w:t>
      </w:r>
      <w:r w:rsidR="00517FE7" w:rsidRPr="00B36586">
        <w:rPr>
          <w:color w:val="000000"/>
          <w:lang w:eastAsia="en-GB"/>
        </w:rPr>
        <w:t xml:space="preserve"> </w:t>
      </w:r>
      <w:r w:rsidR="00435883" w:rsidRPr="00B36586">
        <w:rPr>
          <w:color w:val="000000"/>
          <w:lang w:eastAsia="en-GB"/>
        </w:rPr>
        <w:t>Read</w:t>
      </w:r>
      <w:r w:rsidR="0023203F" w:rsidRPr="00B36586">
        <w:rPr>
          <w:color w:val="000000"/>
          <w:lang w:eastAsia="en-GB"/>
        </w:rPr>
        <w:t xml:space="preserve"> quality was calculated with </w:t>
      </w:r>
      <w:r w:rsidR="00C24A01" w:rsidRPr="00B36586">
        <w:rPr>
          <w:color w:val="000000"/>
          <w:lang w:eastAsia="en-GB"/>
        </w:rPr>
        <w:t>nanosta</w:t>
      </w:r>
      <w:r w:rsidR="00061213" w:rsidRPr="00B36586">
        <w:rPr>
          <w:color w:val="000000"/>
          <w:lang w:eastAsia="en-GB"/>
        </w:rPr>
        <w:t>t</w:t>
      </w:r>
      <w:r w:rsidR="00C24A01" w:rsidRPr="00B36586">
        <w:rPr>
          <w:color w:val="000000"/>
          <w:lang w:eastAsia="en-GB"/>
        </w:rPr>
        <w:t xml:space="preserve"> (v0.22, </w:t>
      </w:r>
      <w:hyperlink r:id="rId14" w:history="1">
        <w:r w:rsidR="007B03D9" w:rsidRPr="00B36586">
          <w:rPr>
            <w:rStyle w:val="Hyperlink"/>
            <w:sz w:val="20"/>
            <w:szCs w:val="20"/>
            <w:lang w:eastAsia="en-GB"/>
          </w:rPr>
          <w:t>https://github.com/wdecoster/nanostat</w:t>
        </w:r>
      </w:hyperlink>
      <w:r w:rsidR="00C24A01" w:rsidRPr="00B36586">
        <w:rPr>
          <w:color w:val="000000"/>
          <w:lang w:eastAsia="en-GB"/>
        </w:rPr>
        <w:t xml:space="preserve">) </w:t>
      </w:r>
      <w:r w:rsidR="00C24A01" w:rsidRPr="00B36586">
        <w:rPr>
          <w:color w:val="000000"/>
          <w:lang w:eastAsia="en-GB"/>
        </w:rPr>
        <w:fldChar w:fldCharType="begin"/>
      </w:r>
      <w:r w:rsidR="005974A4">
        <w:rPr>
          <w:color w:val="000000"/>
          <w:lang w:eastAsia="en-GB"/>
        </w:rPr>
        <w:instrText xml:space="preserve"> ADDIN ZOTERO_ITEM CSL_CITATION {"citationID":"qdmhjIVl","properties":{"formattedCitation":"(21)","plainCitation":"(21)","noteIndex":0},"citationItems":[{"id":2341,"uris":["http://zotero.org/users/5334349/items/4FCLGQA2"],"uri":["http://zotero.org/users/5334349/items/4FCLGQA2"],"itemData":{"id":2341,"type":"article-journal","title":"NanoPack: visualizing and processing long-read sequencing data","container-title":"Bioinformatics","page":"2666-2669","volume":"34","issue":"15","source":"academic.oup.com","abstract":"AbstractSummary.  Here we describe NanoPack, a set of tools developed for visualization and processing of long-read sequencing data from Oxford Nanopore Technol","DOI":"10.1093/bioinformatics/bty149","ISSN":"1367-4803","title-short":"NanoPack","journalAbbreviation":"Bioinformatics","language":"en","author":[{"family":"De Coster","given":"Wouter"},{"family":"D’Hert","given":"Svenn"},{"family":"Schultz","given":"Darrin T."},{"family":"Cruts","given":"Marc"},{"family":"Van Broeckhoven","given":"Christine"}],"issued":{"date-parts":[["2018",8,1]]}}}],"schema":"https://github.com/citation-style-language/schema/raw/master/csl-citation.json"} </w:instrText>
      </w:r>
      <w:r w:rsidR="00C24A01" w:rsidRPr="00B36586">
        <w:rPr>
          <w:color w:val="000000"/>
          <w:lang w:eastAsia="en-GB"/>
        </w:rPr>
        <w:fldChar w:fldCharType="separate"/>
      </w:r>
      <w:r w:rsidR="005974A4">
        <w:rPr>
          <w:noProof/>
          <w:color w:val="000000"/>
          <w:lang w:eastAsia="en-GB"/>
        </w:rPr>
        <w:t>(21)</w:t>
      </w:r>
      <w:r w:rsidR="00C24A01" w:rsidRPr="00B36586">
        <w:rPr>
          <w:color w:val="000000"/>
          <w:lang w:eastAsia="en-GB"/>
        </w:rPr>
        <w:fldChar w:fldCharType="end"/>
      </w:r>
      <w:r w:rsidR="000831AC" w:rsidRPr="00B36586">
        <w:rPr>
          <w:color w:val="000000"/>
          <w:lang w:eastAsia="en-GB"/>
        </w:rPr>
        <w:t xml:space="preserve">. </w:t>
      </w:r>
    </w:p>
    <w:p w14:paraId="4D8F73A0" w14:textId="30D9292E" w:rsidR="00B0347C" w:rsidRPr="00B36586" w:rsidRDefault="00B0347C" w:rsidP="002E4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color w:val="000000"/>
          <w:lang w:eastAsia="en-GB"/>
        </w:rPr>
      </w:pPr>
      <w:r w:rsidRPr="00B36586">
        <w:rPr>
          <w:color w:val="000000"/>
          <w:lang w:eastAsia="en-GB"/>
        </w:rPr>
        <w:t>Long</w:t>
      </w:r>
      <w:r w:rsidR="004B4D9B">
        <w:rPr>
          <w:color w:val="000000"/>
          <w:lang w:eastAsia="en-GB"/>
        </w:rPr>
        <w:t xml:space="preserve"> </w:t>
      </w:r>
      <w:r w:rsidRPr="00B36586">
        <w:rPr>
          <w:color w:val="000000"/>
          <w:lang w:eastAsia="en-GB"/>
        </w:rPr>
        <w:t xml:space="preserve">reads </w:t>
      </w:r>
      <w:r w:rsidR="00D45ADD" w:rsidRPr="00B36586">
        <w:rPr>
          <w:color w:val="000000"/>
          <w:lang w:eastAsia="en-GB"/>
        </w:rPr>
        <w:t xml:space="preserve">from </w:t>
      </w:r>
      <w:r w:rsidR="00044740" w:rsidRPr="00B36586">
        <w:rPr>
          <w:color w:val="000000"/>
          <w:lang w:eastAsia="en-GB"/>
        </w:rPr>
        <w:t xml:space="preserve">both </w:t>
      </w:r>
      <w:r w:rsidR="00D45ADD" w:rsidRPr="00B36586">
        <w:rPr>
          <w:color w:val="000000"/>
          <w:lang w:eastAsia="en-GB"/>
        </w:rPr>
        <w:t>ONT and PacBio were</w:t>
      </w:r>
      <w:r w:rsidRPr="00B36586">
        <w:rPr>
          <w:color w:val="000000"/>
          <w:lang w:eastAsia="en-GB"/>
        </w:rPr>
        <w:t xml:space="preserve"> </w:t>
      </w:r>
      <w:r w:rsidR="001A7504" w:rsidRPr="00B36586">
        <w:rPr>
          <w:color w:val="000000"/>
          <w:lang w:eastAsia="en-GB"/>
        </w:rPr>
        <w:t>prepared using</w:t>
      </w:r>
      <w:r w:rsidR="00345734" w:rsidRPr="00B36586">
        <w:rPr>
          <w:color w:val="000000"/>
          <w:lang w:eastAsia="en-GB"/>
        </w:rPr>
        <w:t xml:space="preserve"> four</w:t>
      </w:r>
      <w:r w:rsidR="00D45ADD" w:rsidRPr="00B36586">
        <w:rPr>
          <w:color w:val="000000"/>
          <w:lang w:eastAsia="en-GB"/>
        </w:rPr>
        <w:t xml:space="preserve"> alternative</w:t>
      </w:r>
      <w:r w:rsidR="001A7504" w:rsidRPr="00B36586">
        <w:rPr>
          <w:color w:val="000000"/>
          <w:lang w:eastAsia="en-GB"/>
        </w:rPr>
        <w:t xml:space="preserve"> strategies:</w:t>
      </w:r>
    </w:p>
    <w:p w14:paraId="1353950C" w14:textId="2F1C65F9" w:rsidR="001A7504" w:rsidRPr="00B36586" w:rsidRDefault="001A7504" w:rsidP="00223FA0">
      <w:pPr>
        <w:pStyle w:val="ListParagraph"/>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left="714" w:hanging="357"/>
        <w:jc w:val="both"/>
        <w:rPr>
          <w:rFonts w:eastAsia="Times New Roman"/>
          <w:color w:val="000000"/>
          <w:lang w:eastAsia="en-GB"/>
        </w:rPr>
      </w:pPr>
      <w:r w:rsidRPr="00B36586">
        <w:rPr>
          <w:rFonts w:eastAsia="Times New Roman"/>
          <w:b/>
          <w:color w:val="000000"/>
          <w:lang w:eastAsia="en-GB"/>
        </w:rPr>
        <w:t>Basic</w:t>
      </w:r>
      <w:r w:rsidRPr="00B36586">
        <w:rPr>
          <w:rFonts w:eastAsia="Times New Roman"/>
          <w:color w:val="000000"/>
          <w:lang w:eastAsia="en-GB"/>
        </w:rPr>
        <w:t xml:space="preserve">: no </w:t>
      </w:r>
      <w:r w:rsidR="003B7F3F" w:rsidRPr="00B36586">
        <w:rPr>
          <w:rFonts w:eastAsia="Times New Roman"/>
          <w:color w:val="000000"/>
          <w:lang w:eastAsia="en-GB"/>
        </w:rPr>
        <w:t xml:space="preserve">filtering </w:t>
      </w:r>
      <w:r w:rsidRPr="00B36586">
        <w:rPr>
          <w:rFonts w:eastAsia="Times New Roman"/>
          <w:color w:val="000000"/>
          <w:lang w:eastAsia="en-GB"/>
        </w:rPr>
        <w:t>or correction of reads (</w:t>
      </w:r>
      <w:r w:rsidR="003B7F3F" w:rsidRPr="00B36586">
        <w:rPr>
          <w:rFonts w:eastAsia="Times New Roman"/>
          <w:color w:val="000000"/>
          <w:lang w:eastAsia="en-GB"/>
        </w:rPr>
        <w:t xml:space="preserve">i.e. </w:t>
      </w:r>
      <w:r w:rsidRPr="00B36586">
        <w:rPr>
          <w:rFonts w:eastAsia="Times New Roman"/>
          <w:color w:val="000000"/>
          <w:lang w:eastAsia="en-GB"/>
        </w:rPr>
        <w:t>all long</w:t>
      </w:r>
      <w:r w:rsidR="004B4D9B">
        <w:rPr>
          <w:rFonts w:eastAsia="Times New Roman"/>
          <w:color w:val="000000"/>
          <w:lang w:eastAsia="en-GB"/>
        </w:rPr>
        <w:t xml:space="preserve"> </w:t>
      </w:r>
      <w:r w:rsidRPr="00B36586">
        <w:rPr>
          <w:rFonts w:eastAsia="Times New Roman"/>
          <w:color w:val="000000"/>
          <w:lang w:eastAsia="en-GB"/>
        </w:rPr>
        <w:t>reads available used for assembly).</w:t>
      </w:r>
    </w:p>
    <w:p w14:paraId="0889B19F" w14:textId="31EDD400" w:rsidR="001A7504" w:rsidRPr="00B36586" w:rsidRDefault="001A7504" w:rsidP="00223FA0">
      <w:pPr>
        <w:pStyle w:val="ListParagraph"/>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ind w:left="714" w:hanging="357"/>
        <w:jc w:val="both"/>
        <w:rPr>
          <w:rFonts w:eastAsia="Times New Roman"/>
          <w:color w:val="000000"/>
          <w:lang w:eastAsia="en-GB"/>
        </w:rPr>
      </w:pPr>
      <w:r w:rsidRPr="00B36586">
        <w:rPr>
          <w:rFonts w:eastAsia="Times New Roman"/>
          <w:b/>
          <w:color w:val="000000"/>
          <w:lang w:eastAsia="en-GB"/>
        </w:rPr>
        <w:t>Corrected</w:t>
      </w:r>
      <w:r w:rsidRPr="00B36586">
        <w:rPr>
          <w:rFonts w:eastAsia="Times New Roman"/>
          <w:color w:val="000000"/>
          <w:lang w:eastAsia="en-GB"/>
        </w:rPr>
        <w:t>: Long</w:t>
      </w:r>
      <w:r w:rsidR="004B4D9B">
        <w:rPr>
          <w:rFonts w:eastAsia="Times New Roman"/>
          <w:color w:val="000000"/>
          <w:lang w:eastAsia="en-GB"/>
        </w:rPr>
        <w:t xml:space="preserve"> </w:t>
      </w:r>
      <w:r w:rsidRPr="00B36586">
        <w:rPr>
          <w:rFonts w:eastAsia="Times New Roman"/>
          <w:color w:val="000000"/>
          <w:lang w:eastAsia="en-GB"/>
        </w:rPr>
        <w:t xml:space="preserve">reads were </w:t>
      </w:r>
      <w:r w:rsidR="003B7F3F" w:rsidRPr="00B36586">
        <w:rPr>
          <w:rFonts w:eastAsia="Times New Roman"/>
          <w:color w:val="000000"/>
          <w:lang w:eastAsia="en-GB"/>
        </w:rPr>
        <w:t>error-</w:t>
      </w:r>
      <w:r w:rsidRPr="00B36586">
        <w:rPr>
          <w:rFonts w:eastAsia="Times New Roman"/>
          <w:color w:val="000000"/>
          <w:lang w:eastAsia="en-GB"/>
        </w:rPr>
        <w:t>corrected</w:t>
      </w:r>
      <w:r w:rsidR="000960D3" w:rsidRPr="00B36586">
        <w:rPr>
          <w:rFonts w:eastAsia="Times New Roman"/>
          <w:color w:val="000000"/>
          <w:lang w:eastAsia="en-GB"/>
        </w:rPr>
        <w:t xml:space="preserve"> and subsampled (preferentially selecting longest reads) to 30-40x coverage</w:t>
      </w:r>
      <w:r w:rsidRPr="00B36586">
        <w:rPr>
          <w:rFonts w:eastAsia="Times New Roman"/>
          <w:color w:val="000000"/>
          <w:lang w:eastAsia="en-GB"/>
        </w:rPr>
        <w:t xml:space="preserve"> using Canu</w:t>
      </w:r>
      <w:r w:rsidR="001F4D97" w:rsidRPr="00B36586">
        <w:rPr>
          <w:rFonts w:eastAsia="Times New Roman"/>
          <w:color w:val="000000"/>
          <w:lang w:eastAsia="en-GB"/>
        </w:rPr>
        <w:t xml:space="preserve"> (</w:t>
      </w:r>
      <w:r w:rsidRPr="00B36586">
        <w:rPr>
          <w:rFonts w:eastAsia="Times New Roman"/>
          <w:color w:val="000000"/>
          <w:lang w:eastAsia="en-GB"/>
        </w:rPr>
        <w:t>v1.5</w:t>
      </w:r>
      <w:r w:rsidR="005D7304" w:rsidRPr="00B36586">
        <w:rPr>
          <w:rFonts w:eastAsia="Times New Roman"/>
          <w:color w:val="000000"/>
          <w:lang w:eastAsia="en-GB"/>
        </w:rPr>
        <w:t xml:space="preserve">, </w:t>
      </w:r>
      <w:r w:rsidR="005D7304" w:rsidRPr="00B36586">
        <w:rPr>
          <w:rFonts w:eastAsia="Times New Roman"/>
          <w:color w:val="0000FF" w:themeColor="accent4"/>
          <w:sz w:val="20"/>
          <w:szCs w:val="20"/>
          <w:lang w:eastAsia="en-GB"/>
        </w:rPr>
        <w:t>https://github.com/marbl/canu</w:t>
      </w:r>
      <w:r w:rsidR="001F4D97" w:rsidRPr="00B36586">
        <w:rPr>
          <w:rFonts w:eastAsia="Times New Roman"/>
          <w:color w:val="000000"/>
          <w:lang w:eastAsia="en-GB"/>
        </w:rPr>
        <w:t xml:space="preserve">) </w:t>
      </w:r>
      <w:r w:rsidR="00044740" w:rsidRPr="00B36586">
        <w:rPr>
          <w:rFonts w:eastAsia="Times New Roman"/>
          <w:color w:val="000000"/>
          <w:lang w:eastAsia="en-GB"/>
        </w:rPr>
        <w:fldChar w:fldCharType="begin"/>
      </w:r>
      <w:r w:rsidR="008B3DB0" w:rsidRPr="00B36586">
        <w:rPr>
          <w:rFonts w:eastAsia="Times New Roman"/>
          <w:color w:val="000000"/>
          <w:lang w:eastAsia="en-GB"/>
        </w:rPr>
        <w:instrText xml:space="preserve"> ADDIN ZOTERO_ITEM CSL_CITATION {"citationID":"IoajD509","properties":{"formattedCitation":"(7)","plainCitation":"(7)","noteIndex":0},"citationItems":[{"id":482,"uris":["http://zotero.org/users/5334349/items/FQDTTKE9"],"uri":["http://zotero.org/users/5334349/items/FQDTTKE9"],"itemData":{"id":482,"type":"article-journal","title":"Canu: scalable and accurate long-read assembly via adaptive k-mer weighting and repeat separation.","container-title":"Genome Research","page":"722–736","volume":"27","issue":"5","abstract":"Long-read single-molecule sequencing has revolutionized de novo genome assembly and enabled the automated reconstruction of reference-quality genomes. However, given the relatively high error rates of such technologies, efficient and accurate assembly of large repeats and closely related haplotypes remains challenging. We address these issues with Canu, a successor of Celera Assembler that is specifically designed for noisy single-molecule sequences. Canu introduces support for nanopore sequencing, halves depth-of-coverage requirements, and improves assembly continuity while simultaneously reducing runtime by an order of magnitude on large genomes versus Celera Assembler 8.2. These advances result from new overlapping and assembly algorithms, including an adaptive overlapping strategy based on tf-idf weighted MinHash and a sparse assembly graph construction that avoids collapsing diverged repeats and haplotypes. We demonstrate that Canu can reliably assemble complete microbial genomes and near-complete eukaryotic chromosomes using either Pacific Biosciences (PacBio) or Oxford Nanopore technologies and achieves a contig NG50 of \\textgreater21 Mbp on both human and Drosophila melanogaster PacBio data sets. For assembly structures that cannot be linearly represented, Canu provides graph-based assembly outputs in graphical fragment assembly (GFA) format for analysis or integration with complementary phasing and scaffolding techniques. The combination of such highly resolved assembly graphs with long-range scaffolding information promises the complete and automated assembly of complex genomes.","DOI":"10.1101/gr.215087.116","ISSN":"1549-5469","note":"PMID: 28298431","author":[{"family":"Koren","given":"Sergey"},{"family":"Walenz","given":"Brian P"},{"family":"Berlin","given":"Konstantin"},{"family":"Miller","given":"Jason R"},{"family":"Bergman","given":"Nicholas H"},{"family":"Phillippy","given":"Adam M"}],"issued":{"date-parts":[["2017",5]]}}}],"schema":"https://github.com/citation-style-language/schema/raw/master/csl-citation.json"} </w:instrText>
      </w:r>
      <w:r w:rsidR="00044740" w:rsidRPr="00B36586">
        <w:rPr>
          <w:rFonts w:eastAsia="Times New Roman"/>
          <w:color w:val="000000"/>
          <w:lang w:eastAsia="en-GB"/>
        </w:rPr>
        <w:fldChar w:fldCharType="separate"/>
      </w:r>
      <w:r w:rsidR="00401F8C" w:rsidRPr="00B36586">
        <w:rPr>
          <w:rFonts w:eastAsia="Times New Roman"/>
          <w:noProof/>
          <w:color w:val="000000"/>
          <w:lang w:eastAsia="en-GB"/>
        </w:rPr>
        <w:t>(7)</w:t>
      </w:r>
      <w:r w:rsidR="00044740" w:rsidRPr="00B36586">
        <w:rPr>
          <w:rFonts w:eastAsia="Times New Roman"/>
          <w:color w:val="000000"/>
          <w:lang w:eastAsia="en-GB"/>
        </w:rPr>
        <w:fldChar w:fldCharType="end"/>
      </w:r>
      <w:r w:rsidR="00D45ADD" w:rsidRPr="00B36586">
        <w:rPr>
          <w:rFonts w:eastAsia="Times New Roman"/>
          <w:color w:val="000000"/>
          <w:lang w:eastAsia="en-GB"/>
        </w:rPr>
        <w:t xml:space="preserve"> with default options</w:t>
      </w:r>
      <w:r w:rsidRPr="00B36586">
        <w:rPr>
          <w:rFonts w:eastAsia="Times New Roman"/>
          <w:color w:val="000000"/>
          <w:lang w:eastAsia="en-GB"/>
        </w:rPr>
        <w:t>.</w:t>
      </w:r>
    </w:p>
    <w:p w14:paraId="256FE672" w14:textId="68810080" w:rsidR="001A7504" w:rsidRPr="00B36586" w:rsidRDefault="001A7504" w:rsidP="00223FA0">
      <w:pPr>
        <w:pStyle w:val="ListParagraph"/>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ind w:left="714" w:hanging="357"/>
        <w:jc w:val="both"/>
        <w:rPr>
          <w:rFonts w:eastAsia="Times New Roman"/>
          <w:color w:val="000000"/>
          <w:lang w:eastAsia="en-GB"/>
        </w:rPr>
      </w:pPr>
      <w:r w:rsidRPr="00B36586">
        <w:rPr>
          <w:rFonts w:eastAsia="Times New Roman"/>
          <w:b/>
          <w:color w:val="000000"/>
          <w:lang w:eastAsia="en-GB"/>
        </w:rPr>
        <w:t>Filter</w:t>
      </w:r>
      <w:r w:rsidR="003B7F3F" w:rsidRPr="00B36586">
        <w:rPr>
          <w:rFonts w:eastAsia="Times New Roman"/>
          <w:b/>
          <w:color w:val="000000"/>
          <w:lang w:eastAsia="en-GB"/>
        </w:rPr>
        <w:t>e</w:t>
      </w:r>
      <w:r w:rsidRPr="00B36586">
        <w:rPr>
          <w:rFonts w:eastAsia="Times New Roman"/>
          <w:b/>
          <w:color w:val="000000"/>
          <w:lang w:eastAsia="en-GB"/>
        </w:rPr>
        <w:t>d</w:t>
      </w:r>
      <w:r w:rsidRPr="00B36586">
        <w:rPr>
          <w:rFonts w:eastAsia="Times New Roman"/>
          <w:color w:val="000000"/>
          <w:lang w:eastAsia="en-GB"/>
        </w:rPr>
        <w:t xml:space="preserve">: </w:t>
      </w:r>
      <w:r w:rsidR="00CA3005" w:rsidRPr="00B36586">
        <w:rPr>
          <w:rFonts w:eastAsia="Times New Roman"/>
          <w:color w:val="000000"/>
          <w:lang w:eastAsia="en-GB"/>
        </w:rPr>
        <w:t>long</w:t>
      </w:r>
      <w:r w:rsidR="004B4D9B">
        <w:rPr>
          <w:rFonts w:eastAsia="Times New Roman"/>
          <w:color w:val="000000"/>
          <w:lang w:eastAsia="en-GB"/>
        </w:rPr>
        <w:t xml:space="preserve"> </w:t>
      </w:r>
      <w:r w:rsidR="00CA3005" w:rsidRPr="00B36586">
        <w:rPr>
          <w:rFonts w:eastAsia="Times New Roman"/>
          <w:color w:val="000000"/>
          <w:lang w:eastAsia="en-GB"/>
        </w:rPr>
        <w:t xml:space="preserve">reads were filtered using Filtlong (v0.1.1, </w:t>
      </w:r>
      <w:r w:rsidR="00CA3005" w:rsidRPr="00B36586">
        <w:rPr>
          <w:rFonts w:eastAsia="Times New Roman"/>
          <w:color w:val="0000FF" w:themeColor="accent4"/>
          <w:sz w:val="20"/>
          <w:szCs w:val="20"/>
          <w:lang w:eastAsia="en-GB"/>
        </w:rPr>
        <w:t>https://github.com/rrwick/Filtlong</w:t>
      </w:r>
      <w:r w:rsidR="00CA3005" w:rsidRPr="00B36586">
        <w:rPr>
          <w:rFonts w:eastAsia="Times New Roman"/>
          <w:color w:val="000000"/>
          <w:lang w:eastAsia="en-GB"/>
        </w:rPr>
        <w:t xml:space="preserve">) by using Illumina reads as an external reference for read quality and either removing 10% of </w:t>
      </w:r>
      <w:r w:rsidR="003B7F3F" w:rsidRPr="00B36586">
        <w:rPr>
          <w:rFonts w:eastAsia="Times New Roman"/>
          <w:color w:val="000000"/>
          <w:lang w:eastAsia="en-GB"/>
        </w:rPr>
        <w:t xml:space="preserve">the </w:t>
      </w:r>
      <w:r w:rsidR="00CA3005" w:rsidRPr="00B36586">
        <w:rPr>
          <w:rFonts w:eastAsia="Times New Roman"/>
          <w:color w:val="000000"/>
          <w:lang w:eastAsia="en-GB"/>
        </w:rPr>
        <w:t xml:space="preserve">worst reads or </w:t>
      </w:r>
      <w:r w:rsidR="003B7F3F" w:rsidRPr="00B36586">
        <w:rPr>
          <w:rFonts w:eastAsia="Times New Roman"/>
          <w:color w:val="000000"/>
          <w:lang w:eastAsia="en-GB"/>
        </w:rPr>
        <w:t>by retaining</w:t>
      </w:r>
      <w:r w:rsidR="00CA3005" w:rsidRPr="00B36586">
        <w:rPr>
          <w:rFonts w:eastAsia="Times New Roman"/>
          <w:color w:val="000000"/>
          <w:lang w:eastAsia="en-GB"/>
        </w:rPr>
        <w:t xml:space="preserve"> 500</w:t>
      </w:r>
      <w:r w:rsidR="001677DE">
        <w:rPr>
          <w:rFonts w:eastAsia="Times New Roman"/>
          <w:color w:val="000000"/>
          <w:lang w:eastAsia="en-GB"/>
        </w:rPr>
        <w:t xml:space="preserve"> </w:t>
      </w:r>
      <w:r w:rsidR="00CA3005" w:rsidRPr="00B36586">
        <w:rPr>
          <w:rFonts w:eastAsia="Times New Roman"/>
          <w:color w:val="000000"/>
          <w:lang w:eastAsia="en-GB"/>
        </w:rPr>
        <w:t>Mb</w:t>
      </w:r>
      <w:r w:rsidR="009C1465" w:rsidRPr="00B36586">
        <w:rPr>
          <w:rFonts w:eastAsia="Times New Roman"/>
          <w:color w:val="000000"/>
          <w:lang w:eastAsia="en-GB"/>
        </w:rPr>
        <w:t>p</w:t>
      </w:r>
      <w:r w:rsidR="003B7F3F" w:rsidRPr="00B36586">
        <w:rPr>
          <w:rFonts w:eastAsia="Times New Roman"/>
          <w:color w:val="000000"/>
          <w:lang w:eastAsia="en-GB"/>
        </w:rPr>
        <w:t xml:space="preserve"> in total</w:t>
      </w:r>
      <w:r w:rsidR="00CA3005" w:rsidRPr="00B36586">
        <w:rPr>
          <w:rFonts w:eastAsia="Times New Roman"/>
          <w:color w:val="000000"/>
          <w:lang w:eastAsia="en-GB"/>
        </w:rPr>
        <w:t xml:space="preserve">, whichever </w:t>
      </w:r>
      <w:r w:rsidR="00D45ADD" w:rsidRPr="00B36586">
        <w:rPr>
          <w:rFonts w:eastAsia="Times New Roman"/>
          <w:color w:val="000000"/>
          <w:lang w:eastAsia="en-GB"/>
        </w:rPr>
        <w:t>resulted in fewer reads</w:t>
      </w:r>
      <w:r w:rsidR="00CA3005" w:rsidRPr="00B36586">
        <w:rPr>
          <w:rFonts w:eastAsia="Times New Roman"/>
          <w:color w:val="000000"/>
          <w:lang w:eastAsia="en-GB"/>
        </w:rPr>
        <w:t>. We also removed reads shorter than 1kb and used the --trim and --split 250 options.</w:t>
      </w:r>
    </w:p>
    <w:p w14:paraId="2062F9DD" w14:textId="43122E38" w:rsidR="002E4340" w:rsidRDefault="00CA3005" w:rsidP="00223FA0">
      <w:pPr>
        <w:pStyle w:val="ListParagraph"/>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ind w:left="714" w:hanging="357"/>
        <w:jc w:val="both"/>
        <w:rPr>
          <w:rFonts w:eastAsia="Times New Roman"/>
          <w:color w:val="000000"/>
          <w:lang w:eastAsia="en-GB"/>
        </w:rPr>
      </w:pPr>
      <w:r w:rsidRPr="00B36586">
        <w:rPr>
          <w:rFonts w:eastAsia="Times New Roman"/>
          <w:b/>
          <w:color w:val="000000"/>
          <w:lang w:eastAsia="en-GB"/>
        </w:rPr>
        <w:t>Subsampled</w:t>
      </w:r>
      <w:r w:rsidRPr="00B36586">
        <w:rPr>
          <w:rFonts w:eastAsia="Times New Roman"/>
          <w:color w:val="000000"/>
          <w:lang w:eastAsia="en-GB"/>
        </w:rPr>
        <w:t>: we rand</w:t>
      </w:r>
      <w:r w:rsidR="00AD6902" w:rsidRPr="00B36586">
        <w:rPr>
          <w:rFonts w:eastAsia="Times New Roman"/>
          <w:color w:val="000000"/>
          <w:lang w:eastAsia="en-GB"/>
        </w:rPr>
        <w:t>omly subsampled long</w:t>
      </w:r>
      <w:r w:rsidR="004B4D9B">
        <w:rPr>
          <w:rFonts w:eastAsia="Times New Roman"/>
          <w:color w:val="000000"/>
          <w:lang w:eastAsia="en-GB"/>
        </w:rPr>
        <w:t xml:space="preserve"> </w:t>
      </w:r>
      <w:r w:rsidR="00AD6902" w:rsidRPr="00B36586">
        <w:rPr>
          <w:rFonts w:eastAsia="Times New Roman"/>
          <w:color w:val="000000"/>
          <w:lang w:eastAsia="en-GB"/>
        </w:rPr>
        <w:t>reads to leave</w:t>
      </w:r>
      <w:r w:rsidRPr="00B36586">
        <w:rPr>
          <w:rFonts w:eastAsia="Times New Roman"/>
          <w:color w:val="000000"/>
          <w:lang w:eastAsia="en-GB"/>
        </w:rPr>
        <w:t xml:space="preserve"> approximately</w:t>
      </w:r>
      <w:r w:rsidR="00AD6902" w:rsidRPr="00B36586">
        <w:rPr>
          <w:rFonts w:eastAsia="Times New Roman"/>
          <w:color w:val="000000"/>
          <w:lang w:eastAsia="en-GB"/>
        </w:rPr>
        <w:t xml:space="preserve"> 600</w:t>
      </w:r>
      <w:r w:rsidR="001677DE">
        <w:rPr>
          <w:rFonts w:eastAsia="Times New Roman"/>
          <w:color w:val="000000"/>
          <w:lang w:eastAsia="en-GB"/>
        </w:rPr>
        <w:t xml:space="preserve"> </w:t>
      </w:r>
      <w:r w:rsidR="00AD6902" w:rsidRPr="00B36586">
        <w:rPr>
          <w:rFonts w:eastAsia="Times New Roman"/>
          <w:color w:val="000000"/>
          <w:lang w:eastAsia="en-GB"/>
        </w:rPr>
        <w:t>Mb</w:t>
      </w:r>
      <w:r w:rsidR="009C1465" w:rsidRPr="00B36586">
        <w:rPr>
          <w:rFonts w:eastAsia="Times New Roman"/>
          <w:color w:val="000000"/>
          <w:lang w:eastAsia="en-GB"/>
        </w:rPr>
        <w:t>p</w:t>
      </w:r>
      <w:r w:rsidR="00AD6902" w:rsidRPr="00B36586">
        <w:rPr>
          <w:rFonts w:eastAsia="Times New Roman"/>
          <w:color w:val="000000"/>
          <w:lang w:eastAsia="en-GB"/>
        </w:rPr>
        <w:t xml:space="preserve"> (corresponding to a long</w:t>
      </w:r>
      <w:r w:rsidR="0010420F">
        <w:rPr>
          <w:rFonts w:eastAsia="Times New Roman"/>
          <w:color w:val="000000"/>
          <w:lang w:eastAsia="en-GB"/>
        </w:rPr>
        <w:t>-</w:t>
      </w:r>
      <w:r w:rsidR="00AD6902" w:rsidRPr="00B36586">
        <w:rPr>
          <w:rFonts w:eastAsia="Times New Roman"/>
          <w:color w:val="000000"/>
          <w:lang w:eastAsia="en-GB"/>
        </w:rPr>
        <w:t xml:space="preserve">read coverage </w:t>
      </w:r>
      <w:r w:rsidR="00D45ADD" w:rsidRPr="00B36586">
        <w:rPr>
          <w:rFonts w:eastAsia="Times New Roman"/>
          <w:color w:val="000000"/>
          <w:lang w:eastAsia="en-GB"/>
        </w:rPr>
        <w:t xml:space="preserve">around </w:t>
      </w:r>
      <w:r w:rsidR="00AD6902" w:rsidRPr="00B36586">
        <w:rPr>
          <w:rFonts w:eastAsia="Times New Roman"/>
          <w:color w:val="000000"/>
          <w:lang w:eastAsia="en-GB"/>
        </w:rPr>
        <w:t>100x).</w:t>
      </w:r>
    </w:p>
    <w:p w14:paraId="23993EDC" w14:textId="1362E7DD" w:rsidR="002E4340" w:rsidRDefault="001F4D97" w:rsidP="002E4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color w:val="000000"/>
          <w:lang w:eastAsia="en-GB"/>
        </w:rPr>
      </w:pPr>
      <w:r w:rsidRPr="002E4340">
        <w:rPr>
          <w:color w:val="000000"/>
          <w:lang w:eastAsia="en-GB"/>
        </w:rPr>
        <w:t>Hybrid assembly for each of the two long</w:t>
      </w:r>
      <w:r w:rsidR="00E95441" w:rsidRPr="002E4340">
        <w:rPr>
          <w:color w:val="000000"/>
          <w:lang w:eastAsia="en-GB"/>
        </w:rPr>
        <w:t>-</w:t>
      </w:r>
      <w:r w:rsidRPr="002E4340">
        <w:rPr>
          <w:color w:val="000000"/>
          <w:lang w:eastAsia="en-GB"/>
        </w:rPr>
        <w:t xml:space="preserve">read sequencing technologies and for each of the </w:t>
      </w:r>
      <w:r w:rsidR="00E95441" w:rsidRPr="002E4340">
        <w:rPr>
          <w:color w:val="000000"/>
          <w:lang w:eastAsia="en-GB"/>
        </w:rPr>
        <w:t>four</w:t>
      </w:r>
      <w:r w:rsidRPr="002E4340">
        <w:rPr>
          <w:color w:val="000000"/>
          <w:lang w:eastAsia="en-GB"/>
        </w:rPr>
        <w:t xml:space="preserve"> read processing strategies (for a total of 8 hybrid assemblies per </w:t>
      </w:r>
      <w:r w:rsidR="0077198B" w:rsidRPr="002E4340">
        <w:rPr>
          <w:color w:val="000000"/>
          <w:lang w:eastAsia="en-GB"/>
        </w:rPr>
        <w:t>isolate</w:t>
      </w:r>
      <w:r w:rsidRPr="002E4340">
        <w:rPr>
          <w:color w:val="000000"/>
          <w:lang w:eastAsia="en-GB"/>
        </w:rPr>
        <w:t>) was performed using Unicycler (v0.4.</w:t>
      </w:r>
      <w:r w:rsidR="007D043A">
        <w:rPr>
          <w:color w:val="000000"/>
          <w:lang w:eastAsia="en-GB"/>
        </w:rPr>
        <w:t>0</w:t>
      </w:r>
      <w:r w:rsidR="00811EB7">
        <w:rPr>
          <w:color w:val="000000"/>
          <w:lang w:eastAsia="en-GB"/>
        </w:rPr>
        <w:t xml:space="preserve">, </w:t>
      </w:r>
      <w:r w:rsidR="00811EB7" w:rsidRPr="00811EB7">
        <w:rPr>
          <w:color w:val="0000FF" w:themeColor="accent4"/>
          <w:sz w:val="20"/>
          <w:szCs w:val="20"/>
          <w:lang w:eastAsia="en-GB"/>
        </w:rPr>
        <w:t>https://github.com/rrwick/Unicycler</w:t>
      </w:r>
      <w:r w:rsidRPr="002E4340">
        <w:rPr>
          <w:color w:val="000000"/>
          <w:lang w:eastAsia="en-GB"/>
        </w:rPr>
        <w:t xml:space="preserve">) </w:t>
      </w:r>
      <w:r w:rsidR="005D7304" w:rsidRPr="002E4340">
        <w:rPr>
          <w:color w:val="000000"/>
          <w:lang w:eastAsia="en-GB"/>
        </w:rPr>
        <w:fldChar w:fldCharType="begin"/>
      </w:r>
      <w:r w:rsidR="00CB4DEB">
        <w:rPr>
          <w:color w:val="000000"/>
          <w:lang w:eastAsia="en-GB"/>
        </w:rPr>
        <w:instrText xml:space="preserve"> ADDIN ZOTERO_ITEM CSL_CITATION {"citationID":"nAJM7kLz","properties":{"formattedCitation":"(13)","plainCitation":"(13)","noteIndex":0},"citationItems":[{"id":2255,"uris":["http://zotero.org/users/5334349/items/L4EIYQE7"],"uri":["http://zotero.org/users/5334349/items/L4EIYQE7"],"itemData":{"id":2255,"type":"article-journal","title":"Unicycler: Resolving bacterial genome assemblies from short and long sequencing reads","container-title":"PLoS computational biology","page":"e1005595","volume":"13","issue":"6","source":"PubMed","abstract":"The Illumina DNA sequencing platform generates accurate but short reads, which can be used to produce accurate but fragmented genome assemblies. Pacific Biosciences and Oxford Nanopore Technologies DNA sequencing platforms generate long reads that can produce complete genome assemblies, but the sequencing is more expensive and error-prone. There is significant interest in combining data from these complementary sequencing technologies to generate more accurate \"hybrid\" assemblies. However, few tools exist that truly leverage the benefits of both types of data, namely the accuracy of short reads and the structural resolving power of long reads. Here we present Unicycler, a new tool for assembling bacterial genomes from a combination of short and long reads, which produces assemblies that are accurate, complete and cost-effective. Unicycler builds an initial assembly graph from short reads using the de novo assembler SPAdes and then simplifies the graph using information from short and long reads. Unicycler uses a novel semi-global aligner to align long reads to the assembly graph. Tests on both synthetic and real reads show Unicycler can assemble larger contigs with fewer misassemblies than other hybrid assemblers, even when long-read depth and accuracy are low. Unicycler is open source (GPLv3) and available at github.com/rrwick/Unicycler.","DOI":"10.1371/journal.pcbi.1005595","ISSN":"1553-7358","note":"PMID: 28594827\nPMCID: PMC5481147","title-short":"Unicycler","journalAbbreviation":"PLoS Comput. Biol.","language":"eng","author":[{"family":"Wick","given":"Ryan R."},{"family":"Judd","given":"Louise M."},{"family":"Gorrie","given":"Claire L."},{"family":"Holt","given":"Kathryn E."}],"issued":{"date-parts":[["2017",6]]}}}],"schema":"https://github.com/citation-style-language/schema/raw/master/csl-citation.json"} </w:instrText>
      </w:r>
      <w:r w:rsidR="005D7304" w:rsidRPr="002E4340">
        <w:rPr>
          <w:color w:val="000000"/>
          <w:lang w:eastAsia="en-GB"/>
        </w:rPr>
        <w:fldChar w:fldCharType="separate"/>
      </w:r>
      <w:r w:rsidR="00CB4DEB">
        <w:rPr>
          <w:noProof/>
          <w:color w:val="000000"/>
          <w:lang w:eastAsia="en-GB"/>
        </w:rPr>
        <w:t>(13)</w:t>
      </w:r>
      <w:r w:rsidR="005D7304" w:rsidRPr="002E4340">
        <w:rPr>
          <w:color w:val="000000"/>
          <w:lang w:eastAsia="en-GB"/>
        </w:rPr>
        <w:fldChar w:fldCharType="end"/>
      </w:r>
      <w:r w:rsidR="00D45ADD" w:rsidRPr="002E4340">
        <w:rPr>
          <w:color w:val="000000"/>
          <w:lang w:eastAsia="en-GB"/>
        </w:rPr>
        <w:t xml:space="preserve"> with default options</w:t>
      </w:r>
      <w:r w:rsidRPr="002E4340">
        <w:rPr>
          <w:color w:val="000000"/>
          <w:lang w:eastAsia="en-GB"/>
        </w:rPr>
        <w:t>.</w:t>
      </w:r>
    </w:p>
    <w:p w14:paraId="03375ADE" w14:textId="2D85448A" w:rsidR="002E4340" w:rsidRDefault="00CD1E7B" w:rsidP="002E4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color w:val="000000"/>
          <w:lang w:eastAsia="en-GB"/>
        </w:rPr>
      </w:pPr>
      <w:r w:rsidRPr="00B36586">
        <w:rPr>
          <w:color w:val="000000"/>
          <w:lang w:eastAsia="en-GB"/>
        </w:rPr>
        <w:lastRenderedPageBreak/>
        <w:t>We used Bandage</w:t>
      </w:r>
      <w:r w:rsidR="003F21B6" w:rsidRPr="00B36586">
        <w:rPr>
          <w:color w:val="000000"/>
          <w:lang w:eastAsia="en-GB"/>
        </w:rPr>
        <w:t xml:space="preserve"> (v0.8.1</w:t>
      </w:r>
      <w:r w:rsidR="00861892">
        <w:rPr>
          <w:color w:val="000000"/>
          <w:lang w:eastAsia="en-GB"/>
        </w:rPr>
        <w:t xml:space="preserve">, </w:t>
      </w:r>
      <w:r w:rsidR="00861892" w:rsidRPr="00861892">
        <w:rPr>
          <w:color w:val="0000FF" w:themeColor="accent4"/>
          <w:sz w:val="20"/>
          <w:szCs w:val="20"/>
          <w:lang w:eastAsia="en-GB"/>
        </w:rPr>
        <w:t>https://github.com/rrwick/Bandage</w:t>
      </w:r>
      <w:r w:rsidR="003F21B6" w:rsidRPr="00B36586">
        <w:rPr>
          <w:color w:val="000000"/>
          <w:lang w:eastAsia="en-GB"/>
        </w:rPr>
        <w:t>)</w:t>
      </w:r>
      <w:r w:rsidRPr="00B36586">
        <w:rPr>
          <w:color w:val="000000"/>
          <w:lang w:eastAsia="en-GB"/>
        </w:rPr>
        <w:t xml:space="preserve"> </w:t>
      </w:r>
      <w:r w:rsidR="005D7304" w:rsidRPr="00B36586">
        <w:rPr>
          <w:color w:val="000000"/>
          <w:lang w:eastAsia="en-GB"/>
        </w:rPr>
        <w:fldChar w:fldCharType="begin"/>
      </w:r>
      <w:r w:rsidR="005974A4">
        <w:rPr>
          <w:color w:val="000000"/>
          <w:lang w:eastAsia="en-GB"/>
        </w:rPr>
        <w:instrText xml:space="preserve"> ADDIN ZOTERO_ITEM CSL_CITATION {"citationID":"UwwuFCL4","properties":{"formattedCitation":"(22)","plainCitation":"(22)","noteIndex":0},"citationItems":[{"id":2269,"uris":["http://zotero.org/users/5334349/items/LV22WAPD"],"uri":["http://zotero.org/users/5334349/items/LV22WAPD"],"itemData":{"id":2269,"type":"article-journal","title":"Bandage: interactive visualization of de novo genome assemblies","container-title":"Bioinformatics (Oxford, England)","page":"3350-3352","volume":"31","issue":"20","source":"PubMed","abstract":"Although de novo assembly graphs contain assembled contigs (nodes), the connections between those contigs (edges) are difficult for users to access. Bandage (a Bioinformatics Application for Navigating De novo Assembly Graphs Easily) is a tool for visualizing assembly graphs with connections. Users can zoom in to specific areas of the graph and interact with it by moving nodes, adding labels, changing colors and extracting sequences. BLAST searches can be performed within the Bandage graphical user interface and the hits are displayed as highlights in the graph. By displaying connections between contigs, Bandage presents new possibilities for analyzing de novo assemblies that are not possible through investigation of contigs alone.\nAVAILABILITY AND IMPLEMENTATION: Source code and binaries are freely available at https://github.com/rrwick/Bandage. Bandage is implemented in C++ and supported on Linux, OS X and Windows. A full feature list and screenshots are available at http://rrwick.github.io/Bandage.\nCONTACT: rrwick@gmail.com\nSUPPLEMENTARY INFORMATION: Supplementary data are available at Bioinformatics online.","DOI":"10.1093/bioinformatics/btv383","ISSN":"1367-4811","note":"PMID: 26099265\nPMCID: PMC4595904","title-short":"Bandage","journalAbbreviation":"Bioinformatics","language":"eng","author":[{"family":"Wick","given":"Ryan R."},{"family":"Schultz","given":"Mark B."},{"family":"Zobel","given":"Justin"},{"family":"Holt","given":"Kathryn E."}],"issued":{"date-parts":[["2015",10,15]]}}}],"schema":"https://github.com/citation-style-language/schema/raw/master/csl-citation.json"} </w:instrText>
      </w:r>
      <w:r w:rsidR="005D7304" w:rsidRPr="00B36586">
        <w:rPr>
          <w:color w:val="000000"/>
          <w:lang w:eastAsia="en-GB"/>
        </w:rPr>
        <w:fldChar w:fldCharType="separate"/>
      </w:r>
      <w:r w:rsidR="005974A4">
        <w:rPr>
          <w:noProof/>
          <w:color w:val="000000"/>
          <w:lang w:eastAsia="en-GB"/>
        </w:rPr>
        <w:t>(22)</w:t>
      </w:r>
      <w:r w:rsidR="005D7304" w:rsidRPr="00B36586">
        <w:rPr>
          <w:color w:val="000000"/>
          <w:lang w:eastAsia="en-GB"/>
        </w:rPr>
        <w:fldChar w:fldCharType="end"/>
      </w:r>
      <w:r w:rsidRPr="00B36586">
        <w:rPr>
          <w:color w:val="000000"/>
          <w:lang w:eastAsia="en-GB"/>
        </w:rPr>
        <w:t xml:space="preserve"> to visualize </w:t>
      </w:r>
      <w:r w:rsidR="00345734" w:rsidRPr="00B36586">
        <w:rPr>
          <w:color w:val="000000"/>
          <w:lang w:eastAsia="en-GB"/>
        </w:rPr>
        <w:t>assemblies</w:t>
      </w:r>
      <w:r w:rsidR="004A527E" w:rsidRPr="00B36586">
        <w:rPr>
          <w:color w:val="000000"/>
          <w:lang w:eastAsia="en-GB"/>
        </w:rPr>
        <w:t>, and the Interactive Genome Viewer (</w:t>
      </w:r>
      <w:r w:rsidR="00F166CC">
        <w:rPr>
          <w:color w:val="000000"/>
          <w:lang w:eastAsia="en-GB"/>
        </w:rPr>
        <w:t xml:space="preserve">IGV, </w:t>
      </w:r>
      <w:r w:rsidR="00946BA1" w:rsidRPr="00B36586">
        <w:rPr>
          <w:color w:val="000000"/>
          <w:lang w:eastAsia="en-GB"/>
        </w:rPr>
        <w:t>v2.4.3</w:t>
      </w:r>
      <w:r w:rsidR="00A704F6">
        <w:rPr>
          <w:color w:val="000000"/>
          <w:lang w:eastAsia="en-GB"/>
        </w:rPr>
        <w:t xml:space="preserve">, </w:t>
      </w:r>
      <w:r w:rsidR="00A704F6" w:rsidRPr="00A704F6">
        <w:rPr>
          <w:color w:val="0000FF" w:themeColor="accent4"/>
          <w:sz w:val="20"/>
          <w:szCs w:val="20"/>
          <w:lang w:eastAsia="en-GB"/>
        </w:rPr>
        <w:t>http://software.broadinstitute.org/software/igv</w:t>
      </w:r>
      <w:r w:rsidR="004A527E" w:rsidRPr="00B36586">
        <w:rPr>
          <w:color w:val="000000"/>
          <w:lang w:eastAsia="en-GB"/>
        </w:rPr>
        <w:t xml:space="preserve">) </w:t>
      </w:r>
      <w:r w:rsidR="005D7304" w:rsidRPr="00B36586">
        <w:rPr>
          <w:color w:val="000000"/>
          <w:lang w:eastAsia="en-GB"/>
        </w:rPr>
        <w:fldChar w:fldCharType="begin"/>
      </w:r>
      <w:r w:rsidR="005974A4">
        <w:rPr>
          <w:color w:val="000000"/>
          <w:lang w:eastAsia="en-GB"/>
        </w:rPr>
        <w:instrText xml:space="preserve"> ADDIN ZOTERO_ITEM CSL_CITATION {"citationID":"bHKgoLtg","properties":{"formattedCitation":"(23)","plainCitation":"(23)","noteIndex":0},"citationItems":[{"id":95,"uris":["http://zotero.org/users/5334349/items/8B9BN9MB"],"uri":["http://zotero.org/users/5334349/items/8B9BN9MB"],"itemData":{"id":95,"type":"article-journal","title":"Integrative Genomics Viewer (IGV): high-performance genomics data visualization and exploration","container-title":"Briefings in Bioinformatics","page":"178–192","volume":"14","issue":"2","DOI":"10.1093/bib/bbs017","ISSN":"1467-5463","author":[{"family":"Thorvaldsdottir","given":"H."},{"family":"Robinson","given":"J. T."},{"family":"Mesirov","given":"J. P."}],"issued":{"date-parts":[["2013",3]]}}}],"schema":"https://github.com/citation-style-language/schema/raw/master/csl-citation.json"} </w:instrText>
      </w:r>
      <w:r w:rsidR="005D7304" w:rsidRPr="00B36586">
        <w:rPr>
          <w:color w:val="000000"/>
          <w:lang w:eastAsia="en-GB"/>
        </w:rPr>
        <w:fldChar w:fldCharType="separate"/>
      </w:r>
      <w:r w:rsidR="005974A4">
        <w:rPr>
          <w:noProof/>
          <w:color w:val="000000"/>
          <w:lang w:eastAsia="en-GB"/>
        </w:rPr>
        <w:t>(23)</w:t>
      </w:r>
      <w:r w:rsidR="005D7304" w:rsidRPr="00B36586">
        <w:rPr>
          <w:color w:val="000000"/>
          <w:lang w:eastAsia="en-GB"/>
        </w:rPr>
        <w:fldChar w:fldCharType="end"/>
      </w:r>
      <w:r w:rsidR="004A527E" w:rsidRPr="00B36586">
        <w:rPr>
          <w:color w:val="000000"/>
          <w:lang w:eastAsia="en-GB"/>
        </w:rPr>
        <w:t xml:space="preserve"> to visualize discrepancies in assemblies produced by the different methods.</w:t>
      </w:r>
    </w:p>
    <w:p w14:paraId="32CF6EE6" w14:textId="32FD1DDE" w:rsidR="002E4340" w:rsidRDefault="007A7B84" w:rsidP="002E4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color w:val="000000"/>
          <w:lang w:eastAsia="en-GB"/>
        </w:rPr>
      </w:pPr>
      <w:r w:rsidRPr="00B36586">
        <w:rPr>
          <w:color w:val="000000"/>
          <w:lang w:eastAsia="en-GB"/>
        </w:rPr>
        <w:t xml:space="preserve">To simulate the effect </w:t>
      </w:r>
      <w:r w:rsidR="00C636CF" w:rsidRPr="00B36586">
        <w:rPr>
          <w:color w:val="000000"/>
          <w:lang w:eastAsia="en-GB"/>
        </w:rPr>
        <w:t xml:space="preserve">of additional </w:t>
      </w:r>
      <w:r w:rsidRPr="00B36586">
        <w:rPr>
          <w:color w:val="000000"/>
          <w:lang w:eastAsia="en-GB"/>
        </w:rPr>
        <w:t>multiplexing on ONT</w:t>
      </w:r>
      <w:r w:rsidR="00205E4D" w:rsidRPr="00B36586">
        <w:rPr>
          <w:color w:val="000000"/>
          <w:lang w:eastAsia="en-GB"/>
        </w:rPr>
        <w:t xml:space="preserve"> data and assembly</w:t>
      </w:r>
      <w:r w:rsidR="00C636CF" w:rsidRPr="00B36586">
        <w:rPr>
          <w:color w:val="000000"/>
          <w:lang w:eastAsia="en-GB"/>
        </w:rPr>
        <w:t xml:space="preserve"> (with current kits allowing for up to 12 isolates to be indexed)</w:t>
      </w:r>
      <w:r w:rsidR="00205E4D" w:rsidRPr="00B36586">
        <w:rPr>
          <w:color w:val="000000"/>
          <w:lang w:eastAsia="en-GB"/>
        </w:rPr>
        <w:t xml:space="preserve">, we randomly subsampled half or one third of the ONT reads from each </w:t>
      </w:r>
      <w:r w:rsidR="008C771A" w:rsidRPr="00B36586">
        <w:rPr>
          <w:color w:val="000000"/>
          <w:lang w:eastAsia="en-GB"/>
        </w:rPr>
        <w:t>isolate</w:t>
      </w:r>
      <w:r w:rsidR="00205E4D" w:rsidRPr="00B36586">
        <w:rPr>
          <w:color w:val="000000"/>
          <w:lang w:eastAsia="en-GB"/>
        </w:rPr>
        <w:t xml:space="preserve"> and repeated the assembly as in the </w:t>
      </w:r>
      <w:r w:rsidR="00CC59C4" w:rsidRPr="00B36586">
        <w:rPr>
          <w:color w:val="000000"/>
          <w:lang w:eastAsia="en-GB"/>
        </w:rPr>
        <w:t>“</w:t>
      </w:r>
      <w:r w:rsidR="00205E4D" w:rsidRPr="00B36586">
        <w:rPr>
          <w:color w:val="000000"/>
          <w:lang w:eastAsia="en-GB"/>
        </w:rPr>
        <w:t>Basic</w:t>
      </w:r>
      <w:r w:rsidR="00CC59C4" w:rsidRPr="00B36586">
        <w:rPr>
          <w:color w:val="000000"/>
          <w:lang w:eastAsia="en-GB"/>
        </w:rPr>
        <w:t>”</w:t>
      </w:r>
      <w:r w:rsidR="00205E4D" w:rsidRPr="00B36586">
        <w:rPr>
          <w:color w:val="000000"/>
          <w:lang w:eastAsia="en-GB"/>
        </w:rPr>
        <w:t xml:space="preserve"> strategy above.</w:t>
      </w:r>
      <w:r w:rsidR="0014122E">
        <w:rPr>
          <w:color w:val="000000"/>
          <w:lang w:eastAsia="en-GB"/>
        </w:rPr>
        <w:t xml:space="preserve"> We also </w:t>
      </w:r>
      <w:r w:rsidR="00DE50AC">
        <w:rPr>
          <w:color w:val="000000"/>
          <w:lang w:eastAsia="en-GB"/>
        </w:rPr>
        <w:t>subsampled down to a coverage of ~10X for each isolate (</w:t>
      </w:r>
      <w:r w:rsidR="00F02436">
        <w:rPr>
          <w:color w:val="000000"/>
          <w:lang w:eastAsia="en-GB"/>
        </w:rPr>
        <w:t xml:space="preserve">based on the </w:t>
      </w:r>
      <w:r w:rsidR="00E93F09">
        <w:rPr>
          <w:color w:val="000000"/>
          <w:lang w:eastAsia="en-GB"/>
        </w:rPr>
        <w:t xml:space="preserve">genome </w:t>
      </w:r>
      <w:r w:rsidR="00F02436">
        <w:rPr>
          <w:color w:val="000000"/>
          <w:lang w:eastAsia="en-GB"/>
        </w:rPr>
        <w:t>size</w:t>
      </w:r>
      <w:r w:rsidR="00E93F09">
        <w:rPr>
          <w:color w:val="000000"/>
          <w:lang w:eastAsia="en-GB"/>
        </w:rPr>
        <w:t xml:space="preserve"> from previous assemblies</w:t>
      </w:r>
      <w:r w:rsidR="00F02436">
        <w:rPr>
          <w:color w:val="000000"/>
          <w:lang w:eastAsia="en-GB"/>
        </w:rPr>
        <w:t xml:space="preserve">, </w:t>
      </w:r>
      <w:r w:rsidR="00DE50AC">
        <w:rPr>
          <w:color w:val="000000"/>
          <w:lang w:eastAsia="en-GB"/>
        </w:rPr>
        <w:t>corresponding to ~5% of the long</w:t>
      </w:r>
      <w:r w:rsidR="0033703B">
        <w:rPr>
          <w:color w:val="000000"/>
          <w:lang w:eastAsia="en-GB"/>
        </w:rPr>
        <w:t xml:space="preserve"> </w:t>
      </w:r>
      <w:r w:rsidR="00DE50AC">
        <w:rPr>
          <w:color w:val="000000"/>
          <w:lang w:eastAsia="en-GB"/>
        </w:rPr>
        <w:t>reads for each isolate)</w:t>
      </w:r>
      <w:r w:rsidR="00DA08A4">
        <w:rPr>
          <w:color w:val="000000"/>
          <w:lang w:eastAsia="en-GB"/>
        </w:rPr>
        <w:t xml:space="preserve"> and repeated the assembly.</w:t>
      </w:r>
    </w:p>
    <w:p w14:paraId="7C1DEDDE" w14:textId="5852D936" w:rsidR="00964D4E" w:rsidRDefault="00964D4E" w:rsidP="002E4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color w:val="000000"/>
          <w:lang w:eastAsia="en-GB"/>
        </w:rPr>
      </w:pPr>
      <w:r w:rsidRPr="00B36586">
        <w:rPr>
          <w:color w:val="000000"/>
          <w:lang w:eastAsia="en-GB"/>
        </w:rPr>
        <w:t xml:space="preserve">Assemblies completed in all cases, apart from two </w:t>
      </w:r>
      <w:r>
        <w:rPr>
          <w:color w:val="000000"/>
          <w:lang w:eastAsia="en-GB"/>
        </w:rPr>
        <w:t xml:space="preserve">which were </w:t>
      </w:r>
      <w:r w:rsidRPr="00B36586">
        <w:rPr>
          <w:color w:val="000000"/>
          <w:lang w:eastAsia="en-GB"/>
        </w:rPr>
        <w:t>both ONT+Illumina hybrids: MGH78578 reference strain</w:t>
      </w:r>
      <w:r>
        <w:rPr>
          <w:color w:val="000000"/>
          <w:lang w:eastAsia="en-GB"/>
        </w:rPr>
        <w:t xml:space="preserve"> (</w:t>
      </w:r>
      <w:r w:rsidRPr="00B36586">
        <w:rPr>
          <w:color w:val="000000"/>
          <w:lang w:eastAsia="en-GB"/>
        </w:rPr>
        <w:t>filtered</w:t>
      </w:r>
      <w:r>
        <w:rPr>
          <w:color w:val="000000"/>
          <w:lang w:eastAsia="en-GB"/>
        </w:rPr>
        <w:t xml:space="preserve"> strategy) and</w:t>
      </w:r>
      <w:r w:rsidRPr="00B36586">
        <w:rPr>
          <w:color w:val="000000"/>
          <w:lang w:eastAsia="en-GB"/>
        </w:rPr>
        <w:t xml:space="preserve"> RBHSTW-00123</w:t>
      </w:r>
      <w:r>
        <w:rPr>
          <w:color w:val="000000"/>
          <w:lang w:eastAsia="en-GB"/>
        </w:rPr>
        <w:t xml:space="preserve"> (</w:t>
      </w:r>
      <w:r w:rsidRPr="00B36586">
        <w:rPr>
          <w:color w:val="000000"/>
          <w:lang w:eastAsia="en-GB"/>
        </w:rPr>
        <w:t>corrected</w:t>
      </w:r>
      <w:r>
        <w:rPr>
          <w:color w:val="000000"/>
          <w:lang w:eastAsia="en-GB"/>
        </w:rPr>
        <w:t xml:space="preserve"> strategy).</w:t>
      </w:r>
      <w:r w:rsidR="00DB656C">
        <w:rPr>
          <w:color w:val="000000"/>
          <w:lang w:eastAsia="en-GB"/>
        </w:rPr>
        <w:t xml:space="preserve"> Runtimes range</w:t>
      </w:r>
      <w:r w:rsidR="00D00201">
        <w:rPr>
          <w:color w:val="000000"/>
          <w:lang w:eastAsia="en-GB"/>
        </w:rPr>
        <w:t>d</w:t>
      </w:r>
      <w:r w:rsidR="00DB656C">
        <w:rPr>
          <w:color w:val="000000"/>
          <w:lang w:eastAsia="en-GB"/>
        </w:rPr>
        <w:t xml:space="preserve"> from 26-130 hours for Unicycler</w:t>
      </w:r>
      <w:r w:rsidR="00E64E64">
        <w:rPr>
          <w:color w:val="000000"/>
          <w:lang w:eastAsia="en-GB"/>
        </w:rPr>
        <w:t xml:space="preserve"> on the full data</w:t>
      </w:r>
      <w:r w:rsidR="008055D3">
        <w:rPr>
          <w:color w:val="000000"/>
          <w:lang w:eastAsia="en-GB"/>
        </w:rPr>
        <w:t xml:space="preserve"> with </w:t>
      </w:r>
      <w:r w:rsidR="00FE1165">
        <w:rPr>
          <w:color w:val="000000"/>
          <w:lang w:eastAsia="en-GB"/>
        </w:rPr>
        <w:t xml:space="preserve">4 cores and </w:t>
      </w:r>
      <w:r w:rsidR="008055D3">
        <w:rPr>
          <w:color w:val="000000"/>
          <w:lang w:eastAsia="en-GB"/>
        </w:rPr>
        <w:t>no downsampling</w:t>
      </w:r>
      <w:r w:rsidR="00EC15A3">
        <w:rPr>
          <w:color w:val="000000"/>
          <w:lang w:eastAsia="en-GB"/>
        </w:rPr>
        <w:t>, to</w:t>
      </w:r>
      <w:r w:rsidR="002C74B4">
        <w:rPr>
          <w:color w:val="000000"/>
          <w:lang w:eastAsia="en-GB"/>
        </w:rPr>
        <w:t xml:space="preserve"> approximately 2 hours </w:t>
      </w:r>
      <w:r w:rsidR="00EC15A3">
        <w:rPr>
          <w:color w:val="000000"/>
          <w:lang w:eastAsia="en-GB"/>
        </w:rPr>
        <w:t xml:space="preserve">for the </w:t>
      </w:r>
      <w:r w:rsidR="00FD2578">
        <w:rPr>
          <w:color w:val="000000"/>
          <w:lang w:eastAsia="en-GB"/>
        </w:rPr>
        <w:t xml:space="preserve">~10X coverage </w:t>
      </w:r>
      <w:r w:rsidR="00DD5828">
        <w:rPr>
          <w:color w:val="000000"/>
          <w:lang w:eastAsia="en-GB"/>
        </w:rPr>
        <w:t>data</w:t>
      </w:r>
      <w:r w:rsidR="003500BF">
        <w:rPr>
          <w:color w:val="000000"/>
          <w:lang w:eastAsia="en-GB"/>
        </w:rPr>
        <w:t xml:space="preserve"> </w:t>
      </w:r>
      <w:r w:rsidR="002C74B4">
        <w:rPr>
          <w:color w:val="000000"/>
          <w:lang w:eastAsia="en-GB"/>
        </w:rPr>
        <w:t>(range: 1</w:t>
      </w:r>
      <w:r w:rsidR="00EC15A3">
        <w:rPr>
          <w:color w:val="000000"/>
          <w:lang w:eastAsia="en-GB"/>
        </w:rPr>
        <w:t>.5-3 hours</w:t>
      </w:r>
      <w:r w:rsidR="002C74B4">
        <w:rPr>
          <w:color w:val="000000"/>
          <w:lang w:eastAsia="en-GB"/>
        </w:rPr>
        <w:t xml:space="preserve">). </w:t>
      </w:r>
    </w:p>
    <w:p w14:paraId="57FC89C8" w14:textId="6199E966" w:rsidR="003A2149" w:rsidRDefault="003A2149" w:rsidP="003A21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b/>
          <w:color w:val="008461" w:themeColor="accent3"/>
          <w:sz w:val="28"/>
          <w:szCs w:val="28"/>
        </w:rPr>
      </w:pPr>
      <w:r>
        <w:rPr>
          <w:b/>
          <w:color w:val="008461" w:themeColor="accent3"/>
          <w:sz w:val="28"/>
          <w:szCs w:val="28"/>
        </w:rPr>
        <w:t>Long-read only assembly</w:t>
      </w:r>
    </w:p>
    <w:p w14:paraId="630C9728" w14:textId="448EDD4B" w:rsidR="003A2149" w:rsidRDefault="00110AD2" w:rsidP="002E4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color w:val="000000"/>
          <w:lang w:eastAsia="en-GB"/>
        </w:rPr>
      </w:pPr>
      <w:r>
        <w:rPr>
          <w:color w:val="000000"/>
          <w:lang w:eastAsia="en-GB"/>
        </w:rPr>
        <w:t>A</w:t>
      </w:r>
      <w:r w:rsidR="00CD68AC">
        <w:rPr>
          <w:color w:val="000000"/>
          <w:lang w:eastAsia="en-GB"/>
        </w:rPr>
        <w:t xml:space="preserve">n alternative </w:t>
      </w:r>
      <w:r>
        <w:rPr>
          <w:color w:val="000000"/>
          <w:lang w:eastAsia="en-GB"/>
        </w:rPr>
        <w:t xml:space="preserve">method </w:t>
      </w:r>
      <w:r w:rsidR="00CD68AC">
        <w:rPr>
          <w:color w:val="000000"/>
          <w:lang w:eastAsia="en-GB"/>
        </w:rPr>
        <w:t xml:space="preserve">to </w:t>
      </w:r>
      <w:r>
        <w:rPr>
          <w:color w:val="000000"/>
          <w:lang w:eastAsia="en-GB"/>
        </w:rPr>
        <w:t xml:space="preserve">hybrid assembly is </w:t>
      </w:r>
      <w:r w:rsidR="007E0AD8">
        <w:rPr>
          <w:color w:val="000000"/>
          <w:lang w:eastAsia="en-GB"/>
        </w:rPr>
        <w:t>long-read only assembly, followed by polishing of the genome with short</w:t>
      </w:r>
      <w:r w:rsidR="000A3B17">
        <w:rPr>
          <w:color w:val="000000"/>
          <w:lang w:eastAsia="en-GB"/>
        </w:rPr>
        <w:t xml:space="preserve"> </w:t>
      </w:r>
      <w:r w:rsidR="007E0AD8">
        <w:rPr>
          <w:color w:val="000000"/>
          <w:lang w:eastAsia="en-GB"/>
        </w:rPr>
        <w:t xml:space="preserve">reads to improve </w:t>
      </w:r>
      <w:r w:rsidR="00327892">
        <w:rPr>
          <w:color w:val="000000"/>
          <w:lang w:eastAsia="en-GB"/>
        </w:rPr>
        <w:t xml:space="preserve">sequence quality. </w:t>
      </w:r>
      <w:r w:rsidR="0020387E">
        <w:rPr>
          <w:color w:val="000000"/>
          <w:lang w:eastAsia="en-GB"/>
        </w:rPr>
        <w:t xml:space="preserve">We therefore sought to demonstrate that hybrid assembly produced consistent results with this method. </w:t>
      </w:r>
      <w:r w:rsidR="005D653A">
        <w:rPr>
          <w:color w:val="000000"/>
          <w:lang w:eastAsia="en-GB"/>
        </w:rPr>
        <w:t xml:space="preserve">While platform-specific software exists, we </w:t>
      </w:r>
      <w:r w:rsidR="004F5CEC">
        <w:rPr>
          <w:color w:val="000000"/>
          <w:lang w:eastAsia="en-GB"/>
        </w:rPr>
        <w:t>restricted our choice to open-source platform-agnostic software</w:t>
      </w:r>
      <w:r w:rsidR="00F15622">
        <w:rPr>
          <w:color w:val="000000"/>
          <w:lang w:eastAsia="en-GB"/>
        </w:rPr>
        <w:t xml:space="preserve"> </w:t>
      </w:r>
      <w:r w:rsidR="00A11B62">
        <w:rPr>
          <w:color w:val="000000"/>
          <w:lang w:eastAsia="en-GB"/>
        </w:rPr>
        <w:t>optimised</w:t>
      </w:r>
      <w:r w:rsidR="00F15622">
        <w:rPr>
          <w:color w:val="000000"/>
          <w:lang w:eastAsia="en-GB"/>
        </w:rPr>
        <w:t xml:space="preserve"> </w:t>
      </w:r>
      <w:r w:rsidR="00A11B62">
        <w:rPr>
          <w:color w:val="000000"/>
          <w:lang w:eastAsia="en-GB"/>
        </w:rPr>
        <w:t xml:space="preserve">for </w:t>
      </w:r>
      <w:r w:rsidR="00F15622">
        <w:rPr>
          <w:color w:val="000000"/>
          <w:lang w:eastAsia="en-GB"/>
        </w:rPr>
        <w:t>plasmid assembly</w:t>
      </w:r>
      <w:r w:rsidR="000B4F62">
        <w:rPr>
          <w:color w:val="000000"/>
          <w:lang w:eastAsia="en-GB"/>
        </w:rPr>
        <w:t>. On the basis of a benchmarking study of long-read assemblers including simulation and five samples from this dataset</w:t>
      </w:r>
      <w:r w:rsidR="00EA2CA2">
        <w:rPr>
          <w:color w:val="000000"/>
          <w:lang w:eastAsia="en-GB"/>
        </w:rPr>
        <w:t xml:space="preserve"> </w:t>
      </w:r>
      <w:r w:rsidR="00EA2CA2">
        <w:rPr>
          <w:color w:val="000000"/>
          <w:lang w:eastAsia="en-GB"/>
        </w:rPr>
        <w:fldChar w:fldCharType="begin"/>
      </w:r>
      <w:r w:rsidR="00AA21AF">
        <w:rPr>
          <w:color w:val="000000"/>
          <w:lang w:eastAsia="en-GB"/>
        </w:rPr>
        <w:instrText xml:space="preserve"> ADDIN ZOTERO_ITEM CSL_CITATION {"citationID":"VZxtVSsR","properties":{"formattedCitation":"(24)","plainCitation":"(24)","noteIndex":0},"citationItems":[{"id":3073,"uris":["http://zotero.org/users/5334349/items/GUFJXZYV"],"uri":["http://zotero.org/users/5334349/items/GUFJXZYV"],"itemData":{"id":3073,"type":"webpage","title":"Benchmarking of long-read assembly tools for bacterial whole genomes","URL":"https://github.com/rrwick/Long-read-assembler-comparison","note":"original-date: 2019-05-10T07:03:32Z","title-short":"Benchmarking of long-read assembly tools for bacterial whole genomes","author":[{"family":"Wick","given":"Ryan"},{"family":"Holt","given":"Kathryn"}],"issued":{"date-parts":[["2019",7,5]]},"accessed":{"date-parts":[["2019",7,10]]}}}],"schema":"https://github.com/citation-style-language/schema/raw/master/csl-citation.json"} </w:instrText>
      </w:r>
      <w:r w:rsidR="00EA2CA2">
        <w:rPr>
          <w:color w:val="000000"/>
          <w:lang w:eastAsia="en-GB"/>
        </w:rPr>
        <w:fldChar w:fldCharType="separate"/>
      </w:r>
      <w:r w:rsidR="00EA2CA2">
        <w:rPr>
          <w:noProof/>
          <w:color w:val="000000"/>
          <w:lang w:eastAsia="en-GB"/>
        </w:rPr>
        <w:t>(24)</w:t>
      </w:r>
      <w:r w:rsidR="00EA2CA2">
        <w:rPr>
          <w:color w:val="000000"/>
          <w:lang w:eastAsia="en-GB"/>
        </w:rPr>
        <w:fldChar w:fldCharType="end"/>
      </w:r>
      <w:r w:rsidR="000B4F62">
        <w:rPr>
          <w:color w:val="000000"/>
          <w:lang w:eastAsia="en-GB"/>
        </w:rPr>
        <w:t xml:space="preserve">, </w:t>
      </w:r>
      <w:r w:rsidR="009B338C">
        <w:rPr>
          <w:color w:val="000000"/>
          <w:lang w:eastAsia="en-GB"/>
        </w:rPr>
        <w:t>w</w:t>
      </w:r>
      <w:r w:rsidR="00694A59">
        <w:rPr>
          <w:color w:val="000000"/>
          <w:lang w:eastAsia="en-GB"/>
        </w:rPr>
        <w:t xml:space="preserve">e used </w:t>
      </w:r>
      <w:r w:rsidR="004E30F1">
        <w:rPr>
          <w:color w:val="000000"/>
          <w:lang w:eastAsia="en-GB"/>
        </w:rPr>
        <w:t>Flye (v2.4.2-release</w:t>
      </w:r>
      <w:r w:rsidR="005C23BC">
        <w:rPr>
          <w:color w:val="000000"/>
          <w:lang w:eastAsia="en-GB"/>
        </w:rPr>
        <w:t xml:space="preserve">, </w:t>
      </w:r>
      <w:r w:rsidR="005C23BC" w:rsidRPr="00F57E78">
        <w:rPr>
          <w:color w:val="0000FF" w:themeColor="accent4"/>
          <w:sz w:val="20"/>
          <w:szCs w:val="20"/>
          <w:lang w:eastAsia="en-GB"/>
        </w:rPr>
        <w:t>https://github.com/fenderglass/Flye</w:t>
      </w:r>
      <w:r w:rsidR="004E30F1">
        <w:rPr>
          <w:color w:val="000000"/>
          <w:lang w:eastAsia="en-GB"/>
        </w:rPr>
        <w:t xml:space="preserve">) </w:t>
      </w:r>
      <w:r w:rsidR="00F62368">
        <w:rPr>
          <w:color w:val="000000"/>
          <w:lang w:eastAsia="en-GB"/>
        </w:rPr>
        <w:fldChar w:fldCharType="begin"/>
      </w:r>
      <w:r w:rsidR="00F62368">
        <w:rPr>
          <w:color w:val="000000"/>
          <w:lang w:eastAsia="en-GB"/>
        </w:rPr>
        <w:instrText xml:space="preserve"> ADDIN ZOTERO_ITEM CSL_CITATION {"citationID":"RXNKLbtw","properties":{"formattedCitation":"(25)","plainCitation":"(25)","noteIndex":0},"citationItems":[{"id":3083,"uris":["http://zotero.org/users/5334349/items/KHB56CV9"],"uri":["http://zotero.org/users/5334349/items/KHB56CV9"],"itemData":{"id":3083,"type":"article-journal","title":"Assembly of long, error-prone reads using repeat graphs","container-title":"Nature Biotechnology","page":"540","volume":"37","issue":"5","source":"www.nature.com","abstract":"Flye improves the speed and accuracy of genome assembly by using repeat graphs to resolve repeat regions.","DOI":"10.1038/s41587-019-0072-8","ISSN":"1546-1696","language":"En","author":[{"family":"Kolmogorov","given":"Mikhail"},{"family":"Yuan","given":"Jeffrey"},{"family":"Lin","given":"Yu"},{"family":"Pevzner","given":"Pavel A."}],"issued":{"date-parts":[["2019",5]]}}}],"schema":"https://github.com/citation-style-language/schema/raw/master/csl-citation.json"} </w:instrText>
      </w:r>
      <w:r w:rsidR="00F62368">
        <w:rPr>
          <w:color w:val="000000"/>
          <w:lang w:eastAsia="en-GB"/>
        </w:rPr>
        <w:fldChar w:fldCharType="separate"/>
      </w:r>
      <w:r w:rsidR="00F62368">
        <w:rPr>
          <w:noProof/>
          <w:color w:val="000000"/>
          <w:lang w:eastAsia="en-GB"/>
        </w:rPr>
        <w:t>(25)</w:t>
      </w:r>
      <w:r w:rsidR="00F62368">
        <w:rPr>
          <w:color w:val="000000"/>
          <w:lang w:eastAsia="en-GB"/>
        </w:rPr>
        <w:fldChar w:fldCharType="end"/>
      </w:r>
      <w:r w:rsidR="00F62368">
        <w:rPr>
          <w:color w:val="000000"/>
          <w:lang w:eastAsia="en-GB"/>
        </w:rPr>
        <w:t xml:space="preserve"> </w:t>
      </w:r>
      <w:r w:rsidR="004E30F1">
        <w:rPr>
          <w:color w:val="000000"/>
          <w:lang w:eastAsia="en-GB"/>
        </w:rPr>
        <w:t>followed by polishing using Illumina reads with Pilon</w:t>
      </w:r>
      <w:r w:rsidR="00AA21AF">
        <w:rPr>
          <w:color w:val="000000"/>
          <w:lang w:eastAsia="en-GB"/>
        </w:rPr>
        <w:t xml:space="preserve"> </w:t>
      </w:r>
      <w:r w:rsidR="004E30F1">
        <w:rPr>
          <w:color w:val="000000"/>
          <w:lang w:eastAsia="en-GB"/>
        </w:rPr>
        <w:t>(v1.22</w:t>
      </w:r>
      <w:r w:rsidR="00E27C63">
        <w:rPr>
          <w:color w:val="000000"/>
          <w:lang w:eastAsia="en-GB"/>
        </w:rPr>
        <w:t xml:space="preserve">, </w:t>
      </w:r>
      <w:hyperlink r:id="rId15" w:history="1">
        <w:r w:rsidR="008F74BC" w:rsidRPr="0083153A">
          <w:rPr>
            <w:rStyle w:val="Hyperlink"/>
            <w:sz w:val="20"/>
            <w:szCs w:val="20"/>
            <w:lang w:eastAsia="en-GB"/>
          </w:rPr>
          <w:t>https://github.com/broadinstitute/pilon</w:t>
        </w:r>
      </w:hyperlink>
      <w:r w:rsidR="002246BA">
        <w:rPr>
          <w:color w:val="000000"/>
          <w:lang w:eastAsia="en-GB"/>
        </w:rPr>
        <w:t>)</w:t>
      </w:r>
      <w:r w:rsidR="008F74BC">
        <w:rPr>
          <w:color w:val="000000"/>
          <w:lang w:eastAsia="en-GB"/>
        </w:rPr>
        <w:t xml:space="preserve"> </w:t>
      </w:r>
      <w:r w:rsidR="008F74BC">
        <w:rPr>
          <w:color w:val="000000"/>
          <w:lang w:eastAsia="en-GB"/>
        </w:rPr>
        <w:fldChar w:fldCharType="begin"/>
      </w:r>
      <w:r w:rsidR="008F74BC">
        <w:rPr>
          <w:color w:val="000000"/>
          <w:lang w:eastAsia="en-GB"/>
        </w:rPr>
        <w:instrText xml:space="preserve"> ADDIN ZOTERO_ITEM CSL_CITATION {"citationID":"jACFKsHY","properties":{"formattedCitation":"(26)","plainCitation":"(26)","noteIndex":0},"citationItems":[{"id":2274,"uris":["http://zotero.org/users/5334349/items/Y4GYLLLE"],"uri":["http://zotero.org/users/5334349/items/Y4GYLLLE"],"itemData":{"id":2274,"type":"article-journal","title":"Pilon: an integrated tool for comprehensive microbial variant detection and genome assembly improvement","container-title":"PloS One","page":"e112963","volume":"9","issue":"11","source":"PubMed","abstract":"Advances in modern sequencing technologies allow us to generate sufficient data to analyze hundreds of bacterial genomes from a single machine in a single day. This potential for sequencing massive numbers of genomes calls for fully automated methods to produce high-quality assemblies and variant calls. We introduce Pilon, a fully automated, all-in-one tool for correcting draft assemblies and calling sequence variants of multiple sizes, including very large insertions and deletions. Pilon works with many types of sequence data, but is particularly strong when supplied with paired end data from two Illumina libraries with small e.g., 180 bp and large e.g., 3-5 Kb inserts. Pilon significantly improves draft genome assemblies by correcting bases, fixing mis-assemblies and filling gaps. For both haploid and diploid genomes, Pilon produces more contiguous genomes with fewer errors, enabling identification of more biologically relevant genes. Furthermore, Pilon identifies small variants with high accuracy as compared to state-of-the-art tools and is unique in its ability to accurately identify large sequence variants including duplications and resolve large insertions. Pilon is being used to improve the assemblies of thousands of new genomes and to identify variants from thousands of clinically relevant bacterial strains. Pilon is freely available as open source software.","DOI":"10.1371/journal.pone.0112963","ISSN":"1932-6203","note":"PMID: 25409509\nPMCID: PMC4237348","title-short":"Pilon","journalAbbreviation":"PLoS ONE","language":"eng","author":[{"family":"Walker","given":"Bruce J."},{"family":"Abeel","given":"Thomas"},{"family":"Shea","given":"Terrance"},{"family":"Priest","given":"Margaret"},{"family":"Abouelliel","given":"Amr"},{"family":"Sakthikumar","given":"Sharadha"},{"family":"Cuomo","given":"Christina A."},{"family":"Zeng","given":"Qiandong"},{"family":"Wortman","given":"Jennifer"},{"family":"Young","given":"Sarah K."},{"family":"Earl","given":"Ashlee M."}],"issued":{"date-parts":[["2014"]]}}}],"schema":"https://github.com/citation-style-language/schema/raw/master/csl-citation.json"} </w:instrText>
      </w:r>
      <w:r w:rsidR="008F74BC">
        <w:rPr>
          <w:color w:val="000000"/>
          <w:lang w:eastAsia="en-GB"/>
        </w:rPr>
        <w:fldChar w:fldCharType="separate"/>
      </w:r>
      <w:r w:rsidR="008F74BC">
        <w:rPr>
          <w:noProof/>
          <w:color w:val="000000"/>
          <w:lang w:eastAsia="en-GB"/>
        </w:rPr>
        <w:t>(26)</w:t>
      </w:r>
      <w:r w:rsidR="008F74BC">
        <w:rPr>
          <w:color w:val="000000"/>
          <w:lang w:eastAsia="en-GB"/>
        </w:rPr>
        <w:fldChar w:fldCharType="end"/>
      </w:r>
      <w:r w:rsidR="002246BA">
        <w:rPr>
          <w:color w:val="000000"/>
          <w:lang w:eastAsia="en-GB"/>
        </w:rPr>
        <w:t>. We used Flye with 16 cores (-t 16), an estimated genome size</w:t>
      </w:r>
      <w:r w:rsidR="007657FB">
        <w:rPr>
          <w:color w:val="000000"/>
          <w:lang w:eastAsia="en-GB"/>
        </w:rPr>
        <w:t xml:space="preserve"> of 5Mb (-g 5m) (actual range of observed genome sizes: 4.96-6.64 Mb, median of 5.31 Mb)</w:t>
      </w:r>
      <w:r w:rsidR="000A266D">
        <w:rPr>
          <w:color w:val="000000"/>
          <w:lang w:eastAsia="en-GB"/>
        </w:rPr>
        <w:t xml:space="preserve">, and specific options intended to improve the </w:t>
      </w:r>
      <w:r w:rsidR="007657FB">
        <w:rPr>
          <w:color w:val="000000"/>
          <w:lang w:eastAsia="en-GB"/>
        </w:rPr>
        <w:t xml:space="preserve">assembly of plasmids (--plasmids </w:t>
      </w:r>
      <w:r w:rsidR="007C1225">
        <w:rPr>
          <w:color w:val="000000"/>
          <w:lang w:eastAsia="en-GB"/>
        </w:rPr>
        <w:t>--</w:t>
      </w:r>
      <w:r w:rsidR="007657FB">
        <w:rPr>
          <w:color w:val="000000"/>
          <w:lang w:eastAsia="en-GB"/>
        </w:rPr>
        <w:t>meta).</w:t>
      </w:r>
      <w:r w:rsidR="00913C87">
        <w:rPr>
          <w:color w:val="000000"/>
          <w:lang w:eastAsia="en-GB"/>
        </w:rPr>
        <w:t xml:space="preserve"> </w:t>
      </w:r>
      <w:r w:rsidR="00E27C63">
        <w:rPr>
          <w:color w:val="000000"/>
          <w:lang w:eastAsia="en-GB"/>
        </w:rPr>
        <w:t xml:space="preserve">We used default parameters for Pilon. </w:t>
      </w:r>
    </w:p>
    <w:p w14:paraId="013AFD49" w14:textId="7D63CA93" w:rsidR="00E41A21" w:rsidRDefault="00B0347C" w:rsidP="00FD5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color w:val="000000"/>
          <w:lang w:eastAsia="en-GB"/>
        </w:rPr>
      </w:pPr>
      <w:r w:rsidRPr="00B36586">
        <w:rPr>
          <w:b/>
          <w:color w:val="008461" w:themeColor="accent3"/>
          <w:sz w:val="28"/>
          <w:szCs w:val="28"/>
        </w:rPr>
        <w:t>Assembly comparison</w:t>
      </w:r>
    </w:p>
    <w:p w14:paraId="7E65D773" w14:textId="5B60D50C" w:rsidR="00F56DB6" w:rsidRDefault="00845218" w:rsidP="00F56DB6">
      <w:pPr>
        <w:spacing w:after="120"/>
        <w:jc w:val="both"/>
        <w:rPr>
          <w:color w:val="000000"/>
          <w:lang w:eastAsia="en-GB"/>
        </w:rPr>
      </w:pPr>
      <w:r w:rsidRPr="00B36586">
        <w:rPr>
          <w:color w:val="000000"/>
          <w:lang w:eastAsia="en-GB"/>
        </w:rPr>
        <w:t xml:space="preserve">We used </w:t>
      </w:r>
      <w:r w:rsidR="00D45ADD" w:rsidRPr="00B36586">
        <w:rPr>
          <w:color w:val="000000"/>
          <w:lang w:eastAsia="en-GB"/>
        </w:rPr>
        <w:t xml:space="preserve">multiple </w:t>
      </w:r>
      <w:r w:rsidRPr="00B36586">
        <w:rPr>
          <w:color w:val="000000"/>
          <w:lang w:eastAsia="en-GB"/>
        </w:rPr>
        <w:t>strategies to co</w:t>
      </w:r>
      <w:r w:rsidR="006E663E" w:rsidRPr="00B36586">
        <w:rPr>
          <w:color w:val="000000"/>
          <w:lang w:eastAsia="en-GB"/>
        </w:rPr>
        <w:t>mpare the features of</w:t>
      </w:r>
      <w:r w:rsidR="00D45ADD" w:rsidRPr="00B36586">
        <w:rPr>
          <w:color w:val="000000"/>
          <w:lang w:eastAsia="en-GB"/>
        </w:rPr>
        <w:t xml:space="preserve"> different</w:t>
      </w:r>
      <w:r w:rsidRPr="00B36586">
        <w:rPr>
          <w:color w:val="000000"/>
          <w:lang w:eastAsia="en-GB"/>
        </w:rPr>
        <w:t xml:space="preserve"> </w:t>
      </w:r>
      <w:r w:rsidR="00E95441" w:rsidRPr="00B36586">
        <w:rPr>
          <w:color w:val="000000"/>
          <w:lang w:eastAsia="en-GB"/>
        </w:rPr>
        <w:t xml:space="preserve">hybrid </w:t>
      </w:r>
      <w:r w:rsidRPr="00B36586">
        <w:rPr>
          <w:color w:val="000000"/>
          <w:lang w:eastAsia="en-GB"/>
        </w:rPr>
        <w:t xml:space="preserve">assemblies of the same </w:t>
      </w:r>
      <w:r w:rsidR="003B7F3F" w:rsidRPr="00B36586">
        <w:rPr>
          <w:color w:val="000000"/>
          <w:lang w:eastAsia="en-GB"/>
        </w:rPr>
        <w:t>DNA extract</w:t>
      </w:r>
      <w:r w:rsidR="006E663E" w:rsidRPr="00B36586">
        <w:rPr>
          <w:color w:val="000000"/>
          <w:lang w:eastAsia="en-GB"/>
        </w:rPr>
        <w:t xml:space="preserve">. </w:t>
      </w:r>
      <w:r w:rsidR="00F56DB6">
        <w:rPr>
          <w:color w:val="000000"/>
          <w:lang w:eastAsia="en-GB"/>
        </w:rPr>
        <w:t>We assessed all assemblies using CheckM</w:t>
      </w:r>
      <w:r w:rsidR="00AA21AF">
        <w:rPr>
          <w:color w:val="000000"/>
          <w:lang w:eastAsia="en-GB"/>
        </w:rPr>
        <w:t xml:space="preserve"> (v1.0.7</w:t>
      </w:r>
      <w:r w:rsidR="000A65C7">
        <w:rPr>
          <w:color w:val="000000"/>
          <w:lang w:eastAsia="en-GB"/>
        </w:rPr>
        <w:t xml:space="preserve">, </w:t>
      </w:r>
      <w:r w:rsidR="000A65C7" w:rsidRPr="000A65C7">
        <w:rPr>
          <w:color w:val="0000FF" w:themeColor="accent4"/>
          <w:sz w:val="20"/>
          <w:szCs w:val="20"/>
          <w:lang w:eastAsia="en-GB"/>
        </w:rPr>
        <w:t>https://github.com/Ecogenomics/CheckM</w:t>
      </w:r>
      <w:r w:rsidR="00AA21AF">
        <w:rPr>
          <w:color w:val="000000"/>
          <w:lang w:eastAsia="en-GB"/>
        </w:rPr>
        <w:t>)</w:t>
      </w:r>
      <w:r w:rsidR="00F56DB6">
        <w:rPr>
          <w:color w:val="000000"/>
          <w:lang w:eastAsia="en-GB"/>
        </w:rPr>
        <w:t xml:space="preserve"> </w:t>
      </w:r>
      <w:r w:rsidR="00F56DB6">
        <w:rPr>
          <w:color w:val="000000"/>
          <w:lang w:eastAsia="en-GB"/>
        </w:rPr>
        <w:fldChar w:fldCharType="begin"/>
      </w:r>
      <w:r w:rsidR="00AA21AF">
        <w:rPr>
          <w:color w:val="000000"/>
          <w:lang w:eastAsia="en-GB"/>
        </w:rPr>
        <w:instrText xml:space="preserve"> ADDIN ZOTERO_ITEM CSL_CITATION {"citationID":"YtT56twR","properties":{"formattedCitation":"(27)","plainCitation":"(27)","noteIndex":0},"citationItems":[{"id":3065,"uris":["http://zotero.org/users/5334349/items/9L7M4AMD"],"uri":["http://zotero.org/users/5334349/items/9L7M4AMD"],"itemData":{"id":3065,"type":"article-journal","title":"CheckM: assessing the quality of microbial genomes recovered from isolates, single cells, and metagenomes","container-title":"Genome Research","page":"1043-1055","volume":"25","issue":"7","source":"genome.cshlp.org","abstract":"Large-scale recovery of genomes from isolates, single cells, and metagenomic data has been made possible by advances in computational methods and substantial reductions in sequencing costs. Although this increasing breadth of draft genomes is providing key information regarding the evolutionary and functional diversity of microbial life, it has become impractical to finish all available reference genomes. Making robust biological inferences from draft genomes requires accurate estimates of their completeness and contamination. Current methods for assessing genome quality are ad hoc and generally make use of a limited number of “marker” genes conserved across all bacterial or archaeal genomes. Here we introduce CheckM, an automated method for assessing the quality of a genome using a broader set of marker genes specific to the position of a genome within a reference genome tree and information about the collocation of these genes. We demonstrate the effectiveness of CheckM using synthetic data and a wide range of isolate-, single-cell-, and metagenome-derived genomes. CheckM is shown to provide accurate estimates of genome completeness and contamination and to outperform existing approaches. Using CheckM, we identify a diverse range of errors currently impacting publicly available isolate genomes and demonstrate that genomes obtained from single cells and metagenomic data vary substantially in quality. In order to facilitate the use of draft genomes, we propose an objective measure of genome quality that can be used to select genomes suitable for specific gene- and genome-centric analyses of microbial communities.","DOI":"10.1101/gr.186072.114","ISSN":"1088-9051, 1549-5469","note":"PMID: 25977477","title-short":"CheckM","journalAbbreviation":"Genome Res.","language":"en","author":[{"family":"Parks","given":"Donovan H."},{"family":"Imelfort","given":"Michael"},{"family":"Skennerton","given":"Connor T."},{"family":"Hugenholtz","given":"Philip"},{"family":"Tyson","given":"Gene W."}],"issued":{"date-parts":[["2015",1,7]]}}}],"schema":"https://github.com/citation-style-language/schema/raw/master/csl-citation.json"} </w:instrText>
      </w:r>
      <w:r w:rsidR="00F56DB6">
        <w:rPr>
          <w:color w:val="000000"/>
          <w:lang w:eastAsia="en-GB"/>
        </w:rPr>
        <w:fldChar w:fldCharType="separate"/>
      </w:r>
      <w:r w:rsidR="00AA21AF">
        <w:rPr>
          <w:noProof/>
          <w:color w:val="000000"/>
          <w:lang w:eastAsia="en-GB"/>
        </w:rPr>
        <w:t>(27)</w:t>
      </w:r>
      <w:r w:rsidR="00F56DB6">
        <w:rPr>
          <w:color w:val="000000"/>
          <w:lang w:eastAsia="en-GB"/>
        </w:rPr>
        <w:fldChar w:fldCharType="end"/>
      </w:r>
      <w:r w:rsidR="00E60D4A">
        <w:rPr>
          <w:color w:val="000000"/>
          <w:lang w:eastAsia="en-GB"/>
        </w:rPr>
        <w:t xml:space="preserve"> with pplacer</w:t>
      </w:r>
      <w:r w:rsidR="00AA21AF">
        <w:rPr>
          <w:color w:val="000000"/>
          <w:lang w:eastAsia="en-GB"/>
        </w:rPr>
        <w:t xml:space="preserve"> </w:t>
      </w:r>
      <w:r w:rsidR="002F290F">
        <w:rPr>
          <w:color w:val="000000"/>
          <w:lang w:eastAsia="en-GB"/>
        </w:rPr>
        <w:t>and guppy</w:t>
      </w:r>
      <w:r w:rsidR="00AA21AF">
        <w:rPr>
          <w:color w:val="000000"/>
          <w:lang w:eastAsia="en-GB"/>
        </w:rPr>
        <w:t xml:space="preserve"> </w:t>
      </w:r>
      <w:r w:rsidR="002F290F">
        <w:rPr>
          <w:color w:val="000000"/>
          <w:lang w:eastAsia="en-GB"/>
        </w:rPr>
        <w:t xml:space="preserve"> </w:t>
      </w:r>
      <w:r w:rsidR="00E60D4A">
        <w:rPr>
          <w:color w:val="000000"/>
          <w:lang w:eastAsia="en-GB"/>
        </w:rPr>
        <w:t>(</w:t>
      </w:r>
      <w:r w:rsidR="00E60D4A" w:rsidRPr="00E60D4A">
        <w:rPr>
          <w:color w:val="000000"/>
          <w:lang w:eastAsia="en-GB"/>
        </w:rPr>
        <w:t>v1.1.alpha17-6</w:t>
      </w:r>
      <w:r w:rsidR="00657045">
        <w:rPr>
          <w:color w:val="000000"/>
          <w:lang w:eastAsia="en-GB"/>
        </w:rPr>
        <w:t xml:space="preserve">, </w:t>
      </w:r>
      <w:r w:rsidR="00657045" w:rsidRPr="002471A3">
        <w:rPr>
          <w:color w:val="0000FF" w:themeColor="accent4"/>
          <w:sz w:val="20"/>
          <w:szCs w:val="20"/>
          <w:lang w:eastAsia="en-GB"/>
        </w:rPr>
        <w:t>https://matsen.fhcrc.org/pplacer</w:t>
      </w:r>
      <w:r w:rsidR="00B02FDC">
        <w:rPr>
          <w:color w:val="000000"/>
          <w:lang w:eastAsia="en-GB"/>
        </w:rPr>
        <w:t xml:space="preserve">) </w:t>
      </w:r>
      <w:r w:rsidR="00AA21AF">
        <w:rPr>
          <w:color w:val="000000"/>
          <w:lang w:eastAsia="en-GB"/>
        </w:rPr>
        <w:fldChar w:fldCharType="begin"/>
      </w:r>
      <w:r w:rsidR="00AA21AF">
        <w:rPr>
          <w:color w:val="000000"/>
          <w:lang w:eastAsia="en-GB"/>
        </w:rPr>
        <w:instrText xml:space="preserve"> ADDIN ZOTERO_ITEM CSL_CITATION {"citationID":"lfVwMDGR","properties":{"formattedCitation":"(28)","plainCitation":"(28)","noteIndex":0},"citationItems":[{"id":1665,"uris":["http://zotero.org/users/5334349/items/KLHFVFAF"],"uri":["http://zotero.org/users/5334349/items/KLHFVFAF"],"itemData":{"id":1665,"type":"article-journal","title":"pplacer: linear time maximum-likelihood and Bayesian phylogenetic placement of sequences onto a fixed reference tree.","container-title":"BMC bioinformatics","page":"538","volume":"11","issue":"1","abstract":"BACKGROUND: Likelihood-based phylogenetic inference is generally considered to be the most reliable classification method for unknown sequences. However, traditional likelihood-based phylogenetic methods cannot be applied to large volumes of short reads from next-generation sequencing due to computational complexity issues and lack of phylogenetic signal. \"Phylogenetic placement,\" where a reference tree is fixed and the unknown query sequences are placed onto the tree via a reference alignment, is a way to bring the inferential power offered by likelihood-based approaches to large data sets. RESULTS: This paper introduces pplacer, a software package for phylogenetic placement and subsequent visualization. The algorithm can place twenty thousand short reads on a reference tree of one thousand taxa per hour per processor, has essentially linear time and memory complexity in the number of reference taxa, and is easy to run in parallel. Pplacer features calculation of the posterior probability of a placement on an edge, which is a statistically rigorous way of quantifying uncertainty on an edge-by-edge basis. It also can inform the user of the positional uncertainty for query sequences by calculating expected distance between placement locations, which is crucial in the estimation of uncertainty with a well-sampled reference tree. The software provides visualizations using branch thickness and color to represent number of placements and their uncertainty. A simulation study using reads generated from 631 COG alignments shows a high level of accuracy for phylogenetic placement over a wide range of alignment diversity, and the power of edge uncertainty estimates to measure placement confidence. CONCLUSIONS: Pplacer enables efficient phylogenetic placement and subsequent visualization, making likelihood-based phylogenetics methodology practical for large collections of reads; it is freely available as source code, binaries, and a web service.","DOI":"10.1186/1471-2105-11-538","ISSN":"1471-2105","note":"PMID: 21034504","author":[{"family":"Matsen","given":"Frederick A"},{"family":"Kodner","given":"Robin B"},{"family":"Armbrust","given":"E Virginia"}],"issued":{"date-parts":[["2010",1]]}}}],"schema":"https://github.com/citation-style-language/schema/raw/master/csl-citation.json"} </w:instrText>
      </w:r>
      <w:r w:rsidR="00AA21AF">
        <w:rPr>
          <w:color w:val="000000"/>
          <w:lang w:eastAsia="en-GB"/>
        </w:rPr>
        <w:fldChar w:fldCharType="separate"/>
      </w:r>
      <w:r w:rsidR="00AA21AF">
        <w:rPr>
          <w:noProof/>
          <w:color w:val="000000"/>
          <w:lang w:eastAsia="en-GB"/>
        </w:rPr>
        <w:t>(28)</w:t>
      </w:r>
      <w:r w:rsidR="00AA21AF">
        <w:rPr>
          <w:color w:val="000000"/>
          <w:lang w:eastAsia="en-GB"/>
        </w:rPr>
        <w:fldChar w:fldCharType="end"/>
      </w:r>
      <w:r w:rsidR="00AA21AF">
        <w:rPr>
          <w:color w:val="000000"/>
          <w:lang w:eastAsia="en-GB"/>
        </w:rPr>
        <w:t xml:space="preserve"> </w:t>
      </w:r>
      <w:r w:rsidR="00B02FDC">
        <w:rPr>
          <w:color w:val="000000"/>
          <w:lang w:eastAsia="en-GB"/>
        </w:rPr>
        <w:t>using 43</w:t>
      </w:r>
      <w:r w:rsidR="00E71AD6">
        <w:rPr>
          <w:color w:val="000000"/>
          <w:lang w:eastAsia="en-GB"/>
        </w:rPr>
        <w:t xml:space="preserve"> </w:t>
      </w:r>
      <w:r w:rsidR="00094EFB">
        <w:rPr>
          <w:color w:val="000000"/>
          <w:lang w:eastAsia="en-GB"/>
        </w:rPr>
        <w:t xml:space="preserve">marker genes to assess assembly quality, </w:t>
      </w:r>
      <w:r w:rsidR="00F56DB6">
        <w:rPr>
          <w:color w:val="000000"/>
          <w:lang w:eastAsia="en-GB"/>
        </w:rPr>
        <w:t>with the lineage-specific workflow (lineage_wf) applied to each isolate.</w:t>
      </w:r>
      <w:r w:rsidR="00094EFB">
        <w:rPr>
          <w:color w:val="000000"/>
          <w:lang w:eastAsia="en-GB"/>
        </w:rPr>
        <w:t xml:space="preserve"> </w:t>
      </w:r>
      <w:r w:rsidR="004C6D9F">
        <w:rPr>
          <w:color w:val="000000"/>
          <w:lang w:eastAsia="en-GB"/>
        </w:rPr>
        <w:t>The results indicated that all assemblies had high completeness (&gt;99%) and low contamination (median: 0.54%, range: 0.05-2.28%). T</w:t>
      </w:r>
      <w:r w:rsidR="004C6D9F" w:rsidRPr="00F349F5">
        <w:rPr>
          <w:color w:val="000000"/>
          <w:lang w:eastAsia="en-GB"/>
        </w:rPr>
        <w:t xml:space="preserve">he contamination metric is correlated with the total number of estimated circular structures in an assembly (Pearson’s </w:t>
      </w:r>
      <w:r w:rsidR="004C6D9F" w:rsidRPr="001C1D8B">
        <w:rPr>
          <w:i/>
          <w:iCs/>
          <w:color w:val="000000"/>
          <w:lang w:eastAsia="en-GB"/>
        </w:rPr>
        <w:t>r</w:t>
      </w:r>
      <w:r w:rsidR="004C6D9F" w:rsidRPr="00F349F5">
        <w:rPr>
          <w:color w:val="000000"/>
          <w:lang w:eastAsia="en-GB"/>
        </w:rPr>
        <w:t xml:space="preserve">=0.44, </w:t>
      </w:r>
      <w:r w:rsidR="004C6D9F" w:rsidRPr="001C1D8B">
        <w:rPr>
          <w:i/>
          <w:iCs/>
          <w:color w:val="000000"/>
          <w:lang w:eastAsia="en-GB"/>
        </w:rPr>
        <w:t>p</w:t>
      </w:r>
      <w:r w:rsidR="004C6D9F" w:rsidRPr="00F349F5">
        <w:rPr>
          <w:color w:val="000000"/>
          <w:lang w:eastAsia="en-GB"/>
        </w:rPr>
        <w:t>=0.053). We believe this may be</w:t>
      </w:r>
      <w:r w:rsidR="004C6D9F">
        <w:rPr>
          <w:color w:val="000000"/>
          <w:lang w:eastAsia="en-GB"/>
        </w:rPr>
        <w:t xml:space="preserve"> potentially due to genomic components</w:t>
      </w:r>
      <w:r w:rsidR="00161E40">
        <w:rPr>
          <w:color w:val="000000"/>
          <w:lang w:eastAsia="en-GB"/>
        </w:rPr>
        <w:t xml:space="preserve"> (e.g. mobile genetic elements)</w:t>
      </w:r>
      <w:r w:rsidR="004C6D9F">
        <w:rPr>
          <w:color w:val="000000"/>
          <w:lang w:eastAsia="en-GB"/>
        </w:rPr>
        <w:t xml:space="preserve"> </w:t>
      </w:r>
      <w:r w:rsidR="004C6D9F" w:rsidRPr="00F349F5">
        <w:rPr>
          <w:color w:val="000000"/>
          <w:lang w:eastAsia="en-GB"/>
        </w:rPr>
        <w:t xml:space="preserve">which may exist in the CheckM reference database only in one species but can be present across </w:t>
      </w:r>
      <w:r w:rsidR="004C6D9F" w:rsidRPr="00330552">
        <w:rPr>
          <w:color w:val="000000"/>
          <w:lang w:eastAsia="en-GB"/>
        </w:rPr>
        <w:t>Enterobacteriaceae</w:t>
      </w:r>
      <w:r w:rsidR="004C6D9F" w:rsidRPr="00F349F5">
        <w:rPr>
          <w:color w:val="000000"/>
          <w:lang w:eastAsia="en-GB"/>
        </w:rPr>
        <w:t>.</w:t>
      </w:r>
      <w:r w:rsidR="004C6D9F">
        <w:rPr>
          <w:color w:val="000000"/>
          <w:lang w:eastAsia="en-GB"/>
        </w:rPr>
        <w:t xml:space="preserve"> </w:t>
      </w:r>
      <w:r w:rsidR="006B2F53">
        <w:rPr>
          <w:color w:val="000000"/>
          <w:lang w:eastAsia="en-GB"/>
        </w:rPr>
        <w:t xml:space="preserve">CheckM does not directly provide any information on the </w:t>
      </w:r>
      <w:r w:rsidR="006B2F53" w:rsidRPr="00837DA9">
        <w:rPr>
          <w:color w:val="000000"/>
          <w:lang w:eastAsia="en-GB"/>
        </w:rPr>
        <w:t>structural</w:t>
      </w:r>
      <w:r w:rsidR="006B2F53">
        <w:rPr>
          <w:color w:val="000000"/>
          <w:lang w:eastAsia="en-GB"/>
        </w:rPr>
        <w:t xml:space="preserve"> completeness of a genome</w:t>
      </w:r>
      <w:r w:rsidR="00754E80">
        <w:rPr>
          <w:color w:val="000000"/>
          <w:lang w:eastAsia="en-GB"/>
        </w:rPr>
        <w:t xml:space="preserve">, and for each isolate all different </w:t>
      </w:r>
      <w:r w:rsidR="009E0166">
        <w:rPr>
          <w:color w:val="000000"/>
          <w:lang w:eastAsia="en-GB"/>
        </w:rPr>
        <w:t>approaches showed identical CheckM completeness scores</w:t>
      </w:r>
      <w:r w:rsidR="00051477">
        <w:rPr>
          <w:color w:val="000000"/>
          <w:lang w:eastAsia="en-GB"/>
        </w:rPr>
        <w:t xml:space="preserve"> despite different numbers of contigs</w:t>
      </w:r>
      <w:r w:rsidR="006B2F53">
        <w:rPr>
          <w:color w:val="000000"/>
          <w:lang w:eastAsia="en-GB"/>
        </w:rPr>
        <w:t>. Therefore, w</w:t>
      </w:r>
      <w:r w:rsidR="00094EFB">
        <w:rPr>
          <w:color w:val="000000"/>
          <w:lang w:eastAsia="en-GB"/>
        </w:rPr>
        <w:t xml:space="preserve">e </w:t>
      </w:r>
      <w:r w:rsidR="00BF2611">
        <w:rPr>
          <w:color w:val="000000"/>
          <w:lang w:eastAsia="en-GB"/>
        </w:rPr>
        <w:t>also</w:t>
      </w:r>
      <w:r w:rsidR="00094EFB">
        <w:rPr>
          <w:color w:val="000000"/>
          <w:lang w:eastAsia="en-GB"/>
        </w:rPr>
        <w:t xml:space="preserve"> considered alternative measures</w:t>
      </w:r>
      <w:r w:rsidR="00BF2611">
        <w:rPr>
          <w:color w:val="000000"/>
          <w:lang w:eastAsia="en-GB"/>
        </w:rPr>
        <w:t xml:space="preserve"> </w:t>
      </w:r>
      <w:r w:rsidR="00094EFB">
        <w:rPr>
          <w:color w:val="000000"/>
          <w:lang w:eastAsia="en-GB"/>
        </w:rPr>
        <w:t xml:space="preserve">more relevant to structural </w:t>
      </w:r>
      <w:r w:rsidR="00750E52">
        <w:rPr>
          <w:color w:val="000000"/>
          <w:lang w:eastAsia="en-GB"/>
        </w:rPr>
        <w:t>completeness</w:t>
      </w:r>
      <w:r w:rsidR="00094EFB">
        <w:rPr>
          <w:color w:val="000000"/>
          <w:lang w:eastAsia="en-GB"/>
        </w:rPr>
        <w:t xml:space="preserve">. </w:t>
      </w:r>
    </w:p>
    <w:p w14:paraId="1BFF1617" w14:textId="39A897A7" w:rsidR="00E41A21" w:rsidRDefault="00CD1E7B">
      <w:pPr>
        <w:spacing w:after="120"/>
        <w:jc w:val="both"/>
        <w:rPr>
          <w:color w:val="000000"/>
          <w:lang w:eastAsia="en-GB"/>
        </w:rPr>
      </w:pPr>
      <w:r w:rsidRPr="00B36586">
        <w:rPr>
          <w:color w:val="000000"/>
          <w:lang w:eastAsia="en-GB"/>
        </w:rPr>
        <w:t xml:space="preserve">Firstly, </w:t>
      </w:r>
      <w:r w:rsidR="00845218" w:rsidRPr="00B36586">
        <w:rPr>
          <w:color w:val="000000"/>
          <w:lang w:eastAsia="en-GB"/>
        </w:rPr>
        <w:t>we consider</w:t>
      </w:r>
      <w:r w:rsidR="003B7F3F" w:rsidRPr="00B36586">
        <w:rPr>
          <w:color w:val="000000"/>
          <w:lang w:eastAsia="en-GB"/>
        </w:rPr>
        <w:t>ed</w:t>
      </w:r>
      <w:r w:rsidR="00D45ADD" w:rsidRPr="00B36586">
        <w:rPr>
          <w:color w:val="000000"/>
          <w:lang w:eastAsia="en-GB"/>
        </w:rPr>
        <w:t xml:space="preserve"> </w:t>
      </w:r>
      <w:r w:rsidR="00845218" w:rsidRPr="00B36586">
        <w:rPr>
          <w:color w:val="000000"/>
          <w:lang w:eastAsia="en-GB"/>
        </w:rPr>
        <w:t xml:space="preserve">the </w:t>
      </w:r>
      <w:r w:rsidR="00BF2611">
        <w:rPr>
          <w:color w:val="000000"/>
          <w:lang w:eastAsia="en-GB"/>
        </w:rPr>
        <w:t>‘circularity’</w:t>
      </w:r>
      <w:r w:rsidR="00BF2611" w:rsidRPr="00B36586">
        <w:rPr>
          <w:color w:val="000000"/>
          <w:lang w:eastAsia="en-GB"/>
        </w:rPr>
        <w:t xml:space="preserve"> </w:t>
      </w:r>
      <w:r w:rsidR="005D2BC7" w:rsidRPr="00B36586">
        <w:rPr>
          <w:color w:val="000000"/>
          <w:lang w:eastAsia="en-GB"/>
        </w:rPr>
        <w:t>of an assembly</w:t>
      </w:r>
      <w:r w:rsidR="00DC2887" w:rsidRPr="00B36586">
        <w:rPr>
          <w:color w:val="000000"/>
          <w:lang w:eastAsia="en-GB"/>
        </w:rPr>
        <w:t xml:space="preserve"> i.e. </w:t>
      </w:r>
      <w:r w:rsidRPr="00B36586">
        <w:rPr>
          <w:color w:val="000000"/>
          <w:lang w:eastAsia="en-GB"/>
        </w:rPr>
        <w:t>whether</w:t>
      </w:r>
      <w:r w:rsidR="00845218" w:rsidRPr="00B36586">
        <w:rPr>
          <w:color w:val="000000"/>
          <w:lang w:eastAsia="en-GB"/>
        </w:rPr>
        <w:t xml:space="preserve"> contigs </w:t>
      </w:r>
      <w:r w:rsidR="00BF2611">
        <w:rPr>
          <w:color w:val="000000"/>
          <w:lang w:eastAsia="en-GB"/>
        </w:rPr>
        <w:t>in the assembly</w:t>
      </w:r>
      <w:r w:rsidR="00BF2611" w:rsidRPr="00B36586">
        <w:rPr>
          <w:color w:val="000000"/>
          <w:lang w:eastAsia="en-GB"/>
        </w:rPr>
        <w:t xml:space="preserve"> </w:t>
      </w:r>
      <w:r w:rsidR="005D2BC7" w:rsidRPr="00B36586">
        <w:rPr>
          <w:color w:val="000000"/>
          <w:lang w:eastAsia="en-GB"/>
        </w:rPr>
        <w:t xml:space="preserve">were </w:t>
      </w:r>
      <w:r w:rsidR="005D7304" w:rsidRPr="00B36586">
        <w:rPr>
          <w:color w:val="000000"/>
          <w:lang w:eastAsia="en-GB"/>
        </w:rPr>
        <w:t>identified</w:t>
      </w:r>
      <w:r w:rsidR="00845218" w:rsidRPr="00B36586">
        <w:rPr>
          <w:color w:val="000000"/>
          <w:lang w:eastAsia="en-GB"/>
        </w:rPr>
        <w:t xml:space="preserve"> as circular</w:t>
      </w:r>
      <w:r w:rsidR="003B7F3F" w:rsidRPr="00B36586">
        <w:rPr>
          <w:color w:val="000000"/>
          <w:lang w:eastAsia="en-GB"/>
        </w:rPr>
        <w:t xml:space="preserve"> structures</w:t>
      </w:r>
      <w:r w:rsidR="00845218" w:rsidRPr="00B36586">
        <w:rPr>
          <w:color w:val="000000"/>
          <w:lang w:eastAsia="en-GB"/>
        </w:rPr>
        <w:t xml:space="preserve">. Circular structures </w:t>
      </w:r>
      <w:r w:rsidR="005D2BC7" w:rsidRPr="00B36586">
        <w:rPr>
          <w:color w:val="000000"/>
          <w:lang w:eastAsia="en-GB"/>
        </w:rPr>
        <w:t>typic</w:t>
      </w:r>
      <w:r w:rsidR="00845218" w:rsidRPr="00B36586">
        <w:rPr>
          <w:color w:val="000000"/>
          <w:lang w:eastAsia="en-GB"/>
        </w:rPr>
        <w:t xml:space="preserve">ally </w:t>
      </w:r>
      <w:r w:rsidR="00A84199" w:rsidRPr="00B36586">
        <w:rPr>
          <w:color w:val="000000"/>
          <w:lang w:eastAsia="en-GB"/>
        </w:rPr>
        <w:t>represent</w:t>
      </w:r>
      <w:r w:rsidR="00845218" w:rsidRPr="00B36586">
        <w:rPr>
          <w:color w:val="000000"/>
          <w:lang w:eastAsia="en-GB"/>
        </w:rPr>
        <w:t xml:space="preserve"> completely assembled bacterial chromosomes and plasmid</w:t>
      </w:r>
      <w:r w:rsidR="005D2BC7" w:rsidRPr="00B36586">
        <w:rPr>
          <w:color w:val="000000"/>
          <w:lang w:eastAsia="en-GB"/>
        </w:rPr>
        <w:t>s</w:t>
      </w:r>
      <w:r w:rsidR="00A84199" w:rsidRPr="00B36586">
        <w:rPr>
          <w:color w:val="000000"/>
          <w:lang w:eastAsia="en-GB"/>
        </w:rPr>
        <w:t>;</w:t>
      </w:r>
      <w:r w:rsidR="00845218" w:rsidRPr="00B36586">
        <w:rPr>
          <w:color w:val="000000"/>
          <w:lang w:eastAsia="en-GB"/>
        </w:rPr>
        <w:t xml:space="preserve"> circular structures from different assemblies</w:t>
      </w:r>
      <w:r w:rsidR="00A84199" w:rsidRPr="00B36586">
        <w:rPr>
          <w:color w:val="000000"/>
          <w:lang w:eastAsia="en-GB"/>
        </w:rPr>
        <w:t xml:space="preserve"> in our 20 </w:t>
      </w:r>
      <w:r w:rsidR="001918D1" w:rsidRPr="00B36586">
        <w:rPr>
          <w:color w:val="000000"/>
          <w:lang w:eastAsia="en-GB"/>
        </w:rPr>
        <w:t>isolates</w:t>
      </w:r>
      <w:r w:rsidR="00845218" w:rsidRPr="00B36586">
        <w:rPr>
          <w:color w:val="000000"/>
          <w:lang w:eastAsia="en-GB"/>
        </w:rPr>
        <w:t xml:space="preserve"> tend</w:t>
      </w:r>
      <w:r w:rsidR="003B7F3F" w:rsidRPr="00B36586">
        <w:rPr>
          <w:color w:val="000000"/>
          <w:lang w:eastAsia="en-GB"/>
        </w:rPr>
        <w:t>ed</w:t>
      </w:r>
      <w:r w:rsidR="00845218" w:rsidRPr="00B36586">
        <w:rPr>
          <w:color w:val="000000"/>
          <w:lang w:eastAsia="en-GB"/>
        </w:rPr>
        <w:t xml:space="preserve"> to agree </w:t>
      </w:r>
      <w:r w:rsidR="005D2BC7" w:rsidRPr="00B36586">
        <w:rPr>
          <w:color w:val="000000"/>
          <w:lang w:eastAsia="en-GB"/>
        </w:rPr>
        <w:t>in the majority of cases (Table 1</w:t>
      </w:r>
      <w:r w:rsidR="009C1465" w:rsidRPr="00B36586">
        <w:rPr>
          <w:color w:val="000000"/>
          <w:lang w:eastAsia="en-GB"/>
        </w:rPr>
        <w:t>)</w:t>
      </w:r>
      <w:r w:rsidR="00A84199" w:rsidRPr="00B36586">
        <w:rPr>
          <w:color w:val="000000"/>
          <w:lang w:eastAsia="en-GB"/>
        </w:rPr>
        <w:t xml:space="preserve"> and agreed</w:t>
      </w:r>
      <w:r w:rsidR="00851A00" w:rsidRPr="00B36586">
        <w:rPr>
          <w:color w:val="000000"/>
          <w:lang w:eastAsia="en-GB"/>
        </w:rPr>
        <w:t xml:space="preserve"> with</w:t>
      </w:r>
      <w:r w:rsidR="00A84199" w:rsidRPr="00B36586">
        <w:rPr>
          <w:color w:val="000000"/>
          <w:lang w:eastAsia="en-GB"/>
        </w:rPr>
        <w:t xml:space="preserve"> the structures of reference genomes</w:t>
      </w:r>
      <w:r w:rsidR="00851A00" w:rsidRPr="00B36586">
        <w:rPr>
          <w:color w:val="000000"/>
          <w:lang w:eastAsia="en-GB"/>
        </w:rPr>
        <w:t xml:space="preserve"> for</w:t>
      </w:r>
      <w:r w:rsidR="00A84199" w:rsidRPr="00B36586">
        <w:rPr>
          <w:color w:val="000000"/>
          <w:lang w:eastAsia="en-GB"/>
        </w:rPr>
        <w:t xml:space="preserve"> the two reference strains </w:t>
      </w:r>
      <w:r w:rsidR="00851A00" w:rsidRPr="00B36586">
        <w:rPr>
          <w:color w:val="000000"/>
          <w:lang w:eastAsia="en-GB"/>
        </w:rPr>
        <w:t>(CFT073 and MH78578)</w:t>
      </w:r>
      <w:r w:rsidR="00845218" w:rsidRPr="00B36586">
        <w:rPr>
          <w:color w:val="000000"/>
          <w:lang w:eastAsia="en-GB"/>
        </w:rPr>
        <w:t>.</w:t>
      </w:r>
      <w:r w:rsidR="009C1465" w:rsidRPr="00B36586">
        <w:rPr>
          <w:color w:val="000000"/>
          <w:lang w:eastAsia="en-GB"/>
        </w:rPr>
        <w:t xml:space="preserve"> </w:t>
      </w:r>
      <w:r w:rsidRPr="00B36586">
        <w:rPr>
          <w:color w:val="000000"/>
          <w:lang w:eastAsia="en-GB"/>
        </w:rPr>
        <w:t>W</w:t>
      </w:r>
      <w:r w:rsidR="009C1465" w:rsidRPr="00B36586">
        <w:rPr>
          <w:color w:val="000000"/>
          <w:lang w:eastAsia="en-GB"/>
        </w:rPr>
        <w:t>e</w:t>
      </w:r>
      <w:r w:rsidRPr="00B36586">
        <w:rPr>
          <w:color w:val="000000"/>
          <w:lang w:eastAsia="en-GB"/>
        </w:rPr>
        <w:t xml:space="preserve"> </w:t>
      </w:r>
      <w:r w:rsidR="00A84199" w:rsidRPr="00B36586">
        <w:rPr>
          <w:color w:val="000000"/>
          <w:lang w:eastAsia="en-GB"/>
        </w:rPr>
        <w:t xml:space="preserve">therefore </w:t>
      </w:r>
      <w:r w:rsidRPr="00B36586">
        <w:rPr>
          <w:color w:val="000000"/>
          <w:lang w:eastAsia="en-GB"/>
        </w:rPr>
        <w:t>also</w:t>
      </w:r>
      <w:r w:rsidR="009C1465" w:rsidRPr="00B36586">
        <w:rPr>
          <w:color w:val="000000"/>
          <w:lang w:eastAsia="en-GB"/>
        </w:rPr>
        <w:t xml:space="preserve"> use</w:t>
      </w:r>
      <w:r w:rsidRPr="00B36586">
        <w:rPr>
          <w:color w:val="000000"/>
          <w:lang w:eastAsia="en-GB"/>
        </w:rPr>
        <w:t>d</w:t>
      </w:r>
      <w:r w:rsidR="009C1465" w:rsidRPr="00B36586">
        <w:rPr>
          <w:color w:val="000000"/>
          <w:lang w:eastAsia="en-GB"/>
        </w:rPr>
        <w:t xml:space="preserve"> the number of circular contigs in an assembly as a measure of its completeness.</w:t>
      </w:r>
    </w:p>
    <w:p w14:paraId="7311B1B7" w14:textId="5A37BFBB" w:rsidR="002E4340" w:rsidRDefault="00186BC6">
      <w:pPr>
        <w:spacing w:after="120"/>
        <w:jc w:val="both"/>
        <w:rPr>
          <w:color w:val="0000FF"/>
          <w:lang w:eastAsia="en-GB"/>
        </w:rPr>
      </w:pPr>
      <w:r w:rsidRPr="00B36586">
        <w:rPr>
          <w:color w:val="000000"/>
          <w:lang w:eastAsia="en-GB"/>
        </w:rPr>
        <w:lastRenderedPageBreak/>
        <w:t>A common error associated with long-read-based assemblies is i</w:t>
      </w:r>
      <w:r w:rsidR="00706F4E" w:rsidRPr="00B36586">
        <w:rPr>
          <w:color w:val="000000"/>
          <w:lang w:eastAsia="en-GB"/>
        </w:rPr>
        <w:t>ndel errors</w:t>
      </w:r>
      <w:r w:rsidRPr="00B36586">
        <w:rPr>
          <w:color w:val="000000"/>
          <w:lang w:eastAsia="en-GB"/>
        </w:rPr>
        <w:t xml:space="preserve">, which </w:t>
      </w:r>
      <w:r w:rsidR="005D0976" w:rsidRPr="00B36586">
        <w:rPr>
          <w:color w:val="000000"/>
          <w:lang w:eastAsia="en-GB"/>
        </w:rPr>
        <w:t xml:space="preserve">can artificially shorten proteins by introducing </w:t>
      </w:r>
      <w:r w:rsidR="00182EC9" w:rsidRPr="00B36586">
        <w:rPr>
          <w:color w:val="000000"/>
          <w:lang w:eastAsia="en-GB"/>
        </w:rPr>
        <w:t>premature stop codons or frameshift errors</w:t>
      </w:r>
      <w:r w:rsidR="007B03D9" w:rsidRPr="00B36586">
        <w:rPr>
          <w:color w:val="000000"/>
          <w:lang w:eastAsia="en-GB"/>
        </w:rPr>
        <w:t xml:space="preserve"> </w:t>
      </w:r>
      <w:r w:rsidR="007B03D9" w:rsidRPr="00B36586">
        <w:rPr>
          <w:color w:val="000000"/>
          <w:lang w:eastAsia="en-GB"/>
        </w:rPr>
        <w:fldChar w:fldCharType="begin"/>
      </w:r>
      <w:r w:rsidR="00AA21AF">
        <w:rPr>
          <w:color w:val="000000"/>
          <w:lang w:eastAsia="en-GB"/>
        </w:rPr>
        <w:instrText xml:space="preserve"> ADDIN ZOTERO_ITEM CSL_CITATION {"citationID":"u4Ty3tbJ","properties":{"formattedCitation":"(29)","plainCitation":"(29)","noteIndex":0},"citationItems":[{"id":2415,"uris":["http://zotero.org/users/5334349/items/3R272P8S"],"uri":["http://zotero.org/users/5334349/items/3R272P8S"],"itemData":{"id":2415,"type":"article-magazine","title":"A simple test for uncorrected insertions and deletions (indels) in bacterial genomes","URL":"http://www.opiniomics.org/a-simple-test-for-uncorrected-insertions-and-deletions-indels-in-bacterial-genomes/","author":[{"family":"Watson","given":"Mick"}],"issued":{"date-parts":[["2018",8,3]]}}}],"schema":"https://github.com/citation-style-language/schema/raw/master/csl-citation.json"} </w:instrText>
      </w:r>
      <w:r w:rsidR="007B03D9" w:rsidRPr="00B36586">
        <w:rPr>
          <w:color w:val="000000"/>
          <w:lang w:eastAsia="en-GB"/>
        </w:rPr>
        <w:fldChar w:fldCharType="separate"/>
      </w:r>
      <w:r w:rsidR="00AA21AF">
        <w:rPr>
          <w:noProof/>
          <w:color w:val="000000"/>
          <w:lang w:eastAsia="en-GB"/>
        </w:rPr>
        <w:t>(29)</w:t>
      </w:r>
      <w:r w:rsidR="007B03D9" w:rsidRPr="00B36586">
        <w:rPr>
          <w:color w:val="000000"/>
          <w:lang w:eastAsia="en-GB"/>
        </w:rPr>
        <w:fldChar w:fldCharType="end"/>
      </w:r>
      <w:r w:rsidR="00182EC9" w:rsidRPr="00B36586">
        <w:rPr>
          <w:color w:val="000000"/>
          <w:lang w:eastAsia="en-GB"/>
        </w:rPr>
        <w:t>.</w:t>
      </w:r>
      <w:r w:rsidR="00542225" w:rsidRPr="00B36586">
        <w:rPr>
          <w:color w:val="000000"/>
          <w:lang w:eastAsia="en-GB"/>
        </w:rPr>
        <w:t xml:space="preserve"> T</w:t>
      </w:r>
      <w:r w:rsidR="00685FA8" w:rsidRPr="00B36586">
        <w:rPr>
          <w:color w:val="000000"/>
          <w:lang w:eastAsia="en-GB"/>
        </w:rPr>
        <w:t>o check this possibility w</w:t>
      </w:r>
      <w:r w:rsidR="00706F4E" w:rsidRPr="00B36586">
        <w:rPr>
          <w:color w:val="000000"/>
          <w:lang w:eastAsia="en-GB"/>
        </w:rPr>
        <w:t>e annotated genomes with Prokka (v1.13.3</w:t>
      </w:r>
      <w:r w:rsidR="007B03D9" w:rsidRPr="00B36586">
        <w:rPr>
          <w:color w:val="000000"/>
          <w:lang w:eastAsia="en-GB"/>
        </w:rPr>
        <w:t xml:space="preserve">, </w:t>
      </w:r>
      <w:hyperlink r:id="rId16" w:history="1">
        <w:r w:rsidR="007B03D9" w:rsidRPr="00B36586">
          <w:rPr>
            <w:rStyle w:val="Hyperlink"/>
            <w:sz w:val="20"/>
            <w:szCs w:val="20"/>
            <w:lang w:eastAsia="en-GB"/>
          </w:rPr>
          <w:t>https://github.com/tseemann/prokka</w:t>
        </w:r>
      </w:hyperlink>
      <w:r w:rsidR="00706F4E" w:rsidRPr="00B36586">
        <w:rPr>
          <w:color w:val="000000"/>
          <w:lang w:eastAsia="en-GB"/>
        </w:rPr>
        <w:t xml:space="preserve">) </w:t>
      </w:r>
      <w:r w:rsidR="007B03D9" w:rsidRPr="00B36586">
        <w:rPr>
          <w:color w:val="000000"/>
          <w:lang w:eastAsia="en-GB"/>
        </w:rPr>
        <w:fldChar w:fldCharType="begin"/>
      </w:r>
      <w:r w:rsidR="00AA21AF">
        <w:rPr>
          <w:color w:val="000000"/>
          <w:lang w:eastAsia="en-GB"/>
        </w:rPr>
        <w:instrText xml:space="preserve"> ADDIN ZOTERO_ITEM CSL_CITATION {"citationID":"BhgKVnxQ","properties":{"formattedCitation":"(30)","plainCitation":"(30)","noteIndex":0},"citationItems":[{"id":972,"uris":["http://zotero.org/users/5334349/items/RI2RNW6N"],"uri":["http://zotero.org/users/5334349/items/RI2RNW6N"],"itemData":{"id":972,"type":"article-journal","title":"Prokka: rapid prokaryotic genome annotation.","container-title":"Bioinformatics (Oxford, England)","page":"2068–9","volume":"30","issue":"14","abstract":"SUMMARY: The multiplex capability and high yield of current day DNA-sequencing instruments has made bacterial whole genome sequencing a routine affair. The subsequent de novo assembly of reads into contigs has been well addressed. The final step of annotating all relevant genomic features on those contigs can be achieved slowly using existing web- and email-based systems, but these are not applicable for sensitive data or integrating into computational pipelines. Here we introduce Prokka, a command line software tool to fully annotate a draft bacterial genome in about 10 min on a typical desktop computer. It produces standards-compliant output files for further analysis or viewing in genome browsers. Availability and implementation: Prokka is implemented in Perl and is freely available under an open source GPLv2 license from http://vicbioinformatics.com/. CONTACT: torsten.seemann@monash.edu.","DOI":"10.1093/bioinformatics/btu153","ISSN":"1367-4811","note":"PMID: 24642063","author":[{"family":"Seemann","given":"Torsten"}],"issued":{"date-parts":[["2014",7]]}}}],"schema":"https://github.com/citation-style-language/schema/raw/master/csl-citation.json"} </w:instrText>
      </w:r>
      <w:r w:rsidR="007B03D9" w:rsidRPr="00B36586">
        <w:rPr>
          <w:color w:val="000000"/>
          <w:lang w:eastAsia="en-GB"/>
        </w:rPr>
        <w:fldChar w:fldCharType="separate"/>
      </w:r>
      <w:r w:rsidR="00AA21AF">
        <w:rPr>
          <w:noProof/>
          <w:color w:val="000000"/>
          <w:lang w:eastAsia="en-GB"/>
        </w:rPr>
        <w:t>(30)</w:t>
      </w:r>
      <w:r w:rsidR="007B03D9" w:rsidRPr="00B36586">
        <w:rPr>
          <w:color w:val="000000"/>
          <w:lang w:eastAsia="en-GB"/>
        </w:rPr>
        <w:fldChar w:fldCharType="end"/>
      </w:r>
      <w:r w:rsidR="007B03D9" w:rsidRPr="00B36586">
        <w:rPr>
          <w:color w:val="000000"/>
          <w:lang w:eastAsia="en-GB"/>
        </w:rPr>
        <w:t xml:space="preserve"> </w:t>
      </w:r>
      <w:r w:rsidR="00706F4E" w:rsidRPr="00B36586">
        <w:rPr>
          <w:color w:val="000000"/>
          <w:lang w:eastAsia="en-GB"/>
        </w:rPr>
        <w:t>then aligned all proteins to the full UniProt TrEMBL database (November 15</w:t>
      </w:r>
      <w:r w:rsidR="00706F4E" w:rsidRPr="00B36586">
        <w:rPr>
          <w:color w:val="000000"/>
          <w:vertAlign w:val="superscript"/>
          <w:lang w:eastAsia="en-GB"/>
        </w:rPr>
        <w:t>th</w:t>
      </w:r>
      <w:r w:rsidR="00706F4E" w:rsidRPr="00B36586">
        <w:rPr>
          <w:color w:val="000000"/>
          <w:lang w:eastAsia="en-GB"/>
        </w:rPr>
        <w:t xml:space="preserve"> 2018) using DIAMOND (v0.9.22, </w:t>
      </w:r>
      <w:hyperlink r:id="rId17" w:history="1">
        <w:r w:rsidR="00542225" w:rsidRPr="00B36586">
          <w:rPr>
            <w:rStyle w:val="Hyperlink"/>
            <w:sz w:val="20"/>
            <w:szCs w:val="20"/>
            <w:lang w:eastAsia="en-GB"/>
          </w:rPr>
          <w:t>https://github.com/bbuchfink/diamond</w:t>
        </w:r>
      </w:hyperlink>
      <w:r w:rsidR="00706F4E" w:rsidRPr="00B36586">
        <w:rPr>
          <w:color w:val="000000"/>
          <w:lang w:eastAsia="en-GB"/>
        </w:rPr>
        <w:t>)</w:t>
      </w:r>
      <w:r w:rsidR="00542225" w:rsidRPr="00B36586">
        <w:rPr>
          <w:color w:val="000000"/>
          <w:lang w:eastAsia="en-GB"/>
        </w:rPr>
        <w:t xml:space="preserve"> </w:t>
      </w:r>
      <w:r w:rsidR="007B03D9" w:rsidRPr="00B36586">
        <w:rPr>
          <w:color w:val="000000"/>
          <w:lang w:eastAsia="en-GB"/>
        </w:rPr>
        <w:fldChar w:fldCharType="begin"/>
      </w:r>
      <w:r w:rsidR="00AA21AF">
        <w:rPr>
          <w:color w:val="000000"/>
          <w:lang w:eastAsia="en-GB"/>
        </w:rPr>
        <w:instrText xml:space="preserve"> ADDIN ZOTERO_ITEM CSL_CITATION {"citationID":"nGSmPlIm","properties":{"formattedCitation":"(31)","plainCitation":"(31)","noteIndex":0},"citationItems":[{"id":2416,"uris":["http://zotero.org/users/5334349/items/FFXRCQ4N"],"uri":["http://zotero.org/users/5334349/items/FFXRCQ4N"],"itemData":{"id":2416,"type":"webpage","title":"Fast and sensitive protein alignment using DIAMOND | Nature Methods","URL":"https://www.nature.com/articles/nmeth.3176","accessed":{"date-parts":[["2019",1,24]]}}}],"schema":"https://github.com/citation-style-language/schema/raw/master/csl-citation.json"} </w:instrText>
      </w:r>
      <w:r w:rsidR="007B03D9" w:rsidRPr="00B36586">
        <w:rPr>
          <w:color w:val="000000"/>
          <w:lang w:eastAsia="en-GB"/>
        </w:rPr>
        <w:fldChar w:fldCharType="separate"/>
      </w:r>
      <w:r w:rsidR="00AA21AF">
        <w:rPr>
          <w:noProof/>
          <w:color w:val="000000"/>
          <w:lang w:eastAsia="en-GB"/>
        </w:rPr>
        <w:t>(31)</w:t>
      </w:r>
      <w:r w:rsidR="007B03D9" w:rsidRPr="00B36586">
        <w:rPr>
          <w:color w:val="000000"/>
          <w:lang w:eastAsia="en-GB"/>
        </w:rPr>
        <w:fldChar w:fldCharType="end"/>
      </w:r>
      <w:r w:rsidR="007B03D9" w:rsidRPr="00B36586">
        <w:rPr>
          <w:color w:val="000000"/>
          <w:lang w:eastAsia="en-GB"/>
        </w:rPr>
        <w:t xml:space="preserve"> </w:t>
      </w:r>
      <w:r w:rsidR="00542225" w:rsidRPr="00B36586">
        <w:rPr>
          <w:color w:val="000000"/>
          <w:lang w:eastAsia="en-GB"/>
        </w:rPr>
        <w:t xml:space="preserve">and compared </w:t>
      </w:r>
      <w:r w:rsidR="006E431B" w:rsidRPr="00B36586">
        <w:rPr>
          <w:color w:val="000000"/>
          <w:lang w:eastAsia="en-GB"/>
        </w:rPr>
        <w:t xml:space="preserve">the length of each protein to its top hit. </w:t>
      </w:r>
      <w:r w:rsidR="00EB4EE1" w:rsidRPr="00B36586">
        <w:rPr>
          <w:color w:val="000000"/>
          <w:lang w:eastAsia="en-GB"/>
        </w:rPr>
        <w:t xml:space="preserve">We compared proteins </w:t>
      </w:r>
      <w:r w:rsidR="00ED3573" w:rsidRPr="00B36586">
        <w:rPr>
          <w:color w:val="000000"/>
          <w:lang w:eastAsia="en-GB"/>
        </w:rPr>
        <w:t>in</w:t>
      </w:r>
      <w:r w:rsidR="00EB4EE1" w:rsidRPr="00B36586">
        <w:rPr>
          <w:color w:val="000000"/>
          <w:lang w:eastAsia="en-GB"/>
        </w:rPr>
        <w:t xml:space="preserve"> assemblies </w:t>
      </w:r>
      <w:r w:rsidR="00216F8D" w:rsidRPr="00B36586">
        <w:rPr>
          <w:color w:val="000000"/>
          <w:lang w:eastAsia="en-GB"/>
        </w:rPr>
        <w:t>for</w:t>
      </w:r>
      <w:r w:rsidR="00EB4EE1" w:rsidRPr="00B36586">
        <w:rPr>
          <w:color w:val="000000"/>
          <w:lang w:eastAsia="en-GB"/>
        </w:rPr>
        <w:t xml:space="preserve"> the same sample </w:t>
      </w:r>
      <w:r w:rsidR="00762481" w:rsidRPr="00B36586">
        <w:rPr>
          <w:color w:val="000000"/>
          <w:lang w:eastAsia="en-GB"/>
        </w:rPr>
        <w:t>with</w:t>
      </w:r>
      <w:r w:rsidR="00EB4EE1" w:rsidRPr="00B36586">
        <w:rPr>
          <w:color w:val="000000"/>
          <w:lang w:eastAsia="en-GB"/>
        </w:rPr>
        <w:t xml:space="preserve"> Roary </w:t>
      </w:r>
      <w:r w:rsidR="008B3DB0" w:rsidRPr="00B36586">
        <w:rPr>
          <w:color w:val="000000"/>
          <w:lang w:eastAsia="en-GB"/>
        </w:rPr>
        <w:t xml:space="preserve">(v3.12.0, </w:t>
      </w:r>
      <w:hyperlink r:id="rId18" w:history="1">
        <w:r w:rsidR="008B3DB0" w:rsidRPr="00B36586">
          <w:rPr>
            <w:rStyle w:val="Hyperlink"/>
            <w:sz w:val="20"/>
            <w:szCs w:val="20"/>
            <w:lang w:eastAsia="en-GB"/>
          </w:rPr>
          <w:t>https://sanger-pathogens.github.io/Roary</w:t>
        </w:r>
      </w:hyperlink>
      <w:r w:rsidR="008B3DB0" w:rsidRPr="00B36586">
        <w:rPr>
          <w:color w:val="000000"/>
          <w:lang w:eastAsia="en-GB"/>
        </w:rPr>
        <w:t xml:space="preserve">) </w:t>
      </w:r>
      <w:r w:rsidR="008B3DB0" w:rsidRPr="00B36586">
        <w:rPr>
          <w:color w:val="000000"/>
          <w:lang w:eastAsia="en-GB"/>
        </w:rPr>
        <w:fldChar w:fldCharType="begin"/>
      </w:r>
      <w:r w:rsidR="00AA21AF">
        <w:rPr>
          <w:color w:val="000000"/>
          <w:lang w:eastAsia="en-GB"/>
        </w:rPr>
        <w:instrText xml:space="preserve"> ADDIN ZOTERO_ITEM CSL_CITATION {"citationID":"qOghhoJK","properties":{"formattedCitation":"(32)","plainCitation":"(32)","noteIndex":0},"citationItems":[{"id":926,"uris":["http://zotero.org/users/5334349/items/R92H7YWV"],"uri":["http://zotero.org/users/5334349/items/R92H7YWV"],"itemData":{"id":926,"type":"article-journal","title":"Roary: Rapid large-scale prokaryote pan genome analysis","container-title":"Bioinformatics","page":"3691–3693","volume":"31","issue":"22","abstract":"Summary: A typical prokaryote population sequencing study can now consist of hundreds or thousands of isolates. Interrogating these datasets can provide detailed insights into the genetic structure of prokaryotic genomes. We introduce Roary, a tool that rapidly builds large-scale pan genomes, identifying the core and accessory genes. Roary makes construction of the pan genome of thousands of prokaryote samples possible on a standard desktop without compromising on the accuracy of results. Using a single CPU Roary can produce a pan genome consisting of 1000 isolates in 4.5 hours using 13 GB of RAM, with further speedups possible using multiple processors. Availability and implementation: Roary is implemented in Perl and is freely available under an open source GPLv3 license from http://sanger-pathogens.github.io/Roary Contact: roary@sanger.ac.uk Supplementary information: Supplementary data are available at Bioinformatics online.","DOI":"10.1093/bioinformatics/btv421","ISSN":"14602059","note":"PMID: 26198102","author":[{"family":"Page","given":"Andrew J."},{"family":"Cummins","given":"Carla A."},{"family":"Hunt","given":"Martin"},{"family":"Wong","given":"Vanessa K."},{"family":"Reuter","given":"Sandra"},{"family":"Holden","given":"Matthew T G"},{"family":"Fookes","given":"Maria"},{"family":"Falush","given":"Daniel"},{"family":"Keane","given":"Jacqueline A."},{"family":"Parkhill","given":"Julian"}],"issued":{"date-parts":[["2015"]]}}}],"schema":"https://github.com/citation-style-language/schema/raw/master/csl-citation.json"} </w:instrText>
      </w:r>
      <w:r w:rsidR="008B3DB0" w:rsidRPr="00B36586">
        <w:rPr>
          <w:color w:val="000000"/>
          <w:lang w:eastAsia="en-GB"/>
        </w:rPr>
        <w:fldChar w:fldCharType="separate"/>
      </w:r>
      <w:r w:rsidR="00AA21AF">
        <w:rPr>
          <w:noProof/>
          <w:color w:val="000000"/>
          <w:lang w:eastAsia="en-GB"/>
        </w:rPr>
        <w:t>(32)</w:t>
      </w:r>
      <w:r w:rsidR="008B3DB0" w:rsidRPr="00B36586">
        <w:rPr>
          <w:color w:val="000000"/>
          <w:lang w:eastAsia="en-GB"/>
        </w:rPr>
        <w:fldChar w:fldCharType="end"/>
      </w:r>
      <w:r w:rsidR="008B3DB0" w:rsidRPr="00B36586">
        <w:rPr>
          <w:color w:val="000000"/>
          <w:lang w:eastAsia="en-GB"/>
        </w:rPr>
        <w:t>.</w:t>
      </w:r>
    </w:p>
    <w:p w14:paraId="39A18C45" w14:textId="2F570FBE" w:rsidR="009C1465" w:rsidRPr="002E4340" w:rsidRDefault="005D2BC7">
      <w:pPr>
        <w:spacing w:after="120"/>
        <w:jc w:val="both"/>
        <w:rPr>
          <w:color w:val="0000FF"/>
          <w:lang w:eastAsia="en-GB"/>
        </w:rPr>
      </w:pPr>
      <w:r w:rsidRPr="00B36586">
        <w:rPr>
          <w:color w:val="000000"/>
          <w:lang w:eastAsia="en-GB"/>
        </w:rPr>
        <w:t>We additionally</w:t>
      </w:r>
      <w:r w:rsidR="00800D40" w:rsidRPr="00B36586">
        <w:rPr>
          <w:color w:val="000000"/>
          <w:lang w:eastAsia="en-GB"/>
        </w:rPr>
        <w:t xml:space="preserve"> compare</w:t>
      </w:r>
      <w:r w:rsidR="00CD1E7B" w:rsidRPr="00B36586">
        <w:rPr>
          <w:color w:val="000000"/>
          <w:lang w:eastAsia="en-GB"/>
        </w:rPr>
        <w:t>d</w:t>
      </w:r>
      <w:r w:rsidR="00800D40" w:rsidRPr="00B36586">
        <w:rPr>
          <w:color w:val="000000"/>
          <w:lang w:eastAsia="en-GB"/>
        </w:rPr>
        <w:t xml:space="preserve"> different</w:t>
      </w:r>
      <w:r w:rsidR="00C90525">
        <w:rPr>
          <w:color w:val="000000"/>
          <w:lang w:eastAsia="en-GB"/>
        </w:rPr>
        <w:t xml:space="preserve"> hybrid</w:t>
      </w:r>
      <w:r w:rsidR="00800D40" w:rsidRPr="00B36586">
        <w:rPr>
          <w:color w:val="000000"/>
          <w:lang w:eastAsia="en-GB"/>
        </w:rPr>
        <w:t xml:space="preserve"> assemblies of the same</w:t>
      </w:r>
      <w:r w:rsidR="00CD1E7B" w:rsidRPr="00B36586">
        <w:rPr>
          <w:color w:val="000000"/>
          <w:lang w:eastAsia="en-GB"/>
        </w:rPr>
        <w:t xml:space="preserve"> extract </w:t>
      </w:r>
      <w:r w:rsidR="00800D40" w:rsidRPr="00B36586">
        <w:rPr>
          <w:color w:val="000000"/>
          <w:lang w:eastAsia="en-GB"/>
        </w:rPr>
        <w:t>using</w:t>
      </w:r>
      <w:r w:rsidR="003E0FEE" w:rsidRPr="00B36586">
        <w:rPr>
          <w:color w:val="000000"/>
          <w:lang w:eastAsia="en-GB"/>
        </w:rPr>
        <w:t>:</w:t>
      </w:r>
    </w:p>
    <w:p w14:paraId="2AB70A22" w14:textId="66925CD2" w:rsidR="003E0FEE" w:rsidRPr="00B36586" w:rsidRDefault="003E0FEE" w:rsidP="00223FA0">
      <w:pPr>
        <w:pStyle w:val="ListParagraph"/>
        <w:numPr>
          <w:ilvl w:val="0"/>
          <w:numId w:val="40"/>
        </w:numPr>
        <w:spacing w:before="40" w:after="40"/>
        <w:ind w:left="714" w:hanging="357"/>
        <w:jc w:val="both"/>
        <w:rPr>
          <w:rFonts w:eastAsia="Times New Roman"/>
          <w:color w:val="000000"/>
          <w:lang w:eastAsia="en-GB"/>
        </w:rPr>
      </w:pPr>
      <w:r w:rsidRPr="00B36586">
        <w:rPr>
          <w:rFonts w:eastAsia="Times New Roman"/>
          <w:color w:val="000000"/>
          <w:lang w:eastAsia="en-GB"/>
        </w:rPr>
        <w:t xml:space="preserve">ALE </w:t>
      </w:r>
      <w:r w:rsidR="00202A95">
        <w:rPr>
          <w:rFonts w:eastAsia="Times New Roman"/>
          <w:color w:val="000000"/>
          <w:lang w:eastAsia="en-GB"/>
        </w:rPr>
        <w:t>(</w:t>
      </w:r>
      <w:r w:rsidR="00202A95" w:rsidRPr="00202A95">
        <w:rPr>
          <w:rFonts w:eastAsia="Times New Roman"/>
          <w:color w:val="0000FF" w:themeColor="accent4"/>
          <w:sz w:val="20"/>
          <w:szCs w:val="20"/>
          <w:lang w:eastAsia="en-GB"/>
        </w:rPr>
        <w:t>https://github.com/sc932/ALE</w:t>
      </w:r>
      <w:r w:rsidR="00202A95">
        <w:rPr>
          <w:rFonts w:eastAsia="Times New Roman"/>
          <w:color w:val="000000"/>
          <w:lang w:eastAsia="en-GB"/>
        </w:rPr>
        <w:t xml:space="preserve">) </w:t>
      </w:r>
      <w:r w:rsidR="005D7304" w:rsidRPr="00B36586">
        <w:rPr>
          <w:rFonts w:eastAsia="Times New Roman"/>
          <w:color w:val="000000"/>
          <w:lang w:eastAsia="en-GB"/>
        </w:rPr>
        <w:fldChar w:fldCharType="begin"/>
      </w:r>
      <w:r w:rsidR="00AA21AF">
        <w:rPr>
          <w:rFonts w:eastAsia="Times New Roman"/>
          <w:color w:val="000000"/>
          <w:lang w:eastAsia="en-GB"/>
        </w:rPr>
        <w:instrText xml:space="preserve"> ADDIN ZOTERO_ITEM CSL_CITATION {"citationID":"4pM3fuVx","properties":{"formattedCitation":"(33)","plainCitation":"(33)","noteIndex":0},"citationItems":[{"id":2260,"uris":["http://zotero.org/users/5334349/items/8SDVEBWK"],"uri":["http://zotero.org/users/5334349/items/8SDVEBWK"],"itemData":{"id":2260,"type":"article-journal","title":"ALE: a generic assembly likelihood evaluation framework for assessing the accuracy of genome and metagenome assemblies","container-title":"Bioinformatics (Oxford, England)","page":"435-443","volume":"29","issue":"4","source":"PubMed","abstract":"MOTIVATION: Researchers need general purpose methods for objectively evaluating the accuracy of single and metagenome assemblies and for automatically detecting any errors they may contain. Current methods do not fully meet this need because they require a reference, only consider one of the many aspects of assembly quality or lack statistical justification, and none are designed to evaluate metagenome assemblies.\nRESULTS: In this article, we present an Assembly Likelihood Evaluation (ALE) framework that overcomes these limitations, systematically evaluating the accuracy of an assembly in a reference-independent manner using rigorous statistical methods. This framework is comprehensive, and integrates read quality, mate pair orientation and insert length (for paired-end reads), sequencing coverage, read alignment and k-mer frequency. ALE pinpoints synthetic errors in both single and metagenomic assemblies, including single-base errors, insertions/deletions, genome rearrangements and chimeric assemblies presented in metagenomes. At the genome level with real-world data, ALE identifies three large misassemblies from the Spirochaeta smaragdinae finished genome, which were all independently validated by Pacific Biosciences sequencing. At the single-base level with Illumina data, ALE recovers 215 of 222 (97%) single nucleotide variants in a training set from a GC-rich Rhodobacter sphaeroides genome. Using real Pacific Biosciences data, ALE identifies 12 of 12 synthetic errors in a Lambda Phage genome, surpassing even Pacific Biosciences' own variant caller, EviCons. In summary, the ALE framework provides a comprehensive, reference-independent and statistically rigorous measure of single genome and metagenome assembly accuracy, which can be used to identify misassemblies or to optimize the assembly process.\nAVAILABILITY: ALE is released as open source software under the UoI/NCSA license at http://www.alescore.org. It is implemented in C and Python.","DOI":"10.1093/bioinformatics/bts723","ISSN":"1367-4811","note":"PMID: 23303509","title-short":"ALE","journalAbbreviation":"Bioinformatics","language":"eng","author":[{"family":"Clark","given":"Scott C."},{"family":"Egan","given":"Rob"},{"family":"Frazier","given":"Peter I."},{"family":"Wang","given":"Zhong"}],"issued":{"date-parts":[["2013",2,15]]}}}],"schema":"https://github.com/citation-style-language/schema/raw/master/csl-citation.json"} </w:instrText>
      </w:r>
      <w:r w:rsidR="005D7304" w:rsidRPr="00B36586">
        <w:rPr>
          <w:rFonts w:eastAsia="Times New Roman"/>
          <w:color w:val="000000"/>
          <w:lang w:eastAsia="en-GB"/>
        </w:rPr>
        <w:fldChar w:fldCharType="separate"/>
      </w:r>
      <w:r w:rsidR="00AA21AF">
        <w:rPr>
          <w:rFonts w:eastAsia="Times New Roman"/>
          <w:noProof/>
          <w:color w:val="000000"/>
          <w:lang w:eastAsia="en-GB"/>
        </w:rPr>
        <w:t>(33)</w:t>
      </w:r>
      <w:r w:rsidR="005D7304" w:rsidRPr="00B36586">
        <w:rPr>
          <w:rFonts w:eastAsia="Times New Roman"/>
          <w:color w:val="000000"/>
          <w:lang w:eastAsia="en-GB"/>
        </w:rPr>
        <w:fldChar w:fldCharType="end"/>
      </w:r>
      <w:r w:rsidRPr="00B36586">
        <w:rPr>
          <w:rFonts w:eastAsia="Times New Roman"/>
          <w:color w:val="000000"/>
          <w:lang w:eastAsia="en-GB"/>
        </w:rPr>
        <w:t>, which assesses the qual</w:t>
      </w:r>
      <w:r w:rsidR="005D2BC7" w:rsidRPr="00B36586">
        <w:rPr>
          <w:rFonts w:eastAsia="Times New Roman"/>
          <w:color w:val="000000"/>
          <w:lang w:eastAsia="en-GB"/>
        </w:rPr>
        <w:t xml:space="preserve">ity of different assemblies </w:t>
      </w:r>
      <w:r w:rsidRPr="00B36586">
        <w:rPr>
          <w:rFonts w:eastAsia="Times New Roman"/>
          <w:color w:val="000000"/>
          <w:lang w:eastAsia="en-GB"/>
        </w:rPr>
        <w:t>using a likelihood-based score of ho</w:t>
      </w:r>
      <w:r w:rsidR="005D2BC7" w:rsidRPr="00B36586">
        <w:rPr>
          <w:rFonts w:eastAsia="Times New Roman"/>
          <w:color w:val="000000"/>
          <w:lang w:eastAsia="en-GB"/>
        </w:rPr>
        <w:t>w well Illumina reads map to each</w:t>
      </w:r>
      <w:r w:rsidRPr="00B36586">
        <w:rPr>
          <w:rFonts w:eastAsia="Times New Roman"/>
          <w:color w:val="000000"/>
          <w:lang w:eastAsia="en-GB"/>
        </w:rPr>
        <w:t xml:space="preserve"> assemb</w:t>
      </w:r>
      <w:r w:rsidR="00CD1E7B" w:rsidRPr="00B36586">
        <w:rPr>
          <w:rFonts w:eastAsia="Times New Roman"/>
          <w:color w:val="000000"/>
          <w:lang w:eastAsia="en-GB"/>
        </w:rPr>
        <w:t>l</w:t>
      </w:r>
      <w:r w:rsidRPr="00B36586">
        <w:rPr>
          <w:rFonts w:eastAsia="Times New Roman"/>
          <w:color w:val="000000"/>
          <w:lang w:eastAsia="en-GB"/>
        </w:rPr>
        <w:t>y.</w:t>
      </w:r>
      <w:r w:rsidR="00926789" w:rsidRPr="00B36586">
        <w:rPr>
          <w:rFonts w:eastAsia="Times New Roman"/>
          <w:color w:val="000000"/>
          <w:lang w:eastAsia="en-GB"/>
        </w:rPr>
        <w:t xml:space="preserve"> ALE was run with default parameters</w:t>
      </w:r>
      <w:r w:rsidR="000F193F" w:rsidRPr="00B36586">
        <w:rPr>
          <w:rFonts w:eastAsia="Times New Roman"/>
          <w:color w:val="000000"/>
          <w:lang w:eastAsia="en-GB"/>
        </w:rPr>
        <w:t>;</w:t>
      </w:r>
      <w:r w:rsidR="00926789" w:rsidRPr="00B36586">
        <w:rPr>
          <w:rFonts w:eastAsia="Times New Roman"/>
          <w:color w:val="000000"/>
          <w:lang w:eastAsia="en-GB"/>
        </w:rPr>
        <w:t xml:space="preserve"> Illumina reads were mapped to references using Bowtie2 (v2.3.3</w:t>
      </w:r>
      <w:r w:rsidR="002074F7">
        <w:rPr>
          <w:rFonts w:eastAsia="Times New Roman"/>
          <w:color w:val="000000"/>
          <w:lang w:eastAsia="en-GB"/>
        </w:rPr>
        <w:t xml:space="preserve">, </w:t>
      </w:r>
      <w:r w:rsidR="002074F7" w:rsidRPr="002074F7">
        <w:rPr>
          <w:rFonts w:eastAsia="Times New Roman"/>
          <w:color w:val="0000FF" w:themeColor="accent4"/>
          <w:sz w:val="20"/>
          <w:szCs w:val="20"/>
          <w:lang w:eastAsia="en-GB"/>
        </w:rPr>
        <w:t>https://github.com/BenLangmead/bowtie2</w:t>
      </w:r>
      <w:r w:rsidR="00926789" w:rsidRPr="00B36586">
        <w:rPr>
          <w:rFonts w:eastAsia="Times New Roman"/>
          <w:color w:val="000000"/>
          <w:lang w:eastAsia="en-GB"/>
        </w:rPr>
        <w:t xml:space="preserve">) </w:t>
      </w:r>
      <w:r w:rsidR="005D7304" w:rsidRPr="00B36586">
        <w:rPr>
          <w:rFonts w:eastAsia="Times New Roman"/>
          <w:color w:val="000000"/>
          <w:lang w:eastAsia="en-GB"/>
        </w:rPr>
        <w:fldChar w:fldCharType="begin"/>
      </w:r>
      <w:r w:rsidR="00AA21AF">
        <w:rPr>
          <w:rFonts w:eastAsia="Times New Roman"/>
          <w:color w:val="000000"/>
          <w:lang w:eastAsia="en-GB"/>
        </w:rPr>
        <w:instrText xml:space="preserve"> ADDIN ZOTERO_ITEM CSL_CITATION {"citationID":"JEpOBjVL","properties":{"formattedCitation":"(34)","plainCitation":"(34)","noteIndex":0},"citationItems":[{"id":2289,"uris":["http://zotero.org/users/5334349/items/TW6VBHJY"],"uri":["http://zotero.org/users/5334349/items/TW6VBHJY"],"itemData":{"id":2289,"type":"article-journal","title":"Fast gapped-read alignment with Bowtie 2","container-title":"Nature Methods","page":"357-359","volume":"9","issue":"4","source":"PubMed","abstract":"As the rate of sequencing increases, greater throughput is demanded from read aligners. The full-text minute index is often used to make alignment very fast and memory-efficient, but the approach is ill-suited to finding longer, gapped alignments. Bowtie 2 combines the strengths of the full-text minute index with the flexibility and speed of hardware-accelerated dynamic programming algorithms to achieve a combination of high speed, sensitivity and accuracy.","DOI":"10.1038/nmeth.1923","ISSN":"1548-7105","note":"PMID: 22388286\nPMCID: PMC3322381","journalAbbreviation":"Nat. Methods","language":"eng","author":[{"family":"Langmead","given":"Ben"},{"family":"Salzberg","given":"Steven L."}],"issued":{"date-parts":[["2012",3,4]]}},"locator":"2"}],"schema":"https://github.com/citation-style-language/schema/raw/master/csl-citation.json"} </w:instrText>
      </w:r>
      <w:r w:rsidR="005D7304" w:rsidRPr="00B36586">
        <w:rPr>
          <w:rFonts w:eastAsia="Times New Roman"/>
          <w:color w:val="000000"/>
          <w:lang w:eastAsia="en-GB"/>
        </w:rPr>
        <w:fldChar w:fldCharType="separate"/>
      </w:r>
      <w:r w:rsidR="00AA21AF">
        <w:rPr>
          <w:rFonts w:eastAsia="Times New Roman"/>
          <w:noProof/>
          <w:color w:val="000000"/>
          <w:lang w:eastAsia="en-GB"/>
        </w:rPr>
        <w:t>(34)</w:t>
      </w:r>
      <w:r w:rsidR="005D7304" w:rsidRPr="00B36586">
        <w:rPr>
          <w:rFonts w:eastAsia="Times New Roman"/>
          <w:color w:val="000000"/>
          <w:lang w:eastAsia="en-GB"/>
        </w:rPr>
        <w:fldChar w:fldCharType="end"/>
      </w:r>
      <w:r w:rsidR="00926789" w:rsidRPr="00B36586">
        <w:rPr>
          <w:rFonts w:eastAsia="Times New Roman"/>
          <w:color w:val="000000"/>
          <w:lang w:eastAsia="en-GB"/>
        </w:rPr>
        <w:t>.</w:t>
      </w:r>
    </w:p>
    <w:p w14:paraId="665E08FB" w14:textId="3DB32E6F" w:rsidR="003E0FEE" w:rsidRPr="00B36586" w:rsidRDefault="00005F5F" w:rsidP="00223FA0">
      <w:pPr>
        <w:pStyle w:val="ListParagraph"/>
        <w:numPr>
          <w:ilvl w:val="0"/>
          <w:numId w:val="40"/>
        </w:numPr>
        <w:spacing w:after="40"/>
        <w:ind w:left="714" w:hanging="357"/>
        <w:jc w:val="both"/>
        <w:rPr>
          <w:rFonts w:eastAsia="Times New Roman"/>
          <w:color w:val="000000"/>
          <w:lang w:eastAsia="en-GB"/>
        </w:rPr>
      </w:pPr>
      <w:r w:rsidRPr="00B36586">
        <w:rPr>
          <w:rFonts w:eastAsia="Times New Roman"/>
          <w:color w:val="000000"/>
          <w:lang w:eastAsia="en-GB"/>
        </w:rPr>
        <w:t>DNAdiff (as part of MUMMER v3.23</w:t>
      </w:r>
      <w:r w:rsidR="009173EC">
        <w:rPr>
          <w:rFonts w:eastAsia="Times New Roman"/>
          <w:color w:val="000000"/>
          <w:lang w:eastAsia="en-GB"/>
        </w:rPr>
        <w:t xml:space="preserve">, </w:t>
      </w:r>
      <w:r w:rsidR="009173EC" w:rsidRPr="009173EC">
        <w:rPr>
          <w:rFonts w:eastAsia="Times New Roman"/>
          <w:color w:val="0000FF" w:themeColor="accent4"/>
          <w:sz w:val="20"/>
          <w:szCs w:val="20"/>
          <w:lang w:eastAsia="en-GB"/>
        </w:rPr>
        <w:t>https://github.com/mummer4/mummer</w:t>
      </w:r>
      <w:r w:rsidRPr="00B36586">
        <w:rPr>
          <w:rFonts w:eastAsia="Times New Roman"/>
          <w:color w:val="000000"/>
          <w:lang w:eastAsia="en-GB"/>
        </w:rPr>
        <w:t xml:space="preserve">) </w:t>
      </w:r>
      <w:r w:rsidR="005D7304" w:rsidRPr="00B36586">
        <w:rPr>
          <w:rFonts w:eastAsia="Times New Roman"/>
          <w:color w:val="000000"/>
          <w:lang w:eastAsia="en-GB"/>
        </w:rPr>
        <w:fldChar w:fldCharType="begin"/>
      </w:r>
      <w:r w:rsidR="00AA21AF">
        <w:rPr>
          <w:rFonts w:eastAsia="Times New Roman"/>
          <w:color w:val="000000"/>
          <w:lang w:eastAsia="en-GB"/>
        </w:rPr>
        <w:instrText xml:space="preserve"> ADDIN ZOTERO_ITEM CSL_CITATION {"citationID":"AGdvJxDc","properties":{"formattedCitation":"(35)","plainCitation":"(35)","noteIndex":0},"citationItems":[{"id":2263,"uris":["http://zotero.org/users/5334349/items/JVFD64TJ"],"uri":["http://zotero.org/users/5334349/items/JVFD64TJ"],"itemData":{"id":2263,"type":"article-journal","title":"Versatile and open software for comparing large genomes","container-title":"Genome Biology","page":"R12","volume":"5","issue":"2","source":"PubMed","abstract":"The newest version of MUMmer easily handles comparisons of large eukaryotic genomes at varying evolutionary distances, as demonstrated by applications to multiple genomes. Two new graphical viewing tools provide alternative ways to analyze genome alignments. The new system is the first version of MUMmer to be released as open-source software. This allows other developers to contribute to the code base and freely redistribute the code. The MUMmer sources are available at http://www.tigr.org/software/mummer.","DOI":"10.1186/gb-2004-5-2-r12","ISSN":"1474-760X","note":"PMID: 14759262\nPMCID: PMC395750","journalAbbreviation":"Genome Biol.","language":"eng","author":[{"family":"Kurtz","given":"Stefan"},{"family":"Phillippy","given":"Adam"},{"family":"Delcher","given":"Arthur L."},{"family":"Smoot","given":"Michael"},{"family":"Shumway","given":"Martin"},{"family":"Antonescu","given":"Corina"},{"family":"Salzberg","given":"Steven L."}],"issued":{"date-parts":[["2004"]]}}}],"schema":"https://github.com/citation-style-language/schema/raw/master/csl-citation.json"} </w:instrText>
      </w:r>
      <w:r w:rsidR="005D7304" w:rsidRPr="00B36586">
        <w:rPr>
          <w:rFonts w:eastAsia="Times New Roman"/>
          <w:color w:val="000000"/>
          <w:lang w:eastAsia="en-GB"/>
        </w:rPr>
        <w:fldChar w:fldCharType="separate"/>
      </w:r>
      <w:r w:rsidR="00AA21AF">
        <w:rPr>
          <w:rFonts w:eastAsia="Times New Roman"/>
          <w:noProof/>
          <w:color w:val="000000"/>
          <w:lang w:eastAsia="en-GB"/>
        </w:rPr>
        <w:t>(35)</w:t>
      </w:r>
      <w:r w:rsidR="005D7304" w:rsidRPr="00B36586">
        <w:rPr>
          <w:rFonts w:eastAsia="Times New Roman"/>
          <w:color w:val="000000"/>
          <w:lang w:eastAsia="en-GB"/>
        </w:rPr>
        <w:fldChar w:fldCharType="end"/>
      </w:r>
      <w:r w:rsidR="00CD1E7B" w:rsidRPr="00B36586">
        <w:rPr>
          <w:rFonts w:eastAsia="Times New Roman"/>
          <w:color w:val="000000"/>
          <w:lang w:eastAsia="en-GB"/>
        </w:rPr>
        <w:t>,</w:t>
      </w:r>
      <w:r w:rsidRPr="00B36586">
        <w:rPr>
          <w:rFonts w:eastAsia="Times New Roman"/>
          <w:color w:val="000000"/>
          <w:lang w:eastAsia="en-GB"/>
        </w:rPr>
        <w:t xml:space="preserve"> which compares assemblies of the same </w:t>
      </w:r>
      <w:r w:rsidR="00CD1E7B" w:rsidRPr="00B36586">
        <w:rPr>
          <w:rFonts w:eastAsia="Times New Roman"/>
          <w:color w:val="000000"/>
          <w:lang w:eastAsia="en-GB"/>
        </w:rPr>
        <w:t xml:space="preserve">strain </w:t>
      </w:r>
      <w:r w:rsidRPr="00B36586">
        <w:rPr>
          <w:rFonts w:eastAsia="Times New Roman"/>
          <w:color w:val="000000"/>
          <w:lang w:eastAsia="en-GB"/>
        </w:rPr>
        <w:t>to detect differences such as SNPs and indels.</w:t>
      </w:r>
      <w:r w:rsidR="00926789" w:rsidRPr="00B36586">
        <w:rPr>
          <w:rFonts w:eastAsia="Times New Roman"/>
          <w:color w:val="000000"/>
          <w:lang w:eastAsia="en-GB"/>
        </w:rPr>
        <w:t xml:space="preserve"> DNAdiff was run with default parameters on the fasta assembly files.</w:t>
      </w:r>
      <w:r w:rsidR="000D396D">
        <w:rPr>
          <w:rFonts w:eastAsia="Times New Roman"/>
          <w:color w:val="000000"/>
          <w:lang w:eastAsia="en-GB"/>
        </w:rPr>
        <w:t xml:space="preserve"> </w:t>
      </w:r>
    </w:p>
    <w:p w14:paraId="06EF8A11" w14:textId="5EA5DF58" w:rsidR="00320F9B" w:rsidRPr="00B36586" w:rsidRDefault="00005F5F" w:rsidP="00223FA0">
      <w:pPr>
        <w:pStyle w:val="ListParagraph"/>
        <w:numPr>
          <w:ilvl w:val="0"/>
          <w:numId w:val="40"/>
        </w:numPr>
        <w:spacing w:after="40"/>
        <w:ind w:left="714" w:hanging="357"/>
        <w:jc w:val="both"/>
        <w:rPr>
          <w:rFonts w:eastAsia="Times New Roman"/>
          <w:color w:val="000000"/>
          <w:lang w:eastAsia="en-GB"/>
        </w:rPr>
      </w:pPr>
      <w:r w:rsidRPr="00B36586">
        <w:rPr>
          <w:rFonts w:eastAsia="Times New Roman"/>
          <w:color w:val="000000"/>
          <w:lang w:eastAsia="en-GB"/>
        </w:rPr>
        <w:t>REAPR (v1.0.18</w:t>
      </w:r>
      <w:r w:rsidR="004B6B80">
        <w:rPr>
          <w:rFonts w:eastAsia="Times New Roman"/>
          <w:color w:val="000000"/>
          <w:lang w:eastAsia="en-GB"/>
        </w:rPr>
        <w:t xml:space="preserve">, </w:t>
      </w:r>
      <w:r w:rsidR="004B6B80" w:rsidRPr="004B6B80">
        <w:rPr>
          <w:rFonts w:eastAsia="Times New Roman"/>
          <w:color w:val="0000FF" w:themeColor="accent4"/>
          <w:sz w:val="20"/>
          <w:szCs w:val="20"/>
          <w:lang w:eastAsia="en-GB"/>
        </w:rPr>
        <w:t>https://www.sanger.ac.uk/science/tools/reapr</w:t>
      </w:r>
      <w:r w:rsidRPr="00B36586">
        <w:rPr>
          <w:rFonts w:eastAsia="Times New Roman"/>
          <w:color w:val="000000"/>
          <w:lang w:eastAsia="en-GB"/>
        </w:rPr>
        <w:t xml:space="preserve">) </w:t>
      </w:r>
      <w:r w:rsidR="005D7304" w:rsidRPr="00B36586">
        <w:rPr>
          <w:rFonts w:eastAsia="Times New Roman"/>
          <w:color w:val="000000"/>
          <w:lang w:eastAsia="en-GB"/>
        </w:rPr>
        <w:fldChar w:fldCharType="begin"/>
      </w:r>
      <w:r w:rsidR="00AA21AF">
        <w:rPr>
          <w:rFonts w:eastAsia="Times New Roman"/>
          <w:color w:val="000000"/>
          <w:lang w:eastAsia="en-GB"/>
        </w:rPr>
        <w:instrText xml:space="preserve"> ADDIN ZOTERO_ITEM CSL_CITATION {"citationID":"bKMpRtVU","properties":{"formattedCitation":"(36)","plainCitation":"(36)","noteIndex":0},"citationItems":[{"id":2266,"uris":["http://zotero.org/users/5334349/items/MJZTSYZB"],"uri":["http://zotero.org/users/5334349/items/MJZTSYZB"],"itemData":{"id":2266,"type":"article-journal","title":"REAPR: a universal tool for genome assembly evaluation","container-title":"Genome Biology","page":"R47","volume":"14","issue":"5","source":"PubMed","abstract":"Methods to reliably assess the accuracy of genome sequence data are lacking. Currently completeness is only described qualitatively and mis-assemblies are overlooked. Here we present REAPR, a tool that precisely identifies errors in genome assemblies without the need for a reference sequence. We have validated REAPR on complete genomes or de novo assemblies from bacteria, malaria and Caenorhabditis elegans, and demonstrate that 86% and 82% of the human and mouse reference genomes are error-free, respectively. When applied to an ongoing genome project, REAPR provides corrected assembly statistics allowing the quantitative comparison of multiple assemblies. REAPR is available at http://www.sanger.ac.uk/resources/software/reapr/.","DOI":"10.1186/gb-2013-14-5-r47","ISSN":"1474-760X","note":"PMID: 23710727\nPMCID: PMC3798757","title-short":"REAPR","journalAbbreviation":"Genome Biol.","language":"eng","author":[{"family":"Hunt","given":"Martin"},{"family":"Kikuchi","given":"Taisei"},{"family":"Sanders","given":"Mandy"},{"family":"Newbold","given":"Chris"},{"family":"Berriman","given":"Matthew"},{"family":"Otto","given":"Thomas D."}],"issued":{"date-parts":[["2013",5,27]]}}}],"schema":"https://github.com/citation-style-language/schema/raw/master/csl-citation.json"} </w:instrText>
      </w:r>
      <w:r w:rsidR="005D7304" w:rsidRPr="00B36586">
        <w:rPr>
          <w:rFonts w:eastAsia="Times New Roman"/>
          <w:color w:val="000000"/>
          <w:lang w:eastAsia="en-GB"/>
        </w:rPr>
        <w:fldChar w:fldCharType="separate"/>
      </w:r>
      <w:r w:rsidR="00AA21AF">
        <w:rPr>
          <w:rFonts w:eastAsia="Times New Roman"/>
          <w:noProof/>
          <w:color w:val="000000"/>
          <w:lang w:eastAsia="en-GB"/>
        </w:rPr>
        <w:t>(36)</w:t>
      </w:r>
      <w:r w:rsidR="005D7304" w:rsidRPr="00B36586">
        <w:rPr>
          <w:rFonts w:eastAsia="Times New Roman"/>
          <w:color w:val="000000"/>
          <w:lang w:eastAsia="en-GB"/>
        </w:rPr>
        <w:fldChar w:fldCharType="end"/>
      </w:r>
      <w:r w:rsidR="00CD1E7B" w:rsidRPr="00B36586">
        <w:rPr>
          <w:rFonts w:eastAsia="Times New Roman"/>
          <w:color w:val="000000"/>
          <w:lang w:eastAsia="en-GB"/>
        </w:rPr>
        <w:t>,</w:t>
      </w:r>
      <w:r w:rsidRPr="00B36586">
        <w:rPr>
          <w:rFonts w:eastAsia="Times New Roman"/>
          <w:color w:val="000000"/>
          <w:lang w:eastAsia="en-GB"/>
        </w:rPr>
        <w:t xml:space="preserve"> </w:t>
      </w:r>
      <w:r w:rsidR="006E663E" w:rsidRPr="00B36586">
        <w:rPr>
          <w:rFonts w:eastAsia="Times New Roman"/>
          <w:color w:val="000000"/>
          <w:lang w:eastAsia="en-GB"/>
        </w:rPr>
        <w:t xml:space="preserve">which </w:t>
      </w:r>
      <w:r w:rsidR="005D2BC7" w:rsidRPr="00B36586">
        <w:rPr>
          <w:rFonts w:eastAsia="Times New Roman"/>
          <w:color w:val="000000"/>
          <w:lang w:eastAsia="en-GB"/>
        </w:rPr>
        <w:t>(</w:t>
      </w:r>
      <w:r w:rsidR="006E663E" w:rsidRPr="00B36586">
        <w:rPr>
          <w:rFonts w:eastAsia="Times New Roman"/>
          <w:color w:val="000000"/>
          <w:lang w:eastAsia="en-GB"/>
        </w:rPr>
        <w:t>similar</w:t>
      </w:r>
      <w:r w:rsidR="005D2BC7" w:rsidRPr="00B36586">
        <w:rPr>
          <w:rFonts w:eastAsia="Times New Roman"/>
          <w:color w:val="000000"/>
          <w:lang w:eastAsia="en-GB"/>
        </w:rPr>
        <w:t>ly</w:t>
      </w:r>
      <w:r w:rsidR="006E663E" w:rsidRPr="00B36586">
        <w:rPr>
          <w:rFonts w:eastAsia="Times New Roman"/>
          <w:color w:val="000000"/>
          <w:lang w:eastAsia="en-GB"/>
        </w:rPr>
        <w:t xml:space="preserve"> to ALE</w:t>
      </w:r>
      <w:r w:rsidR="005D2BC7" w:rsidRPr="00B36586">
        <w:rPr>
          <w:rFonts w:eastAsia="Times New Roman"/>
          <w:color w:val="000000"/>
          <w:lang w:eastAsia="en-GB"/>
        </w:rPr>
        <w:t>) evaluates the accuracy of assemblies</w:t>
      </w:r>
      <w:r w:rsidR="006E663E" w:rsidRPr="00B36586">
        <w:rPr>
          <w:rFonts w:eastAsia="Times New Roman"/>
          <w:color w:val="000000"/>
          <w:lang w:eastAsia="en-GB"/>
        </w:rPr>
        <w:t xml:space="preserve"> using information </w:t>
      </w:r>
      <w:r w:rsidR="00CD1E7B" w:rsidRPr="00B36586">
        <w:rPr>
          <w:rFonts w:eastAsia="Times New Roman"/>
          <w:color w:val="000000"/>
          <w:lang w:eastAsia="en-GB"/>
        </w:rPr>
        <w:t xml:space="preserve">from </w:t>
      </w:r>
      <w:r w:rsidR="006E663E" w:rsidRPr="00B36586">
        <w:rPr>
          <w:rFonts w:eastAsia="Times New Roman"/>
          <w:color w:val="000000"/>
          <w:lang w:eastAsia="en-GB"/>
        </w:rPr>
        <w:t>short read</w:t>
      </w:r>
      <w:r w:rsidR="00CD1E7B" w:rsidRPr="00B36586">
        <w:rPr>
          <w:rFonts w:eastAsia="Times New Roman"/>
          <w:color w:val="000000"/>
          <w:lang w:eastAsia="en-GB"/>
        </w:rPr>
        <w:t xml:space="preserve"> mapping</w:t>
      </w:r>
      <w:r w:rsidR="006E663E" w:rsidRPr="00B36586">
        <w:rPr>
          <w:rFonts w:eastAsia="Times New Roman"/>
          <w:color w:val="000000"/>
          <w:lang w:eastAsia="en-GB"/>
        </w:rPr>
        <w:t xml:space="preserve"> to the assembly.</w:t>
      </w:r>
      <w:r w:rsidR="00926789" w:rsidRPr="00B36586">
        <w:rPr>
          <w:rFonts w:eastAsia="Times New Roman"/>
          <w:color w:val="000000"/>
          <w:lang w:eastAsia="en-GB"/>
        </w:rPr>
        <w:t xml:space="preserve"> REAPR was run using the options </w:t>
      </w:r>
      <w:r w:rsidR="005E7549" w:rsidRPr="00B36586">
        <w:rPr>
          <w:rFonts w:eastAsia="Times New Roman"/>
          <w:color w:val="000000"/>
          <w:lang w:eastAsia="en-GB"/>
        </w:rPr>
        <w:t>“</w:t>
      </w:r>
      <w:r w:rsidR="00926789" w:rsidRPr="00B36586">
        <w:rPr>
          <w:rFonts w:eastAsia="Times New Roman"/>
          <w:color w:val="000000"/>
          <w:lang w:eastAsia="en-GB"/>
        </w:rPr>
        <w:t>facheck</w:t>
      </w:r>
      <w:r w:rsidR="005E7549" w:rsidRPr="00B36586">
        <w:rPr>
          <w:rFonts w:eastAsia="Times New Roman"/>
          <w:color w:val="000000"/>
          <w:lang w:eastAsia="en-GB"/>
        </w:rPr>
        <w:t>”</w:t>
      </w:r>
      <w:r w:rsidR="00926789" w:rsidRPr="00B36586">
        <w:rPr>
          <w:rFonts w:eastAsia="Times New Roman"/>
          <w:color w:val="000000"/>
          <w:lang w:eastAsia="en-GB"/>
        </w:rPr>
        <w:t xml:space="preserve">, </w:t>
      </w:r>
      <w:r w:rsidR="005E7549" w:rsidRPr="00B36586">
        <w:rPr>
          <w:rFonts w:eastAsia="Times New Roman"/>
          <w:color w:val="000000"/>
          <w:lang w:eastAsia="en-GB"/>
        </w:rPr>
        <w:t>“</w:t>
      </w:r>
      <w:r w:rsidR="00926789" w:rsidRPr="00B36586">
        <w:rPr>
          <w:rFonts w:eastAsia="Times New Roman"/>
          <w:color w:val="000000"/>
          <w:lang w:eastAsia="en-GB"/>
        </w:rPr>
        <w:t>smaltmap</w:t>
      </w:r>
      <w:r w:rsidR="005E7549" w:rsidRPr="00B36586">
        <w:rPr>
          <w:rFonts w:eastAsia="Times New Roman"/>
          <w:color w:val="000000"/>
          <w:lang w:eastAsia="en-GB"/>
        </w:rPr>
        <w:t>”</w:t>
      </w:r>
      <w:r w:rsidR="00926789" w:rsidRPr="00B36586">
        <w:rPr>
          <w:rFonts w:eastAsia="Times New Roman"/>
          <w:color w:val="000000"/>
          <w:lang w:eastAsia="en-GB"/>
        </w:rPr>
        <w:t xml:space="preserve"> and </w:t>
      </w:r>
      <w:r w:rsidR="005E7549" w:rsidRPr="00B36586">
        <w:rPr>
          <w:rFonts w:eastAsia="Times New Roman"/>
          <w:color w:val="000000"/>
          <w:lang w:eastAsia="en-GB"/>
        </w:rPr>
        <w:t>“</w:t>
      </w:r>
      <w:r w:rsidR="00926789" w:rsidRPr="00B36586">
        <w:rPr>
          <w:rFonts w:eastAsia="Times New Roman"/>
          <w:color w:val="000000"/>
          <w:lang w:eastAsia="en-GB"/>
        </w:rPr>
        <w:t>pipeline</w:t>
      </w:r>
      <w:r w:rsidR="005E7549" w:rsidRPr="00B36586">
        <w:rPr>
          <w:rFonts w:eastAsia="Times New Roman"/>
          <w:color w:val="000000"/>
          <w:lang w:eastAsia="en-GB"/>
        </w:rPr>
        <w:t>”</w:t>
      </w:r>
      <w:r w:rsidR="00926789" w:rsidRPr="00B36586">
        <w:rPr>
          <w:rFonts w:eastAsia="Times New Roman"/>
          <w:color w:val="000000"/>
          <w:lang w:eastAsia="en-GB"/>
        </w:rPr>
        <w:t xml:space="preserve"> with default parameters.</w:t>
      </w:r>
    </w:p>
    <w:p w14:paraId="58BE96AE" w14:textId="50CE9E7A" w:rsidR="00476ABF" w:rsidRPr="00B36586" w:rsidRDefault="00627591" w:rsidP="00223FA0">
      <w:pPr>
        <w:pStyle w:val="ListParagraph"/>
        <w:numPr>
          <w:ilvl w:val="0"/>
          <w:numId w:val="40"/>
        </w:numPr>
        <w:spacing w:after="40"/>
        <w:ind w:left="714" w:hanging="357"/>
        <w:jc w:val="both"/>
        <w:rPr>
          <w:u w:val="single"/>
        </w:rPr>
      </w:pPr>
      <w:r w:rsidRPr="00B36586">
        <w:rPr>
          <w:rFonts w:eastAsia="Times New Roman"/>
          <w:color w:val="000000"/>
          <w:lang w:eastAsia="en-GB"/>
        </w:rPr>
        <w:t xml:space="preserve">Minimap2 </w:t>
      </w:r>
      <w:r w:rsidR="005D7304" w:rsidRPr="00B36586">
        <w:rPr>
          <w:rFonts w:eastAsia="Times New Roman"/>
          <w:color w:val="000000"/>
          <w:lang w:eastAsia="en-GB"/>
        </w:rPr>
        <w:t>(v2017-09-21</w:t>
      </w:r>
      <w:r w:rsidR="00AC5E02">
        <w:rPr>
          <w:rFonts w:eastAsia="Times New Roman"/>
          <w:color w:val="000000"/>
          <w:lang w:eastAsia="en-GB"/>
        </w:rPr>
        <w:t xml:space="preserve">, </w:t>
      </w:r>
      <w:r w:rsidR="00AC5E02" w:rsidRPr="00AC5E02">
        <w:rPr>
          <w:rFonts w:eastAsia="Times New Roman"/>
          <w:color w:val="0000FF" w:themeColor="accent4"/>
          <w:sz w:val="20"/>
          <w:szCs w:val="20"/>
          <w:lang w:eastAsia="en-GB"/>
        </w:rPr>
        <w:t>https://github.com/lh3/minimap2</w:t>
      </w:r>
      <w:r w:rsidR="005D7304" w:rsidRPr="00B36586">
        <w:rPr>
          <w:rFonts w:eastAsia="Times New Roman"/>
          <w:color w:val="000000"/>
          <w:lang w:eastAsia="en-GB"/>
        </w:rPr>
        <w:t xml:space="preserve">) </w:t>
      </w:r>
      <w:r w:rsidR="005D7304" w:rsidRPr="00B36586">
        <w:rPr>
          <w:rFonts w:eastAsia="Times New Roman"/>
          <w:color w:val="000000"/>
          <w:lang w:eastAsia="en-GB"/>
        </w:rPr>
        <w:fldChar w:fldCharType="begin"/>
      </w:r>
      <w:r w:rsidR="00AA21AF">
        <w:rPr>
          <w:rFonts w:eastAsia="Times New Roman"/>
          <w:color w:val="000000"/>
          <w:lang w:eastAsia="en-GB"/>
        </w:rPr>
        <w:instrText xml:space="preserve"> ADDIN ZOTERO_ITEM CSL_CITATION {"citationID":"iWbb0ZVZ","properties":{"formattedCitation":"(37)","plainCitation":"(37)","noteIndex":0},"citationItems":[{"id":2298,"uris":["http://zotero.org/users/5334349/items/8CWWKQCG"],"uri":["http://zotero.org/users/5334349/items/8CWWKQCG"],"itemData":{"id":2298,"type":"article-journal","title":"Minimap2: pairwise alignment for nucleotide sequences","container-title":"Bioinformatics","page":"3094-3100","volume":"34","issue":"18","source":"academic.oup.com","abstract":"AbstractMotivation.  Recent advances in sequencing technologies promise ultra-long reads of </w:instrText>
      </w:r>
      <w:r w:rsidR="00AA21AF">
        <w:rPr>
          <w:rFonts w:ascii="Cambria Math" w:eastAsia="Times New Roman" w:hAnsi="Cambria Math" w:cs="Cambria Math"/>
          <w:color w:val="000000"/>
          <w:lang w:eastAsia="en-GB"/>
        </w:rPr>
        <w:instrText>∼</w:instrText>
      </w:r>
      <w:r w:rsidR="00AA21AF">
        <w:rPr>
          <w:rFonts w:eastAsia="Times New Roman"/>
          <w:color w:val="000000"/>
          <w:lang w:eastAsia="en-GB"/>
        </w:rPr>
        <w:instrText xml:space="preserve">100 kb in average, full-length mRNA or cDNA reads in high throughpu","DOI":"10.1093/bioinformatics/bty191","ISSN":"1367-4803","title-short":"Minimap2","journalAbbreviation":"Bioinformatics","language":"en","author":[{"family":"Li","given":"Heng"}],"issued":{"date-parts":[["2018",9,15]]}},"locator":"2"}],"schema":"https://github.com/citation-style-language/schema/raw/master/csl-citation.json"} </w:instrText>
      </w:r>
      <w:r w:rsidR="005D7304" w:rsidRPr="00B36586">
        <w:rPr>
          <w:rFonts w:eastAsia="Times New Roman"/>
          <w:color w:val="000000"/>
          <w:lang w:eastAsia="en-GB"/>
        </w:rPr>
        <w:fldChar w:fldCharType="separate"/>
      </w:r>
      <w:r w:rsidR="00AA21AF">
        <w:rPr>
          <w:rFonts w:eastAsia="Times New Roman"/>
          <w:color w:val="000000"/>
          <w:lang w:eastAsia="en-GB"/>
        </w:rPr>
        <w:t>(37)</w:t>
      </w:r>
      <w:r w:rsidR="005D7304" w:rsidRPr="00B36586">
        <w:rPr>
          <w:rFonts w:eastAsia="Times New Roman"/>
          <w:color w:val="000000"/>
          <w:lang w:eastAsia="en-GB"/>
        </w:rPr>
        <w:fldChar w:fldCharType="end"/>
      </w:r>
      <w:r w:rsidRPr="00B36586">
        <w:rPr>
          <w:rFonts w:eastAsia="Times New Roman"/>
          <w:color w:val="000000"/>
          <w:lang w:eastAsia="en-GB"/>
        </w:rPr>
        <w:t xml:space="preserve"> was used to map long reads to the </w:t>
      </w:r>
      <w:r w:rsidR="00B70969" w:rsidRPr="00B36586">
        <w:rPr>
          <w:rFonts w:eastAsia="Times New Roman"/>
          <w:color w:val="000000"/>
          <w:lang w:eastAsia="en-GB"/>
        </w:rPr>
        <w:t>hybrid</w:t>
      </w:r>
      <w:r w:rsidRPr="00B36586">
        <w:rPr>
          <w:rFonts w:eastAsia="Times New Roman"/>
          <w:color w:val="000000"/>
          <w:lang w:eastAsia="en-GB"/>
        </w:rPr>
        <w:t xml:space="preserve"> assemblies, and the mappings were </w:t>
      </w:r>
      <w:r w:rsidR="003F566F" w:rsidRPr="00B36586">
        <w:rPr>
          <w:rFonts w:eastAsia="Times New Roman"/>
          <w:color w:val="000000"/>
          <w:lang w:eastAsia="en-GB"/>
        </w:rPr>
        <w:t>evaluated</w:t>
      </w:r>
      <w:r w:rsidRPr="00B36586">
        <w:rPr>
          <w:rFonts w:eastAsia="Times New Roman"/>
          <w:color w:val="000000"/>
          <w:lang w:eastAsia="en-GB"/>
        </w:rPr>
        <w:t xml:space="preserve"> to compare assembly quality and long read </w:t>
      </w:r>
      <w:r w:rsidR="004726DD" w:rsidRPr="00B36586">
        <w:rPr>
          <w:rFonts w:eastAsia="Times New Roman"/>
          <w:color w:val="000000"/>
          <w:lang w:eastAsia="en-GB"/>
        </w:rPr>
        <w:t>features (identity and length)</w:t>
      </w:r>
      <w:r w:rsidRPr="00B36586">
        <w:rPr>
          <w:rFonts w:eastAsia="Times New Roman"/>
          <w:color w:val="000000"/>
          <w:lang w:eastAsia="en-GB"/>
        </w:rPr>
        <w:t xml:space="preserve"> using </w:t>
      </w:r>
      <w:r w:rsidR="00143FD4" w:rsidRPr="00B36586">
        <w:rPr>
          <w:rFonts w:eastAsia="Times New Roman"/>
          <w:color w:val="000000"/>
          <w:lang w:eastAsia="en-GB"/>
        </w:rPr>
        <w:t>scripts from the Filtlong package.</w:t>
      </w:r>
      <w:r w:rsidR="003F566F" w:rsidRPr="00B36586">
        <w:rPr>
          <w:rFonts w:eastAsia="Times New Roman"/>
          <w:color w:val="000000"/>
          <w:lang w:eastAsia="en-GB"/>
        </w:rPr>
        <w:t xml:space="preserve"> </w:t>
      </w:r>
      <w:r w:rsidR="003F566F" w:rsidRPr="00B36586">
        <w:t xml:space="preserve">We considered the </w:t>
      </w:r>
      <w:r w:rsidR="003F566F" w:rsidRPr="00B36586">
        <w:rPr>
          <w:rFonts w:eastAsia="Times New Roman"/>
        </w:rPr>
        <w:t>average identity for each base, and if there were multiple alignments at a base, we used the one with the best score. We aligned PacBio</w:t>
      </w:r>
      <w:r w:rsidR="004A4C8E" w:rsidRPr="00B36586">
        <w:rPr>
          <w:rFonts w:eastAsia="Times New Roman"/>
        </w:rPr>
        <w:t xml:space="preserve"> and ONT</w:t>
      </w:r>
      <w:r w:rsidR="003F566F" w:rsidRPr="00B36586">
        <w:rPr>
          <w:rFonts w:eastAsia="Times New Roman"/>
        </w:rPr>
        <w:t xml:space="preserve"> reads to the hybrid assembl</w:t>
      </w:r>
      <w:r w:rsidR="004A4C8E" w:rsidRPr="00B36586">
        <w:rPr>
          <w:rFonts w:eastAsia="Times New Roman"/>
        </w:rPr>
        <w:t>ies</w:t>
      </w:r>
      <w:r w:rsidR="003F566F" w:rsidRPr="00B36586">
        <w:rPr>
          <w:rFonts w:eastAsia="Times New Roman"/>
        </w:rPr>
        <w:t xml:space="preserve"> obtained</w:t>
      </w:r>
      <w:r w:rsidR="004A4C8E" w:rsidRPr="00B36586">
        <w:rPr>
          <w:rFonts w:eastAsia="Times New Roman"/>
        </w:rPr>
        <w:t xml:space="preserve"> either</w:t>
      </w:r>
      <w:r w:rsidR="003F566F" w:rsidRPr="00B36586">
        <w:rPr>
          <w:rFonts w:eastAsia="Times New Roman"/>
        </w:rPr>
        <w:t xml:space="preserve"> from all PacBio reads</w:t>
      </w:r>
      <w:r w:rsidR="004A4C8E" w:rsidRPr="00B36586">
        <w:rPr>
          <w:rFonts w:eastAsia="Times New Roman"/>
        </w:rPr>
        <w:t xml:space="preserve"> or from all ONT reads</w:t>
      </w:r>
      <w:r w:rsidR="003F566F" w:rsidRPr="00B36586">
        <w:rPr>
          <w:rFonts w:eastAsia="Times New Roman"/>
        </w:rPr>
        <w:t xml:space="preserve">. </w:t>
      </w:r>
      <w:r w:rsidR="003F566F" w:rsidRPr="00B36586">
        <w:t>Read alignments were classified as</w:t>
      </w:r>
      <w:r w:rsidR="008B1849" w:rsidRPr="00B36586">
        <w:t>:</w:t>
      </w:r>
      <w:r w:rsidR="003F566F" w:rsidRPr="00B36586">
        <w:t xml:space="preserve"> </w:t>
      </w:r>
      <w:r w:rsidR="005E7549" w:rsidRPr="00B36586">
        <w:t>“</w:t>
      </w:r>
      <w:r w:rsidR="003F566F" w:rsidRPr="00B36586">
        <w:t>good</w:t>
      </w:r>
      <w:r w:rsidR="005E7549" w:rsidRPr="00B36586">
        <w:t>”</w:t>
      </w:r>
      <w:r w:rsidR="003F566F" w:rsidRPr="00B36586">
        <w:t xml:space="preserve"> if they had at least one alignment covering 97% of the read</w:t>
      </w:r>
      <w:r w:rsidR="005E7549" w:rsidRPr="00B36586">
        <w:t>,</w:t>
      </w:r>
      <w:r w:rsidR="003F566F" w:rsidRPr="00B36586">
        <w:t xml:space="preserve"> as a putative </w:t>
      </w:r>
      <w:r w:rsidR="005E7549" w:rsidRPr="00B36586">
        <w:t>“</w:t>
      </w:r>
      <w:r w:rsidR="003F566F" w:rsidRPr="00B36586">
        <w:t>chimera</w:t>
      </w:r>
      <w:r w:rsidR="005E7549" w:rsidRPr="00B36586">
        <w:t>”</w:t>
      </w:r>
      <w:r w:rsidR="003F566F" w:rsidRPr="00B36586">
        <w:t xml:space="preserve"> if they had multiple inconsistent alignments represented by at least 10% of the read length and ≥70% nucleotide identity</w:t>
      </w:r>
      <w:r w:rsidR="008B1849" w:rsidRPr="00B36586">
        <w:t>, and</w:t>
      </w:r>
      <w:r w:rsidR="003F566F" w:rsidRPr="00B36586">
        <w:t xml:space="preserve"> </w:t>
      </w:r>
      <w:r w:rsidR="005E7549" w:rsidRPr="00B36586">
        <w:t>“</w:t>
      </w:r>
      <w:r w:rsidR="003F566F" w:rsidRPr="00B36586">
        <w:t>other</w:t>
      </w:r>
      <w:r w:rsidR="005E7549" w:rsidRPr="00B36586">
        <w:t>”</w:t>
      </w:r>
      <w:r w:rsidR="008B1849" w:rsidRPr="00B36586">
        <w:t xml:space="preserve"> if they did not fall into either of the two previous categories</w:t>
      </w:r>
      <w:r w:rsidR="005E7549" w:rsidRPr="00B36586">
        <w:t>.</w:t>
      </w:r>
    </w:p>
    <w:p w14:paraId="22A77E15" w14:textId="77777777" w:rsidR="00476ABF" w:rsidRPr="00B36586" w:rsidRDefault="00A8260B" w:rsidP="00223FA0">
      <w:pPr>
        <w:jc w:val="both"/>
        <w:rPr>
          <w:u w:val="single"/>
        </w:rPr>
      </w:pPr>
      <w:r w:rsidRPr="00A8260B">
        <w:rPr>
          <w:noProof/>
          <w14:ligatures w14:val="none"/>
        </w:rPr>
        <w:pict w14:anchorId="0DD8B16C">
          <v:rect id="_x0000_i1030" alt="" style="width:451.3pt;height:.05pt;mso-width-percent:0;mso-height-percent:0;mso-width-percent:0;mso-height-percent:0" o:hralign="center" o:hrstd="t" o:hr="t" fillcolor="#a0a0a0" stroked="f"/>
        </w:pict>
      </w:r>
    </w:p>
    <w:p w14:paraId="51C94143" w14:textId="70B06816" w:rsidR="00F00746" w:rsidRPr="00B36586" w:rsidRDefault="006E663E" w:rsidP="00223FA0">
      <w:pPr>
        <w:spacing w:before="120" w:after="120"/>
        <w:jc w:val="both"/>
        <w:rPr>
          <w:b/>
          <w:color w:val="008461" w:themeColor="accent3"/>
          <w:sz w:val="32"/>
          <w:szCs w:val="32"/>
        </w:rPr>
      </w:pPr>
      <w:r w:rsidRPr="00B36586">
        <w:rPr>
          <w:b/>
          <w:color w:val="008461" w:themeColor="accent3"/>
          <w:sz w:val="32"/>
          <w:szCs w:val="32"/>
        </w:rPr>
        <w:t>RESULTS</w:t>
      </w:r>
    </w:p>
    <w:p w14:paraId="0E8171E9" w14:textId="03960ED6" w:rsidR="006E663E" w:rsidRPr="00B36586" w:rsidRDefault="006E663E" w:rsidP="002E4340">
      <w:pPr>
        <w:spacing w:after="120"/>
        <w:jc w:val="both"/>
        <w:rPr>
          <w:b/>
          <w:color w:val="008461" w:themeColor="accent3"/>
          <w:sz w:val="28"/>
          <w:szCs w:val="28"/>
        </w:rPr>
      </w:pPr>
      <w:r w:rsidRPr="00B36586">
        <w:rPr>
          <w:b/>
          <w:color w:val="008461" w:themeColor="accent3"/>
          <w:sz w:val="28"/>
          <w:szCs w:val="28"/>
        </w:rPr>
        <w:t>Sequencing</w:t>
      </w:r>
      <w:r w:rsidR="00FC525F" w:rsidRPr="00B36586">
        <w:rPr>
          <w:b/>
          <w:color w:val="008461" w:themeColor="accent3"/>
          <w:sz w:val="28"/>
          <w:szCs w:val="28"/>
        </w:rPr>
        <w:t xml:space="preserve"> data </w:t>
      </w:r>
      <w:r w:rsidR="00BD26D3" w:rsidRPr="00B36586">
        <w:rPr>
          <w:b/>
          <w:color w:val="008461" w:themeColor="accent3"/>
          <w:sz w:val="28"/>
          <w:szCs w:val="28"/>
        </w:rPr>
        <w:t>quality</w:t>
      </w:r>
    </w:p>
    <w:p w14:paraId="1441F370" w14:textId="77777777" w:rsidR="002E4340" w:rsidRDefault="00B357A1" w:rsidP="002E4340">
      <w:pPr>
        <w:spacing w:after="120"/>
        <w:jc w:val="both"/>
      </w:pPr>
      <w:r w:rsidRPr="00B36586">
        <w:t>For Illumina data, a median of 2,457,945 (</w:t>
      </w:r>
      <w:r w:rsidR="0014763C" w:rsidRPr="00B36586">
        <w:t>interquartile range [IQR]</w:t>
      </w:r>
      <w:r w:rsidRPr="00B36586">
        <w:t>: 2,073,342-2,662,727) paired reads was generated for each isolate, with a median insert size of 363</w:t>
      </w:r>
      <w:r w:rsidR="0041091D" w:rsidRPr="00B36586">
        <w:t xml:space="preserve"> </w:t>
      </w:r>
      <w:r w:rsidR="00DC2887" w:rsidRPr="00B36586">
        <w:t xml:space="preserve">bp </w:t>
      </w:r>
      <w:r w:rsidRPr="00B36586">
        <w:t xml:space="preserve">(351-369). </w:t>
      </w:r>
      <w:r w:rsidR="0041091D" w:rsidRPr="00B36586">
        <w:t xml:space="preserve">The </w:t>
      </w:r>
      <w:r w:rsidRPr="00B36586">
        <w:t>%GC content</w:t>
      </w:r>
      <w:r w:rsidR="00DC2887" w:rsidRPr="00B36586">
        <w:t xml:space="preserve"> per isolate</w:t>
      </w:r>
      <w:r w:rsidRPr="00B36586">
        <w:t xml:space="preserve"> varied, as expected, by genus</w:t>
      </w:r>
      <w:r w:rsidR="00BD09C8" w:rsidRPr="00B36586">
        <w:t xml:space="preserve"> (median 53%, range: 50-57%)</w:t>
      </w:r>
      <w:r w:rsidRPr="00B36586">
        <w:t xml:space="preserve">, but was consistent with the expected </w:t>
      </w:r>
      <w:r w:rsidR="00BD09C8" w:rsidRPr="00B36586">
        <w:t>%GC content for each isolate based on its species (Table S1).</w:t>
      </w:r>
    </w:p>
    <w:p w14:paraId="357BFD94" w14:textId="0B0E07A9" w:rsidR="002E4340" w:rsidRDefault="00DC2887" w:rsidP="002E4340">
      <w:pPr>
        <w:spacing w:after="120"/>
        <w:jc w:val="both"/>
      </w:pPr>
      <w:r w:rsidRPr="00B36586">
        <w:t>The PacBio SMRT sequencing data</w:t>
      </w:r>
      <w:r w:rsidR="00AC149D" w:rsidRPr="00B36586">
        <w:t xml:space="preserve"> resulted in a median of 160,740</w:t>
      </w:r>
      <w:r w:rsidRPr="00B36586">
        <w:t xml:space="preserve"> (IQR: 153,196-169,240) sub</w:t>
      </w:r>
      <w:r w:rsidR="00535F45" w:rsidRPr="00B36586">
        <w:t>-</w:t>
      </w:r>
      <w:r w:rsidRPr="00B36586">
        <w:t xml:space="preserve">reads with </w:t>
      </w:r>
      <w:r w:rsidR="00535F45" w:rsidRPr="00B36586">
        <w:t xml:space="preserve">median </w:t>
      </w:r>
      <w:r w:rsidRPr="00B36586">
        <w:t>sub</w:t>
      </w:r>
      <w:r w:rsidR="00535F45" w:rsidRPr="00B36586">
        <w:t xml:space="preserve">-read length </w:t>
      </w:r>
      <w:r w:rsidR="00AC149D" w:rsidRPr="00B36586">
        <w:t>of 11,050</w:t>
      </w:r>
      <w:r w:rsidRPr="00B36586">
        <w:t xml:space="preserve"> bp (</w:t>
      </w:r>
      <w:r w:rsidR="007C116B" w:rsidRPr="00B36586">
        <w:t xml:space="preserve">IQR: </w:t>
      </w:r>
      <w:r w:rsidR="007D6F07" w:rsidRPr="00B36586">
        <w:t>10,570-11,209</w:t>
      </w:r>
      <w:r w:rsidRPr="00B36586">
        <w:t xml:space="preserve"> bp) per isolate. Each</w:t>
      </w:r>
      <w:r w:rsidR="00BF25A0" w:rsidRPr="00B36586">
        <w:t xml:space="preserve"> </w:t>
      </w:r>
      <w:r w:rsidR="0085375D" w:rsidRPr="00B36586">
        <w:t>isolate</w:t>
      </w:r>
      <w:r w:rsidRPr="00B36586">
        <w:t xml:space="preserve"> was sequenced using one SMRT cell on the RSII sequencing syst</w:t>
      </w:r>
      <w:r w:rsidR="005C74F5" w:rsidRPr="00B36586">
        <w:t>em, generating a median of 1.32</w:t>
      </w:r>
      <w:r w:rsidR="001F5403">
        <w:t xml:space="preserve"> </w:t>
      </w:r>
      <w:r w:rsidRPr="00B36586">
        <w:t xml:space="preserve">Gb (IQR: 1.25-1.36) of data per isolate, with </w:t>
      </w:r>
      <w:r w:rsidR="0085375D" w:rsidRPr="00B36586">
        <w:t>isolates</w:t>
      </w:r>
      <w:r w:rsidRPr="00B36586">
        <w:t xml:space="preserve"> being run in batches of </w:t>
      </w:r>
      <w:r w:rsidR="002E2CD1">
        <w:t>ei</w:t>
      </w:r>
      <w:r w:rsidR="0046217E">
        <w:t>ght</w:t>
      </w:r>
      <w:r w:rsidRPr="00B36586">
        <w:t xml:space="preserve"> </w:t>
      </w:r>
      <w:r w:rsidR="005C74F5" w:rsidRPr="00B36586">
        <w:t>(</w:t>
      </w:r>
      <w:r w:rsidR="00BD26D3" w:rsidRPr="00B36586">
        <w:t xml:space="preserve">Figure </w:t>
      </w:r>
      <w:r w:rsidR="004861C7" w:rsidRPr="00B36586">
        <w:t xml:space="preserve">S1, </w:t>
      </w:r>
      <w:r w:rsidRPr="00B36586">
        <w:t>Table S</w:t>
      </w:r>
      <w:r w:rsidR="005414DD" w:rsidRPr="00B36586">
        <w:t>1</w:t>
      </w:r>
      <w:r w:rsidRPr="00B36586">
        <w:t xml:space="preserve">). </w:t>
      </w:r>
      <w:r w:rsidR="00B86A5C" w:rsidRPr="00B36586">
        <w:t>For the ONT</w:t>
      </w:r>
      <w:r w:rsidR="00BD09C8" w:rsidRPr="00B36586">
        <w:t xml:space="preserve"> data, a median of </w:t>
      </w:r>
      <w:r w:rsidR="00814610" w:rsidRPr="00B36586">
        <w:t>102,875</w:t>
      </w:r>
      <w:r w:rsidR="00BD09C8" w:rsidRPr="00B36586">
        <w:t xml:space="preserve"> reads (IQR: </w:t>
      </w:r>
      <w:r w:rsidR="00814610" w:rsidRPr="00B36586">
        <w:t>70,508-143,745 reads</w:t>
      </w:r>
      <w:r w:rsidR="00BD09C8" w:rsidRPr="00B36586">
        <w:t xml:space="preserve">) </w:t>
      </w:r>
      <w:r w:rsidR="0090492F" w:rsidRPr="00B36586">
        <w:t>were</w:t>
      </w:r>
      <w:r w:rsidR="00BD09C8" w:rsidRPr="00B36586">
        <w:t xml:space="preserve"> generated for each isolate, w</w:t>
      </w:r>
      <w:r w:rsidR="008347F7" w:rsidRPr="00B36586">
        <w:t xml:space="preserve">ith a median </w:t>
      </w:r>
      <w:r w:rsidR="00897F31">
        <w:t>P</w:t>
      </w:r>
      <w:r w:rsidR="008347F7" w:rsidRPr="00B36586">
        <w:t>hred score of 11.8 (IQR: 11.4-12.3</w:t>
      </w:r>
      <w:r w:rsidR="00BD09C8" w:rsidRPr="00B36586">
        <w:t>)</w:t>
      </w:r>
      <w:r w:rsidR="00814610" w:rsidRPr="00B36586">
        <w:t xml:space="preserve">. ONT reads had a median length of 14,212 bp (IQR: 13,369-16,267 bp). </w:t>
      </w:r>
      <w:r w:rsidR="00BD09C8" w:rsidRPr="00B36586">
        <w:t xml:space="preserve">A median of </w:t>
      </w:r>
      <w:r w:rsidR="00441A73" w:rsidRPr="00B36586">
        <w:t>13.8</w:t>
      </w:r>
      <w:r w:rsidR="00D866CF">
        <w:t xml:space="preserve"> </w:t>
      </w:r>
      <w:r w:rsidR="00441A73" w:rsidRPr="00B36586">
        <w:t>Gb (IQR: 10.8-14.7</w:t>
      </w:r>
      <w:r w:rsidR="00D866CF">
        <w:t xml:space="preserve"> </w:t>
      </w:r>
      <w:r w:rsidR="00441A73" w:rsidRPr="00B36586">
        <w:t>Gb) of data was generated per run</w:t>
      </w:r>
      <w:r w:rsidR="00B86A5C" w:rsidRPr="00B36586">
        <w:t xml:space="preserve">, resulting in a median of </w:t>
      </w:r>
      <w:r w:rsidR="00535F45" w:rsidRPr="00B36586">
        <w:t>3.45</w:t>
      </w:r>
      <w:r w:rsidR="00D866CF">
        <w:t xml:space="preserve"> </w:t>
      </w:r>
      <w:r w:rsidR="005C74F5" w:rsidRPr="00B36586">
        <w:t xml:space="preserve">Gb per isolate (four isolates multiplexed per run) </w:t>
      </w:r>
      <w:r w:rsidR="00B86A5C" w:rsidRPr="00B36586">
        <w:t>(</w:t>
      </w:r>
      <w:r w:rsidR="00BD26D3" w:rsidRPr="00B36586">
        <w:t xml:space="preserve">Figure </w:t>
      </w:r>
      <w:r w:rsidR="004861C7" w:rsidRPr="00B36586">
        <w:t>S1,</w:t>
      </w:r>
      <w:r w:rsidR="00BD26D3" w:rsidRPr="00B36586">
        <w:t xml:space="preserve"> </w:t>
      </w:r>
      <w:r w:rsidR="00B86A5C" w:rsidRPr="00B36586">
        <w:t>Table S1)</w:t>
      </w:r>
      <w:r w:rsidR="00441A73" w:rsidRPr="00B36586">
        <w:t xml:space="preserve">. </w:t>
      </w:r>
      <w:r w:rsidR="00CC59C4" w:rsidRPr="00B36586">
        <w:t>After hybrid assembly, the mean percentage identit</w:t>
      </w:r>
      <w:r w:rsidR="00E117D4" w:rsidRPr="00B36586">
        <w:t xml:space="preserve">y and identity N50 for reads </w:t>
      </w:r>
      <w:r w:rsidR="00CC59C4" w:rsidRPr="00B36586">
        <w:t xml:space="preserve">aligned against </w:t>
      </w:r>
      <w:r w:rsidR="00E117D4" w:rsidRPr="00B36586">
        <w:t xml:space="preserve">their respective </w:t>
      </w:r>
      <w:r w:rsidR="00CC59C4" w:rsidRPr="00B36586">
        <w:t xml:space="preserve">assemblies </w:t>
      </w:r>
      <w:r w:rsidR="00CC59C4" w:rsidRPr="00B36586">
        <w:lastRenderedPageBreak/>
        <w:t>were higher for ONT reads than PacBio reads (</w:t>
      </w:r>
      <w:r w:rsidR="00E3267E" w:rsidRPr="00B36586">
        <w:t>mean±s.d. read alignment</w:t>
      </w:r>
      <w:r w:rsidR="00427076" w:rsidRPr="00B36586">
        <w:t xml:space="preserve"> identity</w:t>
      </w:r>
      <w:r w:rsidR="00E3267E" w:rsidRPr="00B36586">
        <w:t xml:space="preserve">: 86±7 vs. 78±17; </w:t>
      </w:r>
      <w:r w:rsidR="00CC59C4" w:rsidRPr="00B36586">
        <w:t>Figure S</w:t>
      </w:r>
      <w:r w:rsidR="00D64FD3">
        <w:t>2</w:t>
      </w:r>
      <w:r w:rsidR="00CC59C4" w:rsidRPr="00B36586">
        <w:t>, Table S</w:t>
      </w:r>
      <w:r w:rsidR="00E301A7">
        <w:t>2</w:t>
      </w:r>
      <w:r w:rsidR="00CC59C4" w:rsidRPr="00B36586">
        <w:t>).</w:t>
      </w:r>
    </w:p>
    <w:p w14:paraId="5AC0824D" w14:textId="06B98758" w:rsidR="004E172A" w:rsidRPr="00FD5974" w:rsidRDefault="004E172A" w:rsidP="002E4340">
      <w:pPr>
        <w:spacing w:after="120"/>
        <w:jc w:val="both"/>
        <w:rPr>
          <w:color w:val="000000"/>
          <w:lang w:eastAsia="en-GB"/>
        </w:rPr>
      </w:pPr>
      <w:r>
        <w:rPr>
          <w:b/>
          <w:color w:val="008461" w:themeColor="accent3"/>
          <w:sz w:val="28"/>
          <w:szCs w:val="28"/>
        </w:rPr>
        <w:t>Reference strain assembly comparisons</w:t>
      </w:r>
    </w:p>
    <w:p w14:paraId="0699125E" w14:textId="03932E7D" w:rsidR="001D01DD" w:rsidRDefault="005919AD" w:rsidP="002E4340">
      <w:pPr>
        <w:spacing w:after="120"/>
        <w:jc w:val="both"/>
        <w:rPr>
          <w:color w:val="000000"/>
          <w:lang w:eastAsia="en-GB"/>
        </w:rPr>
      </w:pPr>
      <w:r>
        <w:rPr>
          <w:color w:val="000000"/>
          <w:lang w:eastAsia="en-GB"/>
        </w:rPr>
        <w:t>We compared</w:t>
      </w:r>
      <w:r w:rsidR="004E172A" w:rsidRPr="00B36586">
        <w:rPr>
          <w:color w:val="000000"/>
          <w:lang w:eastAsia="en-GB"/>
        </w:rPr>
        <w:t xml:space="preserve"> </w:t>
      </w:r>
      <w:r w:rsidR="004E172A" w:rsidRPr="00B36586">
        <w:rPr>
          <w:i/>
          <w:color w:val="000000"/>
          <w:lang w:eastAsia="en-GB"/>
        </w:rPr>
        <w:t>de novo</w:t>
      </w:r>
      <w:r w:rsidR="004E172A" w:rsidRPr="00B36586">
        <w:rPr>
          <w:color w:val="000000"/>
          <w:lang w:eastAsia="en-GB"/>
        </w:rPr>
        <w:t xml:space="preserve"> assemblies </w:t>
      </w:r>
      <w:r w:rsidR="004E172A">
        <w:rPr>
          <w:color w:val="000000"/>
          <w:lang w:eastAsia="en-GB"/>
        </w:rPr>
        <w:t>with published</w:t>
      </w:r>
      <w:r w:rsidR="004E172A" w:rsidRPr="00B36586">
        <w:rPr>
          <w:color w:val="000000"/>
          <w:lang w:eastAsia="en-GB"/>
        </w:rPr>
        <w:t xml:space="preserve"> reference genomes for the two reference strains</w:t>
      </w:r>
      <w:r w:rsidR="00BC2971">
        <w:rPr>
          <w:color w:val="000000"/>
          <w:lang w:eastAsia="en-GB"/>
        </w:rPr>
        <w:t>.</w:t>
      </w:r>
      <w:r w:rsidR="00532EB6">
        <w:rPr>
          <w:color w:val="000000"/>
          <w:lang w:eastAsia="en-GB"/>
        </w:rPr>
        <w:t xml:space="preserve"> </w:t>
      </w:r>
      <w:r w:rsidR="00441E34">
        <w:rPr>
          <w:color w:val="000000"/>
          <w:lang w:eastAsia="en-GB"/>
        </w:rPr>
        <w:t>We also mapped Illumina reads to the published reference genom</w:t>
      </w:r>
      <w:r w:rsidR="00703FE4">
        <w:rPr>
          <w:color w:val="000000"/>
          <w:lang w:eastAsia="en-GB"/>
        </w:rPr>
        <w:t>e</w:t>
      </w:r>
      <w:r w:rsidR="007A5E55">
        <w:rPr>
          <w:color w:val="000000"/>
          <w:lang w:eastAsia="en-GB"/>
        </w:rPr>
        <w:t xml:space="preserve"> (see Methods).</w:t>
      </w:r>
      <w:r w:rsidR="009F0FB1">
        <w:rPr>
          <w:color w:val="000000"/>
          <w:lang w:eastAsia="en-GB"/>
        </w:rPr>
        <w:t xml:space="preserve"> For CFT073, </w:t>
      </w:r>
      <w:r w:rsidR="00F33ECD">
        <w:rPr>
          <w:color w:val="000000"/>
          <w:lang w:eastAsia="en-GB"/>
        </w:rPr>
        <w:t>there were</w:t>
      </w:r>
      <w:r w:rsidR="009F0FB1">
        <w:rPr>
          <w:color w:val="000000"/>
          <w:lang w:eastAsia="en-GB"/>
        </w:rPr>
        <w:t xml:space="preserve"> 509 variant sites with respect to the reference genome</w:t>
      </w:r>
      <w:r w:rsidR="002C4B0D">
        <w:rPr>
          <w:color w:val="000000"/>
          <w:lang w:eastAsia="en-GB"/>
        </w:rPr>
        <w:t xml:space="preserve"> after mapping Illumina reads</w:t>
      </w:r>
      <w:r w:rsidR="00A102A7">
        <w:rPr>
          <w:color w:val="000000"/>
          <w:lang w:eastAsia="en-GB"/>
        </w:rPr>
        <w:t>. Of these,</w:t>
      </w:r>
      <w:r w:rsidR="009F0FB1">
        <w:rPr>
          <w:color w:val="000000"/>
          <w:lang w:eastAsia="en-GB"/>
        </w:rPr>
        <w:t xml:space="preserve"> 211 contained an N in the reference</w:t>
      </w:r>
      <w:r w:rsidR="00A17D4E">
        <w:rPr>
          <w:color w:val="000000"/>
          <w:lang w:eastAsia="en-GB"/>
        </w:rPr>
        <w:t xml:space="preserve">, </w:t>
      </w:r>
      <w:r w:rsidR="00FF050E">
        <w:rPr>
          <w:color w:val="000000"/>
          <w:lang w:eastAsia="en-GB"/>
        </w:rPr>
        <w:t xml:space="preserve">but </w:t>
      </w:r>
      <w:r w:rsidR="00CD4003">
        <w:rPr>
          <w:color w:val="000000"/>
          <w:lang w:eastAsia="en-GB"/>
        </w:rPr>
        <w:t xml:space="preserve">298 </w:t>
      </w:r>
      <w:r w:rsidR="00FE439D">
        <w:rPr>
          <w:color w:val="000000"/>
          <w:lang w:eastAsia="en-GB"/>
        </w:rPr>
        <w:t xml:space="preserve">sites </w:t>
      </w:r>
      <w:r w:rsidR="00D70119">
        <w:rPr>
          <w:color w:val="000000"/>
          <w:lang w:eastAsia="en-GB"/>
        </w:rPr>
        <w:t xml:space="preserve">showed </w:t>
      </w:r>
      <w:r w:rsidR="00665318">
        <w:rPr>
          <w:color w:val="000000"/>
          <w:lang w:eastAsia="en-GB"/>
        </w:rPr>
        <w:t>discordancy</w:t>
      </w:r>
      <w:r w:rsidR="008755F2">
        <w:rPr>
          <w:color w:val="000000"/>
          <w:lang w:eastAsia="en-GB"/>
        </w:rPr>
        <w:t xml:space="preserve"> with the reference</w:t>
      </w:r>
      <w:r w:rsidR="00F31DDA">
        <w:rPr>
          <w:color w:val="000000"/>
          <w:lang w:eastAsia="en-GB"/>
        </w:rPr>
        <w:t xml:space="preserve"> </w:t>
      </w:r>
      <w:r w:rsidR="00B43270">
        <w:rPr>
          <w:color w:val="000000"/>
          <w:lang w:eastAsia="en-GB"/>
        </w:rPr>
        <w:t xml:space="preserve">genome </w:t>
      </w:r>
      <w:r w:rsidR="00D476E3">
        <w:rPr>
          <w:color w:val="000000"/>
          <w:lang w:eastAsia="en-GB"/>
        </w:rPr>
        <w:t>caused by</w:t>
      </w:r>
      <w:r w:rsidR="00CD4003" w:rsidRPr="00B36586">
        <w:rPr>
          <w:color w:val="000000"/>
          <w:lang w:eastAsia="en-GB"/>
        </w:rPr>
        <w:t xml:space="preserve"> </w:t>
      </w:r>
      <w:r w:rsidR="00800D91">
        <w:rPr>
          <w:color w:val="000000"/>
          <w:lang w:eastAsia="en-GB"/>
        </w:rPr>
        <w:t xml:space="preserve">either: </w:t>
      </w:r>
      <w:r w:rsidR="00CD4003" w:rsidRPr="00B36586">
        <w:rPr>
          <w:color w:val="000000"/>
          <w:lang w:eastAsia="en-GB"/>
        </w:rPr>
        <w:t>(i) strain evolution in storage and sub-culture since the reference strain</w:t>
      </w:r>
      <w:r w:rsidR="000F4C66">
        <w:rPr>
          <w:color w:val="000000"/>
          <w:lang w:eastAsia="en-GB"/>
        </w:rPr>
        <w:t xml:space="preserve"> </w:t>
      </w:r>
      <w:r w:rsidR="00201748">
        <w:rPr>
          <w:color w:val="000000"/>
          <w:lang w:eastAsia="en-GB"/>
        </w:rPr>
        <w:t>was originally s</w:t>
      </w:r>
      <w:r w:rsidR="00CD4003" w:rsidRPr="00B36586">
        <w:rPr>
          <w:color w:val="000000"/>
          <w:lang w:eastAsia="en-GB"/>
        </w:rPr>
        <w:t>equenced</w:t>
      </w:r>
      <w:r w:rsidR="00A343EA">
        <w:rPr>
          <w:color w:val="000000"/>
          <w:lang w:eastAsia="en-GB"/>
        </w:rPr>
        <w:t xml:space="preserve">, </w:t>
      </w:r>
      <w:r w:rsidR="00CD4003" w:rsidRPr="00B36586">
        <w:rPr>
          <w:color w:val="000000"/>
          <w:lang w:eastAsia="en-GB"/>
        </w:rPr>
        <w:t>(ii) errors in th</w:t>
      </w:r>
      <w:r w:rsidR="009B0A64">
        <w:rPr>
          <w:color w:val="000000"/>
          <w:lang w:eastAsia="en-GB"/>
        </w:rPr>
        <w:t xml:space="preserve">e </w:t>
      </w:r>
      <w:r w:rsidR="00CD4003" w:rsidRPr="00B36586">
        <w:rPr>
          <w:color w:val="000000"/>
          <w:lang w:eastAsia="en-GB"/>
        </w:rPr>
        <w:t>reference sequence</w:t>
      </w:r>
      <w:r w:rsidR="004A0ACE">
        <w:rPr>
          <w:color w:val="000000"/>
          <w:lang w:eastAsia="en-GB"/>
        </w:rPr>
        <w:t>, or (iii) errors in mapping</w:t>
      </w:r>
      <w:r w:rsidR="009F0FB1">
        <w:rPr>
          <w:color w:val="000000"/>
          <w:lang w:eastAsia="en-GB"/>
        </w:rPr>
        <w:t xml:space="preserve">. </w:t>
      </w:r>
      <w:r w:rsidR="00A056E7">
        <w:rPr>
          <w:color w:val="000000"/>
          <w:lang w:eastAsia="en-GB"/>
        </w:rPr>
        <w:t>Of these</w:t>
      </w:r>
      <w:r w:rsidR="003F4057">
        <w:rPr>
          <w:color w:val="000000"/>
          <w:lang w:eastAsia="en-GB"/>
        </w:rPr>
        <w:t xml:space="preserve"> variant sites</w:t>
      </w:r>
      <w:r w:rsidR="00A056E7">
        <w:rPr>
          <w:color w:val="000000"/>
          <w:lang w:eastAsia="en-GB"/>
        </w:rPr>
        <w:t>, 28 (9.4%)</w:t>
      </w:r>
      <w:r w:rsidR="001335A8">
        <w:rPr>
          <w:color w:val="000000"/>
          <w:lang w:eastAsia="en-GB"/>
        </w:rPr>
        <w:t xml:space="preserve"> were</w:t>
      </w:r>
      <w:r w:rsidR="00DD4DE1">
        <w:rPr>
          <w:color w:val="000000"/>
          <w:lang w:eastAsia="en-GB"/>
        </w:rPr>
        <w:t xml:space="preserve"> </w:t>
      </w:r>
      <w:r w:rsidR="00013E06">
        <w:rPr>
          <w:color w:val="000000"/>
          <w:lang w:eastAsia="en-GB"/>
        </w:rPr>
        <w:t>heterogeneous sites</w:t>
      </w:r>
      <w:r w:rsidR="00ED6240">
        <w:rPr>
          <w:color w:val="000000"/>
          <w:lang w:eastAsia="en-GB"/>
        </w:rPr>
        <w:t xml:space="preserve"> </w:t>
      </w:r>
      <w:r w:rsidR="00A22734">
        <w:rPr>
          <w:color w:val="000000"/>
          <w:lang w:eastAsia="en-GB"/>
        </w:rPr>
        <w:t>(major allele frequency &lt;0.9)</w:t>
      </w:r>
      <w:r w:rsidR="006D6F6A">
        <w:rPr>
          <w:color w:val="000000"/>
          <w:lang w:eastAsia="en-GB"/>
        </w:rPr>
        <w:t xml:space="preserve">, </w:t>
      </w:r>
      <w:r w:rsidR="000C7BAD">
        <w:rPr>
          <w:color w:val="000000"/>
          <w:lang w:eastAsia="en-GB"/>
        </w:rPr>
        <w:t>indicating</w:t>
      </w:r>
      <w:r w:rsidR="009C43C7">
        <w:rPr>
          <w:color w:val="000000"/>
          <w:lang w:eastAsia="en-GB"/>
        </w:rPr>
        <w:t xml:space="preserve"> a mixed population</w:t>
      </w:r>
      <w:r w:rsidR="00BF48FA">
        <w:rPr>
          <w:color w:val="000000"/>
          <w:lang w:eastAsia="en-GB"/>
        </w:rPr>
        <w:t xml:space="preserve"> in the isolate</w:t>
      </w:r>
      <w:r w:rsidR="00886366">
        <w:rPr>
          <w:color w:val="000000"/>
          <w:lang w:eastAsia="en-GB"/>
        </w:rPr>
        <w:t>.</w:t>
      </w:r>
      <w:r w:rsidR="00153B31">
        <w:rPr>
          <w:color w:val="000000"/>
          <w:lang w:eastAsia="en-GB"/>
        </w:rPr>
        <w:t xml:space="preserve"> </w:t>
      </w:r>
      <w:r w:rsidR="00415813">
        <w:rPr>
          <w:color w:val="000000"/>
          <w:lang w:eastAsia="en-GB"/>
        </w:rPr>
        <w:t xml:space="preserve">Of the remaining </w:t>
      </w:r>
      <w:r w:rsidR="00260C2D">
        <w:rPr>
          <w:color w:val="000000"/>
          <w:lang w:eastAsia="en-GB"/>
        </w:rPr>
        <w:t xml:space="preserve">270 </w:t>
      </w:r>
      <w:r w:rsidR="00413E44">
        <w:rPr>
          <w:color w:val="000000"/>
          <w:lang w:eastAsia="en-GB"/>
        </w:rPr>
        <w:t>discordant sites</w:t>
      </w:r>
      <w:r w:rsidR="00EB516F">
        <w:rPr>
          <w:color w:val="000000"/>
          <w:lang w:eastAsia="en-GB"/>
        </w:rPr>
        <w:t xml:space="preserve">, </w:t>
      </w:r>
      <w:r w:rsidR="0066570C">
        <w:rPr>
          <w:color w:val="000000"/>
          <w:lang w:eastAsia="en-GB"/>
        </w:rPr>
        <w:t>243 (</w:t>
      </w:r>
      <w:r w:rsidR="009F4BC0">
        <w:rPr>
          <w:color w:val="000000"/>
          <w:lang w:eastAsia="en-GB"/>
        </w:rPr>
        <w:t>90</w:t>
      </w:r>
      <w:r w:rsidR="0066570C">
        <w:rPr>
          <w:color w:val="000000"/>
          <w:lang w:eastAsia="en-GB"/>
        </w:rPr>
        <w:t xml:space="preserve">%) </w:t>
      </w:r>
      <w:r w:rsidR="00C9115B">
        <w:rPr>
          <w:color w:val="000000"/>
          <w:lang w:eastAsia="en-GB"/>
        </w:rPr>
        <w:t xml:space="preserve">did not have the (discordant) reference allele in the </w:t>
      </w:r>
      <w:r w:rsidR="006D0B21">
        <w:rPr>
          <w:color w:val="000000"/>
          <w:lang w:eastAsia="en-GB"/>
        </w:rPr>
        <w:t xml:space="preserve">hybrid </w:t>
      </w:r>
      <w:r w:rsidR="00E5233B">
        <w:rPr>
          <w:color w:val="000000"/>
          <w:lang w:eastAsia="en-GB"/>
        </w:rPr>
        <w:t>assemblies</w:t>
      </w:r>
      <w:r w:rsidR="005955EF">
        <w:rPr>
          <w:color w:val="000000"/>
          <w:lang w:eastAsia="en-GB"/>
        </w:rPr>
        <w:t xml:space="preserve"> </w:t>
      </w:r>
      <w:r w:rsidR="00AF40F1">
        <w:rPr>
          <w:color w:val="000000"/>
          <w:lang w:eastAsia="en-GB"/>
        </w:rPr>
        <w:t>(</w:t>
      </w:r>
      <w:r w:rsidR="005955EF">
        <w:rPr>
          <w:color w:val="000000"/>
          <w:lang w:eastAsia="en-GB"/>
        </w:rPr>
        <w:t>within one base</w:t>
      </w:r>
      <w:r w:rsidR="00AF40F1">
        <w:rPr>
          <w:color w:val="000000"/>
          <w:lang w:eastAsia="en-GB"/>
        </w:rPr>
        <w:t>)</w:t>
      </w:r>
      <w:r w:rsidR="00C912CE">
        <w:rPr>
          <w:color w:val="000000"/>
          <w:lang w:eastAsia="en-GB"/>
        </w:rPr>
        <w:t>.</w:t>
      </w:r>
      <w:r w:rsidR="004208E2">
        <w:rPr>
          <w:color w:val="000000"/>
          <w:lang w:eastAsia="en-GB"/>
        </w:rPr>
        <w:t xml:space="preserve"> </w:t>
      </w:r>
      <w:r w:rsidR="000F4CE9">
        <w:rPr>
          <w:color w:val="000000"/>
          <w:lang w:eastAsia="en-GB"/>
        </w:rPr>
        <w:t xml:space="preserve">For MGH78578, </w:t>
      </w:r>
      <w:r w:rsidR="003566C1">
        <w:rPr>
          <w:color w:val="000000"/>
          <w:lang w:eastAsia="en-GB"/>
        </w:rPr>
        <w:t xml:space="preserve">there were </w:t>
      </w:r>
      <w:r w:rsidR="0020074C">
        <w:rPr>
          <w:color w:val="000000"/>
          <w:lang w:eastAsia="en-GB"/>
        </w:rPr>
        <w:t>35 variant sites with respect to the reference genome after mapping Illumina reads</w:t>
      </w:r>
      <w:r w:rsidR="00990B3B">
        <w:rPr>
          <w:color w:val="000000"/>
          <w:lang w:eastAsia="en-GB"/>
        </w:rPr>
        <w:t xml:space="preserve">, </w:t>
      </w:r>
      <w:r w:rsidR="00624757">
        <w:rPr>
          <w:color w:val="000000"/>
          <w:lang w:eastAsia="en-GB"/>
        </w:rPr>
        <w:t xml:space="preserve">and 29 of these (82.8%) were </w:t>
      </w:r>
      <w:r w:rsidR="001A5EBE">
        <w:rPr>
          <w:color w:val="000000"/>
          <w:lang w:eastAsia="en-GB"/>
        </w:rPr>
        <w:t xml:space="preserve">recovered in the </w:t>
      </w:r>
      <w:r w:rsidR="00995DE4">
        <w:rPr>
          <w:color w:val="000000"/>
          <w:lang w:eastAsia="en-GB"/>
        </w:rPr>
        <w:t xml:space="preserve">hybrid </w:t>
      </w:r>
      <w:r w:rsidR="001A5EBE">
        <w:rPr>
          <w:color w:val="000000"/>
          <w:lang w:eastAsia="en-GB"/>
        </w:rPr>
        <w:t xml:space="preserve">assemblies. </w:t>
      </w:r>
      <w:r w:rsidR="00390A76">
        <w:rPr>
          <w:color w:val="000000"/>
          <w:lang w:eastAsia="en-GB"/>
        </w:rPr>
        <w:t xml:space="preserve"> </w:t>
      </w:r>
    </w:p>
    <w:p w14:paraId="0E32C56E" w14:textId="69CFB1FE" w:rsidR="00293F09" w:rsidRDefault="000518BB" w:rsidP="002E4340">
      <w:pPr>
        <w:spacing w:after="120"/>
        <w:jc w:val="both"/>
        <w:rPr>
          <w:color w:val="000000"/>
          <w:lang w:eastAsia="en-GB"/>
        </w:rPr>
      </w:pPr>
      <w:r>
        <w:rPr>
          <w:color w:val="000000"/>
          <w:lang w:eastAsia="en-GB"/>
        </w:rPr>
        <w:t xml:space="preserve">Comparing assemblies to each other using DNAdiff showed </w:t>
      </w:r>
      <w:r w:rsidR="00C03363">
        <w:rPr>
          <w:color w:val="000000"/>
          <w:lang w:eastAsia="en-GB"/>
        </w:rPr>
        <w:t>that</w:t>
      </w:r>
      <w:r w:rsidR="0011593C">
        <w:rPr>
          <w:color w:val="000000"/>
          <w:lang w:eastAsia="en-GB"/>
        </w:rPr>
        <w:t xml:space="preserve"> hybrid assembly with Unicycler produced </w:t>
      </w:r>
      <w:r w:rsidR="006C2F27">
        <w:rPr>
          <w:color w:val="000000"/>
          <w:lang w:eastAsia="en-GB"/>
        </w:rPr>
        <w:t xml:space="preserve">very </w:t>
      </w:r>
      <w:r w:rsidR="0011593C">
        <w:rPr>
          <w:color w:val="000000"/>
          <w:lang w:eastAsia="en-GB"/>
        </w:rPr>
        <w:t>consistent results across PacBio and ONT</w:t>
      </w:r>
      <w:r w:rsidR="007341DB">
        <w:rPr>
          <w:color w:val="000000"/>
          <w:lang w:eastAsia="en-GB"/>
        </w:rPr>
        <w:t xml:space="preserve"> (Table </w:t>
      </w:r>
      <w:r w:rsidR="00753CDA">
        <w:rPr>
          <w:color w:val="000000"/>
          <w:lang w:eastAsia="en-GB"/>
        </w:rPr>
        <w:t>S3</w:t>
      </w:r>
      <w:r w:rsidR="007341DB">
        <w:rPr>
          <w:color w:val="000000"/>
          <w:lang w:eastAsia="en-GB"/>
        </w:rPr>
        <w:t>)</w:t>
      </w:r>
      <w:r w:rsidR="007C2BE9">
        <w:rPr>
          <w:color w:val="000000"/>
          <w:lang w:eastAsia="en-GB"/>
        </w:rPr>
        <w:t xml:space="preserve"> and made clear the advantages and disadvantages of each method</w:t>
      </w:r>
      <w:r w:rsidR="000E395E">
        <w:rPr>
          <w:color w:val="000000"/>
          <w:lang w:eastAsia="en-GB"/>
        </w:rPr>
        <w:t>.</w:t>
      </w:r>
      <w:r w:rsidR="002E591B">
        <w:rPr>
          <w:color w:val="000000"/>
          <w:lang w:eastAsia="en-GB"/>
        </w:rPr>
        <w:t xml:space="preserve"> </w:t>
      </w:r>
      <w:r w:rsidR="00FA0BD4">
        <w:rPr>
          <w:color w:val="000000"/>
          <w:lang w:eastAsia="en-GB"/>
        </w:rPr>
        <w:t xml:space="preserve">For example, </w:t>
      </w:r>
      <w:r w:rsidR="00AA0D79">
        <w:rPr>
          <w:color w:val="000000"/>
          <w:lang w:eastAsia="en-GB"/>
        </w:rPr>
        <w:t>while</w:t>
      </w:r>
      <w:r w:rsidR="00116102">
        <w:rPr>
          <w:color w:val="000000"/>
          <w:lang w:eastAsia="en-GB"/>
        </w:rPr>
        <w:t xml:space="preserve"> for both strains the</w:t>
      </w:r>
      <w:r w:rsidR="00AA0D79">
        <w:rPr>
          <w:color w:val="000000"/>
          <w:lang w:eastAsia="en-GB"/>
        </w:rPr>
        <w:t xml:space="preserve"> ONT</w:t>
      </w:r>
      <w:r w:rsidR="00E65CA5">
        <w:rPr>
          <w:color w:val="000000"/>
          <w:lang w:eastAsia="en-GB"/>
        </w:rPr>
        <w:t xml:space="preserve"> Flye</w:t>
      </w:r>
      <w:r w:rsidR="00AA0D79">
        <w:rPr>
          <w:color w:val="000000"/>
          <w:lang w:eastAsia="en-GB"/>
        </w:rPr>
        <w:t xml:space="preserve"> assembl</w:t>
      </w:r>
      <w:r w:rsidR="00AF49F4">
        <w:rPr>
          <w:color w:val="000000"/>
          <w:lang w:eastAsia="en-GB"/>
        </w:rPr>
        <w:t>ies</w:t>
      </w:r>
      <w:r w:rsidR="00AA0D79">
        <w:rPr>
          <w:color w:val="000000"/>
          <w:lang w:eastAsia="en-GB"/>
        </w:rPr>
        <w:t xml:space="preserve"> </w:t>
      </w:r>
      <w:r w:rsidR="00E65CA5">
        <w:rPr>
          <w:color w:val="000000"/>
          <w:lang w:eastAsia="en-GB"/>
        </w:rPr>
        <w:t xml:space="preserve">polished with Pilon </w:t>
      </w:r>
      <w:r w:rsidR="00AA0D79">
        <w:rPr>
          <w:color w:val="000000"/>
          <w:lang w:eastAsia="en-GB"/>
        </w:rPr>
        <w:t xml:space="preserve">had a similar number of SNPs relative to the reference as </w:t>
      </w:r>
      <w:r w:rsidR="008153FC">
        <w:rPr>
          <w:color w:val="000000"/>
          <w:lang w:eastAsia="en-GB"/>
        </w:rPr>
        <w:t xml:space="preserve">the ONT+Illumina </w:t>
      </w:r>
      <w:r w:rsidR="004F6145">
        <w:rPr>
          <w:color w:val="000000"/>
          <w:lang w:eastAsia="en-GB"/>
        </w:rPr>
        <w:t>hybrid</w:t>
      </w:r>
      <w:r w:rsidR="00D67772">
        <w:rPr>
          <w:color w:val="000000"/>
          <w:lang w:eastAsia="en-GB"/>
        </w:rPr>
        <w:t xml:space="preserve">, </w:t>
      </w:r>
      <w:r w:rsidR="00DC3F27">
        <w:rPr>
          <w:color w:val="000000"/>
          <w:lang w:eastAsia="en-GB"/>
        </w:rPr>
        <w:t>they</w:t>
      </w:r>
      <w:r w:rsidR="00D67772">
        <w:rPr>
          <w:color w:val="000000"/>
          <w:lang w:eastAsia="en-GB"/>
        </w:rPr>
        <w:t xml:space="preserve"> had over ten times as many indels</w:t>
      </w:r>
      <w:r w:rsidR="001E3156">
        <w:rPr>
          <w:color w:val="000000"/>
          <w:lang w:eastAsia="en-GB"/>
        </w:rPr>
        <w:t xml:space="preserve"> (and, for </w:t>
      </w:r>
      <w:r w:rsidR="008D6E95">
        <w:rPr>
          <w:color w:val="000000"/>
          <w:lang w:eastAsia="en-GB"/>
        </w:rPr>
        <w:t>CFT073, many more unaligned bases)</w:t>
      </w:r>
      <w:r w:rsidR="00C1283C">
        <w:rPr>
          <w:color w:val="000000"/>
          <w:lang w:eastAsia="en-GB"/>
        </w:rPr>
        <w:t>.</w:t>
      </w:r>
      <w:r w:rsidR="004F6145">
        <w:rPr>
          <w:color w:val="000000"/>
          <w:lang w:eastAsia="en-GB"/>
        </w:rPr>
        <w:t xml:space="preserve"> </w:t>
      </w:r>
      <w:r w:rsidR="006D16EA">
        <w:rPr>
          <w:color w:val="000000"/>
          <w:lang w:eastAsia="en-GB"/>
        </w:rPr>
        <w:t xml:space="preserve">The PacBio Flye assemblies polished with Pilon </w:t>
      </w:r>
      <w:r w:rsidR="008C1884">
        <w:rPr>
          <w:color w:val="000000"/>
          <w:lang w:eastAsia="en-GB"/>
        </w:rPr>
        <w:t xml:space="preserve">had </w:t>
      </w:r>
      <w:r w:rsidR="00DC3E54">
        <w:rPr>
          <w:color w:val="000000"/>
          <w:lang w:eastAsia="en-GB"/>
        </w:rPr>
        <w:t>the lowest number of</w:t>
      </w:r>
      <w:r w:rsidR="008C1884">
        <w:rPr>
          <w:color w:val="000000"/>
          <w:lang w:eastAsia="en-GB"/>
        </w:rPr>
        <w:t xml:space="preserve"> SNPs relative to the reference genomes, </w:t>
      </w:r>
      <w:r w:rsidR="00326A91">
        <w:rPr>
          <w:color w:val="000000"/>
          <w:lang w:eastAsia="en-GB"/>
        </w:rPr>
        <w:t xml:space="preserve">but </w:t>
      </w:r>
      <w:r w:rsidR="008D068A">
        <w:rPr>
          <w:color w:val="000000"/>
          <w:lang w:eastAsia="en-GB"/>
        </w:rPr>
        <w:t xml:space="preserve">they </w:t>
      </w:r>
      <w:r w:rsidR="00326A91">
        <w:rPr>
          <w:color w:val="000000"/>
          <w:lang w:eastAsia="en-GB"/>
        </w:rPr>
        <w:t xml:space="preserve">had more unaligned bases </w:t>
      </w:r>
      <w:r w:rsidR="00BA29A0">
        <w:rPr>
          <w:color w:val="000000"/>
          <w:lang w:eastAsia="en-GB"/>
        </w:rPr>
        <w:t>than the PacBio+Illumina hybrids</w:t>
      </w:r>
      <w:r w:rsidR="002475EE">
        <w:rPr>
          <w:color w:val="000000"/>
          <w:lang w:eastAsia="en-GB"/>
        </w:rPr>
        <w:t xml:space="preserve"> for both strains</w:t>
      </w:r>
      <w:r w:rsidR="00BA29A0">
        <w:rPr>
          <w:color w:val="000000"/>
          <w:lang w:eastAsia="en-GB"/>
        </w:rPr>
        <w:t>.</w:t>
      </w:r>
      <w:r w:rsidR="00C8390B">
        <w:rPr>
          <w:color w:val="000000"/>
          <w:lang w:eastAsia="en-GB"/>
        </w:rPr>
        <w:t xml:space="preserve"> </w:t>
      </w:r>
      <w:r w:rsidR="00AE79CC">
        <w:rPr>
          <w:color w:val="000000"/>
          <w:lang w:eastAsia="en-GB"/>
        </w:rPr>
        <w:t xml:space="preserve">The most similar assembly to the reference </w:t>
      </w:r>
      <w:r w:rsidR="00C16449">
        <w:rPr>
          <w:color w:val="000000"/>
          <w:lang w:eastAsia="en-GB"/>
        </w:rPr>
        <w:t xml:space="preserve">MGH78578 </w:t>
      </w:r>
      <w:r w:rsidR="00AE79CC">
        <w:rPr>
          <w:color w:val="000000"/>
          <w:lang w:eastAsia="en-GB"/>
        </w:rPr>
        <w:t xml:space="preserve">sequence </w:t>
      </w:r>
      <w:r w:rsidR="00C16449">
        <w:rPr>
          <w:color w:val="000000"/>
          <w:lang w:eastAsia="en-GB"/>
        </w:rPr>
        <w:t xml:space="preserve">was </w:t>
      </w:r>
      <w:r w:rsidR="00DA675E">
        <w:rPr>
          <w:color w:val="000000"/>
          <w:lang w:eastAsia="en-GB"/>
        </w:rPr>
        <w:t>the PacBio Flye/Pilon assembly</w:t>
      </w:r>
      <w:r w:rsidR="00796208">
        <w:rPr>
          <w:color w:val="000000"/>
          <w:lang w:eastAsia="en-GB"/>
        </w:rPr>
        <w:t xml:space="preserve"> (5 GSNPs, </w:t>
      </w:r>
      <w:r w:rsidR="00BC2A79">
        <w:rPr>
          <w:color w:val="000000"/>
          <w:lang w:eastAsia="en-GB"/>
        </w:rPr>
        <w:t>36 GIndels)</w:t>
      </w:r>
      <w:r w:rsidR="004A63E1">
        <w:rPr>
          <w:color w:val="000000"/>
          <w:lang w:eastAsia="en-GB"/>
        </w:rPr>
        <w:t>, but it had two missing plasmids (8,</w:t>
      </w:r>
      <w:r w:rsidR="00C57FD5">
        <w:rPr>
          <w:color w:val="000000"/>
          <w:lang w:eastAsia="en-GB"/>
        </w:rPr>
        <w:t>874</w:t>
      </w:r>
      <w:r w:rsidR="004A63E1">
        <w:rPr>
          <w:color w:val="000000"/>
          <w:lang w:eastAsia="en-GB"/>
        </w:rPr>
        <w:t xml:space="preserve"> </w:t>
      </w:r>
      <w:r w:rsidR="00FD1B16">
        <w:rPr>
          <w:color w:val="000000"/>
          <w:lang w:eastAsia="en-GB"/>
        </w:rPr>
        <w:t xml:space="preserve">unaligned </w:t>
      </w:r>
      <w:r w:rsidR="005046EC">
        <w:rPr>
          <w:color w:val="000000"/>
          <w:lang w:eastAsia="en-GB"/>
        </w:rPr>
        <w:t xml:space="preserve">i.e. absent </w:t>
      </w:r>
      <w:r w:rsidR="004A63E1">
        <w:rPr>
          <w:color w:val="000000"/>
          <w:lang w:eastAsia="en-GB"/>
        </w:rPr>
        <w:t>bases)</w:t>
      </w:r>
      <w:r w:rsidR="008B1211">
        <w:rPr>
          <w:color w:val="000000"/>
          <w:lang w:eastAsia="en-GB"/>
        </w:rPr>
        <w:t>.</w:t>
      </w:r>
      <w:r w:rsidR="007A451F">
        <w:rPr>
          <w:color w:val="000000"/>
          <w:lang w:eastAsia="en-GB"/>
        </w:rPr>
        <w:t xml:space="preserve"> </w:t>
      </w:r>
    </w:p>
    <w:p w14:paraId="214ABD32" w14:textId="3A4C3562" w:rsidR="001C35EC" w:rsidRDefault="001C35EC" w:rsidP="001C35EC">
      <w:pPr>
        <w:spacing w:after="120"/>
        <w:jc w:val="both"/>
        <w:rPr>
          <w:b/>
          <w:color w:val="008461" w:themeColor="accent3"/>
          <w:sz w:val="28"/>
          <w:szCs w:val="28"/>
        </w:rPr>
      </w:pPr>
      <w:r>
        <w:rPr>
          <w:b/>
          <w:color w:val="008461" w:themeColor="accent3"/>
          <w:sz w:val="28"/>
          <w:szCs w:val="28"/>
        </w:rPr>
        <w:t>Comparison to long-read only assembly</w:t>
      </w:r>
    </w:p>
    <w:p w14:paraId="7DF28A89" w14:textId="6DFC3663" w:rsidR="004F39F4" w:rsidRDefault="001C35EC" w:rsidP="002E4340">
      <w:pPr>
        <w:spacing w:after="120"/>
        <w:jc w:val="both"/>
        <w:rPr>
          <w:color w:val="000000"/>
          <w:lang w:eastAsia="en-GB"/>
        </w:rPr>
      </w:pPr>
      <w:r>
        <w:rPr>
          <w:color w:val="000000"/>
          <w:lang w:eastAsia="en-GB"/>
        </w:rPr>
        <w:t>We compared hybrid assembly with Unicycler to long-read only assembly with Flye,</w:t>
      </w:r>
      <w:r w:rsidR="000961CE">
        <w:rPr>
          <w:color w:val="000000"/>
          <w:lang w:eastAsia="en-GB"/>
        </w:rPr>
        <w:t xml:space="preserve"> </w:t>
      </w:r>
      <w:r>
        <w:rPr>
          <w:color w:val="000000"/>
          <w:lang w:eastAsia="en-GB"/>
        </w:rPr>
        <w:t>followed by polishing using Illumina reads with Pilon (see Methods).</w:t>
      </w:r>
      <w:r w:rsidR="000961CE">
        <w:rPr>
          <w:color w:val="000000"/>
          <w:lang w:eastAsia="en-GB"/>
        </w:rPr>
        <w:t xml:space="preserve"> </w:t>
      </w:r>
      <w:r w:rsidR="000961CE" w:rsidRPr="000961CE">
        <w:rPr>
          <w:color w:val="000000"/>
          <w:lang w:eastAsia="en-GB"/>
        </w:rPr>
        <w:t xml:space="preserve">For 18 out of 20 isolates the CheckM results </w:t>
      </w:r>
      <w:r w:rsidR="004F24DB">
        <w:rPr>
          <w:color w:val="000000"/>
          <w:lang w:eastAsia="en-GB"/>
        </w:rPr>
        <w:t xml:space="preserve">for PacBio+Illumina hybrids </w:t>
      </w:r>
      <w:r w:rsidR="000961CE" w:rsidRPr="000961CE">
        <w:rPr>
          <w:color w:val="000000"/>
          <w:lang w:eastAsia="en-GB"/>
        </w:rPr>
        <w:t xml:space="preserve">were identical </w:t>
      </w:r>
      <w:r w:rsidR="004F24DB">
        <w:rPr>
          <w:color w:val="000000"/>
          <w:lang w:eastAsia="en-GB"/>
        </w:rPr>
        <w:t>to those of the respective</w:t>
      </w:r>
      <w:r w:rsidR="000961CE" w:rsidRPr="000961CE">
        <w:rPr>
          <w:color w:val="000000"/>
          <w:lang w:eastAsia="en-GB"/>
        </w:rPr>
        <w:t xml:space="preserve"> PacBio-only assembl</w:t>
      </w:r>
      <w:r w:rsidR="004F24DB">
        <w:rPr>
          <w:color w:val="000000"/>
          <w:lang w:eastAsia="en-GB"/>
        </w:rPr>
        <w:t>ies</w:t>
      </w:r>
      <w:r w:rsidR="000961CE" w:rsidRPr="000961CE">
        <w:rPr>
          <w:color w:val="000000"/>
          <w:lang w:eastAsia="en-GB"/>
        </w:rPr>
        <w:t xml:space="preserve"> followed by Illumina polishing</w:t>
      </w:r>
      <w:r w:rsidR="0004000F">
        <w:rPr>
          <w:color w:val="000000"/>
          <w:lang w:eastAsia="en-GB"/>
        </w:rPr>
        <w:t xml:space="preserve"> (Table </w:t>
      </w:r>
      <w:r w:rsidR="00D36A5F">
        <w:rPr>
          <w:color w:val="000000"/>
          <w:lang w:eastAsia="en-GB"/>
        </w:rPr>
        <w:t>S4</w:t>
      </w:r>
      <w:r w:rsidR="0004000F">
        <w:rPr>
          <w:color w:val="000000"/>
          <w:lang w:eastAsia="en-GB"/>
        </w:rPr>
        <w:t>)</w:t>
      </w:r>
      <w:r w:rsidR="000961CE" w:rsidRPr="000961CE">
        <w:rPr>
          <w:color w:val="000000"/>
          <w:lang w:eastAsia="en-GB"/>
        </w:rPr>
        <w:t xml:space="preserve">. One </w:t>
      </w:r>
      <w:r w:rsidR="00E43DE6">
        <w:rPr>
          <w:color w:val="000000"/>
          <w:lang w:eastAsia="en-GB"/>
        </w:rPr>
        <w:t>PacBio Flye</w:t>
      </w:r>
      <w:r w:rsidR="000961CE" w:rsidRPr="000961CE">
        <w:rPr>
          <w:color w:val="000000"/>
          <w:lang w:eastAsia="en-GB"/>
        </w:rPr>
        <w:t xml:space="preserve"> assembly had </w:t>
      </w:r>
      <w:r w:rsidR="00D52E39">
        <w:rPr>
          <w:color w:val="000000"/>
          <w:lang w:eastAsia="en-GB"/>
        </w:rPr>
        <w:t>unusually low</w:t>
      </w:r>
      <w:r w:rsidR="000961CE" w:rsidRPr="000961CE">
        <w:rPr>
          <w:color w:val="000000"/>
          <w:lang w:eastAsia="en-GB"/>
        </w:rPr>
        <w:t xml:space="preserve"> completeness compared to hybrid assembly (RHB10-C07: 96.88% vs. 99.93%) and another isolate had higher completeness (RHB11-C04: 99.89% vs. 99.62%). </w:t>
      </w:r>
      <w:r w:rsidR="009A3843">
        <w:rPr>
          <w:color w:val="000000"/>
          <w:lang w:eastAsia="en-GB"/>
        </w:rPr>
        <w:t xml:space="preserve">Overall, </w:t>
      </w:r>
      <w:r w:rsidR="00760928">
        <w:rPr>
          <w:color w:val="000000"/>
          <w:lang w:eastAsia="en-GB"/>
        </w:rPr>
        <w:t xml:space="preserve">we </w:t>
      </w:r>
      <w:r w:rsidR="008973DA">
        <w:rPr>
          <w:color w:val="000000"/>
          <w:lang w:eastAsia="en-GB"/>
        </w:rPr>
        <w:t>observed</w:t>
      </w:r>
      <w:r w:rsidR="00760928">
        <w:rPr>
          <w:color w:val="000000"/>
          <w:lang w:eastAsia="en-GB"/>
        </w:rPr>
        <w:t xml:space="preserve"> </w:t>
      </w:r>
      <w:r w:rsidR="00042B4E">
        <w:rPr>
          <w:color w:val="000000"/>
          <w:lang w:eastAsia="en-GB"/>
        </w:rPr>
        <w:t>high consistency between assemblies</w:t>
      </w:r>
      <w:r w:rsidR="00984F10">
        <w:rPr>
          <w:color w:val="000000"/>
          <w:lang w:eastAsia="en-GB"/>
        </w:rPr>
        <w:t xml:space="preserve"> for each isolate</w:t>
      </w:r>
      <w:r w:rsidR="002E6A94">
        <w:rPr>
          <w:color w:val="000000"/>
          <w:lang w:eastAsia="en-GB"/>
        </w:rPr>
        <w:t xml:space="preserve"> (Figure </w:t>
      </w:r>
      <w:r w:rsidR="005409D5">
        <w:rPr>
          <w:color w:val="000000"/>
          <w:lang w:eastAsia="en-GB"/>
        </w:rPr>
        <w:t>S</w:t>
      </w:r>
      <w:r w:rsidR="009E669B">
        <w:rPr>
          <w:color w:val="000000"/>
          <w:lang w:eastAsia="en-GB"/>
        </w:rPr>
        <w:t>3</w:t>
      </w:r>
      <w:r w:rsidR="002E6A94">
        <w:rPr>
          <w:color w:val="000000"/>
          <w:lang w:eastAsia="en-GB"/>
        </w:rPr>
        <w:t>).</w:t>
      </w:r>
      <w:r w:rsidR="0091320B">
        <w:rPr>
          <w:color w:val="000000"/>
          <w:lang w:eastAsia="en-GB"/>
        </w:rPr>
        <w:t xml:space="preserve"> Noticeably,</w:t>
      </w:r>
      <w:r w:rsidR="00B32009">
        <w:rPr>
          <w:color w:val="000000"/>
          <w:lang w:eastAsia="en-GB"/>
        </w:rPr>
        <w:t xml:space="preserve"> ONT-only assembly followed by Illumina polishing was </w:t>
      </w:r>
      <w:r w:rsidR="008A6955">
        <w:rPr>
          <w:color w:val="000000"/>
          <w:lang w:eastAsia="en-GB"/>
        </w:rPr>
        <w:t>inferior a</w:t>
      </w:r>
      <w:r w:rsidR="007C631C">
        <w:rPr>
          <w:color w:val="000000"/>
          <w:lang w:eastAsia="en-GB"/>
        </w:rPr>
        <w:t xml:space="preserve">nd </w:t>
      </w:r>
      <w:r w:rsidR="00B275F7">
        <w:rPr>
          <w:color w:val="000000"/>
          <w:lang w:eastAsia="en-GB"/>
        </w:rPr>
        <w:t>was</w:t>
      </w:r>
      <w:r w:rsidR="008A6955">
        <w:rPr>
          <w:color w:val="000000"/>
          <w:lang w:eastAsia="en-GB"/>
        </w:rPr>
        <w:t xml:space="preserve"> an outlier </w:t>
      </w:r>
      <w:r w:rsidR="00074749">
        <w:rPr>
          <w:color w:val="000000"/>
          <w:lang w:eastAsia="en-GB"/>
        </w:rPr>
        <w:t xml:space="preserve">compared to </w:t>
      </w:r>
      <w:r w:rsidR="003A7E25">
        <w:rPr>
          <w:color w:val="000000"/>
          <w:lang w:eastAsia="en-GB"/>
        </w:rPr>
        <w:t xml:space="preserve">the </w:t>
      </w:r>
      <w:r w:rsidR="00B32009">
        <w:rPr>
          <w:color w:val="000000"/>
          <w:lang w:eastAsia="en-GB"/>
        </w:rPr>
        <w:t xml:space="preserve">hybrid </w:t>
      </w:r>
      <w:r w:rsidR="005B3092">
        <w:rPr>
          <w:color w:val="000000"/>
          <w:lang w:eastAsia="en-GB"/>
        </w:rPr>
        <w:t>assemblies</w:t>
      </w:r>
      <w:r w:rsidR="00074749">
        <w:rPr>
          <w:color w:val="000000"/>
          <w:lang w:eastAsia="en-GB"/>
        </w:rPr>
        <w:t xml:space="preserve"> </w:t>
      </w:r>
      <w:r w:rsidR="00B21321">
        <w:rPr>
          <w:color w:val="000000"/>
          <w:lang w:eastAsia="en-GB"/>
        </w:rPr>
        <w:t>for both</w:t>
      </w:r>
      <w:r w:rsidR="00074749">
        <w:rPr>
          <w:color w:val="000000"/>
          <w:lang w:eastAsia="en-GB"/>
        </w:rPr>
        <w:t xml:space="preserve"> PacBio and ONT</w:t>
      </w:r>
      <w:r w:rsidR="00B32009">
        <w:rPr>
          <w:color w:val="000000"/>
          <w:lang w:eastAsia="en-GB"/>
        </w:rPr>
        <w:t xml:space="preserve">. </w:t>
      </w:r>
      <w:r w:rsidR="002E6A94">
        <w:rPr>
          <w:color w:val="000000"/>
          <w:lang w:eastAsia="en-GB"/>
        </w:rPr>
        <w:t xml:space="preserve"> </w:t>
      </w:r>
    </w:p>
    <w:p w14:paraId="0837376C" w14:textId="3BE0F1DF" w:rsidR="00A12E51" w:rsidRPr="002E4340" w:rsidRDefault="00430B9F" w:rsidP="002E4340">
      <w:pPr>
        <w:spacing w:after="120"/>
        <w:jc w:val="both"/>
        <w:rPr>
          <w:color w:val="000000"/>
          <w:lang w:eastAsia="en-GB"/>
        </w:rPr>
      </w:pPr>
      <w:r>
        <w:rPr>
          <w:b/>
          <w:color w:val="008461" w:themeColor="accent3"/>
          <w:sz w:val="28"/>
          <w:szCs w:val="28"/>
        </w:rPr>
        <w:t xml:space="preserve">Hybrid </w:t>
      </w:r>
      <w:r w:rsidR="00A12E51" w:rsidRPr="00B36586">
        <w:rPr>
          <w:b/>
          <w:color w:val="008461" w:themeColor="accent3"/>
          <w:sz w:val="28"/>
          <w:szCs w:val="28"/>
        </w:rPr>
        <w:t>assembly</w:t>
      </w:r>
      <w:r w:rsidR="00FC525F" w:rsidRPr="00B36586">
        <w:rPr>
          <w:b/>
          <w:color w:val="008461" w:themeColor="accent3"/>
          <w:sz w:val="28"/>
          <w:szCs w:val="28"/>
        </w:rPr>
        <w:t xml:space="preserve"> comparisons</w:t>
      </w:r>
    </w:p>
    <w:p w14:paraId="40CDD9B6" w14:textId="30461B76" w:rsidR="002E4340" w:rsidRDefault="00A12E51" w:rsidP="002E4340">
      <w:pPr>
        <w:spacing w:after="120"/>
        <w:jc w:val="both"/>
        <w:rPr>
          <w:color w:val="000000"/>
          <w:lang w:eastAsia="en-GB"/>
        </w:rPr>
      </w:pPr>
      <w:r w:rsidRPr="00B36586">
        <w:rPr>
          <w:color w:val="000000"/>
          <w:lang w:eastAsia="en-GB"/>
        </w:rPr>
        <w:t xml:space="preserve">Using </w:t>
      </w:r>
      <w:r w:rsidR="005D2BC7" w:rsidRPr="00B36586">
        <w:rPr>
          <w:color w:val="000000"/>
          <w:lang w:eastAsia="en-GB"/>
        </w:rPr>
        <w:t>ONT</w:t>
      </w:r>
      <w:r w:rsidR="00CD1E7B" w:rsidRPr="00B36586">
        <w:rPr>
          <w:color w:val="000000"/>
          <w:lang w:eastAsia="en-GB"/>
        </w:rPr>
        <w:t xml:space="preserve">+Illumina </w:t>
      </w:r>
      <w:r w:rsidRPr="00B36586">
        <w:rPr>
          <w:color w:val="000000"/>
          <w:lang w:eastAsia="en-GB"/>
        </w:rPr>
        <w:t>hybrid assembly</w:t>
      </w:r>
      <w:r w:rsidR="00CD1E7B" w:rsidRPr="00B36586">
        <w:rPr>
          <w:color w:val="000000"/>
          <w:lang w:eastAsia="en-GB"/>
        </w:rPr>
        <w:t xml:space="preserve"> approaches</w:t>
      </w:r>
      <w:r w:rsidR="005D2BC7" w:rsidRPr="00B36586">
        <w:rPr>
          <w:color w:val="000000"/>
          <w:lang w:eastAsia="en-GB"/>
        </w:rPr>
        <w:t>,</w:t>
      </w:r>
      <w:r w:rsidRPr="00B36586">
        <w:rPr>
          <w:color w:val="000000"/>
          <w:lang w:eastAsia="en-GB"/>
        </w:rPr>
        <w:t xml:space="preserve"> we were able to </w:t>
      </w:r>
      <w:r w:rsidR="00BE7EA7" w:rsidRPr="00B36586">
        <w:rPr>
          <w:color w:val="000000"/>
          <w:lang w:eastAsia="en-GB"/>
        </w:rPr>
        <w:t xml:space="preserve">completely </w:t>
      </w:r>
      <w:r w:rsidRPr="00B36586">
        <w:rPr>
          <w:color w:val="000000"/>
          <w:lang w:eastAsia="en-GB"/>
        </w:rPr>
        <w:t>assemble</w:t>
      </w:r>
      <w:r w:rsidR="00BD6582" w:rsidRPr="00B36586">
        <w:rPr>
          <w:color w:val="000000"/>
          <w:lang w:eastAsia="en-GB"/>
        </w:rPr>
        <w:t xml:space="preserve"> (i.e. all contigs circulari</w:t>
      </w:r>
      <w:r w:rsidR="00346787" w:rsidRPr="00B36586">
        <w:rPr>
          <w:color w:val="000000"/>
          <w:lang w:eastAsia="en-GB"/>
        </w:rPr>
        <w:t>s</w:t>
      </w:r>
      <w:r w:rsidR="00BD6582" w:rsidRPr="00B36586">
        <w:rPr>
          <w:color w:val="000000"/>
          <w:lang w:eastAsia="en-GB"/>
        </w:rPr>
        <w:t xml:space="preserve">ed) </w:t>
      </w:r>
      <w:r w:rsidR="00556946" w:rsidRPr="00B36586">
        <w:rPr>
          <w:color w:val="000000"/>
          <w:lang w:eastAsia="en-GB"/>
        </w:rPr>
        <w:t xml:space="preserve">the majority of </w:t>
      </w:r>
      <w:r w:rsidR="005D2BC7" w:rsidRPr="00B36586">
        <w:rPr>
          <w:color w:val="000000"/>
          <w:lang w:eastAsia="en-GB"/>
        </w:rPr>
        <w:t>genomes</w:t>
      </w:r>
      <w:r w:rsidR="003502B2" w:rsidRPr="00B36586">
        <w:rPr>
          <w:color w:val="000000"/>
          <w:lang w:eastAsia="en-GB"/>
        </w:rPr>
        <w:t xml:space="preserve"> </w:t>
      </w:r>
      <w:r w:rsidR="005D2BC7" w:rsidRPr="00B36586">
        <w:rPr>
          <w:color w:val="000000"/>
          <w:lang w:eastAsia="en-GB"/>
        </w:rPr>
        <w:t>(between 12</w:t>
      </w:r>
      <w:r w:rsidR="00CD1E7B" w:rsidRPr="00B36586">
        <w:rPr>
          <w:color w:val="000000"/>
          <w:lang w:eastAsia="en-GB"/>
        </w:rPr>
        <w:t xml:space="preserve"> [60%]</w:t>
      </w:r>
      <w:r w:rsidR="005D2BC7" w:rsidRPr="00B36586">
        <w:rPr>
          <w:color w:val="000000"/>
          <w:lang w:eastAsia="en-GB"/>
        </w:rPr>
        <w:t xml:space="preserve"> and 1</w:t>
      </w:r>
      <w:r w:rsidR="00DD2CF1" w:rsidRPr="00B36586">
        <w:rPr>
          <w:color w:val="000000"/>
          <w:lang w:eastAsia="en-GB"/>
        </w:rPr>
        <w:t>7</w:t>
      </w:r>
      <w:r w:rsidR="00CD1E7B" w:rsidRPr="00B36586">
        <w:rPr>
          <w:color w:val="000000"/>
          <w:lang w:eastAsia="en-GB"/>
        </w:rPr>
        <w:t xml:space="preserve"> [</w:t>
      </w:r>
      <w:r w:rsidR="00DD2CF1" w:rsidRPr="00B36586">
        <w:rPr>
          <w:color w:val="000000"/>
          <w:lang w:eastAsia="en-GB"/>
        </w:rPr>
        <w:t>85</w:t>
      </w:r>
      <w:r w:rsidR="00CD1E7B" w:rsidRPr="00B36586">
        <w:rPr>
          <w:color w:val="000000"/>
          <w:lang w:eastAsia="en-GB"/>
        </w:rPr>
        <w:t>%] depending on the preparation strategy</w:t>
      </w:r>
      <w:r w:rsidR="00794F60" w:rsidRPr="00B36586">
        <w:rPr>
          <w:color w:val="000000"/>
          <w:lang w:eastAsia="en-GB"/>
        </w:rPr>
        <w:t xml:space="preserve"> for long</w:t>
      </w:r>
      <w:r w:rsidR="004B4D9B">
        <w:rPr>
          <w:color w:val="000000"/>
          <w:lang w:eastAsia="en-GB"/>
        </w:rPr>
        <w:t xml:space="preserve"> </w:t>
      </w:r>
      <w:r w:rsidR="00794F60" w:rsidRPr="00B36586">
        <w:rPr>
          <w:color w:val="000000"/>
          <w:lang w:eastAsia="en-GB"/>
        </w:rPr>
        <w:t>reads</w:t>
      </w:r>
      <w:r w:rsidR="00556946" w:rsidRPr="00B36586">
        <w:rPr>
          <w:color w:val="000000"/>
          <w:lang w:eastAsia="en-GB"/>
        </w:rPr>
        <w:t>, Table 1</w:t>
      </w:r>
      <w:r w:rsidRPr="00B36586">
        <w:rPr>
          <w:color w:val="000000"/>
          <w:lang w:eastAsia="en-GB"/>
        </w:rPr>
        <w:t>)</w:t>
      </w:r>
      <w:r w:rsidR="00556946" w:rsidRPr="00B36586">
        <w:rPr>
          <w:color w:val="000000"/>
          <w:lang w:eastAsia="en-GB"/>
        </w:rPr>
        <w:t xml:space="preserve"> without any manual intervention</w:t>
      </w:r>
      <w:r w:rsidR="00AB38FD" w:rsidRPr="00B36586">
        <w:rPr>
          <w:color w:val="000000"/>
          <w:lang w:eastAsia="en-GB"/>
        </w:rPr>
        <w:t xml:space="preserve"> (18 across all strategies)</w:t>
      </w:r>
      <w:r w:rsidR="00556946" w:rsidRPr="00B36586">
        <w:rPr>
          <w:color w:val="000000"/>
          <w:lang w:eastAsia="en-GB"/>
        </w:rPr>
        <w:t>.</w:t>
      </w:r>
      <w:r w:rsidRPr="00B36586">
        <w:rPr>
          <w:color w:val="000000"/>
          <w:lang w:eastAsia="en-GB"/>
        </w:rPr>
        <w:t xml:space="preserve"> </w:t>
      </w:r>
      <w:r w:rsidR="00077913" w:rsidRPr="00B36586">
        <w:rPr>
          <w:color w:val="000000"/>
          <w:lang w:eastAsia="en-GB"/>
        </w:rPr>
        <w:t>With</w:t>
      </w:r>
      <w:r w:rsidRPr="00B36586">
        <w:rPr>
          <w:color w:val="000000"/>
          <w:lang w:eastAsia="en-GB"/>
        </w:rPr>
        <w:t xml:space="preserve"> PacBio</w:t>
      </w:r>
      <w:r w:rsidR="00AB38FD" w:rsidRPr="00B36586">
        <w:rPr>
          <w:color w:val="000000"/>
          <w:lang w:eastAsia="en-GB"/>
        </w:rPr>
        <w:t>+Illumina</w:t>
      </w:r>
      <w:r w:rsidR="00077913" w:rsidRPr="00B36586">
        <w:rPr>
          <w:color w:val="000000"/>
          <w:lang w:eastAsia="en-GB"/>
        </w:rPr>
        <w:t xml:space="preserve"> fewer assemblies</w:t>
      </w:r>
      <w:r w:rsidRPr="00B36586">
        <w:rPr>
          <w:color w:val="000000"/>
          <w:lang w:eastAsia="en-GB"/>
        </w:rPr>
        <w:t xml:space="preserve"> </w:t>
      </w:r>
      <w:r w:rsidR="00AB38FD" w:rsidRPr="00B36586">
        <w:rPr>
          <w:color w:val="000000"/>
          <w:lang w:eastAsia="en-GB"/>
        </w:rPr>
        <w:t xml:space="preserve">were complete </w:t>
      </w:r>
      <w:r w:rsidRPr="00B36586">
        <w:rPr>
          <w:color w:val="000000"/>
          <w:lang w:eastAsia="en-GB"/>
        </w:rPr>
        <w:t>(between 7</w:t>
      </w:r>
      <w:r w:rsidR="00CD1E7B" w:rsidRPr="00B36586">
        <w:rPr>
          <w:color w:val="000000"/>
          <w:lang w:eastAsia="en-GB"/>
        </w:rPr>
        <w:t xml:space="preserve"> [35%]</w:t>
      </w:r>
      <w:r w:rsidRPr="00B36586">
        <w:rPr>
          <w:color w:val="000000"/>
          <w:lang w:eastAsia="en-GB"/>
        </w:rPr>
        <w:t xml:space="preserve"> and 9</w:t>
      </w:r>
      <w:r w:rsidR="00CD1E7B" w:rsidRPr="00B36586">
        <w:rPr>
          <w:color w:val="000000"/>
          <w:lang w:eastAsia="en-GB"/>
        </w:rPr>
        <w:t xml:space="preserve"> [45%]</w:t>
      </w:r>
      <w:r w:rsidRPr="00B36586">
        <w:rPr>
          <w:color w:val="000000"/>
          <w:lang w:eastAsia="en-GB"/>
        </w:rPr>
        <w:t>)</w:t>
      </w:r>
      <w:r w:rsidR="00CD1E7B" w:rsidRPr="00B36586">
        <w:rPr>
          <w:color w:val="000000"/>
          <w:lang w:eastAsia="en-GB"/>
        </w:rPr>
        <w:t>.</w:t>
      </w:r>
      <w:r w:rsidR="00556946" w:rsidRPr="00B36586">
        <w:rPr>
          <w:color w:val="000000"/>
          <w:lang w:eastAsia="en-GB"/>
        </w:rPr>
        <w:t xml:space="preserve"> </w:t>
      </w:r>
      <w:r w:rsidR="00CD1E7B" w:rsidRPr="00B36586">
        <w:rPr>
          <w:color w:val="000000"/>
          <w:lang w:eastAsia="en-GB"/>
        </w:rPr>
        <w:t>M</w:t>
      </w:r>
      <w:r w:rsidR="00556946" w:rsidRPr="00B36586">
        <w:rPr>
          <w:color w:val="000000"/>
          <w:lang w:eastAsia="en-GB"/>
        </w:rPr>
        <w:t>ore contigs were</w:t>
      </w:r>
      <w:r w:rsidR="00CD1E7B" w:rsidRPr="00B36586">
        <w:rPr>
          <w:color w:val="000000"/>
          <w:lang w:eastAsia="en-GB"/>
        </w:rPr>
        <w:t xml:space="preserve"> also</w:t>
      </w:r>
      <w:r w:rsidR="00556946" w:rsidRPr="00B36586">
        <w:rPr>
          <w:color w:val="000000"/>
          <w:lang w:eastAsia="en-GB"/>
        </w:rPr>
        <w:t xml:space="preserve"> circulari</w:t>
      </w:r>
      <w:r w:rsidR="00346787" w:rsidRPr="00B36586">
        <w:rPr>
          <w:color w:val="000000"/>
          <w:lang w:eastAsia="en-GB"/>
        </w:rPr>
        <w:t>s</w:t>
      </w:r>
      <w:r w:rsidR="00556946" w:rsidRPr="00B36586">
        <w:rPr>
          <w:color w:val="000000"/>
          <w:lang w:eastAsia="en-GB"/>
        </w:rPr>
        <w:t xml:space="preserve">ed with ONT than with PacBio (up to </w:t>
      </w:r>
      <w:r w:rsidR="00737C5D" w:rsidRPr="00B36586">
        <w:rPr>
          <w:color w:val="000000"/>
          <w:lang w:eastAsia="en-GB"/>
        </w:rPr>
        <w:t>84</w:t>
      </w:r>
      <w:r w:rsidR="000B5B5D" w:rsidRPr="00B36586">
        <w:rPr>
          <w:color w:val="000000"/>
          <w:lang w:eastAsia="en-GB"/>
        </w:rPr>
        <w:t xml:space="preserve"> </w:t>
      </w:r>
      <w:r w:rsidR="00B72D87" w:rsidRPr="00B36586">
        <w:rPr>
          <w:color w:val="000000"/>
          <w:lang w:eastAsia="en-GB"/>
        </w:rPr>
        <w:t>[9</w:t>
      </w:r>
      <w:r w:rsidR="00737C5D" w:rsidRPr="00B36586">
        <w:rPr>
          <w:color w:val="000000"/>
          <w:lang w:eastAsia="en-GB"/>
        </w:rPr>
        <w:t>7</w:t>
      </w:r>
      <w:r w:rsidR="00B72D87" w:rsidRPr="00B36586">
        <w:rPr>
          <w:color w:val="000000"/>
          <w:lang w:eastAsia="en-GB"/>
        </w:rPr>
        <w:t>%]</w:t>
      </w:r>
      <w:r w:rsidR="003B400B" w:rsidRPr="00B36586">
        <w:rPr>
          <w:color w:val="000000"/>
          <w:lang w:eastAsia="en-GB"/>
        </w:rPr>
        <w:t xml:space="preserve"> </w:t>
      </w:r>
      <w:r w:rsidR="00556946" w:rsidRPr="00B36586">
        <w:rPr>
          <w:color w:val="000000"/>
          <w:lang w:eastAsia="en-GB"/>
        </w:rPr>
        <w:t>versus 67</w:t>
      </w:r>
      <w:r w:rsidR="00B72D87" w:rsidRPr="00B36586">
        <w:rPr>
          <w:color w:val="000000"/>
          <w:lang w:eastAsia="en-GB"/>
        </w:rPr>
        <w:t xml:space="preserve"> [</w:t>
      </w:r>
      <w:r w:rsidR="00737C5D" w:rsidRPr="00B36586">
        <w:rPr>
          <w:color w:val="000000"/>
          <w:lang w:eastAsia="en-GB"/>
        </w:rPr>
        <w:t>77</w:t>
      </w:r>
      <w:r w:rsidR="00B72D87" w:rsidRPr="00B36586">
        <w:rPr>
          <w:color w:val="000000"/>
          <w:lang w:eastAsia="en-GB"/>
        </w:rPr>
        <w:t>%]</w:t>
      </w:r>
      <w:r w:rsidR="00556946" w:rsidRPr="00B36586">
        <w:rPr>
          <w:color w:val="000000"/>
          <w:lang w:eastAsia="en-GB"/>
        </w:rPr>
        <w:t>)</w:t>
      </w:r>
      <w:r w:rsidR="00CD1E7B" w:rsidRPr="00B36586">
        <w:rPr>
          <w:color w:val="000000"/>
          <w:lang w:eastAsia="en-GB"/>
        </w:rPr>
        <w:t>,</w:t>
      </w:r>
      <w:r w:rsidR="00556946" w:rsidRPr="00B36586">
        <w:rPr>
          <w:color w:val="000000"/>
          <w:lang w:eastAsia="en-GB"/>
        </w:rPr>
        <w:t xml:space="preserve"> and assemblies were less fragmented (</w:t>
      </w:r>
      <w:r w:rsidR="00E37EF7" w:rsidRPr="00B36586">
        <w:rPr>
          <w:color w:val="000000"/>
          <w:lang w:eastAsia="en-GB"/>
        </w:rPr>
        <w:t>a minimum of</w:t>
      </w:r>
      <w:r w:rsidR="00A37D7A" w:rsidRPr="00B36586">
        <w:rPr>
          <w:color w:val="000000"/>
          <w:lang w:eastAsia="en-GB"/>
        </w:rPr>
        <w:t xml:space="preserve"> </w:t>
      </w:r>
      <w:r w:rsidR="00556946" w:rsidRPr="00B36586">
        <w:rPr>
          <w:color w:val="000000"/>
          <w:lang w:eastAsia="en-GB"/>
        </w:rPr>
        <w:t>102 total contigs</w:t>
      </w:r>
      <w:r w:rsidR="00EC24FB" w:rsidRPr="00B36586">
        <w:rPr>
          <w:color w:val="000000"/>
          <w:lang w:eastAsia="en-GB"/>
        </w:rPr>
        <w:t xml:space="preserve"> across all 20 isolates</w:t>
      </w:r>
      <w:r w:rsidR="00556946" w:rsidRPr="00B36586">
        <w:rPr>
          <w:color w:val="000000"/>
          <w:lang w:eastAsia="en-GB"/>
        </w:rPr>
        <w:t xml:space="preserve"> for ONT</w:t>
      </w:r>
      <w:r w:rsidR="00AB38FD" w:rsidRPr="00B36586">
        <w:rPr>
          <w:color w:val="000000"/>
          <w:lang w:eastAsia="en-GB"/>
        </w:rPr>
        <w:t xml:space="preserve"> vs.</w:t>
      </w:r>
      <w:r w:rsidR="00556946" w:rsidRPr="00B36586">
        <w:rPr>
          <w:color w:val="000000"/>
          <w:lang w:eastAsia="en-GB"/>
        </w:rPr>
        <w:t xml:space="preserve"> a minimum of </w:t>
      </w:r>
      <w:r w:rsidR="00AB40FC" w:rsidRPr="00B36586">
        <w:rPr>
          <w:color w:val="000000"/>
          <w:lang w:eastAsia="en-GB"/>
        </w:rPr>
        <w:t>218</w:t>
      </w:r>
      <w:r w:rsidR="00556946" w:rsidRPr="00B36586">
        <w:rPr>
          <w:color w:val="000000"/>
          <w:lang w:eastAsia="en-GB"/>
        </w:rPr>
        <w:t xml:space="preserve"> for PacBio).</w:t>
      </w:r>
      <w:r w:rsidR="001C3AC7" w:rsidRPr="00B36586">
        <w:rPr>
          <w:color w:val="000000"/>
          <w:lang w:eastAsia="en-GB"/>
        </w:rPr>
        <w:t xml:space="preserve"> </w:t>
      </w:r>
    </w:p>
    <w:p w14:paraId="2B1FA84C" w14:textId="511A31E4" w:rsidR="002E4340" w:rsidRDefault="00CC59C4" w:rsidP="002E4340">
      <w:pPr>
        <w:spacing w:after="120"/>
        <w:jc w:val="both"/>
        <w:rPr>
          <w:color w:val="000000"/>
          <w:lang w:eastAsia="en-GB"/>
        </w:rPr>
      </w:pPr>
      <w:r w:rsidRPr="00B36586">
        <w:t>On the basis of the minimap2/Filtlong comparisons</w:t>
      </w:r>
      <w:r w:rsidR="00E3607C" w:rsidRPr="00B36586">
        <w:t xml:space="preserve"> (see Methods)</w:t>
      </w:r>
      <w:r w:rsidRPr="00B36586">
        <w:t>, most reads from both long-read platforms had</w:t>
      </w:r>
      <w:r w:rsidR="001C5613" w:rsidRPr="00B36586">
        <w:t xml:space="preserve"> “</w:t>
      </w:r>
      <w:r w:rsidRPr="00B36586">
        <w:t>goo</w:t>
      </w:r>
      <w:r w:rsidR="001C5613" w:rsidRPr="00B36586">
        <w:t>d”</w:t>
      </w:r>
      <w:r w:rsidRPr="00B36586">
        <w:t xml:space="preserve"> alignmen</w:t>
      </w:r>
      <w:r w:rsidR="00D269B6" w:rsidRPr="00B36586">
        <w:t>t</w:t>
      </w:r>
      <w:r w:rsidRPr="00B36586">
        <w:t xml:space="preserve"> to their respective assemblies (~103,000 reads on average for PacBio vs</w:t>
      </w:r>
      <w:r w:rsidR="00AB38FD" w:rsidRPr="00B36586">
        <w:t>.</w:t>
      </w:r>
      <w:r w:rsidRPr="00B36586">
        <w:t xml:space="preserve"> ~99,000 reads for ONT, Figure S</w:t>
      </w:r>
      <w:r w:rsidR="00871D56">
        <w:t>4</w:t>
      </w:r>
      <w:r w:rsidRPr="00B36586">
        <w:t>, Table S</w:t>
      </w:r>
      <w:r w:rsidR="0074779B">
        <w:t>5</w:t>
      </w:r>
      <w:r w:rsidRPr="00B36586">
        <w:t>), with slightly more alignments classified as</w:t>
      </w:r>
      <w:r w:rsidR="001C5613" w:rsidRPr="00B36586">
        <w:t xml:space="preserve"> “</w:t>
      </w:r>
      <w:r w:rsidRPr="00B36586">
        <w:t>chimera</w:t>
      </w:r>
      <w:r w:rsidR="001C5613" w:rsidRPr="00B36586">
        <w:t xml:space="preserve">s” </w:t>
      </w:r>
      <w:r w:rsidRPr="00B36586">
        <w:t>(4</w:t>
      </w:r>
      <w:r w:rsidR="001C5613" w:rsidRPr="00B36586">
        <w:t>,</w:t>
      </w:r>
      <w:r w:rsidRPr="00B36586">
        <w:t xml:space="preserve">502 </w:t>
      </w:r>
      <w:r w:rsidR="00AB38FD" w:rsidRPr="00B36586">
        <w:t>vs.</w:t>
      </w:r>
      <w:r w:rsidRPr="00B36586">
        <w:t xml:space="preserve"> 1</w:t>
      </w:r>
      <w:r w:rsidR="001C5613" w:rsidRPr="00B36586">
        <w:t>,</w:t>
      </w:r>
      <w:r w:rsidRPr="00B36586">
        <w:t xml:space="preserve">074 reads) and a much larger number of alignments </w:t>
      </w:r>
      <w:r w:rsidR="007305CD" w:rsidRPr="00B36586">
        <w:t xml:space="preserve">that </w:t>
      </w:r>
      <w:r w:rsidR="007305CD" w:rsidRPr="00B36586">
        <w:lastRenderedPageBreak/>
        <w:t>were poor</w:t>
      </w:r>
      <w:r w:rsidR="00D71029" w:rsidRPr="00B36586">
        <w:t xml:space="preserve"> </w:t>
      </w:r>
      <w:r w:rsidR="00977038" w:rsidRPr="00B36586">
        <w:t>and</w:t>
      </w:r>
      <w:r w:rsidR="00D71029" w:rsidRPr="00B36586">
        <w:t xml:space="preserve"> classified as</w:t>
      </w:r>
      <w:r w:rsidR="007305CD" w:rsidRPr="00B36586">
        <w:t xml:space="preserve"> </w:t>
      </w:r>
      <w:r w:rsidR="001C5613" w:rsidRPr="00B36586">
        <w:t xml:space="preserve">“other” </w:t>
      </w:r>
      <w:r w:rsidRPr="00B36586">
        <w:t>(54</w:t>
      </w:r>
      <w:r w:rsidR="001C5613" w:rsidRPr="00B36586">
        <w:t>,</w:t>
      </w:r>
      <w:r w:rsidRPr="00B36586">
        <w:t xml:space="preserve">449 </w:t>
      </w:r>
      <w:r w:rsidR="00AB38FD" w:rsidRPr="00B36586">
        <w:t>vs.</w:t>
      </w:r>
      <w:r w:rsidRPr="00B36586">
        <w:t xml:space="preserve"> 8</w:t>
      </w:r>
      <w:r w:rsidR="001C5613" w:rsidRPr="00B36586">
        <w:t>,</w:t>
      </w:r>
      <w:r w:rsidRPr="00B36586">
        <w:t xml:space="preserve">222) for PacBio </w:t>
      </w:r>
      <w:r w:rsidR="001925EE" w:rsidRPr="00B36586">
        <w:t>compared to</w:t>
      </w:r>
      <w:r w:rsidR="00A76791" w:rsidRPr="00B36586">
        <w:t xml:space="preserve"> ONT </w:t>
      </w:r>
      <w:r w:rsidRPr="00B36586">
        <w:t>reads (Figure S</w:t>
      </w:r>
      <w:r w:rsidR="00D231B9">
        <w:t>4</w:t>
      </w:r>
      <w:r w:rsidRPr="00B36586">
        <w:t>, Table S</w:t>
      </w:r>
      <w:r w:rsidR="0074779B">
        <w:t>5</w:t>
      </w:r>
      <w:r w:rsidRPr="00B36586">
        <w:t xml:space="preserve">). </w:t>
      </w:r>
    </w:p>
    <w:p w14:paraId="3452E44C" w14:textId="18637EDE" w:rsidR="002E4340" w:rsidRDefault="00077913" w:rsidP="002E4340">
      <w:pPr>
        <w:spacing w:after="120"/>
        <w:jc w:val="both"/>
        <w:rPr>
          <w:color w:val="000000"/>
          <w:lang w:eastAsia="en-GB"/>
        </w:rPr>
      </w:pPr>
      <w:r w:rsidRPr="00B36586">
        <w:rPr>
          <w:color w:val="000000"/>
          <w:lang w:eastAsia="en-GB"/>
        </w:rPr>
        <w:t xml:space="preserve">Some chromosomal regions proved hard to assemble </w:t>
      </w:r>
      <w:r w:rsidR="00A9604E" w:rsidRPr="00B36586">
        <w:rPr>
          <w:color w:val="000000"/>
          <w:lang w:eastAsia="en-GB"/>
        </w:rPr>
        <w:t xml:space="preserve">with </w:t>
      </w:r>
      <w:r w:rsidRPr="00B36586">
        <w:rPr>
          <w:color w:val="000000"/>
          <w:lang w:eastAsia="en-GB"/>
        </w:rPr>
        <w:t>both PacBio and ONT</w:t>
      </w:r>
      <w:r w:rsidR="002E52B7" w:rsidRPr="00B36586">
        <w:rPr>
          <w:color w:val="000000"/>
          <w:lang w:eastAsia="en-GB"/>
        </w:rPr>
        <w:t xml:space="preserve">, e.g. for </w:t>
      </w:r>
      <w:r w:rsidR="00596660" w:rsidRPr="00B36586">
        <w:rPr>
          <w:color w:val="000000"/>
          <w:lang w:eastAsia="en-GB"/>
        </w:rPr>
        <w:t>isolates</w:t>
      </w:r>
      <w:r w:rsidR="002E52B7" w:rsidRPr="00B36586">
        <w:rPr>
          <w:color w:val="000000"/>
          <w:lang w:eastAsia="en-GB"/>
        </w:rPr>
        <w:t xml:space="preserve"> RBHST</w:t>
      </w:r>
      <w:r w:rsidR="00EF297D" w:rsidRPr="00B36586">
        <w:rPr>
          <w:color w:val="000000"/>
          <w:lang w:eastAsia="en-GB"/>
        </w:rPr>
        <w:t>W-</w:t>
      </w:r>
      <w:r w:rsidR="002E52B7" w:rsidRPr="00B36586">
        <w:rPr>
          <w:color w:val="000000"/>
          <w:lang w:eastAsia="en-GB"/>
        </w:rPr>
        <w:t>00029 and RHB14</w:t>
      </w:r>
      <w:r w:rsidR="00EF297D" w:rsidRPr="00B36586">
        <w:rPr>
          <w:color w:val="000000"/>
          <w:lang w:eastAsia="en-GB"/>
        </w:rPr>
        <w:t>-</w:t>
      </w:r>
      <w:r w:rsidR="002E52B7" w:rsidRPr="00B36586">
        <w:rPr>
          <w:color w:val="000000"/>
          <w:lang w:eastAsia="en-GB"/>
        </w:rPr>
        <w:t>C01</w:t>
      </w:r>
      <w:r w:rsidRPr="00B36586">
        <w:rPr>
          <w:color w:val="000000"/>
          <w:lang w:eastAsia="en-GB"/>
        </w:rPr>
        <w:t xml:space="preserve">, but one of the noticeable differences between the two methods </w:t>
      </w:r>
      <w:r w:rsidR="00CD1E7B" w:rsidRPr="00B36586">
        <w:rPr>
          <w:color w:val="000000"/>
          <w:lang w:eastAsia="en-GB"/>
        </w:rPr>
        <w:t>wa</w:t>
      </w:r>
      <w:r w:rsidRPr="00B36586">
        <w:rPr>
          <w:color w:val="000000"/>
          <w:lang w:eastAsia="en-GB"/>
        </w:rPr>
        <w:t>s the ability of ONT to resolve repeats on small plasmids (see</w:t>
      </w:r>
      <w:r w:rsidR="005D2BC7" w:rsidRPr="00B36586">
        <w:rPr>
          <w:color w:val="000000"/>
          <w:lang w:eastAsia="en-GB"/>
        </w:rPr>
        <w:t xml:space="preserve"> </w:t>
      </w:r>
      <w:r w:rsidR="00BD26D3" w:rsidRPr="00B36586">
        <w:rPr>
          <w:color w:val="000000"/>
          <w:lang w:eastAsia="en-GB"/>
        </w:rPr>
        <w:t xml:space="preserve">Figure </w:t>
      </w:r>
      <w:r w:rsidR="00750534" w:rsidRPr="00B36586">
        <w:rPr>
          <w:color w:val="000000"/>
          <w:lang w:eastAsia="en-GB"/>
        </w:rPr>
        <w:t>1</w:t>
      </w:r>
      <w:r w:rsidR="0087758D" w:rsidRPr="00B36586">
        <w:rPr>
          <w:color w:val="000000"/>
          <w:lang w:eastAsia="en-GB"/>
        </w:rPr>
        <w:t xml:space="preserve"> and </w:t>
      </w:r>
      <w:r w:rsidR="00BD26D3" w:rsidRPr="00B36586">
        <w:rPr>
          <w:color w:val="000000"/>
          <w:lang w:eastAsia="en-GB"/>
        </w:rPr>
        <w:t xml:space="preserve">Figure </w:t>
      </w:r>
      <w:r w:rsidR="0087758D" w:rsidRPr="00B36586">
        <w:rPr>
          <w:color w:val="000000"/>
          <w:lang w:eastAsia="en-GB"/>
        </w:rPr>
        <w:t>S</w:t>
      </w:r>
      <w:r w:rsidR="002F4F5A">
        <w:rPr>
          <w:color w:val="000000"/>
          <w:lang w:eastAsia="en-GB"/>
        </w:rPr>
        <w:t>5</w:t>
      </w:r>
      <w:r w:rsidRPr="00B36586">
        <w:rPr>
          <w:color w:val="000000"/>
          <w:lang w:eastAsia="en-GB"/>
        </w:rPr>
        <w:t>).</w:t>
      </w:r>
      <w:r w:rsidR="004A527E" w:rsidRPr="00B36586">
        <w:rPr>
          <w:color w:val="000000"/>
          <w:lang w:eastAsia="en-GB"/>
        </w:rPr>
        <w:t xml:space="preserve"> The </w:t>
      </w:r>
      <w:r w:rsidR="00CF6EFB" w:rsidRPr="00B36586">
        <w:rPr>
          <w:color w:val="000000"/>
          <w:lang w:eastAsia="en-GB"/>
        </w:rPr>
        <w:t xml:space="preserve">DNA fragment </w:t>
      </w:r>
      <w:r w:rsidR="004A527E" w:rsidRPr="00B36586">
        <w:rPr>
          <w:color w:val="000000"/>
          <w:lang w:eastAsia="en-GB"/>
        </w:rPr>
        <w:t xml:space="preserve">size selection process used to optimize </w:t>
      </w:r>
      <w:r w:rsidR="00CF6EFB" w:rsidRPr="00B36586">
        <w:rPr>
          <w:color w:val="000000"/>
          <w:lang w:eastAsia="en-GB"/>
        </w:rPr>
        <w:t>PacBio sequencing</w:t>
      </w:r>
      <w:r w:rsidR="004C575E" w:rsidRPr="00B36586">
        <w:rPr>
          <w:color w:val="000000"/>
          <w:lang w:eastAsia="en-GB"/>
        </w:rPr>
        <w:t xml:space="preserve"> and recommended by the manufacturer</w:t>
      </w:r>
      <w:r w:rsidR="00CF6EFB" w:rsidRPr="00B36586">
        <w:rPr>
          <w:color w:val="000000"/>
          <w:lang w:eastAsia="en-GB"/>
        </w:rPr>
        <w:t xml:space="preserve"> may have contributed to this</w:t>
      </w:r>
      <w:r w:rsidR="00617666" w:rsidRPr="00B36586">
        <w:rPr>
          <w:color w:val="000000"/>
          <w:lang w:eastAsia="en-GB"/>
        </w:rPr>
        <w:t xml:space="preserve"> (see Methods)</w:t>
      </w:r>
      <w:r w:rsidR="00CF6EFB" w:rsidRPr="00B36586">
        <w:rPr>
          <w:color w:val="000000"/>
          <w:lang w:eastAsia="en-GB"/>
        </w:rPr>
        <w:t xml:space="preserve">, making the assembly of small plasmids reliant on the Illumina </w:t>
      </w:r>
      <w:r w:rsidR="00A9604E" w:rsidRPr="00B36586">
        <w:rPr>
          <w:color w:val="000000"/>
          <w:lang w:eastAsia="en-GB"/>
        </w:rPr>
        <w:t xml:space="preserve">short-read </w:t>
      </w:r>
      <w:r w:rsidR="00CF6EFB" w:rsidRPr="00B36586">
        <w:rPr>
          <w:color w:val="000000"/>
          <w:lang w:eastAsia="en-GB"/>
        </w:rPr>
        <w:t>component of the dataset only</w:t>
      </w:r>
      <w:r w:rsidR="00794F60" w:rsidRPr="00B36586">
        <w:rPr>
          <w:color w:val="000000"/>
          <w:lang w:eastAsia="en-GB"/>
        </w:rPr>
        <w:t xml:space="preserve">. </w:t>
      </w:r>
      <w:r w:rsidR="007C58D3">
        <w:rPr>
          <w:color w:val="000000"/>
          <w:lang w:eastAsia="en-GB"/>
        </w:rPr>
        <w:t>T</w:t>
      </w:r>
      <w:r w:rsidR="00E50F1F">
        <w:rPr>
          <w:color w:val="000000"/>
          <w:lang w:eastAsia="en-GB"/>
        </w:rPr>
        <w:t>his is mostly unproblematic</w:t>
      </w:r>
      <w:r w:rsidR="007C58D3">
        <w:rPr>
          <w:color w:val="000000"/>
          <w:lang w:eastAsia="en-GB"/>
        </w:rPr>
        <w:t xml:space="preserve"> due to </w:t>
      </w:r>
      <w:r w:rsidR="00236B92">
        <w:rPr>
          <w:color w:val="000000"/>
          <w:lang w:eastAsia="en-GB"/>
        </w:rPr>
        <w:t>the</w:t>
      </w:r>
      <w:r w:rsidR="007C58D3">
        <w:rPr>
          <w:color w:val="000000"/>
          <w:lang w:eastAsia="en-GB"/>
        </w:rPr>
        <w:t xml:space="preserve"> </w:t>
      </w:r>
      <w:r w:rsidR="00331974">
        <w:rPr>
          <w:color w:val="000000"/>
          <w:lang w:eastAsia="en-GB"/>
        </w:rPr>
        <w:t xml:space="preserve">typically </w:t>
      </w:r>
      <w:r w:rsidR="007C58D3">
        <w:rPr>
          <w:color w:val="000000"/>
          <w:lang w:eastAsia="en-GB"/>
        </w:rPr>
        <w:t>high coverage</w:t>
      </w:r>
      <w:r w:rsidR="00236B92">
        <w:rPr>
          <w:color w:val="000000"/>
          <w:lang w:eastAsia="en-GB"/>
        </w:rPr>
        <w:t xml:space="preserve"> of such plasmids</w:t>
      </w:r>
      <w:r w:rsidR="00E50F1F">
        <w:rPr>
          <w:color w:val="000000"/>
          <w:lang w:eastAsia="en-GB"/>
        </w:rPr>
        <w:t xml:space="preserve">, but </w:t>
      </w:r>
      <w:r w:rsidR="000F13C9">
        <w:rPr>
          <w:color w:val="000000"/>
          <w:lang w:eastAsia="en-GB"/>
        </w:rPr>
        <w:t xml:space="preserve">the presence of repeated structures can make it impossible to resolve </w:t>
      </w:r>
      <w:r w:rsidR="00312CD4">
        <w:rPr>
          <w:color w:val="000000"/>
          <w:lang w:eastAsia="en-GB"/>
        </w:rPr>
        <w:t>them</w:t>
      </w:r>
      <w:r w:rsidR="000F13C9">
        <w:rPr>
          <w:color w:val="000000"/>
          <w:lang w:eastAsia="en-GB"/>
        </w:rPr>
        <w:t xml:space="preserve"> fully </w:t>
      </w:r>
      <w:r w:rsidR="004F24DB">
        <w:rPr>
          <w:color w:val="000000"/>
          <w:lang w:eastAsia="en-GB"/>
        </w:rPr>
        <w:t xml:space="preserve">using </w:t>
      </w:r>
      <w:r w:rsidR="00C435C5">
        <w:rPr>
          <w:color w:val="000000"/>
          <w:lang w:eastAsia="en-GB"/>
        </w:rPr>
        <w:t>Illumina reads</w:t>
      </w:r>
      <w:r w:rsidR="004F24DB">
        <w:rPr>
          <w:color w:val="000000"/>
          <w:lang w:eastAsia="en-GB"/>
        </w:rPr>
        <w:t xml:space="preserve"> only</w:t>
      </w:r>
      <w:r w:rsidR="00C435C5">
        <w:rPr>
          <w:color w:val="000000"/>
          <w:lang w:eastAsia="en-GB"/>
        </w:rPr>
        <w:t xml:space="preserve">. </w:t>
      </w:r>
    </w:p>
    <w:p w14:paraId="08711D82" w14:textId="5B404F19" w:rsidR="002E4340" w:rsidRDefault="00CF300B" w:rsidP="002E4340">
      <w:pPr>
        <w:spacing w:after="120"/>
        <w:jc w:val="both"/>
        <w:rPr>
          <w:color w:val="000000"/>
          <w:lang w:eastAsia="en-GB"/>
        </w:rPr>
      </w:pPr>
      <w:r w:rsidRPr="00B36586">
        <w:rPr>
          <w:color w:val="000000"/>
          <w:lang w:eastAsia="en-GB"/>
        </w:rPr>
        <w:t>While correcting ONT reads with Canu or filtering them with Filtlong improve</w:t>
      </w:r>
      <w:r w:rsidR="0045677D" w:rsidRPr="00B36586">
        <w:rPr>
          <w:color w:val="000000"/>
          <w:lang w:eastAsia="en-GB"/>
        </w:rPr>
        <w:t>d</w:t>
      </w:r>
      <w:r w:rsidR="005D2BC7" w:rsidRPr="00B36586">
        <w:rPr>
          <w:color w:val="000000"/>
          <w:lang w:eastAsia="en-GB"/>
        </w:rPr>
        <w:t xml:space="preserve"> </w:t>
      </w:r>
      <w:r w:rsidRPr="00B36586">
        <w:rPr>
          <w:color w:val="000000"/>
          <w:lang w:eastAsia="en-GB"/>
        </w:rPr>
        <w:t>assembly completeness</w:t>
      </w:r>
      <w:r w:rsidR="00333F35" w:rsidRPr="00B36586">
        <w:rPr>
          <w:color w:val="000000"/>
          <w:lang w:eastAsia="en-GB"/>
        </w:rPr>
        <w:t xml:space="preserve"> for one </w:t>
      </w:r>
      <w:r w:rsidR="0085375D" w:rsidRPr="00B36586">
        <w:rPr>
          <w:color w:val="000000"/>
          <w:lang w:eastAsia="en-GB"/>
        </w:rPr>
        <w:t>isolate</w:t>
      </w:r>
      <w:r w:rsidR="00333F35" w:rsidRPr="00B36586">
        <w:rPr>
          <w:color w:val="000000"/>
          <w:lang w:eastAsia="en-GB"/>
        </w:rPr>
        <w:t xml:space="preserve"> (RBHSTW-00309)</w:t>
      </w:r>
      <w:r w:rsidRPr="00B36586">
        <w:rPr>
          <w:color w:val="000000"/>
          <w:lang w:eastAsia="en-GB"/>
        </w:rPr>
        <w:t xml:space="preserve">, </w:t>
      </w:r>
      <w:r w:rsidR="00333F35" w:rsidRPr="00B36586">
        <w:rPr>
          <w:color w:val="000000"/>
          <w:lang w:eastAsia="en-GB"/>
        </w:rPr>
        <w:t xml:space="preserve">in most cases </w:t>
      </w:r>
      <w:r w:rsidRPr="00B36586">
        <w:rPr>
          <w:color w:val="000000"/>
          <w:lang w:eastAsia="en-GB"/>
        </w:rPr>
        <w:t xml:space="preserve">avoiding </w:t>
      </w:r>
      <w:r w:rsidR="00333F35" w:rsidRPr="00B36586">
        <w:rPr>
          <w:color w:val="000000"/>
          <w:lang w:eastAsia="en-GB"/>
        </w:rPr>
        <w:t xml:space="preserve">this </w:t>
      </w:r>
      <w:r w:rsidRPr="00B36586">
        <w:rPr>
          <w:color w:val="000000"/>
          <w:lang w:eastAsia="en-GB"/>
        </w:rPr>
        <w:t xml:space="preserve">ONT read correction and filtration </w:t>
      </w:r>
      <w:r w:rsidR="005D2BC7" w:rsidRPr="00B36586">
        <w:rPr>
          <w:color w:val="000000"/>
          <w:lang w:eastAsia="en-GB"/>
        </w:rPr>
        <w:t>le</w:t>
      </w:r>
      <w:r w:rsidR="0045677D" w:rsidRPr="00B36586">
        <w:rPr>
          <w:color w:val="000000"/>
          <w:lang w:eastAsia="en-GB"/>
        </w:rPr>
        <w:t>d to</w:t>
      </w:r>
      <w:r w:rsidRPr="00B36586">
        <w:rPr>
          <w:color w:val="000000"/>
          <w:lang w:eastAsia="en-GB"/>
        </w:rPr>
        <w:t xml:space="preserve"> better results (</w:t>
      </w:r>
      <w:r w:rsidR="007D560F" w:rsidRPr="00B36586">
        <w:rPr>
          <w:color w:val="000000"/>
          <w:lang w:eastAsia="en-GB"/>
        </w:rPr>
        <w:t>Table 1</w:t>
      </w:r>
      <w:r w:rsidRPr="00B36586">
        <w:rPr>
          <w:color w:val="000000"/>
          <w:lang w:eastAsia="en-GB"/>
        </w:rPr>
        <w:t>)</w:t>
      </w:r>
      <w:r w:rsidR="005D2BC7" w:rsidRPr="00B36586">
        <w:rPr>
          <w:color w:val="000000"/>
          <w:lang w:eastAsia="en-GB"/>
        </w:rPr>
        <w:t>. This might be due to correction and filtration</w:t>
      </w:r>
      <w:r w:rsidR="007D560F" w:rsidRPr="00B36586">
        <w:rPr>
          <w:color w:val="000000"/>
          <w:lang w:eastAsia="en-GB"/>
        </w:rPr>
        <w:t xml:space="preserve"> steps removing reads in a non-uniform way across the genome</w:t>
      </w:r>
      <w:r w:rsidR="0045677D" w:rsidRPr="00B36586">
        <w:rPr>
          <w:color w:val="000000"/>
          <w:lang w:eastAsia="en-GB"/>
        </w:rPr>
        <w:t>,</w:t>
      </w:r>
      <w:r w:rsidR="005D2BC7" w:rsidRPr="00B36586">
        <w:rPr>
          <w:color w:val="000000"/>
          <w:lang w:eastAsia="en-GB"/>
        </w:rPr>
        <w:t xml:space="preserve"> and in particular from regions that are already hard to assemble</w:t>
      </w:r>
      <w:r w:rsidR="007D560F" w:rsidRPr="00B36586">
        <w:rPr>
          <w:color w:val="000000"/>
          <w:lang w:eastAsia="en-GB"/>
        </w:rPr>
        <w:t>. An alternative strategy</w:t>
      </w:r>
      <w:r w:rsidR="0045677D" w:rsidRPr="00B36586">
        <w:rPr>
          <w:color w:val="000000"/>
          <w:lang w:eastAsia="en-GB"/>
        </w:rPr>
        <w:t xml:space="preserve"> deployed</w:t>
      </w:r>
      <w:r w:rsidR="007D560F" w:rsidRPr="00B36586">
        <w:rPr>
          <w:color w:val="000000"/>
          <w:lang w:eastAsia="en-GB"/>
        </w:rPr>
        <w:t xml:space="preserve"> to reduce the computational burden of hybrid ass</w:t>
      </w:r>
      <w:r w:rsidR="005D2BC7" w:rsidRPr="00B36586">
        <w:rPr>
          <w:color w:val="000000"/>
          <w:lang w:eastAsia="en-GB"/>
        </w:rPr>
        <w:t xml:space="preserve">embly </w:t>
      </w:r>
      <w:r w:rsidR="0045677D" w:rsidRPr="00B36586">
        <w:rPr>
          <w:color w:val="000000"/>
          <w:lang w:eastAsia="en-GB"/>
        </w:rPr>
        <w:t xml:space="preserve">was </w:t>
      </w:r>
      <w:r w:rsidR="005D2BC7" w:rsidRPr="00B36586">
        <w:rPr>
          <w:color w:val="000000"/>
          <w:lang w:eastAsia="en-GB"/>
        </w:rPr>
        <w:t>to randomly sub</w:t>
      </w:r>
      <w:r w:rsidR="004C575E" w:rsidRPr="00B36586">
        <w:rPr>
          <w:color w:val="000000"/>
          <w:lang w:eastAsia="en-GB"/>
        </w:rPr>
        <w:t>-</w:t>
      </w:r>
      <w:r w:rsidR="005D2BC7" w:rsidRPr="00B36586">
        <w:rPr>
          <w:color w:val="000000"/>
          <w:lang w:eastAsia="en-GB"/>
        </w:rPr>
        <w:t>sample</w:t>
      </w:r>
      <w:r w:rsidR="007D560F" w:rsidRPr="00B36586">
        <w:rPr>
          <w:color w:val="000000"/>
          <w:lang w:eastAsia="en-GB"/>
        </w:rPr>
        <w:t xml:space="preserve"> long</w:t>
      </w:r>
      <w:r w:rsidR="004B4D9B">
        <w:rPr>
          <w:color w:val="000000"/>
          <w:lang w:eastAsia="en-GB"/>
        </w:rPr>
        <w:t xml:space="preserve"> </w:t>
      </w:r>
      <w:r w:rsidR="007D560F" w:rsidRPr="00B36586">
        <w:rPr>
          <w:color w:val="000000"/>
          <w:lang w:eastAsia="en-GB"/>
        </w:rPr>
        <w:t xml:space="preserve">reads until a certain expected coverage </w:t>
      </w:r>
      <w:r w:rsidR="0045677D" w:rsidRPr="00B36586">
        <w:rPr>
          <w:color w:val="000000"/>
          <w:lang w:eastAsia="en-GB"/>
        </w:rPr>
        <w:t>was</w:t>
      </w:r>
      <w:r w:rsidR="007D560F" w:rsidRPr="00B36586">
        <w:rPr>
          <w:color w:val="000000"/>
          <w:lang w:eastAsia="en-GB"/>
        </w:rPr>
        <w:t xml:space="preserve"> reached. Table 1 shows that this </w:t>
      </w:r>
      <w:r w:rsidR="005D2BC7" w:rsidRPr="00B36586">
        <w:rPr>
          <w:color w:val="000000"/>
          <w:lang w:eastAsia="en-GB"/>
        </w:rPr>
        <w:t xml:space="preserve">strategy </w:t>
      </w:r>
      <w:r w:rsidR="0045677D" w:rsidRPr="00B36586">
        <w:rPr>
          <w:color w:val="000000"/>
          <w:lang w:eastAsia="en-GB"/>
        </w:rPr>
        <w:t>was</w:t>
      </w:r>
      <w:r w:rsidR="005D2BC7" w:rsidRPr="00B36586">
        <w:rPr>
          <w:color w:val="000000"/>
          <w:lang w:eastAsia="en-GB"/>
        </w:rPr>
        <w:t xml:space="preserve"> preferable to</w:t>
      </w:r>
      <w:r w:rsidR="007D560F" w:rsidRPr="00B36586">
        <w:rPr>
          <w:color w:val="000000"/>
          <w:lang w:eastAsia="en-GB"/>
        </w:rPr>
        <w:t xml:space="preserve"> read correction and</w:t>
      </w:r>
      <w:r w:rsidR="005D2BC7" w:rsidRPr="00B36586">
        <w:rPr>
          <w:color w:val="000000"/>
          <w:lang w:eastAsia="en-GB"/>
        </w:rPr>
        <w:t xml:space="preserve"> filtration</w:t>
      </w:r>
      <w:r w:rsidR="00B96837" w:rsidRPr="00B36586">
        <w:rPr>
          <w:color w:val="000000"/>
          <w:lang w:eastAsia="en-GB"/>
        </w:rPr>
        <w:t xml:space="preserve">: </w:t>
      </w:r>
      <w:r w:rsidR="005D2BC7" w:rsidRPr="00B36586">
        <w:rPr>
          <w:color w:val="000000"/>
          <w:lang w:eastAsia="en-GB"/>
        </w:rPr>
        <w:t>it d</w:t>
      </w:r>
      <w:r w:rsidR="0045677D" w:rsidRPr="00B36586">
        <w:rPr>
          <w:color w:val="000000"/>
          <w:lang w:eastAsia="en-GB"/>
        </w:rPr>
        <w:t>id</w:t>
      </w:r>
      <w:r w:rsidR="005D2BC7" w:rsidRPr="00B36586">
        <w:rPr>
          <w:color w:val="000000"/>
          <w:lang w:eastAsia="en-GB"/>
        </w:rPr>
        <w:t xml:space="preserve"> not reduce</w:t>
      </w:r>
      <w:r w:rsidR="007D560F" w:rsidRPr="00B36586">
        <w:rPr>
          <w:color w:val="000000"/>
          <w:lang w:eastAsia="en-GB"/>
        </w:rPr>
        <w:t xml:space="preserve"> assembly compl</w:t>
      </w:r>
      <w:r w:rsidR="005D2BC7" w:rsidRPr="00B36586">
        <w:rPr>
          <w:color w:val="000000"/>
          <w:lang w:eastAsia="en-GB"/>
        </w:rPr>
        <w:t>eteness</w:t>
      </w:r>
      <w:r w:rsidR="00691412" w:rsidRPr="00B36586">
        <w:rPr>
          <w:color w:val="000000"/>
          <w:lang w:eastAsia="en-GB"/>
        </w:rPr>
        <w:t xml:space="preserve"> but</w:t>
      </w:r>
      <w:r w:rsidR="00B96837" w:rsidRPr="00B36586">
        <w:rPr>
          <w:color w:val="000000"/>
          <w:lang w:eastAsia="en-GB"/>
        </w:rPr>
        <w:t xml:space="preserve"> did</w:t>
      </w:r>
      <w:r w:rsidR="005D2BC7" w:rsidRPr="00B36586">
        <w:rPr>
          <w:color w:val="000000"/>
          <w:lang w:eastAsia="en-GB"/>
        </w:rPr>
        <w:t xml:space="preserve"> reduce</w:t>
      </w:r>
      <w:r w:rsidR="00B96837" w:rsidRPr="00B36586">
        <w:rPr>
          <w:color w:val="000000"/>
          <w:lang w:eastAsia="en-GB"/>
        </w:rPr>
        <w:t xml:space="preserve"> </w:t>
      </w:r>
      <w:r w:rsidR="007D560F" w:rsidRPr="00B36586">
        <w:rPr>
          <w:color w:val="000000"/>
          <w:lang w:eastAsia="en-GB"/>
        </w:rPr>
        <w:t>computation</w:t>
      </w:r>
      <w:r w:rsidR="00B43CEE">
        <w:rPr>
          <w:color w:val="000000"/>
          <w:lang w:eastAsia="en-GB"/>
        </w:rPr>
        <w:t xml:space="preserve"> time</w:t>
      </w:r>
      <w:r w:rsidR="007C309D">
        <w:rPr>
          <w:color w:val="000000"/>
          <w:lang w:eastAsia="en-GB"/>
        </w:rPr>
        <w:t>.</w:t>
      </w:r>
    </w:p>
    <w:p w14:paraId="50530EC0" w14:textId="77777777" w:rsidR="002E4340" w:rsidRDefault="005D2BC7" w:rsidP="002E4340">
      <w:pPr>
        <w:spacing w:after="120"/>
        <w:jc w:val="both"/>
        <w:rPr>
          <w:color w:val="000000"/>
          <w:lang w:eastAsia="en-GB"/>
        </w:rPr>
      </w:pPr>
      <w:r w:rsidRPr="00B36586">
        <w:rPr>
          <w:color w:val="000000"/>
          <w:lang w:eastAsia="en-GB"/>
        </w:rPr>
        <w:t>The a</w:t>
      </w:r>
      <w:r w:rsidR="00BE67A5" w:rsidRPr="00B36586">
        <w:rPr>
          <w:color w:val="000000"/>
          <w:lang w:eastAsia="en-GB"/>
        </w:rPr>
        <w:t xml:space="preserve">nalysis of local sequence assembly quality </w:t>
      </w:r>
      <w:r w:rsidR="00F24502" w:rsidRPr="00B36586">
        <w:rPr>
          <w:color w:val="000000"/>
          <w:lang w:eastAsia="en-GB"/>
        </w:rPr>
        <w:t>was</w:t>
      </w:r>
      <w:r w:rsidR="00BE67A5" w:rsidRPr="00B36586">
        <w:rPr>
          <w:color w:val="000000"/>
          <w:lang w:eastAsia="en-GB"/>
        </w:rPr>
        <w:t xml:space="preserve"> inconclusive</w:t>
      </w:r>
      <w:r w:rsidR="00F24502" w:rsidRPr="00B36586">
        <w:rPr>
          <w:color w:val="000000"/>
          <w:lang w:eastAsia="en-GB"/>
        </w:rPr>
        <w:t xml:space="preserve">, showing </w:t>
      </w:r>
      <w:r w:rsidR="00BE67A5" w:rsidRPr="00B36586">
        <w:rPr>
          <w:color w:val="000000"/>
          <w:lang w:eastAsia="en-GB"/>
        </w:rPr>
        <w:t>inco</w:t>
      </w:r>
      <w:r w:rsidR="0045677D" w:rsidRPr="00B36586">
        <w:rPr>
          <w:color w:val="000000"/>
          <w:lang w:eastAsia="en-GB"/>
        </w:rPr>
        <w:t>n</w:t>
      </w:r>
      <w:r w:rsidR="00BE67A5" w:rsidRPr="00B36586">
        <w:rPr>
          <w:color w:val="000000"/>
          <w:lang w:eastAsia="en-GB"/>
        </w:rPr>
        <w:t>si</w:t>
      </w:r>
      <w:r w:rsidR="0045677D" w:rsidRPr="00B36586">
        <w:rPr>
          <w:color w:val="000000"/>
          <w:lang w:eastAsia="en-GB"/>
        </w:rPr>
        <w:t>s</w:t>
      </w:r>
      <w:r w:rsidR="00BE67A5" w:rsidRPr="00B36586">
        <w:rPr>
          <w:color w:val="000000"/>
          <w:lang w:eastAsia="en-GB"/>
        </w:rPr>
        <w:t>tent results across different method</w:t>
      </w:r>
      <w:r w:rsidR="0045677D" w:rsidRPr="00B36586">
        <w:rPr>
          <w:color w:val="000000"/>
          <w:lang w:eastAsia="en-GB"/>
        </w:rPr>
        <w:t>olo</w:t>
      </w:r>
      <w:r w:rsidR="00BE67A5" w:rsidRPr="00B36586">
        <w:rPr>
          <w:color w:val="000000"/>
          <w:lang w:eastAsia="en-GB"/>
        </w:rPr>
        <w:t>gies (Table 2)</w:t>
      </w:r>
      <w:r w:rsidR="002E52B7" w:rsidRPr="00B36586">
        <w:rPr>
          <w:color w:val="000000"/>
          <w:lang w:eastAsia="en-GB"/>
        </w:rPr>
        <w:t>, suggesting neither approach was clearly superior</w:t>
      </w:r>
      <w:r w:rsidR="00470B25" w:rsidRPr="00B36586">
        <w:rPr>
          <w:color w:val="000000"/>
          <w:lang w:eastAsia="en-GB"/>
        </w:rPr>
        <w:t xml:space="preserve"> to the other</w:t>
      </w:r>
      <w:r w:rsidR="00306C0C" w:rsidRPr="00B36586">
        <w:rPr>
          <w:color w:val="000000"/>
          <w:lang w:eastAsia="en-GB"/>
        </w:rPr>
        <w:t xml:space="preserve"> in this respect</w:t>
      </w:r>
      <w:r w:rsidR="00073185" w:rsidRPr="00B36586">
        <w:rPr>
          <w:color w:val="000000"/>
          <w:lang w:eastAsia="en-GB"/>
        </w:rPr>
        <w:t xml:space="preserve">. </w:t>
      </w:r>
      <w:r w:rsidR="00BE67A5" w:rsidRPr="00B36586">
        <w:rPr>
          <w:color w:val="000000"/>
          <w:lang w:eastAsia="en-GB"/>
        </w:rPr>
        <w:t>However</w:t>
      </w:r>
      <w:r w:rsidRPr="00B36586">
        <w:rPr>
          <w:color w:val="000000"/>
          <w:lang w:eastAsia="en-GB"/>
        </w:rPr>
        <w:t>,</w:t>
      </w:r>
      <w:r w:rsidR="00BE67A5" w:rsidRPr="00B36586">
        <w:rPr>
          <w:color w:val="000000"/>
          <w:lang w:eastAsia="en-GB"/>
        </w:rPr>
        <w:t xml:space="preserve"> detailed investigation of </w:t>
      </w:r>
      <w:r w:rsidR="0045677D" w:rsidRPr="00B36586">
        <w:rPr>
          <w:color w:val="000000"/>
          <w:lang w:eastAsia="en-GB"/>
        </w:rPr>
        <w:t>single nucleotide polymorphisms (</w:t>
      </w:r>
      <w:r w:rsidR="00BE67A5" w:rsidRPr="00B36586">
        <w:rPr>
          <w:color w:val="000000"/>
          <w:lang w:eastAsia="en-GB"/>
        </w:rPr>
        <w:t>SNPs</w:t>
      </w:r>
      <w:r w:rsidR="0045677D" w:rsidRPr="00B36586">
        <w:rPr>
          <w:color w:val="000000"/>
          <w:lang w:eastAsia="en-GB"/>
        </w:rPr>
        <w:t>)</w:t>
      </w:r>
      <w:r w:rsidR="00BE67A5" w:rsidRPr="00B36586">
        <w:rPr>
          <w:color w:val="000000"/>
          <w:lang w:eastAsia="en-GB"/>
        </w:rPr>
        <w:t xml:space="preserve"> between ONT and PacBio-based assemblies</w:t>
      </w:r>
      <w:r w:rsidR="00CD6877" w:rsidRPr="00B36586">
        <w:rPr>
          <w:color w:val="000000"/>
          <w:lang w:eastAsia="en-GB"/>
        </w:rPr>
        <w:t xml:space="preserve"> </w:t>
      </w:r>
      <w:r w:rsidR="00796408" w:rsidRPr="00B36586">
        <w:rPr>
          <w:color w:val="000000"/>
          <w:lang w:eastAsia="en-GB"/>
        </w:rPr>
        <w:t>for</w:t>
      </w:r>
      <w:r w:rsidR="00CD6877" w:rsidRPr="00B36586">
        <w:rPr>
          <w:color w:val="000000"/>
          <w:lang w:eastAsia="en-GB"/>
        </w:rPr>
        <w:t xml:space="preserve"> </w:t>
      </w:r>
      <w:r w:rsidR="002E52B7" w:rsidRPr="00B36586">
        <w:rPr>
          <w:color w:val="000000"/>
          <w:lang w:eastAsia="en-GB"/>
        </w:rPr>
        <w:t>th</w:t>
      </w:r>
      <w:r w:rsidR="00796408" w:rsidRPr="00B36586">
        <w:rPr>
          <w:color w:val="000000"/>
          <w:lang w:eastAsia="en-GB"/>
        </w:rPr>
        <w:t>e</w:t>
      </w:r>
      <w:r w:rsidR="00CD6877" w:rsidRPr="00B36586">
        <w:rPr>
          <w:color w:val="000000"/>
          <w:lang w:eastAsia="en-GB"/>
        </w:rPr>
        <w:t xml:space="preserve"> </w:t>
      </w:r>
      <w:r w:rsidR="002E52B7" w:rsidRPr="00B36586">
        <w:rPr>
          <w:color w:val="000000"/>
          <w:lang w:eastAsia="en-GB"/>
        </w:rPr>
        <w:t xml:space="preserve">reference isolates demonstrated </w:t>
      </w:r>
      <w:r w:rsidR="00CD6877" w:rsidRPr="00B36586">
        <w:rPr>
          <w:color w:val="000000"/>
          <w:lang w:eastAsia="en-GB"/>
        </w:rPr>
        <w:t>two specific patterns of</w:t>
      </w:r>
      <w:r w:rsidR="00BE67A5" w:rsidRPr="00B36586">
        <w:rPr>
          <w:color w:val="000000"/>
          <w:lang w:eastAsia="en-GB"/>
        </w:rPr>
        <w:t xml:space="preserve"> assembly differences</w:t>
      </w:r>
      <w:r w:rsidR="00CD6877" w:rsidRPr="00B36586">
        <w:rPr>
          <w:color w:val="000000"/>
          <w:lang w:eastAsia="en-GB"/>
        </w:rPr>
        <w:t>.</w:t>
      </w:r>
      <w:r w:rsidR="00CF300B" w:rsidRPr="00B36586">
        <w:rPr>
          <w:color w:val="000000"/>
          <w:lang w:eastAsia="en-GB"/>
        </w:rPr>
        <w:t xml:space="preserve"> </w:t>
      </w:r>
      <w:r w:rsidR="00BE67A5" w:rsidRPr="00B36586">
        <w:rPr>
          <w:color w:val="000000"/>
          <w:lang w:eastAsia="en-GB"/>
        </w:rPr>
        <w:t>First,</w:t>
      </w:r>
      <w:r w:rsidR="00891C68" w:rsidRPr="00B36586">
        <w:rPr>
          <w:color w:val="000000"/>
          <w:lang w:eastAsia="en-GB"/>
        </w:rPr>
        <w:t xml:space="preserve"> some positions</w:t>
      </w:r>
      <w:r w:rsidR="00CD6877" w:rsidRPr="00B36586">
        <w:rPr>
          <w:color w:val="000000"/>
          <w:lang w:eastAsia="en-GB"/>
        </w:rPr>
        <w:t xml:space="preserve"> (17 SNPs</w:t>
      </w:r>
      <w:r w:rsidR="002E52B7" w:rsidRPr="00B36586">
        <w:rPr>
          <w:color w:val="000000"/>
          <w:lang w:eastAsia="en-GB"/>
        </w:rPr>
        <w:t xml:space="preserve"> across the two reference isolates</w:t>
      </w:r>
      <w:r w:rsidR="00CD6877" w:rsidRPr="00B36586">
        <w:rPr>
          <w:color w:val="000000"/>
          <w:lang w:eastAsia="en-GB"/>
        </w:rPr>
        <w:t>) appear</w:t>
      </w:r>
      <w:r w:rsidR="002E52B7" w:rsidRPr="00B36586">
        <w:rPr>
          <w:color w:val="000000"/>
          <w:lang w:eastAsia="en-GB"/>
        </w:rPr>
        <w:t>ed</w:t>
      </w:r>
      <w:r w:rsidR="00AB0ED3" w:rsidRPr="00B36586">
        <w:rPr>
          <w:color w:val="000000"/>
          <w:lang w:eastAsia="en-GB"/>
        </w:rPr>
        <w:t xml:space="preserve"> plausibly</w:t>
      </w:r>
      <w:r w:rsidR="00891C68" w:rsidRPr="00B36586">
        <w:rPr>
          <w:color w:val="000000"/>
          <w:lang w:eastAsia="en-GB"/>
        </w:rPr>
        <w:t xml:space="preserve"> polymorphic in the original DNA sample and </w:t>
      </w:r>
      <w:r w:rsidR="002E52B7" w:rsidRPr="00B36586">
        <w:rPr>
          <w:color w:val="000000"/>
          <w:lang w:eastAsia="en-GB"/>
        </w:rPr>
        <w:t>we</w:t>
      </w:r>
      <w:r w:rsidR="00CD6877" w:rsidRPr="00B36586">
        <w:rPr>
          <w:color w:val="000000"/>
          <w:lang w:eastAsia="en-GB"/>
        </w:rPr>
        <w:t>re</w:t>
      </w:r>
      <w:r w:rsidR="00891C68" w:rsidRPr="00B36586">
        <w:rPr>
          <w:color w:val="000000"/>
          <w:lang w:eastAsia="en-GB"/>
        </w:rPr>
        <w:t xml:space="preserve"> called differently in different assembly runs (see </w:t>
      </w:r>
      <w:r w:rsidR="00BD26D3" w:rsidRPr="00B36586">
        <w:rPr>
          <w:color w:val="000000"/>
          <w:lang w:eastAsia="en-GB"/>
        </w:rPr>
        <w:t>Figure</w:t>
      </w:r>
      <w:r w:rsidR="00891C68" w:rsidRPr="00B36586">
        <w:rPr>
          <w:color w:val="000000"/>
          <w:lang w:eastAsia="en-GB"/>
        </w:rPr>
        <w:t xml:space="preserve"> 2a).</w:t>
      </w:r>
      <w:r w:rsidR="0045677D" w:rsidRPr="00B36586">
        <w:rPr>
          <w:color w:val="000000"/>
          <w:lang w:eastAsia="en-GB"/>
        </w:rPr>
        <w:t xml:space="preserve"> </w:t>
      </w:r>
      <w:r w:rsidR="007D560F" w:rsidRPr="00B36586">
        <w:rPr>
          <w:color w:val="000000"/>
          <w:lang w:eastAsia="en-GB"/>
        </w:rPr>
        <w:t>Secondly,</w:t>
      </w:r>
      <w:r w:rsidR="00891C68" w:rsidRPr="00B36586">
        <w:rPr>
          <w:color w:val="000000"/>
          <w:lang w:eastAsia="en-GB"/>
        </w:rPr>
        <w:t xml:space="preserve"> positions within regions with extremely low </w:t>
      </w:r>
      <w:r w:rsidR="0045677D" w:rsidRPr="00B36586">
        <w:rPr>
          <w:color w:val="000000"/>
          <w:lang w:eastAsia="en-GB"/>
        </w:rPr>
        <w:t>I</w:t>
      </w:r>
      <w:r w:rsidR="00891C68" w:rsidRPr="00B36586">
        <w:rPr>
          <w:color w:val="000000"/>
          <w:lang w:eastAsia="en-GB"/>
        </w:rPr>
        <w:t>llumina coverage</w:t>
      </w:r>
      <w:r w:rsidR="00CF300B" w:rsidRPr="00B36586">
        <w:rPr>
          <w:color w:val="000000"/>
          <w:lang w:eastAsia="en-GB"/>
        </w:rPr>
        <w:t xml:space="preserve"> (see </w:t>
      </w:r>
      <w:r w:rsidR="00BD26D3" w:rsidRPr="00B36586">
        <w:rPr>
          <w:color w:val="000000"/>
          <w:lang w:eastAsia="en-GB"/>
        </w:rPr>
        <w:t xml:space="preserve">Figure </w:t>
      </w:r>
      <w:r w:rsidR="00CF300B" w:rsidRPr="00B36586">
        <w:rPr>
          <w:color w:val="000000"/>
          <w:lang w:eastAsia="en-GB"/>
        </w:rPr>
        <w:t>2b)</w:t>
      </w:r>
      <w:r w:rsidR="007D560F" w:rsidRPr="00B36586">
        <w:rPr>
          <w:color w:val="000000"/>
          <w:lang w:eastAsia="en-GB"/>
        </w:rPr>
        <w:t xml:space="preserve"> c</w:t>
      </w:r>
      <w:r w:rsidR="002E52B7" w:rsidRPr="00B36586">
        <w:rPr>
          <w:color w:val="000000"/>
          <w:lang w:eastAsia="en-GB"/>
        </w:rPr>
        <w:t>ould</w:t>
      </w:r>
      <w:r w:rsidR="007D560F" w:rsidRPr="00B36586">
        <w:rPr>
          <w:color w:val="000000"/>
          <w:lang w:eastAsia="en-GB"/>
        </w:rPr>
        <w:t xml:space="preserve"> </w:t>
      </w:r>
      <w:r w:rsidR="00AB0ED3" w:rsidRPr="00B36586">
        <w:rPr>
          <w:color w:val="000000"/>
          <w:lang w:eastAsia="en-GB"/>
        </w:rPr>
        <w:t xml:space="preserve">have </w:t>
      </w:r>
      <w:r w:rsidR="0028539F" w:rsidRPr="00B36586">
        <w:rPr>
          <w:color w:val="000000"/>
          <w:lang w:eastAsia="en-GB"/>
        </w:rPr>
        <w:t>led to assembly errors</w:t>
      </w:r>
      <w:r w:rsidR="00891C68" w:rsidRPr="00B36586">
        <w:rPr>
          <w:color w:val="000000"/>
          <w:lang w:eastAsia="en-GB"/>
        </w:rPr>
        <w:t xml:space="preserve"> (</w:t>
      </w:r>
      <w:r w:rsidR="00CD6877" w:rsidRPr="00B36586">
        <w:rPr>
          <w:color w:val="000000"/>
          <w:lang w:eastAsia="en-GB"/>
        </w:rPr>
        <w:t>25 SNPs</w:t>
      </w:r>
      <w:r w:rsidR="002E52B7" w:rsidRPr="00B36586">
        <w:rPr>
          <w:color w:val="000000"/>
          <w:lang w:eastAsia="en-GB"/>
        </w:rPr>
        <w:t xml:space="preserve"> across the two reference isolates</w:t>
      </w:r>
      <w:r w:rsidR="00CF300B" w:rsidRPr="00B36586">
        <w:rPr>
          <w:color w:val="000000"/>
          <w:lang w:eastAsia="en-GB"/>
        </w:rPr>
        <w:t>)</w:t>
      </w:r>
      <w:r w:rsidR="00CD6877" w:rsidRPr="00B36586">
        <w:rPr>
          <w:color w:val="000000"/>
          <w:lang w:eastAsia="en-GB"/>
        </w:rPr>
        <w:t>, the PacBio assembl</w:t>
      </w:r>
      <w:r w:rsidR="0028539F" w:rsidRPr="00B36586">
        <w:rPr>
          <w:color w:val="000000"/>
          <w:lang w:eastAsia="en-GB"/>
        </w:rPr>
        <w:t>ies being more affected</w:t>
      </w:r>
      <w:r w:rsidR="00CD6877" w:rsidRPr="00B36586">
        <w:rPr>
          <w:color w:val="000000"/>
          <w:lang w:eastAsia="en-GB"/>
        </w:rPr>
        <w:t xml:space="preserve"> (22 cases vs 3 for ONT)</w:t>
      </w:r>
      <w:r w:rsidR="00891C68" w:rsidRPr="00B36586">
        <w:rPr>
          <w:color w:val="000000"/>
          <w:lang w:eastAsia="en-GB"/>
        </w:rPr>
        <w:t>.</w:t>
      </w:r>
    </w:p>
    <w:p w14:paraId="2FF50953" w14:textId="1B3135CC" w:rsidR="002E4340" w:rsidRDefault="00CF51E4" w:rsidP="002E4340">
      <w:pPr>
        <w:spacing w:after="120"/>
        <w:jc w:val="both"/>
        <w:rPr>
          <w:color w:val="000000"/>
          <w:lang w:eastAsia="en-GB"/>
        </w:rPr>
      </w:pPr>
      <w:r w:rsidRPr="00B36586">
        <w:rPr>
          <w:color w:val="000000"/>
          <w:lang w:eastAsia="en-GB"/>
        </w:rPr>
        <w:t xml:space="preserve">The proportion of proteins with a length </w:t>
      </w:r>
      <w:r w:rsidR="00C71F42" w:rsidRPr="00B36586">
        <w:rPr>
          <w:color w:val="000000"/>
          <w:lang w:eastAsia="en-GB"/>
        </w:rPr>
        <w:t xml:space="preserve">of </w:t>
      </w:r>
      <w:r w:rsidRPr="00B36586">
        <w:rPr>
          <w:color w:val="000000"/>
          <w:lang w:eastAsia="en-GB"/>
        </w:rPr>
        <w:t>&lt;90%</w:t>
      </w:r>
      <w:r w:rsidR="00C71F42" w:rsidRPr="00B36586">
        <w:rPr>
          <w:color w:val="000000"/>
          <w:lang w:eastAsia="en-GB"/>
        </w:rPr>
        <w:t xml:space="preserve"> of their top UniProt hit was </w:t>
      </w:r>
      <w:r w:rsidR="0092313E" w:rsidRPr="00B36586">
        <w:rPr>
          <w:color w:val="000000"/>
          <w:lang w:eastAsia="en-GB"/>
        </w:rPr>
        <w:t xml:space="preserve">low </w:t>
      </w:r>
      <w:r w:rsidR="003D591D" w:rsidRPr="00B36586">
        <w:rPr>
          <w:color w:val="000000"/>
          <w:lang w:eastAsia="en-GB"/>
        </w:rPr>
        <w:t>(</w:t>
      </w:r>
      <w:r w:rsidR="00D77C0B" w:rsidRPr="00B36586">
        <w:rPr>
          <w:color w:val="000000"/>
          <w:lang w:eastAsia="en-GB"/>
        </w:rPr>
        <w:t>~</w:t>
      </w:r>
      <w:r w:rsidR="00C07870" w:rsidRPr="00B36586">
        <w:rPr>
          <w:color w:val="000000"/>
          <w:lang w:eastAsia="en-GB"/>
        </w:rPr>
        <w:t>2-4</w:t>
      </w:r>
      <w:r w:rsidR="00FA068A" w:rsidRPr="00B36586">
        <w:rPr>
          <w:color w:val="000000"/>
          <w:lang w:eastAsia="en-GB"/>
        </w:rPr>
        <w:t xml:space="preserve">% c.f. 3.7% for </w:t>
      </w:r>
      <w:r w:rsidR="00BF36E2" w:rsidRPr="00B36586">
        <w:rPr>
          <w:color w:val="000000"/>
          <w:lang w:eastAsia="en-GB"/>
        </w:rPr>
        <w:t xml:space="preserve">the RefSeq assembly </w:t>
      </w:r>
      <w:r w:rsidR="003D591D" w:rsidRPr="00B36586">
        <w:rPr>
          <w:color w:val="000000"/>
          <w:lang w:eastAsia="en-GB"/>
        </w:rPr>
        <w:t xml:space="preserve">of </w:t>
      </w:r>
      <w:r w:rsidR="003D591D" w:rsidRPr="00B36586">
        <w:rPr>
          <w:i/>
          <w:color w:val="000000"/>
          <w:lang w:eastAsia="en-GB"/>
        </w:rPr>
        <w:t>E. coli</w:t>
      </w:r>
      <w:r w:rsidR="003D591D" w:rsidRPr="00B36586">
        <w:rPr>
          <w:color w:val="000000"/>
          <w:lang w:eastAsia="en-GB"/>
        </w:rPr>
        <w:t xml:space="preserve"> MG1655) </w:t>
      </w:r>
      <w:r w:rsidR="000B5B46" w:rsidRPr="00B36586">
        <w:rPr>
          <w:color w:val="000000"/>
          <w:lang w:eastAsia="en-GB"/>
        </w:rPr>
        <w:t xml:space="preserve">and </w:t>
      </w:r>
      <w:r w:rsidR="00BB06E1" w:rsidRPr="00B36586">
        <w:rPr>
          <w:color w:val="000000"/>
          <w:lang w:eastAsia="en-GB"/>
        </w:rPr>
        <w:t xml:space="preserve">extremely </w:t>
      </w:r>
      <w:r w:rsidR="00C71F42" w:rsidRPr="00B36586">
        <w:rPr>
          <w:color w:val="000000"/>
          <w:lang w:eastAsia="en-GB"/>
        </w:rPr>
        <w:t>consistent</w:t>
      </w:r>
      <w:r w:rsidR="008E2FB5" w:rsidRPr="00B36586">
        <w:rPr>
          <w:color w:val="000000"/>
          <w:lang w:eastAsia="en-GB"/>
        </w:rPr>
        <w:t xml:space="preserve"> </w:t>
      </w:r>
      <w:r w:rsidR="00AE79F3" w:rsidRPr="00B36586">
        <w:rPr>
          <w:color w:val="000000"/>
          <w:lang w:eastAsia="en-GB"/>
        </w:rPr>
        <w:t xml:space="preserve">across </w:t>
      </w:r>
      <w:r w:rsidR="008E2FB5" w:rsidRPr="00B36586">
        <w:rPr>
          <w:color w:val="000000"/>
          <w:lang w:eastAsia="en-GB"/>
        </w:rPr>
        <w:t>ON</w:t>
      </w:r>
      <w:r w:rsidR="00A31AED" w:rsidRPr="00B36586">
        <w:rPr>
          <w:color w:val="000000"/>
          <w:lang w:eastAsia="en-GB"/>
        </w:rPr>
        <w:t xml:space="preserve">T+Illumina and PacBio+Illumina </w:t>
      </w:r>
      <w:r w:rsidR="00AE79F3" w:rsidRPr="00B36586">
        <w:rPr>
          <w:color w:val="000000"/>
          <w:lang w:eastAsia="en-GB"/>
        </w:rPr>
        <w:t>assemblies</w:t>
      </w:r>
      <w:r w:rsidR="006011B6" w:rsidRPr="00B36586">
        <w:rPr>
          <w:color w:val="000000"/>
          <w:lang w:eastAsia="en-GB"/>
        </w:rPr>
        <w:t xml:space="preserve"> </w:t>
      </w:r>
      <w:r w:rsidR="00463FC8" w:rsidRPr="00B36586">
        <w:rPr>
          <w:color w:val="000000"/>
          <w:lang w:eastAsia="en-GB"/>
        </w:rPr>
        <w:t>(Figure S</w:t>
      </w:r>
      <w:r w:rsidR="009563B2">
        <w:rPr>
          <w:color w:val="000000"/>
          <w:lang w:eastAsia="en-GB"/>
        </w:rPr>
        <w:t>6</w:t>
      </w:r>
      <w:r w:rsidR="00463FC8" w:rsidRPr="00B36586">
        <w:rPr>
          <w:color w:val="000000"/>
          <w:lang w:eastAsia="en-GB"/>
        </w:rPr>
        <w:t>)</w:t>
      </w:r>
      <w:r w:rsidR="00F24502" w:rsidRPr="00B36586">
        <w:rPr>
          <w:color w:val="000000"/>
          <w:lang w:eastAsia="en-GB"/>
        </w:rPr>
        <w:t>, suggesting that indels were not a significant problem in the assemblies</w:t>
      </w:r>
      <w:r w:rsidR="00923881" w:rsidRPr="00B36586">
        <w:rPr>
          <w:color w:val="000000"/>
          <w:lang w:eastAsia="en-GB"/>
        </w:rPr>
        <w:t xml:space="preserve">. </w:t>
      </w:r>
      <w:r w:rsidR="000B1EBB" w:rsidRPr="00B36586">
        <w:rPr>
          <w:color w:val="000000"/>
          <w:lang w:eastAsia="en-GB"/>
        </w:rPr>
        <w:t>T</w:t>
      </w:r>
      <w:r w:rsidR="00FA7574" w:rsidRPr="00B36586">
        <w:rPr>
          <w:color w:val="000000"/>
          <w:lang w:eastAsia="en-GB"/>
        </w:rPr>
        <w:t>here was very close agreement between methods</w:t>
      </w:r>
      <w:r w:rsidR="006E091A" w:rsidRPr="00B36586">
        <w:rPr>
          <w:color w:val="000000"/>
          <w:lang w:eastAsia="en-GB"/>
        </w:rPr>
        <w:t xml:space="preserve"> (median discrepancy &lt; 5 proteins)</w:t>
      </w:r>
      <w:r w:rsidR="00D43406" w:rsidRPr="00B36586">
        <w:rPr>
          <w:color w:val="000000"/>
          <w:lang w:eastAsia="en-GB"/>
        </w:rPr>
        <w:t xml:space="preserve">, </w:t>
      </w:r>
      <w:r w:rsidR="00083A7A" w:rsidRPr="00B36586">
        <w:rPr>
          <w:color w:val="000000"/>
          <w:lang w:eastAsia="en-GB"/>
        </w:rPr>
        <w:t>although there were</w:t>
      </w:r>
      <w:r w:rsidR="007350AD" w:rsidRPr="00B36586">
        <w:rPr>
          <w:color w:val="000000"/>
          <w:lang w:eastAsia="en-GB"/>
        </w:rPr>
        <w:t xml:space="preserve"> a greater number of </w:t>
      </w:r>
      <w:r w:rsidR="00A873D8" w:rsidRPr="00B36586">
        <w:rPr>
          <w:color w:val="000000"/>
          <w:lang w:eastAsia="en-GB"/>
        </w:rPr>
        <w:t>cases</w:t>
      </w:r>
      <w:r w:rsidR="007350AD" w:rsidRPr="00B36586">
        <w:rPr>
          <w:color w:val="000000"/>
          <w:lang w:eastAsia="en-GB"/>
        </w:rPr>
        <w:t xml:space="preserve"> where more proteins were found in the ONT+Illumina assemblies (Figure S</w:t>
      </w:r>
      <w:r w:rsidR="009563B2">
        <w:rPr>
          <w:color w:val="000000"/>
          <w:lang w:eastAsia="en-GB"/>
        </w:rPr>
        <w:t>7</w:t>
      </w:r>
      <w:r w:rsidR="007350AD" w:rsidRPr="00B36586">
        <w:rPr>
          <w:color w:val="000000"/>
          <w:lang w:eastAsia="en-GB"/>
        </w:rPr>
        <w:t>)</w:t>
      </w:r>
      <w:r w:rsidR="00296377" w:rsidRPr="00B36586">
        <w:rPr>
          <w:color w:val="000000"/>
          <w:lang w:eastAsia="en-GB"/>
        </w:rPr>
        <w:t xml:space="preserve">. </w:t>
      </w:r>
      <w:r w:rsidR="00EF75D8" w:rsidRPr="00B36586">
        <w:rPr>
          <w:color w:val="000000"/>
          <w:lang w:eastAsia="en-GB"/>
        </w:rPr>
        <w:t>P</w:t>
      </w:r>
      <w:r w:rsidR="000877A9" w:rsidRPr="00B36586">
        <w:rPr>
          <w:color w:val="000000"/>
          <w:lang w:eastAsia="en-GB"/>
        </w:rPr>
        <w:t xml:space="preserve">roteins found uniquely in </w:t>
      </w:r>
      <w:r w:rsidR="0010392A" w:rsidRPr="00B36586">
        <w:rPr>
          <w:color w:val="000000"/>
          <w:lang w:eastAsia="en-GB"/>
        </w:rPr>
        <w:t xml:space="preserve">an assembly tended to </w:t>
      </w:r>
      <w:r w:rsidR="00D70CB7" w:rsidRPr="00B36586">
        <w:rPr>
          <w:color w:val="000000"/>
          <w:lang w:eastAsia="en-GB"/>
        </w:rPr>
        <w:t>be found on a contig that was fragmen</w:t>
      </w:r>
      <w:r w:rsidR="006806C4" w:rsidRPr="00B36586">
        <w:rPr>
          <w:color w:val="000000"/>
          <w:lang w:eastAsia="en-GB"/>
        </w:rPr>
        <w:t xml:space="preserve">ted in the comparison assembly </w:t>
      </w:r>
      <w:r w:rsidR="00CC53A7" w:rsidRPr="00B36586">
        <w:rPr>
          <w:color w:val="000000"/>
          <w:lang w:eastAsia="en-GB"/>
        </w:rPr>
        <w:t xml:space="preserve">(e.g. the third plasmid in the ONT-based assembly for RBHSTW-00167 was fragmented in the </w:t>
      </w:r>
      <w:r w:rsidR="000A1130" w:rsidRPr="00B36586">
        <w:rPr>
          <w:color w:val="000000"/>
          <w:lang w:eastAsia="en-GB"/>
        </w:rPr>
        <w:t xml:space="preserve">comparison </w:t>
      </w:r>
      <w:r w:rsidR="00CC53A7" w:rsidRPr="00B36586">
        <w:rPr>
          <w:color w:val="000000"/>
          <w:lang w:eastAsia="en-GB"/>
        </w:rPr>
        <w:t>PacBio-based assembly</w:t>
      </w:r>
      <w:r w:rsidR="000A1130" w:rsidRPr="00B36586">
        <w:rPr>
          <w:color w:val="000000"/>
          <w:lang w:eastAsia="en-GB"/>
        </w:rPr>
        <w:t xml:space="preserve">, and was the location of 11 proteins unique to the </w:t>
      </w:r>
      <w:r w:rsidR="007F727F" w:rsidRPr="00B36586">
        <w:rPr>
          <w:color w:val="000000"/>
          <w:lang w:eastAsia="en-GB"/>
        </w:rPr>
        <w:t xml:space="preserve">ONT-based assembly), </w:t>
      </w:r>
      <w:r w:rsidR="00693FC1" w:rsidRPr="00B36586">
        <w:rPr>
          <w:color w:val="000000"/>
          <w:lang w:eastAsia="en-GB"/>
        </w:rPr>
        <w:t>highlighting</w:t>
      </w:r>
      <w:r w:rsidR="00B210BC" w:rsidRPr="00B36586">
        <w:rPr>
          <w:color w:val="000000"/>
          <w:lang w:eastAsia="en-GB"/>
        </w:rPr>
        <w:t xml:space="preserve"> that </w:t>
      </w:r>
      <w:r w:rsidR="003E144E" w:rsidRPr="00B36586">
        <w:rPr>
          <w:color w:val="000000"/>
          <w:lang w:eastAsia="en-GB"/>
        </w:rPr>
        <w:t>the degree of contig fragmentation in an assembly</w:t>
      </w:r>
      <w:r w:rsidR="000A25F0" w:rsidRPr="00B36586">
        <w:rPr>
          <w:color w:val="000000"/>
          <w:lang w:eastAsia="en-GB"/>
        </w:rPr>
        <w:t xml:space="preserve"> </w:t>
      </w:r>
      <w:r w:rsidR="00B210BC" w:rsidRPr="00B36586">
        <w:rPr>
          <w:color w:val="000000"/>
          <w:lang w:eastAsia="en-GB"/>
        </w:rPr>
        <w:t xml:space="preserve">can </w:t>
      </w:r>
      <w:r w:rsidR="00822113" w:rsidRPr="00B36586">
        <w:rPr>
          <w:color w:val="000000"/>
          <w:lang w:eastAsia="en-GB"/>
        </w:rPr>
        <w:t xml:space="preserve">affect </w:t>
      </w:r>
      <w:r w:rsidR="003A07EA" w:rsidRPr="00B36586">
        <w:rPr>
          <w:color w:val="000000"/>
          <w:lang w:eastAsia="en-GB"/>
        </w:rPr>
        <w:t>conclusions about gene presence</w:t>
      </w:r>
      <w:r w:rsidR="00A04645" w:rsidRPr="00B36586">
        <w:rPr>
          <w:color w:val="000000"/>
          <w:lang w:eastAsia="en-GB"/>
        </w:rPr>
        <w:t xml:space="preserve"> </w:t>
      </w:r>
      <w:r w:rsidR="00C26E64" w:rsidRPr="00B36586">
        <w:rPr>
          <w:color w:val="000000"/>
          <w:lang w:eastAsia="en-GB"/>
        </w:rPr>
        <w:t>beyond just the</w:t>
      </w:r>
      <w:r w:rsidR="00A04645" w:rsidRPr="00B36586">
        <w:rPr>
          <w:color w:val="000000"/>
          <w:lang w:eastAsia="en-GB"/>
        </w:rPr>
        <w:t xml:space="preserve"> inability to resolve genomic structures</w:t>
      </w:r>
      <w:r w:rsidR="00CC53A7" w:rsidRPr="00B36586">
        <w:rPr>
          <w:color w:val="000000"/>
          <w:lang w:eastAsia="en-GB"/>
        </w:rPr>
        <w:t xml:space="preserve"> (Table S</w:t>
      </w:r>
      <w:r w:rsidR="009563B2">
        <w:rPr>
          <w:color w:val="000000"/>
          <w:lang w:eastAsia="en-GB"/>
        </w:rPr>
        <w:t>6</w:t>
      </w:r>
      <w:r w:rsidR="00CC53A7" w:rsidRPr="00B36586">
        <w:rPr>
          <w:color w:val="000000"/>
          <w:lang w:eastAsia="en-GB"/>
        </w:rPr>
        <w:t>, Figure S</w:t>
      </w:r>
      <w:r w:rsidR="009563B2">
        <w:rPr>
          <w:color w:val="000000"/>
          <w:lang w:eastAsia="en-GB"/>
        </w:rPr>
        <w:t>5</w:t>
      </w:r>
      <w:r w:rsidR="00CC53A7" w:rsidRPr="00B36586">
        <w:rPr>
          <w:color w:val="000000"/>
          <w:lang w:eastAsia="en-GB"/>
        </w:rPr>
        <w:t>).</w:t>
      </w:r>
      <w:r w:rsidR="004D1B22" w:rsidRPr="00B36586">
        <w:rPr>
          <w:color w:val="000000"/>
          <w:lang w:eastAsia="en-GB"/>
        </w:rPr>
        <w:t xml:space="preserve"> </w:t>
      </w:r>
      <w:r w:rsidR="00F5746F" w:rsidRPr="00B36586">
        <w:rPr>
          <w:color w:val="000000"/>
          <w:lang w:eastAsia="en-GB"/>
        </w:rPr>
        <w:t xml:space="preserve"> </w:t>
      </w:r>
      <w:r w:rsidR="003A6155" w:rsidRPr="00B36586">
        <w:rPr>
          <w:color w:val="000000"/>
          <w:lang w:eastAsia="en-GB"/>
        </w:rPr>
        <w:t xml:space="preserve"> </w:t>
      </w:r>
    </w:p>
    <w:p w14:paraId="2C024EB2" w14:textId="5F4F0077" w:rsidR="007A2587" w:rsidRDefault="007A2587" w:rsidP="002E4340">
      <w:pPr>
        <w:spacing w:after="120"/>
        <w:jc w:val="both"/>
        <w:rPr>
          <w:color w:val="000000"/>
          <w:lang w:eastAsia="en-GB"/>
        </w:rPr>
      </w:pPr>
      <w:r>
        <w:rPr>
          <w:b/>
          <w:color w:val="008461" w:themeColor="accent3"/>
          <w:sz w:val="28"/>
          <w:szCs w:val="28"/>
        </w:rPr>
        <w:t>Effect of long-read coverage on assembl</w:t>
      </w:r>
      <w:r w:rsidR="00C40845">
        <w:rPr>
          <w:b/>
          <w:color w:val="008461" w:themeColor="accent3"/>
          <w:sz w:val="28"/>
          <w:szCs w:val="28"/>
        </w:rPr>
        <w:t>ies</w:t>
      </w:r>
    </w:p>
    <w:p w14:paraId="4691DB83" w14:textId="5357CAD2" w:rsidR="002E4340" w:rsidRDefault="00CD7FEC" w:rsidP="002E4340">
      <w:pPr>
        <w:spacing w:after="120"/>
        <w:jc w:val="both"/>
        <w:rPr>
          <w:color w:val="000000"/>
          <w:lang w:eastAsia="en-GB"/>
        </w:rPr>
      </w:pPr>
      <w:r>
        <w:rPr>
          <w:color w:val="000000"/>
          <w:lang w:eastAsia="en-GB"/>
        </w:rPr>
        <w:t xml:space="preserve">We multiplexed </w:t>
      </w:r>
      <w:r w:rsidR="00FA6039">
        <w:rPr>
          <w:color w:val="000000"/>
          <w:lang w:eastAsia="en-GB"/>
        </w:rPr>
        <w:t>four</w:t>
      </w:r>
      <w:r>
        <w:rPr>
          <w:color w:val="000000"/>
          <w:lang w:eastAsia="en-GB"/>
        </w:rPr>
        <w:t xml:space="preserve"> isolates per ONT flow-cell, but further multiplexing is possible</w:t>
      </w:r>
      <w:r w:rsidR="0045345D">
        <w:rPr>
          <w:color w:val="000000"/>
          <w:lang w:eastAsia="en-GB"/>
        </w:rPr>
        <w:t>, although it can lead to reduced coverage</w:t>
      </w:r>
      <w:r>
        <w:rPr>
          <w:color w:val="000000"/>
          <w:lang w:eastAsia="en-GB"/>
        </w:rPr>
        <w:t xml:space="preserve">. </w:t>
      </w:r>
      <w:r w:rsidR="004136C4">
        <w:rPr>
          <w:color w:val="000000"/>
          <w:lang w:eastAsia="en-GB"/>
        </w:rPr>
        <w:t>W</w:t>
      </w:r>
      <w:r w:rsidR="00205E4D" w:rsidRPr="00B36586">
        <w:rPr>
          <w:color w:val="000000"/>
          <w:lang w:eastAsia="en-GB"/>
        </w:rPr>
        <w:t xml:space="preserve">e </w:t>
      </w:r>
      <w:r w:rsidR="0045345D">
        <w:rPr>
          <w:color w:val="000000"/>
          <w:lang w:eastAsia="en-GB"/>
        </w:rPr>
        <w:t xml:space="preserve">therefore </w:t>
      </w:r>
      <w:r w:rsidR="00205E4D" w:rsidRPr="00B36586">
        <w:rPr>
          <w:color w:val="000000"/>
          <w:lang w:eastAsia="en-GB"/>
        </w:rPr>
        <w:t xml:space="preserve">investigated the </w:t>
      </w:r>
      <w:r w:rsidR="0045345D">
        <w:rPr>
          <w:color w:val="000000"/>
          <w:lang w:eastAsia="en-GB"/>
        </w:rPr>
        <w:t>effect of</w:t>
      </w:r>
      <w:r w:rsidR="00A50979">
        <w:rPr>
          <w:color w:val="000000"/>
          <w:lang w:eastAsia="en-GB"/>
        </w:rPr>
        <w:t xml:space="preserve"> downsampling the numbers of </w:t>
      </w:r>
      <w:r w:rsidR="00C57782">
        <w:rPr>
          <w:color w:val="000000"/>
          <w:lang w:eastAsia="en-GB"/>
        </w:rPr>
        <w:t xml:space="preserve">ONT </w:t>
      </w:r>
      <w:r w:rsidR="0037183B">
        <w:rPr>
          <w:color w:val="000000"/>
          <w:lang w:eastAsia="en-GB"/>
        </w:rPr>
        <w:t>long</w:t>
      </w:r>
      <w:r w:rsidR="004B4D9B">
        <w:rPr>
          <w:color w:val="000000"/>
          <w:lang w:eastAsia="en-GB"/>
        </w:rPr>
        <w:t xml:space="preserve"> </w:t>
      </w:r>
      <w:r w:rsidR="00A50979">
        <w:rPr>
          <w:color w:val="000000"/>
          <w:lang w:eastAsia="en-GB"/>
        </w:rPr>
        <w:t>reads</w:t>
      </w:r>
      <w:r w:rsidR="002D09C0" w:rsidRPr="00B36586">
        <w:rPr>
          <w:color w:val="000000"/>
          <w:lang w:eastAsia="en-GB"/>
        </w:rPr>
        <w:t xml:space="preserve"> </w:t>
      </w:r>
      <w:r w:rsidR="00205E4D" w:rsidRPr="00B36586">
        <w:rPr>
          <w:color w:val="000000"/>
          <w:lang w:eastAsia="en-GB"/>
        </w:rPr>
        <w:t xml:space="preserve">(see Methods). </w:t>
      </w:r>
      <w:r w:rsidR="002D09C0" w:rsidRPr="00B36586">
        <w:rPr>
          <w:color w:val="000000"/>
          <w:lang w:eastAsia="en-GB"/>
        </w:rPr>
        <w:t xml:space="preserve">Halving the available reads </w:t>
      </w:r>
      <w:r w:rsidR="00B06704" w:rsidRPr="00B36586">
        <w:rPr>
          <w:color w:val="000000"/>
          <w:lang w:eastAsia="en-GB"/>
        </w:rPr>
        <w:t xml:space="preserve">(equivalent to </w:t>
      </w:r>
      <w:r w:rsidR="00525FB3">
        <w:rPr>
          <w:color w:val="000000"/>
          <w:lang w:eastAsia="en-GB"/>
        </w:rPr>
        <w:t xml:space="preserve">multiplexing with </w:t>
      </w:r>
      <w:r w:rsidR="00D77AA2">
        <w:rPr>
          <w:color w:val="000000"/>
          <w:lang w:eastAsia="en-GB"/>
        </w:rPr>
        <w:t>eight</w:t>
      </w:r>
      <w:r w:rsidR="00B06704" w:rsidRPr="00B36586">
        <w:rPr>
          <w:color w:val="000000"/>
          <w:lang w:eastAsia="en-GB"/>
        </w:rPr>
        <w:t xml:space="preserve"> barcodes) </w:t>
      </w:r>
      <w:r w:rsidR="00205E4D" w:rsidRPr="00B36586">
        <w:rPr>
          <w:color w:val="000000"/>
          <w:lang w:eastAsia="en-GB"/>
        </w:rPr>
        <w:t>ha</w:t>
      </w:r>
      <w:r w:rsidR="00B026F8" w:rsidRPr="00B36586">
        <w:rPr>
          <w:color w:val="000000"/>
          <w:lang w:eastAsia="en-GB"/>
        </w:rPr>
        <w:t>d</w:t>
      </w:r>
      <w:r w:rsidR="00205E4D" w:rsidRPr="00B36586">
        <w:rPr>
          <w:color w:val="000000"/>
          <w:lang w:eastAsia="en-GB"/>
        </w:rPr>
        <w:t xml:space="preserve"> no</w:t>
      </w:r>
      <w:r w:rsidR="00F83682">
        <w:rPr>
          <w:color w:val="000000"/>
          <w:lang w:eastAsia="en-GB"/>
        </w:rPr>
        <w:t xml:space="preserve"> detectable</w:t>
      </w:r>
      <w:r w:rsidR="00205E4D" w:rsidRPr="00B36586">
        <w:rPr>
          <w:color w:val="000000"/>
          <w:lang w:eastAsia="en-GB"/>
        </w:rPr>
        <w:t xml:space="preserve"> negative effect on the asse</w:t>
      </w:r>
      <w:r w:rsidR="00FC525F" w:rsidRPr="00B36586">
        <w:rPr>
          <w:color w:val="000000"/>
          <w:lang w:eastAsia="en-GB"/>
        </w:rPr>
        <w:t>mbl</w:t>
      </w:r>
      <w:r w:rsidR="002D09C0" w:rsidRPr="00B36586">
        <w:rPr>
          <w:color w:val="000000"/>
          <w:lang w:eastAsia="en-GB"/>
        </w:rPr>
        <w:t>ies</w:t>
      </w:r>
      <w:r w:rsidR="00FC525F" w:rsidRPr="00B36586">
        <w:rPr>
          <w:color w:val="000000"/>
          <w:lang w:eastAsia="en-GB"/>
        </w:rPr>
        <w:t xml:space="preserve"> (Table </w:t>
      </w:r>
      <w:r w:rsidR="00FC525F" w:rsidRPr="00B36586">
        <w:rPr>
          <w:color w:val="000000"/>
          <w:lang w:eastAsia="en-GB"/>
        </w:rPr>
        <w:lastRenderedPageBreak/>
        <w:t>S</w:t>
      </w:r>
      <w:r w:rsidR="00E74BEE" w:rsidRPr="00B36586">
        <w:rPr>
          <w:color w:val="000000"/>
          <w:lang w:eastAsia="en-GB"/>
        </w:rPr>
        <w:t>7</w:t>
      </w:r>
      <w:r w:rsidR="00205E4D" w:rsidRPr="00B36586">
        <w:rPr>
          <w:color w:val="000000"/>
          <w:lang w:eastAsia="en-GB"/>
        </w:rPr>
        <w:t>)</w:t>
      </w:r>
      <w:r w:rsidR="00F9590A" w:rsidRPr="00B36586">
        <w:rPr>
          <w:color w:val="000000"/>
          <w:lang w:eastAsia="en-GB"/>
        </w:rPr>
        <w:t>. U</w:t>
      </w:r>
      <w:r w:rsidR="00B06704" w:rsidRPr="00B36586">
        <w:rPr>
          <w:color w:val="000000"/>
          <w:lang w:eastAsia="en-GB"/>
        </w:rPr>
        <w:t xml:space="preserve">sing a third (equivalent to </w:t>
      </w:r>
      <w:r w:rsidR="00913691">
        <w:rPr>
          <w:color w:val="000000"/>
          <w:lang w:eastAsia="en-GB"/>
        </w:rPr>
        <w:t xml:space="preserve">multiplexing with </w:t>
      </w:r>
      <w:r w:rsidR="00B06704" w:rsidRPr="00B36586">
        <w:rPr>
          <w:color w:val="000000"/>
          <w:lang w:eastAsia="en-GB"/>
        </w:rPr>
        <w:t xml:space="preserve">12 barcodes) </w:t>
      </w:r>
      <w:r w:rsidR="00205E4D" w:rsidRPr="00B36586">
        <w:rPr>
          <w:color w:val="000000"/>
          <w:lang w:eastAsia="en-GB"/>
        </w:rPr>
        <w:t>slightly increase</w:t>
      </w:r>
      <w:r w:rsidR="00B026F8" w:rsidRPr="00B36586">
        <w:rPr>
          <w:color w:val="000000"/>
          <w:lang w:eastAsia="en-GB"/>
        </w:rPr>
        <w:t>d</w:t>
      </w:r>
      <w:r w:rsidR="00205E4D" w:rsidRPr="00B36586">
        <w:rPr>
          <w:color w:val="000000"/>
          <w:lang w:eastAsia="en-GB"/>
        </w:rPr>
        <w:t xml:space="preserve"> the fragmentation of the assemblies</w:t>
      </w:r>
      <w:r w:rsidR="00F7703D" w:rsidRPr="00B36586">
        <w:rPr>
          <w:color w:val="000000"/>
          <w:lang w:eastAsia="en-GB"/>
        </w:rPr>
        <w:t xml:space="preserve"> overall</w:t>
      </w:r>
      <w:r w:rsidR="00205E4D" w:rsidRPr="00B36586">
        <w:rPr>
          <w:color w:val="000000"/>
          <w:lang w:eastAsia="en-GB"/>
        </w:rPr>
        <w:t xml:space="preserve"> (on</w:t>
      </w:r>
      <w:r w:rsidR="00FC525F" w:rsidRPr="00B36586">
        <w:rPr>
          <w:color w:val="000000"/>
          <w:lang w:eastAsia="en-GB"/>
        </w:rPr>
        <w:t>e fewer completed assembly and nine</w:t>
      </w:r>
      <w:r w:rsidR="00205E4D" w:rsidRPr="00B36586">
        <w:rPr>
          <w:color w:val="000000"/>
          <w:lang w:eastAsia="en-GB"/>
        </w:rPr>
        <w:t xml:space="preserve"> </w:t>
      </w:r>
      <w:r w:rsidR="002D09C0" w:rsidRPr="00B36586">
        <w:rPr>
          <w:color w:val="000000"/>
          <w:lang w:eastAsia="en-GB"/>
        </w:rPr>
        <w:t>additional</w:t>
      </w:r>
      <w:r w:rsidR="00205E4D" w:rsidRPr="00B36586">
        <w:rPr>
          <w:color w:val="000000"/>
          <w:lang w:eastAsia="en-GB"/>
        </w:rPr>
        <w:t xml:space="preserve"> non-circular contigs)</w:t>
      </w:r>
      <w:r w:rsidR="00FC525F" w:rsidRPr="00B36586">
        <w:rPr>
          <w:color w:val="000000"/>
          <w:lang w:eastAsia="en-GB"/>
        </w:rPr>
        <w:t>.</w:t>
      </w:r>
      <w:r w:rsidR="00B06704" w:rsidRPr="00B36586">
        <w:rPr>
          <w:color w:val="000000"/>
          <w:lang w:eastAsia="en-GB"/>
        </w:rPr>
        <w:t xml:space="preserve"> </w:t>
      </w:r>
      <w:r w:rsidR="00F7703D" w:rsidRPr="00B36586">
        <w:rPr>
          <w:color w:val="000000"/>
          <w:lang w:eastAsia="en-GB"/>
        </w:rPr>
        <w:t>However, these results were not uniform: t</w:t>
      </w:r>
      <w:r w:rsidR="00B06704" w:rsidRPr="00B36586">
        <w:rPr>
          <w:color w:val="000000"/>
          <w:lang w:eastAsia="en-GB"/>
        </w:rPr>
        <w:t xml:space="preserve">wo assemblies </w:t>
      </w:r>
      <w:r w:rsidR="007B7929">
        <w:rPr>
          <w:color w:val="000000"/>
          <w:lang w:eastAsia="en-GB"/>
        </w:rPr>
        <w:t xml:space="preserve">had chromosomes that </w:t>
      </w:r>
      <w:r w:rsidR="00954DA8">
        <w:rPr>
          <w:color w:val="000000"/>
          <w:lang w:eastAsia="en-GB"/>
        </w:rPr>
        <w:t xml:space="preserve">could be </w:t>
      </w:r>
      <w:r w:rsidR="007B7929">
        <w:rPr>
          <w:color w:val="000000"/>
          <w:lang w:eastAsia="en-GB"/>
        </w:rPr>
        <w:t xml:space="preserve">circularised </w:t>
      </w:r>
      <w:r w:rsidR="005B1400">
        <w:rPr>
          <w:color w:val="000000"/>
          <w:lang w:eastAsia="en-GB"/>
        </w:rPr>
        <w:t xml:space="preserve">only </w:t>
      </w:r>
      <w:r w:rsidR="007B7929">
        <w:rPr>
          <w:color w:val="000000"/>
          <w:lang w:eastAsia="en-GB"/>
        </w:rPr>
        <w:t>with downsampling (</w:t>
      </w:r>
      <w:r w:rsidR="00B06704" w:rsidRPr="00B36586">
        <w:rPr>
          <w:color w:val="000000"/>
          <w:lang w:eastAsia="en-GB"/>
        </w:rPr>
        <w:t xml:space="preserve">RBHSTW-00309 and RBHSTW-00340). </w:t>
      </w:r>
      <w:r w:rsidR="00AE5E31">
        <w:rPr>
          <w:color w:val="000000"/>
          <w:lang w:eastAsia="en-GB"/>
        </w:rPr>
        <w:t xml:space="preserve">Subsampling to a coverage of ~10X </w:t>
      </w:r>
      <w:r w:rsidR="00CD08A4">
        <w:rPr>
          <w:color w:val="000000"/>
          <w:lang w:eastAsia="en-GB"/>
        </w:rPr>
        <w:t xml:space="preserve">(see Methods) </w:t>
      </w:r>
      <w:r w:rsidR="00D42880">
        <w:rPr>
          <w:color w:val="000000"/>
          <w:lang w:eastAsia="en-GB"/>
        </w:rPr>
        <w:t>increased the fragmentation of the assemblie</w:t>
      </w:r>
      <w:r w:rsidR="0081593A">
        <w:rPr>
          <w:color w:val="000000"/>
          <w:lang w:eastAsia="en-GB"/>
        </w:rPr>
        <w:t>s overall</w:t>
      </w:r>
      <w:r w:rsidR="00680B1B">
        <w:rPr>
          <w:color w:val="000000"/>
          <w:lang w:eastAsia="en-GB"/>
        </w:rPr>
        <w:t xml:space="preserve">, but 65 circular contigs </w:t>
      </w:r>
      <w:r w:rsidR="007047C3">
        <w:rPr>
          <w:color w:val="000000"/>
          <w:lang w:eastAsia="en-GB"/>
        </w:rPr>
        <w:t>were still</w:t>
      </w:r>
      <w:r w:rsidR="00680B1B">
        <w:rPr>
          <w:color w:val="000000"/>
          <w:lang w:eastAsia="en-GB"/>
        </w:rPr>
        <w:t xml:space="preserve"> circularised</w:t>
      </w:r>
      <w:r w:rsidR="00591102">
        <w:rPr>
          <w:color w:val="000000"/>
          <w:lang w:eastAsia="en-GB"/>
        </w:rPr>
        <w:t xml:space="preserve"> and DNAdiff comparisons showed that the assemblies were highly similar to the assemblies</w:t>
      </w:r>
      <w:r w:rsidR="004D554E">
        <w:rPr>
          <w:color w:val="000000"/>
          <w:lang w:eastAsia="en-GB"/>
        </w:rPr>
        <w:t xml:space="preserve"> from the full data</w:t>
      </w:r>
      <w:r w:rsidR="009C13F7">
        <w:rPr>
          <w:color w:val="000000"/>
          <w:lang w:eastAsia="en-GB"/>
        </w:rPr>
        <w:t xml:space="preserve"> (Figure </w:t>
      </w:r>
      <w:r w:rsidR="00DD1F3F">
        <w:rPr>
          <w:color w:val="000000"/>
          <w:lang w:eastAsia="en-GB"/>
        </w:rPr>
        <w:t>S3)</w:t>
      </w:r>
      <w:r w:rsidR="00591102">
        <w:rPr>
          <w:color w:val="000000"/>
          <w:lang w:eastAsia="en-GB"/>
        </w:rPr>
        <w:t xml:space="preserve">. </w:t>
      </w:r>
      <w:r w:rsidR="0081593A">
        <w:rPr>
          <w:color w:val="000000"/>
          <w:lang w:eastAsia="en-GB"/>
        </w:rPr>
        <w:t xml:space="preserve"> </w:t>
      </w:r>
    </w:p>
    <w:p w14:paraId="07EA3776" w14:textId="161534A8" w:rsidR="00C92893" w:rsidRPr="002E4340" w:rsidRDefault="00C92893" w:rsidP="002E4340">
      <w:pPr>
        <w:spacing w:after="120"/>
        <w:jc w:val="both"/>
        <w:rPr>
          <w:color w:val="000000"/>
          <w:lang w:eastAsia="en-GB"/>
        </w:rPr>
      </w:pPr>
      <w:r w:rsidRPr="00B36586">
        <w:rPr>
          <w:b/>
          <w:color w:val="008461" w:themeColor="accent3"/>
          <w:sz w:val="28"/>
          <w:szCs w:val="28"/>
        </w:rPr>
        <w:t>DNA preparation and sequencing costs</w:t>
      </w:r>
    </w:p>
    <w:p w14:paraId="3723B065" w14:textId="14144AEE" w:rsidR="00E64274" w:rsidRDefault="00202DEF" w:rsidP="00FD5974">
      <w:pPr>
        <w:spacing w:after="120"/>
        <w:jc w:val="both"/>
        <w:rPr>
          <w:lang w:eastAsia="en-GB"/>
        </w:rPr>
      </w:pPr>
      <w:r w:rsidRPr="00B36586">
        <w:rPr>
          <w:lang w:eastAsia="en-GB"/>
        </w:rPr>
        <w:t>Beyond</w:t>
      </w:r>
      <w:r w:rsidR="006C5C8B" w:rsidRPr="00B36586">
        <w:rPr>
          <w:lang w:eastAsia="en-GB"/>
        </w:rPr>
        <w:t xml:space="preserve"> considerations of assembly accuracy</w:t>
      </w:r>
      <w:r w:rsidRPr="00B36586">
        <w:rPr>
          <w:lang w:eastAsia="en-GB"/>
        </w:rPr>
        <w:t>, a</w:t>
      </w:r>
      <w:r w:rsidR="00C92893" w:rsidRPr="00B36586">
        <w:rPr>
          <w:lang w:eastAsia="en-GB"/>
        </w:rPr>
        <w:t xml:space="preserve">n </w:t>
      </w:r>
      <w:r w:rsidR="00147FB2" w:rsidRPr="00B36586">
        <w:rPr>
          <w:lang w:eastAsia="en-GB"/>
        </w:rPr>
        <w:t xml:space="preserve">important </w:t>
      </w:r>
      <w:r w:rsidR="00D64099" w:rsidRPr="00B36586">
        <w:rPr>
          <w:lang w:eastAsia="en-GB"/>
        </w:rPr>
        <w:t>and</w:t>
      </w:r>
      <w:r w:rsidR="00147FB2" w:rsidRPr="00B36586">
        <w:rPr>
          <w:lang w:eastAsia="en-GB"/>
        </w:rPr>
        <w:t xml:space="preserve"> realistic </w:t>
      </w:r>
      <w:r w:rsidR="00C92893" w:rsidRPr="00B36586">
        <w:rPr>
          <w:lang w:eastAsia="en-GB"/>
        </w:rPr>
        <w:t xml:space="preserve">consideration </w:t>
      </w:r>
      <w:r w:rsidR="00F0715B" w:rsidRPr="00B36586">
        <w:rPr>
          <w:lang w:eastAsia="en-GB"/>
        </w:rPr>
        <w:t>when</w:t>
      </w:r>
      <w:r w:rsidR="00C92893" w:rsidRPr="00B36586">
        <w:rPr>
          <w:lang w:eastAsia="en-GB"/>
        </w:rPr>
        <w:t xml:space="preserve"> choosing a sequencing approac</w:t>
      </w:r>
      <w:r w:rsidR="00491968" w:rsidRPr="00B36586">
        <w:rPr>
          <w:lang w:eastAsia="en-GB"/>
        </w:rPr>
        <w:t>h</w:t>
      </w:r>
      <w:r w:rsidR="00C92893" w:rsidRPr="00B36586">
        <w:rPr>
          <w:lang w:eastAsia="en-GB"/>
        </w:rPr>
        <w:t xml:space="preserve"> is cost.</w:t>
      </w:r>
      <w:r w:rsidR="001A7022" w:rsidRPr="00B36586">
        <w:rPr>
          <w:lang w:eastAsia="en-GB"/>
        </w:rPr>
        <w:t xml:space="preserve"> </w:t>
      </w:r>
      <w:r w:rsidR="00860078" w:rsidRPr="00B36586">
        <w:rPr>
          <w:lang w:eastAsia="en-GB"/>
        </w:rPr>
        <w:t>While we do not attempt</w:t>
      </w:r>
      <w:r w:rsidR="00E77397" w:rsidRPr="00B36586">
        <w:rPr>
          <w:lang w:eastAsia="en-GB"/>
        </w:rPr>
        <w:t xml:space="preserve"> </w:t>
      </w:r>
      <w:r w:rsidR="001A7022" w:rsidRPr="00B36586">
        <w:rPr>
          <w:lang w:eastAsia="en-GB"/>
        </w:rPr>
        <w:t xml:space="preserve">to calculate </w:t>
      </w:r>
      <w:r w:rsidR="00E25224" w:rsidRPr="00B36586">
        <w:rPr>
          <w:lang w:eastAsia="en-GB"/>
        </w:rPr>
        <w:t>estimates that will apply across different labs and settings, we report</w:t>
      </w:r>
      <w:r w:rsidR="00913691">
        <w:rPr>
          <w:lang w:eastAsia="en-GB"/>
        </w:rPr>
        <w:t xml:space="preserve"> here</w:t>
      </w:r>
      <w:r w:rsidR="00E25224" w:rsidRPr="00B36586">
        <w:rPr>
          <w:lang w:eastAsia="en-GB"/>
        </w:rPr>
        <w:t xml:space="preserve"> </w:t>
      </w:r>
      <w:r w:rsidR="00E77397" w:rsidRPr="00B36586">
        <w:rPr>
          <w:lang w:eastAsia="en-GB"/>
        </w:rPr>
        <w:t>our</w:t>
      </w:r>
      <w:r w:rsidR="008F3291" w:rsidRPr="00B36586">
        <w:rPr>
          <w:lang w:eastAsia="en-GB"/>
        </w:rPr>
        <w:t xml:space="preserve"> consumables costs per isolate </w:t>
      </w:r>
      <w:r w:rsidR="002E4C2E" w:rsidRPr="00B36586">
        <w:rPr>
          <w:lang w:eastAsia="en-GB"/>
        </w:rPr>
        <w:t xml:space="preserve">(i.e. exclusive of </w:t>
      </w:r>
      <w:r w:rsidR="006B3DB4" w:rsidRPr="00B36586">
        <w:rPr>
          <w:lang w:eastAsia="en-GB"/>
        </w:rPr>
        <w:t xml:space="preserve">other </w:t>
      </w:r>
      <w:r w:rsidR="003138B3" w:rsidRPr="00B36586">
        <w:rPr>
          <w:lang w:eastAsia="en-GB"/>
        </w:rPr>
        <w:t xml:space="preserve">potential </w:t>
      </w:r>
      <w:r w:rsidR="006B3DB4" w:rsidRPr="00B36586">
        <w:rPr>
          <w:lang w:eastAsia="en-GB"/>
        </w:rPr>
        <w:t>costs</w:t>
      </w:r>
      <w:r w:rsidR="00B269BA" w:rsidRPr="00B36586">
        <w:rPr>
          <w:lang w:eastAsia="en-GB"/>
        </w:rPr>
        <w:t xml:space="preserve"> such as </w:t>
      </w:r>
      <w:r w:rsidR="00662E7E">
        <w:rPr>
          <w:lang w:eastAsia="en-GB"/>
        </w:rPr>
        <w:t xml:space="preserve">laboratory </w:t>
      </w:r>
      <w:r w:rsidR="009B0611">
        <w:rPr>
          <w:lang w:eastAsia="en-GB"/>
        </w:rPr>
        <w:t xml:space="preserve">and computational staffing, </w:t>
      </w:r>
      <w:r w:rsidR="006210EB">
        <w:rPr>
          <w:lang w:eastAsia="en-GB"/>
        </w:rPr>
        <w:t xml:space="preserve">purchase </w:t>
      </w:r>
      <w:r w:rsidR="00821409">
        <w:rPr>
          <w:lang w:eastAsia="en-GB"/>
        </w:rPr>
        <w:t xml:space="preserve">and maintenance </w:t>
      </w:r>
      <w:r w:rsidR="004A3655">
        <w:rPr>
          <w:lang w:eastAsia="en-GB"/>
        </w:rPr>
        <w:t xml:space="preserve">of </w:t>
      </w:r>
      <w:r w:rsidR="00B403AB">
        <w:rPr>
          <w:lang w:eastAsia="en-GB"/>
        </w:rPr>
        <w:t xml:space="preserve">laboratory and computational </w:t>
      </w:r>
      <w:r w:rsidR="00B269BA" w:rsidRPr="00B36586">
        <w:rPr>
          <w:lang w:eastAsia="en-GB"/>
        </w:rPr>
        <w:t>infrastructure</w:t>
      </w:r>
      <w:r w:rsidR="00B735C5">
        <w:rPr>
          <w:lang w:eastAsia="en-GB"/>
        </w:rPr>
        <w:t>, service</w:t>
      </w:r>
      <w:r w:rsidR="009B0611">
        <w:rPr>
          <w:lang w:eastAsia="en-GB"/>
        </w:rPr>
        <w:t xml:space="preserve"> contract</w:t>
      </w:r>
      <w:r w:rsidR="00B06A33">
        <w:rPr>
          <w:lang w:eastAsia="en-GB"/>
        </w:rPr>
        <w:t xml:space="preserve">s </w:t>
      </w:r>
      <w:r w:rsidR="009B0611">
        <w:rPr>
          <w:lang w:eastAsia="en-GB"/>
        </w:rPr>
        <w:t>etc</w:t>
      </w:r>
      <w:r w:rsidR="005E5224">
        <w:rPr>
          <w:lang w:eastAsia="en-GB"/>
        </w:rPr>
        <w:t>.</w:t>
      </w:r>
      <w:r w:rsidR="002E4C2E" w:rsidRPr="00B36586">
        <w:rPr>
          <w:lang w:eastAsia="en-GB"/>
        </w:rPr>
        <w:t>)</w:t>
      </w:r>
      <w:r w:rsidR="00E139A9" w:rsidRPr="00B36586">
        <w:rPr>
          <w:lang w:eastAsia="en-GB"/>
        </w:rPr>
        <w:t xml:space="preserve"> in case it is helpful for informing others</w:t>
      </w:r>
      <w:r w:rsidR="007820B7" w:rsidRPr="00B36586">
        <w:rPr>
          <w:lang w:eastAsia="en-GB"/>
        </w:rPr>
        <w:t xml:space="preserve">. </w:t>
      </w:r>
    </w:p>
    <w:p w14:paraId="0C8757D1" w14:textId="456D77D5" w:rsidR="00E64274" w:rsidRPr="00FD5974" w:rsidRDefault="00E64274" w:rsidP="00FD5974">
      <w:pPr>
        <w:spacing w:after="120"/>
        <w:jc w:val="both"/>
        <w:rPr>
          <w:lang w:eastAsia="en-GB"/>
        </w:rPr>
      </w:pPr>
      <w:r w:rsidRPr="00E64274">
        <w:rPr>
          <w:lang w:eastAsia="en-GB"/>
        </w:rPr>
        <w:t xml:space="preserve">The cost of bacterial culture and DNA extraction was approximately £12 per isolate, resulting in sufficient DNA for all three sequencing methods to be performed in parallel on a single extract. Cost for library preparation and one lane of Illumina HiSeq sequencing containing 192 samples was £ 7,667 per lane (~£40 per isolate in this study).  ONT sequencing was performed by multiplexing 4 isolates per run, with the library preparation, barcoding and flow cells costing ~£100 per isolate due to lower cost flow cells after a linked purchase of a GridION (excluding this, the cost ranges from £125 to £220 per isolate depending on the flow cell bundle purchased). PacBio sequencing was done using one isolate per library per SMRTcell on the RSII system, with costs of </w:t>
      </w:r>
      <w:r w:rsidR="00D20581">
        <w:rPr>
          <w:lang w:eastAsia="en-GB"/>
        </w:rPr>
        <w:t>~</w:t>
      </w:r>
      <w:r w:rsidRPr="00E64274">
        <w:rPr>
          <w:lang w:eastAsia="en-GB"/>
        </w:rPr>
        <w:t>£280 per isolate. For all technologies, more recent sequencing instruments and further multiplexing could result in significantly higher throughput, correspondingly reducing the cost per isolate in each case. We cannot precisely estimate these costs here.</w:t>
      </w:r>
    </w:p>
    <w:p w14:paraId="2676B68C" w14:textId="1B0A1906" w:rsidR="00C92893" w:rsidRPr="00B36586" w:rsidRDefault="00235374" w:rsidP="00223FA0">
      <w:pPr>
        <w:jc w:val="both"/>
        <w:rPr>
          <w:color w:val="000000"/>
          <w:lang w:eastAsia="en-GB"/>
        </w:rPr>
      </w:pPr>
      <w:r w:rsidRPr="00B36586">
        <w:rPr>
          <w:color w:val="000000"/>
          <w:lang w:eastAsia="en-GB"/>
        </w:rPr>
        <w:t>To summarise,</w:t>
      </w:r>
      <w:r w:rsidR="00E64274">
        <w:rPr>
          <w:color w:val="000000"/>
          <w:lang w:eastAsia="en-GB"/>
        </w:rPr>
        <w:t xml:space="preserve"> based on the sequencing we performed, </w:t>
      </w:r>
      <w:r w:rsidR="00266B83">
        <w:rPr>
          <w:color w:val="000000"/>
          <w:lang w:eastAsia="en-GB"/>
        </w:rPr>
        <w:t xml:space="preserve">the </w:t>
      </w:r>
      <w:r w:rsidR="00573C78">
        <w:rPr>
          <w:color w:val="000000"/>
          <w:lang w:eastAsia="en-GB"/>
        </w:rPr>
        <w:t xml:space="preserve">minimum </w:t>
      </w:r>
      <w:r w:rsidR="00266B83">
        <w:rPr>
          <w:color w:val="000000"/>
          <w:lang w:eastAsia="en-GB"/>
        </w:rPr>
        <w:t xml:space="preserve">cost per isolate </w:t>
      </w:r>
      <w:r w:rsidR="00C92893" w:rsidRPr="00B36586">
        <w:rPr>
          <w:color w:val="000000"/>
          <w:lang w:eastAsia="en-GB"/>
        </w:rPr>
        <w:t xml:space="preserve">using the PacBio RSII system to generate </w:t>
      </w:r>
      <w:r w:rsidR="006A45A0">
        <w:rPr>
          <w:color w:val="000000"/>
          <w:lang w:eastAsia="en-GB"/>
        </w:rPr>
        <w:t xml:space="preserve">a </w:t>
      </w:r>
      <w:r w:rsidR="00C92893" w:rsidRPr="00B36586">
        <w:rPr>
          <w:color w:val="000000"/>
          <w:lang w:eastAsia="en-GB"/>
        </w:rPr>
        <w:t xml:space="preserve">PacBio+Illumina hybrid </w:t>
      </w:r>
      <w:r w:rsidR="006A45A0">
        <w:rPr>
          <w:color w:val="000000"/>
          <w:lang w:eastAsia="en-GB"/>
        </w:rPr>
        <w:t xml:space="preserve">assembly </w:t>
      </w:r>
      <w:r w:rsidR="00E64274">
        <w:rPr>
          <w:color w:val="000000"/>
          <w:lang w:eastAsia="en-GB"/>
        </w:rPr>
        <w:t>(~</w:t>
      </w:r>
      <w:r w:rsidR="00E64274" w:rsidRPr="00B36586">
        <w:rPr>
          <w:color w:val="000000"/>
          <w:lang w:eastAsia="en-GB"/>
        </w:rPr>
        <w:t>£320</w:t>
      </w:r>
      <w:r w:rsidR="00E64274">
        <w:rPr>
          <w:color w:val="000000"/>
          <w:lang w:eastAsia="en-GB"/>
        </w:rPr>
        <w:t>)</w:t>
      </w:r>
      <w:r w:rsidR="00D360D4">
        <w:rPr>
          <w:color w:val="000000"/>
          <w:lang w:eastAsia="en-GB"/>
        </w:rPr>
        <w:t xml:space="preserve"> is</w:t>
      </w:r>
      <w:r w:rsidR="00D8491A">
        <w:rPr>
          <w:color w:val="000000"/>
          <w:lang w:eastAsia="en-GB"/>
        </w:rPr>
        <w:t xml:space="preserve"> </w:t>
      </w:r>
      <w:r w:rsidR="00C92893" w:rsidRPr="00B36586">
        <w:rPr>
          <w:color w:val="000000"/>
          <w:lang w:eastAsia="en-GB"/>
        </w:rPr>
        <w:t>higher than for generating an ONT+Illumina hybrid assembly</w:t>
      </w:r>
      <w:r w:rsidR="00E64274">
        <w:rPr>
          <w:color w:val="000000"/>
          <w:lang w:eastAsia="en-GB"/>
        </w:rPr>
        <w:t xml:space="preserve"> (~£1</w:t>
      </w:r>
      <w:r w:rsidR="00266B83">
        <w:rPr>
          <w:color w:val="000000"/>
          <w:lang w:eastAsia="en-GB"/>
        </w:rPr>
        <w:t>65</w:t>
      </w:r>
      <w:r w:rsidR="00E64274">
        <w:rPr>
          <w:color w:val="000000"/>
          <w:lang w:eastAsia="en-GB"/>
        </w:rPr>
        <w:t>-260)</w:t>
      </w:r>
      <w:r w:rsidR="00C92893" w:rsidRPr="00B36586">
        <w:rPr>
          <w:color w:val="000000"/>
          <w:lang w:eastAsia="en-GB"/>
        </w:rPr>
        <w:t>.</w:t>
      </w:r>
      <w:r w:rsidR="00A94020" w:rsidRPr="00B36586">
        <w:rPr>
          <w:color w:val="000000"/>
          <w:lang w:eastAsia="en-GB"/>
        </w:rPr>
        <w:t xml:space="preserve"> We stress that these</w:t>
      </w:r>
      <w:r w:rsidR="00B269BA" w:rsidRPr="00B36586">
        <w:rPr>
          <w:color w:val="000000"/>
          <w:lang w:eastAsia="en-GB"/>
        </w:rPr>
        <w:t xml:space="preserve"> costs </w:t>
      </w:r>
      <w:r w:rsidR="00A94020" w:rsidRPr="00B36586">
        <w:rPr>
          <w:color w:val="000000"/>
          <w:lang w:eastAsia="en-GB"/>
        </w:rPr>
        <w:t xml:space="preserve">do not </w:t>
      </w:r>
      <w:r w:rsidR="00B269BA" w:rsidRPr="00B36586">
        <w:rPr>
          <w:color w:val="000000"/>
          <w:lang w:eastAsia="en-GB"/>
        </w:rPr>
        <w:t>include infrastructural and staffing costs</w:t>
      </w:r>
      <w:r w:rsidR="00D407C7">
        <w:rPr>
          <w:color w:val="000000"/>
          <w:lang w:eastAsia="en-GB"/>
        </w:rPr>
        <w:t xml:space="preserve">, </w:t>
      </w:r>
      <w:r w:rsidR="00D407C7">
        <w:rPr>
          <w:lang w:eastAsia="en-GB"/>
        </w:rPr>
        <w:t>and that</w:t>
      </w:r>
      <w:r w:rsidR="00D407C7" w:rsidRPr="00E64274">
        <w:rPr>
          <w:lang w:eastAsia="en-GB"/>
        </w:rPr>
        <w:t xml:space="preserve"> changing factors since the time of these experiments (late 2017) </w:t>
      </w:r>
      <w:r w:rsidR="00494FFB">
        <w:rPr>
          <w:lang w:eastAsia="en-GB"/>
        </w:rPr>
        <w:t>could</w:t>
      </w:r>
      <w:r w:rsidR="00D407C7" w:rsidRPr="00E64274">
        <w:rPr>
          <w:lang w:eastAsia="en-GB"/>
        </w:rPr>
        <w:t xml:space="preserve"> result in </w:t>
      </w:r>
      <w:r w:rsidR="00913691">
        <w:rPr>
          <w:lang w:eastAsia="en-GB"/>
        </w:rPr>
        <w:t xml:space="preserve">further </w:t>
      </w:r>
      <w:r w:rsidR="00D407C7" w:rsidRPr="00E64274">
        <w:rPr>
          <w:lang w:eastAsia="en-GB"/>
        </w:rPr>
        <w:t>differen</w:t>
      </w:r>
      <w:r w:rsidR="00913691">
        <w:rPr>
          <w:lang w:eastAsia="en-GB"/>
        </w:rPr>
        <w:t>ces in</w:t>
      </w:r>
      <w:r w:rsidR="00D407C7" w:rsidRPr="00E64274">
        <w:rPr>
          <w:lang w:eastAsia="en-GB"/>
        </w:rPr>
        <w:t xml:space="preserve"> costs</w:t>
      </w:r>
      <w:r w:rsidR="00CD5CE8">
        <w:rPr>
          <w:lang w:eastAsia="en-GB"/>
        </w:rPr>
        <w:t xml:space="preserve"> </w:t>
      </w:r>
      <w:r w:rsidR="00913691">
        <w:rPr>
          <w:lang w:eastAsia="en-GB"/>
        </w:rPr>
        <w:t>across</w:t>
      </w:r>
      <w:r w:rsidR="00CD5CE8">
        <w:rPr>
          <w:lang w:eastAsia="en-GB"/>
        </w:rPr>
        <w:t xml:space="preserve"> the two</w:t>
      </w:r>
      <w:r w:rsidR="00913691">
        <w:rPr>
          <w:lang w:eastAsia="en-GB"/>
        </w:rPr>
        <w:t xml:space="preserve"> long-read</w:t>
      </w:r>
      <w:r w:rsidR="00CD5CE8">
        <w:rPr>
          <w:lang w:eastAsia="en-GB"/>
        </w:rPr>
        <w:t xml:space="preserve"> platforms</w:t>
      </w:r>
      <w:r w:rsidR="00D407C7" w:rsidRPr="00E64274">
        <w:rPr>
          <w:lang w:eastAsia="en-GB"/>
        </w:rPr>
        <w:t>.</w:t>
      </w:r>
    </w:p>
    <w:p w14:paraId="2E828432" w14:textId="167DFD96" w:rsidR="00747DDF" w:rsidRPr="00B36586" w:rsidRDefault="00A8260B" w:rsidP="00223FA0">
      <w:pPr>
        <w:jc w:val="both"/>
        <w:rPr>
          <w:color w:val="000000"/>
          <w:lang w:eastAsia="en-GB"/>
        </w:rPr>
      </w:pPr>
      <w:r w:rsidRPr="00A8260B">
        <w:rPr>
          <w:noProof/>
          <w14:ligatures w14:val="none"/>
        </w:rPr>
        <w:pict w14:anchorId="5BA4C139">
          <v:rect id="_x0000_i1029" alt="" style="width:451.3pt;height:.05pt;mso-width-percent:0;mso-height-percent:0;mso-width-percent:0;mso-height-percent:0" o:hralign="center" o:hrstd="t" o:hr="t" fillcolor="#a0a0a0" stroked="f"/>
        </w:pict>
      </w:r>
    </w:p>
    <w:p w14:paraId="6A4C93CE" w14:textId="7E25B1FD" w:rsidR="006E663E" w:rsidRPr="00B36586" w:rsidRDefault="006E663E" w:rsidP="00223FA0">
      <w:pPr>
        <w:spacing w:before="120" w:after="120"/>
        <w:jc w:val="both"/>
        <w:rPr>
          <w:b/>
          <w:color w:val="008461" w:themeColor="accent3"/>
          <w:sz w:val="32"/>
          <w:szCs w:val="32"/>
        </w:rPr>
      </w:pPr>
      <w:r w:rsidRPr="00B36586">
        <w:rPr>
          <w:b/>
          <w:color w:val="008461" w:themeColor="accent3"/>
          <w:sz w:val="32"/>
          <w:szCs w:val="32"/>
        </w:rPr>
        <w:t>DISCUSSION</w:t>
      </w:r>
    </w:p>
    <w:p w14:paraId="70C311A6" w14:textId="20696098" w:rsidR="002E4340" w:rsidRDefault="00A41BC1" w:rsidP="002E4340">
      <w:pPr>
        <w:spacing w:after="120"/>
        <w:jc w:val="both"/>
        <w:rPr>
          <w:color w:val="000000"/>
          <w:lang w:eastAsia="en-GB"/>
        </w:rPr>
      </w:pPr>
      <w:r w:rsidRPr="00B36586">
        <w:rPr>
          <w:color w:val="000000"/>
          <w:lang w:eastAsia="en-GB"/>
        </w:rPr>
        <w:t>C</w:t>
      </w:r>
      <w:r w:rsidR="00E11D5A" w:rsidRPr="00B36586">
        <w:rPr>
          <w:color w:val="000000"/>
          <w:lang w:eastAsia="en-GB"/>
        </w:rPr>
        <w:t>ombining</w:t>
      </w:r>
      <w:r w:rsidRPr="00B36586">
        <w:rPr>
          <w:color w:val="000000"/>
          <w:lang w:eastAsia="en-GB"/>
        </w:rPr>
        <w:t xml:space="preserve"> short</w:t>
      </w:r>
      <w:r w:rsidR="000A3B17">
        <w:rPr>
          <w:color w:val="000000"/>
          <w:lang w:eastAsia="en-GB"/>
        </w:rPr>
        <w:t>-</w:t>
      </w:r>
      <w:r w:rsidRPr="00B36586">
        <w:rPr>
          <w:color w:val="000000"/>
          <w:lang w:eastAsia="en-GB"/>
        </w:rPr>
        <w:t>read</w:t>
      </w:r>
      <w:r w:rsidR="00E11D5A" w:rsidRPr="00B36586">
        <w:rPr>
          <w:color w:val="000000"/>
          <w:lang w:eastAsia="en-GB"/>
        </w:rPr>
        <w:t xml:space="preserve"> Illumina s</w:t>
      </w:r>
      <w:r w:rsidR="00380BD4" w:rsidRPr="00B36586">
        <w:rPr>
          <w:color w:val="000000"/>
          <w:lang w:eastAsia="en-GB"/>
        </w:rPr>
        <w:t>e</w:t>
      </w:r>
      <w:r w:rsidR="00E11D5A" w:rsidRPr="00B36586">
        <w:rPr>
          <w:color w:val="000000"/>
          <w:lang w:eastAsia="en-GB"/>
        </w:rPr>
        <w:t xml:space="preserve">quencing with </w:t>
      </w:r>
      <w:r w:rsidRPr="00B36586">
        <w:rPr>
          <w:color w:val="000000"/>
          <w:lang w:eastAsia="en-GB"/>
        </w:rPr>
        <w:t xml:space="preserve">different </w:t>
      </w:r>
      <w:r w:rsidR="00E11D5A" w:rsidRPr="00B36586">
        <w:rPr>
          <w:color w:val="000000"/>
          <w:lang w:eastAsia="en-GB"/>
        </w:rPr>
        <w:t>long</w:t>
      </w:r>
      <w:r w:rsidR="00BF40E3">
        <w:rPr>
          <w:color w:val="000000"/>
          <w:lang w:eastAsia="en-GB"/>
        </w:rPr>
        <w:t>-</w:t>
      </w:r>
      <w:r w:rsidR="00E11D5A" w:rsidRPr="00B36586">
        <w:rPr>
          <w:color w:val="000000"/>
          <w:lang w:eastAsia="en-GB"/>
        </w:rPr>
        <w:t>read s</w:t>
      </w:r>
      <w:r w:rsidR="00380BD4" w:rsidRPr="00B36586">
        <w:rPr>
          <w:color w:val="000000"/>
          <w:lang w:eastAsia="en-GB"/>
        </w:rPr>
        <w:t>e</w:t>
      </w:r>
      <w:r w:rsidR="00E11D5A" w:rsidRPr="00B36586">
        <w:rPr>
          <w:color w:val="000000"/>
          <w:lang w:eastAsia="en-GB"/>
        </w:rPr>
        <w:t xml:space="preserve">quencing </w:t>
      </w:r>
      <w:r w:rsidR="00380BD4" w:rsidRPr="00B36586">
        <w:rPr>
          <w:color w:val="000000"/>
          <w:lang w:eastAsia="en-GB"/>
        </w:rPr>
        <w:t>t</w:t>
      </w:r>
      <w:r w:rsidR="00E11D5A" w:rsidRPr="00B36586">
        <w:rPr>
          <w:color w:val="000000"/>
          <w:lang w:eastAsia="en-GB"/>
        </w:rPr>
        <w:t>echnologies</w:t>
      </w:r>
      <w:r w:rsidR="00B607EC" w:rsidRPr="00B36586">
        <w:rPr>
          <w:color w:val="000000"/>
          <w:lang w:eastAsia="en-GB"/>
        </w:rPr>
        <w:t xml:space="preserve"> and using Unicycler, a publicly available and widely-used hybrid assembly tool</w:t>
      </w:r>
      <w:r w:rsidR="00E11D5A" w:rsidRPr="00B36586">
        <w:rPr>
          <w:color w:val="000000"/>
          <w:lang w:eastAsia="en-GB"/>
        </w:rPr>
        <w:t xml:space="preserve">, we </w:t>
      </w:r>
      <w:r w:rsidRPr="00B36586">
        <w:rPr>
          <w:color w:val="000000"/>
          <w:lang w:eastAsia="en-GB"/>
        </w:rPr>
        <w:t xml:space="preserve">found </w:t>
      </w:r>
      <w:r w:rsidR="00E11D5A" w:rsidRPr="00B36586">
        <w:rPr>
          <w:color w:val="000000"/>
          <w:lang w:eastAsia="en-GB"/>
        </w:rPr>
        <w:t>that ONT</w:t>
      </w:r>
      <w:r w:rsidR="003863B9" w:rsidRPr="00B36586">
        <w:rPr>
          <w:color w:val="000000"/>
          <w:lang w:eastAsia="en-GB"/>
        </w:rPr>
        <w:t>+</w:t>
      </w:r>
      <w:r w:rsidR="00B607EC" w:rsidRPr="00B36586">
        <w:rPr>
          <w:color w:val="000000"/>
          <w:lang w:eastAsia="en-GB"/>
        </w:rPr>
        <w:t xml:space="preserve">Illumina </w:t>
      </w:r>
      <w:r w:rsidR="00E11D5A" w:rsidRPr="00B36586">
        <w:rPr>
          <w:color w:val="000000"/>
          <w:lang w:eastAsia="en-GB"/>
        </w:rPr>
        <w:t>hybrid</w:t>
      </w:r>
      <w:r w:rsidR="005B42BC" w:rsidRPr="00B36586">
        <w:rPr>
          <w:color w:val="000000"/>
          <w:lang w:eastAsia="en-GB"/>
        </w:rPr>
        <w:t xml:space="preserve"> assembly</w:t>
      </w:r>
      <w:r w:rsidR="00B607EC" w:rsidRPr="00B36586">
        <w:rPr>
          <w:color w:val="000000"/>
          <w:lang w:eastAsia="en-GB"/>
        </w:rPr>
        <w:t xml:space="preserve"> generally</w:t>
      </w:r>
      <w:r w:rsidR="00E11D5A" w:rsidRPr="00B36586">
        <w:rPr>
          <w:color w:val="000000"/>
          <w:lang w:eastAsia="en-GB"/>
        </w:rPr>
        <w:t xml:space="preserve"> </w:t>
      </w:r>
      <w:r w:rsidR="00B607EC" w:rsidRPr="00B36586">
        <w:rPr>
          <w:color w:val="000000"/>
          <w:lang w:eastAsia="en-GB"/>
        </w:rPr>
        <w:t>facilitates the</w:t>
      </w:r>
      <w:r w:rsidR="005B42BC" w:rsidRPr="00B36586">
        <w:rPr>
          <w:color w:val="000000"/>
          <w:lang w:eastAsia="en-GB"/>
        </w:rPr>
        <w:t xml:space="preserve"> complete assembly of </w:t>
      </w:r>
      <w:r w:rsidR="00B607EC" w:rsidRPr="00B36586">
        <w:rPr>
          <w:color w:val="000000"/>
          <w:lang w:eastAsia="en-GB"/>
        </w:rPr>
        <w:t xml:space="preserve">complex </w:t>
      </w:r>
      <w:r w:rsidR="005B42BC" w:rsidRPr="00B36586">
        <w:rPr>
          <w:color w:val="000000"/>
          <w:lang w:eastAsia="en-GB"/>
        </w:rPr>
        <w:t>bacterial genomes</w:t>
      </w:r>
      <w:r w:rsidRPr="00B36586">
        <w:rPr>
          <w:color w:val="000000"/>
          <w:lang w:eastAsia="en-GB"/>
        </w:rPr>
        <w:t xml:space="preserve"> without additional manual steps</w:t>
      </w:r>
      <w:r w:rsidR="005B42BC" w:rsidRPr="00B36586">
        <w:rPr>
          <w:color w:val="000000"/>
          <w:lang w:eastAsia="en-GB"/>
        </w:rPr>
        <w:t xml:space="preserve">. </w:t>
      </w:r>
      <w:r w:rsidR="002E337E" w:rsidRPr="00B36586">
        <w:rPr>
          <w:color w:val="000000"/>
          <w:lang w:eastAsia="en-GB"/>
        </w:rPr>
        <w:t xml:space="preserve">Our data </w:t>
      </w:r>
      <w:r w:rsidRPr="00B36586">
        <w:rPr>
          <w:color w:val="000000"/>
          <w:lang w:eastAsia="en-GB"/>
        </w:rPr>
        <w:t xml:space="preserve">thus </w:t>
      </w:r>
      <w:r w:rsidR="002E337E" w:rsidRPr="00B36586">
        <w:rPr>
          <w:color w:val="000000"/>
          <w:lang w:eastAsia="en-GB"/>
        </w:rPr>
        <w:t>support</w:t>
      </w:r>
      <w:r w:rsidR="005B42BC" w:rsidRPr="00B36586">
        <w:rPr>
          <w:color w:val="000000"/>
          <w:lang w:eastAsia="en-GB"/>
        </w:rPr>
        <w:t xml:space="preserve"> ONT</w:t>
      </w:r>
      <w:r w:rsidR="003863B9" w:rsidRPr="00B36586">
        <w:rPr>
          <w:color w:val="000000"/>
          <w:lang w:eastAsia="en-GB"/>
        </w:rPr>
        <w:t>+</w:t>
      </w:r>
      <w:r w:rsidR="00B607EC" w:rsidRPr="00B36586">
        <w:rPr>
          <w:color w:val="000000"/>
          <w:lang w:eastAsia="en-GB"/>
        </w:rPr>
        <w:t>Illumina</w:t>
      </w:r>
      <w:r w:rsidR="005B42BC" w:rsidRPr="00B36586">
        <w:rPr>
          <w:color w:val="000000"/>
          <w:lang w:eastAsia="en-GB"/>
        </w:rPr>
        <w:t xml:space="preserve"> sequencing </w:t>
      </w:r>
      <w:r w:rsidR="002E337E" w:rsidRPr="00B36586">
        <w:rPr>
          <w:color w:val="000000"/>
          <w:lang w:eastAsia="en-GB"/>
        </w:rPr>
        <w:t xml:space="preserve">as </w:t>
      </w:r>
      <w:r w:rsidR="00EA4722" w:rsidRPr="00B36586">
        <w:rPr>
          <w:color w:val="000000"/>
          <w:lang w:eastAsia="en-GB"/>
        </w:rPr>
        <w:t>a non-inferior</w:t>
      </w:r>
      <w:r w:rsidR="005B42BC" w:rsidRPr="00B36586">
        <w:rPr>
          <w:color w:val="000000"/>
          <w:lang w:eastAsia="en-GB"/>
        </w:rPr>
        <w:t xml:space="preserve"> bacterial genome </w:t>
      </w:r>
      <w:r w:rsidR="00EA4722" w:rsidRPr="00B36586">
        <w:rPr>
          <w:color w:val="000000"/>
          <w:lang w:eastAsia="en-GB"/>
        </w:rPr>
        <w:t xml:space="preserve">hybrid </w:t>
      </w:r>
      <w:r w:rsidR="005B42BC" w:rsidRPr="00B36586">
        <w:rPr>
          <w:color w:val="000000"/>
          <w:lang w:eastAsia="en-GB"/>
        </w:rPr>
        <w:t xml:space="preserve">assembly </w:t>
      </w:r>
      <w:r w:rsidR="00EA4722" w:rsidRPr="00B36586">
        <w:rPr>
          <w:color w:val="000000"/>
          <w:lang w:eastAsia="en-GB"/>
        </w:rPr>
        <w:t xml:space="preserve">approach </w:t>
      </w:r>
      <w:r w:rsidR="002E337E" w:rsidRPr="00B36586">
        <w:rPr>
          <w:color w:val="000000"/>
          <w:lang w:eastAsia="en-GB"/>
        </w:rPr>
        <w:t xml:space="preserve">compared with </w:t>
      </w:r>
      <w:r w:rsidR="005B42BC" w:rsidRPr="00B36586">
        <w:rPr>
          <w:color w:val="000000"/>
          <w:lang w:eastAsia="en-GB"/>
        </w:rPr>
        <w:t>PacBio</w:t>
      </w:r>
      <w:r w:rsidR="003863B9" w:rsidRPr="00B36586">
        <w:rPr>
          <w:color w:val="000000"/>
          <w:lang w:eastAsia="en-GB"/>
        </w:rPr>
        <w:t>+</w:t>
      </w:r>
      <w:r w:rsidR="00B607EC" w:rsidRPr="00B36586">
        <w:rPr>
          <w:color w:val="000000"/>
          <w:lang w:eastAsia="en-GB"/>
        </w:rPr>
        <w:t>Illumina</w:t>
      </w:r>
      <w:r w:rsidR="005B42BC" w:rsidRPr="00B36586">
        <w:rPr>
          <w:color w:val="000000"/>
          <w:lang w:eastAsia="en-GB"/>
        </w:rPr>
        <w:t xml:space="preserve">, </w:t>
      </w:r>
      <w:r w:rsidR="00A51A3E" w:rsidRPr="00B36586">
        <w:rPr>
          <w:color w:val="000000"/>
          <w:lang w:eastAsia="en-GB"/>
        </w:rPr>
        <w:t xml:space="preserve">leading to more complete </w:t>
      </w:r>
      <w:r w:rsidR="00BD6660" w:rsidRPr="00B36586">
        <w:rPr>
          <w:color w:val="000000"/>
          <w:lang w:eastAsia="en-GB"/>
        </w:rPr>
        <w:t>assemblies, and to</w:t>
      </w:r>
      <w:r w:rsidR="00A51A3E" w:rsidRPr="00B36586">
        <w:rPr>
          <w:color w:val="000000"/>
          <w:lang w:eastAsia="en-GB"/>
        </w:rPr>
        <w:t xml:space="preserve"> significa</w:t>
      </w:r>
      <w:r w:rsidR="002E337E" w:rsidRPr="00B36586">
        <w:rPr>
          <w:color w:val="000000"/>
          <w:lang w:eastAsia="en-GB"/>
        </w:rPr>
        <w:t>n</w:t>
      </w:r>
      <w:r w:rsidR="00A51A3E" w:rsidRPr="00B36586">
        <w:rPr>
          <w:color w:val="000000"/>
          <w:lang w:eastAsia="en-GB"/>
        </w:rPr>
        <w:t>tly lower cost</w:t>
      </w:r>
      <w:r w:rsidR="00BD6660" w:rsidRPr="00B36586">
        <w:rPr>
          <w:color w:val="000000"/>
          <w:lang w:eastAsia="en-GB"/>
        </w:rPr>
        <w:t>s</w:t>
      </w:r>
      <w:r w:rsidR="00B607EC" w:rsidRPr="00B36586">
        <w:rPr>
          <w:color w:val="000000"/>
          <w:lang w:eastAsia="en-GB"/>
        </w:rPr>
        <w:t xml:space="preserve"> per isolate</w:t>
      </w:r>
      <w:r w:rsidR="00BD6660" w:rsidRPr="00B36586">
        <w:rPr>
          <w:color w:val="000000"/>
          <w:lang w:eastAsia="en-GB"/>
        </w:rPr>
        <w:t xml:space="preserve"> if multiplexed.</w:t>
      </w:r>
      <w:r w:rsidR="00BF1894">
        <w:rPr>
          <w:color w:val="000000"/>
          <w:lang w:eastAsia="en-GB"/>
        </w:rPr>
        <w:t xml:space="preserve"> </w:t>
      </w:r>
    </w:p>
    <w:p w14:paraId="1168F45B" w14:textId="760301C6" w:rsidR="002E4340" w:rsidRDefault="002E337E" w:rsidP="002E4340">
      <w:pPr>
        <w:spacing w:after="120"/>
        <w:jc w:val="both"/>
        <w:rPr>
          <w:color w:val="000000"/>
          <w:lang w:eastAsia="en-GB"/>
        </w:rPr>
      </w:pPr>
      <w:r w:rsidRPr="00B36586">
        <w:rPr>
          <w:color w:val="000000"/>
          <w:lang w:eastAsia="en-GB"/>
        </w:rPr>
        <w:t>W</w:t>
      </w:r>
      <w:r w:rsidR="005D16B8" w:rsidRPr="00B36586">
        <w:rPr>
          <w:color w:val="000000"/>
          <w:lang w:eastAsia="en-GB"/>
        </w:rPr>
        <w:t xml:space="preserve">e </w:t>
      </w:r>
      <w:r w:rsidRPr="00B36586">
        <w:rPr>
          <w:color w:val="000000"/>
          <w:lang w:eastAsia="en-GB"/>
        </w:rPr>
        <w:t xml:space="preserve">also </w:t>
      </w:r>
      <w:r w:rsidR="005D16B8" w:rsidRPr="00B36586">
        <w:rPr>
          <w:color w:val="000000"/>
          <w:lang w:eastAsia="en-GB"/>
        </w:rPr>
        <w:t>investigated the impact of different long</w:t>
      </w:r>
      <w:r w:rsidR="00C73D45" w:rsidRPr="00B36586">
        <w:rPr>
          <w:color w:val="000000"/>
          <w:lang w:eastAsia="en-GB"/>
        </w:rPr>
        <w:t>-</w:t>
      </w:r>
      <w:r w:rsidR="005D16B8" w:rsidRPr="00B36586">
        <w:rPr>
          <w:color w:val="000000"/>
          <w:lang w:eastAsia="en-GB"/>
        </w:rPr>
        <w:t>read processing strategies</w:t>
      </w:r>
      <w:r w:rsidRPr="00B36586">
        <w:rPr>
          <w:color w:val="000000"/>
          <w:lang w:eastAsia="en-GB"/>
        </w:rPr>
        <w:t xml:space="preserve"> on assembly quality</w:t>
      </w:r>
      <w:r w:rsidR="00AB38FD" w:rsidRPr="00B36586">
        <w:rPr>
          <w:color w:val="000000"/>
          <w:lang w:eastAsia="en-GB"/>
        </w:rPr>
        <w:t xml:space="preserve"> and found that different strategies can result in more complete assemblies</w:t>
      </w:r>
      <w:r w:rsidR="005D16B8" w:rsidRPr="00B36586">
        <w:rPr>
          <w:color w:val="000000"/>
          <w:lang w:eastAsia="en-GB"/>
        </w:rPr>
        <w:t>. We showed that quality-based filtration and correction of</w:t>
      </w:r>
      <w:r w:rsidR="00327C88" w:rsidRPr="00B36586">
        <w:rPr>
          <w:color w:val="000000"/>
          <w:lang w:eastAsia="en-GB"/>
        </w:rPr>
        <w:t xml:space="preserve"> </w:t>
      </w:r>
      <w:r w:rsidR="005D16B8" w:rsidRPr="00B36586">
        <w:rPr>
          <w:color w:val="000000"/>
          <w:lang w:eastAsia="en-GB"/>
        </w:rPr>
        <w:t>long</w:t>
      </w:r>
      <w:r w:rsidR="004B4D9B">
        <w:rPr>
          <w:color w:val="000000"/>
          <w:lang w:eastAsia="en-GB"/>
        </w:rPr>
        <w:t xml:space="preserve"> </w:t>
      </w:r>
      <w:r w:rsidR="005D16B8" w:rsidRPr="00B36586">
        <w:rPr>
          <w:color w:val="000000"/>
          <w:lang w:eastAsia="en-GB"/>
        </w:rPr>
        <w:t xml:space="preserve">reads can </w:t>
      </w:r>
      <w:r w:rsidR="003863B9" w:rsidRPr="00B36586">
        <w:rPr>
          <w:color w:val="000000"/>
          <w:lang w:eastAsia="en-GB"/>
        </w:rPr>
        <w:t xml:space="preserve">apparently paradoxically </w:t>
      </w:r>
      <w:r w:rsidR="005D16B8" w:rsidRPr="00B36586">
        <w:rPr>
          <w:color w:val="000000"/>
          <w:lang w:eastAsia="en-GB"/>
        </w:rPr>
        <w:t xml:space="preserve">result in worse performance than </w:t>
      </w:r>
      <w:r w:rsidR="00C73D45" w:rsidRPr="00B36586">
        <w:rPr>
          <w:color w:val="000000"/>
          <w:lang w:eastAsia="en-GB"/>
        </w:rPr>
        <w:t xml:space="preserve">just </w:t>
      </w:r>
      <w:r w:rsidR="00A41BC1" w:rsidRPr="00B36586">
        <w:rPr>
          <w:color w:val="000000"/>
          <w:lang w:eastAsia="en-GB"/>
        </w:rPr>
        <w:t xml:space="preserve">using </w:t>
      </w:r>
      <w:r w:rsidR="005D16B8" w:rsidRPr="00B36586">
        <w:rPr>
          <w:color w:val="000000"/>
          <w:lang w:eastAsia="en-GB"/>
        </w:rPr>
        <w:t xml:space="preserve">unfiltered and uncorrected reads. </w:t>
      </w:r>
      <w:r w:rsidR="00A41BC1" w:rsidRPr="00B36586">
        <w:rPr>
          <w:color w:val="000000"/>
          <w:lang w:eastAsia="en-GB"/>
        </w:rPr>
        <w:t>There is no obvious</w:t>
      </w:r>
      <w:r w:rsidR="00327C88" w:rsidRPr="00B36586">
        <w:rPr>
          <w:color w:val="000000"/>
          <w:lang w:eastAsia="en-GB"/>
        </w:rPr>
        <w:t xml:space="preserve"> explanation f</w:t>
      </w:r>
      <w:r w:rsidR="00A41BC1" w:rsidRPr="00B36586">
        <w:rPr>
          <w:color w:val="000000"/>
          <w:lang w:eastAsia="en-GB"/>
        </w:rPr>
        <w:t>or</w:t>
      </w:r>
      <w:r w:rsidR="00327C88" w:rsidRPr="00B36586">
        <w:rPr>
          <w:color w:val="000000"/>
          <w:lang w:eastAsia="en-GB"/>
        </w:rPr>
        <w:t xml:space="preserve"> this</w:t>
      </w:r>
      <w:r w:rsidR="00AB14AB" w:rsidRPr="00B36586">
        <w:rPr>
          <w:color w:val="000000"/>
          <w:lang w:eastAsia="en-GB"/>
        </w:rPr>
        <w:t>;</w:t>
      </w:r>
      <w:r w:rsidR="00327C88" w:rsidRPr="00B36586">
        <w:rPr>
          <w:color w:val="000000"/>
          <w:lang w:eastAsia="en-GB"/>
        </w:rPr>
        <w:t xml:space="preserve"> we </w:t>
      </w:r>
      <w:r w:rsidR="00A41BC1" w:rsidRPr="00B36586">
        <w:rPr>
          <w:color w:val="000000"/>
          <w:lang w:eastAsia="en-GB"/>
        </w:rPr>
        <w:t xml:space="preserve">speculate </w:t>
      </w:r>
      <w:r w:rsidR="00327C88" w:rsidRPr="00B36586">
        <w:rPr>
          <w:color w:val="000000"/>
          <w:lang w:eastAsia="en-GB"/>
        </w:rPr>
        <w:t>that preferential removal of long</w:t>
      </w:r>
      <w:r w:rsidR="004B4D9B">
        <w:rPr>
          <w:color w:val="000000"/>
          <w:lang w:eastAsia="en-GB"/>
        </w:rPr>
        <w:t xml:space="preserve"> </w:t>
      </w:r>
      <w:r w:rsidR="00327C88" w:rsidRPr="00B36586">
        <w:rPr>
          <w:color w:val="000000"/>
          <w:lang w:eastAsia="en-GB"/>
        </w:rPr>
        <w:t>reads from</w:t>
      </w:r>
      <w:r w:rsidR="005D16B8" w:rsidRPr="00B36586">
        <w:rPr>
          <w:color w:val="000000"/>
          <w:lang w:eastAsia="en-GB"/>
        </w:rPr>
        <w:t xml:space="preserve"> </w:t>
      </w:r>
      <w:r w:rsidR="0030177F" w:rsidRPr="00B36586">
        <w:rPr>
          <w:color w:val="000000"/>
          <w:lang w:eastAsia="en-GB"/>
        </w:rPr>
        <w:t>hard-to-</w:t>
      </w:r>
      <w:r w:rsidR="005D16B8" w:rsidRPr="00B36586">
        <w:rPr>
          <w:color w:val="000000"/>
          <w:lang w:eastAsia="en-GB"/>
        </w:rPr>
        <w:lastRenderedPageBreak/>
        <w:t>sequence</w:t>
      </w:r>
      <w:r w:rsidR="0030177F" w:rsidRPr="00B36586">
        <w:rPr>
          <w:color w:val="000000"/>
          <w:lang w:eastAsia="en-GB"/>
        </w:rPr>
        <w:t xml:space="preserve"> regions</w:t>
      </w:r>
      <w:r w:rsidR="00327C88" w:rsidRPr="00B36586">
        <w:rPr>
          <w:color w:val="000000"/>
          <w:lang w:eastAsia="en-GB"/>
        </w:rPr>
        <w:t xml:space="preserve"> might be a contributing factor</w:t>
      </w:r>
      <w:r w:rsidR="00AB14AB" w:rsidRPr="00B36586">
        <w:rPr>
          <w:color w:val="000000"/>
          <w:lang w:eastAsia="en-GB"/>
        </w:rPr>
        <w:t xml:space="preserve">, </w:t>
      </w:r>
      <w:r w:rsidR="00720B72">
        <w:rPr>
          <w:color w:val="000000"/>
          <w:lang w:eastAsia="en-GB"/>
        </w:rPr>
        <w:t xml:space="preserve">but </w:t>
      </w:r>
      <w:r w:rsidR="00AB14AB" w:rsidRPr="00B36586">
        <w:rPr>
          <w:color w:val="000000"/>
          <w:lang w:eastAsia="en-GB"/>
        </w:rPr>
        <w:t>we</w:t>
      </w:r>
      <w:r w:rsidR="00BB40A0" w:rsidRPr="00B36586">
        <w:rPr>
          <w:color w:val="000000"/>
          <w:lang w:eastAsia="en-GB"/>
        </w:rPr>
        <w:t xml:space="preserve"> have been unable to establish if this is the case</w:t>
      </w:r>
      <w:r w:rsidR="005D16B8" w:rsidRPr="00B36586">
        <w:rPr>
          <w:color w:val="000000"/>
          <w:lang w:eastAsia="en-GB"/>
        </w:rPr>
        <w:t>. We propose a different strategy to reduce the computational burden of hybrid assembly</w:t>
      </w:r>
      <w:r w:rsidR="002E565F" w:rsidRPr="00B36586">
        <w:rPr>
          <w:color w:val="000000"/>
          <w:lang w:eastAsia="en-GB"/>
        </w:rPr>
        <w:t xml:space="preserve"> without affecting the final outcome</w:t>
      </w:r>
      <w:r w:rsidR="00D52AD7">
        <w:rPr>
          <w:color w:val="000000"/>
          <w:lang w:eastAsia="en-GB"/>
        </w:rPr>
        <w:t xml:space="preserve">: </w:t>
      </w:r>
      <w:r w:rsidR="005D16B8" w:rsidRPr="00B36586">
        <w:rPr>
          <w:color w:val="000000"/>
          <w:lang w:eastAsia="en-GB"/>
        </w:rPr>
        <w:t>randomly sub</w:t>
      </w:r>
      <w:r w:rsidR="00C73D45" w:rsidRPr="00B36586">
        <w:rPr>
          <w:color w:val="000000"/>
          <w:lang w:eastAsia="en-GB"/>
        </w:rPr>
        <w:t>-</w:t>
      </w:r>
      <w:r w:rsidR="005D16B8" w:rsidRPr="00B36586">
        <w:rPr>
          <w:color w:val="000000"/>
          <w:lang w:eastAsia="en-GB"/>
        </w:rPr>
        <w:t>sampling long</w:t>
      </w:r>
      <w:r w:rsidR="004B4D9B">
        <w:rPr>
          <w:color w:val="000000"/>
          <w:lang w:eastAsia="en-GB"/>
        </w:rPr>
        <w:t xml:space="preserve"> </w:t>
      </w:r>
      <w:r w:rsidR="005D16B8" w:rsidRPr="00B36586">
        <w:rPr>
          <w:color w:val="000000"/>
          <w:lang w:eastAsia="en-GB"/>
        </w:rPr>
        <w:t xml:space="preserve">reads down to a </w:t>
      </w:r>
      <w:r w:rsidR="003863B9" w:rsidRPr="00B36586">
        <w:rPr>
          <w:color w:val="000000"/>
          <w:lang w:eastAsia="en-GB"/>
        </w:rPr>
        <w:t>desired</w:t>
      </w:r>
      <w:r w:rsidR="005D16B8" w:rsidRPr="00B36586">
        <w:rPr>
          <w:color w:val="000000"/>
          <w:lang w:eastAsia="en-GB"/>
        </w:rPr>
        <w:t xml:space="preserve"> level of coverage. We </w:t>
      </w:r>
      <w:r w:rsidR="009E79AD" w:rsidRPr="00B36586">
        <w:rPr>
          <w:color w:val="000000"/>
          <w:lang w:eastAsia="en-GB"/>
        </w:rPr>
        <w:t>demonstrate</w:t>
      </w:r>
      <w:r w:rsidR="003863B9" w:rsidRPr="00B36586">
        <w:rPr>
          <w:color w:val="000000"/>
          <w:lang w:eastAsia="en-GB"/>
        </w:rPr>
        <w:t>d</w:t>
      </w:r>
      <w:r w:rsidR="009E79AD" w:rsidRPr="00B36586">
        <w:rPr>
          <w:color w:val="000000"/>
          <w:lang w:eastAsia="en-GB"/>
        </w:rPr>
        <w:t xml:space="preserve"> </w:t>
      </w:r>
      <w:r w:rsidR="005D16B8" w:rsidRPr="00B36586">
        <w:rPr>
          <w:color w:val="000000"/>
          <w:lang w:eastAsia="en-GB"/>
        </w:rPr>
        <w:t>that this strategy</w:t>
      </w:r>
      <w:r w:rsidR="00481C47" w:rsidRPr="00B36586">
        <w:rPr>
          <w:color w:val="000000"/>
          <w:lang w:eastAsia="en-GB"/>
        </w:rPr>
        <w:t xml:space="preserve"> generally </w:t>
      </w:r>
      <w:r w:rsidR="008B5094" w:rsidRPr="00B36586">
        <w:rPr>
          <w:color w:val="000000"/>
          <w:lang w:eastAsia="en-GB"/>
        </w:rPr>
        <w:t>results</w:t>
      </w:r>
      <w:r w:rsidR="00481C47" w:rsidRPr="00B36586">
        <w:rPr>
          <w:color w:val="000000"/>
          <w:lang w:eastAsia="en-GB"/>
        </w:rPr>
        <w:t xml:space="preserve"> in better assemblies</w:t>
      </w:r>
      <w:r w:rsidR="003863B9" w:rsidRPr="00B36586">
        <w:rPr>
          <w:color w:val="000000"/>
          <w:lang w:eastAsia="en-GB"/>
        </w:rPr>
        <w:t xml:space="preserve"> for </w:t>
      </w:r>
      <w:r w:rsidR="0030177F" w:rsidRPr="00B36586">
        <w:rPr>
          <w:color w:val="000000"/>
          <w:lang w:eastAsia="en-GB"/>
        </w:rPr>
        <w:t>ONT sequencing</w:t>
      </w:r>
      <w:r w:rsidR="003863B9" w:rsidRPr="00B36586">
        <w:rPr>
          <w:color w:val="000000"/>
          <w:lang w:eastAsia="en-GB"/>
        </w:rPr>
        <w:t xml:space="preserve"> data</w:t>
      </w:r>
      <w:r w:rsidR="005D16B8" w:rsidRPr="00B36586">
        <w:rPr>
          <w:color w:val="000000"/>
          <w:lang w:eastAsia="en-GB"/>
        </w:rPr>
        <w:t>.</w:t>
      </w:r>
      <w:r w:rsidR="00AB38FD" w:rsidRPr="00B36586">
        <w:rPr>
          <w:color w:val="000000"/>
          <w:lang w:eastAsia="en-GB"/>
        </w:rPr>
        <w:t xml:space="preserve"> </w:t>
      </w:r>
    </w:p>
    <w:p w14:paraId="26235712" w14:textId="2D1FF74D" w:rsidR="00A45E86" w:rsidRDefault="00A45E86" w:rsidP="002E4340">
      <w:pPr>
        <w:spacing w:after="120"/>
        <w:jc w:val="both"/>
        <w:rPr>
          <w:color w:val="000000"/>
          <w:lang w:eastAsia="en-GB"/>
        </w:rPr>
      </w:pPr>
      <w:r>
        <w:rPr>
          <w:color w:val="000000"/>
          <w:lang w:eastAsia="en-GB"/>
        </w:rPr>
        <w:t xml:space="preserve">PacBio+Illumina hybrid assembly has the advantage </w:t>
      </w:r>
      <w:r w:rsidR="00B05DA3">
        <w:rPr>
          <w:color w:val="000000"/>
          <w:lang w:eastAsia="en-GB"/>
        </w:rPr>
        <w:t xml:space="preserve">that it recovers small plasmids </w:t>
      </w:r>
      <w:r w:rsidR="009A4E3A">
        <w:rPr>
          <w:color w:val="000000"/>
          <w:lang w:eastAsia="en-GB"/>
        </w:rPr>
        <w:t>(&lt;10</w:t>
      </w:r>
      <w:r w:rsidR="00D52AD7">
        <w:rPr>
          <w:color w:val="000000"/>
          <w:lang w:eastAsia="en-GB"/>
        </w:rPr>
        <w:t xml:space="preserve"> </w:t>
      </w:r>
      <w:r w:rsidR="009A4E3A">
        <w:rPr>
          <w:color w:val="000000"/>
          <w:lang w:eastAsia="en-GB"/>
        </w:rPr>
        <w:t xml:space="preserve">kb) </w:t>
      </w:r>
      <w:r w:rsidR="00B05DA3">
        <w:rPr>
          <w:color w:val="000000"/>
          <w:lang w:eastAsia="en-GB"/>
        </w:rPr>
        <w:t xml:space="preserve">missed by </w:t>
      </w:r>
      <w:r>
        <w:rPr>
          <w:color w:val="000000"/>
          <w:lang w:eastAsia="en-GB"/>
        </w:rPr>
        <w:t xml:space="preserve">PacBio-only assembly </w:t>
      </w:r>
      <w:r w:rsidR="00DC7608">
        <w:rPr>
          <w:color w:val="000000"/>
          <w:lang w:eastAsia="en-GB"/>
        </w:rPr>
        <w:t xml:space="preserve">followed by Illumina polishing. </w:t>
      </w:r>
      <w:r w:rsidR="00BD35BA">
        <w:rPr>
          <w:color w:val="000000"/>
          <w:lang w:eastAsia="en-GB"/>
        </w:rPr>
        <w:t xml:space="preserve">This is almost certainly due to the </w:t>
      </w:r>
      <w:r w:rsidR="00D512C5">
        <w:rPr>
          <w:color w:val="000000"/>
          <w:lang w:eastAsia="en-GB"/>
        </w:rPr>
        <w:t xml:space="preserve">standard </w:t>
      </w:r>
      <w:r w:rsidR="00BD35BA">
        <w:rPr>
          <w:color w:val="000000"/>
          <w:lang w:eastAsia="en-GB"/>
        </w:rPr>
        <w:t xml:space="preserve">size selection step </w:t>
      </w:r>
      <w:r w:rsidR="00D512C5">
        <w:rPr>
          <w:color w:val="000000"/>
          <w:lang w:eastAsia="en-GB"/>
        </w:rPr>
        <w:t>(</w:t>
      </w:r>
      <w:r w:rsidR="00BD35BA">
        <w:rPr>
          <w:color w:val="000000"/>
          <w:lang w:eastAsia="en-GB"/>
        </w:rPr>
        <w:t xml:space="preserve">as recommended by </w:t>
      </w:r>
      <w:r w:rsidR="00E00D20">
        <w:rPr>
          <w:color w:val="000000"/>
          <w:lang w:eastAsia="en-GB"/>
        </w:rPr>
        <w:t>PacBio</w:t>
      </w:r>
      <w:r w:rsidR="00D512C5">
        <w:rPr>
          <w:color w:val="000000"/>
          <w:lang w:eastAsia="en-GB"/>
        </w:rPr>
        <w:t>, see Methods) which shears reads to a</w:t>
      </w:r>
      <w:r w:rsidR="00847A93">
        <w:rPr>
          <w:color w:val="000000"/>
          <w:lang w:eastAsia="en-GB"/>
        </w:rPr>
        <w:t xml:space="preserve"> mean </w:t>
      </w:r>
      <w:r w:rsidR="00D512C5">
        <w:rPr>
          <w:color w:val="000000"/>
          <w:lang w:eastAsia="en-GB"/>
        </w:rPr>
        <w:t>length of 15</w:t>
      </w:r>
      <w:r w:rsidR="00D52AD7">
        <w:rPr>
          <w:color w:val="000000"/>
          <w:lang w:eastAsia="en-GB"/>
        </w:rPr>
        <w:t xml:space="preserve"> </w:t>
      </w:r>
      <w:r w:rsidR="00D512C5">
        <w:rPr>
          <w:color w:val="000000"/>
          <w:lang w:eastAsia="en-GB"/>
        </w:rPr>
        <w:t>kb</w:t>
      </w:r>
      <w:r w:rsidR="00657FC2">
        <w:rPr>
          <w:color w:val="000000"/>
          <w:lang w:eastAsia="en-GB"/>
        </w:rPr>
        <w:t>, then enriches for reads &gt;15</w:t>
      </w:r>
      <w:r w:rsidR="00D52AD7">
        <w:rPr>
          <w:color w:val="000000"/>
          <w:lang w:eastAsia="en-GB"/>
        </w:rPr>
        <w:t xml:space="preserve"> </w:t>
      </w:r>
      <w:r w:rsidR="00657FC2">
        <w:rPr>
          <w:color w:val="000000"/>
          <w:lang w:eastAsia="en-GB"/>
        </w:rPr>
        <w:t xml:space="preserve">kb. </w:t>
      </w:r>
      <w:r w:rsidR="00FF5ACD">
        <w:rPr>
          <w:color w:val="000000"/>
          <w:lang w:eastAsia="en-GB"/>
        </w:rPr>
        <w:t>With only PacBio reads, t</w:t>
      </w:r>
      <w:r w:rsidR="00787F14">
        <w:rPr>
          <w:color w:val="000000"/>
          <w:lang w:eastAsia="en-GB"/>
        </w:rPr>
        <w:t xml:space="preserve">here may </w:t>
      </w:r>
      <w:r w:rsidR="007D4902">
        <w:rPr>
          <w:color w:val="000000"/>
          <w:lang w:eastAsia="en-GB"/>
        </w:rPr>
        <w:t xml:space="preserve">therefore </w:t>
      </w:r>
      <w:r w:rsidR="00787F14">
        <w:rPr>
          <w:color w:val="000000"/>
          <w:lang w:eastAsia="en-GB"/>
        </w:rPr>
        <w:t xml:space="preserve">be a tradeoff </w:t>
      </w:r>
      <w:r w:rsidR="00AB6BCC">
        <w:rPr>
          <w:color w:val="000000"/>
          <w:lang w:eastAsia="en-GB"/>
        </w:rPr>
        <w:t>for complex bacterial genomes</w:t>
      </w:r>
      <w:r w:rsidR="006C1763">
        <w:rPr>
          <w:color w:val="000000"/>
          <w:lang w:eastAsia="en-GB"/>
        </w:rPr>
        <w:t>:</w:t>
      </w:r>
      <w:r w:rsidR="00AB6BCC">
        <w:rPr>
          <w:color w:val="000000"/>
          <w:lang w:eastAsia="en-GB"/>
        </w:rPr>
        <w:t xml:space="preserve"> </w:t>
      </w:r>
      <w:r w:rsidR="00787F14">
        <w:rPr>
          <w:color w:val="000000"/>
          <w:lang w:eastAsia="en-GB"/>
        </w:rPr>
        <w:t xml:space="preserve">between </w:t>
      </w:r>
      <w:r w:rsidR="00634694">
        <w:rPr>
          <w:color w:val="000000"/>
          <w:lang w:eastAsia="en-GB"/>
        </w:rPr>
        <w:t xml:space="preserve">initially </w:t>
      </w:r>
      <w:r w:rsidR="00787F14">
        <w:rPr>
          <w:color w:val="000000"/>
          <w:lang w:eastAsia="en-GB"/>
        </w:rPr>
        <w:t>s</w:t>
      </w:r>
      <w:r w:rsidR="003A38CB">
        <w:rPr>
          <w:color w:val="000000"/>
          <w:lang w:eastAsia="en-GB"/>
        </w:rPr>
        <w:t xml:space="preserve">hearing to a longer mean length </w:t>
      </w:r>
      <w:r w:rsidR="00306038">
        <w:rPr>
          <w:color w:val="000000"/>
          <w:lang w:eastAsia="en-GB"/>
        </w:rPr>
        <w:t>to</w:t>
      </w:r>
      <w:r w:rsidR="003A38CB">
        <w:rPr>
          <w:color w:val="000000"/>
          <w:lang w:eastAsia="en-GB"/>
        </w:rPr>
        <w:t xml:space="preserve"> improve circularisation</w:t>
      </w:r>
      <w:r w:rsidR="002B5FEE">
        <w:rPr>
          <w:color w:val="000000"/>
          <w:lang w:eastAsia="en-GB"/>
        </w:rPr>
        <w:t xml:space="preserve"> and altering the size selection step to </w:t>
      </w:r>
      <w:r w:rsidR="00A31D4C">
        <w:rPr>
          <w:color w:val="000000"/>
          <w:lang w:eastAsia="en-GB"/>
        </w:rPr>
        <w:t>recover</w:t>
      </w:r>
      <w:r w:rsidR="003A38CB">
        <w:rPr>
          <w:color w:val="000000"/>
          <w:lang w:eastAsia="en-GB"/>
        </w:rPr>
        <w:t xml:space="preserve"> small plasmids</w:t>
      </w:r>
      <w:r w:rsidR="009A496E">
        <w:rPr>
          <w:color w:val="000000"/>
          <w:lang w:eastAsia="en-GB"/>
        </w:rPr>
        <w:t xml:space="preserve">. </w:t>
      </w:r>
      <w:r w:rsidR="003A38CB">
        <w:rPr>
          <w:color w:val="000000"/>
          <w:lang w:eastAsia="en-GB"/>
        </w:rPr>
        <w:t xml:space="preserve"> </w:t>
      </w:r>
    </w:p>
    <w:p w14:paraId="5DBA9E14" w14:textId="40826E4E" w:rsidR="002E4340" w:rsidRDefault="002B77B7" w:rsidP="002E4340">
      <w:pPr>
        <w:spacing w:after="120"/>
        <w:jc w:val="both"/>
        <w:rPr>
          <w:color w:val="000000"/>
          <w:lang w:eastAsia="en-GB"/>
        </w:rPr>
      </w:pPr>
      <w:r>
        <w:rPr>
          <w:color w:val="000000"/>
          <w:lang w:eastAsia="en-GB"/>
        </w:rPr>
        <w:t>Although we did not investigate them in detail, w</w:t>
      </w:r>
      <w:r w:rsidR="002E3A9B" w:rsidRPr="00B36586">
        <w:rPr>
          <w:color w:val="000000"/>
          <w:lang w:eastAsia="en-GB"/>
        </w:rPr>
        <w:t xml:space="preserve">e </w:t>
      </w:r>
      <w:r w:rsidR="00174BBE">
        <w:rPr>
          <w:color w:val="000000"/>
          <w:lang w:eastAsia="en-GB"/>
        </w:rPr>
        <w:t>identified</w:t>
      </w:r>
      <w:r w:rsidR="009E79AD" w:rsidRPr="00B36586">
        <w:rPr>
          <w:color w:val="000000"/>
          <w:lang w:eastAsia="en-GB"/>
        </w:rPr>
        <w:t xml:space="preserve"> </w:t>
      </w:r>
      <w:r w:rsidR="002E3A9B" w:rsidRPr="00B36586">
        <w:rPr>
          <w:color w:val="000000"/>
          <w:lang w:eastAsia="en-GB"/>
        </w:rPr>
        <w:t>some recurrent patterns of</w:t>
      </w:r>
      <w:r w:rsidR="0030177F" w:rsidRPr="00B36586">
        <w:rPr>
          <w:color w:val="000000"/>
          <w:lang w:eastAsia="en-GB"/>
        </w:rPr>
        <w:t xml:space="preserve"> local</w:t>
      </w:r>
      <w:r w:rsidR="002E3A9B" w:rsidRPr="00B36586">
        <w:rPr>
          <w:color w:val="000000"/>
          <w:lang w:eastAsia="en-GB"/>
        </w:rPr>
        <w:t xml:space="preserve"> hybrid misassembly that could be s</w:t>
      </w:r>
      <w:r w:rsidR="00BD6660" w:rsidRPr="00B36586">
        <w:rPr>
          <w:color w:val="000000"/>
          <w:lang w:eastAsia="en-GB"/>
        </w:rPr>
        <w:t>y</w:t>
      </w:r>
      <w:r w:rsidR="002E565F" w:rsidRPr="00B36586">
        <w:rPr>
          <w:color w:val="000000"/>
          <w:lang w:eastAsia="en-GB"/>
        </w:rPr>
        <w:t>s</w:t>
      </w:r>
      <w:r w:rsidR="002E3A9B" w:rsidRPr="00B36586">
        <w:rPr>
          <w:color w:val="000000"/>
          <w:lang w:eastAsia="en-GB"/>
        </w:rPr>
        <w:t xml:space="preserve">tematically addressed in the future. One of these is the presence of polymorphisms in the DNA </w:t>
      </w:r>
      <w:r w:rsidR="002E565F" w:rsidRPr="00B36586">
        <w:rPr>
          <w:color w:val="000000"/>
          <w:lang w:eastAsia="en-GB"/>
        </w:rPr>
        <w:t>extract</w:t>
      </w:r>
      <w:r w:rsidR="002E3A9B" w:rsidRPr="00B36586">
        <w:rPr>
          <w:color w:val="000000"/>
          <w:lang w:eastAsia="en-GB"/>
        </w:rPr>
        <w:t xml:space="preserve">. </w:t>
      </w:r>
      <w:r w:rsidR="00046CCF">
        <w:rPr>
          <w:color w:val="000000"/>
          <w:lang w:eastAsia="en-GB"/>
        </w:rPr>
        <w:t>Sometimes these</w:t>
      </w:r>
      <w:r w:rsidR="00046CCF" w:rsidRPr="00B36586">
        <w:rPr>
          <w:color w:val="000000"/>
          <w:lang w:eastAsia="en-GB"/>
        </w:rPr>
        <w:t xml:space="preserve"> </w:t>
      </w:r>
      <w:r w:rsidR="00574914" w:rsidRPr="00B36586">
        <w:rPr>
          <w:color w:val="000000"/>
          <w:lang w:eastAsia="en-GB"/>
        </w:rPr>
        <w:t>may</w:t>
      </w:r>
      <w:r w:rsidR="006E46A4" w:rsidRPr="00B36586">
        <w:rPr>
          <w:color w:val="000000"/>
          <w:lang w:eastAsia="en-GB"/>
        </w:rPr>
        <w:t xml:space="preserve"> represent genuine minor variant</w:t>
      </w:r>
      <w:r w:rsidR="00D2251A" w:rsidRPr="00B36586">
        <w:rPr>
          <w:color w:val="000000"/>
          <w:lang w:eastAsia="en-GB"/>
        </w:rPr>
        <w:t>s</w:t>
      </w:r>
      <w:r w:rsidR="006E46A4" w:rsidRPr="00B36586">
        <w:rPr>
          <w:color w:val="000000"/>
          <w:lang w:eastAsia="en-GB"/>
        </w:rPr>
        <w:t xml:space="preserve"> </w:t>
      </w:r>
      <w:r w:rsidR="00042812" w:rsidRPr="00B36586">
        <w:rPr>
          <w:color w:val="000000"/>
          <w:lang w:eastAsia="en-GB"/>
        </w:rPr>
        <w:t>present in</w:t>
      </w:r>
      <w:r w:rsidR="006E46A4" w:rsidRPr="00B36586">
        <w:rPr>
          <w:color w:val="000000"/>
          <w:lang w:eastAsia="en-GB"/>
        </w:rPr>
        <w:t xml:space="preserve"> the isolate</w:t>
      </w:r>
      <w:r w:rsidR="00AD4702" w:rsidRPr="00B36586">
        <w:rPr>
          <w:color w:val="000000"/>
          <w:lang w:eastAsia="en-GB"/>
        </w:rPr>
        <w:t xml:space="preserve">, </w:t>
      </w:r>
      <w:r w:rsidR="00AD67FC" w:rsidRPr="00B36586">
        <w:rPr>
          <w:color w:val="000000"/>
          <w:lang w:eastAsia="en-GB"/>
        </w:rPr>
        <w:t xml:space="preserve">but </w:t>
      </w:r>
      <w:r w:rsidR="00AD4702" w:rsidRPr="00B36586">
        <w:rPr>
          <w:color w:val="000000"/>
          <w:lang w:eastAsia="en-GB"/>
        </w:rPr>
        <w:t xml:space="preserve">the </w:t>
      </w:r>
      <w:r w:rsidR="00D9708A" w:rsidRPr="00B36586">
        <w:rPr>
          <w:color w:val="000000"/>
          <w:lang w:eastAsia="en-GB"/>
        </w:rPr>
        <w:t>salient</w:t>
      </w:r>
      <w:r w:rsidR="00AD4702" w:rsidRPr="00B36586">
        <w:rPr>
          <w:color w:val="000000"/>
          <w:lang w:eastAsia="en-GB"/>
        </w:rPr>
        <w:t xml:space="preserve"> fact </w:t>
      </w:r>
      <w:r w:rsidR="00537967" w:rsidRPr="00B36586">
        <w:rPr>
          <w:color w:val="000000"/>
          <w:lang w:eastAsia="en-GB"/>
        </w:rPr>
        <w:t xml:space="preserve">here </w:t>
      </w:r>
      <w:r w:rsidR="00AD4702" w:rsidRPr="00B36586">
        <w:rPr>
          <w:color w:val="000000"/>
          <w:lang w:eastAsia="en-GB"/>
        </w:rPr>
        <w:t>is that c</w:t>
      </w:r>
      <w:r w:rsidR="002E3A9B" w:rsidRPr="00B36586">
        <w:rPr>
          <w:color w:val="000000"/>
          <w:lang w:eastAsia="en-GB"/>
        </w:rPr>
        <w:t>urrent bacterial assembly methods assume that no position is polymorphic</w:t>
      </w:r>
      <w:r w:rsidR="00A75D1F">
        <w:rPr>
          <w:color w:val="000000"/>
          <w:lang w:eastAsia="en-GB"/>
        </w:rPr>
        <w:t xml:space="preserve">. This </w:t>
      </w:r>
      <w:r w:rsidR="005E5DD7" w:rsidRPr="00B36586">
        <w:rPr>
          <w:color w:val="000000"/>
          <w:lang w:eastAsia="en-GB"/>
        </w:rPr>
        <w:t xml:space="preserve">can </w:t>
      </w:r>
      <w:r w:rsidR="002E3A9B" w:rsidRPr="00B36586">
        <w:rPr>
          <w:color w:val="000000"/>
          <w:lang w:eastAsia="en-GB"/>
        </w:rPr>
        <w:t xml:space="preserve">lead to an imperfect representation of the genomic content </w:t>
      </w:r>
      <w:r w:rsidR="00C004F1">
        <w:rPr>
          <w:color w:val="000000"/>
          <w:lang w:eastAsia="en-GB"/>
        </w:rPr>
        <w:t>if</w:t>
      </w:r>
      <w:r w:rsidR="00C004F1" w:rsidRPr="00B36586">
        <w:rPr>
          <w:color w:val="000000"/>
          <w:lang w:eastAsia="en-GB"/>
        </w:rPr>
        <w:t xml:space="preserve"> </w:t>
      </w:r>
      <w:r w:rsidR="009E79AD" w:rsidRPr="00B36586">
        <w:rPr>
          <w:color w:val="000000"/>
          <w:lang w:eastAsia="en-GB"/>
        </w:rPr>
        <w:t>this is not the case</w:t>
      </w:r>
      <w:r w:rsidR="002E3A9B" w:rsidRPr="00B36586">
        <w:rPr>
          <w:color w:val="000000"/>
          <w:lang w:eastAsia="en-GB"/>
        </w:rPr>
        <w:t xml:space="preserve">. We advocate for the inclusion or awareness of polymorphisms within </w:t>
      </w:r>
      <w:r w:rsidR="00BD6660" w:rsidRPr="00B36586">
        <w:rPr>
          <w:color w:val="000000"/>
          <w:lang w:eastAsia="en-GB"/>
        </w:rPr>
        <w:t xml:space="preserve">assembly polishing </w:t>
      </w:r>
      <w:r w:rsidR="002E3A9B" w:rsidRPr="00B36586">
        <w:rPr>
          <w:color w:val="000000"/>
          <w:lang w:eastAsia="en-GB"/>
        </w:rPr>
        <w:t xml:space="preserve">methods </w:t>
      </w:r>
      <w:r w:rsidR="00BD6660" w:rsidRPr="00B36586">
        <w:rPr>
          <w:color w:val="000000"/>
          <w:lang w:eastAsia="en-GB"/>
        </w:rPr>
        <w:t xml:space="preserve">e.g. Pilon </w:t>
      </w:r>
      <w:r w:rsidR="000B5B5D" w:rsidRPr="00B36586">
        <w:rPr>
          <w:color w:val="000000"/>
          <w:lang w:eastAsia="en-GB"/>
        </w:rPr>
        <w:fldChar w:fldCharType="begin"/>
      </w:r>
      <w:r w:rsidR="00AA21AF">
        <w:rPr>
          <w:color w:val="000000"/>
          <w:lang w:eastAsia="en-GB"/>
        </w:rPr>
        <w:instrText xml:space="preserve"> ADDIN ZOTERO_ITEM CSL_CITATION {"citationID":"ViCVvbn4","properties":{"formattedCitation":"(26)","plainCitation":"(26)","noteIndex":0},"citationItems":[{"id":2274,"uris":["http://zotero.org/users/5334349/items/Y4GYLLLE"],"uri":["http://zotero.org/users/5334349/items/Y4GYLLLE"],"itemData":{"id":2274,"type":"article-journal","title":"Pilon: an integrated tool for comprehensive microbial variant detection and genome assembly improvement","container-title":"PloS One","page":"e112963","volume":"9","issue":"11","source":"PubMed","abstract":"Advances in modern sequencing technologies allow us to generate sufficient data to analyze hundreds of bacterial genomes from a single machine in a single day. This potential for sequencing massive numbers of genomes calls for fully automated methods to produce high-quality assemblies and variant calls. We introduce Pilon, a fully automated, all-in-one tool for correcting draft assemblies and calling sequence variants of multiple sizes, including very large insertions and deletions. Pilon works with many types of sequence data, but is particularly strong when supplied with paired end data from two Illumina libraries with small e.g., 180 bp and large e.g., 3-5 Kb inserts. Pilon significantly improves draft genome assemblies by correcting bases, fixing mis-assemblies and filling gaps. For both haploid and diploid genomes, Pilon produces more contiguous genomes with fewer errors, enabling identification of more biologically relevant genes. Furthermore, Pilon identifies small variants with high accuracy as compared to state-of-the-art tools and is unique in its ability to accurately identify large sequence variants including duplications and resolve large insertions. Pilon is being used to improve the assemblies of thousands of new genomes and to identify variants from thousands of clinically relevant bacterial strains. Pilon is freely available as open source software.","DOI":"10.1371/journal.pone.0112963","ISSN":"1932-6203","note":"PMID: 25409509\nPMCID: PMC4237348","title-short":"Pilon","journalAbbreviation":"PLoS ONE","language":"eng","author":[{"family":"Walker","given":"Bruce J."},{"family":"Abeel","given":"Thomas"},{"family":"Shea","given":"Terrance"},{"family":"Priest","given":"Margaret"},{"family":"Abouelliel","given":"Amr"},{"family":"Sakthikumar","given":"Sharadha"},{"family":"Cuomo","given":"Christina A."},{"family":"Zeng","given":"Qiandong"},{"family":"Wortman","given":"Jennifer"},{"family":"Young","given":"Sarah K."},{"family":"Earl","given":"Ashlee M."}],"issued":{"date-parts":[["2014"]]}}}],"schema":"https://github.com/citation-style-language/schema/raw/master/csl-citation.json"} </w:instrText>
      </w:r>
      <w:r w:rsidR="000B5B5D" w:rsidRPr="00B36586">
        <w:rPr>
          <w:color w:val="000000"/>
          <w:lang w:eastAsia="en-GB"/>
        </w:rPr>
        <w:fldChar w:fldCharType="separate"/>
      </w:r>
      <w:r w:rsidR="00AA21AF">
        <w:rPr>
          <w:noProof/>
          <w:color w:val="000000"/>
          <w:lang w:eastAsia="en-GB"/>
        </w:rPr>
        <w:t>(26)</w:t>
      </w:r>
      <w:r w:rsidR="000B5B5D" w:rsidRPr="00B36586">
        <w:rPr>
          <w:color w:val="000000"/>
          <w:lang w:eastAsia="en-GB"/>
        </w:rPr>
        <w:fldChar w:fldCharType="end"/>
      </w:r>
      <w:r w:rsidR="00BD6660" w:rsidRPr="00B36586">
        <w:rPr>
          <w:color w:val="000000"/>
          <w:lang w:eastAsia="en-GB"/>
        </w:rPr>
        <w:t>.</w:t>
      </w:r>
      <w:r w:rsidR="007E172D">
        <w:rPr>
          <w:color w:val="000000"/>
          <w:lang w:eastAsia="en-GB"/>
        </w:rPr>
        <w:t xml:space="preserve"> </w:t>
      </w:r>
      <w:r w:rsidR="00BD6660" w:rsidRPr="00B36586">
        <w:rPr>
          <w:color w:val="000000"/>
          <w:lang w:eastAsia="en-GB"/>
        </w:rPr>
        <w:t xml:space="preserve">The other problem we </w:t>
      </w:r>
      <w:r w:rsidR="009E79AD" w:rsidRPr="00B36586">
        <w:rPr>
          <w:color w:val="000000"/>
          <w:lang w:eastAsia="en-GB"/>
        </w:rPr>
        <w:t xml:space="preserve">identified </w:t>
      </w:r>
      <w:r w:rsidR="00BD6660" w:rsidRPr="00B36586">
        <w:rPr>
          <w:color w:val="000000"/>
          <w:lang w:eastAsia="en-GB"/>
        </w:rPr>
        <w:t>is that regions with very low Illumina coverage tend to be enriched with small assembly errors. This problem could</w:t>
      </w:r>
      <w:r w:rsidR="0030177F" w:rsidRPr="00B36586">
        <w:rPr>
          <w:color w:val="000000"/>
          <w:lang w:eastAsia="en-GB"/>
        </w:rPr>
        <w:t xml:space="preserve"> similarly</w:t>
      </w:r>
      <w:r w:rsidR="00BD6660" w:rsidRPr="00B36586">
        <w:rPr>
          <w:color w:val="000000"/>
          <w:lang w:eastAsia="en-GB"/>
        </w:rPr>
        <w:t xml:space="preserve"> be add</w:t>
      </w:r>
      <w:r w:rsidR="002902AD" w:rsidRPr="00B36586">
        <w:rPr>
          <w:color w:val="000000"/>
          <w:lang w:eastAsia="en-GB"/>
        </w:rPr>
        <w:t>ressed in the future with</w:t>
      </w:r>
      <w:r w:rsidR="00BD6660" w:rsidRPr="00B36586">
        <w:rPr>
          <w:color w:val="000000"/>
          <w:lang w:eastAsia="en-GB"/>
        </w:rPr>
        <w:t xml:space="preserve"> hybrid assemb</w:t>
      </w:r>
      <w:r w:rsidR="0030177F" w:rsidRPr="00B36586">
        <w:rPr>
          <w:color w:val="000000"/>
          <w:lang w:eastAsia="en-GB"/>
        </w:rPr>
        <w:t>ly polishing methods,</w:t>
      </w:r>
      <w:r w:rsidR="002902AD" w:rsidRPr="00B36586">
        <w:rPr>
          <w:color w:val="000000"/>
          <w:lang w:eastAsia="en-GB"/>
        </w:rPr>
        <w:t xml:space="preserve"> which</w:t>
      </w:r>
      <w:r w:rsidR="0030177F" w:rsidRPr="00B36586">
        <w:rPr>
          <w:color w:val="000000"/>
          <w:lang w:eastAsia="en-GB"/>
        </w:rPr>
        <w:t xml:space="preserve"> </w:t>
      </w:r>
      <w:r w:rsidR="002902AD" w:rsidRPr="00B36586">
        <w:rPr>
          <w:color w:val="000000"/>
          <w:lang w:eastAsia="en-GB"/>
        </w:rPr>
        <w:t>would supplement</w:t>
      </w:r>
      <w:r w:rsidR="00BD6660" w:rsidRPr="00B36586">
        <w:rPr>
          <w:color w:val="000000"/>
          <w:lang w:eastAsia="en-GB"/>
        </w:rPr>
        <w:t xml:space="preserve"> Illumina</w:t>
      </w:r>
      <w:r w:rsidR="002902AD" w:rsidRPr="00B36586">
        <w:rPr>
          <w:color w:val="000000"/>
          <w:lang w:eastAsia="en-GB"/>
        </w:rPr>
        <w:t>-based</w:t>
      </w:r>
      <w:r w:rsidR="0030177F" w:rsidRPr="00B36586">
        <w:rPr>
          <w:color w:val="000000"/>
          <w:lang w:eastAsia="en-GB"/>
        </w:rPr>
        <w:t xml:space="preserve"> polishing with long</w:t>
      </w:r>
      <w:r w:rsidR="00F53086">
        <w:rPr>
          <w:color w:val="000000"/>
          <w:lang w:eastAsia="en-GB"/>
        </w:rPr>
        <w:t>-</w:t>
      </w:r>
      <w:r w:rsidR="0030177F" w:rsidRPr="00B36586">
        <w:rPr>
          <w:color w:val="000000"/>
          <w:lang w:eastAsia="en-GB"/>
        </w:rPr>
        <w:t>read</w:t>
      </w:r>
      <w:r w:rsidR="002902AD" w:rsidRPr="00B36586">
        <w:rPr>
          <w:color w:val="000000"/>
          <w:lang w:eastAsia="en-GB"/>
        </w:rPr>
        <w:t>-based</w:t>
      </w:r>
      <w:r w:rsidR="0030177F" w:rsidRPr="00B36586">
        <w:rPr>
          <w:color w:val="000000"/>
          <w:lang w:eastAsia="en-GB"/>
        </w:rPr>
        <w:t xml:space="preserve"> polishing in regions with low </w:t>
      </w:r>
      <w:r w:rsidR="00E946E9" w:rsidRPr="00B36586">
        <w:rPr>
          <w:color w:val="000000"/>
          <w:lang w:eastAsia="en-GB"/>
        </w:rPr>
        <w:t>I</w:t>
      </w:r>
      <w:r w:rsidR="0030177F" w:rsidRPr="00B36586">
        <w:rPr>
          <w:color w:val="000000"/>
          <w:lang w:eastAsia="en-GB"/>
        </w:rPr>
        <w:t>llumina coverage</w:t>
      </w:r>
      <w:r w:rsidR="00BD6660" w:rsidRPr="00B36586">
        <w:rPr>
          <w:color w:val="000000"/>
          <w:lang w:eastAsia="en-GB"/>
        </w:rPr>
        <w:t>.</w:t>
      </w:r>
    </w:p>
    <w:p w14:paraId="60EECD39" w14:textId="3C65EF64" w:rsidR="002E4340" w:rsidRDefault="002E565F" w:rsidP="002E4340">
      <w:pPr>
        <w:spacing w:after="120"/>
        <w:jc w:val="both"/>
        <w:rPr>
          <w:color w:val="000000"/>
          <w:lang w:eastAsia="en-GB"/>
        </w:rPr>
      </w:pPr>
      <w:r w:rsidRPr="00B36586">
        <w:rPr>
          <w:color w:val="000000"/>
          <w:lang w:eastAsia="en-GB"/>
        </w:rPr>
        <w:t>There were several limitations to our stud</w:t>
      </w:r>
      <w:r w:rsidR="00CA34AE" w:rsidRPr="00B36586">
        <w:rPr>
          <w:color w:val="000000"/>
          <w:lang w:eastAsia="en-GB"/>
        </w:rPr>
        <w:t>y. Firstly, we included only two reference strains, and our analyses suggest</w:t>
      </w:r>
      <w:r w:rsidR="00E613CE">
        <w:rPr>
          <w:color w:val="000000"/>
          <w:lang w:eastAsia="en-GB"/>
        </w:rPr>
        <w:t>ed</w:t>
      </w:r>
      <w:r w:rsidR="00CA34AE" w:rsidRPr="00B36586">
        <w:rPr>
          <w:color w:val="000000"/>
          <w:lang w:eastAsia="en-GB"/>
        </w:rPr>
        <w:t xml:space="preserve"> that the “true” sequences for these had </w:t>
      </w:r>
      <w:r w:rsidR="006D0501">
        <w:rPr>
          <w:color w:val="000000"/>
          <w:lang w:eastAsia="en-GB"/>
        </w:rPr>
        <w:t xml:space="preserve">slightly </w:t>
      </w:r>
      <w:r w:rsidR="00CA34AE" w:rsidRPr="00B36586">
        <w:rPr>
          <w:color w:val="000000"/>
          <w:lang w:eastAsia="en-GB"/>
        </w:rPr>
        <w:t>diverged from the publicly available reference sequences</w:t>
      </w:r>
      <w:r w:rsidR="003863B9" w:rsidRPr="00B36586">
        <w:rPr>
          <w:color w:val="000000"/>
          <w:lang w:eastAsia="en-GB"/>
        </w:rPr>
        <w:t xml:space="preserve">. </w:t>
      </w:r>
      <w:r w:rsidR="00501178">
        <w:rPr>
          <w:color w:val="000000"/>
          <w:lang w:eastAsia="en-GB"/>
        </w:rPr>
        <w:t>Mapping Illumina reads back to the original reference allowed us to identify those positions that were likely true biological variation</w:t>
      </w:r>
      <w:r w:rsidR="00501178" w:rsidRPr="00B36586">
        <w:rPr>
          <w:color w:val="000000"/>
          <w:lang w:eastAsia="en-GB"/>
        </w:rPr>
        <w:t xml:space="preserve"> </w:t>
      </w:r>
      <w:r w:rsidR="00CA34AE" w:rsidRPr="00B36586">
        <w:rPr>
          <w:color w:val="000000"/>
          <w:lang w:eastAsia="en-GB"/>
        </w:rPr>
        <w:t>after years of storage and/or sub-culture</w:t>
      </w:r>
      <w:r w:rsidR="006C3BF5" w:rsidRPr="00B36586">
        <w:rPr>
          <w:color w:val="000000"/>
          <w:lang w:eastAsia="en-GB"/>
        </w:rPr>
        <w:t xml:space="preserve"> </w:t>
      </w:r>
      <w:r w:rsidR="00A03532">
        <w:rPr>
          <w:color w:val="000000"/>
          <w:lang w:eastAsia="en-GB"/>
        </w:rPr>
        <w:t>– a</w:t>
      </w:r>
      <w:r w:rsidR="0082428E" w:rsidRPr="00B36586">
        <w:rPr>
          <w:color w:val="000000"/>
          <w:lang w:eastAsia="en-GB"/>
        </w:rPr>
        <w:t xml:space="preserve"> known possibility </w:t>
      </w:r>
      <w:r w:rsidR="00756ACE" w:rsidRPr="00B36586">
        <w:rPr>
          <w:color w:val="000000"/>
          <w:lang w:eastAsia="en-GB"/>
        </w:rPr>
        <w:t xml:space="preserve">that has been previously </w:t>
      </w:r>
      <w:r w:rsidR="00171944" w:rsidRPr="00B36586">
        <w:rPr>
          <w:color w:val="000000"/>
          <w:lang w:eastAsia="en-GB"/>
        </w:rPr>
        <w:t>observed</w:t>
      </w:r>
      <w:r w:rsidR="0097729E" w:rsidRPr="00B36586">
        <w:rPr>
          <w:color w:val="000000"/>
          <w:lang w:eastAsia="en-GB"/>
        </w:rPr>
        <w:t xml:space="preserve"> for bacterial reference</w:t>
      </w:r>
      <w:r w:rsidR="00C071F6" w:rsidRPr="00B36586">
        <w:rPr>
          <w:color w:val="000000"/>
          <w:lang w:eastAsia="en-GB"/>
        </w:rPr>
        <w:t xml:space="preserve"> strains</w:t>
      </w:r>
      <w:r w:rsidR="00756ACE" w:rsidRPr="00B36586">
        <w:rPr>
          <w:color w:val="000000"/>
          <w:lang w:eastAsia="en-GB"/>
        </w:rPr>
        <w:t xml:space="preserve"> </w:t>
      </w:r>
      <w:r w:rsidR="002D659C" w:rsidRPr="00B36586">
        <w:rPr>
          <w:color w:val="000000"/>
          <w:lang w:eastAsia="en-GB"/>
        </w:rPr>
        <w:t xml:space="preserve">e.g. </w:t>
      </w:r>
      <w:r w:rsidR="00892FB0" w:rsidRPr="00B36586">
        <w:rPr>
          <w:color w:val="000000"/>
          <w:lang w:eastAsia="en-GB"/>
        </w:rPr>
        <w:t xml:space="preserve">in </w:t>
      </w:r>
      <w:r w:rsidR="001F7B68" w:rsidRPr="00B36586">
        <w:rPr>
          <w:color w:val="000000"/>
          <w:lang w:eastAsia="en-GB"/>
        </w:rPr>
        <w:t>archived cultures of</w:t>
      </w:r>
      <w:r w:rsidR="00125550" w:rsidRPr="00B36586">
        <w:rPr>
          <w:color w:val="000000"/>
          <w:lang w:eastAsia="en-GB"/>
        </w:rPr>
        <w:t xml:space="preserve"> </w:t>
      </w:r>
      <w:r w:rsidR="00125550" w:rsidRPr="00B36586">
        <w:rPr>
          <w:i/>
          <w:color w:val="000000"/>
          <w:lang w:eastAsia="en-GB"/>
        </w:rPr>
        <w:t xml:space="preserve">Salmonella </w:t>
      </w:r>
      <w:r w:rsidR="0001757D" w:rsidRPr="00B36586">
        <w:rPr>
          <w:i/>
          <w:color w:val="000000"/>
          <w:lang w:eastAsia="en-GB"/>
        </w:rPr>
        <w:t xml:space="preserve">enterica </w:t>
      </w:r>
      <w:r w:rsidR="0001757D" w:rsidRPr="00B36586">
        <w:rPr>
          <w:color w:val="000000"/>
          <w:lang w:eastAsia="en-GB"/>
        </w:rPr>
        <w:t>serovar Typhimurium LT2</w:t>
      </w:r>
      <w:r w:rsidR="00074ACB" w:rsidRPr="00B36586">
        <w:rPr>
          <w:color w:val="000000"/>
          <w:lang w:eastAsia="en-GB"/>
        </w:rPr>
        <w:t xml:space="preserve"> </w:t>
      </w:r>
      <w:r w:rsidR="00074ACB" w:rsidRPr="00B36586">
        <w:rPr>
          <w:color w:val="000000"/>
          <w:lang w:eastAsia="en-GB"/>
        </w:rPr>
        <w:fldChar w:fldCharType="begin"/>
      </w:r>
      <w:r w:rsidR="00AA21AF">
        <w:rPr>
          <w:color w:val="000000"/>
          <w:lang w:eastAsia="en-GB"/>
        </w:rPr>
        <w:instrText xml:space="preserve"> ADDIN ZOTERO_ITEM CSL_CITATION {"citationID":"xI7SI7b1","properties":{"formattedCitation":"(38)","plainCitation":"(38)","noteIndex":0},"citationItems":[{"id":2404,"uris":["http://zotero.org/users/5334349/items/38Q34CZ5"],"uri":["http://zotero.org/users/5334349/items/38Q34CZ5"],"itemData":{"id":2404,"type":"article-journal","title":"Diversity of phage types among archived cultures of the Demerec collection of Salmonella enterica serovar Typhimurium strains","container-title":"Applied and Environmental Microbiology","page":"664-669","volume":"70","issue":"2","source":"PubMed","abstract":"The existence of several thousand Salmonella enterica serovar Typhimurium LT2 and LT7 cultures originally collected by M. Demerec and sealed in agar stab vials for 33 to 46 years is a resource for evolutionary and mutational studies. Cultures from 74 of these vials, descendants of cells sealed and stored in nutrient agar stabs several decades ago, were phage typed by the Callow and Felix, Lilleengen, and Anderson systems. Among 53 LT2 archived strains, 16 had the same phage type as the nonarchival sequenced LT2 strain. The other 37 archived cultures differed in phage typing pattern from the sequenced strain. These 37 strains were divided into 10 different phage types. Among the 19 LT7 strains, only one was similar to the parent by phage typing, while 18 were different. These 18 strains fell into eight different phage types. The typing systems were developed to track epidemics from source to consumer, as well as geographic spread. The value of phage typing is dependent upon the stability of the phage type of any given strain throughout the course of the investigation. Thus, the variation over time observed in these archived cultures is particularly surprising. Possible mechanisms for such striking diversity may include loss of prophages, prophage mosaics as a result of recombination events, changes in phage receptor sites on the bacterial cell surface, or mutations in restriction-modification systems.","ISSN":"0099-2240","note":"PMID: 14766539\nPMCID: PMC348941","journalAbbreviation":"Appl. Environ. Microbiol.","language":"eng","author":[{"family":"Rabsch","given":"Wolfgang"},{"family":"Helm","given":"R. Allen"},{"family":"Eisenstark","given":"Abraham"}],"issued":{"date-parts":[["2004",2]]}}}],"schema":"https://github.com/citation-style-language/schema/raw/master/csl-citation.json"} </w:instrText>
      </w:r>
      <w:r w:rsidR="00074ACB" w:rsidRPr="00B36586">
        <w:rPr>
          <w:color w:val="000000"/>
          <w:lang w:eastAsia="en-GB"/>
        </w:rPr>
        <w:fldChar w:fldCharType="separate"/>
      </w:r>
      <w:r w:rsidR="00AA21AF">
        <w:rPr>
          <w:noProof/>
          <w:color w:val="000000"/>
          <w:lang w:eastAsia="en-GB"/>
        </w:rPr>
        <w:t>(38)</w:t>
      </w:r>
      <w:r w:rsidR="00074ACB" w:rsidRPr="00B36586">
        <w:rPr>
          <w:color w:val="000000"/>
          <w:lang w:eastAsia="en-GB"/>
        </w:rPr>
        <w:fldChar w:fldCharType="end"/>
      </w:r>
      <w:r w:rsidR="00501178">
        <w:rPr>
          <w:color w:val="000000"/>
          <w:lang w:eastAsia="en-GB"/>
        </w:rPr>
        <w:t>. However, we still found small discrepancies between the published reference genome and our assemblies,</w:t>
      </w:r>
      <w:r w:rsidR="00E81D86">
        <w:rPr>
          <w:color w:val="000000"/>
          <w:lang w:eastAsia="en-GB"/>
        </w:rPr>
        <w:t xml:space="preserve"> which could be due to either</w:t>
      </w:r>
      <w:r w:rsidR="00CA34AE" w:rsidRPr="00B36586">
        <w:rPr>
          <w:color w:val="000000"/>
          <w:lang w:eastAsia="en-GB"/>
        </w:rPr>
        <w:t xml:space="preserve"> errors in the original reference sequences (first published in 2002 for CFT073, 2007 for MGH78578), </w:t>
      </w:r>
      <w:r w:rsidR="003863B9" w:rsidRPr="00B36586">
        <w:rPr>
          <w:color w:val="000000"/>
          <w:lang w:eastAsia="en-GB"/>
        </w:rPr>
        <w:t>or</w:t>
      </w:r>
      <w:r w:rsidR="00CA34AE" w:rsidRPr="00B36586">
        <w:rPr>
          <w:color w:val="000000"/>
          <w:lang w:eastAsia="en-GB"/>
        </w:rPr>
        <w:t xml:space="preserve"> possible errors in our hybrid assemblies.</w:t>
      </w:r>
      <w:r w:rsidR="00E81D86">
        <w:rPr>
          <w:color w:val="000000"/>
          <w:lang w:eastAsia="en-GB"/>
        </w:rPr>
        <w:t xml:space="preserve"> </w:t>
      </w:r>
      <w:r w:rsidR="00CA34AE" w:rsidRPr="00B36586">
        <w:rPr>
          <w:color w:val="000000"/>
          <w:lang w:eastAsia="en-GB"/>
        </w:rPr>
        <w:t>Thus, making comparisons for any given approach</w:t>
      </w:r>
      <w:r w:rsidR="00811901">
        <w:rPr>
          <w:color w:val="000000"/>
          <w:lang w:eastAsia="en-GB"/>
        </w:rPr>
        <w:t xml:space="preserve"> is difficult</w:t>
      </w:r>
      <w:r w:rsidR="001D6A9A">
        <w:rPr>
          <w:color w:val="000000"/>
          <w:lang w:eastAsia="en-GB"/>
        </w:rPr>
        <w:t>,</w:t>
      </w:r>
      <w:r w:rsidR="00CA34AE" w:rsidRPr="00B36586">
        <w:rPr>
          <w:color w:val="000000"/>
          <w:lang w:eastAsia="en-GB"/>
        </w:rPr>
        <w:t xml:space="preserve"> </w:t>
      </w:r>
      <w:r w:rsidR="003863B9" w:rsidRPr="00B36586">
        <w:rPr>
          <w:color w:val="000000"/>
          <w:lang w:eastAsia="en-GB"/>
        </w:rPr>
        <w:t>even in the case where a reference is available</w:t>
      </w:r>
      <w:r w:rsidR="00CA34AE" w:rsidRPr="00B36586">
        <w:rPr>
          <w:color w:val="000000"/>
          <w:lang w:eastAsia="en-GB"/>
        </w:rPr>
        <w:t xml:space="preserve">. </w:t>
      </w:r>
      <w:r w:rsidR="004E3961" w:rsidRPr="00B36586">
        <w:rPr>
          <w:color w:val="000000"/>
          <w:lang w:eastAsia="en-GB"/>
        </w:rPr>
        <w:t xml:space="preserve">Of note, we tried to minimize biological variability introduced in culture by sequencing the same DNA extract across </w:t>
      </w:r>
      <w:r w:rsidR="00CB6C05" w:rsidRPr="00B36586">
        <w:rPr>
          <w:color w:val="000000"/>
          <w:lang w:eastAsia="en-GB"/>
        </w:rPr>
        <w:t xml:space="preserve">different </w:t>
      </w:r>
      <w:r w:rsidR="004E3961" w:rsidRPr="00B36586">
        <w:rPr>
          <w:color w:val="000000"/>
          <w:lang w:eastAsia="en-GB"/>
        </w:rPr>
        <w:t xml:space="preserve">platforms. </w:t>
      </w:r>
      <w:r w:rsidR="00CA34AE" w:rsidRPr="00B36586">
        <w:rPr>
          <w:color w:val="000000"/>
          <w:lang w:eastAsia="en-GB"/>
        </w:rPr>
        <w:t>F</w:t>
      </w:r>
      <w:r w:rsidRPr="00B36586">
        <w:rPr>
          <w:color w:val="000000"/>
          <w:lang w:eastAsia="en-GB"/>
        </w:rPr>
        <w:t>or 18 isolates the “true”</w:t>
      </w:r>
      <w:r w:rsidR="00CA34AE" w:rsidRPr="00B36586">
        <w:rPr>
          <w:color w:val="000000"/>
          <w:lang w:eastAsia="en-GB"/>
        </w:rPr>
        <w:t xml:space="preserve"> underlying</w:t>
      </w:r>
      <w:r w:rsidRPr="00B36586">
        <w:rPr>
          <w:color w:val="000000"/>
          <w:lang w:eastAsia="en-GB"/>
        </w:rPr>
        <w:t xml:space="preserve"> sequence was unknown</w:t>
      </w:r>
      <w:r w:rsidR="00CB6C05" w:rsidRPr="00B36586">
        <w:rPr>
          <w:color w:val="000000"/>
          <w:lang w:eastAsia="en-GB"/>
        </w:rPr>
        <w:t>, which is common for</w:t>
      </w:r>
      <w:r w:rsidR="00146557" w:rsidRPr="00B36586">
        <w:rPr>
          <w:color w:val="000000"/>
          <w:lang w:eastAsia="en-GB"/>
        </w:rPr>
        <w:t xml:space="preserve"> highly plastic</w:t>
      </w:r>
      <w:r w:rsidR="00CB6C05" w:rsidRPr="00B36586">
        <w:rPr>
          <w:color w:val="000000"/>
          <w:lang w:eastAsia="en-GB"/>
        </w:rPr>
        <w:t xml:space="preserve"> Enterobacteriaceae genomes</w:t>
      </w:r>
      <w:r w:rsidR="009E79AD" w:rsidRPr="00B36586">
        <w:rPr>
          <w:color w:val="000000"/>
          <w:lang w:eastAsia="en-GB"/>
        </w:rPr>
        <w:t xml:space="preserve">. </w:t>
      </w:r>
      <w:r w:rsidR="00CA34AE" w:rsidRPr="00B36586">
        <w:rPr>
          <w:color w:val="000000"/>
          <w:lang w:eastAsia="en-GB"/>
        </w:rPr>
        <w:t>There is no consensus on how best to</w:t>
      </w:r>
      <w:r w:rsidRPr="00B36586">
        <w:rPr>
          <w:color w:val="000000"/>
          <w:lang w:eastAsia="en-GB"/>
        </w:rPr>
        <w:t xml:space="preserve"> </w:t>
      </w:r>
      <w:r w:rsidR="00CA34AE" w:rsidRPr="00B36586">
        <w:rPr>
          <w:color w:val="000000"/>
          <w:lang w:eastAsia="en-GB"/>
        </w:rPr>
        <w:t>evaluate</w:t>
      </w:r>
      <w:r w:rsidRPr="00B36586">
        <w:rPr>
          <w:color w:val="000000"/>
          <w:lang w:eastAsia="en-GB"/>
        </w:rPr>
        <w:t xml:space="preserve"> assembl</w:t>
      </w:r>
      <w:r w:rsidR="00CA34AE" w:rsidRPr="00B36586">
        <w:rPr>
          <w:color w:val="000000"/>
          <w:lang w:eastAsia="en-GB"/>
        </w:rPr>
        <w:t xml:space="preserve">ies </w:t>
      </w:r>
      <w:r w:rsidRPr="00B36586">
        <w:rPr>
          <w:color w:val="000000"/>
          <w:lang w:eastAsia="en-GB"/>
        </w:rPr>
        <w:t xml:space="preserve">and </w:t>
      </w:r>
      <w:r w:rsidR="00CA34AE" w:rsidRPr="00B36586">
        <w:rPr>
          <w:color w:val="000000"/>
          <w:lang w:eastAsia="en-GB"/>
        </w:rPr>
        <w:t>assembly quality</w:t>
      </w:r>
      <w:r w:rsidR="00CB6C05" w:rsidRPr="00B36586">
        <w:rPr>
          <w:color w:val="000000"/>
          <w:lang w:eastAsia="en-GB"/>
        </w:rPr>
        <w:t xml:space="preserve"> when a reference is not available</w:t>
      </w:r>
      <w:r w:rsidR="00BF0F0D" w:rsidRPr="00B36586">
        <w:rPr>
          <w:color w:val="000000"/>
          <w:lang w:eastAsia="en-GB"/>
        </w:rPr>
        <w:t>.</w:t>
      </w:r>
      <w:r w:rsidRPr="00B36586">
        <w:rPr>
          <w:color w:val="000000"/>
          <w:lang w:eastAsia="en-GB"/>
        </w:rPr>
        <w:t xml:space="preserve"> </w:t>
      </w:r>
      <w:r w:rsidR="00BF0F0D" w:rsidRPr="00B36586">
        <w:rPr>
          <w:color w:val="000000"/>
          <w:lang w:eastAsia="en-GB"/>
        </w:rPr>
        <w:t>W</w:t>
      </w:r>
      <w:r w:rsidRPr="00B36586">
        <w:rPr>
          <w:color w:val="000000"/>
          <w:lang w:eastAsia="en-GB"/>
        </w:rPr>
        <w:t xml:space="preserve">e </w:t>
      </w:r>
      <w:r w:rsidR="00CA34AE" w:rsidRPr="00B36586">
        <w:rPr>
          <w:color w:val="000000"/>
          <w:lang w:eastAsia="en-GB"/>
        </w:rPr>
        <w:t>therefore used several approaches</w:t>
      </w:r>
      <w:r w:rsidRPr="00B36586">
        <w:rPr>
          <w:color w:val="000000"/>
          <w:lang w:eastAsia="en-GB"/>
        </w:rPr>
        <w:t xml:space="preserve">, </w:t>
      </w:r>
      <w:r w:rsidR="00CA34AE" w:rsidRPr="00B36586">
        <w:rPr>
          <w:color w:val="000000"/>
          <w:lang w:eastAsia="en-GB"/>
        </w:rPr>
        <w:t>and these were</w:t>
      </w:r>
      <w:r w:rsidRPr="00B36586">
        <w:rPr>
          <w:color w:val="000000"/>
          <w:lang w:eastAsia="en-GB"/>
        </w:rPr>
        <w:t xml:space="preserve"> not always consistent with each other.</w:t>
      </w:r>
      <w:r w:rsidR="00CA34AE" w:rsidRPr="00B36586">
        <w:rPr>
          <w:color w:val="000000"/>
          <w:lang w:eastAsia="en-GB"/>
        </w:rPr>
        <w:t xml:space="preserve"> </w:t>
      </w:r>
    </w:p>
    <w:p w14:paraId="53CCD89D" w14:textId="29483424" w:rsidR="002E4340" w:rsidRDefault="00127089" w:rsidP="002E4340">
      <w:pPr>
        <w:spacing w:after="120"/>
        <w:jc w:val="both"/>
        <w:rPr>
          <w:color w:val="000000"/>
          <w:lang w:eastAsia="en-GB"/>
        </w:rPr>
      </w:pPr>
      <w:r w:rsidRPr="00B36586">
        <w:rPr>
          <w:color w:val="000000"/>
          <w:lang w:eastAsia="en-GB"/>
        </w:rPr>
        <w:t>Assemblies can sometimes be further improved after an initial evaluation using manual completion</w:t>
      </w:r>
      <w:r w:rsidR="0075761F">
        <w:rPr>
          <w:color w:val="000000"/>
          <w:lang w:eastAsia="en-GB"/>
        </w:rPr>
        <w:t xml:space="preserve">. </w:t>
      </w:r>
      <w:r w:rsidR="00920081">
        <w:rPr>
          <w:color w:val="000000"/>
          <w:lang w:eastAsia="en-GB"/>
        </w:rPr>
        <w:t>W</w:t>
      </w:r>
      <w:r w:rsidR="003863B9" w:rsidRPr="00B36586">
        <w:rPr>
          <w:color w:val="000000"/>
          <w:lang w:eastAsia="en-GB"/>
        </w:rPr>
        <w:t xml:space="preserve">e did not investigate </w:t>
      </w:r>
      <w:r w:rsidRPr="00B36586">
        <w:rPr>
          <w:color w:val="000000"/>
          <w:lang w:eastAsia="en-GB"/>
        </w:rPr>
        <w:t>manual completion</w:t>
      </w:r>
      <w:r w:rsidR="003863B9" w:rsidRPr="00B36586">
        <w:rPr>
          <w:color w:val="000000"/>
          <w:lang w:eastAsia="en-GB"/>
        </w:rPr>
        <w:t xml:space="preserve"> </w:t>
      </w:r>
      <w:r w:rsidRPr="00B36586">
        <w:rPr>
          <w:color w:val="000000"/>
          <w:lang w:eastAsia="en-GB"/>
        </w:rPr>
        <w:t>for our hybrid assemblies</w:t>
      </w:r>
      <w:r w:rsidR="00146557" w:rsidRPr="00B36586">
        <w:rPr>
          <w:color w:val="000000"/>
          <w:lang w:eastAsia="en-GB"/>
        </w:rPr>
        <w:t xml:space="preserve"> because i</w:t>
      </w:r>
      <w:r w:rsidR="003863B9" w:rsidRPr="00B36586">
        <w:rPr>
          <w:color w:val="000000"/>
          <w:lang w:eastAsia="en-GB"/>
        </w:rPr>
        <w:t xml:space="preserve">n </w:t>
      </w:r>
      <w:r w:rsidR="0027650B">
        <w:rPr>
          <w:color w:val="000000"/>
          <w:lang w:eastAsia="en-GB"/>
        </w:rPr>
        <w:t>our experience</w:t>
      </w:r>
      <w:r w:rsidR="003863B9" w:rsidRPr="00B36586">
        <w:rPr>
          <w:color w:val="000000"/>
          <w:lang w:eastAsia="en-GB"/>
        </w:rPr>
        <w:t xml:space="preserve"> </w:t>
      </w:r>
      <w:r w:rsidR="00712285" w:rsidRPr="00B36586">
        <w:rPr>
          <w:color w:val="000000"/>
          <w:lang w:eastAsia="en-GB"/>
        </w:rPr>
        <w:t>it</w:t>
      </w:r>
      <w:r w:rsidR="003863B9" w:rsidRPr="00B36586">
        <w:rPr>
          <w:color w:val="000000"/>
          <w:lang w:eastAsia="en-GB"/>
        </w:rPr>
        <w:t xml:space="preserve"> is hard to replicate, has not been benchmarked and validated, is more easily biased, and is not feasible for processing large numbers of isolates</w:t>
      </w:r>
      <w:r w:rsidR="002E5B8D">
        <w:rPr>
          <w:color w:val="000000"/>
          <w:lang w:eastAsia="en-GB"/>
        </w:rPr>
        <w:t xml:space="preserve"> (hundreds or thousands)</w:t>
      </w:r>
      <w:r w:rsidR="003863B9" w:rsidRPr="00B36586">
        <w:rPr>
          <w:color w:val="000000"/>
          <w:lang w:eastAsia="en-GB"/>
        </w:rPr>
        <w:t>.</w:t>
      </w:r>
      <w:r w:rsidRPr="00B36586">
        <w:rPr>
          <w:color w:val="000000"/>
          <w:lang w:eastAsia="en-GB"/>
        </w:rPr>
        <w:t xml:space="preserve"> </w:t>
      </w:r>
      <w:r w:rsidR="0027650B">
        <w:rPr>
          <w:color w:val="000000"/>
          <w:lang w:eastAsia="en-GB"/>
        </w:rPr>
        <w:t xml:space="preserve">However, </w:t>
      </w:r>
      <w:r w:rsidR="00CB02FE">
        <w:rPr>
          <w:color w:val="000000"/>
          <w:lang w:eastAsia="en-GB"/>
        </w:rPr>
        <w:t xml:space="preserve">it may be appropriate for other research settings. </w:t>
      </w:r>
      <w:r w:rsidR="00994F63">
        <w:rPr>
          <w:color w:val="000000"/>
          <w:lang w:eastAsia="en-GB"/>
        </w:rPr>
        <w:t>W</w:t>
      </w:r>
      <w:r w:rsidR="00310637">
        <w:rPr>
          <w:color w:val="000000"/>
          <w:lang w:eastAsia="en-GB"/>
        </w:rPr>
        <w:t>hile we compared</w:t>
      </w:r>
      <w:r w:rsidR="00913691">
        <w:rPr>
          <w:color w:val="000000"/>
          <w:lang w:eastAsia="en-GB"/>
        </w:rPr>
        <w:t xml:space="preserve"> a </w:t>
      </w:r>
      <w:r w:rsidR="00913691">
        <w:rPr>
          <w:rFonts w:hint="eastAsia"/>
          <w:color w:val="000000"/>
          <w:lang w:eastAsia="en-GB"/>
        </w:rPr>
        <w:t>hybrid</w:t>
      </w:r>
      <w:r w:rsidR="00913691">
        <w:rPr>
          <w:color w:val="000000"/>
          <w:lang w:eastAsia="en-GB"/>
        </w:rPr>
        <w:t xml:space="preserve"> approach</w:t>
      </w:r>
      <w:r w:rsidR="00310637">
        <w:rPr>
          <w:color w:val="000000"/>
          <w:lang w:eastAsia="en-GB"/>
        </w:rPr>
        <w:t xml:space="preserve"> to </w:t>
      </w:r>
      <w:r w:rsidR="00F96CA0">
        <w:rPr>
          <w:color w:val="000000"/>
          <w:lang w:eastAsia="en-GB"/>
        </w:rPr>
        <w:t>long-read only assembly with Flye</w:t>
      </w:r>
      <w:r w:rsidR="00913691">
        <w:rPr>
          <w:color w:val="000000"/>
          <w:lang w:eastAsia="en-GB"/>
        </w:rPr>
        <w:t xml:space="preserve"> and subsequent polishing with Pilon</w:t>
      </w:r>
      <w:r w:rsidR="003C51C6">
        <w:rPr>
          <w:color w:val="000000"/>
          <w:lang w:eastAsia="en-GB"/>
        </w:rPr>
        <w:t xml:space="preserve">, which is significantly faster than Unicycler, we </w:t>
      </w:r>
      <w:r w:rsidR="00994F63">
        <w:rPr>
          <w:color w:val="000000"/>
          <w:lang w:eastAsia="en-GB"/>
        </w:rPr>
        <w:t>did not investigate all possible options for assembly involving long</w:t>
      </w:r>
      <w:r w:rsidR="004B4D9B">
        <w:rPr>
          <w:color w:val="000000"/>
          <w:lang w:eastAsia="en-GB"/>
        </w:rPr>
        <w:t xml:space="preserve"> </w:t>
      </w:r>
      <w:r w:rsidR="00994F63">
        <w:rPr>
          <w:color w:val="000000"/>
          <w:lang w:eastAsia="en-GB"/>
        </w:rPr>
        <w:t>reads</w:t>
      </w:r>
      <w:r w:rsidR="00F93F94">
        <w:rPr>
          <w:color w:val="000000"/>
          <w:lang w:eastAsia="en-GB"/>
        </w:rPr>
        <w:t>, which may represent other potential options for closing assemblies</w:t>
      </w:r>
      <w:r w:rsidR="00994F63">
        <w:rPr>
          <w:color w:val="000000"/>
          <w:lang w:eastAsia="en-GB"/>
        </w:rPr>
        <w:t xml:space="preserve">. </w:t>
      </w:r>
      <w:r w:rsidR="00146557" w:rsidRPr="00B36586">
        <w:rPr>
          <w:color w:val="000000"/>
          <w:lang w:eastAsia="en-GB"/>
        </w:rPr>
        <w:t xml:space="preserve">We did not identify any published, publicly available tools developed to specifically handle </w:t>
      </w:r>
      <w:r w:rsidR="00146557" w:rsidRPr="00B36586">
        <w:rPr>
          <w:color w:val="000000"/>
          <w:lang w:eastAsia="en-GB"/>
        </w:rPr>
        <w:lastRenderedPageBreak/>
        <w:t xml:space="preserve">PacBio+Illumina hybrid assembly, although some research groups may have implemented and validated these in-house. </w:t>
      </w:r>
      <w:r w:rsidR="004E3961" w:rsidRPr="00B36586">
        <w:rPr>
          <w:color w:val="000000"/>
          <w:lang w:eastAsia="en-GB"/>
        </w:rPr>
        <w:t xml:space="preserve">Finally, </w:t>
      </w:r>
      <w:r w:rsidRPr="00B36586">
        <w:rPr>
          <w:color w:val="000000"/>
          <w:lang w:eastAsia="en-GB"/>
        </w:rPr>
        <w:t>we did not investigate the effect of different basecallers. T</w:t>
      </w:r>
      <w:r w:rsidR="004E3961" w:rsidRPr="00B36586">
        <w:rPr>
          <w:color w:val="000000"/>
          <w:lang w:eastAsia="en-GB"/>
        </w:rPr>
        <w:t xml:space="preserve">he evolution of both technologies and post-sequencing processing of data generated by both ONT and PacBio platforms is rapid, and </w:t>
      </w:r>
      <w:r w:rsidR="00CB6C05" w:rsidRPr="00B36586">
        <w:rPr>
          <w:color w:val="000000"/>
          <w:lang w:eastAsia="en-GB"/>
        </w:rPr>
        <w:t xml:space="preserve">recent </w:t>
      </w:r>
      <w:r w:rsidR="004E3961" w:rsidRPr="00B36586">
        <w:rPr>
          <w:color w:val="000000"/>
          <w:lang w:eastAsia="en-GB"/>
        </w:rPr>
        <w:t>advances have been made</w:t>
      </w:r>
      <w:r w:rsidR="00CB6C05" w:rsidRPr="00B36586">
        <w:rPr>
          <w:color w:val="000000"/>
          <w:lang w:eastAsia="en-GB"/>
        </w:rPr>
        <w:t xml:space="preserve"> e.g.</w:t>
      </w:r>
      <w:r w:rsidR="004E3961" w:rsidRPr="00B36586">
        <w:rPr>
          <w:color w:val="000000"/>
          <w:lang w:eastAsia="en-GB"/>
        </w:rPr>
        <w:t xml:space="preserve"> in basecalling</w:t>
      </w:r>
      <w:r w:rsidR="00CB6C05" w:rsidRPr="00B36586">
        <w:rPr>
          <w:color w:val="000000"/>
          <w:lang w:eastAsia="en-GB"/>
        </w:rPr>
        <w:t xml:space="preserve"> with </w:t>
      </w:r>
      <w:r w:rsidR="004E3961" w:rsidRPr="00B36586">
        <w:rPr>
          <w:color w:val="000000"/>
          <w:lang w:eastAsia="en-GB"/>
        </w:rPr>
        <w:t xml:space="preserve">the switch from Albacore to Guppy for ONT data. Our assumption is that </w:t>
      </w:r>
      <w:r w:rsidR="00893971" w:rsidRPr="00B36586">
        <w:rPr>
          <w:color w:val="000000"/>
          <w:lang w:eastAsia="en-GB"/>
        </w:rPr>
        <w:t xml:space="preserve">such </w:t>
      </w:r>
      <w:r w:rsidR="00CB6C05" w:rsidRPr="00B36586">
        <w:rPr>
          <w:color w:val="000000"/>
          <w:lang w:eastAsia="en-GB"/>
        </w:rPr>
        <w:t xml:space="preserve">advances which improve read quality </w:t>
      </w:r>
      <w:r w:rsidRPr="00B36586">
        <w:rPr>
          <w:color w:val="000000"/>
          <w:lang w:eastAsia="en-GB"/>
        </w:rPr>
        <w:t xml:space="preserve">and basecalling </w:t>
      </w:r>
      <w:r w:rsidR="00CB6C05" w:rsidRPr="00B36586">
        <w:rPr>
          <w:color w:val="000000"/>
          <w:lang w:eastAsia="en-GB"/>
        </w:rPr>
        <w:t xml:space="preserve">will improve assembly quality, </w:t>
      </w:r>
      <w:r w:rsidR="004E3961" w:rsidRPr="00B36586">
        <w:rPr>
          <w:color w:val="000000"/>
          <w:lang w:eastAsia="en-GB"/>
        </w:rPr>
        <w:t xml:space="preserve">but we have not </w:t>
      </w:r>
      <w:r w:rsidR="00CB6C05" w:rsidRPr="00B36586">
        <w:rPr>
          <w:color w:val="000000"/>
          <w:lang w:eastAsia="en-GB"/>
        </w:rPr>
        <w:t xml:space="preserve">carried out </w:t>
      </w:r>
      <w:r w:rsidR="004E3961" w:rsidRPr="00B36586">
        <w:rPr>
          <w:color w:val="000000"/>
          <w:lang w:eastAsia="en-GB"/>
        </w:rPr>
        <w:t>specific comparisons</w:t>
      </w:r>
      <w:r w:rsidRPr="00B36586">
        <w:rPr>
          <w:color w:val="000000"/>
          <w:lang w:eastAsia="en-GB"/>
        </w:rPr>
        <w:t>.</w:t>
      </w:r>
    </w:p>
    <w:p w14:paraId="3809FCEF" w14:textId="67D8107E" w:rsidR="007D560F" w:rsidRPr="002E4340" w:rsidRDefault="002E565F" w:rsidP="002E4340">
      <w:pPr>
        <w:spacing w:after="120"/>
        <w:jc w:val="both"/>
        <w:rPr>
          <w:color w:val="000000"/>
          <w:lang w:eastAsia="en-GB"/>
        </w:rPr>
      </w:pPr>
      <w:r w:rsidRPr="00B36586">
        <w:rPr>
          <w:color w:val="000000"/>
          <w:lang w:eastAsia="en-GB"/>
        </w:rPr>
        <w:t>In conclusion, reference-grade, complete</w:t>
      </w:r>
      <w:r w:rsidR="000D0AB9" w:rsidRPr="00B36586">
        <w:rPr>
          <w:color w:val="000000"/>
          <w:lang w:eastAsia="en-GB"/>
        </w:rPr>
        <w:t xml:space="preserve"> </w:t>
      </w:r>
      <w:r w:rsidRPr="00B36586">
        <w:rPr>
          <w:color w:val="000000"/>
          <w:lang w:eastAsia="en-GB"/>
        </w:rPr>
        <w:t>hybrid assemblies can be effectively generated for complex bacterial genomes including multiple plasmids</w:t>
      </w:r>
      <w:r w:rsidR="00903BC4">
        <w:rPr>
          <w:color w:val="000000"/>
          <w:lang w:eastAsia="en-GB"/>
        </w:rPr>
        <w:t xml:space="preserve">. </w:t>
      </w:r>
      <w:r w:rsidR="001D723E">
        <w:rPr>
          <w:color w:val="000000"/>
          <w:lang w:eastAsia="en-GB"/>
        </w:rPr>
        <w:t xml:space="preserve">Although </w:t>
      </w:r>
      <w:r w:rsidR="00D705BA">
        <w:rPr>
          <w:color w:val="000000"/>
          <w:lang w:eastAsia="en-GB"/>
        </w:rPr>
        <w:t>hybrid assembly with Unicycler</w:t>
      </w:r>
      <w:r w:rsidR="001D723E">
        <w:rPr>
          <w:color w:val="000000"/>
          <w:lang w:eastAsia="en-GB"/>
        </w:rPr>
        <w:t xml:space="preserve"> has disadvantages</w:t>
      </w:r>
      <w:r w:rsidR="004E3061">
        <w:rPr>
          <w:color w:val="000000"/>
          <w:lang w:eastAsia="en-GB"/>
        </w:rPr>
        <w:t xml:space="preserve"> </w:t>
      </w:r>
      <w:r w:rsidR="00A0310A">
        <w:rPr>
          <w:color w:val="000000"/>
          <w:lang w:eastAsia="en-GB"/>
        </w:rPr>
        <w:t>(</w:t>
      </w:r>
      <w:r w:rsidR="004E3061">
        <w:rPr>
          <w:color w:val="000000"/>
          <w:lang w:eastAsia="en-GB"/>
        </w:rPr>
        <w:t>such as longer runtime</w:t>
      </w:r>
      <w:r w:rsidR="00A0310A">
        <w:rPr>
          <w:color w:val="000000"/>
          <w:lang w:eastAsia="en-GB"/>
        </w:rPr>
        <w:t>s)</w:t>
      </w:r>
      <w:r w:rsidR="00215C9D">
        <w:rPr>
          <w:color w:val="000000"/>
          <w:lang w:eastAsia="en-GB"/>
        </w:rPr>
        <w:t>,</w:t>
      </w:r>
      <w:r w:rsidR="001D723E">
        <w:rPr>
          <w:color w:val="000000"/>
          <w:lang w:eastAsia="en-GB"/>
        </w:rPr>
        <w:t xml:space="preserve"> </w:t>
      </w:r>
      <w:r w:rsidR="00A27BFD">
        <w:rPr>
          <w:color w:val="000000"/>
          <w:lang w:eastAsia="en-GB"/>
        </w:rPr>
        <w:t>it</w:t>
      </w:r>
      <w:r w:rsidR="004E3061">
        <w:rPr>
          <w:color w:val="000000"/>
          <w:lang w:eastAsia="en-GB"/>
        </w:rPr>
        <w:t xml:space="preserve"> </w:t>
      </w:r>
      <w:r w:rsidR="0043608B">
        <w:rPr>
          <w:color w:val="000000"/>
          <w:lang w:eastAsia="en-GB"/>
        </w:rPr>
        <w:t>gave</w:t>
      </w:r>
      <w:r w:rsidR="00B02ECB">
        <w:rPr>
          <w:color w:val="000000"/>
          <w:lang w:eastAsia="en-GB"/>
        </w:rPr>
        <w:t xml:space="preserve"> </w:t>
      </w:r>
      <w:r w:rsidR="00E961EB">
        <w:rPr>
          <w:color w:val="000000"/>
          <w:lang w:eastAsia="en-GB"/>
        </w:rPr>
        <w:t>generall</w:t>
      </w:r>
      <w:r w:rsidR="00EA6CD0">
        <w:rPr>
          <w:color w:val="000000"/>
          <w:lang w:eastAsia="en-GB"/>
        </w:rPr>
        <w:t xml:space="preserve">y </w:t>
      </w:r>
      <w:r w:rsidR="00B02ECB">
        <w:rPr>
          <w:color w:val="000000"/>
          <w:lang w:eastAsia="en-GB"/>
        </w:rPr>
        <w:t xml:space="preserve">similar results to long-read only assembly followed by short-read polishing </w:t>
      </w:r>
      <w:r w:rsidR="00903BC4">
        <w:rPr>
          <w:color w:val="000000"/>
          <w:lang w:eastAsia="en-GB"/>
        </w:rPr>
        <w:t>for both ONT and PacBi</w:t>
      </w:r>
      <w:r w:rsidR="00A64CF3">
        <w:rPr>
          <w:color w:val="000000"/>
          <w:lang w:eastAsia="en-GB"/>
        </w:rPr>
        <w:t xml:space="preserve">o. It also </w:t>
      </w:r>
      <w:r w:rsidR="00C43574">
        <w:rPr>
          <w:color w:val="000000"/>
          <w:lang w:eastAsia="en-GB"/>
        </w:rPr>
        <w:t>offers</w:t>
      </w:r>
      <w:r w:rsidR="001D7585">
        <w:rPr>
          <w:color w:val="000000"/>
          <w:lang w:eastAsia="en-GB"/>
        </w:rPr>
        <w:t xml:space="preserve"> some specific advantages</w:t>
      </w:r>
      <w:r w:rsidR="005B30D4">
        <w:rPr>
          <w:color w:val="000000"/>
          <w:lang w:eastAsia="en-GB"/>
        </w:rPr>
        <w:t xml:space="preserve">: </w:t>
      </w:r>
      <w:r w:rsidR="00E330B2">
        <w:rPr>
          <w:color w:val="000000"/>
          <w:lang w:eastAsia="en-GB"/>
        </w:rPr>
        <w:t>improved quality</w:t>
      </w:r>
      <w:r w:rsidR="00316DE8">
        <w:rPr>
          <w:color w:val="000000"/>
          <w:lang w:eastAsia="en-GB"/>
        </w:rPr>
        <w:t xml:space="preserve"> (for ONT)</w:t>
      </w:r>
      <w:r w:rsidR="00E330B2">
        <w:rPr>
          <w:color w:val="000000"/>
          <w:lang w:eastAsia="en-GB"/>
        </w:rPr>
        <w:t xml:space="preserve"> and recovery of small plasmids</w:t>
      </w:r>
      <w:r w:rsidR="00090AED">
        <w:rPr>
          <w:color w:val="000000"/>
          <w:lang w:eastAsia="en-GB"/>
        </w:rPr>
        <w:t xml:space="preserve"> (for PacBio)</w:t>
      </w:r>
      <w:r w:rsidR="0051349A">
        <w:rPr>
          <w:color w:val="000000"/>
          <w:lang w:eastAsia="en-GB"/>
        </w:rPr>
        <w:t xml:space="preserve">. </w:t>
      </w:r>
      <w:r w:rsidR="00271859">
        <w:rPr>
          <w:color w:val="000000"/>
          <w:lang w:eastAsia="en-GB"/>
        </w:rPr>
        <w:t xml:space="preserve">We have shown that </w:t>
      </w:r>
      <w:r w:rsidR="003863B9" w:rsidRPr="00B36586">
        <w:rPr>
          <w:color w:val="000000"/>
          <w:lang w:eastAsia="en-GB"/>
        </w:rPr>
        <w:t xml:space="preserve">using </w:t>
      </w:r>
      <w:r w:rsidR="00271859">
        <w:rPr>
          <w:color w:val="000000"/>
          <w:lang w:eastAsia="en-GB"/>
        </w:rPr>
        <w:t xml:space="preserve">multiplexing on </w:t>
      </w:r>
      <w:r w:rsidR="003863B9" w:rsidRPr="00B36586">
        <w:rPr>
          <w:color w:val="000000"/>
          <w:lang w:eastAsia="en-GB"/>
        </w:rPr>
        <w:t>ONT platforms in combination with Illumina data</w:t>
      </w:r>
      <w:r w:rsidR="00271859">
        <w:rPr>
          <w:color w:val="000000"/>
          <w:lang w:eastAsia="en-GB"/>
        </w:rPr>
        <w:t xml:space="preserve"> is </w:t>
      </w:r>
      <w:r w:rsidR="008B2BCE">
        <w:rPr>
          <w:color w:val="000000"/>
          <w:lang w:eastAsia="en-GB"/>
        </w:rPr>
        <w:t>a viable option</w:t>
      </w:r>
      <w:r w:rsidR="00ED2038">
        <w:rPr>
          <w:color w:val="000000"/>
          <w:lang w:eastAsia="en-GB"/>
        </w:rPr>
        <w:t xml:space="preserve"> for </w:t>
      </w:r>
      <w:r w:rsidR="00704385">
        <w:rPr>
          <w:color w:val="000000"/>
          <w:lang w:eastAsia="en-GB"/>
        </w:rPr>
        <w:t>the</w:t>
      </w:r>
      <w:r w:rsidR="00ED2038">
        <w:rPr>
          <w:color w:val="000000"/>
          <w:lang w:eastAsia="en-GB"/>
        </w:rPr>
        <w:t xml:space="preserve"> </w:t>
      </w:r>
      <w:r w:rsidR="00BC7281">
        <w:rPr>
          <w:color w:val="000000"/>
          <w:lang w:eastAsia="en-GB"/>
        </w:rPr>
        <w:t>routine</w:t>
      </w:r>
      <w:r w:rsidR="00913691">
        <w:rPr>
          <w:color w:val="000000"/>
          <w:lang w:eastAsia="en-GB"/>
        </w:rPr>
        <w:t>,</w:t>
      </w:r>
      <w:r w:rsidR="00BC7281">
        <w:rPr>
          <w:color w:val="000000"/>
          <w:lang w:eastAsia="en-GB"/>
        </w:rPr>
        <w:t xml:space="preserve"> </w:t>
      </w:r>
      <w:r w:rsidR="00ED2038">
        <w:rPr>
          <w:color w:val="000000"/>
          <w:lang w:eastAsia="en-GB"/>
        </w:rPr>
        <w:t xml:space="preserve">automated generation of </w:t>
      </w:r>
      <w:r w:rsidR="00913691">
        <w:rPr>
          <w:color w:val="000000"/>
          <w:lang w:eastAsia="en-GB"/>
        </w:rPr>
        <w:t xml:space="preserve">high-quality </w:t>
      </w:r>
      <w:r w:rsidR="003F7AF2">
        <w:rPr>
          <w:color w:val="000000"/>
          <w:lang w:eastAsia="en-GB"/>
        </w:rPr>
        <w:t>reference</w:t>
      </w:r>
      <w:r w:rsidR="00913691">
        <w:rPr>
          <w:color w:val="000000"/>
          <w:lang w:eastAsia="en-GB"/>
        </w:rPr>
        <w:t>-grade</w:t>
      </w:r>
      <w:r w:rsidR="00ED2038">
        <w:rPr>
          <w:color w:val="000000"/>
          <w:lang w:eastAsia="en-GB"/>
        </w:rPr>
        <w:t xml:space="preserve"> assemblies</w:t>
      </w:r>
      <w:r w:rsidRPr="00B36586">
        <w:rPr>
          <w:color w:val="000000"/>
          <w:lang w:eastAsia="en-GB"/>
        </w:rPr>
        <w:t xml:space="preserve">. Given the average yields </w:t>
      </w:r>
      <w:r w:rsidR="00BF0F0D" w:rsidRPr="00B36586">
        <w:rPr>
          <w:color w:val="000000"/>
          <w:lang w:eastAsia="en-GB"/>
        </w:rPr>
        <w:t xml:space="preserve">that can be </w:t>
      </w:r>
      <w:r w:rsidRPr="00B36586">
        <w:rPr>
          <w:color w:val="000000"/>
          <w:lang w:eastAsia="en-GB"/>
        </w:rPr>
        <w:t>generate</w:t>
      </w:r>
      <w:r w:rsidR="00BF0F0D" w:rsidRPr="00B36586">
        <w:rPr>
          <w:color w:val="000000"/>
          <w:lang w:eastAsia="en-GB"/>
        </w:rPr>
        <w:t>d</w:t>
      </w:r>
      <w:r w:rsidRPr="00B36586">
        <w:rPr>
          <w:color w:val="000000"/>
          <w:lang w:eastAsia="en-GB"/>
        </w:rPr>
        <w:t xml:space="preserve"> with these devices, it </w:t>
      </w:r>
      <w:r w:rsidR="00997E58">
        <w:rPr>
          <w:color w:val="000000"/>
          <w:lang w:eastAsia="en-GB"/>
        </w:rPr>
        <w:t>is now</w:t>
      </w:r>
      <w:r w:rsidRPr="00B36586">
        <w:rPr>
          <w:color w:val="000000"/>
          <w:lang w:eastAsia="en-GB"/>
        </w:rPr>
        <w:t xml:space="preserve"> feasible to </w:t>
      </w:r>
      <w:r w:rsidR="00570156" w:rsidRPr="00B36586">
        <w:rPr>
          <w:color w:val="000000"/>
          <w:lang w:eastAsia="en-GB"/>
        </w:rPr>
        <w:t xml:space="preserve">comfortably </w:t>
      </w:r>
      <w:r w:rsidRPr="00B36586">
        <w:rPr>
          <w:color w:val="000000"/>
          <w:lang w:eastAsia="en-GB"/>
        </w:rPr>
        <w:t xml:space="preserve">multiplex </w:t>
      </w:r>
      <w:r w:rsidR="0008275F">
        <w:rPr>
          <w:color w:val="000000"/>
          <w:lang w:eastAsia="en-GB"/>
        </w:rPr>
        <w:t xml:space="preserve">at least </w:t>
      </w:r>
      <w:r w:rsidR="004E3961" w:rsidRPr="00B36586">
        <w:rPr>
          <w:color w:val="000000"/>
          <w:lang w:eastAsia="en-GB"/>
        </w:rPr>
        <w:t>eight</w:t>
      </w:r>
      <w:r w:rsidRPr="00B36586">
        <w:rPr>
          <w:color w:val="000000"/>
          <w:lang w:eastAsia="en-GB"/>
        </w:rPr>
        <w:t xml:space="preserve"> </w:t>
      </w:r>
      <w:r w:rsidR="008A3389" w:rsidRPr="00B36586">
        <w:rPr>
          <w:color w:val="000000"/>
          <w:lang w:eastAsia="en-GB"/>
        </w:rPr>
        <w:t>Enterobacteria</w:t>
      </w:r>
      <w:r w:rsidR="00570156" w:rsidRPr="00B36586">
        <w:rPr>
          <w:color w:val="000000"/>
          <w:lang w:eastAsia="en-GB"/>
        </w:rPr>
        <w:t xml:space="preserve">ceae </w:t>
      </w:r>
      <w:r w:rsidRPr="00B36586">
        <w:rPr>
          <w:color w:val="000000"/>
          <w:lang w:eastAsia="en-GB"/>
        </w:rPr>
        <w:t xml:space="preserve">isolates per </w:t>
      </w:r>
      <w:r w:rsidR="004E3961" w:rsidRPr="00B36586">
        <w:rPr>
          <w:color w:val="000000"/>
          <w:lang w:eastAsia="en-GB"/>
        </w:rPr>
        <w:t xml:space="preserve">ONT </w:t>
      </w:r>
      <w:r w:rsidRPr="00B36586">
        <w:rPr>
          <w:color w:val="000000"/>
          <w:lang w:eastAsia="en-GB"/>
        </w:rPr>
        <w:t xml:space="preserve">flowcell. </w:t>
      </w:r>
      <w:r w:rsidR="007323F9" w:rsidRPr="00B36586">
        <w:rPr>
          <w:color w:val="000000"/>
          <w:lang w:eastAsia="en-GB"/>
        </w:rPr>
        <w:t xml:space="preserve">At current listed cost prices, this </w:t>
      </w:r>
      <w:r w:rsidR="004C1693">
        <w:rPr>
          <w:color w:val="000000"/>
          <w:lang w:eastAsia="en-GB"/>
        </w:rPr>
        <w:t xml:space="preserve">would </w:t>
      </w:r>
      <w:r w:rsidR="007323F9" w:rsidRPr="00B36586">
        <w:rPr>
          <w:color w:val="000000"/>
          <w:lang w:eastAsia="en-GB"/>
        </w:rPr>
        <w:t xml:space="preserve">represent a cost </w:t>
      </w:r>
      <w:r w:rsidR="00C853AF">
        <w:rPr>
          <w:color w:val="000000"/>
          <w:lang w:eastAsia="en-GB"/>
        </w:rPr>
        <w:t>of the</w:t>
      </w:r>
      <w:r w:rsidR="006B1290">
        <w:rPr>
          <w:color w:val="000000"/>
          <w:lang w:eastAsia="en-GB"/>
        </w:rPr>
        <w:t xml:space="preserve"> order of </w:t>
      </w:r>
      <w:r w:rsidR="007323F9" w:rsidRPr="00B36586">
        <w:rPr>
          <w:color w:val="000000"/>
          <w:lang w:eastAsia="en-GB"/>
        </w:rPr>
        <w:t>~£100</w:t>
      </w:r>
      <w:r w:rsidR="00050573">
        <w:rPr>
          <w:color w:val="000000"/>
          <w:lang w:eastAsia="en-GB"/>
        </w:rPr>
        <w:t xml:space="preserve"> per </w:t>
      </w:r>
      <w:r w:rsidR="007323F9" w:rsidRPr="00B36586">
        <w:rPr>
          <w:color w:val="000000"/>
          <w:lang w:eastAsia="en-GB"/>
        </w:rPr>
        <w:t xml:space="preserve">hybrid assembly (all laboratory and sequencing consumables costs </w:t>
      </w:r>
      <w:r w:rsidR="00A9600E">
        <w:rPr>
          <w:color w:val="000000"/>
          <w:lang w:eastAsia="en-GB"/>
        </w:rPr>
        <w:t>for both Illumina and ONT</w:t>
      </w:r>
      <w:r w:rsidR="007323F9" w:rsidRPr="00B36586">
        <w:rPr>
          <w:color w:val="000000"/>
          <w:lang w:eastAsia="en-GB"/>
        </w:rPr>
        <w:t>).</w:t>
      </w:r>
    </w:p>
    <w:p w14:paraId="7ACA9F08" w14:textId="77777777" w:rsidR="00476ABF" w:rsidRPr="00B36586" w:rsidRDefault="00A8260B" w:rsidP="00223FA0">
      <w:pPr>
        <w:jc w:val="both"/>
        <w:rPr>
          <w:u w:val="single"/>
        </w:rPr>
      </w:pPr>
      <w:r w:rsidRPr="00A8260B">
        <w:rPr>
          <w:noProof/>
          <w14:ligatures w14:val="none"/>
        </w:rPr>
        <w:pict w14:anchorId="4F7BBD93">
          <v:rect id="_x0000_i1028" alt="" style="width:451.3pt;height:.05pt;mso-width-percent:0;mso-height-percent:0;mso-width-percent:0;mso-height-percent:0" o:hralign="center" o:hrstd="t" o:hr="t" fillcolor="#a0a0a0" stroked="f"/>
        </w:pict>
      </w:r>
    </w:p>
    <w:p w14:paraId="4144CA77" w14:textId="77777777" w:rsidR="00230CE4" w:rsidRDefault="00AE29F6" w:rsidP="00230CE4">
      <w:pPr>
        <w:spacing w:after="120"/>
        <w:jc w:val="both"/>
        <w:rPr>
          <w:b/>
          <w:color w:val="008461" w:themeColor="accent3"/>
          <w:sz w:val="32"/>
          <w:szCs w:val="32"/>
        </w:rPr>
      </w:pPr>
      <w:r w:rsidRPr="00B36586">
        <w:rPr>
          <w:b/>
          <w:color w:val="008461" w:themeColor="accent3"/>
          <w:sz w:val="32"/>
          <w:szCs w:val="32"/>
        </w:rPr>
        <w:t>AUTHOR STATEMENTS</w:t>
      </w:r>
    </w:p>
    <w:p w14:paraId="1B6C8B10" w14:textId="77777777" w:rsidR="00A422A3" w:rsidRDefault="00C56843" w:rsidP="00A422A3">
      <w:pPr>
        <w:spacing w:after="120"/>
        <w:jc w:val="both"/>
        <w:rPr>
          <w:b/>
          <w:color w:val="008461" w:themeColor="accent3"/>
          <w:sz w:val="32"/>
          <w:szCs w:val="32"/>
        </w:rPr>
      </w:pPr>
      <w:r w:rsidRPr="00B36586">
        <w:rPr>
          <w:b/>
        </w:rPr>
        <w:t>Authors and contributors</w:t>
      </w:r>
    </w:p>
    <w:p w14:paraId="21F31825" w14:textId="29617905" w:rsidR="002E4340" w:rsidRPr="00A422A3" w:rsidRDefault="008A3389" w:rsidP="00A422A3">
      <w:pPr>
        <w:spacing w:after="120"/>
        <w:jc w:val="both"/>
        <w:rPr>
          <w:b/>
          <w:color w:val="008461" w:themeColor="accent3"/>
          <w:sz w:val="32"/>
          <w:szCs w:val="32"/>
        </w:rPr>
      </w:pPr>
      <w:r w:rsidRPr="00B36586">
        <w:t>Conceptualisation: NdM, ASW, TEAP, DWC, NSt; Methodology: NdM, L</w:t>
      </w:r>
      <w:r w:rsidR="007C10B0" w:rsidRPr="00B36586">
        <w:t>P</w:t>
      </w:r>
      <w:r w:rsidRPr="00B36586">
        <w:t xml:space="preserve">S, RW, NSt; Software: NdM, </w:t>
      </w:r>
      <w:r w:rsidR="00541E7D" w:rsidRPr="00B36586">
        <w:t>LPS</w:t>
      </w:r>
      <w:r w:rsidRPr="00B36586">
        <w:t xml:space="preserve">, RW, AS, NSa, JS; Formal analysis: NdM, </w:t>
      </w:r>
      <w:r w:rsidR="00913F35" w:rsidRPr="00B36586">
        <w:t>LPS</w:t>
      </w:r>
      <w:r w:rsidRPr="00B36586">
        <w:t>, NSt; Investigation: AH, SG, MAb, ES; Resources: MA, DR, DWC, ASW, TEAP, S</w:t>
      </w:r>
      <w:r w:rsidR="00A35FBB" w:rsidRPr="00B36586">
        <w:t>J</w:t>
      </w:r>
      <w:r w:rsidRPr="00B36586">
        <w:t>H, NS</w:t>
      </w:r>
      <w:r w:rsidR="00A35FBB" w:rsidRPr="00B36586">
        <w:t>t</w:t>
      </w:r>
      <w:r w:rsidRPr="00B36586">
        <w:t xml:space="preserve">; Data curation: MAb, ES, NdM, </w:t>
      </w:r>
      <w:r w:rsidR="00DD5385" w:rsidRPr="00B36586">
        <w:t>LPS</w:t>
      </w:r>
      <w:r w:rsidRPr="00B36586">
        <w:t>, NS</w:t>
      </w:r>
      <w:r w:rsidR="00A35FBB" w:rsidRPr="00B36586">
        <w:t>t</w:t>
      </w:r>
      <w:r w:rsidRPr="00B36586">
        <w:t xml:space="preserve">; Writing - original draft preparation: NdM, </w:t>
      </w:r>
      <w:r w:rsidR="00DD5385" w:rsidRPr="00B36586">
        <w:t>LPS</w:t>
      </w:r>
      <w:r w:rsidRPr="00B36586">
        <w:t>, SG, ASW, NS</w:t>
      </w:r>
      <w:r w:rsidR="00A35FBB" w:rsidRPr="00B36586">
        <w:t>t</w:t>
      </w:r>
      <w:r w:rsidRPr="00B36586">
        <w:t xml:space="preserve">; Writing - review and editing: All authors; Visualisation: NdM, </w:t>
      </w:r>
      <w:r w:rsidR="00DD5385" w:rsidRPr="00B36586">
        <w:t>LPS</w:t>
      </w:r>
      <w:r w:rsidRPr="00B36586">
        <w:t>, NS</w:t>
      </w:r>
      <w:r w:rsidR="00A35FBB" w:rsidRPr="00B36586">
        <w:t>t</w:t>
      </w:r>
      <w:r w:rsidRPr="00B36586">
        <w:t>; Supervision: MA, DR, DWC, NS</w:t>
      </w:r>
      <w:r w:rsidR="00A35FBB" w:rsidRPr="00B36586">
        <w:t>t</w:t>
      </w:r>
      <w:r w:rsidRPr="00B36586">
        <w:t>; Project administration: S</w:t>
      </w:r>
      <w:r w:rsidR="00A35FBB" w:rsidRPr="00B36586">
        <w:t>J</w:t>
      </w:r>
      <w:r w:rsidRPr="00B36586">
        <w:t>H, MA, DR, NS</w:t>
      </w:r>
      <w:r w:rsidR="00A35FBB" w:rsidRPr="00B36586">
        <w:t>t; Funding: MA, DR, DWC</w:t>
      </w:r>
      <w:r w:rsidRPr="00B36586">
        <w:t>, NS</w:t>
      </w:r>
      <w:r w:rsidR="00A35FBB" w:rsidRPr="00B36586">
        <w:t>t</w:t>
      </w:r>
      <w:r w:rsidRPr="00B36586">
        <w:t>.</w:t>
      </w:r>
    </w:p>
    <w:p w14:paraId="54773C8A" w14:textId="77777777" w:rsidR="002E4340" w:rsidRDefault="00C56843" w:rsidP="00A422A3">
      <w:pPr>
        <w:spacing w:after="120"/>
        <w:jc w:val="both"/>
        <w:rPr>
          <w:b/>
        </w:rPr>
      </w:pPr>
      <w:r w:rsidRPr="00B36586">
        <w:rPr>
          <w:b/>
        </w:rPr>
        <w:t>Conflicts of interest</w:t>
      </w:r>
    </w:p>
    <w:p w14:paraId="5AF13C71" w14:textId="77777777" w:rsidR="002E4340" w:rsidRDefault="008A3389" w:rsidP="002E4340">
      <w:pPr>
        <w:spacing w:after="120" w:line="276" w:lineRule="auto"/>
        <w:jc w:val="both"/>
      </w:pPr>
      <w:r w:rsidRPr="00B36586">
        <w:t>The authors have no conflicts of interest to declare.</w:t>
      </w:r>
    </w:p>
    <w:p w14:paraId="67BE5A59" w14:textId="5934D58C" w:rsidR="00AE29F6" w:rsidRPr="002E4340" w:rsidRDefault="00AE29F6" w:rsidP="002E4340">
      <w:pPr>
        <w:spacing w:after="120" w:line="276" w:lineRule="auto"/>
        <w:jc w:val="both"/>
      </w:pPr>
      <w:r w:rsidRPr="00B36586">
        <w:rPr>
          <w:b/>
        </w:rPr>
        <w:t>Funding information</w:t>
      </w:r>
    </w:p>
    <w:p w14:paraId="2BE86727" w14:textId="77777777" w:rsidR="002E4340" w:rsidRDefault="006F486E" w:rsidP="002E4340">
      <w:pPr>
        <w:spacing w:after="120" w:line="276" w:lineRule="auto"/>
        <w:jc w:val="both"/>
      </w:pPr>
      <w:r w:rsidRPr="00B36586">
        <w:t>This work was funded by the Antimicrobial Resistance Cross-council Initiative supported by the seven research councils [NE/N019989/1].</w:t>
      </w:r>
    </w:p>
    <w:p w14:paraId="6BAF2449" w14:textId="77777777" w:rsidR="002E4340" w:rsidRDefault="009E79AD" w:rsidP="002E4340">
      <w:pPr>
        <w:spacing w:after="120" w:line="276" w:lineRule="auto"/>
        <w:jc w:val="both"/>
      </w:pPr>
      <w:r w:rsidRPr="00B36586">
        <w:rPr>
          <w:rFonts w:eastAsia="ScalaLancetPro"/>
        </w:rPr>
        <w:t>Crook, George, Peto, Sheppard, Walker are affiliated to the National Institute for Health Research Health Protection Research Unit (NIHR HPRU) in Healthcare Associated Infections and Antimicrobial Resistance at University of Oxford in partnership with Public Health England (PHE) [grant</w:t>
      </w:r>
      <w:r w:rsidRPr="00B36586">
        <w:t xml:space="preserve"> </w:t>
      </w:r>
      <w:r w:rsidRPr="00B36586">
        <w:rPr>
          <w:rFonts w:eastAsia="ScalaLancetPro"/>
        </w:rPr>
        <w:t>HPRU-2012-10041]. The views expressed are those of the author(s) and not necessarily those of the NHS, the NIHR, the Department of Health or Public Health England.</w:t>
      </w:r>
    </w:p>
    <w:p w14:paraId="0CCE90BF" w14:textId="77777777" w:rsidR="002E4340" w:rsidRDefault="006F486E" w:rsidP="002E4340">
      <w:pPr>
        <w:spacing w:after="120" w:line="276" w:lineRule="auto"/>
        <w:jc w:val="both"/>
      </w:pPr>
      <w:r w:rsidRPr="00B36586">
        <w:rPr>
          <w:rFonts w:eastAsia="ScalaLancetPro"/>
        </w:rPr>
        <w:t>This work is supported by the NIHR Oxford Biomedical Research Centre.</w:t>
      </w:r>
    </w:p>
    <w:p w14:paraId="0C9CF402" w14:textId="60C1FB32" w:rsidR="00AE29F6" w:rsidRPr="002E4340" w:rsidRDefault="00AE29F6" w:rsidP="002E4340">
      <w:pPr>
        <w:spacing w:after="120"/>
        <w:jc w:val="both"/>
      </w:pPr>
      <w:r w:rsidRPr="00B36586">
        <w:rPr>
          <w:b/>
        </w:rPr>
        <w:t>Acknowledgements</w:t>
      </w:r>
    </w:p>
    <w:p w14:paraId="73CF7B6B" w14:textId="77777777" w:rsidR="002E4340" w:rsidRDefault="006F486E" w:rsidP="002E4340">
      <w:pPr>
        <w:spacing w:after="120"/>
        <w:jc w:val="both"/>
      </w:pPr>
      <w:r w:rsidRPr="00B36586">
        <w:t xml:space="preserve">The REHAB consortium is represented by (bracketed individuals also included in main author list): (Abuoun M), (Anjum M), Bailey M, Brett H, Bowes M, Chau K, (Crook DW), (de Maio N), Duggett N, Gilson D, Gweon HS, (Hubbard A), (Hoosdally S), Kavanaugh J, Jones H, </w:t>
      </w:r>
      <w:r w:rsidRPr="00B36586">
        <w:lastRenderedPageBreak/>
        <w:t xml:space="preserve">(Peto TEA), (Read DS), Sebra R, (Shaw LP), (Sheppard AE), Smith R, (Stubberfield E), (Swann J), (Walker AS), Woodford N. </w:t>
      </w:r>
    </w:p>
    <w:p w14:paraId="7D698DB3" w14:textId="77777777" w:rsidR="002E4340" w:rsidRDefault="006F486E" w:rsidP="002E4340">
      <w:pPr>
        <w:spacing w:after="120"/>
        <w:jc w:val="both"/>
      </w:pPr>
      <w:r w:rsidRPr="00B36586">
        <w:t>We would like to acknowledge the support of Sebra R and Smith M in the Department of Genetics and Genomic Sciences at the Icahn School of Medical Sciences at Mt Sinai (New York, USA), who participated in the experimental design of the study and performed the long-read PacBio sequencing.</w:t>
      </w:r>
    </w:p>
    <w:p w14:paraId="312696CB" w14:textId="6576B69C" w:rsidR="00476ABF" w:rsidRDefault="006F486E" w:rsidP="002E4340">
      <w:pPr>
        <w:spacing w:after="120"/>
        <w:jc w:val="both"/>
      </w:pPr>
      <w:r w:rsidRPr="00B36586">
        <w:t>We would also like to acknowledge the support of Hartwell O and Platt J (Oxford Nanopore Technologies, Oxford, UK); however, there was no input from ONT in the design, experimental work, bioinformatics, or analyses performed in this study.</w:t>
      </w:r>
    </w:p>
    <w:p w14:paraId="16487210" w14:textId="0755827D" w:rsidR="00646B7D" w:rsidRPr="00FD5974" w:rsidRDefault="00646B7D" w:rsidP="00646B7D">
      <w:pPr>
        <w:spacing w:after="120"/>
        <w:jc w:val="both"/>
        <w:rPr>
          <w:lang w:val="en-US"/>
        </w:rPr>
      </w:pPr>
      <w:r w:rsidRPr="00646B7D">
        <w:rPr>
          <w:lang w:val="en-US"/>
        </w:rPr>
        <w:t>Computation used the Oxford Biomedical Research Computing (BMRC) facility, a</w:t>
      </w:r>
      <w:r>
        <w:rPr>
          <w:lang w:val="en-US"/>
        </w:rPr>
        <w:t xml:space="preserve"> </w:t>
      </w:r>
      <w:r w:rsidRPr="00646B7D">
        <w:rPr>
          <w:lang w:val="en-US"/>
        </w:rPr>
        <w:t>joint development between the Wellcome Centre for Human Genetics and the Big</w:t>
      </w:r>
      <w:r>
        <w:rPr>
          <w:lang w:val="en-US"/>
        </w:rPr>
        <w:t xml:space="preserve"> </w:t>
      </w:r>
      <w:r w:rsidRPr="00646B7D">
        <w:rPr>
          <w:lang w:val="en-US"/>
        </w:rPr>
        <w:t>Data Institute supported by Health Data Research UK and the NIHR Oxford</w:t>
      </w:r>
      <w:r>
        <w:rPr>
          <w:lang w:val="en-US"/>
        </w:rPr>
        <w:t xml:space="preserve"> </w:t>
      </w:r>
      <w:r w:rsidRPr="00646B7D">
        <w:rPr>
          <w:lang w:val="en-US"/>
        </w:rPr>
        <w:t>Biomedical Research Centre. The views expressed are those of the author(s) and</w:t>
      </w:r>
      <w:r>
        <w:rPr>
          <w:lang w:val="en-US"/>
        </w:rPr>
        <w:t xml:space="preserve"> </w:t>
      </w:r>
      <w:r w:rsidRPr="00646B7D">
        <w:rPr>
          <w:lang w:val="en-US"/>
        </w:rPr>
        <w:t>not necessarily those of the NHS, the NIHR or the Department of Health.</w:t>
      </w:r>
    </w:p>
    <w:p w14:paraId="63F2455C" w14:textId="26FA9E8C" w:rsidR="00476ABF" w:rsidRPr="00B36586" w:rsidRDefault="00A8260B" w:rsidP="00223FA0">
      <w:pPr>
        <w:rPr>
          <w:b/>
          <w:color w:val="008461" w:themeColor="accent3"/>
          <w:sz w:val="32"/>
          <w:szCs w:val="32"/>
        </w:rPr>
      </w:pPr>
      <w:r w:rsidRPr="00A8260B">
        <w:rPr>
          <w:noProof/>
          <w14:ligatures w14:val="none"/>
        </w:rPr>
        <w:pict w14:anchorId="46C9B111">
          <v:rect id="_x0000_i1027" alt="" style="width:451.3pt;height:.05pt;mso-width-percent:0;mso-height-percent:0;mso-width-percent:0;mso-height-percent:0" o:hralign="center" o:hrstd="t" o:hr="t" fillcolor="#a0a0a0" stroked="f"/>
        </w:pict>
      </w:r>
      <w:r w:rsidR="00476ABF" w:rsidRPr="00B36586">
        <w:rPr>
          <w:b/>
          <w:color w:val="008461" w:themeColor="accent3"/>
          <w:sz w:val="32"/>
          <w:szCs w:val="32"/>
        </w:rPr>
        <w:t>ABBREVIATIONS</w:t>
      </w:r>
    </w:p>
    <w:p w14:paraId="06E1C397" w14:textId="5372510C" w:rsidR="00170E45" w:rsidRPr="00B36586" w:rsidRDefault="00170E45" w:rsidP="00223FA0">
      <w:r w:rsidRPr="00B36586">
        <w:t>ONT: Oxford Nanopore Technologies</w:t>
      </w:r>
    </w:p>
    <w:p w14:paraId="639C29FA" w14:textId="5A5B7288" w:rsidR="00170E45" w:rsidRPr="00B36586" w:rsidRDefault="00170E45" w:rsidP="00223FA0">
      <w:r w:rsidRPr="00B36586">
        <w:t>PacBio: Pacific Biosciences</w:t>
      </w:r>
    </w:p>
    <w:p w14:paraId="6FF1D599" w14:textId="7D8E0F01" w:rsidR="00170E45" w:rsidRPr="00B36586" w:rsidRDefault="00170E45" w:rsidP="00223FA0">
      <w:r w:rsidRPr="00B36586">
        <w:t>SNP: single nucleotide polymorphism</w:t>
      </w:r>
    </w:p>
    <w:p w14:paraId="4DE2876F" w14:textId="5FA7F278" w:rsidR="00D57101" w:rsidRPr="00B36586" w:rsidRDefault="00D57101" w:rsidP="00223FA0">
      <w:r w:rsidRPr="00B36586">
        <w:t>AMR: antimicrobial resistance</w:t>
      </w:r>
    </w:p>
    <w:p w14:paraId="7353BD76" w14:textId="77777777" w:rsidR="00476ABF" w:rsidRPr="00B36586" w:rsidRDefault="00A8260B" w:rsidP="00223FA0">
      <w:pPr>
        <w:rPr>
          <w:u w:val="single"/>
        </w:rPr>
      </w:pPr>
      <w:r w:rsidRPr="00A8260B">
        <w:rPr>
          <w:noProof/>
          <w14:ligatures w14:val="none"/>
        </w:rPr>
        <w:pict w14:anchorId="492DB6E1">
          <v:rect id="_x0000_i1026" alt="" style="width:451.3pt;height:.05pt;mso-width-percent:0;mso-height-percent:0;mso-width-percent:0;mso-height-percent:0" o:hralign="center" o:hrstd="t" o:hr="t" fillcolor="#a0a0a0" stroked="f"/>
        </w:pict>
      </w:r>
    </w:p>
    <w:p w14:paraId="2B993FD9" w14:textId="5574C688" w:rsidR="00A04D41" w:rsidRDefault="00A04D41" w:rsidP="00A04D41">
      <w:pPr>
        <w:spacing w:before="120" w:after="120"/>
        <w:jc w:val="both"/>
        <w:rPr>
          <w:b/>
          <w:color w:val="008461" w:themeColor="accent3"/>
          <w:sz w:val="32"/>
          <w:szCs w:val="32"/>
        </w:rPr>
      </w:pPr>
      <w:r w:rsidRPr="00B36586">
        <w:rPr>
          <w:b/>
          <w:color w:val="008461" w:themeColor="accent3"/>
          <w:sz w:val="32"/>
          <w:szCs w:val="32"/>
        </w:rPr>
        <w:t xml:space="preserve">DATA </w:t>
      </w:r>
      <w:r>
        <w:rPr>
          <w:b/>
          <w:color w:val="008461" w:themeColor="accent3"/>
          <w:sz w:val="32"/>
          <w:szCs w:val="32"/>
        </w:rPr>
        <w:t>BIBLIOGRAPHY</w:t>
      </w:r>
    </w:p>
    <w:p w14:paraId="2E3373B5" w14:textId="1B8AFD15" w:rsidR="00650FD9" w:rsidRDefault="00650FD9" w:rsidP="00650FD9">
      <w:pPr>
        <w:pStyle w:val="ListParagraph"/>
        <w:numPr>
          <w:ilvl w:val="0"/>
          <w:numId w:val="43"/>
        </w:numPr>
        <w:ind w:left="357" w:hanging="357"/>
      </w:pPr>
      <w:r>
        <w:t xml:space="preserve">Raw sequencing data: </w:t>
      </w:r>
      <w:r w:rsidRPr="00650FD9">
        <w:t>NCBI BioProject Accession PRJNA422511 (</w:t>
      </w:r>
      <w:hyperlink r:id="rId19" w:history="1">
        <w:r w:rsidRPr="009F594E">
          <w:rPr>
            <w:rStyle w:val="Hyperlink"/>
          </w:rPr>
          <w:t>https://www.ncbi.nlm.nih.gov/bioproject/PRJNA422511</w:t>
        </w:r>
      </w:hyperlink>
      <w:r w:rsidRPr="00650FD9">
        <w:t>).</w:t>
      </w:r>
    </w:p>
    <w:p w14:paraId="666A63E5" w14:textId="1D65E88E" w:rsidR="00650FD9" w:rsidRDefault="002A5C77" w:rsidP="00650FD9">
      <w:pPr>
        <w:pStyle w:val="ListParagraph"/>
        <w:numPr>
          <w:ilvl w:val="0"/>
          <w:numId w:val="43"/>
        </w:numPr>
        <w:ind w:left="357" w:hanging="357"/>
      </w:pPr>
      <w:r>
        <w:t>Assemblies:</w:t>
      </w:r>
      <w:r>
        <w:t xml:space="preserve"> FigShare </w:t>
      </w:r>
      <w:r>
        <w:t xml:space="preserve">doi </w:t>
      </w:r>
      <w:r w:rsidRPr="002A5C77">
        <w:t>https://doi.org/10.6084/m9.figshare.7649051</w:t>
      </w:r>
      <w:r w:rsidRPr="002A5C77">
        <w:t xml:space="preserve"> </w:t>
      </w:r>
      <w:r>
        <w:t>(</w:t>
      </w:r>
      <w:hyperlink r:id="rId20" w:history="1">
        <w:r w:rsidR="00502C43" w:rsidRPr="009F594E">
          <w:rPr>
            <w:rStyle w:val="Hyperlink"/>
          </w:rPr>
          <w:t>https://doi.org/10.6084/m9.figshare.7649051</w:t>
        </w:r>
      </w:hyperlink>
      <w:r>
        <w:t>).</w:t>
      </w:r>
    </w:p>
    <w:p w14:paraId="7867045D" w14:textId="7E0C60EC" w:rsidR="005800C5" w:rsidRDefault="005800C5" w:rsidP="00650FD9">
      <w:pPr>
        <w:pStyle w:val="ListParagraph"/>
        <w:numPr>
          <w:ilvl w:val="0"/>
          <w:numId w:val="43"/>
        </w:numPr>
        <w:ind w:left="357" w:hanging="357"/>
      </w:pPr>
      <w:r>
        <w:t>NCBI GenBank reference</w:t>
      </w:r>
      <w:r w:rsidR="00FB559D">
        <w:t xml:space="preserve"> sequences: </w:t>
      </w:r>
    </w:p>
    <w:p w14:paraId="08B64E41" w14:textId="51B12F5D" w:rsidR="00502C43" w:rsidRPr="005800C5" w:rsidRDefault="005800C5" w:rsidP="005800C5">
      <w:pPr>
        <w:pStyle w:val="ListParagraph"/>
        <w:numPr>
          <w:ilvl w:val="1"/>
          <w:numId w:val="43"/>
        </w:numPr>
      </w:pPr>
      <w:r>
        <w:t xml:space="preserve">CFT073: </w:t>
      </w:r>
      <w:r w:rsidRPr="005608F8">
        <w:rPr>
          <w:color w:val="000000"/>
          <w:lang w:val="en-US" w:eastAsia="en-GB"/>
        </w:rPr>
        <w:t>NC_004431.1</w:t>
      </w:r>
      <w:r>
        <w:rPr>
          <w:color w:val="000000"/>
          <w:lang w:val="en-US" w:eastAsia="en-GB"/>
        </w:rPr>
        <w:t xml:space="preserve"> (chromosome)</w:t>
      </w:r>
    </w:p>
    <w:p w14:paraId="1C002586" w14:textId="323EF7F0" w:rsidR="005800C5" w:rsidRDefault="005800C5" w:rsidP="005800C5">
      <w:pPr>
        <w:pStyle w:val="ListParagraph"/>
        <w:numPr>
          <w:ilvl w:val="1"/>
          <w:numId w:val="43"/>
        </w:numPr>
      </w:pPr>
      <w:r>
        <w:t xml:space="preserve">MGH78578: </w:t>
      </w:r>
      <w:r w:rsidRPr="005800C5">
        <w:t>NC_009648.1</w:t>
      </w:r>
      <w:r>
        <w:t xml:space="preserve"> (chromosome); </w:t>
      </w:r>
      <w:r w:rsidRPr="005800C5">
        <w:t>NC_00964</w:t>
      </w:r>
      <w:r>
        <w:t>9</w:t>
      </w:r>
      <w:r w:rsidRPr="005800C5">
        <w:t>.1</w:t>
      </w:r>
      <w:r>
        <w:t xml:space="preserve">, </w:t>
      </w:r>
      <w:r w:rsidRPr="005800C5">
        <w:t>NC_0096</w:t>
      </w:r>
      <w:r>
        <w:t>50</w:t>
      </w:r>
      <w:r w:rsidRPr="005800C5">
        <w:t>.1</w:t>
      </w:r>
      <w:r>
        <w:t xml:space="preserve">, </w:t>
      </w:r>
      <w:r w:rsidRPr="005800C5">
        <w:t>NC_0096</w:t>
      </w:r>
      <w:r>
        <w:t>51</w:t>
      </w:r>
      <w:r w:rsidRPr="005800C5">
        <w:t>.1</w:t>
      </w:r>
      <w:r>
        <w:t xml:space="preserve">, </w:t>
      </w:r>
      <w:r w:rsidRPr="005800C5">
        <w:t>NC_0096</w:t>
      </w:r>
      <w:r>
        <w:t>52</w:t>
      </w:r>
      <w:r w:rsidRPr="005800C5">
        <w:t>.1</w:t>
      </w:r>
      <w:r>
        <w:t xml:space="preserve">, </w:t>
      </w:r>
      <w:r w:rsidRPr="005800C5">
        <w:t>NC_009653.1</w:t>
      </w:r>
      <w:r>
        <w:t xml:space="preserve"> (plasmids)</w:t>
      </w:r>
      <w:bookmarkStart w:id="0" w:name="_GoBack"/>
      <w:bookmarkEnd w:id="0"/>
    </w:p>
    <w:p w14:paraId="2F2230B5" w14:textId="7BB6C86A" w:rsidR="00F103A7" w:rsidRPr="002E4340" w:rsidRDefault="00476ABF" w:rsidP="002E4340">
      <w:pPr>
        <w:spacing w:before="120" w:after="120"/>
        <w:rPr>
          <w:rStyle w:val="fn"/>
          <w:b/>
          <w:color w:val="008461" w:themeColor="accent3"/>
          <w:sz w:val="32"/>
          <w:szCs w:val="32"/>
        </w:rPr>
      </w:pPr>
      <w:r w:rsidRPr="00B36586">
        <w:rPr>
          <w:b/>
          <w:color w:val="008461" w:themeColor="accent3"/>
          <w:sz w:val="32"/>
          <w:szCs w:val="32"/>
        </w:rPr>
        <w:t>REFERENCES</w:t>
      </w:r>
    </w:p>
    <w:p w14:paraId="2FDDAB0B" w14:textId="77777777" w:rsidR="00AA21AF" w:rsidRPr="00AA21AF" w:rsidRDefault="00167D05" w:rsidP="00AA21AF">
      <w:pPr>
        <w:pStyle w:val="Bibliography"/>
        <w:rPr>
          <w:lang w:val="en-US"/>
        </w:rPr>
      </w:pPr>
      <w:r w:rsidRPr="00B36586">
        <w:rPr>
          <w:u w:val="single"/>
        </w:rPr>
        <w:fldChar w:fldCharType="begin"/>
      </w:r>
      <w:r w:rsidRPr="00B36586">
        <w:rPr>
          <w:u w:val="single"/>
        </w:rPr>
        <w:instrText xml:space="preserve"> ADDIN ZOTERO_BIBL {"uncited":[],"omitted":[],"custom":[]} CSL_BIBLIOGRAPHY </w:instrText>
      </w:r>
      <w:r w:rsidRPr="00B36586">
        <w:rPr>
          <w:u w:val="single"/>
        </w:rPr>
        <w:fldChar w:fldCharType="separate"/>
      </w:r>
      <w:r w:rsidR="00AA21AF" w:rsidRPr="00AA21AF">
        <w:rPr>
          <w:lang w:val="en-US"/>
        </w:rPr>
        <w:t xml:space="preserve">1. </w:t>
      </w:r>
      <w:r w:rsidR="00AA21AF" w:rsidRPr="00AA21AF">
        <w:rPr>
          <w:lang w:val="en-US"/>
        </w:rPr>
        <w:tab/>
        <w:t xml:space="preserve">Didelot X, Bowden R, Wilson DJ, Peto TEA, Crook DW. Transforming clinical microbiology with bacterial genome sequencing. </w:t>
      </w:r>
      <w:r w:rsidR="00AA21AF" w:rsidRPr="00AA21AF">
        <w:rPr>
          <w:i/>
          <w:iCs/>
          <w:lang w:val="en-US"/>
        </w:rPr>
        <w:t>Nature Reviews. Genetics</w:t>
      </w:r>
      <w:r w:rsidR="00AA21AF" w:rsidRPr="00AA21AF">
        <w:rPr>
          <w:lang w:val="en-US"/>
        </w:rPr>
        <w:t>. [Online] 2012;13(9): 601–612. Available from: doi:10.1038/nrg3226</w:t>
      </w:r>
    </w:p>
    <w:p w14:paraId="65F7A3DA" w14:textId="77777777" w:rsidR="00AA21AF" w:rsidRPr="00AA21AF" w:rsidRDefault="00AA21AF" w:rsidP="00AA21AF">
      <w:pPr>
        <w:pStyle w:val="Bibliography"/>
        <w:rPr>
          <w:lang w:val="en-US"/>
        </w:rPr>
      </w:pPr>
      <w:r w:rsidRPr="00AA21AF">
        <w:rPr>
          <w:lang w:val="en-US"/>
        </w:rPr>
        <w:t xml:space="preserve">2. </w:t>
      </w:r>
      <w:r w:rsidRPr="00AA21AF">
        <w:rPr>
          <w:lang w:val="en-US"/>
        </w:rPr>
        <w:tab/>
        <w:t xml:space="preserve">Bradley P, Gordon NC, Walker TM, Dunn L, Heys S, Huang B, et al. Rapid antibiotic-resistance predictions from genome sequence data for Staphylococcus aureus and Mycobacterium tuberculosis. </w:t>
      </w:r>
      <w:r w:rsidRPr="00AA21AF">
        <w:rPr>
          <w:i/>
          <w:iCs/>
          <w:lang w:val="en-US"/>
        </w:rPr>
        <w:t>Nature Communications</w:t>
      </w:r>
      <w:r w:rsidRPr="00AA21AF">
        <w:rPr>
          <w:lang w:val="en-US"/>
        </w:rPr>
        <w:t>. [Online] 2015;6: 10063. Available from: doi:10.1038/ncomms10063</w:t>
      </w:r>
    </w:p>
    <w:p w14:paraId="6855E0BF" w14:textId="77777777" w:rsidR="00AA21AF" w:rsidRPr="00AA21AF" w:rsidRDefault="00AA21AF" w:rsidP="00AA21AF">
      <w:pPr>
        <w:pStyle w:val="Bibliography"/>
        <w:rPr>
          <w:lang w:val="en-US"/>
        </w:rPr>
      </w:pPr>
      <w:r w:rsidRPr="00AA21AF">
        <w:rPr>
          <w:lang w:val="en-US"/>
        </w:rPr>
        <w:t xml:space="preserve">3. </w:t>
      </w:r>
      <w:r w:rsidRPr="00AA21AF">
        <w:rPr>
          <w:lang w:val="en-US"/>
        </w:rPr>
        <w:tab/>
        <w:t xml:space="preserve">Didelot X, Walker AS, Peto TE, Crook DW, Wilson DJ. Within-host evolution of bacterial pathogens. </w:t>
      </w:r>
      <w:r w:rsidRPr="00AA21AF">
        <w:rPr>
          <w:i/>
          <w:iCs/>
          <w:lang w:val="en-US"/>
        </w:rPr>
        <w:t>Nature Reviews. Microbiology</w:t>
      </w:r>
      <w:r w:rsidRPr="00AA21AF">
        <w:rPr>
          <w:lang w:val="en-US"/>
        </w:rPr>
        <w:t>. [Online] 2016;14(3): 150–162. Available from: doi:10.1038/nrmicro.2015.13</w:t>
      </w:r>
    </w:p>
    <w:p w14:paraId="419BF792" w14:textId="77777777" w:rsidR="00AA21AF" w:rsidRPr="00AA21AF" w:rsidRDefault="00AA21AF" w:rsidP="00AA21AF">
      <w:pPr>
        <w:pStyle w:val="Bibliography"/>
        <w:rPr>
          <w:lang w:val="en-US"/>
        </w:rPr>
      </w:pPr>
      <w:r w:rsidRPr="00AA21AF">
        <w:rPr>
          <w:lang w:val="en-US"/>
        </w:rPr>
        <w:lastRenderedPageBreak/>
        <w:t xml:space="preserve">4. </w:t>
      </w:r>
      <w:r w:rsidRPr="00AA21AF">
        <w:rPr>
          <w:lang w:val="en-US"/>
        </w:rPr>
        <w:tab/>
        <w:t xml:space="preserve">Qin J, Li R, Raes J, Arumugam M, Burgdorf KS, Manichanh C, et al. A human gut microbial gene catalogue established by metagenomic sequencing. </w:t>
      </w:r>
      <w:r w:rsidRPr="00AA21AF">
        <w:rPr>
          <w:i/>
          <w:iCs/>
          <w:lang w:val="en-US"/>
        </w:rPr>
        <w:t>Nature</w:t>
      </w:r>
      <w:r w:rsidRPr="00AA21AF">
        <w:rPr>
          <w:lang w:val="en-US"/>
        </w:rPr>
        <w:t>. [Online] 2010;464(7285): 59–65. Available from: doi:10.1038/nature08821</w:t>
      </w:r>
    </w:p>
    <w:p w14:paraId="1775835E" w14:textId="77777777" w:rsidR="00AA21AF" w:rsidRPr="00AA21AF" w:rsidRDefault="00AA21AF" w:rsidP="00AA21AF">
      <w:pPr>
        <w:pStyle w:val="Bibliography"/>
        <w:rPr>
          <w:lang w:val="en-US"/>
        </w:rPr>
      </w:pPr>
      <w:r w:rsidRPr="00AA21AF">
        <w:rPr>
          <w:lang w:val="en-US"/>
        </w:rPr>
        <w:t xml:space="preserve">5. </w:t>
      </w:r>
      <w:r w:rsidRPr="00AA21AF">
        <w:rPr>
          <w:lang w:val="en-US"/>
        </w:rPr>
        <w:tab/>
        <w:t xml:space="preserve">George S, Pankhurst L, Hubbard A, Votintseva A, Stoesser N, Sheppard AE, et al. Resolving plasmid structures in Enterobacteriaceae using the MinION nanopore sequencer: assessment of MinION and MinION/Illumina hybrid data assembly approaches. </w:t>
      </w:r>
      <w:r w:rsidRPr="00AA21AF">
        <w:rPr>
          <w:i/>
          <w:iCs/>
          <w:lang w:val="en-US"/>
        </w:rPr>
        <w:t>Microbial Genomics</w:t>
      </w:r>
      <w:r w:rsidRPr="00AA21AF">
        <w:rPr>
          <w:lang w:val="en-US"/>
        </w:rPr>
        <w:t>. [Online] 2017;3(8): e000118. Available from: doi:10.1099/mgen.0.000118</w:t>
      </w:r>
    </w:p>
    <w:p w14:paraId="123D7322" w14:textId="77777777" w:rsidR="00AA21AF" w:rsidRPr="00AA21AF" w:rsidRDefault="00AA21AF" w:rsidP="00AA21AF">
      <w:pPr>
        <w:pStyle w:val="Bibliography"/>
        <w:rPr>
          <w:lang w:val="en-US"/>
        </w:rPr>
      </w:pPr>
      <w:r w:rsidRPr="00AA21AF">
        <w:rPr>
          <w:lang w:val="en-US"/>
        </w:rPr>
        <w:t xml:space="preserve">6. </w:t>
      </w:r>
      <w:r w:rsidRPr="00AA21AF">
        <w:rPr>
          <w:lang w:val="en-US"/>
        </w:rPr>
        <w:tab/>
        <w:t xml:space="preserve">Logan LK, Weinstein RA. The Epidemiology of Carbapenem-Resistant Enterobacteriaceae: The Impact and Evolution of a Global Menace. </w:t>
      </w:r>
      <w:r w:rsidRPr="00AA21AF">
        <w:rPr>
          <w:i/>
          <w:iCs/>
          <w:lang w:val="en-US"/>
        </w:rPr>
        <w:t>The Journal of Infectious Diseases</w:t>
      </w:r>
      <w:r w:rsidRPr="00AA21AF">
        <w:rPr>
          <w:lang w:val="en-US"/>
        </w:rPr>
        <w:t>. [Online] 2017;215(suppl_1): S28–S36. Available from: doi:10.1093/infdis/jiw282</w:t>
      </w:r>
    </w:p>
    <w:p w14:paraId="5A76ABDA" w14:textId="77777777" w:rsidR="00AA21AF" w:rsidRPr="00AA21AF" w:rsidRDefault="00AA21AF" w:rsidP="00AA21AF">
      <w:pPr>
        <w:pStyle w:val="Bibliography"/>
        <w:rPr>
          <w:lang w:val="en-US"/>
        </w:rPr>
      </w:pPr>
      <w:r w:rsidRPr="00AA21AF">
        <w:rPr>
          <w:lang w:val="en-US"/>
        </w:rPr>
        <w:t xml:space="preserve">7. </w:t>
      </w:r>
      <w:r w:rsidRPr="00AA21AF">
        <w:rPr>
          <w:lang w:val="en-US"/>
        </w:rPr>
        <w:tab/>
        <w:t xml:space="preserve">Koren S, Walenz BP, Berlin K, Miller JR, Bergman NH, Phillippy AM. Canu: scalable and accurate long-read assembly via adaptive k-mer weighting and repeat separation. </w:t>
      </w:r>
      <w:r w:rsidRPr="00AA21AF">
        <w:rPr>
          <w:i/>
          <w:iCs/>
          <w:lang w:val="en-US"/>
        </w:rPr>
        <w:t>Genome Research</w:t>
      </w:r>
      <w:r w:rsidRPr="00AA21AF">
        <w:rPr>
          <w:lang w:val="en-US"/>
        </w:rPr>
        <w:t>. [Online] 2017;27(5): 722–736. Available from: doi:10.1101/gr.215087.116</w:t>
      </w:r>
    </w:p>
    <w:p w14:paraId="15ABB57F" w14:textId="77777777" w:rsidR="00AA21AF" w:rsidRPr="00AA21AF" w:rsidRDefault="00AA21AF" w:rsidP="00AA21AF">
      <w:pPr>
        <w:pStyle w:val="Bibliography"/>
        <w:rPr>
          <w:lang w:val="en-US"/>
        </w:rPr>
      </w:pPr>
      <w:r w:rsidRPr="00AA21AF">
        <w:rPr>
          <w:lang w:val="en-US"/>
        </w:rPr>
        <w:t xml:space="preserve">8. </w:t>
      </w:r>
      <w:r w:rsidRPr="00AA21AF">
        <w:rPr>
          <w:lang w:val="en-US"/>
        </w:rPr>
        <w:tab/>
        <w:t xml:space="preserve">Loman NJ, Quick J, Simpson JT. A complete bacterial genome assembled de novo using only nanopore sequencing data. </w:t>
      </w:r>
      <w:r w:rsidRPr="00AA21AF">
        <w:rPr>
          <w:i/>
          <w:iCs/>
          <w:lang w:val="en-US"/>
        </w:rPr>
        <w:t>Nature Methods</w:t>
      </w:r>
      <w:r w:rsidRPr="00AA21AF">
        <w:rPr>
          <w:lang w:val="en-US"/>
        </w:rPr>
        <w:t>. [Online] 2015;12(8): 733–735. Available from: doi:10.1038/nmeth.3444</w:t>
      </w:r>
    </w:p>
    <w:p w14:paraId="775E80CE" w14:textId="77777777" w:rsidR="00AA21AF" w:rsidRPr="00AA21AF" w:rsidRDefault="00AA21AF" w:rsidP="00AA21AF">
      <w:pPr>
        <w:pStyle w:val="Bibliography"/>
        <w:rPr>
          <w:lang w:val="en-US"/>
        </w:rPr>
      </w:pPr>
      <w:r w:rsidRPr="00AA21AF">
        <w:rPr>
          <w:lang w:val="en-US"/>
        </w:rPr>
        <w:t xml:space="preserve">9. </w:t>
      </w:r>
      <w:r w:rsidRPr="00AA21AF">
        <w:rPr>
          <w:lang w:val="en-US"/>
        </w:rPr>
        <w:tab/>
        <w:t xml:space="preserve">Rhoads A, Au KF. PacBio Sequencing and Its Applications. </w:t>
      </w:r>
      <w:r w:rsidRPr="00AA21AF">
        <w:rPr>
          <w:i/>
          <w:iCs/>
          <w:lang w:val="en-US"/>
        </w:rPr>
        <w:t>Genomics, Proteomics &amp; Bioinformatics</w:t>
      </w:r>
      <w:r w:rsidRPr="00AA21AF">
        <w:rPr>
          <w:lang w:val="en-US"/>
        </w:rPr>
        <w:t>. [Online] 2015;13(5): 278–289. Available from: doi:10.1016/j.gpb.2015.08.002</w:t>
      </w:r>
    </w:p>
    <w:p w14:paraId="7F805D76" w14:textId="77777777" w:rsidR="00AA21AF" w:rsidRPr="00AA21AF" w:rsidRDefault="00AA21AF" w:rsidP="00AA21AF">
      <w:pPr>
        <w:pStyle w:val="Bibliography"/>
        <w:rPr>
          <w:lang w:val="en-US"/>
        </w:rPr>
      </w:pPr>
      <w:r w:rsidRPr="00AA21AF">
        <w:rPr>
          <w:lang w:val="en-US"/>
        </w:rPr>
        <w:t xml:space="preserve">10. </w:t>
      </w:r>
      <w:r w:rsidRPr="00AA21AF">
        <w:rPr>
          <w:lang w:val="en-US"/>
        </w:rPr>
        <w:tab/>
        <w:t xml:space="preserve">Goodwin S, McPherson JD, McCombie WR. Coming of age: ten years of next-generation sequencing technologies. </w:t>
      </w:r>
      <w:r w:rsidRPr="00AA21AF">
        <w:rPr>
          <w:i/>
          <w:iCs/>
          <w:lang w:val="en-US"/>
        </w:rPr>
        <w:t>Nature Reviews Genetics</w:t>
      </w:r>
      <w:r w:rsidRPr="00AA21AF">
        <w:rPr>
          <w:lang w:val="en-US"/>
        </w:rPr>
        <w:t>. [Online] 2016;17(6): 333–351. Available from: doi:10.1038/nrg.2016.49</w:t>
      </w:r>
    </w:p>
    <w:p w14:paraId="7A8E772B" w14:textId="77777777" w:rsidR="00AA21AF" w:rsidRPr="00AA21AF" w:rsidRDefault="00AA21AF" w:rsidP="00AA21AF">
      <w:pPr>
        <w:pStyle w:val="Bibliography"/>
        <w:rPr>
          <w:lang w:val="en-US"/>
        </w:rPr>
      </w:pPr>
      <w:r w:rsidRPr="00AA21AF">
        <w:rPr>
          <w:lang w:val="en-US"/>
        </w:rPr>
        <w:t xml:space="preserve">11. </w:t>
      </w:r>
      <w:r w:rsidRPr="00AA21AF">
        <w:rPr>
          <w:lang w:val="en-US"/>
        </w:rPr>
        <w:tab/>
        <w:t xml:space="preserve">Rang FJ, Kloosterman WP, de Ridder J. From squiggle to basepair: computational approaches for improving nanopore sequencing read accuracy. </w:t>
      </w:r>
      <w:r w:rsidRPr="00AA21AF">
        <w:rPr>
          <w:i/>
          <w:iCs/>
          <w:lang w:val="en-US"/>
        </w:rPr>
        <w:t>Genome Biology</w:t>
      </w:r>
      <w:r w:rsidRPr="00AA21AF">
        <w:rPr>
          <w:lang w:val="en-US"/>
        </w:rPr>
        <w:t>. [Online] 2018;19(1): 90. Available from: doi:10.1186/s13059-018-1462-9</w:t>
      </w:r>
    </w:p>
    <w:p w14:paraId="467E9DD6" w14:textId="77777777" w:rsidR="00AA21AF" w:rsidRPr="00AA21AF" w:rsidRDefault="00AA21AF" w:rsidP="00AA21AF">
      <w:pPr>
        <w:pStyle w:val="Bibliography"/>
        <w:rPr>
          <w:lang w:val="en-US"/>
        </w:rPr>
      </w:pPr>
      <w:r w:rsidRPr="00AA21AF">
        <w:rPr>
          <w:lang w:val="en-US"/>
        </w:rPr>
        <w:t xml:space="preserve">12. </w:t>
      </w:r>
      <w:r w:rsidRPr="00AA21AF">
        <w:rPr>
          <w:lang w:val="en-US"/>
        </w:rPr>
        <w:tab/>
        <w:t xml:space="preserve">Risse J, Thomson M, Patrick S, Blakely G, Koutsovoulos G, Blaxter M, et al. A single chromosome assembly of Bacteroides fragilis strain BE1 from Illumina and MinION nanopore sequencing data. </w:t>
      </w:r>
      <w:r w:rsidRPr="00AA21AF">
        <w:rPr>
          <w:i/>
          <w:iCs/>
          <w:lang w:val="en-US"/>
        </w:rPr>
        <w:t>GigaScience</w:t>
      </w:r>
      <w:r w:rsidRPr="00AA21AF">
        <w:rPr>
          <w:lang w:val="en-US"/>
        </w:rPr>
        <w:t>. [Online] 2015;4: 60. Available from: doi:10.1186/s13742-015-0101-6</w:t>
      </w:r>
    </w:p>
    <w:p w14:paraId="027A0645" w14:textId="77777777" w:rsidR="00AA21AF" w:rsidRPr="00AA21AF" w:rsidRDefault="00AA21AF" w:rsidP="00AA21AF">
      <w:pPr>
        <w:pStyle w:val="Bibliography"/>
        <w:rPr>
          <w:lang w:val="en-US"/>
        </w:rPr>
      </w:pPr>
      <w:r w:rsidRPr="00AA21AF">
        <w:rPr>
          <w:lang w:val="en-US"/>
        </w:rPr>
        <w:t xml:space="preserve">13. </w:t>
      </w:r>
      <w:r w:rsidRPr="00AA21AF">
        <w:rPr>
          <w:lang w:val="en-US"/>
        </w:rPr>
        <w:tab/>
        <w:t xml:space="preserve">Wick RR, Judd LM, Gorrie CL, Holt KE. Unicycler: Resolving bacterial genome assemblies from short and long sequencing reads. </w:t>
      </w:r>
      <w:r w:rsidRPr="00AA21AF">
        <w:rPr>
          <w:i/>
          <w:iCs/>
          <w:lang w:val="en-US"/>
        </w:rPr>
        <w:t>PLoS computational biology</w:t>
      </w:r>
      <w:r w:rsidRPr="00AA21AF">
        <w:rPr>
          <w:lang w:val="en-US"/>
        </w:rPr>
        <w:t>. [Online] 2017;13(6): e1005595. Available from: doi:10.1371/journal.pcbi.1005595</w:t>
      </w:r>
    </w:p>
    <w:p w14:paraId="1E4F2B48" w14:textId="77777777" w:rsidR="00AA21AF" w:rsidRPr="00AA21AF" w:rsidRDefault="00AA21AF" w:rsidP="00AA21AF">
      <w:pPr>
        <w:pStyle w:val="Bibliography"/>
        <w:rPr>
          <w:lang w:val="en-US"/>
        </w:rPr>
      </w:pPr>
      <w:r w:rsidRPr="00AA21AF">
        <w:rPr>
          <w:lang w:val="en-US"/>
        </w:rPr>
        <w:t xml:space="preserve">14. </w:t>
      </w:r>
      <w:r w:rsidRPr="00AA21AF">
        <w:rPr>
          <w:lang w:val="en-US"/>
        </w:rPr>
        <w:tab/>
        <w:t xml:space="preserve">Wick RR, Judd LM, Gorrie CL, Holt KE. Completing bacterial genome assemblies with multiplex MinION sequencing. </w:t>
      </w:r>
      <w:r w:rsidRPr="00AA21AF">
        <w:rPr>
          <w:i/>
          <w:iCs/>
          <w:lang w:val="en-US"/>
        </w:rPr>
        <w:t>Microbial Genomics</w:t>
      </w:r>
      <w:r w:rsidRPr="00AA21AF">
        <w:rPr>
          <w:lang w:val="en-US"/>
        </w:rPr>
        <w:t>. [Online] 2017;3(10): e000132. Available from: doi:10.1099/mgen.0.000132</w:t>
      </w:r>
    </w:p>
    <w:p w14:paraId="5E3C350F" w14:textId="77777777" w:rsidR="00AA21AF" w:rsidRPr="00AA21AF" w:rsidRDefault="00AA21AF" w:rsidP="00AA21AF">
      <w:pPr>
        <w:pStyle w:val="Bibliography"/>
        <w:rPr>
          <w:lang w:val="en-US"/>
        </w:rPr>
      </w:pPr>
      <w:r w:rsidRPr="00AA21AF">
        <w:rPr>
          <w:lang w:val="en-US"/>
        </w:rPr>
        <w:t xml:space="preserve">15. </w:t>
      </w:r>
      <w:r w:rsidRPr="00AA21AF">
        <w:rPr>
          <w:lang w:val="en-US"/>
        </w:rPr>
        <w:tab/>
        <w:t xml:space="preserve">Quick J, Loman NJ, Duraffour S, Simpson JT, Severi E, Cowley L, et al. Real-time, portable genome sequencing for Ebola surveillance. </w:t>
      </w:r>
      <w:r w:rsidRPr="00AA21AF">
        <w:rPr>
          <w:i/>
          <w:iCs/>
          <w:lang w:val="en-US"/>
        </w:rPr>
        <w:t>Nature</w:t>
      </w:r>
      <w:r w:rsidRPr="00AA21AF">
        <w:rPr>
          <w:lang w:val="en-US"/>
        </w:rPr>
        <w:t>. [Online] 2016;530(7589): 228–232. Available from: doi:10.1038/nature16996</w:t>
      </w:r>
    </w:p>
    <w:p w14:paraId="46CC715E" w14:textId="77777777" w:rsidR="00AA21AF" w:rsidRPr="00AA21AF" w:rsidRDefault="00AA21AF" w:rsidP="00AA21AF">
      <w:pPr>
        <w:pStyle w:val="Bibliography"/>
        <w:rPr>
          <w:lang w:val="en-US"/>
        </w:rPr>
      </w:pPr>
      <w:r w:rsidRPr="00AA21AF">
        <w:rPr>
          <w:lang w:val="en-US"/>
        </w:rPr>
        <w:lastRenderedPageBreak/>
        <w:t xml:space="preserve">16. </w:t>
      </w:r>
      <w:r w:rsidRPr="00AA21AF">
        <w:rPr>
          <w:lang w:val="en-US"/>
        </w:rPr>
        <w:tab/>
        <w:t xml:space="preserve">Bayliss SC, Hunt VL, Yokoyama M, Thorpe HA, Feil EJ. The use of Oxford Nanopore native barcoding for complete genome assembly. </w:t>
      </w:r>
      <w:r w:rsidRPr="00AA21AF">
        <w:rPr>
          <w:i/>
          <w:iCs/>
          <w:lang w:val="en-US"/>
        </w:rPr>
        <w:t>GigaScience</w:t>
      </w:r>
      <w:r w:rsidRPr="00AA21AF">
        <w:rPr>
          <w:lang w:val="en-US"/>
        </w:rPr>
        <w:t>. [Online] 2017;6(3): 1–6. Available from: doi:10.1093/gigascience/gix001</w:t>
      </w:r>
    </w:p>
    <w:p w14:paraId="2C25F2B9" w14:textId="77777777" w:rsidR="00AA21AF" w:rsidRPr="00AA21AF" w:rsidRDefault="00AA21AF" w:rsidP="00AA21AF">
      <w:pPr>
        <w:pStyle w:val="Bibliography"/>
        <w:rPr>
          <w:lang w:val="en-US"/>
        </w:rPr>
      </w:pPr>
      <w:r w:rsidRPr="00AA21AF">
        <w:rPr>
          <w:lang w:val="en-US"/>
        </w:rPr>
        <w:t xml:space="preserve">17. </w:t>
      </w:r>
      <w:r w:rsidRPr="00AA21AF">
        <w:rPr>
          <w:lang w:val="en-US"/>
        </w:rPr>
        <w:tab/>
        <w:t xml:space="preserve">Dilthey A, Meyer SA, Kaasch AJ. Increasing the efficiency of long-read sequencing for hybrid assembly with k-mer-based multiplexing. </w:t>
      </w:r>
      <w:r w:rsidRPr="00AA21AF">
        <w:rPr>
          <w:i/>
          <w:iCs/>
          <w:lang w:val="en-US"/>
        </w:rPr>
        <w:t>bioRxiv</w:t>
      </w:r>
      <w:r w:rsidRPr="00AA21AF">
        <w:rPr>
          <w:lang w:val="en-US"/>
        </w:rPr>
        <w:t>. [Online] 2019; 680827. Available from: doi:10.1101/680827</w:t>
      </w:r>
    </w:p>
    <w:p w14:paraId="46DD794D" w14:textId="77777777" w:rsidR="00AA21AF" w:rsidRPr="00AA21AF" w:rsidRDefault="00AA21AF" w:rsidP="00AA21AF">
      <w:pPr>
        <w:pStyle w:val="Bibliography"/>
        <w:rPr>
          <w:lang w:val="en-US"/>
        </w:rPr>
      </w:pPr>
      <w:r w:rsidRPr="00AA21AF">
        <w:rPr>
          <w:lang w:val="en-US"/>
        </w:rPr>
        <w:t xml:space="preserve">18. </w:t>
      </w:r>
      <w:r w:rsidRPr="00AA21AF">
        <w:rPr>
          <w:lang w:val="en-US"/>
        </w:rPr>
        <w:tab/>
        <w:t xml:space="preserve">Wellcome Sanger Institute. </w:t>
      </w:r>
      <w:r w:rsidRPr="00AA21AF">
        <w:rPr>
          <w:i/>
          <w:iCs/>
          <w:lang w:val="en-US"/>
        </w:rPr>
        <w:t>NCTC 3000 Project</w:t>
      </w:r>
      <w:r w:rsidRPr="00AA21AF">
        <w:rPr>
          <w:lang w:val="en-US"/>
        </w:rPr>
        <w:t>. [Online] Available from: https://www.sanger.ac.uk/resources/downloads/bacteria/nctc/ [Accessed: 1st July 2019]</w:t>
      </w:r>
    </w:p>
    <w:p w14:paraId="39834D80" w14:textId="77777777" w:rsidR="00AA21AF" w:rsidRPr="00AA21AF" w:rsidRDefault="00AA21AF" w:rsidP="00AA21AF">
      <w:pPr>
        <w:pStyle w:val="Bibliography"/>
        <w:rPr>
          <w:lang w:val="en-US"/>
        </w:rPr>
      </w:pPr>
      <w:r w:rsidRPr="00AA21AF">
        <w:rPr>
          <w:lang w:val="en-US"/>
        </w:rPr>
        <w:t xml:space="preserve">19. </w:t>
      </w:r>
      <w:r w:rsidRPr="00AA21AF">
        <w:rPr>
          <w:lang w:val="en-US"/>
        </w:rPr>
        <w:tab/>
        <w:t xml:space="preserve">Carattoli A. Resistance plasmid families in Enterobacteriaceae. </w:t>
      </w:r>
      <w:r w:rsidRPr="00AA21AF">
        <w:rPr>
          <w:i/>
          <w:iCs/>
          <w:lang w:val="en-US"/>
        </w:rPr>
        <w:t>Antimicrobial Agents and Chemotherapy</w:t>
      </w:r>
      <w:r w:rsidRPr="00AA21AF">
        <w:rPr>
          <w:lang w:val="en-US"/>
        </w:rPr>
        <w:t>. [Online] 2009;53(6): 2227–2238. Available from: doi:10.1128/AAC.01707-08</w:t>
      </w:r>
    </w:p>
    <w:p w14:paraId="7D40E8C2" w14:textId="77777777" w:rsidR="00AA21AF" w:rsidRPr="00AA21AF" w:rsidRDefault="00AA21AF" w:rsidP="00AA21AF">
      <w:pPr>
        <w:pStyle w:val="Bibliography"/>
        <w:rPr>
          <w:lang w:val="en-US"/>
        </w:rPr>
      </w:pPr>
      <w:r w:rsidRPr="00AA21AF">
        <w:rPr>
          <w:lang w:val="en-US"/>
        </w:rPr>
        <w:t xml:space="preserve">20. </w:t>
      </w:r>
      <w:r w:rsidRPr="00AA21AF">
        <w:rPr>
          <w:lang w:val="en-US"/>
        </w:rPr>
        <w:tab/>
        <w:t xml:space="preserve">Lamble S, Batty E, Attar M, Buck D, Bowden R, Lunter G, et al. Improved workflows for high throughput library preparation using the transposome-based Nextera system. </w:t>
      </w:r>
      <w:r w:rsidRPr="00AA21AF">
        <w:rPr>
          <w:i/>
          <w:iCs/>
          <w:lang w:val="en-US"/>
        </w:rPr>
        <w:t>BMC biotechnology</w:t>
      </w:r>
      <w:r w:rsidRPr="00AA21AF">
        <w:rPr>
          <w:lang w:val="en-US"/>
        </w:rPr>
        <w:t>. [Online] 2013;13: 104. Available from: doi:10.1186/1472-6750-13-104</w:t>
      </w:r>
    </w:p>
    <w:p w14:paraId="3E2E62B2" w14:textId="77777777" w:rsidR="00AA21AF" w:rsidRPr="00AA21AF" w:rsidRDefault="00AA21AF" w:rsidP="00AA21AF">
      <w:pPr>
        <w:pStyle w:val="Bibliography"/>
        <w:rPr>
          <w:lang w:val="en-US"/>
        </w:rPr>
      </w:pPr>
      <w:r w:rsidRPr="00AA21AF">
        <w:rPr>
          <w:lang w:val="en-US"/>
        </w:rPr>
        <w:t xml:space="preserve">21. </w:t>
      </w:r>
      <w:r w:rsidRPr="00AA21AF">
        <w:rPr>
          <w:lang w:val="en-US"/>
        </w:rPr>
        <w:tab/>
        <w:t xml:space="preserve">De Coster W, D’Hert S, Schultz DT, Cruts M, Van Broeckhoven C. NanoPack: visualizing and processing long-read sequencing data. </w:t>
      </w:r>
      <w:r w:rsidRPr="00AA21AF">
        <w:rPr>
          <w:i/>
          <w:iCs/>
          <w:lang w:val="en-US"/>
        </w:rPr>
        <w:t>Bioinformatics</w:t>
      </w:r>
      <w:r w:rsidRPr="00AA21AF">
        <w:rPr>
          <w:lang w:val="en-US"/>
        </w:rPr>
        <w:t>. [Online] 2018;34(15): 2666–2669. Available from: doi:10.1093/bioinformatics/bty149</w:t>
      </w:r>
    </w:p>
    <w:p w14:paraId="148D2933" w14:textId="77777777" w:rsidR="00AA21AF" w:rsidRPr="00AA21AF" w:rsidRDefault="00AA21AF" w:rsidP="00AA21AF">
      <w:pPr>
        <w:pStyle w:val="Bibliography"/>
        <w:rPr>
          <w:lang w:val="en-US"/>
        </w:rPr>
      </w:pPr>
      <w:r w:rsidRPr="00AA21AF">
        <w:rPr>
          <w:lang w:val="en-US"/>
        </w:rPr>
        <w:t xml:space="preserve">22. </w:t>
      </w:r>
      <w:r w:rsidRPr="00AA21AF">
        <w:rPr>
          <w:lang w:val="en-US"/>
        </w:rPr>
        <w:tab/>
        <w:t xml:space="preserve">Wick RR, Schultz MB, Zobel J, Holt KE. Bandage: interactive visualization of de novo genome assemblies. </w:t>
      </w:r>
      <w:r w:rsidRPr="00AA21AF">
        <w:rPr>
          <w:i/>
          <w:iCs/>
          <w:lang w:val="en-US"/>
        </w:rPr>
        <w:t>Bioinformatics (Oxford, England)</w:t>
      </w:r>
      <w:r w:rsidRPr="00AA21AF">
        <w:rPr>
          <w:lang w:val="en-US"/>
        </w:rPr>
        <w:t>. [Online] 2015;31(20): 3350–3352. Available from: doi:10.1093/bioinformatics/btv383</w:t>
      </w:r>
    </w:p>
    <w:p w14:paraId="0672378A" w14:textId="77777777" w:rsidR="00AA21AF" w:rsidRPr="00AA21AF" w:rsidRDefault="00AA21AF" w:rsidP="00AA21AF">
      <w:pPr>
        <w:pStyle w:val="Bibliography"/>
        <w:rPr>
          <w:lang w:val="en-US"/>
        </w:rPr>
      </w:pPr>
      <w:r w:rsidRPr="00AA21AF">
        <w:rPr>
          <w:lang w:val="en-US"/>
        </w:rPr>
        <w:t xml:space="preserve">23. </w:t>
      </w:r>
      <w:r w:rsidRPr="00AA21AF">
        <w:rPr>
          <w:lang w:val="en-US"/>
        </w:rPr>
        <w:tab/>
        <w:t xml:space="preserve">Thorvaldsdottir H, Robinson JT, Mesirov JP. Integrative Genomics Viewer (IGV): high-performance genomics data visualization and exploration. </w:t>
      </w:r>
      <w:r w:rsidRPr="00AA21AF">
        <w:rPr>
          <w:i/>
          <w:iCs/>
          <w:lang w:val="en-US"/>
        </w:rPr>
        <w:t>Briefings in Bioinformatics</w:t>
      </w:r>
      <w:r w:rsidRPr="00AA21AF">
        <w:rPr>
          <w:lang w:val="en-US"/>
        </w:rPr>
        <w:t>. [Online] 2013;14(2): 178–192. Available from: doi:10.1093/bib/bbs017</w:t>
      </w:r>
    </w:p>
    <w:p w14:paraId="66C94A79" w14:textId="77777777" w:rsidR="00AA21AF" w:rsidRPr="00AA21AF" w:rsidRDefault="00AA21AF" w:rsidP="00AA21AF">
      <w:pPr>
        <w:pStyle w:val="Bibliography"/>
        <w:rPr>
          <w:lang w:val="en-US"/>
        </w:rPr>
      </w:pPr>
      <w:r w:rsidRPr="00AA21AF">
        <w:rPr>
          <w:lang w:val="en-US"/>
        </w:rPr>
        <w:t xml:space="preserve">24. </w:t>
      </w:r>
      <w:r w:rsidRPr="00AA21AF">
        <w:rPr>
          <w:lang w:val="en-US"/>
        </w:rPr>
        <w:tab/>
        <w:t xml:space="preserve">Wick R, Holt K. </w:t>
      </w:r>
      <w:r w:rsidRPr="00AA21AF">
        <w:rPr>
          <w:i/>
          <w:iCs/>
          <w:lang w:val="en-US"/>
        </w:rPr>
        <w:t>Benchmarking of long-read assembly tools for bacterial whole genomes</w:t>
      </w:r>
      <w:r w:rsidRPr="00AA21AF">
        <w:rPr>
          <w:lang w:val="en-US"/>
        </w:rPr>
        <w:t>. [Online] Available from: https://github.com/rrwick/Long-read-assembler-comparison [Accessed: 10th July 2019]</w:t>
      </w:r>
    </w:p>
    <w:p w14:paraId="533AFDA4" w14:textId="77777777" w:rsidR="00AA21AF" w:rsidRPr="00AA21AF" w:rsidRDefault="00AA21AF" w:rsidP="00AA21AF">
      <w:pPr>
        <w:pStyle w:val="Bibliography"/>
        <w:rPr>
          <w:lang w:val="en-US"/>
        </w:rPr>
      </w:pPr>
      <w:r w:rsidRPr="00AA21AF">
        <w:rPr>
          <w:lang w:val="en-US"/>
        </w:rPr>
        <w:t xml:space="preserve">25. </w:t>
      </w:r>
      <w:r w:rsidRPr="00AA21AF">
        <w:rPr>
          <w:lang w:val="en-US"/>
        </w:rPr>
        <w:tab/>
        <w:t xml:space="preserve">Kolmogorov M, Yuan J, Lin Y, Pevzner PA. Assembly of long, error-prone reads using repeat graphs. </w:t>
      </w:r>
      <w:r w:rsidRPr="00AA21AF">
        <w:rPr>
          <w:i/>
          <w:iCs/>
          <w:lang w:val="en-US"/>
        </w:rPr>
        <w:t>Nature Biotechnology</w:t>
      </w:r>
      <w:r w:rsidRPr="00AA21AF">
        <w:rPr>
          <w:lang w:val="en-US"/>
        </w:rPr>
        <w:t>. [Online] 2019;37(5): 540. Available from: doi:10.1038/s41587-019-0072-8</w:t>
      </w:r>
    </w:p>
    <w:p w14:paraId="192155D2" w14:textId="77777777" w:rsidR="00AA21AF" w:rsidRPr="00AA21AF" w:rsidRDefault="00AA21AF" w:rsidP="00AA21AF">
      <w:pPr>
        <w:pStyle w:val="Bibliography"/>
        <w:rPr>
          <w:lang w:val="en-US"/>
        </w:rPr>
      </w:pPr>
      <w:r w:rsidRPr="00AA21AF">
        <w:rPr>
          <w:lang w:val="en-US"/>
        </w:rPr>
        <w:t xml:space="preserve">26. </w:t>
      </w:r>
      <w:r w:rsidRPr="00AA21AF">
        <w:rPr>
          <w:lang w:val="en-US"/>
        </w:rPr>
        <w:tab/>
        <w:t xml:space="preserve">Walker BJ, Abeel T, Shea T, Priest M, Abouelliel A, Sakthikumar S, et al. Pilon: an integrated tool for comprehensive microbial variant detection and genome assembly improvement. </w:t>
      </w:r>
      <w:r w:rsidRPr="00AA21AF">
        <w:rPr>
          <w:i/>
          <w:iCs/>
          <w:lang w:val="en-US"/>
        </w:rPr>
        <w:t>PloS One</w:t>
      </w:r>
      <w:r w:rsidRPr="00AA21AF">
        <w:rPr>
          <w:lang w:val="en-US"/>
        </w:rPr>
        <w:t>. [Online] 2014;9(11): e112963. Available from: doi:10.1371/journal.pone.0112963</w:t>
      </w:r>
    </w:p>
    <w:p w14:paraId="2EE61994" w14:textId="77777777" w:rsidR="00AA21AF" w:rsidRPr="00AA21AF" w:rsidRDefault="00AA21AF" w:rsidP="00AA21AF">
      <w:pPr>
        <w:pStyle w:val="Bibliography"/>
        <w:rPr>
          <w:lang w:val="en-US"/>
        </w:rPr>
      </w:pPr>
      <w:r w:rsidRPr="00AA21AF">
        <w:rPr>
          <w:lang w:val="en-US"/>
        </w:rPr>
        <w:t xml:space="preserve">27. </w:t>
      </w:r>
      <w:r w:rsidRPr="00AA21AF">
        <w:rPr>
          <w:lang w:val="en-US"/>
        </w:rPr>
        <w:tab/>
        <w:t xml:space="preserve">Parks DH, Imelfort M, Skennerton CT, Hugenholtz P, Tyson GW. CheckM: assessing the quality of microbial genomes recovered from isolates, single cells, and metagenomes. </w:t>
      </w:r>
      <w:r w:rsidRPr="00AA21AF">
        <w:rPr>
          <w:i/>
          <w:iCs/>
          <w:lang w:val="en-US"/>
        </w:rPr>
        <w:t>Genome Research</w:t>
      </w:r>
      <w:r w:rsidRPr="00AA21AF">
        <w:rPr>
          <w:lang w:val="en-US"/>
        </w:rPr>
        <w:t>. [Online] 2015;25(7): 1043–1055. Available from: doi:10.1101/gr.186072.114</w:t>
      </w:r>
    </w:p>
    <w:p w14:paraId="4C7016C3" w14:textId="77777777" w:rsidR="00AA21AF" w:rsidRPr="00AA21AF" w:rsidRDefault="00AA21AF" w:rsidP="00AA21AF">
      <w:pPr>
        <w:pStyle w:val="Bibliography"/>
        <w:rPr>
          <w:lang w:val="en-US"/>
        </w:rPr>
      </w:pPr>
      <w:r w:rsidRPr="00AA21AF">
        <w:rPr>
          <w:lang w:val="en-US"/>
        </w:rPr>
        <w:t xml:space="preserve">28. </w:t>
      </w:r>
      <w:r w:rsidRPr="00AA21AF">
        <w:rPr>
          <w:lang w:val="en-US"/>
        </w:rPr>
        <w:tab/>
        <w:t xml:space="preserve">Matsen FA, Kodner RB, Armbrust EV. pplacer: linear time maximum-likelihood and Bayesian phylogenetic placement of sequences onto a fixed reference tree. </w:t>
      </w:r>
      <w:r w:rsidRPr="00AA21AF">
        <w:rPr>
          <w:i/>
          <w:iCs/>
          <w:lang w:val="en-US"/>
        </w:rPr>
        <w:t xml:space="preserve">BMC </w:t>
      </w:r>
      <w:r w:rsidRPr="00AA21AF">
        <w:rPr>
          <w:i/>
          <w:iCs/>
          <w:lang w:val="en-US"/>
        </w:rPr>
        <w:lastRenderedPageBreak/>
        <w:t>bioinformatics</w:t>
      </w:r>
      <w:r w:rsidRPr="00AA21AF">
        <w:rPr>
          <w:lang w:val="en-US"/>
        </w:rPr>
        <w:t>. [Online] 2010;11(1): 538. Available from: doi:10.1186/1471-2105-11-538</w:t>
      </w:r>
    </w:p>
    <w:p w14:paraId="03260212" w14:textId="77777777" w:rsidR="00AA21AF" w:rsidRPr="00AA21AF" w:rsidRDefault="00AA21AF" w:rsidP="00AA21AF">
      <w:pPr>
        <w:pStyle w:val="Bibliography"/>
        <w:rPr>
          <w:lang w:val="en-US"/>
        </w:rPr>
      </w:pPr>
      <w:r w:rsidRPr="00AA21AF">
        <w:rPr>
          <w:lang w:val="en-US"/>
        </w:rPr>
        <w:t xml:space="preserve">29. </w:t>
      </w:r>
      <w:r w:rsidRPr="00AA21AF">
        <w:rPr>
          <w:lang w:val="en-US"/>
        </w:rPr>
        <w:tab/>
        <w:t>Watson M. A simple test for uncorrected insertions and deletions (indels) in bacterial genomes. 2018; Available from: http://www.opiniomics.org/a-simple-test-for-uncorrected-insertions-and-deletions-indels-in-bacterial-genomes/</w:t>
      </w:r>
    </w:p>
    <w:p w14:paraId="642A2E19" w14:textId="77777777" w:rsidR="00AA21AF" w:rsidRPr="00AA21AF" w:rsidRDefault="00AA21AF" w:rsidP="00AA21AF">
      <w:pPr>
        <w:pStyle w:val="Bibliography"/>
        <w:rPr>
          <w:lang w:val="en-US"/>
        </w:rPr>
      </w:pPr>
      <w:r w:rsidRPr="00AA21AF">
        <w:rPr>
          <w:lang w:val="en-US"/>
        </w:rPr>
        <w:t xml:space="preserve">30. </w:t>
      </w:r>
      <w:r w:rsidRPr="00AA21AF">
        <w:rPr>
          <w:lang w:val="en-US"/>
        </w:rPr>
        <w:tab/>
        <w:t xml:space="preserve">Seemann T. Prokka: rapid prokaryotic genome annotation. </w:t>
      </w:r>
      <w:r w:rsidRPr="00AA21AF">
        <w:rPr>
          <w:i/>
          <w:iCs/>
          <w:lang w:val="en-US"/>
        </w:rPr>
        <w:t>Bioinformatics (Oxford, England)</w:t>
      </w:r>
      <w:r w:rsidRPr="00AA21AF">
        <w:rPr>
          <w:lang w:val="en-US"/>
        </w:rPr>
        <w:t>. [Online] 2014;30(14): 2068–9. Available from: doi:10.1093/bioinformatics/btu153</w:t>
      </w:r>
    </w:p>
    <w:p w14:paraId="413772D0" w14:textId="77777777" w:rsidR="00AA21AF" w:rsidRPr="00AA21AF" w:rsidRDefault="00AA21AF" w:rsidP="00AA21AF">
      <w:pPr>
        <w:pStyle w:val="Bibliography"/>
        <w:rPr>
          <w:lang w:val="en-US"/>
        </w:rPr>
      </w:pPr>
      <w:r w:rsidRPr="00AA21AF">
        <w:rPr>
          <w:lang w:val="en-US"/>
        </w:rPr>
        <w:t xml:space="preserve">31. </w:t>
      </w:r>
      <w:r w:rsidRPr="00AA21AF">
        <w:rPr>
          <w:lang w:val="en-US"/>
        </w:rPr>
        <w:tab/>
      </w:r>
      <w:r w:rsidRPr="00AA21AF">
        <w:rPr>
          <w:i/>
          <w:iCs/>
          <w:lang w:val="en-US"/>
        </w:rPr>
        <w:t>Fast and sensitive protein alignment using DIAMOND | Nature Methods</w:t>
      </w:r>
      <w:r w:rsidRPr="00AA21AF">
        <w:rPr>
          <w:lang w:val="en-US"/>
        </w:rPr>
        <w:t>. [Online] Available from: https://www.nature.com/articles/nmeth.3176 [Accessed: 24th January 2019]</w:t>
      </w:r>
    </w:p>
    <w:p w14:paraId="073C7E77" w14:textId="77777777" w:rsidR="00AA21AF" w:rsidRPr="00AA21AF" w:rsidRDefault="00AA21AF" w:rsidP="00AA21AF">
      <w:pPr>
        <w:pStyle w:val="Bibliography"/>
        <w:rPr>
          <w:lang w:val="en-US"/>
        </w:rPr>
      </w:pPr>
      <w:r w:rsidRPr="00AA21AF">
        <w:rPr>
          <w:lang w:val="en-US"/>
        </w:rPr>
        <w:t xml:space="preserve">32. </w:t>
      </w:r>
      <w:r w:rsidRPr="00AA21AF">
        <w:rPr>
          <w:lang w:val="en-US"/>
        </w:rPr>
        <w:tab/>
        <w:t xml:space="preserve">Page AJ, Cummins CA, Hunt M, Wong VK, Reuter S, Holden MTG, et al. Roary: Rapid large-scale prokaryote pan genome analysis. </w:t>
      </w:r>
      <w:r w:rsidRPr="00AA21AF">
        <w:rPr>
          <w:i/>
          <w:iCs/>
          <w:lang w:val="en-US"/>
        </w:rPr>
        <w:t>Bioinformatics</w:t>
      </w:r>
      <w:r w:rsidRPr="00AA21AF">
        <w:rPr>
          <w:lang w:val="en-US"/>
        </w:rPr>
        <w:t>. [Online] 2015;31(22): 3691–3693. Available from: doi:10.1093/bioinformatics/btv421</w:t>
      </w:r>
    </w:p>
    <w:p w14:paraId="36CC5A19" w14:textId="77777777" w:rsidR="00AA21AF" w:rsidRPr="00AA21AF" w:rsidRDefault="00AA21AF" w:rsidP="00AA21AF">
      <w:pPr>
        <w:pStyle w:val="Bibliography"/>
        <w:rPr>
          <w:lang w:val="en-US"/>
        </w:rPr>
      </w:pPr>
      <w:r w:rsidRPr="00AA21AF">
        <w:rPr>
          <w:lang w:val="en-US"/>
        </w:rPr>
        <w:t xml:space="preserve">33. </w:t>
      </w:r>
      <w:r w:rsidRPr="00AA21AF">
        <w:rPr>
          <w:lang w:val="en-US"/>
        </w:rPr>
        <w:tab/>
        <w:t xml:space="preserve">Clark SC, Egan R, Frazier PI, Wang Z. ALE: a generic assembly likelihood evaluation framework for assessing the accuracy of genome and metagenome assemblies. </w:t>
      </w:r>
      <w:r w:rsidRPr="00AA21AF">
        <w:rPr>
          <w:i/>
          <w:iCs/>
          <w:lang w:val="en-US"/>
        </w:rPr>
        <w:t>Bioinformatics (Oxford, England)</w:t>
      </w:r>
      <w:r w:rsidRPr="00AA21AF">
        <w:rPr>
          <w:lang w:val="en-US"/>
        </w:rPr>
        <w:t>. [Online] 2013;29(4): 435–443. Available from: doi:10.1093/bioinformatics/bts723</w:t>
      </w:r>
    </w:p>
    <w:p w14:paraId="58A933C4" w14:textId="77777777" w:rsidR="00AA21AF" w:rsidRPr="00AA21AF" w:rsidRDefault="00AA21AF" w:rsidP="00AA21AF">
      <w:pPr>
        <w:pStyle w:val="Bibliography"/>
        <w:rPr>
          <w:lang w:val="en-US"/>
        </w:rPr>
      </w:pPr>
      <w:r w:rsidRPr="00AA21AF">
        <w:rPr>
          <w:lang w:val="en-US"/>
        </w:rPr>
        <w:t xml:space="preserve">34. </w:t>
      </w:r>
      <w:r w:rsidRPr="00AA21AF">
        <w:rPr>
          <w:lang w:val="en-US"/>
        </w:rPr>
        <w:tab/>
        <w:t xml:space="preserve">Langmead B, Salzberg SL. Fast gapped-read alignment with Bowtie 2. </w:t>
      </w:r>
      <w:r w:rsidRPr="00AA21AF">
        <w:rPr>
          <w:i/>
          <w:iCs/>
          <w:lang w:val="en-US"/>
        </w:rPr>
        <w:t>Nature Methods</w:t>
      </w:r>
      <w:r w:rsidRPr="00AA21AF">
        <w:rPr>
          <w:lang w:val="en-US"/>
        </w:rPr>
        <w:t>. [Online] 2012;9(4): 357–359. Available from: doi:10.1038/nmeth.1923</w:t>
      </w:r>
    </w:p>
    <w:p w14:paraId="6E33D95E" w14:textId="77777777" w:rsidR="00AA21AF" w:rsidRPr="00AA21AF" w:rsidRDefault="00AA21AF" w:rsidP="00AA21AF">
      <w:pPr>
        <w:pStyle w:val="Bibliography"/>
        <w:rPr>
          <w:lang w:val="en-US"/>
        </w:rPr>
      </w:pPr>
      <w:r w:rsidRPr="00AA21AF">
        <w:rPr>
          <w:lang w:val="en-US"/>
        </w:rPr>
        <w:t xml:space="preserve">35. </w:t>
      </w:r>
      <w:r w:rsidRPr="00AA21AF">
        <w:rPr>
          <w:lang w:val="en-US"/>
        </w:rPr>
        <w:tab/>
        <w:t xml:space="preserve">Kurtz S, Phillippy A, Delcher AL, Smoot M, Shumway M, Antonescu C, et al. Versatile and open software for comparing large genomes. </w:t>
      </w:r>
      <w:r w:rsidRPr="00AA21AF">
        <w:rPr>
          <w:i/>
          <w:iCs/>
          <w:lang w:val="en-US"/>
        </w:rPr>
        <w:t>Genome Biology</w:t>
      </w:r>
      <w:r w:rsidRPr="00AA21AF">
        <w:rPr>
          <w:lang w:val="en-US"/>
        </w:rPr>
        <w:t>. [Online] 2004;5(2): R12. Available from: doi:10.1186/gb-2004-5-2-r12</w:t>
      </w:r>
    </w:p>
    <w:p w14:paraId="5626CBF4" w14:textId="77777777" w:rsidR="00AA21AF" w:rsidRPr="00AA21AF" w:rsidRDefault="00AA21AF" w:rsidP="00AA21AF">
      <w:pPr>
        <w:pStyle w:val="Bibliography"/>
        <w:rPr>
          <w:lang w:val="en-US"/>
        </w:rPr>
      </w:pPr>
      <w:r w:rsidRPr="00AA21AF">
        <w:rPr>
          <w:lang w:val="en-US"/>
        </w:rPr>
        <w:t xml:space="preserve">36. </w:t>
      </w:r>
      <w:r w:rsidRPr="00AA21AF">
        <w:rPr>
          <w:lang w:val="en-US"/>
        </w:rPr>
        <w:tab/>
        <w:t xml:space="preserve">Hunt M, Kikuchi T, Sanders M, Newbold C, Berriman M, Otto TD. REAPR: a universal tool for genome assembly evaluation. </w:t>
      </w:r>
      <w:r w:rsidRPr="00AA21AF">
        <w:rPr>
          <w:i/>
          <w:iCs/>
          <w:lang w:val="en-US"/>
        </w:rPr>
        <w:t>Genome Biology</w:t>
      </w:r>
      <w:r w:rsidRPr="00AA21AF">
        <w:rPr>
          <w:lang w:val="en-US"/>
        </w:rPr>
        <w:t>. [Online] 2013;14(5): R47. Available from: doi:10.1186/gb-2013-14-5-r47</w:t>
      </w:r>
    </w:p>
    <w:p w14:paraId="296B438E" w14:textId="77777777" w:rsidR="00AA21AF" w:rsidRPr="00AA21AF" w:rsidRDefault="00AA21AF" w:rsidP="00AA21AF">
      <w:pPr>
        <w:pStyle w:val="Bibliography"/>
        <w:rPr>
          <w:lang w:val="en-US"/>
        </w:rPr>
      </w:pPr>
      <w:r w:rsidRPr="00AA21AF">
        <w:rPr>
          <w:lang w:val="en-US"/>
        </w:rPr>
        <w:t xml:space="preserve">37. </w:t>
      </w:r>
      <w:r w:rsidRPr="00AA21AF">
        <w:rPr>
          <w:lang w:val="en-US"/>
        </w:rPr>
        <w:tab/>
        <w:t xml:space="preserve">Li H. Minimap2: pairwise alignment for nucleotide sequences. </w:t>
      </w:r>
      <w:r w:rsidRPr="00AA21AF">
        <w:rPr>
          <w:i/>
          <w:iCs/>
          <w:lang w:val="en-US"/>
        </w:rPr>
        <w:t>Bioinformatics</w:t>
      </w:r>
      <w:r w:rsidRPr="00AA21AF">
        <w:rPr>
          <w:lang w:val="en-US"/>
        </w:rPr>
        <w:t>. [Online] 2018;34(18): 3094–3100. Available from: doi:10.1093/bioinformatics/bty191</w:t>
      </w:r>
    </w:p>
    <w:p w14:paraId="130B785A" w14:textId="77777777" w:rsidR="00AA21AF" w:rsidRPr="00AA21AF" w:rsidRDefault="00AA21AF" w:rsidP="00AA21AF">
      <w:pPr>
        <w:pStyle w:val="Bibliography"/>
        <w:rPr>
          <w:lang w:val="en-US"/>
        </w:rPr>
      </w:pPr>
      <w:r w:rsidRPr="00AA21AF">
        <w:rPr>
          <w:lang w:val="en-US"/>
        </w:rPr>
        <w:t xml:space="preserve">38. </w:t>
      </w:r>
      <w:r w:rsidRPr="00AA21AF">
        <w:rPr>
          <w:lang w:val="en-US"/>
        </w:rPr>
        <w:tab/>
        <w:t xml:space="preserve">Rabsch W, Helm RA, Eisenstark A. Diversity of phage types among archived cultures of the Demerec collection of Salmonella enterica serovar Typhimurium strains. </w:t>
      </w:r>
      <w:r w:rsidRPr="00AA21AF">
        <w:rPr>
          <w:i/>
          <w:iCs/>
          <w:lang w:val="en-US"/>
        </w:rPr>
        <w:t>Applied and Environmental Microbiology</w:t>
      </w:r>
      <w:r w:rsidRPr="00AA21AF">
        <w:rPr>
          <w:lang w:val="en-US"/>
        </w:rPr>
        <w:t xml:space="preserve">. 2004;70(2): 664–669. </w:t>
      </w:r>
    </w:p>
    <w:p w14:paraId="0C9FB2D9" w14:textId="42BB2EA8" w:rsidR="003B7F3F" w:rsidRPr="00B36586" w:rsidRDefault="00167D05" w:rsidP="00FD5974">
      <w:pPr>
        <w:pStyle w:val="Bibliography"/>
        <w:spacing w:before="100" w:beforeAutospacing="1" w:after="100" w:afterAutospacing="1"/>
        <w:rPr>
          <w:u w:val="single"/>
        </w:rPr>
      </w:pPr>
      <w:r w:rsidRPr="00B36586">
        <w:rPr>
          <w:u w:val="single"/>
        </w:rPr>
        <w:fldChar w:fldCharType="end"/>
      </w:r>
      <w:r w:rsidR="00A8260B" w:rsidRPr="00A8260B">
        <w:rPr>
          <w:noProof/>
          <w14:ligatures w14:val="none"/>
        </w:rPr>
        <w:pict w14:anchorId="0DDD62B5">
          <v:rect id="_x0000_i1025" alt="" style="width:227.45pt;height:.05pt;mso-width-percent:0;mso-height-percent:0;mso-width-percent:0;mso-height-percent:0" o:hrpct="504" o:hralign="center" o:hrstd="t" o:hr="t" fillcolor="#a0a0a0" stroked="f"/>
        </w:pict>
      </w:r>
    </w:p>
    <w:p w14:paraId="7BBAC908" w14:textId="77777777" w:rsidR="003B7F3F" w:rsidRPr="00B36586" w:rsidRDefault="003B7F3F" w:rsidP="00223FA0">
      <w:pPr>
        <w:rPr>
          <w:u w:val="single"/>
        </w:rPr>
        <w:sectPr w:rsidR="003B7F3F" w:rsidRPr="00B36586" w:rsidSect="00E67BC8">
          <w:headerReference w:type="default" r:id="rId21"/>
          <w:headerReference w:type="first" r:id="rId22"/>
          <w:pgSz w:w="11906" w:h="16838" w:code="9"/>
          <w:pgMar w:top="1440" w:right="1440" w:bottom="1440" w:left="1440" w:header="510" w:footer="454" w:gutter="0"/>
          <w:lnNumType w:countBy="1" w:restart="continuous"/>
          <w:cols w:space="708"/>
          <w:docGrid w:linePitch="360"/>
        </w:sectPr>
      </w:pPr>
    </w:p>
    <w:p w14:paraId="23F834A0" w14:textId="19E33A97" w:rsidR="00476ABF" w:rsidRPr="00B36586" w:rsidRDefault="00476ABF" w:rsidP="00223FA0">
      <w:pPr>
        <w:spacing w:before="120" w:after="120"/>
        <w:rPr>
          <w:b/>
          <w:color w:val="008461" w:themeColor="accent3"/>
          <w:sz w:val="32"/>
          <w:szCs w:val="32"/>
        </w:rPr>
      </w:pPr>
      <w:r w:rsidRPr="00B36586">
        <w:rPr>
          <w:b/>
          <w:color w:val="008461" w:themeColor="accent3"/>
          <w:sz w:val="32"/>
          <w:szCs w:val="32"/>
        </w:rPr>
        <w:lastRenderedPageBreak/>
        <w:t>TABLES</w:t>
      </w:r>
    </w:p>
    <w:p w14:paraId="4128C646" w14:textId="6C3E26EF" w:rsidR="00E14483" w:rsidRPr="00B36586" w:rsidRDefault="003201A8" w:rsidP="00223FA0">
      <w:pPr>
        <w:jc w:val="both"/>
        <w:rPr>
          <w:color w:val="000000"/>
          <w:lang w:eastAsia="en-GB"/>
        </w:rPr>
      </w:pPr>
      <w:r w:rsidRPr="00B36586">
        <w:rPr>
          <w:b/>
          <w:color w:val="000000"/>
          <w:lang w:eastAsia="en-GB"/>
        </w:rPr>
        <w:t>Table 1</w:t>
      </w:r>
      <w:r w:rsidR="005F5F6F" w:rsidRPr="00B36586">
        <w:rPr>
          <w:b/>
          <w:color w:val="000000"/>
          <w:lang w:eastAsia="en-GB"/>
        </w:rPr>
        <w:t>.</w:t>
      </w:r>
      <w:r w:rsidRPr="00B36586">
        <w:rPr>
          <w:b/>
          <w:color w:val="000000"/>
          <w:lang w:eastAsia="en-GB"/>
        </w:rPr>
        <w:t xml:space="preserve"> Summary of all </w:t>
      </w:r>
      <w:r w:rsidR="00F20740">
        <w:rPr>
          <w:b/>
          <w:color w:val="000000"/>
          <w:lang w:eastAsia="en-GB"/>
        </w:rPr>
        <w:t xml:space="preserve">hybrid </w:t>
      </w:r>
      <w:r w:rsidRPr="00B36586">
        <w:rPr>
          <w:b/>
          <w:color w:val="000000"/>
          <w:lang w:eastAsia="en-GB"/>
        </w:rPr>
        <w:t>assemblies in terms of circulari</w:t>
      </w:r>
      <w:r w:rsidR="00A9604E" w:rsidRPr="00B36586">
        <w:rPr>
          <w:b/>
          <w:color w:val="000000"/>
          <w:lang w:eastAsia="en-GB"/>
        </w:rPr>
        <w:t>s</w:t>
      </w:r>
      <w:r w:rsidRPr="00B36586">
        <w:rPr>
          <w:b/>
          <w:color w:val="000000"/>
          <w:lang w:eastAsia="en-GB"/>
        </w:rPr>
        <w:t>ed contigs.</w:t>
      </w:r>
      <w:r w:rsidR="00EC2524" w:rsidRPr="00B36586">
        <w:rPr>
          <w:color w:val="000000"/>
          <w:lang w:eastAsia="en-GB"/>
        </w:rPr>
        <w:t xml:space="preserve"> Different rows refer to different </w:t>
      </w:r>
      <w:r w:rsidR="005F5F6F" w:rsidRPr="00B36586">
        <w:rPr>
          <w:color w:val="000000"/>
          <w:lang w:eastAsia="en-GB"/>
        </w:rPr>
        <w:t>isolates</w:t>
      </w:r>
      <w:r w:rsidR="00EC2524" w:rsidRPr="00B36586">
        <w:rPr>
          <w:color w:val="000000"/>
          <w:lang w:eastAsia="en-GB"/>
        </w:rPr>
        <w:t>.</w:t>
      </w:r>
      <w:r w:rsidRPr="00B36586">
        <w:rPr>
          <w:color w:val="000000"/>
          <w:lang w:eastAsia="en-GB"/>
        </w:rPr>
        <w:t xml:space="preserve"> "</w:t>
      </w:r>
      <w:r w:rsidRPr="00B36586">
        <w:rPr>
          <w:i/>
          <w:color w:val="000000"/>
          <w:lang w:eastAsia="en-GB"/>
        </w:rPr>
        <w:t>n</w:t>
      </w:r>
      <w:r w:rsidRPr="00B36586">
        <w:rPr>
          <w:color w:val="000000"/>
          <w:lang w:eastAsia="en-GB"/>
        </w:rPr>
        <w:t xml:space="preserve"> of </w:t>
      </w:r>
      <w:r w:rsidRPr="00B36586">
        <w:rPr>
          <w:i/>
          <w:color w:val="000000"/>
          <w:lang w:eastAsia="en-GB"/>
        </w:rPr>
        <w:t>m</w:t>
      </w:r>
      <w:r w:rsidRPr="00B36586">
        <w:rPr>
          <w:color w:val="000000"/>
          <w:lang w:eastAsia="en-GB"/>
        </w:rPr>
        <w:t xml:space="preserve">" means that </w:t>
      </w:r>
      <w:r w:rsidRPr="00B36586">
        <w:rPr>
          <w:i/>
          <w:color w:val="000000"/>
          <w:lang w:eastAsia="en-GB"/>
        </w:rPr>
        <w:t>n</w:t>
      </w:r>
      <w:r w:rsidRPr="00B36586">
        <w:rPr>
          <w:color w:val="000000"/>
          <w:lang w:eastAsia="en-GB"/>
        </w:rPr>
        <w:t xml:space="preserve"> contigs were circular in the assembly out of </w:t>
      </w:r>
      <w:r w:rsidRPr="00B36586">
        <w:rPr>
          <w:i/>
          <w:color w:val="000000"/>
          <w:lang w:eastAsia="en-GB"/>
        </w:rPr>
        <w:t>m</w:t>
      </w:r>
      <w:r w:rsidRPr="00B36586">
        <w:rPr>
          <w:color w:val="000000"/>
          <w:lang w:eastAsia="en-GB"/>
        </w:rPr>
        <w:t xml:space="preserve"> total</w:t>
      </w:r>
      <w:r w:rsidR="00A9604E" w:rsidRPr="00B36586">
        <w:rPr>
          <w:color w:val="000000"/>
          <w:lang w:eastAsia="en-GB"/>
        </w:rPr>
        <w:t xml:space="preserve"> contigs</w:t>
      </w:r>
      <w:r w:rsidRPr="00B36586">
        <w:rPr>
          <w:color w:val="000000"/>
          <w:lang w:eastAsia="en-GB"/>
        </w:rPr>
        <w:t xml:space="preserve">. When </w:t>
      </w:r>
      <w:r w:rsidRPr="00B36586">
        <w:rPr>
          <w:i/>
          <w:color w:val="000000"/>
          <w:lang w:eastAsia="en-GB"/>
        </w:rPr>
        <w:t>n</w:t>
      </w:r>
      <w:r w:rsidRPr="00B36586">
        <w:rPr>
          <w:color w:val="000000"/>
          <w:lang w:eastAsia="en-GB"/>
        </w:rPr>
        <w:t xml:space="preserve"> and </w:t>
      </w:r>
      <w:r w:rsidRPr="00B36586">
        <w:rPr>
          <w:i/>
          <w:color w:val="000000"/>
          <w:lang w:eastAsia="en-GB"/>
        </w:rPr>
        <w:t>m</w:t>
      </w:r>
      <w:r w:rsidRPr="00B36586">
        <w:rPr>
          <w:color w:val="000000"/>
          <w:lang w:eastAsia="en-GB"/>
        </w:rPr>
        <w:t xml:space="preserve"> are identical, it means that the assembly </w:t>
      </w:r>
      <w:r w:rsidR="00CD1E7B" w:rsidRPr="00B36586">
        <w:rPr>
          <w:color w:val="000000"/>
          <w:lang w:eastAsia="en-GB"/>
        </w:rPr>
        <w:t>was</w:t>
      </w:r>
      <w:r w:rsidRPr="00B36586">
        <w:rPr>
          <w:color w:val="000000"/>
          <w:lang w:eastAsia="en-GB"/>
        </w:rPr>
        <w:t xml:space="preserve"> considered complete</w:t>
      </w:r>
      <w:r w:rsidR="00077913" w:rsidRPr="00B36586">
        <w:rPr>
          <w:color w:val="000000"/>
          <w:lang w:eastAsia="en-GB"/>
        </w:rPr>
        <w:t xml:space="preserve">, and these cases </w:t>
      </w:r>
      <w:r w:rsidR="00CD1E7B" w:rsidRPr="00B36586">
        <w:rPr>
          <w:color w:val="000000"/>
          <w:lang w:eastAsia="en-GB"/>
        </w:rPr>
        <w:t xml:space="preserve">are shaded in </w:t>
      </w:r>
      <w:r w:rsidR="00077913" w:rsidRPr="00B36586">
        <w:rPr>
          <w:color w:val="000000"/>
          <w:lang w:eastAsia="en-GB"/>
        </w:rPr>
        <w:t>green</w:t>
      </w:r>
      <w:r w:rsidR="00CD1E7B" w:rsidRPr="00B36586">
        <w:rPr>
          <w:color w:val="000000"/>
          <w:lang w:eastAsia="en-GB"/>
        </w:rPr>
        <w:t xml:space="preserve">. </w:t>
      </w:r>
      <w:r w:rsidR="00FC1218" w:rsidRPr="00B36586">
        <w:rPr>
          <w:color w:val="000000"/>
          <w:lang w:eastAsia="en-GB"/>
        </w:rPr>
        <w:t>"</w:t>
      </w:r>
      <w:r w:rsidR="00CD1E7B" w:rsidRPr="00B36586">
        <w:rPr>
          <w:color w:val="000000"/>
          <w:lang w:eastAsia="en-GB"/>
        </w:rPr>
        <w:t>Basic</w:t>
      </w:r>
      <w:r w:rsidR="00FC1218" w:rsidRPr="00B36586">
        <w:rPr>
          <w:color w:val="000000"/>
          <w:lang w:eastAsia="en-GB"/>
        </w:rPr>
        <w:t>", "</w:t>
      </w:r>
      <w:r w:rsidR="00CD1E7B" w:rsidRPr="00B36586">
        <w:rPr>
          <w:color w:val="000000"/>
          <w:lang w:eastAsia="en-GB"/>
        </w:rPr>
        <w:t>C</w:t>
      </w:r>
      <w:r w:rsidR="00FC1218" w:rsidRPr="00B36586">
        <w:rPr>
          <w:color w:val="000000"/>
          <w:lang w:eastAsia="en-GB"/>
        </w:rPr>
        <w:t>orrect</w:t>
      </w:r>
      <w:r w:rsidR="00CD1E7B" w:rsidRPr="00B36586">
        <w:rPr>
          <w:color w:val="000000"/>
          <w:lang w:eastAsia="en-GB"/>
        </w:rPr>
        <w:t>ed</w:t>
      </w:r>
      <w:r w:rsidR="00FC1218" w:rsidRPr="00B36586">
        <w:rPr>
          <w:color w:val="000000"/>
          <w:lang w:eastAsia="en-GB"/>
        </w:rPr>
        <w:t>", "</w:t>
      </w:r>
      <w:r w:rsidR="00CD1E7B" w:rsidRPr="00B36586">
        <w:rPr>
          <w:color w:val="000000"/>
          <w:lang w:eastAsia="en-GB"/>
        </w:rPr>
        <w:t>F</w:t>
      </w:r>
      <w:r w:rsidR="00FC1218" w:rsidRPr="00B36586">
        <w:rPr>
          <w:color w:val="000000"/>
          <w:lang w:eastAsia="en-GB"/>
        </w:rPr>
        <w:t>iltered" and "</w:t>
      </w:r>
      <w:r w:rsidR="00CD1E7B" w:rsidRPr="00B36586">
        <w:rPr>
          <w:color w:val="000000"/>
          <w:lang w:eastAsia="en-GB"/>
        </w:rPr>
        <w:t>S</w:t>
      </w:r>
      <w:r w:rsidR="00FC1218" w:rsidRPr="00B36586">
        <w:rPr>
          <w:color w:val="000000"/>
          <w:lang w:eastAsia="en-GB"/>
        </w:rPr>
        <w:t>ubs</w:t>
      </w:r>
      <w:r w:rsidR="00CD1E7B" w:rsidRPr="00B36586">
        <w:rPr>
          <w:color w:val="000000"/>
          <w:lang w:eastAsia="en-GB"/>
        </w:rPr>
        <w:t>ampled</w:t>
      </w:r>
      <w:r w:rsidR="00FC1218" w:rsidRPr="00B36586">
        <w:rPr>
          <w:color w:val="000000"/>
          <w:lang w:eastAsia="en-GB"/>
        </w:rPr>
        <w:t xml:space="preserve">" refer to </w:t>
      </w:r>
      <w:r w:rsidR="00CD1E7B" w:rsidRPr="00B36586">
        <w:rPr>
          <w:color w:val="000000"/>
          <w:lang w:eastAsia="en-GB"/>
        </w:rPr>
        <w:t xml:space="preserve">the </w:t>
      </w:r>
      <w:r w:rsidR="00FC1218" w:rsidRPr="00B36586">
        <w:rPr>
          <w:color w:val="000000"/>
          <w:lang w:eastAsia="en-GB"/>
        </w:rPr>
        <w:t>strategies of long</w:t>
      </w:r>
      <w:r w:rsidR="004B4D9B">
        <w:rPr>
          <w:color w:val="000000"/>
          <w:lang w:eastAsia="en-GB"/>
        </w:rPr>
        <w:t xml:space="preserve"> </w:t>
      </w:r>
      <w:r w:rsidR="00FC1218" w:rsidRPr="00B36586">
        <w:rPr>
          <w:color w:val="000000"/>
          <w:lang w:eastAsia="en-GB"/>
        </w:rPr>
        <w:t>read preparation (see Methods). "NA" refers to cases where the assembly pipeline repeatedly failed.</w:t>
      </w:r>
      <w:r w:rsidR="004E3B16" w:rsidRPr="00B36586">
        <w:rPr>
          <w:color w:val="000000"/>
          <w:lang w:eastAsia="en-GB"/>
        </w:rPr>
        <w:t xml:space="preserve"> </w:t>
      </w:r>
      <w:r w:rsidR="00895280" w:rsidRPr="00B36586">
        <w:rPr>
          <w:color w:val="000000"/>
          <w:lang w:eastAsia="en-GB"/>
        </w:rPr>
        <w:t xml:space="preserve">The true number of circular structures was estimated by inspection.  </w:t>
      </w:r>
    </w:p>
    <w:tbl>
      <w:tblPr>
        <w:tblStyle w:val="TableGrid"/>
        <w:tblW w:w="14170" w:type="dxa"/>
        <w:tblLayout w:type="fixed"/>
        <w:tblLook w:val="04A0" w:firstRow="1" w:lastRow="0" w:firstColumn="1" w:lastColumn="0" w:noHBand="0" w:noVBand="1"/>
      </w:tblPr>
      <w:tblGrid>
        <w:gridCol w:w="2547"/>
        <w:gridCol w:w="992"/>
        <w:gridCol w:w="1276"/>
        <w:gridCol w:w="1134"/>
        <w:gridCol w:w="1417"/>
        <w:gridCol w:w="1134"/>
        <w:gridCol w:w="1276"/>
        <w:gridCol w:w="1276"/>
        <w:gridCol w:w="1559"/>
        <w:gridCol w:w="1531"/>
        <w:gridCol w:w="28"/>
      </w:tblGrid>
      <w:tr w:rsidR="00534160" w:rsidRPr="00B36586" w14:paraId="392DADF3" w14:textId="55CC61E9" w:rsidTr="00FC3456">
        <w:trPr>
          <w:gridAfter w:val="2"/>
          <w:wAfter w:w="1559" w:type="dxa"/>
          <w:tblHeader/>
        </w:trPr>
        <w:tc>
          <w:tcPr>
            <w:tcW w:w="2547" w:type="dxa"/>
            <w:vAlign w:val="bottom"/>
          </w:tcPr>
          <w:p w14:paraId="574FD5B3" w14:textId="77777777" w:rsidR="00534160" w:rsidRPr="00B36586" w:rsidRDefault="00534160" w:rsidP="00223FA0">
            <w:pPr>
              <w:rPr>
                <w:color w:val="000000"/>
              </w:rPr>
            </w:pPr>
          </w:p>
        </w:tc>
        <w:tc>
          <w:tcPr>
            <w:tcW w:w="4819" w:type="dxa"/>
            <w:gridSpan w:val="4"/>
            <w:vAlign w:val="bottom"/>
          </w:tcPr>
          <w:p w14:paraId="6BC29B12" w14:textId="08A09386" w:rsidR="00534160" w:rsidRPr="00B36586" w:rsidRDefault="00534160" w:rsidP="00223FA0">
            <w:pPr>
              <w:rPr>
                <w:color w:val="000000"/>
              </w:rPr>
            </w:pPr>
            <w:r w:rsidRPr="00B36586">
              <w:rPr>
                <w:color w:val="000000"/>
              </w:rPr>
              <w:t>ONT (MinION)</w:t>
            </w:r>
          </w:p>
        </w:tc>
        <w:tc>
          <w:tcPr>
            <w:tcW w:w="5245" w:type="dxa"/>
            <w:gridSpan w:val="4"/>
            <w:vAlign w:val="bottom"/>
          </w:tcPr>
          <w:p w14:paraId="3F65A312" w14:textId="13BE91EB" w:rsidR="00534160" w:rsidRPr="00B36586" w:rsidRDefault="00534160" w:rsidP="00223FA0">
            <w:pPr>
              <w:rPr>
                <w:color w:val="000000"/>
              </w:rPr>
            </w:pPr>
            <w:r w:rsidRPr="00B36586">
              <w:rPr>
                <w:color w:val="000000"/>
              </w:rPr>
              <w:t>PacBio (RSII System)</w:t>
            </w:r>
          </w:p>
        </w:tc>
      </w:tr>
      <w:tr w:rsidR="00534160" w:rsidRPr="00B36586" w14:paraId="02B35F08" w14:textId="33281DE6" w:rsidTr="00FC3456">
        <w:trPr>
          <w:gridAfter w:val="1"/>
          <w:wAfter w:w="28" w:type="dxa"/>
        </w:trPr>
        <w:tc>
          <w:tcPr>
            <w:tcW w:w="2547" w:type="dxa"/>
            <w:vAlign w:val="bottom"/>
          </w:tcPr>
          <w:p w14:paraId="7B5A3DCE" w14:textId="695A3277" w:rsidR="00534160" w:rsidRPr="00B36586" w:rsidRDefault="00534160" w:rsidP="00223FA0">
            <w:pPr>
              <w:rPr>
                <w:color w:val="000000"/>
                <w:sz w:val="28"/>
                <w:szCs w:val="28"/>
                <w:lang w:eastAsia="en-GB"/>
              </w:rPr>
            </w:pPr>
            <w:r w:rsidRPr="00B36586">
              <w:rPr>
                <w:color w:val="000000"/>
              </w:rPr>
              <w:t>Isolate</w:t>
            </w:r>
          </w:p>
        </w:tc>
        <w:tc>
          <w:tcPr>
            <w:tcW w:w="992" w:type="dxa"/>
            <w:vAlign w:val="bottom"/>
          </w:tcPr>
          <w:p w14:paraId="5002106E" w14:textId="55EC44AE" w:rsidR="00534160" w:rsidRPr="00B36586" w:rsidRDefault="00534160" w:rsidP="00223FA0">
            <w:pPr>
              <w:rPr>
                <w:color w:val="000000"/>
                <w:sz w:val="28"/>
                <w:szCs w:val="28"/>
                <w:lang w:eastAsia="en-GB"/>
              </w:rPr>
            </w:pPr>
            <w:r w:rsidRPr="00B36586">
              <w:rPr>
                <w:color w:val="000000"/>
              </w:rPr>
              <w:t>Basic</w:t>
            </w:r>
          </w:p>
        </w:tc>
        <w:tc>
          <w:tcPr>
            <w:tcW w:w="1276" w:type="dxa"/>
            <w:vAlign w:val="bottom"/>
          </w:tcPr>
          <w:p w14:paraId="7A3D2AE4" w14:textId="438F4416" w:rsidR="00534160" w:rsidRPr="00B36586" w:rsidRDefault="00534160" w:rsidP="00223FA0">
            <w:pPr>
              <w:rPr>
                <w:color w:val="000000"/>
                <w:sz w:val="28"/>
                <w:szCs w:val="28"/>
                <w:lang w:eastAsia="en-GB"/>
              </w:rPr>
            </w:pPr>
            <w:r w:rsidRPr="00B36586">
              <w:rPr>
                <w:color w:val="000000"/>
              </w:rPr>
              <w:t>Corrected</w:t>
            </w:r>
          </w:p>
        </w:tc>
        <w:tc>
          <w:tcPr>
            <w:tcW w:w="1134" w:type="dxa"/>
            <w:vAlign w:val="bottom"/>
          </w:tcPr>
          <w:p w14:paraId="17A3725A" w14:textId="20FA4236" w:rsidR="00534160" w:rsidRPr="00B36586" w:rsidRDefault="00534160" w:rsidP="00223FA0">
            <w:pPr>
              <w:rPr>
                <w:color w:val="000000"/>
                <w:sz w:val="28"/>
                <w:szCs w:val="28"/>
                <w:lang w:eastAsia="en-GB"/>
              </w:rPr>
            </w:pPr>
            <w:r w:rsidRPr="00B36586">
              <w:rPr>
                <w:color w:val="000000"/>
              </w:rPr>
              <w:t>Filtered</w:t>
            </w:r>
          </w:p>
        </w:tc>
        <w:tc>
          <w:tcPr>
            <w:tcW w:w="1417" w:type="dxa"/>
            <w:vAlign w:val="bottom"/>
          </w:tcPr>
          <w:p w14:paraId="7466B48B" w14:textId="4991447E" w:rsidR="00534160" w:rsidRPr="00B36586" w:rsidRDefault="00534160" w:rsidP="00223FA0">
            <w:pPr>
              <w:rPr>
                <w:color w:val="000000"/>
                <w:sz w:val="28"/>
                <w:szCs w:val="28"/>
                <w:lang w:eastAsia="en-GB"/>
              </w:rPr>
            </w:pPr>
            <w:r w:rsidRPr="00B36586">
              <w:rPr>
                <w:color w:val="000000"/>
              </w:rPr>
              <w:t>Subsampled</w:t>
            </w:r>
          </w:p>
        </w:tc>
        <w:tc>
          <w:tcPr>
            <w:tcW w:w="1134" w:type="dxa"/>
            <w:vAlign w:val="bottom"/>
          </w:tcPr>
          <w:p w14:paraId="23292E23" w14:textId="3BF626BA" w:rsidR="00534160" w:rsidRPr="00B36586" w:rsidRDefault="00534160" w:rsidP="00223FA0">
            <w:pPr>
              <w:rPr>
                <w:color w:val="000000"/>
                <w:sz w:val="28"/>
                <w:szCs w:val="28"/>
                <w:lang w:eastAsia="en-GB"/>
              </w:rPr>
            </w:pPr>
            <w:r w:rsidRPr="00B36586">
              <w:rPr>
                <w:color w:val="000000"/>
              </w:rPr>
              <w:t>Basic</w:t>
            </w:r>
          </w:p>
        </w:tc>
        <w:tc>
          <w:tcPr>
            <w:tcW w:w="1276" w:type="dxa"/>
            <w:vAlign w:val="bottom"/>
          </w:tcPr>
          <w:p w14:paraId="7DDBAF15" w14:textId="7E2D3319" w:rsidR="00534160" w:rsidRPr="00B36586" w:rsidRDefault="00534160" w:rsidP="00223FA0">
            <w:pPr>
              <w:rPr>
                <w:color w:val="000000"/>
                <w:sz w:val="28"/>
                <w:szCs w:val="28"/>
                <w:lang w:eastAsia="en-GB"/>
              </w:rPr>
            </w:pPr>
            <w:r w:rsidRPr="00B36586">
              <w:rPr>
                <w:color w:val="000000"/>
              </w:rPr>
              <w:t>Corrected</w:t>
            </w:r>
          </w:p>
        </w:tc>
        <w:tc>
          <w:tcPr>
            <w:tcW w:w="1276" w:type="dxa"/>
            <w:vAlign w:val="bottom"/>
          </w:tcPr>
          <w:p w14:paraId="6FD8A592" w14:textId="6CD8CFAC" w:rsidR="00534160" w:rsidRPr="00B36586" w:rsidRDefault="00534160" w:rsidP="00223FA0">
            <w:pPr>
              <w:rPr>
                <w:color w:val="000000"/>
                <w:sz w:val="28"/>
                <w:szCs w:val="28"/>
                <w:lang w:eastAsia="en-GB"/>
              </w:rPr>
            </w:pPr>
            <w:r w:rsidRPr="00B36586">
              <w:rPr>
                <w:color w:val="000000"/>
              </w:rPr>
              <w:t>Filtered</w:t>
            </w:r>
          </w:p>
        </w:tc>
        <w:tc>
          <w:tcPr>
            <w:tcW w:w="1559" w:type="dxa"/>
            <w:tcBorders>
              <w:right w:val="double" w:sz="4" w:space="0" w:color="1F3368" w:themeColor="accent1"/>
            </w:tcBorders>
            <w:vAlign w:val="bottom"/>
          </w:tcPr>
          <w:p w14:paraId="6554D66F" w14:textId="64E4227A" w:rsidR="00534160" w:rsidRPr="00B36586" w:rsidRDefault="00534160" w:rsidP="00223FA0">
            <w:pPr>
              <w:rPr>
                <w:color w:val="000000"/>
                <w:sz w:val="28"/>
                <w:szCs w:val="28"/>
                <w:lang w:eastAsia="en-GB"/>
              </w:rPr>
            </w:pPr>
            <w:r w:rsidRPr="00B36586">
              <w:rPr>
                <w:color w:val="000000"/>
              </w:rPr>
              <w:t>Subsampled</w:t>
            </w:r>
          </w:p>
        </w:tc>
        <w:tc>
          <w:tcPr>
            <w:tcW w:w="1531" w:type="dxa"/>
            <w:tcBorders>
              <w:left w:val="double" w:sz="4" w:space="0" w:color="1F3368" w:themeColor="accent1"/>
            </w:tcBorders>
          </w:tcPr>
          <w:p w14:paraId="250FE051" w14:textId="5791B8D9" w:rsidR="00534160" w:rsidRPr="00B36586" w:rsidRDefault="00534160" w:rsidP="00223FA0">
            <w:pPr>
              <w:rPr>
                <w:color w:val="000000"/>
              </w:rPr>
            </w:pPr>
            <w:r w:rsidRPr="00B36586">
              <w:rPr>
                <w:color w:val="000000"/>
              </w:rPr>
              <w:t>True circular structures (estimated)</w:t>
            </w:r>
          </w:p>
        </w:tc>
      </w:tr>
      <w:tr w:rsidR="00534160" w:rsidRPr="00B36586" w14:paraId="367A8D49" w14:textId="6D1D3C25" w:rsidTr="00FC3456">
        <w:trPr>
          <w:gridAfter w:val="1"/>
          <w:wAfter w:w="28" w:type="dxa"/>
        </w:trPr>
        <w:tc>
          <w:tcPr>
            <w:tcW w:w="2547" w:type="dxa"/>
            <w:vAlign w:val="bottom"/>
          </w:tcPr>
          <w:p w14:paraId="65F4F406" w14:textId="78A8F83F" w:rsidR="00534160" w:rsidRPr="00B36586" w:rsidRDefault="00534160" w:rsidP="00223FA0">
            <w:pPr>
              <w:rPr>
                <w:color w:val="000000"/>
              </w:rPr>
            </w:pPr>
            <w:r w:rsidRPr="00B36586">
              <w:rPr>
                <w:color w:val="000000"/>
              </w:rPr>
              <w:t>CFT073 (reference)</w:t>
            </w:r>
          </w:p>
        </w:tc>
        <w:tc>
          <w:tcPr>
            <w:tcW w:w="992" w:type="dxa"/>
            <w:shd w:val="clear" w:color="auto" w:fill="1CFFC2" w:themeFill="accent3" w:themeFillTint="99"/>
          </w:tcPr>
          <w:p w14:paraId="01427EFF" w14:textId="63BF573B" w:rsidR="00534160" w:rsidRPr="00B36586" w:rsidRDefault="00534160" w:rsidP="00223FA0">
            <w:pPr>
              <w:rPr>
                <w:color w:val="000000"/>
              </w:rPr>
            </w:pPr>
            <w:r w:rsidRPr="00B36586">
              <w:rPr>
                <w:color w:val="000000"/>
              </w:rPr>
              <w:t>1 of 1</w:t>
            </w:r>
          </w:p>
        </w:tc>
        <w:tc>
          <w:tcPr>
            <w:tcW w:w="1276" w:type="dxa"/>
            <w:shd w:val="clear" w:color="auto" w:fill="1CFFC2" w:themeFill="accent3" w:themeFillTint="99"/>
          </w:tcPr>
          <w:p w14:paraId="6F0EB6EE" w14:textId="24CB66FA" w:rsidR="00534160" w:rsidRPr="00B36586" w:rsidRDefault="00534160" w:rsidP="00223FA0">
            <w:pPr>
              <w:rPr>
                <w:color w:val="000000"/>
              </w:rPr>
            </w:pPr>
            <w:r w:rsidRPr="00B36586">
              <w:rPr>
                <w:color w:val="000000"/>
              </w:rPr>
              <w:t>1 of 1</w:t>
            </w:r>
          </w:p>
        </w:tc>
        <w:tc>
          <w:tcPr>
            <w:tcW w:w="1134" w:type="dxa"/>
          </w:tcPr>
          <w:p w14:paraId="228CAE71" w14:textId="2A3A3D65" w:rsidR="00534160" w:rsidRPr="00B36586" w:rsidRDefault="00534160" w:rsidP="00223FA0">
            <w:pPr>
              <w:rPr>
                <w:color w:val="000000"/>
              </w:rPr>
            </w:pPr>
            <w:r w:rsidRPr="00B36586">
              <w:rPr>
                <w:color w:val="000000"/>
              </w:rPr>
              <w:t>0 of 9</w:t>
            </w:r>
          </w:p>
        </w:tc>
        <w:tc>
          <w:tcPr>
            <w:tcW w:w="1417" w:type="dxa"/>
            <w:shd w:val="clear" w:color="auto" w:fill="1CFFC2" w:themeFill="accent3" w:themeFillTint="99"/>
          </w:tcPr>
          <w:p w14:paraId="0A0CEC50" w14:textId="1752047D" w:rsidR="00534160" w:rsidRPr="00B36586" w:rsidRDefault="00534160" w:rsidP="00223FA0">
            <w:pPr>
              <w:rPr>
                <w:color w:val="000000"/>
              </w:rPr>
            </w:pPr>
            <w:r w:rsidRPr="00B36586">
              <w:rPr>
                <w:color w:val="000000"/>
              </w:rPr>
              <w:t>1 of 1</w:t>
            </w:r>
          </w:p>
        </w:tc>
        <w:tc>
          <w:tcPr>
            <w:tcW w:w="1134" w:type="dxa"/>
          </w:tcPr>
          <w:p w14:paraId="2CD26293" w14:textId="4082FD1C" w:rsidR="00534160" w:rsidRPr="00B36586" w:rsidRDefault="00534160" w:rsidP="00223FA0">
            <w:pPr>
              <w:rPr>
                <w:color w:val="000000"/>
              </w:rPr>
            </w:pPr>
            <w:r w:rsidRPr="00B36586">
              <w:rPr>
                <w:color w:val="000000"/>
              </w:rPr>
              <w:t>0 of 9</w:t>
            </w:r>
          </w:p>
        </w:tc>
        <w:tc>
          <w:tcPr>
            <w:tcW w:w="1276" w:type="dxa"/>
          </w:tcPr>
          <w:p w14:paraId="1E1C6D02" w14:textId="7C3502DF" w:rsidR="00534160" w:rsidRPr="00B36586" w:rsidRDefault="00534160" w:rsidP="00223FA0">
            <w:pPr>
              <w:rPr>
                <w:color w:val="000000"/>
              </w:rPr>
            </w:pPr>
            <w:r w:rsidRPr="00B36586">
              <w:rPr>
                <w:color w:val="000000"/>
              </w:rPr>
              <w:t>0 of 9</w:t>
            </w:r>
          </w:p>
        </w:tc>
        <w:tc>
          <w:tcPr>
            <w:tcW w:w="1276" w:type="dxa"/>
          </w:tcPr>
          <w:p w14:paraId="438EA3C4" w14:textId="18BC0DD7" w:rsidR="00534160" w:rsidRPr="00B36586" w:rsidRDefault="00534160" w:rsidP="00223FA0">
            <w:pPr>
              <w:rPr>
                <w:color w:val="000000"/>
              </w:rPr>
            </w:pPr>
            <w:r w:rsidRPr="00B36586">
              <w:rPr>
                <w:color w:val="000000"/>
              </w:rPr>
              <w:t>0 of 9</w:t>
            </w:r>
          </w:p>
        </w:tc>
        <w:tc>
          <w:tcPr>
            <w:tcW w:w="1559" w:type="dxa"/>
            <w:tcBorders>
              <w:right w:val="double" w:sz="4" w:space="0" w:color="1F3368" w:themeColor="accent1"/>
            </w:tcBorders>
          </w:tcPr>
          <w:p w14:paraId="522D7F54" w14:textId="016BA915" w:rsidR="00534160" w:rsidRPr="00B36586" w:rsidRDefault="00534160" w:rsidP="00223FA0">
            <w:pPr>
              <w:rPr>
                <w:color w:val="000000"/>
              </w:rPr>
            </w:pPr>
            <w:r w:rsidRPr="00B36586">
              <w:rPr>
                <w:color w:val="000000"/>
              </w:rPr>
              <w:t>0 of 9</w:t>
            </w:r>
          </w:p>
        </w:tc>
        <w:tc>
          <w:tcPr>
            <w:tcW w:w="1531" w:type="dxa"/>
            <w:tcBorders>
              <w:left w:val="double" w:sz="4" w:space="0" w:color="1F3368" w:themeColor="accent1"/>
            </w:tcBorders>
            <w:shd w:val="clear" w:color="auto" w:fill="auto"/>
          </w:tcPr>
          <w:p w14:paraId="1599448A" w14:textId="3404641A" w:rsidR="00534160" w:rsidRPr="00B36586" w:rsidRDefault="00534160" w:rsidP="00223FA0">
            <w:pPr>
              <w:rPr>
                <w:color w:val="000000"/>
              </w:rPr>
            </w:pPr>
            <w:r w:rsidRPr="00B36586">
              <w:rPr>
                <w:color w:val="000000"/>
              </w:rPr>
              <w:t>1</w:t>
            </w:r>
          </w:p>
        </w:tc>
      </w:tr>
      <w:tr w:rsidR="00534160" w:rsidRPr="00B36586" w14:paraId="3C2D271B" w14:textId="33E72798" w:rsidTr="00FC3456">
        <w:trPr>
          <w:gridAfter w:val="1"/>
          <w:wAfter w:w="28" w:type="dxa"/>
        </w:trPr>
        <w:tc>
          <w:tcPr>
            <w:tcW w:w="2547" w:type="dxa"/>
            <w:vAlign w:val="bottom"/>
          </w:tcPr>
          <w:p w14:paraId="2FF884A6" w14:textId="39EA7057" w:rsidR="00534160" w:rsidRPr="00B36586" w:rsidRDefault="00534160" w:rsidP="00223FA0">
            <w:pPr>
              <w:rPr>
                <w:color w:val="000000"/>
              </w:rPr>
            </w:pPr>
            <w:r w:rsidRPr="00B36586">
              <w:rPr>
                <w:color w:val="000000"/>
              </w:rPr>
              <w:t>MGH78578 (reference)</w:t>
            </w:r>
          </w:p>
        </w:tc>
        <w:tc>
          <w:tcPr>
            <w:tcW w:w="992" w:type="dxa"/>
            <w:shd w:val="clear" w:color="auto" w:fill="1CFFC2" w:themeFill="accent3" w:themeFillTint="99"/>
          </w:tcPr>
          <w:p w14:paraId="6C05B0EA" w14:textId="2D46AAF5" w:rsidR="00534160" w:rsidRPr="00B36586" w:rsidRDefault="00534160" w:rsidP="00223FA0">
            <w:pPr>
              <w:rPr>
                <w:color w:val="000000"/>
              </w:rPr>
            </w:pPr>
            <w:r w:rsidRPr="00B36586">
              <w:rPr>
                <w:color w:val="000000"/>
              </w:rPr>
              <w:t>6 of 6</w:t>
            </w:r>
          </w:p>
        </w:tc>
        <w:tc>
          <w:tcPr>
            <w:tcW w:w="1276" w:type="dxa"/>
          </w:tcPr>
          <w:p w14:paraId="3160EE54" w14:textId="5E8DB22D" w:rsidR="00534160" w:rsidRPr="00B36586" w:rsidRDefault="00534160" w:rsidP="00223FA0">
            <w:pPr>
              <w:rPr>
                <w:color w:val="000000"/>
              </w:rPr>
            </w:pPr>
            <w:r w:rsidRPr="00B36586">
              <w:rPr>
                <w:color w:val="000000"/>
              </w:rPr>
              <w:t>4 of 7</w:t>
            </w:r>
          </w:p>
        </w:tc>
        <w:tc>
          <w:tcPr>
            <w:tcW w:w="1134" w:type="dxa"/>
          </w:tcPr>
          <w:p w14:paraId="6EA3E6F4" w14:textId="7CF955AA" w:rsidR="00534160" w:rsidRPr="00B36586" w:rsidRDefault="00534160" w:rsidP="00223FA0">
            <w:pPr>
              <w:rPr>
                <w:color w:val="000000"/>
              </w:rPr>
            </w:pPr>
            <w:r w:rsidRPr="00B36586">
              <w:rPr>
                <w:color w:val="000000"/>
              </w:rPr>
              <w:t>NA</w:t>
            </w:r>
          </w:p>
        </w:tc>
        <w:tc>
          <w:tcPr>
            <w:tcW w:w="1417" w:type="dxa"/>
            <w:shd w:val="clear" w:color="auto" w:fill="1CFFC2" w:themeFill="accent3" w:themeFillTint="99"/>
          </w:tcPr>
          <w:p w14:paraId="20E001B3" w14:textId="04585B7D" w:rsidR="00534160" w:rsidRPr="00B36586" w:rsidRDefault="00534160" w:rsidP="00223FA0">
            <w:pPr>
              <w:rPr>
                <w:color w:val="000000"/>
              </w:rPr>
            </w:pPr>
            <w:r w:rsidRPr="00B36586">
              <w:rPr>
                <w:color w:val="000000"/>
              </w:rPr>
              <w:t>6 of 6</w:t>
            </w:r>
          </w:p>
        </w:tc>
        <w:tc>
          <w:tcPr>
            <w:tcW w:w="1134" w:type="dxa"/>
          </w:tcPr>
          <w:p w14:paraId="4CADE899" w14:textId="4CBA8048" w:rsidR="00534160" w:rsidRPr="00B36586" w:rsidRDefault="00534160" w:rsidP="00223FA0">
            <w:pPr>
              <w:rPr>
                <w:color w:val="000000"/>
              </w:rPr>
            </w:pPr>
            <w:r w:rsidRPr="00B36586">
              <w:rPr>
                <w:color w:val="000000"/>
              </w:rPr>
              <w:t>4 of 7</w:t>
            </w:r>
          </w:p>
        </w:tc>
        <w:tc>
          <w:tcPr>
            <w:tcW w:w="1276" w:type="dxa"/>
          </w:tcPr>
          <w:p w14:paraId="46C114BE" w14:textId="29D83B00" w:rsidR="00534160" w:rsidRPr="00B36586" w:rsidRDefault="00534160" w:rsidP="00223FA0">
            <w:pPr>
              <w:rPr>
                <w:color w:val="000000"/>
              </w:rPr>
            </w:pPr>
            <w:r w:rsidRPr="00B36586">
              <w:rPr>
                <w:color w:val="000000"/>
              </w:rPr>
              <w:t>2 of 22</w:t>
            </w:r>
          </w:p>
        </w:tc>
        <w:tc>
          <w:tcPr>
            <w:tcW w:w="1276" w:type="dxa"/>
          </w:tcPr>
          <w:p w14:paraId="78458AB9" w14:textId="675C379A" w:rsidR="00534160" w:rsidRPr="00B36586" w:rsidRDefault="00534160" w:rsidP="00223FA0">
            <w:pPr>
              <w:rPr>
                <w:color w:val="000000"/>
              </w:rPr>
            </w:pPr>
            <w:r w:rsidRPr="00B36586">
              <w:rPr>
                <w:color w:val="000000"/>
              </w:rPr>
              <w:t>2 of 22</w:t>
            </w:r>
          </w:p>
        </w:tc>
        <w:tc>
          <w:tcPr>
            <w:tcW w:w="1559" w:type="dxa"/>
            <w:tcBorders>
              <w:right w:val="double" w:sz="4" w:space="0" w:color="1F3368" w:themeColor="accent1"/>
            </w:tcBorders>
          </w:tcPr>
          <w:p w14:paraId="1EE7C2E9" w14:textId="57CE0F85" w:rsidR="00534160" w:rsidRPr="00B36586" w:rsidRDefault="00534160" w:rsidP="00223FA0">
            <w:pPr>
              <w:rPr>
                <w:color w:val="000000"/>
              </w:rPr>
            </w:pPr>
            <w:r w:rsidRPr="00B36586">
              <w:rPr>
                <w:color w:val="000000"/>
              </w:rPr>
              <w:t>2 of 22</w:t>
            </w:r>
          </w:p>
        </w:tc>
        <w:tc>
          <w:tcPr>
            <w:tcW w:w="1531" w:type="dxa"/>
            <w:tcBorders>
              <w:left w:val="double" w:sz="4" w:space="0" w:color="1F3368" w:themeColor="accent1"/>
            </w:tcBorders>
            <w:shd w:val="clear" w:color="auto" w:fill="auto"/>
          </w:tcPr>
          <w:p w14:paraId="45E6B44E" w14:textId="17592255" w:rsidR="00534160" w:rsidRPr="00B36586" w:rsidRDefault="00534160" w:rsidP="00223FA0">
            <w:pPr>
              <w:rPr>
                <w:color w:val="000000"/>
              </w:rPr>
            </w:pPr>
            <w:r w:rsidRPr="00B36586">
              <w:rPr>
                <w:color w:val="000000"/>
              </w:rPr>
              <w:t>6</w:t>
            </w:r>
          </w:p>
        </w:tc>
      </w:tr>
      <w:tr w:rsidR="00534160" w:rsidRPr="00B36586" w14:paraId="0A1DE160" w14:textId="3E9FF61E" w:rsidTr="00FC3456">
        <w:trPr>
          <w:gridAfter w:val="1"/>
          <w:wAfter w:w="28" w:type="dxa"/>
        </w:trPr>
        <w:tc>
          <w:tcPr>
            <w:tcW w:w="2547" w:type="dxa"/>
            <w:vAlign w:val="bottom"/>
          </w:tcPr>
          <w:p w14:paraId="36516F4D" w14:textId="61EE0357" w:rsidR="00534160" w:rsidRPr="00B36586" w:rsidRDefault="00534160" w:rsidP="00223FA0">
            <w:pPr>
              <w:rPr>
                <w:color w:val="000000"/>
                <w:sz w:val="28"/>
                <w:szCs w:val="28"/>
                <w:lang w:eastAsia="en-GB"/>
              </w:rPr>
            </w:pPr>
            <w:r w:rsidRPr="00B36586">
              <w:rPr>
                <w:color w:val="000000"/>
              </w:rPr>
              <w:t>RBHSTW-00029</w:t>
            </w:r>
          </w:p>
        </w:tc>
        <w:tc>
          <w:tcPr>
            <w:tcW w:w="992" w:type="dxa"/>
            <w:vAlign w:val="bottom"/>
          </w:tcPr>
          <w:p w14:paraId="6D27BC0E" w14:textId="63DCCD8A" w:rsidR="00534160" w:rsidRPr="00B36586" w:rsidRDefault="00534160" w:rsidP="00223FA0">
            <w:pPr>
              <w:rPr>
                <w:color w:val="000000"/>
                <w:sz w:val="28"/>
                <w:szCs w:val="28"/>
                <w:lang w:eastAsia="en-GB"/>
              </w:rPr>
            </w:pPr>
            <w:r w:rsidRPr="00B36586">
              <w:rPr>
                <w:color w:val="000000"/>
              </w:rPr>
              <w:t>3 of 9</w:t>
            </w:r>
          </w:p>
        </w:tc>
        <w:tc>
          <w:tcPr>
            <w:tcW w:w="1276" w:type="dxa"/>
            <w:vAlign w:val="bottom"/>
          </w:tcPr>
          <w:p w14:paraId="28666930" w14:textId="4462DA7E" w:rsidR="00534160" w:rsidRPr="00B36586" w:rsidRDefault="00534160" w:rsidP="00223FA0">
            <w:pPr>
              <w:rPr>
                <w:color w:val="000000"/>
                <w:sz w:val="28"/>
                <w:szCs w:val="28"/>
                <w:lang w:eastAsia="en-GB"/>
              </w:rPr>
            </w:pPr>
            <w:r w:rsidRPr="00B36586">
              <w:rPr>
                <w:color w:val="000000"/>
              </w:rPr>
              <w:t>3 of 9</w:t>
            </w:r>
          </w:p>
        </w:tc>
        <w:tc>
          <w:tcPr>
            <w:tcW w:w="1134" w:type="dxa"/>
            <w:vAlign w:val="bottom"/>
          </w:tcPr>
          <w:p w14:paraId="7BDE12E7" w14:textId="1F64D9E9" w:rsidR="00534160" w:rsidRPr="00B36586" w:rsidRDefault="00534160" w:rsidP="00223FA0">
            <w:pPr>
              <w:rPr>
                <w:color w:val="000000"/>
                <w:sz w:val="28"/>
                <w:szCs w:val="28"/>
                <w:lang w:eastAsia="en-GB"/>
              </w:rPr>
            </w:pPr>
            <w:r w:rsidRPr="00B36586">
              <w:rPr>
                <w:color w:val="000000"/>
              </w:rPr>
              <w:t>3 of 9</w:t>
            </w:r>
          </w:p>
        </w:tc>
        <w:tc>
          <w:tcPr>
            <w:tcW w:w="1417" w:type="dxa"/>
            <w:vAlign w:val="bottom"/>
          </w:tcPr>
          <w:p w14:paraId="1188182A" w14:textId="7B0873B7" w:rsidR="00534160" w:rsidRPr="00B36586" w:rsidRDefault="00534160" w:rsidP="00223FA0">
            <w:pPr>
              <w:rPr>
                <w:color w:val="000000"/>
                <w:sz w:val="28"/>
                <w:szCs w:val="28"/>
                <w:lang w:eastAsia="en-GB"/>
              </w:rPr>
            </w:pPr>
            <w:r w:rsidRPr="00B36586">
              <w:rPr>
                <w:color w:val="000000"/>
              </w:rPr>
              <w:t>3 of 9</w:t>
            </w:r>
          </w:p>
        </w:tc>
        <w:tc>
          <w:tcPr>
            <w:tcW w:w="1134" w:type="dxa"/>
            <w:vAlign w:val="bottom"/>
          </w:tcPr>
          <w:p w14:paraId="2D13BAA2" w14:textId="0E4C3CE7" w:rsidR="00534160" w:rsidRPr="00B36586" w:rsidRDefault="00534160" w:rsidP="00223FA0">
            <w:pPr>
              <w:rPr>
                <w:color w:val="000000"/>
                <w:sz w:val="28"/>
                <w:szCs w:val="28"/>
                <w:lang w:eastAsia="en-GB"/>
              </w:rPr>
            </w:pPr>
            <w:r w:rsidRPr="00B36586">
              <w:rPr>
                <w:color w:val="000000"/>
              </w:rPr>
              <w:t>3 of 9</w:t>
            </w:r>
          </w:p>
        </w:tc>
        <w:tc>
          <w:tcPr>
            <w:tcW w:w="1276" w:type="dxa"/>
            <w:vAlign w:val="bottom"/>
          </w:tcPr>
          <w:p w14:paraId="68EB953E" w14:textId="1DC9227E" w:rsidR="00534160" w:rsidRPr="00B36586" w:rsidRDefault="00534160" w:rsidP="00223FA0">
            <w:pPr>
              <w:rPr>
                <w:color w:val="000000"/>
                <w:sz w:val="28"/>
                <w:szCs w:val="28"/>
                <w:lang w:eastAsia="en-GB"/>
              </w:rPr>
            </w:pPr>
            <w:r w:rsidRPr="00B36586">
              <w:rPr>
                <w:color w:val="000000"/>
              </w:rPr>
              <w:t>3 of 9</w:t>
            </w:r>
          </w:p>
        </w:tc>
        <w:tc>
          <w:tcPr>
            <w:tcW w:w="1276" w:type="dxa"/>
            <w:vAlign w:val="bottom"/>
          </w:tcPr>
          <w:p w14:paraId="30C954CD" w14:textId="483CF492" w:rsidR="00534160" w:rsidRPr="00B36586" w:rsidRDefault="00534160" w:rsidP="00223FA0">
            <w:pPr>
              <w:rPr>
                <w:color w:val="000000"/>
                <w:sz w:val="28"/>
                <w:szCs w:val="28"/>
                <w:lang w:eastAsia="en-GB"/>
              </w:rPr>
            </w:pPr>
            <w:r w:rsidRPr="00B36586">
              <w:rPr>
                <w:color w:val="000000"/>
              </w:rPr>
              <w:t>3 of 9</w:t>
            </w:r>
          </w:p>
        </w:tc>
        <w:tc>
          <w:tcPr>
            <w:tcW w:w="1559" w:type="dxa"/>
            <w:tcBorders>
              <w:right w:val="double" w:sz="4" w:space="0" w:color="1F3368" w:themeColor="accent1"/>
            </w:tcBorders>
            <w:vAlign w:val="bottom"/>
          </w:tcPr>
          <w:p w14:paraId="36C6F7D1" w14:textId="657F52BD" w:rsidR="00534160" w:rsidRPr="00B36586" w:rsidRDefault="00534160" w:rsidP="00223FA0">
            <w:pPr>
              <w:rPr>
                <w:color w:val="000000"/>
                <w:sz w:val="28"/>
                <w:szCs w:val="28"/>
                <w:lang w:eastAsia="en-GB"/>
              </w:rPr>
            </w:pPr>
            <w:r w:rsidRPr="00B36586">
              <w:rPr>
                <w:color w:val="000000"/>
              </w:rPr>
              <w:t>3 of 9</w:t>
            </w:r>
          </w:p>
        </w:tc>
        <w:tc>
          <w:tcPr>
            <w:tcW w:w="1531" w:type="dxa"/>
            <w:tcBorders>
              <w:left w:val="double" w:sz="4" w:space="0" w:color="1F3368" w:themeColor="accent1"/>
            </w:tcBorders>
            <w:shd w:val="clear" w:color="auto" w:fill="auto"/>
          </w:tcPr>
          <w:p w14:paraId="19B1B850" w14:textId="5186D8BD" w:rsidR="00534160" w:rsidRPr="00B36586" w:rsidRDefault="00534160" w:rsidP="00223FA0">
            <w:pPr>
              <w:rPr>
                <w:color w:val="000000"/>
              </w:rPr>
            </w:pPr>
            <w:r w:rsidRPr="00B36586">
              <w:rPr>
                <w:color w:val="000000"/>
              </w:rPr>
              <w:t>4</w:t>
            </w:r>
          </w:p>
        </w:tc>
      </w:tr>
      <w:tr w:rsidR="00534160" w:rsidRPr="00B36586" w14:paraId="022E44FE" w14:textId="51F89F9E" w:rsidTr="00FC3456">
        <w:trPr>
          <w:gridAfter w:val="1"/>
          <w:wAfter w:w="28" w:type="dxa"/>
        </w:trPr>
        <w:tc>
          <w:tcPr>
            <w:tcW w:w="2547" w:type="dxa"/>
            <w:vAlign w:val="bottom"/>
          </w:tcPr>
          <w:p w14:paraId="375BC830" w14:textId="6D52A982" w:rsidR="00534160" w:rsidRPr="00B36586" w:rsidRDefault="00534160" w:rsidP="00223FA0">
            <w:pPr>
              <w:rPr>
                <w:color w:val="000000"/>
                <w:sz w:val="28"/>
                <w:szCs w:val="28"/>
                <w:lang w:eastAsia="en-GB"/>
              </w:rPr>
            </w:pPr>
            <w:r w:rsidRPr="00B36586">
              <w:rPr>
                <w:color w:val="000000"/>
              </w:rPr>
              <w:t>RBHSTW-00053</w:t>
            </w:r>
          </w:p>
        </w:tc>
        <w:tc>
          <w:tcPr>
            <w:tcW w:w="992" w:type="dxa"/>
            <w:shd w:val="clear" w:color="auto" w:fill="1CFFC2" w:themeFill="accent3" w:themeFillTint="99"/>
            <w:vAlign w:val="bottom"/>
          </w:tcPr>
          <w:p w14:paraId="571BA8A3" w14:textId="4FB59B67" w:rsidR="00534160" w:rsidRPr="00B36586" w:rsidRDefault="00534160" w:rsidP="00223FA0">
            <w:pPr>
              <w:rPr>
                <w:color w:val="000000"/>
                <w:sz w:val="28"/>
                <w:szCs w:val="28"/>
                <w:lang w:eastAsia="en-GB"/>
              </w:rPr>
            </w:pPr>
            <w:r w:rsidRPr="00B36586">
              <w:rPr>
                <w:color w:val="000000"/>
              </w:rPr>
              <w:t>6 of 6</w:t>
            </w:r>
          </w:p>
        </w:tc>
        <w:tc>
          <w:tcPr>
            <w:tcW w:w="1276" w:type="dxa"/>
            <w:shd w:val="clear" w:color="auto" w:fill="1CFFC2" w:themeFill="accent3" w:themeFillTint="99"/>
            <w:vAlign w:val="bottom"/>
          </w:tcPr>
          <w:p w14:paraId="5B214ED4" w14:textId="7CF21D25" w:rsidR="00534160" w:rsidRPr="00B36586" w:rsidRDefault="00534160" w:rsidP="00223FA0">
            <w:pPr>
              <w:rPr>
                <w:color w:val="000000"/>
                <w:sz w:val="28"/>
                <w:szCs w:val="28"/>
                <w:lang w:eastAsia="en-GB"/>
              </w:rPr>
            </w:pPr>
            <w:r w:rsidRPr="00B36586">
              <w:rPr>
                <w:color w:val="000000"/>
              </w:rPr>
              <w:t>6 of 6</w:t>
            </w:r>
          </w:p>
        </w:tc>
        <w:tc>
          <w:tcPr>
            <w:tcW w:w="1134" w:type="dxa"/>
            <w:shd w:val="clear" w:color="auto" w:fill="1CFFC2" w:themeFill="accent3" w:themeFillTint="99"/>
            <w:vAlign w:val="bottom"/>
          </w:tcPr>
          <w:p w14:paraId="27D9FE26" w14:textId="6F5501C2" w:rsidR="00534160" w:rsidRPr="00B36586" w:rsidRDefault="00534160" w:rsidP="00223FA0">
            <w:pPr>
              <w:rPr>
                <w:color w:val="000000"/>
                <w:sz w:val="28"/>
                <w:szCs w:val="28"/>
                <w:lang w:eastAsia="en-GB"/>
              </w:rPr>
            </w:pPr>
            <w:r w:rsidRPr="00B36586">
              <w:rPr>
                <w:color w:val="000000"/>
              </w:rPr>
              <w:t>6 of 6</w:t>
            </w:r>
          </w:p>
        </w:tc>
        <w:tc>
          <w:tcPr>
            <w:tcW w:w="1417" w:type="dxa"/>
            <w:shd w:val="clear" w:color="auto" w:fill="1CFFC2" w:themeFill="accent3" w:themeFillTint="99"/>
            <w:vAlign w:val="bottom"/>
          </w:tcPr>
          <w:p w14:paraId="70F7B731" w14:textId="2B317048" w:rsidR="00534160" w:rsidRPr="00B36586" w:rsidRDefault="00534160" w:rsidP="00223FA0">
            <w:pPr>
              <w:rPr>
                <w:color w:val="000000"/>
                <w:sz w:val="28"/>
                <w:szCs w:val="28"/>
                <w:lang w:eastAsia="en-GB"/>
              </w:rPr>
            </w:pPr>
            <w:r w:rsidRPr="00B36586">
              <w:rPr>
                <w:color w:val="000000"/>
              </w:rPr>
              <w:t>6 of 6</w:t>
            </w:r>
          </w:p>
        </w:tc>
        <w:tc>
          <w:tcPr>
            <w:tcW w:w="1134" w:type="dxa"/>
            <w:shd w:val="clear" w:color="auto" w:fill="1CFFC2" w:themeFill="accent3" w:themeFillTint="99"/>
            <w:vAlign w:val="bottom"/>
          </w:tcPr>
          <w:p w14:paraId="6A3BC643" w14:textId="22AD36ED" w:rsidR="00534160" w:rsidRPr="00B36586" w:rsidRDefault="00534160" w:rsidP="00223FA0">
            <w:pPr>
              <w:rPr>
                <w:color w:val="000000"/>
                <w:sz w:val="28"/>
                <w:szCs w:val="28"/>
                <w:lang w:eastAsia="en-GB"/>
              </w:rPr>
            </w:pPr>
            <w:r w:rsidRPr="00B36586">
              <w:rPr>
                <w:color w:val="000000"/>
              </w:rPr>
              <w:t>6 of 6</w:t>
            </w:r>
          </w:p>
        </w:tc>
        <w:tc>
          <w:tcPr>
            <w:tcW w:w="1276" w:type="dxa"/>
            <w:shd w:val="clear" w:color="auto" w:fill="1CFFC2" w:themeFill="accent3" w:themeFillTint="99"/>
            <w:vAlign w:val="bottom"/>
          </w:tcPr>
          <w:p w14:paraId="1231F519" w14:textId="6A20E17C" w:rsidR="00534160" w:rsidRPr="00B36586" w:rsidRDefault="00534160" w:rsidP="00223FA0">
            <w:pPr>
              <w:rPr>
                <w:color w:val="000000"/>
                <w:sz w:val="28"/>
                <w:szCs w:val="28"/>
                <w:lang w:eastAsia="en-GB"/>
              </w:rPr>
            </w:pPr>
            <w:r w:rsidRPr="00B36586">
              <w:rPr>
                <w:color w:val="000000"/>
              </w:rPr>
              <w:t>6 of 6</w:t>
            </w:r>
          </w:p>
        </w:tc>
        <w:tc>
          <w:tcPr>
            <w:tcW w:w="1276" w:type="dxa"/>
            <w:shd w:val="clear" w:color="auto" w:fill="1CFFC2" w:themeFill="accent3" w:themeFillTint="99"/>
            <w:vAlign w:val="bottom"/>
          </w:tcPr>
          <w:p w14:paraId="2194841E" w14:textId="0A774584" w:rsidR="00534160" w:rsidRPr="00B36586" w:rsidRDefault="00534160" w:rsidP="00223FA0">
            <w:pPr>
              <w:rPr>
                <w:color w:val="000000"/>
                <w:sz w:val="28"/>
                <w:szCs w:val="28"/>
                <w:lang w:eastAsia="en-GB"/>
              </w:rPr>
            </w:pPr>
            <w:r w:rsidRPr="00B36586">
              <w:rPr>
                <w:color w:val="000000"/>
              </w:rPr>
              <w:t>6 of 6</w:t>
            </w:r>
          </w:p>
        </w:tc>
        <w:tc>
          <w:tcPr>
            <w:tcW w:w="1559" w:type="dxa"/>
            <w:tcBorders>
              <w:right w:val="double" w:sz="4" w:space="0" w:color="1F3368" w:themeColor="accent1"/>
            </w:tcBorders>
            <w:shd w:val="clear" w:color="auto" w:fill="1CFFC2" w:themeFill="accent3" w:themeFillTint="99"/>
            <w:vAlign w:val="bottom"/>
          </w:tcPr>
          <w:p w14:paraId="599D4A0A" w14:textId="1CB288E9" w:rsidR="00534160" w:rsidRPr="00B36586" w:rsidRDefault="00534160" w:rsidP="00223FA0">
            <w:pPr>
              <w:rPr>
                <w:color w:val="000000"/>
                <w:sz w:val="28"/>
                <w:szCs w:val="28"/>
                <w:lang w:eastAsia="en-GB"/>
              </w:rPr>
            </w:pPr>
            <w:r w:rsidRPr="00B36586">
              <w:rPr>
                <w:color w:val="000000"/>
              </w:rPr>
              <w:t>6 of 6</w:t>
            </w:r>
          </w:p>
        </w:tc>
        <w:tc>
          <w:tcPr>
            <w:tcW w:w="1531" w:type="dxa"/>
            <w:tcBorders>
              <w:left w:val="double" w:sz="4" w:space="0" w:color="1F3368" w:themeColor="accent1"/>
            </w:tcBorders>
            <w:shd w:val="clear" w:color="auto" w:fill="auto"/>
          </w:tcPr>
          <w:p w14:paraId="4A103FF9" w14:textId="3D35BDE6" w:rsidR="00534160" w:rsidRPr="00B36586" w:rsidRDefault="00534160" w:rsidP="00223FA0">
            <w:pPr>
              <w:rPr>
                <w:color w:val="000000"/>
              </w:rPr>
            </w:pPr>
            <w:r w:rsidRPr="00B36586">
              <w:rPr>
                <w:color w:val="000000"/>
              </w:rPr>
              <w:t>6</w:t>
            </w:r>
          </w:p>
        </w:tc>
      </w:tr>
      <w:tr w:rsidR="00534160" w:rsidRPr="00B36586" w14:paraId="692B11A3" w14:textId="6C73098C" w:rsidTr="00FC3456">
        <w:trPr>
          <w:gridAfter w:val="1"/>
          <w:wAfter w:w="28" w:type="dxa"/>
        </w:trPr>
        <w:tc>
          <w:tcPr>
            <w:tcW w:w="2547" w:type="dxa"/>
            <w:vAlign w:val="bottom"/>
          </w:tcPr>
          <w:p w14:paraId="44197234" w14:textId="4E23E4A0" w:rsidR="00534160" w:rsidRPr="00B36586" w:rsidRDefault="00534160" w:rsidP="00223FA0">
            <w:pPr>
              <w:rPr>
                <w:color w:val="000000"/>
                <w:sz w:val="28"/>
                <w:szCs w:val="28"/>
                <w:lang w:eastAsia="en-GB"/>
              </w:rPr>
            </w:pPr>
            <w:r w:rsidRPr="00B36586">
              <w:rPr>
                <w:color w:val="000000"/>
              </w:rPr>
              <w:t>RBHSTW-00059</w:t>
            </w:r>
          </w:p>
        </w:tc>
        <w:tc>
          <w:tcPr>
            <w:tcW w:w="992" w:type="dxa"/>
            <w:shd w:val="clear" w:color="auto" w:fill="1CFFC2" w:themeFill="accent3" w:themeFillTint="99"/>
            <w:vAlign w:val="bottom"/>
          </w:tcPr>
          <w:p w14:paraId="1F3F1BFF" w14:textId="77891301" w:rsidR="00534160" w:rsidRPr="00B36586" w:rsidRDefault="00534160" w:rsidP="00223FA0">
            <w:pPr>
              <w:rPr>
                <w:color w:val="000000"/>
                <w:sz w:val="28"/>
                <w:szCs w:val="28"/>
                <w:lang w:eastAsia="en-GB"/>
              </w:rPr>
            </w:pPr>
            <w:r w:rsidRPr="00B36586">
              <w:rPr>
                <w:color w:val="000000"/>
              </w:rPr>
              <w:t>5 of 5</w:t>
            </w:r>
          </w:p>
        </w:tc>
        <w:tc>
          <w:tcPr>
            <w:tcW w:w="1276" w:type="dxa"/>
            <w:shd w:val="clear" w:color="auto" w:fill="1CFFC2" w:themeFill="accent3" w:themeFillTint="99"/>
            <w:vAlign w:val="bottom"/>
          </w:tcPr>
          <w:p w14:paraId="5321CDB8" w14:textId="2F073038" w:rsidR="00534160" w:rsidRPr="00B36586" w:rsidRDefault="00534160" w:rsidP="00223FA0">
            <w:pPr>
              <w:rPr>
                <w:color w:val="000000"/>
                <w:sz w:val="28"/>
                <w:szCs w:val="28"/>
                <w:lang w:eastAsia="en-GB"/>
              </w:rPr>
            </w:pPr>
            <w:r w:rsidRPr="00B36586">
              <w:rPr>
                <w:color w:val="000000"/>
              </w:rPr>
              <w:t>5 of 5</w:t>
            </w:r>
          </w:p>
        </w:tc>
        <w:tc>
          <w:tcPr>
            <w:tcW w:w="1134" w:type="dxa"/>
            <w:shd w:val="clear" w:color="auto" w:fill="1CFFC2" w:themeFill="accent3" w:themeFillTint="99"/>
            <w:vAlign w:val="bottom"/>
          </w:tcPr>
          <w:p w14:paraId="52DDDBA4" w14:textId="41D1AC29" w:rsidR="00534160" w:rsidRPr="00B36586" w:rsidRDefault="00534160" w:rsidP="00223FA0">
            <w:pPr>
              <w:rPr>
                <w:color w:val="000000"/>
                <w:sz w:val="28"/>
                <w:szCs w:val="28"/>
                <w:lang w:eastAsia="en-GB"/>
              </w:rPr>
            </w:pPr>
            <w:r w:rsidRPr="00B36586">
              <w:rPr>
                <w:color w:val="000000"/>
              </w:rPr>
              <w:t>5 of 5</w:t>
            </w:r>
          </w:p>
        </w:tc>
        <w:tc>
          <w:tcPr>
            <w:tcW w:w="1417" w:type="dxa"/>
            <w:shd w:val="clear" w:color="auto" w:fill="1CFFC2" w:themeFill="accent3" w:themeFillTint="99"/>
            <w:vAlign w:val="bottom"/>
          </w:tcPr>
          <w:p w14:paraId="24400D94" w14:textId="23C6763D" w:rsidR="00534160" w:rsidRPr="00B36586" w:rsidRDefault="00534160" w:rsidP="00223FA0">
            <w:pPr>
              <w:rPr>
                <w:color w:val="000000"/>
                <w:sz w:val="28"/>
                <w:szCs w:val="28"/>
                <w:lang w:eastAsia="en-GB"/>
              </w:rPr>
            </w:pPr>
            <w:r w:rsidRPr="00B36586">
              <w:rPr>
                <w:color w:val="000000"/>
              </w:rPr>
              <w:t>5 of 5</w:t>
            </w:r>
          </w:p>
        </w:tc>
        <w:tc>
          <w:tcPr>
            <w:tcW w:w="1134" w:type="dxa"/>
            <w:shd w:val="clear" w:color="auto" w:fill="1CFFC2" w:themeFill="accent3" w:themeFillTint="99"/>
            <w:vAlign w:val="bottom"/>
          </w:tcPr>
          <w:p w14:paraId="4855A8ED" w14:textId="0FB2D7BB" w:rsidR="00534160" w:rsidRPr="00B36586" w:rsidRDefault="00534160" w:rsidP="00223FA0">
            <w:pPr>
              <w:rPr>
                <w:color w:val="000000"/>
                <w:sz w:val="28"/>
                <w:szCs w:val="28"/>
                <w:lang w:eastAsia="en-GB"/>
              </w:rPr>
            </w:pPr>
            <w:r w:rsidRPr="00B36586">
              <w:rPr>
                <w:color w:val="000000"/>
              </w:rPr>
              <w:t>5 of 5</w:t>
            </w:r>
          </w:p>
        </w:tc>
        <w:tc>
          <w:tcPr>
            <w:tcW w:w="1276" w:type="dxa"/>
            <w:shd w:val="clear" w:color="auto" w:fill="1CFFC2" w:themeFill="accent3" w:themeFillTint="99"/>
            <w:vAlign w:val="bottom"/>
          </w:tcPr>
          <w:p w14:paraId="193E74DA" w14:textId="5B0AE50B" w:rsidR="00534160" w:rsidRPr="00B36586" w:rsidRDefault="00534160" w:rsidP="00223FA0">
            <w:pPr>
              <w:rPr>
                <w:color w:val="000000"/>
                <w:sz w:val="28"/>
                <w:szCs w:val="28"/>
                <w:lang w:eastAsia="en-GB"/>
              </w:rPr>
            </w:pPr>
            <w:r w:rsidRPr="00B36586">
              <w:rPr>
                <w:color w:val="000000"/>
              </w:rPr>
              <w:t>5 of 5</w:t>
            </w:r>
          </w:p>
        </w:tc>
        <w:tc>
          <w:tcPr>
            <w:tcW w:w="1276" w:type="dxa"/>
            <w:shd w:val="clear" w:color="auto" w:fill="1CFFC2" w:themeFill="accent3" w:themeFillTint="99"/>
            <w:vAlign w:val="bottom"/>
          </w:tcPr>
          <w:p w14:paraId="0C158021" w14:textId="4C01B51B" w:rsidR="00534160" w:rsidRPr="00B36586" w:rsidRDefault="00534160" w:rsidP="00223FA0">
            <w:pPr>
              <w:rPr>
                <w:color w:val="000000"/>
                <w:sz w:val="28"/>
                <w:szCs w:val="28"/>
                <w:lang w:eastAsia="en-GB"/>
              </w:rPr>
            </w:pPr>
            <w:r w:rsidRPr="00B36586">
              <w:rPr>
                <w:color w:val="000000"/>
              </w:rPr>
              <w:t>5 of 5</w:t>
            </w:r>
          </w:p>
        </w:tc>
        <w:tc>
          <w:tcPr>
            <w:tcW w:w="1559" w:type="dxa"/>
            <w:tcBorders>
              <w:right w:val="double" w:sz="4" w:space="0" w:color="1F3368" w:themeColor="accent1"/>
            </w:tcBorders>
            <w:shd w:val="clear" w:color="auto" w:fill="1CFFC2" w:themeFill="accent3" w:themeFillTint="99"/>
            <w:vAlign w:val="bottom"/>
          </w:tcPr>
          <w:p w14:paraId="2FE1168E" w14:textId="788DAC0A" w:rsidR="00534160" w:rsidRPr="00B36586" w:rsidRDefault="00534160" w:rsidP="00223FA0">
            <w:pPr>
              <w:rPr>
                <w:color w:val="000000"/>
                <w:sz w:val="28"/>
                <w:szCs w:val="28"/>
                <w:lang w:eastAsia="en-GB"/>
              </w:rPr>
            </w:pPr>
            <w:r w:rsidRPr="00B36586">
              <w:rPr>
                <w:color w:val="000000"/>
              </w:rPr>
              <w:t>5 of 5</w:t>
            </w:r>
          </w:p>
        </w:tc>
        <w:tc>
          <w:tcPr>
            <w:tcW w:w="1531" w:type="dxa"/>
            <w:tcBorders>
              <w:left w:val="double" w:sz="4" w:space="0" w:color="1F3368" w:themeColor="accent1"/>
            </w:tcBorders>
            <w:shd w:val="clear" w:color="auto" w:fill="auto"/>
          </w:tcPr>
          <w:p w14:paraId="144234C0" w14:textId="51C30854" w:rsidR="00534160" w:rsidRPr="00B36586" w:rsidRDefault="00534160" w:rsidP="00223FA0">
            <w:pPr>
              <w:rPr>
                <w:color w:val="000000"/>
              </w:rPr>
            </w:pPr>
            <w:r w:rsidRPr="00B36586">
              <w:rPr>
                <w:color w:val="000000"/>
              </w:rPr>
              <w:t>5</w:t>
            </w:r>
          </w:p>
        </w:tc>
      </w:tr>
      <w:tr w:rsidR="00534160" w:rsidRPr="00B36586" w14:paraId="623966B0" w14:textId="4AEE6B03" w:rsidTr="00FC3456">
        <w:trPr>
          <w:gridAfter w:val="1"/>
          <w:wAfter w:w="28" w:type="dxa"/>
        </w:trPr>
        <w:tc>
          <w:tcPr>
            <w:tcW w:w="2547" w:type="dxa"/>
            <w:vAlign w:val="bottom"/>
          </w:tcPr>
          <w:p w14:paraId="34508211" w14:textId="56C22131" w:rsidR="00534160" w:rsidRPr="00B36586" w:rsidRDefault="00534160" w:rsidP="00223FA0">
            <w:pPr>
              <w:rPr>
                <w:color w:val="000000"/>
                <w:sz w:val="28"/>
                <w:szCs w:val="28"/>
                <w:lang w:eastAsia="en-GB"/>
              </w:rPr>
            </w:pPr>
            <w:r w:rsidRPr="00B36586">
              <w:rPr>
                <w:color w:val="000000"/>
              </w:rPr>
              <w:t>RBHSTW-00122</w:t>
            </w:r>
          </w:p>
        </w:tc>
        <w:tc>
          <w:tcPr>
            <w:tcW w:w="992" w:type="dxa"/>
            <w:shd w:val="clear" w:color="auto" w:fill="1CFFC2" w:themeFill="accent3" w:themeFillTint="99"/>
            <w:vAlign w:val="bottom"/>
          </w:tcPr>
          <w:p w14:paraId="0F9A9694" w14:textId="1C654EBD" w:rsidR="00534160" w:rsidRPr="00B36586" w:rsidRDefault="00534160" w:rsidP="00223FA0">
            <w:pPr>
              <w:rPr>
                <w:color w:val="000000"/>
                <w:sz w:val="28"/>
                <w:szCs w:val="28"/>
                <w:lang w:eastAsia="en-GB"/>
              </w:rPr>
            </w:pPr>
            <w:r w:rsidRPr="00B36586">
              <w:rPr>
                <w:color w:val="000000"/>
              </w:rPr>
              <w:t>4 of 4</w:t>
            </w:r>
          </w:p>
        </w:tc>
        <w:tc>
          <w:tcPr>
            <w:tcW w:w="1276" w:type="dxa"/>
            <w:shd w:val="clear" w:color="auto" w:fill="1CFFC2" w:themeFill="accent3" w:themeFillTint="99"/>
            <w:vAlign w:val="bottom"/>
          </w:tcPr>
          <w:p w14:paraId="388F5B6C" w14:textId="6B717B41" w:rsidR="00534160" w:rsidRPr="00B36586" w:rsidRDefault="00534160" w:rsidP="00223FA0">
            <w:pPr>
              <w:rPr>
                <w:color w:val="000000"/>
                <w:sz w:val="28"/>
                <w:szCs w:val="28"/>
                <w:lang w:eastAsia="en-GB"/>
              </w:rPr>
            </w:pPr>
            <w:r w:rsidRPr="00B36586">
              <w:rPr>
                <w:color w:val="000000"/>
              </w:rPr>
              <w:t>4 of 4</w:t>
            </w:r>
          </w:p>
        </w:tc>
        <w:tc>
          <w:tcPr>
            <w:tcW w:w="1134" w:type="dxa"/>
            <w:shd w:val="clear" w:color="auto" w:fill="1CFFC2" w:themeFill="accent3" w:themeFillTint="99"/>
            <w:vAlign w:val="bottom"/>
          </w:tcPr>
          <w:p w14:paraId="6EB305CA" w14:textId="7B926C70" w:rsidR="00534160" w:rsidRPr="00B36586" w:rsidRDefault="00534160" w:rsidP="00223FA0">
            <w:pPr>
              <w:rPr>
                <w:color w:val="000000"/>
                <w:sz w:val="28"/>
                <w:szCs w:val="28"/>
                <w:lang w:eastAsia="en-GB"/>
              </w:rPr>
            </w:pPr>
            <w:r w:rsidRPr="00B36586">
              <w:rPr>
                <w:color w:val="000000"/>
              </w:rPr>
              <w:t>4 of 4</w:t>
            </w:r>
          </w:p>
        </w:tc>
        <w:tc>
          <w:tcPr>
            <w:tcW w:w="1417" w:type="dxa"/>
            <w:shd w:val="clear" w:color="auto" w:fill="1CFFC2" w:themeFill="accent3" w:themeFillTint="99"/>
            <w:vAlign w:val="bottom"/>
          </w:tcPr>
          <w:p w14:paraId="64F20221" w14:textId="3B570065" w:rsidR="00534160" w:rsidRPr="00B36586" w:rsidRDefault="00534160" w:rsidP="00223FA0">
            <w:pPr>
              <w:rPr>
                <w:color w:val="000000"/>
                <w:sz w:val="28"/>
                <w:szCs w:val="28"/>
                <w:lang w:eastAsia="en-GB"/>
              </w:rPr>
            </w:pPr>
            <w:r w:rsidRPr="00B36586">
              <w:rPr>
                <w:color w:val="000000"/>
              </w:rPr>
              <w:t>4 of 4</w:t>
            </w:r>
          </w:p>
        </w:tc>
        <w:tc>
          <w:tcPr>
            <w:tcW w:w="1134" w:type="dxa"/>
            <w:shd w:val="clear" w:color="auto" w:fill="1CFFC2" w:themeFill="accent3" w:themeFillTint="99"/>
            <w:vAlign w:val="bottom"/>
          </w:tcPr>
          <w:p w14:paraId="33488D9F" w14:textId="13B6F856" w:rsidR="00534160" w:rsidRPr="00B36586" w:rsidRDefault="00534160" w:rsidP="00223FA0">
            <w:pPr>
              <w:rPr>
                <w:color w:val="000000"/>
                <w:sz w:val="28"/>
                <w:szCs w:val="28"/>
                <w:lang w:eastAsia="en-GB"/>
              </w:rPr>
            </w:pPr>
            <w:r w:rsidRPr="00B36586">
              <w:rPr>
                <w:color w:val="000000"/>
              </w:rPr>
              <w:t>4 of 4</w:t>
            </w:r>
          </w:p>
        </w:tc>
        <w:tc>
          <w:tcPr>
            <w:tcW w:w="1276" w:type="dxa"/>
            <w:shd w:val="clear" w:color="auto" w:fill="1CFFC2" w:themeFill="accent3" w:themeFillTint="99"/>
            <w:vAlign w:val="bottom"/>
          </w:tcPr>
          <w:p w14:paraId="016DDA3E" w14:textId="6D61C651" w:rsidR="00534160" w:rsidRPr="00B36586" w:rsidRDefault="00534160" w:rsidP="00223FA0">
            <w:pPr>
              <w:rPr>
                <w:color w:val="000000"/>
                <w:sz w:val="28"/>
                <w:szCs w:val="28"/>
                <w:lang w:eastAsia="en-GB"/>
              </w:rPr>
            </w:pPr>
            <w:r w:rsidRPr="00B36586">
              <w:rPr>
                <w:color w:val="000000"/>
              </w:rPr>
              <w:t>4 of 4</w:t>
            </w:r>
          </w:p>
        </w:tc>
        <w:tc>
          <w:tcPr>
            <w:tcW w:w="1276" w:type="dxa"/>
            <w:shd w:val="clear" w:color="auto" w:fill="1CFFC2" w:themeFill="accent3" w:themeFillTint="99"/>
            <w:vAlign w:val="bottom"/>
          </w:tcPr>
          <w:p w14:paraId="6E5A28F4" w14:textId="5B0211C7" w:rsidR="00534160" w:rsidRPr="00B36586" w:rsidRDefault="00534160" w:rsidP="00223FA0">
            <w:pPr>
              <w:rPr>
                <w:color w:val="000000"/>
                <w:sz w:val="28"/>
                <w:szCs w:val="28"/>
                <w:lang w:eastAsia="en-GB"/>
              </w:rPr>
            </w:pPr>
            <w:r w:rsidRPr="00B36586">
              <w:rPr>
                <w:color w:val="000000"/>
              </w:rPr>
              <w:t>4 of 4</w:t>
            </w:r>
          </w:p>
        </w:tc>
        <w:tc>
          <w:tcPr>
            <w:tcW w:w="1559" w:type="dxa"/>
            <w:tcBorders>
              <w:right w:val="double" w:sz="4" w:space="0" w:color="1F3368" w:themeColor="accent1"/>
            </w:tcBorders>
            <w:shd w:val="clear" w:color="auto" w:fill="1CFFC2" w:themeFill="accent3" w:themeFillTint="99"/>
            <w:vAlign w:val="bottom"/>
          </w:tcPr>
          <w:p w14:paraId="13E20DD5" w14:textId="7970DEF9" w:rsidR="00534160" w:rsidRPr="00B36586" w:rsidRDefault="00534160" w:rsidP="00223FA0">
            <w:pPr>
              <w:rPr>
                <w:color w:val="000000"/>
                <w:sz w:val="28"/>
                <w:szCs w:val="28"/>
                <w:lang w:eastAsia="en-GB"/>
              </w:rPr>
            </w:pPr>
            <w:r w:rsidRPr="00B36586">
              <w:rPr>
                <w:color w:val="000000"/>
              </w:rPr>
              <w:t>4 of 4</w:t>
            </w:r>
          </w:p>
        </w:tc>
        <w:tc>
          <w:tcPr>
            <w:tcW w:w="1531" w:type="dxa"/>
            <w:tcBorders>
              <w:left w:val="double" w:sz="4" w:space="0" w:color="1F3368" w:themeColor="accent1"/>
            </w:tcBorders>
            <w:shd w:val="clear" w:color="auto" w:fill="auto"/>
          </w:tcPr>
          <w:p w14:paraId="378C33F2" w14:textId="42236E4F" w:rsidR="00534160" w:rsidRPr="00B36586" w:rsidRDefault="00534160" w:rsidP="00223FA0">
            <w:pPr>
              <w:rPr>
                <w:color w:val="000000"/>
              </w:rPr>
            </w:pPr>
            <w:r w:rsidRPr="00B36586">
              <w:rPr>
                <w:color w:val="000000"/>
              </w:rPr>
              <w:t>4</w:t>
            </w:r>
          </w:p>
        </w:tc>
      </w:tr>
      <w:tr w:rsidR="00534160" w:rsidRPr="00B36586" w14:paraId="1D4C0BE1" w14:textId="18B1AD4C" w:rsidTr="00FC3456">
        <w:trPr>
          <w:gridAfter w:val="1"/>
          <w:wAfter w:w="28" w:type="dxa"/>
        </w:trPr>
        <w:tc>
          <w:tcPr>
            <w:tcW w:w="2547" w:type="dxa"/>
            <w:vAlign w:val="bottom"/>
          </w:tcPr>
          <w:p w14:paraId="4F2564A0" w14:textId="28094C8A" w:rsidR="00534160" w:rsidRPr="00B36586" w:rsidRDefault="00534160" w:rsidP="00223FA0">
            <w:pPr>
              <w:rPr>
                <w:color w:val="000000"/>
                <w:sz w:val="28"/>
                <w:szCs w:val="28"/>
                <w:lang w:eastAsia="en-GB"/>
              </w:rPr>
            </w:pPr>
            <w:r w:rsidRPr="00B36586">
              <w:rPr>
                <w:color w:val="000000"/>
              </w:rPr>
              <w:t>RBHSTW-00123</w:t>
            </w:r>
          </w:p>
        </w:tc>
        <w:tc>
          <w:tcPr>
            <w:tcW w:w="992" w:type="dxa"/>
            <w:shd w:val="clear" w:color="auto" w:fill="1CFFC2" w:themeFill="accent3" w:themeFillTint="99"/>
            <w:vAlign w:val="bottom"/>
          </w:tcPr>
          <w:p w14:paraId="68921D2C" w14:textId="5770A2B9" w:rsidR="00534160" w:rsidRPr="00B36586" w:rsidRDefault="00534160" w:rsidP="00223FA0">
            <w:pPr>
              <w:rPr>
                <w:color w:val="000000"/>
                <w:sz w:val="28"/>
                <w:szCs w:val="28"/>
                <w:lang w:eastAsia="en-GB"/>
              </w:rPr>
            </w:pPr>
            <w:r w:rsidRPr="00B36586">
              <w:rPr>
                <w:color w:val="000000"/>
              </w:rPr>
              <w:t>7 of 7</w:t>
            </w:r>
          </w:p>
        </w:tc>
        <w:tc>
          <w:tcPr>
            <w:tcW w:w="1276" w:type="dxa"/>
            <w:vAlign w:val="bottom"/>
          </w:tcPr>
          <w:p w14:paraId="48761306" w14:textId="6F4A7927" w:rsidR="00534160" w:rsidRPr="00B36586" w:rsidRDefault="00534160" w:rsidP="00223FA0">
            <w:pPr>
              <w:rPr>
                <w:color w:val="000000"/>
                <w:sz w:val="28"/>
                <w:szCs w:val="28"/>
                <w:lang w:eastAsia="en-GB"/>
              </w:rPr>
            </w:pPr>
            <w:r w:rsidRPr="00B36586">
              <w:rPr>
                <w:color w:val="000000"/>
              </w:rPr>
              <w:t>NA</w:t>
            </w:r>
          </w:p>
        </w:tc>
        <w:tc>
          <w:tcPr>
            <w:tcW w:w="1134" w:type="dxa"/>
            <w:shd w:val="clear" w:color="auto" w:fill="1CFFC2" w:themeFill="accent3" w:themeFillTint="99"/>
            <w:vAlign w:val="bottom"/>
          </w:tcPr>
          <w:p w14:paraId="74C4B88D" w14:textId="1716C01C" w:rsidR="00534160" w:rsidRPr="00B36586" w:rsidRDefault="00534160" w:rsidP="00223FA0">
            <w:pPr>
              <w:rPr>
                <w:color w:val="000000"/>
                <w:sz w:val="28"/>
                <w:szCs w:val="28"/>
                <w:lang w:eastAsia="en-GB"/>
              </w:rPr>
            </w:pPr>
            <w:r w:rsidRPr="00B36586">
              <w:rPr>
                <w:color w:val="000000"/>
              </w:rPr>
              <w:t>7 of 7</w:t>
            </w:r>
          </w:p>
        </w:tc>
        <w:tc>
          <w:tcPr>
            <w:tcW w:w="1417" w:type="dxa"/>
            <w:shd w:val="clear" w:color="auto" w:fill="1CFFC2" w:themeFill="accent3" w:themeFillTint="99"/>
            <w:vAlign w:val="bottom"/>
          </w:tcPr>
          <w:p w14:paraId="39E8DE3A" w14:textId="5ED4BE39" w:rsidR="00534160" w:rsidRPr="00B36586" w:rsidRDefault="00534160" w:rsidP="00223FA0">
            <w:pPr>
              <w:rPr>
                <w:color w:val="000000"/>
                <w:sz w:val="28"/>
                <w:szCs w:val="28"/>
                <w:lang w:eastAsia="en-GB"/>
              </w:rPr>
            </w:pPr>
            <w:r w:rsidRPr="00B36586">
              <w:rPr>
                <w:color w:val="000000"/>
              </w:rPr>
              <w:t>7 of 7</w:t>
            </w:r>
          </w:p>
        </w:tc>
        <w:tc>
          <w:tcPr>
            <w:tcW w:w="1134" w:type="dxa"/>
            <w:vAlign w:val="bottom"/>
          </w:tcPr>
          <w:p w14:paraId="35A22B37" w14:textId="2292788F" w:rsidR="00534160" w:rsidRPr="00B36586" w:rsidRDefault="00534160" w:rsidP="00223FA0">
            <w:pPr>
              <w:rPr>
                <w:color w:val="000000"/>
                <w:sz w:val="28"/>
                <w:szCs w:val="28"/>
                <w:lang w:eastAsia="en-GB"/>
              </w:rPr>
            </w:pPr>
            <w:r w:rsidRPr="00B36586">
              <w:rPr>
                <w:color w:val="000000"/>
              </w:rPr>
              <w:t>5 of 8</w:t>
            </w:r>
          </w:p>
        </w:tc>
        <w:tc>
          <w:tcPr>
            <w:tcW w:w="1276" w:type="dxa"/>
            <w:vAlign w:val="bottom"/>
          </w:tcPr>
          <w:p w14:paraId="2960B626" w14:textId="6827D658" w:rsidR="00534160" w:rsidRPr="00B36586" w:rsidRDefault="00534160" w:rsidP="00223FA0">
            <w:pPr>
              <w:rPr>
                <w:color w:val="000000"/>
                <w:sz w:val="28"/>
                <w:szCs w:val="28"/>
                <w:lang w:eastAsia="en-GB"/>
              </w:rPr>
            </w:pPr>
            <w:r w:rsidRPr="00B36586">
              <w:rPr>
                <w:color w:val="000000"/>
              </w:rPr>
              <w:t>4 of 18</w:t>
            </w:r>
          </w:p>
        </w:tc>
        <w:tc>
          <w:tcPr>
            <w:tcW w:w="1276" w:type="dxa"/>
            <w:vAlign w:val="bottom"/>
          </w:tcPr>
          <w:p w14:paraId="7E38891F" w14:textId="5B56EA59" w:rsidR="00534160" w:rsidRPr="00B36586" w:rsidRDefault="00534160" w:rsidP="00223FA0">
            <w:pPr>
              <w:rPr>
                <w:color w:val="000000"/>
                <w:sz w:val="28"/>
                <w:szCs w:val="28"/>
                <w:lang w:eastAsia="en-GB"/>
              </w:rPr>
            </w:pPr>
            <w:r w:rsidRPr="00B36586">
              <w:rPr>
                <w:color w:val="000000"/>
              </w:rPr>
              <w:t>4 of 18</w:t>
            </w:r>
          </w:p>
        </w:tc>
        <w:tc>
          <w:tcPr>
            <w:tcW w:w="1559" w:type="dxa"/>
            <w:tcBorders>
              <w:right w:val="double" w:sz="4" w:space="0" w:color="1F3368" w:themeColor="accent1"/>
            </w:tcBorders>
            <w:vAlign w:val="bottom"/>
          </w:tcPr>
          <w:p w14:paraId="59F168BD" w14:textId="30694641" w:rsidR="00534160" w:rsidRPr="00B36586" w:rsidRDefault="00534160" w:rsidP="00223FA0">
            <w:pPr>
              <w:rPr>
                <w:color w:val="000000"/>
                <w:sz w:val="28"/>
                <w:szCs w:val="28"/>
                <w:lang w:eastAsia="en-GB"/>
              </w:rPr>
            </w:pPr>
            <w:r w:rsidRPr="00B36586">
              <w:rPr>
                <w:color w:val="000000"/>
              </w:rPr>
              <w:t>4 of 18</w:t>
            </w:r>
          </w:p>
        </w:tc>
        <w:tc>
          <w:tcPr>
            <w:tcW w:w="1531" w:type="dxa"/>
            <w:tcBorders>
              <w:left w:val="double" w:sz="4" w:space="0" w:color="1F3368" w:themeColor="accent1"/>
            </w:tcBorders>
            <w:shd w:val="clear" w:color="auto" w:fill="auto"/>
          </w:tcPr>
          <w:p w14:paraId="7352030A" w14:textId="644BA6D6" w:rsidR="00534160" w:rsidRPr="00B36586" w:rsidRDefault="00534160" w:rsidP="00223FA0">
            <w:pPr>
              <w:rPr>
                <w:color w:val="000000"/>
              </w:rPr>
            </w:pPr>
            <w:r w:rsidRPr="00B36586">
              <w:rPr>
                <w:color w:val="000000"/>
              </w:rPr>
              <w:t>7</w:t>
            </w:r>
          </w:p>
        </w:tc>
      </w:tr>
      <w:tr w:rsidR="00534160" w:rsidRPr="00B36586" w14:paraId="79B91BEF" w14:textId="2C4B8CF2" w:rsidTr="00FC3456">
        <w:trPr>
          <w:gridAfter w:val="1"/>
          <w:wAfter w:w="28" w:type="dxa"/>
        </w:trPr>
        <w:tc>
          <w:tcPr>
            <w:tcW w:w="2547" w:type="dxa"/>
            <w:vAlign w:val="bottom"/>
          </w:tcPr>
          <w:p w14:paraId="09707BD3" w14:textId="6FC66D30" w:rsidR="00534160" w:rsidRPr="00B36586" w:rsidRDefault="00534160" w:rsidP="00223FA0">
            <w:pPr>
              <w:rPr>
                <w:color w:val="000000"/>
                <w:sz w:val="28"/>
                <w:szCs w:val="28"/>
                <w:lang w:eastAsia="en-GB"/>
              </w:rPr>
            </w:pPr>
            <w:r w:rsidRPr="00B36586">
              <w:rPr>
                <w:color w:val="000000"/>
              </w:rPr>
              <w:t>RBHSTW-00127</w:t>
            </w:r>
          </w:p>
        </w:tc>
        <w:tc>
          <w:tcPr>
            <w:tcW w:w="992" w:type="dxa"/>
            <w:shd w:val="clear" w:color="auto" w:fill="1CFFC2" w:themeFill="accent3" w:themeFillTint="99"/>
            <w:vAlign w:val="bottom"/>
          </w:tcPr>
          <w:p w14:paraId="3B4B1343" w14:textId="2D1CE638" w:rsidR="00534160" w:rsidRPr="00B36586" w:rsidRDefault="00534160" w:rsidP="00223FA0">
            <w:pPr>
              <w:rPr>
                <w:color w:val="000000"/>
                <w:sz w:val="28"/>
                <w:szCs w:val="28"/>
                <w:lang w:eastAsia="en-GB"/>
              </w:rPr>
            </w:pPr>
            <w:r w:rsidRPr="00B36586">
              <w:rPr>
                <w:color w:val="000000"/>
              </w:rPr>
              <w:t>5 of 5</w:t>
            </w:r>
          </w:p>
        </w:tc>
        <w:tc>
          <w:tcPr>
            <w:tcW w:w="1276" w:type="dxa"/>
            <w:shd w:val="clear" w:color="auto" w:fill="1CFFC2" w:themeFill="accent3" w:themeFillTint="99"/>
            <w:vAlign w:val="bottom"/>
          </w:tcPr>
          <w:p w14:paraId="4A2EC15D" w14:textId="55958CCD" w:rsidR="00534160" w:rsidRPr="00B36586" w:rsidRDefault="00534160" w:rsidP="00223FA0">
            <w:pPr>
              <w:rPr>
                <w:color w:val="000000"/>
                <w:sz w:val="28"/>
                <w:szCs w:val="28"/>
                <w:lang w:eastAsia="en-GB"/>
              </w:rPr>
            </w:pPr>
            <w:r w:rsidRPr="00B36586">
              <w:rPr>
                <w:color w:val="000000"/>
              </w:rPr>
              <w:t>5 of 5</w:t>
            </w:r>
          </w:p>
        </w:tc>
        <w:tc>
          <w:tcPr>
            <w:tcW w:w="1134" w:type="dxa"/>
            <w:shd w:val="clear" w:color="auto" w:fill="1CFFC2" w:themeFill="accent3" w:themeFillTint="99"/>
            <w:vAlign w:val="bottom"/>
          </w:tcPr>
          <w:p w14:paraId="7EBCE652" w14:textId="65476F82" w:rsidR="00534160" w:rsidRPr="00B36586" w:rsidRDefault="00534160" w:rsidP="00223FA0">
            <w:pPr>
              <w:rPr>
                <w:color w:val="000000"/>
                <w:sz w:val="28"/>
                <w:szCs w:val="28"/>
                <w:lang w:eastAsia="en-GB"/>
              </w:rPr>
            </w:pPr>
            <w:r w:rsidRPr="00B36586">
              <w:rPr>
                <w:color w:val="000000"/>
              </w:rPr>
              <w:t>5 of 5</w:t>
            </w:r>
          </w:p>
        </w:tc>
        <w:tc>
          <w:tcPr>
            <w:tcW w:w="1417" w:type="dxa"/>
            <w:shd w:val="clear" w:color="auto" w:fill="1CFFC2" w:themeFill="accent3" w:themeFillTint="99"/>
            <w:vAlign w:val="bottom"/>
          </w:tcPr>
          <w:p w14:paraId="2FDCDA51" w14:textId="008DC2AB" w:rsidR="00534160" w:rsidRPr="00B36586" w:rsidRDefault="00534160" w:rsidP="00223FA0">
            <w:pPr>
              <w:rPr>
                <w:color w:val="000000"/>
                <w:sz w:val="28"/>
                <w:szCs w:val="28"/>
                <w:lang w:eastAsia="en-GB"/>
              </w:rPr>
            </w:pPr>
            <w:r w:rsidRPr="00B36586">
              <w:rPr>
                <w:color w:val="000000"/>
              </w:rPr>
              <w:t>5 of 5</w:t>
            </w:r>
          </w:p>
        </w:tc>
        <w:tc>
          <w:tcPr>
            <w:tcW w:w="1134" w:type="dxa"/>
            <w:shd w:val="clear" w:color="auto" w:fill="1CFFC2" w:themeFill="accent3" w:themeFillTint="99"/>
            <w:vAlign w:val="bottom"/>
          </w:tcPr>
          <w:p w14:paraId="46B01916" w14:textId="5971D7F0" w:rsidR="00534160" w:rsidRPr="00B36586" w:rsidRDefault="00534160" w:rsidP="00223FA0">
            <w:pPr>
              <w:rPr>
                <w:color w:val="000000"/>
                <w:sz w:val="28"/>
                <w:szCs w:val="28"/>
                <w:lang w:eastAsia="en-GB"/>
              </w:rPr>
            </w:pPr>
            <w:r w:rsidRPr="00B36586">
              <w:rPr>
                <w:color w:val="000000"/>
              </w:rPr>
              <w:t>5 of 5</w:t>
            </w:r>
          </w:p>
        </w:tc>
        <w:tc>
          <w:tcPr>
            <w:tcW w:w="1276" w:type="dxa"/>
            <w:shd w:val="clear" w:color="auto" w:fill="1CFFC2" w:themeFill="accent3" w:themeFillTint="99"/>
            <w:vAlign w:val="bottom"/>
          </w:tcPr>
          <w:p w14:paraId="6CBF3BA7" w14:textId="7F75E668" w:rsidR="00534160" w:rsidRPr="00B36586" w:rsidRDefault="00534160" w:rsidP="00223FA0">
            <w:pPr>
              <w:rPr>
                <w:color w:val="000000"/>
                <w:sz w:val="28"/>
                <w:szCs w:val="28"/>
                <w:lang w:eastAsia="en-GB"/>
              </w:rPr>
            </w:pPr>
            <w:r w:rsidRPr="00B36586">
              <w:rPr>
                <w:color w:val="000000"/>
              </w:rPr>
              <w:t>5 of 5</w:t>
            </w:r>
          </w:p>
        </w:tc>
        <w:tc>
          <w:tcPr>
            <w:tcW w:w="1276" w:type="dxa"/>
            <w:shd w:val="clear" w:color="auto" w:fill="1CFFC2" w:themeFill="accent3" w:themeFillTint="99"/>
            <w:vAlign w:val="bottom"/>
          </w:tcPr>
          <w:p w14:paraId="7F606DA0" w14:textId="69150F60" w:rsidR="00534160" w:rsidRPr="00B36586" w:rsidRDefault="00534160" w:rsidP="00223FA0">
            <w:pPr>
              <w:rPr>
                <w:color w:val="000000"/>
                <w:sz w:val="28"/>
                <w:szCs w:val="28"/>
                <w:lang w:eastAsia="en-GB"/>
              </w:rPr>
            </w:pPr>
            <w:r w:rsidRPr="00B36586">
              <w:rPr>
                <w:color w:val="000000"/>
              </w:rPr>
              <w:t>5 of 5</w:t>
            </w:r>
          </w:p>
        </w:tc>
        <w:tc>
          <w:tcPr>
            <w:tcW w:w="1559" w:type="dxa"/>
            <w:tcBorders>
              <w:right w:val="double" w:sz="4" w:space="0" w:color="1F3368" w:themeColor="accent1"/>
            </w:tcBorders>
            <w:shd w:val="clear" w:color="auto" w:fill="1CFFC2" w:themeFill="accent3" w:themeFillTint="99"/>
            <w:vAlign w:val="bottom"/>
          </w:tcPr>
          <w:p w14:paraId="315A8BFC" w14:textId="67FBCFC8" w:rsidR="00534160" w:rsidRPr="00B36586" w:rsidRDefault="00534160" w:rsidP="00223FA0">
            <w:pPr>
              <w:rPr>
                <w:color w:val="000000"/>
                <w:sz w:val="28"/>
                <w:szCs w:val="28"/>
                <w:lang w:eastAsia="en-GB"/>
              </w:rPr>
            </w:pPr>
            <w:r w:rsidRPr="00B36586">
              <w:rPr>
                <w:color w:val="000000"/>
              </w:rPr>
              <w:t>5 of 5</w:t>
            </w:r>
          </w:p>
        </w:tc>
        <w:tc>
          <w:tcPr>
            <w:tcW w:w="1531" w:type="dxa"/>
            <w:tcBorders>
              <w:left w:val="double" w:sz="4" w:space="0" w:color="1F3368" w:themeColor="accent1"/>
            </w:tcBorders>
            <w:shd w:val="clear" w:color="auto" w:fill="auto"/>
          </w:tcPr>
          <w:p w14:paraId="696AF28F" w14:textId="454C4D4A" w:rsidR="00534160" w:rsidRPr="00B36586" w:rsidRDefault="00534160" w:rsidP="00223FA0">
            <w:pPr>
              <w:rPr>
                <w:color w:val="000000"/>
              </w:rPr>
            </w:pPr>
            <w:r w:rsidRPr="00B36586">
              <w:rPr>
                <w:color w:val="000000"/>
              </w:rPr>
              <w:t>5</w:t>
            </w:r>
          </w:p>
        </w:tc>
      </w:tr>
      <w:tr w:rsidR="00534160" w:rsidRPr="00B36586" w14:paraId="3415D268" w14:textId="46E83F33" w:rsidTr="00FC3456">
        <w:trPr>
          <w:gridAfter w:val="1"/>
          <w:wAfter w:w="28" w:type="dxa"/>
        </w:trPr>
        <w:tc>
          <w:tcPr>
            <w:tcW w:w="2547" w:type="dxa"/>
            <w:vAlign w:val="bottom"/>
          </w:tcPr>
          <w:p w14:paraId="4D71946A" w14:textId="2EDDE867" w:rsidR="00534160" w:rsidRPr="00B36586" w:rsidRDefault="00534160" w:rsidP="00223FA0">
            <w:pPr>
              <w:rPr>
                <w:color w:val="000000"/>
                <w:sz w:val="28"/>
                <w:szCs w:val="28"/>
                <w:lang w:eastAsia="en-GB"/>
              </w:rPr>
            </w:pPr>
            <w:r w:rsidRPr="00B36586">
              <w:rPr>
                <w:color w:val="000000"/>
              </w:rPr>
              <w:t>RBHSTW-00128</w:t>
            </w:r>
          </w:p>
        </w:tc>
        <w:tc>
          <w:tcPr>
            <w:tcW w:w="992" w:type="dxa"/>
            <w:shd w:val="clear" w:color="auto" w:fill="1CFFC2" w:themeFill="accent3" w:themeFillTint="99"/>
            <w:vAlign w:val="bottom"/>
          </w:tcPr>
          <w:p w14:paraId="19577243" w14:textId="74A07731" w:rsidR="00534160" w:rsidRPr="00B36586" w:rsidRDefault="00534160" w:rsidP="00223FA0">
            <w:pPr>
              <w:rPr>
                <w:color w:val="000000"/>
                <w:sz w:val="28"/>
                <w:szCs w:val="28"/>
                <w:lang w:eastAsia="en-GB"/>
              </w:rPr>
            </w:pPr>
            <w:r w:rsidRPr="00B36586">
              <w:rPr>
                <w:color w:val="000000"/>
              </w:rPr>
              <w:t>4 of 4</w:t>
            </w:r>
          </w:p>
        </w:tc>
        <w:tc>
          <w:tcPr>
            <w:tcW w:w="1276" w:type="dxa"/>
            <w:shd w:val="clear" w:color="auto" w:fill="1CFFC2" w:themeFill="accent3" w:themeFillTint="99"/>
            <w:vAlign w:val="bottom"/>
          </w:tcPr>
          <w:p w14:paraId="4AC74051" w14:textId="6AC9B8F5" w:rsidR="00534160" w:rsidRPr="00B36586" w:rsidRDefault="00534160" w:rsidP="00223FA0">
            <w:pPr>
              <w:rPr>
                <w:color w:val="000000"/>
                <w:sz w:val="28"/>
                <w:szCs w:val="28"/>
                <w:lang w:eastAsia="en-GB"/>
              </w:rPr>
            </w:pPr>
            <w:r w:rsidRPr="00B36586">
              <w:rPr>
                <w:color w:val="000000"/>
              </w:rPr>
              <w:t>4 of 4</w:t>
            </w:r>
          </w:p>
        </w:tc>
        <w:tc>
          <w:tcPr>
            <w:tcW w:w="1134" w:type="dxa"/>
            <w:shd w:val="clear" w:color="auto" w:fill="1CFFC2" w:themeFill="accent3" w:themeFillTint="99"/>
            <w:vAlign w:val="bottom"/>
          </w:tcPr>
          <w:p w14:paraId="58FB444F" w14:textId="57C97607" w:rsidR="00534160" w:rsidRPr="00B36586" w:rsidRDefault="00534160" w:rsidP="00223FA0">
            <w:pPr>
              <w:rPr>
                <w:color w:val="000000"/>
                <w:sz w:val="28"/>
                <w:szCs w:val="28"/>
                <w:lang w:eastAsia="en-GB"/>
              </w:rPr>
            </w:pPr>
            <w:r w:rsidRPr="00B36586">
              <w:rPr>
                <w:color w:val="000000"/>
              </w:rPr>
              <w:t>4 of 4</w:t>
            </w:r>
          </w:p>
        </w:tc>
        <w:tc>
          <w:tcPr>
            <w:tcW w:w="1417" w:type="dxa"/>
            <w:shd w:val="clear" w:color="auto" w:fill="1CFFC2" w:themeFill="accent3" w:themeFillTint="99"/>
            <w:vAlign w:val="bottom"/>
          </w:tcPr>
          <w:p w14:paraId="3A785F38" w14:textId="66C1E174" w:rsidR="00534160" w:rsidRPr="00B36586" w:rsidRDefault="00534160" w:rsidP="00223FA0">
            <w:pPr>
              <w:rPr>
                <w:color w:val="000000"/>
                <w:sz w:val="28"/>
                <w:szCs w:val="28"/>
                <w:lang w:eastAsia="en-GB"/>
              </w:rPr>
            </w:pPr>
            <w:r w:rsidRPr="00B36586">
              <w:rPr>
                <w:color w:val="000000"/>
              </w:rPr>
              <w:t>4 of 4</w:t>
            </w:r>
          </w:p>
        </w:tc>
        <w:tc>
          <w:tcPr>
            <w:tcW w:w="1134" w:type="dxa"/>
            <w:shd w:val="clear" w:color="auto" w:fill="1CFFC2" w:themeFill="accent3" w:themeFillTint="99"/>
            <w:vAlign w:val="bottom"/>
          </w:tcPr>
          <w:p w14:paraId="36E9BCFD" w14:textId="36F30319" w:rsidR="00534160" w:rsidRPr="00B36586" w:rsidRDefault="00534160" w:rsidP="00223FA0">
            <w:pPr>
              <w:rPr>
                <w:color w:val="000000"/>
                <w:sz w:val="28"/>
                <w:szCs w:val="28"/>
                <w:lang w:eastAsia="en-GB"/>
              </w:rPr>
            </w:pPr>
            <w:r w:rsidRPr="00B36586">
              <w:rPr>
                <w:color w:val="000000"/>
              </w:rPr>
              <w:t>4 of 4</w:t>
            </w:r>
          </w:p>
        </w:tc>
        <w:tc>
          <w:tcPr>
            <w:tcW w:w="1276" w:type="dxa"/>
            <w:vAlign w:val="bottom"/>
          </w:tcPr>
          <w:p w14:paraId="400400FD" w14:textId="23CA9566" w:rsidR="00534160" w:rsidRPr="00B36586" w:rsidRDefault="00534160" w:rsidP="00223FA0">
            <w:pPr>
              <w:rPr>
                <w:color w:val="000000"/>
                <w:sz w:val="28"/>
                <w:szCs w:val="28"/>
                <w:lang w:eastAsia="en-GB"/>
              </w:rPr>
            </w:pPr>
            <w:r w:rsidRPr="00B36586">
              <w:rPr>
                <w:color w:val="000000"/>
              </w:rPr>
              <w:t>3 of 6</w:t>
            </w:r>
          </w:p>
        </w:tc>
        <w:tc>
          <w:tcPr>
            <w:tcW w:w="1276" w:type="dxa"/>
            <w:vAlign w:val="bottom"/>
          </w:tcPr>
          <w:p w14:paraId="74A6C3E5" w14:textId="2DD23030" w:rsidR="00534160" w:rsidRPr="00B36586" w:rsidRDefault="00534160" w:rsidP="00223FA0">
            <w:pPr>
              <w:rPr>
                <w:color w:val="000000"/>
                <w:sz w:val="28"/>
                <w:szCs w:val="28"/>
                <w:lang w:eastAsia="en-GB"/>
              </w:rPr>
            </w:pPr>
            <w:r w:rsidRPr="00B36586">
              <w:rPr>
                <w:color w:val="000000"/>
              </w:rPr>
              <w:t>3 of 6</w:t>
            </w:r>
          </w:p>
        </w:tc>
        <w:tc>
          <w:tcPr>
            <w:tcW w:w="1559" w:type="dxa"/>
            <w:tcBorders>
              <w:right w:val="double" w:sz="4" w:space="0" w:color="1F3368" w:themeColor="accent1"/>
            </w:tcBorders>
            <w:vAlign w:val="bottom"/>
          </w:tcPr>
          <w:p w14:paraId="3CB62E2A" w14:textId="738F7BE0" w:rsidR="00534160" w:rsidRPr="00B36586" w:rsidRDefault="00534160" w:rsidP="00223FA0">
            <w:pPr>
              <w:rPr>
                <w:color w:val="000000"/>
                <w:sz w:val="28"/>
                <w:szCs w:val="28"/>
                <w:lang w:eastAsia="en-GB"/>
              </w:rPr>
            </w:pPr>
            <w:r w:rsidRPr="00B36586">
              <w:rPr>
                <w:color w:val="000000"/>
              </w:rPr>
              <w:t>3 of 6</w:t>
            </w:r>
          </w:p>
        </w:tc>
        <w:tc>
          <w:tcPr>
            <w:tcW w:w="1531" w:type="dxa"/>
            <w:tcBorders>
              <w:left w:val="double" w:sz="4" w:space="0" w:color="1F3368" w:themeColor="accent1"/>
            </w:tcBorders>
            <w:shd w:val="clear" w:color="auto" w:fill="auto"/>
          </w:tcPr>
          <w:p w14:paraId="56CD6CE7" w14:textId="1B3DD8CA" w:rsidR="00534160" w:rsidRPr="00B36586" w:rsidRDefault="00534160" w:rsidP="00223FA0">
            <w:pPr>
              <w:rPr>
                <w:color w:val="000000"/>
              </w:rPr>
            </w:pPr>
            <w:r w:rsidRPr="00B36586">
              <w:rPr>
                <w:color w:val="000000"/>
              </w:rPr>
              <w:t>4</w:t>
            </w:r>
          </w:p>
        </w:tc>
      </w:tr>
      <w:tr w:rsidR="00534160" w:rsidRPr="00B36586" w14:paraId="2B268E61" w14:textId="21D7D0E8" w:rsidTr="00FC3456">
        <w:trPr>
          <w:gridAfter w:val="1"/>
          <w:wAfter w:w="28" w:type="dxa"/>
        </w:trPr>
        <w:tc>
          <w:tcPr>
            <w:tcW w:w="2547" w:type="dxa"/>
            <w:vAlign w:val="bottom"/>
          </w:tcPr>
          <w:p w14:paraId="4435AEC1" w14:textId="2BDF5358" w:rsidR="00534160" w:rsidRPr="00B36586" w:rsidRDefault="00534160" w:rsidP="00223FA0">
            <w:pPr>
              <w:rPr>
                <w:color w:val="000000"/>
                <w:sz w:val="28"/>
                <w:szCs w:val="28"/>
                <w:lang w:eastAsia="en-GB"/>
              </w:rPr>
            </w:pPr>
            <w:r w:rsidRPr="00B36586">
              <w:rPr>
                <w:color w:val="000000"/>
              </w:rPr>
              <w:t>RBHSTW-00131</w:t>
            </w:r>
          </w:p>
        </w:tc>
        <w:tc>
          <w:tcPr>
            <w:tcW w:w="992" w:type="dxa"/>
            <w:shd w:val="clear" w:color="auto" w:fill="1CFFC2" w:themeFill="accent3" w:themeFillTint="99"/>
            <w:vAlign w:val="bottom"/>
          </w:tcPr>
          <w:p w14:paraId="5A7E0D2F" w14:textId="479EB307" w:rsidR="00534160" w:rsidRPr="00B36586" w:rsidRDefault="00534160" w:rsidP="00223FA0">
            <w:pPr>
              <w:rPr>
                <w:color w:val="000000"/>
                <w:sz w:val="28"/>
                <w:szCs w:val="28"/>
                <w:lang w:eastAsia="en-GB"/>
              </w:rPr>
            </w:pPr>
            <w:r w:rsidRPr="00B36586">
              <w:rPr>
                <w:color w:val="000000"/>
              </w:rPr>
              <w:t>4 of 4</w:t>
            </w:r>
          </w:p>
        </w:tc>
        <w:tc>
          <w:tcPr>
            <w:tcW w:w="1276" w:type="dxa"/>
            <w:vAlign w:val="bottom"/>
          </w:tcPr>
          <w:p w14:paraId="30CCB392" w14:textId="3A375D5A" w:rsidR="00534160" w:rsidRPr="00B36586" w:rsidRDefault="00534160" w:rsidP="00223FA0">
            <w:pPr>
              <w:rPr>
                <w:color w:val="000000"/>
                <w:sz w:val="28"/>
                <w:szCs w:val="28"/>
                <w:lang w:eastAsia="en-GB"/>
              </w:rPr>
            </w:pPr>
            <w:r w:rsidRPr="00B36586">
              <w:rPr>
                <w:color w:val="000000"/>
              </w:rPr>
              <w:t>2 of 7</w:t>
            </w:r>
          </w:p>
        </w:tc>
        <w:tc>
          <w:tcPr>
            <w:tcW w:w="1134" w:type="dxa"/>
            <w:shd w:val="clear" w:color="auto" w:fill="1CFFC2" w:themeFill="accent3" w:themeFillTint="99"/>
            <w:vAlign w:val="bottom"/>
          </w:tcPr>
          <w:p w14:paraId="3811A64E" w14:textId="79051365" w:rsidR="00534160" w:rsidRPr="00B36586" w:rsidRDefault="00534160" w:rsidP="00223FA0">
            <w:pPr>
              <w:rPr>
                <w:color w:val="000000"/>
                <w:sz w:val="28"/>
                <w:szCs w:val="28"/>
                <w:lang w:eastAsia="en-GB"/>
              </w:rPr>
            </w:pPr>
            <w:r w:rsidRPr="00B36586">
              <w:rPr>
                <w:color w:val="000000"/>
              </w:rPr>
              <w:t>4 of 4</w:t>
            </w:r>
          </w:p>
        </w:tc>
        <w:tc>
          <w:tcPr>
            <w:tcW w:w="1417" w:type="dxa"/>
            <w:shd w:val="clear" w:color="auto" w:fill="1CFFC2" w:themeFill="accent3" w:themeFillTint="99"/>
            <w:vAlign w:val="bottom"/>
          </w:tcPr>
          <w:p w14:paraId="1825D601" w14:textId="52C5F164" w:rsidR="00534160" w:rsidRPr="00B36586" w:rsidRDefault="00534160" w:rsidP="00223FA0">
            <w:pPr>
              <w:rPr>
                <w:color w:val="000000"/>
                <w:sz w:val="28"/>
                <w:szCs w:val="28"/>
                <w:lang w:eastAsia="en-GB"/>
              </w:rPr>
            </w:pPr>
            <w:r w:rsidRPr="00B36586">
              <w:rPr>
                <w:color w:val="000000"/>
              </w:rPr>
              <w:t>4 of 4</w:t>
            </w:r>
          </w:p>
        </w:tc>
        <w:tc>
          <w:tcPr>
            <w:tcW w:w="1134" w:type="dxa"/>
            <w:vAlign w:val="bottom"/>
          </w:tcPr>
          <w:p w14:paraId="7E8FABC4" w14:textId="0ECA7228" w:rsidR="00534160" w:rsidRPr="00B36586" w:rsidRDefault="00534160" w:rsidP="00223FA0">
            <w:pPr>
              <w:rPr>
                <w:color w:val="000000"/>
                <w:sz w:val="28"/>
                <w:szCs w:val="28"/>
                <w:lang w:eastAsia="en-GB"/>
              </w:rPr>
            </w:pPr>
            <w:r w:rsidRPr="00B36586">
              <w:rPr>
                <w:color w:val="000000"/>
              </w:rPr>
              <w:t>3 of 15</w:t>
            </w:r>
          </w:p>
        </w:tc>
        <w:tc>
          <w:tcPr>
            <w:tcW w:w="1276" w:type="dxa"/>
            <w:vAlign w:val="bottom"/>
          </w:tcPr>
          <w:p w14:paraId="68BD8260" w14:textId="078A206E" w:rsidR="00534160" w:rsidRPr="00B36586" w:rsidRDefault="00534160" w:rsidP="00223FA0">
            <w:pPr>
              <w:rPr>
                <w:color w:val="000000"/>
                <w:sz w:val="28"/>
                <w:szCs w:val="28"/>
                <w:lang w:eastAsia="en-GB"/>
              </w:rPr>
            </w:pPr>
            <w:r w:rsidRPr="00B36586">
              <w:rPr>
                <w:color w:val="000000"/>
              </w:rPr>
              <w:t>4 of 5</w:t>
            </w:r>
          </w:p>
        </w:tc>
        <w:tc>
          <w:tcPr>
            <w:tcW w:w="1276" w:type="dxa"/>
            <w:vAlign w:val="bottom"/>
          </w:tcPr>
          <w:p w14:paraId="493F8699" w14:textId="590AE2C4" w:rsidR="00534160" w:rsidRPr="00B36586" w:rsidRDefault="00534160" w:rsidP="00223FA0">
            <w:pPr>
              <w:rPr>
                <w:color w:val="000000"/>
                <w:sz w:val="28"/>
                <w:szCs w:val="28"/>
                <w:lang w:eastAsia="en-GB"/>
              </w:rPr>
            </w:pPr>
            <w:r w:rsidRPr="00B36586">
              <w:rPr>
                <w:color w:val="000000"/>
              </w:rPr>
              <w:t>3 of 15</w:t>
            </w:r>
          </w:p>
        </w:tc>
        <w:tc>
          <w:tcPr>
            <w:tcW w:w="1559" w:type="dxa"/>
            <w:tcBorders>
              <w:right w:val="double" w:sz="4" w:space="0" w:color="1F3368" w:themeColor="accent1"/>
            </w:tcBorders>
            <w:vAlign w:val="bottom"/>
          </w:tcPr>
          <w:p w14:paraId="251B80BD" w14:textId="11AA6BFF" w:rsidR="00534160" w:rsidRPr="00B36586" w:rsidRDefault="00534160" w:rsidP="00223FA0">
            <w:pPr>
              <w:rPr>
                <w:color w:val="000000"/>
                <w:sz w:val="28"/>
                <w:szCs w:val="28"/>
                <w:lang w:eastAsia="en-GB"/>
              </w:rPr>
            </w:pPr>
            <w:r w:rsidRPr="00B36586">
              <w:rPr>
                <w:color w:val="000000"/>
              </w:rPr>
              <w:t>2 of 15</w:t>
            </w:r>
          </w:p>
        </w:tc>
        <w:tc>
          <w:tcPr>
            <w:tcW w:w="1531" w:type="dxa"/>
            <w:tcBorders>
              <w:left w:val="double" w:sz="4" w:space="0" w:color="1F3368" w:themeColor="accent1"/>
            </w:tcBorders>
            <w:shd w:val="clear" w:color="auto" w:fill="auto"/>
          </w:tcPr>
          <w:p w14:paraId="6F7618D7" w14:textId="2EB28D1C" w:rsidR="00534160" w:rsidRPr="00B36586" w:rsidRDefault="00534160" w:rsidP="00223FA0">
            <w:pPr>
              <w:rPr>
                <w:color w:val="000000"/>
              </w:rPr>
            </w:pPr>
            <w:r w:rsidRPr="00B36586">
              <w:rPr>
                <w:color w:val="000000"/>
              </w:rPr>
              <w:t>4</w:t>
            </w:r>
          </w:p>
        </w:tc>
      </w:tr>
      <w:tr w:rsidR="00534160" w:rsidRPr="00B36586" w14:paraId="32029E80" w14:textId="20A3D1AA" w:rsidTr="00FC3456">
        <w:trPr>
          <w:gridAfter w:val="1"/>
          <w:wAfter w:w="28" w:type="dxa"/>
        </w:trPr>
        <w:tc>
          <w:tcPr>
            <w:tcW w:w="2547" w:type="dxa"/>
            <w:vAlign w:val="bottom"/>
          </w:tcPr>
          <w:p w14:paraId="0130F02A" w14:textId="552BE22F" w:rsidR="00534160" w:rsidRPr="00B36586" w:rsidRDefault="00534160" w:rsidP="00223FA0">
            <w:pPr>
              <w:rPr>
                <w:color w:val="000000"/>
                <w:sz w:val="28"/>
                <w:szCs w:val="28"/>
                <w:lang w:eastAsia="en-GB"/>
              </w:rPr>
            </w:pPr>
            <w:r w:rsidRPr="00B36586">
              <w:rPr>
                <w:color w:val="000000"/>
              </w:rPr>
              <w:t>RBHSTW-00142</w:t>
            </w:r>
          </w:p>
        </w:tc>
        <w:tc>
          <w:tcPr>
            <w:tcW w:w="992" w:type="dxa"/>
            <w:shd w:val="clear" w:color="auto" w:fill="1CFFC2" w:themeFill="accent3" w:themeFillTint="99"/>
            <w:vAlign w:val="bottom"/>
          </w:tcPr>
          <w:p w14:paraId="4D7A3554" w14:textId="70670D48" w:rsidR="00534160" w:rsidRPr="00B36586" w:rsidRDefault="00534160" w:rsidP="00223FA0">
            <w:pPr>
              <w:rPr>
                <w:color w:val="000000"/>
                <w:sz w:val="28"/>
                <w:szCs w:val="28"/>
                <w:lang w:eastAsia="en-GB"/>
              </w:rPr>
            </w:pPr>
            <w:r w:rsidRPr="00B36586">
              <w:rPr>
                <w:color w:val="000000"/>
              </w:rPr>
              <w:t>7 of 7</w:t>
            </w:r>
          </w:p>
        </w:tc>
        <w:tc>
          <w:tcPr>
            <w:tcW w:w="1276" w:type="dxa"/>
            <w:vAlign w:val="bottom"/>
          </w:tcPr>
          <w:p w14:paraId="645CA896" w14:textId="7FB6C655" w:rsidR="00534160" w:rsidRPr="00B36586" w:rsidRDefault="00534160" w:rsidP="00223FA0">
            <w:pPr>
              <w:rPr>
                <w:color w:val="000000"/>
                <w:sz w:val="28"/>
                <w:szCs w:val="28"/>
                <w:lang w:eastAsia="en-GB"/>
              </w:rPr>
            </w:pPr>
            <w:r w:rsidRPr="00B36586">
              <w:rPr>
                <w:color w:val="000000"/>
              </w:rPr>
              <w:t>5 of 25</w:t>
            </w:r>
          </w:p>
        </w:tc>
        <w:tc>
          <w:tcPr>
            <w:tcW w:w="1134" w:type="dxa"/>
            <w:shd w:val="clear" w:color="auto" w:fill="1CFFC2" w:themeFill="accent3" w:themeFillTint="99"/>
            <w:vAlign w:val="bottom"/>
          </w:tcPr>
          <w:p w14:paraId="51BC7C53" w14:textId="21E3AD8E" w:rsidR="00534160" w:rsidRPr="00B36586" w:rsidRDefault="00534160" w:rsidP="00223FA0">
            <w:pPr>
              <w:rPr>
                <w:color w:val="000000"/>
                <w:sz w:val="28"/>
                <w:szCs w:val="28"/>
                <w:lang w:eastAsia="en-GB"/>
              </w:rPr>
            </w:pPr>
            <w:r w:rsidRPr="00B36586">
              <w:rPr>
                <w:color w:val="000000"/>
              </w:rPr>
              <w:t>7 of 7</w:t>
            </w:r>
          </w:p>
        </w:tc>
        <w:tc>
          <w:tcPr>
            <w:tcW w:w="1417" w:type="dxa"/>
            <w:shd w:val="clear" w:color="auto" w:fill="1CFFC2" w:themeFill="accent3" w:themeFillTint="99"/>
            <w:vAlign w:val="bottom"/>
          </w:tcPr>
          <w:p w14:paraId="46FA6354" w14:textId="3685F209" w:rsidR="00534160" w:rsidRPr="00B36586" w:rsidRDefault="00534160" w:rsidP="00223FA0">
            <w:pPr>
              <w:rPr>
                <w:color w:val="000000"/>
                <w:sz w:val="28"/>
                <w:szCs w:val="28"/>
                <w:lang w:eastAsia="en-GB"/>
              </w:rPr>
            </w:pPr>
            <w:r w:rsidRPr="00B36586">
              <w:rPr>
                <w:color w:val="000000"/>
              </w:rPr>
              <w:t>7 of 7</w:t>
            </w:r>
          </w:p>
        </w:tc>
        <w:tc>
          <w:tcPr>
            <w:tcW w:w="1134" w:type="dxa"/>
            <w:vAlign w:val="bottom"/>
          </w:tcPr>
          <w:p w14:paraId="0EC16BEE" w14:textId="4BA307C1" w:rsidR="00534160" w:rsidRPr="00B36586" w:rsidRDefault="00534160" w:rsidP="00223FA0">
            <w:pPr>
              <w:rPr>
                <w:color w:val="000000"/>
                <w:sz w:val="28"/>
                <w:szCs w:val="28"/>
                <w:lang w:eastAsia="en-GB"/>
              </w:rPr>
            </w:pPr>
            <w:r w:rsidRPr="00B36586">
              <w:rPr>
                <w:color w:val="000000"/>
              </w:rPr>
              <w:t>4 of 24</w:t>
            </w:r>
          </w:p>
        </w:tc>
        <w:tc>
          <w:tcPr>
            <w:tcW w:w="1276" w:type="dxa"/>
            <w:vAlign w:val="bottom"/>
          </w:tcPr>
          <w:p w14:paraId="2D5637D8" w14:textId="486D51B4" w:rsidR="00534160" w:rsidRPr="00B36586" w:rsidRDefault="00534160" w:rsidP="00223FA0">
            <w:pPr>
              <w:rPr>
                <w:color w:val="000000"/>
                <w:sz w:val="28"/>
                <w:szCs w:val="28"/>
                <w:lang w:eastAsia="en-GB"/>
              </w:rPr>
            </w:pPr>
            <w:r w:rsidRPr="00B36586">
              <w:rPr>
                <w:color w:val="000000"/>
              </w:rPr>
              <w:t>4 of 58</w:t>
            </w:r>
          </w:p>
        </w:tc>
        <w:tc>
          <w:tcPr>
            <w:tcW w:w="1276" w:type="dxa"/>
            <w:vAlign w:val="bottom"/>
          </w:tcPr>
          <w:p w14:paraId="5FA91DA7" w14:textId="24E43105" w:rsidR="00534160" w:rsidRPr="00B36586" w:rsidRDefault="00534160" w:rsidP="00223FA0">
            <w:pPr>
              <w:rPr>
                <w:color w:val="000000"/>
                <w:sz w:val="28"/>
                <w:szCs w:val="28"/>
                <w:lang w:eastAsia="en-GB"/>
              </w:rPr>
            </w:pPr>
            <w:r w:rsidRPr="00B36586">
              <w:rPr>
                <w:color w:val="000000"/>
              </w:rPr>
              <w:t>4 of 24</w:t>
            </w:r>
          </w:p>
        </w:tc>
        <w:tc>
          <w:tcPr>
            <w:tcW w:w="1559" w:type="dxa"/>
            <w:tcBorders>
              <w:right w:val="double" w:sz="4" w:space="0" w:color="1F3368" w:themeColor="accent1"/>
            </w:tcBorders>
            <w:vAlign w:val="bottom"/>
          </w:tcPr>
          <w:p w14:paraId="75E374BE" w14:textId="6139635B" w:rsidR="00534160" w:rsidRPr="00B36586" w:rsidRDefault="00534160" w:rsidP="00223FA0">
            <w:pPr>
              <w:rPr>
                <w:color w:val="000000"/>
                <w:sz w:val="28"/>
                <w:szCs w:val="28"/>
                <w:lang w:eastAsia="en-GB"/>
              </w:rPr>
            </w:pPr>
            <w:r w:rsidRPr="00B36586">
              <w:rPr>
                <w:color w:val="000000"/>
              </w:rPr>
              <w:t>4 of 27</w:t>
            </w:r>
          </w:p>
        </w:tc>
        <w:tc>
          <w:tcPr>
            <w:tcW w:w="1531" w:type="dxa"/>
            <w:tcBorders>
              <w:left w:val="double" w:sz="4" w:space="0" w:color="1F3368" w:themeColor="accent1"/>
            </w:tcBorders>
            <w:shd w:val="clear" w:color="auto" w:fill="auto"/>
          </w:tcPr>
          <w:p w14:paraId="47AF2D6A" w14:textId="12DC28D7" w:rsidR="00534160" w:rsidRPr="00B36586" w:rsidRDefault="00534160" w:rsidP="00223FA0">
            <w:pPr>
              <w:rPr>
                <w:color w:val="000000"/>
              </w:rPr>
            </w:pPr>
            <w:r w:rsidRPr="00B36586">
              <w:rPr>
                <w:color w:val="000000"/>
              </w:rPr>
              <w:t>7</w:t>
            </w:r>
          </w:p>
        </w:tc>
      </w:tr>
      <w:tr w:rsidR="00534160" w:rsidRPr="00B36586" w14:paraId="4C655F23" w14:textId="266E205D" w:rsidTr="00FC3456">
        <w:trPr>
          <w:gridAfter w:val="1"/>
          <w:wAfter w:w="28" w:type="dxa"/>
        </w:trPr>
        <w:tc>
          <w:tcPr>
            <w:tcW w:w="2547" w:type="dxa"/>
            <w:vAlign w:val="bottom"/>
          </w:tcPr>
          <w:p w14:paraId="2987698C" w14:textId="452D668D" w:rsidR="00534160" w:rsidRPr="00B36586" w:rsidRDefault="00534160" w:rsidP="00223FA0">
            <w:pPr>
              <w:rPr>
                <w:color w:val="000000"/>
                <w:sz w:val="28"/>
                <w:szCs w:val="28"/>
                <w:lang w:eastAsia="en-GB"/>
              </w:rPr>
            </w:pPr>
            <w:r w:rsidRPr="00B36586">
              <w:rPr>
                <w:color w:val="000000"/>
              </w:rPr>
              <w:t>RBHSTW-00167</w:t>
            </w:r>
          </w:p>
        </w:tc>
        <w:tc>
          <w:tcPr>
            <w:tcW w:w="992" w:type="dxa"/>
            <w:shd w:val="clear" w:color="auto" w:fill="1CFFC2" w:themeFill="accent3" w:themeFillTint="99"/>
            <w:vAlign w:val="bottom"/>
          </w:tcPr>
          <w:p w14:paraId="4AE8D98E" w14:textId="01F860DD" w:rsidR="00534160" w:rsidRPr="00B36586" w:rsidRDefault="00534160" w:rsidP="00223FA0">
            <w:pPr>
              <w:rPr>
                <w:color w:val="000000"/>
                <w:sz w:val="28"/>
                <w:szCs w:val="28"/>
                <w:lang w:eastAsia="en-GB"/>
              </w:rPr>
            </w:pPr>
            <w:r w:rsidRPr="00B36586">
              <w:rPr>
                <w:color w:val="000000"/>
              </w:rPr>
              <w:t>9 of 9</w:t>
            </w:r>
          </w:p>
        </w:tc>
        <w:tc>
          <w:tcPr>
            <w:tcW w:w="1276" w:type="dxa"/>
            <w:vAlign w:val="bottom"/>
          </w:tcPr>
          <w:p w14:paraId="61EEF12E" w14:textId="7FD9B408" w:rsidR="00534160" w:rsidRPr="00B36586" w:rsidRDefault="00534160" w:rsidP="00223FA0">
            <w:pPr>
              <w:rPr>
                <w:color w:val="000000"/>
                <w:sz w:val="28"/>
                <w:szCs w:val="28"/>
                <w:lang w:eastAsia="en-GB"/>
              </w:rPr>
            </w:pPr>
            <w:r w:rsidRPr="00B36586">
              <w:rPr>
                <w:color w:val="000000"/>
              </w:rPr>
              <w:t>5 of 15</w:t>
            </w:r>
          </w:p>
        </w:tc>
        <w:tc>
          <w:tcPr>
            <w:tcW w:w="1134" w:type="dxa"/>
            <w:shd w:val="clear" w:color="auto" w:fill="1CFFC2" w:themeFill="accent3" w:themeFillTint="99"/>
            <w:vAlign w:val="bottom"/>
          </w:tcPr>
          <w:p w14:paraId="26A74E53" w14:textId="5DDC9190" w:rsidR="00534160" w:rsidRPr="00B36586" w:rsidRDefault="00534160" w:rsidP="00223FA0">
            <w:pPr>
              <w:rPr>
                <w:color w:val="000000"/>
                <w:sz w:val="28"/>
                <w:szCs w:val="28"/>
                <w:lang w:eastAsia="en-GB"/>
              </w:rPr>
            </w:pPr>
            <w:r w:rsidRPr="00B36586">
              <w:rPr>
                <w:color w:val="000000"/>
              </w:rPr>
              <w:t>10 of 10</w:t>
            </w:r>
          </w:p>
        </w:tc>
        <w:tc>
          <w:tcPr>
            <w:tcW w:w="1417" w:type="dxa"/>
            <w:shd w:val="clear" w:color="auto" w:fill="1CFFC2" w:themeFill="accent3" w:themeFillTint="99"/>
            <w:vAlign w:val="bottom"/>
          </w:tcPr>
          <w:p w14:paraId="7B748D1B" w14:textId="71C9287C" w:rsidR="00534160" w:rsidRPr="00B36586" w:rsidRDefault="00534160" w:rsidP="00223FA0">
            <w:pPr>
              <w:rPr>
                <w:color w:val="000000"/>
                <w:sz w:val="28"/>
                <w:szCs w:val="28"/>
                <w:lang w:eastAsia="en-GB"/>
              </w:rPr>
            </w:pPr>
            <w:r w:rsidRPr="00B36586">
              <w:rPr>
                <w:color w:val="000000"/>
              </w:rPr>
              <w:t>9 of 9</w:t>
            </w:r>
          </w:p>
        </w:tc>
        <w:tc>
          <w:tcPr>
            <w:tcW w:w="1134" w:type="dxa"/>
            <w:vAlign w:val="bottom"/>
          </w:tcPr>
          <w:p w14:paraId="41564589" w14:textId="4D2321D2" w:rsidR="00534160" w:rsidRPr="00B36586" w:rsidRDefault="00534160" w:rsidP="00223FA0">
            <w:pPr>
              <w:rPr>
                <w:color w:val="000000"/>
                <w:sz w:val="28"/>
                <w:szCs w:val="28"/>
                <w:lang w:eastAsia="en-GB"/>
              </w:rPr>
            </w:pPr>
            <w:r w:rsidRPr="00B36586">
              <w:rPr>
                <w:color w:val="000000"/>
              </w:rPr>
              <w:t>4 of 34</w:t>
            </w:r>
          </w:p>
        </w:tc>
        <w:tc>
          <w:tcPr>
            <w:tcW w:w="1276" w:type="dxa"/>
            <w:vAlign w:val="bottom"/>
          </w:tcPr>
          <w:p w14:paraId="25B67502" w14:textId="57D54A08" w:rsidR="00534160" w:rsidRPr="00B36586" w:rsidRDefault="00534160" w:rsidP="00223FA0">
            <w:pPr>
              <w:rPr>
                <w:color w:val="000000"/>
                <w:sz w:val="28"/>
                <w:szCs w:val="28"/>
                <w:lang w:eastAsia="en-GB"/>
              </w:rPr>
            </w:pPr>
            <w:r w:rsidRPr="00B36586">
              <w:rPr>
                <w:color w:val="000000"/>
              </w:rPr>
              <w:t>3 of 60</w:t>
            </w:r>
          </w:p>
        </w:tc>
        <w:tc>
          <w:tcPr>
            <w:tcW w:w="1276" w:type="dxa"/>
            <w:vAlign w:val="bottom"/>
          </w:tcPr>
          <w:p w14:paraId="63B39834" w14:textId="2C85FF75" w:rsidR="00534160" w:rsidRPr="00B36586" w:rsidRDefault="00534160" w:rsidP="00223FA0">
            <w:pPr>
              <w:rPr>
                <w:color w:val="000000"/>
                <w:sz w:val="28"/>
                <w:szCs w:val="28"/>
                <w:lang w:eastAsia="en-GB"/>
              </w:rPr>
            </w:pPr>
            <w:r w:rsidRPr="00B36586">
              <w:rPr>
                <w:color w:val="000000"/>
              </w:rPr>
              <w:t>3 of 60</w:t>
            </w:r>
          </w:p>
        </w:tc>
        <w:tc>
          <w:tcPr>
            <w:tcW w:w="1559" w:type="dxa"/>
            <w:tcBorders>
              <w:right w:val="double" w:sz="4" w:space="0" w:color="1F3368" w:themeColor="accent1"/>
            </w:tcBorders>
            <w:vAlign w:val="bottom"/>
          </w:tcPr>
          <w:p w14:paraId="7BE2F1DB" w14:textId="2BA5EA38" w:rsidR="00534160" w:rsidRPr="00B36586" w:rsidRDefault="00534160" w:rsidP="00223FA0">
            <w:pPr>
              <w:rPr>
                <w:color w:val="000000"/>
                <w:sz w:val="28"/>
                <w:szCs w:val="28"/>
                <w:lang w:eastAsia="en-GB"/>
              </w:rPr>
            </w:pPr>
            <w:r w:rsidRPr="00B36586">
              <w:rPr>
                <w:color w:val="000000"/>
              </w:rPr>
              <w:t>3 of 60</w:t>
            </w:r>
          </w:p>
        </w:tc>
        <w:tc>
          <w:tcPr>
            <w:tcW w:w="1531" w:type="dxa"/>
            <w:tcBorders>
              <w:left w:val="double" w:sz="4" w:space="0" w:color="1F3368" w:themeColor="accent1"/>
            </w:tcBorders>
            <w:shd w:val="clear" w:color="auto" w:fill="auto"/>
          </w:tcPr>
          <w:p w14:paraId="69DC55FE" w14:textId="23178664" w:rsidR="00534160" w:rsidRPr="00B36586" w:rsidRDefault="00534160" w:rsidP="00223FA0">
            <w:pPr>
              <w:rPr>
                <w:color w:val="000000"/>
              </w:rPr>
            </w:pPr>
            <w:r w:rsidRPr="00B36586">
              <w:rPr>
                <w:color w:val="000000"/>
              </w:rPr>
              <w:t>9</w:t>
            </w:r>
          </w:p>
        </w:tc>
      </w:tr>
      <w:tr w:rsidR="00534160" w:rsidRPr="00B36586" w14:paraId="5E96B629" w14:textId="44DBD2AE" w:rsidTr="00FC3456">
        <w:trPr>
          <w:gridAfter w:val="1"/>
          <w:wAfter w:w="28" w:type="dxa"/>
        </w:trPr>
        <w:tc>
          <w:tcPr>
            <w:tcW w:w="2547" w:type="dxa"/>
            <w:vAlign w:val="bottom"/>
          </w:tcPr>
          <w:p w14:paraId="67FF8FDD" w14:textId="727CD407" w:rsidR="00534160" w:rsidRPr="00B36586" w:rsidRDefault="00534160" w:rsidP="00223FA0">
            <w:pPr>
              <w:rPr>
                <w:color w:val="000000"/>
                <w:sz w:val="28"/>
                <w:szCs w:val="28"/>
                <w:lang w:eastAsia="en-GB"/>
              </w:rPr>
            </w:pPr>
            <w:r w:rsidRPr="00B36586">
              <w:rPr>
                <w:color w:val="000000"/>
              </w:rPr>
              <w:t>RBHSTW-00189</w:t>
            </w:r>
          </w:p>
        </w:tc>
        <w:tc>
          <w:tcPr>
            <w:tcW w:w="992" w:type="dxa"/>
            <w:shd w:val="clear" w:color="auto" w:fill="1CFFC2" w:themeFill="accent3" w:themeFillTint="99"/>
            <w:vAlign w:val="bottom"/>
          </w:tcPr>
          <w:p w14:paraId="523EFC6F" w14:textId="4FCA1944" w:rsidR="00534160" w:rsidRPr="00B36586" w:rsidRDefault="00534160" w:rsidP="00223FA0">
            <w:pPr>
              <w:rPr>
                <w:color w:val="000000"/>
                <w:sz w:val="28"/>
                <w:szCs w:val="28"/>
                <w:lang w:eastAsia="en-GB"/>
              </w:rPr>
            </w:pPr>
            <w:r w:rsidRPr="00B36586">
              <w:rPr>
                <w:color w:val="000000"/>
              </w:rPr>
              <w:t>6 of 6</w:t>
            </w:r>
          </w:p>
        </w:tc>
        <w:tc>
          <w:tcPr>
            <w:tcW w:w="1276" w:type="dxa"/>
            <w:shd w:val="clear" w:color="auto" w:fill="1CFFC2" w:themeFill="accent3" w:themeFillTint="99"/>
            <w:vAlign w:val="bottom"/>
          </w:tcPr>
          <w:p w14:paraId="5566FE6C" w14:textId="4236ACEB" w:rsidR="00534160" w:rsidRPr="00B36586" w:rsidRDefault="00534160" w:rsidP="00223FA0">
            <w:pPr>
              <w:rPr>
                <w:color w:val="000000"/>
                <w:sz w:val="28"/>
                <w:szCs w:val="28"/>
                <w:lang w:eastAsia="en-GB"/>
              </w:rPr>
            </w:pPr>
            <w:r w:rsidRPr="00B36586">
              <w:rPr>
                <w:color w:val="000000"/>
              </w:rPr>
              <w:t>6 of 6</w:t>
            </w:r>
          </w:p>
        </w:tc>
        <w:tc>
          <w:tcPr>
            <w:tcW w:w="1134" w:type="dxa"/>
            <w:vAlign w:val="bottom"/>
          </w:tcPr>
          <w:p w14:paraId="6B3B55BD" w14:textId="4694881D" w:rsidR="00534160" w:rsidRPr="00B36586" w:rsidRDefault="00534160" w:rsidP="00223FA0">
            <w:pPr>
              <w:rPr>
                <w:color w:val="000000"/>
                <w:sz w:val="28"/>
                <w:szCs w:val="28"/>
                <w:lang w:eastAsia="en-GB"/>
              </w:rPr>
            </w:pPr>
            <w:r w:rsidRPr="00B36586">
              <w:rPr>
                <w:color w:val="000000"/>
              </w:rPr>
              <w:t>5 of 6</w:t>
            </w:r>
          </w:p>
        </w:tc>
        <w:tc>
          <w:tcPr>
            <w:tcW w:w="1417" w:type="dxa"/>
            <w:shd w:val="clear" w:color="auto" w:fill="1CFFC2" w:themeFill="accent3" w:themeFillTint="99"/>
            <w:vAlign w:val="bottom"/>
          </w:tcPr>
          <w:p w14:paraId="5E553210" w14:textId="4B36AB15" w:rsidR="00534160" w:rsidRPr="00B36586" w:rsidRDefault="00534160" w:rsidP="00223FA0">
            <w:pPr>
              <w:rPr>
                <w:color w:val="000000"/>
                <w:sz w:val="28"/>
                <w:szCs w:val="28"/>
                <w:lang w:eastAsia="en-GB"/>
              </w:rPr>
            </w:pPr>
            <w:r w:rsidRPr="00B36586">
              <w:rPr>
                <w:color w:val="000000"/>
              </w:rPr>
              <w:t>6 of 6</w:t>
            </w:r>
          </w:p>
        </w:tc>
        <w:tc>
          <w:tcPr>
            <w:tcW w:w="1134" w:type="dxa"/>
            <w:vAlign w:val="bottom"/>
          </w:tcPr>
          <w:p w14:paraId="056E7A24" w14:textId="0B4E29B6" w:rsidR="00534160" w:rsidRPr="00B36586" w:rsidRDefault="00534160" w:rsidP="00223FA0">
            <w:pPr>
              <w:rPr>
                <w:color w:val="000000"/>
                <w:sz w:val="28"/>
                <w:szCs w:val="28"/>
                <w:lang w:eastAsia="en-GB"/>
              </w:rPr>
            </w:pPr>
            <w:r w:rsidRPr="00B36586">
              <w:rPr>
                <w:color w:val="000000"/>
              </w:rPr>
              <w:t>5 of 29</w:t>
            </w:r>
          </w:p>
        </w:tc>
        <w:tc>
          <w:tcPr>
            <w:tcW w:w="1276" w:type="dxa"/>
            <w:vAlign w:val="bottom"/>
          </w:tcPr>
          <w:p w14:paraId="7A5060E3" w14:textId="50A2DFDE" w:rsidR="00534160" w:rsidRPr="00B36586" w:rsidRDefault="00534160" w:rsidP="00223FA0">
            <w:pPr>
              <w:rPr>
                <w:color w:val="000000"/>
                <w:sz w:val="28"/>
                <w:szCs w:val="28"/>
                <w:lang w:eastAsia="en-GB"/>
              </w:rPr>
            </w:pPr>
            <w:r w:rsidRPr="00B36586">
              <w:rPr>
                <w:color w:val="000000"/>
              </w:rPr>
              <w:t>5 of 28</w:t>
            </w:r>
          </w:p>
        </w:tc>
        <w:tc>
          <w:tcPr>
            <w:tcW w:w="1276" w:type="dxa"/>
            <w:vAlign w:val="bottom"/>
          </w:tcPr>
          <w:p w14:paraId="78A1CBF0" w14:textId="13731CB2" w:rsidR="00534160" w:rsidRPr="00B36586" w:rsidRDefault="00534160" w:rsidP="00223FA0">
            <w:pPr>
              <w:rPr>
                <w:color w:val="000000"/>
                <w:sz w:val="28"/>
                <w:szCs w:val="28"/>
                <w:lang w:eastAsia="en-GB"/>
              </w:rPr>
            </w:pPr>
            <w:r w:rsidRPr="00B36586">
              <w:rPr>
                <w:color w:val="000000"/>
              </w:rPr>
              <w:t>5 of 29</w:t>
            </w:r>
          </w:p>
        </w:tc>
        <w:tc>
          <w:tcPr>
            <w:tcW w:w="1559" w:type="dxa"/>
            <w:tcBorders>
              <w:right w:val="double" w:sz="4" w:space="0" w:color="1F3368" w:themeColor="accent1"/>
            </w:tcBorders>
            <w:vAlign w:val="bottom"/>
          </w:tcPr>
          <w:p w14:paraId="7219B08B" w14:textId="4220925C" w:rsidR="00534160" w:rsidRPr="00B36586" w:rsidRDefault="00534160" w:rsidP="00223FA0">
            <w:pPr>
              <w:rPr>
                <w:color w:val="000000"/>
                <w:sz w:val="28"/>
                <w:szCs w:val="28"/>
                <w:lang w:eastAsia="en-GB"/>
              </w:rPr>
            </w:pPr>
            <w:r w:rsidRPr="00B36586">
              <w:rPr>
                <w:color w:val="000000"/>
              </w:rPr>
              <w:t>5 of 30</w:t>
            </w:r>
          </w:p>
        </w:tc>
        <w:tc>
          <w:tcPr>
            <w:tcW w:w="1531" w:type="dxa"/>
            <w:tcBorders>
              <w:left w:val="double" w:sz="4" w:space="0" w:color="1F3368" w:themeColor="accent1"/>
            </w:tcBorders>
            <w:shd w:val="clear" w:color="auto" w:fill="auto"/>
          </w:tcPr>
          <w:p w14:paraId="402E3C25" w14:textId="588B6C57" w:rsidR="00534160" w:rsidRPr="00B36586" w:rsidRDefault="00534160" w:rsidP="00223FA0">
            <w:pPr>
              <w:rPr>
                <w:color w:val="000000"/>
              </w:rPr>
            </w:pPr>
            <w:r w:rsidRPr="00B36586">
              <w:rPr>
                <w:color w:val="000000"/>
              </w:rPr>
              <w:t>6</w:t>
            </w:r>
          </w:p>
        </w:tc>
      </w:tr>
      <w:tr w:rsidR="00534160" w:rsidRPr="00B36586" w14:paraId="0ACF60C3" w14:textId="48C6369A" w:rsidTr="00FC3456">
        <w:trPr>
          <w:gridAfter w:val="1"/>
          <w:wAfter w:w="28" w:type="dxa"/>
        </w:trPr>
        <w:tc>
          <w:tcPr>
            <w:tcW w:w="2547" w:type="dxa"/>
            <w:vAlign w:val="bottom"/>
          </w:tcPr>
          <w:p w14:paraId="56D731DD" w14:textId="74EB5B2E" w:rsidR="00534160" w:rsidRPr="00B36586" w:rsidRDefault="00534160" w:rsidP="00223FA0">
            <w:pPr>
              <w:rPr>
                <w:color w:val="000000"/>
                <w:sz w:val="28"/>
                <w:szCs w:val="28"/>
                <w:lang w:eastAsia="en-GB"/>
              </w:rPr>
            </w:pPr>
            <w:r w:rsidRPr="00B36586">
              <w:rPr>
                <w:color w:val="000000"/>
              </w:rPr>
              <w:t>RBHSTW-00277</w:t>
            </w:r>
          </w:p>
        </w:tc>
        <w:tc>
          <w:tcPr>
            <w:tcW w:w="992" w:type="dxa"/>
            <w:shd w:val="clear" w:color="auto" w:fill="1CFFC2" w:themeFill="accent3" w:themeFillTint="99"/>
            <w:vAlign w:val="bottom"/>
          </w:tcPr>
          <w:p w14:paraId="18A0C580" w14:textId="62B6BFC8" w:rsidR="00534160" w:rsidRPr="00B36586" w:rsidRDefault="00534160" w:rsidP="00223FA0">
            <w:pPr>
              <w:rPr>
                <w:color w:val="000000"/>
                <w:sz w:val="28"/>
                <w:szCs w:val="28"/>
                <w:lang w:eastAsia="en-GB"/>
              </w:rPr>
            </w:pPr>
            <w:r w:rsidRPr="00B36586">
              <w:rPr>
                <w:color w:val="000000"/>
              </w:rPr>
              <w:t>2 of 2</w:t>
            </w:r>
          </w:p>
        </w:tc>
        <w:tc>
          <w:tcPr>
            <w:tcW w:w="1276" w:type="dxa"/>
            <w:shd w:val="clear" w:color="auto" w:fill="1CFFC2" w:themeFill="accent3" w:themeFillTint="99"/>
            <w:vAlign w:val="bottom"/>
          </w:tcPr>
          <w:p w14:paraId="6AC58DA6" w14:textId="51B61922" w:rsidR="00534160" w:rsidRPr="00B36586" w:rsidRDefault="00534160" w:rsidP="00223FA0">
            <w:pPr>
              <w:rPr>
                <w:color w:val="000000"/>
                <w:sz w:val="28"/>
                <w:szCs w:val="28"/>
                <w:lang w:eastAsia="en-GB"/>
              </w:rPr>
            </w:pPr>
            <w:r w:rsidRPr="00B36586">
              <w:rPr>
                <w:color w:val="000000"/>
              </w:rPr>
              <w:t>2 of 2</w:t>
            </w:r>
          </w:p>
        </w:tc>
        <w:tc>
          <w:tcPr>
            <w:tcW w:w="1134" w:type="dxa"/>
            <w:vAlign w:val="bottom"/>
          </w:tcPr>
          <w:p w14:paraId="37D80474" w14:textId="51EF07B7" w:rsidR="00534160" w:rsidRPr="00B36586" w:rsidRDefault="00534160" w:rsidP="00223FA0">
            <w:pPr>
              <w:rPr>
                <w:color w:val="000000"/>
                <w:sz w:val="28"/>
                <w:szCs w:val="28"/>
                <w:lang w:eastAsia="en-GB"/>
              </w:rPr>
            </w:pPr>
            <w:r w:rsidRPr="00B36586">
              <w:rPr>
                <w:color w:val="000000"/>
              </w:rPr>
              <w:t>1 of 8</w:t>
            </w:r>
          </w:p>
        </w:tc>
        <w:tc>
          <w:tcPr>
            <w:tcW w:w="1417" w:type="dxa"/>
            <w:shd w:val="clear" w:color="auto" w:fill="1CFFC2" w:themeFill="accent3" w:themeFillTint="99"/>
            <w:vAlign w:val="bottom"/>
          </w:tcPr>
          <w:p w14:paraId="752FA663" w14:textId="5A07D391" w:rsidR="00534160" w:rsidRPr="00B36586" w:rsidRDefault="00534160" w:rsidP="00223FA0">
            <w:pPr>
              <w:rPr>
                <w:color w:val="000000"/>
                <w:sz w:val="28"/>
                <w:szCs w:val="28"/>
                <w:lang w:eastAsia="en-GB"/>
              </w:rPr>
            </w:pPr>
            <w:r w:rsidRPr="00B36586">
              <w:rPr>
                <w:color w:val="000000"/>
              </w:rPr>
              <w:t>2 of 2</w:t>
            </w:r>
          </w:p>
        </w:tc>
        <w:tc>
          <w:tcPr>
            <w:tcW w:w="1134" w:type="dxa"/>
            <w:vAlign w:val="bottom"/>
          </w:tcPr>
          <w:p w14:paraId="400F1269" w14:textId="794C4494" w:rsidR="00534160" w:rsidRPr="00B36586" w:rsidRDefault="00534160" w:rsidP="00223FA0">
            <w:pPr>
              <w:rPr>
                <w:color w:val="000000"/>
                <w:sz w:val="28"/>
                <w:szCs w:val="28"/>
                <w:lang w:eastAsia="en-GB"/>
              </w:rPr>
            </w:pPr>
            <w:r w:rsidRPr="00B36586">
              <w:rPr>
                <w:color w:val="000000"/>
              </w:rPr>
              <w:t>1 of 8</w:t>
            </w:r>
          </w:p>
        </w:tc>
        <w:tc>
          <w:tcPr>
            <w:tcW w:w="1276" w:type="dxa"/>
            <w:vAlign w:val="bottom"/>
          </w:tcPr>
          <w:p w14:paraId="1D421618" w14:textId="7DEFD8F9" w:rsidR="00534160" w:rsidRPr="00B36586" w:rsidRDefault="00534160" w:rsidP="00223FA0">
            <w:pPr>
              <w:rPr>
                <w:color w:val="000000"/>
                <w:sz w:val="28"/>
                <w:szCs w:val="28"/>
                <w:lang w:eastAsia="en-GB"/>
              </w:rPr>
            </w:pPr>
            <w:r w:rsidRPr="00B36586">
              <w:rPr>
                <w:color w:val="000000"/>
              </w:rPr>
              <w:t>1 of 8</w:t>
            </w:r>
          </w:p>
        </w:tc>
        <w:tc>
          <w:tcPr>
            <w:tcW w:w="1276" w:type="dxa"/>
            <w:vAlign w:val="bottom"/>
          </w:tcPr>
          <w:p w14:paraId="0B56694B" w14:textId="7563C85B" w:rsidR="00534160" w:rsidRPr="00B36586" w:rsidRDefault="00534160" w:rsidP="00223FA0">
            <w:pPr>
              <w:rPr>
                <w:color w:val="000000"/>
                <w:sz w:val="28"/>
                <w:szCs w:val="28"/>
                <w:lang w:eastAsia="en-GB"/>
              </w:rPr>
            </w:pPr>
            <w:r w:rsidRPr="00B36586">
              <w:rPr>
                <w:color w:val="000000"/>
              </w:rPr>
              <w:t>1 of 8</w:t>
            </w:r>
          </w:p>
        </w:tc>
        <w:tc>
          <w:tcPr>
            <w:tcW w:w="1559" w:type="dxa"/>
            <w:tcBorders>
              <w:right w:val="double" w:sz="4" w:space="0" w:color="1F3368" w:themeColor="accent1"/>
            </w:tcBorders>
            <w:vAlign w:val="bottom"/>
          </w:tcPr>
          <w:p w14:paraId="0D121C2B" w14:textId="100A4DA9" w:rsidR="00534160" w:rsidRPr="00B36586" w:rsidRDefault="00534160" w:rsidP="00223FA0">
            <w:pPr>
              <w:rPr>
                <w:color w:val="000000"/>
                <w:sz w:val="28"/>
                <w:szCs w:val="28"/>
                <w:lang w:eastAsia="en-GB"/>
              </w:rPr>
            </w:pPr>
            <w:r w:rsidRPr="00B36586">
              <w:rPr>
                <w:color w:val="000000"/>
              </w:rPr>
              <w:t>1 of 8</w:t>
            </w:r>
          </w:p>
        </w:tc>
        <w:tc>
          <w:tcPr>
            <w:tcW w:w="1531" w:type="dxa"/>
            <w:tcBorders>
              <w:left w:val="double" w:sz="4" w:space="0" w:color="1F3368" w:themeColor="accent1"/>
            </w:tcBorders>
            <w:shd w:val="clear" w:color="auto" w:fill="auto"/>
          </w:tcPr>
          <w:p w14:paraId="77297FA5" w14:textId="77C8206A" w:rsidR="00534160" w:rsidRPr="00B36586" w:rsidRDefault="00534160" w:rsidP="00223FA0">
            <w:pPr>
              <w:rPr>
                <w:color w:val="000000"/>
              </w:rPr>
            </w:pPr>
            <w:r w:rsidRPr="00B36586">
              <w:rPr>
                <w:color w:val="000000"/>
              </w:rPr>
              <w:t>2</w:t>
            </w:r>
          </w:p>
        </w:tc>
      </w:tr>
      <w:tr w:rsidR="00534160" w:rsidRPr="00B36586" w14:paraId="1C69F360" w14:textId="0E12C4A5" w:rsidTr="00FC3456">
        <w:trPr>
          <w:gridAfter w:val="1"/>
          <w:wAfter w:w="28" w:type="dxa"/>
        </w:trPr>
        <w:tc>
          <w:tcPr>
            <w:tcW w:w="2547" w:type="dxa"/>
            <w:vAlign w:val="bottom"/>
          </w:tcPr>
          <w:p w14:paraId="50BFC2B9" w14:textId="5B89589F" w:rsidR="00534160" w:rsidRPr="00B36586" w:rsidRDefault="00534160" w:rsidP="00223FA0">
            <w:pPr>
              <w:rPr>
                <w:color w:val="000000"/>
                <w:sz w:val="28"/>
                <w:szCs w:val="28"/>
                <w:lang w:eastAsia="en-GB"/>
              </w:rPr>
            </w:pPr>
            <w:r w:rsidRPr="00B36586">
              <w:rPr>
                <w:color w:val="000000"/>
              </w:rPr>
              <w:t>RBHSTW-00309</w:t>
            </w:r>
          </w:p>
        </w:tc>
        <w:tc>
          <w:tcPr>
            <w:tcW w:w="992" w:type="dxa"/>
            <w:vAlign w:val="bottom"/>
          </w:tcPr>
          <w:p w14:paraId="679E21A6" w14:textId="45DFB233" w:rsidR="00534160" w:rsidRPr="00B36586" w:rsidRDefault="00534160" w:rsidP="00223FA0">
            <w:pPr>
              <w:rPr>
                <w:color w:val="000000"/>
                <w:sz w:val="28"/>
                <w:szCs w:val="28"/>
                <w:lang w:eastAsia="en-GB"/>
              </w:rPr>
            </w:pPr>
            <w:r w:rsidRPr="00B36586">
              <w:rPr>
                <w:color w:val="000000"/>
              </w:rPr>
              <w:t>4 of 5</w:t>
            </w:r>
          </w:p>
        </w:tc>
        <w:tc>
          <w:tcPr>
            <w:tcW w:w="1276" w:type="dxa"/>
            <w:shd w:val="clear" w:color="auto" w:fill="1CFFC2" w:themeFill="accent3" w:themeFillTint="99"/>
            <w:vAlign w:val="bottom"/>
          </w:tcPr>
          <w:p w14:paraId="387DD378" w14:textId="35367C70" w:rsidR="00534160" w:rsidRPr="00B36586" w:rsidRDefault="00534160" w:rsidP="00223FA0">
            <w:pPr>
              <w:rPr>
                <w:color w:val="000000"/>
                <w:sz w:val="28"/>
                <w:szCs w:val="28"/>
                <w:lang w:eastAsia="en-GB"/>
              </w:rPr>
            </w:pPr>
            <w:r w:rsidRPr="00B36586">
              <w:rPr>
                <w:color w:val="000000"/>
              </w:rPr>
              <w:t>5 of 5</w:t>
            </w:r>
          </w:p>
        </w:tc>
        <w:tc>
          <w:tcPr>
            <w:tcW w:w="1134" w:type="dxa"/>
            <w:shd w:val="clear" w:color="auto" w:fill="1CFFC2" w:themeFill="accent3" w:themeFillTint="99"/>
            <w:vAlign w:val="bottom"/>
          </w:tcPr>
          <w:p w14:paraId="4E26673A" w14:textId="0650B127" w:rsidR="00534160" w:rsidRPr="00B36586" w:rsidRDefault="00534160" w:rsidP="00223FA0">
            <w:pPr>
              <w:rPr>
                <w:color w:val="000000"/>
                <w:sz w:val="28"/>
                <w:szCs w:val="28"/>
                <w:lang w:eastAsia="en-GB"/>
              </w:rPr>
            </w:pPr>
            <w:r w:rsidRPr="00B36586">
              <w:rPr>
                <w:color w:val="000000"/>
              </w:rPr>
              <w:t>5 of 5</w:t>
            </w:r>
          </w:p>
        </w:tc>
        <w:tc>
          <w:tcPr>
            <w:tcW w:w="1417" w:type="dxa"/>
            <w:vAlign w:val="bottom"/>
          </w:tcPr>
          <w:p w14:paraId="32530499" w14:textId="60A8DE30" w:rsidR="00534160" w:rsidRPr="00B36586" w:rsidRDefault="00534160" w:rsidP="00223FA0">
            <w:pPr>
              <w:rPr>
                <w:color w:val="000000"/>
                <w:sz w:val="28"/>
                <w:szCs w:val="28"/>
                <w:lang w:eastAsia="en-GB"/>
              </w:rPr>
            </w:pPr>
            <w:r w:rsidRPr="00B36586">
              <w:rPr>
                <w:color w:val="000000"/>
              </w:rPr>
              <w:t>4 of 5</w:t>
            </w:r>
          </w:p>
        </w:tc>
        <w:tc>
          <w:tcPr>
            <w:tcW w:w="1134" w:type="dxa"/>
            <w:shd w:val="clear" w:color="auto" w:fill="1CFFC2" w:themeFill="accent3" w:themeFillTint="99"/>
            <w:vAlign w:val="bottom"/>
          </w:tcPr>
          <w:p w14:paraId="35E423F8" w14:textId="4960BA0B" w:rsidR="00534160" w:rsidRPr="00B36586" w:rsidRDefault="00534160" w:rsidP="00223FA0">
            <w:pPr>
              <w:rPr>
                <w:color w:val="000000"/>
                <w:sz w:val="28"/>
                <w:szCs w:val="28"/>
                <w:lang w:eastAsia="en-GB"/>
              </w:rPr>
            </w:pPr>
            <w:r w:rsidRPr="00B36586">
              <w:rPr>
                <w:color w:val="000000"/>
              </w:rPr>
              <w:t>5 of 5</w:t>
            </w:r>
          </w:p>
        </w:tc>
        <w:tc>
          <w:tcPr>
            <w:tcW w:w="1276" w:type="dxa"/>
            <w:vAlign w:val="bottom"/>
          </w:tcPr>
          <w:p w14:paraId="0C44B864" w14:textId="1ECE1356" w:rsidR="00534160" w:rsidRPr="00B36586" w:rsidRDefault="00534160" w:rsidP="00223FA0">
            <w:pPr>
              <w:rPr>
                <w:color w:val="000000"/>
                <w:sz w:val="28"/>
                <w:szCs w:val="28"/>
                <w:lang w:eastAsia="en-GB"/>
              </w:rPr>
            </w:pPr>
            <w:r w:rsidRPr="00B36586">
              <w:rPr>
                <w:color w:val="000000"/>
              </w:rPr>
              <w:t>4 of 5</w:t>
            </w:r>
          </w:p>
        </w:tc>
        <w:tc>
          <w:tcPr>
            <w:tcW w:w="1276" w:type="dxa"/>
            <w:shd w:val="clear" w:color="auto" w:fill="1CFFC2" w:themeFill="accent3" w:themeFillTint="99"/>
            <w:vAlign w:val="bottom"/>
          </w:tcPr>
          <w:p w14:paraId="436278E5" w14:textId="62C88DD3" w:rsidR="00534160" w:rsidRPr="00B36586" w:rsidRDefault="00534160" w:rsidP="00223FA0">
            <w:pPr>
              <w:rPr>
                <w:color w:val="000000"/>
                <w:sz w:val="28"/>
                <w:szCs w:val="28"/>
                <w:lang w:eastAsia="en-GB"/>
              </w:rPr>
            </w:pPr>
            <w:r w:rsidRPr="00B36586">
              <w:rPr>
                <w:color w:val="000000"/>
              </w:rPr>
              <w:t>5 of 5</w:t>
            </w:r>
          </w:p>
        </w:tc>
        <w:tc>
          <w:tcPr>
            <w:tcW w:w="1559" w:type="dxa"/>
            <w:tcBorders>
              <w:right w:val="double" w:sz="4" w:space="0" w:color="1F3368" w:themeColor="accent1"/>
            </w:tcBorders>
            <w:shd w:val="clear" w:color="auto" w:fill="1CFFC2" w:themeFill="accent3" w:themeFillTint="99"/>
            <w:vAlign w:val="bottom"/>
          </w:tcPr>
          <w:p w14:paraId="33C4B53F" w14:textId="42F5D1B6" w:rsidR="00534160" w:rsidRPr="00B36586" w:rsidRDefault="00534160" w:rsidP="00223FA0">
            <w:pPr>
              <w:rPr>
                <w:color w:val="000000"/>
                <w:sz w:val="28"/>
                <w:szCs w:val="28"/>
                <w:lang w:eastAsia="en-GB"/>
              </w:rPr>
            </w:pPr>
            <w:r w:rsidRPr="00B36586">
              <w:rPr>
                <w:color w:val="000000"/>
              </w:rPr>
              <w:t>5 of 5</w:t>
            </w:r>
          </w:p>
        </w:tc>
        <w:tc>
          <w:tcPr>
            <w:tcW w:w="1531" w:type="dxa"/>
            <w:tcBorders>
              <w:left w:val="double" w:sz="4" w:space="0" w:color="1F3368" w:themeColor="accent1"/>
            </w:tcBorders>
            <w:shd w:val="clear" w:color="auto" w:fill="auto"/>
          </w:tcPr>
          <w:p w14:paraId="010EB068" w14:textId="53908867" w:rsidR="00534160" w:rsidRPr="00B36586" w:rsidRDefault="00534160" w:rsidP="00223FA0">
            <w:pPr>
              <w:rPr>
                <w:color w:val="000000"/>
              </w:rPr>
            </w:pPr>
            <w:r w:rsidRPr="00B36586">
              <w:rPr>
                <w:color w:val="000000"/>
              </w:rPr>
              <w:t>5</w:t>
            </w:r>
          </w:p>
        </w:tc>
      </w:tr>
      <w:tr w:rsidR="00534160" w:rsidRPr="00B36586" w14:paraId="66502F04" w14:textId="2B923DAE" w:rsidTr="00FC3456">
        <w:trPr>
          <w:gridAfter w:val="1"/>
          <w:wAfter w:w="28" w:type="dxa"/>
        </w:trPr>
        <w:tc>
          <w:tcPr>
            <w:tcW w:w="2547" w:type="dxa"/>
            <w:vAlign w:val="bottom"/>
          </w:tcPr>
          <w:p w14:paraId="27AA7A46" w14:textId="7913E615" w:rsidR="00534160" w:rsidRPr="00B36586" w:rsidRDefault="00534160" w:rsidP="00223FA0">
            <w:pPr>
              <w:rPr>
                <w:color w:val="000000"/>
                <w:sz w:val="28"/>
                <w:szCs w:val="28"/>
                <w:lang w:eastAsia="en-GB"/>
              </w:rPr>
            </w:pPr>
            <w:r w:rsidRPr="00B36586">
              <w:rPr>
                <w:color w:val="000000"/>
              </w:rPr>
              <w:t>RBHSTW-00340</w:t>
            </w:r>
          </w:p>
        </w:tc>
        <w:tc>
          <w:tcPr>
            <w:tcW w:w="992" w:type="dxa"/>
            <w:vAlign w:val="bottom"/>
          </w:tcPr>
          <w:p w14:paraId="5221A572" w14:textId="4EC8DEC0" w:rsidR="00534160" w:rsidRPr="00B36586" w:rsidRDefault="00534160" w:rsidP="00223FA0">
            <w:pPr>
              <w:rPr>
                <w:color w:val="000000"/>
                <w:sz w:val="28"/>
                <w:szCs w:val="28"/>
                <w:lang w:eastAsia="en-GB"/>
              </w:rPr>
            </w:pPr>
            <w:r w:rsidRPr="00B36586">
              <w:rPr>
                <w:color w:val="000000"/>
              </w:rPr>
              <w:t>3 of 11</w:t>
            </w:r>
          </w:p>
        </w:tc>
        <w:tc>
          <w:tcPr>
            <w:tcW w:w="1276" w:type="dxa"/>
            <w:vAlign w:val="bottom"/>
          </w:tcPr>
          <w:p w14:paraId="6FD4F455" w14:textId="54ACDA53" w:rsidR="00534160" w:rsidRPr="00B36586" w:rsidRDefault="00534160" w:rsidP="00223FA0">
            <w:pPr>
              <w:rPr>
                <w:color w:val="000000"/>
                <w:sz w:val="28"/>
                <w:szCs w:val="28"/>
                <w:lang w:eastAsia="en-GB"/>
              </w:rPr>
            </w:pPr>
            <w:r w:rsidRPr="00B36586">
              <w:rPr>
                <w:color w:val="000000"/>
              </w:rPr>
              <w:t>3 of 11</w:t>
            </w:r>
          </w:p>
        </w:tc>
        <w:tc>
          <w:tcPr>
            <w:tcW w:w="1134" w:type="dxa"/>
            <w:shd w:val="clear" w:color="auto" w:fill="1CFFC2" w:themeFill="accent3" w:themeFillTint="99"/>
            <w:vAlign w:val="bottom"/>
          </w:tcPr>
          <w:p w14:paraId="57AE4CA0" w14:textId="0640891C" w:rsidR="00534160" w:rsidRPr="00B36586" w:rsidRDefault="00534160" w:rsidP="00223FA0">
            <w:pPr>
              <w:rPr>
                <w:color w:val="000000"/>
                <w:sz w:val="28"/>
                <w:szCs w:val="28"/>
                <w:lang w:eastAsia="en-GB"/>
              </w:rPr>
            </w:pPr>
            <w:r w:rsidRPr="00B36586">
              <w:rPr>
                <w:color w:val="000000"/>
              </w:rPr>
              <w:t>4 of 4</w:t>
            </w:r>
          </w:p>
        </w:tc>
        <w:tc>
          <w:tcPr>
            <w:tcW w:w="1417" w:type="dxa"/>
            <w:shd w:val="clear" w:color="auto" w:fill="1CFFC2" w:themeFill="accent3" w:themeFillTint="99"/>
            <w:vAlign w:val="bottom"/>
          </w:tcPr>
          <w:p w14:paraId="54BE77C1" w14:textId="74D89A4F" w:rsidR="00534160" w:rsidRPr="00B36586" w:rsidRDefault="00534160" w:rsidP="00223FA0">
            <w:pPr>
              <w:rPr>
                <w:color w:val="000000"/>
                <w:sz w:val="28"/>
                <w:szCs w:val="28"/>
                <w:lang w:eastAsia="en-GB"/>
              </w:rPr>
            </w:pPr>
            <w:r w:rsidRPr="00B36586">
              <w:rPr>
                <w:color w:val="000000"/>
              </w:rPr>
              <w:t>4 of 4</w:t>
            </w:r>
          </w:p>
        </w:tc>
        <w:tc>
          <w:tcPr>
            <w:tcW w:w="1134" w:type="dxa"/>
            <w:vAlign w:val="bottom"/>
          </w:tcPr>
          <w:p w14:paraId="2A051AF4" w14:textId="34A4D02C" w:rsidR="00534160" w:rsidRPr="00B36586" w:rsidRDefault="00534160" w:rsidP="00223FA0">
            <w:pPr>
              <w:rPr>
                <w:color w:val="000000"/>
                <w:sz w:val="28"/>
                <w:szCs w:val="28"/>
                <w:lang w:eastAsia="en-GB"/>
              </w:rPr>
            </w:pPr>
            <w:r w:rsidRPr="00B36586">
              <w:rPr>
                <w:color w:val="000000"/>
              </w:rPr>
              <w:t>2 of 25</w:t>
            </w:r>
          </w:p>
        </w:tc>
        <w:tc>
          <w:tcPr>
            <w:tcW w:w="1276" w:type="dxa"/>
            <w:vAlign w:val="bottom"/>
          </w:tcPr>
          <w:p w14:paraId="20E7D570" w14:textId="31D2EB0C" w:rsidR="00534160" w:rsidRPr="00B36586" w:rsidRDefault="00534160" w:rsidP="00223FA0">
            <w:pPr>
              <w:rPr>
                <w:color w:val="000000"/>
                <w:sz w:val="28"/>
                <w:szCs w:val="28"/>
                <w:lang w:eastAsia="en-GB"/>
              </w:rPr>
            </w:pPr>
            <w:r w:rsidRPr="00B36586">
              <w:rPr>
                <w:color w:val="000000"/>
              </w:rPr>
              <w:t>2 of 25</w:t>
            </w:r>
          </w:p>
        </w:tc>
        <w:tc>
          <w:tcPr>
            <w:tcW w:w="1276" w:type="dxa"/>
            <w:vAlign w:val="bottom"/>
          </w:tcPr>
          <w:p w14:paraId="78F3F882" w14:textId="038FF4A5" w:rsidR="00534160" w:rsidRPr="00B36586" w:rsidRDefault="00534160" w:rsidP="00223FA0">
            <w:pPr>
              <w:rPr>
                <w:color w:val="000000"/>
                <w:sz w:val="28"/>
                <w:szCs w:val="28"/>
                <w:lang w:eastAsia="en-GB"/>
              </w:rPr>
            </w:pPr>
            <w:r w:rsidRPr="00B36586">
              <w:rPr>
                <w:color w:val="000000"/>
              </w:rPr>
              <w:t>2 of 24</w:t>
            </w:r>
          </w:p>
        </w:tc>
        <w:tc>
          <w:tcPr>
            <w:tcW w:w="1559" w:type="dxa"/>
            <w:tcBorders>
              <w:right w:val="double" w:sz="4" w:space="0" w:color="1F3368" w:themeColor="accent1"/>
            </w:tcBorders>
            <w:vAlign w:val="bottom"/>
          </w:tcPr>
          <w:p w14:paraId="429196BA" w14:textId="44A903C8" w:rsidR="00534160" w:rsidRPr="00B36586" w:rsidRDefault="00534160" w:rsidP="00223FA0">
            <w:pPr>
              <w:rPr>
                <w:color w:val="000000"/>
                <w:sz w:val="28"/>
                <w:szCs w:val="28"/>
                <w:lang w:eastAsia="en-GB"/>
              </w:rPr>
            </w:pPr>
            <w:r w:rsidRPr="00B36586">
              <w:rPr>
                <w:color w:val="000000"/>
              </w:rPr>
              <w:t>2 of 25</w:t>
            </w:r>
          </w:p>
        </w:tc>
        <w:tc>
          <w:tcPr>
            <w:tcW w:w="1531" w:type="dxa"/>
            <w:tcBorders>
              <w:left w:val="double" w:sz="4" w:space="0" w:color="1F3368" w:themeColor="accent1"/>
            </w:tcBorders>
            <w:shd w:val="clear" w:color="auto" w:fill="auto"/>
          </w:tcPr>
          <w:p w14:paraId="24550305" w14:textId="6ACDC808" w:rsidR="00534160" w:rsidRPr="00B36586" w:rsidRDefault="00534160" w:rsidP="00223FA0">
            <w:pPr>
              <w:rPr>
                <w:color w:val="000000"/>
              </w:rPr>
            </w:pPr>
            <w:r w:rsidRPr="00B36586">
              <w:rPr>
                <w:color w:val="000000"/>
              </w:rPr>
              <w:t>4</w:t>
            </w:r>
          </w:p>
        </w:tc>
      </w:tr>
      <w:tr w:rsidR="00534160" w:rsidRPr="00B36586" w14:paraId="38690B49" w14:textId="6C61AEBE" w:rsidTr="00FC3456">
        <w:trPr>
          <w:gridAfter w:val="1"/>
          <w:wAfter w:w="28" w:type="dxa"/>
        </w:trPr>
        <w:tc>
          <w:tcPr>
            <w:tcW w:w="2547" w:type="dxa"/>
            <w:vAlign w:val="bottom"/>
          </w:tcPr>
          <w:p w14:paraId="2D28974D" w14:textId="77078D3B" w:rsidR="00534160" w:rsidRPr="00B36586" w:rsidRDefault="00534160" w:rsidP="00223FA0">
            <w:pPr>
              <w:rPr>
                <w:color w:val="000000"/>
                <w:sz w:val="28"/>
                <w:szCs w:val="28"/>
                <w:lang w:eastAsia="en-GB"/>
              </w:rPr>
            </w:pPr>
            <w:r w:rsidRPr="00B36586">
              <w:rPr>
                <w:color w:val="000000"/>
              </w:rPr>
              <w:t>RBHSTW-00350</w:t>
            </w:r>
          </w:p>
        </w:tc>
        <w:tc>
          <w:tcPr>
            <w:tcW w:w="992" w:type="dxa"/>
            <w:shd w:val="clear" w:color="auto" w:fill="1CFFC2" w:themeFill="accent3" w:themeFillTint="99"/>
            <w:vAlign w:val="bottom"/>
          </w:tcPr>
          <w:p w14:paraId="09413F91" w14:textId="6F5ED033" w:rsidR="00534160" w:rsidRPr="00B36586" w:rsidRDefault="00534160" w:rsidP="00223FA0">
            <w:pPr>
              <w:rPr>
                <w:color w:val="000000"/>
                <w:sz w:val="28"/>
                <w:szCs w:val="28"/>
                <w:lang w:eastAsia="en-GB"/>
              </w:rPr>
            </w:pPr>
            <w:r w:rsidRPr="00B36586">
              <w:rPr>
                <w:color w:val="000000"/>
              </w:rPr>
              <w:t>2 of 2</w:t>
            </w:r>
          </w:p>
        </w:tc>
        <w:tc>
          <w:tcPr>
            <w:tcW w:w="1276" w:type="dxa"/>
            <w:shd w:val="clear" w:color="auto" w:fill="1CFFC2" w:themeFill="accent3" w:themeFillTint="99"/>
            <w:vAlign w:val="bottom"/>
          </w:tcPr>
          <w:p w14:paraId="273041F1" w14:textId="4A0625C9" w:rsidR="00534160" w:rsidRPr="00B36586" w:rsidRDefault="00534160" w:rsidP="00223FA0">
            <w:pPr>
              <w:rPr>
                <w:color w:val="000000"/>
                <w:sz w:val="28"/>
                <w:szCs w:val="28"/>
                <w:lang w:eastAsia="en-GB"/>
              </w:rPr>
            </w:pPr>
            <w:r w:rsidRPr="00B36586">
              <w:rPr>
                <w:color w:val="000000"/>
              </w:rPr>
              <w:t>2 of 2</w:t>
            </w:r>
          </w:p>
        </w:tc>
        <w:tc>
          <w:tcPr>
            <w:tcW w:w="1134" w:type="dxa"/>
            <w:vAlign w:val="bottom"/>
          </w:tcPr>
          <w:p w14:paraId="015E9119" w14:textId="68E476E5" w:rsidR="00534160" w:rsidRPr="00B36586" w:rsidRDefault="00534160" w:rsidP="00223FA0">
            <w:pPr>
              <w:rPr>
                <w:color w:val="000000"/>
                <w:sz w:val="28"/>
                <w:szCs w:val="28"/>
                <w:lang w:eastAsia="en-GB"/>
              </w:rPr>
            </w:pPr>
            <w:r w:rsidRPr="00B36586">
              <w:rPr>
                <w:color w:val="000000"/>
              </w:rPr>
              <w:t>2 of 3</w:t>
            </w:r>
          </w:p>
        </w:tc>
        <w:tc>
          <w:tcPr>
            <w:tcW w:w="1417" w:type="dxa"/>
            <w:shd w:val="clear" w:color="auto" w:fill="1CFFC2" w:themeFill="accent3" w:themeFillTint="99"/>
            <w:vAlign w:val="bottom"/>
          </w:tcPr>
          <w:p w14:paraId="23F117B1" w14:textId="1FB21818" w:rsidR="00534160" w:rsidRPr="00B36586" w:rsidRDefault="00534160" w:rsidP="00223FA0">
            <w:pPr>
              <w:rPr>
                <w:color w:val="000000"/>
                <w:sz w:val="28"/>
                <w:szCs w:val="28"/>
                <w:lang w:eastAsia="en-GB"/>
              </w:rPr>
            </w:pPr>
            <w:r w:rsidRPr="00B36586">
              <w:rPr>
                <w:color w:val="000000"/>
              </w:rPr>
              <w:t>2 of 2</w:t>
            </w:r>
          </w:p>
        </w:tc>
        <w:tc>
          <w:tcPr>
            <w:tcW w:w="1134" w:type="dxa"/>
            <w:shd w:val="clear" w:color="auto" w:fill="1CFFC2" w:themeFill="accent3" w:themeFillTint="99"/>
            <w:vAlign w:val="bottom"/>
          </w:tcPr>
          <w:p w14:paraId="7326B033" w14:textId="0E530F96" w:rsidR="00534160" w:rsidRPr="00B36586" w:rsidRDefault="00534160" w:rsidP="00223FA0">
            <w:pPr>
              <w:rPr>
                <w:color w:val="000000"/>
                <w:sz w:val="28"/>
                <w:szCs w:val="28"/>
                <w:lang w:eastAsia="en-GB"/>
              </w:rPr>
            </w:pPr>
            <w:r w:rsidRPr="00B36586">
              <w:rPr>
                <w:color w:val="000000"/>
              </w:rPr>
              <w:t>2 of 2</w:t>
            </w:r>
          </w:p>
        </w:tc>
        <w:tc>
          <w:tcPr>
            <w:tcW w:w="1276" w:type="dxa"/>
            <w:shd w:val="clear" w:color="auto" w:fill="1CFFC2" w:themeFill="accent3" w:themeFillTint="99"/>
            <w:vAlign w:val="bottom"/>
          </w:tcPr>
          <w:p w14:paraId="2E428422" w14:textId="2389B02E" w:rsidR="00534160" w:rsidRPr="00B36586" w:rsidRDefault="00534160" w:rsidP="00223FA0">
            <w:pPr>
              <w:rPr>
                <w:color w:val="000000"/>
                <w:sz w:val="28"/>
                <w:szCs w:val="28"/>
                <w:lang w:eastAsia="en-GB"/>
              </w:rPr>
            </w:pPr>
            <w:r w:rsidRPr="00B36586">
              <w:rPr>
                <w:color w:val="000000"/>
              </w:rPr>
              <w:t>2 of 2</w:t>
            </w:r>
          </w:p>
        </w:tc>
        <w:tc>
          <w:tcPr>
            <w:tcW w:w="1276" w:type="dxa"/>
            <w:shd w:val="clear" w:color="auto" w:fill="1CFFC2" w:themeFill="accent3" w:themeFillTint="99"/>
            <w:vAlign w:val="bottom"/>
          </w:tcPr>
          <w:p w14:paraId="48D3E84A" w14:textId="7438A182" w:rsidR="00534160" w:rsidRPr="00B36586" w:rsidRDefault="00534160" w:rsidP="00223FA0">
            <w:pPr>
              <w:rPr>
                <w:color w:val="000000"/>
                <w:sz w:val="28"/>
                <w:szCs w:val="28"/>
                <w:lang w:eastAsia="en-GB"/>
              </w:rPr>
            </w:pPr>
            <w:r w:rsidRPr="00B36586">
              <w:rPr>
                <w:color w:val="000000"/>
              </w:rPr>
              <w:t>2 of 2</w:t>
            </w:r>
          </w:p>
        </w:tc>
        <w:tc>
          <w:tcPr>
            <w:tcW w:w="1559" w:type="dxa"/>
            <w:tcBorders>
              <w:right w:val="double" w:sz="4" w:space="0" w:color="1F3368" w:themeColor="accent1"/>
            </w:tcBorders>
            <w:shd w:val="clear" w:color="auto" w:fill="1CFFC2" w:themeFill="accent3" w:themeFillTint="99"/>
            <w:vAlign w:val="bottom"/>
          </w:tcPr>
          <w:p w14:paraId="048333DB" w14:textId="3B98FF66" w:rsidR="00534160" w:rsidRPr="00B36586" w:rsidRDefault="00534160" w:rsidP="00223FA0">
            <w:pPr>
              <w:rPr>
                <w:color w:val="000000"/>
                <w:sz w:val="28"/>
                <w:szCs w:val="28"/>
                <w:lang w:eastAsia="en-GB"/>
              </w:rPr>
            </w:pPr>
            <w:r w:rsidRPr="00B36586">
              <w:rPr>
                <w:color w:val="000000"/>
              </w:rPr>
              <w:t>2 of 2</w:t>
            </w:r>
          </w:p>
        </w:tc>
        <w:tc>
          <w:tcPr>
            <w:tcW w:w="1531" w:type="dxa"/>
            <w:tcBorders>
              <w:left w:val="double" w:sz="4" w:space="0" w:color="1F3368" w:themeColor="accent1"/>
            </w:tcBorders>
            <w:shd w:val="clear" w:color="auto" w:fill="auto"/>
          </w:tcPr>
          <w:p w14:paraId="7A79A1FF" w14:textId="737FDB55" w:rsidR="00534160" w:rsidRPr="00B36586" w:rsidRDefault="00534160" w:rsidP="00223FA0">
            <w:pPr>
              <w:rPr>
                <w:color w:val="000000"/>
              </w:rPr>
            </w:pPr>
            <w:r w:rsidRPr="00B36586">
              <w:rPr>
                <w:color w:val="000000"/>
              </w:rPr>
              <w:t>2</w:t>
            </w:r>
          </w:p>
        </w:tc>
      </w:tr>
      <w:tr w:rsidR="00534160" w:rsidRPr="00B36586" w14:paraId="38DB1BBA" w14:textId="2748BCAF" w:rsidTr="00FC3456">
        <w:trPr>
          <w:gridAfter w:val="1"/>
          <w:wAfter w:w="28" w:type="dxa"/>
        </w:trPr>
        <w:tc>
          <w:tcPr>
            <w:tcW w:w="2547" w:type="dxa"/>
            <w:vAlign w:val="bottom"/>
          </w:tcPr>
          <w:p w14:paraId="17FBB075" w14:textId="27473254" w:rsidR="00534160" w:rsidRPr="00B36586" w:rsidRDefault="00534160" w:rsidP="00223FA0">
            <w:pPr>
              <w:rPr>
                <w:color w:val="000000"/>
                <w:sz w:val="28"/>
                <w:szCs w:val="28"/>
                <w:lang w:eastAsia="en-GB"/>
              </w:rPr>
            </w:pPr>
            <w:r w:rsidRPr="00B36586">
              <w:rPr>
                <w:color w:val="000000"/>
              </w:rPr>
              <w:t>RHB10-C07</w:t>
            </w:r>
          </w:p>
        </w:tc>
        <w:tc>
          <w:tcPr>
            <w:tcW w:w="992" w:type="dxa"/>
            <w:shd w:val="clear" w:color="auto" w:fill="1CFFC2" w:themeFill="accent3" w:themeFillTint="99"/>
            <w:vAlign w:val="bottom"/>
          </w:tcPr>
          <w:p w14:paraId="2DAD3F16" w14:textId="2038DBC1" w:rsidR="00534160" w:rsidRPr="00B36586" w:rsidRDefault="00534160" w:rsidP="00223FA0">
            <w:pPr>
              <w:rPr>
                <w:color w:val="000000"/>
                <w:sz w:val="28"/>
                <w:szCs w:val="28"/>
                <w:lang w:eastAsia="en-GB"/>
              </w:rPr>
            </w:pPr>
            <w:r w:rsidRPr="00B36586">
              <w:rPr>
                <w:color w:val="000000"/>
              </w:rPr>
              <w:t>1 of 1</w:t>
            </w:r>
          </w:p>
        </w:tc>
        <w:tc>
          <w:tcPr>
            <w:tcW w:w="1276" w:type="dxa"/>
            <w:shd w:val="clear" w:color="auto" w:fill="1CFFC2" w:themeFill="accent3" w:themeFillTint="99"/>
            <w:vAlign w:val="bottom"/>
          </w:tcPr>
          <w:p w14:paraId="6A5A0CE0" w14:textId="1928DDA2" w:rsidR="00534160" w:rsidRPr="00B36586" w:rsidRDefault="00534160" w:rsidP="00223FA0">
            <w:pPr>
              <w:rPr>
                <w:color w:val="000000"/>
                <w:sz w:val="28"/>
                <w:szCs w:val="28"/>
                <w:lang w:eastAsia="en-GB"/>
              </w:rPr>
            </w:pPr>
            <w:r w:rsidRPr="00B36586">
              <w:rPr>
                <w:color w:val="000000"/>
              </w:rPr>
              <w:t>1 of 1</w:t>
            </w:r>
          </w:p>
        </w:tc>
        <w:tc>
          <w:tcPr>
            <w:tcW w:w="1134" w:type="dxa"/>
            <w:shd w:val="clear" w:color="auto" w:fill="1CFFC2" w:themeFill="accent3" w:themeFillTint="99"/>
            <w:vAlign w:val="bottom"/>
          </w:tcPr>
          <w:p w14:paraId="1BACDE12" w14:textId="4FCB5D1A" w:rsidR="00534160" w:rsidRPr="00B36586" w:rsidRDefault="00534160" w:rsidP="00223FA0">
            <w:pPr>
              <w:rPr>
                <w:color w:val="000000"/>
                <w:sz w:val="28"/>
                <w:szCs w:val="28"/>
                <w:lang w:eastAsia="en-GB"/>
              </w:rPr>
            </w:pPr>
            <w:r w:rsidRPr="00B36586">
              <w:rPr>
                <w:color w:val="000000"/>
              </w:rPr>
              <w:t>1 of 1</w:t>
            </w:r>
          </w:p>
        </w:tc>
        <w:tc>
          <w:tcPr>
            <w:tcW w:w="1417" w:type="dxa"/>
            <w:shd w:val="clear" w:color="auto" w:fill="1CFFC2" w:themeFill="accent3" w:themeFillTint="99"/>
            <w:vAlign w:val="bottom"/>
          </w:tcPr>
          <w:p w14:paraId="51D01335" w14:textId="47BF92B3" w:rsidR="00534160" w:rsidRPr="00B36586" w:rsidRDefault="00534160" w:rsidP="00223FA0">
            <w:pPr>
              <w:rPr>
                <w:color w:val="000000"/>
                <w:sz w:val="28"/>
                <w:szCs w:val="28"/>
                <w:lang w:eastAsia="en-GB"/>
              </w:rPr>
            </w:pPr>
            <w:r w:rsidRPr="00B36586">
              <w:rPr>
                <w:color w:val="000000"/>
              </w:rPr>
              <w:t>1 of 1</w:t>
            </w:r>
          </w:p>
        </w:tc>
        <w:tc>
          <w:tcPr>
            <w:tcW w:w="1134" w:type="dxa"/>
            <w:shd w:val="clear" w:color="auto" w:fill="1CFFC2" w:themeFill="accent3" w:themeFillTint="99"/>
            <w:vAlign w:val="bottom"/>
          </w:tcPr>
          <w:p w14:paraId="367DBAB6" w14:textId="1B6BB838" w:rsidR="00534160" w:rsidRPr="00B36586" w:rsidRDefault="00534160" w:rsidP="00223FA0">
            <w:pPr>
              <w:rPr>
                <w:color w:val="000000"/>
                <w:sz w:val="28"/>
                <w:szCs w:val="28"/>
                <w:lang w:eastAsia="en-GB"/>
              </w:rPr>
            </w:pPr>
            <w:r w:rsidRPr="00B36586">
              <w:rPr>
                <w:color w:val="000000"/>
              </w:rPr>
              <w:t>1 of 1</w:t>
            </w:r>
          </w:p>
        </w:tc>
        <w:tc>
          <w:tcPr>
            <w:tcW w:w="1276" w:type="dxa"/>
            <w:shd w:val="clear" w:color="auto" w:fill="1CFFC2" w:themeFill="accent3" w:themeFillTint="99"/>
            <w:vAlign w:val="bottom"/>
          </w:tcPr>
          <w:p w14:paraId="1070A585" w14:textId="0E86F1FF" w:rsidR="00534160" w:rsidRPr="00B36586" w:rsidRDefault="00534160" w:rsidP="00223FA0">
            <w:pPr>
              <w:rPr>
                <w:color w:val="000000"/>
                <w:sz w:val="28"/>
                <w:szCs w:val="28"/>
                <w:lang w:eastAsia="en-GB"/>
              </w:rPr>
            </w:pPr>
            <w:r w:rsidRPr="00B36586">
              <w:rPr>
                <w:color w:val="000000"/>
              </w:rPr>
              <w:t>1 of 1</w:t>
            </w:r>
          </w:p>
        </w:tc>
        <w:tc>
          <w:tcPr>
            <w:tcW w:w="1276" w:type="dxa"/>
            <w:vAlign w:val="bottom"/>
          </w:tcPr>
          <w:p w14:paraId="4C8AAB25" w14:textId="69FE7935" w:rsidR="00534160" w:rsidRPr="00B36586" w:rsidRDefault="00534160" w:rsidP="00223FA0">
            <w:pPr>
              <w:rPr>
                <w:color w:val="000000"/>
                <w:sz w:val="28"/>
                <w:szCs w:val="28"/>
                <w:lang w:eastAsia="en-GB"/>
              </w:rPr>
            </w:pPr>
            <w:r w:rsidRPr="00B36586">
              <w:rPr>
                <w:color w:val="000000"/>
              </w:rPr>
              <w:t>1 of 17</w:t>
            </w:r>
          </w:p>
        </w:tc>
        <w:tc>
          <w:tcPr>
            <w:tcW w:w="1559" w:type="dxa"/>
            <w:tcBorders>
              <w:right w:val="double" w:sz="4" w:space="0" w:color="1F3368" w:themeColor="accent1"/>
            </w:tcBorders>
            <w:shd w:val="clear" w:color="auto" w:fill="1CFFC2" w:themeFill="accent3" w:themeFillTint="99"/>
            <w:vAlign w:val="bottom"/>
          </w:tcPr>
          <w:p w14:paraId="7ED47D62" w14:textId="627CE196" w:rsidR="00534160" w:rsidRPr="00B36586" w:rsidRDefault="00534160" w:rsidP="00223FA0">
            <w:pPr>
              <w:rPr>
                <w:color w:val="000000"/>
                <w:sz w:val="28"/>
                <w:szCs w:val="28"/>
                <w:lang w:eastAsia="en-GB"/>
              </w:rPr>
            </w:pPr>
            <w:r w:rsidRPr="00B36586">
              <w:rPr>
                <w:color w:val="000000"/>
              </w:rPr>
              <w:t>1 of 1</w:t>
            </w:r>
          </w:p>
        </w:tc>
        <w:tc>
          <w:tcPr>
            <w:tcW w:w="1531" w:type="dxa"/>
            <w:tcBorders>
              <w:left w:val="double" w:sz="4" w:space="0" w:color="1F3368" w:themeColor="accent1"/>
            </w:tcBorders>
            <w:shd w:val="clear" w:color="auto" w:fill="auto"/>
          </w:tcPr>
          <w:p w14:paraId="2C7B4198" w14:textId="0B0E329C" w:rsidR="00534160" w:rsidRPr="00B36586" w:rsidRDefault="00534160" w:rsidP="00223FA0">
            <w:pPr>
              <w:rPr>
                <w:color w:val="000000"/>
              </w:rPr>
            </w:pPr>
            <w:r w:rsidRPr="00B36586">
              <w:rPr>
                <w:color w:val="000000"/>
              </w:rPr>
              <w:t>1</w:t>
            </w:r>
          </w:p>
        </w:tc>
      </w:tr>
      <w:tr w:rsidR="00534160" w:rsidRPr="00B36586" w14:paraId="63E62984" w14:textId="0F902AA8" w:rsidTr="00FC3456">
        <w:trPr>
          <w:gridAfter w:val="1"/>
          <w:wAfter w:w="28" w:type="dxa"/>
        </w:trPr>
        <w:tc>
          <w:tcPr>
            <w:tcW w:w="2547" w:type="dxa"/>
            <w:tcBorders>
              <w:bottom w:val="single" w:sz="4" w:space="0" w:color="auto"/>
            </w:tcBorders>
            <w:vAlign w:val="bottom"/>
          </w:tcPr>
          <w:p w14:paraId="48C3839D" w14:textId="71627AE2" w:rsidR="00534160" w:rsidRPr="00B36586" w:rsidRDefault="00534160" w:rsidP="00223FA0">
            <w:pPr>
              <w:rPr>
                <w:color w:val="000000"/>
                <w:sz w:val="28"/>
                <w:szCs w:val="28"/>
                <w:lang w:eastAsia="en-GB"/>
              </w:rPr>
            </w:pPr>
            <w:r w:rsidRPr="00B36586">
              <w:rPr>
                <w:color w:val="000000"/>
              </w:rPr>
              <w:t>RHB11-C04</w:t>
            </w:r>
          </w:p>
        </w:tc>
        <w:tc>
          <w:tcPr>
            <w:tcW w:w="992" w:type="dxa"/>
            <w:tcBorders>
              <w:bottom w:val="single" w:sz="4" w:space="0" w:color="auto"/>
            </w:tcBorders>
            <w:shd w:val="clear" w:color="auto" w:fill="1CFFC2" w:themeFill="accent3" w:themeFillTint="99"/>
            <w:vAlign w:val="bottom"/>
          </w:tcPr>
          <w:p w14:paraId="0F9CFE19" w14:textId="56D812DB" w:rsidR="00534160" w:rsidRPr="00B36586" w:rsidRDefault="00534160" w:rsidP="00223FA0">
            <w:pPr>
              <w:rPr>
                <w:color w:val="000000"/>
                <w:sz w:val="28"/>
                <w:szCs w:val="28"/>
                <w:lang w:eastAsia="en-GB"/>
              </w:rPr>
            </w:pPr>
            <w:r w:rsidRPr="00B36586">
              <w:rPr>
                <w:color w:val="000000"/>
              </w:rPr>
              <w:t>3 of 3</w:t>
            </w:r>
          </w:p>
        </w:tc>
        <w:tc>
          <w:tcPr>
            <w:tcW w:w="1276" w:type="dxa"/>
            <w:tcBorders>
              <w:bottom w:val="single" w:sz="4" w:space="0" w:color="auto"/>
            </w:tcBorders>
            <w:shd w:val="clear" w:color="auto" w:fill="1CFFC2" w:themeFill="accent3" w:themeFillTint="99"/>
            <w:vAlign w:val="bottom"/>
          </w:tcPr>
          <w:p w14:paraId="14CCB351" w14:textId="6EB7C6B4" w:rsidR="00534160" w:rsidRPr="00B36586" w:rsidRDefault="00534160" w:rsidP="00223FA0">
            <w:pPr>
              <w:rPr>
                <w:color w:val="000000"/>
                <w:sz w:val="28"/>
                <w:szCs w:val="28"/>
                <w:lang w:eastAsia="en-GB"/>
              </w:rPr>
            </w:pPr>
            <w:r w:rsidRPr="00B36586">
              <w:rPr>
                <w:color w:val="000000"/>
              </w:rPr>
              <w:t>3 of 3</w:t>
            </w:r>
          </w:p>
        </w:tc>
        <w:tc>
          <w:tcPr>
            <w:tcW w:w="1134" w:type="dxa"/>
            <w:tcBorders>
              <w:bottom w:val="single" w:sz="4" w:space="0" w:color="auto"/>
            </w:tcBorders>
            <w:shd w:val="clear" w:color="auto" w:fill="1CFFC2" w:themeFill="accent3" w:themeFillTint="99"/>
            <w:vAlign w:val="bottom"/>
          </w:tcPr>
          <w:p w14:paraId="0C07E0AD" w14:textId="1B4ED83C" w:rsidR="00534160" w:rsidRPr="00B36586" w:rsidRDefault="00534160" w:rsidP="00223FA0">
            <w:pPr>
              <w:rPr>
                <w:color w:val="000000"/>
                <w:sz w:val="28"/>
                <w:szCs w:val="28"/>
                <w:lang w:eastAsia="en-GB"/>
              </w:rPr>
            </w:pPr>
            <w:r w:rsidRPr="00B36586">
              <w:rPr>
                <w:color w:val="000000"/>
              </w:rPr>
              <w:t>3 of 3</w:t>
            </w:r>
          </w:p>
        </w:tc>
        <w:tc>
          <w:tcPr>
            <w:tcW w:w="1417" w:type="dxa"/>
            <w:tcBorders>
              <w:bottom w:val="single" w:sz="4" w:space="0" w:color="auto"/>
            </w:tcBorders>
            <w:shd w:val="clear" w:color="auto" w:fill="1CFFC2" w:themeFill="accent3" w:themeFillTint="99"/>
            <w:vAlign w:val="bottom"/>
          </w:tcPr>
          <w:p w14:paraId="254313CF" w14:textId="3ACA3E8E" w:rsidR="00534160" w:rsidRPr="00B36586" w:rsidRDefault="00534160" w:rsidP="00223FA0">
            <w:pPr>
              <w:rPr>
                <w:color w:val="000000"/>
                <w:sz w:val="28"/>
                <w:szCs w:val="28"/>
                <w:lang w:eastAsia="en-GB"/>
              </w:rPr>
            </w:pPr>
            <w:r w:rsidRPr="00B36586">
              <w:rPr>
                <w:color w:val="000000"/>
              </w:rPr>
              <w:t>3 of 3</w:t>
            </w:r>
          </w:p>
        </w:tc>
        <w:tc>
          <w:tcPr>
            <w:tcW w:w="1134" w:type="dxa"/>
            <w:tcBorders>
              <w:bottom w:val="single" w:sz="4" w:space="0" w:color="auto"/>
            </w:tcBorders>
            <w:shd w:val="clear" w:color="auto" w:fill="1CFFC2" w:themeFill="accent3" w:themeFillTint="99"/>
            <w:vAlign w:val="bottom"/>
          </w:tcPr>
          <w:p w14:paraId="195BA034" w14:textId="7BCE8F5F" w:rsidR="00534160" w:rsidRPr="00B36586" w:rsidRDefault="00534160" w:rsidP="00223FA0">
            <w:pPr>
              <w:rPr>
                <w:color w:val="000000"/>
                <w:sz w:val="28"/>
                <w:szCs w:val="28"/>
                <w:lang w:eastAsia="en-GB"/>
              </w:rPr>
            </w:pPr>
            <w:r w:rsidRPr="00B36586">
              <w:rPr>
                <w:color w:val="000000"/>
              </w:rPr>
              <w:t>3 of 3</w:t>
            </w:r>
          </w:p>
        </w:tc>
        <w:tc>
          <w:tcPr>
            <w:tcW w:w="1276" w:type="dxa"/>
            <w:tcBorders>
              <w:bottom w:val="single" w:sz="4" w:space="0" w:color="auto"/>
            </w:tcBorders>
            <w:shd w:val="clear" w:color="auto" w:fill="1CFFC2" w:themeFill="accent3" w:themeFillTint="99"/>
            <w:vAlign w:val="bottom"/>
          </w:tcPr>
          <w:p w14:paraId="6B1DA09D" w14:textId="3E5F1BC9" w:rsidR="00534160" w:rsidRPr="00B36586" w:rsidRDefault="00534160" w:rsidP="00223FA0">
            <w:pPr>
              <w:rPr>
                <w:color w:val="000000"/>
                <w:sz w:val="28"/>
                <w:szCs w:val="28"/>
                <w:lang w:eastAsia="en-GB"/>
              </w:rPr>
            </w:pPr>
            <w:r w:rsidRPr="00B36586">
              <w:rPr>
                <w:color w:val="000000"/>
              </w:rPr>
              <w:t>3 of 3</w:t>
            </w:r>
          </w:p>
        </w:tc>
        <w:tc>
          <w:tcPr>
            <w:tcW w:w="1276" w:type="dxa"/>
            <w:tcBorders>
              <w:bottom w:val="single" w:sz="4" w:space="0" w:color="auto"/>
            </w:tcBorders>
            <w:shd w:val="clear" w:color="auto" w:fill="1CFFC2" w:themeFill="accent3" w:themeFillTint="99"/>
            <w:vAlign w:val="bottom"/>
          </w:tcPr>
          <w:p w14:paraId="6AA789F0" w14:textId="61B9B3A0" w:rsidR="00534160" w:rsidRPr="00B36586" w:rsidRDefault="00534160" w:rsidP="00223FA0">
            <w:pPr>
              <w:rPr>
                <w:color w:val="000000"/>
                <w:sz w:val="28"/>
                <w:szCs w:val="28"/>
                <w:lang w:eastAsia="en-GB"/>
              </w:rPr>
            </w:pPr>
            <w:r w:rsidRPr="00B36586">
              <w:rPr>
                <w:color w:val="000000"/>
              </w:rPr>
              <w:t>3 of 3</w:t>
            </w:r>
          </w:p>
        </w:tc>
        <w:tc>
          <w:tcPr>
            <w:tcW w:w="1559" w:type="dxa"/>
            <w:tcBorders>
              <w:bottom w:val="single" w:sz="4" w:space="0" w:color="auto"/>
              <w:right w:val="double" w:sz="4" w:space="0" w:color="1F3368" w:themeColor="accent1"/>
            </w:tcBorders>
            <w:shd w:val="clear" w:color="auto" w:fill="1CFFC2" w:themeFill="accent3" w:themeFillTint="99"/>
            <w:vAlign w:val="bottom"/>
          </w:tcPr>
          <w:p w14:paraId="3863B366" w14:textId="2C2CF783" w:rsidR="00534160" w:rsidRPr="00B36586" w:rsidRDefault="00534160" w:rsidP="00223FA0">
            <w:pPr>
              <w:rPr>
                <w:color w:val="000000"/>
                <w:sz w:val="28"/>
                <w:szCs w:val="28"/>
                <w:lang w:eastAsia="en-GB"/>
              </w:rPr>
            </w:pPr>
            <w:r w:rsidRPr="00B36586">
              <w:rPr>
                <w:color w:val="000000"/>
              </w:rPr>
              <w:t>3 of 3</w:t>
            </w:r>
          </w:p>
        </w:tc>
        <w:tc>
          <w:tcPr>
            <w:tcW w:w="1531" w:type="dxa"/>
            <w:tcBorders>
              <w:left w:val="double" w:sz="4" w:space="0" w:color="1F3368" w:themeColor="accent1"/>
              <w:bottom w:val="single" w:sz="4" w:space="0" w:color="auto"/>
            </w:tcBorders>
            <w:shd w:val="clear" w:color="auto" w:fill="auto"/>
          </w:tcPr>
          <w:p w14:paraId="28C1189E" w14:textId="3AB83F59" w:rsidR="00534160" w:rsidRPr="00B36586" w:rsidRDefault="00534160" w:rsidP="00223FA0">
            <w:pPr>
              <w:rPr>
                <w:color w:val="000000"/>
              </w:rPr>
            </w:pPr>
            <w:r w:rsidRPr="00B36586">
              <w:rPr>
                <w:color w:val="000000"/>
              </w:rPr>
              <w:t>3</w:t>
            </w:r>
          </w:p>
        </w:tc>
      </w:tr>
      <w:tr w:rsidR="00534160" w:rsidRPr="00B36586" w14:paraId="0078F7E6" w14:textId="12DA37F9" w:rsidTr="00FC3456">
        <w:trPr>
          <w:gridAfter w:val="1"/>
          <w:wAfter w:w="28" w:type="dxa"/>
        </w:trPr>
        <w:tc>
          <w:tcPr>
            <w:tcW w:w="2547" w:type="dxa"/>
            <w:tcBorders>
              <w:bottom w:val="double" w:sz="4" w:space="0" w:color="auto"/>
            </w:tcBorders>
            <w:shd w:val="clear" w:color="auto" w:fill="auto"/>
            <w:vAlign w:val="bottom"/>
          </w:tcPr>
          <w:p w14:paraId="408B143E" w14:textId="6A111D0C" w:rsidR="00534160" w:rsidRPr="00B36586" w:rsidRDefault="00534160" w:rsidP="00223FA0">
            <w:pPr>
              <w:rPr>
                <w:color w:val="000000"/>
              </w:rPr>
            </w:pPr>
            <w:r w:rsidRPr="00B36586">
              <w:rPr>
                <w:color w:val="000000"/>
              </w:rPr>
              <w:t>RHB14-C01</w:t>
            </w:r>
          </w:p>
        </w:tc>
        <w:tc>
          <w:tcPr>
            <w:tcW w:w="992" w:type="dxa"/>
            <w:tcBorders>
              <w:bottom w:val="double" w:sz="4" w:space="0" w:color="auto"/>
            </w:tcBorders>
            <w:shd w:val="clear" w:color="auto" w:fill="auto"/>
            <w:vAlign w:val="bottom"/>
          </w:tcPr>
          <w:p w14:paraId="32946810" w14:textId="675E20B2" w:rsidR="00534160" w:rsidRPr="00B36586" w:rsidRDefault="00534160" w:rsidP="00223FA0">
            <w:pPr>
              <w:rPr>
                <w:color w:val="000000"/>
              </w:rPr>
            </w:pPr>
            <w:r w:rsidRPr="00B36586">
              <w:rPr>
                <w:color w:val="000000"/>
              </w:rPr>
              <w:t>1 of 12</w:t>
            </w:r>
          </w:p>
        </w:tc>
        <w:tc>
          <w:tcPr>
            <w:tcW w:w="1276" w:type="dxa"/>
            <w:tcBorders>
              <w:bottom w:val="double" w:sz="4" w:space="0" w:color="auto"/>
            </w:tcBorders>
            <w:shd w:val="clear" w:color="auto" w:fill="auto"/>
            <w:vAlign w:val="bottom"/>
          </w:tcPr>
          <w:p w14:paraId="026909FA" w14:textId="17E6C515" w:rsidR="00534160" w:rsidRPr="00B36586" w:rsidRDefault="00534160" w:rsidP="00223FA0">
            <w:pPr>
              <w:rPr>
                <w:color w:val="000000"/>
              </w:rPr>
            </w:pPr>
            <w:r w:rsidRPr="00B36586">
              <w:rPr>
                <w:color w:val="000000"/>
              </w:rPr>
              <w:t>1 of 12</w:t>
            </w:r>
          </w:p>
        </w:tc>
        <w:tc>
          <w:tcPr>
            <w:tcW w:w="1134" w:type="dxa"/>
            <w:tcBorders>
              <w:bottom w:val="double" w:sz="4" w:space="0" w:color="auto"/>
            </w:tcBorders>
            <w:shd w:val="clear" w:color="auto" w:fill="auto"/>
            <w:vAlign w:val="bottom"/>
          </w:tcPr>
          <w:p w14:paraId="12B07F55" w14:textId="6D263D60" w:rsidR="00534160" w:rsidRPr="00B36586" w:rsidRDefault="00534160" w:rsidP="00223FA0">
            <w:pPr>
              <w:rPr>
                <w:color w:val="000000"/>
              </w:rPr>
            </w:pPr>
            <w:r w:rsidRPr="00B36586">
              <w:rPr>
                <w:color w:val="000000"/>
              </w:rPr>
              <w:t>1 of 15</w:t>
            </w:r>
          </w:p>
        </w:tc>
        <w:tc>
          <w:tcPr>
            <w:tcW w:w="1417" w:type="dxa"/>
            <w:tcBorders>
              <w:bottom w:val="double" w:sz="4" w:space="0" w:color="auto"/>
            </w:tcBorders>
            <w:shd w:val="clear" w:color="auto" w:fill="auto"/>
            <w:vAlign w:val="bottom"/>
          </w:tcPr>
          <w:p w14:paraId="1811AC9C" w14:textId="2474EDBD" w:rsidR="00534160" w:rsidRPr="00B36586" w:rsidRDefault="00534160" w:rsidP="00223FA0">
            <w:pPr>
              <w:rPr>
                <w:color w:val="000000"/>
              </w:rPr>
            </w:pPr>
            <w:r w:rsidRPr="00B36586">
              <w:rPr>
                <w:color w:val="000000"/>
              </w:rPr>
              <w:t>1 of 12</w:t>
            </w:r>
          </w:p>
        </w:tc>
        <w:tc>
          <w:tcPr>
            <w:tcW w:w="1134" w:type="dxa"/>
            <w:tcBorders>
              <w:bottom w:val="double" w:sz="4" w:space="0" w:color="auto"/>
            </w:tcBorders>
            <w:shd w:val="clear" w:color="auto" w:fill="auto"/>
            <w:vAlign w:val="bottom"/>
          </w:tcPr>
          <w:p w14:paraId="7917A726" w14:textId="5B924323" w:rsidR="00534160" w:rsidRPr="00B36586" w:rsidRDefault="00534160" w:rsidP="00223FA0">
            <w:pPr>
              <w:rPr>
                <w:color w:val="000000"/>
              </w:rPr>
            </w:pPr>
            <w:r w:rsidRPr="00B36586">
              <w:rPr>
                <w:color w:val="000000"/>
              </w:rPr>
              <w:t>1 of 15</w:t>
            </w:r>
          </w:p>
        </w:tc>
        <w:tc>
          <w:tcPr>
            <w:tcW w:w="1276" w:type="dxa"/>
            <w:tcBorders>
              <w:bottom w:val="double" w:sz="4" w:space="0" w:color="auto"/>
            </w:tcBorders>
            <w:shd w:val="clear" w:color="auto" w:fill="auto"/>
            <w:vAlign w:val="bottom"/>
          </w:tcPr>
          <w:p w14:paraId="1B744BC7" w14:textId="430189BE" w:rsidR="00534160" w:rsidRPr="00B36586" w:rsidRDefault="00534160" w:rsidP="00223FA0">
            <w:pPr>
              <w:rPr>
                <w:color w:val="000000"/>
              </w:rPr>
            </w:pPr>
            <w:r w:rsidRPr="00B36586">
              <w:rPr>
                <w:color w:val="000000"/>
              </w:rPr>
              <w:t>1 of 15</w:t>
            </w:r>
          </w:p>
        </w:tc>
        <w:tc>
          <w:tcPr>
            <w:tcW w:w="1276" w:type="dxa"/>
            <w:tcBorders>
              <w:bottom w:val="double" w:sz="4" w:space="0" w:color="auto"/>
            </w:tcBorders>
            <w:shd w:val="clear" w:color="auto" w:fill="auto"/>
            <w:vAlign w:val="bottom"/>
          </w:tcPr>
          <w:p w14:paraId="578BC538" w14:textId="286CCAEA" w:rsidR="00534160" w:rsidRPr="00B36586" w:rsidRDefault="00534160" w:rsidP="00223FA0">
            <w:pPr>
              <w:rPr>
                <w:color w:val="000000"/>
              </w:rPr>
            </w:pPr>
            <w:r w:rsidRPr="00B36586">
              <w:rPr>
                <w:color w:val="000000"/>
              </w:rPr>
              <w:t>1 of 15</w:t>
            </w:r>
          </w:p>
        </w:tc>
        <w:tc>
          <w:tcPr>
            <w:tcW w:w="1559" w:type="dxa"/>
            <w:tcBorders>
              <w:bottom w:val="double" w:sz="4" w:space="0" w:color="auto"/>
              <w:right w:val="double" w:sz="4" w:space="0" w:color="1F3368" w:themeColor="accent1"/>
            </w:tcBorders>
            <w:shd w:val="clear" w:color="auto" w:fill="auto"/>
            <w:vAlign w:val="bottom"/>
          </w:tcPr>
          <w:p w14:paraId="2819CA77" w14:textId="34822CEE" w:rsidR="00534160" w:rsidRPr="00B36586" w:rsidRDefault="00534160" w:rsidP="00223FA0">
            <w:pPr>
              <w:rPr>
                <w:color w:val="000000"/>
              </w:rPr>
            </w:pPr>
            <w:r w:rsidRPr="00B36586">
              <w:rPr>
                <w:color w:val="000000"/>
              </w:rPr>
              <w:t>1 of 15</w:t>
            </w:r>
          </w:p>
        </w:tc>
        <w:tc>
          <w:tcPr>
            <w:tcW w:w="1531" w:type="dxa"/>
            <w:tcBorders>
              <w:left w:val="double" w:sz="4" w:space="0" w:color="1F3368" w:themeColor="accent1"/>
              <w:bottom w:val="double" w:sz="4" w:space="0" w:color="auto"/>
            </w:tcBorders>
            <w:shd w:val="clear" w:color="auto" w:fill="auto"/>
          </w:tcPr>
          <w:p w14:paraId="58A20560" w14:textId="49630768" w:rsidR="00534160" w:rsidRPr="00B36586" w:rsidRDefault="00534160" w:rsidP="00223FA0">
            <w:pPr>
              <w:rPr>
                <w:color w:val="000000"/>
              </w:rPr>
            </w:pPr>
            <w:r w:rsidRPr="00B36586">
              <w:rPr>
                <w:color w:val="000000"/>
              </w:rPr>
              <w:t>2</w:t>
            </w:r>
          </w:p>
        </w:tc>
      </w:tr>
      <w:tr w:rsidR="00FC3456" w:rsidRPr="00B36586" w14:paraId="0736F2B6" w14:textId="5B5D26AF" w:rsidTr="00FC3456">
        <w:tc>
          <w:tcPr>
            <w:tcW w:w="2547" w:type="dxa"/>
            <w:tcBorders>
              <w:top w:val="double" w:sz="4" w:space="0" w:color="auto"/>
            </w:tcBorders>
            <w:shd w:val="clear" w:color="auto" w:fill="auto"/>
            <w:vAlign w:val="bottom"/>
          </w:tcPr>
          <w:p w14:paraId="523EC2FD" w14:textId="2A2E7BD6" w:rsidR="00FC3456" w:rsidRPr="00B36586" w:rsidRDefault="00FC3456" w:rsidP="00223FA0">
            <w:pPr>
              <w:rPr>
                <w:color w:val="000000"/>
              </w:rPr>
            </w:pPr>
            <w:r w:rsidRPr="00B36586">
              <w:rPr>
                <w:color w:val="000000"/>
              </w:rPr>
              <w:t>Total contigs</w:t>
            </w:r>
          </w:p>
        </w:tc>
        <w:tc>
          <w:tcPr>
            <w:tcW w:w="992" w:type="dxa"/>
            <w:tcBorders>
              <w:top w:val="double" w:sz="4" w:space="0" w:color="auto"/>
            </w:tcBorders>
            <w:shd w:val="clear" w:color="auto" w:fill="auto"/>
            <w:vAlign w:val="bottom"/>
          </w:tcPr>
          <w:p w14:paraId="4CCB391A" w14:textId="5FFD70F8" w:rsidR="00FC3456" w:rsidRPr="00B36586" w:rsidRDefault="00FC3456" w:rsidP="00223FA0">
            <w:pPr>
              <w:rPr>
                <w:color w:val="000000"/>
              </w:rPr>
            </w:pPr>
            <w:r w:rsidRPr="00B36586">
              <w:rPr>
                <w:color w:val="000000"/>
              </w:rPr>
              <w:t>109</w:t>
            </w:r>
          </w:p>
        </w:tc>
        <w:tc>
          <w:tcPr>
            <w:tcW w:w="1276" w:type="dxa"/>
            <w:tcBorders>
              <w:top w:val="double" w:sz="4" w:space="0" w:color="auto"/>
            </w:tcBorders>
            <w:shd w:val="clear" w:color="auto" w:fill="auto"/>
            <w:vAlign w:val="bottom"/>
          </w:tcPr>
          <w:p w14:paraId="2B5A8871" w14:textId="66512DA4" w:rsidR="00FC3456" w:rsidRPr="00B36586" w:rsidRDefault="00FC3456" w:rsidP="00223FA0">
            <w:pPr>
              <w:rPr>
                <w:color w:val="000000"/>
              </w:rPr>
            </w:pPr>
            <w:r w:rsidRPr="00B36586">
              <w:rPr>
                <w:color w:val="000000"/>
              </w:rPr>
              <w:t>130</w:t>
            </w:r>
          </w:p>
        </w:tc>
        <w:tc>
          <w:tcPr>
            <w:tcW w:w="1134" w:type="dxa"/>
            <w:tcBorders>
              <w:top w:val="double" w:sz="4" w:space="0" w:color="auto"/>
            </w:tcBorders>
            <w:shd w:val="clear" w:color="auto" w:fill="auto"/>
            <w:vAlign w:val="bottom"/>
          </w:tcPr>
          <w:p w14:paraId="4B312367" w14:textId="3613D3EF" w:rsidR="00FC3456" w:rsidRPr="00B36586" w:rsidRDefault="00FC3456" w:rsidP="00223FA0">
            <w:pPr>
              <w:rPr>
                <w:color w:val="000000"/>
              </w:rPr>
            </w:pPr>
            <w:r w:rsidRPr="00B36586">
              <w:rPr>
                <w:color w:val="000000"/>
              </w:rPr>
              <w:t>115</w:t>
            </w:r>
          </w:p>
        </w:tc>
        <w:tc>
          <w:tcPr>
            <w:tcW w:w="1417" w:type="dxa"/>
            <w:tcBorders>
              <w:top w:val="double" w:sz="4" w:space="0" w:color="auto"/>
            </w:tcBorders>
            <w:shd w:val="clear" w:color="auto" w:fill="auto"/>
            <w:vAlign w:val="bottom"/>
          </w:tcPr>
          <w:p w14:paraId="372803C8" w14:textId="4D2EC568" w:rsidR="00FC3456" w:rsidRPr="00B36586" w:rsidRDefault="00FC3456" w:rsidP="00223FA0">
            <w:pPr>
              <w:rPr>
                <w:color w:val="000000"/>
              </w:rPr>
            </w:pPr>
            <w:r w:rsidRPr="00B36586">
              <w:rPr>
                <w:color w:val="000000"/>
              </w:rPr>
              <w:t>102</w:t>
            </w:r>
          </w:p>
        </w:tc>
        <w:tc>
          <w:tcPr>
            <w:tcW w:w="1134" w:type="dxa"/>
            <w:tcBorders>
              <w:top w:val="double" w:sz="4" w:space="0" w:color="auto"/>
            </w:tcBorders>
            <w:shd w:val="clear" w:color="auto" w:fill="auto"/>
            <w:vAlign w:val="bottom"/>
          </w:tcPr>
          <w:p w14:paraId="1525CF93" w14:textId="26309FC0" w:rsidR="00FC3456" w:rsidRPr="00B36586" w:rsidRDefault="00FC3456" w:rsidP="00223FA0">
            <w:pPr>
              <w:rPr>
                <w:color w:val="000000"/>
              </w:rPr>
            </w:pPr>
            <w:r w:rsidRPr="00B36586">
              <w:rPr>
                <w:color w:val="000000"/>
              </w:rPr>
              <w:t>218</w:t>
            </w:r>
          </w:p>
        </w:tc>
        <w:tc>
          <w:tcPr>
            <w:tcW w:w="1276" w:type="dxa"/>
            <w:tcBorders>
              <w:top w:val="double" w:sz="4" w:space="0" w:color="auto"/>
            </w:tcBorders>
            <w:shd w:val="clear" w:color="auto" w:fill="auto"/>
            <w:vAlign w:val="bottom"/>
          </w:tcPr>
          <w:p w14:paraId="6698EB8E" w14:textId="47B46AF9" w:rsidR="00FC3456" w:rsidRPr="00B36586" w:rsidRDefault="00FC3456" w:rsidP="00223FA0">
            <w:pPr>
              <w:rPr>
                <w:color w:val="000000"/>
              </w:rPr>
            </w:pPr>
            <w:r w:rsidRPr="00B36586">
              <w:rPr>
                <w:color w:val="000000"/>
              </w:rPr>
              <w:t>294</w:t>
            </w:r>
          </w:p>
        </w:tc>
        <w:tc>
          <w:tcPr>
            <w:tcW w:w="1276" w:type="dxa"/>
            <w:tcBorders>
              <w:top w:val="double" w:sz="4" w:space="0" w:color="auto"/>
            </w:tcBorders>
            <w:shd w:val="clear" w:color="auto" w:fill="auto"/>
            <w:vAlign w:val="bottom"/>
          </w:tcPr>
          <w:p w14:paraId="1391866C" w14:textId="28D18D6F" w:rsidR="00FC3456" w:rsidRPr="00B36586" w:rsidRDefault="00FC3456" w:rsidP="00223FA0">
            <w:pPr>
              <w:rPr>
                <w:color w:val="000000"/>
              </w:rPr>
            </w:pPr>
            <w:r w:rsidRPr="00B36586">
              <w:rPr>
                <w:color w:val="000000"/>
              </w:rPr>
              <w:t>276</w:t>
            </w:r>
          </w:p>
        </w:tc>
        <w:tc>
          <w:tcPr>
            <w:tcW w:w="1559" w:type="dxa"/>
            <w:tcBorders>
              <w:top w:val="double" w:sz="4" w:space="0" w:color="auto"/>
            </w:tcBorders>
            <w:shd w:val="clear" w:color="auto" w:fill="auto"/>
            <w:vAlign w:val="bottom"/>
          </w:tcPr>
          <w:p w14:paraId="50DE9CEC" w14:textId="35CC6818" w:rsidR="00FC3456" w:rsidRPr="00B36586" w:rsidRDefault="00FC3456" w:rsidP="00223FA0">
            <w:pPr>
              <w:rPr>
                <w:color w:val="000000"/>
              </w:rPr>
            </w:pPr>
            <w:r w:rsidRPr="00B36586">
              <w:rPr>
                <w:color w:val="000000"/>
              </w:rPr>
              <w:t>265</w:t>
            </w:r>
          </w:p>
        </w:tc>
        <w:tc>
          <w:tcPr>
            <w:tcW w:w="1559" w:type="dxa"/>
            <w:gridSpan w:val="2"/>
            <w:vAlign w:val="bottom"/>
          </w:tcPr>
          <w:p w14:paraId="1FA1E397" w14:textId="0E74888E" w:rsidR="00FC3456" w:rsidRPr="00B36586" w:rsidRDefault="00FC3456">
            <w:r>
              <w:rPr>
                <w:color w:val="000000"/>
              </w:rPr>
              <w:t>87</w:t>
            </w:r>
          </w:p>
        </w:tc>
      </w:tr>
      <w:tr w:rsidR="00FC3456" w:rsidRPr="00B36586" w14:paraId="2512A82A" w14:textId="0F21DFB6" w:rsidTr="00FC3456">
        <w:trPr>
          <w:gridAfter w:val="2"/>
          <w:wAfter w:w="1559" w:type="dxa"/>
        </w:trPr>
        <w:tc>
          <w:tcPr>
            <w:tcW w:w="2547" w:type="dxa"/>
            <w:shd w:val="clear" w:color="auto" w:fill="auto"/>
            <w:vAlign w:val="bottom"/>
          </w:tcPr>
          <w:p w14:paraId="19B6147A" w14:textId="05FA337C" w:rsidR="00FC3456" w:rsidRPr="00B36586" w:rsidRDefault="00FC3456" w:rsidP="00223FA0">
            <w:pPr>
              <w:rPr>
                <w:color w:val="000000"/>
              </w:rPr>
            </w:pPr>
            <w:r w:rsidRPr="00B36586">
              <w:rPr>
                <w:color w:val="000000"/>
              </w:rPr>
              <w:lastRenderedPageBreak/>
              <w:t>Total circularised contigs (% over total estimated circular structures from Bandage: n=87 for all isolates)</w:t>
            </w:r>
          </w:p>
        </w:tc>
        <w:tc>
          <w:tcPr>
            <w:tcW w:w="992" w:type="dxa"/>
            <w:shd w:val="clear" w:color="auto" w:fill="auto"/>
          </w:tcPr>
          <w:p w14:paraId="793C3B4C" w14:textId="750CEBE1" w:rsidR="00FC3456" w:rsidRPr="00B36586" w:rsidRDefault="00FC3456" w:rsidP="00223FA0">
            <w:pPr>
              <w:rPr>
                <w:color w:val="000000"/>
              </w:rPr>
            </w:pPr>
            <w:r w:rsidRPr="00B36586">
              <w:rPr>
                <w:color w:val="000000"/>
              </w:rPr>
              <w:t xml:space="preserve">83 (95%) </w:t>
            </w:r>
          </w:p>
        </w:tc>
        <w:tc>
          <w:tcPr>
            <w:tcW w:w="1276" w:type="dxa"/>
            <w:shd w:val="clear" w:color="auto" w:fill="auto"/>
          </w:tcPr>
          <w:p w14:paraId="16BBCE8B" w14:textId="3A8A0B5F" w:rsidR="00FC3456" w:rsidRPr="00B36586" w:rsidRDefault="00FC3456" w:rsidP="00223FA0">
            <w:pPr>
              <w:rPr>
                <w:color w:val="000000"/>
              </w:rPr>
            </w:pPr>
            <w:r w:rsidRPr="00B36586">
              <w:rPr>
                <w:color w:val="000000"/>
              </w:rPr>
              <w:t>67 (84%)</w:t>
            </w:r>
          </w:p>
        </w:tc>
        <w:tc>
          <w:tcPr>
            <w:tcW w:w="1134" w:type="dxa"/>
            <w:shd w:val="clear" w:color="auto" w:fill="auto"/>
          </w:tcPr>
          <w:p w14:paraId="3DEF6EC2" w14:textId="17DAD36B" w:rsidR="00FC3456" w:rsidRPr="00B36586" w:rsidRDefault="00FC3456" w:rsidP="00223FA0">
            <w:pPr>
              <w:rPr>
                <w:color w:val="000000"/>
              </w:rPr>
            </w:pPr>
            <w:r w:rsidRPr="00B36586">
              <w:rPr>
                <w:color w:val="000000"/>
              </w:rPr>
              <w:t>77 (95%)</w:t>
            </w:r>
          </w:p>
        </w:tc>
        <w:tc>
          <w:tcPr>
            <w:tcW w:w="1417" w:type="dxa"/>
            <w:shd w:val="clear" w:color="auto" w:fill="auto"/>
          </w:tcPr>
          <w:p w14:paraId="2578CE29" w14:textId="2E226FAD" w:rsidR="00FC3456" w:rsidRPr="00B36586" w:rsidRDefault="00FC3456" w:rsidP="00223FA0">
            <w:pPr>
              <w:rPr>
                <w:color w:val="000000"/>
              </w:rPr>
            </w:pPr>
            <w:r w:rsidRPr="00B36586">
              <w:rPr>
                <w:color w:val="000000"/>
              </w:rPr>
              <w:t>84 (97%)</w:t>
            </w:r>
          </w:p>
        </w:tc>
        <w:tc>
          <w:tcPr>
            <w:tcW w:w="1134" w:type="dxa"/>
            <w:shd w:val="clear" w:color="auto" w:fill="auto"/>
          </w:tcPr>
          <w:p w14:paraId="2689D1E3" w14:textId="0D9755D2" w:rsidR="00FC3456" w:rsidRPr="00B36586" w:rsidRDefault="00FC3456" w:rsidP="00223FA0">
            <w:pPr>
              <w:rPr>
                <w:color w:val="000000"/>
              </w:rPr>
            </w:pPr>
            <w:r w:rsidRPr="00B36586">
              <w:rPr>
                <w:color w:val="000000"/>
              </w:rPr>
              <w:t>67 (77%)</w:t>
            </w:r>
          </w:p>
        </w:tc>
        <w:tc>
          <w:tcPr>
            <w:tcW w:w="1276" w:type="dxa"/>
            <w:shd w:val="clear" w:color="auto" w:fill="auto"/>
          </w:tcPr>
          <w:p w14:paraId="1045C6E3" w14:textId="3358F0F5" w:rsidR="00FC3456" w:rsidRPr="00B36586" w:rsidRDefault="00FC3456" w:rsidP="00223FA0">
            <w:pPr>
              <w:rPr>
                <w:color w:val="000000"/>
              </w:rPr>
            </w:pPr>
            <w:r w:rsidRPr="00B36586">
              <w:rPr>
                <w:color w:val="000000"/>
              </w:rPr>
              <w:t>62 (71%)</w:t>
            </w:r>
          </w:p>
        </w:tc>
        <w:tc>
          <w:tcPr>
            <w:tcW w:w="1276" w:type="dxa"/>
            <w:shd w:val="clear" w:color="auto" w:fill="auto"/>
          </w:tcPr>
          <w:p w14:paraId="5FEBA8A3" w14:textId="691E6730" w:rsidR="00FC3456" w:rsidRPr="00B36586" w:rsidRDefault="00FC3456" w:rsidP="00223FA0">
            <w:pPr>
              <w:rPr>
                <w:color w:val="000000"/>
              </w:rPr>
            </w:pPr>
            <w:r w:rsidRPr="00B36586">
              <w:rPr>
                <w:color w:val="000000"/>
              </w:rPr>
              <w:t>62 (71%)</w:t>
            </w:r>
          </w:p>
        </w:tc>
        <w:tc>
          <w:tcPr>
            <w:tcW w:w="1559" w:type="dxa"/>
            <w:shd w:val="clear" w:color="auto" w:fill="auto"/>
          </w:tcPr>
          <w:p w14:paraId="6EB15B90" w14:textId="675AE3C8" w:rsidR="00FC3456" w:rsidRPr="00B36586" w:rsidRDefault="00FC3456" w:rsidP="00223FA0">
            <w:pPr>
              <w:rPr>
                <w:color w:val="000000"/>
              </w:rPr>
            </w:pPr>
            <w:r w:rsidRPr="00B36586">
              <w:rPr>
                <w:color w:val="000000"/>
              </w:rPr>
              <w:t>61 (70%)</w:t>
            </w:r>
          </w:p>
        </w:tc>
      </w:tr>
      <w:tr w:rsidR="00FC3456" w:rsidRPr="00B36586" w14:paraId="7D0E5DCA" w14:textId="2A5EB5F7" w:rsidTr="00FC3456">
        <w:trPr>
          <w:gridAfter w:val="2"/>
          <w:wAfter w:w="1559" w:type="dxa"/>
        </w:trPr>
        <w:tc>
          <w:tcPr>
            <w:tcW w:w="2547" w:type="dxa"/>
            <w:shd w:val="clear" w:color="auto" w:fill="auto"/>
            <w:vAlign w:val="bottom"/>
          </w:tcPr>
          <w:p w14:paraId="5D4EE4DE" w14:textId="34316BB4" w:rsidR="00FC3456" w:rsidRPr="00B36586" w:rsidRDefault="00FC3456" w:rsidP="00223FA0">
            <w:pPr>
              <w:rPr>
                <w:color w:val="000000"/>
              </w:rPr>
            </w:pPr>
            <w:r w:rsidRPr="00B36586">
              <w:rPr>
                <w:color w:val="000000"/>
              </w:rPr>
              <w:t>Total circularised contigs for reference strains (i.e. structures known, total n=1 [</w:t>
            </w:r>
            <w:r w:rsidRPr="00B36586">
              <w:rPr>
                <w:i/>
                <w:color w:val="000000"/>
              </w:rPr>
              <w:t>E. coli</w:t>
            </w:r>
            <w:r w:rsidRPr="00B36586">
              <w:rPr>
                <w:color w:val="000000"/>
              </w:rPr>
              <w:t>] + 6 [</w:t>
            </w:r>
            <w:r w:rsidRPr="00B36586">
              <w:rPr>
                <w:i/>
                <w:color w:val="000000"/>
              </w:rPr>
              <w:t>K. pneumoniae</w:t>
            </w:r>
            <w:r w:rsidRPr="00B36586">
              <w:rPr>
                <w:color w:val="000000"/>
              </w:rPr>
              <w:t>])</w:t>
            </w:r>
          </w:p>
        </w:tc>
        <w:tc>
          <w:tcPr>
            <w:tcW w:w="992" w:type="dxa"/>
            <w:shd w:val="clear" w:color="auto" w:fill="auto"/>
          </w:tcPr>
          <w:p w14:paraId="36AEF3FD" w14:textId="2C7335DA" w:rsidR="00FC3456" w:rsidRPr="00B36586" w:rsidRDefault="00FC3456" w:rsidP="00223FA0">
            <w:pPr>
              <w:rPr>
                <w:color w:val="000000"/>
              </w:rPr>
            </w:pPr>
            <w:r w:rsidRPr="00B36586">
              <w:rPr>
                <w:color w:val="000000"/>
              </w:rPr>
              <w:t>7 (100%)</w:t>
            </w:r>
          </w:p>
        </w:tc>
        <w:tc>
          <w:tcPr>
            <w:tcW w:w="1276" w:type="dxa"/>
            <w:shd w:val="clear" w:color="auto" w:fill="auto"/>
          </w:tcPr>
          <w:p w14:paraId="70D2F47E" w14:textId="0A45337B" w:rsidR="00FC3456" w:rsidRPr="00B36586" w:rsidRDefault="00FC3456" w:rsidP="00223FA0">
            <w:pPr>
              <w:rPr>
                <w:color w:val="000000"/>
              </w:rPr>
            </w:pPr>
            <w:r w:rsidRPr="00B36586">
              <w:rPr>
                <w:color w:val="000000"/>
              </w:rPr>
              <w:t>5 (71%)</w:t>
            </w:r>
          </w:p>
        </w:tc>
        <w:tc>
          <w:tcPr>
            <w:tcW w:w="1134" w:type="dxa"/>
            <w:shd w:val="clear" w:color="auto" w:fill="auto"/>
          </w:tcPr>
          <w:p w14:paraId="67FA7FD4" w14:textId="1BD4A08C" w:rsidR="00FC3456" w:rsidRPr="00B36586" w:rsidRDefault="00FC3456" w:rsidP="00223FA0">
            <w:pPr>
              <w:rPr>
                <w:color w:val="000000"/>
              </w:rPr>
            </w:pPr>
            <w:r w:rsidRPr="00B36586">
              <w:rPr>
                <w:color w:val="000000"/>
              </w:rPr>
              <w:t>0 (0%)</w:t>
            </w:r>
          </w:p>
        </w:tc>
        <w:tc>
          <w:tcPr>
            <w:tcW w:w="1417" w:type="dxa"/>
            <w:shd w:val="clear" w:color="auto" w:fill="auto"/>
          </w:tcPr>
          <w:p w14:paraId="1006E42D" w14:textId="471FCA70" w:rsidR="00FC3456" w:rsidRPr="00B36586" w:rsidRDefault="00FC3456" w:rsidP="00223FA0">
            <w:pPr>
              <w:rPr>
                <w:color w:val="000000"/>
              </w:rPr>
            </w:pPr>
            <w:r w:rsidRPr="00B36586">
              <w:rPr>
                <w:color w:val="000000"/>
              </w:rPr>
              <w:t>7 (100%)</w:t>
            </w:r>
          </w:p>
        </w:tc>
        <w:tc>
          <w:tcPr>
            <w:tcW w:w="1134" w:type="dxa"/>
            <w:shd w:val="clear" w:color="auto" w:fill="auto"/>
          </w:tcPr>
          <w:p w14:paraId="736C44FF" w14:textId="29A611A4" w:rsidR="00FC3456" w:rsidRPr="00B36586" w:rsidRDefault="00FC3456" w:rsidP="00223FA0">
            <w:pPr>
              <w:rPr>
                <w:color w:val="000000"/>
              </w:rPr>
            </w:pPr>
            <w:r w:rsidRPr="00B36586">
              <w:rPr>
                <w:color w:val="000000"/>
              </w:rPr>
              <w:t>5 (71%)</w:t>
            </w:r>
          </w:p>
        </w:tc>
        <w:tc>
          <w:tcPr>
            <w:tcW w:w="1276" w:type="dxa"/>
            <w:shd w:val="clear" w:color="auto" w:fill="auto"/>
          </w:tcPr>
          <w:p w14:paraId="1B9FE2C0" w14:textId="006128BD" w:rsidR="00FC3456" w:rsidRPr="00B36586" w:rsidRDefault="00FC3456" w:rsidP="00223FA0">
            <w:pPr>
              <w:rPr>
                <w:color w:val="000000"/>
              </w:rPr>
            </w:pPr>
            <w:r w:rsidRPr="00B36586">
              <w:rPr>
                <w:color w:val="000000"/>
              </w:rPr>
              <w:t>2 (29%)</w:t>
            </w:r>
          </w:p>
        </w:tc>
        <w:tc>
          <w:tcPr>
            <w:tcW w:w="1276" w:type="dxa"/>
            <w:shd w:val="clear" w:color="auto" w:fill="auto"/>
          </w:tcPr>
          <w:p w14:paraId="5FCA99D1" w14:textId="2A649DB9" w:rsidR="00FC3456" w:rsidRPr="00B36586" w:rsidRDefault="00FC3456" w:rsidP="00223FA0">
            <w:pPr>
              <w:rPr>
                <w:color w:val="000000"/>
              </w:rPr>
            </w:pPr>
            <w:r w:rsidRPr="00B36586">
              <w:rPr>
                <w:color w:val="000000"/>
              </w:rPr>
              <w:t>2 (29%)</w:t>
            </w:r>
          </w:p>
        </w:tc>
        <w:tc>
          <w:tcPr>
            <w:tcW w:w="1559" w:type="dxa"/>
            <w:shd w:val="clear" w:color="auto" w:fill="auto"/>
          </w:tcPr>
          <w:p w14:paraId="7A7BDE5C" w14:textId="71038B7C" w:rsidR="00FC3456" w:rsidRPr="00B36586" w:rsidRDefault="00FC3456" w:rsidP="00223FA0">
            <w:pPr>
              <w:rPr>
                <w:color w:val="000000"/>
              </w:rPr>
            </w:pPr>
            <w:r w:rsidRPr="00B36586">
              <w:rPr>
                <w:color w:val="000000"/>
              </w:rPr>
              <w:t>2 (29%)</w:t>
            </w:r>
          </w:p>
        </w:tc>
      </w:tr>
      <w:tr w:rsidR="00FC3456" w:rsidRPr="00B36586" w14:paraId="11DBC75C" w14:textId="19428FCE" w:rsidTr="00FC3456">
        <w:trPr>
          <w:gridAfter w:val="2"/>
          <w:wAfter w:w="1559" w:type="dxa"/>
        </w:trPr>
        <w:tc>
          <w:tcPr>
            <w:tcW w:w="2547" w:type="dxa"/>
            <w:shd w:val="clear" w:color="auto" w:fill="auto"/>
            <w:vAlign w:val="bottom"/>
          </w:tcPr>
          <w:p w14:paraId="613C1D89" w14:textId="22D8534A" w:rsidR="00FC3456" w:rsidRPr="00B36586" w:rsidRDefault="00FC3456" w:rsidP="00223FA0">
            <w:pPr>
              <w:rPr>
                <w:color w:val="000000"/>
              </w:rPr>
            </w:pPr>
            <w:r w:rsidRPr="00B36586">
              <w:rPr>
                <w:color w:val="000000"/>
              </w:rPr>
              <w:t>Total isolates with all contigs circularised (% isolates)</w:t>
            </w:r>
          </w:p>
        </w:tc>
        <w:tc>
          <w:tcPr>
            <w:tcW w:w="992" w:type="dxa"/>
            <w:shd w:val="clear" w:color="auto" w:fill="auto"/>
          </w:tcPr>
          <w:p w14:paraId="5A460C66" w14:textId="3BC5BAA0" w:rsidR="00FC3456" w:rsidRPr="00B36586" w:rsidRDefault="00FC3456" w:rsidP="00223FA0">
            <w:pPr>
              <w:rPr>
                <w:color w:val="000000"/>
              </w:rPr>
            </w:pPr>
            <w:r w:rsidRPr="00B36586">
              <w:rPr>
                <w:color w:val="000000"/>
              </w:rPr>
              <w:t>16 (80%)</w:t>
            </w:r>
          </w:p>
        </w:tc>
        <w:tc>
          <w:tcPr>
            <w:tcW w:w="1276" w:type="dxa"/>
            <w:shd w:val="clear" w:color="auto" w:fill="auto"/>
          </w:tcPr>
          <w:p w14:paraId="4C569A04" w14:textId="4CFA6DA1" w:rsidR="00FC3456" w:rsidRPr="00B36586" w:rsidRDefault="00FC3456" w:rsidP="00223FA0">
            <w:pPr>
              <w:rPr>
                <w:color w:val="000000"/>
              </w:rPr>
            </w:pPr>
            <w:r w:rsidRPr="00B36586">
              <w:rPr>
                <w:color w:val="000000"/>
              </w:rPr>
              <w:t>12 (60%)</w:t>
            </w:r>
          </w:p>
        </w:tc>
        <w:tc>
          <w:tcPr>
            <w:tcW w:w="1134" w:type="dxa"/>
            <w:shd w:val="clear" w:color="auto" w:fill="auto"/>
          </w:tcPr>
          <w:p w14:paraId="315F7A0C" w14:textId="4E9E51E8" w:rsidR="00FC3456" w:rsidRPr="00B36586" w:rsidRDefault="00FC3456" w:rsidP="00223FA0">
            <w:pPr>
              <w:rPr>
                <w:color w:val="000000"/>
              </w:rPr>
            </w:pPr>
            <w:r w:rsidRPr="00B36586">
              <w:rPr>
                <w:color w:val="000000"/>
              </w:rPr>
              <w:t>13 (65%)</w:t>
            </w:r>
          </w:p>
        </w:tc>
        <w:tc>
          <w:tcPr>
            <w:tcW w:w="1417" w:type="dxa"/>
            <w:shd w:val="clear" w:color="auto" w:fill="auto"/>
          </w:tcPr>
          <w:p w14:paraId="36D9FC18" w14:textId="3A8F6E54" w:rsidR="00FC3456" w:rsidRPr="00B36586" w:rsidRDefault="00FC3456" w:rsidP="00223FA0">
            <w:pPr>
              <w:rPr>
                <w:color w:val="000000"/>
              </w:rPr>
            </w:pPr>
            <w:r w:rsidRPr="00B36586">
              <w:rPr>
                <w:color w:val="000000"/>
              </w:rPr>
              <w:t>17 (85%)</w:t>
            </w:r>
          </w:p>
        </w:tc>
        <w:tc>
          <w:tcPr>
            <w:tcW w:w="1134" w:type="dxa"/>
            <w:shd w:val="clear" w:color="auto" w:fill="auto"/>
          </w:tcPr>
          <w:p w14:paraId="63A90779" w14:textId="292DE870" w:rsidR="00FC3456" w:rsidRPr="00B36586" w:rsidRDefault="00FC3456" w:rsidP="00223FA0">
            <w:pPr>
              <w:rPr>
                <w:color w:val="000000"/>
              </w:rPr>
            </w:pPr>
            <w:r w:rsidRPr="00B36586">
              <w:rPr>
                <w:color w:val="000000"/>
              </w:rPr>
              <w:t>9 (45%)</w:t>
            </w:r>
          </w:p>
        </w:tc>
        <w:tc>
          <w:tcPr>
            <w:tcW w:w="1276" w:type="dxa"/>
            <w:shd w:val="clear" w:color="auto" w:fill="auto"/>
          </w:tcPr>
          <w:p w14:paraId="6690963B" w14:textId="2A401529" w:rsidR="00FC3456" w:rsidRPr="00B36586" w:rsidRDefault="00FC3456" w:rsidP="00223FA0">
            <w:pPr>
              <w:rPr>
                <w:color w:val="000000"/>
              </w:rPr>
            </w:pPr>
            <w:r w:rsidRPr="00B36586">
              <w:rPr>
                <w:color w:val="000000"/>
              </w:rPr>
              <w:t>7 (35%)</w:t>
            </w:r>
          </w:p>
        </w:tc>
        <w:tc>
          <w:tcPr>
            <w:tcW w:w="1276" w:type="dxa"/>
            <w:shd w:val="clear" w:color="auto" w:fill="auto"/>
          </w:tcPr>
          <w:p w14:paraId="53E03724" w14:textId="2B1017A8" w:rsidR="00FC3456" w:rsidRPr="00B36586" w:rsidRDefault="00FC3456" w:rsidP="00223FA0">
            <w:pPr>
              <w:rPr>
                <w:color w:val="000000"/>
              </w:rPr>
            </w:pPr>
            <w:r w:rsidRPr="00B36586">
              <w:rPr>
                <w:color w:val="000000"/>
              </w:rPr>
              <w:t>7 (35%)</w:t>
            </w:r>
          </w:p>
        </w:tc>
        <w:tc>
          <w:tcPr>
            <w:tcW w:w="1559" w:type="dxa"/>
            <w:shd w:val="clear" w:color="auto" w:fill="auto"/>
          </w:tcPr>
          <w:p w14:paraId="5BB03485" w14:textId="2F5974C8" w:rsidR="00FC3456" w:rsidRPr="00B36586" w:rsidRDefault="00FC3456" w:rsidP="00223FA0">
            <w:pPr>
              <w:rPr>
                <w:color w:val="000000"/>
              </w:rPr>
            </w:pPr>
            <w:r w:rsidRPr="00B36586">
              <w:rPr>
                <w:color w:val="000000"/>
              </w:rPr>
              <w:t>8 (40%)</w:t>
            </w:r>
          </w:p>
        </w:tc>
      </w:tr>
    </w:tbl>
    <w:p w14:paraId="2B61D3B2" w14:textId="77777777" w:rsidR="004C575E" w:rsidRPr="00B36586" w:rsidRDefault="004C575E" w:rsidP="00223FA0">
      <w:pPr>
        <w:rPr>
          <w:b/>
          <w:color w:val="008461" w:themeColor="accent3"/>
          <w:sz w:val="32"/>
          <w:szCs w:val="32"/>
        </w:rPr>
        <w:sectPr w:rsidR="004C575E" w:rsidRPr="00B36586" w:rsidSect="0087758D">
          <w:pgSz w:w="16838" w:h="11906" w:orient="landscape" w:code="9"/>
          <w:pgMar w:top="1440" w:right="1440" w:bottom="1440" w:left="1440" w:header="426" w:footer="454" w:gutter="0"/>
          <w:lnNumType w:countBy="1" w:restart="continuous"/>
          <w:cols w:space="708"/>
          <w:titlePg/>
          <w:docGrid w:linePitch="360"/>
        </w:sectPr>
      </w:pPr>
    </w:p>
    <w:p w14:paraId="07DF2E9D" w14:textId="770A5E74" w:rsidR="004C575E" w:rsidRPr="00A40F7A" w:rsidRDefault="004C575E" w:rsidP="00223FA0">
      <w:pPr>
        <w:jc w:val="both"/>
        <w:rPr>
          <w:color w:val="000000"/>
          <w:sz w:val="22"/>
          <w:szCs w:val="22"/>
          <w:lang w:eastAsia="en-GB"/>
        </w:rPr>
      </w:pPr>
      <w:r w:rsidRPr="00F30842">
        <w:rPr>
          <w:b/>
          <w:color w:val="000000"/>
          <w:sz w:val="22"/>
          <w:szCs w:val="22"/>
          <w:lang w:eastAsia="en-GB"/>
        </w:rPr>
        <w:lastRenderedPageBreak/>
        <w:t>Table 2</w:t>
      </w:r>
      <w:r w:rsidR="005F5F6F" w:rsidRPr="00F30842">
        <w:rPr>
          <w:b/>
          <w:color w:val="000000"/>
          <w:sz w:val="22"/>
          <w:szCs w:val="22"/>
          <w:lang w:eastAsia="en-GB"/>
        </w:rPr>
        <w:t>.</w:t>
      </w:r>
      <w:r w:rsidRPr="00F30842">
        <w:rPr>
          <w:b/>
          <w:color w:val="000000"/>
          <w:sz w:val="22"/>
          <w:szCs w:val="22"/>
          <w:lang w:eastAsia="en-GB"/>
        </w:rPr>
        <w:t xml:space="preserve"> Comparison between PacBio and ONT-based hybrid assemblies</w:t>
      </w:r>
      <w:r w:rsidR="005F5F6F" w:rsidRPr="00F30842">
        <w:rPr>
          <w:color w:val="000000"/>
          <w:sz w:val="22"/>
          <w:szCs w:val="22"/>
          <w:lang w:eastAsia="en-GB"/>
        </w:rPr>
        <w:t>. Comparisons</w:t>
      </w:r>
      <w:r w:rsidRPr="00F30842">
        <w:rPr>
          <w:color w:val="000000"/>
          <w:sz w:val="22"/>
          <w:szCs w:val="22"/>
          <w:lang w:eastAsia="en-GB"/>
        </w:rPr>
        <w:t xml:space="preserve"> </w:t>
      </w:r>
      <w:r w:rsidR="005F5F6F" w:rsidRPr="00F30842">
        <w:rPr>
          <w:color w:val="000000"/>
          <w:sz w:val="22"/>
          <w:szCs w:val="22"/>
          <w:lang w:eastAsia="en-GB"/>
        </w:rPr>
        <w:t xml:space="preserve">are shown using </w:t>
      </w:r>
      <w:r w:rsidRPr="00F30842">
        <w:rPr>
          <w:color w:val="000000"/>
          <w:sz w:val="22"/>
          <w:szCs w:val="22"/>
          <w:lang w:eastAsia="en-GB"/>
        </w:rPr>
        <w:t xml:space="preserve">ALE, DNAdiff and REAPR (see Methods). Different rows represent different isolates. All entries representing a better score for the PacBio assembly are shaded in red, those showing a better score for ONT are shaded in blue. "ALE score" is the assembly likelihood difference (calculated by ALE from the mapping of Illumina reads) between PacBio and ONT assemblies. "Unmapped reads" refers to the number of Illumina reads that ALE did not map to the corresponding assembly. "REAPR errors" refers to the assembly errors found by REAPR by mapping Illumina reads to the corresponding assembly. For each </w:t>
      </w:r>
      <w:r w:rsidR="002D23C4" w:rsidRPr="00F30842">
        <w:rPr>
          <w:color w:val="000000"/>
          <w:sz w:val="22"/>
          <w:szCs w:val="22"/>
          <w:lang w:eastAsia="en-GB"/>
        </w:rPr>
        <w:t>isolate</w:t>
      </w:r>
      <w:r w:rsidRPr="00F30842">
        <w:rPr>
          <w:color w:val="000000"/>
          <w:sz w:val="22"/>
          <w:szCs w:val="22"/>
          <w:lang w:eastAsia="en-GB"/>
        </w:rPr>
        <w:t xml:space="preserve">, one ONT and one PacBio-based assembly with the best completion </w:t>
      </w:r>
      <w:r w:rsidR="00346787" w:rsidRPr="00F30842">
        <w:rPr>
          <w:color w:val="000000"/>
          <w:sz w:val="22"/>
          <w:szCs w:val="22"/>
          <w:lang w:eastAsia="en-GB"/>
        </w:rPr>
        <w:t xml:space="preserve">(i.e. number of circularised contigs) </w:t>
      </w:r>
      <w:r w:rsidRPr="00F30842">
        <w:rPr>
          <w:color w:val="000000"/>
          <w:sz w:val="22"/>
          <w:szCs w:val="22"/>
          <w:lang w:eastAsia="en-GB"/>
        </w:rPr>
        <w:t>were chosen</w:t>
      </w:r>
      <w:r w:rsidR="00346787" w:rsidRPr="00F30842">
        <w:rPr>
          <w:color w:val="000000"/>
          <w:sz w:val="22"/>
          <w:szCs w:val="22"/>
          <w:lang w:eastAsia="en-GB"/>
        </w:rPr>
        <w:t xml:space="preserve"> for comparison</w:t>
      </w:r>
      <w:r w:rsidRPr="00F30842">
        <w:rPr>
          <w:color w:val="000000"/>
          <w:sz w:val="22"/>
          <w:szCs w:val="22"/>
          <w:lang w:eastAsia="en-GB"/>
        </w:rPr>
        <w:t>.</w:t>
      </w:r>
      <w:r w:rsidR="004C1FDC" w:rsidRPr="00F30842">
        <w:rPr>
          <w:color w:val="000000"/>
          <w:sz w:val="22"/>
          <w:szCs w:val="22"/>
          <w:lang w:eastAsia="en-GB"/>
        </w:rPr>
        <w:t xml:space="preserve"> DNAdiff results show the </w:t>
      </w:r>
      <w:r w:rsidR="002C12CC" w:rsidRPr="00F30842">
        <w:rPr>
          <w:color w:val="000000"/>
          <w:sz w:val="22"/>
          <w:szCs w:val="22"/>
          <w:lang w:eastAsia="en-GB"/>
        </w:rPr>
        <w:t>median</w:t>
      </w:r>
      <w:r w:rsidR="00C037D8" w:rsidRPr="00F30842">
        <w:rPr>
          <w:color w:val="000000"/>
          <w:sz w:val="22"/>
          <w:szCs w:val="22"/>
          <w:lang w:eastAsia="en-GB"/>
        </w:rPr>
        <w:t xml:space="preserve"> (range</w:t>
      </w:r>
      <w:r w:rsidR="00230ED3" w:rsidRPr="00F30842">
        <w:rPr>
          <w:color w:val="000000"/>
          <w:sz w:val="22"/>
          <w:szCs w:val="22"/>
          <w:lang w:eastAsia="en-GB"/>
        </w:rPr>
        <w:t>) results from comparing all assemblies for an isolate</w:t>
      </w:r>
      <w:r w:rsidR="0020137D" w:rsidRPr="00F30842">
        <w:rPr>
          <w:color w:val="000000"/>
          <w:sz w:val="22"/>
          <w:szCs w:val="22"/>
          <w:lang w:eastAsia="en-GB"/>
        </w:rPr>
        <w:t xml:space="preserve"> across </w:t>
      </w:r>
      <w:r w:rsidR="008E3563" w:rsidRPr="00F30842">
        <w:rPr>
          <w:color w:val="000000"/>
          <w:sz w:val="22"/>
          <w:szCs w:val="22"/>
          <w:lang w:eastAsia="en-GB"/>
        </w:rPr>
        <w:t>read preparation strategies</w:t>
      </w:r>
      <w:r w:rsidR="00996F37" w:rsidRPr="00F30842">
        <w:rPr>
          <w:color w:val="000000"/>
          <w:sz w:val="22"/>
          <w:szCs w:val="22"/>
          <w:lang w:eastAsia="en-GB"/>
        </w:rPr>
        <w:t xml:space="preserve"> i.e. </w:t>
      </w:r>
      <w:r w:rsidR="008D5C43" w:rsidRPr="00F30842">
        <w:rPr>
          <w:color w:val="000000"/>
          <w:sz w:val="22"/>
          <w:szCs w:val="22"/>
          <w:lang w:eastAsia="en-GB"/>
        </w:rPr>
        <w:t>4x4=</w:t>
      </w:r>
      <w:r w:rsidR="00344D80" w:rsidRPr="00F30842">
        <w:rPr>
          <w:color w:val="000000"/>
          <w:sz w:val="22"/>
          <w:szCs w:val="22"/>
          <w:lang w:eastAsia="en-GB"/>
        </w:rPr>
        <w:t xml:space="preserve">16 comparisons </w:t>
      </w:r>
      <w:r w:rsidR="008D5C43" w:rsidRPr="00F30842">
        <w:rPr>
          <w:color w:val="000000"/>
          <w:sz w:val="22"/>
          <w:szCs w:val="22"/>
          <w:lang w:eastAsia="en-GB"/>
        </w:rPr>
        <w:t>for each isolate</w:t>
      </w:r>
      <w:r w:rsidR="003E780F" w:rsidRPr="00F30842">
        <w:rPr>
          <w:color w:val="000000"/>
          <w:sz w:val="22"/>
          <w:szCs w:val="22"/>
          <w:lang w:eastAsia="en-GB"/>
        </w:rPr>
        <w:t xml:space="preserve">. </w:t>
      </w:r>
      <w:r w:rsidR="00AC3D7C" w:rsidRPr="00F30842">
        <w:rPr>
          <w:color w:val="000000"/>
          <w:sz w:val="22"/>
          <w:szCs w:val="22"/>
          <w:lang w:eastAsia="en-GB"/>
        </w:rPr>
        <w:t xml:space="preserve">"GSNPs" </w:t>
      </w:r>
      <w:r w:rsidR="00155170" w:rsidRPr="00F30842">
        <w:rPr>
          <w:color w:val="000000"/>
          <w:sz w:val="22"/>
          <w:szCs w:val="22"/>
          <w:lang w:eastAsia="en-GB"/>
        </w:rPr>
        <w:t xml:space="preserve">/ </w:t>
      </w:r>
      <w:r w:rsidR="00AC3D7C" w:rsidRPr="00F30842">
        <w:rPr>
          <w:color w:val="000000"/>
          <w:sz w:val="22"/>
          <w:szCs w:val="22"/>
          <w:lang w:eastAsia="en-GB"/>
        </w:rPr>
        <w:t xml:space="preserve">"GIndels" refer to high-confidence SNPs </w:t>
      </w:r>
      <w:r w:rsidR="00155170" w:rsidRPr="00F30842">
        <w:rPr>
          <w:color w:val="000000"/>
          <w:sz w:val="22"/>
          <w:szCs w:val="22"/>
          <w:lang w:eastAsia="en-GB"/>
        </w:rPr>
        <w:t xml:space="preserve">/ </w:t>
      </w:r>
      <w:r w:rsidR="00AC3D7C" w:rsidRPr="00F30842">
        <w:rPr>
          <w:color w:val="000000"/>
          <w:sz w:val="22"/>
          <w:szCs w:val="22"/>
          <w:lang w:eastAsia="en-GB"/>
        </w:rPr>
        <w:t>indels between ONT and PacBio assemblies</w:t>
      </w:r>
      <w:r w:rsidR="00C166FD" w:rsidRPr="00F30842">
        <w:rPr>
          <w:color w:val="000000"/>
          <w:sz w:val="22"/>
          <w:szCs w:val="22"/>
          <w:lang w:eastAsia="en-GB"/>
        </w:rPr>
        <w:t>.</w:t>
      </w:r>
    </w:p>
    <w:tbl>
      <w:tblPr>
        <w:tblStyle w:val="TableGrid"/>
        <w:tblW w:w="14453" w:type="dxa"/>
        <w:tblLayout w:type="fixed"/>
        <w:tblLook w:val="04A0" w:firstRow="1" w:lastRow="0" w:firstColumn="1" w:lastColumn="0" w:noHBand="0" w:noVBand="1"/>
      </w:tblPr>
      <w:tblGrid>
        <w:gridCol w:w="2830"/>
        <w:gridCol w:w="1276"/>
        <w:gridCol w:w="1985"/>
        <w:gridCol w:w="1842"/>
        <w:gridCol w:w="1843"/>
        <w:gridCol w:w="1559"/>
        <w:gridCol w:w="1559"/>
        <w:gridCol w:w="1559"/>
      </w:tblGrid>
      <w:tr w:rsidR="001B5638" w:rsidRPr="00B36586" w14:paraId="7BB7D982" w14:textId="3C4BC246" w:rsidTr="00FD5974">
        <w:trPr>
          <w:tblHeader/>
        </w:trPr>
        <w:tc>
          <w:tcPr>
            <w:tcW w:w="2830" w:type="dxa"/>
            <w:tcBorders>
              <w:right w:val="double" w:sz="4" w:space="0" w:color="auto"/>
            </w:tcBorders>
            <w:vAlign w:val="bottom"/>
          </w:tcPr>
          <w:p w14:paraId="180BF3F6" w14:textId="340BDF13" w:rsidR="001B5638" w:rsidRPr="00B36586" w:rsidRDefault="001B5638" w:rsidP="00223FA0">
            <w:pPr>
              <w:rPr>
                <w:color w:val="000000"/>
                <w:sz w:val="28"/>
                <w:szCs w:val="28"/>
                <w:lang w:eastAsia="en-GB"/>
              </w:rPr>
            </w:pPr>
            <w:r w:rsidRPr="00B36586">
              <w:rPr>
                <w:color w:val="000000"/>
              </w:rPr>
              <w:t>Isolate</w:t>
            </w:r>
          </w:p>
        </w:tc>
        <w:tc>
          <w:tcPr>
            <w:tcW w:w="1276" w:type="dxa"/>
            <w:tcBorders>
              <w:left w:val="double" w:sz="4" w:space="0" w:color="auto"/>
              <w:right w:val="double" w:sz="4" w:space="0" w:color="auto"/>
            </w:tcBorders>
            <w:vAlign w:val="bottom"/>
          </w:tcPr>
          <w:p w14:paraId="1D9ADD51" w14:textId="77777777" w:rsidR="001B5638" w:rsidRPr="00B36586" w:rsidRDefault="001B5638" w:rsidP="00223FA0">
            <w:pPr>
              <w:rPr>
                <w:color w:val="000000"/>
                <w:sz w:val="28"/>
                <w:szCs w:val="28"/>
                <w:lang w:eastAsia="en-GB"/>
              </w:rPr>
            </w:pPr>
            <w:r w:rsidRPr="00B36586">
              <w:rPr>
                <w:color w:val="000000"/>
              </w:rPr>
              <w:t>ALE score</w:t>
            </w:r>
          </w:p>
        </w:tc>
        <w:tc>
          <w:tcPr>
            <w:tcW w:w="1985" w:type="dxa"/>
            <w:tcBorders>
              <w:left w:val="double" w:sz="4" w:space="0" w:color="auto"/>
            </w:tcBorders>
            <w:vAlign w:val="bottom"/>
          </w:tcPr>
          <w:p w14:paraId="592921B3" w14:textId="164619BE" w:rsidR="001B5638" w:rsidRPr="00B36586" w:rsidRDefault="001B5638" w:rsidP="00223FA0">
            <w:pPr>
              <w:rPr>
                <w:color w:val="000000"/>
                <w:sz w:val="28"/>
                <w:szCs w:val="28"/>
                <w:lang w:eastAsia="en-GB"/>
              </w:rPr>
            </w:pPr>
            <w:r w:rsidRPr="00B36586">
              <w:rPr>
                <w:color w:val="000000"/>
              </w:rPr>
              <w:t>PacBio unmapped reads</w:t>
            </w:r>
            <w:r w:rsidR="00AA1599" w:rsidRPr="00B36586">
              <w:rPr>
                <w:color w:val="000000"/>
              </w:rPr>
              <w:t xml:space="preserve"> (% total)</w:t>
            </w:r>
          </w:p>
        </w:tc>
        <w:tc>
          <w:tcPr>
            <w:tcW w:w="1842" w:type="dxa"/>
            <w:tcBorders>
              <w:bottom w:val="single" w:sz="4" w:space="0" w:color="auto"/>
              <w:right w:val="double" w:sz="4" w:space="0" w:color="auto"/>
            </w:tcBorders>
            <w:vAlign w:val="bottom"/>
          </w:tcPr>
          <w:p w14:paraId="19FEAF7D" w14:textId="1A564E2A" w:rsidR="001B5638" w:rsidRPr="00B36586" w:rsidRDefault="001B5638" w:rsidP="00223FA0">
            <w:pPr>
              <w:rPr>
                <w:color w:val="000000"/>
                <w:sz w:val="28"/>
                <w:szCs w:val="28"/>
                <w:lang w:eastAsia="en-GB"/>
              </w:rPr>
            </w:pPr>
            <w:r w:rsidRPr="00B36586">
              <w:rPr>
                <w:color w:val="000000"/>
              </w:rPr>
              <w:t>ONT unmapped reads</w:t>
            </w:r>
            <w:r w:rsidR="00AA1599" w:rsidRPr="00B36586">
              <w:rPr>
                <w:color w:val="000000"/>
              </w:rPr>
              <w:t xml:space="preserve"> (% total)</w:t>
            </w:r>
          </w:p>
        </w:tc>
        <w:tc>
          <w:tcPr>
            <w:tcW w:w="1843" w:type="dxa"/>
            <w:tcBorders>
              <w:left w:val="double" w:sz="4" w:space="0" w:color="auto"/>
            </w:tcBorders>
            <w:vAlign w:val="bottom"/>
          </w:tcPr>
          <w:p w14:paraId="2E317C25" w14:textId="77777777" w:rsidR="001B5638" w:rsidRPr="00B36586" w:rsidRDefault="001B5638" w:rsidP="00223FA0">
            <w:pPr>
              <w:rPr>
                <w:color w:val="000000"/>
                <w:sz w:val="28"/>
                <w:szCs w:val="28"/>
                <w:lang w:eastAsia="en-GB"/>
              </w:rPr>
            </w:pPr>
            <w:r w:rsidRPr="00B36586">
              <w:rPr>
                <w:color w:val="000000"/>
              </w:rPr>
              <w:t>PacBio REAPR errors</w:t>
            </w:r>
          </w:p>
        </w:tc>
        <w:tc>
          <w:tcPr>
            <w:tcW w:w="1559" w:type="dxa"/>
            <w:tcBorders>
              <w:right w:val="double" w:sz="4" w:space="0" w:color="auto"/>
            </w:tcBorders>
            <w:vAlign w:val="bottom"/>
          </w:tcPr>
          <w:p w14:paraId="3B74679E" w14:textId="77777777" w:rsidR="001B5638" w:rsidRPr="00B36586" w:rsidRDefault="001B5638" w:rsidP="00223FA0">
            <w:pPr>
              <w:rPr>
                <w:color w:val="000000"/>
                <w:sz w:val="28"/>
                <w:szCs w:val="28"/>
                <w:lang w:eastAsia="en-GB"/>
              </w:rPr>
            </w:pPr>
            <w:r w:rsidRPr="00B36586">
              <w:rPr>
                <w:color w:val="000000"/>
              </w:rPr>
              <w:t>ONT REAPR errors</w:t>
            </w:r>
          </w:p>
        </w:tc>
        <w:tc>
          <w:tcPr>
            <w:tcW w:w="1559" w:type="dxa"/>
            <w:tcBorders>
              <w:left w:val="double" w:sz="4" w:space="0" w:color="auto"/>
            </w:tcBorders>
            <w:vAlign w:val="bottom"/>
          </w:tcPr>
          <w:p w14:paraId="4168C2A8" w14:textId="6B309392" w:rsidR="001B5638" w:rsidRPr="00B36586" w:rsidRDefault="001B5638" w:rsidP="00223FA0">
            <w:pPr>
              <w:rPr>
                <w:color w:val="000000"/>
              </w:rPr>
            </w:pPr>
            <w:r w:rsidRPr="00B36586">
              <w:rPr>
                <w:color w:val="000000"/>
              </w:rPr>
              <w:t>DNAdiff GSNPs</w:t>
            </w:r>
          </w:p>
        </w:tc>
        <w:tc>
          <w:tcPr>
            <w:tcW w:w="1559" w:type="dxa"/>
          </w:tcPr>
          <w:p w14:paraId="4A30443A" w14:textId="2E228B4A" w:rsidR="001B5638" w:rsidRPr="00B36586" w:rsidRDefault="001B5638" w:rsidP="00223FA0">
            <w:pPr>
              <w:rPr>
                <w:color w:val="000000"/>
              </w:rPr>
            </w:pPr>
            <w:r w:rsidRPr="00B36586">
              <w:rPr>
                <w:color w:val="000000"/>
              </w:rPr>
              <w:t xml:space="preserve">DNAdiff  GIndels </w:t>
            </w:r>
          </w:p>
        </w:tc>
      </w:tr>
      <w:tr w:rsidR="001B5638" w:rsidRPr="00B36586" w14:paraId="2878D80F" w14:textId="0F792460" w:rsidTr="00FD5974">
        <w:tc>
          <w:tcPr>
            <w:tcW w:w="2830" w:type="dxa"/>
            <w:tcBorders>
              <w:right w:val="double" w:sz="4" w:space="0" w:color="auto"/>
            </w:tcBorders>
            <w:vAlign w:val="bottom"/>
          </w:tcPr>
          <w:p w14:paraId="63F515CF" w14:textId="24BB7CCC" w:rsidR="001B5638" w:rsidRPr="00B36586" w:rsidRDefault="001B5638" w:rsidP="00223FA0">
            <w:pPr>
              <w:rPr>
                <w:color w:val="000000"/>
              </w:rPr>
            </w:pPr>
            <w:r w:rsidRPr="00B36586">
              <w:rPr>
                <w:color w:val="000000"/>
              </w:rPr>
              <w:t xml:space="preserve">CFT073 </w:t>
            </w:r>
          </w:p>
          <w:p w14:paraId="2C4373CB" w14:textId="72017D27" w:rsidR="001B5638" w:rsidRPr="00B36586" w:rsidRDefault="001B5638" w:rsidP="00223FA0">
            <w:pPr>
              <w:rPr>
                <w:color w:val="000000"/>
              </w:rPr>
            </w:pPr>
            <w:r w:rsidRPr="00B36586">
              <w:rPr>
                <w:color w:val="000000"/>
              </w:rPr>
              <w:t xml:space="preserve">(reference </w:t>
            </w:r>
            <w:r w:rsidRPr="00B36586">
              <w:rPr>
                <w:i/>
                <w:color w:val="000000"/>
              </w:rPr>
              <w:t>E. coli</w:t>
            </w:r>
            <w:r w:rsidRPr="00B36586">
              <w:rPr>
                <w:color w:val="000000"/>
              </w:rPr>
              <w:t>)</w:t>
            </w:r>
          </w:p>
        </w:tc>
        <w:tc>
          <w:tcPr>
            <w:tcW w:w="1276" w:type="dxa"/>
            <w:tcBorders>
              <w:left w:val="double" w:sz="4" w:space="0" w:color="auto"/>
              <w:right w:val="double" w:sz="4" w:space="0" w:color="auto"/>
            </w:tcBorders>
            <w:shd w:val="clear" w:color="auto" w:fill="8BA1DC" w:themeFill="accent1" w:themeFillTint="66"/>
            <w:vAlign w:val="bottom"/>
          </w:tcPr>
          <w:p w14:paraId="32BDECD1" w14:textId="2A4AEAE1" w:rsidR="001B5638" w:rsidRPr="00B36586" w:rsidRDefault="001B5638" w:rsidP="00223FA0">
            <w:pPr>
              <w:rPr>
                <w:color w:val="000000"/>
              </w:rPr>
            </w:pPr>
            <w:r w:rsidRPr="00B36586">
              <w:rPr>
                <w:color w:val="000000"/>
              </w:rPr>
              <w:t>-17928</w:t>
            </w:r>
          </w:p>
        </w:tc>
        <w:tc>
          <w:tcPr>
            <w:tcW w:w="1985" w:type="dxa"/>
            <w:tcBorders>
              <w:left w:val="double" w:sz="4" w:space="0" w:color="auto"/>
            </w:tcBorders>
            <w:vAlign w:val="bottom"/>
          </w:tcPr>
          <w:p w14:paraId="3B32DF00" w14:textId="17218951" w:rsidR="001B5638" w:rsidRPr="00B36586" w:rsidRDefault="001B5638" w:rsidP="00223FA0">
            <w:pPr>
              <w:rPr>
                <w:color w:val="000000"/>
              </w:rPr>
            </w:pPr>
            <w:r w:rsidRPr="00B36586">
              <w:rPr>
                <w:color w:val="000000"/>
              </w:rPr>
              <w:t>29246 (0.89%)</w:t>
            </w:r>
          </w:p>
        </w:tc>
        <w:tc>
          <w:tcPr>
            <w:tcW w:w="1842" w:type="dxa"/>
            <w:tcBorders>
              <w:right w:val="double" w:sz="4" w:space="0" w:color="auto"/>
            </w:tcBorders>
            <w:shd w:val="clear" w:color="auto" w:fill="auto"/>
            <w:vAlign w:val="bottom"/>
          </w:tcPr>
          <w:p w14:paraId="29A1CB02" w14:textId="7C9D9827" w:rsidR="001B5638" w:rsidRPr="00B36586" w:rsidRDefault="001B5638" w:rsidP="00223FA0">
            <w:pPr>
              <w:rPr>
                <w:color w:val="000000"/>
              </w:rPr>
            </w:pPr>
            <w:r w:rsidRPr="00B36586">
              <w:rPr>
                <w:color w:val="000000"/>
              </w:rPr>
              <w:t>29240 (0.89%)</w:t>
            </w:r>
          </w:p>
        </w:tc>
        <w:tc>
          <w:tcPr>
            <w:tcW w:w="1843" w:type="dxa"/>
            <w:tcBorders>
              <w:left w:val="double" w:sz="4" w:space="0" w:color="auto"/>
            </w:tcBorders>
            <w:vAlign w:val="bottom"/>
          </w:tcPr>
          <w:p w14:paraId="2320F38B" w14:textId="158B14FA" w:rsidR="001B5638" w:rsidRPr="00B36586" w:rsidRDefault="001B5638" w:rsidP="00223FA0">
            <w:pPr>
              <w:rPr>
                <w:color w:val="000000"/>
              </w:rPr>
            </w:pPr>
            <w:r w:rsidRPr="00B36586">
              <w:rPr>
                <w:color w:val="000000"/>
              </w:rPr>
              <w:t>5</w:t>
            </w:r>
          </w:p>
        </w:tc>
        <w:tc>
          <w:tcPr>
            <w:tcW w:w="1559" w:type="dxa"/>
            <w:tcBorders>
              <w:bottom w:val="single" w:sz="4" w:space="0" w:color="auto"/>
              <w:right w:val="double" w:sz="4" w:space="0" w:color="auto"/>
            </w:tcBorders>
            <w:vAlign w:val="bottom"/>
          </w:tcPr>
          <w:p w14:paraId="422BE18E" w14:textId="13B076D7" w:rsidR="001B5638" w:rsidRPr="00B36586" w:rsidRDefault="001B5638" w:rsidP="00223FA0">
            <w:pPr>
              <w:rPr>
                <w:color w:val="000000"/>
              </w:rPr>
            </w:pPr>
            <w:r w:rsidRPr="00B36586">
              <w:rPr>
                <w:color w:val="000000"/>
              </w:rPr>
              <w:t>5</w:t>
            </w:r>
          </w:p>
        </w:tc>
        <w:tc>
          <w:tcPr>
            <w:tcW w:w="1559" w:type="dxa"/>
            <w:tcBorders>
              <w:left w:val="double" w:sz="4" w:space="0" w:color="auto"/>
            </w:tcBorders>
            <w:shd w:val="clear" w:color="auto" w:fill="auto"/>
            <w:vAlign w:val="bottom"/>
          </w:tcPr>
          <w:p w14:paraId="3575228F" w14:textId="7EFBF525" w:rsidR="001B5638" w:rsidRPr="00B36586" w:rsidRDefault="001B5638" w:rsidP="00223FA0">
            <w:pPr>
              <w:rPr>
                <w:color w:val="000000"/>
              </w:rPr>
            </w:pPr>
            <w:r w:rsidRPr="00B36586">
              <w:rPr>
                <w:color w:val="000000"/>
              </w:rPr>
              <w:t>1 (0-1)</w:t>
            </w:r>
          </w:p>
        </w:tc>
        <w:tc>
          <w:tcPr>
            <w:tcW w:w="1559" w:type="dxa"/>
            <w:vAlign w:val="bottom"/>
          </w:tcPr>
          <w:p w14:paraId="45DCBCAF" w14:textId="0FCF986B" w:rsidR="001B5638" w:rsidRPr="00B36586" w:rsidRDefault="001B5638" w:rsidP="00223FA0">
            <w:pPr>
              <w:rPr>
                <w:color w:val="000000"/>
              </w:rPr>
            </w:pPr>
            <w:r w:rsidRPr="00B36586">
              <w:rPr>
                <w:color w:val="000000"/>
              </w:rPr>
              <w:t>0 (0-0)</w:t>
            </w:r>
          </w:p>
        </w:tc>
      </w:tr>
      <w:tr w:rsidR="001B5638" w:rsidRPr="00B36586" w14:paraId="05383AEA" w14:textId="5DA23AE8" w:rsidTr="00FD5974">
        <w:tc>
          <w:tcPr>
            <w:tcW w:w="2830" w:type="dxa"/>
            <w:tcBorders>
              <w:right w:val="double" w:sz="4" w:space="0" w:color="auto"/>
            </w:tcBorders>
            <w:vAlign w:val="bottom"/>
          </w:tcPr>
          <w:p w14:paraId="56E97BE8" w14:textId="77777777" w:rsidR="001B5638" w:rsidRPr="00B36586" w:rsidRDefault="001B5638" w:rsidP="00223FA0">
            <w:pPr>
              <w:rPr>
                <w:color w:val="000000"/>
              </w:rPr>
            </w:pPr>
            <w:r w:rsidRPr="00B36586">
              <w:rPr>
                <w:color w:val="000000"/>
              </w:rPr>
              <w:t xml:space="preserve">MGH78578 </w:t>
            </w:r>
          </w:p>
          <w:p w14:paraId="12DBC67F" w14:textId="3BBA85F7" w:rsidR="001B5638" w:rsidRPr="00B36586" w:rsidRDefault="001B5638" w:rsidP="00223FA0">
            <w:pPr>
              <w:rPr>
                <w:color w:val="000000"/>
              </w:rPr>
            </w:pPr>
            <w:r w:rsidRPr="00B36586">
              <w:rPr>
                <w:color w:val="000000"/>
              </w:rPr>
              <w:t xml:space="preserve">(reference </w:t>
            </w:r>
            <w:r w:rsidRPr="00B36586">
              <w:rPr>
                <w:i/>
                <w:color w:val="000000"/>
              </w:rPr>
              <w:t>K. pneumoniae</w:t>
            </w:r>
            <w:r w:rsidRPr="00B36586">
              <w:rPr>
                <w:color w:val="000000"/>
              </w:rPr>
              <w:t>)</w:t>
            </w:r>
          </w:p>
        </w:tc>
        <w:tc>
          <w:tcPr>
            <w:tcW w:w="1276" w:type="dxa"/>
            <w:tcBorders>
              <w:left w:val="double" w:sz="4" w:space="0" w:color="auto"/>
              <w:right w:val="double" w:sz="4" w:space="0" w:color="auto"/>
            </w:tcBorders>
            <w:shd w:val="clear" w:color="auto" w:fill="8BA1DC" w:themeFill="accent1" w:themeFillTint="66"/>
            <w:vAlign w:val="bottom"/>
          </w:tcPr>
          <w:p w14:paraId="145AC351" w14:textId="6ED86A14" w:rsidR="001B5638" w:rsidRPr="00B36586" w:rsidRDefault="001B5638" w:rsidP="00223FA0">
            <w:pPr>
              <w:rPr>
                <w:color w:val="000000"/>
              </w:rPr>
            </w:pPr>
            <w:r w:rsidRPr="00B36586">
              <w:rPr>
                <w:color w:val="000000"/>
              </w:rPr>
              <w:t>-1532602</w:t>
            </w:r>
          </w:p>
        </w:tc>
        <w:tc>
          <w:tcPr>
            <w:tcW w:w="1985" w:type="dxa"/>
            <w:tcBorders>
              <w:left w:val="double" w:sz="4" w:space="0" w:color="auto"/>
            </w:tcBorders>
            <w:vAlign w:val="bottom"/>
          </w:tcPr>
          <w:p w14:paraId="7903B158" w14:textId="7F6A7A45" w:rsidR="001B5638" w:rsidRPr="00B36586" w:rsidRDefault="001B5638" w:rsidP="00223FA0">
            <w:pPr>
              <w:rPr>
                <w:color w:val="000000"/>
              </w:rPr>
            </w:pPr>
            <w:r w:rsidRPr="00B36586">
              <w:rPr>
                <w:color w:val="000000"/>
              </w:rPr>
              <w:t>41793 (1.31%)</w:t>
            </w:r>
          </w:p>
        </w:tc>
        <w:tc>
          <w:tcPr>
            <w:tcW w:w="1842" w:type="dxa"/>
            <w:tcBorders>
              <w:right w:val="double" w:sz="4" w:space="0" w:color="auto"/>
            </w:tcBorders>
            <w:shd w:val="clear" w:color="auto" w:fill="8BA1DC" w:themeFill="accent1" w:themeFillTint="66"/>
            <w:vAlign w:val="bottom"/>
          </w:tcPr>
          <w:p w14:paraId="1DB782A5" w14:textId="32E1B6C2" w:rsidR="001B5638" w:rsidRPr="00B36586" w:rsidRDefault="001B5638" w:rsidP="00223FA0">
            <w:pPr>
              <w:rPr>
                <w:color w:val="000000"/>
              </w:rPr>
            </w:pPr>
            <w:r w:rsidRPr="00B36586">
              <w:rPr>
                <w:color w:val="000000"/>
              </w:rPr>
              <w:t>38371 (1.21%)</w:t>
            </w:r>
          </w:p>
        </w:tc>
        <w:tc>
          <w:tcPr>
            <w:tcW w:w="1843" w:type="dxa"/>
            <w:tcBorders>
              <w:left w:val="double" w:sz="4" w:space="0" w:color="auto"/>
            </w:tcBorders>
            <w:vAlign w:val="bottom"/>
          </w:tcPr>
          <w:p w14:paraId="7093EC42" w14:textId="20A14057" w:rsidR="001B5638" w:rsidRPr="00B36586" w:rsidRDefault="001B5638" w:rsidP="00223FA0">
            <w:pPr>
              <w:rPr>
                <w:color w:val="000000"/>
              </w:rPr>
            </w:pPr>
            <w:r w:rsidRPr="00B36586">
              <w:rPr>
                <w:color w:val="000000"/>
              </w:rPr>
              <w:t>8</w:t>
            </w:r>
          </w:p>
        </w:tc>
        <w:tc>
          <w:tcPr>
            <w:tcW w:w="1559" w:type="dxa"/>
            <w:tcBorders>
              <w:right w:val="double" w:sz="4" w:space="0" w:color="auto"/>
            </w:tcBorders>
            <w:shd w:val="clear" w:color="auto" w:fill="8BA1DC" w:themeFill="accent1" w:themeFillTint="66"/>
            <w:vAlign w:val="bottom"/>
          </w:tcPr>
          <w:p w14:paraId="75DB9D8E" w14:textId="652E01A6" w:rsidR="001B5638" w:rsidRPr="00B36586" w:rsidRDefault="001B5638" w:rsidP="00223FA0">
            <w:pPr>
              <w:rPr>
                <w:color w:val="000000"/>
              </w:rPr>
            </w:pPr>
            <w:r w:rsidRPr="00B36586">
              <w:rPr>
                <w:color w:val="000000"/>
              </w:rPr>
              <w:t>7</w:t>
            </w:r>
          </w:p>
        </w:tc>
        <w:tc>
          <w:tcPr>
            <w:tcW w:w="1559" w:type="dxa"/>
            <w:tcBorders>
              <w:left w:val="double" w:sz="4" w:space="0" w:color="auto"/>
            </w:tcBorders>
            <w:shd w:val="clear" w:color="auto" w:fill="auto"/>
            <w:vAlign w:val="bottom"/>
          </w:tcPr>
          <w:p w14:paraId="33BACA45" w14:textId="5137DC17" w:rsidR="001B5638" w:rsidRPr="00B36586" w:rsidRDefault="001B5638" w:rsidP="00223FA0">
            <w:pPr>
              <w:rPr>
                <w:color w:val="000000"/>
              </w:rPr>
            </w:pPr>
            <w:r w:rsidRPr="00B36586">
              <w:rPr>
                <w:color w:val="000000"/>
              </w:rPr>
              <w:t>6 (1-7)</w:t>
            </w:r>
          </w:p>
        </w:tc>
        <w:tc>
          <w:tcPr>
            <w:tcW w:w="1559" w:type="dxa"/>
            <w:vAlign w:val="bottom"/>
          </w:tcPr>
          <w:p w14:paraId="58ACA928" w14:textId="5F11350F" w:rsidR="001B5638" w:rsidRPr="00B36586" w:rsidRDefault="001B5638" w:rsidP="00223FA0">
            <w:pPr>
              <w:rPr>
                <w:color w:val="000000"/>
              </w:rPr>
            </w:pPr>
            <w:r w:rsidRPr="00B36586">
              <w:rPr>
                <w:color w:val="000000"/>
              </w:rPr>
              <w:t>0 (0-1)</w:t>
            </w:r>
          </w:p>
        </w:tc>
      </w:tr>
      <w:tr w:rsidR="001B5638" w:rsidRPr="00B36586" w14:paraId="40CD5694" w14:textId="1F8F140F" w:rsidTr="00FD5974">
        <w:tc>
          <w:tcPr>
            <w:tcW w:w="2830" w:type="dxa"/>
            <w:tcBorders>
              <w:right w:val="double" w:sz="4" w:space="0" w:color="auto"/>
            </w:tcBorders>
            <w:vAlign w:val="bottom"/>
          </w:tcPr>
          <w:p w14:paraId="57204A82" w14:textId="552B43CC" w:rsidR="001B5638" w:rsidRPr="00B36586" w:rsidRDefault="001B5638" w:rsidP="00223FA0">
            <w:pPr>
              <w:rPr>
                <w:color w:val="000000"/>
                <w:sz w:val="28"/>
                <w:szCs w:val="28"/>
                <w:lang w:eastAsia="en-GB"/>
              </w:rPr>
            </w:pPr>
            <w:r w:rsidRPr="00B36586">
              <w:rPr>
                <w:color w:val="000000"/>
              </w:rPr>
              <w:t>RBHSTW-00029</w:t>
            </w:r>
          </w:p>
        </w:tc>
        <w:tc>
          <w:tcPr>
            <w:tcW w:w="1276" w:type="dxa"/>
            <w:tcBorders>
              <w:left w:val="double" w:sz="4" w:space="0" w:color="auto"/>
              <w:right w:val="double" w:sz="4" w:space="0" w:color="auto"/>
            </w:tcBorders>
            <w:shd w:val="clear" w:color="auto" w:fill="FF6666" w:themeFill="accent2" w:themeFillTint="99"/>
            <w:vAlign w:val="bottom"/>
          </w:tcPr>
          <w:p w14:paraId="0CD747DA" w14:textId="77777777" w:rsidR="001B5638" w:rsidRPr="00B36586" w:rsidRDefault="001B5638" w:rsidP="00223FA0">
            <w:pPr>
              <w:rPr>
                <w:color w:val="000000"/>
                <w:sz w:val="28"/>
                <w:szCs w:val="28"/>
                <w:lang w:eastAsia="en-GB"/>
              </w:rPr>
            </w:pPr>
            <w:r w:rsidRPr="00B36586">
              <w:rPr>
                <w:color w:val="000000"/>
              </w:rPr>
              <w:t>207465</w:t>
            </w:r>
          </w:p>
        </w:tc>
        <w:tc>
          <w:tcPr>
            <w:tcW w:w="1985" w:type="dxa"/>
            <w:tcBorders>
              <w:left w:val="double" w:sz="4" w:space="0" w:color="auto"/>
              <w:bottom w:val="single" w:sz="4" w:space="0" w:color="auto"/>
            </w:tcBorders>
            <w:vAlign w:val="bottom"/>
          </w:tcPr>
          <w:p w14:paraId="39EC3BE1" w14:textId="77777777" w:rsidR="001B5638" w:rsidRPr="00B36586" w:rsidRDefault="001B5638" w:rsidP="00223FA0">
            <w:pPr>
              <w:rPr>
                <w:color w:val="000000"/>
                <w:sz w:val="28"/>
                <w:szCs w:val="28"/>
                <w:lang w:eastAsia="en-GB"/>
              </w:rPr>
            </w:pPr>
            <w:r w:rsidRPr="00B36586">
              <w:rPr>
                <w:color w:val="000000"/>
              </w:rPr>
              <w:t>50056 (1.85%)</w:t>
            </w:r>
          </w:p>
        </w:tc>
        <w:tc>
          <w:tcPr>
            <w:tcW w:w="1842" w:type="dxa"/>
            <w:tcBorders>
              <w:right w:val="double" w:sz="4" w:space="0" w:color="auto"/>
            </w:tcBorders>
            <w:shd w:val="clear" w:color="auto" w:fill="8BA1DC" w:themeFill="accent1" w:themeFillTint="66"/>
            <w:vAlign w:val="bottom"/>
          </w:tcPr>
          <w:p w14:paraId="36C1FDBB" w14:textId="77777777" w:rsidR="001B5638" w:rsidRPr="00B36586" w:rsidRDefault="001B5638" w:rsidP="00223FA0">
            <w:pPr>
              <w:rPr>
                <w:color w:val="000000"/>
                <w:sz w:val="28"/>
                <w:szCs w:val="28"/>
                <w:lang w:eastAsia="en-GB"/>
              </w:rPr>
            </w:pPr>
            <w:r w:rsidRPr="00B36586">
              <w:rPr>
                <w:color w:val="000000"/>
              </w:rPr>
              <w:t>49876 (1.84%)</w:t>
            </w:r>
          </w:p>
        </w:tc>
        <w:tc>
          <w:tcPr>
            <w:tcW w:w="1843" w:type="dxa"/>
            <w:tcBorders>
              <w:left w:val="double" w:sz="4" w:space="0" w:color="auto"/>
            </w:tcBorders>
            <w:vAlign w:val="bottom"/>
          </w:tcPr>
          <w:p w14:paraId="6512F6C9" w14:textId="77777777" w:rsidR="001B5638" w:rsidRPr="00B36586" w:rsidRDefault="001B5638" w:rsidP="00223FA0">
            <w:pPr>
              <w:rPr>
                <w:color w:val="000000"/>
                <w:sz w:val="28"/>
                <w:szCs w:val="28"/>
                <w:lang w:eastAsia="en-GB"/>
              </w:rPr>
            </w:pPr>
            <w:r w:rsidRPr="00B36586">
              <w:rPr>
                <w:color w:val="000000"/>
              </w:rPr>
              <w:t>3</w:t>
            </w:r>
          </w:p>
        </w:tc>
        <w:tc>
          <w:tcPr>
            <w:tcW w:w="1559" w:type="dxa"/>
            <w:tcBorders>
              <w:right w:val="double" w:sz="4" w:space="0" w:color="auto"/>
            </w:tcBorders>
            <w:vAlign w:val="bottom"/>
          </w:tcPr>
          <w:p w14:paraId="23925B82" w14:textId="77777777" w:rsidR="001B5638" w:rsidRPr="00B36586" w:rsidRDefault="001B5638" w:rsidP="00223FA0">
            <w:pPr>
              <w:rPr>
                <w:color w:val="000000"/>
                <w:sz w:val="28"/>
                <w:szCs w:val="28"/>
                <w:lang w:eastAsia="en-GB"/>
              </w:rPr>
            </w:pPr>
            <w:r w:rsidRPr="00B36586">
              <w:rPr>
                <w:color w:val="000000"/>
              </w:rPr>
              <w:t>3</w:t>
            </w:r>
          </w:p>
        </w:tc>
        <w:tc>
          <w:tcPr>
            <w:tcW w:w="1559" w:type="dxa"/>
            <w:tcBorders>
              <w:left w:val="double" w:sz="4" w:space="0" w:color="auto"/>
            </w:tcBorders>
            <w:shd w:val="clear" w:color="auto" w:fill="auto"/>
            <w:vAlign w:val="bottom"/>
          </w:tcPr>
          <w:p w14:paraId="4F013AF8" w14:textId="0532FDF0" w:rsidR="001B5638" w:rsidRPr="00B36586" w:rsidRDefault="001B5638" w:rsidP="00223FA0">
            <w:pPr>
              <w:rPr>
                <w:color w:val="000000"/>
              </w:rPr>
            </w:pPr>
            <w:r w:rsidRPr="00B36586">
              <w:rPr>
                <w:color w:val="000000"/>
              </w:rPr>
              <w:t>0 (0-0)</w:t>
            </w:r>
          </w:p>
        </w:tc>
        <w:tc>
          <w:tcPr>
            <w:tcW w:w="1559" w:type="dxa"/>
            <w:vAlign w:val="bottom"/>
          </w:tcPr>
          <w:p w14:paraId="6BE35C7C" w14:textId="322D7976" w:rsidR="001B5638" w:rsidRPr="00B36586" w:rsidRDefault="001B5638" w:rsidP="00223FA0">
            <w:pPr>
              <w:rPr>
                <w:color w:val="000000"/>
              </w:rPr>
            </w:pPr>
            <w:r w:rsidRPr="00B36586">
              <w:rPr>
                <w:color w:val="000000"/>
              </w:rPr>
              <w:t>0 (0-0)</w:t>
            </w:r>
          </w:p>
        </w:tc>
      </w:tr>
      <w:tr w:rsidR="001B5638" w:rsidRPr="00B36586" w14:paraId="31C18367" w14:textId="2202FC0E" w:rsidTr="00FD5974">
        <w:tc>
          <w:tcPr>
            <w:tcW w:w="2830" w:type="dxa"/>
            <w:tcBorders>
              <w:right w:val="double" w:sz="4" w:space="0" w:color="auto"/>
            </w:tcBorders>
            <w:vAlign w:val="bottom"/>
          </w:tcPr>
          <w:p w14:paraId="207F4921" w14:textId="19C869FE" w:rsidR="001B5638" w:rsidRPr="00B36586" w:rsidRDefault="001B5638" w:rsidP="00223FA0">
            <w:pPr>
              <w:rPr>
                <w:color w:val="000000"/>
                <w:sz w:val="28"/>
                <w:szCs w:val="28"/>
                <w:lang w:eastAsia="en-GB"/>
              </w:rPr>
            </w:pPr>
            <w:r w:rsidRPr="00B36586">
              <w:rPr>
                <w:color w:val="000000"/>
              </w:rPr>
              <w:t>RBHSTW-00053</w:t>
            </w:r>
          </w:p>
        </w:tc>
        <w:tc>
          <w:tcPr>
            <w:tcW w:w="1276" w:type="dxa"/>
            <w:tcBorders>
              <w:left w:val="double" w:sz="4" w:space="0" w:color="auto"/>
              <w:right w:val="double" w:sz="4" w:space="0" w:color="auto"/>
            </w:tcBorders>
            <w:shd w:val="clear" w:color="auto" w:fill="FF6666" w:themeFill="accent2" w:themeFillTint="99"/>
            <w:vAlign w:val="bottom"/>
          </w:tcPr>
          <w:p w14:paraId="4E2536E7" w14:textId="77777777" w:rsidR="001B5638" w:rsidRPr="00B36586" w:rsidRDefault="001B5638" w:rsidP="00223FA0">
            <w:pPr>
              <w:rPr>
                <w:color w:val="000000"/>
                <w:sz w:val="28"/>
                <w:szCs w:val="28"/>
                <w:lang w:eastAsia="en-GB"/>
              </w:rPr>
            </w:pPr>
            <w:r w:rsidRPr="00B36586">
              <w:rPr>
                <w:color w:val="000000"/>
              </w:rPr>
              <w:t>4727</w:t>
            </w:r>
          </w:p>
        </w:tc>
        <w:tc>
          <w:tcPr>
            <w:tcW w:w="1985" w:type="dxa"/>
            <w:tcBorders>
              <w:left w:val="double" w:sz="4" w:space="0" w:color="auto"/>
            </w:tcBorders>
            <w:shd w:val="clear" w:color="auto" w:fill="auto"/>
            <w:vAlign w:val="bottom"/>
          </w:tcPr>
          <w:p w14:paraId="04B81370" w14:textId="77777777" w:rsidR="001B5638" w:rsidRPr="00B36586" w:rsidRDefault="001B5638" w:rsidP="00223FA0">
            <w:pPr>
              <w:rPr>
                <w:color w:val="000000"/>
                <w:sz w:val="28"/>
                <w:szCs w:val="28"/>
                <w:lang w:eastAsia="en-GB"/>
              </w:rPr>
            </w:pPr>
            <w:r w:rsidRPr="00B36586">
              <w:rPr>
                <w:color w:val="000000"/>
              </w:rPr>
              <w:t>50860 (1.62%)</w:t>
            </w:r>
          </w:p>
        </w:tc>
        <w:tc>
          <w:tcPr>
            <w:tcW w:w="1842" w:type="dxa"/>
            <w:tcBorders>
              <w:right w:val="double" w:sz="4" w:space="0" w:color="auto"/>
            </w:tcBorders>
            <w:vAlign w:val="bottom"/>
          </w:tcPr>
          <w:p w14:paraId="24CE6929" w14:textId="77777777" w:rsidR="001B5638" w:rsidRPr="00B36586" w:rsidRDefault="001B5638" w:rsidP="00223FA0">
            <w:pPr>
              <w:rPr>
                <w:color w:val="000000"/>
                <w:sz w:val="28"/>
                <w:szCs w:val="28"/>
                <w:lang w:eastAsia="en-GB"/>
              </w:rPr>
            </w:pPr>
            <w:r w:rsidRPr="00B36586">
              <w:rPr>
                <w:color w:val="000000"/>
              </w:rPr>
              <w:t>50861 (1.62%)</w:t>
            </w:r>
          </w:p>
        </w:tc>
        <w:tc>
          <w:tcPr>
            <w:tcW w:w="1843" w:type="dxa"/>
            <w:tcBorders>
              <w:left w:val="double" w:sz="4" w:space="0" w:color="auto"/>
            </w:tcBorders>
            <w:vAlign w:val="bottom"/>
          </w:tcPr>
          <w:p w14:paraId="07250BA5" w14:textId="77777777" w:rsidR="001B5638" w:rsidRPr="00B36586" w:rsidRDefault="001B5638" w:rsidP="00223FA0">
            <w:pPr>
              <w:rPr>
                <w:color w:val="000000"/>
                <w:sz w:val="28"/>
                <w:szCs w:val="28"/>
                <w:lang w:eastAsia="en-GB"/>
              </w:rPr>
            </w:pPr>
            <w:r w:rsidRPr="00B36586">
              <w:rPr>
                <w:color w:val="000000"/>
              </w:rPr>
              <w:t>12</w:t>
            </w:r>
          </w:p>
        </w:tc>
        <w:tc>
          <w:tcPr>
            <w:tcW w:w="1559" w:type="dxa"/>
            <w:tcBorders>
              <w:right w:val="double" w:sz="4" w:space="0" w:color="auto"/>
            </w:tcBorders>
            <w:shd w:val="clear" w:color="auto" w:fill="8BA1DC" w:themeFill="accent1" w:themeFillTint="66"/>
            <w:vAlign w:val="bottom"/>
          </w:tcPr>
          <w:p w14:paraId="333C7782" w14:textId="77777777" w:rsidR="001B5638" w:rsidRPr="00B36586" w:rsidRDefault="001B5638" w:rsidP="00223FA0">
            <w:pPr>
              <w:rPr>
                <w:color w:val="000000"/>
                <w:sz w:val="28"/>
                <w:szCs w:val="28"/>
                <w:lang w:eastAsia="en-GB"/>
              </w:rPr>
            </w:pPr>
            <w:r w:rsidRPr="00B36586">
              <w:rPr>
                <w:color w:val="000000"/>
              </w:rPr>
              <w:t>11</w:t>
            </w:r>
          </w:p>
        </w:tc>
        <w:tc>
          <w:tcPr>
            <w:tcW w:w="1559" w:type="dxa"/>
            <w:tcBorders>
              <w:left w:val="double" w:sz="4" w:space="0" w:color="auto"/>
            </w:tcBorders>
            <w:shd w:val="clear" w:color="auto" w:fill="auto"/>
            <w:vAlign w:val="bottom"/>
          </w:tcPr>
          <w:p w14:paraId="678C6140" w14:textId="32EFE646" w:rsidR="001B5638" w:rsidRPr="00B36586" w:rsidRDefault="001B5638" w:rsidP="00223FA0">
            <w:pPr>
              <w:rPr>
                <w:color w:val="000000"/>
              </w:rPr>
            </w:pPr>
            <w:r w:rsidRPr="00B36586">
              <w:rPr>
                <w:color w:val="000000"/>
              </w:rPr>
              <w:t>1.5 (0-4)</w:t>
            </w:r>
          </w:p>
        </w:tc>
        <w:tc>
          <w:tcPr>
            <w:tcW w:w="1559" w:type="dxa"/>
            <w:vAlign w:val="bottom"/>
          </w:tcPr>
          <w:p w14:paraId="56A1AE16" w14:textId="159964C2" w:rsidR="001B5638" w:rsidRPr="00B36586" w:rsidRDefault="001B5638" w:rsidP="00223FA0">
            <w:pPr>
              <w:rPr>
                <w:color w:val="000000"/>
              </w:rPr>
            </w:pPr>
            <w:r w:rsidRPr="00B36586">
              <w:rPr>
                <w:color w:val="000000"/>
              </w:rPr>
              <w:t>0 (0-0)</w:t>
            </w:r>
          </w:p>
        </w:tc>
      </w:tr>
      <w:tr w:rsidR="001B5638" w:rsidRPr="00B36586" w14:paraId="418FA881" w14:textId="1BC06141" w:rsidTr="00AA1599">
        <w:tc>
          <w:tcPr>
            <w:tcW w:w="2830" w:type="dxa"/>
            <w:tcBorders>
              <w:right w:val="double" w:sz="4" w:space="0" w:color="auto"/>
            </w:tcBorders>
            <w:vAlign w:val="bottom"/>
          </w:tcPr>
          <w:p w14:paraId="67DAE3B4" w14:textId="30D5D540" w:rsidR="001B5638" w:rsidRPr="00B36586" w:rsidRDefault="001B5638" w:rsidP="00223FA0">
            <w:pPr>
              <w:rPr>
                <w:color w:val="000000"/>
                <w:sz w:val="28"/>
                <w:szCs w:val="28"/>
                <w:lang w:eastAsia="en-GB"/>
              </w:rPr>
            </w:pPr>
            <w:r w:rsidRPr="00B36586">
              <w:rPr>
                <w:color w:val="000000"/>
              </w:rPr>
              <w:t>RBHSTW-00059</w:t>
            </w:r>
          </w:p>
        </w:tc>
        <w:tc>
          <w:tcPr>
            <w:tcW w:w="1276" w:type="dxa"/>
            <w:tcBorders>
              <w:left w:val="double" w:sz="4" w:space="0" w:color="auto"/>
              <w:right w:val="double" w:sz="4" w:space="0" w:color="auto"/>
            </w:tcBorders>
            <w:shd w:val="clear" w:color="auto" w:fill="8BA1DC" w:themeFill="accent1" w:themeFillTint="66"/>
            <w:vAlign w:val="bottom"/>
          </w:tcPr>
          <w:p w14:paraId="535E4FB3" w14:textId="77777777" w:rsidR="001B5638" w:rsidRPr="00B36586" w:rsidRDefault="001B5638" w:rsidP="00223FA0">
            <w:pPr>
              <w:rPr>
                <w:color w:val="000000"/>
                <w:sz w:val="28"/>
                <w:szCs w:val="28"/>
                <w:lang w:eastAsia="en-GB"/>
              </w:rPr>
            </w:pPr>
            <w:r w:rsidRPr="00B36586">
              <w:rPr>
                <w:color w:val="000000"/>
              </w:rPr>
              <w:t>-143627</w:t>
            </w:r>
          </w:p>
        </w:tc>
        <w:tc>
          <w:tcPr>
            <w:tcW w:w="1985" w:type="dxa"/>
            <w:tcBorders>
              <w:left w:val="double" w:sz="4" w:space="0" w:color="auto"/>
            </w:tcBorders>
            <w:vAlign w:val="bottom"/>
          </w:tcPr>
          <w:p w14:paraId="642461AA" w14:textId="77777777" w:rsidR="001B5638" w:rsidRPr="00B36586" w:rsidRDefault="001B5638" w:rsidP="00223FA0">
            <w:pPr>
              <w:rPr>
                <w:color w:val="000000"/>
                <w:sz w:val="28"/>
                <w:szCs w:val="28"/>
                <w:lang w:eastAsia="en-GB"/>
              </w:rPr>
            </w:pPr>
            <w:r w:rsidRPr="00B36586">
              <w:rPr>
                <w:color w:val="000000"/>
              </w:rPr>
              <w:t>37357 (1.04%)</w:t>
            </w:r>
          </w:p>
        </w:tc>
        <w:tc>
          <w:tcPr>
            <w:tcW w:w="1842" w:type="dxa"/>
            <w:tcBorders>
              <w:right w:val="double" w:sz="4" w:space="0" w:color="auto"/>
            </w:tcBorders>
            <w:shd w:val="clear" w:color="auto" w:fill="8BA1DC" w:themeFill="accent1" w:themeFillTint="66"/>
            <w:vAlign w:val="bottom"/>
          </w:tcPr>
          <w:p w14:paraId="62C39637" w14:textId="77777777" w:rsidR="001B5638" w:rsidRPr="00B36586" w:rsidRDefault="001B5638" w:rsidP="00223FA0">
            <w:pPr>
              <w:rPr>
                <w:color w:val="000000"/>
                <w:sz w:val="28"/>
                <w:szCs w:val="28"/>
                <w:lang w:eastAsia="en-GB"/>
              </w:rPr>
            </w:pPr>
            <w:r w:rsidRPr="00B36586">
              <w:rPr>
                <w:color w:val="000000"/>
              </w:rPr>
              <w:t>36251 (1.01%)</w:t>
            </w:r>
          </w:p>
        </w:tc>
        <w:tc>
          <w:tcPr>
            <w:tcW w:w="1843" w:type="dxa"/>
            <w:tcBorders>
              <w:left w:val="double" w:sz="4" w:space="0" w:color="auto"/>
            </w:tcBorders>
            <w:vAlign w:val="bottom"/>
          </w:tcPr>
          <w:p w14:paraId="5E6D15CB" w14:textId="77777777" w:rsidR="001B5638" w:rsidRPr="00B36586" w:rsidRDefault="001B5638" w:rsidP="00223FA0">
            <w:pPr>
              <w:rPr>
                <w:color w:val="000000"/>
                <w:sz w:val="28"/>
                <w:szCs w:val="28"/>
                <w:lang w:eastAsia="en-GB"/>
              </w:rPr>
            </w:pPr>
            <w:r w:rsidRPr="00B36586">
              <w:rPr>
                <w:color w:val="000000"/>
              </w:rPr>
              <w:t>15</w:t>
            </w:r>
          </w:p>
        </w:tc>
        <w:tc>
          <w:tcPr>
            <w:tcW w:w="1559" w:type="dxa"/>
            <w:tcBorders>
              <w:right w:val="double" w:sz="4" w:space="0" w:color="auto"/>
            </w:tcBorders>
            <w:shd w:val="clear" w:color="auto" w:fill="8BA1DC" w:themeFill="accent1" w:themeFillTint="66"/>
            <w:vAlign w:val="bottom"/>
          </w:tcPr>
          <w:p w14:paraId="19EA035C" w14:textId="77777777" w:rsidR="001B5638" w:rsidRPr="00B36586" w:rsidRDefault="001B5638" w:rsidP="00223FA0">
            <w:pPr>
              <w:rPr>
                <w:color w:val="000000"/>
                <w:sz w:val="28"/>
                <w:szCs w:val="28"/>
                <w:lang w:eastAsia="en-GB"/>
              </w:rPr>
            </w:pPr>
            <w:r w:rsidRPr="00B36586">
              <w:rPr>
                <w:color w:val="000000"/>
              </w:rPr>
              <w:t>14</w:t>
            </w:r>
          </w:p>
        </w:tc>
        <w:tc>
          <w:tcPr>
            <w:tcW w:w="1559" w:type="dxa"/>
            <w:tcBorders>
              <w:left w:val="double" w:sz="4" w:space="0" w:color="auto"/>
            </w:tcBorders>
            <w:shd w:val="clear" w:color="auto" w:fill="auto"/>
            <w:vAlign w:val="bottom"/>
          </w:tcPr>
          <w:p w14:paraId="3E5FCDEF" w14:textId="1E0460FC" w:rsidR="001B5638" w:rsidRPr="00B36586" w:rsidRDefault="001B5638" w:rsidP="00223FA0">
            <w:pPr>
              <w:rPr>
                <w:color w:val="000000"/>
              </w:rPr>
            </w:pPr>
            <w:r w:rsidRPr="00B36586">
              <w:rPr>
                <w:color w:val="000000"/>
              </w:rPr>
              <w:t>0 (0-0)</w:t>
            </w:r>
          </w:p>
        </w:tc>
        <w:tc>
          <w:tcPr>
            <w:tcW w:w="1559" w:type="dxa"/>
            <w:vAlign w:val="bottom"/>
          </w:tcPr>
          <w:p w14:paraId="0CA48CE3" w14:textId="38BB257E" w:rsidR="001B5638" w:rsidRPr="00B36586" w:rsidRDefault="001B5638" w:rsidP="00223FA0">
            <w:pPr>
              <w:rPr>
                <w:color w:val="000000"/>
              </w:rPr>
            </w:pPr>
            <w:r w:rsidRPr="00B36586">
              <w:rPr>
                <w:color w:val="000000"/>
              </w:rPr>
              <w:t>0 (0-0)</w:t>
            </w:r>
          </w:p>
        </w:tc>
      </w:tr>
      <w:tr w:rsidR="001B5638" w:rsidRPr="00B36586" w14:paraId="256C3438" w14:textId="5B8A0377" w:rsidTr="00AA1599">
        <w:tc>
          <w:tcPr>
            <w:tcW w:w="2830" w:type="dxa"/>
            <w:tcBorders>
              <w:right w:val="double" w:sz="4" w:space="0" w:color="auto"/>
            </w:tcBorders>
            <w:vAlign w:val="bottom"/>
          </w:tcPr>
          <w:p w14:paraId="3F402CAA" w14:textId="55D2A421" w:rsidR="001B5638" w:rsidRPr="00B36586" w:rsidRDefault="001B5638" w:rsidP="00223FA0">
            <w:pPr>
              <w:rPr>
                <w:color w:val="000000"/>
                <w:sz w:val="28"/>
                <w:szCs w:val="28"/>
                <w:lang w:eastAsia="en-GB"/>
              </w:rPr>
            </w:pPr>
            <w:r w:rsidRPr="00B36586">
              <w:rPr>
                <w:color w:val="000000"/>
              </w:rPr>
              <w:t>RBHSTW-00122</w:t>
            </w:r>
          </w:p>
        </w:tc>
        <w:tc>
          <w:tcPr>
            <w:tcW w:w="1276" w:type="dxa"/>
            <w:tcBorders>
              <w:left w:val="double" w:sz="4" w:space="0" w:color="auto"/>
              <w:right w:val="double" w:sz="4" w:space="0" w:color="auto"/>
            </w:tcBorders>
            <w:vAlign w:val="bottom"/>
          </w:tcPr>
          <w:p w14:paraId="1BFE3A65" w14:textId="77777777" w:rsidR="001B5638" w:rsidRPr="00B36586" w:rsidRDefault="001B5638" w:rsidP="00223FA0">
            <w:pPr>
              <w:rPr>
                <w:color w:val="000000"/>
                <w:sz w:val="28"/>
                <w:szCs w:val="28"/>
                <w:lang w:eastAsia="en-GB"/>
              </w:rPr>
            </w:pPr>
            <w:r w:rsidRPr="00B36586">
              <w:rPr>
                <w:color w:val="000000"/>
              </w:rPr>
              <w:t>0</w:t>
            </w:r>
          </w:p>
        </w:tc>
        <w:tc>
          <w:tcPr>
            <w:tcW w:w="1985" w:type="dxa"/>
            <w:tcBorders>
              <w:left w:val="double" w:sz="4" w:space="0" w:color="auto"/>
            </w:tcBorders>
            <w:vAlign w:val="bottom"/>
          </w:tcPr>
          <w:p w14:paraId="0312F6DB" w14:textId="77777777" w:rsidR="001B5638" w:rsidRPr="00B36586" w:rsidRDefault="001B5638" w:rsidP="00223FA0">
            <w:pPr>
              <w:rPr>
                <w:color w:val="000000"/>
                <w:sz w:val="28"/>
                <w:szCs w:val="28"/>
                <w:lang w:eastAsia="en-GB"/>
              </w:rPr>
            </w:pPr>
            <w:r w:rsidRPr="00B36586">
              <w:rPr>
                <w:color w:val="000000"/>
              </w:rPr>
              <w:t>24355 (1.18%)</w:t>
            </w:r>
          </w:p>
        </w:tc>
        <w:tc>
          <w:tcPr>
            <w:tcW w:w="1842" w:type="dxa"/>
            <w:tcBorders>
              <w:right w:val="double" w:sz="4" w:space="0" w:color="auto"/>
            </w:tcBorders>
            <w:vAlign w:val="bottom"/>
          </w:tcPr>
          <w:p w14:paraId="0994F1F3" w14:textId="77777777" w:rsidR="001B5638" w:rsidRPr="00B36586" w:rsidRDefault="001B5638" w:rsidP="00223FA0">
            <w:pPr>
              <w:rPr>
                <w:color w:val="000000"/>
                <w:sz w:val="28"/>
                <w:szCs w:val="28"/>
                <w:lang w:eastAsia="en-GB"/>
              </w:rPr>
            </w:pPr>
            <w:r w:rsidRPr="00B36586">
              <w:rPr>
                <w:color w:val="000000"/>
              </w:rPr>
              <w:t>24355 (1.18%)</w:t>
            </w:r>
          </w:p>
        </w:tc>
        <w:tc>
          <w:tcPr>
            <w:tcW w:w="1843" w:type="dxa"/>
            <w:tcBorders>
              <w:left w:val="double" w:sz="4" w:space="0" w:color="auto"/>
            </w:tcBorders>
            <w:shd w:val="clear" w:color="auto" w:fill="FF6666" w:themeFill="accent2" w:themeFillTint="99"/>
            <w:vAlign w:val="bottom"/>
          </w:tcPr>
          <w:p w14:paraId="77A42772" w14:textId="77777777" w:rsidR="001B5638" w:rsidRPr="00B36586" w:rsidRDefault="001B5638" w:rsidP="00223FA0">
            <w:pPr>
              <w:rPr>
                <w:color w:val="000000"/>
                <w:sz w:val="28"/>
                <w:szCs w:val="28"/>
                <w:lang w:eastAsia="en-GB"/>
              </w:rPr>
            </w:pPr>
            <w:r w:rsidRPr="00B36586">
              <w:rPr>
                <w:color w:val="000000"/>
              </w:rPr>
              <w:t>6</w:t>
            </w:r>
          </w:p>
        </w:tc>
        <w:tc>
          <w:tcPr>
            <w:tcW w:w="1559" w:type="dxa"/>
            <w:tcBorders>
              <w:right w:val="double" w:sz="4" w:space="0" w:color="auto"/>
            </w:tcBorders>
            <w:vAlign w:val="bottom"/>
          </w:tcPr>
          <w:p w14:paraId="6F8A3DA7" w14:textId="77777777" w:rsidR="001B5638" w:rsidRPr="00B36586" w:rsidRDefault="001B5638" w:rsidP="00223FA0">
            <w:pPr>
              <w:rPr>
                <w:color w:val="000000"/>
                <w:sz w:val="28"/>
                <w:szCs w:val="28"/>
                <w:lang w:eastAsia="en-GB"/>
              </w:rPr>
            </w:pPr>
            <w:r w:rsidRPr="00B36586">
              <w:rPr>
                <w:color w:val="000000"/>
              </w:rPr>
              <w:t>7</w:t>
            </w:r>
          </w:p>
        </w:tc>
        <w:tc>
          <w:tcPr>
            <w:tcW w:w="1559" w:type="dxa"/>
            <w:tcBorders>
              <w:left w:val="double" w:sz="4" w:space="0" w:color="auto"/>
            </w:tcBorders>
            <w:shd w:val="clear" w:color="auto" w:fill="auto"/>
            <w:vAlign w:val="bottom"/>
          </w:tcPr>
          <w:p w14:paraId="58B3C060" w14:textId="66621297" w:rsidR="001B5638" w:rsidRPr="00B36586" w:rsidRDefault="001B5638" w:rsidP="00223FA0">
            <w:pPr>
              <w:rPr>
                <w:color w:val="000000"/>
              </w:rPr>
            </w:pPr>
            <w:r w:rsidRPr="00B36586">
              <w:rPr>
                <w:color w:val="000000"/>
              </w:rPr>
              <w:t>0 (0-0)</w:t>
            </w:r>
          </w:p>
        </w:tc>
        <w:tc>
          <w:tcPr>
            <w:tcW w:w="1559" w:type="dxa"/>
            <w:vAlign w:val="bottom"/>
          </w:tcPr>
          <w:p w14:paraId="4773EFA0" w14:textId="7E9A2365" w:rsidR="001B5638" w:rsidRPr="00B36586" w:rsidRDefault="001B5638" w:rsidP="00223FA0">
            <w:pPr>
              <w:rPr>
                <w:color w:val="000000"/>
              </w:rPr>
            </w:pPr>
            <w:r w:rsidRPr="00B36586">
              <w:rPr>
                <w:color w:val="000000"/>
              </w:rPr>
              <w:t>0 (0-0)</w:t>
            </w:r>
          </w:p>
        </w:tc>
      </w:tr>
      <w:tr w:rsidR="001B5638" w:rsidRPr="00B36586" w14:paraId="055F35E2" w14:textId="18BCEB52" w:rsidTr="00AA1599">
        <w:tc>
          <w:tcPr>
            <w:tcW w:w="2830" w:type="dxa"/>
            <w:tcBorders>
              <w:right w:val="double" w:sz="4" w:space="0" w:color="auto"/>
            </w:tcBorders>
            <w:vAlign w:val="bottom"/>
          </w:tcPr>
          <w:p w14:paraId="431C0842" w14:textId="40985325" w:rsidR="001B5638" w:rsidRPr="00B36586" w:rsidRDefault="001B5638" w:rsidP="00223FA0">
            <w:pPr>
              <w:rPr>
                <w:color w:val="000000"/>
                <w:sz w:val="28"/>
                <w:szCs w:val="28"/>
                <w:lang w:eastAsia="en-GB"/>
              </w:rPr>
            </w:pPr>
            <w:r w:rsidRPr="00B36586">
              <w:rPr>
                <w:color w:val="000000"/>
              </w:rPr>
              <w:t>RBHSTW-00123</w:t>
            </w:r>
          </w:p>
        </w:tc>
        <w:tc>
          <w:tcPr>
            <w:tcW w:w="1276" w:type="dxa"/>
            <w:tcBorders>
              <w:left w:val="double" w:sz="4" w:space="0" w:color="auto"/>
              <w:right w:val="double" w:sz="4" w:space="0" w:color="auto"/>
            </w:tcBorders>
            <w:shd w:val="clear" w:color="auto" w:fill="8BA1DC" w:themeFill="accent1" w:themeFillTint="66"/>
            <w:vAlign w:val="bottom"/>
          </w:tcPr>
          <w:p w14:paraId="2575A37F" w14:textId="77777777" w:rsidR="001B5638" w:rsidRPr="00B36586" w:rsidRDefault="001B5638" w:rsidP="00223FA0">
            <w:pPr>
              <w:rPr>
                <w:color w:val="000000"/>
                <w:sz w:val="28"/>
                <w:szCs w:val="28"/>
                <w:lang w:eastAsia="en-GB"/>
              </w:rPr>
            </w:pPr>
            <w:r w:rsidRPr="00B36586">
              <w:rPr>
                <w:color w:val="000000"/>
              </w:rPr>
              <w:t>-1963188</w:t>
            </w:r>
          </w:p>
        </w:tc>
        <w:tc>
          <w:tcPr>
            <w:tcW w:w="1985" w:type="dxa"/>
            <w:tcBorders>
              <w:left w:val="double" w:sz="4" w:space="0" w:color="auto"/>
            </w:tcBorders>
            <w:shd w:val="clear" w:color="auto" w:fill="FF6666" w:themeFill="accent2" w:themeFillTint="99"/>
            <w:vAlign w:val="bottom"/>
          </w:tcPr>
          <w:p w14:paraId="2D0DF89C" w14:textId="77777777" w:rsidR="001B5638" w:rsidRPr="00B36586" w:rsidRDefault="001B5638" w:rsidP="00223FA0">
            <w:pPr>
              <w:rPr>
                <w:color w:val="000000"/>
                <w:sz w:val="28"/>
                <w:szCs w:val="28"/>
                <w:lang w:eastAsia="en-GB"/>
              </w:rPr>
            </w:pPr>
            <w:r w:rsidRPr="00B36586">
              <w:rPr>
                <w:color w:val="000000"/>
              </w:rPr>
              <w:t>56224 (1.68%)</w:t>
            </w:r>
          </w:p>
        </w:tc>
        <w:tc>
          <w:tcPr>
            <w:tcW w:w="1842" w:type="dxa"/>
            <w:tcBorders>
              <w:right w:val="double" w:sz="4" w:space="0" w:color="auto"/>
            </w:tcBorders>
            <w:vAlign w:val="bottom"/>
          </w:tcPr>
          <w:p w14:paraId="0C07385D" w14:textId="77777777" w:rsidR="001B5638" w:rsidRPr="00B36586" w:rsidRDefault="001B5638" w:rsidP="00223FA0">
            <w:pPr>
              <w:rPr>
                <w:color w:val="000000"/>
                <w:sz w:val="28"/>
                <w:szCs w:val="28"/>
                <w:lang w:eastAsia="en-GB"/>
              </w:rPr>
            </w:pPr>
            <w:r w:rsidRPr="00B36586">
              <w:rPr>
                <w:color w:val="000000"/>
              </w:rPr>
              <w:t>57074 (1.70%)</w:t>
            </w:r>
          </w:p>
        </w:tc>
        <w:tc>
          <w:tcPr>
            <w:tcW w:w="1843" w:type="dxa"/>
            <w:tcBorders>
              <w:left w:val="double" w:sz="4" w:space="0" w:color="auto"/>
            </w:tcBorders>
            <w:shd w:val="clear" w:color="auto" w:fill="FF6666" w:themeFill="accent2" w:themeFillTint="99"/>
            <w:vAlign w:val="bottom"/>
          </w:tcPr>
          <w:p w14:paraId="71B7D964" w14:textId="77777777" w:rsidR="001B5638" w:rsidRPr="00B36586" w:rsidRDefault="001B5638" w:rsidP="00223FA0">
            <w:pPr>
              <w:rPr>
                <w:color w:val="000000"/>
                <w:sz w:val="28"/>
                <w:szCs w:val="28"/>
                <w:lang w:eastAsia="en-GB"/>
              </w:rPr>
            </w:pPr>
            <w:r w:rsidRPr="00B36586">
              <w:rPr>
                <w:color w:val="000000"/>
              </w:rPr>
              <w:t>17</w:t>
            </w:r>
          </w:p>
        </w:tc>
        <w:tc>
          <w:tcPr>
            <w:tcW w:w="1559" w:type="dxa"/>
            <w:tcBorders>
              <w:right w:val="double" w:sz="4" w:space="0" w:color="auto"/>
            </w:tcBorders>
            <w:vAlign w:val="bottom"/>
          </w:tcPr>
          <w:p w14:paraId="351BC4F2" w14:textId="77777777" w:rsidR="001B5638" w:rsidRPr="00B36586" w:rsidRDefault="001B5638" w:rsidP="00223FA0">
            <w:pPr>
              <w:rPr>
                <w:color w:val="000000"/>
                <w:sz w:val="28"/>
                <w:szCs w:val="28"/>
                <w:lang w:eastAsia="en-GB"/>
              </w:rPr>
            </w:pPr>
            <w:r w:rsidRPr="00B36586">
              <w:rPr>
                <w:color w:val="000000"/>
              </w:rPr>
              <w:t>21</w:t>
            </w:r>
          </w:p>
        </w:tc>
        <w:tc>
          <w:tcPr>
            <w:tcW w:w="1559" w:type="dxa"/>
            <w:tcBorders>
              <w:left w:val="double" w:sz="4" w:space="0" w:color="auto"/>
            </w:tcBorders>
            <w:shd w:val="clear" w:color="auto" w:fill="auto"/>
            <w:vAlign w:val="bottom"/>
          </w:tcPr>
          <w:p w14:paraId="229C5A8C" w14:textId="77E33F1F" w:rsidR="001B5638" w:rsidRPr="00B36586" w:rsidRDefault="001B5638" w:rsidP="00223FA0">
            <w:pPr>
              <w:rPr>
                <w:color w:val="000000"/>
              </w:rPr>
            </w:pPr>
            <w:r w:rsidRPr="00B36586">
              <w:rPr>
                <w:color w:val="000000"/>
              </w:rPr>
              <w:t>4 (1-6)</w:t>
            </w:r>
          </w:p>
        </w:tc>
        <w:tc>
          <w:tcPr>
            <w:tcW w:w="1559" w:type="dxa"/>
            <w:vAlign w:val="bottom"/>
          </w:tcPr>
          <w:p w14:paraId="744C61A5" w14:textId="7A4CC49C" w:rsidR="001B5638" w:rsidRPr="00B36586" w:rsidRDefault="001B5638" w:rsidP="00223FA0">
            <w:pPr>
              <w:rPr>
                <w:color w:val="000000"/>
              </w:rPr>
            </w:pPr>
            <w:r w:rsidRPr="00B36586">
              <w:rPr>
                <w:color w:val="000000"/>
              </w:rPr>
              <w:t>4.5 (2-6)</w:t>
            </w:r>
          </w:p>
        </w:tc>
      </w:tr>
      <w:tr w:rsidR="001B5638" w:rsidRPr="00B36586" w14:paraId="1E72578B" w14:textId="38922714" w:rsidTr="00AA1599">
        <w:tc>
          <w:tcPr>
            <w:tcW w:w="2830" w:type="dxa"/>
            <w:tcBorders>
              <w:right w:val="double" w:sz="4" w:space="0" w:color="auto"/>
            </w:tcBorders>
            <w:vAlign w:val="bottom"/>
          </w:tcPr>
          <w:p w14:paraId="30A2DAE5" w14:textId="437A4C90" w:rsidR="001B5638" w:rsidRPr="00B36586" w:rsidRDefault="001B5638" w:rsidP="00223FA0">
            <w:pPr>
              <w:rPr>
                <w:color w:val="000000"/>
                <w:sz w:val="28"/>
                <w:szCs w:val="28"/>
                <w:lang w:eastAsia="en-GB"/>
              </w:rPr>
            </w:pPr>
            <w:r w:rsidRPr="00B36586">
              <w:rPr>
                <w:color w:val="000000"/>
              </w:rPr>
              <w:t>RBHSTW-00127</w:t>
            </w:r>
          </w:p>
        </w:tc>
        <w:tc>
          <w:tcPr>
            <w:tcW w:w="1276" w:type="dxa"/>
            <w:tcBorders>
              <w:left w:val="double" w:sz="4" w:space="0" w:color="auto"/>
              <w:right w:val="double" w:sz="4" w:space="0" w:color="auto"/>
            </w:tcBorders>
            <w:shd w:val="clear" w:color="auto" w:fill="8BA1DC" w:themeFill="accent1" w:themeFillTint="66"/>
            <w:vAlign w:val="bottom"/>
          </w:tcPr>
          <w:p w14:paraId="72B45B14" w14:textId="77777777" w:rsidR="001B5638" w:rsidRPr="00B36586" w:rsidRDefault="001B5638" w:rsidP="00223FA0">
            <w:pPr>
              <w:rPr>
                <w:color w:val="000000"/>
                <w:sz w:val="28"/>
                <w:szCs w:val="28"/>
                <w:lang w:eastAsia="en-GB"/>
              </w:rPr>
            </w:pPr>
            <w:r w:rsidRPr="00B36586">
              <w:rPr>
                <w:color w:val="000000"/>
              </w:rPr>
              <w:t>-1145</w:t>
            </w:r>
          </w:p>
        </w:tc>
        <w:tc>
          <w:tcPr>
            <w:tcW w:w="1985" w:type="dxa"/>
            <w:tcBorders>
              <w:left w:val="double" w:sz="4" w:space="0" w:color="auto"/>
            </w:tcBorders>
            <w:vAlign w:val="bottom"/>
          </w:tcPr>
          <w:p w14:paraId="0C1710F2" w14:textId="77777777" w:rsidR="001B5638" w:rsidRPr="00B36586" w:rsidRDefault="001B5638" w:rsidP="00223FA0">
            <w:pPr>
              <w:rPr>
                <w:color w:val="000000"/>
                <w:sz w:val="28"/>
                <w:szCs w:val="28"/>
                <w:lang w:eastAsia="en-GB"/>
              </w:rPr>
            </w:pPr>
            <w:r w:rsidRPr="00B36586">
              <w:rPr>
                <w:color w:val="000000"/>
              </w:rPr>
              <w:t>34206 (0.98%)</w:t>
            </w:r>
          </w:p>
        </w:tc>
        <w:tc>
          <w:tcPr>
            <w:tcW w:w="1842" w:type="dxa"/>
            <w:tcBorders>
              <w:right w:val="double" w:sz="4" w:space="0" w:color="auto"/>
            </w:tcBorders>
            <w:vAlign w:val="bottom"/>
          </w:tcPr>
          <w:p w14:paraId="6BF1BEFF" w14:textId="77777777" w:rsidR="001B5638" w:rsidRPr="00B36586" w:rsidRDefault="001B5638" w:rsidP="00223FA0">
            <w:pPr>
              <w:rPr>
                <w:color w:val="000000"/>
                <w:sz w:val="28"/>
                <w:szCs w:val="28"/>
                <w:lang w:eastAsia="en-GB"/>
              </w:rPr>
            </w:pPr>
            <w:r w:rsidRPr="00B36586">
              <w:rPr>
                <w:color w:val="000000"/>
              </w:rPr>
              <w:t>34206 (0.98%)</w:t>
            </w:r>
          </w:p>
        </w:tc>
        <w:tc>
          <w:tcPr>
            <w:tcW w:w="1843" w:type="dxa"/>
            <w:tcBorders>
              <w:left w:val="double" w:sz="4" w:space="0" w:color="auto"/>
            </w:tcBorders>
            <w:vAlign w:val="bottom"/>
          </w:tcPr>
          <w:p w14:paraId="6BBAE995" w14:textId="77777777" w:rsidR="001B5638" w:rsidRPr="00B36586" w:rsidRDefault="001B5638" w:rsidP="00223FA0">
            <w:pPr>
              <w:rPr>
                <w:color w:val="000000"/>
                <w:sz w:val="28"/>
                <w:szCs w:val="28"/>
                <w:lang w:eastAsia="en-GB"/>
              </w:rPr>
            </w:pPr>
            <w:r w:rsidRPr="00B36586">
              <w:rPr>
                <w:color w:val="000000"/>
              </w:rPr>
              <w:t>16</w:t>
            </w:r>
          </w:p>
        </w:tc>
        <w:tc>
          <w:tcPr>
            <w:tcW w:w="1559" w:type="dxa"/>
            <w:tcBorders>
              <w:right w:val="double" w:sz="4" w:space="0" w:color="auto"/>
            </w:tcBorders>
            <w:vAlign w:val="bottom"/>
          </w:tcPr>
          <w:p w14:paraId="7C9FEDCA" w14:textId="77777777" w:rsidR="001B5638" w:rsidRPr="00B36586" w:rsidRDefault="001B5638" w:rsidP="00223FA0">
            <w:pPr>
              <w:rPr>
                <w:color w:val="000000"/>
                <w:sz w:val="28"/>
                <w:szCs w:val="28"/>
                <w:lang w:eastAsia="en-GB"/>
              </w:rPr>
            </w:pPr>
            <w:r w:rsidRPr="00B36586">
              <w:rPr>
                <w:color w:val="000000"/>
              </w:rPr>
              <w:t>16</w:t>
            </w:r>
          </w:p>
        </w:tc>
        <w:tc>
          <w:tcPr>
            <w:tcW w:w="1559" w:type="dxa"/>
            <w:tcBorders>
              <w:left w:val="double" w:sz="4" w:space="0" w:color="auto"/>
            </w:tcBorders>
            <w:shd w:val="clear" w:color="auto" w:fill="auto"/>
            <w:vAlign w:val="bottom"/>
          </w:tcPr>
          <w:p w14:paraId="59F1F0B2" w14:textId="73CA7372" w:rsidR="001B5638" w:rsidRPr="00B36586" w:rsidRDefault="001B5638" w:rsidP="00223FA0">
            <w:pPr>
              <w:rPr>
                <w:color w:val="000000"/>
              </w:rPr>
            </w:pPr>
            <w:r w:rsidRPr="00B36586">
              <w:rPr>
                <w:color w:val="000000"/>
              </w:rPr>
              <w:t>0 (0-0)</w:t>
            </w:r>
          </w:p>
        </w:tc>
        <w:tc>
          <w:tcPr>
            <w:tcW w:w="1559" w:type="dxa"/>
            <w:vAlign w:val="bottom"/>
          </w:tcPr>
          <w:p w14:paraId="23B03B80" w14:textId="6E1F9CAA" w:rsidR="001B5638" w:rsidRPr="00B36586" w:rsidRDefault="001B5638" w:rsidP="00223FA0">
            <w:pPr>
              <w:rPr>
                <w:color w:val="000000"/>
              </w:rPr>
            </w:pPr>
            <w:r w:rsidRPr="00B36586">
              <w:rPr>
                <w:color w:val="000000"/>
              </w:rPr>
              <w:t>0 (0-0)</w:t>
            </w:r>
          </w:p>
        </w:tc>
      </w:tr>
      <w:tr w:rsidR="001B5638" w:rsidRPr="00B36586" w14:paraId="55FB13C4" w14:textId="27C99365" w:rsidTr="00AA1599">
        <w:tc>
          <w:tcPr>
            <w:tcW w:w="2830" w:type="dxa"/>
            <w:tcBorders>
              <w:right w:val="double" w:sz="4" w:space="0" w:color="auto"/>
            </w:tcBorders>
            <w:vAlign w:val="bottom"/>
          </w:tcPr>
          <w:p w14:paraId="23953E66" w14:textId="79283C5F" w:rsidR="001B5638" w:rsidRPr="00B36586" w:rsidRDefault="001B5638" w:rsidP="00223FA0">
            <w:pPr>
              <w:rPr>
                <w:color w:val="000000"/>
                <w:sz w:val="28"/>
                <w:szCs w:val="28"/>
                <w:lang w:eastAsia="en-GB"/>
              </w:rPr>
            </w:pPr>
            <w:r w:rsidRPr="00B36586">
              <w:rPr>
                <w:color w:val="000000"/>
              </w:rPr>
              <w:t>RBHSTW-00128</w:t>
            </w:r>
          </w:p>
        </w:tc>
        <w:tc>
          <w:tcPr>
            <w:tcW w:w="1276" w:type="dxa"/>
            <w:tcBorders>
              <w:left w:val="double" w:sz="4" w:space="0" w:color="auto"/>
              <w:right w:val="double" w:sz="4" w:space="0" w:color="auto"/>
            </w:tcBorders>
            <w:shd w:val="clear" w:color="auto" w:fill="FF6666" w:themeFill="accent2" w:themeFillTint="99"/>
            <w:vAlign w:val="bottom"/>
          </w:tcPr>
          <w:p w14:paraId="2F878CCC" w14:textId="77777777" w:rsidR="001B5638" w:rsidRPr="00B36586" w:rsidRDefault="001B5638" w:rsidP="00223FA0">
            <w:pPr>
              <w:rPr>
                <w:color w:val="000000"/>
                <w:sz w:val="28"/>
                <w:szCs w:val="28"/>
                <w:lang w:eastAsia="en-GB"/>
              </w:rPr>
            </w:pPr>
            <w:r w:rsidRPr="00B36586">
              <w:rPr>
                <w:color w:val="000000"/>
              </w:rPr>
              <w:t>3114</w:t>
            </w:r>
          </w:p>
        </w:tc>
        <w:tc>
          <w:tcPr>
            <w:tcW w:w="1985" w:type="dxa"/>
            <w:tcBorders>
              <w:left w:val="double" w:sz="4" w:space="0" w:color="auto"/>
            </w:tcBorders>
            <w:vAlign w:val="bottom"/>
          </w:tcPr>
          <w:p w14:paraId="7E313B5B" w14:textId="77777777" w:rsidR="001B5638" w:rsidRPr="00B36586" w:rsidRDefault="001B5638" w:rsidP="00223FA0">
            <w:pPr>
              <w:rPr>
                <w:color w:val="000000"/>
                <w:sz w:val="28"/>
                <w:szCs w:val="28"/>
                <w:lang w:eastAsia="en-GB"/>
              </w:rPr>
            </w:pPr>
            <w:r w:rsidRPr="00B36586">
              <w:rPr>
                <w:color w:val="000000"/>
              </w:rPr>
              <w:t>31526 (1.06%)</w:t>
            </w:r>
          </w:p>
        </w:tc>
        <w:tc>
          <w:tcPr>
            <w:tcW w:w="1842" w:type="dxa"/>
            <w:tcBorders>
              <w:right w:val="double" w:sz="4" w:space="0" w:color="auto"/>
            </w:tcBorders>
            <w:shd w:val="clear" w:color="auto" w:fill="8BA1DC" w:themeFill="accent1" w:themeFillTint="66"/>
            <w:vAlign w:val="bottom"/>
          </w:tcPr>
          <w:p w14:paraId="41BF1CAD" w14:textId="77777777" w:rsidR="001B5638" w:rsidRPr="00B36586" w:rsidRDefault="001B5638" w:rsidP="00223FA0">
            <w:pPr>
              <w:rPr>
                <w:color w:val="000000"/>
                <w:sz w:val="28"/>
                <w:szCs w:val="28"/>
                <w:lang w:eastAsia="en-GB"/>
              </w:rPr>
            </w:pPr>
            <w:r w:rsidRPr="00B36586">
              <w:rPr>
                <w:color w:val="000000"/>
              </w:rPr>
              <w:t>31507 (1.05%)</w:t>
            </w:r>
          </w:p>
        </w:tc>
        <w:tc>
          <w:tcPr>
            <w:tcW w:w="1843" w:type="dxa"/>
            <w:tcBorders>
              <w:left w:val="double" w:sz="4" w:space="0" w:color="auto"/>
            </w:tcBorders>
            <w:shd w:val="clear" w:color="auto" w:fill="FF6666" w:themeFill="accent2" w:themeFillTint="99"/>
            <w:vAlign w:val="bottom"/>
          </w:tcPr>
          <w:p w14:paraId="3D624EE0" w14:textId="77777777" w:rsidR="001B5638" w:rsidRPr="00B36586" w:rsidRDefault="001B5638" w:rsidP="00223FA0">
            <w:pPr>
              <w:rPr>
                <w:color w:val="000000"/>
                <w:sz w:val="28"/>
                <w:szCs w:val="28"/>
                <w:lang w:eastAsia="en-GB"/>
              </w:rPr>
            </w:pPr>
            <w:r w:rsidRPr="00B36586">
              <w:rPr>
                <w:color w:val="000000"/>
              </w:rPr>
              <w:t>6</w:t>
            </w:r>
          </w:p>
        </w:tc>
        <w:tc>
          <w:tcPr>
            <w:tcW w:w="1559" w:type="dxa"/>
            <w:tcBorders>
              <w:right w:val="double" w:sz="4" w:space="0" w:color="auto"/>
            </w:tcBorders>
            <w:vAlign w:val="bottom"/>
          </w:tcPr>
          <w:p w14:paraId="7F78BD17" w14:textId="77777777" w:rsidR="001B5638" w:rsidRPr="00B36586" w:rsidRDefault="001B5638" w:rsidP="00223FA0">
            <w:pPr>
              <w:rPr>
                <w:color w:val="000000"/>
                <w:sz w:val="28"/>
                <w:szCs w:val="28"/>
                <w:lang w:eastAsia="en-GB"/>
              </w:rPr>
            </w:pPr>
            <w:r w:rsidRPr="00B36586">
              <w:rPr>
                <w:color w:val="000000"/>
              </w:rPr>
              <w:t>8</w:t>
            </w:r>
          </w:p>
        </w:tc>
        <w:tc>
          <w:tcPr>
            <w:tcW w:w="1559" w:type="dxa"/>
            <w:tcBorders>
              <w:left w:val="double" w:sz="4" w:space="0" w:color="auto"/>
            </w:tcBorders>
            <w:shd w:val="clear" w:color="auto" w:fill="auto"/>
            <w:vAlign w:val="bottom"/>
          </w:tcPr>
          <w:p w14:paraId="7B28439C" w14:textId="16F4EEA3" w:rsidR="001B5638" w:rsidRPr="00B36586" w:rsidRDefault="001B5638" w:rsidP="00223FA0">
            <w:pPr>
              <w:rPr>
                <w:color w:val="000000"/>
              </w:rPr>
            </w:pPr>
            <w:r w:rsidRPr="00B36586">
              <w:rPr>
                <w:color w:val="000000"/>
              </w:rPr>
              <w:t>2 (1-2)</w:t>
            </w:r>
          </w:p>
        </w:tc>
        <w:tc>
          <w:tcPr>
            <w:tcW w:w="1559" w:type="dxa"/>
            <w:vAlign w:val="bottom"/>
          </w:tcPr>
          <w:p w14:paraId="5750F609" w14:textId="4DCA19AC" w:rsidR="001B5638" w:rsidRPr="00B36586" w:rsidRDefault="001B5638" w:rsidP="00223FA0">
            <w:pPr>
              <w:rPr>
                <w:color w:val="000000"/>
              </w:rPr>
            </w:pPr>
            <w:r w:rsidRPr="00B36586">
              <w:rPr>
                <w:color w:val="000000"/>
              </w:rPr>
              <w:t>2 (1-4)</w:t>
            </w:r>
          </w:p>
        </w:tc>
      </w:tr>
      <w:tr w:rsidR="001B5638" w:rsidRPr="00B36586" w14:paraId="7A8E85DA" w14:textId="4351E53C" w:rsidTr="00AA1599">
        <w:tc>
          <w:tcPr>
            <w:tcW w:w="2830" w:type="dxa"/>
            <w:tcBorders>
              <w:right w:val="double" w:sz="4" w:space="0" w:color="auto"/>
            </w:tcBorders>
            <w:vAlign w:val="bottom"/>
          </w:tcPr>
          <w:p w14:paraId="1C321C26" w14:textId="4E489CD2" w:rsidR="001B5638" w:rsidRPr="00B36586" w:rsidRDefault="001B5638" w:rsidP="00223FA0">
            <w:pPr>
              <w:rPr>
                <w:color w:val="000000"/>
                <w:sz w:val="28"/>
                <w:szCs w:val="28"/>
                <w:lang w:eastAsia="en-GB"/>
              </w:rPr>
            </w:pPr>
            <w:r w:rsidRPr="00B36586">
              <w:rPr>
                <w:color w:val="000000"/>
              </w:rPr>
              <w:t>RBHSTW-00131</w:t>
            </w:r>
          </w:p>
        </w:tc>
        <w:tc>
          <w:tcPr>
            <w:tcW w:w="1276" w:type="dxa"/>
            <w:tcBorders>
              <w:left w:val="double" w:sz="4" w:space="0" w:color="auto"/>
              <w:right w:val="double" w:sz="4" w:space="0" w:color="auto"/>
            </w:tcBorders>
            <w:shd w:val="clear" w:color="auto" w:fill="FF6666" w:themeFill="accent2" w:themeFillTint="99"/>
            <w:vAlign w:val="bottom"/>
          </w:tcPr>
          <w:p w14:paraId="496E9E65" w14:textId="77777777" w:rsidR="001B5638" w:rsidRPr="00B36586" w:rsidRDefault="001B5638" w:rsidP="00223FA0">
            <w:pPr>
              <w:rPr>
                <w:color w:val="000000"/>
                <w:sz w:val="28"/>
                <w:szCs w:val="28"/>
                <w:lang w:eastAsia="en-GB"/>
              </w:rPr>
            </w:pPr>
            <w:r w:rsidRPr="00B36586">
              <w:rPr>
                <w:color w:val="000000"/>
              </w:rPr>
              <w:t>399368</w:t>
            </w:r>
          </w:p>
        </w:tc>
        <w:tc>
          <w:tcPr>
            <w:tcW w:w="1985" w:type="dxa"/>
            <w:tcBorders>
              <w:left w:val="double" w:sz="4" w:space="0" w:color="auto"/>
            </w:tcBorders>
            <w:shd w:val="clear" w:color="auto" w:fill="FF6666" w:themeFill="accent2" w:themeFillTint="99"/>
            <w:vAlign w:val="bottom"/>
          </w:tcPr>
          <w:p w14:paraId="33BF5232" w14:textId="77777777" w:rsidR="001B5638" w:rsidRPr="00B36586" w:rsidRDefault="001B5638" w:rsidP="00223FA0">
            <w:pPr>
              <w:rPr>
                <w:color w:val="000000"/>
                <w:sz w:val="28"/>
                <w:szCs w:val="28"/>
                <w:lang w:eastAsia="en-GB"/>
              </w:rPr>
            </w:pPr>
            <w:r w:rsidRPr="00B36586">
              <w:rPr>
                <w:color w:val="000000"/>
              </w:rPr>
              <w:t>25880 (0.88%)</w:t>
            </w:r>
          </w:p>
        </w:tc>
        <w:tc>
          <w:tcPr>
            <w:tcW w:w="1842" w:type="dxa"/>
            <w:tcBorders>
              <w:right w:val="double" w:sz="4" w:space="0" w:color="auto"/>
            </w:tcBorders>
            <w:vAlign w:val="bottom"/>
          </w:tcPr>
          <w:p w14:paraId="4DC12945" w14:textId="77777777" w:rsidR="001B5638" w:rsidRPr="00B36586" w:rsidRDefault="001B5638" w:rsidP="00223FA0">
            <w:pPr>
              <w:rPr>
                <w:color w:val="000000"/>
                <w:sz w:val="28"/>
                <w:szCs w:val="28"/>
                <w:lang w:eastAsia="en-GB"/>
              </w:rPr>
            </w:pPr>
            <w:r w:rsidRPr="00B36586">
              <w:rPr>
                <w:color w:val="000000"/>
              </w:rPr>
              <w:t>26271 (0.89%)</w:t>
            </w:r>
          </w:p>
        </w:tc>
        <w:tc>
          <w:tcPr>
            <w:tcW w:w="1843" w:type="dxa"/>
            <w:tcBorders>
              <w:left w:val="double" w:sz="4" w:space="0" w:color="auto"/>
            </w:tcBorders>
            <w:shd w:val="clear" w:color="auto" w:fill="FF6666" w:themeFill="accent2" w:themeFillTint="99"/>
            <w:vAlign w:val="bottom"/>
          </w:tcPr>
          <w:p w14:paraId="1041114B" w14:textId="77777777" w:rsidR="001B5638" w:rsidRPr="00B36586" w:rsidRDefault="001B5638" w:rsidP="00223FA0">
            <w:pPr>
              <w:rPr>
                <w:color w:val="000000"/>
                <w:sz w:val="28"/>
                <w:szCs w:val="28"/>
                <w:lang w:eastAsia="en-GB"/>
              </w:rPr>
            </w:pPr>
            <w:r w:rsidRPr="00B36586">
              <w:rPr>
                <w:color w:val="000000"/>
              </w:rPr>
              <w:t>24</w:t>
            </w:r>
          </w:p>
        </w:tc>
        <w:tc>
          <w:tcPr>
            <w:tcW w:w="1559" w:type="dxa"/>
            <w:tcBorders>
              <w:right w:val="double" w:sz="4" w:space="0" w:color="auto"/>
            </w:tcBorders>
            <w:vAlign w:val="bottom"/>
          </w:tcPr>
          <w:p w14:paraId="2B41134F" w14:textId="77777777" w:rsidR="001B5638" w:rsidRPr="00B36586" w:rsidRDefault="001B5638" w:rsidP="00223FA0">
            <w:pPr>
              <w:rPr>
                <w:color w:val="000000"/>
                <w:sz w:val="28"/>
                <w:szCs w:val="28"/>
                <w:lang w:eastAsia="en-GB"/>
              </w:rPr>
            </w:pPr>
            <w:r w:rsidRPr="00B36586">
              <w:rPr>
                <w:color w:val="000000"/>
              </w:rPr>
              <w:t>28</w:t>
            </w:r>
          </w:p>
        </w:tc>
        <w:tc>
          <w:tcPr>
            <w:tcW w:w="1559" w:type="dxa"/>
            <w:tcBorders>
              <w:left w:val="double" w:sz="4" w:space="0" w:color="auto"/>
            </w:tcBorders>
            <w:shd w:val="clear" w:color="auto" w:fill="auto"/>
            <w:vAlign w:val="bottom"/>
          </w:tcPr>
          <w:p w14:paraId="37D3F6E1" w14:textId="6973D2EC" w:rsidR="001B5638" w:rsidRPr="00B36586" w:rsidRDefault="001B5638" w:rsidP="00223FA0">
            <w:pPr>
              <w:rPr>
                <w:color w:val="000000"/>
              </w:rPr>
            </w:pPr>
            <w:r w:rsidRPr="00B36586">
              <w:rPr>
                <w:color w:val="000000"/>
              </w:rPr>
              <w:t>3 (1-7)</w:t>
            </w:r>
          </w:p>
        </w:tc>
        <w:tc>
          <w:tcPr>
            <w:tcW w:w="1559" w:type="dxa"/>
            <w:vAlign w:val="bottom"/>
          </w:tcPr>
          <w:p w14:paraId="68AD1455" w14:textId="5D47B552" w:rsidR="001B5638" w:rsidRPr="00B36586" w:rsidRDefault="001B5638" w:rsidP="00223FA0">
            <w:pPr>
              <w:rPr>
                <w:color w:val="000000"/>
              </w:rPr>
            </w:pPr>
            <w:r w:rsidRPr="00B36586">
              <w:rPr>
                <w:color w:val="000000"/>
              </w:rPr>
              <w:t>1 (1-3)</w:t>
            </w:r>
          </w:p>
        </w:tc>
      </w:tr>
      <w:tr w:rsidR="001B5638" w:rsidRPr="00B36586" w14:paraId="365ECA18" w14:textId="3F1CA3C4" w:rsidTr="00AA1599">
        <w:tc>
          <w:tcPr>
            <w:tcW w:w="2830" w:type="dxa"/>
            <w:tcBorders>
              <w:right w:val="double" w:sz="4" w:space="0" w:color="auto"/>
            </w:tcBorders>
            <w:vAlign w:val="bottom"/>
          </w:tcPr>
          <w:p w14:paraId="48B1F953" w14:textId="1FCDB597" w:rsidR="001B5638" w:rsidRPr="00B36586" w:rsidRDefault="001B5638" w:rsidP="00223FA0">
            <w:pPr>
              <w:rPr>
                <w:color w:val="000000"/>
                <w:sz w:val="28"/>
                <w:szCs w:val="28"/>
                <w:lang w:eastAsia="en-GB"/>
              </w:rPr>
            </w:pPr>
            <w:r w:rsidRPr="00B36586">
              <w:rPr>
                <w:color w:val="000000"/>
              </w:rPr>
              <w:t>RBHSTW-00142</w:t>
            </w:r>
          </w:p>
        </w:tc>
        <w:tc>
          <w:tcPr>
            <w:tcW w:w="1276" w:type="dxa"/>
            <w:tcBorders>
              <w:left w:val="double" w:sz="4" w:space="0" w:color="auto"/>
              <w:right w:val="double" w:sz="4" w:space="0" w:color="auto"/>
            </w:tcBorders>
            <w:shd w:val="clear" w:color="auto" w:fill="8BA1DC" w:themeFill="accent1" w:themeFillTint="66"/>
            <w:vAlign w:val="bottom"/>
          </w:tcPr>
          <w:p w14:paraId="6EB6CC2D" w14:textId="77777777" w:rsidR="001B5638" w:rsidRPr="00B36586" w:rsidRDefault="001B5638" w:rsidP="00223FA0">
            <w:pPr>
              <w:rPr>
                <w:color w:val="000000"/>
                <w:sz w:val="28"/>
                <w:szCs w:val="28"/>
                <w:lang w:eastAsia="en-GB"/>
              </w:rPr>
            </w:pPr>
            <w:r w:rsidRPr="00B36586">
              <w:rPr>
                <w:color w:val="000000"/>
              </w:rPr>
              <w:t>-790773</w:t>
            </w:r>
          </w:p>
        </w:tc>
        <w:tc>
          <w:tcPr>
            <w:tcW w:w="1985" w:type="dxa"/>
            <w:tcBorders>
              <w:left w:val="double" w:sz="4" w:space="0" w:color="auto"/>
            </w:tcBorders>
            <w:vAlign w:val="bottom"/>
          </w:tcPr>
          <w:p w14:paraId="75C3D12E" w14:textId="77777777" w:rsidR="001B5638" w:rsidRPr="00B36586" w:rsidRDefault="001B5638" w:rsidP="00223FA0">
            <w:pPr>
              <w:rPr>
                <w:color w:val="000000"/>
                <w:sz w:val="28"/>
                <w:szCs w:val="28"/>
                <w:lang w:eastAsia="en-GB"/>
              </w:rPr>
            </w:pPr>
            <w:r w:rsidRPr="00B36586">
              <w:rPr>
                <w:color w:val="000000"/>
              </w:rPr>
              <w:t>34684 (1.23%)</w:t>
            </w:r>
          </w:p>
        </w:tc>
        <w:tc>
          <w:tcPr>
            <w:tcW w:w="1842" w:type="dxa"/>
            <w:tcBorders>
              <w:right w:val="double" w:sz="4" w:space="0" w:color="auto"/>
            </w:tcBorders>
            <w:shd w:val="clear" w:color="auto" w:fill="8BA1DC" w:themeFill="accent1" w:themeFillTint="66"/>
            <w:vAlign w:val="bottom"/>
          </w:tcPr>
          <w:p w14:paraId="743CD535" w14:textId="77777777" w:rsidR="001B5638" w:rsidRPr="00B36586" w:rsidRDefault="001B5638" w:rsidP="00223FA0">
            <w:pPr>
              <w:rPr>
                <w:color w:val="000000"/>
                <w:sz w:val="28"/>
                <w:szCs w:val="28"/>
                <w:lang w:eastAsia="en-GB"/>
              </w:rPr>
            </w:pPr>
            <w:r w:rsidRPr="00B36586">
              <w:rPr>
                <w:color w:val="000000"/>
              </w:rPr>
              <w:t>32590 (1.16%)</w:t>
            </w:r>
          </w:p>
        </w:tc>
        <w:tc>
          <w:tcPr>
            <w:tcW w:w="1843" w:type="dxa"/>
            <w:tcBorders>
              <w:left w:val="double" w:sz="4" w:space="0" w:color="auto"/>
            </w:tcBorders>
            <w:vAlign w:val="bottom"/>
          </w:tcPr>
          <w:p w14:paraId="1AA137DB" w14:textId="77777777" w:rsidR="001B5638" w:rsidRPr="00B36586" w:rsidRDefault="001B5638" w:rsidP="00223FA0">
            <w:pPr>
              <w:rPr>
                <w:color w:val="000000"/>
                <w:sz w:val="28"/>
                <w:szCs w:val="28"/>
                <w:lang w:eastAsia="en-GB"/>
              </w:rPr>
            </w:pPr>
            <w:r w:rsidRPr="00B36586">
              <w:rPr>
                <w:color w:val="000000"/>
              </w:rPr>
              <w:t>12</w:t>
            </w:r>
          </w:p>
        </w:tc>
        <w:tc>
          <w:tcPr>
            <w:tcW w:w="1559" w:type="dxa"/>
            <w:tcBorders>
              <w:right w:val="double" w:sz="4" w:space="0" w:color="auto"/>
            </w:tcBorders>
            <w:vAlign w:val="bottom"/>
          </w:tcPr>
          <w:p w14:paraId="35E89311" w14:textId="77777777" w:rsidR="001B5638" w:rsidRPr="00B36586" w:rsidRDefault="001B5638" w:rsidP="00223FA0">
            <w:pPr>
              <w:rPr>
                <w:color w:val="000000"/>
                <w:sz w:val="28"/>
                <w:szCs w:val="28"/>
                <w:lang w:eastAsia="en-GB"/>
              </w:rPr>
            </w:pPr>
            <w:r w:rsidRPr="00B36586">
              <w:rPr>
                <w:color w:val="000000"/>
              </w:rPr>
              <w:t>12</w:t>
            </w:r>
          </w:p>
        </w:tc>
        <w:tc>
          <w:tcPr>
            <w:tcW w:w="1559" w:type="dxa"/>
            <w:tcBorders>
              <w:left w:val="double" w:sz="4" w:space="0" w:color="auto"/>
            </w:tcBorders>
            <w:shd w:val="clear" w:color="auto" w:fill="auto"/>
            <w:vAlign w:val="bottom"/>
          </w:tcPr>
          <w:p w14:paraId="48C37EBA" w14:textId="24D55C02" w:rsidR="001B5638" w:rsidRPr="00B36586" w:rsidRDefault="001B5638" w:rsidP="00223FA0">
            <w:pPr>
              <w:rPr>
                <w:color w:val="000000"/>
              </w:rPr>
            </w:pPr>
            <w:r w:rsidRPr="00B36586">
              <w:rPr>
                <w:color w:val="000000"/>
              </w:rPr>
              <w:t>3 (1-11)</w:t>
            </w:r>
          </w:p>
        </w:tc>
        <w:tc>
          <w:tcPr>
            <w:tcW w:w="1559" w:type="dxa"/>
            <w:vAlign w:val="bottom"/>
          </w:tcPr>
          <w:p w14:paraId="287C7BAD" w14:textId="230402D4" w:rsidR="001B5638" w:rsidRPr="00B36586" w:rsidRDefault="001B5638" w:rsidP="00223FA0">
            <w:pPr>
              <w:rPr>
                <w:color w:val="000000"/>
              </w:rPr>
            </w:pPr>
            <w:r w:rsidRPr="00B36586">
              <w:rPr>
                <w:color w:val="000000"/>
              </w:rPr>
              <w:t>0 (0-1)</w:t>
            </w:r>
          </w:p>
        </w:tc>
      </w:tr>
      <w:tr w:rsidR="001B5638" w:rsidRPr="00B36586" w14:paraId="79FF0944" w14:textId="7E1DB714" w:rsidTr="00AA1599">
        <w:tc>
          <w:tcPr>
            <w:tcW w:w="2830" w:type="dxa"/>
            <w:tcBorders>
              <w:right w:val="double" w:sz="4" w:space="0" w:color="auto"/>
            </w:tcBorders>
            <w:vAlign w:val="bottom"/>
          </w:tcPr>
          <w:p w14:paraId="6D7BC92B" w14:textId="66B6F76B" w:rsidR="001B5638" w:rsidRPr="00B36586" w:rsidRDefault="001B5638" w:rsidP="00223FA0">
            <w:pPr>
              <w:rPr>
                <w:color w:val="000000"/>
                <w:sz w:val="28"/>
                <w:szCs w:val="28"/>
                <w:lang w:eastAsia="en-GB"/>
              </w:rPr>
            </w:pPr>
            <w:r w:rsidRPr="00B36586">
              <w:rPr>
                <w:color w:val="000000"/>
              </w:rPr>
              <w:t>RBHSTW-00167</w:t>
            </w:r>
          </w:p>
        </w:tc>
        <w:tc>
          <w:tcPr>
            <w:tcW w:w="1276" w:type="dxa"/>
            <w:tcBorders>
              <w:left w:val="double" w:sz="4" w:space="0" w:color="auto"/>
              <w:right w:val="double" w:sz="4" w:space="0" w:color="auto"/>
            </w:tcBorders>
            <w:shd w:val="clear" w:color="auto" w:fill="FF6666" w:themeFill="accent2" w:themeFillTint="99"/>
            <w:vAlign w:val="bottom"/>
          </w:tcPr>
          <w:p w14:paraId="40E15747" w14:textId="77777777" w:rsidR="001B5638" w:rsidRPr="00B36586" w:rsidRDefault="001B5638" w:rsidP="00223FA0">
            <w:pPr>
              <w:rPr>
                <w:color w:val="000000"/>
                <w:sz w:val="28"/>
                <w:szCs w:val="28"/>
                <w:lang w:eastAsia="en-GB"/>
              </w:rPr>
            </w:pPr>
            <w:r w:rsidRPr="00B36586">
              <w:rPr>
                <w:color w:val="000000"/>
              </w:rPr>
              <w:t>4083063</w:t>
            </w:r>
          </w:p>
        </w:tc>
        <w:tc>
          <w:tcPr>
            <w:tcW w:w="1985" w:type="dxa"/>
            <w:tcBorders>
              <w:left w:val="double" w:sz="4" w:space="0" w:color="auto"/>
            </w:tcBorders>
            <w:shd w:val="clear" w:color="auto" w:fill="FF6666" w:themeFill="accent2" w:themeFillTint="99"/>
            <w:vAlign w:val="bottom"/>
          </w:tcPr>
          <w:p w14:paraId="1FDE24EC" w14:textId="77777777" w:rsidR="001B5638" w:rsidRPr="00B36586" w:rsidRDefault="001B5638" w:rsidP="00223FA0">
            <w:pPr>
              <w:rPr>
                <w:color w:val="000000"/>
                <w:sz w:val="28"/>
                <w:szCs w:val="28"/>
                <w:lang w:eastAsia="en-GB"/>
              </w:rPr>
            </w:pPr>
            <w:r w:rsidRPr="00B36586">
              <w:rPr>
                <w:color w:val="000000"/>
              </w:rPr>
              <w:t>34510 (1.13%)</w:t>
            </w:r>
          </w:p>
        </w:tc>
        <w:tc>
          <w:tcPr>
            <w:tcW w:w="1842" w:type="dxa"/>
            <w:tcBorders>
              <w:right w:val="double" w:sz="4" w:space="0" w:color="auto"/>
            </w:tcBorders>
            <w:vAlign w:val="bottom"/>
          </w:tcPr>
          <w:p w14:paraId="283B3B51" w14:textId="77777777" w:rsidR="001B5638" w:rsidRPr="00B36586" w:rsidRDefault="001B5638" w:rsidP="00223FA0">
            <w:pPr>
              <w:rPr>
                <w:color w:val="000000"/>
                <w:sz w:val="28"/>
                <w:szCs w:val="28"/>
                <w:lang w:eastAsia="en-GB"/>
              </w:rPr>
            </w:pPr>
            <w:r w:rsidRPr="00B36586">
              <w:rPr>
                <w:color w:val="000000"/>
              </w:rPr>
              <w:t>76805 (2.52%)</w:t>
            </w:r>
          </w:p>
        </w:tc>
        <w:tc>
          <w:tcPr>
            <w:tcW w:w="1843" w:type="dxa"/>
            <w:tcBorders>
              <w:left w:val="double" w:sz="4" w:space="0" w:color="auto"/>
            </w:tcBorders>
            <w:shd w:val="clear" w:color="auto" w:fill="FF6666" w:themeFill="accent2" w:themeFillTint="99"/>
            <w:vAlign w:val="bottom"/>
          </w:tcPr>
          <w:p w14:paraId="54D99178" w14:textId="77777777" w:rsidR="001B5638" w:rsidRPr="00B36586" w:rsidRDefault="001B5638" w:rsidP="00223FA0">
            <w:pPr>
              <w:rPr>
                <w:color w:val="000000"/>
                <w:sz w:val="28"/>
                <w:szCs w:val="28"/>
                <w:lang w:eastAsia="en-GB"/>
              </w:rPr>
            </w:pPr>
            <w:r w:rsidRPr="00B36586">
              <w:rPr>
                <w:color w:val="000000"/>
              </w:rPr>
              <w:t>24</w:t>
            </w:r>
          </w:p>
        </w:tc>
        <w:tc>
          <w:tcPr>
            <w:tcW w:w="1559" w:type="dxa"/>
            <w:tcBorders>
              <w:right w:val="double" w:sz="4" w:space="0" w:color="auto"/>
            </w:tcBorders>
            <w:vAlign w:val="bottom"/>
          </w:tcPr>
          <w:p w14:paraId="39AE97B7" w14:textId="77777777" w:rsidR="001B5638" w:rsidRPr="00B36586" w:rsidRDefault="001B5638" w:rsidP="00223FA0">
            <w:pPr>
              <w:rPr>
                <w:color w:val="000000"/>
                <w:sz w:val="28"/>
                <w:szCs w:val="28"/>
                <w:lang w:eastAsia="en-GB"/>
              </w:rPr>
            </w:pPr>
            <w:r w:rsidRPr="00B36586">
              <w:rPr>
                <w:color w:val="000000"/>
              </w:rPr>
              <w:t>33</w:t>
            </w:r>
          </w:p>
        </w:tc>
        <w:tc>
          <w:tcPr>
            <w:tcW w:w="1559" w:type="dxa"/>
            <w:tcBorders>
              <w:left w:val="double" w:sz="4" w:space="0" w:color="auto"/>
            </w:tcBorders>
            <w:shd w:val="clear" w:color="auto" w:fill="auto"/>
            <w:vAlign w:val="bottom"/>
          </w:tcPr>
          <w:p w14:paraId="55056B8E" w14:textId="75974683" w:rsidR="001B5638" w:rsidRPr="00B36586" w:rsidRDefault="001B5638" w:rsidP="00223FA0">
            <w:pPr>
              <w:rPr>
                <w:color w:val="000000"/>
              </w:rPr>
            </w:pPr>
            <w:r w:rsidRPr="00B36586">
              <w:rPr>
                <w:color w:val="000000"/>
              </w:rPr>
              <w:t>21 (18-47)</w:t>
            </w:r>
          </w:p>
        </w:tc>
        <w:tc>
          <w:tcPr>
            <w:tcW w:w="1559" w:type="dxa"/>
            <w:vAlign w:val="bottom"/>
          </w:tcPr>
          <w:p w14:paraId="2A10CD74" w14:textId="6BED320A" w:rsidR="001B5638" w:rsidRPr="00B36586" w:rsidRDefault="001B5638" w:rsidP="00223FA0">
            <w:pPr>
              <w:rPr>
                <w:color w:val="000000"/>
              </w:rPr>
            </w:pPr>
            <w:r w:rsidRPr="00B36586">
              <w:rPr>
                <w:color w:val="000000"/>
              </w:rPr>
              <w:t>1.5 (0-4)</w:t>
            </w:r>
          </w:p>
        </w:tc>
      </w:tr>
      <w:tr w:rsidR="001B5638" w:rsidRPr="00B36586" w14:paraId="7C658E76" w14:textId="2157FCDA" w:rsidTr="00AA1599">
        <w:tc>
          <w:tcPr>
            <w:tcW w:w="2830" w:type="dxa"/>
            <w:tcBorders>
              <w:right w:val="double" w:sz="4" w:space="0" w:color="auto"/>
            </w:tcBorders>
            <w:vAlign w:val="bottom"/>
          </w:tcPr>
          <w:p w14:paraId="481361F9" w14:textId="67E3CEBB" w:rsidR="001B5638" w:rsidRPr="00B36586" w:rsidRDefault="001B5638" w:rsidP="00223FA0">
            <w:pPr>
              <w:rPr>
                <w:color w:val="000000"/>
                <w:sz w:val="28"/>
                <w:szCs w:val="28"/>
                <w:lang w:eastAsia="en-GB"/>
              </w:rPr>
            </w:pPr>
            <w:r w:rsidRPr="00B36586">
              <w:rPr>
                <w:color w:val="000000"/>
              </w:rPr>
              <w:t>RBHSTW-00189</w:t>
            </w:r>
          </w:p>
        </w:tc>
        <w:tc>
          <w:tcPr>
            <w:tcW w:w="1276" w:type="dxa"/>
            <w:tcBorders>
              <w:left w:val="double" w:sz="4" w:space="0" w:color="auto"/>
              <w:right w:val="double" w:sz="4" w:space="0" w:color="auto"/>
            </w:tcBorders>
            <w:shd w:val="clear" w:color="auto" w:fill="8BA1DC" w:themeFill="accent1" w:themeFillTint="66"/>
            <w:vAlign w:val="bottom"/>
          </w:tcPr>
          <w:p w14:paraId="2AA2796E" w14:textId="77777777" w:rsidR="001B5638" w:rsidRPr="00B36586" w:rsidRDefault="001B5638" w:rsidP="00223FA0">
            <w:pPr>
              <w:rPr>
                <w:color w:val="000000"/>
                <w:sz w:val="28"/>
                <w:szCs w:val="28"/>
                <w:lang w:eastAsia="en-GB"/>
              </w:rPr>
            </w:pPr>
            <w:r w:rsidRPr="00B36586">
              <w:rPr>
                <w:color w:val="000000"/>
              </w:rPr>
              <w:t>-158523</w:t>
            </w:r>
          </w:p>
        </w:tc>
        <w:tc>
          <w:tcPr>
            <w:tcW w:w="1985" w:type="dxa"/>
            <w:tcBorders>
              <w:left w:val="double" w:sz="4" w:space="0" w:color="auto"/>
            </w:tcBorders>
            <w:shd w:val="clear" w:color="auto" w:fill="FF6666" w:themeFill="accent2" w:themeFillTint="99"/>
            <w:vAlign w:val="bottom"/>
          </w:tcPr>
          <w:p w14:paraId="361940FC" w14:textId="77777777" w:rsidR="001B5638" w:rsidRPr="00B36586" w:rsidRDefault="001B5638" w:rsidP="00223FA0">
            <w:pPr>
              <w:rPr>
                <w:color w:val="000000"/>
                <w:sz w:val="28"/>
                <w:szCs w:val="28"/>
                <w:lang w:eastAsia="en-GB"/>
              </w:rPr>
            </w:pPr>
            <w:r w:rsidRPr="00B36586">
              <w:rPr>
                <w:color w:val="000000"/>
              </w:rPr>
              <w:t>37378 (1.25%)</w:t>
            </w:r>
          </w:p>
        </w:tc>
        <w:tc>
          <w:tcPr>
            <w:tcW w:w="1842" w:type="dxa"/>
            <w:tcBorders>
              <w:right w:val="double" w:sz="4" w:space="0" w:color="auto"/>
            </w:tcBorders>
            <w:vAlign w:val="bottom"/>
          </w:tcPr>
          <w:p w14:paraId="01DEDD17" w14:textId="77777777" w:rsidR="001B5638" w:rsidRPr="00B36586" w:rsidRDefault="001B5638" w:rsidP="00223FA0">
            <w:pPr>
              <w:rPr>
                <w:color w:val="000000"/>
                <w:sz w:val="28"/>
                <w:szCs w:val="28"/>
                <w:lang w:eastAsia="en-GB"/>
              </w:rPr>
            </w:pPr>
            <w:r w:rsidRPr="00B36586">
              <w:rPr>
                <w:color w:val="000000"/>
              </w:rPr>
              <w:t>37418 (1.25%)</w:t>
            </w:r>
          </w:p>
        </w:tc>
        <w:tc>
          <w:tcPr>
            <w:tcW w:w="1843" w:type="dxa"/>
            <w:tcBorders>
              <w:left w:val="double" w:sz="4" w:space="0" w:color="auto"/>
            </w:tcBorders>
            <w:shd w:val="clear" w:color="auto" w:fill="FF6666" w:themeFill="accent2" w:themeFillTint="99"/>
            <w:vAlign w:val="bottom"/>
          </w:tcPr>
          <w:p w14:paraId="0BE4BCBB" w14:textId="77777777" w:rsidR="001B5638" w:rsidRPr="00B36586" w:rsidRDefault="001B5638" w:rsidP="00223FA0">
            <w:pPr>
              <w:rPr>
                <w:color w:val="000000"/>
                <w:sz w:val="28"/>
                <w:szCs w:val="28"/>
                <w:lang w:eastAsia="en-GB"/>
              </w:rPr>
            </w:pPr>
            <w:r w:rsidRPr="00B36586">
              <w:rPr>
                <w:color w:val="000000"/>
              </w:rPr>
              <w:t>9</w:t>
            </w:r>
          </w:p>
        </w:tc>
        <w:tc>
          <w:tcPr>
            <w:tcW w:w="1559" w:type="dxa"/>
            <w:tcBorders>
              <w:right w:val="double" w:sz="4" w:space="0" w:color="auto"/>
            </w:tcBorders>
            <w:vAlign w:val="bottom"/>
          </w:tcPr>
          <w:p w14:paraId="6128FC57" w14:textId="77777777" w:rsidR="001B5638" w:rsidRPr="00B36586" w:rsidRDefault="001B5638" w:rsidP="00223FA0">
            <w:pPr>
              <w:rPr>
                <w:color w:val="000000"/>
                <w:sz w:val="28"/>
                <w:szCs w:val="28"/>
                <w:lang w:eastAsia="en-GB"/>
              </w:rPr>
            </w:pPr>
            <w:r w:rsidRPr="00B36586">
              <w:rPr>
                <w:color w:val="000000"/>
              </w:rPr>
              <w:t>12</w:t>
            </w:r>
          </w:p>
        </w:tc>
        <w:tc>
          <w:tcPr>
            <w:tcW w:w="1559" w:type="dxa"/>
            <w:tcBorders>
              <w:left w:val="double" w:sz="4" w:space="0" w:color="auto"/>
            </w:tcBorders>
            <w:shd w:val="clear" w:color="auto" w:fill="auto"/>
            <w:vAlign w:val="bottom"/>
          </w:tcPr>
          <w:p w14:paraId="478C0798" w14:textId="07043717" w:rsidR="001B5638" w:rsidRPr="00B36586" w:rsidRDefault="001B5638" w:rsidP="00223FA0">
            <w:pPr>
              <w:rPr>
                <w:color w:val="000000"/>
              </w:rPr>
            </w:pPr>
            <w:r w:rsidRPr="00B36586">
              <w:rPr>
                <w:color w:val="000000"/>
              </w:rPr>
              <w:t>11.5 (7-21)</w:t>
            </w:r>
          </w:p>
        </w:tc>
        <w:tc>
          <w:tcPr>
            <w:tcW w:w="1559" w:type="dxa"/>
            <w:vAlign w:val="bottom"/>
          </w:tcPr>
          <w:p w14:paraId="52B37BC7" w14:textId="05A59E3A" w:rsidR="001B5638" w:rsidRPr="00B36586" w:rsidRDefault="001B5638" w:rsidP="00223FA0">
            <w:pPr>
              <w:rPr>
                <w:color w:val="000000"/>
              </w:rPr>
            </w:pPr>
            <w:r w:rsidRPr="00B36586">
              <w:rPr>
                <w:color w:val="000000"/>
              </w:rPr>
              <w:t>1 (0-2)</w:t>
            </w:r>
          </w:p>
        </w:tc>
      </w:tr>
      <w:tr w:rsidR="001B5638" w:rsidRPr="00B36586" w14:paraId="64AC1C28" w14:textId="077073B8" w:rsidTr="00AA1599">
        <w:tc>
          <w:tcPr>
            <w:tcW w:w="2830" w:type="dxa"/>
            <w:tcBorders>
              <w:right w:val="double" w:sz="4" w:space="0" w:color="auto"/>
            </w:tcBorders>
            <w:vAlign w:val="bottom"/>
          </w:tcPr>
          <w:p w14:paraId="5F17448B" w14:textId="7D3C4C27" w:rsidR="001B5638" w:rsidRPr="00B36586" w:rsidRDefault="001B5638" w:rsidP="00223FA0">
            <w:pPr>
              <w:rPr>
                <w:color w:val="000000"/>
                <w:sz w:val="28"/>
                <w:szCs w:val="28"/>
                <w:lang w:eastAsia="en-GB"/>
              </w:rPr>
            </w:pPr>
            <w:r w:rsidRPr="00B36586">
              <w:rPr>
                <w:color w:val="000000"/>
              </w:rPr>
              <w:t>RBHSTW-00277</w:t>
            </w:r>
          </w:p>
        </w:tc>
        <w:tc>
          <w:tcPr>
            <w:tcW w:w="1276" w:type="dxa"/>
            <w:tcBorders>
              <w:left w:val="double" w:sz="4" w:space="0" w:color="auto"/>
              <w:right w:val="double" w:sz="4" w:space="0" w:color="auto"/>
            </w:tcBorders>
            <w:shd w:val="clear" w:color="auto" w:fill="FF6666" w:themeFill="accent2" w:themeFillTint="99"/>
            <w:vAlign w:val="bottom"/>
          </w:tcPr>
          <w:p w14:paraId="1AAD761E" w14:textId="77777777" w:rsidR="001B5638" w:rsidRPr="00B36586" w:rsidRDefault="001B5638" w:rsidP="00223FA0">
            <w:pPr>
              <w:rPr>
                <w:color w:val="000000"/>
                <w:sz w:val="28"/>
                <w:szCs w:val="28"/>
                <w:lang w:eastAsia="en-GB"/>
              </w:rPr>
            </w:pPr>
            <w:r w:rsidRPr="00B36586">
              <w:rPr>
                <w:color w:val="000000"/>
              </w:rPr>
              <w:t>18417</w:t>
            </w:r>
          </w:p>
        </w:tc>
        <w:tc>
          <w:tcPr>
            <w:tcW w:w="1985" w:type="dxa"/>
            <w:tcBorders>
              <w:left w:val="double" w:sz="4" w:space="0" w:color="auto"/>
            </w:tcBorders>
            <w:shd w:val="clear" w:color="auto" w:fill="FF6666" w:themeFill="accent2" w:themeFillTint="99"/>
            <w:vAlign w:val="bottom"/>
          </w:tcPr>
          <w:p w14:paraId="0B992CC7" w14:textId="77777777" w:rsidR="001B5638" w:rsidRPr="00B36586" w:rsidRDefault="001B5638" w:rsidP="00223FA0">
            <w:pPr>
              <w:rPr>
                <w:color w:val="000000"/>
                <w:sz w:val="28"/>
                <w:szCs w:val="28"/>
                <w:lang w:eastAsia="en-GB"/>
              </w:rPr>
            </w:pPr>
            <w:r w:rsidRPr="00B36586">
              <w:rPr>
                <w:color w:val="000000"/>
              </w:rPr>
              <w:t>33677 (0.99%)</w:t>
            </w:r>
          </w:p>
        </w:tc>
        <w:tc>
          <w:tcPr>
            <w:tcW w:w="1842" w:type="dxa"/>
            <w:tcBorders>
              <w:right w:val="double" w:sz="4" w:space="0" w:color="auto"/>
            </w:tcBorders>
            <w:vAlign w:val="bottom"/>
          </w:tcPr>
          <w:p w14:paraId="0E577389" w14:textId="77777777" w:rsidR="001B5638" w:rsidRPr="00B36586" w:rsidRDefault="001B5638" w:rsidP="00223FA0">
            <w:pPr>
              <w:rPr>
                <w:color w:val="000000"/>
                <w:sz w:val="28"/>
                <w:szCs w:val="28"/>
                <w:lang w:eastAsia="en-GB"/>
              </w:rPr>
            </w:pPr>
            <w:r w:rsidRPr="00B36586">
              <w:rPr>
                <w:color w:val="000000"/>
              </w:rPr>
              <w:t>33685 (0.99%)</w:t>
            </w:r>
          </w:p>
        </w:tc>
        <w:tc>
          <w:tcPr>
            <w:tcW w:w="1843" w:type="dxa"/>
            <w:tcBorders>
              <w:left w:val="double" w:sz="4" w:space="0" w:color="auto"/>
            </w:tcBorders>
            <w:vAlign w:val="bottom"/>
          </w:tcPr>
          <w:p w14:paraId="3A0025EC" w14:textId="77777777" w:rsidR="001B5638" w:rsidRPr="00B36586" w:rsidRDefault="001B5638" w:rsidP="00223FA0">
            <w:pPr>
              <w:rPr>
                <w:color w:val="000000"/>
                <w:sz w:val="28"/>
                <w:szCs w:val="28"/>
                <w:lang w:eastAsia="en-GB"/>
              </w:rPr>
            </w:pPr>
            <w:r w:rsidRPr="00B36586">
              <w:rPr>
                <w:color w:val="000000"/>
              </w:rPr>
              <w:t>16</w:t>
            </w:r>
          </w:p>
        </w:tc>
        <w:tc>
          <w:tcPr>
            <w:tcW w:w="1559" w:type="dxa"/>
            <w:tcBorders>
              <w:right w:val="double" w:sz="4" w:space="0" w:color="auto"/>
            </w:tcBorders>
            <w:vAlign w:val="bottom"/>
          </w:tcPr>
          <w:p w14:paraId="32BBAB6C" w14:textId="77777777" w:rsidR="001B5638" w:rsidRPr="00B36586" w:rsidRDefault="001B5638" w:rsidP="00223FA0">
            <w:pPr>
              <w:rPr>
                <w:color w:val="000000"/>
                <w:sz w:val="28"/>
                <w:szCs w:val="28"/>
                <w:lang w:eastAsia="en-GB"/>
              </w:rPr>
            </w:pPr>
            <w:r w:rsidRPr="00B36586">
              <w:rPr>
                <w:color w:val="000000"/>
              </w:rPr>
              <w:t>16</w:t>
            </w:r>
          </w:p>
        </w:tc>
        <w:tc>
          <w:tcPr>
            <w:tcW w:w="1559" w:type="dxa"/>
            <w:tcBorders>
              <w:left w:val="double" w:sz="4" w:space="0" w:color="auto"/>
            </w:tcBorders>
            <w:shd w:val="clear" w:color="auto" w:fill="auto"/>
            <w:vAlign w:val="bottom"/>
          </w:tcPr>
          <w:p w14:paraId="00141F3B" w14:textId="7E1075EF" w:rsidR="001B5638" w:rsidRPr="00B36586" w:rsidRDefault="001B5638" w:rsidP="00223FA0">
            <w:pPr>
              <w:rPr>
                <w:color w:val="000000"/>
              </w:rPr>
            </w:pPr>
            <w:r w:rsidRPr="00B36586">
              <w:rPr>
                <w:color w:val="000000"/>
              </w:rPr>
              <w:t>2 (0-2)</w:t>
            </w:r>
          </w:p>
        </w:tc>
        <w:tc>
          <w:tcPr>
            <w:tcW w:w="1559" w:type="dxa"/>
            <w:vAlign w:val="bottom"/>
          </w:tcPr>
          <w:p w14:paraId="07223E84" w14:textId="3DB3BC76" w:rsidR="001B5638" w:rsidRPr="00B36586" w:rsidRDefault="001B5638" w:rsidP="00223FA0">
            <w:pPr>
              <w:rPr>
                <w:color w:val="000000"/>
              </w:rPr>
            </w:pPr>
            <w:r w:rsidRPr="00B36586">
              <w:rPr>
                <w:color w:val="000000"/>
              </w:rPr>
              <w:t>0 (0-0)</w:t>
            </w:r>
          </w:p>
        </w:tc>
      </w:tr>
      <w:tr w:rsidR="001B5638" w:rsidRPr="00B36586" w14:paraId="4A862E5D" w14:textId="31536821" w:rsidTr="00AA1599">
        <w:tc>
          <w:tcPr>
            <w:tcW w:w="2830" w:type="dxa"/>
            <w:tcBorders>
              <w:right w:val="double" w:sz="4" w:space="0" w:color="auto"/>
            </w:tcBorders>
            <w:vAlign w:val="bottom"/>
          </w:tcPr>
          <w:p w14:paraId="39C12723" w14:textId="49083132" w:rsidR="001B5638" w:rsidRPr="00B36586" w:rsidRDefault="001B5638" w:rsidP="00223FA0">
            <w:pPr>
              <w:rPr>
                <w:color w:val="000000"/>
                <w:sz w:val="28"/>
                <w:szCs w:val="28"/>
                <w:lang w:eastAsia="en-GB"/>
              </w:rPr>
            </w:pPr>
            <w:r w:rsidRPr="00B36586">
              <w:rPr>
                <w:color w:val="000000"/>
              </w:rPr>
              <w:t>RBHSTW-00309</w:t>
            </w:r>
          </w:p>
        </w:tc>
        <w:tc>
          <w:tcPr>
            <w:tcW w:w="1276" w:type="dxa"/>
            <w:tcBorders>
              <w:left w:val="double" w:sz="4" w:space="0" w:color="auto"/>
              <w:right w:val="double" w:sz="4" w:space="0" w:color="auto"/>
            </w:tcBorders>
            <w:shd w:val="clear" w:color="auto" w:fill="8BA1DC" w:themeFill="accent1" w:themeFillTint="66"/>
            <w:vAlign w:val="bottom"/>
          </w:tcPr>
          <w:p w14:paraId="4207462D" w14:textId="77777777" w:rsidR="001B5638" w:rsidRPr="00B36586" w:rsidRDefault="001B5638" w:rsidP="00223FA0">
            <w:pPr>
              <w:rPr>
                <w:color w:val="000000"/>
                <w:sz w:val="28"/>
                <w:szCs w:val="28"/>
                <w:lang w:eastAsia="en-GB"/>
              </w:rPr>
            </w:pPr>
            <w:r w:rsidRPr="00B36586">
              <w:rPr>
                <w:color w:val="000000"/>
              </w:rPr>
              <w:t>-518811</w:t>
            </w:r>
          </w:p>
        </w:tc>
        <w:tc>
          <w:tcPr>
            <w:tcW w:w="1985" w:type="dxa"/>
            <w:tcBorders>
              <w:left w:val="double" w:sz="4" w:space="0" w:color="auto"/>
            </w:tcBorders>
            <w:vAlign w:val="bottom"/>
          </w:tcPr>
          <w:p w14:paraId="2C1C0BBC" w14:textId="77777777" w:rsidR="001B5638" w:rsidRPr="00B36586" w:rsidRDefault="001B5638" w:rsidP="00223FA0">
            <w:pPr>
              <w:rPr>
                <w:color w:val="000000"/>
                <w:sz w:val="28"/>
                <w:szCs w:val="28"/>
                <w:lang w:eastAsia="en-GB"/>
              </w:rPr>
            </w:pPr>
            <w:r w:rsidRPr="00B36586">
              <w:rPr>
                <w:color w:val="000000"/>
              </w:rPr>
              <w:t>30704 (0.88%)</w:t>
            </w:r>
          </w:p>
        </w:tc>
        <w:tc>
          <w:tcPr>
            <w:tcW w:w="1842" w:type="dxa"/>
            <w:tcBorders>
              <w:right w:val="double" w:sz="4" w:space="0" w:color="auto"/>
            </w:tcBorders>
            <w:shd w:val="clear" w:color="auto" w:fill="8BA1DC" w:themeFill="accent1" w:themeFillTint="66"/>
            <w:vAlign w:val="bottom"/>
          </w:tcPr>
          <w:p w14:paraId="4AFAE78A" w14:textId="77777777" w:rsidR="001B5638" w:rsidRPr="00B36586" w:rsidRDefault="001B5638" w:rsidP="00223FA0">
            <w:pPr>
              <w:rPr>
                <w:color w:val="000000"/>
                <w:sz w:val="28"/>
                <w:szCs w:val="28"/>
                <w:lang w:eastAsia="en-GB"/>
              </w:rPr>
            </w:pPr>
            <w:r w:rsidRPr="00B36586">
              <w:rPr>
                <w:color w:val="000000"/>
              </w:rPr>
              <w:t>30327 (0.87%)</w:t>
            </w:r>
          </w:p>
        </w:tc>
        <w:tc>
          <w:tcPr>
            <w:tcW w:w="1843" w:type="dxa"/>
            <w:tcBorders>
              <w:left w:val="double" w:sz="4" w:space="0" w:color="auto"/>
            </w:tcBorders>
            <w:shd w:val="clear" w:color="auto" w:fill="FF6666" w:themeFill="accent2" w:themeFillTint="99"/>
            <w:vAlign w:val="bottom"/>
          </w:tcPr>
          <w:p w14:paraId="3230ED31" w14:textId="77777777" w:rsidR="001B5638" w:rsidRPr="00B36586" w:rsidRDefault="001B5638" w:rsidP="00223FA0">
            <w:pPr>
              <w:rPr>
                <w:color w:val="000000"/>
                <w:sz w:val="28"/>
                <w:szCs w:val="28"/>
                <w:lang w:eastAsia="en-GB"/>
              </w:rPr>
            </w:pPr>
            <w:r w:rsidRPr="00B36586">
              <w:rPr>
                <w:color w:val="000000"/>
              </w:rPr>
              <w:t>17</w:t>
            </w:r>
          </w:p>
        </w:tc>
        <w:tc>
          <w:tcPr>
            <w:tcW w:w="1559" w:type="dxa"/>
            <w:tcBorders>
              <w:right w:val="double" w:sz="4" w:space="0" w:color="auto"/>
            </w:tcBorders>
            <w:vAlign w:val="bottom"/>
          </w:tcPr>
          <w:p w14:paraId="1A084685" w14:textId="77777777" w:rsidR="001B5638" w:rsidRPr="00B36586" w:rsidRDefault="001B5638" w:rsidP="00223FA0">
            <w:pPr>
              <w:rPr>
                <w:color w:val="000000"/>
                <w:sz w:val="28"/>
                <w:szCs w:val="28"/>
                <w:lang w:eastAsia="en-GB"/>
              </w:rPr>
            </w:pPr>
            <w:r w:rsidRPr="00B36586">
              <w:rPr>
                <w:color w:val="000000"/>
              </w:rPr>
              <w:t>36</w:t>
            </w:r>
          </w:p>
        </w:tc>
        <w:tc>
          <w:tcPr>
            <w:tcW w:w="1559" w:type="dxa"/>
            <w:tcBorders>
              <w:left w:val="double" w:sz="4" w:space="0" w:color="auto"/>
            </w:tcBorders>
            <w:shd w:val="clear" w:color="auto" w:fill="auto"/>
            <w:vAlign w:val="bottom"/>
          </w:tcPr>
          <w:p w14:paraId="67CE7C4C" w14:textId="279282EA" w:rsidR="001B5638" w:rsidRPr="00B36586" w:rsidRDefault="001B5638" w:rsidP="00223FA0">
            <w:pPr>
              <w:rPr>
                <w:color w:val="000000"/>
              </w:rPr>
            </w:pPr>
            <w:r w:rsidRPr="00B36586">
              <w:rPr>
                <w:color w:val="000000"/>
              </w:rPr>
              <w:t>2 (0-11)</w:t>
            </w:r>
          </w:p>
        </w:tc>
        <w:tc>
          <w:tcPr>
            <w:tcW w:w="1559" w:type="dxa"/>
            <w:vAlign w:val="bottom"/>
          </w:tcPr>
          <w:p w14:paraId="6BA3CCD4" w14:textId="3351C6D8" w:rsidR="001B5638" w:rsidRPr="00B36586" w:rsidRDefault="001B5638" w:rsidP="00223FA0">
            <w:pPr>
              <w:rPr>
                <w:color w:val="000000"/>
              </w:rPr>
            </w:pPr>
            <w:r w:rsidRPr="00B36586">
              <w:rPr>
                <w:color w:val="000000"/>
              </w:rPr>
              <w:t>44.5 (0-86)</w:t>
            </w:r>
          </w:p>
        </w:tc>
      </w:tr>
      <w:tr w:rsidR="001B5638" w:rsidRPr="00B36586" w14:paraId="7881EA1E" w14:textId="06F840AA" w:rsidTr="00AA1599">
        <w:tc>
          <w:tcPr>
            <w:tcW w:w="2830" w:type="dxa"/>
            <w:tcBorders>
              <w:right w:val="double" w:sz="4" w:space="0" w:color="auto"/>
            </w:tcBorders>
            <w:vAlign w:val="bottom"/>
          </w:tcPr>
          <w:p w14:paraId="18AD7BA8" w14:textId="0D59EC8C" w:rsidR="001B5638" w:rsidRPr="00B36586" w:rsidRDefault="001B5638" w:rsidP="00223FA0">
            <w:pPr>
              <w:rPr>
                <w:color w:val="000000"/>
                <w:sz w:val="28"/>
                <w:szCs w:val="28"/>
                <w:lang w:eastAsia="en-GB"/>
              </w:rPr>
            </w:pPr>
            <w:r w:rsidRPr="00B36586">
              <w:rPr>
                <w:color w:val="000000"/>
              </w:rPr>
              <w:t>RBHSTW-00340</w:t>
            </w:r>
          </w:p>
        </w:tc>
        <w:tc>
          <w:tcPr>
            <w:tcW w:w="1276" w:type="dxa"/>
            <w:tcBorders>
              <w:left w:val="double" w:sz="4" w:space="0" w:color="auto"/>
              <w:right w:val="double" w:sz="4" w:space="0" w:color="auto"/>
            </w:tcBorders>
            <w:shd w:val="clear" w:color="auto" w:fill="8BA1DC" w:themeFill="accent1" w:themeFillTint="66"/>
            <w:vAlign w:val="bottom"/>
          </w:tcPr>
          <w:p w14:paraId="526D95A6" w14:textId="77777777" w:rsidR="001B5638" w:rsidRPr="00B36586" w:rsidRDefault="001B5638" w:rsidP="00223FA0">
            <w:pPr>
              <w:rPr>
                <w:color w:val="000000"/>
                <w:sz w:val="28"/>
                <w:szCs w:val="28"/>
                <w:lang w:eastAsia="en-GB"/>
              </w:rPr>
            </w:pPr>
            <w:r w:rsidRPr="00B36586">
              <w:rPr>
                <w:color w:val="000000"/>
              </w:rPr>
              <w:t>-906675</w:t>
            </w:r>
          </w:p>
        </w:tc>
        <w:tc>
          <w:tcPr>
            <w:tcW w:w="1985" w:type="dxa"/>
            <w:tcBorders>
              <w:left w:val="double" w:sz="4" w:space="0" w:color="auto"/>
            </w:tcBorders>
            <w:vAlign w:val="bottom"/>
          </w:tcPr>
          <w:p w14:paraId="5112F54B" w14:textId="77777777" w:rsidR="001B5638" w:rsidRPr="00B36586" w:rsidRDefault="001B5638" w:rsidP="00223FA0">
            <w:pPr>
              <w:rPr>
                <w:color w:val="000000"/>
                <w:sz w:val="28"/>
                <w:szCs w:val="28"/>
                <w:lang w:eastAsia="en-GB"/>
              </w:rPr>
            </w:pPr>
            <w:r w:rsidRPr="00B36586">
              <w:rPr>
                <w:color w:val="000000"/>
              </w:rPr>
              <w:t>30802 (0.87%)</w:t>
            </w:r>
          </w:p>
        </w:tc>
        <w:tc>
          <w:tcPr>
            <w:tcW w:w="1842" w:type="dxa"/>
            <w:tcBorders>
              <w:right w:val="double" w:sz="4" w:space="0" w:color="auto"/>
            </w:tcBorders>
            <w:shd w:val="clear" w:color="auto" w:fill="8BA1DC" w:themeFill="accent1" w:themeFillTint="66"/>
            <w:vAlign w:val="bottom"/>
          </w:tcPr>
          <w:p w14:paraId="5F591EFA" w14:textId="77777777" w:rsidR="001B5638" w:rsidRPr="00B36586" w:rsidRDefault="001B5638" w:rsidP="00223FA0">
            <w:pPr>
              <w:rPr>
                <w:color w:val="000000"/>
                <w:sz w:val="28"/>
                <w:szCs w:val="28"/>
                <w:lang w:eastAsia="en-GB"/>
              </w:rPr>
            </w:pPr>
            <w:r w:rsidRPr="00B36586">
              <w:rPr>
                <w:color w:val="000000"/>
              </w:rPr>
              <w:t>29860 (0.84%)</w:t>
            </w:r>
          </w:p>
        </w:tc>
        <w:tc>
          <w:tcPr>
            <w:tcW w:w="1843" w:type="dxa"/>
            <w:tcBorders>
              <w:left w:val="double" w:sz="4" w:space="0" w:color="auto"/>
            </w:tcBorders>
            <w:vAlign w:val="bottom"/>
          </w:tcPr>
          <w:p w14:paraId="5F4AB6C2" w14:textId="77777777" w:rsidR="001B5638" w:rsidRPr="00B36586" w:rsidRDefault="001B5638" w:rsidP="00223FA0">
            <w:pPr>
              <w:rPr>
                <w:color w:val="000000"/>
                <w:sz w:val="28"/>
                <w:szCs w:val="28"/>
                <w:lang w:eastAsia="en-GB"/>
              </w:rPr>
            </w:pPr>
            <w:r w:rsidRPr="00B36586">
              <w:rPr>
                <w:color w:val="000000"/>
              </w:rPr>
              <w:t>11</w:t>
            </w:r>
          </w:p>
        </w:tc>
        <w:tc>
          <w:tcPr>
            <w:tcW w:w="1559" w:type="dxa"/>
            <w:tcBorders>
              <w:right w:val="double" w:sz="4" w:space="0" w:color="auto"/>
            </w:tcBorders>
            <w:shd w:val="clear" w:color="auto" w:fill="8BA1DC" w:themeFill="accent1" w:themeFillTint="66"/>
            <w:vAlign w:val="bottom"/>
          </w:tcPr>
          <w:p w14:paraId="5052187A" w14:textId="77777777" w:rsidR="001B5638" w:rsidRPr="00B36586" w:rsidRDefault="001B5638" w:rsidP="00223FA0">
            <w:pPr>
              <w:rPr>
                <w:color w:val="000000"/>
                <w:sz w:val="28"/>
                <w:szCs w:val="28"/>
                <w:lang w:eastAsia="en-GB"/>
              </w:rPr>
            </w:pPr>
            <w:r w:rsidRPr="00B36586">
              <w:rPr>
                <w:color w:val="000000"/>
              </w:rPr>
              <w:t>10</w:t>
            </w:r>
          </w:p>
        </w:tc>
        <w:tc>
          <w:tcPr>
            <w:tcW w:w="1559" w:type="dxa"/>
            <w:tcBorders>
              <w:left w:val="double" w:sz="4" w:space="0" w:color="auto"/>
            </w:tcBorders>
            <w:shd w:val="clear" w:color="auto" w:fill="auto"/>
            <w:vAlign w:val="bottom"/>
          </w:tcPr>
          <w:p w14:paraId="7CD55F25" w14:textId="4FEF260D" w:rsidR="001B5638" w:rsidRPr="00B36586" w:rsidRDefault="001B5638" w:rsidP="00223FA0">
            <w:pPr>
              <w:rPr>
                <w:color w:val="000000"/>
              </w:rPr>
            </w:pPr>
            <w:r w:rsidRPr="00B36586">
              <w:rPr>
                <w:color w:val="000000"/>
              </w:rPr>
              <w:t>2 (0-4)</w:t>
            </w:r>
          </w:p>
        </w:tc>
        <w:tc>
          <w:tcPr>
            <w:tcW w:w="1559" w:type="dxa"/>
            <w:vAlign w:val="bottom"/>
          </w:tcPr>
          <w:p w14:paraId="43BCDF4D" w14:textId="63462D59" w:rsidR="001B5638" w:rsidRPr="00B36586" w:rsidRDefault="001B5638" w:rsidP="00223FA0">
            <w:pPr>
              <w:rPr>
                <w:color w:val="000000"/>
              </w:rPr>
            </w:pPr>
            <w:r w:rsidRPr="00B36586">
              <w:rPr>
                <w:color w:val="000000"/>
              </w:rPr>
              <w:t>0 (0-1)</w:t>
            </w:r>
          </w:p>
        </w:tc>
      </w:tr>
      <w:tr w:rsidR="001B5638" w:rsidRPr="00B36586" w14:paraId="5F8200E1" w14:textId="1B1AD9B1" w:rsidTr="00AA1599">
        <w:tc>
          <w:tcPr>
            <w:tcW w:w="2830" w:type="dxa"/>
            <w:tcBorders>
              <w:right w:val="double" w:sz="4" w:space="0" w:color="auto"/>
            </w:tcBorders>
            <w:vAlign w:val="bottom"/>
          </w:tcPr>
          <w:p w14:paraId="2AFF6D06" w14:textId="4F8FA16C" w:rsidR="001B5638" w:rsidRPr="00B36586" w:rsidRDefault="001B5638" w:rsidP="00223FA0">
            <w:pPr>
              <w:rPr>
                <w:color w:val="000000"/>
                <w:sz w:val="28"/>
                <w:szCs w:val="28"/>
                <w:lang w:eastAsia="en-GB"/>
              </w:rPr>
            </w:pPr>
            <w:r w:rsidRPr="00B36586">
              <w:rPr>
                <w:color w:val="000000"/>
              </w:rPr>
              <w:t>RBHSTW-00350</w:t>
            </w:r>
          </w:p>
        </w:tc>
        <w:tc>
          <w:tcPr>
            <w:tcW w:w="1276" w:type="dxa"/>
            <w:tcBorders>
              <w:left w:val="double" w:sz="4" w:space="0" w:color="auto"/>
              <w:right w:val="double" w:sz="4" w:space="0" w:color="auto"/>
            </w:tcBorders>
            <w:shd w:val="clear" w:color="auto" w:fill="FF6666" w:themeFill="accent2" w:themeFillTint="99"/>
            <w:vAlign w:val="bottom"/>
          </w:tcPr>
          <w:p w14:paraId="240636DA" w14:textId="77777777" w:rsidR="001B5638" w:rsidRPr="00B36586" w:rsidRDefault="001B5638" w:rsidP="00223FA0">
            <w:pPr>
              <w:rPr>
                <w:color w:val="000000"/>
                <w:sz w:val="28"/>
                <w:szCs w:val="28"/>
                <w:lang w:eastAsia="en-GB"/>
              </w:rPr>
            </w:pPr>
            <w:r w:rsidRPr="00B36586">
              <w:rPr>
                <w:color w:val="000000"/>
              </w:rPr>
              <w:t>21188</w:t>
            </w:r>
          </w:p>
        </w:tc>
        <w:tc>
          <w:tcPr>
            <w:tcW w:w="1985" w:type="dxa"/>
            <w:tcBorders>
              <w:left w:val="double" w:sz="4" w:space="0" w:color="auto"/>
            </w:tcBorders>
            <w:vAlign w:val="bottom"/>
          </w:tcPr>
          <w:p w14:paraId="1D732177" w14:textId="77777777" w:rsidR="001B5638" w:rsidRPr="00B36586" w:rsidRDefault="001B5638" w:rsidP="00223FA0">
            <w:pPr>
              <w:rPr>
                <w:color w:val="000000"/>
                <w:sz w:val="28"/>
                <w:szCs w:val="28"/>
                <w:lang w:eastAsia="en-GB"/>
              </w:rPr>
            </w:pPr>
            <w:r w:rsidRPr="00B36586">
              <w:rPr>
                <w:color w:val="000000"/>
              </w:rPr>
              <w:t>28907 (0.79%)</w:t>
            </w:r>
          </w:p>
        </w:tc>
        <w:tc>
          <w:tcPr>
            <w:tcW w:w="1842" w:type="dxa"/>
            <w:tcBorders>
              <w:right w:val="double" w:sz="4" w:space="0" w:color="auto"/>
            </w:tcBorders>
            <w:vAlign w:val="bottom"/>
          </w:tcPr>
          <w:p w14:paraId="64D784A8" w14:textId="77777777" w:rsidR="001B5638" w:rsidRPr="00B36586" w:rsidRDefault="001B5638" w:rsidP="00223FA0">
            <w:pPr>
              <w:rPr>
                <w:color w:val="000000"/>
                <w:sz w:val="28"/>
                <w:szCs w:val="28"/>
                <w:lang w:eastAsia="en-GB"/>
              </w:rPr>
            </w:pPr>
            <w:r w:rsidRPr="00B36586">
              <w:rPr>
                <w:color w:val="000000"/>
              </w:rPr>
              <w:t>28907 (0.79%)</w:t>
            </w:r>
          </w:p>
        </w:tc>
        <w:tc>
          <w:tcPr>
            <w:tcW w:w="1843" w:type="dxa"/>
            <w:tcBorders>
              <w:left w:val="double" w:sz="4" w:space="0" w:color="auto"/>
            </w:tcBorders>
            <w:shd w:val="clear" w:color="auto" w:fill="FF6666" w:themeFill="accent2" w:themeFillTint="99"/>
            <w:vAlign w:val="bottom"/>
          </w:tcPr>
          <w:p w14:paraId="30DADD4C" w14:textId="77777777" w:rsidR="001B5638" w:rsidRPr="00B36586" w:rsidRDefault="001B5638" w:rsidP="00223FA0">
            <w:pPr>
              <w:rPr>
                <w:color w:val="000000"/>
                <w:sz w:val="28"/>
                <w:szCs w:val="28"/>
                <w:lang w:eastAsia="en-GB"/>
              </w:rPr>
            </w:pPr>
            <w:r w:rsidRPr="00B36586">
              <w:rPr>
                <w:color w:val="000000"/>
              </w:rPr>
              <w:t>12</w:t>
            </w:r>
          </w:p>
        </w:tc>
        <w:tc>
          <w:tcPr>
            <w:tcW w:w="1559" w:type="dxa"/>
            <w:tcBorders>
              <w:right w:val="double" w:sz="4" w:space="0" w:color="auto"/>
            </w:tcBorders>
            <w:vAlign w:val="bottom"/>
          </w:tcPr>
          <w:p w14:paraId="5768834D" w14:textId="77777777" w:rsidR="001B5638" w:rsidRPr="00B36586" w:rsidRDefault="001B5638" w:rsidP="00223FA0">
            <w:pPr>
              <w:rPr>
                <w:color w:val="000000"/>
                <w:sz w:val="28"/>
                <w:szCs w:val="28"/>
                <w:lang w:eastAsia="en-GB"/>
              </w:rPr>
            </w:pPr>
            <w:r w:rsidRPr="00B36586">
              <w:rPr>
                <w:color w:val="000000"/>
              </w:rPr>
              <w:t>13</w:t>
            </w:r>
          </w:p>
        </w:tc>
        <w:tc>
          <w:tcPr>
            <w:tcW w:w="1559" w:type="dxa"/>
            <w:tcBorders>
              <w:left w:val="double" w:sz="4" w:space="0" w:color="auto"/>
            </w:tcBorders>
            <w:shd w:val="clear" w:color="auto" w:fill="auto"/>
            <w:vAlign w:val="bottom"/>
          </w:tcPr>
          <w:p w14:paraId="701E1764" w14:textId="4CDCC0A6" w:rsidR="001B5638" w:rsidRPr="00B36586" w:rsidRDefault="001B5638" w:rsidP="00223FA0">
            <w:pPr>
              <w:rPr>
                <w:color w:val="000000"/>
              </w:rPr>
            </w:pPr>
            <w:r w:rsidRPr="00B36586">
              <w:rPr>
                <w:color w:val="000000"/>
              </w:rPr>
              <w:t>2 (2-4)</w:t>
            </w:r>
          </w:p>
        </w:tc>
        <w:tc>
          <w:tcPr>
            <w:tcW w:w="1559" w:type="dxa"/>
            <w:vAlign w:val="bottom"/>
          </w:tcPr>
          <w:p w14:paraId="13C49E6F" w14:textId="1646AA38" w:rsidR="001B5638" w:rsidRPr="00B36586" w:rsidRDefault="001B5638" w:rsidP="00223FA0">
            <w:pPr>
              <w:rPr>
                <w:color w:val="000000"/>
              </w:rPr>
            </w:pPr>
            <w:r w:rsidRPr="00B36586">
              <w:rPr>
                <w:color w:val="000000"/>
              </w:rPr>
              <w:t>5 (0-8)</w:t>
            </w:r>
          </w:p>
        </w:tc>
      </w:tr>
      <w:tr w:rsidR="001B5638" w:rsidRPr="00B36586" w14:paraId="33AA9E67" w14:textId="0171A3A0" w:rsidTr="00AA1599">
        <w:tc>
          <w:tcPr>
            <w:tcW w:w="2830" w:type="dxa"/>
            <w:tcBorders>
              <w:right w:val="double" w:sz="4" w:space="0" w:color="auto"/>
            </w:tcBorders>
            <w:vAlign w:val="bottom"/>
          </w:tcPr>
          <w:p w14:paraId="0BF4E1FC" w14:textId="41AC4727" w:rsidR="001B5638" w:rsidRPr="00B36586" w:rsidRDefault="001B5638" w:rsidP="00223FA0">
            <w:pPr>
              <w:rPr>
                <w:color w:val="000000"/>
                <w:sz w:val="28"/>
                <w:szCs w:val="28"/>
                <w:lang w:eastAsia="en-GB"/>
              </w:rPr>
            </w:pPr>
            <w:r w:rsidRPr="00B36586">
              <w:rPr>
                <w:color w:val="000000"/>
              </w:rPr>
              <w:t>RHB10-C07</w:t>
            </w:r>
          </w:p>
        </w:tc>
        <w:tc>
          <w:tcPr>
            <w:tcW w:w="1276" w:type="dxa"/>
            <w:tcBorders>
              <w:left w:val="double" w:sz="4" w:space="0" w:color="auto"/>
              <w:right w:val="double" w:sz="4" w:space="0" w:color="auto"/>
            </w:tcBorders>
            <w:shd w:val="clear" w:color="auto" w:fill="8BA1DC" w:themeFill="accent1" w:themeFillTint="66"/>
            <w:vAlign w:val="bottom"/>
          </w:tcPr>
          <w:p w14:paraId="4C8E2D94" w14:textId="77777777" w:rsidR="001B5638" w:rsidRPr="00B36586" w:rsidRDefault="001B5638" w:rsidP="00223FA0">
            <w:pPr>
              <w:rPr>
                <w:color w:val="000000"/>
                <w:sz w:val="28"/>
                <w:szCs w:val="28"/>
                <w:lang w:eastAsia="en-GB"/>
              </w:rPr>
            </w:pPr>
            <w:r w:rsidRPr="00B36586">
              <w:rPr>
                <w:color w:val="000000"/>
              </w:rPr>
              <w:t>-23295</w:t>
            </w:r>
          </w:p>
        </w:tc>
        <w:tc>
          <w:tcPr>
            <w:tcW w:w="1985" w:type="dxa"/>
            <w:tcBorders>
              <w:left w:val="double" w:sz="4" w:space="0" w:color="auto"/>
            </w:tcBorders>
            <w:vAlign w:val="bottom"/>
          </w:tcPr>
          <w:p w14:paraId="057766FA" w14:textId="77777777" w:rsidR="001B5638" w:rsidRPr="00B36586" w:rsidRDefault="001B5638" w:rsidP="00223FA0">
            <w:pPr>
              <w:rPr>
                <w:color w:val="000000"/>
                <w:sz w:val="28"/>
                <w:szCs w:val="28"/>
                <w:lang w:eastAsia="en-GB"/>
              </w:rPr>
            </w:pPr>
            <w:r w:rsidRPr="00B36586">
              <w:rPr>
                <w:color w:val="000000"/>
              </w:rPr>
              <w:t>27779 (0.90%)</w:t>
            </w:r>
          </w:p>
        </w:tc>
        <w:tc>
          <w:tcPr>
            <w:tcW w:w="1842" w:type="dxa"/>
            <w:tcBorders>
              <w:right w:val="double" w:sz="4" w:space="0" w:color="auto"/>
            </w:tcBorders>
            <w:shd w:val="clear" w:color="auto" w:fill="8BA1DC" w:themeFill="accent1" w:themeFillTint="66"/>
            <w:vAlign w:val="bottom"/>
          </w:tcPr>
          <w:p w14:paraId="50B640FD" w14:textId="77777777" w:rsidR="001B5638" w:rsidRPr="00B36586" w:rsidRDefault="001B5638" w:rsidP="00223FA0">
            <w:pPr>
              <w:rPr>
                <w:color w:val="000000"/>
                <w:sz w:val="28"/>
                <w:szCs w:val="28"/>
                <w:lang w:eastAsia="en-GB"/>
              </w:rPr>
            </w:pPr>
            <w:r w:rsidRPr="00B36586">
              <w:rPr>
                <w:color w:val="000000"/>
              </w:rPr>
              <w:t>27777 (0.90%)</w:t>
            </w:r>
          </w:p>
        </w:tc>
        <w:tc>
          <w:tcPr>
            <w:tcW w:w="1843" w:type="dxa"/>
            <w:tcBorders>
              <w:left w:val="double" w:sz="4" w:space="0" w:color="auto"/>
              <w:right w:val="single" w:sz="4" w:space="0" w:color="auto"/>
            </w:tcBorders>
            <w:vAlign w:val="bottom"/>
          </w:tcPr>
          <w:p w14:paraId="3AF00CAE" w14:textId="77777777" w:rsidR="001B5638" w:rsidRPr="00B36586" w:rsidRDefault="001B5638" w:rsidP="00223FA0">
            <w:pPr>
              <w:rPr>
                <w:color w:val="000000"/>
                <w:sz w:val="28"/>
                <w:szCs w:val="28"/>
                <w:lang w:eastAsia="en-GB"/>
              </w:rPr>
            </w:pPr>
            <w:r w:rsidRPr="00B36586">
              <w:rPr>
                <w:color w:val="000000"/>
              </w:rPr>
              <w:t>22</w:t>
            </w:r>
          </w:p>
        </w:tc>
        <w:tc>
          <w:tcPr>
            <w:tcW w:w="1559" w:type="dxa"/>
            <w:tcBorders>
              <w:left w:val="single" w:sz="4" w:space="0" w:color="auto"/>
            </w:tcBorders>
            <w:shd w:val="clear" w:color="auto" w:fill="8BA1DC" w:themeFill="accent1" w:themeFillTint="66"/>
            <w:vAlign w:val="bottom"/>
          </w:tcPr>
          <w:p w14:paraId="26234F6C" w14:textId="77777777" w:rsidR="001B5638" w:rsidRPr="00B36586" w:rsidRDefault="001B5638" w:rsidP="00223FA0">
            <w:pPr>
              <w:rPr>
                <w:color w:val="000000"/>
                <w:sz w:val="28"/>
                <w:szCs w:val="28"/>
                <w:lang w:eastAsia="en-GB"/>
              </w:rPr>
            </w:pPr>
            <w:r w:rsidRPr="00B36586">
              <w:rPr>
                <w:color w:val="000000"/>
              </w:rPr>
              <w:t>21</w:t>
            </w:r>
          </w:p>
        </w:tc>
        <w:tc>
          <w:tcPr>
            <w:tcW w:w="1559" w:type="dxa"/>
            <w:tcBorders>
              <w:left w:val="double" w:sz="4" w:space="0" w:color="auto"/>
              <w:right w:val="single" w:sz="4" w:space="0" w:color="auto"/>
            </w:tcBorders>
            <w:shd w:val="clear" w:color="auto" w:fill="auto"/>
            <w:vAlign w:val="bottom"/>
          </w:tcPr>
          <w:p w14:paraId="7F9EE4AC" w14:textId="2586C2D4" w:rsidR="001B5638" w:rsidRPr="00B36586" w:rsidRDefault="001B5638" w:rsidP="00223FA0">
            <w:pPr>
              <w:rPr>
                <w:color w:val="000000"/>
              </w:rPr>
            </w:pPr>
            <w:r w:rsidRPr="00B36586">
              <w:rPr>
                <w:color w:val="000000"/>
              </w:rPr>
              <w:t>5 (0-17)</w:t>
            </w:r>
          </w:p>
        </w:tc>
        <w:tc>
          <w:tcPr>
            <w:tcW w:w="1559" w:type="dxa"/>
            <w:tcBorders>
              <w:left w:val="single" w:sz="4" w:space="0" w:color="auto"/>
              <w:right w:val="single" w:sz="4" w:space="0" w:color="auto"/>
            </w:tcBorders>
            <w:vAlign w:val="bottom"/>
          </w:tcPr>
          <w:p w14:paraId="617FC1BC" w14:textId="2FFCD5A0" w:rsidR="001B5638" w:rsidRPr="00B36586" w:rsidRDefault="001B5638" w:rsidP="00223FA0">
            <w:pPr>
              <w:rPr>
                <w:color w:val="000000"/>
              </w:rPr>
            </w:pPr>
            <w:r w:rsidRPr="00B36586">
              <w:rPr>
                <w:color w:val="000000"/>
              </w:rPr>
              <w:t>0.5 (0-1)</w:t>
            </w:r>
          </w:p>
        </w:tc>
      </w:tr>
      <w:tr w:rsidR="001B5638" w:rsidRPr="00B36586" w14:paraId="2E3825B1" w14:textId="5788314B" w:rsidTr="00AA1599">
        <w:trPr>
          <w:trHeight w:val="56"/>
        </w:trPr>
        <w:tc>
          <w:tcPr>
            <w:tcW w:w="2830" w:type="dxa"/>
            <w:tcBorders>
              <w:right w:val="double" w:sz="4" w:space="0" w:color="auto"/>
            </w:tcBorders>
            <w:vAlign w:val="bottom"/>
          </w:tcPr>
          <w:p w14:paraId="338BA9CA" w14:textId="762C6FCC" w:rsidR="001B5638" w:rsidRPr="00B36586" w:rsidRDefault="001B5638" w:rsidP="00223FA0">
            <w:pPr>
              <w:rPr>
                <w:color w:val="000000"/>
                <w:sz w:val="28"/>
                <w:szCs w:val="28"/>
                <w:lang w:eastAsia="en-GB"/>
              </w:rPr>
            </w:pPr>
            <w:r w:rsidRPr="00B36586">
              <w:rPr>
                <w:color w:val="000000"/>
              </w:rPr>
              <w:t>RHB11-C04</w:t>
            </w:r>
          </w:p>
        </w:tc>
        <w:tc>
          <w:tcPr>
            <w:tcW w:w="1276" w:type="dxa"/>
            <w:tcBorders>
              <w:left w:val="double" w:sz="4" w:space="0" w:color="auto"/>
              <w:right w:val="double" w:sz="4" w:space="0" w:color="auto"/>
            </w:tcBorders>
            <w:shd w:val="clear" w:color="auto" w:fill="FF6666" w:themeFill="accent2" w:themeFillTint="99"/>
            <w:vAlign w:val="bottom"/>
          </w:tcPr>
          <w:p w14:paraId="0FFD7218" w14:textId="77777777" w:rsidR="001B5638" w:rsidRPr="00B36586" w:rsidRDefault="001B5638" w:rsidP="00223FA0">
            <w:pPr>
              <w:rPr>
                <w:color w:val="000000"/>
                <w:sz w:val="28"/>
                <w:szCs w:val="28"/>
                <w:lang w:eastAsia="en-GB"/>
              </w:rPr>
            </w:pPr>
            <w:r w:rsidRPr="00B36586">
              <w:rPr>
                <w:color w:val="000000"/>
              </w:rPr>
              <w:t>12774</w:t>
            </w:r>
          </w:p>
        </w:tc>
        <w:tc>
          <w:tcPr>
            <w:tcW w:w="1985" w:type="dxa"/>
            <w:tcBorders>
              <w:left w:val="double" w:sz="4" w:space="0" w:color="auto"/>
            </w:tcBorders>
            <w:shd w:val="clear" w:color="auto" w:fill="FF6666" w:themeFill="accent2" w:themeFillTint="99"/>
            <w:vAlign w:val="bottom"/>
          </w:tcPr>
          <w:p w14:paraId="090EAFAE" w14:textId="77777777" w:rsidR="001B5638" w:rsidRPr="00B36586" w:rsidRDefault="001B5638" w:rsidP="00223FA0">
            <w:pPr>
              <w:rPr>
                <w:color w:val="000000"/>
                <w:sz w:val="28"/>
                <w:szCs w:val="28"/>
                <w:lang w:eastAsia="en-GB"/>
              </w:rPr>
            </w:pPr>
            <w:r w:rsidRPr="00B36586">
              <w:rPr>
                <w:color w:val="000000"/>
              </w:rPr>
              <w:t>24879 (0.86%)</w:t>
            </w:r>
          </w:p>
        </w:tc>
        <w:tc>
          <w:tcPr>
            <w:tcW w:w="1842" w:type="dxa"/>
            <w:tcBorders>
              <w:right w:val="double" w:sz="4" w:space="0" w:color="auto"/>
            </w:tcBorders>
            <w:vAlign w:val="bottom"/>
          </w:tcPr>
          <w:p w14:paraId="13765917" w14:textId="77777777" w:rsidR="001B5638" w:rsidRPr="00B36586" w:rsidRDefault="001B5638" w:rsidP="00223FA0">
            <w:pPr>
              <w:rPr>
                <w:color w:val="000000"/>
                <w:sz w:val="28"/>
                <w:szCs w:val="28"/>
                <w:lang w:eastAsia="en-GB"/>
              </w:rPr>
            </w:pPr>
            <w:r w:rsidRPr="00B36586">
              <w:rPr>
                <w:color w:val="000000"/>
              </w:rPr>
              <w:t>24881 (0.86%)</w:t>
            </w:r>
          </w:p>
        </w:tc>
        <w:tc>
          <w:tcPr>
            <w:tcW w:w="1843" w:type="dxa"/>
            <w:tcBorders>
              <w:left w:val="double" w:sz="4" w:space="0" w:color="auto"/>
              <w:right w:val="single" w:sz="4" w:space="0" w:color="auto"/>
            </w:tcBorders>
            <w:vAlign w:val="bottom"/>
          </w:tcPr>
          <w:p w14:paraId="3F3BFA6A" w14:textId="77777777" w:rsidR="001B5638" w:rsidRPr="00B36586" w:rsidRDefault="001B5638" w:rsidP="00223FA0">
            <w:pPr>
              <w:rPr>
                <w:color w:val="000000"/>
                <w:sz w:val="28"/>
                <w:szCs w:val="28"/>
                <w:lang w:eastAsia="en-GB"/>
              </w:rPr>
            </w:pPr>
            <w:r w:rsidRPr="00B36586">
              <w:rPr>
                <w:color w:val="000000"/>
              </w:rPr>
              <w:t>25</w:t>
            </w:r>
          </w:p>
        </w:tc>
        <w:tc>
          <w:tcPr>
            <w:tcW w:w="1559" w:type="dxa"/>
            <w:tcBorders>
              <w:left w:val="single" w:sz="4" w:space="0" w:color="auto"/>
            </w:tcBorders>
            <w:vAlign w:val="bottom"/>
          </w:tcPr>
          <w:p w14:paraId="7B029C6E" w14:textId="77777777" w:rsidR="001B5638" w:rsidRPr="00B36586" w:rsidRDefault="001B5638" w:rsidP="00223FA0">
            <w:pPr>
              <w:rPr>
                <w:color w:val="000000"/>
                <w:sz w:val="28"/>
                <w:szCs w:val="28"/>
                <w:lang w:eastAsia="en-GB"/>
              </w:rPr>
            </w:pPr>
            <w:r w:rsidRPr="00B36586">
              <w:rPr>
                <w:color w:val="000000"/>
              </w:rPr>
              <w:t>25</w:t>
            </w:r>
          </w:p>
        </w:tc>
        <w:tc>
          <w:tcPr>
            <w:tcW w:w="1559" w:type="dxa"/>
            <w:tcBorders>
              <w:left w:val="double" w:sz="4" w:space="0" w:color="auto"/>
              <w:right w:val="single" w:sz="4" w:space="0" w:color="auto"/>
            </w:tcBorders>
            <w:shd w:val="clear" w:color="auto" w:fill="auto"/>
            <w:vAlign w:val="bottom"/>
          </w:tcPr>
          <w:p w14:paraId="1ED7DEC4" w14:textId="4AA04996" w:rsidR="001B5638" w:rsidRPr="00B36586" w:rsidRDefault="001B5638" w:rsidP="00223FA0">
            <w:pPr>
              <w:rPr>
                <w:color w:val="000000"/>
              </w:rPr>
            </w:pPr>
            <w:r w:rsidRPr="00B36586">
              <w:rPr>
                <w:color w:val="000000"/>
              </w:rPr>
              <w:t>2 (0-6)</w:t>
            </w:r>
          </w:p>
        </w:tc>
        <w:tc>
          <w:tcPr>
            <w:tcW w:w="1559" w:type="dxa"/>
            <w:tcBorders>
              <w:left w:val="single" w:sz="4" w:space="0" w:color="auto"/>
              <w:right w:val="single" w:sz="4" w:space="0" w:color="auto"/>
            </w:tcBorders>
            <w:vAlign w:val="bottom"/>
          </w:tcPr>
          <w:p w14:paraId="70CDA32C" w14:textId="119C2635" w:rsidR="001B5638" w:rsidRPr="00B36586" w:rsidRDefault="001B5638" w:rsidP="00223FA0">
            <w:pPr>
              <w:rPr>
                <w:color w:val="000000"/>
              </w:rPr>
            </w:pPr>
            <w:r w:rsidRPr="00B36586">
              <w:rPr>
                <w:color w:val="000000"/>
              </w:rPr>
              <w:t>0 (0-0)</w:t>
            </w:r>
          </w:p>
        </w:tc>
      </w:tr>
      <w:tr w:rsidR="001B5638" w:rsidRPr="00B36586" w14:paraId="5C155117" w14:textId="759D81E8" w:rsidTr="00AA1599">
        <w:tc>
          <w:tcPr>
            <w:tcW w:w="2830" w:type="dxa"/>
            <w:tcBorders>
              <w:right w:val="double" w:sz="4" w:space="0" w:color="auto"/>
            </w:tcBorders>
            <w:vAlign w:val="bottom"/>
          </w:tcPr>
          <w:p w14:paraId="3B0AC959" w14:textId="79227F4C" w:rsidR="001B5638" w:rsidRPr="00B36586" w:rsidRDefault="001B5638" w:rsidP="00223FA0">
            <w:pPr>
              <w:rPr>
                <w:color w:val="000000"/>
                <w:sz w:val="28"/>
                <w:szCs w:val="28"/>
                <w:lang w:eastAsia="en-GB"/>
              </w:rPr>
            </w:pPr>
            <w:r w:rsidRPr="00B36586">
              <w:rPr>
                <w:color w:val="000000"/>
              </w:rPr>
              <w:t>RHB14-C01</w:t>
            </w:r>
          </w:p>
        </w:tc>
        <w:tc>
          <w:tcPr>
            <w:tcW w:w="1276" w:type="dxa"/>
            <w:tcBorders>
              <w:left w:val="double" w:sz="4" w:space="0" w:color="auto"/>
              <w:right w:val="double" w:sz="4" w:space="0" w:color="auto"/>
            </w:tcBorders>
            <w:shd w:val="clear" w:color="auto" w:fill="FF6666" w:themeFill="accent2" w:themeFillTint="99"/>
            <w:vAlign w:val="bottom"/>
          </w:tcPr>
          <w:p w14:paraId="27DB3134" w14:textId="77777777" w:rsidR="001B5638" w:rsidRPr="00B36586" w:rsidRDefault="001B5638" w:rsidP="00223FA0">
            <w:pPr>
              <w:rPr>
                <w:color w:val="000000"/>
                <w:sz w:val="28"/>
                <w:szCs w:val="28"/>
                <w:lang w:eastAsia="en-GB"/>
              </w:rPr>
            </w:pPr>
            <w:r w:rsidRPr="00B36586">
              <w:rPr>
                <w:color w:val="000000"/>
              </w:rPr>
              <w:t>172712</w:t>
            </w:r>
          </w:p>
        </w:tc>
        <w:tc>
          <w:tcPr>
            <w:tcW w:w="1985" w:type="dxa"/>
            <w:tcBorders>
              <w:left w:val="double" w:sz="4" w:space="0" w:color="auto"/>
            </w:tcBorders>
            <w:shd w:val="clear" w:color="auto" w:fill="FF6666" w:themeFill="accent2" w:themeFillTint="99"/>
            <w:vAlign w:val="bottom"/>
          </w:tcPr>
          <w:p w14:paraId="1EFB5183" w14:textId="77777777" w:rsidR="001B5638" w:rsidRPr="00B36586" w:rsidRDefault="001B5638" w:rsidP="00223FA0">
            <w:pPr>
              <w:rPr>
                <w:color w:val="000000"/>
                <w:sz w:val="28"/>
                <w:szCs w:val="28"/>
                <w:lang w:eastAsia="en-GB"/>
              </w:rPr>
            </w:pPr>
            <w:r w:rsidRPr="00B36586">
              <w:rPr>
                <w:color w:val="000000"/>
              </w:rPr>
              <w:t>30478 (0.95%)</w:t>
            </w:r>
          </w:p>
        </w:tc>
        <w:tc>
          <w:tcPr>
            <w:tcW w:w="1842" w:type="dxa"/>
            <w:tcBorders>
              <w:right w:val="double" w:sz="4" w:space="0" w:color="auto"/>
            </w:tcBorders>
            <w:vAlign w:val="bottom"/>
          </w:tcPr>
          <w:p w14:paraId="2A72DC38" w14:textId="77777777" w:rsidR="001B5638" w:rsidRPr="00B36586" w:rsidRDefault="001B5638" w:rsidP="00223FA0">
            <w:pPr>
              <w:rPr>
                <w:color w:val="000000"/>
                <w:sz w:val="28"/>
                <w:szCs w:val="28"/>
                <w:lang w:eastAsia="en-GB"/>
              </w:rPr>
            </w:pPr>
            <w:r w:rsidRPr="00B36586">
              <w:rPr>
                <w:color w:val="000000"/>
              </w:rPr>
              <w:t>30576 (0.95%)</w:t>
            </w:r>
          </w:p>
        </w:tc>
        <w:tc>
          <w:tcPr>
            <w:tcW w:w="1843" w:type="dxa"/>
            <w:tcBorders>
              <w:left w:val="double" w:sz="4" w:space="0" w:color="auto"/>
              <w:right w:val="single" w:sz="4" w:space="0" w:color="auto"/>
            </w:tcBorders>
            <w:vAlign w:val="bottom"/>
          </w:tcPr>
          <w:p w14:paraId="1114A4B3" w14:textId="77777777" w:rsidR="001B5638" w:rsidRPr="00B36586" w:rsidRDefault="001B5638" w:rsidP="00223FA0">
            <w:pPr>
              <w:rPr>
                <w:color w:val="000000"/>
                <w:sz w:val="28"/>
                <w:szCs w:val="28"/>
                <w:lang w:eastAsia="en-GB"/>
              </w:rPr>
            </w:pPr>
            <w:r w:rsidRPr="00B36586">
              <w:rPr>
                <w:color w:val="000000"/>
              </w:rPr>
              <w:t>13</w:t>
            </w:r>
          </w:p>
        </w:tc>
        <w:tc>
          <w:tcPr>
            <w:tcW w:w="1559" w:type="dxa"/>
            <w:tcBorders>
              <w:left w:val="single" w:sz="4" w:space="0" w:color="auto"/>
            </w:tcBorders>
            <w:shd w:val="clear" w:color="auto" w:fill="8BA1DC" w:themeFill="accent1" w:themeFillTint="66"/>
            <w:vAlign w:val="bottom"/>
          </w:tcPr>
          <w:p w14:paraId="5FFF315B" w14:textId="77777777" w:rsidR="001B5638" w:rsidRPr="00B36586" w:rsidRDefault="001B5638" w:rsidP="00223FA0">
            <w:pPr>
              <w:rPr>
                <w:color w:val="000000"/>
                <w:sz w:val="28"/>
                <w:szCs w:val="28"/>
                <w:lang w:eastAsia="en-GB"/>
              </w:rPr>
            </w:pPr>
            <w:r w:rsidRPr="00B36586">
              <w:rPr>
                <w:color w:val="000000"/>
              </w:rPr>
              <w:t>12</w:t>
            </w:r>
          </w:p>
        </w:tc>
        <w:tc>
          <w:tcPr>
            <w:tcW w:w="1559" w:type="dxa"/>
            <w:tcBorders>
              <w:left w:val="double" w:sz="4" w:space="0" w:color="auto"/>
              <w:right w:val="single" w:sz="4" w:space="0" w:color="auto"/>
            </w:tcBorders>
            <w:shd w:val="clear" w:color="auto" w:fill="auto"/>
            <w:vAlign w:val="bottom"/>
          </w:tcPr>
          <w:p w14:paraId="368DA1A2" w14:textId="19A40960" w:rsidR="001B5638" w:rsidRPr="00B36586" w:rsidRDefault="001B5638" w:rsidP="00223FA0">
            <w:pPr>
              <w:rPr>
                <w:color w:val="000000"/>
              </w:rPr>
            </w:pPr>
            <w:r w:rsidRPr="00B36586">
              <w:rPr>
                <w:color w:val="000000"/>
              </w:rPr>
              <w:t>3 (0-3)</w:t>
            </w:r>
          </w:p>
        </w:tc>
        <w:tc>
          <w:tcPr>
            <w:tcW w:w="1559" w:type="dxa"/>
            <w:tcBorders>
              <w:left w:val="single" w:sz="4" w:space="0" w:color="auto"/>
              <w:right w:val="single" w:sz="4" w:space="0" w:color="auto"/>
            </w:tcBorders>
            <w:vAlign w:val="bottom"/>
          </w:tcPr>
          <w:p w14:paraId="590FBBE0" w14:textId="2E7272E2" w:rsidR="001B5638" w:rsidRPr="00B36586" w:rsidRDefault="001B5638" w:rsidP="00223FA0">
            <w:pPr>
              <w:rPr>
                <w:color w:val="000000"/>
              </w:rPr>
            </w:pPr>
            <w:r w:rsidRPr="00B36586">
              <w:rPr>
                <w:color w:val="000000"/>
              </w:rPr>
              <w:t>0 (0-0)</w:t>
            </w:r>
          </w:p>
        </w:tc>
      </w:tr>
    </w:tbl>
    <w:p w14:paraId="60F48327" w14:textId="6D8F3E9C" w:rsidR="003B7F3F" w:rsidRPr="00B36586" w:rsidRDefault="003B7F3F" w:rsidP="00223FA0">
      <w:pPr>
        <w:rPr>
          <w:b/>
          <w:color w:val="008461" w:themeColor="accent3"/>
          <w:sz w:val="32"/>
          <w:szCs w:val="32"/>
        </w:rPr>
        <w:sectPr w:rsidR="003B7F3F" w:rsidRPr="00B36586" w:rsidSect="0087758D">
          <w:pgSz w:w="16838" w:h="11906" w:orient="landscape" w:code="9"/>
          <w:pgMar w:top="1440" w:right="1440" w:bottom="1440" w:left="1440" w:header="426" w:footer="454" w:gutter="0"/>
          <w:lnNumType w:countBy="1" w:restart="continuous"/>
          <w:cols w:space="708"/>
          <w:titlePg/>
          <w:docGrid w:linePitch="360"/>
        </w:sectPr>
      </w:pPr>
    </w:p>
    <w:p w14:paraId="339573E6" w14:textId="79E19ED6" w:rsidR="00AF7033" w:rsidRPr="00B36586" w:rsidRDefault="00AF7033" w:rsidP="00AF7033">
      <w:pPr>
        <w:spacing w:before="120" w:after="120"/>
        <w:rPr>
          <w:b/>
          <w:color w:val="008461" w:themeColor="accent3"/>
          <w:sz w:val="32"/>
          <w:szCs w:val="32"/>
        </w:rPr>
      </w:pPr>
      <w:r>
        <w:rPr>
          <w:b/>
          <w:color w:val="008461" w:themeColor="accent3"/>
          <w:sz w:val="32"/>
          <w:szCs w:val="32"/>
        </w:rPr>
        <w:lastRenderedPageBreak/>
        <w:t>FIGURES</w:t>
      </w:r>
    </w:p>
    <w:p w14:paraId="1C33A846" w14:textId="35F70C95" w:rsidR="00E344E5" w:rsidRDefault="00E14483" w:rsidP="00E344E5">
      <w:pPr>
        <w:spacing w:after="120"/>
        <w:jc w:val="both"/>
        <w:rPr>
          <w:color w:val="000000"/>
          <w:lang w:eastAsia="en-GB"/>
        </w:rPr>
      </w:pPr>
      <w:r w:rsidRPr="00B36586">
        <w:rPr>
          <w:b/>
          <w:color w:val="000000"/>
          <w:lang w:eastAsia="en-GB"/>
        </w:rPr>
        <w:t xml:space="preserve">Figure </w:t>
      </w:r>
      <w:r w:rsidR="00750534" w:rsidRPr="00B36586">
        <w:rPr>
          <w:b/>
          <w:color w:val="000000"/>
          <w:lang w:eastAsia="en-GB"/>
        </w:rPr>
        <w:t>1</w:t>
      </w:r>
      <w:r w:rsidR="006057EE" w:rsidRPr="00B36586">
        <w:rPr>
          <w:b/>
          <w:color w:val="000000"/>
          <w:lang w:eastAsia="en-GB"/>
        </w:rPr>
        <w:t>.</w:t>
      </w:r>
      <w:r w:rsidRPr="00B36586">
        <w:rPr>
          <w:b/>
          <w:color w:val="000000"/>
          <w:lang w:eastAsia="en-GB"/>
        </w:rPr>
        <w:t xml:space="preserve"> </w:t>
      </w:r>
      <w:r w:rsidR="0045677D" w:rsidRPr="00B36586">
        <w:rPr>
          <w:b/>
          <w:color w:val="000000"/>
          <w:lang w:eastAsia="en-GB"/>
        </w:rPr>
        <w:t>E</w:t>
      </w:r>
      <w:r w:rsidRPr="00B36586">
        <w:rPr>
          <w:b/>
          <w:color w:val="000000"/>
          <w:lang w:eastAsia="en-GB"/>
        </w:rPr>
        <w:t xml:space="preserve">xamples of </w:t>
      </w:r>
      <w:r w:rsidR="00AE107B" w:rsidRPr="00B36586">
        <w:rPr>
          <w:b/>
          <w:color w:val="000000"/>
          <w:lang w:eastAsia="en-GB"/>
        </w:rPr>
        <w:t xml:space="preserve">genome structure </w:t>
      </w:r>
      <w:r w:rsidRPr="00B36586">
        <w:rPr>
          <w:b/>
          <w:color w:val="000000"/>
          <w:lang w:eastAsia="en-GB"/>
        </w:rPr>
        <w:t xml:space="preserve">uncertainty in </w:t>
      </w:r>
      <w:r w:rsidR="00AE107B" w:rsidRPr="00B36586">
        <w:rPr>
          <w:b/>
          <w:color w:val="000000"/>
          <w:lang w:eastAsia="en-GB"/>
        </w:rPr>
        <w:t xml:space="preserve">hybrid assemblies in </w:t>
      </w:r>
      <w:r w:rsidRPr="00B36586">
        <w:rPr>
          <w:b/>
          <w:color w:val="000000"/>
          <w:lang w:eastAsia="en-GB"/>
        </w:rPr>
        <w:t>a)</w:t>
      </w:r>
      <w:r w:rsidR="00BE7EA7" w:rsidRPr="00B36586">
        <w:rPr>
          <w:b/>
          <w:color w:val="000000"/>
          <w:lang w:eastAsia="en-GB"/>
        </w:rPr>
        <w:t xml:space="preserve"> the chromosome </w:t>
      </w:r>
      <w:r w:rsidR="00AE107B" w:rsidRPr="00B36586">
        <w:rPr>
          <w:b/>
          <w:color w:val="000000"/>
          <w:lang w:eastAsia="en-GB"/>
        </w:rPr>
        <w:t xml:space="preserve">and b) the accessory genome. </w:t>
      </w:r>
      <w:r w:rsidR="00AE107B" w:rsidRPr="00B36586">
        <w:rPr>
          <w:color w:val="000000"/>
          <w:lang w:eastAsia="en-GB"/>
        </w:rPr>
        <w:t xml:space="preserve">(a) An </w:t>
      </w:r>
      <w:r w:rsidRPr="00B36586">
        <w:rPr>
          <w:color w:val="000000"/>
          <w:lang w:eastAsia="en-GB"/>
        </w:rPr>
        <w:t>ONT</w:t>
      </w:r>
      <w:r w:rsidR="00AE107B" w:rsidRPr="00B36586">
        <w:rPr>
          <w:color w:val="000000"/>
          <w:lang w:eastAsia="en-GB"/>
        </w:rPr>
        <w:t>+Illumina</w:t>
      </w:r>
      <w:r w:rsidR="00DB7B78" w:rsidRPr="00B36586">
        <w:rPr>
          <w:color w:val="000000"/>
          <w:lang w:eastAsia="en-GB"/>
        </w:rPr>
        <w:t xml:space="preserve"> hybrid assembly</w:t>
      </w:r>
      <w:r w:rsidR="00AE107B" w:rsidRPr="00B36586">
        <w:rPr>
          <w:color w:val="000000"/>
          <w:lang w:eastAsia="en-GB"/>
        </w:rPr>
        <w:t xml:space="preserve"> for </w:t>
      </w:r>
      <w:r w:rsidR="0045677D" w:rsidRPr="00B36586">
        <w:rPr>
          <w:color w:val="000000"/>
          <w:lang w:eastAsia="en-GB"/>
        </w:rPr>
        <w:t xml:space="preserve">isolate </w:t>
      </w:r>
      <w:r w:rsidR="00DB7B78" w:rsidRPr="00B36586">
        <w:rPr>
          <w:color w:val="000000"/>
          <w:lang w:eastAsia="en-GB"/>
        </w:rPr>
        <w:t>RBHSTW</w:t>
      </w:r>
      <w:r w:rsidR="00A9604E" w:rsidRPr="00B36586">
        <w:rPr>
          <w:color w:val="000000"/>
          <w:lang w:eastAsia="en-GB"/>
        </w:rPr>
        <w:t>-</w:t>
      </w:r>
      <w:r w:rsidR="00DB7B78" w:rsidRPr="00B36586">
        <w:rPr>
          <w:color w:val="000000"/>
          <w:lang w:eastAsia="en-GB"/>
        </w:rPr>
        <w:t>00029</w:t>
      </w:r>
      <w:r w:rsidR="00AE107B" w:rsidRPr="00B36586">
        <w:rPr>
          <w:color w:val="000000"/>
          <w:lang w:eastAsia="en-GB"/>
        </w:rPr>
        <w:t xml:space="preserve"> using the “Basic” long</w:t>
      </w:r>
      <w:r w:rsidR="004B4D9B">
        <w:rPr>
          <w:color w:val="000000"/>
          <w:lang w:eastAsia="en-GB"/>
        </w:rPr>
        <w:t>-</w:t>
      </w:r>
      <w:r w:rsidR="00AE107B" w:rsidRPr="00B36586">
        <w:rPr>
          <w:color w:val="000000"/>
          <w:lang w:eastAsia="en-GB"/>
        </w:rPr>
        <w:t xml:space="preserve">read preparation strategy. </w:t>
      </w:r>
      <w:r w:rsidRPr="00B36586">
        <w:rPr>
          <w:color w:val="000000"/>
          <w:lang w:eastAsia="en-GB"/>
        </w:rPr>
        <w:t>b)</w:t>
      </w:r>
      <w:r w:rsidR="00BE7EA7" w:rsidRPr="00B36586">
        <w:rPr>
          <w:color w:val="000000"/>
          <w:lang w:eastAsia="en-GB"/>
        </w:rPr>
        <w:t xml:space="preserve"> </w:t>
      </w:r>
      <w:r w:rsidR="00AE107B" w:rsidRPr="00B36586">
        <w:rPr>
          <w:color w:val="000000"/>
          <w:lang w:eastAsia="en-GB"/>
        </w:rPr>
        <w:t xml:space="preserve">A </w:t>
      </w:r>
      <w:r w:rsidRPr="00B36586">
        <w:rPr>
          <w:color w:val="000000"/>
          <w:lang w:eastAsia="en-GB"/>
        </w:rPr>
        <w:t>PacBio</w:t>
      </w:r>
      <w:r w:rsidR="00AE107B" w:rsidRPr="00B36586">
        <w:rPr>
          <w:color w:val="000000"/>
          <w:lang w:eastAsia="en-GB"/>
        </w:rPr>
        <w:t>+Illumina</w:t>
      </w:r>
      <w:r w:rsidR="00DB7B78" w:rsidRPr="00B36586">
        <w:rPr>
          <w:color w:val="000000"/>
          <w:lang w:eastAsia="en-GB"/>
        </w:rPr>
        <w:t xml:space="preserve"> hybrid assembly</w:t>
      </w:r>
      <w:r w:rsidR="00AE107B" w:rsidRPr="00B36586">
        <w:rPr>
          <w:color w:val="000000"/>
          <w:lang w:eastAsia="en-GB"/>
        </w:rPr>
        <w:t xml:space="preserve"> for</w:t>
      </w:r>
      <w:r w:rsidR="00DB7B78" w:rsidRPr="00B36586">
        <w:rPr>
          <w:color w:val="000000"/>
          <w:lang w:eastAsia="en-GB"/>
        </w:rPr>
        <w:t xml:space="preserve"> </w:t>
      </w:r>
      <w:r w:rsidR="00A9604E" w:rsidRPr="00B36586">
        <w:rPr>
          <w:color w:val="000000"/>
          <w:lang w:eastAsia="en-GB"/>
        </w:rPr>
        <w:t xml:space="preserve">isolate </w:t>
      </w:r>
      <w:r w:rsidR="00DB7B78" w:rsidRPr="00B36586">
        <w:rPr>
          <w:color w:val="000000"/>
          <w:lang w:eastAsia="en-GB"/>
        </w:rPr>
        <w:t>MGH78578</w:t>
      </w:r>
      <w:r w:rsidR="00CB10B9" w:rsidRPr="00B36586">
        <w:rPr>
          <w:color w:val="000000"/>
          <w:lang w:eastAsia="en-GB"/>
        </w:rPr>
        <w:t xml:space="preserve"> </w:t>
      </w:r>
      <w:r w:rsidR="00AE107B" w:rsidRPr="00B36586">
        <w:rPr>
          <w:color w:val="000000"/>
          <w:lang w:eastAsia="en-GB"/>
        </w:rPr>
        <w:t>using the “C</w:t>
      </w:r>
      <w:r w:rsidR="00CB10B9" w:rsidRPr="00B36586">
        <w:rPr>
          <w:color w:val="000000"/>
          <w:lang w:eastAsia="en-GB"/>
        </w:rPr>
        <w:t>orrected</w:t>
      </w:r>
      <w:r w:rsidR="00AE107B" w:rsidRPr="00B36586">
        <w:rPr>
          <w:color w:val="000000"/>
          <w:lang w:eastAsia="en-GB"/>
        </w:rPr>
        <w:t>” long</w:t>
      </w:r>
      <w:r w:rsidR="00156D7C">
        <w:rPr>
          <w:color w:val="000000"/>
          <w:lang w:eastAsia="en-GB"/>
        </w:rPr>
        <w:t>-</w:t>
      </w:r>
      <w:r w:rsidR="00CB10B9" w:rsidRPr="00B36586">
        <w:rPr>
          <w:color w:val="000000"/>
          <w:lang w:eastAsia="en-GB"/>
        </w:rPr>
        <w:t>read preparation</w:t>
      </w:r>
      <w:r w:rsidR="00AE107B" w:rsidRPr="00B36586">
        <w:rPr>
          <w:color w:val="000000"/>
          <w:lang w:eastAsia="en-GB"/>
        </w:rPr>
        <w:t xml:space="preserve"> strategy</w:t>
      </w:r>
      <w:r w:rsidRPr="00B36586">
        <w:rPr>
          <w:color w:val="000000"/>
          <w:lang w:eastAsia="en-GB"/>
        </w:rPr>
        <w:t>.</w:t>
      </w:r>
      <w:r w:rsidR="00C410AD" w:rsidRPr="00B36586">
        <w:rPr>
          <w:color w:val="000000"/>
          <w:lang w:eastAsia="en-GB"/>
        </w:rPr>
        <w:t xml:space="preserve"> Plots were obtained </w:t>
      </w:r>
      <w:r w:rsidR="0045677D" w:rsidRPr="00B36586">
        <w:rPr>
          <w:color w:val="000000"/>
          <w:lang w:eastAsia="en-GB"/>
        </w:rPr>
        <w:t xml:space="preserve">using </w:t>
      </w:r>
      <w:r w:rsidR="00C410AD" w:rsidRPr="00B36586">
        <w:rPr>
          <w:color w:val="000000"/>
          <w:lang w:eastAsia="en-GB"/>
        </w:rPr>
        <w:t>Bandage</w:t>
      </w:r>
      <w:r w:rsidR="00F349F5">
        <w:rPr>
          <w:color w:val="000000"/>
          <w:lang w:eastAsia="en-GB"/>
        </w:rPr>
        <w:t xml:space="preserve"> on the ‘assembly.gfa’ output file from Unicycler</w:t>
      </w:r>
      <w:r w:rsidR="00AE107B" w:rsidRPr="00B36586">
        <w:rPr>
          <w:color w:val="000000"/>
          <w:lang w:eastAsia="en-GB"/>
        </w:rPr>
        <w:t xml:space="preserve">, with grey boxes indicating </w:t>
      </w:r>
      <w:r w:rsidR="00A20480" w:rsidRPr="00B36586">
        <w:rPr>
          <w:color w:val="000000"/>
          <w:lang w:eastAsia="en-GB"/>
        </w:rPr>
        <w:t xml:space="preserve">unresolved structures. </w:t>
      </w:r>
      <w:r w:rsidR="004F07A8" w:rsidRPr="00B36586">
        <w:rPr>
          <w:color w:val="000000"/>
          <w:lang w:eastAsia="en-GB"/>
        </w:rPr>
        <w:t>Each contig is annotated with contig length and</w:t>
      </w:r>
      <w:r w:rsidR="00C410AD" w:rsidRPr="00B36586">
        <w:rPr>
          <w:color w:val="000000"/>
          <w:lang w:eastAsia="en-GB"/>
        </w:rPr>
        <w:t xml:space="preserve"> Illumina coverage</w:t>
      </w:r>
      <w:r w:rsidR="0045677D" w:rsidRPr="00B36586">
        <w:rPr>
          <w:color w:val="000000"/>
          <w:lang w:eastAsia="en-GB"/>
        </w:rPr>
        <w:t>; c</w:t>
      </w:r>
      <w:r w:rsidR="004F07A8" w:rsidRPr="00B36586">
        <w:rPr>
          <w:color w:val="000000"/>
          <w:lang w:eastAsia="en-GB"/>
        </w:rPr>
        <w:t>onnections between contigs represent overlaps between contig ends.</w:t>
      </w:r>
      <w:r w:rsidRPr="00B36586">
        <w:rPr>
          <w:color w:val="000000"/>
          <w:lang w:eastAsia="en-GB"/>
        </w:rPr>
        <w:t xml:space="preserve"> </w:t>
      </w:r>
      <w:r w:rsidR="004F07A8" w:rsidRPr="00B36586">
        <w:rPr>
          <w:color w:val="000000"/>
          <w:lang w:eastAsia="en-GB"/>
        </w:rPr>
        <w:t>The assembly</w:t>
      </w:r>
      <w:r w:rsidR="004A527E" w:rsidRPr="00B36586">
        <w:rPr>
          <w:color w:val="000000"/>
          <w:lang w:eastAsia="en-GB"/>
        </w:rPr>
        <w:t xml:space="preserve"> for RHBSTW</w:t>
      </w:r>
      <w:r w:rsidR="00A9604E" w:rsidRPr="00B36586">
        <w:rPr>
          <w:color w:val="000000"/>
          <w:lang w:eastAsia="en-GB"/>
        </w:rPr>
        <w:t>-</w:t>
      </w:r>
      <w:r w:rsidR="004A527E" w:rsidRPr="00B36586">
        <w:rPr>
          <w:color w:val="000000"/>
          <w:lang w:eastAsia="en-GB"/>
        </w:rPr>
        <w:t>00029</w:t>
      </w:r>
      <w:r w:rsidR="004F07A8" w:rsidRPr="00B36586">
        <w:rPr>
          <w:color w:val="000000"/>
          <w:lang w:eastAsia="en-GB"/>
        </w:rPr>
        <w:t xml:space="preserve"> in a) and t</w:t>
      </w:r>
      <w:r w:rsidR="004A527E" w:rsidRPr="00B36586">
        <w:rPr>
          <w:color w:val="000000"/>
          <w:lang w:eastAsia="en-GB"/>
        </w:rPr>
        <w:t>hat</w:t>
      </w:r>
      <w:r w:rsidR="00BE7EA7" w:rsidRPr="00B36586">
        <w:rPr>
          <w:color w:val="000000"/>
          <w:lang w:eastAsia="en-GB"/>
        </w:rPr>
        <w:t xml:space="preserve"> </w:t>
      </w:r>
      <w:r w:rsidR="004F07A8" w:rsidRPr="00B36586">
        <w:rPr>
          <w:color w:val="000000"/>
          <w:lang w:eastAsia="en-GB"/>
        </w:rPr>
        <w:t>of</w:t>
      </w:r>
      <w:r w:rsidR="0045677D" w:rsidRPr="00B36586">
        <w:rPr>
          <w:color w:val="000000"/>
          <w:lang w:eastAsia="en-GB"/>
        </w:rPr>
        <w:t xml:space="preserve"> isolate</w:t>
      </w:r>
      <w:r w:rsidR="00DB7B78" w:rsidRPr="00B36586">
        <w:rPr>
          <w:color w:val="000000"/>
          <w:lang w:eastAsia="en-GB"/>
        </w:rPr>
        <w:t xml:space="preserve"> RHB14</w:t>
      </w:r>
      <w:r w:rsidR="00A9604E" w:rsidRPr="00B36586">
        <w:rPr>
          <w:color w:val="000000"/>
          <w:lang w:eastAsia="en-GB"/>
        </w:rPr>
        <w:t>-</w:t>
      </w:r>
      <w:r w:rsidR="00DB7B78" w:rsidRPr="00B36586">
        <w:rPr>
          <w:color w:val="000000"/>
          <w:lang w:eastAsia="en-GB"/>
        </w:rPr>
        <w:t>C01</w:t>
      </w:r>
      <w:r w:rsidR="002E67B7" w:rsidRPr="00B36586">
        <w:rPr>
          <w:color w:val="000000"/>
          <w:lang w:eastAsia="en-GB"/>
        </w:rPr>
        <w:t xml:space="preserve"> (</w:t>
      </w:r>
      <w:r w:rsidR="00A20480" w:rsidRPr="00B36586">
        <w:rPr>
          <w:color w:val="000000"/>
          <w:lang w:eastAsia="en-GB"/>
        </w:rPr>
        <w:t xml:space="preserve">which showed </w:t>
      </w:r>
      <w:r w:rsidR="002E67B7" w:rsidRPr="00B36586">
        <w:rPr>
          <w:color w:val="000000"/>
          <w:lang w:eastAsia="en-GB"/>
        </w:rPr>
        <w:t>a similar pattern of chromosome structure uncertainty)</w:t>
      </w:r>
      <w:r w:rsidR="00DB7B78" w:rsidRPr="00B36586">
        <w:rPr>
          <w:color w:val="000000"/>
          <w:lang w:eastAsia="en-GB"/>
        </w:rPr>
        <w:t xml:space="preserve"> </w:t>
      </w:r>
      <w:r w:rsidR="0045677D" w:rsidRPr="00B36586">
        <w:rPr>
          <w:color w:val="000000"/>
          <w:lang w:eastAsia="en-GB"/>
        </w:rPr>
        <w:t>represent</w:t>
      </w:r>
      <w:r w:rsidR="004A527E" w:rsidRPr="00B36586">
        <w:rPr>
          <w:color w:val="000000"/>
          <w:lang w:eastAsia="en-GB"/>
        </w:rPr>
        <w:t>ed</w:t>
      </w:r>
      <w:r w:rsidR="0045677D" w:rsidRPr="00B36586">
        <w:rPr>
          <w:color w:val="000000"/>
          <w:lang w:eastAsia="en-GB"/>
        </w:rPr>
        <w:t xml:space="preserve"> </w:t>
      </w:r>
      <w:r w:rsidR="00DB7B78" w:rsidRPr="00B36586">
        <w:rPr>
          <w:color w:val="000000"/>
          <w:lang w:eastAsia="en-GB"/>
        </w:rPr>
        <w:t xml:space="preserve">the only </w:t>
      </w:r>
      <w:r w:rsidR="004A527E" w:rsidRPr="00B36586">
        <w:rPr>
          <w:color w:val="000000"/>
          <w:lang w:eastAsia="en-GB"/>
        </w:rPr>
        <w:t xml:space="preserve">two datasets </w:t>
      </w:r>
      <w:r w:rsidR="00DB7B78" w:rsidRPr="00B36586">
        <w:rPr>
          <w:color w:val="000000"/>
          <w:lang w:eastAsia="en-GB"/>
        </w:rPr>
        <w:t xml:space="preserve">that could not be completely assembled with any of the </w:t>
      </w:r>
      <w:r w:rsidR="0045677D" w:rsidRPr="00B36586">
        <w:rPr>
          <w:color w:val="000000"/>
          <w:lang w:eastAsia="en-GB"/>
        </w:rPr>
        <w:t>a</w:t>
      </w:r>
      <w:r w:rsidR="00DB7B78" w:rsidRPr="00B36586">
        <w:rPr>
          <w:color w:val="000000"/>
          <w:lang w:eastAsia="en-GB"/>
        </w:rPr>
        <w:t>tt</w:t>
      </w:r>
      <w:r w:rsidR="002E67B7" w:rsidRPr="00B36586">
        <w:rPr>
          <w:color w:val="000000"/>
          <w:lang w:eastAsia="en-GB"/>
        </w:rPr>
        <w:t>e</w:t>
      </w:r>
      <w:r w:rsidR="00DB7B78" w:rsidRPr="00B36586">
        <w:rPr>
          <w:color w:val="000000"/>
          <w:lang w:eastAsia="en-GB"/>
        </w:rPr>
        <w:t>mpted strategies using ONT</w:t>
      </w:r>
      <w:r w:rsidR="0045677D" w:rsidRPr="00B36586">
        <w:rPr>
          <w:color w:val="000000"/>
          <w:lang w:eastAsia="en-GB"/>
        </w:rPr>
        <w:t>+Illumina data</w:t>
      </w:r>
      <w:r w:rsidR="00202D10" w:rsidRPr="00B36586">
        <w:rPr>
          <w:color w:val="000000"/>
          <w:lang w:eastAsia="en-GB"/>
        </w:rPr>
        <w:t>. T</w:t>
      </w:r>
      <w:r w:rsidR="002E67B7" w:rsidRPr="00B36586">
        <w:rPr>
          <w:color w:val="000000"/>
          <w:lang w:eastAsia="en-GB"/>
        </w:rPr>
        <w:t>hey were also not fully assembled by any PacBio</w:t>
      </w:r>
      <w:r w:rsidR="00A20480" w:rsidRPr="00B36586">
        <w:rPr>
          <w:color w:val="000000"/>
          <w:lang w:eastAsia="en-GB"/>
        </w:rPr>
        <w:t>+Illumina</w:t>
      </w:r>
      <w:r w:rsidR="002E67B7" w:rsidRPr="00B36586">
        <w:rPr>
          <w:color w:val="000000"/>
          <w:lang w:eastAsia="en-GB"/>
        </w:rPr>
        <w:t xml:space="preserve"> strategy</w:t>
      </w:r>
      <w:r w:rsidR="00202D10" w:rsidRPr="00B36586">
        <w:rPr>
          <w:color w:val="000000"/>
          <w:lang w:eastAsia="en-GB"/>
        </w:rPr>
        <w:t xml:space="preserve">, </w:t>
      </w:r>
      <w:r w:rsidR="00BE7EA7" w:rsidRPr="00B36586">
        <w:rPr>
          <w:color w:val="000000"/>
          <w:lang w:eastAsia="en-GB"/>
        </w:rPr>
        <w:t xml:space="preserve">which </w:t>
      </w:r>
      <w:r w:rsidR="00202D10" w:rsidRPr="00B36586">
        <w:rPr>
          <w:color w:val="000000"/>
          <w:lang w:eastAsia="en-GB"/>
        </w:rPr>
        <w:t>similar</w:t>
      </w:r>
      <w:r w:rsidR="00BE7EA7" w:rsidRPr="00B36586">
        <w:rPr>
          <w:color w:val="000000"/>
          <w:lang w:eastAsia="en-GB"/>
        </w:rPr>
        <w:t>ly failed to completely assemble</w:t>
      </w:r>
      <w:r w:rsidR="00202D10" w:rsidRPr="00B36586">
        <w:rPr>
          <w:color w:val="000000"/>
          <w:lang w:eastAsia="en-GB"/>
        </w:rPr>
        <w:t xml:space="preserve"> </w:t>
      </w:r>
      <w:r w:rsidR="0045677D" w:rsidRPr="00B36586">
        <w:rPr>
          <w:color w:val="000000"/>
          <w:lang w:eastAsia="en-GB"/>
        </w:rPr>
        <w:t xml:space="preserve">isolates </w:t>
      </w:r>
      <w:r w:rsidR="00202D10" w:rsidRPr="00B36586">
        <w:rPr>
          <w:color w:val="000000"/>
          <w:lang w:eastAsia="en-GB"/>
        </w:rPr>
        <w:t>RBHSTW</w:t>
      </w:r>
      <w:r w:rsidR="00A9604E" w:rsidRPr="00B36586">
        <w:rPr>
          <w:color w:val="000000"/>
          <w:lang w:eastAsia="en-GB"/>
        </w:rPr>
        <w:t>-</w:t>
      </w:r>
      <w:r w:rsidR="00202D10" w:rsidRPr="00B36586">
        <w:rPr>
          <w:color w:val="000000"/>
          <w:lang w:eastAsia="en-GB"/>
        </w:rPr>
        <w:t>00189, RBHSTW</w:t>
      </w:r>
      <w:r w:rsidR="00A9604E" w:rsidRPr="00B36586">
        <w:rPr>
          <w:color w:val="000000"/>
          <w:lang w:eastAsia="en-GB"/>
        </w:rPr>
        <w:t>-</w:t>
      </w:r>
      <w:r w:rsidR="00202D10" w:rsidRPr="00B36586">
        <w:rPr>
          <w:color w:val="000000"/>
          <w:lang w:eastAsia="en-GB"/>
        </w:rPr>
        <w:t>00277, RBHSTW</w:t>
      </w:r>
      <w:r w:rsidR="00A9604E" w:rsidRPr="00B36586">
        <w:rPr>
          <w:color w:val="000000"/>
          <w:lang w:eastAsia="en-GB"/>
        </w:rPr>
        <w:t>-</w:t>
      </w:r>
      <w:r w:rsidR="00202D10" w:rsidRPr="00B36586">
        <w:rPr>
          <w:color w:val="000000"/>
          <w:lang w:eastAsia="en-GB"/>
        </w:rPr>
        <w:t>340 and C</w:t>
      </w:r>
      <w:r w:rsidR="0045677D" w:rsidRPr="00B36586">
        <w:rPr>
          <w:color w:val="000000"/>
          <w:lang w:eastAsia="en-GB"/>
        </w:rPr>
        <w:t>F</w:t>
      </w:r>
      <w:r w:rsidR="00202D10" w:rsidRPr="00B36586">
        <w:rPr>
          <w:color w:val="000000"/>
          <w:lang w:eastAsia="en-GB"/>
        </w:rPr>
        <w:t>T073</w:t>
      </w:r>
      <w:r w:rsidR="0045677D" w:rsidRPr="00B36586">
        <w:rPr>
          <w:color w:val="000000"/>
          <w:lang w:eastAsia="en-GB"/>
        </w:rPr>
        <w:t xml:space="preserve"> (</w:t>
      </w:r>
      <w:r w:rsidR="00BD26D3" w:rsidRPr="00B36586">
        <w:rPr>
          <w:color w:val="000000"/>
          <w:lang w:eastAsia="en-GB"/>
        </w:rPr>
        <w:t xml:space="preserve">Figure </w:t>
      </w:r>
      <w:r w:rsidR="0045677D" w:rsidRPr="00B36586">
        <w:rPr>
          <w:color w:val="000000"/>
          <w:lang w:eastAsia="en-GB"/>
        </w:rPr>
        <w:t>S</w:t>
      </w:r>
      <w:r w:rsidR="00A9604E" w:rsidRPr="00B36586">
        <w:rPr>
          <w:color w:val="000000"/>
          <w:lang w:eastAsia="en-GB"/>
        </w:rPr>
        <w:t>4</w:t>
      </w:r>
      <w:r w:rsidR="0045677D" w:rsidRPr="00B36586">
        <w:rPr>
          <w:color w:val="000000"/>
          <w:lang w:eastAsia="en-GB"/>
        </w:rPr>
        <w:t>)</w:t>
      </w:r>
      <w:r w:rsidR="00DB7B78" w:rsidRPr="00B36586">
        <w:rPr>
          <w:color w:val="000000"/>
          <w:lang w:eastAsia="en-GB"/>
        </w:rPr>
        <w:t>.</w:t>
      </w:r>
      <w:r w:rsidR="004F07A8" w:rsidRPr="00B36586">
        <w:rPr>
          <w:color w:val="000000"/>
          <w:lang w:eastAsia="en-GB"/>
        </w:rPr>
        <w:t xml:space="preserve"> The pattern</w:t>
      </w:r>
      <w:r w:rsidR="002E67B7" w:rsidRPr="00B36586">
        <w:rPr>
          <w:color w:val="000000"/>
          <w:lang w:eastAsia="en-GB"/>
        </w:rPr>
        <w:t xml:space="preserve"> in b)</w:t>
      </w:r>
      <w:r w:rsidR="00DB7B78" w:rsidRPr="00B36586">
        <w:rPr>
          <w:color w:val="000000"/>
          <w:lang w:eastAsia="en-GB"/>
        </w:rPr>
        <w:t xml:space="preserve"> </w:t>
      </w:r>
      <w:r w:rsidR="004F07A8" w:rsidRPr="00B36586">
        <w:rPr>
          <w:color w:val="000000"/>
          <w:lang w:eastAsia="en-GB"/>
        </w:rPr>
        <w:t>was</w:t>
      </w:r>
      <w:r w:rsidR="002E67B7" w:rsidRPr="00B36586">
        <w:rPr>
          <w:color w:val="000000"/>
          <w:lang w:eastAsia="en-GB"/>
        </w:rPr>
        <w:t xml:space="preserve"> only observed </w:t>
      </w:r>
      <w:r w:rsidR="00A20480" w:rsidRPr="00B36586">
        <w:rPr>
          <w:color w:val="000000"/>
          <w:lang w:eastAsia="en-GB"/>
        </w:rPr>
        <w:t>for</w:t>
      </w:r>
      <w:r w:rsidR="002E67B7" w:rsidRPr="00B36586">
        <w:rPr>
          <w:color w:val="000000"/>
          <w:lang w:eastAsia="en-GB"/>
        </w:rPr>
        <w:t xml:space="preserve"> PacBio</w:t>
      </w:r>
      <w:r w:rsidR="00A20480" w:rsidRPr="00B36586">
        <w:rPr>
          <w:color w:val="000000"/>
          <w:lang w:eastAsia="en-GB"/>
        </w:rPr>
        <w:t>+Illumina data</w:t>
      </w:r>
      <w:r w:rsidR="002E67B7" w:rsidRPr="00B36586">
        <w:rPr>
          <w:color w:val="000000"/>
          <w:lang w:eastAsia="en-GB"/>
        </w:rPr>
        <w:t>, and</w:t>
      </w:r>
      <w:r w:rsidR="004F07A8" w:rsidRPr="00B36586">
        <w:rPr>
          <w:color w:val="000000"/>
          <w:lang w:eastAsia="en-GB"/>
        </w:rPr>
        <w:t xml:space="preserve"> </w:t>
      </w:r>
      <w:r w:rsidR="002C2BC9" w:rsidRPr="00B36586">
        <w:rPr>
          <w:color w:val="000000"/>
          <w:lang w:eastAsia="en-GB"/>
        </w:rPr>
        <w:t>was the reason for</w:t>
      </w:r>
      <w:r w:rsidR="002E67B7" w:rsidRPr="00B36586">
        <w:rPr>
          <w:color w:val="000000"/>
          <w:lang w:eastAsia="en-GB"/>
        </w:rPr>
        <w:t xml:space="preserve"> incomplete assemblies for </w:t>
      </w:r>
      <w:r w:rsidR="0045677D" w:rsidRPr="00B36586">
        <w:rPr>
          <w:color w:val="000000"/>
          <w:lang w:eastAsia="en-GB"/>
        </w:rPr>
        <w:t xml:space="preserve">isolates </w:t>
      </w:r>
      <w:r w:rsidR="002E67B7" w:rsidRPr="00B36586">
        <w:rPr>
          <w:color w:val="000000"/>
          <w:lang w:eastAsia="en-GB"/>
        </w:rPr>
        <w:t>RBHS</w:t>
      </w:r>
      <w:r w:rsidR="00A9604E" w:rsidRPr="00B36586">
        <w:rPr>
          <w:color w:val="000000"/>
          <w:lang w:eastAsia="en-GB"/>
        </w:rPr>
        <w:t>TW-</w:t>
      </w:r>
      <w:r w:rsidR="002E67B7" w:rsidRPr="00B36586">
        <w:rPr>
          <w:color w:val="000000"/>
          <w:lang w:eastAsia="en-GB"/>
        </w:rPr>
        <w:t>00123, R</w:t>
      </w:r>
      <w:r w:rsidR="00202D10" w:rsidRPr="00B36586">
        <w:rPr>
          <w:color w:val="000000"/>
          <w:lang w:eastAsia="en-GB"/>
        </w:rPr>
        <w:t>BHST</w:t>
      </w:r>
      <w:r w:rsidR="00A9604E" w:rsidRPr="00B36586">
        <w:rPr>
          <w:color w:val="000000"/>
          <w:lang w:eastAsia="en-GB"/>
        </w:rPr>
        <w:t>W-</w:t>
      </w:r>
      <w:r w:rsidR="00202D10" w:rsidRPr="00B36586">
        <w:rPr>
          <w:color w:val="000000"/>
          <w:lang w:eastAsia="en-GB"/>
        </w:rPr>
        <w:t>00131, RBHST</w:t>
      </w:r>
      <w:r w:rsidR="00A9604E" w:rsidRPr="00B36586">
        <w:rPr>
          <w:color w:val="000000"/>
          <w:lang w:eastAsia="en-GB"/>
        </w:rPr>
        <w:t>W-</w:t>
      </w:r>
      <w:r w:rsidR="00202D10" w:rsidRPr="00B36586">
        <w:rPr>
          <w:color w:val="000000"/>
          <w:lang w:eastAsia="en-GB"/>
        </w:rPr>
        <w:t>00142, RBHST</w:t>
      </w:r>
      <w:r w:rsidR="00A9604E" w:rsidRPr="00B36586">
        <w:rPr>
          <w:color w:val="000000"/>
          <w:lang w:eastAsia="en-GB"/>
        </w:rPr>
        <w:t>W-00</w:t>
      </w:r>
      <w:r w:rsidR="00202D10" w:rsidRPr="00B36586">
        <w:rPr>
          <w:color w:val="000000"/>
          <w:lang w:eastAsia="en-GB"/>
        </w:rPr>
        <w:t>167 and</w:t>
      </w:r>
      <w:r w:rsidR="002E67B7" w:rsidRPr="00B36586">
        <w:rPr>
          <w:color w:val="000000"/>
          <w:lang w:eastAsia="en-GB"/>
        </w:rPr>
        <w:t xml:space="preserve"> </w:t>
      </w:r>
      <w:r w:rsidR="00202D10" w:rsidRPr="00B36586">
        <w:rPr>
          <w:color w:val="000000"/>
          <w:lang w:eastAsia="en-GB"/>
        </w:rPr>
        <w:t>MGH78578</w:t>
      </w:r>
      <w:r w:rsidR="00235759" w:rsidRPr="00B36586">
        <w:rPr>
          <w:color w:val="000000"/>
          <w:lang w:eastAsia="en-GB"/>
        </w:rPr>
        <w:t xml:space="preserve"> (Figure S</w:t>
      </w:r>
      <w:r w:rsidR="00AF7033">
        <w:rPr>
          <w:color w:val="000000"/>
          <w:lang w:eastAsia="en-GB"/>
        </w:rPr>
        <w:t>5</w:t>
      </w:r>
      <w:r w:rsidR="00235759" w:rsidRPr="00B36586">
        <w:rPr>
          <w:color w:val="000000"/>
          <w:lang w:eastAsia="en-GB"/>
        </w:rPr>
        <w:t>)</w:t>
      </w:r>
      <w:r w:rsidR="00AF7033">
        <w:rPr>
          <w:color w:val="000000"/>
          <w:lang w:eastAsia="en-GB"/>
        </w:rPr>
        <w:t>.</w:t>
      </w:r>
    </w:p>
    <w:p w14:paraId="5D273006" w14:textId="51935513" w:rsidR="00AF7033" w:rsidRPr="00AF7033" w:rsidRDefault="00AF7033" w:rsidP="00E344E5">
      <w:pPr>
        <w:spacing w:after="120"/>
        <w:jc w:val="both"/>
        <w:rPr>
          <w:color w:val="000000"/>
          <w:lang w:eastAsia="en-GB"/>
        </w:rPr>
      </w:pPr>
      <w:r w:rsidRPr="00B36586">
        <w:rPr>
          <w:b/>
          <w:color w:val="000000"/>
          <w:lang w:eastAsia="en-GB"/>
        </w:rPr>
        <w:t>Figure 2. Examples of mismatches identified between the ONT-based and the PacBio-based assemblies for the two reference strains (</w:t>
      </w:r>
      <w:r w:rsidRPr="00B36586">
        <w:rPr>
          <w:b/>
          <w:i/>
          <w:color w:val="000000"/>
          <w:lang w:eastAsia="en-GB"/>
        </w:rPr>
        <w:t>E. coli</w:t>
      </w:r>
      <w:r w:rsidRPr="00B36586">
        <w:rPr>
          <w:b/>
          <w:color w:val="000000"/>
          <w:lang w:eastAsia="en-GB"/>
        </w:rPr>
        <w:t xml:space="preserve"> CFT073 and </w:t>
      </w:r>
      <w:r w:rsidRPr="00B36586">
        <w:rPr>
          <w:b/>
          <w:i/>
          <w:color w:val="000000"/>
          <w:lang w:eastAsia="en-GB"/>
        </w:rPr>
        <w:t>K. pneumoniae</w:t>
      </w:r>
      <w:r w:rsidRPr="00B36586">
        <w:rPr>
          <w:b/>
          <w:color w:val="000000"/>
          <w:lang w:eastAsia="en-GB"/>
        </w:rPr>
        <w:t xml:space="preserve"> MGH78578).</w:t>
      </w:r>
      <w:r w:rsidRPr="00B36586">
        <w:rPr>
          <w:color w:val="000000"/>
          <w:lang w:eastAsia="en-GB"/>
        </w:rPr>
        <w:t xml:space="preserve"> Each sub-figure is an IGV (v2.4.3) view of part of the PacBio-based assembly, centered around a PacBio-ONT SNP, with all reads from the same isolate mapped to it. We performed this analysis for all SNPs in isolates MGH78578 and CFT073, and report examples for the two most typical patterns observed. a) SNP from MGH78578 with very low Illumina coverage, but normal PacBio and ONT coverage. Most of the Illumina reads have a different base than the one in the PacBio-assembled reference (the red T's), suggesting perhaps an error in the PacBio assembly. A similar pattern is observed in 14 SNPs in CFT073 (with 12 due to error in the PacBio assembly), and 11 SNPs in MGH78578 (with 10 due to error in the PacBio assembly). b) SNP from MGH78578 with normal Illumina coverage; Illumina reads support both bases with similar proportions, suggesting that this could be a polymorphic site within the original DNA sample. This pattern was observed for 4 SNPs in CFT073 and for 13 SNPs in MGH78578.</w:t>
      </w:r>
      <w:r w:rsidRPr="00B36586">
        <w:rPr>
          <w:noProof/>
        </w:rPr>
        <w:t xml:space="preserve"> </w:t>
      </w:r>
    </w:p>
    <w:p w14:paraId="4B365763" w14:textId="19F9638F" w:rsidR="00AF7033" w:rsidRPr="00B36586" w:rsidRDefault="00AF7033" w:rsidP="00AF7033">
      <w:pPr>
        <w:jc w:val="both"/>
        <w:rPr>
          <w:b/>
          <w:color w:val="000000"/>
          <w:sz w:val="28"/>
          <w:szCs w:val="28"/>
          <w:lang w:eastAsia="en-GB"/>
        </w:rPr>
        <w:sectPr w:rsidR="00AF7033" w:rsidRPr="00B36586" w:rsidSect="00C95227">
          <w:pgSz w:w="11906" w:h="16838" w:code="9"/>
          <w:pgMar w:top="1440" w:right="1440" w:bottom="1440" w:left="1440" w:header="426" w:footer="454" w:gutter="0"/>
          <w:lnNumType w:countBy="1" w:restart="continuous"/>
          <w:cols w:space="708"/>
          <w:titlePg/>
          <w:docGrid w:linePitch="360"/>
        </w:sectPr>
      </w:pPr>
    </w:p>
    <w:p w14:paraId="66B119B6" w14:textId="77777777" w:rsidR="000C486F" w:rsidRPr="00B36586" w:rsidRDefault="00F55844" w:rsidP="00223FA0">
      <w:pPr>
        <w:spacing w:before="120" w:after="120"/>
        <w:rPr>
          <w:b/>
          <w:color w:val="008461" w:themeColor="accent3"/>
          <w:sz w:val="32"/>
          <w:szCs w:val="32"/>
        </w:rPr>
      </w:pPr>
      <w:r w:rsidRPr="00B36586">
        <w:rPr>
          <w:b/>
          <w:color w:val="008461" w:themeColor="accent3"/>
          <w:sz w:val="32"/>
          <w:szCs w:val="32"/>
        </w:rPr>
        <w:lastRenderedPageBreak/>
        <w:t>SUPPLEMENTARY FIGURES AND TABLES</w:t>
      </w:r>
    </w:p>
    <w:p w14:paraId="7BA269EE" w14:textId="77777777" w:rsidR="0071075F" w:rsidRDefault="0071075F" w:rsidP="0071075F">
      <w:pPr>
        <w:spacing w:after="120"/>
        <w:jc w:val="both"/>
        <w:rPr>
          <w:b/>
        </w:rPr>
      </w:pPr>
      <w:r w:rsidRPr="00B36586">
        <w:rPr>
          <w:b/>
        </w:rPr>
        <w:t xml:space="preserve">Figure S1. Read counts and read length distributions for ONT and PacBio outputs. </w:t>
      </w:r>
    </w:p>
    <w:p w14:paraId="20C6C5A0" w14:textId="5165B227" w:rsidR="0071075F" w:rsidRDefault="0071075F" w:rsidP="0071075F">
      <w:pPr>
        <w:spacing w:after="120"/>
        <w:jc w:val="both"/>
      </w:pPr>
      <w:r w:rsidRPr="00B36586">
        <w:rPr>
          <w:b/>
        </w:rPr>
        <w:t>Figure S</w:t>
      </w:r>
      <w:r>
        <w:rPr>
          <w:b/>
        </w:rPr>
        <w:t>2</w:t>
      </w:r>
      <w:r w:rsidRPr="00B36586">
        <w:rPr>
          <w:b/>
        </w:rPr>
        <w:t>. Mean percent identities and identity N50 values of ONT/PacBio reads aligned to the hybrid assemblies.</w:t>
      </w:r>
      <w:r w:rsidRPr="00B36586">
        <w:t xml:space="preserve"> We considered the average identity for each base, and if there were multiple alignments at a base, we used the one with the best score. We aligned PacBio reads to the hybrid assembly obtained from all PacBio reads. We aligned ONT reads to the hybrid assembly obtained from all ONT reads. Identity N50 represents the percent identity for which half of the total bases are in reads with this identity value or higher. Complete statistics are in Table S</w:t>
      </w:r>
      <w:r w:rsidR="00A1575E">
        <w:t>2</w:t>
      </w:r>
      <w:r w:rsidRPr="00B36586">
        <w:t>.</w:t>
      </w:r>
    </w:p>
    <w:p w14:paraId="04984FD7" w14:textId="7C18F2C1" w:rsidR="0071075F" w:rsidRPr="00B27348" w:rsidRDefault="0071075F" w:rsidP="0071075F">
      <w:pPr>
        <w:spacing w:after="120"/>
        <w:jc w:val="both"/>
        <w:rPr>
          <w:bCs/>
        </w:rPr>
      </w:pPr>
      <w:r w:rsidRPr="00B36586">
        <w:rPr>
          <w:b/>
        </w:rPr>
        <w:t xml:space="preserve">Figure </w:t>
      </w:r>
      <w:r>
        <w:rPr>
          <w:b/>
        </w:rPr>
        <w:t>S3</w:t>
      </w:r>
      <w:r w:rsidRPr="00B36586">
        <w:rPr>
          <w:b/>
        </w:rPr>
        <w:t xml:space="preserve">. </w:t>
      </w:r>
      <w:r>
        <w:rPr>
          <w:b/>
        </w:rPr>
        <w:t xml:space="preserve">Similarity of assemblies from different approaches. </w:t>
      </w:r>
      <w:r>
        <w:rPr>
          <w:bCs/>
        </w:rPr>
        <w:t xml:space="preserve">Dendrograms produced using pairwise distances from DNAdiff comparisons of assemblies. </w:t>
      </w:r>
      <w:r>
        <w:rPr>
          <w:rFonts w:eastAsia="Times New Roman"/>
          <w:color w:val="000000"/>
          <w:lang w:eastAsia="en-GB"/>
        </w:rPr>
        <w:t xml:space="preserve">For the distance, we used an approximate measure of local assembly sequence similarity: the sum of GSNPs, GIndels, and unaligned bases (reference and query). </w:t>
      </w:r>
      <w:r w:rsidR="00830196">
        <w:rPr>
          <w:rFonts w:eastAsia="Times New Roman"/>
          <w:color w:val="000000"/>
          <w:lang w:eastAsia="en-GB"/>
        </w:rPr>
        <w:t xml:space="preserve">A ‘10X’ prefix indicates that an assembly is based on long-read data after sampling to approximately 10X coverage (based on the known genome size from the full data assemblies). </w:t>
      </w:r>
    </w:p>
    <w:p w14:paraId="623B8DDF" w14:textId="5AC6A237" w:rsidR="0071075F" w:rsidRDefault="0071075F" w:rsidP="0071075F">
      <w:pPr>
        <w:spacing w:after="120"/>
        <w:jc w:val="both"/>
      </w:pPr>
      <w:r w:rsidRPr="00B36586">
        <w:rPr>
          <w:b/>
        </w:rPr>
        <w:t>Figure S</w:t>
      </w:r>
      <w:r>
        <w:rPr>
          <w:b/>
        </w:rPr>
        <w:t>4</w:t>
      </w:r>
      <w:r w:rsidRPr="00B36586">
        <w:rPr>
          <w:b/>
        </w:rPr>
        <w:t xml:space="preserve">. Summary of read-to-assembly alignments. </w:t>
      </w:r>
      <w:r w:rsidRPr="00B36586">
        <w:t>All assemblies considered were obtained using all reads of the given type. Reads are classified as "good" if they have at least one mapping covering 97% of the read. They are classified as a putative "chimera" if they have multiple inconsistent alignments with at least 10% of read length and 70% identity. Complete statistics from minimap2/Filtlong outputs are in Table S</w:t>
      </w:r>
      <w:r w:rsidR="00A1575E">
        <w:t>5</w:t>
      </w:r>
      <w:r w:rsidRPr="00B36586">
        <w:t>.</w:t>
      </w:r>
    </w:p>
    <w:p w14:paraId="21BE88A5" w14:textId="02528A52" w:rsidR="0071075F" w:rsidRDefault="0071075F" w:rsidP="0071075F">
      <w:pPr>
        <w:spacing w:after="120"/>
        <w:jc w:val="both"/>
        <w:rPr>
          <w:b/>
        </w:rPr>
      </w:pPr>
      <w:r w:rsidRPr="00B36586">
        <w:rPr>
          <w:b/>
        </w:rPr>
        <w:t>Figure S</w:t>
      </w:r>
      <w:r>
        <w:rPr>
          <w:b/>
        </w:rPr>
        <w:t>5</w:t>
      </w:r>
      <w:r w:rsidRPr="00B36586">
        <w:rPr>
          <w:b/>
        </w:rPr>
        <w:t>. Bandage plots for hybrid assemblies.</w:t>
      </w:r>
      <w:r w:rsidRPr="00B36586">
        <w:rPr>
          <w:sz w:val="48"/>
          <w:szCs w:val="48"/>
        </w:rPr>
        <w:t xml:space="preserve"> </w:t>
      </w:r>
      <w:r w:rsidRPr="00B36586">
        <w:t>Each square represents one genome assembly. Shown are the ONT+Illumina (left) and PacBio+Illumina (right) assemblies for each isolate (4 columns of 5 isolates). All assembly plots are for the globally optimal long</w:t>
      </w:r>
      <w:r w:rsidR="00503FDD">
        <w:t>-</w:t>
      </w:r>
      <w:r w:rsidRPr="00B36586">
        <w:t xml:space="preserve">read preparation strategy for each sequencing approach i.e. “Subsampled” for ONT+Illumina and “Basic” for PacBio+Illumina (see Methods). Sequential colours for plasmids are for identical structures within isolates, but not between.  </w:t>
      </w:r>
    </w:p>
    <w:p w14:paraId="258CD33F" w14:textId="77777777" w:rsidR="0071075F" w:rsidRPr="001B11AC" w:rsidRDefault="0071075F" w:rsidP="0071075F">
      <w:pPr>
        <w:spacing w:after="120"/>
        <w:jc w:val="both"/>
        <w:rPr>
          <w:b/>
        </w:rPr>
      </w:pPr>
      <w:r w:rsidRPr="00B36586">
        <w:rPr>
          <w:b/>
        </w:rPr>
        <w:t>Figure S</w:t>
      </w:r>
      <w:r>
        <w:rPr>
          <w:b/>
        </w:rPr>
        <w:t>6</w:t>
      </w:r>
      <w:r w:rsidRPr="00B36586">
        <w:rPr>
          <w:b/>
        </w:rPr>
        <w:t xml:space="preserve">. Percentage of proteins with a length &lt;90% of top UniProt hit. </w:t>
      </w:r>
      <w:r w:rsidRPr="00B36586">
        <w:t xml:space="preserve">Proteins in assemblies were annotated with Prokka then blasted with DIAMOND against the full UniProt database (see Methods). The proportion of proteins with a length &lt;90% of their top UniProt hit gives a simple test for artificially shortened proteins due to indel errors in assembly. The black dashed line indicates the percentage in an existing high-quality reference genome for </w:t>
      </w:r>
      <w:r w:rsidRPr="00B36586">
        <w:rPr>
          <w:i/>
        </w:rPr>
        <w:t xml:space="preserve">E. coli </w:t>
      </w:r>
      <w:r w:rsidRPr="00B36586">
        <w:t xml:space="preserve">MG1655 </w:t>
      </w:r>
      <w:r w:rsidRPr="00B36586">
        <w:rPr>
          <w:iCs/>
        </w:rPr>
        <w:t xml:space="preserve">(157 proteins out of 4240; RefSeq GCF_000005845.2). </w:t>
      </w:r>
      <w:r w:rsidRPr="00B36586">
        <w:t xml:space="preserve">Absolute numbers were all &lt;250; </w:t>
      </w:r>
      <w:r w:rsidRPr="00B36586">
        <w:rPr>
          <w:iCs/>
        </w:rPr>
        <w:t xml:space="preserve">shown here is the value as a percentage of the maximum number of proteins observed in any assembly for the sample to allow comparison between different genome sizes. </w:t>
      </w:r>
    </w:p>
    <w:p w14:paraId="2690DF4C" w14:textId="68A68BC3" w:rsidR="0071075F" w:rsidRDefault="0071075F" w:rsidP="0071075F">
      <w:pPr>
        <w:spacing w:after="120"/>
        <w:jc w:val="both"/>
      </w:pPr>
      <w:r w:rsidRPr="00B36586">
        <w:rPr>
          <w:b/>
        </w:rPr>
        <w:t>Figure S</w:t>
      </w:r>
      <w:r>
        <w:rPr>
          <w:b/>
        </w:rPr>
        <w:t>7</w:t>
      </w:r>
      <w:r w:rsidRPr="00B36586">
        <w:rPr>
          <w:b/>
        </w:rPr>
        <w:t xml:space="preserve">. Comparison of discrepancy in total Prokka annotated regions across all assemblies. </w:t>
      </w:r>
      <w:r w:rsidRPr="00B36586">
        <w:t xml:space="preserve">The discrepancy is the number of annotated regions in the ONT+Illumina assembly minus the number of annotated regions in the PacBio+Illumina assembly. All 4x4=16 comparisons of </w:t>
      </w:r>
      <w:r w:rsidR="00913691">
        <w:t>different long-</w:t>
      </w:r>
      <w:r w:rsidRPr="00B36586">
        <w:t xml:space="preserve">read preparation strategies are shown. </w:t>
      </w:r>
    </w:p>
    <w:p w14:paraId="1ED31E0F" w14:textId="77777777" w:rsidR="0071075F" w:rsidRDefault="0071075F" w:rsidP="0071075F">
      <w:pPr>
        <w:spacing w:after="120"/>
        <w:jc w:val="both"/>
        <w:rPr>
          <w:color w:val="000000"/>
          <w:lang w:eastAsia="en-GB"/>
        </w:rPr>
      </w:pPr>
      <w:r w:rsidRPr="00B36586">
        <w:rPr>
          <w:b/>
        </w:rPr>
        <w:t xml:space="preserve">Table S1. Summary of sequenced isolates, DNA inputs and raw sequencing metrics. </w:t>
      </w:r>
      <w:r w:rsidRPr="00B36586">
        <w:t>Statistics in this table refer to raw (i.e. unfiltered) sequencing data. ONT read statistics were generated with</w:t>
      </w:r>
      <w:r w:rsidRPr="00B36586">
        <w:rPr>
          <w:color w:val="000000"/>
          <w:lang w:eastAsia="en-GB"/>
        </w:rPr>
        <w:t xml:space="preserve"> nanostat (v0.22).</w:t>
      </w:r>
    </w:p>
    <w:p w14:paraId="2434E8D0" w14:textId="4917C668" w:rsidR="0071075F" w:rsidRDefault="0071075F" w:rsidP="0071075F">
      <w:pPr>
        <w:spacing w:after="120"/>
        <w:jc w:val="both"/>
      </w:pPr>
      <w:r w:rsidRPr="00B36586">
        <w:rPr>
          <w:b/>
        </w:rPr>
        <w:t>Table S</w:t>
      </w:r>
      <w:r>
        <w:rPr>
          <w:b/>
        </w:rPr>
        <w:t>2</w:t>
      </w:r>
      <w:r w:rsidRPr="00B36586">
        <w:rPr>
          <w:b/>
        </w:rPr>
        <w:t>. Properties of long</w:t>
      </w:r>
      <w:r w:rsidR="004F5862">
        <w:rPr>
          <w:b/>
        </w:rPr>
        <w:t xml:space="preserve"> </w:t>
      </w:r>
      <w:r w:rsidRPr="00B36586">
        <w:rPr>
          <w:b/>
        </w:rPr>
        <w:t>reads from PacBio and ONT.</w:t>
      </w:r>
      <w:r w:rsidRPr="00B36586">
        <w:t xml:space="preserve"> “PB” indicates PacBio. Reads were mapped to the assembli</w:t>
      </w:r>
      <w:r w:rsidR="004F5862">
        <w:t>e</w:t>
      </w:r>
      <w:r w:rsidRPr="00B36586">
        <w:t xml:space="preserve">s using minimap2 to determine identity. We considered the average identity for each base, and if there were multiple alignments at a base, we used the one with the best score. We aligned PacBio reads to the hybrid assembly obtained from all PacBio </w:t>
      </w:r>
      <w:r w:rsidRPr="00B36586">
        <w:lastRenderedPageBreak/>
        <w:t>reads. We aligned ONT reads to the hybrid assembly obtained from all ONT reads. N50 represents the length or identity for which half of the read bases are in reads of at least such length or identity.</w:t>
      </w:r>
    </w:p>
    <w:p w14:paraId="1CD4325B" w14:textId="77777777" w:rsidR="0071075F" w:rsidRDefault="0071075F" w:rsidP="0071075F">
      <w:pPr>
        <w:spacing w:after="120"/>
        <w:jc w:val="both"/>
      </w:pPr>
      <w:r w:rsidRPr="001C1D8B">
        <w:rPr>
          <w:b/>
          <w:bCs/>
        </w:rPr>
        <w:t>Table S</w:t>
      </w:r>
      <w:r>
        <w:rPr>
          <w:b/>
          <w:bCs/>
        </w:rPr>
        <w:t>3</w:t>
      </w:r>
      <w:r w:rsidRPr="001C1D8B">
        <w:rPr>
          <w:b/>
          <w:bCs/>
        </w:rPr>
        <w:t>.</w:t>
      </w:r>
      <w:r>
        <w:rPr>
          <w:b/>
          <w:bCs/>
        </w:rPr>
        <w:t xml:space="preserve"> DNAdiff comparisons of assemblies from different approaches with available reference genomes</w:t>
      </w:r>
      <w:r w:rsidRPr="001C1D8B">
        <w:rPr>
          <w:b/>
          <w:bCs/>
        </w:rPr>
        <w:t>.</w:t>
      </w:r>
      <w:r>
        <w:t xml:space="preserve"> Comparisons are shown between the assemblies from this study and the reference genomes </w:t>
      </w:r>
      <w:r>
        <w:rPr>
          <w:i/>
          <w:iCs/>
          <w:color w:val="000000"/>
          <w:lang w:eastAsia="en-GB"/>
        </w:rPr>
        <w:t xml:space="preserve">E. coli </w:t>
      </w:r>
      <w:r w:rsidRPr="00B36586">
        <w:rPr>
          <w:color w:val="000000"/>
          <w:lang w:eastAsia="en-GB"/>
        </w:rPr>
        <w:t>CFT073</w:t>
      </w:r>
      <w:r>
        <w:rPr>
          <w:color w:val="000000"/>
          <w:lang w:eastAsia="en-GB"/>
        </w:rPr>
        <w:t xml:space="preserve"> (</w:t>
      </w:r>
      <w:r w:rsidRPr="005608F8">
        <w:rPr>
          <w:color w:val="000000"/>
          <w:lang w:val="en-US" w:eastAsia="en-GB"/>
        </w:rPr>
        <w:t>NC_004431.1</w:t>
      </w:r>
      <w:r>
        <w:rPr>
          <w:color w:val="000000"/>
          <w:lang w:val="en-US" w:eastAsia="en-GB"/>
        </w:rPr>
        <w:t xml:space="preserve">) and </w:t>
      </w:r>
      <w:r>
        <w:rPr>
          <w:i/>
          <w:iCs/>
          <w:color w:val="000000"/>
          <w:lang w:eastAsia="en-GB"/>
        </w:rPr>
        <w:t xml:space="preserve">K. pneumoniae </w:t>
      </w:r>
      <w:r w:rsidRPr="00B36586">
        <w:rPr>
          <w:color w:val="000000"/>
          <w:lang w:eastAsia="en-GB"/>
        </w:rPr>
        <w:t>MGH78578</w:t>
      </w:r>
      <w:r>
        <w:rPr>
          <w:color w:val="000000"/>
          <w:lang w:eastAsia="en-GB"/>
        </w:rPr>
        <w:t xml:space="preserve"> (</w:t>
      </w:r>
      <w:r w:rsidRPr="00E60D4A">
        <w:rPr>
          <w:color w:val="000000"/>
          <w:lang w:eastAsia="en-GB"/>
        </w:rPr>
        <w:t>NC_009648</w:t>
      </w:r>
      <w:r>
        <w:rPr>
          <w:color w:val="000000"/>
          <w:lang w:eastAsia="en-GB"/>
        </w:rPr>
        <w:t>.1-</w:t>
      </w:r>
      <w:r w:rsidRPr="00E60D4A">
        <w:rPr>
          <w:color w:val="000000"/>
          <w:lang w:eastAsia="en-GB"/>
        </w:rPr>
        <w:t>NC_0096</w:t>
      </w:r>
      <w:r>
        <w:rPr>
          <w:color w:val="000000"/>
          <w:lang w:eastAsia="en-GB"/>
        </w:rPr>
        <w:t>53.1</w:t>
      </w:r>
      <w:r w:rsidRPr="00B36586">
        <w:rPr>
          <w:color w:val="000000"/>
          <w:lang w:eastAsia="en-GB"/>
        </w:rPr>
        <w:t>)</w:t>
      </w:r>
      <w:r>
        <w:rPr>
          <w:color w:val="000000"/>
          <w:lang w:eastAsia="en-GB"/>
        </w:rPr>
        <w:t>.</w:t>
      </w:r>
    </w:p>
    <w:p w14:paraId="139C88C8" w14:textId="52CAE257" w:rsidR="0071075F" w:rsidRPr="001B11AC" w:rsidRDefault="0071075F" w:rsidP="0071075F">
      <w:pPr>
        <w:spacing w:after="120"/>
        <w:jc w:val="both"/>
      </w:pPr>
      <w:r w:rsidRPr="001C1D8B">
        <w:rPr>
          <w:b/>
          <w:bCs/>
        </w:rPr>
        <w:t>Table S</w:t>
      </w:r>
      <w:r>
        <w:rPr>
          <w:b/>
          <w:bCs/>
        </w:rPr>
        <w:t>4.</w:t>
      </w:r>
      <w:r w:rsidRPr="001C1D8B">
        <w:rPr>
          <w:b/>
          <w:bCs/>
        </w:rPr>
        <w:t xml:space="preserve"> Assembly statistics for different assembly approaches.</w:t>
      </w:r>
      <w:r>
        <w:t xml:space="preserve"> Various metrics are shown, including those from CheckM, total contigs, circularised contigs, and total bases. Includes Flye long-read only assembly followed by polishing with Illumina reads using Pilon and hybrid assembly with Unicycler for both PacBio and ONT. Also included are results for ~10X coverage in long</w:t>
      </w:r>
      <w:r w:rsidR="004F5862">
        <w:t xml:space="preserve"> </w:t>
      </w:r>
      <w:r>
        <w:t xml:space="preserve">reads, showing that Unicycler outperforms PacBio in this scenario. </w:t>
      </w:r>
    </w:p>
    <w:p w14:paraId="77380B36" w14:textId="1F66B70B" w:rsidR="0071075F" w:rsidRPr="00B36586" w:rsidRDefault="0071075F" w:rsidP="0071075F">
      <w:pPr>
        <w:spacing w:after="120"/>
        <w:jc w:val="both"/>
        <w:rPr>
          <w:b/>
        </w:rPr>
      </w:pPr>
      <w:r w:rsidRPr="00B36586">
        <w:rPr>
          <w:b/>
        </w:rPr>
        <w:t>Table S</w:t>
      </w:r>
      <w:r>
        <w:rPr>
          <w:b/>
        </w:rPr>
        <w:t>5</w:t>
      </w:r>
      <w:r w:rsidRPr="00B36586">
        <w:rPr>
          <w:b/>
        </w:rPr>
        <w:t>. Classification of long</w:t>
      </w:r>
      <w:r w:rsidR="004F5862">
        <w:rPr>
          <w:b/>
        </w:rPr>
        <w:t xml:space="preserve"> </w:t>
      </w:r>
      <w:r w:rsidRPr="00B36586">
        <w:rPr>
          <w:b/>
        </w:rPr>
        <w:t>reads from PacBio and ONT.</w:t>
      </w:r>
      <w:r w:rsidRPr="00B36586">
        <w:t xml:space="preserve"> “PB” indicates PacBio. “PB2ONT” represents PacBio reads mapped to the ONT hybrid assembly, and so on. All assemblies considered were obtained using all reads of the given type. We show the number of reads falling in different categories according to how they map to the assemblies. Reads are classified as "Good" if they have at least one mapping covering 97% of the read. They are classified as a putative "chimera" if they have multiple inconsistent alignments with at least 10% of read length and 70% identity.  </w:t>
      </w:r>
    </w:p>
    <w:p w14:paraId="3C131D6A" w14:textId="04E8814C" w:rsidR="0071075F" w:rsidRDefault="0071075F" w:rsidP="0071075F">
      <w:pPr>
        <w:spacing w:after="120"/>
        <w:jc w:val="both"/>
      </w:pPr>
      <w:r w:rsidRPr="00B36586">
        <w:rPr>
          <w:b/>
        </w:rPr>
        <w:t>Table S</w:t>
      </w:r>
      <w:r>
        <w:rPr>
          <w:b/>
        </w:rPr>
        <w:t>6</w:t>
      </w:r>
      <w:r w:rsidRPr="00B36586">
        <w:rPr>
          <w:b/>
        </w:rPr>
        <w:t xml:space="preserve">. Location and counts of proteins found uniquely in (a) ONT-based or (b) PacBio-based assembly for each sample. </w:t>
      </w:r>
      <w:r w:rsidRPr="00B36586">
        <w:t>Shown here is the comparison between assemblies using the globally optimal long</w:t>
      </w:r>
      <w:r w:rsidR="0052633D">
        <w:t>-</w:t>
      </w:r>
      <w:r w:rsidRPr="00B36586">
        <w:t xml:space="preserve">read preparation strategy for each sequencing approach i.e. “Subsampled” for ONT+Illumina and “Basic” for PacBio+Illumina (as in Figure S4). Proteins from assemblies for each sample were clustered using Roary after annotation with Prokka. Contig order indicates size order in the relevant assembly (see Figure S4). The start of the greyed-out squares indicates the total number of contigs in the assembly. </w:t>
      </w:r>
    </w:p>
    <w:p w14:paraId="25B841C3" w14:textId="74D53D8F" w:rsidR="00C32001" w:rsidRPr="00FD5974" w:rsidRDefault="0071075F" w:rsidP="0071075F">
      <w:pPr>
        <w:spacing w:after="120"/>
        <w:jc w:val="both"/>
      </w:pPr>
      <w:r w:rsidRPr="00B36586">
        <w:rPr>
          <w:b/>
        </w:rPr>
        <w:t>Table S7. Simulating the effect of increased level of ONT multiplexing on hybrid assembly.</w:t>
      </w:r>
      <w:r w:rsidRPr="00B36586">
        <w:t xml:space="preserve"> Values represent numbers of contigs, either circular contigs, or any contig. </w:t>
      </w:r>
      <w:r>
        <w:t>Four</w:t>
      </w:r>
      <w:r w:rsidRPr="00B36586">
        <w:t xml:space="preserve"> simulations are presented, either with all reads, with half the reads, with one third of the reads</w:t>
      </w:r>
      <w:r>
        <w:t>, or with a 10X coverage of the genome on average (varying by isolate, but typically ~5% of reads)</w:t>
      </w:r>
      <w:r w:rsidRPr="00B36586">
        <w:t>.</w:t>
      </w:r>
    </w:p>
    <w:sectPr w:rsidR="00C32001" w:rsidRPr="00FD5974" w:rsidSect="006B7309">
      <w:pgSz w:w="11906" w:h="16838" w:code="9"/>
      <w:pgMar w:top="1440" w:right="1440" w:bottom="1440" w:left="1440" w:header="426" w:footer="454" w:gutter="0"/>
      <w:lnNumType w:countBy="1" w:restart="continuou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516BE3" w14:textId="77777777" w:rsidR="00A8260B" w:rsidRDefault="00A8260B" w:rsidP="00E837DA">
      <w:r>
        <w:separator/>
      </w:r>
    </w:p>
    <w:p w14:paraId="26A4AE18" w14:textId="77777777" w:rsidR="00A8260B" w:rsidRDefault="00A8260B"/>
  </w:endnote>
  <w:endnote w:type="continuationSeparator" w:id="0">
    <w:p w14:paraId="1E4BCD50" w14:textId="77777777" w:rsidR="00A8260B" w:rsidRDefault="00A8260B" w:rsidP="00E837DA">
      <w:r>
        <w:continuationSeparator/>
      </w:r>
    </w:p>
    <w:p w14:paraId="5D1044F6" w14:textId="77777777" w:rsidR="00A8260B" w:rsidRDefault="00A826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ScalaLancetPro">
    <w:altName w:val="MS Mincho"/>
    <w:panose1 w:val="020B0604020202020204"/>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33B922" w14:textId="77777777" w:rsidR="00A8260B" w:rsidRDefault="00A8260B" w:rsidP="00E837DA">
      <w:r>
        <w:separator/>
      </w:r>
    </w:p>
    <w:p w14:paraId="06520926" w14:textId="77777777" w:rsidR="00A8260B" w:rsidRDefault="00A8260B"/>
  </w:footnote>
  <w:footnote w:type="continuationSeparator" w:id="0">
    <w:p w14:paraId="6987A130" w14:textId="77777777" w:rsidR="00A8260B" w:rsidRDefault="00A8260B" w:rsidP="00E837DA">
      <w:r>
        <w:continuationSeparator/>
      </w:r>
    </w:p>
    <w:p w14:paraId="133FA640" w14:textId="77777777" w:rsidR="00A8260B" w:rsidRDefault="00A8260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sz w:val="20"/>
        <w:szCs w:val="20"/>
      </w:rPr>
      <w:id w:val="1293948677"/>
      <w:docPartObj>
        <w:docPartGallery w:val="Page Numbers (Top of Page)"/>
        <w:docPartUnique/>
      </w:docPartObj>
    </w:sdtPr>
    <w:sdtEndPr>
      <w:rPr>
        <w:rStyle w:val="PageNumber"/>
      </w:rPr>
    </w:sdtEndPr>
    <w:sdtContent>
      <w:p w14:paraId="6D82F2A0" w14:textId="77777777" w:rsidR="00913691" w:rsidRPr="00920764" w:rsidRDefault="00913691" w:rsidP="00E02F5D">
        <w:pPr>
          <w:pStyle w:val="Header"/>
          <w:framePr w:wrap="none" w:vAnchor="text" w:hAnchor="margin" w:xAlign="right" w:y="1"/>
          <w:rPr>
            <w:rStyle w:val="PageNumber"/>
            <w:sz w:val="20"/>
            <w:szCs w:val="20"/>
          </w:rPr>
        </w:pPr>
        <w:r w:rsidRPr="00920764">
          <w:rPr>
            <w:rStyle w:val="PageNumber"/>
            <w:sz w:val="20"/>
            <w:szCs w:val="20"/>
          </w:rPr>
          <w:fldChar w:fldCharType="begin"/>
        </w:r>
        <w:r w:rsidRPr="00920764">
          <w:rPr>
            <w:rStyle w:val="PageNumber"/>
            <w:sz w:val="20"/>
            <w:szCs w:val="20"/>
          </w:rPr>
          <w:instrText xml:space="preserve"> PAGE </w:instrText>
        </w:r>
        <w:r w:rsidRPr="00920764">
          <w:rPr>
            <w:rStyle w:val="PageNumber"/>
            <w:sz w:val="20"/>
            <w:szCs w:val="20"/>
          </w:rPr>
          <w:fldChar w:fldCharType="separate"/>
        </w:r>
        <w:r w:rsidR="00A01B4C">
          <w:rPr>
            <w:rStyle w:val="PageNumber"/>
            <w:rFonts w:hint="eastAsia"/>
            <w:noProof/>
            <w:sz w:val="20"/>
            <w:szCs w:val="20"/>
          </w:rPr>
          <w:t>26</w:t>
        </w:r>
        <w:r w:rsidRPr="00920764">
          <w:rPr>
            <w:rStyle w:val="PageNumber"/>
            <w:sz w:val="20"/>
            <w:szCs w:val="20"/>
          </w:rPr>
          <w:fldChar w:fldCharType="end"/>
        </w:r>
      </w:p>
    </w:sdtContent>
  </w:sdt>
  <w:p w14:paraId="53A2E60D" w14:textId="77777777" w:rsidR="00913691" w:rsidRPr="00B36586" w:rsidRDefault="00913691" w:rsidP="00E02F5D">
    <w:pPr>
      <w:pStyle w:val="Header"/>
      <w:ind w:right="360"/>
      <w:rPr>
        <w:i/>
        <w:sz w:val="20"/>
        <w:szCs w:val="20"/>
      </w:rPr>
    </w:pPr>
    <w:r w:rsidRPr="00B36586">
      <w:rPr>
        <w:i/>
        <w:sz w:val="20"/>
        <w:szCs w:val="20"/>
      </w:rPr>
      <w:t xml:space="preserve">Comparison of long-read technologies in hybrid assembly </w:t>
    </w:r>
    <w:r w:rsidRPr="00B36586">
      <w:rPr>
        <w:i/>
        <w:sz w:val="20"/>
        <w:szCs w:val="20"/>
      </w:rPr>
      <w:ptab w:relativeTo="margin" w:alignment="right" w:leader="none"/>
    </w:r>
  </w:p>
  <w:p w14:paraId="584DA5B9" w14:textId="77777777" w:rsidR="00913691" w:rsidRDefault="009136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sz w:val="20"/>
        <w:szCs w:val="20"/>
      </w:rPr>
      <w:id w:val="1504700674"/>
      <w:docPartObj>
        <w:docPartGallery w:val="Page Numbers (Top of Page)"/>
        <w:docPartUnique/>
      </w:docPartObj>
    </w:sdtPr>
    <w:sdtEndPr>
      <w:rPr>
        <w:rStyle w:val="PageNumber"/>
      </w:rPr>
    </w:sdtEndPr>
    <w:sdtContent>
      <w:p w14:paraId="6D93A074" w14:textId="4238BAC1" w:rsidR="00913691" w:rsidRPr="00920764" w:rsidRDefault="00913691" w:rsidP="00D83132">
        <w:pPr>
          <w:pStyle w:val="Header"/>
          <w:framePr w:wrap="none" w:vAnchor="text" w:hAnchor="margin" w:xAlign="right" w:y="1"/>
          <w:rPr>
            <w:rStyle w:val="PageNumber"/>
            <w:sz w:val="20"/>
            <w:szCs w:val="20"/>
          </w:rPr>
        </w:pPr>
        <w:r w:rsidRPr="00920764">
          <w:rPr>
            <w:rStyle w:val="PageNumber"/>
            <w:sz w:val="20"/>
            <w:szCs w:val="20"/>
          </w:rPr>
          <w:fldChar w:fldCharType="begin"/>
        </w:r>
        <w:r w:rsidRPr="00920764">
          <w:rPr>
            <w:rStyle w:val="PageNumber"/>
            <w:sz w:val="20"/>
            <w:szCs w:val="20"/>
          </w:rPr>
          <w:instrText xml:space="preserve"> PAGE </w:instrText>
        </w:r>
        <w:r w:rsidRPr="00920764">
          <w:rPr>
            <w:rStyle w:val="PageNumber"/>
            <w:sz w:val="20"/>
            <w:szCs w:val="20"/>
          </w:rPr>
          <w:fldChar w:fldCharType="separate"/>
        </w:r>
        <w:r w:rsidR="00A01B4C">
          <w:rPr>
            <w:rStyle w:val="PageNumber"/>
            <w:rFonts w:hint="eastAsia"/>
            <w:noProof/>
            <w:sz w:val="20"/>
            <w:szCs w:val="20"/>
          </w:rPr>
          <w:t>25</w:t>
        </w:r>
        <w:r w:rsidRPr="00920764">
          <w:rPr>
            <w:rStyle w:val="PageNumber"/>
            <w:sz w:val="20"/>
            <w:szCs w:val="20"/>
          </w:rPr>
          <w:fldChar w:fldCharType="end"/>
        </w:r>
      </w:p>
    </w:sdtContent>
  </w:sdt>
  <w:p w14:paraId="2D7C362B" w14:textId="2D8D74F2" w:rsidR="00913691" w:rsidRPr="0059468E" w:rsidRDefault="00913691" w:rsidP="0051283A">
    <w:pPr>
      <w:pStyle w:val="Header"/>
      <w:ind w:right="360"/>
      <w:rPr>
        <w:i/>
        <w:sz w:val="20"/>
        <w:szCs w:val="20"/>
      </w:rPr>
    </w:pPr>
    <w:r w:rsidRPr="0059468E">
      <w:rPr>
        <w:i/>
        <w:sz w:val="20"/>
        <w:szCs w:val="20"/>
      </w:rPr>
      <w:t xml:space="preserve">Comparison of long-read technologies in hybrid assembly </w:t>
    </w:r>
    <w:r w:rsidRPr="0059468E">
      <w:rPr>
        <w:i/>
        <w:sz w:val="20"/>
        <w:szCs w:val="20"/>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1E65A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4AA6906"/>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B2D8AF98"/>
    <w:lvl w:ilvl="0">
      <w:start w:val="1"/>
      <w:numFmt w:val="decimal"/>
      <w:pStyle w:val="ListNumber4"/>
      <w:lvlText w:val="%1."/>
      <w:lvlJc w:val="left"/>
      <w:pPr>
        <w:tabs>
          <w:tab w:val="num" w:pos="1209"/>
        </w:tabs>
        <w:ind w:left="1209" w:hanging="360"/>
      </w:pPr>
    </w:lvl>
  </w:abstractNum>
  <w:abstractNum w:abstractNumId="3" w15:restartNumberingAfterBreak="0">
    <w:nsid w:val="FFFFFF7E"/>
    <w:multiLevelType w:val="singleLevel"/>
    <w:tmpl w:val="C5EA4DBE"/>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C6960CCE"/>
    <w:lvl w:ilvl="0">
      <w:start w:val="1"/>
      <w:numFmt w:val="decimal"/>
      <w:pStyle w:val="ListNumber2"/>
      <w:lvlText w:val="%1."/>
      <w:lvlJc w:val="left"/>
      <w:pPr>
        <w:tabs>
          <w:tab w:val="num" w:pos="643"/>
        </w:tabs>
        <w:ind w:left="643" w:hanging="360"/>
      </w:pPr>
    </w:lvl>
  </w:abstractNum>
  <w:abstractNum w:abstractNumId="5" w15:restartNumberingAfterBreak="0">
    <w:nsid w:val="FFFFFF80"/>
    <w:multiLevelType w:val="singleLevel"/>
    <w:tmpl w:val="561AAC32"/>
    <w:lvl w:ilvl="0">
      <w:start w:val="1"/>
      <w:numFmt w:val="bullet"/>
      <w:pStyle w:val="ListBullet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A764956"/>
    <w:lvl w:ilvl="0">
      <w:start w:val="1"/>
      <w:numFmt w:val="bullet"/>
      <w:pStyle w:val="ListBullet4"/>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68D64C24"/>
    <w:lvl w:ilvl="0">
      <w:start w:val="1"/>
      <w:numFmt w:val="bullet"/>
      <w:pStyle w:val="ListBullet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FD680EAA"/>
    <w:lvl w:ilvl="0">
      <w:start w:val="1"/>
      <w:numFmt w:val="bullet"/>
      <w:pStyle w:val="ListBullet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02628B8"/>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CFB050C8"/>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50300FE"/>
    <w:multiLevelType w:val="multilevel"/>
    <w:tmpl w:val="EA02EDB0"/>
    <w:numStyleLink w:val="Bullets"/>
  </w:abstractNum>
  <w:abstractNum w:abstractNumId="12" w15:restartNumberingAfterBreak="0">
    <w:nsid w:val="08E0291E"/>
    <w:multiLevelType w:val="hybridMultilevel"/>
    <w:tmpl w:val="A32C60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AB73277"/>
    <w:multiLevelType w:val="multilevel"/>
    <w:tmpl w:val="EA02EDB0"/>
    <w:numStyleLink w:val="Bullets"/>
  </w:abstractNum>
  <w:abstractNum w:abstractNumId="14" w15:restartNumberingAfterBreak="0">
    <w:nsid w:val="0D800B0B"/>
    <w:multiLevelType w:val="hybridMultilevel"/>
    <w:tmpl w:val="EA10EF2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1A816DAD"/>
    <w:multiLevelType w:val="hybridMultilevel"/>
    <w:tmpl w:val="AC42E27C"/>
    <w:lvl w:ilvl="0" w:tplc="31BA3BD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8012B6"/>
    <w:multiLevelType w:val="multilevel"/>
    <w:tmpl w:val="2AE2888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FF376C8"/>
    <w:multiLevelType w:val="hybridMultilevel"/>
    <w:tmpl w:val="63F886BE"/>
    <w:lvl w:ilvl="0" w:tplc="BD5E6176">
      <w:start w:val="1"/>
      <w:numFmt w:val="decimal"/>
      <w:pStyle w:val="NumberLevel1"/>
      <w:lvlText w:val="%1."/>
      <w:lvlJc w:val="left"/>
      <w:pPr>
        <w:tabs>
          <w:tab w:val="num" w:pos="567"/>
        </w:tabs>
        <w:ind w:left="567" w:hanging="567"/>
      </w:pPr>
      <w:rPr>
        <w:rFonts w:hint="default"/>
      </w:rPr>
    </w:lvl>
    <w:lvl w:ilvl="1" w:tplc="05EEE66C">
      <w:start w:val="1"/>
      <w:numFmt w:val="lowerLetter"/>
      <w:lvlText w:val="%2."/>
      <w:lvlJc w:val="left"/>
      <w:pPr>
        <w:tabs>
          <w:tab w:val="num" w:pos="1134"/>
        </w:tabs>
        <w:ind w:left="1134"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17B2C89"/>
    <w:multiLevelType w:val="multilevel"/>
    <w:tmpl w:val="BE8CA97A"/>
    <w:styleLink w:val="Appendix"/>
    <w:lvl w:ilvl="0">
      <w:start w:val="1"/>
      <w:numFmt w:val="decimal"/>
      <w:pStyle w:val="AppendixTitle"/>
      <w:suff w:val="nothing"/>
      <w:lvlText w:val="Appendix %1 - "/>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25DF1D35"/>
    <w:multiLevelType w:val="multilevel"/>
    <w:tmpl w:val="5AA4D0EA"/>
    <w:styleLink w:val="Linked"/>
    <w:lvl w:ilvl="0">
      <w:start w:val="1"/>
      <w:numFmt w:val="decimal"/>
      <w:lvlText w:val="%1."/>
      <w:lvlJc w:val="left"/>
      <w:pPr>
        <w:ind w:left="567" w:hanging="567"/>
      </w:pPr>
      <w:rPr>
        <w:rFonts w:hint="default"/>
      </w:rPr>
    </w:lvl>
    <w:lvl w:ilvl="1">
      <w:start w:val="1"/>
      <w:numFmt w:val="decimal"/>
      <w:isLgl/>
      <w:lvlText w:val="%1.%2"/>
      <w:lvlJc w:val="left"/>
      <w:pPr>
        <w:ind w:left="567" w:hanging="567"/>
      </w:pPr>
      <w:rPr>
        <w:rFonts w:hint="default"/>
      </w:rPr>
    </w:lvl>
    <w:lvl w:ilvl="2">
      <w:start w:val="1"/>
      <w:numFmt w:val="lowerRoman"/>
      <w:pStyle w:val="Heading4"/>
      <w:isLgl/>
      <w:lvlText w:val="%3)"/>
      <w:lvlJc w:val="left"/>
      <w:pPr>
        <w:ind w:left="567"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7051C8A"/>
    <w:multiLevelType w:val="hybridMultilevel"/>
    <w:tmpl w:val="03D67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D682433"/>
    <w:multiLevelType w:val="multilevel"/>
    <w:tmpl w:val="D0F850C8"/>
    <w:numStyleLink w:val="Numbers"/>
  </w:abstractNum>
  <w:abstractNum w:abstractNumId="22" w15:restartNumberingAfterBreak="0">
    <w:nsid w:val="2FC60E7F"/>
    <w:multiLevelType w:val="multilevel"/>
    <w:tmpl w:val="BE8CA97A"/>
    <w:numStyleLink w:val="Appendix"/>
  </w:abstractNum>
  <w:abstractNum w:abstractNumId="23" w15:restartNumberingAfterBreak="0">
    <w:nsid w:val="30277474"/>
    <w:multiLevelType w:val="multilevel"/>
    <w:tmpl w:val="D0F850C8"/>
    <w:styleLink w:val="Numbers"/>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306F4E65"/>
    <w:multiLevelType w:val="hybridMultilevel"/>
    <w:tmpl w:val="3AC26FFA"/>
    <w:lvl w:ilvl="0" w:tplc="EFF4072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2F64F24"/>
    <w:multiLevelType w:val="multilevel"/>
    <w:tmpl w:val="EA02EDB0"/>
    <w:numStyleLink w:val="Bullets"/>
  </w:abstractNum>
  <w:abstractNum w:abstractNumId="26" w15:restartNumberingAfterBreak="0">
    <w:nsid w:val="39C45F4D"/>
    <w:multiLevelType w:val="hybridMultilevel"/>
    <w:tmpl w:val="9F6EE50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307202B"/>
    <w:multiLevelType w:val="multilevel"/>
    <w:tmpl w:val="EA02EDB0"/>
    <w:styleLink w:val="Bullets"/>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Wingdings" w:hAnsi="Wingdings" w:hint="default"/>
      </w:rPr>
    </w:lvl>
    <w:lvl w:ilvl="3">
      <w:start w:val="1"/>
      <w:numFmt w:val="none"/>
      <w:lvlText w:val=""/>
      <w:lvlJc w:val="left"/>
      <w:pPr>
        <w:ind w:left="0" w:firstLine="0"/>
      </w:pPr>
      <w:rPr>
        <w:rFont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33623B7"/>
    <w:multiLevelType w:val="hybridMultilevel"/>
    <w:tmpl w:val="D61C6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59942C1"/>
    <w:multiLevelType w:val="hybridMultilevel"/>
    <w:tmpl w:val="33BAB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3B1E29"/>
    <w:multiLevelType w:val="hybridMultilevel"/>
    <w:tmpl w:val="6104680C"/>
    <w:lvl w:ilvl="0" w:tplc="AE104AC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4921FD"/>
    <w:multiLevelType w:val="multilevel"/>
    <w:tmpl w:val="C84CAD46"/>
    <w:styleLink w:val="Headings"/>
    <w:lvl w:ilvl="0">
      <w:start w:val="1"/>
      <w:numFmt w:val="decimal"/>
      <w:lvlText w:val="%1."/>
      <w:lvlJc w:val="left"/>
      <w:pPr>
        <w:tabs>
          <w:tab w:val="num" w:pos="431"/>
        </w:tabs>
        <w:ind w:left="432" w:hanging="432"/>
      </w:pPr>
      <w:rPr>
        <w:rFonts w:hint="default"/>
      </w:rPr>
    </w:lvl>
    <w:lvl w:ilvl="1">
      <w:start w:val="1"/>
      <w:numFmt w:val="decimal"/>
      <w:lvlText w:val="%1.%2"/>
      <w:lvlJc w:val="left"/>
      <w:pPr>
        <w:tabs>
          <w:tab w:val="num" w:pos="578"/>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2"/>
        </w:tabs>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2" w15:restartNumberingAfterBreak="0">
    <w:nsid w:val="4ECF2FBD"/>
    <w:multiLevelType w:val="multilevel"/>
    <w:tmpl w:val="D0F850C8"/>
    <w:numStyleLink w:val="Numbers"/>
  </w:abstractNum>
  <w:abstractNum w:abstractNumId="33" w15:restartNumberingAfterBreak="0">
    <w:nsid w:val="51CA7720"/>
    <w:multiLevelType w:val="multilevel"/>
    <w:tmpl w:val="6F9E6F0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4" w15:restartNumberingAfterBreak="0">
    <w:nsid w:val="56787617"/>
    <w:multiLevelType w:val="hybridMultilevel"/>
    <w:tmpl w:val="B1F0CCCE"/>
    <w:lvl w:ilvl="0" w:tplc="3B1C1D6A">
      <w:start w:val="1"/>
      <w:numFmt w:val="bullet"/>
      <w:pStyle w:val="BulletLevel1"/>
      <w:lvlText w:val=""/>
      <w:lvlJc w:val="left"/>
      <w:pPr>
        <w:tabs>
          <w:tab w:val="num" w:pos="567"/>
        </w:tabs>
        <w:ind w:left="567" w:hanging="567"/>
      </w:pPr>
      <w:rPr>
        <w:rFonts w:ascii="Symbol" w:hAnsi="Symbol" w:hint="default"/>
      </w:rPr>
    </w:lvl>
    <w:lvl w:ilvl="1" w:tplc="7F762F02">
      <w:start w:val="1"/>
      <w:numFmt w:val="bullet"/>
      <w:pStyle w:val="BulletLevel2"/>
      <w:lvlText w:val="o"/>
      <w:lvlJc w:val="left"/>
      <w:pPr>
        <w:tabs>
          <w:tab w:val="num" w:pos="1134"/>
        </w:tabs>
        <w:ind w:left="1134" w:hanging="567"/>
      </w:pPr>
      <w:rPr>
        <w:rFonts w:ascii="Courier New" w:hAnsi="Courier New" w:hint="default"/>
      </w:rPr>
    </w:lvl>
    <w:lvl w:ilvl="2" w:tplc="08090005" w:tentative="1">
      <w:start w:val="1"/>
      <w:numFmt w:val="bullet"/>
      <w:pStyle w:val="Bulletlevel3"/>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0473DC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27E4998"/>
    <w:multiLevelType w:val="hybridMultilevel"/>
    <w:tmpl w:val="D68E9F44"/>
    <w:lvl w:ilvl="0" w:tplc="FBC68CB0">
      <w:start w:val="1"/>
      <w:numFmt w:val="lowerLetter"/>
      <w:pStyle w:val="NumberLevel2"/>
      <w:lvlText w:val="%1."/>
      <w:lvlJc w:val="left"/>
      <w:pPr>
        <w:tabs>
          <w:tab w:val="num" w:pos="1134"/>
        </w:tabs>
        <w:ind w:left="1134"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AE230F3"/>
    <w:multiLevelType w:val="hybridMultilevel"/>
    <w:tmpl w:val="20967F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CC809F3"/>
    <w:multiLevelType w:val="multilevel"/>
    <w:tmpl w:val="745A3F2C"/>
    <w:lvl w:ilvl="0">
      <w:start w:val="1"/>
      <w:numFmt w:val="decimal"/>
      <w:lvlText w:val="%1."/>
      <w:lvlJc w:val="left"/>
      <w:pPr>
        <w:ind w:left="567" w:hanging="567"/>
      </w:pPr>
      <w:rPr>
        <w:rFonts w:hint="default"/>
      </w:rPr>
    </w:lvl>
    <w:lvl w:ilvl="1">
      <w:start w:val="1"/>
      <w:numFmt w:val="decimal"/>
      <w:isLgl/>
      <w:lvlText w:val="%1.%2"/>
      <w:lvlJc w:val="left"/>
      <w:pPr>
        <w:ind w:left="567" w:hanging="567"/>
      </w:pPr>
      <w:rPr>
        <w:rFonts w:hint="default"/>
      </w:rPr>
    </w:lvl>
    <w:lvl w:ilvl="2">
      <w:start w:val="1"/>
      <w:numFmt w:val="lowerRoman"/>
      <w:isLgl/>
      <w:lvlText w:val="%3)"/>
      <w:lvlJc w:val="left"/>
      <w:pPr>
        <w:ind w:left="567"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786F0A88"/>
    <w:multiLevelType w:val="hybridMultilevel"/>
    <w:tmpl w:val="74B0EE68"/>
    <w:lvl w:ilvl="0" w:tplc="31BA3BD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101D62"/>
    <w:multiLevelType w:val="hybridMultilevel"/>
    <w:tmpl w:val="CB66C3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F273C71"/>
    <w:multiLevelType w:val="hybridMultilevel"/>
    <w:tmpl w:val="6EAA0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AF3ECC"/>
    <w:multiLevelType w:val="multilevel"/>
    <w:tmpl w:val="EA02EDB0"/>
    <w:numStyleLink w:val="Bullets"/>
  </w:abstractNum>
  <w:num w:numId="1">
    <w:abstractNumId w:val="38"/>
  </w:num>
  <w:num w:numId="2">
    <w:abstractNumId w:val="10"/>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33"/>
  </w:num>
  <w:num w:numId="13">
    <w:abstractNumId w:val="27"/>
  </w:num>
  <w:num w:numId="14">
    <w:abstractNumId w:val="13"/>
  </w:num>
  <w:num w:numId="15">
    <w:abstractNumId w:val="23"/>
  </w:num>
  <w:num w:numId="16">
    <w:abstractNumId w:val="32"/>
  </w:num>
  <w:num w:numId="17">
    <w:abstractNumId w:val="31"/>
  </w:num>
  <w:num w:numId="18">
    <w:abstractNumId w:val="22"/>
  </w:num>
  <w:num w:numId="19">
    <w:abstractNumId w:val="18"/>
  </w:num>
  <w:num w:numId="20">
    <w:abstractNumId w:val="42"/>
  </w:num>
  <w:num w:numId="21">
    <w:abstractNumId w:val="25"/>
  </w:num>
  <w:num w:numId="22">
    <w:abstractNumId w:val="21"/>
  </w:num>
  <w:num w:numId="23">
    <w:abstractNumId w:val="11"/>
  </w:num>
  <w:num w:numId="24">
    <w:abstractNumId w:val="40"/>
  </w:num>
  <w:num w:numId="25">
    <w:abstractNumId w:val="12"/>
  </w:num>
  <w:num w:numId="26">
    <w:abstractNumId w:val="35"/>
  </w:num>
  <w:num w:numId="27">
    <w:abstractNumId w:val="34"/>
  </w:num>
  <w:num w:numId="28">
    <w:abstractNumId w:val="17"/>
  </w:num>
  <w:num w:numId="29">
    <w:abstractNumId w:val="36"/>
  </w:num>
  <w:num w:numId="30">
    <w:abstractNumId w:val="19"/>
  </w:num>
  <w:num w:numId="31">
    <w:abstractNumId w:val="14"/>
  </w:num>
  <w:num w:numId="32">
    <w:abstractNumId w:val="20"/>
  </w:num>
  <w:num w:numId="33">
    <w:abstractNumId w:val="39"/>
  </w:num>
  <w:num w:numId="34">
    <w:abstractNumId w:val="15"/>
  </w:num>
  <w:num w:numId="35">
    <w:abstractNumId w:val="41"/>
  </w:num>
  <w:num w:numId="36">
    <w:abstractNumId w:val="16"/>
  </w:num>
  <w:num w:numId="37">
    <w:abstractNumId w:val="30"/>
  </w:num>
  <w:num w:numId="38">
    <w:abstractNumId w:val="24"/>
  </w:num>
  <w:num w:numId="39">
    <w:abstractNumId w:val="29"/>
  </w:num>
  <w:num w:numId="40">
    <w:abstractNumId w:val="28"/>
  </w:num>
  <w:num w:numId="41">
    <w:abstractNumId w:val="0"/>
  </w:num>
  <w:num w:numId="42">
    <w:abstractNumId w:val="37"/>
  </w:num>
  <w:num w:numId="43">
    <w:abstractNumId w:val="2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9"/>
  <w:hideSpellingErrors/>
  <w:activeWritingStyle w:appName="MSWord" w:lang="en-US" w:vendorID="64" w:dllVersion="4096" w:nlCheck="1" w:checkStyle="0"/>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linkStyle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CA2817B4-3569-47A0-87AA-425E0A4FB53F}"/>
    <w:docVar w:name="dgnword-eventsink" w:val="94379720"/>
  </w:docVars>
  <w:rsids>
    <w:rsidRoot w:val="00C95227"/>
    <w:rsid w:val="00001174"/>
    <w:rsid w:val="00001DBE"/>
    <w:rsid w:val="00003D1E"/>
    <w:rsid w:val="00004748"/>
    <w:rsid w:val="00004FE2"/>
    <w:rsid w:val="00005873"/>
    <w:rsid w:val="00005C64"/>
    <w:rsid w:val="00005F5F"/>
    <w:rsid w:val="00006DAC"/>
    <w:rsid w:val="00010A9C"/>
    <w:rsid w:val="00011725"/>
    <w:rsid w:val="000117F9"/>
    <w:rsid w:val="00013E06"/>
    <w:rsid w:val="00015DAF"/>
    <w:rsid w:val="0001658C"/>
    <w:rsid w:val="0001708D"/>
    <w:rsid w:val="0001757D"/>
    <w:rsid w:val="000233E3"/>
    <w:rsid w:val="00023FB9"/>
    <w:rsid w:val="00024031"/>
    <w:rsid w:val="0002440D"/>
    <w:rsid w:val="0002489D"/>
    <w:rsid w:val="00025D3E"/>
    <w:rsid w:val="000262CA"/>
    <w:rsid w:val="000265CD"/>
    <w:rsid w:val="00026DD8"/>
    <w:rsid w:val="0002718B"/>
    <w:rsid w:val="000307F5"/>
    <w:rsid w:val="0003112F"/>
    <w:rsid w:val="000315E8"/>
    <w:rsid w:val="00031968"/>
    <w:rsid w:val="00033C52"/>
    <w:rsid w:val="0003523D"/>
    <w:rsid w:val="0004000F"/>
    <w:rsid w:val="000416A0"/>
    <w:rsid w:val="000418D4"/>
    <w:rsid w:val="00042812"/>
    <w:rsid w:val="00042B4E"/>
    <w:rsid w:val="00044740"/>
    <w:rsid w:val="00045560"/>
    <w:rsid w:val="00046C8C"/>
    <w:rsid w:val="00046CCF"/>
    <w:rsid w:val="00046F64"/>
    <w:rsid w:val="00050553"/>
    <w:rsid w:val="00050573"/>
    <w:rsid w:val="00050D0A"/>
    <w:rsid w:val="00051477"/>
    <w:rsid w:val="00051500"/>
    <w:rsid w:val="000518BB"/>
    <w:rsid w:val="0005225A"/>
    <w:rsid w:val="00053EB5"/>
    <w:rsid w:val="0005417A"/>
    <w:rsid w:val="00054378"/>
    <w:rsid w:val="00055772"/>
    <w:rsid w:val="00055B7D"/>
    <w:rsid w:val="00056377"/>
    <w:rsid w:val="000572A6"/>
    <w:rsid w:val="00060151"/>
    <w:rsid w:val="00061213"/>
    <w:rsid w:val="00063004"/>
    <w:rsid w:val="000642C8"/>
    <w:rsid w:val="00064BA2"/>
    <w:rsid w:val="00064FFE"/>
    <w:rsid w:val="00065102"/>
    <w:rsid w:val="00065335"/>
    <w:rsid w:val="00065E78"/>
    <w:rsid w:val="00067A26"/>
    <w:rsid w:val="00070537"/>
    <w:rsid w:val="00071922"/>
    <w:rsid w:val="00073185"/>
    <w:rsid w:val="000735CF"/>
    <w:rsid w:val="000738CE"/>
    <w:rsid w:val="00074749"/>
    <w:rsid w:val="0007493C"/>
    <w:rsid w:val="00074ACB"/>
    <w:rsid w:val="00074E35"/>
    <w:rsid w:val="0007562E"/>
    <w:rsid w:val="00075968"/>
    <w:rsid w:val="00076B23"/>
    <w:rsid w:val="00076CEF"/>
    <w:rsid w:val="0007705F"/>
    <w:rsid w:val="00077871"/>
    <w:rsid w:val="00077913"/>
    <w:rsid w:val="00080A27"/>
    <w:rsid w:val="0008275F"/>
    <w:rsid w:val="000831AC"/>
    <w:rsid w:val="00083A7A"/>
    <w:rsid w:val="00084723"/>
    <w:rsid w:val="00085B3B"/>
    <w:rsid w:val="00086A1B"/>
    <w:rsid w:val="00086A9E"/>
    <w:rsid w:val="000877A9"/>
    <w:rsid w:val="00090AED"/>
    <w:rsid w:val="00091AD6"/>
    <w:rsid w:val="0009272C"/>
    <w:rsid w:val="00092EE8"/>
    <w:rsid w:val="00093467"/>
    <w:rsid w:val="00093AB9"/>
    <w:rsid w:val="00094EFB"/>
    <w:rsid w:val="000951C7"/>
    <w:rsid w:val="00095441"/>
    <w:rsid w:val="00095A54"/>
    <w:rsid w:val="000960D3"/>
    <w:rsid w:val="0009610C"/>
    <w:rsid w:val="000961CE"/>
    <w:rsid w:val="0009646B"/>
    <w:rsid w:val="00096B5A"/>
    <w:rsid w:val="0009711C"/>
    <w:rsid w:val="000A1130"/>
    <w:rsid w:val="000A15D7"/>
    <w:rsid w:val="000A215A"/>
    <w:rsid w:val="000A25F0"/>
    <w:rsid w:val="000A266D"/>
    <w:rsid w:val="000A3B17"/>
    <w:rsid w:val="000A586F"/>
    <w:rsid w:val="000A5B49"/>
    <w:rsid w:val="000A5B64"/>
    <w:rsid w:val="000A608F"/>
    <w:rsid w:val="000A615B"/>
    <w:rsid w:val="000A6178"/>
    <w:rsid w:val="000A65C7"/>
    <w:rsid w:val="000A7027"/>
    <w:rsid w:val="000B1EBB"/>
    <w:rsid w:val="000B22CC"/>
    <w:rsid w:val="000B3B53"/>
    <w:rsid w:val="000B4F62"/>
    <w:rsid w:val="000B5B46"/>
    <w:rsid w:val="000B5B5D"/>
    <w:rsid w:val="000B5D7D"/>
    <w:rsid w:val="000B6F59"/>
    <w:rsid w:val="000B7C5B"/>
    <w:rsid w:val="000C06E4"/>
    <w:rsid w:val="000C2BB1"/>
    <w:rsid w:val="000C3710"/>
    <w:rsid w:val="000C398D"/>
    <w:rsid w:val="000C3A8E"/>
    <w:rsid w:val="000C3BBB"/>
    <w:rsid w:val="000C4697"/>
    <w:rsid w:val="000C486F"/>
    <w:rsid w:val="000C7BAD"/>
    <w:rsid w:val="000D0AB9"/>
    <w:rsid w:val="000D396D"/>
    <w:rsid w:val="000D3D2C"/>
    <w:rsid w:val="000D4FA2"/>
    <w:rsid w:val="000D5CBE"/>
    <w:rsid w:val="000D77E6"/>
    <w:rsid w:val="000D79A0"/>
    <w:rsid w:val="000E0168"/>
    <w:rsid w:val="000E3092"/>
    <w:rsid w:val="000E395E"/>
    <w:rsid w:val="000E3994"/>
    <w:rsid w:val="000E3CDF"/>
    <w:rsid w:val="000E3E24"/>
    <w:rsid w:val="000E6A91"/>
    <w:rsid w:val="000F13C9"/>
    <w:rsid w:val="000F193F"/>
    <w:rsid w:val="000F2FFF"/>
    <w:rsid w:val="000F3809"/>
    <w:rsid w:val="000F4C66"/>
    <w:rsid w:val="000F4CE9"/>
    <w:rsid w:val="000F6517"/>
    <w:rsid w:val="0010018E"/>
    <w:rsid w:val="001006D3"/>
    <w:rsid w:val="00100FF7"/>
    <w:rsid w:val="001014AD"/>
    <w:rsid w:val="001021EC"/>
    <w:rsid w:val="00102BB2"/>
    <w:rsid w:val="00103816"/>
    <w:rsid w:val="0010392A"/>
    <w:rsid w:val="0010420F"/>
    <w:rsid w:val="00104548"/>
    <w:rsid w:val="001052F1"/>
    <w:rsid w:val="00106508"/>
    <w:rsid w:val="00107861"/>
    <w:rsid w:val="001101EA"/>
    <w:rsid w:val="00110295"/>
    <w:rsid w:val="00110794"/>
    <w:rsid w:val="00110A3C"/>
    <w:rsid w:val="00110AD2"/>
    <w:rsid w:val="001114EF"/>
    <w:rsid w:val="00112D66"/>
    <w:rsid w:val="00113A25"/>
    <w:rsid w:val="00113EE4"/>
    <w:rsid w:val="0011498E"/>
    <w:rsid w:val="0011593C"/>
    <w:rsid w:val="00116102"/>
    <w:rsid w:val="001172F1"/>
    <w:rsid w:val="00120261"/>
    <w:rsid w:val="0012061C"/>
    <w:rsid w:val="00121120"/>
    <w:rsid w:val="00121CF2"/>
    <w:rsid w:val="00122A41"/>
    <w:rsid w:val="00122CF8"/>
    <w:rsid w:val="00125082"/>
    <w:rsid w:val="00125266"/>
    <w:rsid w:val="00125550"/>
    <w:rsid w:val="00125602"/>
    <w:rsid w:val="00125A2C"/>
    <w:rsid w:val="00126729"/>
    <w:rsid w:val="00126A07"/>
    <w:rsid w:val="00126EF1"/>
    <w:rsid w:val="00127089"/>
    <w:rsid w:val="00127676"/>
    <w:rsid w:val="00133123"/>
    <w:rsid w:val="00133412"/>
    <w:rsid w:val="001335A8"/>
    <w:rsid w:val="001337F4"/>
    <w:rsid w:val="001339F2"/>
    <w:rsid w:val="0013680B"/>
    <w:rsid w:val="001377B0"/>
    <w:rsid w:val="00140351"/>
    <w:rsid w:val="0014109A"/>
    <w:rsid w:val="0014122E"/>
    <w:rsid w:val="00142DA3"/>
    <w:rsid w:val="00142E35"/>
    <w:rsid w:val="00143D41"/>
    <w:rsid w:val="00143FD4"/>
    <w:rsid w:val="00145329"/>
    <w:rsid w:val="00145A84"/>
    <w:rsid w:val="00146557"/>
    <w:rsid w:val="00147492"/>
    <w:rsid w:val="0014763C"/>
    <w:rsid w:val="00147FB2"/>
    <w:rsid w:val="00151040"/>
    <w:rsid w:val="001519D9"/>
    <w:rsid w:val="001526BA"/>
    <w:rsid w:val="00153B31"/>
    <w:rsid w:val="0015421F"/>
    <w:rsid w:val="00154F8C"/>
    <w:rsid w:val="00155170"/>
    <w:rsid w:val="00155A67"/>
    <w:rsid w:val="00156502"/>
    <w:rsid w:val="00156D7C"/>
    <w:rsid w:val="00157968"/>
    <w:rsid w:val="00160876"/>
    <w:rsid w:val="0016173D"/>
    <w:rsid w:val="00161E40"/>
    <w:rsid w:val="00162708"/>
    <w:rsid w:val="00162B3B"/>
    <w:rsid w:val="00164875"/>
    <w:rsid w:val="00164D1A"/>
    <w:rsid w:val="00164F73"/>
    <w:rsid w:val="0016565C"/>
    <w:rsid w:val="001677DE"/>
    <w:rsid w:val="00167D05"/>
    <w:rsid w:val="00167F4C"/>
    <w:rsid w:val="001705FF"/>
    <w:rsid w:val="00170E45"/>
    <w:rsid w:val="001715C8"/>
    <w:rsid w:val="001717F9"/>
    <w:rsid w:val="00171944"/>
    <w:rsid w:val="00171AA4"/>
    <w:rsid w:val="00173C24"/>
    <w:rsid w:val="00174090"/>
    <w:rsid w:val="00174BBE"/>
    <w:rsid w:val="0017587F"/>
    <w:rsid w:val="00176783"/>
    <w:rsid w:val="00176E62"/>
    <w:rsid w:val="001779E5"/>
    <w:rsid w:val="00177B32"/>
    <w:rsid w:val="00180160"/>
    <w:rsid w:val="00180D3E"/>
    <w:rsid w:val="00181491"/>
    <w:rsid w:val="001814E0"/>
    <w:rsid w:val="00181BCA"/>
    <w:rsid w:val="001829C6"/>
    <w:rsid w:val="00182EC9"/>
    <w:rsid w:val="00183118"/>
    <w:rsid w:val="001849D8"/>
    <w:rsid w:val="00184D5C"/>
    <w:rsid w:val="001852CB"/>
    <w:rsid w:val="001855DE"/>
    <w:rsid w:val="00185955"/>
    <w:rsid w:val="00185CC7"/>
    <w:rsid w:val="001869D6"/>
    <w:rsid w:val="00186BC6"/>
    <w:rsid w:val="00191143"/>
    <w:rsid w:val="001918D1"/>
    <w:rsid w:val="001925EE"/>
    <w:rsid w:val="00193DD2"/>
    <w:rsid w:val="00195D9A"/>
    <w:rsid w:val="00196A12"/>
    <w:rsid w:val="00197466"/>
    <w:rsid w:val="001979BE"/>
    <w:rsid w:val="00197BB6"/>
    <w:rsid w:val="001A0030"/>
    <w:rsid w:val="001A0243"/>
    <w:rsid w:val="001A308F"/>
    <w:rsid w:val="001A350E"/>
    <w:rsid w:val="001A3935"/>
    <w:rsid w:val="001A3B46"/>
    <w:rsid w:val="001A4E1F"/>
    <w:rsid w:val="001A580D"/>
    <w:rsid w:val="001A5EBE"/>
    <w:rsid w:val="001A6220"/>
    <w:rsid w:val="001A7022"/>
    <w:rsid w:val="001A7504"/>
    <w:rsid w:val="001A7C1B"/>
    <w:rsid w:val="001B11AC"/>
    <w:rsid w:val="001B18E0"/>
    <w:rsid w:val="001B19C1"/>
    <w:rsid w:val="001B2211"/>
    <w:rsid w:val="001B292E"/>
    <w:rsid w:val="001B3851"/>
    <w:rsid w:val="001B5638"/>
    <w:rsid w:val="001C08DE"/>
    <w:rsid w:val="001C2C09"/>
    <w:rsid w:val="001C35EC"/>
    <w:rsid w:val="001C3AC7"/>
    <w:rsid w:val="001C474D"/>
    <w:rsid w:val="001C5613"/>
    <w:rsid w:val="001C6031"/>
    <w:rsid w:val="001C76A1"/>
    <w:rsid w:val="001D01DD"/>
    <w:rsid w:val="001D0746"/>
    <w:rsid w:val="001D1950"/>
    <w:rsid w:val="001D2E2C"/>
    <w:rsid w:val="001D3544"/>
    <w:rsid w:val="001D3D4F"/>
    <w:rsid w:val="001D42AB"/>
    <w:rsid w:val="001D514B"/>
    <w:rsid w:val="001D583C"/>
    <w:rsid w:val="001D6695"/>
    <w:rsid w:val="001D6A9A"/>
    <w:rsid w:val="001D723E"/>
    <w:rsid w:val="001D7585"/>
    <w:rsid w:val="001E0F1D"/>
    <w:rsid w:val="001E185E"/>
    <w:rsid w:val="001E20A7"/>
    <w:rsid w:val="001E3156"/>
    <w:rsid w:val="001E55E5"/>
    <w:rsid w:val="001E63E7"/>
    <w:rsid w:val="001E72AF"/>
    <w:rsid w:val="001F0E95"/>
    <w:rsid w:val="001F1159"/>
    <w:rsid w:val="001F2F71"/>
    <w:rsid w:val="001F3D9E"/>
    <w:rsid w:val="001F46EB"/>
    <w:rsid w:val="001F4D97"/>
    <w:rsid w:val="001F5403"/>
    <w:rsid w:val="001F5EA4"/>
    <w:rsid w:val="001F5FE3"/>
    <w:rsid w:val="001F7A92"/>
    <w:rsid w:val="001F7B68"/>
    <w:rsid w:val="001F7DC1"/>
    <w:rsid w:val="00200170"/>
    <w:rsid w:val="0020074C"/>
    <w:rsid w:val="00200B60"/>
    <w:rsid w:val="00200BDF"/>
    <w:rsid w:val="00201300"/>
    <w:rsid w:val="0020137D"/>
    <w:rsid w:val="00201748"/>
    <w:rsid w:val="00202005"/>
    <w:rsid w:val="00202A95"/>
    <w:rsid w:val="00202AE4"/>
    <w:rsid w:val="00202D10"/>
    <w:rsid w:val="00202DEF"/>
    <w:rsid w:val="0020387E"/>
    <w:rsid w:val="0020461D"/>
    <w:rsid w:val="00204A1C"/>
    <w:rsid w:val="00204C97"/>
    <w:rsid w:val="00204D19"/>
    <w:rsid w:val="0020569E"/>
    <w:rsid w:val="00205E4D"/>
    <w:rsid w:val="002074F7"/>
    <w:rsid w:val="00211401"/>
    <w:rsid w:val="00211657"/>
    <w:rsid w:val="00211B4C"/>
    <w:rsid w:val="0021239C"/>
    <w:rsid w:val="002135E5"/>
    <w:rsid w:val="002145E6"/>
    <w:rsid w:val="00214FB5"/>
    <w:rsid w:val="00215C9D"/>
    <w:rsid w:val="00216F8D"/>
    <w:rsid w:val="00217444"/>
    <w:rsid w:val="002227DB"/>
    <w:rsid w:val="00222A3F"/>
    <w:rsid w:val="00223FA0"/>
    <w:rsid w:val="002246BA"/>
    <w:rsid w:val="0022515F"/>
    <w:rsid w:val="00227314"/>
    <w:rsid w:val="00230ACC"/>
    <w:rsid w:val="00230CE4"/>
    <w:rsid w:val="00230ED3"/>
    <w:rsid w:val="00230F88"/>
    <w:rsid w:val="0023203F"/>
    <w:rsid w:val="00232F57"/>
    <w:rsid w:val="00234833"/>
    <w:rsid w:val="00235374"/>
    <w:rsid w:val="00235408"/>
    <w:rsid w:val="00235759"/>
    <w:rsid w:val="00235D35"/>
    <w:rsid w:val="00236B92"/>
    <w:rsid w:val="00237E37"/>
    <w:rsid w:val="00240B62"/>
    <w:rsid w:val="00240DF2"/>
    <w:rsid w:val="002423CD"/>
    <w:rsid w:val="002438CC"/>
    <w:rsid w:val="00243B4A"/>
    <w:rsid w:val="002454CC"/>
    <w:rsid w:val="002471A3"/>
    <w:rsid w:val="002475EE"/>
    <w:rsid w:val="00250841"/>
    <w:rsid w:val="00251075"/>
    <w:rsid w:val="002510B1"/>
    <w:rsid w:val="00251CE1"/>
    <w:rsid w:val="00251E56"/>
    <w:rsid w:val="00252425"/>
    <w:rsid w:val="00252922"/>
    <w:rsid w:val="00253813"/>
    <w:rsid w:val="0025432A"/>
    <w:rsid w:val="0025551B"/>
    <w:rsid w:val="00256B0C"/>
    <w:rsid w:val="00256BDB"/>
    <w:rsid w:val="00260C2D"/>
    <w:rsid w:val="002615B2"/>
    <w:rsid w:val="002619F3"/>
    <w:rsid w:val="00261EC2"/>
    <w:rsid w:val="002628A7"/>
    <w:rsid w:val="00262A07"/>
    <w:rsid w:val="00264CCA"/>
    <w:rsid w:val="00265540"/>
    <w:rsid w:val="0026559A"/>
    <w:rsid w:val="002668F1"/>
    <w:rsid w:val="00266B83"/>
    <w:rsid w:val="0027129A"/>
    <w:rsid w:val="00271859"/>
    <w:rsid w:val="00271C4B"/>
    <w:rsid w:val="00271CDC"/>
    <w:rsid w:val="00272C2D"/>
    <w:rsid w:val="00273726"/>
    <w:rsid w:val="002738A9"/>
    <w:rsid w:val="00274BE5"/>
    <w:rsid w:val="0027650B"/>
    <w:rsid w:val="00276B15"/>
    <w:rsid w:val="00276C89"/>
    <w:rsid w:val="00277D3E"/>
    <w:rsid w:val="0028018C"/>
    <w:rsid w:val="0028018E"/>
    <w:rsid w:val="0028162F"/>
    <w:rsid w:val="0028263A"/>
    <w:rsid w:val="00283136"/>
    <w:rsid w:val="0028539F"/>
    <w:rsid w:val="00287D15"/>
    <w:rsid w:val="00290239"/>
    <w:rsid w:val="002902AD"/>
    <w:rsid w:val="00290316"/>
    <w:rsid w:val="00291191"/>
    <w:rsid w:val="0029136F"/>
    <w:rsid w:val="0029222F"/>
    <w:rsid w:val="0029280E"/>
    <w:rsid w:val="00293F09"/>
    <w:rsid w:val="00296377"/>
    <w:rsid w:val="0029694B"/>
    <w:rsid w:val="002A08FB"/>
    <w:rsid w:val="002A0998"/>
    <w:rsid w:val="002A192B"/>
    <w:rsid w:val="002A1A4F"/>
    <w:rsid w:val="002A1AA1"/>
    <w:rsid w:val="002A3CC7"/>
    <w:rsid w:val="002A562E"/>
    <w:rsid w:val="002A5BA9"/>
    <w:rsid w:val="002A5C77"/>
    <w:rsid w:val="002A74CE"/>
    <w:rsid w:val="002A79B7"/>
    <w:rsid w:val="002B0418"/>
    <w:rsid w:val="002B4CAC"/>
    <w:rsid w:val="002B5FEE"/>
    <w:rsid w:val="002B6E19"/>
    <w:rsid w:val="002B77B7"/>
    <w:rsid w:val="002B7C41"/>
    <w:rsid w:val="002C12CC"/>
    <w:rsid w:val="002C26AD"/>
    <w:rsid w:val="002C2BC9"/>
    <w:rsid w:val="002C4A29"/>
    <w:rsid w:val="002C4B0D"/>
    <w:rsid w:val="002C533A"/>
    <w:rsid w:val="002C74B4"/>
    <w:rsid w:val="002C789F"/>
    <w:rsid w:val="002D09C0"/>
    <w:rsid w:val="002D23C4"/>
    <w:rsid w:val="002D26D4"/>
    <w:rsid w:val="002D2A56"/>
    <w:rsid w:val="002D2F31"/>
    <w:rsid w:val="002D3098"/>
    <w:rsid w:val="002D3B9D"/>
    <w:rsid w:val="002D4ED1"/>
    <w:rsid w:val="002D5FA6"/>
    <w:rsid w:val="002D659C"/>
    <w:rsid w:val="002D74F1"/>
    <w:rsid w:val="002D79E7"/>
    <w:rsid w:val="002D7C02"/>
    <w:rsid w:val="002D7CD9"/>
    <w:rsid w:val="002E0504"/>
    <w:rsid w:val="002E1DC3"/>
    <w:rsid w:val="002E2CD1"/>
    <w:rsid w:val="002E337E"/>
    <w:rsid w:val="002E3A9B"/>
    <w:rsid w:val="002E4280"/>
    <w:rsid w:val="002E4340"/>
    <w:rsid w:val="002E4C2E"/>
    <w:rsid w:val="002E52B7"/>
    <w:rsid w:val="002E565F"/>
    <w:rsid w:val="002E591B"/>
    <w:rsid w:val="002E5B8D"/>
    <w:rsid w:val="002E6191"/>
    <w:rsid w:val="002E67B7"/>
    <w:rsid w:val="002E6A94"/>
    <w:rsid w:val="002E6BD5"/>
    <w:rsid w:val="002E7C66"/>
    <w:rsid w:val="002F02B9"/>
    <w:rsid w:val="002F229E"/>
    <w:rsid w:val="002F290F"/>
    <w:rsid w:val="002F2991"/>
    <w:rsid w:val="002F35C4"/>
    <w:rsid w:val="002F4F5A"/>
    <w:rsid w:val="002F6FED"/>
    <w:rsid w:val="002F73C4"/>
    <w:rsid w:val="00300BF8"/>
    <w:rsid w:val="0030177F"/>
    <w:rsid w:val="00302B62"/>
    <w:rsid w:val="00304684"/>
    <w:rsid w:val="00306038"/>
    <w:rsid w:val="003064A4"/>
    <w:rsid w:val="00306A23"/>
    <w:rsid w:val="00306C0C"/>
    <w:rsid w:val="00306F74"/>
    <w:rsid w:val="00310637"/>
    <w:rsid w:val="00310701"/>
    <w:rsid w:val="00311809"/>
    <w:rsid w:val="00311FDD"/>
    <w:rsid w:val="00312267"/>
    <w:rsid w:val="00312801"/>
    <w:rsid w:val="00312CD4"/>
    <w:rsid w:val="003138B3"/>
    <w:rsid w:val="00314AB1"/>
    <w:rsid w:val="00316DE8"/>
    <w:rsid w:val="00316E21"/>
    <w:rsid w:val="003178F9"/>
    <w:rsid w:val="00317D12"/>
    <w:rsid w:val="003201A8"/>
    <w:rsid w:val="00320F9B"/>
    <w:rsid w:val="00321013"/>
    <w:rsid w:val="0032132A"/>
    <w:rsid w:val="00321E23"/>
    <w:rsid w:val="003229EB"/>
    <w:rsid w:val="00323562"/>
    <w:rsid w:val="00324D3E"/>
    <w:rsid w:val="00325523"/>
    <w:rsid w:val="00326A91"/>
    <w:rsid w:val="00326CAD"/>
    <w:rsid w:val="00327892"/>
    <w:rsid w:val="00327C88"/>
    <w:rsid w:val="00330552"/>
    <w:rsid w:val="00331974"/>
    <w:rsid w:val="00333606"/>
    <w:rsid w:val="00333F35"/>
    <w:rsid w:val="00334542"/>
    <w:rsid w:val="0033578C"/>
    <w:rsid w:val="0033703B"/>
    <w:rsid w:val="00340435"/>
    <w:rsid w:val="003407CB"/>
    <w:rsid w:val="00342318"/>
    <w:rsid w:val="003426A4"/>
    <w:rsid w:val="003435B4"/>
    <w:rsid w:val="00343DBE"/>
    <w:rsid w:val="00344D80"/>
    <w:rsid w:val="00344D82"/>
    <w:rsid w:val="00345734"/>
    <w:rsid w:val="00346787"/>
    <w:rsid w:val="00346C86"/>
    <w:rsid w:val="0034785B"/>
    <w:rsid w:val="003478A3"/>
    <w:rsid w:val="003500BF"/>
    <w:rsid w:val="003502B2"/>
    <w:rsid w:val="00351270"/>
    <w:rsid w:val="00352158"/>
    <w:rsid w:val="00352FC6"/>
    <w:rsid w:val="00353C7D"/>
    <w:rsid w:val="003556CF"/>
    <w:rsid w:val="003566C1"/>
    <w:rsid w:val="00357A62"/>
    <w:rsid w:val="0036020F"/>
    <w:rsid w:val="00360A44"/>
    <w:rsid w:val="0036263D"/>
    <w:rsid w:val="00362721"/>
    <w:rsid w:val="00362F71"/>
    <w:rsid w:val="00363688"/>
    <w:rsid w:val="00367A0F"/>
    <w:rsid w:val="003706AD"/>
    <w:rsid w:val="0037183B"/>
    <w:rsid w:val="0037276B"/>
    <w:rsid w:val="00372F31"/>
    <w:rsid w:val="00373854"/>
    <w:rsid w:val="00374010"/>
    <w:rsid w:val="003740AB"/>
    <w:rsid w:val="003742D7"/>
    <w:rsid w:val="00374B97"/>
    <w:rsid w:val="00374C81"/>
    <w:rsid w:val="00375011"/>
    <w:rsid w:val="00375D20"/>
    <w:rsid w:val="003779B6"/>
    <w:rsid w:val="00380BD4"/>
    <w:rsid w:val="0038107B"/>
    <w:rsid w:val="00381DF8"/>
    <w:rsid w:val="00384600"/>
    <w:rsid w:val="00384939"/>
    <w:rsid w:val="00385937"/>
    <w:rsid w:val="00385D08"/>
    <w:rsid w:val="003863B9"/>
    <w:rsid w:val="003909A3"/>
    <w:rsid w:val="00390A76"/>
    <w:rsid w:val="003916F3"/>
    <w:rsid w:val="00391C4C"/>
    <w:rsid w:val="00391CD0"/>
    <w:rsid w:val="00391EFA"/>
    <w:rsid w:val="00391F6D"/>
    <w:rsid w:val="0039373F"/>
    <w:rsid w:val="003941DF"/>
    <w:rsid w:val="00396D2A"/>
    <w:rsid w:val="003979CA"/>
    <w:rsid w:val="00397B7E"/>
    <w:rsid w:val="003A07EA"/>
    <w:rsid w:val="003A1336"/>
    <w:rsid w:val="003A2149"/>
    <w:rsid w:val="003A38CB"/>
    <w:rsid w:val="003A3FE8"/>
    <w:rsid w:val="003A4B66"/>
    <w:rsid w:val="003A5727"/>
    <w:rsid w:val="003A6155"/>
    <w:rsid w:val="003A61C1"/>
    <w:rsid w:val="003A7E25"/>
    <w:rsid w:val="003B31B4"/>
    <w:rsid w:val="003B400B"/>
    <w:rsid w:val="003B4DF2"/>
    <w:rsid w:val="003B5D54"/>
    <w:rsid w:val="003B7F3F"/>
    <w:rsid w:val="003C0C1F"/>
    <w:rsid w:val="003C14BD"/>
    <w:rsid w:val="003C3042"/>
    <w:rsid w:val="003C5132"/>
    <w:rsid w:val="003C51C6"/>
    <w:rsid w:val="003C6F99"/>
    <w:rsid w:val="003D3D17"/>
    <w:rsid w:val="003D3D45"/>
    <w:rsid w:val="003D591D"/>
    <w:rsid w:val="003D7357"/>
    <w:rsid w:val="003D7F88"/>
    <w:rsid w:val="003E05F0"/>
    <w:rsid w:val="003E0E87"/>
    <w:rsid w:val="003E0FEE"/>
    <w:rsid w:val="003E144E"/>
    <w:rsid w:val="003E15EE"/>
    <w:rsid w:val="003E1A4C"/>
    <w:rsid w:val="003E2AA1"/>
    <w:rsid w:val="003E4531"/>
    <w:rsid w:val="003E63BA"/>
    <w:rsid w:val="003E723D"/>
    <w:rsid w:val="003E7474"/>
    <w:rsid w:val="003E780F"/>
    <w:rsid w:val="003E7816"/>
    <w:rsid w:val="003F012C"/>
    <w:rsid w:val="003F12BF"/>
    <w:rsid w:val="003F1462"/>
    <w:rsid w:val="003F1479"/>
    <w:rsid w:val="003F21B6"/>
    <w:rsid w:val="003F275A"/>
    <w:rsid w:val="003F30C3"/>
    <w:rsid w:val="003F312D"/>
    <w:rsid w:val="003F3BE5"/>
    <w:rsid w:val="003F4057"/>
    <w:rsid w:val="003F566F"/>
    <w:rsid w:val="003F6C07"/>
    <w:rsid w:val="003F7549"/>
    <w:rsid w:val="003F7AF2"/>
    <w:rsid w:val="00400471"/>
    <w:rsid w:val="00401F8C"/>
    <w:rsid w:val="00402A47"/>
    <w:rsid w:val="004034A4"/>
    <w:rsid w:val="004034CD"/>
    <w:rsid w:val="004066BA"/>
    <w:rsid w:val="0041091D"/>
    <w:rsid w:val="0041160D"/>
    <w:rsid w:val="004119F2"/>
    <w:rsid w:val="004136C4"/>
    <w:rsid w:val="004137E0"/>
    <w:rsid w:val="00413E44"/>
    <w:rsid w:val="00414E9C"/>
    <w:rsid w:val="00415248"/>
    <w:rsid w:val="0041537D"/>
    <w:rsid w:val="00415813"/>
    <w:rsid w:val="004158EC"/>
    <w:rsid w:val="00416748"/>
    <w:rsid w:val="00416AB1"/>
    <w:rsid w:val="004208E2"/>
    <w:rsid w:val="00426FFD"/>
    <w:rsid w:val="00427076"/>
    <w:rsid w:val="00430B9F"/>
    <w:rsid w:val="00431920"/>
    <w:rsid w:val="004339FB"/>
    <w:rsid w:val="00433F5E"/>
    <w:rsid w:val="004341A9"/>
    <w:rsid w:val="0043544A"/>
    <w:rsid w:val="0043554A"/>
    <w:rsid w:val="00435883"/>
    <w:rsid w:val="0043608B"/>
    <w:rsid w:val="004406DE"/>
    <w:rsid w:val="00441A73"/>
    <w:rsid w:val="00441DD8"/>
    <w:rsid w:val="00441E34"/>
    <w:rsid w:val="0044212B"/>
    <w:rsid w:val="00442678"/>
    <w:rsid w:val="00443DB0"/>
    <w:rsid w:val="00443E48"/>
    <w:rsid w:val="00450DC2"/>
    <w:rsid w:val="00450F84"/>
    <w:rsid w:val="00451563"/>
    <w:rsid w:val="00452EC7"/>
    <w:rsid w:val="0045345D"/>
    <w:rsid w:val="0045424E"/>
    <w:rsid w:val="0045677D"/>
    <w:rsid w:val="00456983"/>
    <w:rsid w:val="00457F7E"/>
    <w:rsid w:val="00460377"/>
    <w:rsid w:val="00460B84"/>
    <w:rsid w:val="00460D7A"/>
    <w:rsid w:val="004618A2"/>
    <w:rsid w:val="0046217E"/>
    <w:rsid w:val="00462202"/>
    <w:rsid w:val="004633D0"/>
    <w:rsid w:val="00463455"/>
    <w:rsid w:val="004634E3"/>
    <w:rsid w:val="00463FC8"/>
    <w:rsid w:val="00464422"/>
    <w:rsid w:val="00464E0A"/>
    <w:rsid w:val="00467243"/>
    <w:rsid w:val="004679CA"/>
    <w:rsid w:val="00470A2B"/>
    <w:rsid w:val="00470B25"/>
    <w:rsid w:val="004726DD"/>
    <w:rsid w:val="00472907"/>
    <w:rsid w:val="00472A74"/>
    <w:rsid w:val="00473C0D"/>
    <w:rsid w:val="00475A4F"/>
    <w:rsid w:val="00476ABF"/>
    <w:rsid w:val="00476E5A"/>
    <w:rsid w:val="00476EFD"/>
    <w:rsid w:val="004772A8"/>
    <w:rsid w:val="00477496"/>
    <w:rsid w:val="004801AC"/>
    <w:rsid w:val="00480E3A"/>
    <w:rsid w:val="00481C47"/>
    <w:rsid w:val="004824CB"/>
    <w:rsid w:val="00483C28"/>
    <w:rsid w:val="00484A7A"/>
    <w:rsid w:val="00485A62"/>
    <w:rsid w:val="004861C7"/>
    <w:rsid w:val="00487F53"/>
    <w:rsid w:val="00491968"/>
    <w:rsid w:val="004932A7"/>
    <w:rsid w:val="004938FC"/>
    <w:rsid w:val="00494FFB"/>
    <w:rsid w:val="0049607E"/>
    <w:rsid w:val="0049690D"/>
    <w:rsid w:val="004A0ACE"/>
    <w:rsid w:val="004A1A7F"/>
    <w:rsid w:val="004A2B04"/>
    <w:rsid w:val="004A3655"/>
    <w:rsid w:val="004A3B56"/>
    <w:rsid w:val="004A47A8"/>
    <w:rsid w:val="004A4C8E"/>
    <w:rsid w:val="004A503A"/>
    <w:rsid w:val="004A527E"/>
    <w:rsid w:val="004A63E1"/>
    <w:rsid w:val="004A77E7"/>
    <w:rsid w:val="004B04FB"/>
    <w:rsid w:val="004B0B14"/>
    <w:rsid w:val="004B4D9B"/>
    <w:rsid w:val="004B6694"/>
    <w:rsid w:val="004B6B80"/>
    <w:rsid w:val="004C05F2"/>
    <w:rsid w:val="004C09E5"/>
    <w:rsid w:val="004C1693"/>
    <w:rsid w:val="004C1FDC"/>
    <w:rsid w:val="004C3837"/>
    <w:rsid w:val="004C3E40"/>
    <w:rsid w:val="004C3E63"/>
    <w:rsid w:val="004C3EA7"/>
    <w:rsid w:val="004C55D6"/>
    <w:rsid w:val="004C575E"/>
    <w:rsid w:val="004C5A88"/>
    <w:rsid w:val="004C6D9F"/>
    <w:rsid w:val="004C714B"/>
    <w:rsid w:val="004C7BAF"/>
    <w:rsid w:val="004D1607"/>
    <w:rsid w:val="004D1B22"/>
    <w:rsid w:val="004D22CF"/>
    <w:rsid w:val="004D2DFB"/>
    <w:rsid w:val="004D4D62"/>
    <w:rsid w:val="004D554E"/>
    <w:rsid w:val="004D5674"/>
    <w:rsid w:val="004D6CDB"/>
    <w:rsid w:val="004D6D7F"/>
    <w:rsid w:val="004E172A"/>
    <w:rsid w:val="004E1FCC"/>
    <w:rsid w:val="004E21C9"/>
    <w:rsid w:val="004E2497"/>
    <w:rsid w:val="004E2B0C"/>
    <w:rsid w:val="004E3061"/>
    <w:rsid w:val="004E30F1"/>
    <w:rsid w:val="004E3961"/>
    <w:rsid w:val="004E3B16"/>
    <w:rsid w:val="004E3F0A"/>
    <w:rsid w:val="004E58FB"/>
    <w:rsid w:val="004E5952"/>
    <w:rsid w:val="004E7DCF"/>
    <w:rsid w:val="004F07A8"/>
    <w:rsid w:val="004F11B0"/>
    <w:rsid w:val="004F1454"/>
    <w:rsid w:val="004F1A99"/>
    <w:rsid w:val="004F24DB"/>
    <w:rsid w:val="004F3152"/>
    <w:rsid w:val="004F39F4"/>
    <w:rsid w:val="004F5862"/>
    <w:rsid w:val="004F5910"/>
    <w:rsid w:val="004F5CEC"/>
    <w:rsid w:val="004F6145"/>
    <w:rsid w:val="004F646A"/>
    <w:rsid w:val="004F7388"/>
    <w:rsid w:val="00500D3F"/>
    <w:rsid w:val="00501178"/>
    <w:rsid w:val="00502C43"/>
    <w:rsid w:val="00503D0D"/>
    <w:rsid w:val="00503FDD"/>
    <w:rsid w:val="005046EC"/>
    <w:rsid w:val="00504741"/>
    <w:rsid w:val="005052CB"/>
    <w:rsid w:val="005056C8"/>
    <w:rsid w:val="00506059"/>
    <w:rsid w:val="00506126"/>
    <w:rsid w:val="005064C2"/>
    <w:rsid w:val="00506C8A"/>
    <w:rsid w:val="00506E7D"/>
    <w:rsid w:val="00506EF8"/>
    <w:rsid w:val="00507120"/>
    <w:rsid w:val="005072CE"/>
    <w:rsid w:val="00507A2F"/>
    <w:rsid w:val="00507D07"/>
    <w:rsid w:val="0051055C"/>
    <w:rsid w:val="0051096F"/>
    <w:rsid w:val="00510AFA"/>
    <w:rsid w:val="0051137B"/>
    <w:rsid w:val="005114FD"/>
    <w:rsid w:val="0051283A"/>
    <w:rsid w:val="005133D4"/>
    <w:rsid w:val="0051349A"/>
    <w:rsid w:val="005137BC"/>
    <w:rsid w:val="005138FB"/>
    <w:rsid w:val="005147C3"/>
    <w:rsid w:val="0051489D"/>
    <w:rsid w:val="00514A9A"/>
    <w:rsid w:val="00515399"/>
    <w:rsid w:val="005175D0"/>
    <w:rsid w:val="005176C6"/>
    <w:rsid w:val="00517FE7"/>
    <w:rsid w:val="0052136E"/>
    <w:rsid w:val="00521D82"/>
    <w:rsid w:val="00522E74"/>
    <w:rsid w:val="005231C4"/>
    <w:rsid w:val="00525FB3"/>
    <w:rsid w:val="0052633D"/>
    <w:rsid w:val="005271E1"/>
    <w:rsid w:val="00527D4F"/>
    <w:rsid w:val="0053131B"/>
    <w:rsid w:val="0053142F"/>
    <w:rsid w:val="00531594"/>
    <w:rsid w:val="00532B24"/>
    <w:rsid w:val="00532CFB"/>
    <w:rsid w:val="00532EB6"/>
    <w:rsid w:val="00533B04"/>
    <w:rsid w:val="00534160"/>
    <w:rsid w:val="005354B9"/>
    <w:rsid w:val="00535F45"/>
    <w:rsid w:val="0053646F"/>
    <w:rsid w:val="00537232"/>
    <w:rsid w:val="00537967"/>
    <w:rsid w:val="00540732"/>
    <w:rsid w:val="005409D5"/>
    <w:rsid w:val="00540ACF"/>
    <w:rsid w:val="0054100E"/>
    <w:rsid w:val="005414DD"/>
    <w:rsid w:val="00541521"/>
    <w:rsid w:val="00541E7D"/>
    <w:rsid w:val="00542070"/>
    <w:rsid w:val="00542225"/>
    <w:rsid w:val="00542272"/>
    <w:rsid w:val="00545691"/>
    <w:rsid w:val="005503D1"/>
    <w:rsid w:val="00552ED7"/>
    <w:rsid w:val="00552F87"/>
    <w:rsid w:val="0055310D"/>
    <w:rsid w:val="0055651F"/>
    <w:rsid w:val="00556690"/>
    <w:rsid w:val="00556946"/>
    <w:rsid w:val="00556D02"/>
    <w:rsid w:val="00557FBD"/>
    <w:rsid w:val="00557FF9"/>
    <w:rsid w:val="005608F8"/>
    <w:rsid w:val="00560FFD"/>
    <w:rsid w:val="005616C2"/>
    <w:rsid w:val="00561937"/>
    <w:rsid w:val="00561BA4"/>
    <w:rsid w:val="00563FBF"/>
    <w:rsid w:val="00564983"/>
    <w:rsid w:val="00564F04"/>
    <w:rsid w:val="00565DA9"/>
    <w:rsid w:val="00565E28"/>
    <w:rsid w:val="005670D7"/>
    <w:rsid w:val="00570156"/>
    <w:rsid w:val="00570D50"/>
    <w:rsid w:val="0057226F"/>
    <w:rsid w:val="005728C8"/>
    <w:rsid w:val="00573B3F"/>
    <w:rsid w:val="00573C78"/>
    <w:rsid w:val="00574914"/>
    <w:rsid w:val="0057496E"/>
    <w:rsid w:val="00574C14"/>
    <w:rsid w:val="005800C5"/>
    <w:rsid w:val="00584E71"/>
    <w:rsid w:val="00585882"/>
    <w:rsid w:val="0058661D"/>
    <w:rsid w:val="005868FE"/>
    <w:rsid w:val="00590FAD"/>
    <w:rsid w:val="00591102"/>
    <w:rsid w:val="005919AD"/>
    <w:rsid w:val="0059232C"/>
    <w:rsid w:val="00592C84"/>
    <w:rsid w:val="00593CE1"/>
    <w:rsid w:val="005944D0"/>
    <w:rsid w:val="0059468E"/>
    <w:rsid w:val="005954D5"/>
    <w:rsid w:val="005955EF"/>
    <w:rsid w:val="00595E2F"/>
    <w:rsid w:val="005963BB"/>
    <w:rsid w:val="00596660"/>
    <w:rsid w:val="005970FF"/>
    <w:rsid w:val="005974A4"/>
    <w:rsid w:val="005975AE"/>
    <w:rsid w:val="005A1A4C"/>
    <w:rsid w:val="005A321B"/>
    <w:rsid w:val="005A3CA4"/>
    <w:rsid w:val="005A4F9A"/>
    <w:rsid w:val="005A66F7"/>
    <w:rsid w:val="005A7518"/>
    <w:rsid w:val="005A7682"/>
    <w:rsid w:val="005A7844"/>
    <w:rsid w:val="005B008D"/>
    <w:rsid w:val="005B0472"/>
    <w:rsid w:val="005B1400"/>
    <w:rsid w:val="005B16A1"/>
    <w:rsid w:val="005B307A"/>
    <w:rsid w:val="005B3092"/>
    <w:rsid w:val="005B30D4"/>
    <w:rsid w:val="005B42BC"/>
    <w:rsid w:val="005B51E8"/>
    <w:rsid w:val="005B60A7"/>
    <w:rsid w:val="005B6A7E"/>
    <w:rsid w:val="005B74E1"/>
    <w:rsid w:val="005B7B59"/>
    <w:rsid w:val="005C08C8"/>
    <w:rsid w:val="005C1CA6"/>
    <w:rsid w:val="005C23BC"/>
    <w:rsid w:val="005C29D3"/>
    <w:rsid w:val="005C2C93"/>
    <w:rsid w:val="005C38D1"/>
    <w:rsid w:val="005C3A6D"/>
    <w:rsid w:val="005C3ADA"/>
    <w:rsid w:val="005C4595"/>
    <w:rsid w:val="005C559E"/>
    <w:rsid w:val="005C594D"/>
    <w:rsid w:val="005C5AC9"/>
    <w:rsid w:val="005C5EC4"/>
    <w:rsid w:val="005C701D"/>
    <w:rsid w:val="005C7485"/>
    <w:rsid w:val="005C74F5"/>
    <w:rsid w:val="005C7E77"/>
    <w:rsid w:val="005D0976"/>
    <w:rsid w:val="005D0B24"/>
    <w:rsid w:val="005D0F28"/>
    <w:rsid w:val="005D16B8"/>
    <w:rsid w:val="005D1820"/>
    <w:rsid w:val="005D2A6B"/>
    <w:rsid w:val="005D2BC7"/>
    <w:rsid w:val="005D3E1B"/>
    <w:rsid w:val="005D464F"/>
    <w:rsid w:val="005D653A"/>
    <w:rsid w:val="005D67F5"/>
    <w:rsid w:val="005D6897"/>
    <w:rsid w:val="005D7304"/>
    <w:rsid w:val="005D7FAB"/>
    <w:rsid w:val="005E073A"/>
    <w:rsid w:val="005E1231"/>
    <w:rsid w:val="005E16F3"/>
    <w:rsid w:val="005E3749"/>
    <w:rsid w:val="005E3B33"/>
    <w:rsid w:val="005E49D3"/>
    <w:rsid w:val="005E5224"/>
    <w:rsid w:val="005E56FB"/>
    <w:rsid w:val="005E5DD7"/>
    <w:rsid w:val="005E6723"/>
    <w:rsid w:val="005E7549"/>
    <w:rsid w:val="005F045E"/>
    <w:rsid w:val="005F53F4"/>
    <w:rsid w:val="005F5F6F"/>
    <w:rsid w:val="005F5F75"/>
    <w:rsid w:val="005F62A7"/>
    <w:rsid w:val="005F6A2F"/>
    <w:rsid w:val="005F6B3B"/>
    <w:rsid w:val="005F769F"/>
    <w:rsid w:val="0060031E"/>
    <w:rsid w:val="006011B6"/>
    <w:rsid w:val="00602D76"/>
    <w:rsid w:val="00602F0B"/>
    <w:rsid w:val="00603F8D"/>
    <w:rsid w:val="00603FFE"/>
    <w:rsid w:val="006048F9"/>
    <w:rsid w:val="006056E7"/>
    <w:rsid w:val="006057EE"/>
    <w:rsid w:val="006077F2"/>
    <w:rsid w:val="006136B4"/>
    <w:rsid w:val="00613A83"/>
    <w:rsid w:val="00613D03"/>
    <w:rsid w:val="00614034"/>
    <w:rsid w:val="0061456E"/>
    <w:rsid w:val="00615473"/>
    <w:rsid w:val="00616DEC"/>
    <w:rsid w:val="00617666"/>
    <w:rsid w:val="00620B79"/>
    <w:rsid w:val="00620C54"/>
    <w:rsid w:val="006210EB"/>
    <w:rsid w:val="0062340C"/>
    <w:rsid w:val="00623BDE"/>
    <w:rsid w:val="00624757"/>
    <w:rsid w:val="00626746"/>
    <w:rsid w:val="00627591"/>
    <w:rsid w:val="006276A0"/>
    <w:rsid w:val="006277C6"/>
    <w:rsid w:val="00631574"/>
    <w:rsid w:val="00633950"/>
    <w:rsid w:val="00634694"/>
    <w:rsid w:val="00634D7F"/>
    <w:rsid w:val="00635A2A"/>
    <w:rsid w:val="00635B57"/>
    <w:rsid w:val="00635F57"/>
    <w:rsid w:val="00636675"/>
    <w:rsid w:val="00636F49"/>
    <w:rsid w:val="0064065A"/>
    <w:rsid w:val="00640688"/>
    <w:rsid w:val="006409AD"/>
    <w:rsid w:val="00640DAC"/>
    <w:rsid w:val="00643667"/>
    <w:rsid w:val="00643AF0"/>
    <w:rsid w:val="0064528B"/>
    <w:rsid w:val="00645B33"/>
    <w:rsid w:val="00646B7D"/>
    <w:rsid w:val="006472B5"/>
    <w:rsid w:val="00650C67"/>
    <w:rsid w:val="00650FD9"/>
    <w:rsid w:val="00651A8C"/>
    <w:rsid w:val="00653524"/>
    <w:rsid w:val="00653859"/>
    <w:rsid w:val="00656999"/>
    <w:rsid w:val="00657045"/>
    <w:rsid w:val="00657B26"/>
    <w:rsid w:val="00657FC2"/>
    <w:rsid w:val="00662E7E"/>
    <w:rsid w:val="00665318"/>
    <w:rsid w:val="0066570C"/>
    <w:rsid w:val="006669F5"/>
    <w:rsid w:val="00667DE2"/>
    <w:rsid w:val="006701DA"/>
    <w:rsid w:val="0067050E"/>
    <w:rsid w:val="00672394"/>
    <w:rsid w:val="006748FB"/>
    <w:rsid w:val="00676F1E"/>
    <w:rsid w:val="006774B5"/>
    <w:rsid w:val="00677CED"/>
    <w:rsid w:val="006806C4"/>
    <w:rsid w:val="00680B1B"/>
    <w:rsid w:val="00681F57"/>
    <w:rsid w:val="00681F82"/>
    <w:rsid w:val="00685726"/>
    <w:rsid w:val="00685C40"/>
    <w:rsid w:val="00685FA8"/>
    <w:rsid w:val="0068770F"/>
    <w:rsid w:val="006905BC"/>
    <w:rsid w:val="00690652"/>
    <w:rsid w:val="00690F21"/>
    <w:rsid w:val="00691412"/>
    <w:rsid w:val="00691529"/>
    <w:rsid w:val="00691C8C"/>
    <w:rsid w:val="0069268E"/>
    <w:rsid w:val="00693FC1"/>
    <w:rsid w:val="00694A59"/>
    <w:rsid w:val="00694FD9"/>
    <w:rsid w:val="006951E7"/>
    <w:rsid w:val="00696485"/>
    <w:rsid w:val="00696B3C"/>
    <w:rsid w:val="00696FF7"/>
    <w:rsid w:val="006A04F8"/>
    <w:rsid w:val="006A1CC4"/>
    <w:rsid w:val="006A27F3"/>
    <w:rsid w:val="006A32C4"/>
    <w:rsid w:val="006A45A0"/>
    <w:rsid w:val="006B1290"/>
    <w:rsid w:val="006B20FE"/>
    <w:rsid w:val="006B2A05"/>
    <w:rsid w:val="006B2DA9"/>
    <w:rsid w:val="006B2F53"/>
    <w:rsid w:val="006B3020"/>
    <w:rsid w:val="006B35D3"/>
    <w:rsid w:val="006B3C6D"/>
    <w:rsid w:val="006B3DB4"/>
    <w:rsid w:val="006B50F2"/>
    <w:rsid w:val="006B54A8"/>
    <w:rsid w:val="006B6CDB"/>
    <w:rsid w:val="006B7309"/>
    <w:rsid w:val="006B7E6B"/>
    <w:rsid w:val="006C1215"/>
    <w:rsid w:val="006C1763"/>
    <w:rsid w:val="006C21C5"/>
    <w:rsid w:val="006C21E7"/>
    <w:rsid w:val="006C2F27"/>
    <w:rsid w:val="006C34D3"/>
    <w:rsid w:val="006C3911"/>
    <w:rsid w:val="006C3BF5"/>
    <w:rsid w:val="006C445C"/>
    <w:rsid w:val="006C5C8B"/>
    <w:rsid w:val="006C5CB0"/>
    <w:rsid w:val="006C74F1"/>
    <w:rsid w:val="006C7BCA"/>
    <w:rsid w:val="006D0501"/>
    <w:rsid w:val="006D05C9"/>
    <w:rsid w:val="006D068B"/>
    <w:rsid w:val="006D0B21"/>
    <w:rsid w:val="006D0DBD"/>
    <w:rsid w:val="006D0EB1"/>
    <w:rsid w:val="006D133D"/>
    <w:rsid w:val="006D16EA"/>
    <w:rsid w:val="006D395B"/>
    <w:rsid w:val="006D425A"/>
    <w:rsid w:val="006D4C82"/>
    <w:rsid w:val="006D4DB5"/>
    <w:rsid w:val="006D66C3"/>
    <w:rsid w:val="006D6F6A"/>
    <w:rsid w:val="006E091A"/>
    <w:rsid w:val="006E0CCC"/>
    <w:rsid w:val="006E1B7C"/>
    <w:rsid w:val="006E1CE8"/>
    <w:rsid w:val="006E2310"/>
    <w:rsid w:val="006E392A"/>
    <w:rsid w:val="006E431B"/>
    <w:rsid w:val="006E45E6"/>
    <w:rsid w:val="006E46A4"/>
    <w:rsid w:val="006E4C49"/>
    <w:rsid w:val="006E50A5"/>
    <w:rsid w:val="006E607F"/>
    <w:rsid w:val="006E663E"/>
    <w:rsid w:val="006E797C"/>
    <w:rsid w:val="006F092C"/>
    <w:rsid w:val="006F2C3F"/>
    <w:rsid w:val="006F486E"/>
    <w:rsid w:val="006F4AAA"/>
    <w:rsid w:val="00701A76"/>
    <w:rsid w:val="007020E9"/>
    <w:rsid w:val="00703F3A"/>
    <w:rsid w:val="00703FE4"/>
    <w:rsid w:val="00704385"/>
    <w:rsid w:val="007047C3"/>
    <w:rsid w:val="00704F1F"/>
    <w:rsid w:val="007050CB"/>
    <w:rsid w:val="00705746"/>
    <w:rsid w:val="007057CA"/>
    <w:rsid w:val="00706D45"/>
    <w:rsid w:val="00706F4E"/>
    <w:rsid w:val="0071075F"/>
    <w:rsid w:val="00710F26"/>
    <w:rsid w:val="00712285"/>
    <w:rsid w:val="007150AB"/>
    <w:rsid w:val="00716F4D"/>
    <w:rsid w:val="00717DF6"/>
    <w:rsid w:val="0072008D"/>
    <w:rsid w:val="007205C8"/>
    <w:rsid w:val="00720B72"/>
    <w:rsid w:val="007218C8"/>
    <w:rsid w:val="00725162"/>
    <w:rsid w:val="00726988"/>
    <w:rsid w:val="007305CD"/>
    <w:rsid w:val="00730AF3"/>
    <w:rsid w:val="007323F9"/>
    <w:rsid w:val="00733FF5"/>
    <w:rsid w:val="007341DB"/>
    <w:rsid w:val="00734AA3"/>
    <w:rsid w:val="00734EFD"/>
    <w:rsid w:val="007350AD"/>
    <w:rsid w:val="0073551C"/>
    <w:rsid w:val="007356F4"/>
    <w:rsid w:val="00735ADA"/>
    <w:rsid w:val="007366D5"/>
    <w:rsid w:val="00737C5D"/>
    <w:rsid w:val="007412C4"/>
    <w:rsid w:val="00741393"/>
    <w:rsid w:val="0074779B"/>
    <w:rsid w:val="00747DDF"/>
    <w:rsid w:val="00750330"/>
    <w:rsid w:val="00750534"/>
    <w:rsid w:val="00750E52"/>
    <w:rsid w:val="00750F0E"/>
    <w:rsid w:val="00751316"/>
    <w:rsid w:val="00753CDA"/>
    <w:rsid w:val="00754886"/>
    <w:rsid w:val="00754E80"/>
    <w:rsid w:val="007552F0"/>
    <w:rsid w:val="00756ACE"/>
    <w:rsid w:val="0075761F"/>
    <w:rsid w:val="00760928"/>
    <w:rsid w:val="0076239E"/>
    <w:rsid w:val="007623BE"/>
    <w:rsid w:val="00762481"/>
    <w:rsid w:val="00764499"/>
    <w:rsid w:val="0076540C"/>
    <w:rsid w:val="007657FB"/>
    <w:rsid w:val="0076670B"/>
    <w:rsid w:val="00766CDB"/>
    <w:rsid w:val="00766E5B"/>
    <w:rsid w:val="007674D9"/>
    <w:rsid w:val="00770092"/>
    <w:rsid w:val="0077140B"/>
    <w:rsid w:val="0077198B"/>
    <w:rsid w:val="00771CD5"/>
    <w:rsid w:val="007734D6"/>
    <w:rsid w:val="007769E3"/>
    <w:rsid w:val="007800F7"/>
    <w:rsid w:val="007816BA"/>
    <w:rsid w:val="007820B7"/>
    <w:rsid w:val="0078460B"/>
    <w:rsid w:val="00784674"/>
    <w:rsid w:val="00784889"/>
    <w:rsid w:val="00785D06"/>
    <w:rsid w:val="0078609B"/>
    <w:rsid w:val="00786C32"/>
    <w:rsid w:val="00787821"/>
    <w:rsid w:val="00787F14"/>
    <w:rsid w:val="00790114"/>
    <w:rsid w:val="007901E3"/>
    <w:rsid w:val="007919DA"/>
    <w:rsid w:val="00791C6F"/>
    <w:rsid w:val="00793E6D"/>
    <w:rsid w:val="00794F60"/>
    <w:rsid w:val="00795916"/>
    <w:rsid w:val="00796208"/>
    <w:rsid w:val="007962E5"/>
    <w:rsid w:val="00796408"/>
    <w:rsid w:val="00796DD6"/>
    <w:rsid w:val="007A0312"/>
    <w:rsid w:val="007A119A"/>
    <w:rsid w:val="007A1326"/>
    <w:rsid w:val="007A2587"/>
    <w:rsid w:val="007A290B"/>
    <w:rsid w:val="007A2FD4"/>
    <w:rsid w:val="007A4441"/>
    <w:rsid w:val="007A4496"/>
    <w:rsid w:val="007A451F"/>
    <w:rsid w:val="007A5E55"/>
    <w:rsid w:val="007A779B"/>
    <w:rsid w:val="007A7A23"/>
    <w:rsid w:val="007A7B84"/>
    <w:rsid w:val="007A7CF5"/>
    <w:rsid w:val="007B03D9"/>
    <w:rsid w:val="007B1444"/>
    <w:rsid w:val="007B170D"/>
    <w:rsid w:val="007B17EE"/>
    <w:rsid w:val="007B1DDE"/>
    <w:rsid w:val="007B362C"/>
    <w:rsid w:val="007B4626"/>
    <w:rsid w:val="007B4DD2"/>
    <w:rsid w:val="007B59AC"/>
    <w:rsid w:val="007B6112"/>
    <w:rsid w:val="007B7162"/>
    <w:rsid w:val="007B7929"/>
    <w:rsid w:val="007B7FEC"/>
    <w:rsid w:val="007C0405"/>
    <w:rsid w:val="007C10B0"/>
    <w:rsid w:val="007C116B"/>
    <w:rsid w:val="007C1225"/>
    <w:rsid w:val="007C173D"/>
    <w:rsid w:val="007C2037"/>
    <w:rsid w:val="007C274B"/>
    <w:rsid w:val="007C2BE9"/>
    <w:rsid w:val="007C2D49"/>
    <w:rsid w:val="007C309D"/>
    <w:rsid w:val="007C30B3"/>
    <w:rsid w:val="007C33DB"/>
    <w:rsid w:val="007C3F26"/>
    <w:rsid w:val="007C49DA"/>
    <w:rsid w:val="007C4D14"/>
    <w:rsid w:val="007C58D3"/>
    <w:rsid w:val="007C631C"/>
    <w:rsid w:val="007C6AAE"/>
    <w:rsid w:val="007C7E6A"/>
    <w:rsid w:val="007D043A"/>
    <w:rsid w:val="007D0AA3"/>
    <w:rsid w:val="007D3934"/>
    <w:rsid w:val="007D3F8B"/>
    <w:rsid w:val="007D4902"/>
    <w:rsid w:val="007D560F"/>
    <w:rsid w:val="007D5D8C"/>
    <w:rsid w:val="007D6F07"/>
    <w:rsid w:val="007D7C28"/>
    <w:rsid w:val="007E0AD8"/>
    <w:rsid w:val="007E172D"/>
    <w:rsid w:val="007E25C5"/>
    <w:rsid w:val="007E41DC"/>
    <w:rsid w:val="007E42FD"/>
    <w:rsid w:val="007E5286"/>
    <w:rsid w:val="007E586E"/>
    <w:rsid w:val="007E797A"/>
    <w:rsid w:val="007F0299"/>
    <w:rsid w:val="007F1529"/>
    <w:rsid w:val="007F1CF4"/>
    <w:rsid w:val="007F57BF"/>
    <w:rsid w:val="007F6CE0"/>
    <w:rsid w:val="007F6ECA"/>
    <w:rsid w:val="007F712E"/>
    <w:rsid w:val="007F727F"/>
    <w:rsid w:val="0080041F"/>
    <w:rsid w:val="00800747"/>
    <w:rsid w:val="00800D40"/>
    <w:rsid w:val="00800D91"/>
    <w:rsid w:val="00801DEE"/>
    <w:rsid w:val="008025AC"/>
    <w:rsid w:val="0080368D"/>
    <w:rsid w:val="00803C60"/>
    <w:rsid w:val="008041D0"/>
    <w:rsid w:val="008055D3"/>
    <w:rsid w:val="008056FE"/>
    <w:rsid w:val="008072FD"/>
    <w:rsid w:val="008075E3"/>
    <w:rsid w:val="008079CC"/>
    <w:rsid w:val="00810684"/>
    <w:rsid w:val="00811901"/>
    <w:rsid w:val="00811DA8"/>
    <w:rsid w:val="00811EB7"/>
    <w:rsid w:val="008124C5"/>
    <w:rsid w:val="00813099"/>
    <w:rsid w:val="0081345F"/>
    <w:rsid w:val="00814610"/>
    <w:rsid w:val="00814B8A"/>
    <w:rsid w:val="008151D9"/>
    <w:rsid w:val="008153FC"/>
    <w:rsid w:val="0081593A"/>
    <w:rsid w:val="00816764"/>
    <w:rsid w:val="00816FA7"/>
    <w:rsid w:val="008178D1"/>
    <w:rsid w:val="008203C1"/>
    <w:rsid w:val="00821364"/>
    <w:rsid w:val="00821409"/>
    <w:rsid w:val="0082170E"/>
    <w:rsid w:val="0082201B"/>
    <w:rsid w:val="00822054"/>
    <w:rsid w:val="00822113"/>
    <w:rsid w:val="00822D31"/>
    <w:rsid w:val="00824284"/>
    <w:rsid w:val="0082428E"/>
    <w:rsid w:val="00825426"/>
    <w:rsid w:val="008256FD"/>
    <w:rsid w:val="00825A88"/>
    <w:rsid w:val="00825B26"/>
    <w:rsid w:val="00826F59"/>
    <w:rsid w:val="00830196"/>
    <w:rsid w:val="00830438"/>
    <w:rsid w:val="00831293"/>
    <w:rsid w:val="00832525"/>
    <w:rsid w:val="008347F7"/>
    <w:rsid w:val="00834AC4"/>
    <w:rsid w:val="00835A44"/>
    <w:rsid w:val="008368B4"/>
    <w:rsid w:val="008372C9"/>
    <w:rsid w:val="008375CF"/>
    <w:rsid w:val="00837DA9"/>
    <w:rsid w:val="008400EC"/>
    <w:rsid w:val="00840BC0"/>
    <w:rsid w:val="00841D5A"/>
    <w:rsid w:val="0084200D"/>
    <w:rsid w:val="00843687"/>
    <w:rsid w:val="00843775"/>
    <w:rsid w:val="00845218"/>
    <w:rsid w:val="00845382"/>
    <w:rsid w:val="00847A93"/>
    <w:rsid w:val="00847B59"/>
    <w:rsid w:val="00851A00"/>
    <w:rsid w:val="0085375D"/>
    <w:rsid w:val="00853B41"/>
    <w:rsid w:val="00856BF4"/>
    <w:rsid w:val="0085742D"/>
    <w:rsid w:val="00860078"/>
    <w:rsid w:val="0086140E"/>
    <w:rsid w:val="00861892"/>
    <w:rsid w:val="00863775"/>
    <w:rsid w:val="00863D69"/>
    <w:rsid w:val="00865EF2"/>
    <w:rsid w:val="00866E90"/>
    <w:rsid w:val="00867158"/>
    <w:rsid w:val="00867CC6"/>
    <w:rsid w:val="0087045E"/>
    <w:rsid w:val="00871708"/>
    <w:rsid w:val="00871D56"/>
    <w:rsid w:val="008720A8"/>
    <w:rsid w:val="008734B5"/>
    <w:rsid w:val="008747D6"/>
    <w:rsid w:val="00874F78"/>
    <w:rsid w:val="008755F2"/>
    <w:rsid w:val="00875860"/>
    <w:rsid w:val="0087758D"/>
    <w:rsid w:val="0088030F"/>
    <w:rsid w:val="00881B41"/>
    <w:rsid w:val="00881EA3"/>
    <w:rsid w:val="0088312D"/>
    <w:rsid w:val="008835B3"/>
    <w:rsid w:val="00885B91"/>
    <w:rsid w:val="00885E16"/>
    <w:rsid w:val="00886017"/>
    <w:rsid w:val="00886366"/>
    <w:rsid w:val="00891C68"/>
    <w:rsid w:val="008926D3"/>
    <w:rsid w:val="00892FB0"/>
    <w:rsid w:val="00893971"/>
    <w:rsid w:val="00893B7D"/>
    <w:rsid w:val="00894F09"/>
    <w:rsid w:val="008950DE"/>
    <w:rsid w:val="00895280"/>
    <w:rsid w:val="00896B8D"/>
    <w:rsid w:val="0089710A"/>
    <w:rsid w:val="008973DA"/>
    <w:rsid w:val="008978D5"/>
    <w:rsid w:val="00897F31"/>
    <w:rsid w:val="008A2DA8"/>
    <w:rsid w:val="008A3389"/>
    <w:rsid w:val="008A3ACE"/>
    <w:rsid w:val="008A3D02"/>
    <w:rsid w:val="008A3F06"/>
    <w:rsid w:val="008A4172"/>
    <w:rsid w:val="008A4BE9"/>
    <w:rsid w:val="008A52EA"/>
    <w:rsid w:val="008A56B7"/>
    <w:rsid w:val="008A5A71"/>
    <w:rsid w:val="008A6955"/>
    <w:rsid w:val="008A6A4C"/>
    <w:rsid w:val="008B00D3"/>
    <w:rsid w:val="008B115B"/>
    <w:rsid w:val="008B1211"/>
    <w:rsid w:val="008B1849"/>
    <w:rsid w:val="008B2001"/>
    <w:rsid w:val="008B2784"/>
    <w:rsid w:val="008B27E1"/>
    <w:rsid w:val="008B2BCE"/>
    <w:rsid w:val="008B2F43"/>
    <w:rsid w:val="008B3B64"/>
    <w:rsid w:val="008B3DB0"/>
    <w:rsid w:val="008B40FD"/>
    <w:rsid w:val="008B5094"/>
    <w:rsid w:val="008B66D9"/>
    <w:rsid w:val="008C0E65"/>
    <w:rsid w:val="008C1884"/>
    <w:rsid w:val="008C1E67"/>
    <w:rsid w:val="008C326C"/>
    <w:rsid w:val="008C37E3"/>
    <w:rsid w:val="008C5E1E"/>
    <w:rsid w:val="008C5FBB"/>
    <w:rsid w:val="008C6431"/>
    <w:rsid w:val="008C7252"/>
    <w:rsid w:val="008C771A"/>
    <w:rsid w:val="008D068A"/>
    <w:rsid w:val="008D206D"/>
    <w:rsid w:val="008D3A02"/>
    <w:rsid w:val="008D459C"/>
    <w:rsid w:val="008D5C43"/>
    <w:rsid w:val="008D65D7"/>
    <w:rsid w:val="008D6E95"/>
    <w:rsid w:val="008E15B7"/>
    <w:rsid w:val="008E2FB5"/>
    <w:rsid w:val="008E32B9"/>
    <w:rsid w:val="008E3563"/>
    <w:rsid w:val="008E44C6"/>
    <w:rsid w:val="008E4FC7"/>
    <w:rsid w:val="008E5560"/>
    <w:rsid w:val="008E7247"/>
    <w:rsid w:val="008E7E47"/>
    <w:rsid w:val="008F032D"/>
    <w:rsid w:val="008F0884"/>
    <w:rsid w:val="008F12A5"/>
    <w:rsid w:val="008F26FF"/>
    <w:rsid w:val="008F3291"/>
    <w:rsid w:val="008F4576"/>
    <w:rsid w:val="008F5475"/>
    <w:rsid w:val="008F55BD"/>
    <w:rsid w:val="008F5DAA"/>
    <w:rsid w:val="008F74BC"/>
    <w:rsid w:val="0090014F"/>
    <w:rsid w:val="00900F9C"/>
    <w:rsid w:val="00901554"/>
    <w:rsid w:val="00901C6F"/>
    <w:rsid w:val="00902576"/>
    <w:rsid w:val="00902E76"/>
    <w:rsid w:val="00903BC4"/>
    <w:rsid w:val="0090492F"/>
    <w:rsid w:val="009052CF"/>
    <w:rsid w:val="009054CC"/>
    <w:rsid w:val="00905AC7"/>
    <w:rsid w:val="00907582"/>
    <w:rsid w:val="0091101D"/>
    <w:rsid w:val="00911EBA"/>
    <w:rsid w:val="0091320B"/>
    <w:rsid w:val="00913691"/>
    <w:rsid w:val="00913AB9"/>
    <w:rsid w:val="00913C87"/>
    <w:rsid w:val="00913D85"/>
    <w:rsid w:val="00913F35"/>
    <w:rsid w:val="009143C3"/>
    <w:rsid w:val="009173EC"/>
    <w:rsid w:val="00920081"/>
    <w:rsid w:val="00920764"/>
    <w:rsid w:val="00922AF6"/>
    <w:rsid w:val="0092313E"/>
    <w:rsid w:val="00923881"/>
    <w:rsid w:val="00923EBE"/>
    <w:rsid w:val="00925891"/>
    <w:rsid w:val="00926626"/>
    <w:rsid w:val="00926667"/>
    <w:rsid w:val="00926789"/>
    <w:rsid w:val="00926F4F"/>
    <w:rsid w:val="00931324"/>
    <w:rsid w:val="009361FC"/>
    <w:rsid w:val="009363B7"/>
    <w:rsid w:val="009405AB"/>
    <w:rsid w:val="00941872"/>
    <w:rsid w:val="00941DE6"/>
    <w:rsid w:val="00942E96"/>
    <w:rsid w:val="009442BB"/>
    <w:rsid w:val="00945042"/>
    <w:rsid w:val="00945536"/>
    <w:rsid w:val="0094653E"/>
    <w:rsid w:val="009465F0"/>
    <w:rsid w:val="00946BA1"/>
    <w:rsid w:val="00947F7D"/>
    <w:rsid w:val="00952DF5"/>
    <w:rsid w:val="0095420E"/>
    <w:rsid w:val="0095434A"/>
    <w:rsid w:val="00954DA8"/>
    <w:rsid w:val="009550D6"/>
    <w:rsid w:val="00955750"/>
    <w:rsid w:val="009558C9"/>
    <w:rsid w:val="00955DCD"/>
    <w:rsid w:val="00956314"/>
    <w:rsid w:val="009563B2"/>
    <w:rsid w:val="00956C39"/>
    <w:rsid w:val="00957442"/>
    <w:rsid w:val="009579D1"/>
    <w:rsid w:val="00960699"/>
    <w:rsid w:val="00960E55"/>
    <w:rsid w:val="00961DFD"/>
    <w:rsid w:val="0096213E"/>
    <w:rsid w:val="00962511"/>
    <w:rsid w:val="00962ED2"/>
    <w:rsid w:val="00963BEF"/>
    <w:rsid w:val="00963D05"/>
    <w:rsid w:val="0096402B"/>
    <w:rsid w:val="00964B3E"/>
    <w:rsid w:val="00964D4E"/>
    <w:rsid w:val="00966EF9"/>
    <w:rsid w:val="0096723C"/>
    <w:rsid w:val="00970126"/>
    <w:rsid w:val="00971824"/>
    <w:rsid w:val="0097207E"/>
    <w:rsid w:val="009735C9"/>
    <w:rsid w:val="00974059"/>
    <w:rsid w:val="00977038"/>
    <w:rsid w:val="0097729E"/>
    <w:rsid w:val="009774F0"/>
    <w:rsid w:val="0098084A"/>
    <w:rsid w:val="00981B27"/>
    <w:rsid w:val="00981F94"/>
    <w:rsid w:val="00983DDD"/>
    <w:rsid w:val="00984C0A"/>
    <w:rsid w:val="00984F10"/>
    <w:rsid w:val="0098590B"/>
    <w:rsid w:val="00985CE7"/>
    <w:rsid w:val="00986555"/>
    <w:rsid w:val="00986EA5"/>
    <w:rsid w:val="00987C38"/>
    <w:rsid w:val="00990196"/>
    <w:rsid w:val="00990B3B"/>
    <w:rsid w:val="00991C07"/>
    <w:rsid w:val="00991F7B"/>
    <w:rsid w:val="00994D53"/>
    <w:rsid w:val="00994F63"/>
    <w:rsid w:val="00995B61"/>
    <w:rsid w:val="00995DE4"/>
    <w:rsid w:val="00996F37"/>
    <w:rsid w:val="009973D6"/>
    <w:rsid w:val="009975F3"/>
    <w:rsid w:val="00997E58"/>
    <w:rsid w:val="009A042D"/>
    <w:rsid w:val="009A101E"/>
    <w:rsid w:val="009A270D"/>
    <w:rsid w:val="009A2C91"/>
    <w:rsid w:val="009A3843"/>
    <w:rsid w:val="009A3846"/>
    <w:rsid w:val="009A3CAF"/>
    <w:rsid w:val="009A496E"/>
    <w:rsid w:val="009A4A2D"/>
    <w:rsid w:val="009A4D39"/>
    <w:rsid w:val="009A4E3A"/>
    <w:rsid w:val="009B0611"/>
    <w:rsid w:val="009B0A64"/>
    <w:rsid w:val="009B15AB"/>
    <w:rsid w:val="009B2DD0"/>
    <w:rsid w:val="009B2E92"/>
    <w:rsid w:val="009B338C"/>
    <w:rsid w:val="009B596D"/>
    <w:rsid w:val="009B62E6"/>
    <w:rsid w:val="009B6C3E"/>
    <w:rsid w:val="009B6E2B"/>
    <w:rsid w:val="009B7DD6"/>
    <w:rsid w:val="009C00B0"/>
    <w:rsid w:val="009C0A05"/>
    <w:rsid w:val="009C13F7"/>
    <w:rsid w:val="009C1465"/>
    <w:rsid w:val="009C1E7A"/>
    <w:rsid w:val="009C2F0F"/>
    <w:rsid w:val="009C3E36"/>
    <w:rsid w:val="009C43C7"/>
    <w:rsid w:val="009C4CFE"/>
    <w:rsid w:val="009C5F84"/>
    <w:rsid w:val="009C6B1A"/>
    <w:rsid w:val="009C6BF5"/>
    <w:rsid w:val="009C6D45"/>
    <w:rsid w:val="009C7103"/>
    <w:rsid w:val="009D0092"/>
    <w:rsid w:val="009D09BF"/>
    <w:rsid w:val="009D2B55"/>
    <w:rsid w:val="009D31D6"/>
    <w:rsid w:val="009D4054"/>
    <w:rsid w:val="009D47AE"/>
    <w:rsid w:val="009D65CC"/>
    <w:rsid w:val="009D6F5C"/>
    <w:rsid w:val="009D7B7E"/>
    <w:rsid w:val="009E0166"/>
    <w:rsid w:val="009E0CE4"/>
    <w:rsid w:val="009E11C5"/>
    <w:rsid w:val="009E2005"/>
    <w:rsid w:val="009E3E3C"/>
    <w:rsid w:val="009E4683"/>
    <w:rsid w:val="009E669B"/>
    <w:rsid w:val="009E79AD"/>
    <w:rsid w:val="009E7C3B"/>
    <w:rsid w:val="009F0FB1"/>
    <w:rsid w:val="009F15DF"/>
    <w:rsid w:val="009F2C16"/>
    <w:rsid w:val="009F3424"/>
    <w:rsid w:val="009F4BC0"/>
    <w:rsid w:val="009F5798"/>
    <w:rsid w:val="009F5E93"/>
    <w:rsid w:val="009F637A"/>
    <w:rsid w:val="009F7B65"/>
    <w:rsid w:val="00A01132"/>
    <w:rsid w:val="00A01808"/>
    <w:rsid w:val="00A01B4C"/>
    <w:rsid w:val="00A0245B"/>
    <w:rsid w:val="00A0310A"/>
    <w:rsid w:val="00A034B4"/>
    <w:rsid w:val="00A03532"/>
    <w:rsid w:val="00A04339"/>
    <w:rsid w:val="00A04645"/>
    <w:rsid w:val="00A04D41"/>
    <w:rsid w:val="00A056E7"/>
    <w:rsid w:val="00A069A3"/>
    <w:rsid w:val="00A06A82"/>
    <w:rsid w:val="00A102A7"/>
    <w:rsid w:val="00A11442"/>
    <w:rsid w:val="00A11B62"/>
    <w:rsid w:val="00A12E51"/>
    <w:rsid w:val="00A13969"/>
    <w:rsid w:val="00A13F76"/>
    <w:rsid w:val="00A14356"/>
    <w:rsid w:val="00A14E97"/>
    <w:rsid w:val="00A1573A"/>
    <w:rsid w:val="00A1575E"/>
    <w:rsid w:val="00A16349"/>
    <w:rsid w:val="00A17AE1"/>
    <w:rsid w:val="00A17D4E"/>
    <w:rsid w:val="00A20480"/>
    <w:rsid w:val="00A22567"/>
    <w:rsid w:val="00A22734"/>
    <w:rsid w:val="00A22C10"/>
    <w:rsid w:val="00A23FD0"/>
    <w:rsid w:val="00A24144"/>
    <w:rsid w:val="00A2718C"/>
    <w:rsid w:val="00A27BFD"/>
    <w:rsid w:val="00A316CB"/>
    <w:rsid w:val="00A31AED"/>
    <w:rsid w:val="00A31D4C"/>
    <w:rsid w:val="00A31FEB"/>
    <w:rsid w:val="00A33D0D"/>
    <w:rsid w:val="00A33F87"/>
    <w:rsid w:val="00A343EA"/>
    <w:rsid w:val="00A3564E"/>
    <w:rsid w:val="00A35FBB"/>
    <w:rsid w:val="00A368E1"/>
    <w:rsid w:val="00A37D7A"/>
    <w:rsid w:val="00A40E8B"/>
    <w:rsid w:val="00A40F7A"/>
    <w:rsid w:val="00A418E7"/>
    <w:rsid w:val="00A41BC1"/>
    <w:rsid w:val="00A422A3"/>
    <w:rsid w:val="00A42883"/>
    <w:rsid w:val="00A4442C"/>
    <w:rsid w:val="00A454F4"/>
    <w:rsid w:val="00A4595B"/>
    <w:rsid w:val="00A45E86"/>
    <w:rsid w:val="00A4755A"/>
    <w:rsid w:val="00A47E54"/>
    <w:rsid w:val="00A50979"/>
    <w:rsid w:val="00A513D0"/>
    <w:rsid w:val="00A519B0"/>
    <w:rsid w:val="00A51A3E"/>
    <w:rsid w:val="00A51C6D"/>
    <w:rsid w:val="00A52C22"/>
    <w:rsid w:val="00A54030"/>
    <w:rsid w:val="00A54CFE"/>
    <w:rsid w:val="00A550EE"/>
    <w:rsid w:val="00A5532C"/>
    <w:rsid w:val="00A5534C"/>
    <w:rsid w:val="00A57424"/>
    <w:rsid w:val="00A607C6"/>
    <w:rsid w:val="00A61FFE"/>
    <w:rsid w:val="00A626C8"/>
    <w:rsid w:val="00A62C92"/>
    <w:rsid w:val="00A62E3C"/>
    <w:rsid w:val="00A62FC5"/>
    <w:rsid w:val="00A632A0"/>
    <w:rsid w:val="00A64CF3"/>
    <w:rsid w:val="00A651BB"/>
    <w:rsid w:val="00A65D37"/>
    <w:rsid w:val="00A66012"/>
    <w:rsid w:val="00A664E2"/>
    <w:rsid w:val="00A666D3"/>
    <w:rsid w:val="00A667B2"/>
    <w:rsid w:val="00A67EB0"/>
    <w:rsid w:val="00A704F6"/>
    <w:rsid w:val="00A70D64"/>
    <w:rsid w:val="00A713E6"/>
    <w:rsid w:val="00A74679"/>
    <w:rsid w:val="00A75D1F"/>
    <w:rsid w:val="00A762FA"/>
    <w:rsid w:val="00A76791"/>
    <w:rsid w:val="00A76D7A"/>
    <w:rsid w:val="00A8176F"/>
    <w:rsid w:val="00A81F35"/>
    <w:rsid w:val="00A82525"/>
    <w:rsid w:val="00A8260B"/>
    <w:rsid w:val="00A83B4A"/>
    <w:rsid w:val="00A84199"/>
    <w:rsid w:val="00A85A1C"/>
    <w:rsid w:val="00A87396"/>
    <w:rsid w:val="00A873D8"/>
    <w:rsid w:val="00A917FB"/>
    <w:rsid w:val="00A9319D"/>
    <w:rsid w:val="00A9389E"/>
    <w:rsid w:val="00A94020"/>
    <w:rsid w:val="00A9600E"/>
    <w:rsid w:val="00A9604E"/>
    <w:rsid w:val="00A97713"/>
    <w:rsid w:val="00A97865"/>
    <w:rsid w:val="00AA0D79"/>
    <w:rsid w:val="00AA14C5"/>
    <w:rsid w:val="00AA1599"/>
    <w:rsid w:val="00AA1628"/>
    <w:rsid w:val="00AA21AF"/>
    <w:rsid w:val="00AA2EE7"/>
    <w:rsid w:val="00AA309C"/>
    <w:rsid w:val="00AA34EA"/>
    <w:rsid w:val="00AA47F3"/>
    <w:rsid w:val="00AA4838"/>
    <w:rsid w:val="00AA7AE1"/>
    <w:rsid w:val="00AA7BAA"/>
    <w:rsid w:val="00AB0ED3"/>
    <w:rsid w:val="00AB14AB"/>
    <w:rsid w:val="00AB1DC3"/>
    <w:rsid w:val="00AB2B9C"/>
    <w:rsid w:val="00AB3166"/>
    <w:rsid w:val="00AB38FD"/>
    <w:rsid w:val="00AB40FC"/>
    <w:rsid w:val="00AB4BE9"/>
    <w:rsid w:val="00AB51C0"/>
    <w:rsid w:val="00AB6BCC"/>
    <w:rsid w:val="00AC05BC"/>
    <w:rsid w:val="00AC149D"/>
    <w:rsid w:val="00AC185B"/>
    <w:rsid w:val="00AC3333"/>
    <w:rsid w:val="00AC3B25"/>
    <w:rsid w:val="00AC3D7C"/>
    <w:rsid w:val="00AC3F71"/>
    <w:rsid w:val="00AC428E"/>
    <w:rsid w:val="00AC4A98"/>
    <w:rsid w:val="00AC5E02"/>
    <w:rsid w:val="00AC60B9"/>
    <w:rsid w:val="00AC6696"/>
    <w:rsid w:val="00AC7FE2"/>
    <w:rsid w:val="00AD0947"/>
    <w:rsid w:val="00AD0D16"/>
    <w:rsid w:val="00AD26F0"/>
    <w:rsid w:val="00AD4702"/>
    <w:rsid w:val="00AD5484"/>
    <w:rsid w:val="00AD67FC"/>
    <w:rsid w:val="00AD6902"/>
    <w:rsid w:val="00AD70D3"/>
    <w:rsid w:val="00AE0F3F"/>
    <w:rsid w:val="00AE107B"/>
    <w:rsid w:val="00AE29F6"/>
    <w:rsid w:val="00AE3164"/>
    <w:rsid w:val="00AE3B10"/>
    <w:rsid w:val="00AE5407"/>
    <w:rsid w:val="00AE5E31"/>
    <w:rsid w:val="00AE621D"/>
    <w:rsid w:val="00AE79CC"/>
    <w:rsid w:val="00AE79F3"/>
    <w:rsid w:val="00AF0B12"/>
    <w:rsid w:val="00AF2266"/>
    <w:rsid w:val="00AF3097"/>
    <w:rsid w:val="00AF37DF"/>
    <w:rsid w:val="00AF387A"/>
    <w:rsid w:val="00AF40F1"/>
    <w:rsid w:val="00AF49F4"/>
    <w:rsid w:val="00AF4A33"/>
    <w:rsid w:val="00AF585B"/>
    <w:rsid w:val="00AF589A"/>
    <w:rsid w:val="00AF6069"/>
    <w:rsid w:val="00AF7033"/>
    <w:rsid w:val="00AF7619"/>
    <w:rsid w:val="00AF799F"/>
    <w:rsid w:val="00AF7D39"/>
    <w:rsid w:val="00B01745"/>
    <w:rsid w:val="00B026F8"/>
    <w:rsid w:val="00B02ECB"/>
    <w:rsid w:val="00B02FDC"/>
    <w:rsid w:val="00B0347C"/>
    <w:rsid w:val="00B045DE"/>
    <w:rsid w:val="00B058D4"/>
    <w:rsid w:val="00B05DA3"/>
    <w:rsid w:val="00B06704"/>
    <w:rsid w:val="00B06A33"/>
    <w:rsid w:val="00B07835"/>
    <w:rsid w:val="00B07EF4"/>
    <w:rsid w:val="00B12C70"/>
    <w:rsid w:val="00B15B0F"/>
    <w:rsid w:val="00B210BC"/>
    <w:rsid w:val="00B21321"/>
    <w:rsid w:val="00B22CC2"/>
    <w:rsid w:val="00B23C51"/>
    <w:rsid w:val="00B25806"/>
    <w:rsid w:val="00B2619C"/>
    <w:rsid w:val="00B269BA"/>
    <w:rsid w:val="00B26C5A"/>
    <w:rsid w:val="00B275F7"/>
    <w:rsid w:val="00B27A02"/>
    <w:rsid w:val="00B30C91"/>
    <w:rsid w:val="00B30FB5"/>
    <w:rsid w:val="00B3185E"/>
    <w:rsid w:val="00B32009"/>
    <w:rsid w:val="00B32357"/>
    <w:rsid w:val="00B3499D"/>
    <w:rsid w:val="00B34A2D"/>
    <w:rsid w:val="00B353D8"/>
    <w:rsid w:val="00B357A1"/>
    <w:rsid w:val="00B36586"/>
    <w:rsid w:val="00B36B21"/>
    <w:rsid w:val="00B37155"/>
    <w:rsid w:val="00B403AB"/>
    <w:rsid w:val="00B40F4A"/>
    <w:rsid w:val="00B41B31"/>
    <w:rsid w:val="00B429F6"/>
    <w:rsid w:val="00B43270"/>
    <w:rsid w:val="00B4328C"/>
    <w:rsid w:val="00B433CF"/>
    <w:rsid w:val="00B43CEE"/>
    <w:rsid w:val="00B43EB5"/>
    <w:rsid w:val="00B453B4"/>
    <w:rsid w:val="00B457EE"/>
    <w:rsid w:val="00B459C9"/>
    <w:rsid w:val="00B47E5F"/>
    <w:rsid w:val="00B507DB"/>
    <w:rsid w:val="00B50E51"/>
    <w:rsid w:val="00B512BA"/>
    <w:rsid w:val="00B51507"/>
    <w:rsid w:val="00B51E95"/>
    <w:rsid w:val="00B52BE6"/>
    <w:rsid w:val="00B53E3F"/>
    <w:rsid w:val="00B53F04"/>
    <w:rsid w:val="00B552FA"/>
    <w:rsid w:val="00B55A3D"/>
    <w:rsid w:val="00B56128"/>
    <w:rsid w:val="00B607EC"/>
    <w:rsid w:val="00B619EB"/>
    <w:rsid w:val="00B63689"/>
    <w:rsid w:val="00B646C2"/>
    <w:rsid w:val="00B648C6"/>
    <w:rsid w:val="00B653ED"/>
    <w:rsid w:val="00B654E2"/>
    <w:rsid w:val="00B67DCC"/>
    <w:rsid w:val="00B702C5"/>
    <w:rsid w:val="00B70969"/>
    <w:rsid w:val="00B70C12"/>
    <w:rsid w:val="00B714CD"/>
    <w:rsid w:val="00B71D79"/>
    <w:rsid w:val="00B72D87"/>
    <w:rsid w:val="00B735C5"/>
    <w:rsid w:val="00B73D78"/>
    <w:rsid w:val="00B7678D"/>
    <w:rsid w:val="00B76DDB"/>
    <w:rsid w:val="00B77A02"/>
    <w:rsid w:val="00B800AA"/>
    <w:rsid w:val="00B816D1"/>
    <w:rsid w:val="00B81F17"/>
    <w:rsid w:val="00B81F78"/>
    <w:rsid w:val="00B82201"/>
    <w:rsid w:val="00B83848"/>
    <w:rsid w:val="00B83C07"/>
    <w:rsid w:val="00B86A5C"/>
    <w:rsid w:val="00B86B66"/>
    <w:rsid w:val="00B86D3C"/>
    <w:rsid w:val="00B9116C"/>
    <w:rsid w:val="00B92FC1"/>
    <w:rsid w:val="00B93A68"/>
    <w:rsid w:val="00B9608C"/>
    <w:rsid w:val="00B96837"/>
    <w:rsid w:val="00B977F3"/>
    <w:rsid w:val="00BA03F6"/>
    <w:rsid w:val="00BA0C73"/>
    <w:rsid w:val="00BA127B"/>
    <w:rsid w:val="00BA29A0"/>
    <w:rsid w:val="00BA2AA9"/>
    <w:rsid w:val="00BA2ABD"/>
    <w:rsid w:val="00BA3039"/>
    <w:rsid w:val="00BA3349"/>
    <w:rsid w:val="00BA3B6C"/>
    <w:rsid w:val="00BA419E"/>
    <w:rsid w:val="00BA4F6D"/>
    <w:rsid w:val="00BB03AE"/>
    <w:rsid w:val="00BB06E1"/>
    <w:rsid w:val="00BB0D56"/>
    <w:rsid w:val="00BB1926"/>
    <w:rsid w:val="00BB40A0"/>
    <w:rsid w:val="00BB66B1"/>
    <w:rsid w:val="00BC0382"/>
    <w:rsid w:val="00BC27AE"/>
    <w:rsid w:val="00BC2971"/>
    <w:rsid w:val="00BC2A79"/>
    <w:rsid w:val="00BC2BC7"/>
    <w:rsid w:val="00BC2D9A"/>
    <w:rsid w:val="00BC40CE"/>
    <w:rsid w:val="00BC4CC7"/>
    <w:rsid w:val="00BC6AA0"/>
    <w:rsid w:val="00BC7281"/>
    <w:rsid w:val="00BC7EF6"/>
    <w:rsid w:val="00BD09C8"/>
    <w:rsid w:val="00BD1328"/>
    <w:rsid w:val="00BD178B"/>
    <w:rsid w:val="00BD2041"/>
    <w:rsid w:val="00BD26D3"/>
    <w:rsid w:val="00BD35BA"/>
    <w:rsid w:val="00BD4832"/>
    <w:rsid w:val="00BD4C67"/>
    <w:rsid w:val="00BD4D53"/>
    <w:rsid w:val="00BD6576"/>
    <w:rsid w:val="00BD6582"/>
    <w:rsid w:val="00BD6660"/>
    <w:rsid w:val="00BD6A6F"/>
    <w:rsid w:val="00BD7773"/>
    <w:rsid w:val="00BE0420"/>
    <w:rsid w:val="00BE2548"/>
    <w:rsid w:val="00BE3A1A"/>
    <w:rsid w:val="00BE59E9"/>
    <w:rsid w:val="00BE5BE9"/>
    <w:rsid w:val="00BE67A5"/>
    <w:rsid w:val="00BE6DA8"/>
    <w:rsid w:val="00BE7621"/>
    <w:rsid w:val="00BE7EA7"/>
    <w:rsid w:val="00BE7F94"/>
    <w:rsid w:val="00BF0786"/>
    <w:rsid w:val="00BF0F0D"/>
    <w:rsid w:val="00BF17D9"/>
    <w:rsid w:val="00BF1894"/>
    <w:rsid w:val="00BF21B5"/>
    <w:rsid w:val="00BF25A0"/>
    <w:rsid w:val="00BF2611"/>
    <w:rsid w:val="00BF269C"/>
    <w:rsid w:val="00BF3092"/>
    <w:rsid w:val="00BF36E2"/>
    <w:rsid w:val="00BF3FC8"/>
    <w:rsid w:val="00BF40E3"/>
    <w:rsid w:val="00BF4180"/>
    <w:rsid w:val="00BF48FA"/>
    <w:rsid w:val="00BF5703"/>
    <w:rsid w:val="00BF683E"/>
    <w:rsid w:val="00BF6DE8"/>
    <w:rsid w:val="00C004F1"/>
    <w:rsid w:val="00C01440"/>
    <w:rsid w:val="00C02045"/>
    <w:rsid w:val="00C022E1"/>
    <w:rsid w:val="00C03363"/>
    <w:rsid w:val="00C037D8"/>
    <w:rsid w:val="00C03C08"/>
    <w:rsid w:val="00C046B0"/>
    <w:rsid w:val="00C04ACF"/>
    <w:rsid w:val="00C04D9A"/>
    <w:rsid w:val="00C0624F"/>
    <w:rsid w:val="00C06C36"/>
    <w:rsid w:val="00C071F6"/>
    <w:rsid w:val="00C07870"/>
    <w:rsid w:val="00C07BF0"/>
    <w:rsid w:val="00C11778"/>
    <w:rsid w:val="00C11F07"/>
    <w:rsid w:val="00C1283C"/>
    <w:rsid w:val="00C13D50"/>
    <w:rsid w:val="00C1485A"/>
    <w:rsid w:val="00C15D0A"/>
    <w:rsid w:val="00C16145"/>
    <w:rsid w:val="00C16449"/>
    <w:rsid w:val="00C166FD"/>
    <w:rsid w:val="00C16A2E"/>
    <w:rsid w:val="00C16B16"/>
    <w:rsid w:val="00C1724B"/>
    <w:rsid w:val="00C17787"/>
    <w:rsid w:val="00C22163"/>
    <w:rsid w:val="00C22BDA"/>
    <w:rsid w:val="00C242D4"/>
    <w:rsid w:val="00C24A01"/>
    <w:rsid w:val="00C269F4"/>
    <w:rsid w:val="00C26E64"/>
    <w:rsid w:val="00C300CF"/>
    <w:rsid w:val="00C319D9"/>
    <w:rsid w:val="00C32001"/>
    <w:rsid w:val="00C32704"/>
    <w:rsid w:val="00C327D2"/>
    <w:rsid w:val="00C32BFB"/>
    <w:rsid w:val="00C34C13"/>
    <w:rsid w:val="00C359C7"/>
    <w:rsid w:val="00C359CC"/>
    <w:rsid w:val="00C35A98"/>
    <w:rsid w:val="00C35F45"/>
    <w:rsid w:val="00C36F48"/>
    <w:rsid w:val="00C37F33"/>
    <w:rsid w:val="00C40845"/>
    <w:rsid w:val="00C410AD"/>
    <w:rsid w:val="00C410E5"/>
    <w:rsid w:val="00C4112B"/>
    <w:rsid w:val="00C43574"/>
    <w:rsid w:val="00C435C5"/>
    <w:rsid w:val="00C435DA"/>
    <w:rsid w:val="00C4575F"/>
    <w:rsid w:val="00C51A61"/>
    <w:rsid w:val="00C51F4A"/>
    <w:rsid w:val="00C524A2"/>
    <w:rsid w:val="00C52D72"/>
    <w:rsid w:val="00C52F25"/>
    <w:rsid w:val="00C53652"/>
    <w:rsid w:val="00C54033"/>
    <w:rsid w:val="00C56843"/>
    <w:rsid w:val="00C574CE"/>
    <w:rsid w:val="00C57782"/>
    <w:rsid w:val="00C57FD5"/>
    <w:rsid w:val="00C60837"/>
    <w:rsid w:val="00C6170B"/>
    <w:rsid w:val="00C62D0A"/>
    <w:rsid w:val="00C636CF"/>
    <w:rsid w:val="00C64CFB"/>
    <w:rsid w:val="00C652C7"/>
    <w:rsid w:val="00C65968"/>
    <w:rsid w:val="00C660BB"/>
    <w:rsid w:val="00C70B17"/>
    <w:rsid w:val="00C7131B"/>
    <w:rsid w:val="00C71F42"/>
    <w:rsid w:val="00C7294A"/>
    <w:rsid w:val="00C73CEC"/>
    <w:rsid w:val="00C73D45"/>
    <w:rsid w:val="00C74210"/>
    <w:rsid w:val="00C75224"/>
    <w:rsid w:val="00C7619E"/>
    <w:rsid w:val="00C80525"/>
    <w:rsid w:val="00C8064B"/>
    <w:rsid w:val="00C82293"/>
    <w:rsid w:val="00C8390B"/>
    <w:rsid w:val="00C839C2"/>
    <w:rsid w:val="00C83DF3"/>
    <w:rsid w:val="00C8408B"/>
    <w:rsid w:val="00C84E61"/>
    <w:rsid w:val="00C853AF"/>
    <w:rsid w:val="00C8634B"/>
    <w:rsid w:val="00C86CB1"/>
    <w:rsid w:val="00C87746"/>
    <w:rsid w:val="00C9036F"/>
    <w:rsid w:val="00C90525"/>
    <w:rsid w:val="00C9115B"/>
    <w:rsid w:val="00C912CE"/>
    <w:rsid w:val="00C9205F"/>
    <w:rsid w:val="00C92162"/>
    <w:rsid w:val="00C92893"/>
    <w:rsid w:val="00C93883"/>
    <w:rsid w:val="00C940CE"/>
    <w:rsid w:val="00C940FD"/>
    <w:rsid w:val="00C95227"/>
    <w:rsid w:val="00C95CF5"/>
    <w:rsid w:val="00C96259"/>
    <w:rsid w:val="00CA0247"/>
    <w:rsid w:val="00CA2393"/>
    <w:rsid w:val="00CA3005"/>
    <w:rsid w:val="00CA34AE"/>
    <w:rsid w:val="00CA3C37"/>
    <w:rsid w:val="00CA3F95"/>
    <w:rsid w:val="00CA4049"/>
    <w:rsid w:val="00CA4DB6"/>
    <w:rsid w:val="00CA5CBE"/>
    <w:rsid w:val="00CA67C5"/>
    <w:rsid w:val="00CA72A4"/>
    <w:rsid w:val="00CA7591"/>
    <w:rsid w:val="00CA7E3D"/>
    <w:rsid w:val="00CB02FE"/>
    <w:rsid w:val="00CB04A5"/>
    <w:rsid w:val="00CB0DED"/>
    <w:rsid w:val="00CB10B9"/>
    <w:rsid w:val="00CB31F9"/>
    <w:rsid w:val="00CB40DC"/>
    <w:rsid w:val="00CB4DEB"/>
    <w:rsid w:val="00CB569D"/>
    <w:rsid w:val="00CB5C69"/>
    <w:rsid w:val="00CB6195"/>
    <w:rsid w:val="00CB6C05"/>
    <w:rsid w:val="00CC09E7"/>
    <w:rsid w:val="00CC3D37"/>
    <w:rsid w:val="00CC4391"/>
    <w:rsid w:val="00CC53A7"/>
    <w:rsid w:val="00CC564A"/>
    <w:rsid w:val="00CC57D3"/>
    <w:rsid w:val="00CC59C4"/>
    <w:rsid w:val="00CC7E8B"/>
    <w:rsid w:val="00CD08A4"/>
    <w:rsid w:val="00CD1E7B"/>
    <w:rsid w:val="00CD2681"/>
    <w:rsid w:val="00CD2C51"/>
    <w:rsid w:val="00CD2D4F"/>
    <w:rsid w:val="00CD4003"/>
    <w:rsid w:val="00CD4329"/>
    <w:rsid w:val="00CD446B"/>
    <w:rsid w:val="00CD4AA0"/>
    <w:rsid w:val="00CD4EC2"/>
    <w:rsid w:val="00CD5870"/>
    <w:rsid w:val="00CD5CE8"/>
    <w:rsid w:val="00CD5EAC"/>
    <w:rsid w:val="00CD612A"/>
    <w:rsid w:val="00CD6877"/>
    <w:rsid w:val="00CD68AC"/>
    <w:rsid w:val="00CD6C65"/>
    <w:rsid w:val="00CD7188"/>
    <w:rsid w:val="00CD7FEC"/>
    <w:rsid w:val="00CE0308"/>
    <w:rsid w:val="00CE0AF9"/>
    <w:rsid w:val="00CE22BC"/>
    <w:rsid w:val="00CE275E"/>
    <w:rsid w:val="00CE3010"/>
    <w:rsid w:val="00CE4BC7"/>
    <w:rsid w:val="00CE6420"/>
    <w:rsid w:val="00CE6FED"/>
    <w:rsid w:val="00CE7657"/>
    <w:rsid w:val="00CF01A7"/>
    <w:rsid w:val="00CF1637"/>
    <w:rsid w:val="00CF300B"/>
    <w:rsid w:val="00CF445D"/>
    <w:rsid w:val="00CF4E61"/>
    <w:rsid w:val="00CF51E4"/>
    <w:rsid w:val="00CF52BC"/>
    <w:rsid w:val="00CF52C2"/>
    <w:rsid w:val="00CF60B4"/>
    <w:rsid w:val="00CF6844"/>
    <w:rsid w:val="00CF6958"/>
    <w:rsid w:val="00CF6AE4"/>
    <w:rsid w:val="00CF6EFB"/>
    <w:rsid w:val="00CF7670"/>
    <w:rsid w:val="00D00201"/>
    <w:rsid w:val="00D01296"/>
    <w:rsid w:val="00D0336D"/>
    <w:rsid w:val="00D03E30"/>
    <w:rsid w:val="00D05054"/>
    <w:rsid w:val="00D051EC"/>
    <w:rsid w:val="00D0612E"/>
    <w:rsid w:val="00D07440"/>
    <w:rsid w:val="00D1018B"/>
    <w:rsid w:val="00D10326"/>
    <w:rsid w:val="00D114BF"/>
    <w:rsid w:val="00D1184F"/>
    <w:rsid w:val="00D126EC"/>
    <w:rsid w:val="00D131BC"/>
    <w:rsid w:val="00D143A3"/>
    <w:rsid w:val="00D1444C"/>
    <w:rsid w:val="00D17310"/>
    <w:rsid w:val="00D17C7E"/>
    <w:rsid w:val="00D20581"/>
    <w:rsid w:val="00D207EE"/>
    <w:rsid w:val="00D2251A"/>
    <w:rsid w:val="00D231B9"/>
    <w:rsid w:val="00D23866"/>
    <w:rsid w:val="00D24F03"/>
    <w:rsid w:val="00D25089"/>
    <w:rsid w:val="00D25291"/>
    <w:rsid w:val="00D25EE5"/>
    <w:rsid w:val="00D25F4B"/>
    <w:rsid w:val="00D269B6"/>
    <w:rsid w:val="00D270BF"/>
    <w:rsid w:val="00D31076"/>
    <w:rsid w:val="00D33F97"/>
    <w:rsid w:val="00D33F9F"/>
    <w:rsid w:val="00D33FBA"/>
    <w:rsid w:val="00D356FF"/>
    <w:rsid w:val="00D360D4"/>
    <w:rsid w:val="00D361C3"/>
    <w:rsid w:val="00D36A4D"/>
    <w:rsid w:val="00D36A5F"/>
    <w:rsid w:val="00D36BE0"/>
    <w:rsid w:val="00D407C7"/>
    <w:rsid w:val="00D41421"/>
    <w:rsid w:val="00D423E0"/>
    <w:rsid w:val="00D42880"/>
    <w:rsid w:val="00D43406"/>
    <w:rsid w:val="00D437C8"/>
    <w:rsid w:val="00D43E8B"/>
    <w:rsid w:val="00D4507E"/>
    <w:rsid w:val="00D45A12"/>
    <w:rsid w:val="00D45ADD"/>
    <w:rsid w:val="00D45EE3"/>
    <w:rsid w:val="00D476E3"/>
    <w:rsid w:val="00D512C5"/>
    <w:rsid w:val="00D514E1"/>
    <w:rsid w:val="00D514FD"/>
    <w:rsid w:val="00D52AD7"/>
    <w:rsid w:val="00D52E39"/>
    <w:rsid w:val="00D556B8"/>
    <w:rsid w:val="00D557A5"/>
    <w:rsid w:val="00D57101"/>
    <w:rsid w:val="00D60276"/>
    <w:rsid w:val="00D61C61"/>
    <w:rsid w:val="00D62C1B"/>
    <w:rsid w:val="00D63F61"/>
    <w:rsid w:val="00D64099"/>
    <w:rsid w:val="00D64A38"/>
    <w:rsid w:val="00D64FD3"/>
    <w:rsid w:val="00D6765C"/>
    <w:rsid w:val="00D67772"/>
    <w:rsid w:val="00D70119"/>
    <w:rsid w:val="00D7047E"/>
    <w:rsid w:val="00D705BA"/>
    <w:rsid w:val="00D709F6"/>
    <w:rsid w:val="00D70CB7"/>
    <w:rsid w:val="00D71029"/>
    <w:rsid w:val="00D713AB"/>
    <w:rsid w:val="00D72CC0"/>
    <w:rsid w:val="00D73923"/>
    <w:rsid w:val="00D73A67"/>
    <w:rsid w:val="00D73AAB"/>
    <w:rsid w:val="00D762A0"/>
    <w:rsid w:val="00D77AA2"/>
    <w:rsid w:val="00D77C0B"/>
    <w:rsid w:val="00D80083"/>
    <w:rsid w:val="00D81597"/>
    <w:rsid w:val="00D81B59"/>
    <w:rsid w:val="00D83132"/>
    <w:rsid w:val="00D83EB2"/>
    <w:rsid w:val="00D8482B"/>
    <w:rsid w:val="00D8491A"/>
    <w:rsid w:val="00D863B2"/>
    <w:rsid w:val="00D86598"/>
    <w:rsid w:val="00D866CF"/>
    <w:rsid w:val="00D908DC"/>
    <w:rsid w:val="00D90A7D"/>
    <w:rsid w:val="00D90B98"/>
    <w:rsid w:val="00D914D4"/>
    <w:rsid w:val="00D91B28"/>
    <w:rsid w:val="00D92055"/>
    <w:rsid w:val="00D92701"/>
    <w:rsid w:val="00D93043"/>
    <w:rsid w:val="00D93B2F"/>
    <w:rsid w:val="00D95DFA"/>
    <w:rsid w:val="00D9634B"/>
    <w:rsid w:val="00D9708A"/>
    <w:rsid w:val="00D974FC"/>
    <w:rsid w:val="00DA08A4"/>
    <w:rsid w:val="00DA11BF"/>
    <w:rsid w:val="00DA246C"/>
    <w:rsid w:val="00DA4AD8"/>
    <w:rsid w:val="00DA53FF"/>
    <w:rsid w:val="00DA5D19"/>
    <w:rsid w:val="00DA675E"/>
    <w:rsid w:val="00DA77A1"/>
    <w:rsid w:val="00DB01FE"/>
    <w:rsid w:val="00DB038A"/>
    <w:rsid w:val="00DB04D7"/>
    <w:rsid w:val="00DB15FA"/>
    <w:rsid w:val="00DB1A76"/>
    <w:rsid w:val="00DB25D5"/>
    <w:rsid w:val="00DB34C8"/>
    <w:rsid w:val="00DB483C"/>
    <w:rsid w:val="00DB4F03"/>
    <w:rsid w:val="00DB4FBA"/>
    <w:rsid w:val="00DB5FC5"/>
    <w:rsid w:val="00DB5FF4"/>
    <w:rsid w:val="00DB656C"/>
    <w:rsid w:val="00DB6DC3"/>
    <w:rsid w:val="00DB7B78"/>
    <w:rsid w:val="00DB7CA1"/>
    <w:rsid w:val="00DC06BD"/>
    <w:rsid w:val="00DC2887"/>
    <w:rsid w:val="00DC3E54"/>
    <w:rsid w:val="00DC3F27"/>
    <w:rsid w:val="00DC41C8"/>
    <w:rsid w:val="00DC44C7"/>
    <w:rsid w:val="00DC44F7"/>
    <w:rsid w:val="00DC6248"/>
    <w:rsid w:val="00DC62D9"/>
    <w:rsid w:val="00DC7608"/>
    <w:rsid w:val="00DC7DE2"/>
    <w:rsid w:val="00DD1F3F"/>
    <w:rsid w:val="00DD22C0"/>
    <w:rsid w:val="00DD2CF1"/>
    <w:rsid w:val="00DD3218"/>
    <w:rsid w:val="00DD3CDC"/>
    <w:rsid w:val="00DD4368"/>
    <w:rsid w:val="00DD4DE1"/>
    <w:rsid w:val="00DD5385"/>
    <w:rsid w:val="00DD5828"/>
    <w:rsid w:val="00DD7761"/>
    <w:rsid w:val="00DE09EE"/>
    <w:rsid w:val="00DE122E"/>
    <w:rsid w:val="00DE1404"/>
    <w:rsid w:val="00DE1905"/>
    <w:rsid w:val="00DE1D1F"/>
    <w:rsid w:val="00DE1EE8"/>
    <w:rsid w:val="00DE2440"/>
    <w:rsid w:val="00DE38ED"/>
    <w:rsid w:val="00DE4EF1"/>
    <w:rsid w:val="00DE50AC"/>
    <w:rsid w:val="00DF105D"/>
    <w:rsid w:val="00DF1B93"/>
    <w:rsid w:val="00DF2225"/>
    <w:rsid w:val="00DF322E"/>
    <w:rsid w:val="00DF35CB"/>
    <w:rsid w:val="00DF3B28"/>
    <w:rsid w:val="00DF43D3"/>
    <w:rsid w:val="00DF5474"/>
    <w:rsid w:val="00DF5C4E"/>
    <w:rsid w:val="00DF7C68"/>
    <w:rsid w:val="00E003E7"/>
    <w:rsid w:val="00E00D20"/>
    <w:rsid w:val="00E00EDE"/>
    <w:rsid w:val="00E01E56"/>
    <w:rsid w:val="00E02D23"/>
    <w:rsid w:val="00E02E14"/>
    <w:rsid w:val="00E02F5D"/>
    <w:rsid w:val="00E037FC"/>
    <w:rsid w:val="00E03C6C"/>
    <w:rsid w:val="00E04DFD"/>
    <w:rsid w:val="00E065E0"/>
    <w:rsid w:val="00E069B4"/>
    <w:rsid w:val="00E07275"/>
    <w:rsid w:val="00E07F1B"/>
    <w:rsid w:val="00E117D4"/>
    <w:rsid w:val="00E11D5A"/>
    <w:rsid w:val="00E1210F"/>
    <w:rsid w:val="00E136F1"/>
    <w:rsid w:val="00E139A9"/>
    <w:rsid w:val="00E13D72"/>
    <w:rsid w:val="00E14483"/>
    <w:rsid w:val="00E1449F"/>
    <w:rsid w:val="00E146A4"/>
    <w:rsid w:val="00E14B8E"/>
    <w:rsid w:val="00E16591"/>
    <w:rsid w:val="00E169E6"/>
    <w:rsid w:val="00E17882"/>
    <w:rsid w:val="00E22140"/>
    <w:rsid w:val="00E223EF"/>
    <w:rsid w:val="00E22D2D"/>
    <w:rsid w:val="00E23386"/>
    <w:rsid w:val="00E23831"/>
    <w:rsid w:val="00E2389B"/>
    <w:rsid w:val="00E24CDB"/>
    <w:rsid w:val="00E25224"/>
    <w:rsid w:val="00E27209"/>
    <w:rsid w:val="00E276B3"/>
    <w:rsid w:val="00E27C63"/>
    <w:rsid w:val="00E301A7"/>
    <w:rsid w:val="00E32554"/>
    <w:rsid w:val="00E3267E"/>
    <w:rsid w:val="00E32C5E"/>
    <w:rsid w:val="00E330B2"/>
    <w:rsid w:val="00E344E5"/>
    <w:rsid w:val="00E35876"/>
    <w:rsid w:val="00E3607C"/>
    <w:rsid w:val="00E36D59"/>
    <w:rsid w:val="00E36F16"/>
    <w:rsid w:val="00E37EF7"/>
    <w:rsid w:val="00E41546"/>
    <w:rsid w:val="00E41A21"/>
    <w:rsid w:val="00E430B6"/>
    <w:rsid w:val="00E43DE6"/>
    <w:rsid w:val="00E44FEC"/>
    <w:rsid w:val="00E463D7"/>
    <w:rsid w:val="00E47086"/>
    <w:rsid w:val="00E471AB"/>
    <w:rsid w:val="00E47703"/>
    <w:rsid w:val="00E47946"/>
    <w:rsid w:val="00E5013F"/>
    <w:rsid w:val="00E50F1F"/>
    <w:rsid w:val="00E515CF"/>
    <w:rsid w:val="00E51EAA"/>
    <w:rsid w:val="00E51F30"/>
    <w:rsid w:val="00E5233B"/>
    <w:rsid w:val="00E52B5F"/>
    <w:rsid w:val="00E54455"/>
    <w:rsid w:val="00E5487E"/>
    <w:rsid w:val="00E5563A"/>
    <w:rsid w:val="00E577AA"/>
    <w:rsid w:val="00E60D4A"/>
    <w:rsid w:val="00E613CE"/>
    <w:rsid w:val="00E6350C"/>
    <w:rsid w:val="00E64274"/>
    <w:rsid w:val="00E64E64"/>
    <w:rsid w:val="00E65629"/>
    <w:rsid w:val="00E65753"/>
    <w:rsid w:val="00E65CA5"/>
    <w:rsid w:val="00E660E3"/>
    <w:rsid w:val="00E66411"/>
    <w:rsid w:val="00E67BC8"/>
    <w:rsid w:val="00E704D4"/>
    <w:rsid w:val="00E70D2E"/>
    <w:rsid w:val="00E711ED"/>
    <w:rsid w:val="00E71814"/>
    <w:rsid w:val="00E71AD6"/>
    <w:rsid w:val="00E74BEE"/>
    <w:rsid w:val="00E75A2B"/>
    <w:rsid w:val="00E767AC"/>
    <w:rsid w:val="00E76D4F"/>
    <w:rsid w:val="00E77397"/>
    <w:rsid w:val="00E775C5"/>
    <w:rsid w:val="00E77AC5"/>
    <w:rsid w:val="00E81D86"/>
    <w:rsid w:val="00E821E1"/>
    <w:rsid w:val="00E83402"/>
    <w:rsid w:val="00E837DA"/>
    <w:rsid w:val="00E841D2"/>
    <w:rsid w:val="00E85225"/>
    <w:rsid w:val="00E85506"/>
    <w:rsid w:val="00E85F36"/>
    <w:rsid w:val="00E864FC"/>
    <w:rsid w:val="00E86924"/>
    <w:rsid w:val="00E86A02"/>
    <w:rsid w:val="00E86D3E"/>
    <w:rsid w:val="00E90991"/>
    <w:rsid w:val="00E91D3A"/>
    <w:rsid w:val="00E926B4"/>
    <w:rsid w:val="00E92708"/>
    <w:rsid w:val="00E93B47"/>
    <w:rsid w:val="00E93C52"/>
    <w:rsid w:val="00E93F09"/>
    <w:rsid w:val="00E946E9"/>
    <w:rsid w:val="00E95168"/>
    <w:rsid w:val="00E95441"/>
    <w:rsid w:val="00E961EB"/>
    <w:rsid w:val="00E96A95"/>
    <w:rsid w:val="00E97660"/>
    <w:rsid w:val="00EA0EF7"/>
    <w:rsid w:val="00EA153D"/>
    <w:rsid w:val="00EA2CA2"/>
    <w:rsid w:val="00EA3DAE"/>
    <w:rsid w:val="00EA4722"/>
    <w:rsid w:val="00EA5E69"/>
    <w:rsid w:val="00EA6CD0"/>
    <w:rsid w:val="00EB056E"/>
    <w:rsid w:val="00EB1691"/>
    <w:rsid w:val="00EB2C58"/>
    <w:rsid w:val="00EB3C50"/>
    <w:rsid w:val="00EB4EE1"/>
    <w:rsid w:val="00EB516F"/>
    <w:rsid w:val="00EB7325"/>
    <w:rsid w:val="00EB7BE1"/>
    <w:rsid w:val="00EC049C"/>
    <w:rsid w:val="00EC15A3"/>
    <w:rsid w:val="00EC24FB"/>
    <w:rsid w:val="00EC2524"/>
    <w:rsid w:val="00EC3569"/>
    <w:rsid w:val="00EC435F"/>
    <w:rsid w:val="00EC4E9E"/>
    <w:rsid w:val="00EC7763"/>
    <w:rsid w:val="00EC7915"/>
    <w:rsid w:val="00EC7DE4"/>
    <w:rsid w:val="00ED15FD"/>
    <w:rsid w:val="00ED2038"/>
    <w:rsid w:val="00ED2A88"/>
    <w:rsid w:val="00ED3573"/>
    <w:rsid w:val="00ED4283"/>
    <w:rsid w:val="00ED42AA"/>
    <w:rsid w:val="00ED6240"/>
    <w:rsid w:val="00ED721A"/>
    <w:rsid w:val="00EE4993"/>
    <w:rsid w:val="00EE6094"/>
    <w:rsid w:val="00EE6271"/>
    <w:rsid w:val="00EE6578"/>
    <w:rsid w:val="00EF297D"/>
    <w:rsid w:val="00EF3A14"/>
    <w:rsid w:val="00EF5328"/>
    <w:rsid w:val="00EF6571"/>
    <w:rsid w:val="00EF75D8"/>
    <w:rsid w:val="00EF77A6"/>
    <w:rsid w:val="00EF7C43"/>
    <w:rsid w:val="00F00746"/>
    <w:rsid w:val="00F00AF1"/>
    <w:rsid w:val="00F013A3"/>
    <w:rsid w:val="00F01C09"/>
    <w:rsid w:val="00F02436"/>
    <w:rsid w:val="00F034C7"/>
    <w:rsid w:val="00F035B9"/>
    <w:rsid w:val="00F03B6E"/>
    <w:rsid w:val="00F052AA"/>
    <w:rsid w:val="00F0553D"/>
    <w:rsid w:val="00F06DF6"/>
    <w:rsid w:val="00F06E25"/>
    <w:rsid w:val="00F0715B"/>
    <w:rsid w:val="00F101B0"/>
    <w:rsid w:val="00F103A7"/>
    <w:rsid w:val="00F12AAA"/>
    <w:rsid w:val="00F15597"/>
    <w:rsid w:val="00F15622"/>
    <w:rsid w:val="00F15DDF"/>
    <w:rsid w:val="00F163AB"/>
    <w:rsid w:val="00F163E3"/>
    <w:rsid w:val="00F16490"/>
    <w:rsid w:val="00F166CC"/>
    <w:rsid w:val="00F16F05"/>
    <w:rsid w:val="00F177A8"/>
    <w:rsid w:val="00F17EFC"/>
    <w:rsid w:val="00F20740"/>
    <w:rsid w:val="00F210E4"/>
    <w:rsid w:val="00F23419"/>
    <w:rsid w:val="00F241E3"/>
    <w:rsid w:val="00F24502"/>
    <w:rsid w:val="00F27772"/>
    <w:rsid w:val="00F30842"/>
    <w:rsid w:val="00F309FC"/>
    <w:rsid w:val="00F31796"/>
    <w:rsid w:val="00F31DDA"/>
    <w:rsid w:val="00F32526"/>
    <w:rsid w:val="00F33ECD"/>
    <w:rsid w:val="00F349F5"/>
    <w:rsid w:val="00F352E9"/>
    <w:rsid w:val="00F35F5F"/>
    <w:rsid w:val="00F362B2"/>
    <w:rsid w:val="00F36496"/>
    <w:rsid w:val="00F364B6"/>
    <w:rsid w:val="00F36AF1"/>
    <w:rsid w:val="00F41FA1"/>
    <w:rsid w:val="00F4203E"/>
    <w:rsid w:val="00F44238"/>
    <w:rsid w:val="00F46C23"/>
    <w:rsid w:val="00F47CD3"/>
    <w:rsid w:val="00F50D89"/>
    <w:rsid w:val="00F527BE"/>
    <w:rsid w:val="00F53086"/>
    <w:rsid w:val="00F53EE5"/>
    <w:rsid w:val="00F55677"/>
    <w:rsid w:val="00F55844"/>
    <w:rsid w:val="00F56DB6"/>
    <w:rsid w:val="00F5746F"/>
    <w:rsid w:val="00F57E78"/>
    <w:rsid w:val="00F6036D"/>
    <w:rsid w:val="00F607AA"/>
    <w:rsid w:val="00F60C8C"/>
    <w:rsid w:val="00F61547"/>
    <w:rsid w:val="00F62368"/>
    <w:rsid w:val="00F62708"/>
    <w:rsid w:val="00F66296"/>
    <w:rsid w:val="00F6756D"/>
    <w:rsid w:val="00F676ED"/>
    <w:rsid w:val="00F70733"/>
    <w:rsid w:val="00F711BE"/>
    <w:rsid w:val="00F72BD0"/>
    <w:rsid w:val="00F72CFB"/>
    <w:rsid w:val="00F73F3F"/>
    <w:rsid w:val="00F7703D"/>
    <w:rsid w:val="00F77D6E"/>
    <w:rsid w:val="00F8155E"/>
    <w:rsid w:val="00F83682"/>
    <w:rsid w:val="00F84DF6"/>
    <w:rsid w:val="00F86B5D"/>
    <w:rsid w:val="00F916D0"/>
    <w:rsid w:val="00F922B7"/>
    <w:rsid w:val="00F937C0"/>
    <w:rsid w:val="00F93F94"/>
    <w:rsid w:val="00F94124"/>
    <w:rsid w:val="00F94CA6"/>
    <w:rsid w:val="00F9590A"/>
    <w:rsid w:val="00F95E95"/>
    <w:rsid w:val="00F96CA0"/>
    <w:rsid w:val="00F97A78"/>
    <w:rsid w:val="00FA031F"/>
    <w:rsid w:val="00FA068A"/>
    <w:rsid w:val="00FA0BD4"/>
    <w:rsid w:val="00FA1B8A"/>
    <w:rsid w:val="00FA491C"/>
    <w:rsid w:val="00FA6039"/>
    <w:rsid w:val="00FA7574"/>
    <w:rsid w:val="00FA7F05"/>
    <w:rsid w:val="00FB3CD0"/>
    <w:rsid w:val="00FB49E5"/>
    <w:rsid w:val="00FB50DA"/>
    <w:rsid w:val="00FB525F"/>
    <w:rsid w:val="00FB559D"/>
    <w:rsid w:val="00FB658C"/>
    <w:rsid w:val="00FB66DD"/>
    <w:rsid w:val="00FB6EEF"/>
    <w:rsid w:val="00FB7CA1"/>
    <w:rsid w:val="00FC0C2E"/>
    <w:rsid w:val="00FC1218"/>
    <w:rsid w:val="00FC135F"/>
    <w:rsid w:val="00FC1380"/>
    <w:rsid w:val="00FC1508"/>
    <w:rsid w:val="00FC260B"/>
    <w:rsid w:val="00FC290F"/>
    <w:rsid w:val="00FC3456"/>
    <w:rsid w:val="00FC525F"/>
    <w:rsid w:val="00FC5387"/>
    <w:rsid w:val="00FC7816"/>
    <w:rsid w:val="00FC7BB4"/>
    <w:rsid w:val="00FC7F4C"/>
    <w:rsid w:val="00FD12CA"/>
    <w:rsid w:val="00FD1B16"/>
    <w:rsid w:val="00FD1E28"/>
    <w:rsid w:val="00FD2578"/>
    <w:rsid w:val="00FD307D"/>
    <w:rsid w:val="00FD5974"/>
    <w:rsid w:val="00FD597B"/>
    <w:rsid w:val="00FD79D6"/>
    <w:rsid w:val="00FE0673"/>
    <w:rsid w:val="00FE0FD7"/>
    <w:rsid w:val="00FE1165"/>
    <w:rsid w:val="00FE11C5"/>
    <w:rsid w:val="00FE3C1C"/>
    <w:rsid w:val="00FE3E6D"/>
    <w:rsid w:val="00FE439D"/>
    <w:rsid w:val="00FE449D"/>
    <w:rsid w:val="00FE45AD"/>
    <w:rsid w:val="00FF050E"/>
    <w:rsid w:val="00FF12CB"/>
    <w:rsid w:val="00FF15B8"/>
    <w:rsid w:val="00FF1E4B"/>
    <w:rsid w:val="00FF26D0"/>
    <w:rsid w:val="00FF3F67"/>
    <w:rsid w:val="00FF3FD4"/>
    <w:rsid w:val="00FF491A"/>
    <w:rsid w:val="00FF4B23"/>
    <w:rsid w:val="00FF5501"/>
    <w:rsid w:val="00FF5AC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6FF076"/>
  <w15:docId w15:val="{E9E523AC-C470-7F41-B1D8-A7F21FEB6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7"/>
    <w:lsdException w:name="Light Shading" w:uiPriority="60"/>
    <w:lsdException w:name="Light List" w:uiPriority="61"/>
    <w:lsdException w:name="Light Grid"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lsdException w:name="Quote" w:uiPriority="29"/>
    <w:lsdException w:name="Intense Quote"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5AC7"/>
    <w:rPr>
      <w:rFonts w:ascii="Times New Roman" w:hAnsi="Times New Roman" w:cs="Times New Roman"/>
      <w:kern w:val="20"/>
      <w:sz w:val="24"/>
      <w:szCs w:val="24"/>
      <w14:ligatures w14:val="standard"/>
    </w:rPr>
  </w:style>
  <w:style w:type="paragraph" w:styleId="Heading1">
    <w:name w:val="heading 1"/>
    <w:basedOn w:val="Normal"/>
    <w:next w:val="Normal"/>
    <w:link w:val="Heading1Char"/>
    <w:uiPriority w:val="1"/>
    <w:qFormat/>
    <w:rsid w:val="00E276B3"/>
    <w:pPr>
      <w:keepNext/>
      <w:keepLines/>
      <w:numPr>
        <w:numId w:val="12"/>
      </w:numPr>
      <w:spacing w:before="180" w:after="180"/>
      <w:outlineLvl w:val="0"/>
    </w:pPr>
    <w:rPr>
      <w:rFonts w:eastAsiaTheme="majorEastAsia" w:cstheme="majorBidi"/>
      <w:b/>
      <w:bCs/>
      <w:color w:val="008461"/>
      <w:sz w:val="30"/>
      <w:szCs w:val="28"/>
    </w:rPr>
  </w:style>
  <w:style w:type="paragraph" w:styleId="Heading2">
    <w:name w:val="heading 2"/>
    <w:basedOn w:val="Normal"/>
    <w:next w:val="Normal"/>
    <w:link w:val="Heading2Char"/>
    <w:uiPriority w:val="1"/>
    <w:unhideWhenUsed/>
    <w:qFormat/>
    <w:rsid w:val="00E276B3"/>
    <w:pPr>
      <w:keepNext/>
      <w:keepLines/>
      <w:numPr>
        <w:ilvl w:val="1"/>
        <w:numId w:val="12"/>
      </w:numPr>
      <w:spacing w:before="120" w:after="120"/>
      <w:ind w:left="567" w:hanging="567"/>
      <w:outlineLvl w:val="1"/>
    </w:pPr>
    <w:rPr>
      <w:rFonts w:eastAsiaTheme="majorEastAsia" w:cstheme="majorBidi"/>
      <w:b/>
      <w:bCs/>
      <w:color w:val="213368"/>
      <w:szCs w:val="26"/>
    </w:rPr>
  </w:style>
  <w:style w:type="paragraph" w:styleId="Heading3">
    <w:name w:val="heading 3"/>
    <w:basedOn w:val="Normal"/>
    <w:next w:val="Normal"/>
    <w:link w:val="Heading3Char"/>
    <w:uiPriority w:val="1"/>
    <w:unhideWhenUsed/>
    <w:qFormat/>
    <w:rsid w:val="00E276B3"/>
    <w:pPr>
      <w:keepNext/>
      <w:keepLines/>
      <w:numPr>
        <w:ilvl w:val="2"/>
        <w:numId w:val="12"/>
      </w:numPr>
      <w:spacing w:before="160" w:after="20"/>
      <w:outlineLvl w:val="2"/>
    </w:pPr>
    <w:rPr>
      <w:rFonts w:eastAsiaTheme="majorEastAsia" w:cstheme="majorBidi"/>
      <w:b/>
      <w:bCs/>
      <w:color w:val="000000"/>
    </w:rPr>
  </w:style>
  <w:style w:type="paragraph" w:styleId="Heading4">
    <w:name w:val="heading 4"/>
    <w:basedOn w:val="Normal"/>
    <w:next w:val="Normal"/>
    <w:link w:val="Heading4Char"/>
    <w:uiPriority w:val="9"/>
    <w:unhideWhenUsed/>
    <w:rsid w:val="00E276B3"/>
    <w:pPr>
      <w:keepNext/>
      <w:keepLines/>
      <w:numPr>
        <w:ilvl w:val="2"/>
        <w:numId w:val="30"/>
      </w:numPr>
      <w:spacing w:before="200"/>
      <w:outlineLvl w:val="3"/>
    </w:pPr>
    <w:rPr>
      <w:rFonts w:asciiTheme="majorHAnsi" w:eastAsiaTheme="majorEastAsia" w:hAnsiTheme="majorHAnsi" w:cstheme="majorBidi"/>
      <w:b/>
      <w:bCs/>
      <w:i/>
      <w:iCs/>
      <w:color w:val="1F3368" w:themeColor="accent1"/>
    </w:rPr>
  </w:style>
  <w:style w:type="paragraph" w:styleId="Heading5">
    <w:name w:val="heading 5"/>
    <w:basedOn w:val="Normal"/>
    <w:next w:val="Normal"/>
    <w:link w:val="Heading5Char"/>
    <w:uiPriority w:val="9"/>
    <w:semiHidden/>
    <w:unhideWhenUsed/>
    <w:rsid w:val="00E276B3"/>
    <w:pPr>
      <w:keepNext/>
      <w:keepLines/>
      <w:numPr>
        <w:ilvl w:val="4"/>
        <w:numId w:val="12"/>
      </w:numPr>
      <w:spacing w:before="200"/>
      <w:outlineLvl w:val="4"/>
    </w:pPr>
    <w:rPr>
      <w:rFonts w:asciiTheme="majorHAnsi" w:eastAsiaTheme="majorEastAsia" w:hAnsiTheme="majorHAnsi" w:cstheme="majorBidi"/>
      <w:color w:val="0F1933" w:themeColor="accent1" w:themeShade="7F"/>
    </w:rPr>
  </w:style>
  <w:style w:type="paragraph" w:styleId="Heading6">
    <w:name w:val="heading 6"/>
    <w:basedOn w:val="Normal"/>
    <w:next w:val="Normal"/>
    <w:link w:val="Heading6Char"/>
    <w:uiPriority w:val="9"/>
    <w:semiHidden/>
    <w:unhideWhenUsed/>
    <w:rsid w:val="00E276B3"/>
    <w:pPr>
      <w:keepNext/>
      <w:keepLines/>
      <w:numPr>
        <w:ilvl w:val="5"/>
        <w:numId w:val="12"/>
      </w:numPr>
      <w:spacing w:before="200"/>
      <w:outlineLvl w:val="5"/>
    </w:pPr>
    <w:rPr>
      <w:rFonts w:asciiTheme="majorHAnsi" w:eastAsiaTheme="majorEastAsia" w:hAnsiTheme="majorHAnsi" w:cstheme="majorBidi"/>
      <w:i/>
      <w:iCs/>
      <w:color w:val="0F1933" w:themeColor="accent1" w:themeShade="7F"/>
    </w:rPr>
  </w:style>
  <w:style w:type="paragraph" w:styleId="Heading7">
    <w:name w:val="heading 7"/>
    <w:basedOn w:val="Normal"/>
    <w:next w:val="Normal"/>
    <w:link w:val="Heading7Char"/>
    <w:uiPriority w:val="9"/>
    <w:semiHidden/>
    <w:unhideWhenUsed/>
    <w:rsid w:val="00E276B3"/>
    <w:pPr>
      <w:keepNext/>
      <w:keepLines/>
      <w:numPr>
        <w:ilvl w:val="6"/>
        <w:numId w:val="1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rsid w:val="00E276B3"/>
    <w:pPr>
      <w:keepNext/>
      <w:keepLines/>
      <w:numPr>
        <w:ilvl w:val="7"/>
        <w:numId w:val="1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rsid w:val="00E276B3"/>
    <w:pPr>
      <w:keepNext/>
      <w:keepLines/>
      <w:numPr>
        <w:ilvl w:val="8"/>
        <w:numId w:val="1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rsid w:val="00905AC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05AC7"/>
  </w:style>
  <w:style w:type="character" w:customStyle="1" w:styleId="CharBlue">
    <w:name w:val="CharBlue"/>
    <w:basedOn w:val="DefaultParagraphFont"/>
    <w:uiPriority w:val="3"/>
    <w:qFormat/>
    <w:rsid w:val="00E276B3"/>
    <w:rPr>
      <w:color w:val="0000FF"/>
    </w:rPr>
  </w:style>
  <w:style w:type="character" w:customStyle="1" w:styleId="CharRed">
    <w:name w:val="CharRed"/>
    <w:basedOn w:val="DefaultParagraphFont"/>
    <w:uiPriority w:val="3"/>
    <w:qFormat/>
    <w:rsid w:val="00302B62"/>
    <w:rPr>
      <w:color w:val="FF0000"/>
    </w:rPr>
  </w:style>
  <w:style w:type="paragraph" w:customStyle="1" w:styleId="Box">
    <w:name w:val="Box"/>
    <w:basedOn w:val="Normal"/>
    <w:link w:val="BoxChar"/>
    <w:uiPriority w:val="4"/>
    <w:qFormat/>
    <w:rsid w:val="00E276B3"/>
    <w:pPr>
      <w:pBdr>
        <w:top w:val="single" w:sz="4" w:space="1" w:color="3C1A56"/>
        <w:left w:val="single" w:sz="4" w:space="4" w:color="3C1A56"/>
        <w:bottom w:val="single" w:sz="4" w:space="1" w:color="3C1A56"/>
        <w:right w:val="single" w:sz="4" w:space="4" w:color="3C1A56"/>
      </w:pBdr>
    </w:pPr>
  </w:style>
  <w:style w:type="character" w:customStyle="1" w:styleId="BoxChar">
    <w:name w:val="Box Char"/>
    <w:basedOn w:val="DefaultParagraphFont"/>
    <w:link w:val="Box"/>
    <w:uiPriority w:val="4"/>
    <w:rsid w:val="00E276B3"/>
    <w:rPr>
      <w:rFonts w:ascii="Calibri" w:hAnsi="Calibri"/>
    </w:rPr>
  </w:style>
  <w:style w:type="paragraph" w:customStyle="1" w:styleId="Introduction">
    <w:name w:val="Introduction"/>
    <w:basedOn w:val="Normal"/>
    <w:next w:val="Normal"/>
    <w:link w:val="IntroductionChar"/>
    <w:uiPriority w:val="3"/>
    <w:rsid w:val="00E276B3"/>
    <w:rPr>
      <w:b/>
      <w:sz w:val="20"/>
    </w:rPr>
  </w:style>
  <w:style w:type="character" w:customStyle="1" w:styleId="IntroductionChar">
    <w:name w:val="Introduction Char"/>
    <w:basedOn w:val="DefaultParagraphFont"/>
    <w:link w:val="Introduction"/>
    <w:uiPriority w:val="3"/>
    <w:rsid w:val="00E276B3"/>
    <w:rPr>
      <w:b/>
      <w:sz w:val="20"/>
    </w:rPr>
  </w:style>
  <w:style w:type="paragraph" w:customStyle="1" w:styleId="Yellow">
    <w:name w:val="Yellow"/>
    <w:basedOn w:val="Normal"/>
    <w:link w:val="YellowChar"/>
    <w:uiPriority w:val="3"/>
    <w:qFormat/>
    <w:rsid w:val="00E276B3"/>
    <w:pPr>
      <w:shd w:val="clear" w:color="auto" w:fill="FFFF00"/>
    </w:pPr>
  </w:style>
  <w:style w:type="character" w:customStyle="1" w:styleId="QuoteChar">
    <w:name w:val="Quote Char"/>
    <w:basedOn w:val="DefaultParagraphFont"/>
    <w:uiPriority w:val="29"/>
    <w:rsid w:val="00E276B3"/>
    <w:rPr>
      <w:i/>
      <w:iCs/>
      <w:color w:val="000000" w:themeColor="text1"/>
    </w:rPr>
  </w:style>
  <w:style w:type="character" w:customStyle="1" w:styleId="YellowChar">
    <w:name w:val="Yellow Char"/>
    <w:basedOn w:val="DefaultParagraphFont"/>
    <w:link w:val="Yellow"/>
    <w:uiPriority w:val="3"/>
    <w:rsid w:val="00E276B3"/>
    <w:rPr>
      <w:rFonts w:ascii="Calibri" w:hAnsi="Calibri"/>
      <w:shd w:val="clear" w:color="auto" w:fill="FFFF00"/>
    </w:rPr>
  </w:style>
  <w:style w:type="paragraph" w:customStyle="1" w:styleId="Green">
    <w:name w:val="Green"/>
    <w:basedOn w:val="Normal"/>
    <w:link w:val="GreenChar"/>
    <w:uiPriority w:val="3"/>
    <w:qFormat/>
    <w:rsid w:val="00E276B3"/>
    <w:rPr>
      <w:color w:val="008000"/>
    </w:rPr>
  </w:style>
  <w:style w:type="character" w:customStyle="1" w:styleId="GreenChar">
    <w:name w:val="Green Char"/>
    <w:basedOn w:val="DefaultParagraphFont"/>
    <w:link w:val="Green"/>
    <w:uiPriority w:val="3"/>
    <w:rsid w:val="00E276B3"/>
    <w:rPr>
      <w:rFonts w:ascii="Calibri" w:hAnsi="Calibri"/>
      <w:color w:val="008000"/>
    </w:rPr>
  </w:style>
  <w:style w:type="paragraph" w:styleId="ListParagraph">
    <w:name w:val="List Paragraph"/>
    <w:basedOn w:val="Normal"/>
    <w:link w:val="ListParagraphChar"/>
    <w:uiPriority w:val="34"/>
    <w:rsid w:val="00E276B3"/>
    <w:pPr>
      <w:spacing w:after="120"/>
      <w:ind w:left="720" w:hanging="567"/>
    </w:pPr>
  </w:style>
  <w:style w:type="character" w:customStyle="1" w:styleId="ListParagraphChar">
    <w:name w:val="List Paragraph Char"/>
    <w:basedOn w:val="DefaultParagraphFont"/>
    <w:link w:val="ListParagraph"/>
    <w:uiPriority w:val="34"/>
    <w:rsid w:val="00E276B3"/>
    <w:rPr>
      <w:rFonts w:ascii="Calibri" w:hAnsi="Calibri"/>
    </w:rPr>
  </w:style>
  <w:style w:type="paragraph" w:styleId="PlainText">
    <w:name w:val="Plain Text"/>
    <w:basedOn w:val="Normal"/>
    <w:link w:val="PlainTextChar"/>
    <w:uiPriority w:val="99"/>
    <w:semiHidden/>
    <w:unhideWhenUsed/>
    <w:rsid w:val="00E276B3"/>
    <w:rPr>
      <w:rFonts w:ascii="Consolas" w:hAnsi="Consolas" w:cs="Consolas"/>
      <w:szCs w:val="21"/>
    </w:rPr>
  </w:style>
  <w:style w:type="character" w:customStyle="1" w:styleId="PlainTextChar">
    <w:name w:val="Plain Text Char"/>
    <w:basedOn w:val="DefaultParagraphFont"/>
    <w:link w:val="PlainText"/>
    <w:uiPriority w:val="99"/>
    <w:semiHidden/>
    <w:rsid w:val="00E276B3"/>
    <w:rPr>
      <w:rFonts w:ascii="Consolas" w:hAnsi="Consolas" w:cs="Consolas"/>
      <w:szCs w:val="21"/>
    </w:rPr>
  </w:style>
  <w:style w:type="paragraph" w:styleId="BodyText">
    <w:name w:val="Body Text"/>
    <w:basedOn w:val="Normal"/>
    <w:link w:val="BodyTextChar"/>
    <w:uiPriority w:val="99"/>
    <w:semiHidden/>
    <w:unhideWhenUsed/>
    <w:rsid w:val="00E276B3"/>
    <w:pPr>
      <w:spacing w:after="120"/>
    </w:pPr>
  </w:style>
  <w:style w:type="character" w:customStyle="1" w:styleId="BodyTextChar">
    <w:name w:val="Body Text Char"/>
    <w:basedOn w:val="DefaultParagraphFont"/>
    <w:link w:val="BodyText"/>
    <w:uiPriority w:val="99"/>
    <w:semiHidden/>
    <w:rsid w:val="00E276B3"/>
    <w:rPr>
      <w:rFonts w:ascii="Calibri" w:hAnsi="Calibri"/>
    </w:rPr>
  </w:style>
  <w:style w:type="character" w:styleId="FollowedHyperlink">
    <w:name w:val="FollowedHyperlink"/>
    <w:basedOn w:val="DefaultParagraphFont"/>
    <w:uiPriority w:val="99"/>
    <w:semiHidden/>
    <w:unhideWhenUsed/>
    <w:rsid w:val="00E276B3"/>
    <w:rPr>
      <w:color w:val="800080"/>
      <w:u w:val="dotted"/>
    </w:rPr>
  </w:style>
  <w:style w:type="character" w:styleId="Hyperlink">
    <w:name w:val="Hyperlink"/>
    <w:basedOn w:val="DefaultParagraphFont"/>
    <w:uiPriority w:val="99"/>
    <w:unhideWhenUsed/>
    <w:rsid w:val="00E276B3"/>
    <w:rPr>
      <w:color w:val="0000FF"/>
      <w:u w:val="none"/>
    </w:rPr>
  </w:style>
  <w:style w:type="paragraph" w:styleId="Quote">
    <w:name w:val="Quote"/>
    <w:basedOn w:val="Normal"/>
    <w:link w:val="QuoteChar1"/>
    <w:uiPriority w:val="29"/>
    <w:rsid w:val="00E276B3"/>
    <w:pPr>
      <w:ind w:left="357" w:right="357"/>
    </w:pPr>
    <w:rPr>
      <w:i/>
      <w:iCs/>
    </w:rPr>
  </w:style>
  <w:style w:type="character" w:customStyle="1" w:styleId="QuoteChar1">
    <w:name w:val="Quote Char1"/>
    <w:basedOn w:val="DefaultParagraphFont"/>
    <w:link w:val="Quote"/>
    <w:uiPriority w:val="29"/>
    <w:rsid w:val="00E276B3"/>
    <w:rPr>
      <w:rFonts w:ascii="Calibri" w:hAnsi="Calibri"/>
      <w:i/>
      <w:iCs/>
    </w:rPr>
  </w:style>
  <w:style w:type="character" w:customStyle="1" w:styleId="Heading1Char">
    <w:name w:val="Heading 1 Char"/>
    <w:basedOn w:val="DefaultParagraphFont"/>
    <w:link w:val="Heading1"/>
    <w:uiPriority w:val="1"/>
    <w:rsid w:val="00E276B3"/>
    <w:rPr>
      <w:rFonts w:ascii="Calibri" w:eastAsiaTheme="majorEastAsia" w:hAnsi="Calibri" w:cstheme="majorBidi"/>
      <w:b/>
      <w:bCs/>
      <w:color w:val="008461"/>
      <w:sz w:val="30"/>
      <w:szCs w:val="28"/>
    </w:rPr>
  </w:style>
  <w:style w:type="character" w:customStyle="1" w:styleId="Heading2Char">
    <w:name w:val="Heading 2 Char"/>
    <w:basedOn w:val="DefaultParagraphFont"/>
    <w:link w:val="Heading2"/>
    <w:uiPriority w:val="1"/>
    <w:rsid w:val="00E276B3"/>
    <w:rPr>
      <w:rFonts w:ascii="Calibri" w:eastAsiaTheme="majorEastAsia" w:hAnsi="Calibri" w:cstheme="majorBidi"/>
      <w:b/>
      <w:bCs/>
      <w:color w:val="213368"/>
      <w:sz w:val="24"/>
      <w:szCs w:val="26"/>
    </w:rPr>
  </w:style>
  <w:style w:type="character" w:customStyle="1" w:styleId="Heading3Char">
    <w:name w:val="Heading 3 Char"/>
    <w:basedOn w:val="DefaultParagraphFont"/>
    <w:link w:val="Heading3"/>
    <w:uiPriority w:val="1"/>
    <w:rsid w:val="00E276B3"/>
    <w:rPr>
      <w:rFonts w:ascii="Calibri" w:eastAsiaTheme="majorEastAsia" w:hAnsi="Calibri" w:cstheme="majorBidi"/>
      <w:b/>
      <w:bCs/>
      <w:color w:val="000000"/>
    </w:rPr>
  </w:style>
  <w:style w:type="paragraph" w:styleId="Title">
    <w:name w:val="Title"/>
    <w:basedOn w:val="Normal"/>
    <w:next w:val="Introduction"/>
    <w:link w:val="TitleChar"/>
    <w:qFormat/>
    <w:rsid w:val="00E276B3"/>
    <w:pPr>
      <w:keepNext/>
      <w:keepLines/>
      <w:spacing w:after="360"/>
      <w:contextualSpacing/>
      <w:jc w:val="center"/>
    </w:pPr>
    <w:rPr>
      <w:rFonts w:eastAsiaTheme="majorEastAsia" w:cstheme="majorBidi"/>
      <w:b/>
      <w:color w:val="000000"/>
      <w:spacing w:val="5"/>
      <w:kern w:val="28"/>
      <w:sz w:val="36"/>
      <w:szCs w:val="52"/>
    </w:rPr>
  </w:style>
  <w:style w:type="character" w:customStyle="1" w:styleId="TitleChar">
    <w:name w:val="Title Char"/>
    <w:basedOn w:val="DefaultParagraphFont"/>
    <w:link w:val="Title"/>
    <w:rsid w:val="00E276B3"/>
    <w:rPr>
      <w:rFonts w:ascii="Calibri" w:eastAsiaTheme="majorEastAsia" w:hAnsi="Calibri" w:cstheme="majorBidi"/>
      <w:b/>
      <w:color w:val="000000"/>
      <w:spacing w:val="5"/>
      <w:kern w:val="28"/>
      <w:sz w:val="36"/>
      <w:szCs w:val="52"/>
    </w:rPr>
  </w:style>
  <w:style w:type="paragraph" w:styleId="BalloonText">
    <w:name w:val="Balloon Text"/>
    <w:basedOn w:val="Normal"/>
    <w:link w:val="BalloonTextChar"/>
    <w:uiPriority w:val="99"/>
    <w:semiHidden/>
    <w:unhideWhenUsed/>
    <w:rsid w:val="00E276B3"/>
    <w:rPr>
      <w:rFonts w:ascii="Tahoma" w:hAnsi="Tahoma" w:cs="Tahoma"/>
      <w:sz w:val="16"/>
      <w:szCs w:val="16"/>
    </w:rPr>
  </w:style>
  <w:style w:type="character" w:customStyle="1" w:styleId="BalloonTextChar">
    <w:name w:val="Balloon Text Char"/>
    <w:basedOn w:val="DefaultParagraphFont"/>
    <w:link w:val="BalloonText"/>
    <w:uiPriority w:val="99"/>
    <w:semiHidden/>
    <w:rsid w:val="00E276B3"/>
    <w:rPr>
      <w:rFonts w:ascii="Tahoma" w:hAnsi="Tahoma" w:cs="Tahoma"/>
      <w:sz w:val="16"/>
      <w:szCs w:val="16"/>
    </w:rPr>
  </w:style>
  <w:style w:type="paragraph" w:styleId="Bibliography">
    <w:name w:val="Bibliography"/>
    <w:basedOn w:val="Normal"/>
    <w:next w:val="Normal"/>
    <w:uiPriority w:val="37"/>
    <w:unhideWhenUsed/>
    <w:rsid w:val="00E276B3"/>
    <w:pPr>
      <w:tabs>
        <w:tab w:val="left" w:pos="500"/>
      </w:tabs>
      <w:spacing w:after="240"/>
      <w:ind w:left="504" w:hanging="504"/>
    </w:pPr>
  </w:style>
  <w:style w:type="paragraph" w:styleId="BlockText">
    <w:name w:val="Block Text"/>
    <w:basedOn w:val="Normal"/>
    <w:uiPriority w:val="99"/>
    <w:semiHidden/>
    <w:unhideWhenUsed/>
    <w:rsid w:val="00E276B3"/>
    <w:pPr>
      <w:pBdr>
        <w:top w:val="single" w:sz="2" w:space="10" w:color="1F3368" w:themeColor="accent1" w:frame="1"/>
        <w:left w:val="single" w:sz="2" w:space="10" w:color="1F3368" w:themeColor="accent1" w:frame="1"/>
        <w:bottom w:val="single" w:sz="2" w:space="10" w:color="1F3368" w:themeColor="accent1" w:frame="1"/>
        <w:right w:val="single" w:sz="2" w:space="10" w:color="1F3368" w:themeColor="accent1" w:frame="1"/>
      </w:pBdr>
      <w:ind w:left="1152" w:right="1152"/>
    </w:pPr>
    <w:rPr>
      <w:i/>
      <w:iCs/>
      <w:color w:val="1F3368" w:themeColor="accent1"/>
    </w:rPr>
  </w:style>
  <w:style w:type="paragraph" w:styleId="BodyText2">
    <w:name w:val="Body Text 2"/>
    <w:basedOn w:val="Normal"/>
    <w:link w:val="BodyText2Char"/>
    <w:uiPriority w:val="99"/>
    <w:semiHidden/>
    <w:unhideWhenUsed/>
    <w:rsid w:val="00E276B3"/>
    <w:pPr>
      <w:spacing w:after="120" w:line="480" w:lineRule="auto"/>
    </w:pPr>
  </w:style>
  <w:style w:type="character" w:customStyle="1" w:styleId="BodyText2Char">
    <w:name w:val="Body Text 2 Char"/>
    <w:basedOn w:val="DefaultParagraphFont"/>
    <w:link w:val="BodyText2"/>
    <w:uiPriority w:val="99"/>
    <w:semiHidden/>
    <w:rsid w:val="00E276B3"/>
    <w:rPr>
      <w:rFonts w:ascii="Calibri" w:hAnsi="Calibri"/>
    </w:rPr>
  </w:style>
  <w:style w:type="paragraph" w:styleId="BodyText3">
    <w:name w:val="Body Text 3"/>
    <w:basedOn w:val="Normal"/>
    <w:link w:val="BodyText3Char"/>
    <w:uiPriority w:val="99"/>
    <w:semiHidden/>
    <w:unhideWhenUsed/>
    <w:rsid w:val="00E276B3"/>
    <w:pPr>
      <w:spacing w:after="120"/>
    </w:pPr>
    <w:rPr>
      <w:sz w:val="16"/>
      <w:szCs w:val="16"/>
    </w:rPr>
  </w:style>
  <w:style w:type="character" w:customStyle="1" w:styleId="BodyText3Char">
    <w:name w:val="Body Text 3 Char"/>
    <w:basedOn w:val="DefaultParagraphFont"/>
    <w:link w:val="BodyText3"/>
    <w:uiPriority w:val="99"/>
    <w:semiHidden/>
    <w:rsid w:val="00E276B3"/>
    <w:rPr>
      <w:rFonts w:ascii="Calibri" w:hAnsi="Calibri"/>
      <w:sz w:val="16"/>
      <w:szCs w:val="16"/>
    </w:rPr>
  </w:style>
  <w:style w:type="paragraph" w:styleId="BodyTextFirstIndent">
    <w:name w:val="Body Text First Indent"/>
    <w:basedOn w:val="BodyText"/>
    <w:link w:val="BodyTextFirstIndentChar"/>
    <w:uiPriority w:val="99"/>
    <w:semiHidden/>
    <w:unhideWhenUsed/>
    <w:rsid w:val="00E276B3"/>
    <w:pPr>
      <w:spacing w:after="0"/>
      <w:ind w:firstLine="360"/>
    </w:pPr>
  </w:style>
  <w:style w:type="character" w:customStyle="1" w:styleId="BodyTextFirstIndentChar">
    <w:name w:val="Body Text First Indent Char"/>
    <w:basedOn w:val="BodyTextChar1"/>
    <w:link w:val="BodyTextFirstIndent"/>
    <w:uiPriority w:val="99"/>
    <w:semiHidden/>
    <w:rsid w:val="00E276B3"/>
    <w:rPr>
      <w:rFonts w:ascii="Calibri" w:hAnsi="Calibri"/>
    </w:rPr>
  </w:style>
  <w:style w:type="paragraph" w:styleId="BodyTextIndent">
    <w:name w:val="Body Text Indent"/>
    <w:basedOn w:val="Normal"/>
    <w:link w:val="BodyTextIndentChar"/>
    <w:uiPriority w:val="99"/>
    <w:semiHidden/>
    <w:unhideWhenUsed/>
    <w:rsid w:val="00E276B3"/>
    <w:pPr>
      <w:spacing w:after="120"/>
      <w:ind w:left="283"/>
    </w:pPr>
  </w:style>
  <w:style w:type="character" w:customStyle="1" w:styleId="BodyTextIndentChar">
    <w:name w:val="Body Text Indent Char"/>
    <w:basedOn w:val="DefaultParagraphFont"/>
    <w:link w:val="BodyTextIndent"/>
    <w:uiPriority w:val="99"/>
    <w:semiHidden/>
    <w:rsid w:val="00E276B3"/>
    <w:rPr>
      <w:rFonts w:ascii="Calibri" w:hAnsi="Calibri"/>
    </w:rPr>
  </w:style>
  <w:style w:type="paragraph" w:styleId="BodyTextFirstIndent2">
    <w:name w:val="Body Text First Indent 2"/>
    <w:basedOn w:val="BodyTextIndent"/>
    <w:link w:val="BodyTextFirstIndent2Char"/>
    <w:uiPriority w:val="99"/>
    <w:semiHidden/>
    <w:unhideWhenUsed/>
    <w:rsid w:val="00E276B3"/>
    <w:pPr>
      <w:spacing w:after="0"/>
      <w:ind w:left="360" w:firstLine="360"/>
    </w:pPr>
  </w:style>
  <w:style w:type="character" w:customStyle="1" w:styleId="BodyTextFirstIndent2Char">
    <w:name w:val="Body Text First Indent 2 Char"/>
    <w:basedOn w:val="BodyTextIndentChar"/>
    <w:link w:val="BodyTextFirstIndent2"/>
    <w:uiPriority w:val="99"/>
    <w:semiHidden/>
    <w:rsid w:val="00E276B3"/>
    <w:rPr>
      <w:rFonts w:ascii="Calibri" w:hAnsi="Calibri"/>
    </w:rPr>
  </w:style>
  <w:style w:type="paragraph" w:styleId="BodyTextIndent2">
    <w:name w:val="Body Text Indent 2"/>
    <w:basedOn w:val="Normal"/>
    <w:link w:val="BodyTextIndent2Char"/>
    <w:uiPriority w:val="99"/>
    <w:semiHidden/>
    <w:unhideWhenUsed/>
    <w:rsid w:val="00E276B3"/>
    <w:pPr>
      <w:spacing w:after="120" w:line="480" w:lineRule="auto"/>
      <w:ind w:left="283"/>
    </w:pPr>
  </w:style>
  <w:style w:type="character" w:customStyle="1" w:styleId="BodyTextIndent2Char">
    <w:name w:val="Body Text Indent 2 Char"/>
    <w:basedOn w:val="DefaultParagraphFont"/>
    <w:link w:val="BodyTextIndent2"/>
    <w:uiPriority w:val="99"/>
    <w:semiHidden/>
    <w:rsid w:val="00E276B3"/>
    <w:rPr>
      <w:rFonts w:ascii="Calibri" w:hAnsi="Calibri"/>
    </w:rPr>
  </w:style>
  <w:style w:type="paragraph" w:styleId="BodyTextIndent3">
    <w:name w:val="Body Text Indent 3"/>
    <w:basedOn w:val="Normal"/>
    <w:link w:val="BodyTextIndent3Char"/>
    <w:uiPriority w:val="99"/>
    <w:semiHidden/>
    <w:unhideWhenUsed/>
    <w:rsid w:val="00E276B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E276B3"/>
    <w:rPr>
      <w:rFonts w:ascii="Calibri" w:hAnsi="Calibri"/>
      <w:sz w:val="16"/>
      <w:szCs w:val="16"/>
    </w:rPr>
  </w:style>
  <w:style w:type="character" w:styleId="BookTitle">
    <w:name w:val="Book Title"/>
    <w:basedOn w:val="DefaultParagraphFont"/>
    <w:uiPriority w:val="33"/>
    <w:rsid w:val="00E276B3"/>
    <w:rPr>
      <w:b/>
      <w:bCs/>
      <w:smallCaps/>
      <w:spacing w:val="5"/>
    </w:rPr>
  </w:style>
  <w:style w:type="paragraph" w:styleId="Caption">
    <w:name w:val="caption"/>
    <w:basedOn w:val="Normal"/>
    <w:next w:val="Normal"/>
    <w:uiPriority w:val="35"/>
    <w:semiHidden/>
    <w:unhideWhenUsed/>
    <w:rsid w:val="00E276B3"/>
    <w:pPr>
      <w:spacing w:after="200"/>
    </w:pPr>
    <w:rPr>
      <w:b/>
      <w:bCs/>
      <w:color w:val="1F3368" w:themeColor="accent1"/>
      <w:sz w:val="18"/>
      <w:szCs w:val="18"/>
    </w:rPr>
  </w:style>
  <w:style w:type="paragraph" w:styleId="Closing">
    <w:name w:val="Closing"/>
    <w:basedOn w:val="Normal"/>
    <w:link w:val="ClosingChar"/>
    <w:uiPriority w:val="99"/>
    <w:semiHidden/>
    <w:unhideWhenUsed/>
    <w:rsid w:val="00E276B3"/>
    <w:pPr>
      <w:ind w:left="4252"/>
    </w:pPr>
  </w:style>
  <w:style w:type="character" w:customStyle="1" w:styleId="ClosingChar">
    <w:name w:val="Closing Char"/>
    <w:basedOn w:val="DefaultParagraphFont"/>
    <w:link w:val="Closing"/>
    <w:uiPriority w:val="99"/>
    <w:semiHidden/>
    <w:rsid w:val="00E276B3"/>
    <w:rPr>
      <w:rFonts w:ascii="Calibri" w:hAnsi="Calibri"/>
    </w:rPr>
  </w:style>
  <w:style w:type="character" w:styleId="CommentReference">
    <w:name w:val="annotation reference"/>
    <w:basedOn w:val="DefaultParagraphFont"/>
    <w:uiPriority w:val="99"/>
    <w:semiHidden/>
    <w:unhideWhenUsed/>
    <w:rsid w:val="00E276B3"/>
    <w:rPr>
      <w:sz w:val="16"/>
      <w:szCs w:val="16"/>
    </w:rPr>
  </w:style>
  <w:style w:type="paragraph" w:styleId="CommentText">
    <w:name w:val="annotation text"/>
    <w:basedOn w:val="Normal"/>
    <w:link w:val="CommentTextChar"/>
    <w:uiPriority w:val="99"/>
    <w:semiHidden/>
    <w:unhideWhenUsed/>
    <w:rsid w:val="00E276B3"/>
    <w:rPr>
      <w:sz w:val="20"/>
      <w:szCs w:val="20"/>
    </w:rPr>
  </w:style>
  <w:style w:type="character" w:customStyle="1" w:styleId="CommentTextChar">
    <w:name w:val="Comment Text Char"/>
    <w:basedOn w:val="DefaultParagraphFont"/>
    <w:link w:val="CommentText"/>
    <w:uiPriority w:val="99"/>
    <w:semiHidden/>
    <w:rsid w:val="00E276B3"/>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E276B3"/>
    <w:rPr>
      <w:b/>
      <w:bCs/>
    </w:rPr>
  </w:style>
  <w:style w:type="character" w:customStyle="1" w:styleId="CommentSubjectChar">
    <w:name w:val="Comment Subject Char"/>
    <w:basedOn w:val="CommentTextChar"/>
    <w:link w:val="CommentSubject"/>
    <w:uiPriority w:val="99"/>
    <w:semiHidden/>
    <w:rsid w:val="00E276B3"/>
    <w:rPr>
      <w:rFonts w:ascii="Calibri" w:hAnsi="Calibri"/>
      <w:b/>
      <w:bCs/>
      <w:sz w:val="20"/>
      <w:szCs w:val="20"/>
    </w:rPr>
  </w:style>
  <w:style w:type="paragraph" w:styleId="Date">
    <w:name w:val="Date"/>
    <w:basedOn w:val="Normal"/>
    <w:next w:val="Normal"/>
    <w:link w:val="DateChar"/>
    <w:uiPriority w:val="99"/>
    <w:semiHidden/>
    <w:unhideWhenUsed/>
    <w:rsid w:val="00E276B3"/>
  </w:style>
  <w:style w:type="character" w:customStyle="1" w:styleId="DateChar">
    <w:name w:val="Date Char"/>
    <w:basedOn w:val="DefaultParagraphFont"/>
    <w:link w:val="Date"/>
    <w:uiPriority w:val="99"/>
    <w:semiHidden/>
    <w:rsid w:val="00E276B3"/>
    <w:rPr>
      <w:rFonts w:ascii="Calibri" w:hAnsi="Calibri"/>
    </w:rPr>
  </w:style>
  <w:style w:type="paragraph" w:styleId="DocumentMap">
    <w:name w:val="Document Map"/>
    <w:basedOn w:val="Normal"/>
    <w:link w:val="DocumentMapChar"/>
    <w:uiPriority w:val="99"/>
    <w:semiHidden/>
    <w:unhideWhenUsed/>
    <w:rsid w:val="00E276B3"/>
    <w:rPr>
      <w:rFonts w:ascii="Tahoma" w:hAnsi="Tahoma" w:cs="Tahoma"/>
      <w:sz w:val="16"/>
      <w:szCs w:val="16"/>
    </w:rPr>
  </w:style>
  <w:style w:type="character" w:customStyle="1" w:styleId="DocumentMapChar">
    <w:name w:val="Document Map Char"/>
    <w:basedOn w:val="DefaultParagraphFont"/>
    <w:link w:val="DocumentMap"/>
    <w:uiPriority w:val="99"/>
    <w:semiHidden/>
    <w:rsid w:val="00E276B3"/>
    <w:rPr>
      <w:rFonts w:ascii="Tahoma" w:hAnsi="Tahoma" w:cs="Tahoma"/>
      <w:sz w:val="16"/>
      <w:szCs w:val="16"/>
    </w:rPr>
  </w:style>
  <w:style w:type="paragraph" w:styleId="EmailSignature">
    <w:name w:val="E-mail Signature"/>
    <w:basedOn w:val="Normal"/>
    <w:link w:val="EmailSignatureChar"/>
    <w:uiPriority w:val="99"/>
    <w:semiHidden/>
    <w:unhideWhenUsed/>
    <w:rsid w:val="00E276B3"/>
  </w:style>
  <w:style w:type="character" w:customStyle="1" w:styleId="EmailSignatureChar">
    <w:name w:val="Email Signature Char"/>
    <w:basedOn w:val="DefaultParagraphFont"/>
    <w:link w:val="EmailSignature"/>
    <w:uiPriority w:val="99"/>
    <w:semiHidden/>
    <w:rsid w:val="00E276B3"/>
    <w:rPr>
      <w:rFonts w:ascii="Calibri" w:hAnsi="Calibri"/>
    </w:rPr>
  </w:style>
  <w:style w:type="character" w:styleId="Emphasis">
    <w:name w:val="Emphasis"/>
    <w:basedOn w:val="DefaultParagraphFont"/>
    <w:uiPriority w:val="20"/>
    <w:rsid w:val="00E276B3"/>
    <w:rPr>
      <w:i/>
      <w:iCs/>
    </w:rPr>
  </w:style>
  <w:style w:type="character" w:styleId="EndnoteReference">
    <w:name w:val="endnote reference"/>
    <w:basedOn w:val="DefaultParagraphFont"/>
    <w:uiPriority w:val="99"/>
    <w:semiHidden/>
    <w:unhideWhenUsed/>
    <w:rsid w:val="00E276B3"/>
    <w:rPr>
      <w:vertAlign w:val="superscript"/>
    </w:rPr>
  </w:style>
  <w:style w:type="paragraph" w:styleId="EndnoteText">
    <w:name w:val="endnote text"/>
    <w:basedOn w:val="Normal"/>
    <w:link w:val="EndnoteTextChar"/>
    <w:uiPriority w:val="99"/>
    <w:semiHidden/>
    <w:unhideWhenUsed/>
    <w:rsid w:val="00E276B3"/>
    <w:rPr>
      <w:sz w:val="20"/>
      <w:szCs w:val="20"/>
    </w:rPr>
  </w:style>
  <w:style w:type="character" w:customStyle="1" w:styleId="EndnoteTextChar">
    <w:name w:val="Endnote Text Char"/>
    <w:basedOn w:val="DefaultParagraphFont"/>
    <w:link w:val="EndnoteText"/>
    <w:uiPriority w:val="99"/>
    <w:semiHidden/>
    <w:rsid w:val="00E276B3"/>
    <w:rPr>
      <w:rFonts w:ascii="Calibri" w:hAnsi="Calibri"/>
      <w:sz w:val="20"/>
      <w:szCs w:val="20"/>
    </w:rPr>
  </w:style>
  <w:style w:type="paragraph" w:styleId="EnvelopeAddress">
    <w:name w:val="envelope address"/>
    <w:basedOn w:val="Normal"/>
    <w:uiPriority w:val="99"/>
    <w:semiHidden/>
    <w:unhideWhenUsed/>
    <w:rsid w:val="00E276B3"/>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E276B3"/>
    <w:rPr>
      <w:rFonts w:asciiTheme="majorHAnsi" w:eastAsiaTheme="majorEastAsia" w:hAnsiTheme="majorHAnsi" w:cstheme="majorBidi"/>
      <w:sz w:val="20"/>
      <w:szCs w:val="20"/>
    </w:rPr>
  </w:style>
  <w:style w:type="paragraph" w:styleId="Footer">
    <w:name w:val="footer"/>
    <w:basedOn w:val="Normal"/>
    <w:link w:val="FooterChar"/>
    <w:uiPriority w:val="99"/>
    <w:unhideWhenUsed/>
    <w:rsid w:val="00E276B3"/>
    <w:pPr>
      <w:tabs>
        <w:tab w:val="center" w:pos="4513"/>
        <w:tab w:val="right" w:pos="9026"/>
      </w:tabs>
      <w:spacing w:line="276" w:lineRule="auto"/>
      <w:jc w:val="center"/>
    </w:pPr>
    <w:rPr>
      <w:sz w:val="14"/>
      <w:szCs w:val="14"/>
    </w:rPr>
  </w:style>
  <w:style w:type="character" w:customStyle="1" w:styleId="FooterChar">
    <w:name w:val="Footer Char"/>
    <w:basedOn w:val="DefaultParagraphFont"/>
    <w:link w:val="Footer"/>
    <w:uiPriority w:val="99"/>
    <w:rsid w:val="00E276B3"/>
    <w:rPr>
      <w:rFonts w:ascii="Calibri" w:hAnsi="Calibri"/>
      <w:sz w:val="14"/>
      <w:szCs w:val="14"/>
    </w:rPr>
  </w:style>
  <w:style w:type="character" w:styleId="FootnoteReference">
    <w:name w:val="footnote reference"/>
    <w:basedOn w:val="DefaultParagraphFont"/>
    <w:uiPriority w:val="99"/>
    <w:semiHidden/>
    <w:unhideWhenUsed/>
    <w:rsid w:val="00E276B3"/>
    <w:rPr>
      <w:vertAlign w:val="superscript"/>
    </w:rPr>
  </w:style>
  <w:style w:type="paragraph" w:styleId="FootnoteText">
    <w:name w:val="footnote text"/>
    <w:basedOn w:val="Normal"/>
    <w:link w:val="FootnoteTextChar"/>
    <w:uiPriority w:val="99"/>
    <w:semiHidden/>
    <w:unhideWhenUsed/>
    <w:rsid w:val="00E276B3"/>
    <w:rPr>
      <w:sz w:val="20"/>
      <w:szCs w:val="20"/>
    </w:rPr>
  </w:style>
  <w:style w:type="character" w:customStyle="1" w:styleId="FootnoteTextChar">
    <w:name w:val="Footnote Text Char"/>
    <w:basedOn w:val="DefaultParagraphFont"/>
    <w:link w:val="FootnoteText"/>
    <w:uiPriority w:val="99"/>
    <w:semiHidden/>
    <w:rsid w:val="00E276B3"/>
    <w:rPr>
      <w:rFonts w:ascii="Calibri" w:hAnsi="Calibri"/>
      <w:sz w:val="20"/>
      <w:szCs w:val="20"/>
    </w:rPr>
  </w:style>
  <w:style w:type="paragraph" w:styleId="Header">
    <w:name w:val="header"/>
    <w:aliases w:val="Customisable document title"/>
    <w:basedOn w:val="Normal"/>
    <w:link w:val="HeaderChar"/>
    <w:uiPriority w:val="99"/>
    <w:unhideWhenUsed/>
    <w:rsid w:val="00E276B3"/>
    <w:pPr>
      <w:tabs>
        <w:tab w:val="center" w:pos="4513"/>
        <w:tab w:val="right" w:pos="9026"/>
      </w:tabs>
    </w:pPr>
  </w:style>
  <w:style w:type="character" w:customStyle="1" w:styleId="HeaderChar">
    <w:name w:val="Header Char"/>
    <w:aliases w:val="Customisable document title Char"/>
    <w:basedOn w:val="DefaultParagraphFont"/>
    <w:link w:val="Header"/>
    <w:uiPriority w:val="99"/>
    <w:rsid w:val="00E276B3"/>
    <w:rPr>
      <w:rFonts w:ascii="Calibri" w:hAnsi="Calibri"/>
    </w:rPr>
  </w:style>
  <w:style w:type="character" w:customStyle="1" w:styleId="Heading4Char">
    <w:name w:val="Heading 4 Char"/>
    <w:basedOn w:val="DefaultParagraphFont"/>
    <w:link w:val="Heading4"/>
    <w:uiPriority w:val="9"/>
    <w:rsid w:val="00E276B3"/>
    <w:rPr>
      <w:rFonts w:asciiTheme="majorHAnsi" w:eastAsiaTheme="majorEastAsia" w:hAnsiTheme="majorHAnsi" w:cstheme="majorBidi"/>
      <w:b/>
      <w:bCs/>
      <w:i/>
      <w:iCs/>
      <w:color w:val="1F3368" w:themeColor="accent1"/>
    </w:rPr>
  </w:style>
  <w:style w:type="character" w:customStyle="1" w:styleId="Heading5Char">
    <w:name w:val="Heading 5 Char"/>
    <w:basedOn w:val="DefaultParagraphFont"/>
    <w:link w:val="Heading5"/>
    <w:uiPriority w:val="9"/>
    <w:semiHidden/>
    <w:rsid w:val="00E276B3"/>
    <w:rPr>
      <w:rFonts w:asciiTheme="majorHAnsi" w:eastAsiaTheme="majorEastAsia" w:hAnsiTheme="majorHAnsi" w:cstheme="majorBidi"/>
      <w:color w:val="0F1933" w:themeColor="accent1" w:themeShade="7F"/>
    </w:rPr>
  </w:style>
  <w:style w:type="character" w:customStyle="1" w:styleId="Heading6Char">
    <w:name w:val="Heading 6 Char"/>
    <w:basedOn w:val="DefaultParagraphFont"/>
    <w:link w:val="Heading6"/>
    <w:uiPriority w:val="9"/>
    <w:semiHidden/>
    <w:rsid w:val="00E276B3"/>
    <w:rPr>
      <w:rFonts w:asciiTheme="majorHAnsi" w:eastAsiaTheme="majorEastAsia" w:hAnsiTheme="majorHAnsi" w:cstheme="majorBidi"/>
      <w:i/>
      <w:iCs/>
      <w:color w:val="0F1933" w:themeColor="accent1" w:themeShade="7F"/>
    </w:rPr>
  </w:style>
  <w:style w:type="character" w:customStyle="1" w:styleId="Heading7Char">
    <w:name w:val="Heading 7 Char"/>
    <w:basedOn w:val="DefaultParagraphFont"/>
    <w:link w:val="Heading7"/>
    <w:uiPriority w:val="9"/>
    <w:semiHidden/>
    <w:rsid w:val="00E276B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276B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276B3"/>
    <w:rPr>
      <w:rFonts w:asciiTheme="majorHAnsi" w:eastAsiaTheme="majorEastAsia" w:hAnsiTheme="majorHAnsi" w:cstheme="majorBidi"/>
      <w:i/>
      <w:iCs/>
      <w:color w:val="404040" w:themeColor="text1" w:themeTint="BF"/>
      <w:sz w:val="20"/>
      <w:szCs w:val="20"/>
    </w:rPr>
  </w:style>
  <w:style w:type="character" w:styleId="HTMLAcronym">
    <w:name w:val="HTML Acronym"/>
    <w:basedOn w:val="DefaultParagraphFont"/>
    <w:uiPriority w:val="99"/>
    <w:semiHidden/>
    <w:unhideWhenUsed/>
    <w:rsid w:val="00E276B3"/>
  </w:style>
  <w:style w:type="paragraph" w:styleId="HTMLAddress">
    <w:name w:val="HTML Address"/>
    <w:basedOn w:val="Normal"/>
    <w:link w:val="HTMLAddressChar"/>
    <w:uiPriority w:val="99"/>
    <w:semiHidden/>
    <w:unhideWhenUsed/>
    <w:rsid w:val="00E276B3"/>
    <w:rPr>
      <w:i/>
      <w:iCs/>
    </w:rPr>
  </w:style>
  <w:style w:type="character" w:customStyle="1" w:styleId="HTMLAddressChar">
    <w:name w:val="HTML Address Char"/>
    <w:basedOn w:val="DefaultParagraphFont"/>
    <w:link w:val="HTMLAddress"/>
    <w:uiPriority w:val="99"/>
    <w:semiHidden/>
    <w:rsid w:val="00E276B3"/>
    <w:rPr>
      <w:rFonts w:ascii="Calibri" w:hAnsi="Calibri"/>
      <w:i/>
      <w:iCs/>
    </w:rPr>
  </w:style>
  <w:style w:type="character" w:styleId="HTMLCite">
    <w:name w:val="HTML Cite"/>
    <w:basedOn w:val="DefaultParagraphFont"/>
    <w:uiPriority w:val="99"/>
    <w:semiHidden/>
    <w:unhideWhenUsed/>
    <w:rsid w:val="00E276B3"/>
    <w:rPr>
      <w:i/>
      <w:iCs/>
    </w:rPr>
  </w:style>
  <w:style w:type="character" w:styleId="HTMLCode">
    <w:name w:val="HTML Code"/>
    <w:basedOn w:val="DefaultParagraphFont"/>
    <w:uiPriority w:val="99"/>
    <w:semiHidden/>
    <w:unhideWhenUsed/>
    <w:rsid w:val="00E276B3"/>
    <w:rPr>
      <w:rFonts w:ascii="Consolas" w:hAnsi="Consolas" w:cs="Consolas"/>
      <w:sz w:val="20"/>
      <w:szCs w:val="20"/>
    </w:rPr>
  </w:style>
  <w:style w:type="character" w:styleId="HTMLDefinition">
    <w:name w:val="HTML Definition"/>
    <w:basedOn w:val="DefaultParagraphFont"/>
    <w:uiPriority w:val="99"/>
    <w:semiHidden/>
    <w:unhideWhenUsed/>
    <w:rsid w:val="00E276B3"/>
    <w:rPr>
      <w:i/>
      <w:iCs/>
    </w:rPr>
  </w:style>
  <w:style w:type="character" w:styleId="HTMLKeyboard">
    <w:name w:val="HTML Keyboard"/>
    <w:basedOn w:val="DefaultParagraphFont"/>
    <w:uiPriority w:val="99"/>
    <w:semiHidden/>
    <w:unhideWhenUsed/>
    <w:rsid w:val="00E276B3"/>
    <w:rPr>
      <w:rFonts w:ascii="Consolas" w:hAnsi="Consolas" w:cs="Consolas"/>
      <w:sz w:val="20"/>
      <w:szCs w:val="20"/>
    </w:rPr>
  </w:style>
  <w:style w:type="paragraph" w:styleId="HTMLPreformatted">
    <w:name w:val="HTML Preformatted"/>
    <w:basedOn w:val="Normal"/>
    <w:link w:val="HTMLPreformattedChar"/>
    <w:uiPriority w:val="99"/>
    <w:semiHidden/>
    <w:unhideWhenUsed/>
    <w:rsid w:val="00E276B3"/>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E276B3"/>
    <w:rPr>
      <w:rFonts w:ascii="Consolas" w:hAnsi="Consolas" w:cs="Consolas"/>
      <w:sz w:val="20"/>
      <w:szCs w:val="20"/>
    </w:rPr>
  </w:style>
  <w:style w:type="character" w:styleId="HTMLSample">
    <w:name w:val="HTML Sample"/>
    <w:basedOn w:val="DefaultParagraphFont"/>
    <w:uiPriority w:val="99"/>
    <w:semiHidden/>
    <w:unhideWhenUsed/>
    <w:rsid w:val="00E276B3"/>
    <w:rPr>
      <w:rFonts w:ascii="Consolas" w:hAnsi="Consolas" w:cs="Consolas"/>
      <w:sz w:val="24"/>
      <w:szCs w:val="24"/>
    </w:rPr>
  </w:style>
  <w:style w:type="character" w:styleId="HTMLTypewriter">
    <w:name w:val="HTML Typewriter"/>
    <w:basedOn w:val="DefaultParagraphFont"/>
    <w:uiPriority w:val="99"/>
    <w:semiHidden/>
    <w:unhideWhenUsed/>
    <w:rsid w:val="00E276B3"/>
    <w:rPr>
      <w:rFonts w:ascii="Consolas" w:hAnsi="Consolas" w:cs="Consolas"/>
      <w:sz w:val="20"/>
      <w:szCs w:val="20"/>
    </w:rPr>
  </w:style>
  <w:style w:type="character" w:styleId="HTMLVariable">
    <w:name w:val="HTML Variable"/>
    <w:basedOn w:val="DefaultParagraphFont"/>
    <w:uiPriority w:val="99"/>
    <w:semiHidden/>
    <w:unhideWhenUsed/>
    <w:rsid w:val="00E276B3"/>
    <w:rPr>
      <w:i/>
      <w:iCs/>
    </w:rPr>
  </w:style>
  <w:style w:type="paragraph" w:styleId="Index1">
    <w:name w:val="index 1"/>
    <w:basedOn w:val="Normal"/>
    <w:next w:val="Normal"/>
    <w:autoRedefine/>
    <w:uiPriority w:val="99"/>
    <w:semiHidden/>
    <w:unhideWhenUsed/>
    <w:rsid w:val="00E276B3"/>
    <w:pPr>
      <w:ind w:left="220" w:hanging="220"/>
    </w:pPr>
  </w:style>
  <w:style w:type="paragraph" w:styleId="Index2">
    <w:name w:val="index 2"/>
    <w:basedOn w:val="Normal"/>
    <w:next w:val="Normal"/>
    <w:autoRedefine/>
    <w:uiPriority w:val="99"/>
    <w:semiHidden/>
    <w:unhideWhenUsed/>
    <w:rsid w:val="00E276B3"/>
    <w:pPr>
      <w:ind w:left="440" w:hanging="220"/>
    </w:pPr>
  </w:style>
  <w:style w:type="paragraph" w:styleId="Index3">
    <w:name w:val="index 3"/>
    <w:basedOn w:val="Normal"/>
    <w:next w:val="Normal"/>
    <w:autoRedefine/>
    <w:uiPriority w:val="99"/>
    <w:semiHidden/>
    <w:unhideWhenUsed/>
    <w:rsid w:val="00E276B3"/>
    <w:pPr>
      <w:ind w:left="660" w:hanging="220"/>
    </w:pPr>
  </w:style>
  <w:style w:type="paragraph" w:styleId="Index4">
    <w:name w:val="index 4"/>
    <w:basedOn w:val="Normal"/>
    <w:next w:val="Normal"/>
    <w:autoRedefine/>
    <w:uiPriority w:val="99"/>
    <w:semiHidden/>
    <w:unhideWhenUsed/>
    <w:rsid w:val="00E276B3"/>
    <w:pPr>
      <w:ind w:left="880" w:hanging="220"/>
    </w:pPr>
  </w:style>
  <w:style w:type="paragraph" w:styleId="Index5">
    <w:name w:val="index 5"/>
    <w:basedOn w:val="Normal"/>
    <w:next w:val="Normal"/>
    <w:autoRedefine/>
    <w:uiPriority w:val="99"/>
    <w:semiHidden/>
    <w:unhideWhenUsed/>
    <w:rsid w:val="00E276B3"/>
    <w:pPr>
      <w:ind w:left="1100" w:hanging="220"/>
    </w:pPr>
  </w:style>
  <w:style w:type="paragraph" w:styleId="Index6">
    <w:name w:val="index 6"/>
    <w:basedOn w:val="Normal"/>
    <w:next w:val="Normal"/>
    <w:autoRedefine/>
    <w:uiPriority w:val="99"/>
    <w:semiHidden/>
    <w:unhideWhenUsed/>
    <w:rsid w:val="00E276B3"/>
    <w:pPr>
      <w:ind w:left="1320" w:hanging="220"/>
    </w:pPr>
  </w:style>
  <w:style w:type="paragraph" w:styleId="Index7">
    <w:name w:val="index 7"/>
    <w:basedOn w:val="Normal"/>
    <w:next w:val="Normal"/>
    <w:autoRedefine/>
    <w:uiPriority w:val="99"/>
    <w:semiHidden/>
    <w:unhideWhenUsed/>
    <w:rsid w:val="00E276B3"/>
    <w:pPr>
      <w:ind w:left="1540" w:hanging="220"/>
    </w:pPr>
  </w:style>
  <w:style w:type="paragraph" w:styleId="Index8">
    <w:name w:val="index 8"/>
    <w:basedOn w:val="Normal"/>
    <w:next w:val="Normal"/>
    <w:autoRedefine/>
    <w:uiPriority w:val="99"/>
    <w:semiHidden/>
    <w:unhideWhenUsed/>
    <w:rsid w:val="00E276B3"/>
    <w:pPr>
      <w:ind w:left="1760" w:hanging="220"/>
    </w:pPr>
  </w:style>
  <w:style w:type="paragraph" w:styleId="Index9">
    <w:name w:val="index 9"/>
    <w:basedOn w:val="Normal"/>
    <w:next w:val="Normal"/>
    <w:autoRedefine/>
    <w:uiPriority w:val="99"/>
    <w:semiHidden/>
    <w:unhideWhenUsed/>
    <w:rsid w:val="00E276B3"/>
    <w:pPr>
      <w:ind w:left="1980" w:hanging="220"/>
    </w:pPr>
  </w:style>
  <w:style w:type="paragraph" w:styleId="IndexHeading">
    <w:name w:val="index heading"/>
    <w:basedOn w:val="Normal"/>
    <w:next w:val="Index1"/>
    <w:uiPriority w:val="99"/>
    <w:semiHidden/>
    <w:unhideWhenUsed/>
    <w:rsid w:val="00E276B3"/>
    <w:rPr>
      <w:rFonts w:asciiTheme="majorHAnsi" w:eastAsiaTheme="majorEastAsia" w:hAnsiTheme="majorHAnsi" w:cstheme="majorBidi"/>
      <w:b/>
      <w:bCs/>
    </w:rPr>
  </w:style>
  <w:style w:type="character" w:styleId="IntenseEmphasis">
    <w:name w:val="Intense Emphasis"/>
    <w:basedOn w:val="DefaultParagraphFont"/>
    <w:uiPriority w:val="21"/>
    <w:rsid w:val="00E276B3"/>
    <w:rPr>
      <w:b/>
      <w:bCs/>
      <w:i/>
      <w:iCs/>
      <w:color w:val="1F3368" w:themeColor="accent1"/>
    </w:rPr>
  </w:style>
  <w:style w:type="paragraph" w:styleId="IntenseQuote">
    <w:name w:val="Intense Quote"/>
    <w:basedOn w:val="Normal"/>
    <w:next w:val="Normal"/>
    <w:link w:val="IntenseQuoteChar"/>
    <w:uiPriority w:val="30"/>
    <w:rsid w:val="00E276B3"/>
    <w:pPr>
      <w:pBdr>
        <w:bottom w:val="single" w:sz="4" w:space="4" w:color="1F3368" w:themeColor="accent1"/>
      </w:pBdr>
      <w:spacing w:before="200" w:after="280"/>
      <w:ind w:left="936" w:right="936"/>
    </w:pPr>
    <w:rPr>
      <w:b/>
      <w:bCs/>
      <w:i/>
      <w:iCs/>
      <w:color w:val="1F3368" w:themeColor="accent1"/>
    </w:rPr>
  </w:style>
  <w:style w:type="character" w:customStyle="1" w:styleId="IntenseQuoteChar">
    <w:name w:val="Intense Quote Char"/>
    <w:basedOn w:val="DefaultParagraphFont"/>
    <w:link w:val="IntenseQuote"/>
    <w:uiPriority w:val="30"/>
    <w:rsid w:val="00E276B3"/>
    <w:rPr>
      <w:rFonts w:ascii="Calibri" w:hAnsi="Calibri"/>
      <w:b/>
      <w:bCs/>
      <w:i/>
      <w:iCs/>
      <w:color w:val="1F3368" w:themeColor="accent1"/>
    </w:rPr>
  </w:style>
  <w:style w:type="character" w:styleId="IntenseReference">
    <w:name w:val="Intense Reference"/>
    <w:basedOn w:val="DefaultParagraphFont"/>
    <w:uiPriority w:val="32"/>
    <w:rsid w:val="00E276B3"/>
    <w:rPr>
      <w:b/>
      <w:bCs/>
      <w:smallCaps/>
      <w:color w:val="FF0000" w:themeColor="accent2"/>
      <w:spacing w:val="5"/>
      <w:u w:val="single"/>
    </w:rPr>
  </w:style>
  <w:style w:type="character" w:styleId="LineNumber">
    <w:name w:val="line number"/>
    <w:basedOn w:val="DefaultParagraphFont"/>
    <w:uiPriority w:val="99"/>
    <w:semiHidden/>
    <w:unhideWhenUsed/>
    <w:rsid w:val="00E276B3"/>
  </w:style>
  <w:style w:type="paragraph" w:styleId="List">
    <w:name w:val="List"/>
    <w:basedOn w:val="Normal"/>
    <w:uiPriority w:val="99"/>
    <w:semiHidden/>
    <w:unhideWhenUsed/>
    <w:rsid w:val="00E276B3"/>
    <w:pPr>
      <w:ind w:left="283" w:hanging="283"/>
      <w:contextualSpacing/>
    </w:pPr>
  </w:style>
  <w:style w:type="paragraph" w:styleId="List2">
    <w:name w:val="List 2"/>
    <w:basedOn w:val="Normal"/>
    <w:uiPriority w:val="99"/>
    <w:semiHidden/>
    <w:unhideWhenUsed/>
    <w:rsid w:val="00E276B3"/>
    <w:pPr>
      <w:ind w:left="566" w:hanging="283"/>
      <w:contextualSpacing/>
    </w:pPr>
  </w:style>
  <w:style w:type="paragraph" w:styleId="List3">
    <w:name w:val="List 3"/>
    <w:basedOn w:val="Normal"/>
    <w:uiPriority w:val="99"/>
    <w:semiHidden/>
    <w:unhideWhenUsed/>
    <w:rsid w:val="00E276B3"/>
    <w:pPr>
      <w:ind w:left="849" w:hanging="283"/>
      <w:contextualSpacing/>
    </w:pPr>
  </w:style>
  <w:style w:type="paragraph" w:styleId="List4">
    <w:name w:val="List 4"/>
    <w:basedOn w:val="Normal"/>
    <w:uiPriority w:val="99"/>
    <w:semiHidden/>
    <w:unhideWhenUsed/>
    <w:rsid w:val="00E276B3"/>
    <w:pPr>
      <w:ind w:left="1132" w:hanging="283"/>
      <w:contextualSpacing/>
    </w:pPr>
  </w:style>
  <w:style w:type="paragraph" w:styleId="List5">
    <w:name w:val="List 5"/>
    <w:basedOn w:val="Normal"/>
    <w:uiPriority w:val="99"/>
    <w:semiHidden/>
    <w:unhideWhenUsed/>
    <w:rsid w:val="00E276B3"/>
    <w:pPr>
      <w:ind w:left="1415" w:hanging="283"/>
      <w:contextualSpacing/>
    </w:pPr>
  </w:style>
  <w:style w:type="paragraph" w:styleId="ListBullet">
    <w:name w:val="List Bullet"/>
    <w:basedOn w:val="Normal"/>
    <w:uiPriority w:val="99"/>
    <w:semiHidden/>
    <w:unhideWhenUsed/>
    <w:rsid w:val="00E276B3"/>
    <w:pPr>
      <w:numPr>
        <w:numId w:val="2"/>
      </w:numPr>
      <w:contextualSpacing/>
    </w:pPr>
  </w:style>
  <w:style w:type="paragraph" w:styleId="ListBullet2">
    <w:name w:val="List Bullet 2"/>
    <w:basedOn w:val="Normal"/>
    <w:uiPriority w:val="99"/>
    <w:semiHidden/>
    <w:unhideWhenUsed/>
    <w:rsid w:val="00E276B3"/>
    <w:pPr>
      <w:numPr>
        <w:numId w:val="4"/>
      </w:numPr>
      <w:contextualSpacing/>
    </w:pPr>
  </w:style>
  <w:style w:type="paragraph" w:styleId="ListBullet3">
    <w:name w:val="List Bullet 3"/>
    <w:basedOn w:val="Normal"/>
    <w:uiPriority w:val="99"/>
    <w:semiHidden/>
    <w:unhideWhenUsed/>
    <w:rsid w:val="00E276B3"/>
    <w:pPr>
      <w:numPr>
        <w:numId w:val="5"/>
      </w:numPr>
      <w:contextualSpacing/>
    </w:pPr>
  </w:style>
  <w:style w:type="paragraph" w:styleId="ListBullet4">
    <w:name w:val="List Bullet 4"/>
    <w:basedOn w:val="Normal"/>
    <w:uiPriority w:val="99"/>
    <w:semiHidden/>
    <w:unhideWhenUsed/>
    <w:rsid w:val="00E276B3"/>
    <w:pPr>
      <w:numPr>
        <w:numId w:val="6"/>
      </w:numPr>
      <w:contextualSpacing/>
    </w:pPr>
  </w:style>
  <w:style w:type="paragraph" w:styleId="ListBullet5">
    <w:name w:val="List Bullet 5"/>
    <w:basedOn w:val="Normal"/>
    <w:uiPriority w:val="99"/>
    <w:semiHidden/>
    <w:unhideWhenUsed/>
    <w:rsid w:val="00E276B3"/>
    <w:pPr>
      <w:numPr>
        <w:numId w:val="7"/>
      </w:numPr>
      <w:contextualSpacing/>
    </w:pPr>
  </w:style>
  <w:style w:type="paragraph" w:styleId="ListContinue">
    <w:name w:val="List Continue"/>
    <w:basedOn w:val="Normal"/>
    <w:uiPriority w:val="99"/>
    <w:semiHidden/>
    <w:unhideWhenUsed/>
    <w:rsid w:val="00E276B3"/>
    <w:pPr>
      <w:spacing w:after="120"/>
      <w:ind w:left="283"/>
      <w:contextualSpacing/>
    </w:pPr>
  </w:style>
  <w:style w:type="paragraph" w:styleId="ListContinue2">
    <w:name w:val="List Continue 2"/>
    <w:basedOn w:val="Normal"/>
    <w:uiPriority w:val="99"/>
    <w:semiHidden/>
    <w:unhideWhenUsed/>
    <w:rsid w:val="00E276B3"/>
    <w:pPr>
      <w:spacing w:after="120"/>
      <w:ind w:left="566"/>
      <w:contextualSpacing/>
    </w:pPr>
  </w:style>
  <w:style w:type="paragraph" w:styleId="ListContinue3">
    <w:name w:val="List Continue 3"/>
    <w:basedOn w:val="Normal"/>
    <w:uiPriority w:val="99"/>
    <w:semiHidden/>
    <w:unhideWhenUsed/>
    <w:rsid w:val="00E276B3"/>
    <w:pPr>
      <w:spacing w:after="120"/>
      <w:ind w:left="849"/>
      <w:contextualSpacing/>
    </w:pPr>
  </w:style>
  <w:style w:type="paragraph" w:styleId="ListContinue4">
    <w:name w:val="List Continue 4"/>
    <w:basedOn w:val="Normal"/>
    <w:uiPriority w:val="99"/>
    <w:semiHidden/>
    <w:unhideWhenUsed/>
    <w:rsid w:val="00E276B3"/>
    <w:pPr>
      <w:spacing w:after="120"/>
      <w:ind w:left="1132"/>
      <w:contextualSpacing/>
    </w:pPr>
  </w:style>
  <w:style w:type="paragraph" w:styleId="ListContinue5">
    <w:name w:val="List Continue 5"/>
    <w:basedOn w:val="Normal"/>
    <w:uiPriority w:val="99"/>
    <w:semiHidden/>
    <w:unhideWhenUsed/>
    <w:rsid w:val="00E276B3"/>
    <w:pPr>
      <w:spacing w:after="120"/>
      <w:ind w:left="1415"/>
      <w:contextualSpacing/>
    </w:pPr>
  </w:style>
  <w:style w:type="paragraph" w:styleId="ListNumber">
    <w:name w:val="List Number"/>
    <w:basedOn w:val="Normal"/>
    <w:uiPriority w:val="99"/>
    <w:semiHidden/>
    <w:unhideWhenUsed/>
    <w:rsid w:val="00E276B3"/>
    <w:pPr>
      <w:numPr>
        <w:numId w:val="3"/>
      </w:numPr>
      <w:contextualSpacing/>
    </w:pPr>
  </w:style>
  <w:style w:type="paragraph" w:styleId="ListNumber2">
    <w:name w:val="List Number 2"/>
    <w:basedOn w:val="Normal"/>
    <w:uiPriority w:val="99"/>
    <w:semiHidden/>
    <w:unhideWhenUsed/>
    <w:rsid w:val="00E276B3"/>
    <w:pPr>
      <w:numPr>
        <w:numId w:val="8"/>
      </w:numPr>
      <w:contextualSpacing/>
    </w:pPr>
  </w:style>
  <w:style w:type="paragraph" w:styleId="ListNumber3">
    <w:name w:val="List Number 3"/>
    <w:basedOn w:val="Normal"/>
    <w:uiPriority w:val="99"/>
    <w:semiHidden/>
    <w:unhideWhenUsed/>
    <w:rsid w:val="00E276B3"/>
    <w:pPr>
      <w:numPr>
        <w:numId w:val="9"/>
      </w:numPr>
      <w:contextualSpacing/>
    </w:pPr>
  </w:style>
  <w:style w:type="paragraph" w:styleId="ListNumber4">
    <w:name w:val="List Number 4"/>
    <w:basedOn w:val="Normal"/>
    <w:uiPriority w:val="99"/>
    <w:semiHidden/>
    <w:unhideWhenUsed/>
    <w:rsid w:val="00E276B3"/>
    <w:pPr>
      <w:numPr>
        <w:numId w:val="10"/>
      </w:numPr>
      <w:contextualSpacing/>
    </w:pPr>
  </w:style>
  <w:style w:type="paragraph" w:styleId="ListNumber5">
    <w:name w:val="List Number 5"/>
    <w:basedOn w:val="Normal"/>
    <w:uiPriority w:val="99"/>
    <w:semiHidden/>
    <w:unhideWhenUsed/>
    <w:rsid w:val="00E276B3"/>
    <w:pPr>
      <w:numPr>
        <w:numId w:val="11"/>
      </w:numPr>
      <w:contextualSpacing/>
    </w:pPr>
  </w:style>
  <w:style w:type="paragraph" w:styleId="MacroText">
    <w:name w:val="macro"/>
    <w:link w:val="MacroTextChar"/>
    <w:uiPriority w:val="99"/>
    <w:semiHidden/>
    <w:unhideWhenUsed/>
    <w:rsid w:val="00E276B3"/>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MacroTextChar">
    <w:name w:val="Macro Text Char"/>
    <w:basedOn w:val="DefaultParagraphFont"/>
    <w:link w:val="MacroText"/>
    <w:uiPriority w:val="99"/>
    <w:semiHidden/>
    <w:rsid w:val="00E276B3"/>
    <w:rPr>
      <w:rFonts w:ascii="Consolas" w:hAnsi="Consolas" w:cs="Consolas"/>
      <w:sz w:val="20"/>
      <w:szCs w:val="20"/>
    </w:rPr>
  </w:style>
  <w:style w:type="paragraph" w:styleId="MessageHeader">
    <w:name w:val="Message Header"/>
    <w:basedOn w:val="Normal"/>
    <w:link w:val="MessageHeaderChar"/>
    <w:uiPriority w:val="99"/>
    <w:semiHidden/>
    <w:unhideWhenUsed/>
    <w:rsid w:val="00E276B3"/>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E276B3"/>
    <w:rPr>
      <w:rFonts w:asciiTheme="majorHAnsi" w:eastAsiaTheme="majorEastAsia" w:hAnsiTheme="majorHAnsi" w:cstheme="majorBidi"/>
      <w:sz w:val="24"/>
      <w:szCs w:val="24"/>
      <w:shd w:val="pct20" w:color="auto" w:fill="auto"/>
    </w:rPr>
  </w:style>
  <w:style w:type="paragraph" w:styleId="NoSpacing">
    <w:name w:val="No Spacing"/>
    <w:uiPriority w:val="7"/>
    <w:rsid w:val="00E276B3"/>
    <w:rPr>
      <w:rFonts w:ascii="Calibri" w:hAnsi="Calibri"/>
    </w:rPr>
  </w:style>
  <w:style w:type="paragraph" w:styleId="NormalWeb">
    <w:name w:val="Normal (Web)"/>
    <w:basedOn w:val="Normal"/>
    <w:uiPriority w:val="99"/>
    <w:unhideWhenUsed/>
    <w:rsid w:val="00E276B3"/>
  </w:style>
  <w:style w:type="paragraph" w:styleId="NormalIndent">
    <w:name w:val="Normal Indent"/>
    <w:basedOn w:val="Normal"/>
    <w:uiPriority w:val="99"/>
    <w:semiHidden/>
    <w:unhideWhenUsed/>
    <w:rsid w:val="00E276B3"/>
    <w:pPr>
      <w:ind w:left="720"/>
    </w:pPr>
  </w:style>
  <w:style w:type="paragraph" w:styleId="NoteHeading">
    <w:name w:val="Note Heading"/>
    <w:basedOn w:val="Normal"/>
    <w:next w:val="Normal"/>
    <w:link w:val="NoteHeadingChar"/>
    <w:uiPriority w:val="99"/>
    <w:semiHidden/>
    <w:unhideWhenUsed/>
    <w:rsid w:val="00E276B3"/>
  </w:style>
  <w:style w:type="character" w:customStyle="1" w:styleId="NoteHeadingChar">
    <w:name w:val="Note Heading Char"/>
    <w:basedOn w:val="DefaultParagraphFont"/>
    <w:link w:val="NoteHeading"/>
    <w:uiPriority w:val="99"/>
    <w:semiHidden/>
    <w:rsid w:val="00E276B3"/>
    <w:rPr>
      <w:rFonts w:ascii="Calibri" w:hAnsi="Calibri"/>
    </w:rPr>
  </w:style>
  <w:style w:type="character" w:styleId="PageNumber">
    <w:name w:val="page number"/>
    <w:basedOn w:val="DefaultParagraphFont"/>
    <w:uiPriority w:val="99"/>
    <w:semiHidden/>
    <w:unhideWhenUsed/>
    <w:rsid w:val="00E276B3"/>
  </w:style>
  <w:style w:type="character" w:styleId="PlaceholderText">
    <w:name w:val="Placeholder Text"/>
    <w:basedOn w:val="DefaultParagraphFont"/>
    <w:uiPriority w:val="99"/>
    <w:semiHidden/>
    <w:rsid w:val="00E276B3"/>
    <w:rPr>
      <w:color w:val="808080"/>
    </w:rPr>
  </w:style>
  <w:style w:type="paragraph" w:styleId="Salutation">
    <w:name w:val="Salutation"/>
    <w:basedOn w:val="Normal"/>
    <w:next w:val="Normal"/>
    <w:link w:val="SalutationChar"/>
    <w:uiPriority w:val="99"/>
    <w:semiHidden/>
    <w:unhideWhenUsed/>
    <w:rsid w:val="00E276B3"/>
  </w:style>
  <w:style w:type="character" w:customStyle="1" w:styleId="SalutationChar">
    <w:name w:val="Salutation Char"/>
    <w:basedOn w:val="DefaultParagraphFont"/>
    <w:link w:val="Salutation"/>
    <w:uiPriority w:val="99"/>
    <w:semiHidden/>
    <w:rsid w:val="00E276B3"/>
    <w:rPr>
      <w:rFonts w:ascii="Calibri" w:hAnsi="Calibri"/>
    </w:rPr>
  </w:style>
  <w:style w:type="paragraph" w:styleId="Signature">
    <w:name w:val="Signature"/>
    <w:basedOn w:val="Normal"/>
    <w:link w:val="SignatureChar"/>
    <w:uiPriority w:val="99"/>
    <w:semiHidden/>
    <w:unhideWhenUsed/>
    <w:rsid w:val="00E276B3"/>
    <w:pPr>
      <w:ind w:left="4252"/>
    </w:pPr>
  </w:style>
  <w:style w:type="character" w:customStyle="1" w:styleId="SignatureChar">
    <w:name w:val="Signature Char"/>
    <w:basedOn w:val="DefaultParagraphFont"/>
    <w:link w:val="Signature"/>
    <w:uiPriority w:val="99"/>
    <w:semiHidden/>
    <w:rsid w:val="00E276B3"/>
    <w:rPr>
      <w:rFonts w:ascii="Calibri" w:hAnsi="Calibri"/>
    </w:rPr>
  </w:style>
  <w:style w:type="character" w:styleId="Strong">
    <w:name w:val="Strong"/>
    <w:basedOn w:val="DefaultParagraphFont"/>
    <w:uiPriority w:val="22"/>
    <w:rsid w:val="00E276B3"/>
    <w:rPr>
      <w:b/>
      <w:bCs/>
    </w:rPr>
  </w:style>
  <w:style w:type="paragraph" w:styleId="Subtitle">
    <w:name w:val="Subtitle"/>
    <w:basedOn w:val="Normal"/>
    <w:next w:val="Normal"/>
    <w:link w:val="SubtitleChar"/>
    <w:uiPriority w:val="11"/>
    <w:rsid w:val="00E276B3"/>
    <w:pPr>
      <w:numPr>
        <w:ilvl w:val="1"/>
      </w:numPr>
    </w:pPr>
    <w:rPr>
      <w:rFonts w:asciiTheme="majorHAnsi" w:eastAsiaTheme="majorEastAsia" w:hAnsiTheme="majorHAnsi" w:cstheme="majorBidi"/>
      <w:i/>
      <w:iCs/>
      <w:color w:val="1F3368" w:themeColor="accent1"/>
      <w:spacing w:val="15"/>
    </w:rPr>
  </w:style>
  <w:style w:type="character" w:customStyle="1" w:styleId="SubtitleChar">
    <w:name w:val="Subtitle Char"/>
    <w:basedOn w:val="DefaultParagraphFont"/>
    <w:link w:val="Subtitle"/>
    <w:uiPriority w:val="11"/>
    <w:rsid w:val="00E276B3"/>
    <w:rPr>
      <w:rFonts w:asciiTheme="majorHAnsi" w:eastAsiaTheme="majorEastAsia" w:hAnsiTheme="majorHAnsi" w:cstheme="majorBidi"/>
      <w:i/>
      <w:iCs/>
      <w:color w:val="1F3368" w:themeColor="accent1"/>
      <w:spacing w:val="15"/>
      <w:sz w:val="24"/>
      <w:szCs w:val="24"/>
    </w:rPr>
  </w:style>
  <w:style w:type="character" w:styleId="SubtleEmphasis">
    <w:name w:val="Subtle Emphasis"/>
    <w:basedOn w:val="DefaultParagraphFont"/>
    <w:uiPriority w:val="19"/>
    <w:rsid w:val="00E276B3"/>
    <w:rPr>
      <w:i/>
      <w:iCs/>
      <w:color w:val="808080" w:themeColor="text1" w:themeTint="7F"/>
    </w:rPr>
  </w:style>
  <w:style w:type="character" w:styleId="SubtleReference">
    <w:name w:val="Subtle Reference"/>
    <w:basedOn w:val="DefaultParagraphFont"/>
    <w:uiPriority w:val="31"/>
    <w:rsid w:val="00E276B3"/>
    <w:rPr>
      <w:smallCaps/>
      <w:color w:val="FF0000" w:themeColor="accent2"/>
      <w:u w:val="single"/>
    </w:rPr>
  </w:style>
  <w:style w:type="paragraph" w:styleId="TableofAuthorities">
    <w:name w:val="table of authorities"/>
    <w:basedOn w:val="Normal"/>
    <w:next w:val="Normal"/>
    <w:uiPriority w:val="99"/>
    <w:semiHidden/>
    <w:unhideWhenUsed/>
    <w:rsid w:val="00E276B3"/>
    <w:pPr>
      <w:ind w:left="220" w:hanging="220"/>
    </w:pPr>
  </w:style>
  <w:style w:type="paragraph" w:styleId="TableofFigures">
    <w:name w:val="table of figures"/>
    <w:basedOn w:val="Normal"/>
    <w:next w:val="Normal"/>
    <w:uiPriority w:val="99"/>
    <w:semiHidden/>
    <w:unhideWhenUsed/>
    <w:rsid w:val="00E276B3"/>
  </w:style>
  <w:style w:type="paragraph" w:styleId="TOAHeading">
    <w:name w:val="toa heading"/>
    <w:basedOn w:val="Normal"/>
    <w:next w:val="Normal"/>
    <w:uiPriority w:val="99"/>
    <w:semiHidden/>
    <w:unhideWhenUsed/>
    <w:rsid w:val="00E276B3"/>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E276B3"/>
    <w:pPr>
      <w:spacing w:after="100"/>
    </w:pPr>
  </w:style>
  <w:style w:type="paragraph" w:styleId="TOC2">
    <w:name w:val="toc 2"/>
    <w:basedOn w:val="Normal"/>
    <w:next w:val="Normal"/>
    <w:autoRedefine/>
    <w:uiPriority w:val="39"/>
    <w:semiHidden/>
    <w:unhideWhenUsed/>
    <w:rsid w:val="00E276B3"/>
    <w:pPr>
      <w:spacing w:after="100"/>
      <w:ind w:left="220"/>
    </w:pPr>
  </w:style>
  <w:style w:type="paragraph" w:styleId="TOC3">
    <w:name w:val="toc 3"/>
    <w:basedOn w:val="Normal"/>
    <w:next w:val="Normal"/>
    <w:autoRedefine/>
    <w:uiPriority w:val="39"/>
    <w:semiHidden/>
    <w:unhideWhenUsed/>
    <w:rsid w:val="00E276B3"/>
    <w:pPr>
      <w:spacing w:after="100"/>
      <w:ind w:left="440"/>
    </w:pPr>
  </w:style>
  <w:style w:type="paragraph" w:styleId="TOC4">
    <w:name w:val="toc 4"/>
    <w:basedOn w:val="Normal"/>
    <w:next w:val="Normal"/>
    <w:autoRedefine/>
    <w:uiPriority w:val="39"/>
    <w:semiHidden/>
    <w:unhideWhenUsed/>
    <w:rsid w:val="00E276B3"/>
    <w:pPr>
      <w:spacing w:after="100"/>
      <w:ind w:left="660"/>
    </w:pPr>
  </w:style>
  <w:style w:type="paragraph" w:styleId="TOC5">
    <w:name w:val="toc 5"/>
    <w:basedOn w:val="Normal"/>
    <w:next w:val="Normal"/>
    <w:autoRedefine/>
    <w:uiPriority w:val="39"/>
    <w:semiHidden/>
    <w:unhideWhenUsed/>
    <w:rsid w:val="00E276B3"/>
    <w:pPr>
      <w:spacing w:after="100"/>
      <w:ind w:left="880"/>
    </w:pPr>
  </w:style>
  <w:style w:type="paragraph" w:styleId="TOC6">
    <w:name w:val="toc 6"/>
    <w:basedOn w:val="Normal"/>
    <w:next w:val="Normal"/>
    <w:autoRedefine/>
    <w:uiPriority w:val="39"/>
    <w:semiHidden/>
    <w:unhideWhenUsed/>
    <w:rsid w:val="00E276B3"/>
    <w:pPr>
      <w:spacing w:after="100"/>
      <w:ind w:left="1100"/>
    </w:pPr>
  </w:style>
  <w:style w:type="paragraph" w:styleId="TOC7">
    <w:name w:val="toc 7"/>
    <w:basedOn w:val="Normal"/>
    <w:next w:val="Normal"/>
    <w:autoRedefine/>
    <w:uiPriority w:val="39"/>
    <w:semiHidden/>
    <w:unhideWhenUsed/>
    <w:rsid w:val="00E276B3"/>
    <w:pPr>
      <w:spacing w:after="100"/>
      <w:ind w:left="1320"/>
    </w:pPr>
  </w:style>
  <w:style w:type="paragraph" w:styleId="TOC8">
    <w:name w:val="toc 8"/>
    <w:basedOn w:val="Normal"/>
    <w:next w:val="Normal"/>
    <w:autoRedefine/>
    <w:uiPriority w:val="39"/>
    <w:semiHidden/>
    <w:unhideWhenUsed/>
    <w:rsid w:val="00E276B3"/>
    <w:pPr>
      <w:spacing w:after="100"/>
      <w:ind w:left="1540"/>
    </w:pPr>
  </w:style>
  <w:style w:type="paragraph" w:styleId="TOC9">
    <w:name w:val="toc 9"/>
    <w:basedOn w:val="Normal"/>
    <w:next w:val="Normal"/>
    <w:autoRedefine/>
    <w:uiPriority w:val="39"/>
    <w:semiHidden/>
    <w:unhideWhenUsed/>
    <w:rsid w:val="00E276B3"/>
    <w:pPr>
      <w:spacing w:after="100"/>
      <w:ind w:left="1760"/>
    </w:pPr>
  </w:style>
  <w:style w:type="paragraph" w:styleId="TOCHeading">
    <w:name w:val="TOC Heading"/>
    <w:basedOn w:val="Heading1"/>
    <w:next w:val="Normal"/>
    <w:uiPriority w:val="39"/>
    <w:semiHidden/>
    <w:unhideWhenUsed/>
    <w:rsid w:val="00E276B3"/>
    <w:pPr>
      <w:numPr>
        <w:numId w:val="0"/>
      </w:numPr>
      <w:spacing w:before="480" w:after="0"/>
      <w:outlineLvl w:val="9"/>
    </w:pPr>
    <w:rPr>
      <w:rFonts w:asciiTheme="majorHAnsi" w:hAnsiTheme="majorHAnsi"/>
      <w:color w:val="17264D" w:themeColor="accent1" w:themeShade="BF"/>
      <w:sz w:val="28"/>
    </w:rPr>
  </w:style>
  <w:style w:type="character" w:customStyle="1" w:styleId="CharGreen">
    <w:name w:val="CharGreen"/>
    <w:basedOn w:val="DefaultParagraphFont"/>
    <w:uiPriority w:val="3"/>
    <w:rsid w:val="00302B62"/>
    <w:rPr>
      <w:color w:val="006600"/>
    </w:rPr>
  </w:style>
  <w:style w:type="paragraph" w:customStyle="1" w:styleId="BulletLevel1">
    <w:name w:val="Bullet Level 1"/>
    <w:basedOn w:val="Normal"/>
    <w:link w:val="BulletLevel1Char"/>
    <w:uiPriority w:val="5"/>
    <w:qFormat/>
    <w:rsid w:val="00E276B3"/>
    <w:pPr>
      <w:numPr>
        <w:numId w:val="27"/>
      </w:numPr>
      <w:tabs>
        <w:tab w:val="left" w:pos="1134"/>
      </w:tabs>
    </w:pPr>
  </w:style>
  <w:style w:type="character" w:customStyle="1" w:styleId="BulletLevel1Char">
    <w:name w:val="Bullet Level 1 Char"/>
    <w:basedOn w:val="DefaultParagraphFont"/>
    <w:link w:val="BulletLevel1"/>
    <w:uiPriority w:val="5"/>
    <w:rsid w:val="00E276B3"/>
    <w:rPr>
      <w:rFonts w:ascii="Calibri" w:hAnsi="Calibri"/>
    </w:rPr>
  </w:style>
  <w:style w:type="paragraph" w:customStyle="1" w:styleId="BulletLevel2">
    <w:name w:val="Bullet Level 2"/>
    <w:basedOn w:val="BulletLevel1"/>
    <w:link w:val="BulletLevel2Char"/>
    <w:uiPriority w:val="5"/>
    <w:qFormat/>
    <w:rsid w:val="00E276B3"/>
    <w:pPr>
      <w:numPr>
        <w:ilvl w:val="1"/>
      </w:numPr>
    </w:pPr>
  </w:style>
  <w:style w:type="character" w:customStyle="1" w:styleId="BulletLevel2Char">
    <w:name w:val="Bullet Level 2 Char"/>
    <w:basedOn w:val="DefaultParagraphFont"/>
    <w:link w:val="BulletLevel2"/>
    <w:uiPriority w:val="5"/>
    <w:rsid w:val="00E276B3"/>
    <w:rPr>
      <w:rFonts w:ascii="Calibri" w:hAnsi="Calibri"/>
    </w:rPr>
  </w:style>
  <w:style w:type="paragraph" w:customStyle="1" w:styleId="NumberLevel1">
    <w:name w:val="Number Level 1"/>
    <w:basedOn w:val="Normal"/>
    <w:link w:val="NumberLevel1Char"/>
    <w:uiPriority w:val="5"/>
    <w:qFormat/>
    <w:rsid w:val="00E276B3"/>
    <w:pPr>
      <w:numPr>
        <w:numId w:val="28"/>
      </w:numPr>
      <w:tabs>
        <w:tab w:val="left" w:pos="1134"/>
      </w:tabs>
    </w:pPr>
  </w:style>
  <w:style w:type="character" w:customStyle="1" w:styleId="NumberLevel1Char">
    <w:name w:val="Number Level 1 Char"/>
    <w:basedOn w:val="DefaultParagraphFont"/>
    <w:link w:val="NumberLevel1"/>
    <w:uiPriority w:val="5"/>
    <w:rsid w:val="00E276B3"/>
    <w:rPr>
      <w:rFonts w:ascii="Calibri" w:hAnsi="Calibri"/>
    </w:rPr>
  </w:style>
  <w:style w:type="paragraph" w:customStyle="1" w:styleId="NumberLevel2">
    <w:name w:val="Number Level 2"/>
    <w:basedOn w:val="Normal"/>
    <w:link w:val="NumberLevel2Char"/>
    <w:uiPriority w:val="5"/>
    <w:qFormat/>
    <w:rsid w:val="00E276B3"/>
    <w:pPr>
      <w:numPr>
        <w:numId w:val="29"/>
      </w:numPr>
    </w:pPr>
  </w:style>
  <w:style w:type="character" w:customStyle="1" w:styleId="NumberLevel2Char">
    <w:name w:val="Number Level 2 Char"/>
    <w:basedOn w:val="DefaultParagraphFont"/>
    <w:link w:val="NumberLevel2"/>
    <w:uiPriority w:val="5"/>
    <w:rsid w:val="00E276B3"/>
    <w:rPr>
      <w:rFonts w:ascii="Calibri" w:hAnsi="Calibri"/>
    </w:rPr>
  </w:style>
  <w:style w:type="paragraph" w:customStyle="1" w:styleId="NumberLevel3">
    <w:name w:val="Number Level 3"/>
    <w:basedOn w:val="Normal"/>
    <w:link w:val="NumberLevel3Char"/>
    <w:uiPriority w:val="3"/>
    <w:rsid w:val="00E276B3"/>
  </w:style>
  <w:style w:type="character" w:customStyle="1" w:styleId="NumberLevel3Char">
    <w:name w:val="Number Level 3 Char"/>
    <w:basedOn w:val="DefaultParagraphFont"/>
    <w:link w:val="NumberLevel3"/>
    <w:uiPriority w:val="3"/>
    <w:rsid w:val="00E276B3"/>
    <w:rPr>
      <w:rFonts w:ascii="Calibri" w:hAnsi="Calibri"/>
    </w:rPr>
  </w:style>
  <w:style w:type="paragraph" w:customStyle="1" w:styleId="Tabletitle">
    <w:name w:val="Table title"/>
    <w:basedOn w:val="Normal"/>
    <w:link w:val="TabletitleChar"/>
    <w:uiPriority w:val="6"/>
    <w:rsid w:val="00E276B3"/>
  </w:style>
  <w:style w:type="character" w:customStyle="1" w:styleId="TabletitleChar">
    <w:name w:val="Table title Char"/>
    <w:basedOn w:val="DefaultParagraphFont"/>
    <w:link w:val="Tabletitle"/>
    <w:uiPriority w:val="6"/>
    <w:rsid w:val="00E276B3"/>
    <w:rPr>
      <w:rFonts w:ascii="Calibri" w:hAnsi="Calibri"/>
    </w:rPr>
  </w:style>
  <w:style w:type="paragraph" w:customStyle="1" w:styleId="Tablelegend">
    <w:name w:val="Table legend"/>
    <w:basedOn w:val="Normal"/>
    <w:link w:val="TablelegendChar"/>
    <w:uiPriority w:val="6"/>
    <w:rsid w:val="00E276B3"/>
  </w:style>
  <w:style w:type="character" w:customStyle="1" w:styleId="TablelegendChar">
    <w:name w:val="Table legend Char"/>
    <w:basedOn w:val="DefaultParagraphFont"/>
    <w:link w:val="Tablelegend"/>
    <w:uiPriority w:val="6"/>
    <w:rsid w:val="00E276B3"/>
    <w:rPr>
      <w:rFonts w:ascii="Calibri" w:hAnsi="Calibri"/>
    </w:rPr>
  </w:style>
  <w:style w:type="paragraph" w:customStyle="1" w:styleId="Figurelegend">
    <w:name w:val="Figure legend"/>
    <w:basedOn w:val="Normal"/>
    <w:link w:val="FigurelegendChar"/>
    <w:uiPriority w:val="6"/>
    <w:rsid w:val="00E276B3"/>
  </w:style>
  <w:style w:type="character" w:customStyle="1" w:styleId="FigurelegendChar">
    <w:name w:val="Figure legend Char"/>
    <w:basedOn w:val="DefaultParagraphFont"/>
    <w:link w:val="Figurelegend"/>
    <w:uiPriority w:val="6"/>
    <w:rsid w:val="00E276B3"/>
    <w:rPr>
      <w:rFonts w:ascii="Calibri" w:hAnsi="Calibri"/>
    </w:rPr>
  </w:style>
  <w:style w:type="paragraph" w:customStyle="1" w:styleId="Author">
    <w:name w:val="Author"/>
    <w:basedOn w:val="Normal"/>
    <w:link w:val="AuthorChar"/>
    <w:uiPriority w:val="6"/>
    <w:rsid w:val="00E276B3"/>
  </w:style>
  <w:style w:type="character" w:customStyle="1" w:styleId="AuthorChar">
    <w:name w:val="Author Char"/>
    <w:basedOn w:val="DefaultParagraphFont"/>
    <w:link w:val="Author"/>
    <w:uiPriority w:val="6"/>
    <w:rsid w:val="00E276B3"/>
    <w:rPr>
      <w:rFonts w:ascii="Calibri" w:hAnsi="Calibri"/>
    </w:rPr>
  </w:style>
  <w:style w:type="paragraph" w:customStyle="1" w:styleId="Tablefootnote">
    <w:name w:val="Table footnote"/>
    <w:basedOn w:val="Normal"/>
    <w:link w:val="TablefootnoteChar"/>
    <w:uiPriority w:val="6"/>
    <w:rsid w:val="00E276B3"/>
  </w:style>
  <w:style w:type="character" w:customStyle="1" w:styleId="TablefootnoteChar">
    <w:name w:val="Table footnote Char"/>
    <w:basedOn w:val="DefaultParagraphFont"/>
    <w:link w:val="Tablefootnote"/>
    <w:uiPriority w:val="6"/>
    <w:rsid w:val="00E276B3"/>
    <w:rPr>
      <w:rFonts w:ascii="Calibri" w:hAnsi="Calibri"/>
    </w:rPr>
  </w:style>
  <w:style w:type="character" w:customStyle="1" w:styleId="BodyTextChar1">
    <w:name w:val="Body Text Char1"/>
    <w:basedOn w:val="DefaultParagraphFont"/>
    <w:uiPriority w:val="99"/>
    <w:semiHidden/>
    <w:rsid w:val="00E276B3"/>
  </w:style>
  <w:style w:type="table" w:customStyle="1" w:styleId="SGM">
    <w:name w:val="SGM"/>
    <w:basedOn w:val="TableNormal"/>
    <w:uiPriority w:val="99"/>
    <w:rsid w:val="00E276B3"/>
    <w:rPr>
      <w:rFonts w:ascii="Calibri" w:hAnsi="Calibri"/>
    </w:rPr>
    <w:tblPr/>
  </w:style>
  <w:style w:type="table" w:customStyle="1" w:styleId="SGMGreen">
    <w:name w:val="SGM Green"/>
    <w:basedOn w:val="TableNormal"/>
    <w:uiPriority w:val="99"/>
    <w:rsid w:val="00E276B3"/>
    <w:rPr>
      <w:rFonts w:ascii="Calibri" w:hAnsi="Calibri"/>
    </w:rPr>
    <w:tblPr>
      <w:tblStyleRowBandSize w:val="1"/>
      <w:tblBorders>
        <w:bottom w:val="single" w:sz="8" w:space="0" w:color="auto"/>
      </w:tblBorders>
    </w:tblPr>
    <w:tblStylePr w:type="firstRow">
      <w:tblPr/>
      <w:tcPr>
        <w:tcBorders>
          <w:top w:val="single" w:sz="8" w:space="0" w:color="auto"/>
          <w:left w:val="nil"/>
          <w:bottom w:val="single" w:sz="8" w:space="0" w:color="auto"/>
          <w:right w:val="nil"/>
          <w:insideH w:val="nil"/>
          <w:insideV w:val="nil"/>
          <w:tl2br w:val="nil"/>
          <w:tr2bl w:val="nil"/>
        </w:tcBorders>
      </w:tcPr>
    </w:tblStylePr>
    <w:tblStylePr w:type="lastRow">
      <w:tblPr/>
      <w:tcPr>
        <w:tcBorders>
          <w:bottom w:val="nil"/>
        </w:tcBorders>
      </w:tcPr>
    </w:tblStylePr>
    <w:tblStylePr w:type="band1Horz">
      <w:tblPr/>
      <w:tcPr>
        <w:shd w:val="clear" w:color="auto" w:fill="C1FFEF"/>
      </w:tcPr>
    </w:tblStylePr>
    <w:tblStylePr w:type="band2Horz">
      <w:rPr>
        <w:color w:val="000000" w:themeColor="text1"/>
      </w:rPr>
    </w:tblStylePr>
  </w:style>
  <w:style w:type="table" w:customStyle="1" w:styleId="SGMOrange">
    <w:name w:val="SGM Orange"/>
    <w:basedOn w:val="LightShading"/>
    <w:uiPriority w:val="99"/>
    <w:locked/>
    <w:rsid w:val="00E276B3"/>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i w:val="0"/>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left w:val="nil"/>
          <w:bottom w:val="nil"/>
          <w:right w:val="nil"/>
          <w:insideH w:val="nil"/>
          <w:insideV w:val="nil"/>
          <w:tl2br w:val="nil"/>
          <w:tr2bl w:val="nil"/>
        </w:tcBorders>
        <w:shd w:val="clear" w:color="auto" w:fill="FDE9D9"/>
      </w:tcPr>
    </w:tblStylePr>
  </w:style>
  <w:style w:type="table" w:styleId="LightShading">
    <w:name w:val="Light Shading"/>
    <w:basedOn w:val="TableNormal"/>
    <w:uiPriority w:val="60"/>
    <w:rsid w:val="00E276B3"/>
    <w:rPr>
      <w:rFonts w:ascii="Calibri" w:hAnsi="Calibr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E276B3"/>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E276B3"/>
    <w:rPr>
      <w:rFonts w:ascii="Calibri" w:hAnsi="Calibr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Grid">
    <w:name w:val="Light Grid"/>
    <w:basedOn w:val="TableNormal"/>
    <w:uiPriority w:val="62"/>
    <w:rsid w:val="00E276B3"/>
    <w:rPr>
      <w:rFonts w:ascii="Calibri" w:hAnsi="Calibr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DarkList">
    <w:name w:val="Dark List"/>
    <w:basedOn w:val="TableNormal"/>
    <w:uiPriority w:val="70"/>
    <w:rsid w:val="00E276B3"/>
    <w:rPr>
      <w:rFonts w:ascii="Calibri" w:hAnsi="Calibri"/>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numbering" w:customStyle="1" w:styleId="Bullets">
    <w:name w:val="Bullets"/>
    <w:uiPriority w:val="99"/>
    <w:rsid w:val="00302B62"/>
    <w:pPr>
      <w:numPr>
        <w:numId w:val="13"/>
      </w:numPr>
    </w:pPr>
  </w:style>
  <w:style w:type="paragraph" w:customStyle="1" w:styleId="Bulletlevel3">
    <w:name w:val="Bullet level 3"/>
    <w:basedOn w:val="BulletLevel2"/>
    <w:link w:val="Bulletlevel3Char"/>
    <w:uiPriority w:val="5"/>
    <w:qFormat/>
    <w:rsid w:val="00302B62"/>
    <w:pPr>
      <w:numPr>
        <w:ilvl w:val="2"/>
      </w:numPr>
    </w:pPr>
  </w:style>
  <w:style w:type="character" w:customStyle="1" w:styleId="Bulletlevel3Char">
    <w:name w:val="Bullet level 3 Char"/>
    <w:basedOn w:val="BulletLevel2Char"/>
    <w:link w:val="Bulletlevel3"/>
    <w:uiPriority w:val="5"/>
    <w:rsid w:val="00302B62"/>
    <w:rPr>
      <w:rFonts w:ascii="Calibri" w:hAnsi="Calibri"/>
    </w:rPr>
  </w:style>
  <w:style w:type="numbering" w:customStyle="1" w:styleId="Numbers">
    <w:name w:val="Numbers"/>
    <w:uiPriority w:val="99"/>
    <w:rsid w:val="00302B62"/>
    <w:pPr>
      <w:numPr>
        <w:numId w:val="15"/>
      </w:numPr>
    </w:pPr>
  </w:style>
  <w:style w:type="numbering" w:customStyle="1" w:styleId="Headings">
    <w:name w:val="Headings"/>
    <w:uiPriority w:val="99"/>
    <w:rsid w:val="00302B62"/>
    <w:pPr>
      <w:numPr>
        <w:numId w:val="17"/>
      </w:numPr>
    </w:pPr>
  </w:style>
  <w:style w:type="paragraph" w:customStyle="1" w:styleId="AppendixTitle">
    <w:name w:val="Appendix Title"/>
    <w:basedOn w:val="Heading1"/>
    <w:next w:val="Normal"/>
    <w:uiPriority w:val="5"/>
    <w:qFormat/>
    <w:rsid w:val="00302B62"/>
    <w:pPr>
      <w:numPr>
        <w:numId w:val="19"/>
      </w:numPr>
    </w:pPr>
  </w:style>
  <w:style w:type="numbering" w:customStyle="1" w:styleId="Appendix">
    <w:name w:val="Appendix"/>
    <w:uiPriority w:val="99"/>
    <w:rsid w:val="00302B62"/>
    <w:pPr>
      <w:numPr>
        <w:numId w:val="19"/>
      </w:numPr>
    </w:pPr>
  </w:style>
  <w:style w:type="paragraph" w:customStyle="1" w:styleId="TDAcknowledgments">
    <w:name w:val="TD_Acknowledgments"/>
    <w:basedOn w:val="Normal"/>
    <w:next w:val="Normal"/>
    <w:link w:val="TDAcknowledgmentsChar"/>
    <w:autoRedefine/>
    <w:rsid w:val="00476ABF"/>
    <w:rPr>
      <w:i/>
    </w:rPr>
  </w:style>
  <w:style w:type="character" w:customStyle="1" w:styleId="TDAcknowledgmentsChar">
    <w:name w:val="TD_Acknowledgments Char"/>
    <w:link w:val="TDAcknowledgments"/>
    <w:rsid w:val="00476ABF"/>
    <w:rPr>
      <w:rFonts w:eastAsia="Times New Roman" w:cs="Times New Roman"/>
      <w:i/>
      <w:kern w:val="20"/>
      <w:sz w:val="24"/>
      <w:szCs w:val="24"/>
      <w:lang w:val="en-US"/>
    </w:rPr>
  </w:style>
  <w:style w:type="character" w:customStyle="1" w:styleId="fn">
    <w:name w:val="fn"/>
    <w:basedOn w:val="DefaultParagraphFont"/>
    <w:rsid w:val="00476ABF"/>
  </w:style>
  <w:style w:type="character" w:customStyle="1" w:styleId="year">
    <w:name w:val="year"/>
    <w:basedOn w:val="DefaultParagraphFont"/>
    <w:rsid w:val="00476ABF"/>
  </w:style>
  <w:style w:type="character" w:customStyle="1" w:styleId="RedChar">
    <w:name w:val="RedChar"/>
    <w:basedOn w:val="DefaultParagraphFont"/>
    <w:uiPriority w:val="3"/>
    <w:qFormat/>
    <w:rsid w:val="00E276B3"/>
    <w:rPr>
      <w:color w:val="FF0000"/>
    </w:rPr>
  </w:style>
  <w:style w:type="character" w:customStyle="1" w:styleId="GreenChar0">
    <w:name w:val="GreenChar"/>
    <w:basedOn w:val="DefaultParagraphFont"/>
    <w:rsid w:val="00E276B3"/>
    <w:rPr>
      <w:color w:val="006600"/>
    </w:rPr>
  </w:style>
  <w:style w:type="numbering" w:customStyle="1" w:styleId="Linked">
    <w:name w:val="Linked"/>
    <w:uiPriority w:val="99"/>
    <w:rsid w:val="00E276B3"/>
    <w:pPr>
      <w:numPr>
        <w:numId w:val="30"/>
      </w:numPr>
    </w:pPr>
  </w:style>
  <w:style w:type="paragraph" w:styleId="Revision">
    <w:name w:val="Revision"/>
    <w:hidden/>
    <w:uiPriority w:val="99"/>
    <w:semiHidden/>
    <w:rsid w:val="00AB51C0"/>
    <w:rPr>
      <w:rFonts w:eastAsiaTheme="minorEastAsia"/>
      <w:sz w:val="24"/>
      <w:szCs w:val="24"/>
    </w:rPr>
  </w:style>
  <w:style w:type="paragraph" w:customStyle="1" w:styleId="m-7739869830136389550western">
    <w:name w:val="m_-7739869830136389550western"/>
    <w:basedOn w:val="Normal"/>
    <w:rsid w:val="00204A1C"/>
    <w:pPr>
      <w:spacing w:before="100" w:beforeAutospacing="1" w:after="100" w:afterAutospacing="1"/>
    </w:pPr>
    <w:rPr>
      <w:rFonts w:ascii="Times" w:hAnsi="Times"/>
      <w:sz w:val="20"/>
      <w:szCs w:val="20"/>
    </w:rPr>
  </w:style>
  <w:style w:type="character" w:customStyle="1" w:styleId="UnresolvedMention1">
    <w:name w:val="Unresolved Mention1"/>
    <w:basedOn w:val="DefaultParagraphFont"/>
    <w:uiPriority w:val="99"/>
    <w:semiHidden/>
    <w:unhideWhenUsed/>
    <w:rsid w:val="00C56843"/>
    <w:rPr>
      <w:color w:val="605E5C"/>
      <w:shd w:val="clear" w:color="auto" w:fill="E1DFDD"/>
    </w:rPr>
  </w:style>
  <w:style w:type="character" w:customStyle="1" w:styleId="UnresolvedMention2">
    <w:name w:val="Unresolved Mention2"/>
    <w:basedOn w:val="DefaultParagraphFont"/>
    <w:uiPriority w:val="99"/>
    <w:semiHidden/>
    <w:unhideWhenUsed/>
    <w:rsid w:val="00542225"/>
    <w:rPr>
      <w:color w:val="605E5C"/>
      <w:shd w:val="clear" w:color="auto" w:fill="E1DFDD"/>
    </w:rPr>
  </w:style>
  <w:style w:type="character" w:customStyle="1" w:styleId="UnresolvedMention3">
    <w:name w:val="Unresolved Mention3"/>
    <w:basedOn w:val="DefaultParagraphFont"/>
    <w:uiPriority w:val="99"/>
    <w:semiHidden/>
    <w:unhideWhenUsed/>
    <w:rsid w:val="0061456E"/>
    <w:rPr>
      <w:color w:val="605E5C"/>
      <w:shd w:val="clear" w:color="auto" w:fill="E1DFDD"/>
    </w:rPr>
  </w:style>
  <w:style w:type="character" w:customStyle="1" w:styleId="UnresolvedMention4">
    <w:name w:val="Unresolved Mention4"/>
    <w:basedOn w:val="DefaultParagraphFont"/>
    <w:uiPriority w:val="99"/>
    <w:semiHidden/>
    <w:unhideWhenUsed/>
    <w:rsid w:val="008E5560"/>
    <w:rPr>
      <w:color w:val="605E5C"/>
      <w:shd w:val="clear" w:color="auto" w:fill="E1DFDD"/>
    </w:rPr>
  </w:style>
  <w:style w:type="character" w:styleId="UnresolvedMention">
    <w:name w:val="Unresolved Mention"/>
    <w:basedOn w:val="DefaultParagraphFont"/>
    <w:uiPriority w:val="99"/>
    <w:semiHidden/>
    <w:unhideWhenUsed/>
    <w:rsid w:val="008F74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31994">
      <w:bodyDiv w:val="1"/>
      <w:marLeft w:val="0"/>
      <w:marRight w:val="0"/>
      <w:marTop w:val="0"/>
      <w:marBottom w:val="0"/>
      <w:divBdr>
        <w:top w:val="none" w:sz="0" w:space="0" w:color="auto"/>
        <w:left w:val="none" w:sz="0" w:space="0" w:color="auto"/>
        <w:bottom w:val="none" w:sz="0" w:space="0" w:color="auto"/>
        <w:right w:val="none" w:sz="0" w:space="0" w:color="auto"/>
      </w:divBdr>
    </w:div>
    <w:div w:id="95564432">
      <w:bodyDiv w:val="1"/>
      <w:marLeft w:val="0"/>
      <w:marRight w:val="0"/>
      <w:marTop w:val="0"/>
      <w:marBottom w:val="0"/>
      <w:divBdr>
        <w:top w:val="none" w:sz="0" w:space="0" w:color="auto"/>
        <w:left w:val="none" w:sz="0" w:space="0" w:color="auto"/>
        <w:bottom w:val="none" w:sz="0" w:space="0" w:color="auto"/>
        <w:right w:val="none" w:sz="0" w:space="0" w:color="auto"/>
      </w:divBdr>
    </w:div>
    <w:div w:id="253438203">
      <w:bodyDiv w:val="1"/>
      <w:marLeft w:val="0"/>
      <w:marRight w:val="0"/>
      <w:marTop w:val="0"/>
      <w:marBottom w:val="0"/>
      <w:divBdr>
        <w:top w:val="none" w:sz="0" w:space="0" w:color="auto"/>
        <w:left w:val="none" w:sz="0" w:space="0" w:color="auto"/>
        <w:bottom w:val="none" w:sz="0" w:space="0" w:color="auto"/>
        <w:right w:val="none" w:sz="0" w:space="0" w:color="auto"/>
      </w:divBdr>
      <w:divsChild>
        <w:div w:id="2036927009">
          <w:marLeft w:val="0"/>
          <w:marRight w:val="0"/>
          <w:marTop w:val="0"/>
          <w:marBottom w:val="0"/>
          <w:divBdr>
            <w:top w:val="none" w:sz="0" w:space="0" w:color="auto"/>
            <w:left w:val="none" w:sz="0" w:space="0" w:color="auto"/>
            <w:bottom w:val="none" w:sz="0" w:space="0" w:color="auto"/>
            <w:right w:val="none" w:sz="0" w:space="0" w:color="auto"/>
          </w:divBdr>
          <w:divsChild>
            <w:div w:id="214708023">
              <w:marLeft w:val="0"/>
              <w:marRight w:val="0"/>
              <w:marTop w:val="0"/>
              <w:marBottom w:val="0"/>
              <w:divBdr>
                <w:top w:val="none" w:sz="0" w:space="0" w:color="auto"/>
                <w:left w:val="none" w:sz="0" w:space="0" w:color="auto"/>
                <w:bottom w:val="none" w:sz="0" w:space="0" w:color="auto"/>
                <w:right w:val="none" w:sz="0" w:space="0" w:color="auto"/>
              </w:divBdr>
              <w:divsChild>
                <w:div w:id="1045368880">
                  <w:marLeft w:val="0"/>
                  <w:marRight w:val="0"/>
                  <w:marTop w:val="0"/>
                  <w:marBottom w:val="0"/>
                  <w:divBdr>
                    <w:top w:val="none" w:sz="0" w:space="0" w:color="auto"/>
                    <w:left w:val="none" w:sz="0" w:space="0" w:color="auto"/>
                    <w:bottom w:val="none" w:sz="0" w:space="0" w:color="auto"/>
                    <w:right w:val="none" w:sz="0" w:space="0" w:color="auto"/>
                  </w:divBdr>
                  <w:divsChild>
                    <w:div w:id="211015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562913">
      <w:bodyDiv w:val="1"/>
      <w:marLeft w:val="0"/>
      <w:marRight w:val="0"/>
      <w:marTop w:val="0"/>
      <w:marBottom w:val="0"/>
      <w:divBdr>
        <w:top w:val="none" w:sz="0" w:space="0" w:color="auto"/>
        <w:left w:val="none" w:sz="0" w:space="0" w:color="auto"/>
        <w:bottom w:val="none" w:sz="0" w:space="0" w:color="auto"/>
        <w:right w:val="none" w:sz="0" w:space="0" w:color="auto"/>
      </w:divBdr>
    </w:div>
    <w:div w:id="639455265">
      <w:bodyDiv w:val="1"/>
      <w:marLeft w:val="0"/>
      <w:marRight w:val="0"/>
      <w:marTop w:val="0"/>
      <w:marBottom w:val="0"/>
      <w:divBdr>
        <w:top w:val="none" w:sz="0" w:space="0" w:color="auto"/>
        <w:left w:val="none" w:sz="0" w:space="0" w:color="auto"/>
        <w:bottom w:val="none" w:sz="0" w:space="0" w:color="auto"/>
        <w:right w:val="none" w:sz="0" w:space="0" w:color="auto"/>
      </w:divBdr>
    </w:div>
    <w:div w:id="683094501">
      <w:bodyDiv w:val="1"/>
      <w:marLeft w:val="0"/>
      <w:marRight w:val="0"/>
      <w:marTop w:val="0"/>
      <w:marBottom w:val="0"/>
      <w:divBdr>
        <w:top w:val="none" w:sz="0" w:space="0" w:color="auto"/>
        <w:left w:val="none" w:sz="0" w:space="0" w:color="auto"/>
        <w:bottom w:val="none" w:sz="0" w:space="0" w:color="auto"/>
        <w:right w:val="none" w:sz="0" w:space="0" w:color="auto"/>
      </w:divBdr>
    </w:div>
    <w:div w:id="829520276">
      <w:bodyDiv w:val="1"/>
      <w:marLeft w:val="0"/>
      <w:marRight w:val="0"/>
      <w:marTop w:val="0"/>
      <w:marBottom w:val="0"/>
      <w:divBdr>
        <w:top w:val="none" w:sz="0" w:space="0" w:color="auto"/>
        <w:left w:val="none" w:sz="0" w:space="0" w:color="auto"/>
        <w:bottom w:val="none" w:sz="0" w:space="0" w:color="auto"/>
        <w:right w:val="none" w:sz="0" w:space="0" w:color="auto"/>
      </w:divBdr>
    </w:div>
    <w:div w:id="836262213">
      <w:bodyDiv w:val="1"/>
      <w:marLeft w:val="0"/>
      <w:marRight w:val="0"/>
      <w:marTop w:val="0"/>
      <w:marBottom w:val="0"/>
      <w:divBdr>
        <w:top w:val="none" w:sz="0" w:space="0" w:color="auto"/>
        <w:left w:val="none" w:sz="0" w:space="0" w:color="auto"/>
        <w:bottom w:val="none" w:sz="0" w:space="0" w:color="auto"/>
        <w:right w:val="none" w:sz="0" w:space="0" w:color="auto"/>
      </w:divBdr>
    </w:div>
    <w:div w:id="904334917">
      <w:bodyDiv w:val="1"/>
      <w:marLeft w:val="0"/>
      <w:marRight w:val="0"/>
      <w:marTop w:val="0"/>
      <w:marBottom w:val="0"/>
      <w:divBdr>
        <w:top w:val="none" w:sz="0" w:space="0" w:color="auto"/>
        <w:left w:val="none" w:sz="0" w:space="0" w:color="auto"/>
        <w:bottom w:val="none" w:sz="0" w:space="0" w:color="auto"/>
        <w:right w:val="none" w:sz="0" w:space="0" w:color="auto"/>
      </w:divBdr>
    </w:div>
    <w:div w:id="955913972">
      <w:bodyDiv w:val="1"/>
      <w:marLeft w:val="0"/>
      <w:marRight w:val="0"/>
      <w:marTop w:val="0"/>
      <w:marBottom w:val="0"/>
      <w:divBdr>
        <w:top w:val="none" w:sz="0" w:space="0" w:color="auto"/>
        <w:left w:val="none" w:sz="0" w:space="0" w:color="auto"/>
        <w:bottom w:val="none" w:sz="0" w:space="0" w:color="auto"/>
        <w:right w:val="none" w:sz="0" w:space="0" w:color="auto"/>
      </w:divBdr>
    </w:div>
    <w:div w:id="998459557">
      <w:bodyDiv w:val="1"/>
      <w:marLeft w:val="0"/>
      <w:marRight w:val="0"/>
      <w:marTop w:val="0"/>
      <w:marBottom w:val="0"/>
      <w:divBdr>
        <w:top w:val="none" w:sz="0" w:space="0" w:color="auto"/>
        <w:left w:val="none" w:sz="0" w:space="0" w:color="auto"/>
        <w:bottom w:val="none" w:sz="0" w:space="0" w:color="auto"/>
        <w:right w:val="none" w:sz="0" w:space="0" w:color="auto"/>
      </w:divBdr>
    </w:div>
    <w:div w:id="1117337720">
      <w:bodyDiv w:val="1"/>
      <w:marLeft w:val="0"/>
      <w:marRight w:val="0"/>
      <w:marTop w:val="0"/>
      <w:marBottom w:val="0"/>
      <w:divBdr>
        <w:top w:val="none" w:sz="0" w:space="0" w:color="auto"/>
        <w:left w:val="none" w:sz="0" w:space="0" w:color="auto"/>
        <w:bottom w:val="none" w:sz="0" w:space="0" w:color="auto"/>
        <w:right w:val="none" w:sz="0" w:space="0" w:color="auto"/>
      </w:divBdr>
    </w:div>
    <w:div w:id="1370105071">
      <w:bodyDiv w:val="1"/>
      <w:marLeft w:val="0"/>
      <w:marRight w:val="0"/>
      <w:marTop w:val="0"/>
      <w:marBottom w:val="0"/>
      <w:divBdr>
        <w:top w:val="none" w:sz="0" w:space="0" w:color="auto"/>
        <w:left w:val="none" w:sz="0" w:space="0" w:color="auto"/>
        <w:bottom w:val="none" w:sz="0" w:space="0" w:color="auto"/>
        <w:right w:val="none" w:sz="0" w:space="0" w:color="auto"/>
      </w:divBdr>
    </w:div>
    <w:div w:id="1438255326">
      <w:bodyDiv w:val="1"/>
      <w:marLeft w:val="0"/>
      <w:marRight w:val="0"/>
      <w:marTop w:val="0"/>
      <w:marBottom w:val="0"/>
      <w:divBdr>
        <w:top w:val="none" w:sz="0" w:space="0" w:color="auto"/>
        <w:left w:val="none" w:sz="0" w:space="0" w:color="auto"/>
        <w:bottom w:val="none" w:sz="0" w:space="0" w:color="auto"/>
        <w:right w:val="none" w:sz="0" w:space="0" w:color="auto"/>
      </w:divBdr>
    </w:div>
    <w:div w:id="1630087455">
      <w:bodyDiv w:val="1"/>
      <w:marLeft w:val="0"/>
      <w:marRight w:val="0"/>
      <w:marTop w:val="0"/>
      <w:marBottom w:val="0"/>
      <w:divBdr>
        <w:top w:val="none" w:sz="0" w:space="0" w:color="auto"/>
        <w:left w:val="none" w:sz="0" w:space="0" w:color="auto"/>
        <w:bottom w:val="none" w:sz="0" w:space="0" w:color="auto"/>
        <w:right w:val="none" w:sz="0" w:space="0" w:color="auto"/>
      </w:divBdr>
    </w:div>
    <w:div w:id="1680306794">
      <w:bodyDiv w:val="1"/>
      <w:marLeft w:val="0"/>
      <w:marRight w:val="0"/>
      <w:marTop w:val="0"/>
      <w:marBottom w:val="0"/>
      <w:divBdr>
        <w:top w:val="none" w:sz="0" w:space="0" w:color="auto"/>
        <w:left w:val="none" w:sz="0" w:space="0" w:color="auto"/>
        <w:bottom w:val="none" w:sz="0" w:space="0" w:color="auto"/>
        <w:right w:val="none" w:sz="0" w:space="0" w:color="auto"/>
      </w:divBdr>
    </w:div>
    <w:div w:id="1781608797">
      <w:bodyDiv w:val="1"/>
      <w:marLeft w:val="0"/>
      <w:marRight w:val="0"/>
      <w:marTop w:val="0"/>
      <w:marBottom w:val="0"/>
      <w:divBdr>
        <w:top w:val="none" w:sz="0" w:space="0" w:color="auto"/>
        <w:left w:val="none" w:sz="0" w:space="0" w:color="auto"/>
        <w:bottom w:val="none" w:sz="0" w:space="0" w:color="auto"/>
        <w:right w:val="none" w:sz="0" w:space="0" w:color="auto"/>
      </w:divBdr>
    </w:div>
    <w:div w:id="1899658482">
      <w:bodyDiv w:val="1"/>
      <w:marLeft w:val="0"/>
      <w:marRight w:val="0"/>
      <w:marTop w:val="0"/>
      <w:marBottom w:val="0"/>
      <w:divBdr>
        <w:top w:val="none" w:sz="0" w:space="0" w:color="auto"/>
        <w:left w:val="none" w:sz="0" w:space="0" w:color="auto"/>
        <w:bottom w:val="none" w:sz="0" w:space="0" w:color="auto"/>
        <w:right w:val="none" w:sz="0" w:space="0" w:color="auto"/>
      </w:divBdr>
    </w:div>
    <w:div w:id="1913737368">
      <w:bodyDiv w:val="1"/>
      <w:marLeft w:val="0"/>
      <w:marRight w:val="0"/>
      <w:marTop w:val="0"/>
      <w:marBottom w:val="0"/>
      <w:divBdr>
        <w:top w:val="none" w:sz="0" w:space="0" w:color="auto"/>
        <w:left w:val="none" w:sz="0" w:space="0" w:color="auto"/>
        <w:bottom w:val="none" w:sz="0" w:space="0" w:color="auto"/>
        <w:right w:val="none" w:sz="0" w:space="0" w:color="auto"/>
      </w:divBdr>
    </w:div>
    <w:div w:id="1924334915">
      <w:bodyDiv w:val="1"/>
      <w:marLeft w:val="0"/>
      <w:marRight w:val="0"/>
      <w:marTop w:val="0"/>
      <w:marBottom w:val="0"/>
      <w:divBdr>
        <w:top w:val="none" w:sz="0" w:space="0" w:color="auto"/>
        <w:left w:val="none" w:sz="0" w:space="0" w:color="auto"/>
        <w:bottom w:val="none" w:sz="0" w:space="0" w:color="auto"/>
        <w:right w:val="none" w:sz="0" w:space="0" w:color="auto"/>
      </w:divBdr>
      <w:divsChild>
        <w:div w:id="195194287">
          <w:marLeft w:val="0"/>
          <w:marRight w:val="0"/>
          <w:marTop w:val="0"/>
          <w:marBottom w:val="0"/>
          <w:divBdr>
            <w:top w:val="none" w:sz="0" w:space="0" w:color="auto"/>
            <w:left w:val="none" w:sz="0" w:space="0" w:color="auto"/>
            <w:bottom w:val="none" w:sz="0" w:space="0" w:color="auto"/>
            <w:right w:val="none" w:sz="0" w:space="0" w:color="auto"/>
          </w:divBdr>
          <w:divsChild>
            <w:div w:id="405341661">
              <w:marLeft w:val="0"/>
              <w:marRight w:val="0"/>
              <w:marTop w:val="0"/>
              <w:marBottom w:val="0"/>
              <w:divBdr>
                <w:top w:val="none" w:sz="0" w:space="0" w:color="auto"/>
                <w:left w:val="none" w:sz="0" w:space="0" w:color="auto"/>
                <w:bottom w:val="none" w:sz="0" w:space="0" w:color="auto"/>
                <w:right w:val="none" w:sz="0" w:space="0" w:color="auto"/>
              </w:divBdr>
              <w:divsChild>
                <w:div w:id="1321537614">
                  <w:marLeft w:val="0"/>
                  <w:marRight w:val="0"/>
                  <w:marTop w:val="0"/>
                  <w:marBottom w:val="0"/>
                  <w:divBdr>
                    <w:top w:val="none" w:sz="0" w:space="0" w:color="auto"/>
                    <w:left w:val="none" w:sz="0" w:space="0" w:color="auto"/>
                    <w:bottom w:val="none" w:sz="0" w:space="0" w:color="auto"/>
                    <w:right w:val="none" w:sz="0" w:space="0" w:color="auto"/>
                  </w:divBdr>
                  <w:divsChild>
                    <w:div w:id="142541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895286">
      <w:bodyDiv w:val="1"/>
      <w:marLeft w:val="0"/>
      <w:marRight w:val="0"/>
      <w:marTop w:val="0"/>
      <w:marBottom w:val="0"/>
      <w:divBdr>
        <w:top w:val="none" w:sz="0" w:space="0" w:color="auto"/>
        <w:left w:val="none" w:sz="0" w:space="0" w:color="auto"/>
        <w:bottom w:val="none" w:sz="0" w:space="0" w:color="auto"/>
        <w:right w:val="none" w:sz="0" w:space="0" w:color="auto"/>
      </w:divBdr>
      <w:divsChild>
        <w:div w:id="1145664152">
          <w:marLeft w:val="0"/>
          <w:marRight w:val="0"/>
          <w:marTop w:val="0"/>
          <w:marBottom w:val="0"/>
          <w:divBdr>
            <w:top w:val="none" w:sz="0" w:space="0" w:color="auto"/>
            <w:left w:val="none" w:sz="0" w:space="0" w:color="auto"/>
            <w:bottom w:val="none" w:sz="0" w:space="0" w:color="auto"/>
            <w:right w:val="none" w:sz="0" w:space="0" w:color="auto"/>
          </w:divBdr>
        </w:div>
        <w:div w:id="15004668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am.shaw@ndm.ox.ac.uk" TargetMode="External"/><Relationship Id="rId13" Type="http://schemas.openxmlformats.org/officeDocument/2006/relationships/hyperlink" Target="https://github.com/JGI-Bioinformatics/albacore" TargetMode="External"/><Relationship Id="rId18" Type="http://schemas.openxmlformats.org/officeDocument/2006/relationships/hyperlink" Target="https://sanger-pathogens.github.io/Roary/"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modmedmicro.nsms.ox.ac.uk/rehab/" TargetMode="External"/><Relationship Id="rId17" Type="http://schemas.openxmlformats.org/officeDocument/2006/relationships/hyperlink" Target="https://github.com/bbuchfink/diamond" TargetMode="External"/><Relationship Id="rId2" Type="http://schemas.openxmlformats.org/officeDocument/2006/relationships/numbering" Target="numbering.xml"/><Relationship Id="rId16" Type="http://schemas.openxmlformats.org/officeDocument/2006/relationships/hyperlink" Target="https://github.com/tseemann/prokka" TargetMode="External"/><Relationship Id="rId20" Type="http://schemas.openxmlformats.org/officeDocument/2006/relationships/hyperlink" Target="https://doi.org/10.6084/m9.figshare.764905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igshare.com/articles/Hybrid_Enterobacteriaceae_assemblies_using_PacBio_Illumina_or_ONT_Illumina_sequencing/7649051"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github.com/broadinstitute/pilon" TargetMode="External"/><Relationship Id="rId23" Type="http://schemas.openxmlformats.org/officeDocument/2006/relationships/fontTable" Target="fontTable.xml"/><Relationship Id="rId10" Type="http://schemas.openxmlformats.org/officeDocument/2006/relationships/hyperlink" Target="https://www.ncbi.nlm.nih.gov/bioproject/PRJNA422511" TargetMode="External"/><Relationship Id="rId19" Type="http://schemas.openxmlformats.org/officeDocument/2006/relationships/hyperlink" Target="https://www.ncbi.nlm.nih.gov/bioproject/PRJNA422511" TargetMode="External"/><Relationship Id="rId4" Type="http://schemas.openxmlformats.org/officeDocument/2006/relationships/settings" Target="settings.xml"/><Relationship Id="rId9" Type="http://schemas.openxmlformats.org/officeDocument/2006/relationships/hyperlink" Target="mailto:nicole.stoesser@ndm.ox.ac.uk" TargetMode="External"/><Relationship Id="rId14" Type="http://schemas.openxmlformats.org/officeDocument/2006/relationships/hyperlink" Target="https://github.com/wdecoster/nanostat" TargetMode="External"/><Relationship Id="rId22" Type="http://schemas.openxmlformats.org/officeDocument/2006/relationships/header" Target="header2.xml"/></Relationships>
</file>

<file path=word/theme/theme1.xml><?xml version="1.0" encoding="utf-8"?>
<a:theme xmlns:a="http://schemas.openxmlformats.org/drawingml/2006/main" name="SGM">
  <a:themeElements>
    <a:clrScheme name="SGM">
      <a:dk1>
        <a:sysClr val="windowText" lastClr="000000"/>
      </a:dk1>
      <a:lt1>
        <a:sysClr val="window" lastClr="FFFFFF"/>
      </a:lt1>
      <a:dk2>
        <a:srgbClr val="595959"/>
      </a:dk2>
      <a:lt2>
        <a:srgbClr val="EEECE1"/>
      </a:lt2>
      <a:accent1>
        <a:srgbClr val="1F3368"/>
      </a:accent1>
      <a:accent2>
        <a:srgbClr val="FF0000"/>
      </a:accent2>
      <a:accent3>
        <a:srgbClr val="008461"/>
      </a:accent3>
      <a:accent4>
        <a:srgbClr val="0000FF"/>
      </a:accent4>
      <a:accent5>
        <a:srgbClr val="FFFF00"/>
      </a:accent5>
      <a:accent6>
        <a:srgbClr val="F79646"/>
      </a:accent6>
      <a:hlink>
        <a:srgbClr val="0000FF"/>
      </a:hlink>
      <a:folHlink>
        <a:srgbClr val="800080"/>
      </a:folHlink>
    </a:clrScheme>
    <a:fontScheme name="SGM">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8B070-21F7-1043-B8AC-0507631CD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23</Pages>
  <Words>24259</Words>
  <Characters>138278</Characters>
  <Application>Microsoft Office Word</Application>
  <DocSecurity>0</DocSecurity>
  <Lines>1152</Lines>
  <Paragraphs>324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Harriet Pope</dc:creator>
  <cp:lastModifiedBy>Liam Shaw</cp:lastModifiedBy>
  <cp:revision>162</cp:revision>
  <cp:lastPrinted>2019-01-25T20:17:00Z</cp:lastPrinted>
  <dcterms:created xsi:type="dcterms:W3CDTF">2019-07-15T10:18:00Z</dcterms:created>
  <dcterms:modified xsi:type="dcterms:W3CDTF">2019-07-18T09:15:00Z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zotero-version="5.0.69"&gt;&lt;session id="CqBIQonT"/&gt;&lt;style id="http://www.zotero.org/styles/vancouver-imperial-college-london" hasBibliography="1" bibliographyStyleHasBeenSet="1"/&gt;&lt;prefs&gt;&lt;pref name="fieldType" value="Field"/&gt;&lt;/prefs&gt;&lt;/d</vt:lpwstr>
  </property>
  <property fmtid="{D5CDD505-2E9C-101B-9397-08002B2CF9AE}" pid="3" name="ZOTERO_PREF_2">
    <vt:lpwstr>ata&gt;</vt:lpwstr>
  </property>
</Properties>
</file>