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60B91" w14:textId="1F274FB9" w:rsidR="00D2114F" w:rsidRPr="00E6339E" w:rsidRDefault="00E6339E" w:rsidP="00D2114F">
      <w:pPr>
        <w:rPr>
          <w:b/>
        </w:rPr>
      </w:pPr>
      <w:r w:rsidRPr="005A2533">
        <w:rPr>
          <w:b/>
        </w:rPr>
        <w:t xml:space="preserve">Trypanosomiasis </w:t>
      </w:r>
      <w:r w:rsidR="00CD44DE" w:rsidRPr="005A2533">
        <w:rPr>
          <w:b/>
        </w:rPr>
        <w:t>in the Democratic Republic of Congo</w:t>
      </w:r>
      <w:r w:rsidR="009F6770" w:rsidRPr="005A2533">
        <w:rPr>
          <w:b/>
        </w:rPr>
        <w:t xml:space="preserve"> </w:t>
      </w:r>
    </w:p>
    <w:p w14:paraId="4D66A7BF" w14:textId="77777777" w:rsidR="00D2114F" w:rsidRPr="003A7DCC" w:rsidRDefault="00D2114F" w:rsidP="00D2114F">
      <w:pPr>
        <w:rPr>
          <w:vertAlign w:val="superscript"/>
        </w:rPr>
      </w:pPr>
      <w:r w:rsidRPr="003A7DCC">
        <w:t xml:space="preserve">Erick </w:t>
      </w:r>
      <w:proofErr w:type="spellStart"/>
      <w:proofErr w:type="gramStart"/>
      <w:r w:rsidRPr="003A7DCC">
        <w:t>M.Miaka</w:t>
      </w:r>
      <w:proofErr w:type="spellEnd"/>
      <w:proofErr w:type="gramEnd"/>
      <w:r w:rsidRPr="003A7DCC">
        <w:t>, MD</w:t>
      </w:r>
      <w:r w:rsidRPr="003A7DCC">
        <w:rPr>
          <w:vertAlign w:val="superscript"/>
        </w:rPr>
        <w:t>1,</w:t>
      </w:r>
      <w:r w:rsidRPr="003A7DCC">
        <w:t xml:space="preserve">², </w:t>
      </w:r>
      <w:proofErr w:type="spellStart"/>
      <w:r w:rsidRPr="003A7DCC">
        <w:t>E.Hasker</w:t>
      </w:r>
      <w:proofErr w:type="spellEnd"/>
      <w:r w:rsidRPr="003A7DCC">
        <w:t>, PhD²</w:t>
      </w:r>
      <w:r w:rsidRPr="003A7DCC">
        <w:rPr>
          <w:vertAlign w:val="superscript"/>
        </w:rPr>
        <w:t>,</w:t>
      </w:r>
      <w:r w:rsidRPr="003A7DCC">
        <w:t xml:space="preserve">³, </w:t>
      </w:r>
      <w:proofErr w:type="spellStart"/>
      <w:r w:rsidRPr="003A7DCC">
        <w:t>P.Verle</w:t>
      </w:r>
      <w:proofErr w:type="spellEnd"/>
      <w:r w:rsidRPr="003A7DCC">
        <w:t>, MD²</w:t>
      </w:r>
      <w:r w:rsidRPr="003A7DCC">
        <w:rPr>
          <w:vertAlign w:val="superscript"/>
        </w:rPr>
        <w:t>,</w:t>
      </w:r>
      <w:r w:rsidRPr="003A7DCC">
        <w:t xml:space="preserve">³, </w:t>
      </w:r>
      <w:proofErr w:type="spellStart"/>
      <w:r w:rsidRPr="003A7DCC">
        <w:t>S.Torr</w:t>
      </w:r>
      <w:proofErr w:type="spellEnd"/>
      <w:r w:rsidRPr="003A7DCC">
        <w:t>, PhD²</w:t>
      </w:r>
      <w:r w:rsidRPr="003A7DCC">
        <w:rPr>
          <w:vertAlign w:val="superscript"/>
        </w:rPr>
        <w:t>,4</w:t>
      </w:r>
      <w:r w:rsidRPr="003A7DCC">
        <w:t xml:space="preserve">, </w:t>
      </w:r>
      <w:proofErr w:type="spellStart"/>
      <w:r w:rsidRPr="003A7DCC">
        <w:t>M.Boelaert</w:t>
      </w:r>
      <w:proofErr w:type="spellEnd"/>
      <w:r w:rsidRPr="003A7DCC">
        <w:t>, PhD²</w:t>
      </w:r>
      <w:r w:rsidRPr="003A7DCC">
        <w:rPr>
          <w:vertAlign w:val="superscript"/>
        </w:rPr>
        <w:t>,</w:t>
      </w:r>
      <w:r w:rsidRPr="003A7DCC">
        <w:t>³</w:t>
      </w:r>
      <w:r w:rsidRPr="003A7DCC">
        <w:br/>
      </w:r>
    </w:p>
    <w:p w14:paraId="763E1DC7" w14:textId="21B932F2" w:rsidR="00D2114F" w:rsidRPr="003A7DCC" w:rsidRDefault="00D2114F" w:rsidP="00D2114F">
      <w:r w:rsidRPr="003A7DCC">
        <w:rPr>
          <w:vertAlign w:val="superscript"/>
        </w:rPr>
        <w:t>1</w:t>
      </w:r>
      <w:r w:rsidRPr="003A7DCC">
        <w:t xml:space="preserve">Programme National de </w:t>
      </w:r>
      <w:proofErr w:type="spellStart"/>
      <w:r w:rsidRPr="003A7DCC">
        <w:t>Lutte</w:t>
      </w:r>
      <w:proofErr w:type="spellEnd"/>
      <w:r w:rsidRPr="003A7DCC">
        <w:t xml:space="preserve"> </w:t>
      </w:r>
      <w:proofErr w:type="spellStart"/>
      <w:r w:rsidRPr="003A7DCC">
        <w:t>contre</w:t>
      </w:r>
      <w:proofErr w:type="spellEnd"/>
      <w:r w:rsidRPr="003A7DCC">
        <w:t xml:space="preserve"> la </w:t>
      </w:r>
      <w:proofErr w:type="spellStart"/>
      <w:r w:rsidRPr="003A7DCC">
        <w:t>Trypanosomiase</w:t>
      </w:r>
      <w:proofErr w:type="spellEnd"/>
      <w:r w:rsidRPr="003A7DCC">
        <w:t xml:space="preserve"> </w:t>
      </w:r>
      <w:proofErr w:type="spellStart"/>
      <w:r w:rsidRPr="003A7DCC">
        <w:t>Humaine</w:t>
      </w:r>
      <w:proofErr w:type="spellEnd"/>
      <w:r w:rsidRPr="003A7DCC">
        <w:t xml:space="preserve"> </w:t>
      </w:r>
      <w:proofErr w:type="spellStart"/>
      <w:r w:rsidRPr="003A7DCC">
        <w:t>Africaine</w:t>
      </w:r>
      <w:proofErr w:type="spellEnd"/>
      <w:r w:rsidRPr="003A7DCC">
        <w:t>, Kinshasa, the Democratic Republic of Congo</w:t>
      </w:r>
    </w:p>
    <w:p w14:paraId="480961DD" w14:textId="77777777" w:rsidR="00D2114F" w:rsidRPr="003A7DCC" w:rsidRDefault="00D2114F" w:rsidP="00D2114F">
      <w:r w:rsidRPr="003A7DCC">
        <w:rPr>
          <w:vertAlign w:val="superscript"/>
        </w:rPr>
        <w:t>2</w:t>
      </w:r>
      <w:r w:rsidRPr="003A7DCC">
        <w:t>TRYP-ELIM Consortium</w:t>
      </w:r>
    </w:p>
    <w:p w14:paraId="2AFC3DD1" w14:textId="77777777" w:rsidR="00D2114F" w:rsidRPr="003A7DCC" w:rsidRDefault="00D2114F" w:rsidP="00D2114F">
      <w:r w:rsidRPr="003A7DCC">
        <w:rPr>
          <w:vertAlign w:val="superscript"/>
        </w:rPr>
        <w:t>3</w:t>
      </w:r>
      <w:r w:rsidRPr="003A7DCC">
        <w:t>Institute of Tropical Medicine, Antwerp, Belgium</w:t>
      </w:r>
    </w:p>
    <w:p w14:paraId="29DC4F4C" w14:textId="77777777" w:rsidR="00D2114F" w:rsidRPr="003A7DCC" w:rsidRDefault="00D2114F" w:rsidP="00D2114F">
      <w:r w:rsidRPr="003A7DCC">
        <w:rPr>
          <w:vertAlign w:val="superscript"/>
        </w:rPr>
        <w:t>4</w:t>
      </w:r>
      <w:r w:rsidRPr="003A7DCC">
        <w:t>Liverpool School of Tropical Medicine, Liverpool, UK</w:t>
      </w:r>
    </w:p>
    <w:p w14:paraId="03DADE52" w14:textId="77777777" w:rsidR="00B86F67" w:rsidRPr="003A7DCC" w:rsidRDefault="00B86F67" w:rsidP="00D2114F"/>
    <w:p w14:paraId="7E8F9CBE" w14:textId="77777777" w:rsidR="00B86F67" w:rsidRPr="003A7DCC" w:rsidRDefault="00B86F67" w:rsidP="00D2114F">
      <w:r w:rsidRPr="003A7DCC">
        <w:t>Corresponding author:</w:t>
      </w:r>
    </w:p>
    <w:p w14:paraId="667D24A0" w14:textId="77777777" w:rsidR="00B86F67" w:rsidRPr="003A7DCC" w:rsidRDefault="00B86F67" w:rsidP="00D2114F">
      <w:r w:rsidRPr="003A7DCC">
        <w:t xml:space="preserve">Marleen </w:t>
      </w:r>
      <w:proofErr w:type="spellStart"/>
      <w:r w:rsidRPr="003A7DCC">
        <w:t>Boelaert</w:t>
      </w:r>
      <w:proofErr w:type="spellEnd"/>
      <w:r w:rsidRPr="003A7DCC">
        <w:t xml:space="preserve">, Institute of Tropical Medicine, </w:t>
      </w:r>
      <w:proofErr w:type="spellStart"/>
      <w:r w:rsidRPr="003A7DCC">
        <w:t>Nationalestraat</w:t>
      </w:r>
      <w:proofErr w:type="spellEnd"/>
      <w:r w:rsidRPr="003A7DCC">
        <w:t xml:space="preserve"> 155, B-2000 </w:t>
      </w:r>
      <w:proofErr w:type="spellStart"/>
      <w:r w:rsidRPr="003A7DCC">
        <w:t>Antwerpen</w:t>
      </w:r>
      <w:proofErr w:type="spellEnd"/>
      <w:r w:rsidRPr="003A7DCC">
        <w:t>, Belgium</w:t>
      </w:r>
    </w:p>
    <w:p w14:paraId="69F2F4D9" w14:textId="77777777" w:rsidR="00B86F67" w:rsidRPr="003A7DCC" w:rsidRDefault="004242B1" w:rsidP="00D2114F">
      <w:hyperlink r:id="rId7" w:history="1">
        <w:r w:rsidR="00B86F67" w:rsidRPr="003A7DCC">
          <w:rPr>
            <w:rStyle w:val="Hyperlink"/>
            <w:color w:val="auto"/>
          </w:rPr>
          <w:t>mboelaert@itg.be</w:t>
        </w:r>
      </w:hyperlink>
      <w:r w:rsidR="00B86F67" w:rsidRPr="003A7DCC">
        <w:t xml:space="preserve">; </w:t>
      </w:r>
      <w:proofErr w:type="spellStart"/>
      <w:r w:rsidR="00B86F67" w:rsidRPr="003A7DCC">
        <w:t>tel</w:t>
      </w:r>
      <w:proofErr w:type="spellEnd"/>
      <w:r w:rsidR="00B86F67" w:rsidRPr="003A7DCC">
        <w:t>: +32 3 247 62 83</w:t>
      </w:r>
    </w:p>
    <w:p w14:paraId="28A82A29" w14:textId="77777777" w:rsidR="00D2114F" w:rsidRPr="003A7DCC" w:rsidRDefault="00D2114F"/>
    <w:p w14:paraId="56662E00" w14:textId="4F7037D4" w:rsidR="00E94B56" w:rsidRDefault="00E6339E" w:rsidP="003A7DCC">
      <w:pPr>
        <w:shd w:val="clear" w:color="auto" w:fill="FFFFFF"/>
      </w:pPr>
      <w:r>
        <w:t>Your Feature</w:t>
      </w:r>
      <w:r w:rsidRPr="009F6770">
        <w:rPr>
          <w:sz w:val="20"/>
          <w:vertAlign w:val="superscript"/>
        </w:rPr>
        <w:t>1</w:t>
      </w:r>
      <w:r w:rsidR="005B02DB" w:rsidRPr="003A7DCC">
        <w:t xml:space="preserve"> discusses the potential </w:t>
      </w:r>
      <w:proofErr w:type="gramStart"/>
      <w:r w:rsidR="005B02DB" w:rsidRPr="003A7DCC">
        <w:t xml:space="preserve">of </w:t>
      </w:r>
      <w:r>
        <w:t xml:space="preserve"> fexinidazole</w:t>
      </w:r>
      <w:proofErr w:type="gramEnd"/>
      <w:r>
        <w:t xml:space="preserve"> as </w:t>
      </w:r>
      <w:r w:rsidR="005B02DB" w:rsidRPr="003A7DCC">
        <w:t xml:space="preserve">the </w:t>
      </w:r>
      <w:r w:rsidR="008E4EF5" w:rsidRPr="003A7DCC">
        <w:t xml:space="preserve">first oral treatment </w:t>
      </w:r>
      <w:r w:rsidR="005B02DB" w:rsidRPr="003A7DCC">
        <w:t xml:space="preserve">for the eradication of </w:t>
      </w:r>
      <w:r w:rsidR="003A7DCC" w:rsidRPr="003A7DCC">
        <w:t xml:space="preserve">human </w:t>
      </w:r>
      <w:r w:rsidR="007123E0" w:rsidRPr="003A7DCC">
        <w:t xml:space="preserve">African </w:t>
      </w:r>
      <w:r w:rsidR="003A7DCC" w:rsidRPr="003A7DCC">
        <w:t xml:space="preserve">trypanosomiasis </w:t>
      </w:r>
      <w:r w:rsidR="007123E0" w:rsidRPr="003A7DCC">
        <w:t>(HAT)</w:t>
      </w:r>
      <w:r w:rsidR="005B02DB" w:rsidRPr="003A7DCC">
        <w:t xml:space="preserve">, </w:t>
      </w:r>
      <w:r w:rsidR="008E4EF5" w:rsidRPr="003A7DCC">
        <w:t xml:space="preserve">and how this is particularly welcome </w:t>
      </w:r>
      <w:r w:rsidR="005B02DB" w:rsidRPr="003A7DCC">
        <w:t xml:space="preserve">in light of </w:t>
      </w:r>
      <w:r w:rsidR="008E4EF5" w:rsidRPr="003A7DCC">
        <w:t xml:space="preserve">the </w:t>
      </w:r>
      <w:r w:rsidR="005B02DB" w:rsidRPr="003A7DCC">
        <w:t>recent publications about latent carriers – human</w:t>
      </w:r>
      <w:r>
        <w:t>s</w:t>
      </w:r>
      <w:r w:rsidR="008E4EF5" w:rsidRPr="003A7DCC">
        <w:t>,</w:t>
      </w:r>
      <w:r w:rsidR="005B02DB" w:rsidRPr="003A7DCC">
        <w:t xml:space="preserve"> as well as animal</w:t>
      </w:r>
      <w:r>
        <w:t>s</w:t>
      </w:r>
      <w:r w:rsidR="005B02DB" w:rsidRPr="003A7DCC">
        <w:t xml:space="preserve">. Apart from being a tremendous clinical breakthrough, this oral </w:t>
      </w:r>
      <w:proofErr w:type="gramStart"/>
      <w:r w:rsidR="005B02DB" w:rsidRPr="003A7DCC">
        <w:t xml:space="preserve">drug </w:t>
      </w:r>
      <w:r>
        <w:t xml:space="preserve"> and</w:t>
      </w:r>
      <w:proofErr w:type="gramEnd"/>
      <w:r>
        <w:t xml:space="preserve"> </w:t>
      </w:r>
      <w:proofErr w:type="spellStart"/>
      <w:r w:rsidR="005B02DB" w:rsidRPr="003A7DCC">
        <w:t>acoziborole</w:t>
      </w:r>
      <w:proofErr w:type="spellEnd"/>
      <w:r w:rsidR="005B02DB" w:rsidRPr="003A7DCC">
        <w:t xml:space="preserve"> have indeed the potential to be a gamechanger for elimination, and possibly eradication. There is a</w:t>
      </w:r>
      <w:r w:rsidR="002B3031" w:rsidRPr="003A7DCC">
        <w:t xml:space="preserve">n </w:t>
      </w:r>
      <w:r w:rsidR="005B02DB" w:rsidRPr="003A7DCC">
        <w:t>important distinction</w:t>
      </w:r>
      <w:r w:rsidR="00E94B56" w:rsidRPr="003A7DCC">
        <w:t xml:space="preserve"> between the two concept</w:t>
      </w:r>
      <w:r w:rsidR="008842FF" w:rsidRPr="003A7DCC">
        <w:t>s.</w:t>
      </w:r>
      <w:r w:rsidR="00A534D4">
        <w:t xml:space="preserve"> </w:t>
      </w:r>
      <w:r w:rsidR="00A534D4" w:rsidRPr="001F05CD">
        <w:t xml:space="preserve">Elimination </w:t>
      </w:r>
      <w:r w:rsidR="00A534D4">
        <w:t>is defined</w:t>
      </w:r>
      <w:r w:rsidR="00A534D4" w:rsidRPr="00E93B42">
        <w:rPr>
          <w:b/>
        </w:rPr>
        <w:t xml:space="preserve"> </w:t>
      </w:r>
      <w:r w:rsidR="00A534D4">
        <w:t>as “</w:t>
      </w:r>
      <w:r w:rsidR="00A534D4" w:rsidRPr="00D6535F">
        <w:rPr>
          <w:i/>
        </w:rPr>
        <w:t>reduction to zero of the incidence of disease or infection in a defined geographical area</w:t>
      </w:r>
      <w:r w:rsidR="00A534D4">
        <w:t xml:space="preserve">” opposed to </w:t>
      </w:r>
      <w:r w:rsidR="00A534D4" w:rsidRPr="00A534D4">
        <w:rPr>
          <w:bCs/>
        </w:rPr>
        <w:t>eradication</w:t>
      </w:r>
      <w:r w:rsidR="00A534D4" w:rsidRPr="00E93B42">
        <w:rPr>
          <w:b/>
        </w:rPr>
        <w:t xml:space="preserve"> </w:t>
      </w:r>
      <w:r w:rsidR="00A534D4">
        <w:t>as “</w:t>
      </w:r>
      <w:r w:rsidR="00A534D4" w:rsidRPr="00D6535F">
        <w:rPr>
          <w:i/>
        </w:rPr>
        <w:t>permanent reduction to zero of the worldwide incidence of infection</w:t>
      </w:r>
      <w:r w:rsidR="00A534D4">
        <w:t>”.</w:t>
      </w:r>
      <w:r w:rsidR="00D86BB3" w:rsidRPr="003A7DCC">
        <w:rPr>
          <w:vertAlign w:val="superscript"/>
        </w:rPr>
        <w:t>2</w:t>
      </w:r>
      <w:r w:rsidR="005B02DB" w:rsidRPr="003A7DCC">
        <w:t xml:space="preserve"> </w:t>
      </w:r>
      <w:r w:rsidR="009F6770">
        <w:t>WHO</w:t>
      </w:r>
      <w:r w:rsidR="00BC6424" w:rsidRPr="003A7DCC">
        <w:t xml:space="preserve"> </w:t>
      </w:r>
      <w:r>
        <w:t xml:space="preserve">has targeted </w:t>
      </w:r>
      <w:r w:rsidR="005B02DB" w:rsidRPr="00A534D4">
        <w:t>elimination</w:t>
      </w:r>
      <w:r w:rsidRPr="00A534D4">
        <w:t xml:space="preserve"> of HAT</w:t>
      </w:r>
      <w:r w:rsidR="00367BF3" w:rsidRPr="00A534D4">
        <w:rPr>
          <w:i/>
        </w:rPr>
        <w:t xml:space="preserve"> “</w:t>
      </w:r>
      <w:r w:rsidR="005B02DB" w:rsidRPr="00A534D4">
        <w:rPr>
          <w:i/>
        </w:rPr>
        <w:t>as a public health problem</w:t>
      </w:r>
      <w:r w:rsidR="00850C65" w:rsidRPr="00A534D4">
        <w:rPr>
          <w:i/>
        </w:rPr>
        <w:t>”</w:t>
      </w:r>
      <w:r w:rsidR="005B02DB" w:rsidRPr="003A7DCC">
        <w:t xml:space="preserve"> </w:t>
      </w:r>
      <w:r>
        <w:t xml:space="preserve">by 2020, </w:t>
      </w:r>
      <w:r w:rsidR="00A534D4" w:rsidRPr="00A534D4">
        <w:rPr>
          <w:rFonts w:cs="Arial"/>
          <w:iCs/>
        </w:rPr>
        <w:t xml:space="preserve">defined as an annual incidence rate of less than 1 per 10,000 population in 90% of </w:t>
      </w:r>
      <w:bookmarkStart w:id="0" w:name="_GoBack"/>
      <w:bookmarkEnd w:id="0"/>
      <w:r w:rsidR="00764642">
        <w:rPr>
          <w:rFonts w:cs="Arial"/>
          <w:iCs/>
        </w:rPr>
        <w:t xml:space="preserve">endemic </w:t>
      </w:r>
      <w:r w:rsidR="000C3624">
        <w:rPr>
          <w:rFonts w:cs="Arial"/>
          <w:iCs/>
        </w:rPr>
        <w:t xml:space="preserve">HAT </w:t>
      </w:r>
      <w:r w:rsidR="00764642">
        <w:rPr>
          <w:rFonts w:cs="Arial"/>
          <w:iCs/>
        </w:rPr>
        <w:t>areas,</w:t>
      </w:r>
      <w:r w:rsidR="00A534D4" w:rsidRPr="00A534D4">
        <w:rPr>
          <w:rFonts w:cs="Arial"/>
          <w:iCs/>
        </w:rPr>
        <w:t xml:space="preserve"> and a global number of HAT cases below 2000</w:t>
      </w:r>
      <w:r w:rsidR="00A534D4">
        <w:rPr>
          <w:bCs/>
        </w:rPr>
        <w:t>. In a second phase, it</w:t>
      </w:r>
      <w:r w:rsidR="00E94B56" w:rsidRPr="003A7DCC">
        <w:rPr>
          <w:bCs/>
        </w:rPr>
        <w:t xml:space="preserve"> </w:t>
      </w:r>
      <w:r>
        <w:rPr>
          <w:bCs/>
        </w:rPr>
        <w:t xml:space="preserve">aims </w:t>
      </w:r>
      <w:r w:rsidR="00D86BB3" w:rsidRPr="003A7DCC">
        <w:rPr>
          <w:bCs/>
        </w:rPr>
        <w:t xml:space="preserve">to achieve </w:t>
      </w:r>
      <w:r w:rsidR="00850C65" w:rsidRPr="003A7DCC">
        <w:t xml:space="preserve">the </w:t>
      </w:r>
      <w:r w:rsidR="005B02DB" w:rsidRPr="00A534D4">
        <w:t xml:space="preserve">elimination of </w:t>
      </w:r>
      <w:r w:rsidR="00BC6424" w:rsidRPr="00A534D4">
        <w:t>infection</w:t>
      </w:r>
      <w:r w:rsidR="005A2533">
        <w:t xml:space="preserve">, i.e. reaching and sustaining zero HAT cases by 2030. </w:t>
      </w:r>
      <w:proofErr w:type="gramStart"/>
      <w:r w:rsidR="00A534D4">
        <w:t>Therefore</w:t>
      </w:r>
      <w:proofErr w:type="gramEnd"/>
      <w:r w:rsidR="00A534D4">
        <w:t xml:space="preserve"> t</w:t>
      </w:r>
      <w:r w:rsidR="005A2533">
        <w:t xml:space="preserve">he latter is </w:t>
      </w:r>
      <w:r w:rsidR="005B02DB" w:rsidRPr="003A7DCC">
        <w:t>not</w:t>
      </w:r>
      <w:r w:rsidR="00BC6424" w:rsidRPr="003A7DCC">
        <w:t xml:space="preserve"> necessarily</w:t>
      </w:r>
      <w:r w:rsidR="005B02DB" w:rsidRPr="003A7DCC">
        <w:t xml:space="preserve"> equivalent to the </w:t>
      </w:r>
      <w:r w:rsidR="005B02DB" w:rsidRPr="00A534D4">
        <w:t>eradication</w:t>
      </w:r>
      <w:r w:rsidR="005B02DB" w:rsidRPr="003A7DCC">
        <w:t xml:space="preserve"> of the pathogen from the planet. </w:t>
      </w:r>
      <w:r>
        <w:t>W</w:t>
      </w:r>
      <w:r w:rsidRPr="003A7DCC">
        <w:t xml:space="preserve">e </w:t>
      </w:r>
      <w:r w:rsidR="005B02DB" w:rsidRPr="003A7DCC">
        <w:t xml:space="preserve">are still </w:t>
      </w:r>
      <w:r w:rsidR="00E94B56" w:rsidRPr="003A7DCC">
        <w:t>engaged</w:t>
      </w:r>
      <w:r w:rsidR="005B02DB" w:rsidRPr="003A7DCC">
        <w:t xml:space="preserve"> in the first battle</w:t>
      </w:r>
      <w:r w:rsidR="00BC6424" w:rsidRPr="003A7DCC">
        <w:t xml:space="preserve">. </w:t>
      </w:r>
      <w:r w:rsidR="00D86BB3" w:rsidRPr="003A7DCC">
        <w:t>Here is our</w:t>
      </w:r>
      <w:r w:rsidR="00BC6424" w:rsidRPr="003A7DCC">
        <w:t xml:space="preserve"> perspective from the field.</w:t>
      </w:r>
    </w:p>
    <w:p w14:paraId="28FF9E4D" w14:textId="7BA233E2" w:rsidR="005B02DB" w:rsidRPr="003A7DCC" w:rsidRDefault="00BF08AB">
      <w:r w:rsidRPr="003A7DCC">
        <w:t>T</w:t>
      </w:r>
      <w:r w:rsidR="005B02DB" w:rsidRPr="003A7DCC">
        <w:t>he Democratic Republic of Congo</w:t>
      </w:r>
      <w:r w:rsidR="00C63A79" w:rsidRPr="003A7DCC">
        <w:t xml:space="preserve"> (DRC)</w:t>
      </w:r>
      <w:r w:rsidR="005B02DB" w:rsidRPr="003A7DCC">
        <w:t xml:space="preserve"> yield</w:t>
      </w:r>
      <w:r w:rsidR="00E94B56" w:rsidRPr="003A7DCC">
        <w:t>ed</w:t>
      </w:r>
      <w:r w:rsidR="005B02DB" w:rsidRPr="003A7DCC">
        <w:t xml:space="preserve"> for many years</w:t>
      </w:r>
      <w:r w:rsidR="00D86BB3" w:rsidRPr="003A7DCC">
        <w:t xml:space="preserve"> more than </w:t>
      </w:r>
      <w:r w:rsidR="005B02DB" w:rsidRPr="003A7DCC">
        <w:t>60</w:t>
      </w:r>
      <w:r w:rsidR="00E6339E">
        <w:t>-</w:t>
      </w:r>
      <w:r w:rsidR="005B02DB" w:rsidRPr="003A7DCC">
        <w:t xml:space="preserve"> 80% of the world’s </w:t>
      </w:r>
      <w:r w:rsidR="00BC6424" w:rsidRPr="003A7DCC">
        <w:t xml:space="preserve">HAT </w:t>
      </w:r>
      <w:r w:rsidR="005B02DB" w:rsidRPr="003A7DCC">
        <w:t>caseload</w:t>
      </w:r>
      <w:r w:rsidR="00274BC5" w:rsidRPr="003A7DCC">
        <w:t>.</w:t>
      </w:r>
      <w:r w:rsidR="002F5E05" w:rsidRPr="003A7DCC">
        <w:t xml:space="preserve"> </w:t>
      </w:r>
      <w:r w:rsidR="00733B0F" w:rsidRPr="003A7DCC">
        <w:t>Recently, g</w:t>
      </w:r>
      <w:r w:rsidR="00E00E38" w:rsidRPr="003A7DCC">
        <w:t xml:space="preserve">reat progress has been made towards WHO’s goals </w:t>
      </w:r>
      <w:r w:rsidR="00E6339E">
        <w:t>for</w:t>
      </w:r>
      <w:r w:rsidR="00E6339E" w:rsidRPr="003A7DCC">
        <w:t xml:space="preserve"> </w:t>
      </w:r>
      <w:r w:rsidR="00E00E38" w:rsidRPr="003A7DCC">
        <w:t>HAT elimination</w:t>
      </w:r>
      <w:r w:rsidR="00E6339E">
        <w:t>,</w:t>
      </w:r>
      <w:r w:rsidR="00E00E38" w:rsidRPr="003A7DCC">
        <w:t xml:space="preserve"> despite a </w:t>
      </w:r>
      <w:r w:rsidR="004538EE" w:rsidRPr="003A7DCC">
        <w:t>difficult</w:t>
      </w:r>
      <w:r w:rsidR="00E00E38" w:rsidRPr="003A7DCC">
        <w:t xml:space="preserve"> political period. </w:t>
      </w:r>
      <w:r w:rsidR="00534148" w:rsidRPr="003A7DCC">
        <w:t xml:space="preserve">The strategy of the </w:t>
      </w:r>
      <w:r w:rsidR="00EA3CC7" w:rsidRPr="003A7DCC">
        <w:t>N</w:t>
      </w:r>
      <w:r w:rsidR="002F5E05" w:rsidRPr="003A7DCC">
        <w:t xml:space="preserve">ational </w:t>
      </w:r>
      <w:r w:rsidR="00EA3CC7" w:rsidRPr="003A7DCC">
        <w:t>Sleeping Sickness</w:t>
      </w:r>
      <w:r w:rsidR="002F5E05" w:rsidRPr="003A7DCC">
        <w:t xml:space="preserve"> </w:t>
      </w:r>
      <w:r w:rsidR="00EA3CC7" w:rsidRPr="003A7DCC">
        <w:t>C</w:t>
      </w:r>
      <w:r w:rsidR="005B02DB" w:rsidRPr="003A7DCC">
        <w:t xml:space="preserve">ontrol </w:t>
      </w:r>
      <w:proofErr w:type="spellStart"/>
      <w:r w:rsidR="00EA3CC7" w:rsidRPr="003A7DCC">
        <w:t>P</w:t>
      </w:r>
      <w:r w:rsidR="005B02DB" w:rsidRPr="003A7DCC">
        <w:t>rogram</w:t>
      </w:r>
      <w:r w:rsidRPr="003A7DCC">
        <w:t>me</w:t>
      </w:r>
      <w:proofErr w:type="spellEnd"/>
      <w:r w:rsidR="00274BC5" w:rsidRPr="003A7DCC">
        <w:t xml:space="preserve"> </w:t>
      </w:r>
      <w:r w:rsidR="00534148" w:rsidRPr="003A7DCC">
        <w:t>of DRC</w:t>
      </w:r>
      <w:r w:rsidR="00A24081" w:rsidRPr="003A7DCC">
        <w:t xml:space="preserve"> (PNLTHA)</w:t>
      </w:r>
      <w:r w:rsidR="00534148" w:rsidRPr="003A7DCC">
        <w:t xml:space="preserve"> </w:t>
      </w:r>
      <w:r w:rsidR="003569B6" w:rsidRPr="003A7DCC">
        <w:t>is</w:t>
      </w:r>
      <w:r w:rsidR="00534148" w:rsidRPr="003A7DCC">
        <w:t xml:space="preserve"> based on case detection and treatment</w:t>
      </w:r>
      <w:r w:rsidR="003569B6" w:rsidRPr="003A7DCC">
        <w:t>, through massive screening by mobile teams and through passive screening in fixed health structures</w:t>
      </w:r>
      <w:r w:rsidR="004B2390" w:rsidRPr="003A7DCC">
        <w:t>, in line with WHO guidelines</w:t>
      </w:r>
      <w:r w:rsidR="00534148" w:rsidRPr="003A7DCC">
        <w:t xml:space="preserve">. Since 2001, </w:t>
      </w:r>
      <w:r w:rsidR="004B2390" w:rsidRPr="003A7DCC">
        <w:t xml:space="preserve">PNLTHA </w:t>
      </w:r>
      <w:r w:rsidR="005B02DB" w:rsidRPr="003A7DCC">
        <w:t>managed to screen</w:t>
      </w:r>
      <w:r w:rsidR="002B3031" w:rsidRPr="003A7DCC">
        <w:t xml:space="preserve"> between 2</w:t>
      </w:r>
      <w:r w:rsidR="004B7EF8">
        <w:t>-</w:t>
      </w:r>
      <w:r w:rsidR="002B3031" w:rsidRPr="003A7DCC">
        <w:t xml:space="preserve"> 2.5 </w:t>
      </w:r>
      <w:r w:rsidR="005B02DB" w:rsidRPr="003A7DCC">
        <w:t xml:space="preserve">million </w:t>
      </w:r>
      <w:r w:rsidRPr="003A7DCC">
        <w:t xml:space="preserve">people </w:t>
      </w:r>
      <w:r w:rsidR="005B02DB" w:rsidRPr="003A7DCC">
        <w:t>per year</w:t>
      </w:r>
      <w:r w:rsidR="00BC6424" w:rsidRPr="003A7DCC">
        <w:t xml:space="preserve"> for HAT</w:t>
      </w:r>
      <w:r w:rsidR="005B02DB" w:rsidRPr="003A7DCC">
        <w:t xml:space="preserve">, </w:t>
      </w:r>
      <w:r w:rsidR="00504874" w:rsidRPr="003A7DCC">
        <w:t>with a dip in 2010-12</w:t>
      </w:r>
      <w:r w:rsidR="00274BC5" w:rsidRPr="003A7DCC">
        <w:t xml:space="preserve"> </w:t>
      </w:r>
      <w:r w:rsidR="00E00E38" w:rsidRPr="003A7DCC">
        <w:t>due to</w:t>
      </w:r>
      <w:r w:rsidR="00274BC5" w:rsidRPr="003A7DCC">
        <w:t xml:space="preserve"> declining donor funding</w:t>
      </w:r>
      <w:r w:rsidR="00504874" w:rsidRPr="003A7DCC">
        <w:t xml:space="preserve">. </w:t>
      </w:r>
      <w:r w:rsidR="00D86BB3" w:rsidRPr="003A7DCC">
        <w:t>T</w:t>
      </w:r>
      <w:r w:rsidR="005B02DB" w:rsidRPr="003A7DCC">
        <w:t xml:space="preserve">he number of confirmed HAT cases has steadily declined since 1998, </w:t>
      </w:r>
      <w:r w:rsidR="00BC6424" w:rsidRPr="003A7DCC">
        <w:t xml:space="preserve">in large part explained by </w:t>
      </w:r>
      <w:r w:rsidR="005B02DB" w:rsidRPr="003A7DCC">
        <w:t>this massive screening effort</w:t>
      </w:r>
      <w:r w:rsidR="00D86BB3" w:rsidRPr="003A7DCC">
        <w:t xml:space="preserve"> (figure)</w:t>
      </w:r>
      <w:r w:rsidR="005B02DB" w:rsidRPr="003A7DCC">
        <w:t>.</w:t>
      </w:r>
    </w:p>
    <w:p w14:paraId="79805C2E" w14:textId="7BAB321F" w:rsidR="005B02DB" w:rsidRPr="003A7DCC" w:rsidRDefault="00DB364E">
      <w:bookmarkStart w:id="1" w:name="_Hlk5121887"/>
      <w:r w:rsidRPr="003A7DCC">
        <w:t>We agree that sleeping sickness can, and has, rebounded to epidemic levels following periods of control</w:t>
      </w:r>
      <w:r w:rsidR="00931007" w:rsidRPr="003A7DCC">
        <w:t>, with the last alarming peak occurring in the late 1990s</w:t>
      </w:r>
      <w:r w:rsidR="004B7EF8">
        <w:t>,</w:t>
      </w:r>
      <w:r w:rsidR="00E00E38" w:rsidRPr="003A7DCC">
        <w:t xml:space="preserve"> when international support to HAT screening was totally withdrawn</w:t>
      </w:r>
      <w:r w:rsidRPr="003A7DCC">
        <w:t xml:space="preserve">. To prevent history repeating itself we need novel and multiple </w:t>
      </w:r>
      <w:r w:rsidR="00EF69EA" w:rsidRPr="003A7DCC">
        <w:t>strategies to tackle both the infection and the vector</w:t>
      </w:r>
      <w:r w:rsidR="00870054" w:rsidRPr="003A7DCC">
        <w:t>.</w:t>
      </w:r>
      <w:r w:rsidR="00D86BB3" w:rsidRPr="003A7DCC">
        <w:rPr>
          <w:vertAlign w:val="superscript"/>
        </w:rPr>
        <w:t>3</w:t>
      </w:r>
      <w:r w:rsidRPr="003A7DCC">
        <w:t xml:space="preserve"> </w:t>
      </w:r>
      <w:r w:rsidR="00232BE5" w:rsidRPr="003A7DCC">
        <w:t xml:space="preserve">In </w:t>
      </w:r>
      <w:r w:rsidR="00D74357" w:rsidRPr="003A7DCC">
        <w:t>201</w:t>
      </w:r>
      <w:r w:rsidR="00232BE5" w:rsidRPr="003A7DCC">
        <w:t>5</w:t>
      </w:r>
      <w:r w:rsidR="004B7EF8">
        <w:t>,</w:t>
      </w:r>
      <w:r w:rsidR="00531F3B" w:rsidRPr="003A7DCC">
        <w:t xml:space="preserve"> </w:t>
      </w:r>
      <w:r w:rsidR="00E00E38" w:rsidRPr="003A7DCC">
        <w:t>PNLTHA formed</w:t>
      </w:r>
      <w:r w:rsidR="00931007" w:rsidRPr="003A7DCC">
        <w:t xml:space="preserve"> a consortium </w:t>
      </w:r>
      <w:r w:rsidR="00E00E38" w:rsidRPr="003A7DCC">
        <w:t>with</w:t>
      </w:r>
      <w:r w:rsidR="00232BE5" w:rsidRPr="003A7DCC">
        <w:t xml:space="preserve"> </w:t>
      </w:r>
      <w:r w:rsidR="00EF69EA" w:rsidRPr="003A7DCC">
        <w:t>research institutes and implementation agencies</w:t>
      </w:r>
      <w:r w:rsidR="00232BE5" w:rsidRPr="003A7DCC">
        <w:t xml:space="preserve"> in support of the </w:t>
      </w:r>
      <w:r w:rsidR="00E00E38" w:rsidRPr="003A7DCC">
        <w:t xml:space="preserve">HAT </w:t>
      </w:r>
      <w:r w:rsidR="00232BE5" w:rsidRPr="003A7DCC">
        <w:t>elimination agenda</w:t>
      </w:r>
      <w:r w:rsidR="00733B0F" w:rsidRPr="003A7DCC">
        <w:t xml:space="preserve"> that </w:t>
      </w:r>
      <w:proofErr w:type="gramStart"/>
      <w:r w:rsidR="00733B0F" w:rsidRPr="003A7DCC">
        <w:t>was  funded</w:t>
      </w:r>
      <w:proofErr w:type="gramEnd"/>
      <w:r w:rsidR="00733B0F" w:rsidRPr="003A7DCC">
        <w:t xml:space="preserve"> by the B</w:t>
      </w:r>
      <w:r w:rsidR="004B7EF8">
        <w:t xml:space="preserve">ill </w:t>
      </w:r>
      <w:r w:rsidR="00733B0F" w:rsidRPr="003A7DCC">
        <w:t>&amp;M</w:t>
      </w:r>
      <w:r w:rsidR="004B7EF8">
        <w:t>elinda</w:t>
      </w:r>
      <w:r w:rsidR="00733B0F" w:rsidRPr="003A7DCC">
        <w:t xml:space="preserve"> Gates Foundation and Belgian aid</w:t>
      </w:r>
      <w:r w:rsidR="00CD47D7" w:rsidRPr="003A7DCC">
        <w:t>. We</w:t>
      </w:r>
      <w:r w:rsidR="00232BE5" w:rsidRPr="003A7DCC">
        <w:t xml:space="preserve"> </w:t>
      </w:r>
      <w:r w:rsidR="00531F3B" w:rsidRPr="003A7DCC">
        <w:t xml:space="preserve">intensified </w:t>
      </w:r>
      <w:r w:rsidR="00232BE5" w:rsidRPr="003A7DCC">
        <w:t>the</w:t>
      </w:r>
      <w:r w:rsidRPr="003A7DCC">
        <w:t xml:space="preserve"> screening</w:t>
      </w:r>
      <w:r w:rsidR="00531F3B" w:rsidRPr="003A7DCC">
        <w:t xml:space="preserve"> efforts</w:t>
      </w:r>
      <w:r w:rsidR="00CD47D7" w:rsidRPr="003A7DCC">
        <w:t xml:space="preserve"> and integrated tsetse control based on riverine deployment of so-called tiny targets, i.e. small, </w:t>
      </w:r>
      <w:r w:rsidR="00CD47D7" w:rsidRPr="003A7DCC">
        <w:lastRenderedPageBreak/>
        <w:t xml:space="preserve">insecticide-treated screens that attract </w:t>
      </w:r>
      <w:r w:rsidR="00E00E38" w:rsidRPr="003A7DCC">
        <w:t xml:space="preserve">and kill </w:t>
      </w:r>
      <w:r w:rsidR="00CD47D7" w:rsidRPr="003A7DCC">
        <w:t>tsetse flies</w:t>
      </w:r>
      <w:r w:rsidR="0093457E">
        <w:t xml:space="preserve"> (the vectors of the trypanosome parasite)</w:t>
      </w:r>
      <w:r w:rsidR="00CD47D7" w:rsidRPr="003A7DCC">
        <w:t>.</w:t>
      </w:r>
      <w:r w:rsidR="00CD47D7" w:rsidRPr="003A7DCC">
        <w:rPr>
          <w:vertAlign w:val="superscript"/>
        </w:rPr>
        <w:t>4</w:t>
      </w:r>
      <w:r w:rsidR="00232BE5" w:rsidRPr="003A7DCC">
        <w:t xml:space="preserve"> We</w:t>
      </w:r>
      <w:r w:rsidRPr="003A7DCC">
        <w:t xml:space="preserve"> a</w:t>
      </w:r>
      <w:r w:rsidR="00E94B56" w:rsidRPr="003A7DCC">
        <w:t>dd</w:t>
      </w:r>
      <w:r w:rsidR="00232BE5" w:rsidRPr="003A7DCC">
        <w:t>ed</w:t>
      </w:r>
      <w:r w:rsidR="00D74357" w:rsidRPr="003A7DCC">
        <w:t xml:space="preserve"> digital data-driven microplanning </w:t>
      </w:r>
      <w:r w:rsidR="007423F9" w:rsidRPr="003A7DCC">
        <w:t xml:space="preserve">of </w:t>
      </w:r>
      <w:r w:rsidR="001872F5" w:rsidRPr="003A7DCC">
        <w:t xml:space="preserve">screening operations </w:t>
      </w:r>
      <w:r w:rsidR="00D74357" w:rsidRPr="003A7DCC">
        <w:t>and quality contro</w:t>
      </w:r>
      <w:r w:rsidR="00870054" w:rsidRPr="003A7DCC">
        <w:t>l</w:t>
      </w:r>
      <w:r w:rsidR="00BF08AB" w:rsidRPr="003A7DCC">
        <w:t xml:space="preserve"> </w:t>
      </w:r>
      <w:r w:rsidR="007423F9" w:rsidRPr="003A7DCC">
        <w:rPr>
          <w:bCs/>
        </w:rPr>
        <w:t>of</w:t>
      </w:r>
      <w:r w:rsidR="007423F9" w:rsidRPr="003A7DCC">
        <w:rPr>
          <w:b/>
        </w:rPr>
        <w:t xml:space="preserve"> </w:t>
      </w:r>
      <w:r w:rsidR="001872F5" w:rsidRPr="003A7DCC">
        <w:rPr>
          <w:bCs/>
        </w:rPr>
        <w:t>te</w:t>
      </w:r>
      <w:r w:rsidR="007423F9" w:rsidRPr="003A7DCC">
        <w:rPr>
          <w:bCs/>
        </w:rPr>
        <w:t>st results</w:t>
      </w:r>
      <w:r w:rsidR="00CD47D7" w:rsidRPr="003A7DCC">
        <w:rPr>
          <w:bCs/>
        </w:rPr>
        <w:t>.</w:t>
      </w:r>
      <w:r w:rsidR="00CD47D7" w:rsidRPr="003A7DCC">
        <w:rPr>
          <w:vertAlign w:val="superscript"/>
        </w:rPr>
        <w:t>5</w:t>
      </w:r>
      <w:r w:rsidR="00D74357" w:rsidRPr="003A7DCC">
        <w:t xml:space="preserve"> </w:t>
      </w:r>
      <w:r w:rsidR="001872F5" w:rsidRPr="003A7DCC">
        <w:t>Overt clinical HAT cases were for long thought to be the main if not only source of infection but</w:t>
      </w:r>
      <w:r w:rsidR="004B7EF8">
        <w:t>,</w:t>
      </w:r>
      <w:r w:rsidR="001872F5" w:rsidRPr="003A7DCC">
        <w:t xml:space="preserve"> </w:t>
      </w:r>
      <w:r w:rsidR="009F6770">
        <w:t>if</w:t>
      </w:r>
      <w:r w:rsidRPr="003A7DCC">
        <w:t xml:space="preserve"> pathogenic trypanosomes are present in animal hosts and </w:t>
      </w:r>
      <w:r w:rsidR="001872F5" w:rsidRPr="003A7DCC">
        <w:t>undetectable in some human carriers</w:t>
      </w:r>
      <w:r w:rsidR="00850C65" w:rsidRPr="003A7DCC">
        <w:t>,</w:t>
      </w:r>
      <w:r w:rsidRPr="003A7DCC">
        <w:t xml:space="preserve"> then </w:t>
      </w:r>
      <w:r w:rsidR="00C63A79" w:rsidRPr="003A7DCC">
        <w:t>the serological screening</w:t>
      </w:r>
      <w:r w:rsidRPr="003A7DCC">
        <w:t xml:space="preserve"> will indeed leave a proportion of infected hosts untreated. The size and epidemiological significance of this</w:t>
      </w:r>
      <w:r w:rsidR="005F0B15" w:rsidRPr="003A7DCC">
        <w:t xml:space="preserve"> hidden reservoir</w:t>
      </w:r>
      <w:r w:rsidRPr="003A7DCC">
        <w:t xml:space="preserve"> </w:t>
      </w:r>
      <w:r w:rsidR="00850C65" w:rsidRPr="003A7DCC">
        <w:t>are</w:t>
      </w:r>
      <w:r w:rsidRPr="003A7DCC">
        <w:t xml:space="preserve"> uncertain</w:t>
      </w:r>
      <w:r w:rsidR="004B7EF8">
        <w:t>,</w:t>
      </w:r>
      <w:r w:rsidRPr="003A7DCC">
        <w:t xml:space="preserve"> and</w:t>
      </w:r>
      <w:r w:rsidR="008E4EF5" w:rsidRPr="003A7DCC">
        <w:t xml:space="preserve"> </w:t>
      </w:r>
      <w:r w:rsidR="001872F5" w:rsidRPr="003A7DCC">
        <w:t>the</w:t>
      </w:r>
      <w:r w:rsidR="008E4EF5" w:rsidRPr="003A7DCC">
        <w:t xml:space="preserve"> research being carried out by </w:t>
      </w:r>
      <w:r w:rsidR="009F6770">
        <w:t>Annette</w:t>
      </w:r>
      <w:r w:rsidR="004B7EF8">
        <w:t xml:space="preserve"> </w:t>
      </w:r>
      <w:r w:rsidR="008E4EF5" w:rsidRPr="003A7DCC">
        <w:t>MacLeod</w:t>
      </w:r>
      <w:r w:rsidR="004B7EF8">
        <w:t xml:space="preserve"> (</w:t>
      </w:r>
      <w:r w:rsidR="009F6770">
        <w:t xml:space="preserve">University of Glasgow, Glasgow, </w:t>
      </w:r>
      <w:proofErr w:type="gramStart"/>
      <w:r w:rsidR="009F6770">
        <w:t>UK</w:t>
      </w:r>
      <w:r w:rsidR="004B7EF8">
        <w:t xml:space="preserve">) </w:t>
      </w:r>
      <w:r w:rsidR="008E4EF5" w:rsidRPr="003A7DCC">
        <w:t xml:space="preserve"> and</w:t>
      </w:r>
      <w:proofErr w:type="gramEnd"/>
      <w:r w:rsidR="008E4EF5" w:rsidRPr="003A7DCC">
        <w:t xml:space="preserve"> others highlighted in the </w:t>
      </w:r>
      <w:r w:rsidR="004B7EF8">
        <w:t>Feature</w:t>
      </w:r>
      <w:r w:rsidR="004B7EF8" w:rsidRPr="003A7DCC">
        <w:t xml:space="preserve"> </w:t>
      </w:r>
      <w:r w:rsidR="001872F5" w:rsidRPr="003A7DCC">
        <w:t>is of immediate relevance to our work</w:t>
      </w:r>
      <w:r w:rsidRPr="003A7DCC">
        <w:t xml:space="preserve">. </w:t>
      </w:r>
      <w:r w:rsidR="004B7EF8">
        <w:t>V</w:t>
      </w:r>
      <w:r w:rsidR="00551BEF" w:rsidRPr="003A7DCC">
        <w:t>ector control</w:t>
      </w:r>
      <w:r w:rsidR="004C4BA3" w:rsidRPr="003A7DCC">
        <w:t xml:space="preserve"> </w:t>
      </w:r>
      <w:r w:rsidR="00931007" w:rsidRPr="003A7DCC">
        <w:t>is part of the</w:t>
      </w:r>
      <w:r w:rsidR="00551BEF" w:rsidRPr="003A7DCC">
        <w:t xml:space="preserve"> HAT </w:t>
      </w:r>
      <w:r w:rsidR="00931007" w:rsidRPr="003A7DCC">
        <w:t xml:space="preserve">control strategy in </w:t>
      </w:r>
      <w:proofErr w:type="gramStart"/>
      <w:r w:rsidR="00931007" w:rsidRPr="003A7DCC">
        <w:t>DRC</w:t>
      </w:r>
      <w:r w:rsidR="00931007" w:rsidRPr="009F6770">
        <w:t xml:space="preserve">, </w:t>
      </w:r>
      <w:r w:rsidR="004B7EF8" w:rsidRPr="009F6770">
        <w:t>and</w:t>
      </w:r>
      <w:proofErr w:type="gramEnd"/>
      <w:r w:rsidR="004B7EF8">
        <w:rPr>
          <w:b/>
        </w:rPr>
        <w:t xml:space="preserve"> </w:t>
      </w:r>
      <w:r w:rsidR="004C4BA3" w:rsidRPr="003A7DCC">
        <w:t>provides an intervention that can interrupt transmission wh</w:t>
      </w:r>
      <w:r w:rsidR="00551BEF" w:rsidRPr="003A7DCC">
        <w:t>atever</w:t>
      </w:r>
      <w:r w:rsidR="004C4BA3" w:rsidRPr="003A7DCC">
        <w:t xml:space="preserve"> the </w:t>
      </w:r>
      <w:r w:rsidR="00551BEF" w:rsidRPr="003A7DCC">
        <w:t xml:space="preserve">host of the </w:t>
      </w:r>
      <w:r w:rsidR="004C4BA3" w:rsidRPr="003A7DCC">
        <w:t>parasite.</w:t>
      </w:r>
      <w:r w:rsidR="00A215BC" w:rsidRPr="003A7DCC">
        <w:t xml:space="preserve"> </w:t>
      </w:r>
      <w:r w:rsidR="00C63A79" w:rsidRPr="003A7DCC">
        <w:t>In</w:t>
      </w:r>
      <w:r w:rsidR="00A215BC" w:rsidRPr="003A7DCC">
        <w:t xml:space="preserve"> the DRC health system</w:t>
      </w:r>
      <w:r w:rsidR="00850C65" w:rsidRPr="003A7DCC">
        <w:t>,</w:t>
      </w:r>
      <w:r w:rsidR="00A215BC" w:rsidRPr="003A7DCC">
        <w:t xml:space="preserve"> oral HAT drugs will play </w:t>
      </w:r>
      <w:r w:rsidR="002608E0" w:rsidRPr="003A7DCC">
        <w:t>an important role</w:t>
      </w:r>
      <w:r w:rsidR="00C63A79" w:rsidRPr="003A7DCC">
        <w:t xml:space="preserve"> </w:t>
      </w:r>
      <w:r w:rsidR="008E4EF5" w:rsidRPr="003A7DCC">
        <w:t>for both elimination</w:t>
      </w:r>
      <w:r w:rsidR="00551BEF" w:rsidRPr="003A7DCC">
        <w:t xml:space="preserve"> of HAT</w:t>
      </w:r>
      <w:r w:rsidR="008E4EF5" w:rsidRPr="003A7DCC">
        <w:t xml:space="preserve"> as a public health problem and elimination of </w:t>
      </w:r>
      <w:r w:rsidR="004B7EF8">
        <w:t xml:space="preserve">the </w:t>
      </w:r>
      <w:r w:rsidR="008E4EF5" w:rsidRPr="003A7DCC">
        <w:t>infection</w:t>
      </w:r>
      <w:r w:rsidR="00A215BC" w:rsidRPr="003A7DCC">
        <w:t xml:space="preserve">, </w:t>
      </w:r>
      <w:r w:rsidR="008E4EF5" w:rsidRPr="003A7DCC">
        <w:t>because</w:t>
      </w:r>
      <w:r w:rsidR="00BC6424" w:rsidRPr="003A7DCC">
        <w:t xml:space="preserve"> </w:t>
      </w:r>
      <w:r w:rsidR="00504874" w:rsidRPr="003A7DCC">
        <w:t>oral administration</w:t>
      </w:r>
      <w:r w:rsidR="00BC6424" w:rsidRPr="003A7DCC">
        <w:t xml:space="preserve"> </w:t>
      </w:r>
      <w:r w:rsidR="00A53F08" w:rsidRPr="003A7DCC">
        <w:t xml:space="preserve">will </w:t>
      </w:r>
      <w:r w:rsidR="00BC6424" w:rsidRPr="003A7DCC">
        <w:t xml:space="preserve">greatly </w:t>
      </w:r>
      <w:r w:rsidR="002608E0" w:rsidRPr="003A7DCC">
        <w:t>facilitate access to</w:t>
      </w:r>
      <w:r w:rsidR="00504874" w:rsidRPr="003A7DCC">
        <w:t xml:space="preserve"> HAT</w:t>
      </w:r>
      <w:r w:rsidR="002608E0" w:rsidRPr="003A7DCC">
        <w:t xml:space="preserve"> care</w:t>
      </w:r>
      <w:r w:rsidR="00A215BC" w:rsidRPr="003A7DCC">
        <w:t>.</w:t>
      </w:r>
    </w:p>
    <w:bookmarkEnd w:id="1"/>
    <w:p w14:paraId="4C5D47C6" w14:textId="77777777" w:rsidR="00B86F67" w:rsidRPr="003A7DCC" w:rsidRDefault="00531F3B">
      <w:r w:rsidRPr="003A7DCC">
        <w:t xml:space="preserve">Erick </w:t>
      </w:r>
      <w:proofErr w:type="spellStart"/>
      <w:proofErr w:type="gramStart"/>
      <w:r w:rsidRPr="003A7DCC">
        <w:t>M.Miaka</w:t>
      </w:r>
      <w:proofErr w:type="spellEnd"/>
      <w:proofErr w:type="gramEnd"/>
      <w:r w:rsidRPr="003A7DCC">
        <w:t xml:space="preserve">, </w:t>
      </w:r>
      <w:proofErr w:type="spellStart"/>
      <w:r w:rsidR="005B02DB" w:rsidRPr="003A7DCC">
        <w:t>E.Hasker</w:t>
      </w:r>
      <w:proofErr w:type="spellEnd"/>
      <w:r w:rsidR="005B02DB" w:rsidRPr="003A7DCC">
        <w:t xml:space="preserve">, </w:t>
      </w:r>
      <w:proofErr w:type="spellStart"/>
      <w:r w:rsidR="005B02DB" w:rsidRPr="003A7DCC">
        <w:t>P.Verle</w:t>
      </w:r>
      <w:proofErr w:type="spellEnd"/>
      <w:r w:rsidR="005B02DB" w:rsidRPr="003A7DCC">
        <w:t>,</w:t>
      </w:r>
      <w:r w:rsidRPr="003A7DCC">
        <w:t xml:space="preserve"> </w:t>
      </w:r>
      <w:proofErr w:type="spellStart"/>
      <w:r w:rsidRPr="003A7DCC">
        <w:t>S.Torr</w:t>
      </w:r>
      <w:proofErr w:type="spellEnd"/>
      <w:r w:rsidRPr="003A7DCC">
        <w:t>,</w:t>
      </w:r>
      <w:r w:rsidR="005B02DB" w:rsidRPr="003A7DCC">
        <w:t xml:space="preserve"> </w:t>
      </w:r>
      <w:proofErr w:type="spellStart"/>
      <w:r w:rsidRPr="003A7DCC">
        <w:t>M.Boelaert</w:t>
      </w:r>
      <w:proofErr w:type="spellEnd"/>
    </w:p>
    <w:p w14:paraId="450D197D" w14:textId="1D8A01BE" w:rsidR="001F42EB" w:rsidRPr="003A7DCC" w:rsidRDefault="001F42EB">
      <w:r w:rsidRPr="003A7DCC">
        <w:t>Declaration of interests</w:t>
      </w:r>
    </w:p>
    <w:p w14:paraId="31974289" w14:textId="1993C667" w:rsidR="00D74357" w:rsidRPr="003A7DCC" w:rsidRDefault="001F42EB">
      <w:pPr>
        <w:rPr>
          <w:bCs/>
        </w:rPr>
      </w:pPr>
      <w:r w:rsidRPr="003A7DCC">
        <w:rPr>
          <w:bCs/>
        </w:rPr>
        <w:t>W</w:t>
      </w:r>
      <w:r w:rsidR="00831D1D" w:rsidRPr="003A7DCC">
        <w:rPr>
          <w:bCs/>
        </w:rPr>
        <w:t>e declare no competing interests</w:t>
      </w:r>
      <w:r w:rsidRPr="003A7DCC">
        <w:rPr>
          <w:bCs/>
        </w:rPr>
        <w:t>.</w:t>
      </w:r>
    </w:p>
    <w:p w14:paraId="12E03FD0" w14:textId="552F2C2B" w:rsidR="00DB364E" w:rsidRPr="003A7DCC" w:rsidRDefault="00DB364E">
      <w:r w:rsidRPr="003A7DCC">
        <w:t>Acknowledgments</w:t>
      </w:r>
    </w:p>
    <w:p w14:paraId="3FFCD153" w14:textId="77777777" w:rsidR="00DB364E" w:rsidRPr="003A7DCC" w:rsidRDefault="00DB364E">
      <w:r w:rsidRPr="003A7DCC">
        <w:t>We acknowledge the generous financial support of the B&amp;M Gates Foundation and the Belgian government for this HAT elimination program, as well as a drug donation by Sanofi-Aventis</w:t>
      </w:r>
      <w:r w:rsidR="00831D1D" w:rsidRPr="003A7DCC">
        <w:t>.</w:t>
      </w:r>
    </w:p>
    <w:p w14:paraId="061CAA6D" w14:textId="0264A667" w:rsidR="00D86BB3" w:rsidRPr="003A7DCC" w:rsidRDefault="00D86BB3" w:rsidP="00D86BB3">
      <w:r w:rsidRPr="003A7DCC">
        <w:t>1</w:t>
      </w:r>
      <w:r w:rsidRPr="003A7DCC">
        <w:tab/>
        <w:t>Burton A. Sleeping sickness in West and Central Africa: is eradication just skin deep? Lancet Neurology 2019;18: 332-333</w:t>
      </w:r>
      <w:r w:rsidR="00867C76" w:rsidRPr="003A7DCC">
        <w:t>.</w:t>
      </w:r>
    </w:p>
    <w:p w14:paraId="14C2BF2A" w14:textId="77777777" w:rsidR="00D86BB3" w:rsidRPr="003A7DCC" w:rsidRDefault="00D86BB3" w:rsidP="00D86BB3">
      <w:r w:rsidRPr="003A7DCC">
        <w:t xml:space="preserve">2 </w:t>
      </w:r>
      <w:r w:rsidRPr="003A7DCC">
        <w:tab/>
      </w:r>
      <w:proofErr w:type="spellStart"/>
      <w:r w:rsidRPr="003A7DCC">
        <w:t>Dowdle</w:t>
      </w:r>
      <w:proofErr w:type="spellEnd"/>
      <w:r w:rsidRPr="003A7DCC">
        <w:t xml:space="preserve"> WR. The principles of disease elimination and eradication. Bull World Health Organ 1998;76 Suppl 2:22-5.</w:t>
      </w:r>
    </w:p>
    <w:p w14:paraId="0E2C5E24" w14:textId="30375462" w:rsidR="00D86BB3" w:rsidRPr="003A7DCC" w:rsidRDefault="00D86BB3" w:rsidP="00D86BB3">
      <w:pPr>
        <w:rPr>
          <w:lang w:val="fr-FR"/>
        </w:rPr>
      </w:pPr>
      <w:r w:rsidRPr="003A7DCC">
        <w:t xml:space="preserve">3 </w:t>
      </w:r>
      <w:r w:rsidRPr="003A7DCC">
        <w:tab/>
        <w:t xml:space="preserve">Rock KS, Torr SJ, </w:t>
      </w:r>
      <w:proofErr w:type="spellStart"/>
      <w:r w:rsidRPr="003A7DCC">
        <w:t>Lumbala</w:t>
      </w:r>
      <w:proofErr w:type="spellEnd"/>
      <w:r w:rsidRPr="003A7DCC">
        <w:t xml:space="preserve"> C, Keeling MJ. Predicting the Impact of Intervention Strategies for Sleeping Sickness in Two High-Endemicity Health Zones of the Democratic Republic of Congo. </w:t>
      </w:r>
      <w:proofErr w:type="spellStart"/>
      <w:r w:rsidRPr="003A7DCC">
        <w:rPr>
          <w:lang w:val="fr-FR"/>
        </w:rPr>
        <w:t>PLoS</w:t>
      </w:r>
      <w:proofErr w:type="spellEnd"/>
      <w:r w:rsidRPr="003A7DCC">
        <w:rPr>
          <w:lang w:val="fr-FR"/>
        </w:rPr>
        <w:t xml:space="preserve"> </w:t>
      </w:r>
      <w:proofErr w:type="spellStart"/>
      <w:r w:rsidRPr="003A7DCC">
        <w:rPr>
          <w:lang w:val="fr-FR"/>
        </w:rPr>
        <w:t>Negl</w:t>
      </w:r>
      <w:proofErr w:type="spellEnd"/>
      <w:r w:rsidRPr="003A7DCC">
        <w:rPr>
          <w:lang w:val="fr-FR"/>
        </w:rPr>
        <w:t xml:space="preserve"> Trop Dis. 2017;11(1): e0005162</w:t>
      </w:r>
      <w:r w:rsidR="00CD47D7" w:rsidRPr="003A7DCC">
        <w:rPr>
          <w:lang w:val="fr-FR"/>
        </w:rPr>
        <w:t>.</w:t>
      </w:r>
    </w:p>
    <w:p w14:paraId="55ACF311" w14:textId="723DEF22" w:rsidR="00CD47D7" w:rsidRPr="003A7DCC" w:rsidRDefault="00EF69EA" w:rsidP="00D86BB3">
      <w:pPr>
        <w:rPr>
          <w:lang w:val="nl-BE"/>
        </w:rPr>
      </w:pPr>
      <w:r w:rsidRPr="003A7DCC">
        <w:rPr>
          <w:lang w:val="fr-FR"/>
        </w:rPr>
        <w:t>4</w:t>
      </w:r>
      <w:r w:rsidR="00CD47D7" w:rsidRPr="003A7DCC">
        <w:rPr>
          <w:lang w:val="fr-FR"/>
        </w:rPr>
        <w:t xml:space="preserve"> </w:t>
      </w:r>
      <w:r w:rsidR="00CD47D7" w:rsidRPr="003A7DCC">
        <w:rPr>
          <w:lang w:val="fr-FR"/>
        </w:rPr>
        <w:tab/>
      </w:r>
      <w:proofErr w:type="spellStart"/>
      <w:r w:rsidR="00CD47D7" w:rsidRPr="003A7DCC">
        <w:rPr>
          <w:lang w:val="fr-FR"/>
        </w:rPr>
        <w:t>Mahamat</w:t>
      </w:r>
      <w:proofErr w:type="spellEnd"/>
      <w:r w:rsidR="00CD47D7" w:rsidRPr="003A7DCC">
        <w:rPr>
          <w:lang w:val="fr-FR"/>
        </w:rPr>
        <w:t xml:space="preserve"> MH, </w:t>
      </w:r>
      <w:proofErr w:type="spellStart"/>
      <w:r w:rsidR="00CD47D7" w:rsidRPr="003A7DCC">
        <w:rPr>
          <w:lang w:val="fr-FR"/>
        </w:rPr>
        <w:t>Peka</w:t>
      </w:r>
      <w:proofErr w:type="spellEnd"/>
      <w:r w:rsidR="00CD47D7" w:rsidRPr="003A7DCC">
        <w:rPr>
          <w:lang w:val="fr-FR"/>
        </w:rPr>
        <w:t xml:space="preserve"> M, </w:t>
      </w:r>
      <w:proofErr w:type="spellStart"/>
      <w:r w:rsidR="00CD47D7" w:rsidRPr="003A7DCC">
        <w:rPr>
          <w:lang w:val="fr-FR"/>
        </w:rPr>
        <w:t>Rayaisse</w:t>
      </w:r>
      <w:proofErr w:type="spellEnd"/>
      <w:r w:rsidR="00CD47D7" w:rsidRPr="003A7DCC">
        <w:rPr>
          <w:lang w:val="fr-FR"/>
        </w:rPr>
        <w:t xml:space="preserve"> J-B, et al. </w:t>
      </w:r>
      <w:r w:rsidR="00CD47D7" w:rsidRPr="003A7DCC">
        <w:t xml:space="preserve">Adding tsetse control to medical activities contributes to decreasing transmission of sleeping sickness in the </w:t>
      </w:r>
      <w:proofErr w:type="spellStart"/>
      <w:r w:rsidR="00CD47D7" w:rsidRPr="003A7DCC">
        <w:t>Mandoul</w:t>
      </w:r>
      <w:proofErr w:type="spellEnd"/>
      <w:r w:rsidR="00CD47D7" w:rsidRPr="003A7DCC">
        <w:t xml:space="preserve"> focus (Chad). </w:t>
      </w:r>
      <w:r w:rsidR="00CD47D7" w:rsidRPr="003A7DCC">
        <w:rPr>
          <w:lang w:val="nl-BE"/>
        </w:rPr>
        <w:t xml:space="preserve">PLoS Negl Trop Dis 2017;11(7): e0005792. </w:t>
      </w:r>
    </w:p>
    <w:p w14:paraId="3603BD36" w14:textId="7503D07D" w:rsidR="00232BE5" w:rsidRPr="003A7DCC" w:rsidRDefault="00CD47D7" w:rsidP="00232BE5">
      <w:pPr>
        <w:rPr>
          <w:lang w:val="nl-BE"/>
        </w:rPr>
      </w:pPr>
      <w:r w:rsidRPr="003A7DCC">
        <w:rPr>
          <w:lang w:val="nl-BE"/>
        </w:rPr>
        <w:t>5</w:t>
      </w:r>
      <w:r w:rsidR="00232BE5" w:rsidRPr="003A7DCC">
        <w:rPr>
          <w:lang w:val="nl-BE"/>
        </w:rPr>
        <w:tab/>
        <w:t xml:space="preserve">Hasker E, Kwete J, Inocencio da Luz R, et al. </w:t>
      </w:r>
      <w:r w:rsidR="00232BE5" w:rsidRPr="003A7DCC">
        <w:t xml:space="preserve">Innovative digital technologies for quality assurance of diagnosis of human African trypanosomiasis. </w:t>
      </w:r>
      <w:r w:rsidR="00232BE5" w:rsidRPr="003A7DCC">
        <w:rPr>
          <w:lang w:val="nl-BE"/>
        </w:rPr>
        <w:t>PLoS Negl Trop Dis 2018;13;12(9): e0006664.</w:t>
      </w:r>
    </w:p>
    <w:p w14:paraId="11CD5FBF" w14:textId="77777777" w:rsidR="007839D6" w:rsidRDefault="007839D6" w:rsidP="007839D6">
      <w:r>
        <w:t xml:space="preserve">Figure. </w:t>
      </w:r>
      <w:r>
        <w:rPr>
          <w:b/>
          <w:bCs/>
        </w:rPr>
        <w:t xml:space="preserve">Number of persons </w:t>
      </w:r>
      <w:proofErr w:type="gramStart"/>
      <w:r>
        <w:rPr>
          <w:b/>
          <w:bCs/>
        </w:rPr>
        <w:t>screened</w:t>
      </w:r>
      <w:proofErr w:type="gramEnd"/>
      <w:r>
        <w:rPr>
          <w:b/>
          <w:bCs/>
        </w:rPr>
        <w:t xml:space="preserve"> and number of confirmed trypanosomiasis cases reported in the Democratic Republic of Congo (1990-2018)</w:t>
      </w:r>
      <w:r>
        <w:t xml:space="preserve"> (source PNLTHA-DRC)</w:t>
      </w:r>
    </w:p>
    <w:p w14:paraId="2AD3F48B" w14:textId="77777777" w:rsidR="00831D1D" w:rsidRPr="003A7DCC" w:rsidRDefault="00831D1D" w:rsidP="00D86BB3"/>
    <w:sectPr w:rsidR="00831D1D" w:rsidRPr="003A7DCC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2E036" w14:textId="77777777" w:rsidR="004242B1" w:rsidRDefault="004242B1" w:rsidP="005B02DB">
      <w:pPr>
        <w:spacing w:after="0" w:line="240" w:lineRule="auto"/>
      </w:pPr>
      <w:r>
        <w:separator/>
      </w:r>
    </w:p>
  </w:endnote>
  <w:endnote w:type="continuationSeparator" w:id="0">
    <w:p w14:paraId="711485F0" w14:textId="77777777" w:rsidR="004242B1" w:rsidRDefault="004242B1" w:rsidP="005B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D2A2A" w14:textId="77777777" w:rsidR="004242B1" w:rsidRDefault="004242B1" w:rsidP="005B02DB">
      <w:pPr>
        <w:spacing w:after="0" w:line="240" w:lineRule="auto"/>
      </w:pPr>
      <w:r>
        <w:separator/>
      </w:r>
    </w:p>
  </w:footnote>
  <w:footnote w:type="continuationSeparator" w:id="0">
    <w:p w14:paraId="37BC55EF" w14:textId="77777777" w:rsidR="004242B1" w:rsidRDefault="004242B1" w:rsidP="005B0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yNjWyNLAwMjI2MDBV0lEKTi0uzszPAymwqAUA8J3MVCwAAAA="/>
  </w:docVars>
  <w:rsids>
    <w:rsidRoot w:val="005B02DB"/>
    <w:rsid w:val="00010CDD"/>
    <w:rsid w:val="000C3624"/>
    <w:rsid w:val="000D592C"/>
    <w:rsid w:val="001449BB"/>
    <w:rsid w:val="00175B60"/>
    <w:rsid w:val="001872F5"/>
    <w:rsid w:val="001F42EB"/>
    <w:rsid w:val="00232BE5"/>
    <w:rsid w:val="002608E0"/>
    <w:rsid w:val="00265CC5"/>
    <w:rsid w:val="00274BC5"/>
    <w:rsid w:val="002B3031"/>
    <w:rsid w:val="002B4806"/>
    <w:rsid w:val="002F5E05"/>
    <w:rsid w:val="00351D33"/>
    <w:rsid w:val="003569B6"/>
    <w:rsid w:val="00367BF3"/>
    <w:rsid w:val="003A7DCC"/>
    <w:rsid w:val="004117C5"/>
    <w:rsid w:val="004242B1"/>
    <w:rsid w:val="0043548F"/>
    <w:rsid w:val="00446349"/>
    <w:rsid w:val="004538EE"/>
    <w:rsid w:val="0049372B"/>
    <w:rsid w:val="00495569"/>
    <w:rsid w:val="004B2390"/>
    <w:rsid w:val="004B7EF8"/>
    <w:rsid w:val="004C4BA3"/>
    <w:rsid w:val="004D526F"/>
    <w:rsid w:val="004F5219"/>
    <w:rsid w:val="00504874"/>
    <w:rsid w:val="00531F3B"/>
    <w:rsid w:val="00534148"/>
    <w:rsid w:val="00551BEF"/>
    <w:rsid w:val="005A2533"/>
    <w:rsid w:val="005B02DB"/>
    <w:rsid w:val="005C5133"/>
    <w:rsid w:val="005F0B15"/>
    <w:rsid w:val="00652B0B"/>
    <w:rsid w:val="006932FF"/>
    <w:rsid w:val="00711776"/>
    <w:rsid w:val="007123E0"/>
    <w:rsid w:val="00733AA4"/>
    <w:rsid w:val="00733B0F"/>
    <w:rsid w:val="007423F9"/>
    <w:rsid w:val="00764642"/>
    <w:rsid w:val="007839D6"/>
    <w:rsid w:val="007E4F21"/>
    <w:rsid w:val="008226A7"/>
    <w:rsid w:val="00831D1D"/>
    <w:rsid w:val="00850C65"/>
    <w:rsid w:val="00867C76"/>
    <w:rsid w:val="00870054"/>
    <w:rsid w:val="008842FF"/>
    <w:rsid w:val="008C39C4"/>
    <w:rsid w:val="008E4EF5"/>
    <w:rsid w:val="00931007"/>
    <w:rsid w:val="0093457E"/>
    <w:rsid w:val="00957F42"/>
    <w:rsid w:val="00960724"/>
    <w:rsid w:val="009674BD"/>
    <w:rsid w:val="009F6770"/>
    <w:rsid w:val="00A0263E"/>
    <w:rsid w:val="00A215BC"/>
    <w:rsid w:val="00A24081"/>
    <w:rsid w:val="00A534D4"/>
    <w:rsid w:val="00A53F08"/>
    <w:rsid w:val="00A650B0"/>
    <w:rsid w:val="00AF6C08"/>
    <w:rsid w:val="00B83277"/>
    <w:rsid w:val="00B86F67"/>
    <w:rsid w:val="00BC6424"/>
    <w:rsid w:val="00BF08AB"/>
    <w:rsid w:val="00C22B8D"/>
    <w:rsid w:val="00C37E1F"/>
    <w:rsid w:val="00C63A79"/>
    <w:rsid w:val="00CA3756"/>
    <w:rsid w:val="00CC36BC"/>
    <w:rsid w:val="00CD0C98"/>
    <w:rsid w:val="00CD44DE"/>
    <w:rsid w:val="00CD47D7"/>
    <w:rsid w:val="00D044B5"/>
    <w:rsid w:val="00D14C25"/>
    <w:rsid w:val="00D2114F"/>
    <w:rsid w:val="00D23E11"/>
    <w:rsid w:val="00D336C5"/>
    <w:rsid w:val="00D74357"/>
    <w:rsid w:val="00D86BB3"/>
    <w:rsid w:val="00DB364E"/>
    <w:rsid w:val="00E00E38"/>
    <w:rsid w:val="00E37520"/>
    <w:rsid w:val="00E47230"/>
    <w:rsid w:val="00E6339E"/>
    <w:rsid w:val="00E94B56"/>
    <w:rsid w:val="00EA3CC7"/>
    <w:rsid w:val="00ED07EE"/>
    <w:rsid w:val="00EE01C4"/>
    <w:rsid w:val="00EF69EA"/>
    <w:rsid w:val="00F54984"/>
    <w:rsid w:val="00F94900"/>
    <w:rsid w:val="00FB2B3A"/>
    <w:rsid w:val="00FE0EF1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26741A8"/>
  <w15:chartTrackingRefBased/>
  <w15:docId w15:val="{624A30C9-274D-4F34-BDAD-728ED99A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5B02DB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B02DB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5B02DB"/>
    <w:rPr>
      <w:vertAlign w:val="superscript"/>
    </w:rPr>
  </w:style>
  <w:style w:type="paragraph" w:styleId="ListParagraph">
    <w:name w:val="List Paragraph"/>
    <w:basedOn w:val="Normal"/>
    <w:uiPriority w:val="34"/>
    <w:qFormat/>
    <w:rsid w:val="005B02DB"/>
    <w:pPr>
      <w:ind w:left="720"/>
      <w:contextualSpacing/>
    </w:pPr>
    <w:rPr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7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BE" w:eastAsia="nl-BE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7BF3"/>
    <w:rPr>
      <w:rFonts w:ascii="Courier New" w:eastAsia="Times New Roman" w:hAnsi="Courier New" w:cs="Courier New"/>
      <w:sz w:val="20"/>
      <w:szCs w:val="20"/>
      <w:lang w:val="nl-BE" w:eastAsia="nl-BE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11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776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77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77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776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776"/>
    <w:rPr>
      <w:rFonts w:ascii="Segoe UI" w:hAnsi="Segoe UI" w:cs="Segoe UI"/>
      <w:sz w:val="18"/>
    </w:rPr>
  </w:style>
  <w:style w:type="character" w:styleId="Hyperlink">
    <w:name w:val="Hyperlink"/>
    <w:basedOn w:val="DefaultParagraphFont"/>
    <w:uiPriority w:val="99"/>
    <w:unhideWhenUsed/>
    <w:rsid w:val="00B86F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F6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F6C08"/>
    <w:pPr>
      <w:spacing w:after="0" w:line="240" w:lineRule="auto"/>
    </w:pPr>
    <w:rPr>
      <w:szCs w:val="28"/>
    </w:rPr>
  </w:style>
  <w:style w:type="paragraph" w:styleId="NormalWeb">
    <w:name w:val="Normal (Web)"/>
    <w:basedOn w:val="Normal"/>
    <w:uiPriority w:val="99"/>
    <w:unhideWhenUsed/>
    <w:rsid w:val="005A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5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oelaert@itg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4482E3A-69FF-004A-B058-AF0CB994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Boelaert</dc:creator>
  <cp:keywords/>
  <dc:description/>
  <cp:lastModifiedBy>Paul Verle</cp:lastModifiedBy>
  <cp:revision>2</cp:revision>
  <cp:lastPrinted>2019-07-11T12:25:00Z</cp:lastPrinted>
  <dcterms:created xsi:type="dcterms:W3CDTF">2019-07-11T12:35:00Z</dcterms:created>
  <dcterms:modified xsi:type="dcterms:W3CDTF">2019-07-11T12:35:00Z</dcterms:modified>
</cp:coreProperties>
</file>