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6A5F5" w14:textId="1D4DCAEC" w:rsidR="00B53007" w:rsidRPr="00AF26EF" w:rsidRDefault="00B53007" w:rsidP="00A158B5">
      <w:pPr>
        <w:pStyle w:val="MDPI11articletype"/>
        <w:rPr>
          <w:b/>
          <w:sz w:val="24"/>
          <w:szCs w:val="24"/>
          <w:lang w:val="en-GB"/>
        </w:rPr>
      </w:pPr>
      <w:bookmarkStart w:id="0" w:name="_GoBack"/>
      <w:bookmarkEnd w:id="0"/>
      <w:r w:rsidRPr="00AF26EF">
        <w:rPr>
          <w:lang w:val="en-GB"/>
        </w:rPr>
        <w:t>Article</w:t>
      </w:r>
    </w:p>
    <w:p w14:paraId="28F48816" w14:textId="417A8760" w:rsidR="004A4130" w:rsidRPr="00AF26EF" w:rsidRDefault="004A4130" w:rsidP="00A158B5">
      <w:pPr>
        <w:pStyle w:val="MDPI12title"/>
        <w:rPr>
          <w:lang w:val="en-GB"/>
        </w:rPr>
      </w:pPr>
      <w:proofErr w:type="spellStart"/>
      <w:r w:rsidRPr="00AF26EF">
        <w:rPr>
          <w:lang w:val="en-GB"/>
        </w:rPr>
        <w:t>Prime</w:t>
      </w:r>
      <w:r w:rsidR="00284133" w:rsidRPr="00AF26EF">
        <w:rPr>
          <w:lang w:val="en-GB"/>
        </w:rPr>
        <w:t>S</w:t>
      </w:r>
      <w:r w:rsidRPr="00AF26EF">
        <w:rPr>
          <w:lang w:val="en-GB"/>
        </w:rPr>
        <w:t>tore</w:t>
      </w:r>
      <w:proofErr w:type="spellEnd"/>
      <w:r w:rsidR="00284133" w:rsidRPr="00AF26EF">
        <w:rPr>
          <w:lang w:val="en-GB"/>
        </w:rPr>
        <w:t xml:space="preserve"> MTM</w:t>
      </w:r>
      <w:r w:rsidRPr="00AF26EF">
        <w:rPr>
          <w:lang w:val="en-GB"/>
        </w:rPr>
        <w:t xml:space="preserve"> and </w:t>
      </w:r>
      <w:proofErr w:type="spellStart"/>
      <w:r w:rsidR="00284133" w:rsidRPr="00AF26EF">
        <w:rPr>
          <w:lang w:val="en-GB"/>
        </w:rPr>
        <w:t>OMNIgene</w:t>
      </w:r>
      <w:proofErr w:type="spellEnd"/>
      <w:r w:rsidR="00284133" w:rsidRPr="00AF26EF">
        <w:rPr>
          <w:lang w:val="en-GB"/>
        </w:rPr>
        <w:t xml:space="preserve"> Sputum </w:t>
      </w:r>
      <w:r w:rsidRPr="00AF26EF">
        <w:rPr>
          <w:lang w:val="en-GB"/>
        </w:rPr>
        <w:t xml:space="preserve">for </w:t>
      </w:r>
      <w:r w:rsidR="007A4002" w:rsidRPr="00AF26EF">
        <w:rPr>
          <w:lang w:val="en-GB"/>
        </w:rPr>
        <w:t xml:space="preserve">the </w:t>
      </w:r>
      <w:r w:rsidR="00D25C3A" w:rsidRPr="00AF26EF">
        <w:rPr>
          <w:lang w:val="en-GB"/>
        </w:rPr>
        <w:t>P</w:t>
      </w:r>
      <w:r w:rsidRPr="00AF26EF">
        <w:rPr>
          <w:lang w:val="en-GB"/>
        </w:rPr>
        <w:t xml:space="preserve">reservation of </w:t>
      </w:r>
      <w:r w:rsidR="00D25C3A" w:rsidRPr="00AF26EF">
        <w:rPr>
          <w:lang w:val="en-GB"/>
        </w:rPr>
        <w:t>S</w:t>
      </w:r>
      <w:r w:rsidRPr="00AF26EF">
        <w:rPr>
          <w:lang w:val="en-GB"/>
        </w:rPr>
        <w:t xml:space="preserve">putum for </w:t>
      </w:r>
      <w:proofErr w:type="spellStart"/>
      <w:r w:rsidRPr="00AF26EF">
        <w:rPr>
          <w:lang w:val="en-GB"/>
        </w:rPr>
        <w:t>Xpert</w:t>
      </w:r>
      <w:proofErr w:type="spellEnd"/>
      <w:r w:rsidRPr="00AF26EF">
        <w:rPr>
          <w:lang w:val="en-GB"/>
        </w:rPr>
        <w:t xml:space="preserve"> MTB/RIF </w:t>
      </w:r>
      <w:r w:rsidR="00D25C3A" w:rsidRPr="00AF26EF">
        <w:rPr>
          <w:lang w:val="en-GB"/>
        </w:rPr>
        <w:t>T</w:t>
      </w:r>
      <w:r w:rsidRPr="00AF26EF">
        <w:rPr>
          <w:lang w:val="en-GB"/>
        </w:rPr>
        <w:t>esting in Nigeria</w:t>
      </w:r>
    </w:p>
    <w:p w14:paraId="4BAA7A14" w14:textId="3BB93BFA" w:rsidR="00F16DA8" w:rsidRPr="00AF26EF" w:rsidRDefault="00B25A9D" w:rsidP="004D573E">
      <w:pPr>
        <w:pStyle w:val="MDPI13authornames"/>
        <w:rPr>
          <w:lang w:val="en-GB"/>
        </w:rPr>
      </w:pPr>
      <w:r w:rsidRPr="00AF26EF">
        <w:rPr>
          <w:lang w:val="en-GB"/>
        </w:rPr>
        <w:t>John S Bimba</w:t>
      </w:r>
      <w:r w:rsidR="00C81D6E" w:rsidRPr="00AF26EF">
        <w:rPr>
          <w:lang w:val="en-GB"/>
        </w:rPr>
        <w:t xml:space="preserve"> </w:t>
      </w:r>
      <w:r w:rsidR="00F16DA8" w:rsidRPr="00AF26EF">
        <w:rPr>
          <w:vertAlign w:val="superscript"/>
          <w:lang w:val="en-GB"/>
        </w:rPr>
        <w:t>1</w:t>
      </w:r>
      <w:r w:rsidR="00C81D6E" w:rsidRPr="00AF26EF">
        <w:rPr>
          <w:lang w:val="en-GB"/>
        </w:rPr>
        <w:t xml:space="preserve">, </w:t>
      </w:r>
      <w:r w:rsidR="00476C05" w:rsidRPr="00AF26EF">
        <w:rPr>
          <w:lang w:val="en-GB"/>
        </w:rPr>
        <w:t>Lovett Lawson</w:t>
      </w:r>
      <w:r w:rsidR="00C81D6E" w:rsidRPr="00AF26EF">
        <w:rPr>
          <w:lang w:val="en-GB"/>
        </w:rPr>
        <w:t xml:space="preserve"> </w:t>
      </w:r>
      <w:r w:rsidR="00476C05" w:rsidRPr="00AF26EF">
        <w:rPr>
          <w:vertAlign w:val="superscript"/>
          <w:lang w:val="en-GB"/>
        </w:rPr>
        <w:t>1</w:t>
      </w:r>
      <w:r w:rsidR="00C81D6E" w:rsidRPr="00AF26EF">
        <w:rPr>
          <w:vertAlign w:val="superscript"/>
          <w:lang w:val="en-GB"/>
        </w:rPr>
        <w:t>,</w:t>
      </w:r>
      <w:r w:rsidR="00476C05" w:rsidRPr="00AF26EF">
        <w:rPr>
          <w:vertAlign w:val="superscript"/>
          <w:lang w:val="en-GB"/>
        </w:rPr>
        <w:t>2</w:t>
      </w:r>
      <w:r w:rsidR="00C81D6E" w:rsidRPr="00AF26EF">
        <w:rPr>
          <w:lang w:val="en-GB"/>
        </w:rPr>
        <w:t xml:space="preserve">, </w:t>
      </w:r>
      <w:r w:rsidR="00F16DA8" w:rsidRPr="00AF26EF">
        <w:rPr>
          <w:lang w:val="en-GB"/>
        </w:rPr>
        <w:t>Konstantina Kontogianni</w:t>
      </w:r>
      <w:r w:rsidR="00C81D6E" w:rsidRPr="00AF26EF">
        <w:rPr>
          <w:lang w:val="en-GB"/>
        </w:rPr>
        <w:t xml:space="preserve"> </w:t>
      </w:r>
      <w:r w:rsidR="00F16DA8" w:rsidRPr="00AF26EF">
        <w:rPr>
          <w:vertAlign w:val="superscript"/>
          <w:lang w:val="en-GB"/>
        </w:rPr>
        <w:t>3</w:t>
      </w:r>
      <w:r w:rsidR="00C81D6E" w:rsidRPr="00AF26EF">
        <w:rPr>
          <w:lang w:val="en-GB"/>
        </w:rPr>
        <w:t xml:space="preserve">, </w:t>
      </w:r>
      <w:r w:rsidR="00F16DA8" w:rsidRPr="00AF26EF">
        <w:rPr>
          <w:lang w:val="en-GB"/>
        </w:rPr>
        <w:t>Thomas Edwards</w:t>
      </w:r>
      <w:r w:rsidR="00C81D6E" w:rsidRPr="00AF26EF">
        <w:rPr>
          <w:lang w:val="en-GB"/>
        </w:rPr>
        <w:t xml:space="preserve"> </w:t>
      </w:r>
      <w:r w:rsidR="006D0B4A" w:rsidRPr="00AF26EF">
        <w:rPr>
          <w:vertAlign w:val="superscript"/>
          <w:lang w:val="en-GB"/>
        </w:rPr>
        <w:t>3</w:t>
      </w:r>
      <w:r w:rsidR="00C81D6E" w:rsidRPr="00AF26EF">
        <w:rPr>
          <w:lang w:val="en-GB"/>
        </w:rPr>
        <w:t>,</w:t>
      </w:r>
      <w:r w:rsidR="00C81D6E" w:rsidRPr="00AF26EF">
        <w:rPr>
          <w:rStyle w:val="Hyperlink"/>
          <w:color w:val="000000"/>
          <w:szCs w:val="24"/>
          <w:u w:val="none"/>
          <w:lang w:val="en-GB"/>
        </w:rPr>
        <w:t xml:space="preserve"> </w:t>
      </w:r>
      <w:r w:rsidR="009F3CC2" w:rsidRPr="00AF26EF">
        <w:rPr>
          <w:color w:val="000000" w:themeColor="text1"/>
          <w:lang w:val="en-GB"/>
        </w:rPr>
        <w:t xml:space="preserve">Bassey </w:t>
      </w:r>
      <w:proofErr w:type="spellStart"/>
      <w:r w:rsidR="009F3CC2" w:rsidRPr="00AF26EF">
        <w:rPr>
          <w:color w:val="000000" w:themeColor="text1"/>
          <w:lang w:val="en-GB"/>
        </w:rPr>
        <w:t>Emanna</w:t>
      </w:r>
      <w:proofErr w:type="spellEnd"/>
      <w:r w:rsidR="009F3CC2" w:rsidRPr="00AF26EF">
        <w:rPr>
          <w:color w:val="000000" w:themeColor="text1"/>
          <w:lang w:val="en-GB"/>
        </w:rPr>
        <w:t xml:space="preserve"> </w:t>
      </w:r>
      <w:proofErr w:type="spellStart"/>
      <w:r w:rsidR="009F3CC2" w:rsidRPr="00AF26EF">
        <w:rPr>
          <w:color w:val="000000" w:themeColor="text1"/>
          <w:lang w:val="en-GB"/>
        </w:rPr>
        <w:t>Ekpenyong</w:t>
      </w:r>
      <w:proofErr w:type="spellEnd"/>
      <w:r w:rsidR="00C81D6E" w:rsidRPr="00AF26EF">
        <w:rPr>
          <w:color w:val="000000" w:themeColor="text1"/>
          <w:lang w:val="en-GB"/>
        </w:rPr>
        <w:t xml:space="preserve"> </w:t>
      </w:r>
      <w:r w:rsidR="00F16DA8" w:rsidRPr="00AF26EF">
        <w:rPr>
          <w:vertAlign w:val="superscript"/>
          <w:lang w:val="en-GB"/>
        </w:rPr>
        <w:t>1</w:t>
      </w:r>
      <w:r w:rsidR="00C81D6E" w:rsidRPr="00AF26EF">
        <w:rPr>
          <w:lang w:val="en-GB"/>
        </w:rPr>
        <w:t xml:space="preserve">, </w:t>
      </w:r>
      <w:r w:rsidR="00092026" w:rsidRPr="00AF26EF">
        <w:rPr>
          <w:lang w:val="en-GB"/>
        </w:rPr>
        <w:t>James Dodd</w:t>
      </w:r>
      <w:r w:rsidR="00C81D6E" w:rsidRPr="00AF26EF">
        <w:rPr>
          <w:lang w:val="en-GB"/>
        </w:rPr>
        <w:t xml:space="preserve"> </w:t>
      </w:r>
      <w:r w:rsidR="006D0B4A" w:rsidRPr="00AF26EF">
        <w:rPr>
          <w:vertAlign w:val="superscript"/>
          <w:lang w:val="en-GB"/>
        </w:rPr>
        <w:t>4</w:t>
      </w:r>
      <w:r w:rsidR="00C81D6E" w:rsidRPr="00AF26EF">
        <w:rPr>
          <w:lang w:val="en-GB"/>
        </w:rPr>
        <w:t xml:space="preserve">, </w:t>
      </w:r>
      <w:r w:rsidR="00085CE2" w:rsidRPr="00AF26EF">
        <w:rPr>
          <w:rStyle w:val="Hyperlink"/>
          <w:color w:val="auto"/>
          <w:szCs w:val="24"/>
          <w:u w:val="none"/>
          <w:lang w:val="en-GB"/>
        </w:rPr>
        <w:t xml:space="preserve">Emily </w:t>
      </w:r>
      <w:r w:rsidR="00BE5DA0" w:rsidRPr="00AF26EF">
        <w:rPr>
          <w:rStyle w:val="Hyperlink"/>
          <w:color w:val="auto"/>
          <w:szCs w:val="24"/>
          <w:u w:val="none"/>
          <w:lang w:val="en-GB"/>
        </w:rPr>
        <w:t xml:space="preserve">R. </w:t>
      </w:r>
      <w:r w:rsidR="00085CE2" w:rsidRPr="00AF26EF">
        <w:rPr>
          <w:rStyle w:val="Hyperlink"/>
          <w:color w:val="auto"/>
          <w:szCs w:val="24"/>
          <w:u w:val="none"/>
          <w:lang w:val="en-GB"/>
        </w:rPr>
        <w:t>Adams</w:t>
      </w:r>
      <w:r w:rsidR="00C81D6E" w:rsidRPr="00AF26EF">
        <w:rPr>
          <w:rStyle w:val="Hyperlink"/>
          <w:b w:val="0"/>
          <w:color w:val="auto"/>
          <w:szCs w:val="24"/>
          <w:u w:val="none"/>
          <w:lang w:val="en-GB"/>
        </w:rPr>
        <w:t xml:space="preserve"> </w:t>
      </w:r>
      <w:r w:rsidR="006D0B4A" w:rsidRPr="00AF26EF">
        <w:rPr>
          <w:rStyle w:val="Hyperlink"/>
          <w:color w:val="auto"/>
          <w:szCs w:val="24"/>
          <w:u w:val="none"/>
          <w:vertAlign w:val="superscript"/>
          <w:lang w:val="en-GB"/>
        </w:rPr>
        <w:t>3</w:t>
      </w:r>
      <w:r w:rsidR="00C81D6E" w:rsidRPr="00AF26EF">
        <w:rPr>
          <w:lang w:val="en-GB"/>
        </w:rPr>
        <w:t xml:space="preserve">, </w:t>
      </w:r>
      <w:r w:rsidR="00F16DA8" w:rsidRPr="00AF26EF">
        <w:rPr>
          <w:lang w:val="en-GB"/>
        </w:rPr>
        <w:t>Derek J Sloan</w:t>
      </w:r>
      <w:r w:rsidR="00C81D6E" w:rsidRPr="00AF26EF">
        <w:rPr>
          <w:lang w:val="en-GB"/>
        </w:rPr>
        <w:t xml:space="preserve"> </w:t>
      </w:r>
      <w:r w:rsidR="00F16DA8" w:rsidRPr="00AF26EF">
        <w:rPr>
          <w:vertAlign w:val="superscript"/>
          <w:lang w:val="en-GB"/>
        </w:rPr>
        <w:t>5</w:t>
      </w:r>
      <w:r w:rsidR="00C81D6E" w:rsidRPr="00AF26EF">
        <w:rPr>
          <w:lang w:val="en-GB"/>
        </w:rPr>
        <w:t xml:space="preserve">, </w:t>
      </w:r>
      <w:r w:rsidR="00452CEC" w:rsidRPr="00AF26EF">
        <w:rPr>
          <w:lang w:val="en-GB"/>
        </w:rPr>
        <w:t>J</w:t>
      </w:r>
      <w:r w:rsidR="004A4130" w:rsidRPr="00AF26EF">
        <w:rPr>
          <w:lang w:val="en-GB"/>
        </w:rPr>
        <w:t>acob Creswell</w:t>
      </w:r>
      <w:r w:rsidR="00C81D6E" w:rsidRPr="00AF26EF">
        <w:rPr>
          <w:lang w:val="en-GB"/>
        </w:rPr>
        <w:t xml:space="preserve"> </w:t>
      </w:r>
      <w:r w:rsidR="004A4130" w:rsidRPr="00AF26EF">
        <w:rPr>
          <w:vertAlign w:val="superscript"/>
          <w:lang w:val="en-GB"/>
        </w:rPr>
        <w:t>6</w:t>
      </w:r>
      <w:r w:rsidR="00C81D6E" w:rsidRPr="00AF26EF">
        <w:rPr>
          <w:lang w:val="en-GB"/>
        </w:rPr>
        <w:t xml:space="preserve">, </w:t>
      </w:r>
      <w:r w:rsidR="006D0B4A" w:rsidRPr="00AF26EF">
        <w:rPr>
          <w:rStyle w:val="Hyperlink"/>
          <w:color w:val="auto"/>
          <w:szCs w:val="24"/>
          <w:u w:val="none"/>
          <w:lang w:val="en-GB"/>
        </w:rPr>
        <w:t>Jose Dominguez</w:t>
      </w:r>
      <w:r w:rsidR="00C81D6E" w:rsidRPr="00AF26EF">
        <w:rPr>
          <w:rStyle w:val="Hyperlink"/>
          <w:b w:val="0"/>
          <w:color w:val="auto"/>
          <w:szCs w:val="24"/>
          <w:u w:val="none"/>
          <w:lang w:val="en-GB"/>
        </w:rPr>
        <w:t xml:space="preserve"> </w:t>
      </w:r>
      <w:r w:rsidR="006D2022" w:rsidRPr="00AF26EF">
        <w:rPr>
          <w:rStyle w:val="Hyperlink"/>
          <w:color w:val="auto"/>
          <w:szCs w:val="24"/>
          <w:u w:val="none"/>
          <w:vertAlign w:val="superscript"/>
          <w:lang w:val="en-GB"/>
        </w:rPr>
        <w:t>7</w:t>
      </w:r>
      <w:r w:rsidR="004D573E" w:rsidRPr="00AF26EF">
        <w:rPr>
          <w:lang w:val="en-GB"/>
        </w:rPr>
        <w:t xml:space="preserve"> and </w:t>
      </w:r>
      <w:r w:rsidR="00476C05" w:rsidRPr="00AF26EF">
        <w:rPr>
          <w:lang w:val="en-GB"/>
        </w:rPr>
        <w:t>Luis E. Cuevas</w:t>
      </w:r>
      <w:r w:rsidR="00C81D6E" w:rsidRPr="00AF26EF">
        <w:rPr>
          <w:lang w:val="en-GB"/>
        </w:rPr>
        <w:t xml:space="preserve"> </w:t>
      </w:r>
      <w:r w:rsidR="00F16DA8" w:rsidRPr="00AF26EF">
        <w:rPr>
          <w:vertAlign w:val="superscript"/>
          <w:lang w:val="en-GB"/>
        </w:rPr>
        <w:t>3</w:t>
      </w:r>
      <w:r w:rsidR="00C81D6E" w:rsidRPr="00AF26EF">
        <w:rPr>
          <w:vertAlign w:val="superscript"/>
          <w:lang w:val="en-GB"/>
        </w:rPr>
        <w:t>,</w:t>
      </w:r>
      <w:proofErr w:type="gramStart"/>
      <w:r w:rsidR="006D0B4A" w:rsidRPr="00AF26EF">
        <w:rPr>
          <w:vertAlign w:val="superscript"/>
          <w:lang w:val="en-GB"/>
        </w:rPr>
        <w:t>4</w:t>
      </w:r>
      <w:r w:rsidR="00C81D6E" w:rsidRPr="00AF26EF">
        <w:rPr>
          <w:vertAlign w:val="superscript"/>
          <w:lang w:val="en-GB"/>
        </w:rPr>
        <w:t>,</w:t>
      </w:r>
      <w:r w:rsidR="00476C05" w:rsidRPr="00AF26EF">
        <w:rPr>
          <w:lang w:val="en-GB"/>
        </w:rPr>
        <w:t>*</w:t>
      </w:r>
      <w:proofErr w:type="gramEnd"/>
    </w:p>
    <w:p w14:paraId="15BDB36E" w14:textId="28D8EC2C" w:rsidR="00476C05" w:rsidRPr="00AF26EF" w:rsidRDefault="00F16DA8" w:rsidP="0031451E">
      <w:pPr>
        <w:pStyle w:val="MDPI16affiliation"/>
        <w:rPr>
          <w:vertAlign w:val="superscript"/>
          <w:lang w:val="en-GB"/>
        </w:rPr>
      </w:pPr>
      <w:r w:rsidRPr="00AF26EF">
        <w:rPr>
          <w:vertAlign w:val="superscript"/>
          <w:lang w:val="en-GB"/>
        </w:rPr>
        <w:t>1</w:t>
      </w:r>
      <w:r w:rsidR="004D573E" w:rsidRPr="00AF26EF">
        <w:rPr>
          <w:lang w:val="en-GB"/>
        </w:rPr>
        <w:tab/>
      </w:r>
      <w:r w:rsidRPr="00AF26EF">
        <w:rPr>
          <w:vertAlign w:val="superscript"/>
          <w:lang w:val="en-GB"/>
        </w:rPr>
        <w:t xml:space="preserve"> </w:t>
      </w:r>
      <w:proofErr w:type="spellStart"/>
      <w:r w:rsidR="00476C05" w:rsidRPr="00AF26EF">
        <w:rPr>
          <w:lang w:val="en-GB"/>
        </w:rPr>
        <w:t>Zankli</w:t>
      </w:r>
      <w:proofErr w:type="spellEnd"/>
      <w:r w:rsidR="00476C05" w:rsidRPr="00AF26EF">
        <w:rPr>
          <w:lang w:val="en-GB"/>
        </w:rPr>
        <w:t xml:space="preserve"> Research </w:t>
      </w:r>
      <w:r w:rsidR="00E43090" w:rsidRPr="00AF26EF">
        <w:rPr>
          <w:lang w:val="en-GB"/>
        </w:rPr>
        <w:t>Centre and</w:t>
      </w:r>
      <w:r w:rsidR="00476C05" w:rsidRPr="00AF26EF">
        <w:rPr>
          <w:lang w:val="en-GB"/>
        </w:rPr>
        <w:t xml:space="preserve"> Department of Community Medicine, Bingham University,</w:t>
      </w:r>
      <w:r w:rsidR="0031451E" w:rsidRPr="00AF26EF">
        <w:t xml:space="preserve"> </w:t>
      </w:r>
      <w:r w:rsidR="000A2898" w:rsidRPr="00AF26EF">
        <w:t>961105</w:t>
      </w:r>
      <w:r w:rsidR="00476C05" w:rsidRPr="00AF26EF">
        <w:rPr>
          <w:lang w:val="en-GB"/>
        </w:rPr>
        <w:t xml:space="preserve"> </w:t>
      </w:r>
      <w:proofErr w:type="spellStart"/>
      <w:r w:rsidR="00476C05" w:rsidRPr="00AF26EF">
        <w:rPr>
          <w:lang w:val="en-GB"/>
        </w:rPr>
        <w:t>Karu</w:t>
      </w:r>
      <w:proofErr w:type="spellEnd"/>
      <w:r w:rsidR="00476C05" w:rsidRPr="00AF26EF">
        <w:rPr>
          <w:lang w:val="en-GB"/>
        </w:rPr>
        <w:t>, Nigeria</w:t>
      </w:r>
      <w:r w:rsidR="00456537" w:rsidRPr="00AF26EF">
        <w:rPr>
          <w:lang w:val="en-GB"/>
        </w:rPr>
        <w:t xml:space="preserve">; </w:t>
      </w:r>
      <w:hyperlink r:id="rId11" w:history="1">
        <w:r w:rsidR="00456537" w:rsidRPr="00AF26EF">
          <w:rPr>
            <w:rStyle w:val="Hyperlink"/>
            <w:color w:val="auto"/>
            <w:u w:val="none"/>
          </w:rPr>
          <w:t>bimbajs@yahoo.com</w:t>
        </w:r>
      </w:hyperlink>
      <w:r w:rsidR="00456537" w:rsidRPr="00AF26EF">
        <w:rPr>
          <w:color w:val="auto"/>
          <w:lang w:val="en-GB"/>
        </w:rPr>
        <w:t xml:space="preserve"> (J.S.B.); </w:t>
      </w:r>
      <w:hyperlink r:id="rId12" w:history="1">
        <w:r w:rsidR="00456537" w:rsidRPr="00AF26EF">
          <w:rPr>
            <w:rStyle w:val="Hyperlink"/>
            <w:color w:val="auto"/>
            <w:u w:val="none"/>
          </w:rPr>
          <w:t>lovett.lawson@gmail.com</w:t>
        </w:r>
      </w:hyperlink>
      <w:r w:rsidR="00456537" w:rsidRPr="00AF26EF">
        <w:rPr>
          <w:color w:val="auto"/>
          <w:lang w:val="en-GB"/>
        </w:rPr>
        <w:t xml:space="preserve"> (L.L.); </w:t>
      </w:r>
      <w:hyperlink r:id="rId13" w:history="1">
        <w:r w:rsidR="00456537" w:rsidRPr="00AF26EF">
          <w:rPr>
            <w:rStyle w:val="Hyperlink"/>
            <w:color w:val="auto"/>
            <w:u w:val="none"/>
          </w:rPr>
          <w:t>bassey_emmana@yahoo.com</w:t>
        </w:r>
      </w:hyperlink>
      <w:r w:rsidR="00456537" w:rsidRPr="00AF26EF">
        <w:rPr>
          <w:lang w:val="en-GB"/>
        </w:rPr>
        <w:t xml:space="preserve"> (B.E.E.)</w:t>
      </w:r>
    </w:p>
    <w:p w14:paraId="2999486C" w14:textId="4C772593" w:rsidR="00476C05" w:rsidRPr="00AF26EF" w:rsidRDefault="00F16DA8" w:rsidP="0031451E">
      <w:pPr>
        <w:pStyle w:val="MDPI16affiliation"/>
        <w:rPr>
          <w:vertAlign w:val="superscript"/>
          <w:lang w:val="en-GB"/>
        </w:rPr>
      </w:pPr>
      <w:r w:rsidRPr="00AF26EF">
        <w:rPr>
          <w:vertAlign w:val="superscript"/>
          <w:lang w:val="en-GB"/>
        </w:rPr>
        <w:t>2</w:t>
      </w:r>
      <w:r w:rsidR="004D573E" w:rsidRPr="00AF26EF">
        <w:rPr>
          <w:lang w:val="en-GB"/>
        </w:rPr>
        <w:tab/>
      </w:r>
      <w:proofErr w:type="spellStart"/>
      <w:r w:rsidR="00476C05" w:rsidRPr="00AF26EF">
        <w:rPr>
          <w:lang w:val="en-GB"/>
        </w:rPr>
        <w:t>Zankli</w:t>
      </w:r>
      <w:proofErr w:type="spellEnd"/>
      <w:r w:rsidR="00476C05" w:rsidRPr="00AF26EF">
        <w:rPr>
          <w:lang w:val="en-GB"/>
        </w:rPr>
        <w:t xml:space="preserve"> Medical </w:t>
      </w:r>
      <w:proofErr w:type="spellStart"/>
      <w:r w:rsidR="00476C05" w:rsidRPr="00AF26EF">
        <w:rPr>
          <w:lang w:val="en-GB"/>
        </w:rPr>
        <w:t>Center</w:t>
      </w:r>
      <w:proofErr w:type="spellEnd"/>
      <w:r w:rsidR="00476C05" w:rsidRPr="00AF26EF">
        <w:rPr>
          <w:lang w:val="en-GB"/>
        </w:rPr>
        <w:t xml:space="preserve">, </w:t>
      </w:r>
      <w:r w:rsidR="000A2898" w:rsidRPr="00AF26EF">
        <w:t>961105</w:t>
      </w:r>
      <w:r w:rsidR="000A2898" w:rsidRPr="00AF26EF">
        <w:rPr>
          <w:lang w:val="en-GB"/>
        </w:rPr>
        <w:t xml:space="preserve"> </w:t>
      </w:r>
      <w:r w:rsidR="00663E13" w:rsidRPr="00AF26EF">
        <w:rPr>
          <w:lang w:val="en-GB"/>
        </w:rPr>
        <w:t>Abuja</w:t>
      </w:r>
      <w:r w:rsidR="00456537" w:rsidRPr="00AF26EF">
        <w:rPr>
          <w:lang w:val="en-GB"/>
        </w:rPr>
        <w:t>, Nigeria</w:t>
      </w:r>
    </w:p>
    <w:p w14:paraId="787C1951" w14:textId="5034018B" w:rsidR="00476C05" w:rsidRPr="00AF26EF" w:rsidRDefault="00F16DA8" w:rsidP="0031451E">
      <w:pPr>
        <w:pStyle w:val="MDPI16affiliation"/>
        <w:rPr>
          <w:lang w:val="en-GB"/>
        </w:rPr>
      </w:pPr>
      <w:r w:rsidRPr="00AF26EF">
        <w:rPr>
          <w:vertAlign w:val="superscript"/>
          <w:lang w:val="en-GB"/>
        </w:rPr>
        <w:t>3</w:t>
      </w:r>
      <w:r w:rsidR="004D573E" w:rsidRPr="00AF26EF">
        <w:rPr>
          <w:lang w:val="en-GB"/>
        </w:rPr>
        <w:tab/>
      </w:r>
      <w:r w:rsidR="00476C05" w:rsidRPr="00AF26EF">
        <w:rPr>
          <w:lang w:val="en-GB"/>
        </w:rPr>
        <w:t xml:space="preserve">Centre for Drugs and Diagnostics, </w:t>
      </w:r>
      <w:bookmarkStart w:id="1" w:name="OLE_LINK1"/>
      <w:r w:rsidR="00476C05" w:rsidRPr="00AF26EF">
        <w:rPr>
          <w:lang w:val="en-GB"/>
        </w:rPr>
        <w:t>Liverpool School of Tropical Medicine</w:t>
      </w:r>
      <w:bookmarkEnd w:id="1"/>
      <w:r w:rsidR="00476C05" w:rsidRPr="00AF26EF">
        <w:rPr>
          <w:lang w:val="en-GB"/>
        </w:rPr>
        <w:t xml:space="preserve">, </w:t>
      </w:r>
      <w:r w:rsidR="00B04E0F" w:rsidRPr="00AF26EF">
        <w:t>Liverpool L3 5QA</w:t>
      </w:r>
      <w:r w:rsidR="00476C05" w:rsidRPr="00AF26EF">
        <w:rPr>
          <w:lang w:val="en-GB"/>
        </w:rPr>
        <w:t>, UK</w:t>
      </w:r>
      <w:r w:rsidR="00456537" w:rsidRPr="00AF26EF">
        <w:rPr>
          <w:lang w:val="en-GB"/>
        </w:rPr>
        <w:t xml:space="preserve">; </w:t>
      </w:r>
      <w:hyperlink r:id="rId14" w:tooltip="Click to copy the author's email" w:history="1">
        <w:r w:rsidR="00456537" w:rsidRPr="00AF26EF">
          <w:rPr>
            <w:rStyle w:val="Hyperlink"/>
            <w:color w:val="auto"/>
            <w:u w:val="none"/>
          </w:rPr>
          <w:t>Nadia.Kontogianni@lstmed.ac.uk</w:t>
        </w:r>
      </w:hyperlink>
      <w:r w:rsidR="00456537" w:rsidRPr="00AF26EF">
        <w:rPr>
          <w:color w:val="auto"/>
          <w:lang w:val="en-GB"/>
        </w:rPr>
        <w:t xml:space="preserve"> (K.K.); </w:t>
      </w:r>
      <w:hyperlink r:id="rId15" w:history="1">
        <w:r w:rsidR="00456537" w:rsidRPr="00AF26EF">
          <w:rPr>
            <w:rStyle w:val="Hyperlink"/>
            <w:color w:val="auto"/>
            <w:u w:val="none"/>
          </w:rPr>
          <w:t>Thomas.Edwards@lstmed.ac.uk</w:t>
        </w:r>
      </w:hyperlink>
      <w:r w:rsidR="00456537" w:rsidRPr="00AF26EF">
        <w:rPr>
          <w:color w:val="auto"/>
          <w:lang w:val="en-GB"/>
        </w:rPr>
        <w:t xml:space="preserve"> (T.E.); </w:t>
      </w:r>
      <w:hyperlink r:id="rId16" w:history="1">
        <w:r w:rsidR="00456537" w:rsidRPr="00AF26EF">
          <w:rPr>
            <w:rStyle w:val="Hyperlink"/>
            <w:color w:val="auto"/>
            <w:u w:val="none"/>
          </w:rPr>
          <w:t>Emily.Adams@lstmed.ac.uk</w:t>
        </w:r>
      </w:hyperlink>
      <w:r w:rsidR="00456537" w:rsidRPr="00AF26EF">
        <w:rPr>
          <w:color w:val="auto"/>
          <w:lang w:val="en-GB"/>
        </w:rPr>
        <w:t xml:space="preserve"> (E.R.A.)</w:t>
      </w:r>
    </w:p>
    <w:p w14:paraId="6F78E4D1" w14:textId="05E66F7C" w:rsidR="006D0B4A" w:rsidRPr="00AF26EF" w:rsidRDefault="006D0B4A" w:rsidP="0031451E">
      <w:pPr>
        <w:pStyle w:val="MDPI16affiliation"/>
        <w:rPr>
          <w:lang w:val="en-GB" w:eastAsia="en-GB"/>
        </w:rPr>
      </w:pPr>
      <w:r w:rsidRPr="00AF26EF">
        <w:rPr>
          <w:color w:val="222222"/>
          <w:vertAlign w:val="superscript"/>
          <w:lang w:val="en-GB"/>
        </w:rPr>
        <w:t>4</w:t>
      </w:r>
      <w:r w:rsidR="004D573E" w:rsidRPr="00AF26EF">
        <w:rPr>
          <w:color w:val="222222"/>
          <w:lang w:val="en-GB"/>
        </w:rPr>
        <w:tab/>
      </w:r>
      <w:r w:rsidRPr="00AF26EF">
        <w:rPr>
          <w:color w:val="222222"/>
          <w:lang w:val="en-GB"/>
        </w:rPr>
        <w:t>Department of Clinical Sciences</w:t>
      </w:r>
      <w:r w:rsidRPr="00AF26EF">
        <w:rPr>
          <w:lang w:val="en-GB"/>
        </w:rPr>
        <w:t xml:space="preserve">, Liverpool School of Tropical Medicine,  </w:t>
      </w:r>
      <w:r w:rsidR="00B04E0F" w:rsidRPr="00AF26EF">
        <w:rPr>
          <w:lang w:val="en-GB"/>
        </w:rPr>
        <w:t xml:space="preserve">Liverpool </w:t>
      </w:r>
      <w:r w:rsidRPr="00AF26EF">
        <w:rPr>
          <w:lang w:val="en-GB"/>
        </w:rPr>
        <w:t>L3 5QA, UK</w:t>
      </w:r>
      <w:r w:rsidR="00456537" w:rsidRPr="00AF26EF">
        <w:rPr>
          <w:lang w:val="en-GB"/>
        </w:rPr>
        <w:t xml:space="preserve">; </w:t>
      </w:r>
      <w:hyperlink r:id="rId17" w:tooltip="Click to copy the author's email" w:history="1">
        <w:r w:rsidR="00456537" w:rsidRPr="00AF26EF">
          <w:rPr>
            <w:rStyle w:val="Hyperlink"/>
            <w:color w:val="auto"/>
            <w:u w:val="none"/>
          </w:rPr>
          <w:t>james.dodd@lstmed.ac.uk</w:t>
        </w:r>
      </w:hyperlink>
    </w:p>
    <w:p w14:paraId="0E8DFC88" w14:textId="578F2385" w:rsidR="00F16DA8" w:rsidRPr="00AF26EF" w:rsidRDefault="00F16DA8" w:rsidP="0031451E">
      <w:pPr>
        <w:pStyle w:val="MDPI16affiliation"/>
        <w:rPr>
          <w:shd w:val="clear" w:color="auto" w:fill="FFFFFF"/>
          <w:lang w:val="en-GB"/>
        </w:rPr>
      </w:pPr>
      <w:r w:rsidRPr="00AF26EF">
        <w:rPr>
          <w:vertAlign w:val="superscript"/>
          <w:lang w:val="en-GB" w:eastAsia="en-GB"/>
        </w:rPr>
        <w:t xml:space="preserve">5 </w:t>
      </w:r>
      <w:r w:rsidR="004D573E" w:rsidRPr="00AF26EF">
        <w:rPr>
          <w:lang w:val="en-GB" w:eastAsia="en-GB"/>
        </w:rPr>
        <w:tab/>
      </w:r>
      <w:r w:rsidRPr="00AF26EF">
        <w:rPr>
          <w:shd w:val="clear" w:color="auto" w:fill="FFFFFF"/>
          <w:lang w:val="en-GB"/>
        </w:rPr>
        <w:t>School of Medicine, University of St An</w:t>
      </w:r>
      <w:r w:rsidR="00456537" w:rsidRPr="00AF26EF">
        <w:rPr>
          <w:shd w:val="clear" w:color="auto" w:fill="FFFFFF"/>
          <w:lang w:val="en-GB"/>
        </w:rPr>
        <w:t xml:space="preserve">drews, St Andrews, KY16 9TF, UK; </w:t>
      </w:r>
      <w:hyperlink r:id="rId18" w:history="1">
        <w:r w:rsidR="00456537" w:rsidRPr="00AF26EF">
          <w:rPr>
            <w:rStyle w:val="Hyperlink"/>
            <w:color w:val="auto"/>
            <w:u w:val="none"/>
            <w:shd w:val="clear" w:color="auto" w:fill="FFFFFF"/>
          </w:rPr>
          <w:t>djs26@st-andrews.ac.uk</w:t>
        </w:r>
      </w:hyperlink>
    </w:p>
    <w:p w14:paraId="36685415" w14:textId="126C44D9" w:rsidR="004A4130" w:rsidRPr="00AF26EF" w:rsidRDefault="004A4130" w:rsidP="0031451E">
      <w:pPr>
        <w:pStyle w:val="MDPI16affiliation"/>
        <w:rPr>
          <w:color w:val="auto"/>
          <w:shd w:val="clear" w:color="auto" w:fill="FFFFFF"/>
          <w:lang w:val="en-GB"/>
        </w:rPr>
      </w:pPr>
      <w:r w:rsidRPr="00AF26EF">
        <w:rPr>
          <w:shd w:val="clear" w:color="auto" w:fill="FFFFFF"/>
          <w:vertAlign w:val="superscript"/>
          <w:lang w:val="en-GB"/>
        </w:rPr>
        <w:t>6</w:t>
      </w:r>
      <w:r w:rsidR="0031451E" w:rsidRPr="00AF26EF">
        <w:rPr>
          <w:shd w:val="clear" w:color="auto" w:fill="FFFFFF"/>
          <w:lang w:val="en-GB"/>
        </w:rPr>
        <w:tab/>
      </w:r>
      <w:r w:rsidRPr="00AF26EF">
        <w:rPr>
          <w:shd w:val="clear" w:color="auto" w:fill="FFFFFF"/>
          <w:lang w:val="en-GB"/>
        </w:rPr>
        <w:t xml:space="preserve">Stop TB Partnership, </w:t>
      </w:r>
      <w:r w:rsidR="00303A19" w:rsidRPr="00AF26EF">
        <w:rPr>
          <w:shd w:val="clear" w:color="auto" w:fill="FFFFFF"/>
          <w:lang w:val="en-GB"/>
        </w:rPr>
        <w:t xml:space="preserve">TB REACH, </w:t>
      </w:r>
      <w:r w:rsidR="000A2898" w:rsidRPr="00AF26EF">
        <w:t>1218</w:t>
      </w:r>
      <w:r w:rsidR="0031451E" w:rsidRPr="00AF26EF">
        <w:rPr>
          <w:shd w:val="clear" w:color="auto" w:fill="FFFFFF"/>
          <w:lang w:val="en-GB"/>
        </w:rPr>
        <w:t xml:space="preserve"> </w:t>
      </w:r>
      <w:r w:rsidR="00456537" w:rsidRPr="00AF26EF">
        <w:rPr>
          <w:shd w:val="clear" w:color="auto" w:fill="FFFFFF"/>
          <w:lang w:val="en-GB"/>
        </w:rPr>
        <w:t xml:space="preserve">Geneva, Switzerland; </w:t>
      </w:r>
      <w:hyperlink r:id="rId19" w:tooltip="Click to copy the author's email" w:history="1">
        <w:r w:rsidR="00456537" w:rsidRPr="00AF26EF">
          <w:rPr>
            <w:rStyle w:val="Hyperlink"/>
            <w:color w:val="auto"/>
            <w:u w:val="none"/>
            <w:shd w:val="clear" w:color="auto" w:fill="FFFFFF"/>
          </w:rPr>
          <w:t>jacobc@stoptb.org</w:t>
        </w:r>
      </w:hyperlink>
    </w:p>
    <w:p w14:paraId="781D9890" w14:textId="1295A91E" w:rsidR="00F16DA8" w:rsidRPr="00AF26EF" w:rsidRDefault="006D0B4A" w:rsidP="004D573E">
      <w:pPr>
        <w:pStyle w:val="MDPI16affiliation"/>
        <w:rPr>
          <w:lang w:val="en-GB"/>
        </w:rPr>
      </w:pPr>
      <w:r w:rsidRPr="00AF26EF">
        <w:rPr>
          <w:vertAlign w:val="superscript"/>
          <w:lang w:val="en-GB"/>
        </w:rPr>
        <w:t>7</w:t>
      </w:r>
      <w:r w:rsidR="0031451E" w:rsidRPr="00AF26EF">
        <w:rPr>
          <w:lang w:val="en-GB"/>
        </w:rPr>
        <w:tab/>
      </w:r>
      <w:r w:rsidRPr="00AF26EF">
        <w:rPr>
          <w:vertAlign w:val="superscript"/>
          <w:lang w:val="en-GB"/>
        </w:rPr>
        <w:t xml:space="preserve"> </w:t>
      </w:r>
      <w:proofErr w:type="spellStart"/>
      <w:r w:rsidRPr="00AF26EF">
        <w:rPr>
          <w:lang w:val="en-GB"/>
        </w:rPr>
        <w:t>Institut</w:t>
      </w:r>
      <w:proofErr w:type="spellEnd"/>
      <w:r w:rsidRPr="00AF26EF">
        <w:rPr>
          <w:lang w:val="en-GB"/>
        </w:rPr>
        <w:t xml:space="preserve"> </w:t>
      </w:r>
      <w:proofErr w:type="spellStart"/>
      <w:r w:rsidRPr="00AF26EF">
        <w:rPr>
          <w:lang w:val="en-GB"/>
        </w:rPr>
        <w:t>d'Investigació</w:t>
      </w:r>
      <w:proofErr w:type="spellEnd"/>
      <w:r w:rsidRPr="00AF26EF">
        <w:rPr>
          <w:lang w:val="en-GB"/>
        </w:rPr>
        <w:t xml:space="preserve"> Germans </w:t>
      </w:r>
      <w:proofErr w:type="spellStart"/>
      <w:r w:rsidRPr="00AF26EF">
        <w:rPr>
          <w:lang w:val="en-GB"/>
        </w:rPr>
        <w:t>Trias</w:t>
      </w:r>
      <w:proofErr w:type="spellEnd"/>
      <w:r w:rsidRPr="00AF26EF">
        <w:rPr>
          <w:lang w:val="en-GB"/>
        </w:rPr>
        <w:t xml:space="preserve"> </w:t>
      </w:r>
      <w:proofErr w:type="spellStart"/>
      <w:r w:rsidRPr="00AF26EF">
        <w:rPr>
          <w:lang w:val="en-GB"/>
        </w:rPr>
        <w:t>i</w:t>
      </w:r>
      <w:proofErr w:type="spellEnd"/>
      <w:r w:rsidRPr="00AF26EF">
        <w:rPr>
          <w:lang w:val="en-GB"/>
        </w:rPr>
        <w:t xml:space="preserve"> Pujol, </w:t>
      </w:r>
      <w:proofErr w:type="spellStart"/>
      <w:r w:rsidRPr="00AF26EF">
        <w:rPr>
          <w:lang w:val="en-GB"/>
        </w:rPr>
        <w:t>Universitat</w:t>
      </w:r>
      <w:proofErr w:type="spellEnd"/>
      <w:r w:rsidRPr="00AF26EF">
        <w:rPr>
          <w:lang w:val="en-GB"/>
        </w:rPr>
        <w:t xml:space="preserve"> </w:t>
      </w:r>
      <w:proofErr w:type="spellStart"/>
      <w:r w:rsidRPr="00AF26EF">
        <w:rPr>
          <w:lang w:val="en-GB"/>
        </w:rPr>
        <w:t>Autònoma</w:t>
      </w:r>
      <w:proofErr w:type="spellEnd"/>
      <w:r w:rsidRPr="00AF26EF">
        <w:rPr>
          <w:lang w:val="en-GB"/>
        </w:rPr>
        <w:t xml:space="preserve"> de </w:t>
      </w:r>
      <w:r w:rsidR="004D573E" w:rsidRPr="00AF26EF">
        <w:rPr>
          <w:lang w:val="en-GB"/>
        </w:rPr>
        <w:t xml:space="preserve">Barcelona, CIBER </w:t>
      </w:r>
      <w:proofErr w:type="spellStart"/>
      <w:r w:rsidRPr="00AF26EF">
        <w:rPr>
          <w:lang w:val="en-GB"/>
        </w:rPr>
        <w:t>Enfermedades</w:t>
      </w:r>
      <w:proofErr w:type="spellEnd"/>
      <w:r w:rsidRPr="00AF26EF">
        <w:rPr>
          <w:lang w:val="en-GB"/>
        </w:rPr>
        <w:t xml:space="preserve"> </w:t>
      </w:r>
      <w:proofErr w:type="spellStart"/>
      <w:r w:rsidRPr="00AF26EF">
        <w:rPr>
          <w:lang w:val="en-GB"/>
        </w:rPr>
        <w:t>Respiratorias</w:t>
      </w:r>
      <w:proofErr w:type="spellEnd"/>
      <w:r w:rsidRPr="00AF26EF">
        <w:rPr>
          <w:lang w:val="en-GB"/>
        </w:rPr>
        <w:t xml:space="preserve"> (CIBERES), </w:t>
      </w:r>
      <w:r w:rsidR="000A2898" w:rsidRPr="00AF26EF">
        <w:t>08916</w:t>
      </w:r>
      <w:r w:rsidR="0031451E" w:rsidRPr="00AF26EF">
        <w:rPr>
          <w:lang w:val="en-GB"/>
        </w:rPr>
        <w:t xml:space="preserve"> </w:t>
      </w:r>
      <w:r w:rsidRPr="00AF26EF">
        <w:rPr>
          <w:lang w:val="en-GB"/>
        </w:rPr>
        <w:t>Badalona, Spain</w:t>
      </w:r>
      <w:r w:rsidR="00456537" w:rsidRPr="00AF26EF">
        <w:rPr>
          <w:lang w:val="en-GB"/>
        </w:rPr>
        <w:t xml:space="preserve">; </w:t>
      </w:r>
      <w:hyperlink r:id="rId20" w:tooltip="Click to copy the author's email" w:history="1">
        <w:r w:rsidR="00456537" w:rsidRPr="00AF26EF">
          <w:rPr>
            <w:rStyle w:val="Hyperlink"/>
            <w:color w:val="auto"/>
            <w:u w:val="none"/>
          </w:rPr>
          <w:t>jadomb@gmail.com</w:t>
        </w:r>
      </w:hyperlink>
    </w:p>
    <w:p w14:paraId="7BDD5CE7" w14:textId="4BEEF557" w:rsidR="00B53007" w:rsidRDefault="004D573E" w:rsidP="004D573E">
      <w:pPr>
        <w:pStyle w:val="MDPI16affiliation"/>
        <w:rPr>
          <w:color w:val="auto"/>
          <w:lang w:val="en-GB"/>
        </w:rPr>
      </w:pPr>
      <w:r w:rsidRPr="00AF26EF">
        <w:rPr>
          <w:b/>
          <w:lang w:val="en-GB"/>
        </w:rPr>
        <w:t>*</w:t>
      </w:r>
      <w:r w:rsidRPr="00AF26EF">
        <w:rPr>
          <w:lang w:val="en-GB"/>
        </w:rPr>
        <w:tab/>
        <w:t>Correspondence:</w:t>
      </w:r>
      <w:r w:rsidR="00B53007" w:rsidRPr="00AF26EF">
        <w:rPr>
          <w:lang w:val="en-GB"/>
        </w:rPr>
        <w:t xml:space="preserve"> </w:t>
      </w:r>
      <w:hyperlink r:id="rId21" w:history="1">
        <w:r w:rsidR="00B53007" w:rsidRPr="00AF26EF">
          <w:rPr>
            <w:rStyle w:val="Hyperlink"/>
            <w:color w:val="auto"/>
            <w:u w:val="none"/>
            <w:lang w:val="en-GB"/>
          </w:rPr>
          <w:t>Luis.Cuevas@lstmed.ac.uk</w:t>
        </w:r>
      </w:hyperlink>
      <w:r w:rsidR="00B53007" w:rsidRPr="00AF26EF">
        <w:rPr>
          <w:color w:val="auto"/>
          <w:lang w:val="en-GB"/>
        </w:rPr>
        <w:t>.</w:t>
      </w:r>
    </w:p>
    <w:p w14:paraId="2946EA97" w14:textId="6BEDD136" w:rsidR="00AF138C" w:rsidRPr="00AF138C" w:rsidRDefault="00AF138C" w:rsidP="00AF138C">
      <w:pPr>
        <w:pStyle w:val="MDPI14history"/>
      </w:pPr>
      <w:r w:rsidRPr="00A27720">
        <w:t xml:space="preserve">Received: </w:t>
      </w:r>
      <w:r w:rsidRPr="00AF138C">
        <w:t>11 November 2019</w:t>
      </w:r>
      <w:r w:rsidRPr="00A27720">
        <w:t xml:space="preserve">; Accepted: </w:t>
      </w:r>
      <w:r>
        <w:t>1 December 2019</w:t>
      </w:r>
      <w:r w:rsidRPr="00A27720">
        <w:t>; Published: date</w:t>
      </w:r>
    </w:p>
    <w:p w14:paraId="5CFBE2CE" w14:textId="131F9259" w:rsidR="00B53007" w:rsidRPr="00AF26EF" w:rsidRDefault="00B53007" w:rsidP="00C3472A">
      <w:pPr>
        <w:pStyle w:val="MDPI17abstract"/>
        <w:rPr>
          <w:b/>
          <w:lang w:val="en-GB"/>
        </w:rPr>
      </w:pPr>
      <w:r w:rsidRPr="00AF26EF">
        <w:rPr>
          <w:b/>
          <w:lang w:val="en-GB"/>
        </w:rPr>
        <w:t xml:space="preserve">Abstract: </w:t>
      </w:r>
      <w:r w:rsidRPr="00AF26EF">
        <w:rPr>
          <w:lang w:val="en-GB"/>
        </w:rPr>
        <w:t xml:space="preserve">Background: </w:t>
      </w:r>
      <w:proofErr w:type="spellStart"/>
      <w:r w:rsidRPr="00AF26EF">
        <w:rPr>
          <w:lang w:val="en-GB"/>
        </w:rPr>
        <w:t>Xpert</w:t>
      </w:r>
      <w:proofErr w:type="spellEnd"/>
      <w:r w:rsidRPr="00AF26EF">
        <w:rPr>
          <w:lang w:val="en-GB"/>
        </w:rPr>
        <w:t xml:space="preserve"> MTB/RIF (GX) for tuberculosis (TB) diagnosis is often located in reference laboratories</w:t>
      </w:r>
      <w:r w:rsidR="00B46931" w:rsidRPr="00AF26EF">
        <w:rPr>
          <w:lang w:val="en-GB"/>
        </w:rPr>
        <w:t>,</w:t>
      </w:r>
      <w:r w:rsidRPr="00AF26EF">
        <w:rPr>
          <w:lang w:val="en-GB"/>
        </w:rPr>
        <w:t xml:space="preserve"> and sputum needs to be transported using a cold</w:t>
      </w:r>
      <w:r w:rsidR="008529D8" w:rsidRPr="00AF26EF">
        <w:rPr>
          <w:lang w:val="en-GB"/>
        </w:rPr>
        <w:t xml:space="preserve"> </w:t>
      </w:r>
      <w:r w:rsidRPr="00AF26EF">
        <w:rPr>
          <w:lang w:val="en-GB"/>
        </w:rPr>
        <w:t>chain. Transport media to preserve sputum are available</w:t>
      </w:r>
      <w:r w:rsidR="00B46931" w:rsidRPr="00AF26EF">
        <w:rPr>
          <w:lang w:val="en-GB"/>
        </w:rPr>
        <w:t>,</w:t>
      </w:r>
      <w:r w:rsidRPr="00AF26EF">
        <w:rPr>
          <w:lang w:val="en-GB"/>
        </w:rPr>
        <w:t xml:space="preserve"> but performance data under programmatic conditions </w:t>
      </w:r>
      <w:r w:rsidR="00D25C3A" w:rsidRPr="00AF26EF">
        <w:rPr>
          <w:lang w:val="en-GB"/>
        </w:rPr>
        <w:t xml:space="preserve">are </w:t>
      </w:r>
      <w:r w:rsidRPr="00AF26EF">
        <w:rPr>
          <w:lang w:val="en-GB"/>
        </w:rPr>
        <w:t>limited. Methods: Sputum samples were collected from patients with presumptive TB in Nigeria. One sputum was transported in a cold</w:t>
      </w:r>
      <w:r w:rsidR="008529D8" w:rsidRPr="00AF26EF">
        <w:rPr>
          <w:lang w:val="en-GB"/>
        </w:rPr>
        <w:t xml:space="preserve"> </w:t>
      </w:r>
      <w:r w:rsidRPr="00AF26EF">
        <w:rPr>
          <w:lang w:val="en-GB"/>
        </w:rPr>
        <w:t xml:space="preserve">chain, tested </w:t>
      </w:r>
      <w:r w:rsidR="0047307E" w:rsidRPr="00AF26EF">
        <w:rPr>
          <w:lang w:val="en-GB"/>
        </w:rPr>
        <w:t>immediately</w:t>
      </w:r>
      <w:r w:rsidRPr="00AF26EF">
        <w:rPr>
          <w:lang w:val="en-GB"/>
        </w:rPr>
        <w:t xml:space="preserve"> with GX and cultured. One sputum was swabbed and stored in </w:t>
      </w:r>
      <w:proofErr w:type="spellStart"/>
      <w:r w:rsidRPr="00AF26EF">
        <w:rPr>
          <w:lang w:val="en-GB"/>
        </w:rPr>
        <w:t>PrimeStore</w:t>
      </w:r>
      <w:proofErr w:type="spellEnd"/>
      <w:r w:rsidRPr="00AF26EF">
        <w:rPr>
          <w:lang w:val="en-GB"/>
        </w:rPr>
        <w:t>-Molecular-Transport-Medium (</w:t>
      </w:r>
      <w:proofErr w:type="spellStart"/>
      <w:r w:rsidRPr="00AF26EF">
        <w:rPr>
          <w:lang w:val="en-GB"/>
        </w:rPr>
        <w:t>Primestore</w:t>
      </w:r>
      <w:proofErr w:type="spellEnd"/>
      <w:r w:rsidRPr="00AF26EF">
        <w:rPr>
          <w:lang w:val="en-GB"/>
        </w:rPr>
        <w:t>)</w:t>
      </w:r>
      <w:r w:rsidR="00B46931" w:rsidRPr="00AF26EF">
        <w:rPr>
          <w:lang w:val="en-GB"/>
        </w:rPr>
        <w:t>,</w:t>
      </w:r>
      <w:r w:rsidRPr="00AF26EF">
        <w:rPr>
          <w:lang w:val="en-GB"/>
        </w:rPr>
        <w:t xml:space="preserve"> and the remainder </w:t>
      </w:r>
      <w:r w:rsidR="00D25C3A" w:rsidRPr="00AF26EF">
        <w:rPr>
          <w:lang w:val="en-GB"/>
        </w:rPr>
        <w:t xml:space="preserve">was </w:t>
      </w:r>
      <w:r w:rsidRPr="00AF26EF">
        <w:rPr>
          <w:lang w:val="en-GB"/>
        </w:rPr>
        <w:t xml:space="preserve">stored in </w:t>
      </w:r>
      <w:proofErr w:type="spellStart"/>
      <w:r w:rsidRPr="00AF26EF">
        <w:rPr>
          <w:lang w:val="en-GB"/>
        </w:rPr>
        <w:t>OMNIGene</w:t>
      </w:r>
      <w:proofErr w:type="spellEnd"/>
      <w:r w:rsidRPr="00AF26EF">
        <w:rPr>
          <w:lang w:val="en-GB"/>
        </w:rPr>
        <w:t>-sputum (</w:t>
      </w:r>
      <w:proofErr w:type="spellStart"/>
      <w:r w:rsidRPr="00AF26EF">
        <w:rPr>
          <w:lang w:val="en-GB"/>
        </w:rPr>
        <w:t>Omnigene</w:t>
      </w:r>
      <w:proofErr w:type="spellEnd"/>
      <w:r w:rsidRPr="00AF26EF">
        <w:rPr>
          <w:lang w:val="en-GB"/>
        </w:rPr>
        <w:t xml:space="preserve">), kept for </w:t>
      </w:r>
      <w:r w:rsidR="00B46931" w:rsidRPr="00AF26EF">
        <w:rPr>
          <w:lang w:val="en-GB"/>
        </w:rPr>
        <w:t>seven</w:t>
      </w:r>
      <w:r w:rsidRPr="00AF26EF">
        <w:rPr>
          <w:lang w:val="en-GB"/>
        </w:rPr>
        <w:t xml:space="preserve"> days and tested with GX. Results: Of 248 patients, 63 </w:t>
      </w:r>
      <w:r w:rsidRPr="00AF26EF">
        <w:rPr>
          <w:color w:val="000000" w:themeColor="text1"/>
          <w:lang w:val="en-GB"/>
        </w:rPr>
        <w:t>were fresh-sputum culture-positive</w:t>
      </w:r>
      <w:r w:rsidR="00854A4F" w:rsidRPr="00AF26EF">
        <w:rPr>
          <w:color w:val="000000" w:themeColor="text1"/>
          <w:lang w:val="en-GB"/>
        </w:rPr>
        <w:t xml:space="preserve"> and</w:t>
      </w:r>
      <w:r w:rsidRPr="00AF26EF">
        <w:rPr>
          <w:color w:val="000000" w:themeColor="text1"/>
          <w:lang w:val="en-GB"/>
        </w:rPr>
        <w:t xml:space="preserve"> 56 GX-positive (sensitivity 88.9%, 95%</w:t>
      </w:r>
      <w:r w:rsidR="00B46931" w:rsidRPr="00AF26EF">
        <w:rPr>
          <w:color w:val="000000" w:themeColor="text1"/>
          <w:lang w:val="en-GB"/>
        </w:rPr>
        <w:t xml:space="preserve"> </w:t>
      </w:r>
      <w:r w:rsidRPr="00AF26EF">
        <w:rPr>
          <w:color w:val="000000" w:themeColor="text1"/>
          <w:lang w:val="en-GB"/>
        </w:rPr>
        <w:t>CI: 78.4</w:t>
      </w:r>
      <w:r w:rsidR="00A65B20" w:rsidRPr="00AF26EF">
        <w:rPr>
          <w:color w:val="000000" w:themeColor="text1"/>
          <w:lang w:val="en-GB"/>
        </w:rPr>
        <w:t>–</w:t>
      </w:r>
      <w:r w:rsidRPr="00AF26EF">
        <w:rPr>
          <w:color w:val="000000" w:themeColor="text1"/>
          <w:lang w:val="en-GB"/>
        </w:rPr>
        <w:t>95.4%). Four of 185 culture-negative patients were GX-positive (specificity 97.8%, 94.6</w:t>
      </w:r>
      <w:r w:rsidR="00A65B20" w:rsidRPr="00AF26EF">
        <w:rPr>
          <w:color w:val="000000" w:themeColor="text1"/>
          <w:lang w:val="en-GB"/>
        </w:rPr>
        <w:t>–</w:t>
      </w:r>
      <w:r w:rsidRPr="00AF26EF">
        <w:rPr>
          <w:color w:val="000000" w:themeColor="text1"/>
          <w:lang w:val="en-GB"/>
        </w:rPr>
        <w:t xml:space="preserve">99.4%). </w:t>
      </w:r>
      <w:proofErr w:type="spellStart"/>
      <w:r w:rsidRPr="00AF26EF">
        <w:rPr>
          <w:lang w:val="en-GB"/>
        </w:rPr>
        <w:t>Omnigene</w:t>
      </w:r>
      <w:proofErr w:type="spellEnd"/>
      <w:r w:rsidR="00964A0F" w:rsidRPr="00AF26EF">
        <w:rPr>
          <w:lang w:val="en-GB"/>
        </w:rPr>
        <w:t xml:space="preserve"> </w:t>
      </w:r>
      <w:r w:rsidRPr="00AF26EF">
        <w:rPr>
          <w:lang w:val="en-GB"/>
        </w:rPr>
        <w:t>GX</w:t>
      </w:r>
      <w:r w:rsidRPr="00AF26EF">
        <w:rPr>
          <w:color w:val="000000" w:themeColor="text1"/>
          <w:lang w:val="en-GB"/>
        </w:rPr>
        <w:t xml:space="preserve"> and </w:t>
      </w:r>
      <w:proofErr w:type="spellStart"/>
      <w:r w:rsidRPr="00AF26EF">
        <w:rPr>
          <w:lang w:val="en-GB"/>
        </w:rPr>
        <w:t>Primestore</w:t>
      </w:r>
      <w:proofErr w:type="spellEnd"/>
      <w:r w:rsidR="00964A0F" w:rsidRPr="00AF26EF">
        <w:rPr>
          <w:color w:val="000000" w:themeColor="text1"/>
          <w:lang w:val="en-GB"/>
        </w:rPr>
        <w:t xml:space="preserve"> </w:t>
      </w:r>
      <w:r w:rsidRPr="00AF26EF">
        <w:rPr>
          <w:color w:val="000000" w:themeColor="text1"/>
          <w:lang w:val="en-GB"/>
        </w:rPr>
        <w:t>GX were positive in 56/62 (90.3%, 80.1</w:t>
      </w:r>
      <w:r w:rsidR="00A65B20" w:rsidRPr="00AF26EF">
        <w:rPr>
          <w:color w:val="000000" w:themeColor="text1"/>
          <w:lang w:val="en-GB"/>
        </w:rPr>
        <w:t>–</w:t>
      </w:r>
      <w:r w:rsidRPr="00AF26EF">
        <w:rPr>
          <w:color w:val="000000" w:themeColor="text1"/>
          <w:lang w:val="en-GB"/>
        </w:rPr>
        <w:t>96.4%) and 49/62 (79.0%, 66.8</w:t>
      </w:r>
      <w:r w:rsidR="00A65B20" w:rsidRPr="00AF26EF">
        <w:rPr>
          <w:color w:val="000000" w:themeColor="text1"/>
          <w:lang w:val="en-GB"/>
        </w:rPr>
        <w:t>–</w:t>
      </w:r>
      <w:r w:rsidRPr="00AF26EF">
        <w:rPr>
          <w:color w:val="000000" w:themeColor="text1"/>
          <w:lang w:val="en-GB"/>
        </w:rPr>
        <w:t>88.3%) culture</w:t>
      </w:r>
      <w:r w:rsidR="005524FF" w:rsidRPr="00AF26EF">
        <w:rPr>
          <w:color w:val="000000" w:themeColor="text1"/>
          <w:lang w:val="en-GB"/>
        </w:rPr>
        <w:t>-</w:t>
      </w:r>
      <w:r w:rsidRPr="00AF26EF">
        <w:rPr>
          <w:color w:val="000000" w:themeColor="text1"/>
          <w:lang w:val="en-GB"/>
        </w:rPr>
        <w:t>positive, respectively</w:t>
      </w:r>
      <w:r w:rsidR="00D25C3A" w:rsidRPr="00AF26EF">
        <w:rPr>
          <w:color w:val="000000" w:themeColor="text1"/>
          <w:lang w:val="en-GB"/>
        </w:rPr>
        <w:t>, and</w:t>
      </w:r>
      <w:r w:rsidRPr="00AF26EF">
        <w:rPr>
          <w:color w:val="000000" w:themeColor="text1"/>
          <w:lang w:val="en-GB"/>
        </w:rPr>
        <w:t xml:space="preserve"> 1/185 (99.5%, 97.0</w:t>
      </w:r>
      <w:r w:rsidR="00A65B20" w:rsidRPr="00AF26EF">
        <w:rPr>
          <w:color w:val="000000" w:themeColor="text1"/>
          <w:lang w:val="en-GB"/>
        </w:rPr>
        <w:t>–</w:t>
      </w:r>
      <w:r w:rsidRPr="00AF26EF">
        <w:rPr>
          <w:color w:val="000000" w:themeColor="text1"/>
          <w:lang w:val="en-GB"/>
        </w:rPr>
        <w:t>100.0%) and 3/185 (98.4%, 95.3</w:t>
      </w:r>
      <w:r w:rsidR="00A65B20" w:rsidRPr="00AF26EF">
        <w:rPr>
          <w:color w:val="000000" w:themeColor="text1"/>
          <w:lang w:val="en-GB"/>
        </w:rPr>
        <w:t>–</w:t>
      </w:r>
      <w:r w:rsidRPr="00AF26EF">
        <w:rPr>
          <w:color w:val="000000" w:themeColor="text1"/>
          <w:lang w:val="en-GB"/>
        </w:rPr>
        <w:t xml:space="preserve">99.7%) </w:t>
      </w:r>
      <w:r w:rsidR="00B46931" w:rsidRPr="00AF26EF">
        <w:rPr>
          <w:color w:val="000000" w:themeColor="text1"/>
          <w:lang w:val="en-GB"/>
        </w:rPr>
        <w:t xml:space="preserve">were </w:t>
      </w:r>
      <w:r w:rsidRPr="00AF26EF">
        <w:rPr>
          <w:color w:val="000000" w:themeColor="text1"/>
          <w:lang w:val="en-GB"/>
        </w:rPr>
        <w:t>culture-negative patients</w:t>
      </w:r>
      <w:r w:rsidRPr="00AF26EF">
        <w:rPr>
          <w:color w:val="FF0000"/>
          <w:lang w:val="en-GB"/>
        </w:rPr>
        <w:t>.</w:t>
      </w:r>
      <w:r w:rsidRPr="00AF26EF">
        <w:rPr>
          <w:i/>
          <w:color w:val="000000" w:themeColor="text1"/>
          <w:lang w:val="en-GB"/>
        </w:rPr>
        <w:t xml:space="preserve"> </w:t>
      </w:r>
      <w:r w:rsidRPr="00AF26EF">
        <w:rPr>
          <w:color w:val="000000" w:themeColor="text1"/>
          <w:lang w:val="en-GB"/>
        </w:rPr>
        <w:t>14</w:t>
      </w:r>
      <w:r w:rsidRPr="00AF26EF">
        <w:rPr>
          <w:i/>
          <w:color w:val="000000" w:themeColor="text1"/>
          <w:lang w:val="en-GB"/>
        </w:rPr>
        <w:t xml:space="preserve"> </w:t>
      </w:r>
      <w:r w:rsidR="00586B79" w:rsidRPr="00AF26EF">
        <w:rPr>
          <w:color w:val="000000" w:themeColor="text1"/>
          <w:lang w:val="en-GB"/>
        </w:rPr>
        <w:t>Human Immunodeficiency Virus (</w:t>
      </w:r>
      <w:r w:rsidRPr="00AF26EF">
        <w:rPr>
          <w:color w:val="000000" w:themeColor="text1"/>
          <w:lang w:val="en-GB"/>
        </w:rPr>
        <w:t>HIV</w:t>
      </w:r>
      <w:r w:rsidR="00586B79" w:rsidRPr="00AF26EF">
        <w:rPr>
          <w:color w:val="000000" w:themeColor="text1"/>
          <w:lang w:val="en-GB"/>
        </w:rPr>
        <w:t>)</w:t>
      </w:r>
      <w:r w:rsidRPr="00AF26EF">
        <w:rPr>
          <w:color w:val="000000" w:themeColor="text1"/>
          <w:lang w:val="en-GB"/>
        </w:rPr>
        <w:t xml:space="preserve">-infected and 44 HIV-uninfected patients were culture-positive. </w:t>
      </w:r>
      <w:proofErr w:type="spellStart"/>
      <w:r w:rsidRPr="00AF26EF">
        <w:rPr>
          <w:color w:val="000000" w:themeColor="text1"/>
          <w:lang w:val="en-GB"/>
        </w:rPr>
        <w:t>Omnigene</w:t>
      </w:r>
      <w:proofErr w:type="spellEnd"/>
      <w:r w:rsidRPr="00AF26EF">
        <w:rPr>
          <w:color w:val="000000" w:themeColor="text1"/>
          <w:lang w:val="en-GB"/>
        </w:rPr>
        <w:t xml:space="preserve"> and </w:t>
      </w:r>
      <w:proofErr w:type="spellStart"/>
      <w:r w:rsidRPr="00AF26EF">
        <w:rPr>
          <w:color w:val="000000" w:themeColor="text1"/>
          <w:lang w:val="en-GB"/>
        </w:rPr>
        <w:t>Primestore</w:t>
      </w:r>
      <w:proofErr w:type="spellEnd"/>
      <w:r w:rsidRPr="00AF26EF">
        <w:rPr>
          <w:color w:val="000000" w:themeColor="text1"/>
          <w:lang w:val="en-GB"/>
        </w:rPr>
        <w:t xml:space="preserve"> detected 12/14 (85.7%, 57.2</w:t>
      </w:r>
      <w:r w:rsidR="00A65B20" w:rsidRPr="00AF26EF">
        <w:rPr>
          <w:color w:val="000000" w:themeColor="text1"/>
          <w:lang w:val="en-GB"/>
        </w:rPr>
        <w:t>–</w:t>
      </w:r>
      <w:r w:rsidRPr="00AF26EF">
        <w:rPr>
          <w:color w:val="000000" w:themeColor="text1"/>
          <w:lang w:val="en-GB"/>
        </w:rPr>
        <w:t>98.2%) and 5/14 (35.7%, 12.8</w:t>
      </w:r>
      <w:r w:rsidR="00A65B20" w:rsidRPr="00AF26EF">
        <w:rPr>
          <w:color w:val="000000" w:themeColor="text1"/>
          <w:lang w:val="en-GB"/>
        </w:rPr>
        <w:t>–</w:t>
      </w:r>
      <w:r w:rsidRPr="00AF26EF">
        <w:rPr>
          <w:color w:val="000000" w:themeColor="text1"/>
          <w:lang w:val="en-GB"/>
        </w:rPr>
        <w:t>64.9%) HIV-infected and 41/44 (93.2%, 81.3</w:t>
      </w:r>
      <w:r w:rsidR="00A65B20" w:rsidRPr="00AF26EF">
        <w:rPr>
          <w:color w:val="000000" w:themeColor="text1"/>
          <w:lang w:val="en-GB"/>
        </w:rPr>
        <w:t>–</w:t>
      </w:r>
      <w:r w:rsidRPr="00AF26EF">
        <w:rPr>
          <w:color w:val="000000" w:themeColor="text1"/>
          <w:lang w:val="en-GB"/>
        </w:rPr>
        <w:t>98.6%) HIV-uninfected culture-positive patients.</w:t>
      </w:r>
      <w:r w:rsidRPr="00AF26EF">
        <w:rPr>
          <w:b/>
          <w:lang w:val="en-GB"/>
        </w:rPr>
        <w:t xml:space="preserve"> </w:t>
      </w:r>
      <w:r w:rsidRPr="00AF26EF">
        <w:rPr>
          <w:lang w:val="en-GB"/>
        </w:rPr>
        <w:t>Interpretation</w:t>
      </w:r>
      <w:r w:rsidRPr="00AF26EF">
        <w:rPr>
          <w:b/>
          <w:lang w:val="en-GB"/>
        </w:rPr>
        <w:t xml:space="preserve">: </w:t>
      </w:r>
      <w:proofErr w:type="spellStart"/>
      <w:r w:rsidRPr="00AF26EF">
        <w:rPr>
          <w:lang w:val="en-GB"/>
        </w:rPr>
        <w:t>Omnigene</w:t>
      </w:r>
      <w:proofErr w:type="spellEnd"/>
      <w:r w:rsidRPr="00AF26EF">
        <w:rPr>
          <w:lang w:val="en-GB"/>
        </w:rPr>
        <w:t xml:space="preserve"> stored and fresh sputum samples had similar GX results. </w:t>
      </w:r>
      <w:r w:rsidR="008705C1" w:rsidRPr="00AF26EF">
        <w:rPr>
          <w:lang w:val="en-GB"/>
        </w:rPr>
        <w:t xml:space="preserve">The GX results of </w:t>
      </w:r>
      <w:proofErr w:type="spellStart"/>
      <w:r w:rsidRPr="00AF26EF">
        <w:rPr>
          <w:bCs/>
          <w:lang w:val="en-GB"/>
        </w:rPr>
        <w:t>Primestore</w:t>
      </w:r>
      <w:proofErr w:type="spellEnd"/>
      <w:r w:rsidRPr="00AF26EF">
        <w:rPr>
          <w:bCs/>
          <w:lang w:val="en-GB"/>
        </w:rPr>
        <w:t xml:space="preserve">-stored samples </w:t>
      </w:r>
      <w:r w:rsidR="008705C1" w:rsidRPr="00AF26EF">
        <w:rPr>
          <w:bCs/>
          <w:lang w:val="en-GB"/>
        </w:rPr>
        <w:t xml:space="preserve">were </w:t>
      </w:r>
      <w:proofErr w:type="gramStart"/>
      <w:r w:rsidRPr="00AF26EF">
        <w:rPr>
          <w:bCs/>
          <w:lang w:val="en-GB"/>
        </w:rPr>
        <w:t xml:space="preserve">similar </w:t>
      </w:r>
      <w:r w:rsidR="008705C1" w:rsidRPr="00AF26EF">
        <w:rPr>
          <w:bCs/>
          <w:lang w:val="en-GB"/>
        </w:rPr>
        <w:t>to</w:t>
      </w:r>
      <w:proofErr w:type="gramEnd"/>
      <w:r w:rsidR="008705C1" w:rsidRPr="00AF26EF">
        <w:rPr>
          <w:bCs/>
          <w:lang w:val="en-GB"/>
        </w:rPr>
        <w:t xml:space="preserve"> </w:t>
      </w:r>
      <w:r w:rsidRPr="00AF26EF">
        <w:rPr>
          <w:bCs/>
          <w:lang w:val="en-GB"/>
        </w:rPr>
        <w:t>th</w:t>
      </w:r>
      <w:r w:rsidR="008705C1" w:rsidRPr="00AF26EF">
        <w:rPr>
          <w:bCs/>
          <w:lang w:val="en-GB"/>
        </w:rPr>
        <w:t>ose found</w:t>
      </w:r>
      <w:r w:rsidRPr="00AF26EF">
        <w:rPr>
          <w:bCs/>
          <w:lang w:val="en-GB"/>
        </w:rPr>
        <w:t xml:space="preserve"> </w:t>
      </w:r>
      <w:r w:rsidR="008705C1" w:rsidRPr="00AF26EF">
        <w:rPr>
          <w:bCs/>
          <w:lang w:val="en-GB"/>
        </w:rPr>
        <w:t xml:space="preserve">in </w:t>
      </w:r>
      <w:r w:rsidR="005D148C" w:rsidRPr="00AF26EF">
        <w:rPr>
          <w:bCs/>
          <w:lang w:val="en-GB"/>
        </w:rPr>
        <w:t xml:space="preserve">the </w:t>
      </w:r>
      <w:r w:rsidR="003A6A2E" w:rsidRPr="00AF26EF">
        <w:rPr>
          <w:bCs/>
          <w:lang w:val="en-GB"/>
        </w:rPr>
        <w:t>f</w:t>
      </w:r>
      <w:r w:rsidRPr="00AF26EF">
        <w:rPr>
          <w:bCs/>
          <w:lang w:val="en-GB"/>
        </w:rPr>
        <w:t xml:space="preserve">resh sputum </w:t>
      </w:r>
      <w:r w:rsidR="005D148C" w:rsidRPr="00AF26EF">
        <w:rPr>
          <w:bCs/>
          <w:lang w:val="en-GB"/>
        </w:rPr>
        <w:t xml:space="preserve">of </w:t>
      </w:r>
      <w:r w:rsidRPr="00AF26EF">
        <w:rPr>
          <w:bCs/>
          <w:lang w:val="en-GB"/>
        </w:rPr>
        <w:t>non-HIV infected patients</w:t>
      </w:r>
      <w:r w:rsidR="00B46931" w:rsidRPr="00AF26EF">
        <w:rPr>
          <w:bCs/>
          <w:lang w:val="en-GB"/>
        </w:rPr>
        <w:t>,</w:t>
      </w:r>
      <w:r w:rsidRPr="00AF26EF">
        <w:rPr>
          <w:bCs/>
          <w:lang w:val="en-GB"/>
        </w:rPr>
        <w:t xml:space="preserve"> but GX-positivity </w:t>
      </w:r>
      <w:r w:rsidR="008705C1" w:rsidRPr="00AF26EF">
        <w:rPr>
          <w:bCs/>
          <w:lang w:val="en-GB"/>
        </w:rPr>
        <w:t xml:space="preserve">was lower </w:t>
      </w:r>
      <w:r w:rsidRPr="00AF26EF">
        <w:rPr>
          <w:bCs/>
          <w:lang w:val="en-GB"/>
        </w:rPr>
        <w:t>in HIV-infected patients</w:t>
      </w:r>
      <w:r w:rsidR="005D148C" w:rsidRPr="00AF26EF">
        <w:rPr>
          <w:bCs/>
          <w:lang w:val="en-GB"/>
        </w:rPr>
        <w:t>. This was</w:t>
      </w:r>
      <w:r w:rsidRPr="00AF26EF">
        <w:rPr>
          <w:bCs/>
          <w:lang w:val="en-GB"/>
        </w:rPr>
        <w:t xml:space="preserve"> likely due to </w:t>
      </w:r>
      <w:r w:rsidR="008705C1" w:rsidRPr="00AF26EF">
        <w:rPr>
          <w:bCs/>
          <w:lang w:val="en-GB"/>
        </w:rPr>
        <w:t xml:space="preserve">the </w:t>
      </w:r>
      <w:r w:rsidRPr="00AF26EF">
        <w:rPr>
          <w:bCs/>
          <w:lang w:val="en-GB"/>
        </w:rPr>
        <w:t xml:space="preserve">lower </w:t>
      </w:r>
      <w:proofErr w:type="gramStart"/>
      <w:r w:rsidRPr="00AF26EF">
        <w:rPr>
          <w:bCs/>
          <w:lang w:val="en-GB"/>
        </w:rPr>
        <w:t>amount</w:t>
      </w:r>
      <w:proofErr w:type="gramEnd"/>
      <w:r w:rsidRPr="00AF26EF">
        <w:rPr>
          <w:bCs/>
          <w:lang w:val="en-GB"/>
        </w:rPr>
        <w:t xml:space="preserve"> of bacilli collected by the swab and transferred to </w:t>
      </w:r>
      <w:proofErr w:type="spellStart"/>
      <w:r w:rsidRPr="00AF26EF">
        <w:rPr>
          <w:bCs/>
          <w:lang w:val="en-GB"/>
        </w:rPr>
        <w:t>PrimeStore</w:t>
      </w:r>
      <w:proofErr w:type="spellEnd"/>
      <w:r w:rsidRPr="00AF26EF">
        <w:rPr>
          <w:bCs/>
          <w:lang w:val="en-GB"/>
        </w:rPr>
        <w:t>.</w:t>
      </w:r>
      <w:r w:rsidRPr="00AF26EF">
        <w:rPr>
          <w:lang w:val="en-GB"/>
        </w:rPr>
        <w:t xml:space="preserve"> </w:t>
      </w:r>
    </w:p>
    <w:p w14:paraId="4F7AE48A" w14:textId="2A3C5AB2" w:rsidR="00476C05" w:rsidRPr="00AF26EF" w:rsidRDefault="00C3472A" w:rsidP="00C3472A">
      <w:pPr>
        <w:pStyle w:val="MDPI18keywords"/>
        <w:rPr>
          <w:lang w:val="en-GB"/>
        </w:rPr>
      </w:pPr>
      <w:r w:rsidRPr="00AF26EF">
        <w:rPr>
          <w:b/>
          <w:lang w:val="en-GB"/>
        </w:rPr>
        <w:t>Keywords:</w:t>
      </w:r>
      <w:r w:rsidR="00092026" w:rsidRPr="00AF26EF">
        <w:rPr>
          <w:b/>
          <w:lang w:val="en-GB"/>
        </w:rPr>
        <w:t xml:space="preserve"> </w:t>
      </w:r>
      <w:r w:rsidR="00092026" w:rsidRPr="00AF26EF">
        <w:rPr>
          <w:lang w:val="en-GB"/>
        </w:rPr>
        <w:t>tuberculosis</w:t>
      </w:r>
      <w:r w:rsidR="00B53007" w:rsidRPr="00AF26EF">
        <w:rPr>
          <w:lang w:val="en-GB"/>
        </w:rPr>
        <w:t xml:space="preserve">; </w:t>
      </w:r>
      <w:r w:rsidR="00092026" w:rsidRPr="00AF26EF">
        <w:rPr>
          <w:lang w:val="en-GB"/>
        </w:rPr>
        <w:t>diagnosis</w:t>
      </w:r>
      <w:r w:rsidR="00B53007" w:rsidRPr="00AF26EF">
        <w:rPr>
          <w:lang w:val="en-GB"/>
        </w:rPr>
        <w:t xml:space="preserve">; </w:t>
      </w:r>
      <w:proofErr w:type="spellStart"/>
      <w:r w:rsidR="00092026" w:rsidRPr="00AF26EF">
        <w:rPr>
          <w:lang w:val="en-GB"/>
        </w:rPr>
        <w:t>OMNIGene</w:t>
      </w:r>
      <w:proofErr w:type="spellEnd"/>
      <w:r w:rsidR="00092026" w:rsidRPr="00AF26EF">
        <w:rPr>
          <w:lang w:val="en-GB"/>
        </w:rPr>
        <w:t>-sputum</w:t>
      </w:r>
      <w:r w:rsidR="00B53007" w:rsidRPr="00AF26EF">
        <w:rPr>
          <w:lang w:val="en-GB"/>
        </w:rPr>
        <w:t xml:space="preserve">; </w:t>
      </w:r>
      <w:proofErr w:type="spellStart"/>
      <w:r w:rsidR="00092026" w:rsidRPr="00AF26EF">
        <w:rPr>
          <w:lang w:val="en-GB"/>
        </w:rPr>
        <w:t>PrimeStore</w:t>
      </w:r>
      <w:proofErr w:type="spellEnd"/>
      <w:r w:rsidR="00B53007" w:rsidRPr="00AF26EF">
        <w:rPr>
          <w:lang w:val="en-GB"/>
        </w:rPr>
        <w:t xml:space="preserve">; </w:t>
      </w:r>
      <w:proofErr w:type="spellStart"/>
      <w:r w:rsidR="00092026" w:rsidRPr="00AF26EF">
        <w:rPr>
          <w:lang w:val="en-GB"/>
        </w:rPr>
        <w:t>Xpert</w:t>
      </w:r>
      <w:proofErr w:type="spellEnd"/>
      <w:r w:rsidR="00092026" w:rsidRPr="00AF26EF">
        <w:rPr>
          <w:lang w:val="en-GB"/>
        </w:rPr>
        <w:t xml:space="preserve"> MTB/RIF</w:t>
      </w:r>
    </w:p>
    <w:p w14:paraId="0025DF97" w14:textId="77777777" w:rsidR="00C3472A" w:rsidRPr="00AF26EF" w:rsidRDefault="00C3472A" w:rsidP="00C3472A">
      <w:pPr>
        <w:pBdr>
          <w:bottom w:val="single" w:sz="4" w:space="1" w:color="000000"/>
        </w:pBdr>
        <w:spacing w:after="480" w:line="260" w:lineRule="atLeast"/>
        <w:rPr>
          <w:lang w:val="en-GB" w:eastAsia="de-DE" w:bidi="en-US"/>
        </w:rPr>
      </w:pPr>
    </w:p>
    <w:p w14:paraId="58E227CB" w14:textId="73411FD9" w:rsidR="00476C05" w:rsidRPr="00AF26EF" w:rsidRDefault="00C3472A" w:rsidP="00B53007">
      <w:pPr>
        <w:pStyle w:val="MDPI21heading1"/>
        <w:rPr>
          <w:lang w:val="en-GB"/>
        </w:rPr>
      </w:pPr>
      <w:r w:rsidRPr="00AF26EF">
        <w:rPr>
          <w:lang w:val="en-GB"/>
        </w:rPr>
        <w:t xml:space="preserve">1. </w:t>
      </w:r>
      <w:r w:rsidR="00476C05" w:rsidRPr="00AF26EF">
        <w:rPr>
          <w:lang w:val="en-GB"/>
        </w:rPr>
        <w:t>Introduction</w:t>
      </w:r>
    </w:p>
    <w:p w14:paraId="771D8437" w14:textId="7FB66E74" w:rsidR="001D6ECE" w:rsidRPr="00AF26EF" w:rsidRDefault="00065066" w:rsidP="00A547AC">
      <w:pPr>
        <w:pStyle w:val="MDPI31text"/>
        <w:rPr>
          <w:lang w:val="en-GB"/>
        </w:rPr>
      </w:pPr>
      <w:r w:rsidRPr="00AF26EF">
        <w:rPr>
          <w:lang w:val="en-GB"/>
        </w:rPr>
        <w:lastRenderedPageBreak/>
        <w:t>Tuberculosis (</w:t>
      </w:r>
      <w:r w:rsidR="002C431E" w:rsidRPr="00AF26EF">
        <w:rPr>
          <w:lang w:val="en-GB"/>
        </w:rPr>
        <w:t>TB</w:t>
      </w:r>
      <w:r w:rsidRPr="00AF26EF">
        <w:rPr>
          <w:lang w:val="en-GB"/>
        </w:rPr>
        <w:t>)</w:t>
      </w:r>
      <w:r w:rsidR="002C431E" w:rsidRPr="00AF26EF">
        <w:rPr>
          <w:lang w:val="en-GB"/>
        </w:rPr>
        <w:t xml:space="preserve"> is the </w:t>
      </w:r>
      <w:r w:rsidR="00CC1C6E" w:rsidRPr="00AF26EF">
        <w:rPr>
          <w:lang w:val="en-GB"/>
        </w:rPr>
        <w:t xml:space="preserve">leading </w:t>
      </w:r>
      <w:r w:rsidR="002C431E" w:rsidRPr="00AF26EF">
        <w:rPr>
          <w:lang w:val="en-GB"/>
        </w:rPr>
        <w:t>cause of death due to</w:t>
      </w:r>
      <w:r w:rsidR="007444E8" w:rsidRPr="00AF26EF">
        <w:rPr>
          <w:lang w:val="en-GB"/>
        </w:rPr>
        <w:t xml:space="preserve"> a single infectious agent globally</w:t>
      </w:r>
      <w:r w:rsidR="00424DDF" w:rsidRPr="00AF26EF">
        <w:rPr>
          <w:lang w:val="en-GB"/>
        </w:rPr>
        <w:t xml:space="preserve"> </w:t>
      </w:r>
      <w:bookmarkStart w:id="2" w:name="EXISTREF1"/>
      <w:r w:rsidR="00B81143" w:rsidRPr="00AF26EF">
        <w:rPr>
          <w:lang w:val="en-GB"/>
        </w:rPr>
        <w:t>[</w:t>
      </w:r>
      <w:r w:rsidR="00EC2DC4" w:rsidRPr="00AF26EF">
        <w:rPr>
          <w:lang w:val="en-GB"/>
        </w:rPr>
        <w:t>1</w:t>
      </w:r>
      <w:r w:rsidR="00B81143" w:rsidRPr="00AF26EF">
        <w:rPr>
          <w:lang w:val="en-GB"/>
        </w:rPr>
        <w:t>]</w:t>
      </w:r>
      <w:bookmarkEnd w:id="2"/>
      <w:r w:rsidR="002C431E" w:rsidRPr="00AF26EF">
        <w:rPr>
          <w:lang w:val="en-GB"/>
        </w:rPr>
        <w:t xml:space="preserve">. National TB </w:t>
      </w:r>
      <w:r w:rsidR="00323783" w:rsidRPr="00AF26EF">
        <w:rPr>
          <w:lang w:val="en-GB"/>
        </w:rPr>
        <w:t>P</w:t>
      </w:r>
      <w:r w:rsidR="002C431E" w:rsidRPr="00AF26EF">
        <w:rPr>
          <w:lang w:val="en-GB"/>
        </w:rPr>
        <w:t>rogram</w:t>
      </w:r>
      <w:r w:rsidR="00323783" w:rsidRPr="00AF26EF">
        <w:rPr>
          <w:lang w:val="en-GB"/>
        </w:rPr>
        <w:t>me</w:t>
      </w:r>
      <w:r w:rsidR="002C431E" w:rsidRPr="00AF26EF">
        <w:rPr>
          <w:lang w:val="en-GB"/>
        </w:rPr>
        <w:t xml:space="preserve"> </w:t>
      </w:r>
      <w:r w:rsidR="007444E8" w:rsidRPr="00AF26EF">
        <w:rPr>
          <w:lang w:val="en-GB"/>
        </w:rPr>
        <w:t>(NTP)</w:t>
      </w:r>
      <w:r w:rsidR="00323783" w:rsidRPr="00AF26EF">
        <w:rPr>
          <w:lang w:val="en-GB"/>
        </w:rPr>
        <w:t xml:space="preserve"> strategies</w:t>
      </w:r>
      <w:r w:rsidR="007444E8" w:rsidRPr="00AF26EF">
        <w:rPr>
          <w:lang w:val="en-GB"/>
        </w:rPr>
        <w:t xml:space="preserve"> address </w:t>
      </w:r>
      <w:r w:rsidR="002C431E" w:rsidRPr="00AF26EF">
        <w:rPr>
          <w:lang w:val="en-GB"/>
        </w:rPr>
        <w:t>this major public health threat by increasing the detection of symptomatic individuals and initiating early treatment</w:t>
      </w:r>
      <w:r w:rsidR="00E3114D" w:rsidRPr="00AF26EF">
        <w:rPr>
          <w:lang w:val="en-GB"/>
        </w:rPr>
        <w:t>. T</w:t>
      </w:r>
      <w:r w:rsidR="002C431E" w:rsidRPr="00AF26EF">
        <w:rPr>
          <w:lang w:val="en-GB"/>
        </w:rPr>
        <w:t>he W</w:t>
      </w:r>
      <w:r w:rsidR="00847BEB" w:rsidRPr="00AF26EF">
        <w:rPr>
          <w:lang w:val="en-GB"/>
        </w:rPr>
        <w:t xml:space="preserve">orld </w:t>
      </w:r>
      <w:r w:rsidR="002C431E" w:rsidRPr="00AF26EF">
        <w:rPr>
          <w:lang w:val="en-GB"/>
        </w:rPr>
        <w:t>H</w:t>
      </w:r>
      <w:r w:rsidR="00847BEB" w:rsidRPr="00AF26EF">
        <w:rPr>
          <w:lang w:val="en-GB"/>
        </w:rPr>
        <w:t xml:space="preserve">ealth </w:t>
      </w:r>
      <w:r w:rsidR="002C431E" w:rsidRPr="00AF26EF">
        <w:rPr>
          <w:lang w:val="en-GB"/>
        </w:rPr>
        <w:t>O</w:t>
      </w:r>
      <w:r w:rsidR="00847BEB" w:rsidRPr="00AF26EF">
        <w:rPr>
          <w:lang w:val="en-GB"/>
        </w:rPr>
        <w:t>rganization</w:t>
      </w:r>
      <w:r w:rsidR="00D52A6F" w:rsidRPr="00AF26EF">
        <w:rPr>
          <w:lang w:val="en-GB"/>
        </w:rPr>
        <w:t>’s</w:t>
      </w:r>
      <w:r w:rsidR="00847BEB" w:rsidRPr="00AF26EF">
        <w:rPr>
          <w:lang w:val="en-GB"/>
        </w:rPr>
        <w:t xml:space="preserve"> (WHO)</w:t>
      </w:r>
      <w:r w:rsidR="002C431E" w:rsidRPr="00AF26EF">
        <w:rPr>
          <w:lang w:val="en-GB"/>
        </w:rPr>
        <w:t xml:space="preserve"> End TB strategy </w:t>
      </w:r>
      <w:r w:rsidR="007444E8" w:rsidRPr="00AF26EF">
        <w:rPr>
          <w:lang w:val="en-GB"/>
        </w:rPr>
        <w:t xml:space="preserve">and the Stop TB </w:t>
      </w:r>
      <w:r w:rsidR="00B81143" w:rsidRPr="00AF26EF">
        <w:rPr>
          <w:lang w:val="en-GB"/>
        </w:rPr>
        <w:t>P</w:t>
      </w:r>
      <w:r w:rsidR="007444E8" w:rsidRPr="00AF26EF">
        <w:rPr>
          <w:lang w:val="en-GB"/>
        </w:rPr>
        <w:t xml:space="preserve">artnership’s Global Plan to End TB </w:t>
      </w:r>
      <w:r w:rsidR="002C431E" w:rsidRPr="00AF26EF">
        <w:rPr>
          <w:lang w:val="en-GB"/>
        </w:rPr>
        <w:t>ha</w:t>
      </w:r>
      <w:r w:rsidR="007444E8" w:rsidRPr="00AF26EF">
        <w:rPr>
          <w:lang w:val="en-GB"/>
        </w:rPr>
        <w:t>ve</w:t>
      </w:r>
      <w:r w:rsidR="002C431E" w:rsidRPr="00AF26EF">
        <w:rPr>
          <w:lang w:val="en-GB"/>
        </w:rPr>
        <w:t xml:space="preserve"> set ambitious targets</w:t>
      </w:r>
      <w:r w:rsidR="00E3114D" w:rsidRPr="00AF26EF">
        <w:rPr>
          <w:lang w:val="en-GB"/>
        </w:rPr>
        <w:t xml:space="preserve"> for </w:t>
      </w:r>
      <w:r w:rsidR="007444E8" w:rsidRPr="00AF26EF">
        <w:rPr>
          <w:lang w:val="en-GB"/>
        </w:rPr>
        <w:t>the response</w:t>
      </w:r>
      <w:r w:rsidR="004E1E07" w:rsidRPr="00AF26EF">
        <w:rPr>
          <w:lang w:val="en-GB"/>
        </w:rPr>
        <w:t xml:space="preserve"> to TB</w:t>
      </w:r>
      <w:r w:rsidR="002C431E" w:rsidRPr="00AF26EF">
        <w:rPr>
          <w:lang w:val="en-GB"/>
        </w:rPr>
        <w:t xml:space="preserve">, including </w:t>
      </w:r>
      <w:r w:rsidR="00D36CB5" w:rsidRPr="00AF26EF">
        <w:rPr>
          <w:lang w:val="en-GB"/>
        </w:rPr>
        <w:t>a 90% reduction in TB incidence by 2035</w:t>
      </w:r>
      <w:r w:rsidR="00F07C07" w:rsidRPr="00AF26EF">
        <w:rPr>
          <w:lang w:val="en-GB"/>
        </w:rPr>
        <w:t xml:space="preserve"> </w:t>
      </w:r>
      <w:bookmarkStart w:id="3" w:name="EXISTREF2"/>
      <w:bookmarkStart w:id="4" w:name="EXISTREF3"/>
      <w:r w:rsidR="00B81143" w:rsidRPr="00AF26EF">
        <w:rPr>
          <w:lang w:val="en-GB"/>
        </w:rPr>
        <w:t>[</w:t>
      </w:r>
      <w:r w:rsidR="00EC2DC4" w:rsidRPr="00AF26EF">
        <w:rPr>
          <w:lang w:val="en-GB"/>
        </w:rPr>
        <w:t>2,3</w:t>
      </w:r>
      <w:r w:rsidR="00B81143" w:rsidRPr="00AF26EF">
        <w:rPr>
          <w:lang w:val="en-GB"/>
        </w:rPr>
        <w:t>]</w:t>
      </w:r>
      <w:bookmarkEnd w:id="3"/>
      <w:bookmarkEnd w:id="4"/>
      <w:r w:rsidR="00D36CB5" w:rsidRPr="00AF26EF">
        <w:rPr>
          <w:lang w:val="en-GB"/>
        </w:rPr>
        <w:t>.</w:t>
      </w:r>
      <w:r w:rsidR="00847BEB" w:rsidRPr="00AF26EF">
        <w:rPr>
          <w:lang w:val="en-GB"/>
        </w:rPr>
        <w:t xml:space="preserve"> Meeting these targets will require identifying and testing many more individuals </w:t>
      </w:r>
      <w:r w:rsidR="007444E8" w:rsidRPr="00AF26EF">
        <w:rPr>
          <w:lang w:val="en-GB"/>
        </w:rPr>
        <w:t xml:space="preserve">and </w:t>
      </w:r>
      <w:r w:rsidR="00F74B67" w:rsidRPr="00AF26EF">
        <w:rPr>
          <w:lang w:val="en-GB"/>
        </w:rPr>
        <w:t xml:space="preserve">expanding the reach of tests to </w:t>
      </w:r>
      <w:r w:rsidR="00847BEB" w:rsidRPr="00AF26EF">
        <w:rPr>
          <w:lang w:val="en-GB"/>
        </w:rPr>
        <w:t xml:space="preserve">health </w:t>
      </w:r>
      <w:r w:rsidR="00CC1C6E" w:rsidRPr="00AF26EF">
        <w:rPr>
          <w:lang w:val="en-GB"/>
        </w:rPr>
        <w:t xml:space="preserve">centres </w:t>
      </w:r>
      <w:r w:rsidR="00847BEB" w:rsidRPr="00AF26EF">
        <w:rPr>
          <w:lang w:val="en-GB"/>
        </w:rPr>
        <w:t>without diagnostic facilities. WHO recommend</w:t>
      </w:r>
      <w:r w:rsidR="00897360" w:rsidRPr="00AF26EF">
        <w:rPr>
          <w:lang w:val="en-GB"/>
        </w:rPr>
        <w:t>s</w:t>
      </w:r>
      <w:r w:rsidR="00847BEB" w:rsidRPr="00AF26EF">
        <w:rPr>
          <w:lang w:val="en-GB"/>
        </w:rPr>
        <w:t xml:space="preserve"> that</w:t>
      </w:r>
      <w:r w:rsidR="00F74B67" w:rsidRPr="00AF26EF">
        <w:rPr>
          <w:lang w:val="en-GB"/>
        </w:rPr>
        <w:t xml:space="preserve"> countries aim to test </w:t>
      </w:r>
      <w:r w:rsidR="00F63158" w:rsidRPr="00AF26EF">
        <w:rPr>
          <w:lang w:val="en-GB"/>
        </w:rPr>
        <w:t xml:space="preserve">all </w:t>
      </w:r>
      <w:r w:rsidR="007444E8" w:rsidRPr="00AF26EF">
        <w:rPr>
          <w:lang w:val="en-GB"/>
        </w:rPr>
        <w:t xml:space="preserve">people </w:t>
      </w:r>
      <w:r w:rsidR="00847BEB" w:rsidRPr="00AF26EF">
        <w:rPr>
          <w:lang w:val="en-GB"/>
        </w:rPr>
        <w:t xml:space="preserve">with presumptive TB </w:t>
      </w:r>
      <w:r w:rsidR="00F74B67" w:rsidRPr="00AF26EF">
        <w:rPr>
          <w:lang w:val="en-GB"/>
        </w:rPr>
        <w:t xml:space="preserve">with </w:t>
      </w:r>
      <w:proofErr w:type="spellStart"/>
      <w:r w:rsidR="00847BEB" w:rsidRPr="00AF26EF">
        <w:rPr>
          <w:lang w:val="en-GB"/>
        </w:rPr>
        <w:t>Xpert</w:t>
      </w:r>
      <w:proofErr w:type="spellEnd"/>
      <w:r w:rsidR="00847BEB" w:rsidRPr="00AF26EF">
        <w:rPr>
          <w:lang w:val="en-GB"/>
        </w:rPr>
        <w:t xml:space="preserve"> MTB/RIF </w:t>
      </w:r>
      <w:r w:rsidR="00F74B67" w:rsidRPr="00AF26EF">
        <w:rPr>
          <w:lang w:val="en-GB"/>
        </w:rPr>
        <w:t>(GX)</w:t>
      </w:r>
      <w:r w:rsidR="005350D0" w:rsidRPr="00AF26EF">
        <w:rPr>
          <w:lang w:val="en-GB"/>
        </w:rPr>
        <w:t>,</w:t>
      </w:r>
      <w:r w:rsidR="00F74B67" w:rsidRPr="00AF26EF">
        <w:rPr>
          <w:lang w:val="en-GB"/>
        </w:rPr>
        <w:t xml:space="preserve"> </w:t>
      </w:r>
      <w:r w:rsidR="00D31F53" w:rsidRPr="00AF26EF">
        <w:rPr>
          <w:lang w:val="en-GB"/>
        </w:rPr>
        <w:t xml:space="preserve">to improve the </w:t>
      </w:r>
      <w:r w:rsidR="00F63158" w:rsidRPr="00AF26EF">
        <w:rPr>
          <w:lang w:val="en-GB"/>
        </w:rPr>
        <w:t xml:space="preserve">detection and </w:t>
      </w:r>
      <w:r w:rsidR="00D31F53" w:rsidRPr="00AF26EF">
        <w:rPr>
          <w:lang w:val="en-GB"/>
        </w:rPr>
        <w:t>accura</w:t>
      </w:r>
      <w:r w:rsidR="00847BEB" w:rsidRPr="00AF26EF">
        <w:rPr>
          <w:lang w:val="en-GB"/>
        </w:rPr>
        <w:t xml:space="preserve">cy of </w:t>
      </w:r>
      <w:r w:rsidR="007444E8" w:rsidRPr="00AF26EF">
        <w:rPr>
          <w:lang w:val="en-GB"/>
        </w:rPr>
        <w:t xml:space="preserve">TB </w:t>
      </w:r>
      <w:r w:rsidR="00D31F53" w:rsidRPr="00AF26EF">
        <w:rPr>
          <w:lang w:val="en-GB"/>
        </w:rPr>
        <w:t>diagnos</w:t>
      </w:r>
      <w:r w:rsidR="00847BEB" w:rsidRPr="00AF26EF">
        <w:rPr>
          <w:lang w:val="en-GB"/>
        </w:rPr>
        <w:t>is</w:t>
      </w:r>
      <w:r w:rsidR="007444E8" w:rsidRPr="00AF26EF">
        <w:rPr>
          <w:lang w:val="en-GB"/>
        </w:rPr>
        <w:t xml:space="preserve"> including drug </w:t>
      </w:r>
      <w:proofErr w:type="gramStart"/>
      <w:r w:rsidR="007444E8" w:rsidRPr="00AF26EF">
        <w:rPr>
          <w:lang w:val="en-GB"/>
        </w:rPr>
        <w:t>resistance</w:t>
      </w:r>
      <w:r w:rsidR="00D31F53" w:rsidRPr="00AF26EF">
        <w:rPr>
          <w:lang w:val="en-GB"/>
        </w:rPr>
        <w:t>.</w:t>
      </w:r>
      <w:proofErr w:type="gramEnd"/>
      <w:r w:rsidR="00D31F53" w:rsidRPr="00AF26EF">
        <w:rPr>
          <w:lang w:val="en-GB"/>
        </w:rPr>
        <w:t xml:space="preserve"> </w:t>
      </w:r>
      <w:r w:rsidR="00F74B67" w:rsidRPr="00AF26EF">
        <w:rPr>
          <w:lang w:val="en-GB"/>
        </w:rPr>
        <w:t>GX</w:t>
      </w:r>
      <w:r w:rsidR="00897360" w:rsidRPr="00AF26EF">
        <w:rPr>
          <w:lang w:val="en-GB"/>
        </w:rPr>
        <w:t xml:space="preserve"> </w:t>
      </w:r>
      <w:r w:rsidR="00D31F53" w:rsidRPr="00AF26EF">
        <w:rPr>
          <w:lang w:val="en-GB"/>
        </w:rPr>
        <w:t xml:space="preserve">is a molecular </w:t>
      </w:r>
      <w:r w:rsidR="00897360" w:rsidRPr="00AF26EF">
        <w:rPr>
          <w:lang w:val="en-GB"/>
        </w:rPr>
        <w:t>test</w:t>
      </w:r>
      <w:r w:rsidR="00D31F53" w:rsidRPr="00AF26EF">
        <w:rPr>
          <w:lang w:val="en-GB"/>
        </w:rPr>
        <w:t xml:space="preserve"> </w:t>
      </w:r>
      <w:r w:rsidR="00F74B67" w:rsidRPr="00AF26EF">
        <w:rPr>
          <w:lang w:val="en-GB"/>
        </w:rPr>
        <w:t xml:space="preserve">that </w:t>
      </w:r>
      <w:r w:rsidR="00897360" w:rsidRPr="00AF26EF">
        <w:rPr>
          <w:lang w:val="en-GB"/>
        </w:rPr>
        <w:t xml:space="preserve">is usually </w:t>
      </w:r>
      <w:r w:rsidR="00F74B67" w:rsidRPr="00AF26EF">
        <w:rPr>
          <w:lang w:val="en-GB"/>
        </w:rPr>
        <w:t xml:space="preserve">available </w:t>
      </w:r>
      <w:r w:rsidR="001D6ECE" w:rsidRPr="00AF26EF">
        <w:rPr>
          <w:lang w:val="en-GB"/>
        </w:rPr>
        <w:t xml:space="preserve">in reference or district </w:t>
      </w:r>
      <w:r w:rsidR="00F74B67" w:rsidRPr="00AF26EF">
        <w:rPr>
          <w:lang w:val="en-GB"/>
        </w:rPr>
        <w:t xml:space="preserve">laboratories </w:t>
      </w:r>
      <w:bookmarkStart w:id="5" w:name="EXISTREF4"/>
      <w:bookmarkStart w:id="6" w:name="EXISTREF5"/>
      <w:r w:rsidR="00B81143" w:rsidRPr="00AF26EF">
        <w:rPr>
          <w:lang w:val="en-GB"/>
        </w:rPr>
        <w:t>[</w:t>
      </w:r>
      <w:r w:rsidR="00EC2DC4" w:rsidRPr="00AF26EF">
        <w:rPr>
          <w:lang w:val="en-GB"/>
        </w:rPr>
        <w:t>4,5</w:t>
      </w:r>
      <w:r w:rsidR="00B81143" w:rsidRPr="00AF26EF">
        <w:rPr>
          <w:lang w:val="en-GB"/>
        </w:rPr>
        <w:t>]</w:t>
      </w:r>
      <w:bookmarkEnd w:id="5"/>
      <w:bookmarkEnd w:id="6"/>
      <w:r w:rsidR="005350D0" w:rsidRPr="00AF26EF">
        <w:rPr>
          <w:lang w:val="en-GB"/>
        </w:rPr>
        <w:t>,</w:t>
      </w:r>
      <w:r w:rsidR="00897360" w:rsidRPr="00AF26EF">
        <w:rPr>
          <w:lang w:val="en-GB"/>
        </w:rPr>
        <w:t xml:space="preserve"> </w:t>
      </w:r>
      <w:r w:rsidR="007444E8" w:rsidRPr="00AF26EF">
        <w:rPr>
          <w:lang w:val="en-GB"/>
        </w:rPr>
        <w:t xml:space="preserve">due to </w:t>
      </w:r>
      <w:r w:rsidR="009B60FE" w:rsidRPr="00AF26EF">
        <w:rPr>
          <w:lang w:val="en-GB"/>
        </w:rPr>
        <w:t>its</w:t>
      </w:r>
      <w:r w:rsidR="007444E8" w:rsidRPr="00AF26EF">
        <w:rPr>
          <w:lang w:val="en-GB"/>
        </w:rPr>
        <w:t xml:space="preserve"> power</w:t>
      </w:r>
      <w:r w:rsidR="00B81143" w:rsidRPr="00AF26EF">
        <w:rPr>
          <w:lang w:val="en-GB"/>
        </w:rPr>
        <w:t xml:space="preserve"> and</w:t>
      </w:r>
      <w:r w:rsidR="007444E8" w:rsidRPr="00AF26EF">
        <w:rPr>
          <w:lang w:val="en-GB"/>
        </w:rPr>
        <w:t xml:space="preserve"> infrastructure needs and machine costs</w:t>
      </w:r>
      <w:r w:rsidR="00323783" w:rsidRPr="00AF26EF">
        <w:rPr>
          <w:lang w:val="en-GB"/>
        </w:rPr>
        <w:t>.</w:t>
      </w:r>
      <w:r w:rsidR="007444E8" w:rsidRPr="00AF26EF">
        <w:rPr>
          <w:lang w:val="en-GB"/>
        </w:rPr>
        <w:t xml:space="preserve"> </w:t>
      </w:r>
      <w:r w:rsidR="00323783" w:rsidRPr="00AF26EF">
        <w:rPr>
          <w:lang w:val="en-GB"/>
        </w:rPr>
        <w:t>E</w:t>
      </w:r>
      <w:r w:rsidR="00897360" w:rsidRPr="00AF26EF">
        <w:rPr>
          <w:lang w:val="en-GB"/>
        </w:rPr>
        <w:t>xpanding access</w:t>
      </w:r>
      <w:r w:rsidR="00604236" w:rsidRPr="00AF26EF">
        <w:rPr>
          <w:lang w:val="en-GB"/>
        </w:rPr>
        <w:t xml:space="preserve"> to </w:t>
      </w:r>
      <w:r w:rsidR="00F74B67" w:rsidRPr="00AF26EF">
        <w:rPr>
          <w:lang w:val="en-GB"/>
        </w:rPr>
        <w:t xml:space="preserve">this </w:t>
      </w:r>
      <w:r w:rsidR="00897360" w:rsidRPr="00AF26EF">
        <w:rPr>
          <w:lang w:val="en-GB"/>
        </w:rPr>
        <w:t xml:space="preserve">test </w:t>
      </w:r>
      <w:r w:rsidR="00F63158" w:rsidRPr="00AF26EF">
        <w:rPr>
          <w:lang w:val="en-GB"/>
        </w:rPr>
        <w:t>frequently</w:t>
      </w:r>
      <w:r w:rsidR="00F74B67" w:rsidRPr="00AF26EF">
        <w:rPr>
          <w:lang w:val="en-GB"/>
        </w:rPr>
        <w:t xml:space="preserve"> requires </w:t>
      </w:r>
      <w:r w:rsidR="005350D0" w:rsidRPr="00AF26EF">
        <w:rPr>
          <w:lang w:val="en-GB"/>
        </w:rPr>
        <w:t xml:space="preserve">the </w:t>
      </w:r>
      <w:r w:rsidR="00F74B67" w:rsidRPr="00AF26EF">
        <w:rPr>
          <w:lang w:val="en-GB"/>
        </w:rPr>
        <w:t>referral of pat</w:t>
      </w:r>
      <w:r w:rsidR="00F63158" w:rsidRPr="00AF26EF">
        <w:rPr>
          <w:lang w:val="en-GB"/>
        </w:rPr>
        <w:t>i</w:t>
      </w:r>
      <w:r w:rsidR="00F74B67" w:rsidRPr="00AF26EF">
        <w:rPr>
          <w:lang w:val="en-GB"/>
        </w:rPr>
        <w:t xml:space="preserve">ents or </w:t>
      </w:r>
      <w:r w:rsidR="005350D0" w:rsidRPr="00AF26EF">
        <w:rPr>
          <w:lang w:val="en-GB"/>
        </w:rPr>
        <w:t xml:space="preserve">the </w:t>
      </w:r>
      <w:r w:rsidR="00897360" w:rsidRPr="00AF26EF">
        <w:rPr>
          <w:lang w:val="en-GB"/>
        </w:rPr>
        <w:t xml:space="preserve">transport </w:t>
      </w:r>
      <w:r w:rsidR="00F63158" w:rsidRPr="00AF26EF">
        <w:rPr>
          <w:lang w:val="en-GB"/>
        </w:rPr>
        <w:t xml:space="preserve">of </w:t>
      </w:r>
      <w:r w:rsidR="001D6ECE" w:rsidRPr="00AF26EF">
        <w:rPr>
          <w:lang w:val="en-GB"/>
        </w:rPr>
        <w:t xml:space="preserve">sputum </w:t>
      </w:r>
      <w:r w:rsidR="00714523" w:rsidRPr="00AF26EF">
        <w:rPr>
          <w:lang w:val="en-GB"/>
        </w:rPr>
        <w:t xml:space="preserve">to testing </w:t>
      </w:r>
      <w:r w:rsidR="00CC1C6E" w:rsidRPr="00AF26EF">
        <w:rPr>
          <w:lang w:val="en-GB"/>
        </w:rPr>
        <w:t>centres</w:t>
      </w:r>
      <w:r w:rsidR="007B00F0" w:rsidRPr="00AF26EF">
        <w:rPr>
          <w:lang w:val="en-GB"/>
        </w:rPr>
        <w:t xml:space="preserve">. </w:t>
      </w:r>
      <w:bookmarkStart w:id="7" w:name="_Hlk25568591"/>
      <w:r w:rsidR="007B00F0" w:rsidRPr="00AF26EF">
        <w:rPr>
          <w:lang w:val="en-GB"/>
        </w:rPr>
        <w:t>Sample transport</w:t>
      </w:r>
      <w:r w:rsidR="00F63158" w:rsidRPr="00AF26EF">
        <w:rPr>
          <w:lang w:val="en-GB"/>
        </w:rPr>
        <w:t>ation</w:t>
      </w:r>
      <w:r w:rsidR="007B00F0" w:rsidRPr="00AF26EF">
        <w:rPr>
          <w:lang w:val="en-GB"/>
        </w:rPr>
        <w:t xml:space="preserve"> requires </w:t>
      </w:r>
      <w:r w:rsidR="00F63158" w:rsidRPr="00AF26EF">
        <w:rPr>
          <w:lang w:val="en-GB"/>
        </w:rPr>
        <w:t>refrigeration</w:t>
      </w:r>
      <w:r w:rsidR="007B00F0" w:rsidRPr="00AF26EF">
        <w:rPr>
          <w:lang w:val="en-GB"/>
        </w:rPr>
        <w:t xml:space="preserve"> to maintain the </w:t>
      </w:r>
      <w:r w:rsidR="00F63158" w:rsidRPr="00AF26EF">
        <w:rPr>
          <w:lang w:val="en-GB"/>
        </w:rPr>
        <w:t xml:space="preserve">biological </w:t>
      </w:r>
      <w:r w:rsidR="007B00F0" w:rsidRPr="00AF26EF">
        <w:rPr>
          <w:lang w:val="en-GB"/>
        </w:rPr>
        <w:t xml:space="preserve">integrity of the sample and prevent </w:t>
      </w:r>
      <w:r w:rsidR="0047307E" w:rsidRPr="00AF26EF">
        <w:rPr>
          <w:lang w:val="en-GB"/>
        </w:rPr>
        <w:t>bacterial</w:t>
      </w:r>
      <w:r w:rsidR="00F63158" w:rsidRPr="00AF26EF">
        <w:rPr>
          <w:lang w:val="en-GB"/>
        </w:rPr>
        <w:t xml:space="preserve"> and fung</w:t>
      </w:r>
      <w:r w:rsidR="00323783" w:rsidRPr="00AF26EF">
        <w:rPr>
          <w:lang w:val="en-GB"/>
        </w:rPr>
        <w:t>al</w:t>
      </w:r>
      <w:r w:rsidR="00F63158" w:rsidRPr="00AF26EF">
        <w:rPr>
          <w:lang w:val="en-GB"/>
        </w:rPr>
        <w:t xml:space="preserve"> proliferation</w:t>
      </w:r>
      <w:r w:rsidR="00B873BA" w:rsidRPr="00AF26EF">
        <w:rPr>
          <w:lang w:val="en-GB"/>
        </w:rPr>
        <w:t xml:space="preserve">, resulting in a decreased </w:t>
      </w:r>
      <w:r w:rsidR="004E1E07" w:rsidRPr="00AF26EF">
        <w:rPr>
          <w:lang w:val="en-GB"/>
        </w:rPr>
        <w:t xml:space="preserve">culture </w:t>
      </w:r>
      <w:r w:rsidR="00B873BA" w:rsidRPr="00AF26EF">
        <w:rPr>
          <w:lang w:val="en-GB"/>
        </w:rPr>
        <w:t xml:space="preserve">positivity. </w:t>
      </w:r>
      <w:r w:rsidR="00CC5AB3" w:rsidRPr="00AF26EF">
        <w:rPr>
          <w:lang w:val="en-GB"/>
        </w:rPr>
        <w:t xml:space="preserve">Furthermore, although </w:t>
      </w:r>
      <w:r w:rsidR="00D636E3" w:rsidRPr="00AF26EF">
        <w:rPr>
          <w:lang w:val="en-GB"/>
        </w:rPr>
        <w:t xml:space="preserve">archived clinical samples kept frozen can be later tested with GX with minimal or no loss of sensitivity, data on </w:t>
      </w:r>
      <w:r w:rsidR="00B873BA" w:rsidRPr="00AF26EF">
        <w:rPr>
          <w:lang w:val="en-GB"/>
        </w:rPr>
        <w:t xml:space="preserve">the performance </w:t>
      </w:r>
      <w:r w:rsidR="00D636E3" w:rsidRPr="00AF26EF">
        <w:rPr>
          <w:lang w:val="en-GB"/>
        </w:rPr>
        <w:t xml:space="preserve">of GX </w:t>
      </w:r>
      <w:r w:rsidR="00B873BA" w:rsidRPr="00AF26EF">
        <w:rPr>
          <w:lang w:val="en-GB"/>
        </w:rPr>
        <w:t xml:space="preserve">in samples </w:t>
      </w:r>
      <w:r w:rsidR="00D636E3" w:rsidRPr="00AF26EF">
        <w:rPr>
          <w:lang w:val="en-GB"/>
        </w:rPr>
        <w:t xml:space="preserve">that have been </w:t>
      </w:r>
      <w:r w:rsidR="00B873BA" w:rsidRPr="00AF26EF">
        <w:rPr>
          <w:lang w:val="en-GB"/>
        </w:rPr>
        <w:t xml:space="preserve">transported </w:t>
      </w:r>
      <w:r w:rsidR="00D636E3" w:rsidRPr="00AF26EF">
        <w:rPr>
          <w:lang w:val="en-GB"/>
        </w:rPr>
        <w:t xml:space="preserve">at ambient temperature without preserving reagents </w:t>
      </w:r>
      <w:r w:rsidR="00B81143" w:rsidRPr="00AF26EF">
        <w:rPr>
          <w:lang w:val="en-GB"/>
        </w:rPr>
        <w:t xml:space="preserve">are </w:t>
      </w:r>
      <w:r w:rsidR="00D636E3" w:rsidRPr="00AF26EF">
        <w:rPr>
          <w:lang w:val="en-GB"/>
        </w:rPr>
        <w:t>not available in the public domain.</w:t>
      </w:r>
      <w:bookmarkEnd w:id="7"/>
    </w:p>
    <w:p w14:paraId="60C76E24" w14:textId="109B131F" w:rsidR="003A6A2E" w:rsidRPr="00AF26EF" w:rsidRDefault="004B0BC1" w:rsidP="00A547AC">
      <w:pPr>
        <w:pStyle w:val="MDPI31text"/>
        <w:rPr>
          <w:lang w:val="en-GB"/>
        </w:rPr>
      </w:pPr>
      <w:bookmarkStart w:id="8" w:name="_Hlk25586539"/>
      <w:r w:rsidRPr="00AF26EF">
        <w:rPr>
          <w:lang w:val="en-GB"/>
        </w:rPr>
        <w:t>I</w:t>
      </w:r>
      <w:r w:rsidR="003A6A2E" w:rsidRPr="00AF26EF">
        <w:rPr>
          <w:lang w:val="en-GB"/>
        </w:rPr>
        <w:t>n Nigeria</w:t>
      </w:r>
      <w:r w:rsidR="00065066" w:rsidRPr="00AF26EF">
        <w:rPr>
          <w:lang w:val="en-GB"/>
        </w:rPr>
        <w:t>,</w:t>
      </w:r>
      <w:r w:rsidR="003A6A2E" w:rsidRPr="00AF26EF">
        <w:rPr>
          <w:lang w:val="en-GB"/>
        </w:rPr>
        <w:t xml:space="preserve"> GX is mostly stationed in district hospitals, </w:t>
      </w:r>
      <w:r w:rsidR="00485F63" w:rsidRPr="00AF26EF">
        <w:rPr>
          <w:color w:val="000000" w:themeColor="text1"/>
          <w:lang w:val="en-GB"/>
        </w:rPr>
        <w:t xml:space="preserve">Human Immunodeficiency Virus </w:t>
      </w:r>
      <w:r w:rsidR="00485F63" w:rsidRPr="00AF26EF">
        <w:rPr>
          <w:rFonts w:eastAsiaTheme="minorEastAsia"/>
          <w:color w:val="000000" w:themeColor="text1"/>
          <w:lang w:val="en-GB" w:eastAsia="zh-CN"/>
        </w:rPr>
        <w:t>（</w:t>
      </w:r>
      <w:r w:rsidR="003A6A2E" w:rsidRPr="00AF26EF">
        <w:rPr>
          <w:lang w:val="en-GB"/>
        </w:rPr>
        <w:t>HIV</w:t>
      </w:r>
      <w:r w:rsidR="00485F63" w:rsidRPr="00AF26EF">
        <w:rPr>
          <w:rFonts w:eastAsiaTheme="minorEastAsia"/>
          <w:lang w:val="en-GB" w:eastAsia="zh-CN"/>
        </w:rPr>
        <w:t>）</w:t>
      </w:r>
      <w:r w:rsidR="003A6A2E" w:rsidRPr="00AF26EF">
        <w:rPr>
          <w:lang w:val="en-GB"/>
        </w:rPr>
        <w:t xml:space="preserve"> clinics</w:t>
      </w:r>
      <w:r w:rsidR="00065066" w:rsidRPr="00AF26EF">
        <w:rPr>
          <w:lang w:val="en-GB"/>
        </w:rPr>
        <w:t>,</w:t>
      </w:r>
      <w:r w:rsidR="003A6A2E" w:rsidRPr="00AF26EF">
        <w:rPr>
          <w:lang w:val="en-GB"/>
        </w:rPr>
        <w:t xml:space="preserve"> selected health centres and mobile vans. </w:t>
      </w:r>
      <w:r w:rsidR="004E1E07" w:rsidRPr="00AF26EF">
        <w:rPr>
          <w:lang w:val="en-GB"/>
        </w:rPr>
        <w:t>Despite the existing</w:t>
      </w:r>
      <w:r w:rsidR="003A6A2E" w:rsidRPr="00AF26EF">
        <w:rPr>
          <w:lang w:val="en-GB"/>
        </w:rPr>
        <w:t xml:space="preserve"> efforts to establish sputum transportation network</w:t>
      </w:r>
      <w:r w:rsidR="004E1E07" w:rsidRPr="00AF26EF">
        <w:rPr>
          <w:lang w:val="en-GB"/>
        </w:rPr>
        <w:t xml:space="preserve"> (</w:t>
      </w:r>
      <w:r w:rsidR="003A6A2E" w:rsidRPr="00AF26EF">
        <w:rPr>
          <w:lang w:val="en-GB"/>
        </w:rPr>
        <w:t>such as the ‘Riders for Health’</w:t>
      </w:r>
      <w:r w:rsidR="00065066" w:rsidRPr="00AF26EF">
        <w:rPr>
          <w:lang w:val="en-GB"/>
        </w:rPr>
        <w:t>,</w:t>
      </w:r>
      <w:r w:rsidR="003A6A2E" w:rsidRPr="00AF26EF">
        <w:rPr>
          <w:lang w:val="en-GB"/>
        </w:rPr>
        <w:t xml:space="preserve"> operating in eight </w:t>
      </w:r>
      <w:r w:rsidR="004E1E07" w:rsidRPr="00AF26EF">
        <w:rPr>
          <w:lang w:val="en-GB"/>
        </w:rPr>
        <w:t>s</w:t>
      </w:r>
      <w:r w:rsidR="003A6A2E" w:rsidRPr="00AF26EF">
        <w:rPr>
          <w:lang w:val="en-GB"/>
        </w:rPr>
        <w:t>tates</w:t>
      </w:r>
      <w:r w:rsidR="004E1E07" w:rsidRPr="00AF26EF">
        <w:rPr>
          <w:lang w:val="en-GB"/>
        </w:rPr>
        <w:t>)</w:t>
      </w:r>
      <w:r w:rsidR="003A6A2E" w:rsidRPr="00AF26EF">
        <w:rPr>
          <w:lang w:val="en-GB"/>
        </w:rPr>
        <w:t xml:space="preserve">, </w:t>
      </w:r>
      <w:r w:rsidRPr="00AF26EF">
        <w:rPr>
          <w:lang w:val="en-GB"/>
        </w:rPr>
        <w:t>these networks are still insufficient to cover the demand f</w:t>
      </w:r>
      <w:r w:rsidR="00065066" w:rsidRPr="00AF26EF">
        <w:rPr>
          <w:lang w:val="en-GB"/>
        </w:rPr>
        <w:t>or</w:t>
      </w:r>
      <w:r w:rsidRPr="00AF26EF">
        <w:rPr>
          <w:lang w:val="en-GB"/>
        </w:rPr>
        <w:t xml:space="preserve"> health services</w:t>
      </w:r>
      <w:r w:rsidR="003A6A2E" w:rsidRPr="00AF26EF">
        <w:rPr>
          <w:lang w:val="en-GB"/>
        </w:rPr>
        <w:t xml:space="preserve">. </w:t>
      </w:r>
      <w:r w:rsidRPr="00AF26EF">
        <w:rPr>
          <w:lang w:val="en-GB"/>
        </w:rPr>
        <w:t>Although data on the time require</w:t>
      </w:r>
      <w:r w:rsidR="00065066" w:rsidRPr="00AF26EF">
        <w:rPr>
          <w:lang w:val="en-GB"/>
        </w:rPr>
        <w:t>d</w:t>
      </w:r>
      <w:r w:rsidRPr="00AF26EF">
        <w:rPr>
          <w:lang w:val="en-GB"/>
        </w:rPr>
        <w:t xml:space="preserve"> to transport samples </w:t>
      </w:r>
      <w:r w:rsidR="00B81143" w:rsidRPr="00AF26EF">
        <w:rPr>
          <w:lang w:val="en-GB"/>
        </w:rPr>
        <w:t xml:space="preserve">are </w:t>
      </w:r>
      <w:r w:rsidRPr="00AF26EF">
        <w:rPr>
          <w:lang w:val="en-GB"/>
        </w:rPr>
        <w:t xml:space="preserve">poorly documented, a review of samples received in our laboratory, </w:t>
      </w:r>
      <w:proofErr w:type="spellStart"/>
      <w:r w:rsidRPr="00AF26EF">
        <w:rPr>
          <w:lang w:val="en-GB"/>
        </w:rPr>
        <w:t>Zankli</w:t>
      </w:r>
      <w:proofErr w:type="spellEnd"/>
      <w:r w:rsidRPr="00AF26EF">
        <w:rPr>
          <w:lang w:val="en-GB"/>
        </w:rPr>
        <w:t xml:space="preserve"> Research Centre, indicated that samples referred from the Northern Region of the country are processed within a median of </w:t>
      </w:r>
      <w:r w:rsidR="00065066" w:rsidRPr="00AF26EF">
        <w:rPr>
          <w:lang w:val="en-GB"/>
        </w:rPr>
        <w:t>six</w:t>
      </w:r>
      <w:r w:rsidRPr="00AF26EF">
        <w:rPr>
          <w:lang w:val="en-GB"/>
        </w:rPr>
        <w:t xml:space="preserve"> days</w:t>
      </w:r>
      <w:r w:rsidR="00065066" w:rsidRPr="00AF26EF">
        <w:rPr>
          <w:lang w:val="en-GB"/>
        </w:rPr>
        <w:t>,</w:t>
      </w:r>
      <w:r w:rsidRPr="00AF26EF">
        <w:rPr>
          <w:lang w:val="en-GB"/>
        </w:rPr>
        <w:t xml:space="preserve"> and 25% </w:t>
      </w:r>
      <w:r w:rsidR="0047307E" w:rsidRPr="00AF26EF">
        <w:rPr>
          <w:lang w:val="en-GB"/>
        </w:rPr>
        <w:t>are processed</w:t>
      </w:r>
      <w:r w:rsidRPr="00AF26EF">
        <w:rPr>
          <w:lang w:val="en-GB"/>
        </w:rPr>
        <w:t xml:space="preserve"> </w:t>
      </w:r>
      <w:r w:rsidR="004E1E07" w:rsidRPr="00AF26EF">
        <w:rPr>
          <w:lang w:val="en-GB"/>
        </w:rPr>
        <w:t xml:space="preserve">within </w:t>
      </w:r>
      <w:r w:rsidR="00065066" w:rsidRPr="00AF26EF">
        <w:rPr>
          <w:lang w:val="en-GB"/>
        </w:rPr>
        <w:t>nine</w:t>
      </w:r>
      <w:r w:rsidRPr="00AF26EF">
        <w:rPr>
          <w:lang w:val="en-GB"/>
        </w:rPr>
        <w:t xml:space="preserve"> days </w:t>
      </w:r>
      <w:r w:rsidR="00B81143" w:rsidRPr="00AF26EF">
        <w:rPr>
          <w:lang w:val="en-GB"/>
        </w:rPr>
        <w:t>of</w:t>
      </w:r>
      <w:r w:rsidR="004E1E07" w:rsidRPr="00AF26EF">
        <w:rPr>
          <w:lang w:val="en-GB"/>
        </w:rPr>
        <w:t xml:space="preserve"> </w:t>
      </w:r>
      <w:r w:rsidRPr="00AF26EF">
        <w:rPr>
          <w:lang w:val="en-GB"/>
        </w:rPr>
        <w:t>sample collection</w:t>
      </w:r>
      <w:r w:rsidR="003A6A2E" w:rsidRPr="00AF26EF">
        <w:rPr>
          <w:lang w:val="en-GB"/>
        </w:rPr>
        <w:t>.</w:t>
      </w:r>
      <w:bookmarkEnd w:id="8"/>
    </w:p>
    <w:p w14:paraId="42661A48" w14:textId="0B2015B9" w:rsidR="00746B13" w:rsidRPr="00AF26EF" w:rsidRDefault="00B873BA" w:rsidP="00A547AC">
      <w:pPr>
        <w:pStyle w:val="MDPI31text"/>
        <w:rPr>
          <w:lang w:val="en-GB"/>
        </w:rPr>
      </w:pPr>
      <w:r w:rsidRPr="00AF26EF">
        <w:rPr>
          <w:lang w:val="en-GB"/>
        </w:rPr>
        <w:t xml:space="preserve">Implementing a cold chain incurs substantial costs and can be especially challenging in rural </w:t>
      </w:r>
      <w:r w:rsidR="0047307E" w:rsidRPr="00AF26EF">
        <w:rPr>
          <w:lang w:val="en-GB"/>
        </w:rPr>
        <w:t>areas. The</w:t>
      </w:r>
      <w:r w:rsidR="002C431E" w:rsidRPr="00AF26EF">
        <w:rPr>
          <w:lang w:val="en-GB"/>
        </w:rPr>
        <w:t xml:space="preserve"> development of</w:t>
      </w:r>
      <w:r w:rsidR="00262C7B" w:rsidRPr="00AF26EF">
        <w:rPr>
          <w:lang w:val="en-GB"/>
        </w:rPr>
        <w:t xml:space="preserve"> sputum transport reagents that eliminate the </w:t>
      </w:r>
      <w:r w:rsidR="008529D8" w:rsidRPr="00AF26EF">
        <w:rPr>
          <w:lang w:val="en-GB"/>
        </w:rPr>
        <w:t xml:space="preserve">need </w:t>
      </w:r>
      <w:r w:rsidR="00262C7B" w:rsidRPr="00AF26EF">
        <w:rPr>
          <w:lang w:val="en-GB"/>
        </w:rPr>
        <w:t xml:space="preserve">for </w:t>
      </w:r>
      <w:r w:rsidR="00F63158" w:rsidRPr="00AF26EF">
        <w:rPr>
          <w:lang w:val="en-GB"/>
        </w:rPr>
        <w:t>a cold chain</w:t>
      </w:r>
      <w:r w:rsidR="00262C7B" w:rsidRPr="00AF26EF">
        <w:rPr>
          <w:lang w:val="en-GB"/>
        </w:rPr>
        <w:t xml:space="preserve"> during transit </w:t>
      </w:r>
      <w:r w:rsidR="00F63158" w:rsidRPr="00AF26EF">
        <w:rPr>
          <w:lang w:val="en-GB"/>
        </w:rPr>
        <w:t xml:space="preserve">could </w:t>
      </w:r>
      <w:r w:rsidR="00746B13" w:rsidRPr="00AF26EF">
        <w:rPr>
          <w:lang w:val="en-GB"/>
        </w:rPr>
        <w:t>reduce the cost and</w:t>
      </w:r>
      <w:r w:rsidR="00332868" w:rsidRPr="00AF26EF">
        <w:rPr>
          <w:lang w:val="en-GB"/>
        </w:rPr>
        <w:t xml:space="preserve"> </w:t>
      </w:r>
      <w:r w:rsidR="00746B13" w:rsidRPr="00AF26EF">
        <w:rPr>
          <w:lang w:val="en-GB"/>
        </w:rPr>
        <w:t>complexity of sample transport</w:t>
      </w:r>
      <w:r w:rsidR="00F63158" w:rsidRPr="00AF26EF">
        <w:rPr>
          <w:lang w:val="en-GB"/>
        </w:rPr>
        <w:t>ation</w:t>
      </w:r>
      <w:r w:rsidR="00746B13" w:rsidRPr="00AF26EF">
        <w:rPr>
          <w:lang w:val="en-GB"/>
        </w:rPr>
        <w:t xml:space="preserve">. One </w:t>
      </w:r>
      <w:r w:rsidR="00F63158" w:rsidRPr="00AF26EF">
        <w:rPr>
          <w:lang w:val="en-GB"/>
        </w:rPr>
        <w:t xml:space="preserve">of these </w:t>
      </w:r>
      <w:r w:rsidR="00746B13" w:rsidRPr="00AF26EF">
        <w:rPr>
          <w:lang w:val="en-GB"/>
        </w:rPr>
        <w:t>reagent</w:t>
      </w:r>
      <w:r w:rsidR="00F63158" w:rsidRPr="00AF26EF">
        <w:rPr>
          <w:lang w:val="en-GB"/>
        </w:rPr>
        <w:t>s</w:t>
      </w:r>
      <w:r w:rsidR="00746B13" w:rsidRPr="00AF26EF">
        <w:rPr>
          <w:lang w:val="en-GB"/>
        </w:rPr>
        <w:t xml:space="preserve">, </w:t>
      </w:r>
      <w:proofErr w:type="spellStart"/>
      <w:r w:rsidR="00746B13" w:rsidRPr="00AF26EF">
        <w:rPr>
          <w:lang w:val="en-GB"/>
        </w:rPr>
        <w:t>OMNIGene</w:t>
      </w:r>
      <w:proofErr w:type="spellEnd"/>
      <w:r w:rsidR="00746B13" w:rsidRPr="00AF26EF">
        <w:rPr>
          <w:lang w:val="en-GB"/>
        </w:rPr>
        <w:t>-sputum (</w:t>
      </w:r>
      <w:proofErr w:type="spellStart"/>
      <w:r w:rsidR="00F63158" w:rsidRPr="00AF26EF">
        <w:rPr>
          <w:lang w:val="en-GB"/>
        </w:rPr>
        <w:t>Omnigene</w:t>
      </w:r>
      <w:proofErr w:type="spellEnd"/>
      <w:r w:rsidR="00F63158" w:rsidRPr="00AF26EF">
        <w:rPr>
          <w:lang w:val="en-GB"/>
        </w:rPr>
        <w:t xml:space="preserve">, </w:t>
      </w:r>
      <w:r w:rsidR="00746B13" w:rsidRPr="00AF26EF">
        <w:rPr>
          <w:lang w:val="en-GB"/>
        </w:rPr>
        <w:t xml:space="preserve">DNA </w:t>
      </w:r>
      <w:proofErr w:type="spellStart"/>
      <w:r w:rsidR="00746B13" w:rsidRPr="00AF26EF">
        <w:rPr>
          <w:lang w:val="en-GB"/>
        </w:rPr>
        <w:t>Genotek</w:t>
      </w:r>
      <w:proofErr w:type="spellEnd"/>
      <w:r w:rsidR="00746B13" w:rsidRPr="00AF26EF">
        <w:rPr>
          <w:lang w:val="en-GB"/>
        </w:rPr>
        <w:t xml:space="preserve"> </w:t>
      </w:r>
      <w:r w:rsidR="00D706CC" w:rsidRPr="00AF26EF">
        <w:rPr>
          <w:lang w:val="en-GB"/>
        </w:rPr>
        <w:t>Inc.</w:t>
      </w:r>
      <w:r w:rsidR="00746B13" w:rsidRPr="00AF26EF">
        <w:rPr>
          <w:lang w:val="en-GB"/>
        </w:rPr>
        <w:t>, Canada)</w:t>
      </w:r>
      <w:r w:rsidR="00F63158" w:rsidRPr="00AF26EF">
        <w:rPr>
          <w:lang w:val="en-GB"/>
        </w:rPr>
        <w:t xml:space="preserve">, </w:t>
      </w:r>
      <w:r w:rsidR="00B447A4" w:rsidRPr="00AF26EF">
        <w:rPr>
          <w:lang w:val="en-GB"/>
        </w:rPr>
        <w:t xml:space="preserve">is allegedly able </w:t>
      </w:r>
      <w:r w:rsidR="00F63158" w:rsidRPr="00AF26EF">
        <w:rPr>
          <w:lang w:val="en-GB"/>
        </w:rPr>
        <w:t xml:space="preserve">to </w:t>
      </w:r>
      <w:r w:rsidR="00746B13" w:rsidRPr="00AF26EF">
        <w:rPr>
          <w:lang w:val="en-GB"/>
        </w:rPr>
        <w:t>decontaminate and liquef</w:t>
      </w:r>
      <w:r w:rsidR="00F63158" w:rsidRPr="00AF26EF">
        <w:rPr>
          <w:lang w:val="en-GB"/>
        </w:rPr>
        <w:t>y</w:t>
      </w:r>
      <w:r w:rsidR="00746B13" w:rsidRPr="00AF26EF">
        <w:rPr>
          <w:lang w:val="en-GB"/>
        </w:rPr>
        <w:t xml:space="preserve"> sputum, whilst preventing sample degradation for up to eight days</w:t>
      </w:r>
      <w:r w:rsidR="00982752" w:rsidRPr="00AF26EF">
        <w:rPr>
          <w:lang w:val="en-GB"/>
        </w:rPr>
        <w:t xml:space="preserve"> </w:t>
      </w:r>
      <w:r w:rsidR="00746B13" w:rsidRPr="00AF26EF">
        <w:rPr>
          <w:lang w:val="en-GB"/>
        </w:rPr>
        <w:t>at ambient temperature</w:t>
      </w:r>
      <w:r w:rsidR="002C431E" w:rsidRPr="00AF26EF">
        <w:rPr>
          <w:lang w:val="en-GB"/>
        </w:rPr>
        <w:t xml:space="preserve"> </w:t>
      </w:r>
      <w:bookmarkStart w:id="9" w:name="EXISTREF6"/>
      <w:r w:rsidR="00B81143" w:rsidRPr="00AF26EF">
        <w:rPr>
          <w:lang w:val="en-GB"/>
        </w:rPr>
        <w:t>[</w:t>
      </w:r>
      <w:r w:rsidR="00EC2DC4" w:rsidRPr="00AF26EF">
        <w:rPr>
          <w:lang w:val="en-GB"/>
        </w:rPr>
        <w:t>6</w:t>
      </w:r>
      <w:r w:rsidR="00B81143" w:rsidRPr="00AF26EF">
        <w:rPr>
          <w:lang w:val="en-GB"/>
        </w:rPr>
        <w:t>]</w:t>
      </w:r>
      <w:bookmarkEnd w:id="9"/>
      <w:r w:rsidR="00746B13" w:rsidRPr="00AF26EF">
        <w:rPr>
          <w:lang w:val="en-GB"/>
        </w:rPr>
        <w:t>.</w:t>
      </w:r>
      <w:r w:rsidR="000F094B" w:rsidRPr="00AF26EF">
        <w:rPr>
          <w:lang w:val="en-GB"/>
        </w:rPr>
        <w:t xml:space="preserve"> </w:t>
      </w:r>
      <w:r w:rsidR="00714523" w:rsidRPr="00AF26EF">
        <w:rPr>
          <w:lang w:val="en-GB"/>
        </w:rPr>
        <w:t xml:space="preserve">A second reagent, </w:t>
      </w:r>
      <w:proofErr w:type="spellStart"/>
      <w:r w:rsidR="00746B13" w:rsidRPr="00AF26EF">
        <w:rPr>
          <w:lang w:val="en-GB"/>
        </w:rPr>
        <w:t>PrimeStore</w:t>
      </w:r>
      <w:proofErr w:type="spellEnd"/>
      <w:r w:rsidR="00746B13" w:rsidRPr="00AF26EF">
        <w:rPr>
          <w:lang w:val="en-GB"/>
        </w:rPr>
        <w:t xml:space="preserve"> Molecular Transport Medium (</w:t>
      </w:r>
      <w:proofErr w:type="spellStart"/>
      <w:r w:rsidR="00F63158" w:rsidRPr="00AF26EF">
        <w:rPr>
          <w:lang w:val="en-GB"/>
        </w:rPr>
        <w:t>Primestore</w:t>
      </w:r>
      <w:proofErr w:type="spellEnd"/>
      <w:r w:rsidR="00F63158" w:rsidRPr="00AF26EF">
        <w:rPr>
          <w:lang w:val="en-GB"/>
        </w:rPr>
        <w:t xml:space="preserve">, </w:t>
      </w:r>
      <w:r w:rsidR="00746B13" w:rsidRPr="00AF26EF">
        <w:rPr>
          <w:lang w:val="en-GB"/>
        </w:rPr>
        <w:t xml:space="preserve">Longhorn Vaccines &amp; Diagnostics, US) has been </w:t>
      </w:r>
      <w:r w:rsidR="00F63158" w:rsidRPr="00AF26EF">
        <w:rPr>
          <w:lang w:val="en-GB"/>
        </w:rPr>
        <w:t>reported</w:t>
      </w:r>
      <w:r w:rsidR="00746B13" w:rsidRPr="00AF26EF">
        <w:rPr>
          <w:lang w:val="en-GB"/>
        </w:rPr>
        <w:t xml:space="preserve"> to inactivate </w:t>
      </w:r>
      <w:r w:rsidR="00F63158" w:rsidRPr="00AF26EF">
        <w:rPr>
          <w:i/>
          <w:lang w:val="en-GB"/>
        </w:rPr>
        <w:t>Mycobacterium tuberculosis</w:t>
      </w:r>
      <w:r w:rsidR="00746B13" w:rsidRPr="00AF26EF">
        <w:rPr>
          <w:lang w:val="en-GB"/>
        </w:rPr>
        <w:t xml:space="preserve"> </w:t>
      </w:r>
      <w:r w:rsidR="00F63158" w:rsidRPr="00AF26EF">
        <w:rPr>
          <w:lang w:val="en-GB"/>
        </w:rPr>
        <w:t xml:space="preserve">(MTB) </w:t>
      </w:r>
      <w:r w:rsidR="00746B13" w:rsidRPr="00AF26EF">
        <w:rPr>
          <w:lang w:val="en-GB"/>
        </w:rPr>
        <w:t>and preserve nucleic acids at ambient temperature, for downstream testing</w:t>
      </w:r>
      <w:r w:rsidR="00457DAB" w:rsidRPr="00AF26EF">
        <w:rPr>
          <w:lang w:val="en-GB"/>
        </w:rPr>
        <w:t xml:space="preserve"> </w:t>
      </w:r>
      <w:bookmarkStart w:id="10" w:name="EXISTREF7"/>
      <w:r w:rsidR="00B81143" w:rsidRPr="00AF26EF">
        <w:rPr>
          <w:lang w:val="en-GB"/>
        </w:rPr>
        <w:t>[</w:t>
      </w:r>
      <w:r w:rsidR="00EC2DC4" w:rsidRPr="00AF26EF">
        <w:rPr>
          <w:lang w:val="en-GB"/>
        </w:rPr>
        <w:t>7</w:t>
      </w:r>
      <w:r w:rsidR="00B81143" w:rsidRPr="00AF26EF">
        <w:rPr>
          <w:lang w:val="en-GB"/>
        </w:rPr>
        <w:t>]</w:t>
      </w:r>
      <w:bookmarkEnd w:id="10"/>
      <w:r w:rsidR="00746B13" w:rsidRPr="00AF26EF">
        <w:rPr>
          <w:lang w:val="en-GB"/>
        </w:rPr>
        <w:t xml:space="preserve">. </w:t>
      </w:r>
      <w:r w:rsidR="009E7654" w:rsidRPr="00AF26EF">
        <w:rPr>
          <w:lang w:val="en-GB"/>
        </w:rPr>
        <w:t xml:space="preserve">The inactivation of </w:t>
      </w:r>
      <w:r w:rsidR="00DB4594" w:rsidRPr="00AF26EF">
        <w:rPr>
          <w:lang w:val="en-GB"/>
        </w:rPr>
        <w:t>M</w:t>
      </w:r>
      <w:r w:rsidR="009E7654" w:rsidRPr="00AF26EF">
        <w:rPr>
          <w:lang w:val="en-GB"/>
        </w:rPr>
        <w:t xml:space="preserve">TB </w:t>
      </w:r>
      <w:r w:rsidR="00DB4594" w:rsidRPr="00AF26EF">
        <w:rPr>
          <w:lang w:val="en-GB"/>
        </w:rPr>
        <w:t xml:space="preserve">would </w:t>
      </w:r>
      <w:r w:rsidR="00C416C7" w:rsidRPr="00AF26EF">
        <w:rPr>
          <w:lang w:val="en-GB"/>
        </w:rPr>
        <w:t>improve</w:t>
      </w:r>
      <w:r w:rsidR="00DB4594" w:rsidRPr="00AF26EF">
        <w:rPr>
          <w:lang w:val="en-GB"/>
        </w:rPr>
        <w:t xml:space="preserve"> the</w:t>
      </w:r>
      <w:r w:rsidR="00C416C7" w:rsidRPr="00AF26EF">
        <w:rPr>
          <w:lang w:val="en-GB"/>
        </w:rPr>
        <w:t xml:space="preserve"> biosafety </w:t>
      </w:r>
      <w:r w:rsidR="00DB4594" w:rsidRPr="00AF26EF">
        <w:rPr>
          <w:lang w:val="en-GB"/>
        </w:rPr>
        <w:t xml:space="preserve">of the </w:t>
      </w:r>
      <w:r w:rsidR="00C416C7" w:rsidRPr="00AF26EF">
        <w:rPr>
          <w:lang w:val="en-GB"/>
        </w:rPr>
        <w:t xml:space="preserve">laboratory and </w:t>
      </w:r>
      <w:r w:rsidR="00B447A4" w:rsidRPr="00AF26EF">
        <w:rPr>
          <w:lang w:val="en-GB"/>
        </w:rPr>
        <w:t>the</w:t>
      </w:r>
      <w:r w:rsidR="00C416C7" w:rsidRPr="00AF26EF">
        <w:rPr>
          <w:lang w:val="en-GB"/>
        </w:rPr>
        <w:t xml:space="preserve"> </w:t>
      </w:r>
      <w:r w:rsidR="00DB4594" w:rsidRPr="00AF26EF">
        <w:rPr>
          <w:lang w:val="en-GB"/>
        </w:rPr>
        <w:t xml:space="preserve">transport and </w:t>
      </w:r>
      <w:r w:rsidR="00C416C7" w:rsidRPr="00AF26EF">
        <w:rPr>
          <w:lang w:val="en-GB"/>
        </w:rPr>
        <w:t xml:space="preserve">handling </w:t>
      </w:r>
      <w:r w:rsidR="00C04592" w:rsidRPr="00AF26EF">
        <w:rPr>
          <w:lang w:val="en-GB"/>
        </w:rPr>
        <w:t xml:space="preserve">of </w:t>
      </w:r>
      <w:r w:rsidR="00C416C7" w:rsidRPr="00AF26EF">
        <w:rPr>
          <w:lang w:val="en-GB"/>
        </w:rPr>
        <w:t>samples</w:t>
      </w:r>
      <w:r w:rsidR="00B447A4" w:rsidRPr="00AF26EF">
        <w:rPr>
          <w:lang w:val="en-GB"/>
        </w:rPr>
        <w:t xml:space="preserve"> by staff members</w:t>
      </w:r>
      <w:r w:rsidR="00606639" w:rsidRPr="00AF26EF">
        <w:rPr>
          <w:lang w:val="en-GB"/>
        </w:rPr>
        <w:t>.</w:t>
      </w:r>
      <w:r w:rsidR="00C416C7" w:rsidRPr="00AF26EF">
        <w:rPr>
          <w:lang w:val="en-GB"/>
        </w:rPr>
        <w:t xml:space="preserve"> </w:t>
      </w:r>
      <w:r w:rsidR="00606639" w:rsidRPr="00AF26EF">
        <w:rPr>
          <w:lang w:val="en-GB"/>
        </w:rPr>
        <w:t xml:space="preserve">Both </w:t>
      </w:r>
      <w:r w:rsidR="00DB4594" w:rsidRPr="00AF26EF">
        <w:rPr>
          <w:lang w:val="en-GB"/>
        </w:rPr>
        <w:t xml:space="preserve">solutions </w:t>
      </w:r>
      <w:r w:rsidR="00606639" w:rsidRPr="00AF26EF">
        <w:rPr>
          <w:lang w:val="en-GB"/>
        </w:rPr>
        <w:t>have</w:t>
      </w:r>
      <w:r w:rsidR="000F094B" w:rsidRPr="00AF26EF">
        <w:rPr>
          <w:lang w:val="en-GB"/>
        </w:rPr>
        <w:t xml:space="preserve"> </w:t>
      </w:r>
      <w:r w:rsidR="00C416C7" w:rsidRPr="00AF26EF">
        <w:rPr>
          <w:lang w:val="en-GB"/>
        </w:rPr>
        <w:t xml:space="preserve">been </w:t>
      </w:r>
      <w:r w:rsidR="00DB4594" w:rsidRPr="00AF26EF">
        <w:rPr>
          <w:lang w:val="en-GB"/>
        </w:rPr>
        <w:t xml:space="preserve">reported </w:t>
      </w:r>
      <w:r w:rsidR="00C416C7" w:rsidRPr="00AF26EF">
        <w:rPr>
          <w:lang w:val="en-GB"/>
        </w:rPr>
        <w:t>to be compatible with molecular tests</w:t>
      </w:r>
      <w:r w:rsidR="00DB4594" w:rsidRPr="00AF26EF">
        <w:rPr>
          <w:lang w:val="en-GB"/>
        </w:rPr>
        <w:t>,</w:t>
      </w:r>
      <w:r w:rsidR="00C416C7" w:rsidRPr="00AF26EF">
        <w:rPr>
          <w:lang w:val="en-GB"/>
        </w:rPr>
        <w:t xml:space="preserve"> including </w:t>
      </w:r>
      <w:r w:rsidR="00DB4594" w:rsidRPr="00AF26EF">
        <w:rPr>
          <w:lang w:val="en-GB"/>
        </w:rPr>
        <w:t>GX</w:t>
      </w:r>
      <w:r w:rsidR="00C416C7" w:rsidRPr="00AF26EF">
        <w:rPr>
          <w:lang w:val="en-GB"/>
        </w:rPr>
        <w:t xml:space="preserve"> </w:t>
      </w:r>
      <w:bookmarkStart w:id="11" w:name="EXISTREF8"/>
      <w:bookmarkStart w:id="12" w:name="EXISTREF9"/>
      <w:r w:rsidR="00B81143" w:rsidRPr="00AF26EF">
        <w:rPr>
          <w:lang w:val="en-GB"/>
        </w:rPr>
        <w:t>[</w:t>
      </w:r>
      <w:r w:rsidR="00EC2DC4" w:rsidRPr="00AF26EF">
        <w:rPr>
          <w:lang w:val="en-GB"/>
        </w:rPr>
        <w:t>8,9</w:t>
      </w:r>
      <w:r w:rsidR="00B81143" w:rsidRPr="00AF26EF">
        <w:rPr>
          <w:lang w:val="en-GB"/>
        </w:rPr>
        <w:t>]</w:t>
      </w:r>
      <w:bookmarkEnd w:id="11"/>
      <w:bookmarkEnd w:id="12"/>
      <w:r w:rsidR="00DB4594" w:rsidRPr="00AF26EF">
        <w:rPr>
          <w:lang w:val="en-GB"/>
        </w:rPr>
        <w:t>. A</w:t>
      </w:r>
      <w:r w:rsidR="00714523" w:rsidRPr="00AF26EF">
        <w:rPr>
          <w:lang w:val="en-GB"/>
        </w:rPr>
        <w:t xml:space="preserve">lthough </w:t>
      </w:r>
      <w:r w:rsidR="00DB4594" w:rsidRPr="00AF26EF">
        <w:rPr>
          <w:lang w:val="en-GB"/>
        </w:rPr>
        <w:t>studies have reported good performance characteristics, most reports include small</w:t>
      </w:r>
      <w:r w:rsidR="00714523" w:rsidRPr="00AF26EF">
        <w:rPr>
          <w:lang w:val="en-GB"/>
        </w:rPr>
        <w:t xml:space="preserve"> number</w:t>
      </w:r>
      <w:r w:rsidR="00DB4594" w:rsidRPr="00AF26EF">
        <w:rPr>
          <w:lang w:val="en-GB"/>
        </w:rPr>
        <w:t>s</w:t>
      </w:r>
      <w:r w:rsidR="00714523" w:rsidRPr="00AF26EF">
        <w:rPr>
          <w:lang w:val="en-GB"/>
        </w:rPr>
        <w:t xml:space="preserve"> of samples</w:t>
      </w:r>
      <w:r w:rsidR="00DB4594" w:rsidRPr="00AF26EF">
        <w:rPr>
          <w:lang w:val="en-GB"/>
        </w:rPr>
        <w:t xml:space="preserve">, </w:t>
      </w:r>
      <w:r w:rsidR="00714523" w:rsidRPr="00AF26EF">
        <w:rPr>
          <w:lang w:val="en-GB"/>
        </w:rPr>
        <w:t xml:space="preserve">typically </w:t>
      </w:r>
      <w:r w:rsidR="00DB4594" w:rsidRPr="00AF26EF">
        <w:rPr>
          <w:lang w:val="en-GB"/>
        </w:rPr>
        <w:t xml:space="preserve">less than </w:t>
      </w:r>
      <w:r w:rsidR="00714523" w:rsidRPr="00AF26EF">
        <w:rPr>
          <w:lang w:val="en-GB"/>
        </w:rPr>
        <w:t>100</w:t>
      </w:r>
      <w:r w:rsidR="00DB4594" w:rsidRPr="00AF26EF">
        <w:rPr>
          <w:lang w:val="en-GB"/>
        </w:rPr>
        <w:t xml:space="preserve"> participants, </w:t>
      </w:r>
      <w:r w:rsidR="00714523" w:rsidRPr="00AF26EF">
        <w:rPr>
          <w:lang w:val="en-GB"/>
        </w:rPr>
        <w:t xml:space="preserve">and </w:t>
      </w:r>
      <w:r w:rsidR="00DB4594" w:rsidRPr="00AF26EF">
        <w:rPr>
          <w:lang w:val="en-GB"/>
        </w:rPr>
        <w:t>are sponsored by the manufacturers</w:t>
      </w:r>
      <w:r w:rsidR="00714523" w:rsidRPr="00AF26EF">
        <w:rPr>
          <w:lang w:val="en-GB"/>
        </w:rPr>
        <w:t>.</w:t>
      </w:r>
    </w:p>
    <w:p w14:paraId="620B1000" w14:textId="0D50DE1D" w:rsidR="00746B13" w:rsidRPr="00AF26EF" w:rsidRDefault="00746B13" w:rsidP="00A547AC">
      <w:pPr>
        <w:pStyle w:val="MDPI31text"/>
        <w:rPr>
          <w:lang w:val="en-GB"/>
        </w:rPr>
      </w:pPr>
      <w:r w:rsidRPr="00AF26EF">
        <w:rPr>
          <w:lang w:val="en-GB"/>
        </w:rPr>
        <w:t xml:space="preserve">We </w:t>
      </w:r>
      <w:r w:rsidR="00714523" w:rsidRPr="00AF26EF">
        <w:rPr>
          <w:lang w:val="en-GB"/>
        </w:rPr>
        <w:t>report here a</w:t>
      </w:r>
      <w:r w:rsidR="00323783" w:rsidRPr="00AF26EF">
        <w:rPr>
          <w:lang w:val="en-GB"/>
        </w:rPr>
        <w:t>n independent</w:t>
      </w:r>
      <w:r w:rsidR="00DB4594" w:rsidRPr="00AF26EF">
        <w:rPr>
          <w:lang w:val="en-GB"/>
        </w:rPr>
        <w:t xml:space="preserve"> head</w:t>
      </w:r>
      <w:r w:rsidR="00B447A4" w:rsidRPr="00AF26EF">
        <w:rPr>
          <w:lang w:val="en-GB"/>
        </w:rPr>
        <w:t>-</w:t>
      </w:r>
      <w:r w:rsidR="00DB4594" w:rsidRPr="00AF26EF">
        <w:rPr>
          <w:lang w:val="en-GB"/>
        </w:rPr>
        <w:t>to</w:t>
      </w:r>
      <w:r w:rsidR="00B447A4" w:rsidRPr="00AF26EF">
        <w:rPr>
          <w:lang w:val="en-GB"/>
        </w:rPr>
        <w:t>-</w:t>
      </w:r>
      <w:r w:rsidR="00DB4594" w:rsidRPr="00AF26EF">
        <w:rPr>
          <w:lang w:val="en-GB"/>
        </w:rPr>
        <w:t>head</w:t>
      </w:r>
      <w:r w:rsidR="00714523" w:rsidRPr="00AF26EF">
        <w:rPr>
          <w:lang w:val="en-GB"/>
        </w:rPr>
        <w:t xml:space="preserve"> </w:t>
      </w:r>
      <w:r w:rsidRPr="00AF26EF">
        <w:rPr>
          <w:lang w:val="en-GB"/>
        </w:rPr>
        <w:t>evaluat</w:t>
      </w:r>
      <w:r w:rsidR="00714523" w:rsidRPr="00AF26EF">
        <w:rPr>
          <w:lang w:val="en-GB"/>
        </w:rPr>
        <w:t xml:space="preserve">ion of </w:t>
      </w:r>
      <w:r w:rsidRPr="00AF26EF">
        <w:rPr>
          <w:lang w:val="en-GB"/>
        </w:rPr>
        <w:t xml:space="preserve">the effectiveness of both </w:t>
      </w:r>
      <w:proofErr w:type="spellStart"/>
      <w:r w:rsidR="00DB4594" w:rsidRPr="00AF26EF">
        <w:rPr>
          <w:lang w:val="en-GB"/>
        </w:rPr>
        <w:t>Omnigene</w:t>
      </w:r>
      <w:proofErr w:type="spellEnd"/>
      <w:r w:rsidR="00DB4594" w:rsidRPr="00AF26EF">
        <w:rPr>
          <w:lang w:val="en-GB"/>
        </w:rPr>
        <w:t xml:space="preserve"> </w:t>
      </w:r>
      <w:r w:rsidRPr="00AF26EF">
        <w:rPr>
          <w:lang w:val="en-GB"/>
        </w:rPr>
        <w:t xml:space="preserve">and </w:t>
      </w:r>
      <w:proofErr w:type="spellStart"/>
      <w:r w:rsidRPr="00AF26EF">
        <w:rPr>
          <w:lang w:val="en-GB"/>
        </w:rPr>
        <w:t>P</w:t>
      </w:r>
      <w:r w:rsidR="00DB4594" w:rsidRPr="00AF26EF">
        <w:rPr>
          <w:lang w:val="en-GB"/>
        </w:rPr>
        <w:t>rimestore</w:t>
      </w:r>
      <w:proofErr w:type="spellEnd"/>
      <w:r w:rsidR="00DB4594" w:rsidRPr="00AF26EF">
        <w:rPr>
          <w:lang w:val="en-GB"/>
        </w:rPr>
        <w:t xml:space="preserve"> for GX testing conducted </w:t>
      </w:r>
      <w:r w:rsidRPr="00AF26EF">
        <w:rPr>
          <w:lang w:val="en-GB"/>
        </w:rPr>
        <w:t>in Abuja, Nigeria, under operational conditions.</w:t>
      </w:r>
    </w:p>
    <w:p w14:paraId="5D71B3A7" w14:textId="3B0AC2C9" w:rsidR="001D6ECE" w:rsidRPr="00AF26EF" w:rsidRDefault="00A547AC" w:rsidP="00A547AC">
      <w:pPr>
        <w:pStyle w:val="MDPI21heading1"/>
        <w:rPr>
          <w:lang w:val="en-GB"/>
        </w:rPr>
      </w:pPr>
      <w:r w:rsidRPr="00AF26EF">
        <w:rPr>
          <w:lang w:val="en-GB"/>
        </w:rPr>
        <w:t xml:space="preserve">2. </w:t>
      </w:r>
      <w:r w:rsidR="00362085" w:rsidRPr="00AF26EF">
        <w:rPr>
          <w:lang w:val="en-GB"/>
        </w:rPr>
        <w:t>Methods</w:t>
      </w:r>
    </w:p>
    <w:p w14:paraId="6E05FDD5" w14:textId="268F2074" w:rsidR="00752091" w:rsidRPr="00AF26EF" w:rsidRDefault="00362085" w:rsidP="00360752">
      <w:pPr>
        <w:pStyle w:val="MDPI31text"/>
        <w:rPr>
          <w:lang w:val="en-GB"/>
        </w:rPr>
      </w:pPr>
      <w:bookmarkStart w:id="13" w:name="_Hlk25586636"/>
      <w:r w:rsidRPr="00AF26EF">
        <w:rPr>
          <w:lang w:val="en-GB"/>
        </w:rPr>
        <w:t>We enrolled consecutive adult</w:t>
      </w:r>
      <w:r w:rsidR="00714523" w:rsidRPr="00AF26EF">
        <w:rPr>
          <w:lang w:val="en-GB"/>
        </w:rPr>
        <w:t>s</w:t>
      </w:r>
      <w:r w:rsidRPr="00AF26EF">
        <w:rPr>
          <w:lang w:val="en-GB"/>
        </w:rPr>
        <w:t xml:space="preserve"> </w:t>
      </w:r>
      <w:r w:rsidR="00B83A74" w:rsidRPr="00AF26EF">
        <w:rPr>
          <w:lang w:val="en-GB"/>
        </w:rPr>
        <w:t xml:space="preserve">with signs and symptoms of presumptive pulmonary TB </w:t>
      </w:r>
      <w:r w:rsidRPr="00AF26EF">
        <w:rPr>
          <w:lang w:val="en-GB"/>
        </w:rPr>
        <w:t>attending TB diagnostic clinics at district hospitals within Abuja</w:t>
      </w:r>
      <w:r w:rsidR="00B447A4" w:rsidRPr="00AF26EF">
        <w:rPr>
          <w:lang w:val="en-GB"/>
        </w:rPr>
        <w:t>, as well as</w:t>
      </w:r>
      <w:r w:rsidR="00DB4594" w:rsidRPr="00AF26EF">
        <w:rPr>
          <w:lang w:val="en-GB"/>
        </w:rPr>
        <w:t xml:space="preserve"> </w:t>
      </w:r>
      <w:r w:rsidR="00FF0AB0" w:rsidRPr="00AF26EF">
        <w:rPr>
          <w:lang w:val="en-GB"/>
        </w:rPr>
        <w:t xml:space="preserve">patients that </w:t>
      </w:r>
      <w:r w:rsidR="00DB4594" w:rsidRPr="00AF26EF">
        <w:rPr>
          <w:lang w:val="en-GB"/>
        </w:rPr>
        <w:t>had been referred to the TB clinics for diagnosis</w:t>
      </w:r>
      <w:r w:rsidR="00714523" w:rsidRPr="00AF26EF">
        <w:rPr>
          <w:lang w:val="en-GB"/>
        </w:rPr>
        <w:t xml:space="preserve">. </w:t>
      </w:r>
      <w:bookmarkEnd w:id="13"/>
      <w:r w:rsidRPr="00AF26EF">
        <w:rPr>
          <w:lang w:val="en-GB"/>
        </w:rPr>
        <w:t xml:space="preserve">Patients </w:t>
      </w:r>
      <w:r w:rsidR="00DB4594" w:rsidRPr="00AF26EF">
        <w:rPr>
          <w:lang w:val="en-GB"/>
        </w:rPr>
        <w:t xml:space="preserve">receiving </w:t>
      </w:r>
      <w:r w:rsidRPr="00AF26EF">
        <w:rPr>
          <w:lang w:val="en-GB"/>
        </w:rPr>
        <w:t xml:space="preserve">TB treatment </w:t>
      </w:r>
      <w:r w:rsidR="00714523" w:rsidRPr="00AF26EF">
        <w:rPr>
          <w:lang w:val="en-GB"/>
        </w:rPr>
        <w:t xml:space="preserve">or </w:t>
      </w:r>
      <w:r w:rsidR="00DB4594" w:rsidRPr="00AF26EF">
        <w:rPr>
          <w:lang w:val="en-GB"/>
        </w:rPr>
        <w:t xml:space="preserve">who had been </w:t>
      </w:r>
      <w:r w:rsidR="00714523" w:rsidRPr="00AF26EF">
        <w:rPr>
          <w:lang w:val="en-GB"/>
        </w:rPr>
        <w:t xml:space="preserve">treated for TB in the previous two years </w:t>
      </w:r>
      <w:r w:rsidRPr="00AF26EF">
        <w:rPr>
          <w:lang w:val="en-GB"/>
        </w:rPr>
        <w:t xml:space="preserve">were excluded. </w:t>
      </w:r>
      <w:r w:rsidR="00DB4594" w:rsidRPr="00AF26EF">
        <w:rPr>
          <w:lang w:val="en-GB"/>
        </w:rPr>
        <w:t xml:space="preserve">Participants </w:t>
      </w:r>
      <w:r w:rsidRPr="00AF26EF">
        <w:rPr>
          <w:lang w:val="en-GB"/>
        </w:rPr>
        <w:t xml:space="preserve">were asked to provide </w:t>
      </w:r>
      <w:r w:rsidR="00F960FE" w:rsidRPr="00AF26EF">
        <w:rPr>
          <w:lang w:val="en-GB"/>
        </w:rPr>
        <w:t>two</w:t>
      </w:r>
      <w:r w:rsidRPr="00AF26EF">
        <w:rPr>
          <w:lang w:val="en-GB"/>
        </w:rPr>
        <w:t xml:space="preserve"> sputum sample</w:t>
      </w:r>
      <w:r w:rsidR="00714523" w:rsidRPr="00AF26EF">
        <w:rPr>
          <w:lang w:val="en-GB"/>
        </w:rPr>
        <w:t>s</w:t>
      </w:r>
      <w:r w:rsidR="00CC1C6E" w:rsidRPr="00AF26EF">
        <w:rPr>
          <w:lang w:val="en-GB"/>
        </w:rPr>
        <w:t xml:space="preserve"> on</w:t>
      </w:r>
      <w:r w:rsidR="00333CF7" w:rsidRPr="00AF26EF">
        <w:rPr>
          <w:lang w:val="en-GB"/>
        </w:rPr>
        <w:t xml:space="preserve"> </w:t>
      </w:r>
      <w:r w:rsidR="00DB4594" w:rsidRPr="00AF26EF">
        <w:rPr>
          <w:lang w:val="en-GB"/>
        </w:rPr>
        <w:t xml:space="preserve">the day of consultation, with the first sample taken on </w:t>
      </w:r>
      <w:r w:rsidR="00333CF7" w:rsidRPr="00AF26EF">
        <w:rPr>
          <w:lang w:val="en-GB"/>
        </w:rPr>
        <w:t xml:space="preserve">the spot </w:t>
      </w:r>
      <w:r w:rsidR="00DB4594" w:rsidRPr="00AF26EF">
        <w:rPr>
          <w:lang w:val="en-GB"/>
        </w:rPr>
        <w:t xml:space="preserve">and </w:t>
      </w:r>
      <w:r w:rsidR="00333CF7" w:rsidRPr="00AF26EF">
        <w:rPr>
          <w:lang w:val="en-GB"/>
        </w:rPr>
        <w:t xml:space="preserve">the second sample approximately </w:t>
      </w:r>
      <w:r w:rsidR="00A031C9" w:rsidRPr="00AF26EF">
        <w:rPr>
          <w:lang w:val="en-GB"/>
        </w:rPr>
        <w:t>1 h</w:t>
      </w:r>
      <w:r w:rsidR="00333CF7" w:rsidRPr="00AF26EF">
        <w:rPr>
          <w:lang w:val="en-GB"/>
        </w:rPr>
        <w:t xml:space="preserve"> after the first specimen</w:t>
      </w:r>
      <w:r w:rsidR="00F07C07" w:rsidRPr="00AF26EF">
        <w:rPr>
          <w:lang w:val="en-GB"/>
        </w:rPr>
        <w:t xml:space="preserve"> </w:t>
      </w:r>
      <w:bookmarkStart w:id="14" w:name="EXISTREF10"/>
      <w:r w:rsidR="00B83A74" w:rsidRPr="00AF26EF">
        <w:rPr>
          <w:lang w:val="en-GB"/>
        </w:rPr>
        <w:t>[</w:t>
      </w:r>
      <w:r w:rsidR="00EC2DC4" w:rsidRPr="00AF26EF">
        <w:rPr>
          <w:lang w:val="en-GB"/>
        </w:rPr>
        <w:t>10</w:t>
      </w:r>
      <w:r w:rsidR="00B83A74" w:rsidRPr="00AF26EF">
        <w:rPr>
          <w:lang w:val="en-GB"/>
        </w:rPr>
        <w:t>]</w:t>
      </w:r>
      <w:bookmarkEnd w:id="14"/>
      <w:r w:rsidR="00714523" w:rsidRPr="00AF26EF">
        <w:rPr>
          <w:lang w:val="en-GB"/>
        </w:rPr>
        <w:t xml:space="preserve">. </w:t>
      </w:r>
      <w:bookmarkStart w:id="15" w:name="_Hlk25572095"/>
      <w:r w:rsidR="00714523" w:rsidRPr="00AF26EF">
        <w:rPr>
          <w:lang w:val="en-GB"/>
        </w:rPr>
        <w:t>O</w:t>
      </w:r>
      <w:r w:rsidR="0078330A" w:rsidRPr="00AF26EF">
        <w:rPr>
          <w:lang w:val="en-GB"/>
        </w:rPr>
        <w:t xml:space="preserve">ne </w:t>
      </w:r>
      <w:r w:rsidR="00714523" w:rsidRPr="00AF26EF">
        <w:rPr>
          <w:lang w:val="en-GB"/>
        </w:rPr>
        <w:t xml:space="preserve">sample </w:t>
      </w:r>
      <w:r w:rsidRPr="00AF26EF">
        <w:rPr>
          <w:lang w:val="en-GB"/>
        </w:rPr>
        <w:t xml:space="preserve">was transported </w:t>
      </w:r>
      <w:r w:rsidR="00714523" w:rsidRPr="00AF26EF">
        <w:rPr>
          <w:lang w:val="en-GB"/>
        </w:rPr>
        <w:t xml:space="preserve">in a cold box </w:t>
      </w:r>
      <w:r w:rsidR="00DB4594" w:rsidRPr="00AF26EF">
        <w:rPr>
          <w:lang w:val="en-GB"/>
        </w:rPr>
        <w:t>(</w:t>
      </w:r>
      <w:r w:rsidR="00652709" w:rsidRPr="00AF26EF">
        <w:rPr>
          <w:lang w:val="en-GB"/>
        </w:rPr>
        <w:t xml:space="preserve">called </w:t>
      </w:r>
      <w:r w:rsidR="00DB4594" w:rsidRPr="00AF26EF">
        <w:rPr>
          <w:iCs/>
          <w:lang w:val="en-GB"/>
        </w:rPr>
        <w:t>fresh sputum</w:t>
      </w:r>
      <w:r w:rsidR="00DB4594" w:rsidRPr="00AF26EF">
        <w:rPr>
          <w:lang w:val="en-GB"/>
        </w:rPr>
        <w:t xml:space="preserve">), </w:t>
      </w:r>
      <w:r w:rsidR="005E2AD1" w:rsidRPr="00AF26EF">
        <w:rPr>
          <w:lang w:val="en-GB"/>
        </w:rPr>
        <w:t xml:space="preserve">split into two equal samples after </w:t>
      </w:r>
      <w:proofErr w:type="spellStart"/>
      <w:r w:rsidR="005E2AD1" w:rsidRPr="00AF26EF">
        <w:rPr>
          <w:lang w:val="en-GB"/>
        </w:rPr>
        <w:t>vortexing</w:t>
      </w:r>
      <w:proofErr w:type="spellEnd"/>
      <w:r w:rsidR="00B447A4" w:rsidRPr="00AF26EF">
        <w:rPr>
          <w:lang w:val="en-GB"/>
        </w:rPr>
        <w:t>,</w:t>
      </w:r>
      <w:r w:rsidR="005E2AD1" w:rsidRPr="00AF26EF">
        <w:rPr>
          <w:lang w:val="en-GB"/>
        </w:rPr>
        <w:t xml:space="preserve"> </w:t>
      </w:r>
      <w:r w:rsidR="0078330A" w:rsidRPr="00AF26EF">
        <w:rPr>
          <w:lang w:val="en-GB"/>
        </w:rPr>
        <w:t xml:space="preserve">tested </w:t>
      </w:r>
      <w:r w:rsidR="00DB4594" w:rsidRPr="00AF26EF">
        <w:rPr>
          <w:lang w:val="en-GB"/>
        </w:rPr>
        <w:t>using GX</w:t>
      </w:r>
      <w:r w:rsidR="0078330A" w:rsidRPr="00AF26EF">
        <w:rPr>
          <w:lang w:val="en-GB"/>
        </w:rPr>
        <w:t xml:space="preserve"> </w:t>
      </w:r>
      <w:r w:rsidR="00DB4594" w:rsidRPr="00AF26EF">
        <w:rPr>
          <w:lang w:val="en-GB"/>
        </w:rPr>
        <w:t xml:space="preserve">within 24 h </w:t>
      </w:r>
      <w:bookmarkStart w:id="16" w:name="_Hlk25570794"/>
      <w:r w:rsidR="00DB4594" w:rsidRPr="00AF26EF">
        <w:rPr>
          <w:lang w:val="en-GB"/>
        </w:rPr>
        <w:t xml:space="preserve">and </w:t>
      </w:r>
      <w:r w:rsidR="0078330A" w:rsidRPr="00AF26EF">
        <w:rPr>
          <w:lang w:val="en-GB"/>
        </w:rPr>
        <w:t xml:space="preserve">cultured using </w:t>
      </w:r>
      <w:r w:rsidR="002E4C6B" w:rsidRPr="00AF26EF">
        <w:rPr>
          <w:lang w:val="en-GB"/>
        </w:rPr>
        <w:t>Lowenstein</w:t>
      </w:r>
      <w:r w:rsidR="00A031C9" w:rsidRPr="00AF26EF">
        <w:rPr>
          <w:lang w:val="en-GB"/>
        </w:rPr>
        <w:t>–</w:t>
      </w:r>
      <w:r w:rsidR="002E4C6B" w:rsidRPr="00AF26EF">
        <w:rPr>
          <w:lang w:val="en-GB"/>
        </w:rPr>
        <w:t xml:space="preserve">Jensen </w:t>
      </w:r>
      <w:r w:rsidR="00291565" w:rsidRPr="00AF26EF">
        <w:rPr>
          <w:lang w:val="en-GB"/>
        </w:rPr>
        <w:t xml:space="preserve">(LJ) </w:t>
      </w:r>
      <w:r w:rsidR="0078330A" w:rsidRPr="00AF26EF">
        <w:rPr>
          <w:lang w:val="en-GB"/>
        </w:rPr>
        <w:t>solid media</w:t>
      </w:r>
      <w:r w:rsidR="00305A0D" w:rsidRPr="00AF26EF">
        <w:rPr>
          <w:lang w:val="en-GB"/>
        </w:rPr>
        <w:t xml:space="preserve"> in two tubes</w:t>
      </w:r>
      <w:r w:rsidR="00C04592" w:rsidRPr="00AF26EF">
        <w:rPr>
          <w:lang w:val="en-GB"/>
        </w:rPr>
        <w:t xml:space="preserve"> at the laboratory</w:t>
      </w:r>
      <w:r w:rsidR="005E2AD1" w:rsidRPr="00AF26EF">
        <w:rPr>
          <w:lang w:val="en-GB"/>
        </w:rPr>
        <w:t>. LJ was conducted</w:t>
      </w:r>
      <w:r w:rsidR="0049517E" w:rsidRPr="00AF26EF">
        <w:rPr>
          <w:lang w:val="en-GB"/>
        </w:rPr>
        <w:t xml:space="preserve"> using</w:t>
      </w:r>
      <w:r w:rsidR="00C82D82" w:rsidRPr="00AF26EF">
        <w:rPr>
          <w:lang w:val="en-GB"/>
        </w:rPr>
        <w:t xml:space="preserve"> </w:t>
      </w:r>
      <w:r w:rsidR="00C82D82" w:rsidRPr="00AF26EF">
        <w:rPr>
          <w:rFonts w:cs="Arial"/>
          <w:color w:val="0A0A0A"/>
          <w:lang w:val="en-GB"/>
        </w:rPr>
        <w:t xml:space="preserve">the </w:t>
      </w:r>
      <w:r w:rsidR="00C82D82" w:rsidRPr="00AF26EF">
        <w:rPr>
          <w:rFonts w:cs="Arial"/>
          <w:color w:val="222222"/>
          <w:shd w:val="clear" w:color="auto" w:fill="FFFFFF"/>
          <w:lang w:val="en-GB"/>
        </w:rPr>
        <w:t>modified </w:t>
      </w:r>
      <w:r w:rsidR="00C82D82" w:rsidRPr="00AF26EF">
        <w:rPr>
          <w:rFonts w:cs="Arial"/>
          <w:bCs/>
          <w:color w:val="222222"/>
          <w:shd w:val="clear" w:color="auto" w:fill="FFFFFF"/>
          <w:lang w:val="en-GB"/>
        </w:rPr>
        <w:t>Petroff's method</w:t>
      </w:r>
      <w:r w:rsidR="0049517E" w:rsidRPr="00AF26EF">
        <w:rPr>
          <w:rFonts w:cs="Arial"/>
          <w:bCs/>
          <w:color w:val="222222"/>
          <w:shd w:val="clear" w:color="auto" w:fill="FFFFFF"/>
          <w:lang w:val="en-GB"/>
        </w:rPr>
        <w:t xml:space="preserve"> and </w:t>
      </w:r>
      <w:r w:rsidR="00B447A4" w:rsidRPr="00AF26EF">
        <w:rPr>
          <w:rFonts w:cs="Arial"/>
          <w:bCs/>
          <w:color w:val="222222"/>
          <w:shd w:val="clear" w:color="auto" w:fill="FFFFFF"/>
          <w:lang w:val="en-GB"/>
        </w:rPr>
        <w:t xml:space="preserve">an </w:t>
      </w:r>
      <w:r w:rsidR="00C82D82" w:rsidRPr="00AF26EF">
        <w:rPr>
          <w:rFonts w:cs="Arial"/>
          <w:color w:val="222222"/>
          <w:shd w:val="clear" w:color="auto" w:fill="FFFFFF"/>
          <w:lang w:val="en-GB"/>
        </w:rPr>
        <w:t xml:space="preserve">N-acetyl-L-cysteine-sodium hydroxide (NALC-NaOH) solution as </w:t>
      </w:r>
      <w:r w:rsidR="0049517E" w:rsidRPr="00AF26EF">
        <w:rPr>
          <w:rFonts w:cs="Arial"/>
          <w:color w:val="222222"/>
          <w:shd w:val="clear" w:color="auto" w:fill="FFFFFF"/>
          <w:lang w:val="en-GB"/>
        </w:rPr>
        <w:t xml:space="preserve">the </w:t>
      </w:r>
      <w:r w:rsidR="00C82D82" w:rsidRPr="00AF26EF">
        <w:rPr>
          <w:rFonts w:cs="Arial"/>
          <w:color w:val="222222"/>
          <w:shd w:val="clear" w:color="auto" w:fill="FFFFFF"/>
          <w:lang w:val="en-GB"/>
        </w:rPr>
        <w:t>digesting and decontaminating agent.</w:t>
      </w:r>
      <w:r w:rsidR="0049517E" w:rsidRPr="00AF26EF">
        <w:rPr>
          <w:rFonts w:cs="Arial"/>
          <w:color w:val="222222"/>
          <w:shd w:val="clear" w:color="auto" w:fill="FFFFFF"/>
          <w:lang w:val="en-GB"/>
        </w:rPr>
        <w:t xml:space="preserve"> </w:t>
      </w:r>
      <w:bookmarkEnd w:id="15"/>
      <w:bookmarkEnd w:id="16"/>
      <w:r w:rsidR="00305A0D" w:rsidRPr="00AF26EF">
        <w:rPr>
          <w:lang w:val="en-GB"/>
        </w:rPr>
        <w:t xml:space="preserve">The </w:t>
      </w:r>
      <w:r w:rsidR="00CF3F7F" w:rsidRPr="00AF26EF">
        <w:rPr>
          <w:lang w:val="en-GB"/>
        </w:rPr>
        <w:t xml:space="preserve">other </w:t>
      </w:r>
      <w:r w:rsidR="00305A0D" w:rsidRPr="00AF26EF">
        <w:rPr>
          <w:lang w:val="en-GB"/>
        </w:rPr>
        <w:t xml:space="preserve">sample was used for testing the </w:t>
      </w:r>
      <w:r w:rsidR="00652709" w:rsidRPr="00AF26EF">
        <w:rPr>
          <w:lang w:val="en-GB"/>
        </w:rPr>
        <w:t>samples stored in</w:t>
      </w:r>
      <w:r w:rsidR="00877329" w:rsidRPr="00AF26EF">
        <w:rPr>
          <w:lang w:val="en-GB"/>
        </w:rPr>
        <w:t xml:space="preserve"> </w:t>
      </w:r>
      <w:proofErr w:type="spellStart"/>
      <w:r w:rsidR="00DB4594" w:rsidRPr="00AF26EF">
        <w:rPr>
          <w:lang w:val="en-GB"/>
        </w:rPr>
        <w:t>Primestore</w:t>
      </w:r>
      <w:proofErr w:type="spellEnd"/>
      <w:r w:rsidR="00DB4594" w:rsidRPr="00AF26EF">
        <w:rPr>
          <w:lang w:val="en-GB"/>
        </w:rPr>
        <w:t xml:space="preserve"> </w:t>
      </w:r>
      <w:r w:rsidR="00305A0D" w:rsidRPr="00AF26EF">
        <w:rPr>
          <w:lang w:val="en-GB"/>
        </w:rPr>
        <w:t xml:space="preserve">and </w:t>
      </w:r>
      <w:proofErr w:type="spellStart"/>
      <w:r w:rsidR="00305A0D" w:rsidRPr="00AF26EF">
        <w:rPr>
          <w:lang w:val="en-GB"/>
        </w:rPr>
        <w:t>O</w:t>
      </w:r>
      <w:r w:rsidR="00DB4594" w:rsidRPr="00AF26EF">
        <w:rPr>
          <w:lang w:val="en-GB"/>
        </w:rPr>
        <w:t>mnigene</w:t>
      </w:r>
      <w:proofErr w:type="spellEnd"/>
      <w:r w:rsidR="00DB4594" w:rsidRPr="00AF26EF">
        <w:rPr>
          <w:lang w:val="en-GB"/>
        </w:rPr>
        <w:t xml:space="preserve"> solutions</w:t>
      </w:r>
      <w:r w:rsidR="00305A0D" w:rsidRPr="00AF26EF">
        <w:rPr>
          <w:lang w:val="en-GB"/>
        </w:rPr>
        <w:t xml:space="preserve">. </w:t>
      </w:r>
      <w:bookmarkStart w:id="17" w:name="_Hlk25570954"/>
      <w:bookmarkStart w:id="18" w:name="_Hlk25571650"/>
      <w:r w:rsidR="00CF3F7F" w:rsidRPr="00AF26EF">
        <w:rPr>
          <w:lang w:val="en-GB"/>
        </w:rPr>
        <w:t>The sample</w:t>
      </w:r>
      <w:r w:rsidR="002E4C6B" w:rsidRPr="00AF26EF">
        <w:rPr>
          <w:lang w:val="en-GB"/>
        </w:rPr>
        <w:t xml:space="preserve">s were not labelled as first or second and were not processed in a </w:t>
      </w:r>
      <w:proofErr w:type="gramStart"/>
      <w:r w:rsidR="002E4C6B" w:rsidRPr="00AF26EF">
        <w:rPr>
          <w:lang w:val="en-GB"/>
        </w:rPr>
        <w:t>particular order</w:t>
      </w:r>
      <w:proofErr w:type="gramEnd"/>
      <w:r w:rsidR="00680D6C" w:rsidRPr="00AF26EF">
        <w:rPr>
          <w:lang w:val="en-GB"/>
        </w:rPr>
        <w:t>,</w:t>
      </w:r>
      <w:r w:rsidR="003F5C0B" w:rsidRPr="00AF26EF">
        <w:rPr>
          <w:lang w:val="en-GB"/>
        </w:rPr>
        <w:t xml:space="preserve"> to minimise potential differences in bacterial loads</w:t>
      </w:r>
      <w:r w:rsidR="00680D6C" w:rsidRPr="00AF26EF">
        <w:rPr>
          <w:lang w:val="en-GB"/>
        </w:rPr>
        <w:t>. However,</w:t>
      </w:r>
      <w:r w:rsidR="003F5C0B" w:rsidRPr="00AF26EF">
        <w:rPr>
          <w:lang w:val="en-GB"/>
        </w:rPr>
        <w:t xml:space="preserve"> we did </w:t>
      </w:r>
      <w:r w:rsidR="003F5C0B" w:rsidRPr="00AF26EF">
        <w:rPr>
          <w:lang w:val="en-GB"/>
        </w:rPr>
        <w:lastRenderedPageBreak/>
        <w:t xml:space="preserve">not </w:t>
      </w:r>
      <w:r w:rsidR="003F5C0B" w:rsidRPr="00AF26EF">
        <w:rPr>
          <w:rFonts w:cs="Arial"/>
          <w:color w:val="0A0A0A"/>
          <w:lang w:val="en-GB"/>
        </w:rPr>
        <w:t>assess the bacterial load distribution</w:t>
      </w:r>
      <w:r w:rsidR="003F5C0B" w:rsidRPr="00AF26EF">
        <w:rPr>
          <w:lang w:val="en-GB"/>
        </w:rPr>
        <w:t xml:space="preserve"> in the two sputum cups</w:t>
      </w:r>
      <w:r w:rsidR="002E4C6B" w:rsidRPr="00AF26EF">
        <w:rPr>
          <w:lang w:val="en-GB"/>
        </w:rPr>
        <w:t>.</w:t>
      </w:r>
      <w:bookmarkEnd w:id="17"/>
      <w:r w:rsidR="00CF3F7F" w:rsidRPr="00AF26EF">
        <w:rPr>
          <w:lang w:val="en-GB"/>
        </w:rPr>
        <w:t xml:space="preserve"> </w:t>
      </w:r>
      <w:bookmarkEnd w:id="18"/>
      <w:r w:rsidR="00305A0D" w:rsidRPr="00AF26EF">
        <w:rPr>
          <w:lang w:val="en-GB"/>
        </w:rPr>
        <w:t xml:space="preserve">For </w:t>
      </w:r>
      <w:proofErr w:type="spellStart"/>
      <w:r w:rsidR="004C1480" w:rsidRPr="00AF26EF">
        <w:rPr>
          <w:lang w:val="en-GB"/>
        </w:rPr>
        <w:t>P</w:t>
      </w:r>
      <w:r w:rsidR="00DB4594" w:rsidRPr="00AF26EF">
        <w:rPr>
          <w:lang w:val="en-GB"/>
        </w:rPr>
        <w:t>rimestore</w:t>
      </w:r>
      <w:proofErr w:type="spellEnd"/>
      <w:r w:rsidR="004C1480" w:rsidRPr="00AF26EF">
        <w:rPr>
          <w:lang w:val="en-GB"/>
        </w:rPr>
        <w:t xml:space="preserve">, </w:t>
      </w:r>
      <w:r w:rsidR="00305A0D" w:rsidRPr="00AF26EF">
        <w:rPr>
          <w:lang w:val="en-GB"/>
        </w:rPr>
        <w:t xml:space="preserve">a </w:t>
      </w:r>
      <w:r w:rsidR="00DB4594" w:rsidRPr="00AF26EF">
        <w:rPr>
          <w:lang w:val="en-GB"/>
        </w:rPr>
        <w:t xml:space="preserve">swab </w:t>
      </w:r>
      <w:r w:rsidR="00D100F2" w:rsidRPr="00AF26EF">
        <w:rPr>
          <w:lang w:val="en-GB"/>
        </w:rPr>
        <w:t xml:space="preserve">was swirled </w:t>
      </w:r>
      <w:r w:rsidR="00E2154C" w:rsidRPr="00AF26EF">
        <w:rPr>
          <w:lang w:val="en-GB"/>
        </w:rPr>
        <w:t>five times</w:t>
      </w:r>
      <w:r w:rsidR="004C1480" w:rsidRPr="00AF26EF">
        <w:rPr>
          <w:lang w:val="en-GB"/>
        </w:rPr>
        <w:t xml:space="preserve"> through the </w:t>
      </w:r>
      <w:r w:rsidR="00762D44" w:rsidRPr="00AF26EF">
        <w:rPr>
          <w:lang w:val="en-GB"/>
        </w:rPr>
        <w:t xml:space="preserve">sputum </w:t>
      </w:r>
      <w:r w:rsidR="003A2E0C" w:rsidRPr="00AF26EF">
        <w:rPr>
          <w:lang w:val="en-GB"/>
        </w:rPr>
        <w:t>sample</w:t>
      </w:r>
      <w:r w:rsidR="00680D6C" w:rsidRPr="00AF26EF">
        <w:rPr>
          <w:lang w:val="en-GB"/>
        </w:rPr>
        <w:t>,</w:t>
      </w:r>
      <w:r w:rsidR="00E02C6F" w:rsidRPr="00AF26EF">
        <w:rPr>
          <w:lang w:val="en-GB"/>
        </w:rPr>
        <w:t xml:space="preserve"> </w:t>
      </w:r>
      <w:r w:rsidR="00E02C6F" w:rsidRPr="00AF26EF">
        <w:rPr>
          <w:bCs/>
          <w:lang w:val="en-GB"/>
        </w:rPr>
        <w:t>collecting between 0.1</w:t>
      </w:r>
      <w:r w:rsidR="00680D6C" w:rsidRPr="00AF26EF">
        <w:rPr>
          <w:bCs/>
          <w:lang w:val="en-GB"/>
        </w:rPr>
        <w:t xml:space="preserve"> and 0</w:t>
      </w:r>
      <w:r w:rsidR="00E02C6F" w:rsidRPr="00AF26EF">
        <w:rPr>
          <w:bCs/>
          <w:lang w:val="en-GB"/>
        </w:rPr>
        <w:t>.2</w:t>
      </w:r>
      <w:r w:rsidR="009B60FE" w:rsidRPr="00AF26EF">
        <w:rPr>
          <w:bCs/>
          <w:lang w:val="en-GB"/>
        </w:rPr>
        <w:t xml:space="preserve"> </w:t>
      </w:r>
      <w:r w:rsidR="00E02C6F" w:rsidRPr="00AF26EF">
        <w:rPr>
          <w:bCs/>
          <w:lang w:val="en-GB"/>
        </w:rPr>
        <w:t>m</w:t>
      </w:r>
      <w:r w:rsidR="004E1E07" w:rsidRPr="00AF26EF">
        <w:rPr>
          <w:bCs/>
          <w:lang w:val="en-GB"/>
        </w:rPr>
        <w:t>L</w:t>
      </w:r>
      <w:r w:rsidR="00E02C6F" w:rsidRPr="00AF26EF">
        <w:rPr>
          <w:bCs/>
          <w:lang w:val="en-GB"/>
        </w:rPr>
        <w:t xml:space="preserve"> of sputum</w:t>
      </w:r>
      <w:r w:rsidR="00A031C9" w:rsidRPr="00AF26EF">
        <w:rPr>
          <w:lang w:val="en-GB"/>
        </w:rPr>
        <w:t>;</w:t>
      </w:r>
      <w:r w:rsidR="004C1480" w:rsidRPr="00AF26EF">
        <w:rPr>
          <w:lang w:val="en-GB"/>
        </w:rPr>
        <w:t xml:space="preserve"> </w:t>
      </w:r>
      <w:r w:rsidR="00254A7F" w:rsidRPr="00AF26EF">
        <w:rPr>
          <w:lang w:val="en-GB"/>
        </w:rPr>
        <w:t>plac</w:t>
      </w:r>
      <w:r w:rsidR="00D100F2" w:rsidRPr="00AF26EF">
        <w:rPr>
          <w:lang w:val="en-GB"/>
        </w:rPr>
        <w:t>ed</w:t>
      </w:r>
      <w:r w:rsidR="00762D44" w:rsidRPr="00AF26EF">
        <w:rPr>
          <w:lang w:val="en-GB"/>
        </w:rPr>
        <w:t xml:space="preserve"> </w:t>
      </w:r>
      <w:r w:rsidR="004C1480" w:rsidRPr="00AF26EF">
        <w:rPr>
          <w:lang w:val="en-GB"/>
        </w:rPr>
        <w:t xml:space="preserve">in </w:t>
      </w:r>
      <w:r w:rsidR="00E2154C" w:rsidRPr="00AF26EF">
        <w:rPr>
          <w:lang w:val="en-GB"/>
        </w:rPr>
        <w:t xml:space="preserve">the </w:t>
      </w:r>
      <w:proofErr w:type="spellStart"/>
      <w:r w:rsidR="00762D44" w:rsidRPr="00AF26EF">
        <w:rPr>
          <w:lang w:val="en-GB"/>
        </w:rPr>
        <w:t>Primestore</w:t>
      </w:r>
      <w:proofErr w:type="spellEnd"/>
      <w:r w:rsidR="00762D44" w:rsidRPr="00AF26EF">
        <w:rPr>
          <w:lang w:val="en-GB"/>
        </w:rPr>
        <w:t xml:space="preserve"> </w:t>
      </w:r>
      <w:r w:rsidR="00E2154C" w:rsidRPr="00AF26EF">
        <w:rPr>
          <w:lang w:val="en-GB"/>
        </w:rPr>
        <w:t>collection tube</w:t>
      </w:r>
      <w:r w:rsidR="00A031C9" w:rsidRPr="00AF26EF">
        <w:rPr>
          <w:lang w:val="en-GB"/>
        </w:rPr>
        <w:t>;</w:t>
      </w:r>
      <w:r w:rsidR="006471A3" w:rsidRPr="00AF26EF">
        <w:rPr>
          <w:lang w:val="en-GB"/>
        </w:rPr>
        <w:t xml:space="preserve"> and vortexed to mix the liquid with the sputum. </w:t>
      </w:r>
      <w:r w:rsidR="00762D44" w:rsidRPr="00AF26EF">
        <w:rPr>
          <w:lang w:val="en-GB"/>
        </w:rPr>
        <w:t xml:space="preserve">For </w:t>
      </w:r>
      <w:proofErr w:type="spellStart"/>
      <w:r w:rsidR="00762D44" w:rsidRPr="00AF26EF">
        <w:rPr>
          <w:lang w:val="en-GB"/>
        </w:rPr>
        <w:t>Omnigene</w:t>
      </w:r>
      <w:proofErr w:type="spellEnd"/>
      <w:r w:rsidR="00D100F2" w:rsidRPr="00AF26EF">
        <w:rPr>
          <w:lang w:val="en-GB"/>
        </w:rPr>
        <w:t>,</w:t>
      </w:r>
      <w:r w:rsidR="00762D44" w:rsidRPr="00AF26EF">
        <w:rPr>
          <w:lang w:val="en-GB"/>
        </w:rPr>
        <w:t xml:space="preserve"> a</w:t>
      </w:r>
      <w:r w:rsidR="004C1480" w:rsidRPr="00AF26EF">
        <w:rPr>
          <w:lang w:val="en-GB"/>
        </w:rPr>
        <w:t xml:space="preserve">n equal volume of </w:t>
      </w:r>
      <w:r w:rsidR="003A2E0C" w:rsidRPr="00AF26EF">
        <w:rPr>
          <w:lang w:val="en-GB"/>
        </w:rPr>
        <w:t>the</w:t>
      </w:r>
      <w:r w:rsidR="00762D44" w:rsidRPr="00AF26EF">
        <w:rPr>
          <w:lang w:val="en-GB"/>
        </w:rPr>
        <w:t xml:space="preserve"> </w:t>
      </w:r>
      <w:proofErr w:type="spellStart"/>
      <w:r w:rsidR="002E4C6B" w:rsidRPr="00AF26EF">
        <w:rPr>
          <w:lang w:val="en-GB"/>
        </w:rPr>
        <w:t>Omnigene</w:t>
      </w:r>
      <w:proofErr w:type="spellEnd"/>
      <w:r w:rsidR="002E4C6B" w:rsidRPr="00AF26EF">
        <w:rPr>
          <w:lang w:val="en-GB"/>
        </w:rPr>
        <w:t xml:space="preserve"> kit </w:t>
      </w:r>
      <w:r w:rsidR="00762D44" w:rsidRPr="00AF26EF">
        <w:rPr>
          <w:lang w:val="en-GB"/>
        </w:rPr>
        <w:t xml:space="preserve">solution </w:t>
      </w:r>
      <w:r w:rsidR="004C1480" w:rsidRPr="00AF26EF">
        <w:rPr>
          <w:lang w:val="en-GB"/>
        </w:rPr>
        <w:t xml:space="preserve">was added to the </w:t>
      </w:r>
      <w:r w:rsidR="000277EA" w:rsidRPr="00AF26EF">
        <w:rPr>
          <w:lang w:val="en-GB"/>
        </w:rPr>
        <w:t>rema</w:t>
      </w:r>
      <w:r w:rsidR="00652709" w:rsidRPr="00AF26EF">
        <w:rPr>
          <w:lang w:val="en-GB"/>
        </w:rPr>
        <w:t>i</w:t>
      </w:r>
      <w:r w:rsidR="000277EA" w:rsidRPr="00AF26EF">
        <w:rPr>
          <w:lang w:val="en-GB"/>
        </w:rPr>
        <w:t>nder of the s</w:t>
      </w:r>
      <w:r w:rsidR="00305A0D" w:rsidRPr="00AF26EF">
        <w:rPr>
          <w:lang w:val="en-GB"/>
        </w:rPr>
        <w:t xml:space="preserve">putum </w:t>
      </w:r>
      <w:r w:rsidR="004C1480" w:rsidRPr="00AF26EF">
        <w:rPr>
          <w:lang w:val="en-GB"/>
        </w:rPr>
        <w:t>sample</w:t>
      </w:r>
      <w:r w:rsidR="00762D44" w:rsidRPr="00AF26EF">
        <w:rPr>
          <w:lang w:val="en-GB"/>
        </w:rPr>
        <w:t>. B</w:t>
      </w:r>
      <w:r w:rsidR="004C1480" w:rsidRPr="00AF26EF">
        <w:rPr>
          <w:lang w:val="en-GB"/>
        </w:rPr>
        <w:t xml:space="preserve">oth </w:t>
      </w:r>
      <w:r w:rsidR="00762D44" w:rsidRPr="00AF26EF">
        <w:rPr>
          <w:lang w:val="en-GB"/>
        </w:rPr>
        <w:t xml:space="preserve">samples </w:t>
      </w:r>
      <w:r w:rsidR="004C1480" w:rsidRPr="00AF26EF">
        <w:rPr>
          <w:lang w:val="en-GB"/>
        </w:rPr>
        <w:t xml:space="preserve">were </w:t>
      </w:r>
      <w:r w:rsidR="00762D44" w:rsidRPr="00AF26EF">
        <w:rPr>
          <w:lang w:val="en-GB"/>
        </w:rPr>
        <w:t xml:space="preserve">then </w:t>
      </w:r>
      <w:r w:rsidR="004C1480" w:rsidRPr="00AF26EF">
        <w:rPr>
          <w:lang w:val="en-GB"/>
        </w:rPr>
        <w:t xml:space="preserve">transferred to </w:t>
      </w:r>
      <w:proofErr w:type="spellStart"/>
      <w:r w:rsidR="004C1480" w:rsidRPr="00AF26EF">
        <w:rPr>
          <w:lang w:val="en-GB"/>
        </w:rPr>
        <w:t>Zankli</w:t>
      </w:r>
      <w:proofErr w:type="spellEnd"/>
      <w:r w:rsidR="004C1480" w:rsidRPr="00AF26EF">
        <w:rPr>
          <w:lang w:val="en-GB"/>
        </w:rPr>
        <w:t xml:space="preserve"> </w:t>
      </w:r>
      <w:r w:rsidR="00756688" w:rsidRPr="00AF26EF">
        <w:rPr>
          <w:lang w:val="en-GB"/>
        </w:rPr>
        <w:t>Research</w:t>
      </w:r>
      <w:r w:rsidR="004C1480" w:rsidRPr="00AF26EF">
        <w:rPr>
          <w:lang w:val="en-GB"/>
        </w:rPr>
        <w:t xml:space="preserve"> </w:t>
      </w:r>
      <w:r w:rsidR="00CC1C6E" w:rsidRPr="00AF26EF">
        <w:rPr>
          <w:lang w:val="en-GB"/>
        </w:rPr>
        <w:t>Centre</w:t>
      </w:r>
      <w:r w:rsidR="00762D44" w:rsidRPr="00AF26EF">
        <w:rPr>
          <w:lang w:val="en-GB"/>
        </w:rPr>
        <w:t>, Bingham University</w:t>
      </w:r>
      <w:r w:rsidR="003A2E0C" w:rsidRPr="00AF26EF">
        <w:rPr>
          <w:lang w:val="en-GB"/>
        </w:rPr>
        <w:t>,</w:t>
      </w:r>
      <w:r w:rsidR="004C1480" w:rsidRPr="00AF26EF">
        <w:rPr>
          <w:lang w:val="en-GB"/>
        </w:rPr>
        <w:t xml:space="preserve"> without </w:t>
      </w:r>
      <w:r w:rsidR="00305A0D" w:rsidRPr="00AF26EF">
        <w:rPr>
          <w:lang w:val="en-GB"/>
        </w:rPr>
        <w:t>refrigeration</w:t>
      </w:r>
      <w:r w:rsidR="009B60FE" w:rsidRPr="00AF26EF">
        <w:rPr>
          <w:lang w:val="en-GB"/>
        </w:rPr>
        <w:t>,</w:t>
      </w:r>
      <w:r w:rsidR="00305A0D" w:rsidRPr="00AF26EF">
        <w:rPr>
          <w:lang w:val="en-GB"/>
        </w:rPr>
        <w:t xml:space="preserve"> and</w:t>
      </w:r>
      <w:r w:rsidR="004C1480" w:rsidRPr="00AF26EF">
        <w:rPr>
          <w:lang w:val="en-GB"/>
        </w:rPr>
        <w:t xml:space="preserve"> stored </w:t>
      </w:r>
      <w:r w:rsidR="00762D44" w:rsidRPr="00AF26EF">
        <w:rPr>
          <w:lang w:val="en-GB"/>
        </w:rPr>
        <w:t>for seven days in a</w:t>
      </w:r>
      <w:r w:rsidR="004C1480" w:rsidRPr="00AF26EF">
        <w:rPr>
          <w:lang w:val="en-GB"/>
        </w:rPr>
        <w:t xml:space="preserve"> room </w:t>
      </w:r>
      <w:r w:rsidR="00762D44" w:rsidRPr="00AF26EF">
        <w:rPr>
          <w:lang w:val="en-GB"/>
        </w:rPr>
        <w:t xml:space="preserve">without air conditioning and </w:t>
      </w:r>
      <w:r w:rsidR="003A2E0C" w:rsidRPr="00AF26EF">
        <w:rPr>
          <w:lang w:val="en-GB"/>
        </w:rPr>
        <w:t xml:space="preserve">maximum </w:t>
      </w:r>
      <w:r w:rsidR="00762D44" w:rsidRPr="00AF26EF">
        <w:rPr>
          <w:lang w:val="en-GB"/>
        </w:rPr>
        <w:t>temperature</w:t>
      </w:r>
      <w:r w:rsidR="00652709" w:rsidRPr="00AF26EF">
        <w:rPr>
          <w:lang w:val="en-GB"/>
        </w:rPr>
        <w:t>s ranging from</w:t>
      </w:r>
      <w:r w:rsidR="00762D44" w:rsidRPr="00AF26EF">
        <w:rPr>
          <w:lang w:val="en-GB"/>
        </w:rPr>
        <w:t xml:space="preserve"> </w:t>
      </w:r>
      <w:r w:rsidR="00D63E01" w:rsidRPr="00AF26EF">
        <w:rPr>
          <w:lang w:val="en-GB"/>
        </w:rPr>
        <w:t xml:space="preserve">30 </w:t>
      </w:r>
      <w:r w:rsidR="00762D44" w:rsidRPr="00AF26EF">
        <w:rPr>
          <w:lang w:val="en-GB"/>
        </w:rPr>
        <w:t>to</w:t>
      </w:r>
      <w:r w:rsidR="00D63E01" w:rsidRPr="00AF26EF">
        <w:rPr>
          <w:lang w:val="en-GB"/>
        </w:rPr>
        <w:t xml:space="preserve"> 37</w:t>
      </w:r>
      <w:r w:rsidR="00680D6C" w:rsidRPr="00AF26EF">
        <w:rPr>
          <w:lang w:val="en-GB"/>
        </w:rPr>
        <w:t xml:space="preserve"> </w:t>
      </w:r>
      <w:r w:rsidR="00964A0F" w:rsidRPr="00AF26EF">
        <w:rPr>
          <w:lang w:val="en-GB"/>
        </w:rPr>
        <w:t>°</w:t>
      </w:r>
      <w:r w:rsidR="00D63E01" w:rsidRPr="00AF26EF">
        <w:rPr>
          <w:lang w:val="en-GB"/>
        </w:rPr>
        <w:t>C</w:t>
      </w:r>
      <w:r w:rsidR="005B4059" w:rsidRPr="00AF26EF">
        <w:rPr>
          <w:lang w:val="en-GB"/>
        </w:rPr>
        <w:t>,</w:t>
      </w:r>
      <w:r w:rsidR="002E4C6B" w:rsidRPr="00AF26EF">
        <w:rPr>
          <w:lang w:val="en-GB"/>
        </w:rPr>
        <w:t xml:space="preserve"> to mimic the circumstances of field storage and transportation</w:t>
      </w:r>
      <w:r w:rsidR="00881714" w:rsidRPr="00AF26EF">
        <w:rPr>
          <w:lang w:val="en-GB"/>
        </w:rPr>
        <w:t xml:space="preserve">. </w:t>
      </w:r>
      <w:r w:rsidR="00762D44" w:rsidRPr="00AF26EF">
        <w:rPr>
          <w:lang w:val="en-GB"/>
        </w:rPr>
        <w:t xml:space="preserve">After seven days, </w:t>
      </w:r>
      <w:r w:rsidR="00FF171B" w:rsidRPr="00AF26EF">
        <w:rPr>
          <w:lang w:val="en-GB"/>
        </w:rPr>
        <w:t xml:space="preserve">the </w:t>
      </w:r>
      <w:proofErr w:type="spellStart"/>
      <w:r w:rsidR="00FF171B" w:rsidRPr="00AF26EF">
        <w:rPr>
          <w:lang w:val="en-GB"/>
        </w:rPr>
        <w:t>Omnigene</w:t>
      </w:r>
      <w:proofErr w:type="spellEnd"/>
      <w:r w:rsidR="00FF171B" w:rsidRPr="00AF26EF">
        <w:rPr>
          <w:lang w:val="en-GB"/>
        </w:rPr>
        <w:t>-stored samples were transferred from the cup to a conical tube</w:t>
      </w:r>
      <w:r w:rsidR="005B4059" w:rsidRPr="00AF26EF">
        <w:rPr>
          <w:lang w:val="en-GB"/>
        </w:rPr>
        <w:t>,</w:t>
      </w:r>
      <w:r w:rsidR="00FF171B" w:rsidRPr="00AF26EF">
        <w:rPr>
          <w:lang w:val="en-GB"/>
        </w:rPr>
        <w:t xml:space="preserve"> vortexed </w:t>
      </w:r>
      <w:r w:rsidR="005B4059" w:rsidRPr="00AF26EF">
        <w:rPr>
          <w:lang w:val="en-GB"/>
        </w:rPr>
        <w:t>in order to become</w:t>
      </w:r>
      <w:r w:rsidR="00FF171B" w:rsidRPr="00AF26EF">
        <w:rPr>
          <w:lang w:val="en-GB"/>
        </w:rPr>
        <w:t xml:space="preserve"> fully liquid</w:t>
      </w:r>
      <w:r w:rsidR="005B4059" w:rsidRPr="00AF26EF">
        <w:rPr>
          <w:lang w:val="en-GB"/>
        </w:rPr>
        <w:t xml:space="preserve"> and</w:t>
      </w:r>
      <w:r w:rsidR="00FF171B" w:rsidRPr="00AF26EF">
        <w:rPr>
          <w:lang w:val="en-GB"/>
        </w:rPr>
        <w:t xml:space="preserve"> centrifuged at 3800g for 20</w:t>
      </w:r>
      <w:r w:rsidR="005B4059" w:rsidRPr="00AF26EF">
        <w:rPr>
          <w:lang w:val="en-GB"/>
        </w:rPr>
        <w:t xml:space="preserve"> </w:t>
      </w:r>
      <w:r w:rsidR="00FF171B" w:rsidRPr="00AF26EF">
        <w:rPr>
          <w:lang w:val="en-GB"/>
        </w:rPr>
        <w:t>min</w:t>
      </w:r>
      <w:r w:rsidR="005B4059" w:rsidRPr="00AF26EF">
        <w:rPr>
          <w:lang w:val="en-GB"/>
        </w:rPr>
        <w:t>.</w:t>
      </w:r>
      <w:r w:rsidR="00FF171B" w:rsidRPr="00AF26EF">
        <w:rPr>
          <w:lang w:val="en-GB"/>
        </w:rPr>
        <w:t xml:space="preserve"> </w:t>
      </w:r>
      <w:r w:rsidR="005B4059" w:rsidRPr="00AF26EF">
        <w:rPr>
          <w:lang w:val="en-GB"/>
        </w:rPr>
        <w:t>T</w:t>
      </w:r>
      <w:r w:rsidR="00FF171B" w:rsidRPr="00AF26EF">
        <w:rPr>
          <w:lang w:val="en-GB"/>
        </w:rPr>
        <w:t>he supernatant was gently poured off without disturbing the sediment</w:t>
      </w:r>
      <w:r w:rsidR="005B4059" w:rsidRPr="00AF26EF">
        <w:rPr>
          <w:lang w:val="en-GB"/>
        </w:rPr>
        <w:t xml:space="preserve">, which </w:t>
      </w:r>
      <w:r w:rsidR="00FF171B" w:rsidRPr="00AF26EF">
        <w:rPr>
          <w:lang w:val="en-GB"/>
        </w:rPr>
        <w:t>was the</w:t>
      </w:r>
      <w:r w:rsidR="000277EA" w:rsidRPr="00AF26EF">
        <w:rPr>
          <w:lang w:val="en-GB"/>
        </w:rPr>
        <w:t>n</w:t>
      </w:r>
      <w:r w:rsidR="00FF171B" w:rsidRPr="00AF26EF">
        <w:rPr>
          <w:lang w:val="en-GB"/>
        </w:rPr>
        <w:t xml:space="preserve"> resuspended in sterile </w:t>
      </w:r>
      <w:r w:rsidR="00586B79" w:rsidRPr="00AF26EF">
        <w:rPr>
          <w:lang w:val="en-GB"/>
        </w:rPr>
        <w:t>Phosphate Buffered Saline</w:t>
      </w:r>
      <w:r w:rsidR="00586B79" w:rsidRPr="00AF26EF" w:rsidDel="00586B79">
        <w:rPr>
          <w:lang w:val="en-GB"/>
        </w:rPr>
        <w:t xml:space="preserve"> </w:t>
      </w:r>
      <w:r w:rsidR="00FF171B" w:rsidRPr="00AF26EF">
        <w:rPr>
          <w:lang w:val="en-GB"/>
        </w:rPr>
        <w:t xml:space="preserve">for </w:t>
      </w:r>
      <w:proofErr w:type="spellStart"/>
      <w:r w:rsidR="00FF171B" w:rsidRPr="00AF26EF">
        <w:rPr>
          <w:lang w:val="en-GB"/>
        </w:rPr>
        <w:t>Xpert</w:t>
      </w:r>
      <w:proofErr w:type="spellEnd"/>
      <w:r w:rsidR="00FF171B" w:rsidRPr="00AF26EF">
        <w:rPr>
          <w:lang w:val="en-GB"/>
        </w:rPr>
        <w:t xml:space="preserve"> testing. For </w:t>
      </w:r>
      <w:proofErr w:type="spellStart"/>
      <w:r w:rsidR="00FF171B" w:rsidRPr="00AF26EF">
        <w:rPr>
          <w:lang w:val="en-GB"/>
        </w:rPr>
        <w:t>Primestore</w:t>
      </w:r>
      <w:proofErr w:type="spellEnd"/>
      <w:r w:rsidR="00FF171B" w:rsidRPr="00AF26EF">
        <w:rPr>
          <w:lang w:val="en-GB"/>
        </w:rPr>
        <w:t>, we transferred 0.7</w:t>
      </w:r>
      <w:r w:rsidR="005B4059" w:rsidRPr="00AF26EF">
        <w:rPr>
          <w:lang w:val="en-GB"/>
        </w:rPr>
        <w:t xml:space="preserve"> </w:t>
      </w:r>
      <w:r w:rsidR="00FF171B" w:rsidRPr="00AF26EF">
        <w:rPr>
          <w:lang w:val="en-GB"/>
        </w:rPr>
        <w:t xml:space="preserve">mL of the "blend" of </w:t>
      </w:r>
      <w:proofErr w:type="spellStart"/>
      <w:r w:rsidR="00FF171B" w:rsidRPr="00AF26EF">
        <w:rPr>
          <w:lang w:val="en-GB"/>
        </w:rPr>
        <w:t>PrimeStore</w:t>
      </w:r>
      <w:proofErr w:type="spellEnd"/>
      <w:r w:rsidR="00FF171B" w:rsidRPr="00AF26EF">
        <w:rPr>
          <w:lang w:val="en-GB"/>
        </w:rPr>
        <w:t xml:space="preserve"> and sputum into 1.4 mL of the </w:t>
      </w:r>
      <w:proofErr w:type="spellStart"/>
      <w:r w:rsidR="00FF171B" w:rsidRPr="00AF26EF">
        <w:rPr>
          <w:lang w:val="en-GB"/>
        </w:rPr>
        <w:t>Xpert</w:t>
      </w:r>
      <w:proofErr w:type="spellEnd"/>
      <w:r w:rsidR="00FF171B" w:rsidRPr="00AF26EF">
        <w:rPr>
          <w:lang w:val="en-GB"/>
        </w:rPr>
        <w:t xml:space="preserve"> reagent</w:t>
      </w:r>
      <w:r w:rsidR="006471A3" w:rsidRPr="00AF26EF">
        <w:rPr>
          <w:lang w:val="en-GB"/>
        </w:rPr>
        <w:t xml:space="preserve"> and t</w:t>
      </w:r>
      <w:r w:rsidR="00FF171B" w:rsidRPr="00AF26EF">
        <w:rPr>
          <w:lang w:val="en-GB"/>
        </w:rPr>
        <w:t>ransfer</w:t>
      </w:r>
      <w:r w:rsidR="006471A3" w:rsidRPr="00AF26EF">
        <w:rPr>
          <w:lang w:val="en-GB"/>
        </w:rPr>
        <w:t>red the</w:t>
      </w:r>
      <w:r w:rsidR="00FF171B" w:rsidRPr="00AF26EF">
        <w:rPr>
          <w:lang w:val="en-GB"/>
        </w:rPr>
        <w:t xml:space="preserve"> total 2.1</w:t>
      </w:r>
      <w:r w:rsidR="006471A3" w:rsidRPr="00AF26EF">
        <w:rPr>
          <w:lang w:val="en-GB"/>
        </w:rPr>
        <w:t xml:space="preserve"> </w:t>
      </w:r>
      <w:r w:rsidR="00FF171B" w:rsidRPr="00AF26EF">
        <w:rPr>
          <w:lang w:val="en-GB"/>
        </w:rPr>
        <w:t xml:space="preserve">mL volume into the </w:t>
      </w:r>
      <w:proofErr w:type="spellStart"/>
      <w:r w:rsidR="00FF171B" w:rsidRPr="00AF26EF">
        <w:rPr>
          <w:lang w:val="en-GB"/>
        </w:rPr>
        <w:t>Xpert</w:t>
      </w:r>
      <w:proofErr w:type="spellEnd"/>
      <w:r w:rsidR="00FF171B" w:rsidRPr="00AF26EF">
        <w:rPr>
          <w:lang w:val="en-GB"/>
        </w:rPr>
        <w:t xml:space="preserve"> cartridges</w:t>
      </w:r>
      <w:r w:rsidR="006471A3" w:rsidRPr="00AF26EF">
        <w:rPr>
          <w:lang w:val="en-GB"/>
        </w:rPr>
        <w:t>. B</w:t>
      </w:r>
      <w:r w:rsidR="00762D44" w:rsidRPr="00AF26EF">
        <w:rPr>
          <w:lang w:val="en-GB"/>
        </w:rPr>
        <w:t>oth</w:t>
      </w:r>
      <w:r w:rsidR="00881714" w:rsidRPr="00AF26EF">
        <w:rPr>
          <w:lang w:val="en-GB"/>
        </w:rPr>
        <w:t xml:space="preserve"> samples were </w:t>
      </w:r>
      <w:r w:rsidR="006471A3" w:rsidRPr="00AF26EF">
        <w:rPr>
          <w:lang w:val="en-GB"/>
        </w:rPr>
        <w:t xml:space="preserve">then </w:t>
      </w:r>
      <w:r w:rsidR="00881714" w:rsidRPr="00AF26EF">
        <w:rPr>
          <w:lang w:val="en-GB"/>
        </w:rPr>
        <w:t xml:space="preserve">tested with </w:t>
      </w:r>
      <w:r w:rsidR="00762D44" w:rsidRPr="00AF26EF">
        <w:rPr>
          <w:lang w:val="en-GB"/>
        </w:rPr>
        <w:t>GX</w:t>
      </w:r>
      <w:r w:rsidR="00881714" w:rsidRPr="00AF26EF">
        <w:rPr>
          <w:lang w:val="en-GB"/>
        </w:rPr>
        <w:t xml:space="preserve"> </w:t>
      </w:r>
      <w:r w:rsidR="00752091" w:rsidRPr="00AF26EF">
        <w:rPr>
          <w:lang w:val="en-GB"/>
        </w:rPr>
        <w:t xml:space="preserve">and </w:t>
      </w:r>
      <w:r w:rsidR="00762D44" w:rsidRPr="00AF26EF">
        <w:rPr>
          <w:lang w:val="en-GB"/>
        </w:rPr>
        <w:t xml:space="preserve">compared </w:t>
      </w:r>
      <w:r w:rsidR="00A31530" w:rsidRPr="00AF26EF">
        <w:rPr>
          <w:lang w:val="en-GB"/>
        </w:rPr>
        <w:t xml:space="preserve">with </w:t>
      </w:r>
      <w:r w:rsidR="00762D44" w:rsidRPr="00AF26EF">
        <w:rPr>
          <w:lang w:val="en-GB"/>
        </w:rPr>
        <w:t xml:space="preserve">the </w:t>
      </w:r>
      <w:r w:rsidR="00316FBA" w:rsidRPr="00AF26EF">
        <w:rPr>
          <w:lang w:val="en-GB"/>
        </w:rPr>
        <w:t xml:space="preserve">GX </w:t>
      </w:r>
      <w:r w:rsidR="00762D44" w:rsidRPr="00AF26EF">
        <w:rPr>
          <w:lang w:val="en-GB"/>
        </w:rPr>
        <w:t>results</w:t>
      </w:r>
      <w:r w:rsidR="00316FBA" w:rsidRPr="00AF26EF">
        <w:rPr>
          <w:lang w:val="en-GB"/>
        </w:rPr>
        <w:t xml:space="preserve"> obtained with the fresh sample</w:t>
      </w:r>
      <w:r w:rsidR="00752091" w:rsidRPr="00AF26EF">
        <w:rPr>
          <w:lang w:val="en-GB"/>
        </w:rPr>
        <w:t xml:space="preserve"> and </w:t>
      </w:r>
      <w:r w:rsidR="00316FBA" w:rsidRPr="00AF26EF">
        <w:rPr>
          <w:lang w:val="en-GB"/>
        </w:rPr>
        <w:t xml:space="preserve">against </w:t>
      </w:r>
      <w:r w:rsidR="00371264" w:rsidRPr="00AF26EF">
        <w:rPr>
          <w:lang w:val="en-GB"/>
        </w:rPr>
        <w:t xml:space="preserve">the </w:t>
      </w:r>
      <w:r w:rsidR="00316FBA" w:rsidRPr="00AF26EF">
        <w:rPr>
          <w:lang w:val="en-GB"/>
        </w:rPr>
        <w:t xml:space="preserve">culture. </w:t>
      </w:r>
      <w:r w:rsidR="00C21987" w:rsidRPr="00AF26EF">
        <w:rPr>
          <w:lang w:val="en-GB"/>
        </w:rPr>
        <w:t>The c</w:t>
      </w:r>
      <w:r w:rsidR="00CC1C6E" w:rsidRPr="00AF26EF">
        <w:rPr>
          <w:lang w:val="en-GB"/>
        </w:rPr>
        <w:t xml:space="preserve">ulture </w:t>
      </w:r>
      <w:r w:rsidR="00316FBA" w:rsidRPr="00AF26EF">
        <w:rPr>
          <w:lang w:val="en-GB"/>
        </w:rPr>
        <w:t xml:space="preserve">was considered the reference standard to estimate </w:t>
      </w:r>
      <w:r w:rsidR="00C21987" w:rsidRPr="00AF26EF">
        <w:rPr>
          <w:lang w:val="en-GB"/>
        </w:rPr>
        <w:t xml:space="preserve">the </w:t>
      </w:r>
      <w:r w:rsidR="00316FBA" w:rsidRPr="00AF26EF">
        <w:rPr>
          <w:lang w:val="en-GB"/>
        </w:rPr>
        <w:t>sensitivity</w:t>
      </w:r>
      <w:r w:rsidR="00C21987" w:rsidRPr="00AF26EF">
        <w:rPr>
          <w:lang w:val="en-GB"/>
        </w:rPr>
        <w:t>,</w:t>
      </w:r>
      <w:r w:rsidR="00316FBA" w:rsidRPr="00AF26EF">
        <w:rPr>
          <w:lang w:val="en-GB"/>
        </w:rPr>
        <w:t xml:space="preserve"> specificity (with 95% </w:t>
      </w:r>
      <w:r w:rsidR="00D13D9D" w:rsidRPr="00AF26EF">
        <w:rPr>
          <w:lang w:val="en-GB"/>
        </w:rPr>
        <w:t>c</w:t>
      </w:r>
      <w:r w:rsidR="00316FBA" w:rsidRPr="00AF26EF">
        <w:rPr>
          <w:lang w:val="en-GB"/>
        </w:rPr>
        <w:t>onfidence intervals, 95%</w:t>
      </w:r>
      <w:r w:rsidR="00C21987" w:rsidRPr="00AF26EF">
        <w:rPr>
          <w:lang w:val="en-GB"/>
        </w:rPr>
        <w:t xml:space="preserve"> </w:t>
      </w:r>
      <w:r w:rsidR="00316FBA" w:rsidRPr="00AF26EF">
        <w:rPr>
          <w:lang w:val="en-GB"/>
        </w:rPr>
        <w:t>CI)</w:t>
      </w:r>
      <w:r w:rsidR="008A54DF" w:rsidRPr="00AF26EF">
        <w:rPr>
          <w:lang w:val="en-GB"/>
        </w:rPr>
        <w:t xml:space="preserve"> and concordance of GX positivity across the three methods</w:t>
      </w:r>
      <w:r w:rsidR="00752091" w:rsidRPr="00AF26EF">
        <w:rPr>
          <w:lang w:val="en-GB"/>
        </w:rPr>
        <w:t xml:space="preserve">. </w:t>
      </w:r>
      <w:r w:rsidR="004D2B10" w:rsidRPr="00AF26EF">
        <w:rPr>
          <w:lang w:val="en-GB"/>
        </w:rPr>
        <w:t>However, as soli</w:t>
      </w:r>
      <w:r w:rsidR="00FF171B" w:rsidRPr="00AF26EF">
        <w:rPr>
          <w:lang w:val="en-GB"/>
        </w:rPr>
        <w:t>d</w:t>
      </w:r>
      <w:r w:rsidR="004D2B10" w:rsidRPr="00AF26EF">
        <w:rPr>
          <w:lang w:val="en-GB"/>
        </w:rPr>
        <w:t xml:space="preserve"> culture</w:t>
      </w:r>
      <w:r w:rsidR="00C21987" w:rsidRPr="00AF26EF">
        <w:rPr>
          <w:lang w:val="en-GB"/>
        </w:rPr>
        <w:t>s</w:t>
      </w:r>
      <w:r w:rsidR="004D2B10" w:rsidRPr="00AF26EF">
        <w:rPr>
          <w:lang w:val="en-GB"/>
        </w:rPr>
        <w:t xml:space="preserve"> </w:t>
      </w:r>
      <w:r w:rsidR="00C21987" w:rsidRPr="00AF26EF">
        <w:rPr>
          <w:lang w:val="en-GB"/>
        </w:rPr>
        <w:t>are</w:t>
      </w:r>
      <w:r w:rsidR="004D2B10" w:rsidRPr="00AF26EF">
        <w:rPr>
          <w:lang w:val="en-GB"/>
        </w:rPr>
        <w:t xml:space="preserve"> known to have lower sensitivity than liquid culture</w:t>
      </w:r>
      <w:r w:rsidR="00C21987" w:rsidRPr="00AF26EF">
        <w:rPr>
          <w:lang w:val="en-GB"/>
        </w:rPr>
        <w:t>s</w:t>
      </w:r>
      <w:r w:rsidR="004D2B10" w:rsidRPr="00AF26EF">
        <w:rPr>
          <w:lang w:val="en-GB"/>
        </w:rPr>
        <w:t xml:space="preserve">, we also used Kappa statistics to describe the level of agreement between the </w:t>
      </w:r>
      <w:proofErr w:type="spellStart"/>
      <w:r w:rsidR="004D2B10" w:rsidRPr="00AF26EF">
        <w:rPr>
          <w:lang w:val="en-GB"/>
        </w:rPr>
        <w:t>Xpert</w:t>
      </w:r>
      <w:proofErr w:type="spellEnd"/>
      <w:r w:rsidR="004D2B10" w:rsidRPr="00AF26EF">
        <w:rPr>
          <w:lang w:val="en-GB"/>
        </w:rPr>
        <w:t xml:space="preserve"> results obtained with the three approaches. </w:t>
      </w:r>
      <w:r w:rsidR="00762D44" w:rsidRPr="00AF26EF">
        <w:rPr>
          <w:lang w:val="en-GB"/>
        </w:rPr>
        <w:t xml:space="preserve">GX </w:t>
      </w:r>
      <w:r w:rsidR="00652709" w:rsidRPr="00AF26EF">
        <w:rPr>
          <w:lang w:val="en-GB"/>
        </w:rPr>
        <w:t>semiquantitative grades</w:t>
      </w:r>
      <w:r w:rsidR="00762D44" w:rsidRPr="00AF26EF">
        <w:rPr>
          <w:lang w:val="en-GB"/>
        </w:rPr>
        <w:t xml:space="preserve"> </w:t>
      </w:r>
      <w:r w:rsidR="00305A0D" w:rsidRPr="00AF26EF">
        <w:rPr>
          <w:lang w:val="en-GB"/>
        </w:rPr>
        <w:t xml:space="preserve">were used to </w:t>
      </w:r>
      <w:r w:rsidR="00D100F2" w:rsidRPr="00AF26EF">
        <w:rPr>
          <w:lang w:val="en-GB"/>
        </w:rPr>
        <w:t>reflect</w:t>
      </w:r>
      <w:r w:rsidR="00305A0D" w:rsidRPr="00AF26EF">
        <w:rPr>
          <w:lang w:val="en-GB"/>
        </w:rPr>
        <w:t xml:space="preserve"> </w:t>
      </w:r>
      <w:r w:rsidR="001D5D57" w:rsidRPr="00AF26EF">
        <w:rPr>
          <w:bCs/>
          <w:lang w:val="en-GB"/>
        </w:rPr>
        <w:t>differences</w:t>
      </w:r>
      <w:r w:rsidR="00305A0D" w:rsidRPr="00AF26EF">
        <w:rPr>
          <w:lang w:val="en-GB"/>
        </w:rPr>
        <w:t xml:space="preserve"> in bacilli </w:t>
      </w:r>
      <w:r w:rsidR="00762D44" w:rsidRPr="00AF26EF">
        <w:rPr>
          <w:lang w:val="en-GB"/>
        </w:rPr>
        <w:t xml:space="preserve">DNA </w:t>
      </w:r>
      <w:r w:rsidR="00305A0D" w:rsidRPr="00AF26EF">
        <w:rPr>
          <w:lang w:val="en-GB"/>
        </w:rPr>
        <w:t xml:space="preserve">concentrations between the </w:t>
      </w:r>
      <w:r w:rsidR="00316FBA" w:rsidRPr="00AF26EF">
        <w:rPr>
          <w:lang w:val="en-GB"/>
        </w:rPr>
        <w:t xml:space="preserve">fresh </w:t>
      </w:r>
      <w:r w:rsidR="00305A0D" w:rsidRPr="00AF26EF">
        <w:rPr>
          <w:lang w:val="en-GB"/>
        </w:rPr>
        <w:t xml:space="preserve">and </w:t>
      </w:r>
      <w:r w:rsidR="00316FBA" w:rsidRPr="00AF26EF">
        <w:rPr>
          <w:lang w:val="en-GB"/>
        </w:rPr>
        <w:t xml:space="preserve">stored </w:t>
      </w:r>
      <w:r w:rsidR="00305A0D" w:rsidRPr="00AF26EF">
        <w:rPr>
          <w:lang w:val="en-GB"/>
        </w:rPr>
        <w:t>specimens</w:t>
      </w:r>
      <w:r w:rsidR="00D100F2" w:rsidRPr="00AF26EF">
        <w:rPr>
          <w:lang w:val="en-GB"/>
        </w:rPr>
        <w:t>.</w:t>
      </w:r>
      <w:r w:rsidR="00316FBA" w:rsidRPr="00AF26EF">
        <w:rPr>
          <w:lang w:val="en-GB"/>
        </w:rPr>
        <w:t xml:space="preserve"> </w:t>
      </w:r>
      <w:r w:rsidR="003C7879" w:rsidRPr="00AF26EF">
        <w:rPr>
          <w:rStyle w:val="Emphasis"/>
          <w:i w:val="0"/>
          <w:lang w:val="en-GB"/>
        </w:rPr>
        <w:t xml:space="preserve">The sample size was estimated assuming a sensitivity of 0.75 and 070 of GX to identify culture-positive individuals with paired fresh and stored sputum samples with </w:t>
      </w:r>
      <w:r w:rsidR="00C21987" w:rsidRPr="00AF26EF">
        <w:rPr>
          <w:rStyle w:val="Emphasis"/>
          <w:i w:val="0"/>
          <w:lang w:val="en-GB"/>
        </w:rPr>
        <w:t xml:space="preserve">a </w:t>
      </w:r>
      <w:r w:rsidR="003C7879" w:rsidRPr="00AF26EF">
        <w:rPr>
          <w:rStyle w:val="Emphasis"/>
          <w:i w:val="0"/>
          <w:lang w:val="en-GB"/>
        </w:rPr>
        <w:t xml:space="preserve">specificity of 0.95 for both, an expected 20% of culture-positive </w:t>
      </w:r>
      <w:r w:rsidR="00184F14" w:rsidRPr="00AF26EF">
        <w:rPr>
          <w:rStyle w:val="Emphasis"/>
          <w:i w:val="0"/>
          <w:lang w:val="en-GB"/>
        </w:rPr>
        <w:t>pat</w:t>
      </w:r>
      <w:r w:rsidR="00C21987" w:rsidRPr="00AF26EF">
        <w:rPr>
          <w:rStyle w:val="Emphasis"/>
          <w:i w:val="0"/>
          <w:lang w:val="en-GB"/>
        </w:rPr>
        <w:t>i</w:t>
      </w:r>
      <w:r w:rsidR="00184F14" w:rsidRPr="00AF26EF">
        <w:rPr>
          <w:rStyle w:val="Emphasis"/>
          <w:i w:val="0"/>
          <w:lang w:val="en-GB"/>
        </w:rPr>
        <w:t>en</w:t>
      </w:r>
      <w:r w:rsidR="00C21987" w:rsidRPr="00AF26EF">
        <w:rPr>
          <w:rStyle w:val="Emphasis"/>
          <w:i w:val="0"/>
          <w:lang w:val="en-GB"/>
        </w:rPr>
        <w:t xml:space="preserve">ts </w:t>
      </w:r>
      <w:r w:rsidR="003C7879" w:rsidRPr="00AF26EF">
        <w:rPr>
          <w:rStyle w:val="Emphasis"/>
          <w:i w:val="0"/>
          <w:lang w:val="en-GB"/>
        </w:rPr>
        <w:t xml:space="preserve">and an expected Kappa of 85%. The study would require a sample size of 202 individuals to achieve a power of 80% and </w:t>
      </w:r>
      <w:r w:rsidR="00184F14" w:rsidRPr="00AF26EF">
        <w:rPr>
          <w:rStyle w:val="Emphasis"/>
          <w:i w:val="0"/>
          <w:lang w:val="en-GB"/>
        </w:rPr>
        <w:t xml:space="preserve">a </w:t>
      </w:r>
      <w:r w:rsidR="003C7879" w:rsidRPr="00AF26EF">
        <w:rPr>
          <w:rStyle w:val="Emphasis"/>
          <w:i w:val="0"/>
          <w:lang w:val="en-GB"/>
        </w:rPr>
        <w:t>significance of 5%.</w:t>
      </w:r>
    </w:p>
    <w:p w14:paraId="288177EA" w14:textId="37784A49" w:rsidR="008A54DF" w:rsidRPr="00AF26EF" w:rsidRDefault="00A547AC" w:rsidP="00A547AC">
      <w:pPr>
        <w:pStyle w:val="MDPI22heading2"/>
        <w:rPr>
          <w:lang w:val="en-GB"/>
        </w:rPr>
      </w:pPr>
      <w:r w:rsidRPr="00AF26EF">
        <w:rPr>
          <w:lang w:val="en-GB"/>
        </w:rPr>
        <w:t xml:space="preserve">2.1. </w:t>
      </w:r>
      <w:r w:rsidR="008A54DF" w:rsidRPr="00AF26EF">
        <w:rPr>
          <w:lang w:val="en-GB"/>
        </w:rPr>
        <w:t xml:space="preserve">Ethical </w:t>
      </w:r>
      <w:r w:rsidRPr="00AF26EF">
        <w:rPr>
          <w:lang w:val="en-GB"/>
        </w:rPr>
        <w:t>A</w:t>
      </w:r>
      <w:r w:rsidR="008A54DF" w:rsidRPr="00AF26EF">
        <w:rPr>
          <w:lang w:val="en-GB"/>
        </w:rPr>
        <w:t>pproval</w:t>
      </w:r>
    </w:p>
    <w:p w14:paraId="14224611" w14:textId="542502FB" w:rsidR="008A54DF" w:rsidRPr="00AF26EF" w:rsidRDefault="008A54DF" w:rsidP="00A547AC">
      <w:pPr>
        <w:pStyle w:val="MDPI31text"/>
        <w:rPr>
          <w:lang w:val="en-GB"/>
        </w:rPr>
      </w:pPr>
      <w:r w:rsidRPr="00AF26EF">
        <w:rPr>
          <w:lang w:val="en-GB"/>
        </w:rPr>
        <w:t xml:space="preserve">The study was approved by the </w:t>
      </w:r>
      <w:r w:rsidR="00184F14" w:rsidRPr="00AF26EF">
        <w:rPr>
          <w:lang w:val="en-GB"/>
        </w:rPr>
        <w:t xml:space="preserve">Health Research Ethics Committees of the </w:t>
      </w:r>
      <w:r w:rsidRPr="00AF26EF">
        <w:rPr>
          <w:lang w:val="en-GB"/>
        </w:rPr>
        <w:t xml:space="preserve">Liverpool School of Tropical Medicine, UK, and the Federal Capital Territory, Nigeria (protocol numbers </w:t>
      </w:r>
      <w:r w:rsidR="00FF171B" w:rsidRPr="00AF26EF">
        <w:rPr>
          <w:lang w:val="en-GB"/>
        </w:rPr>
        <w:t>17</w:t>
      </w:r>
      <w:r w:rsidR="00274F36" w:rsidRPr="00AF26EF">
        <w:rPr>
          <w:lang w:val="en-GB"/>
        </w:rPr>
        <w:t>–</w:t>
      </w:r>
      <w:r w:rsidR="00FF171B" w:rsidRPr="00AF26EF">
        <w:rPr>
          <w:lang w:val="en-GB"/>
        </w:rPr>
        <w:t>014</w:t>
      </w:r>
      <w:r w:rsidRPr="00AF26EF">
        <w:rPr>
          <w:lang w:val="en-GB"/>
        </w:rPr>
        <w:t xml:space="preserve"> and FHREC/2017/01/63/09-08-17, respectively). </w:t>
      </w:r>
      <w:r w:rsidRPr="00AF26EF">
        <w:rPr>
          <w:spacing w:val="-2"/>
          <w:lang w:val="en-GB"/>
        </w:rPr>
        <w:t xml:space="preserve">Patients attending the centres were </w:t>
      </w:r>
      <w:r w:rsidRPr="00AF26EF">
        <w:rPr>
          <w:color w:val="333333"/>
          <w:shd w:val="clear" w:color="auto" w:fill="FFFFFF"/>
          <w:lang w:val="en-GB"/>
        </w:rPr>
        <w:t xml:space="preserve">asked to read and confirm they had understood the study information leaflets and underwent consent procedures. Individuals were included if they willingly </w:t>
      </w:r>
      <w:r w:rsidRPr="00AF26EF">
        <w:rPr>
          <w:spacing w:val="-2"/>
          <w:lang w:val="en-GB"/>
        </w:rPr>
        <w:t>provided written informed consent to participate.</w:t>
      </w:r>
      <w:r w:rsidRPr="00AF26EF">
        <w:rPr>
          <w:color w:val="333333"/>
          <w:shd w:val="clear" w:color="auto" w:fill="FFFFFF"/>
          <w:lang w:val="en-GB"/>
        </w:rPr>
        <w:t xml:space="preserve"> </w:t>
      </w:r>
      <w:r w:rsidRPr="00AF26EF">
        <w:rPr>
          <w:lang w:val="en-GB"/>
        </w:rPr>
        <w:t xml:space="preserve">The corresponding author had full access to all the data included in the study and </w:t>
      </w:r>
      <w:r w:rsidR="00184F14" w:rsidRPr="00AF26EF">
        <w:rPr>
          <w:lang w:val="en-GB"/>
        </w:rPr>
        <w:t xml:space="preserve">took </w:t>
      </w:r>
      <w:r w:rsidRPr="00AF26EF">
        <w:rPr>
          <w:lang w:val="en-GB"/>
        </w:rPr>
        <w:t xml:space="preserve">responsibility for the integrity of the data and the accuracy of the data analysis. </w:t>
      </w:r>
      <w:r w:rsidR="003F2127" w:rsidRPr="00AF26EF">
        <w:rPr>
          <w:rFonts w:cs="Arial"/>
          <w:color w:val="0A0A0A"/>
          <w:szCs w:val="20"/>
          <w:lang w:val="en-GB" w:eastAsia="en-GB"/>
        </w:rPr>
        <w:t xml:space="preserve">The sample size was estimated assuming a sensitivity of 0.75 and 070 of GX to identify culture-positive individuals with paired fresh and stored sputum samples, respectively, with </w:t>
      </w:r>
      <w:r w:rsidR="00184F14" w:rsidRPr="00AF26EF">
        <w:rPr>
          <w:rFonts w:cs="Arial"/>
          <w:color w:val="0A0A0A"/>
          <w:szCs w:val="20"/>
          <w:lang w:val="en-GB" w:eastAsia="en-GB"/>
        </w:rPr>
        <w:t xml:space="preserve">a </w:t>
      </w:r>
      <w:r w:rsidR="003F2127" w:rsidRPr="00AF26EF">
        <w:rPr>
          <w:rFonts w:cs="Arial"/>
          <w:color w:val="0A0A0A"/>
          <w:szCs w:val="20"/>
          <w:lang w:val="en-GB" w:eastAsia="en-GB"/>
        </w:rPr>
        <w:t>specificity of 0.95 for both</w:t>
      </w:r>
      <w:r w:rsidR="00184F14" w:rsidRPr="00AF26EF">
        <w:rPr>
          <w:rFonts w:cs="Arial"/>
          <w:color w:val="0A0A0A"/>
          <w:szCs w:val="20"/>
          <w:lang w:val="en-GB" w:eastAsia="en-GB"/>
        </w:rPr>
        <w:t>,</w:t>
      </w:r>
      <w:r w:rsidR="003F2127" w:rsidRPr="00AF26EF">
        <w:rPr>
          <w:rFonts w:cs="Arial"/>
          <w:color w:val="0A0A0A"/>
          <w:szCs w:val="20"/>
          <w:lang w:val="en-GB" w:eastAsia="en-GB"/>
        </w:rPr>
        <w:t xml:space="preserve"> an expected 20% of culture</w:t>
      </w:r>
      <w:r w:rsidR="00184F14" w:rsidRPr="00AF26EF">
        <w:rPr>
          <w:rFonts w:cs="Arial"/>
          <w:color w:val="0A0A0A"/>
          <w:szCs w:val="20"/>
          <w:lang w:val="en-GB" w:eastAsia="en-GB"/>
        </w:rPr>
        <w:t>-</w:t>
      </w:r>
      <w:r w:rsidR="003F2127" w:rsidRPr="00AF26EF">
        <w:rPr>
          <w:rFonts w:cs="Arial"/>
          <w:color w:val="0A0A0A"/>
          <w:szCs w:val="20"/>
          <w:lang w:val="en-GB" w:eastAsia="en-GB"/>
        </w:rPr>
        <w:t xml:space="preserve">positive </w:t>
      </w:r>
      <w:r w:rsidR="00184F14" w:rsidRPr="00AF26EF">
        <w:rPr>
          <w:rFonts w:cs="Arial"/>
          <w:color w:val="0A0A0A"/>
          <w:szCs w:val="20"/>
          <w:lang w:val="en-GB" w:eastAsia="en-GB"/>
        </w:rPr>
        <w:t xml:space="preserve">patients </w:t>
      </w:r>
      <w:r w:rsidR="003F2127" w:rsidRPr="00AF26EF">
        <w:rPr>
          <w:rFonts w:cs="Arial"/>
          <w:color w:val="0A0A0A"/>
          <w:szCs w:val="20"/>
          <w:lang w:val="en-GB" w:eastAsia="en-GB"/>
        </w:rPr>
        <w:t xml:space="preserve">and a Kappa of 85%. The study would require a sample size of 202 individuals to achieve a power of 80% and </w:t>
      </w:r>
      <w:r w:rsidR="00184F14" w:rsidRPr="00AF26EF">
        <w:rPr>
          <w:rFonts w:cs="Arial"/>
          <w:color w:val="0A0A0A"/>
          <w:szCs w:val="20"/>
          <w:lang w:val="en-GB" w:eastAsia="en-GB"/>
        </w:rPr>
        <w:t xml:space="preserve">a </w:t>
      </w:r>
      <w:r w:rsidR="003F2127" w:rsidRPr="00AF26EF">
        <w:rPr>
          <w:rFonts w:cs="Arial"/>
          <w:color w:val="0A0A0A"/>
          <w:szCs w:val="20"/>
          <w:lang w:val="en-GB" w:eastAsia="en-GB"/>
        </w:rPr>
        <w:t>significance of 5%.</w:t>
      </w:r>
    </w:p>
    <w:p w14:paraId="76E7D15B" w14:textId="623BAE26" w:rsidR="00752091" w:rsidRPr="00AF26EF" w:rsidRDefault="00A547AC" w:rsidP="00B53007">
      <w:pPr>
        <w:pStyle w:val="MDPI21heading1"/>
        <w:rPr>
          <w:lang w:val="en-GB"/>
        </w:rPr>
      </w:pPr>
      <w:r w:rsidRPr="00AF26EF">
        <w:rPr>
          <w:lang w:val="en-GB"/>
        </w:rPr>
        <w:t xml:space="preserve">3. </w:t>
      </w:r>
      <w:r w:rsidR="00752091" w:rsidRPr="00AF26EF">
        <w:rPr>
          <w:lang w:val="en-GB"/>
        </w:rPr>
        <w:t>Results</w:t>
      </w:r>
    </w:p>
    <w:p w14:paraId="5823ADA3" w14:textId="0B1DEFB7" w:rsidR="001D6ECE" w:rsidRPr="00AF26EF" w:rsidRDefault="005F3DDE" w:rsidP="00A547AC">
      <w:pPr>
        <w:pStyle w:val="MDPI31text"/>
        <w:rPr>
          <w:color w:val="FF0000"/>
          <w:lang w:val="en-GB"/>
        </w:rPr>
      </w:pPr>
      <w:r w:rsidRPr="00AF26EF">
        <w:rPr>
          <w:lang w:val="en-GB"/>
        </w:rPr>
        <w:t xml:space="preserve">A total of </w:t>
      </w:r>
      <w:r w:rsidR="00305A0D" w:rsidRPr="00AF26EF">
        <w:rPr>
          <w:lang w:val="en-GB"/>
        </w:rPr>
        <w:t xml:space="preserve">262 </w:t>
      </w:r>
      <w:r w:rsidRPr="00AF26EF">
        <w:rPr>
          <w:lang w:val="en-GB"/>
        </w:rPr>
        <w:t xml:space="preserve">patients </w:t>
      </w:r>
      <w:r w:rsidR="00FF0AB0" w:rsidRPr="00AF26EF">
        <w:rPr>
          <w:lang w:val="en-GB"/>
        </w:rPr>
        <w:t xml:space="preserve">were enrolled and 248 (95%) </w:t>
      </w:r>
      <w:r w:rsidRPr="00AF26EF">
        <w:rPr>
          <w:lang w:val="en-GB"/>
        </w:rPr>
        <w:t xml:space="preserve">had valid culture </w:t>
      </w:r>
      <w:r w:rsidR="00305A0D" w:rsidRPr="00AF26EF">
        <w:rPr>
          <w:lang w:val="en-GB"/>
        </w:rPr>
        <w:t>results</w:t>
      </w:r>
      <w:r w:rsidR="005F7B0F" w:rsidRPr="00AF26EF">
        <w:rPr>
          <w:lang w:val="en-GB"/>
        </w:rPr>
        <w:t xml:space="preserve">. Of these, </w:t>
      </w:r>
      <w:r w:rsidR="003674A5" w:rsidRPr="00AF26EF">
        <w:rPr>
          <w:lang w:val="en-GB"/>
        </w:rPr>
        <w:t>63</w:t>
      </w:r>
      <w:r w:rsidRPr="00AF26EF">
        <w:rPr>
          <w:lang w:val="en-GB"/>
        </w:rPr>
        <w:t xml:space="preserve"> (</w:t>
      </w:r>
      <w:r w:rsidR="00C659BB" w:rsidRPr="00AF26EF">
        <w:rPr>
          <w:lang w:val="en-GB"/>
        </w:rPr>
        <w:t>25</w:t>
      </w:r>
      <w:r w:rsidRPr="00AF26EF">
        <w:rPr>
          <w:lang w:val="en-GB"/>
        </w:rPr>
        <w:t>.</w:t>
      </w:r>
      <w:r w:rsidR="00C659BB" w:rsidRPr="00AF26EF">
        <w:rPr>
          <w:lang w:val="en-GB"/>
        </w:rPr>
        <w:t>4</w:t>
      </w:r>
      <w:r w:rsidRPr="00AF26EF">
        <w:rPr>
          <w:lang w:val="en-GB"/>
        </w:rPr>
        <w:t xml:space="preserve">%) were </w:t>
      </w:r>
      <w:r w:rsidR="00305A0D" w:rsidRPr="00AF26EF">
        <w:rPr>
          <w:lang w:val="en-GB"/>
        </w:rPr>
        <w:t>culture-</w:t>
      </w:r>
      <w:r w:rsidRPr="00AF26EF">
        <w:rPr>
          <w:lang w:val="en-GB"/>
        </w:rPr>
        <w:t>positive</w:t>
      </w:r>
      <w:r w:rsidR="00656EB5" w:rsidRPr="00AF26EF">
        <w:rPr>
          <w:lang w:val="en-GB"/>
        </w:rPr>
        <w:t xml:space="preserve"> </w:t>
      </w:r>
      <w:r w:rsidR="005F7B0F" w:rsidRPr="00AF26EF">
        <w:rPr>
          <w:lang w:val="en-GB"/>
        </w:rPr>
        <w:t xml:space="preserve">and </w:t>
      </w:r>
      <w:r w:rsidR="002141EA" w:rsidRPr="00AF26EF">
        <w:rPr>
          <w:lang w:val="en-GB"/>
        </w:rPr>
        <w:t xml:space="preserve">185 culture-negative </w:t>
      </w:r>
      <w:r w:rsidR="00656EB5" w:rsidRPr="00AF26EF">
        <w:rPr>
          <w:lang w:val="en-GB"/>
        </w:rPr>
        <w:t>(Table 1)</w:t>
      </w:r>
      <w:r w:rsidRPr="00AF26EF">
        <w:rPr>
          <w:lang w:val="en-GB"/>
        </w:rPr>
        <w:t>.</w:t>
      </w:r>
      <w:r w:rsidR="00FC40B4" w:rsidRPr="00AF26EF">
        <w:rPr>
          <w:lang w:val="en-GB"/>
        </w:rPr>
        <w:t xml:space="preserve"> </w:t>
      </w:r>
      <w:r w:rsidR="00316FBA" w:rsidRPr="00AF26EF">
        <w:rPr>
          <w:lang w:val="en-GB"/>
        </w:rPr>
        <w:t>GX</w:t>
      </w:r>
      <w:r w:rsidR="00FC40B4" w:rsidRPr="00AF26EF">
        <w:rPr>
          <w:lang w:val="en-GB"/>
        </w:rPr>
        <w:t xml:space="preserve"> </w:t>
      </w:r>
      <w:r w:rsidR="00316FBA" w:rsidRPr="00AF26EF">
        <w:rPr>
          <w:lang w:val="en-GB"/>
        </w:rPr>
        <w:t xml:space="preserve">in fresh sputum </w:t>
      </w:r>
      <w:r w:rsidR="00FC40B4" w:rsidRPr="00AF26EF">
        <w:rPr>
          <w:lang w:val="en-GB"/>
        </w:rPr>
        <w:t xml:space="preserve">detected 56 of </w:t>
      </w:r>
      <w:r w:rsidR="00B924C5" w:rsidRPr="00AF26EF">
        <w:rPr>
          <w:lang w:val="en-GB"/>
        </w:rPr>
        <w:t>63</w:t>
      </w:r>
      <w:r w:rsidR="00FC40B4" w:rsidRPr="00AF26EF">
        <w:rPr>
          <w:lang w:val="en-GB"/>
        </w:rPr>
        <w:t xml:space="preserve"> culture</w:t>
      </w:r>
      <w:r w:rsidR="00B924C5" w:rsidRPr="00AF26EF">
        <w:rPr>
          <w:lang w:val="en-GB"/>
        </w:rPr>
        <w:t>-</w:t>
      </w:r>
      <w:r w:rsidR="00FC40B4" w:rsidRPr="00AF26EF">
        <w:rPr>
          <w:lang w:val="en-GB"/>
        </w:rPr>
        <w:t xml:space="preserve">positive </w:t>
      </w:r>
      <w:r w:rsidR="00316FBA" w:rsidRPr="00AF26EF">
        <w:rPr>
          <w:lang w:val="en-GB"/>
        </w:rPr>
        <w:t>samples</w:t>
      </w:r>
      <w:r w:rsidR="00FC40B4" w:rsidRPr="00AF26EF">
        <w:rPr>
          <w:lang w:val="en-GB"/>
        </w:rPr>
        <w:t xml:space="preserve"> (sensitivity </w:t>
      </w:r>
      <w:r w:rsidR="00E52972" w:rsidRPr="00AF26EF">
        <w:rPr>
          <w:lang w:val="en-GB"/>
        </w:rPr>
        <w:t>88.</w:t>
      </w:r>
      <w:r w:rsidR="00C241F2" w:rsidRPr="00AF26EF">
        <w:rPr>
          <w:lang w:val="en-GB"/>
        </w:rPr>
        <w:t>9</w:t>
      </w:r>
      <w:r w:rsidR="00E52972" w:rsidRPr="00AF26EF">
        <w:rPr>
          <w:lang w:val="en-GB"/>
        </w:rPr>
        <w:t>%</w:t>
      </w:r>
      <w:r w:rsidR="00FC40B4" w:rsidRPr="00AF26EF">
        <w:rPr>
          <w:lang w:val="en-GB"/>
        </w:rPr>
        <w:t xml:space="preserve">, 95% CI: </w:t>
      </w:r>
      <w:r w:rsidR="00E52972" w:rsidRPr="00AF26EF">
        <w:rPr>
          <w:lang w:val="en-GB"/>
        </w:rPr>
        <w:t>78.4</w:t>
      </w:r>
      <w:r w:rsidR="00A65B20" w:rsidRPr="00AF26EF">
        <w:rPr>
          <w:lang w:val="en-GB"/>
        </w:rPr>
        <w:t>–</w:t>
      </w:r>
      <w:r w:rsidR="00E52972" w:rsidRPr="00AF26EF">
        <w:rPr>
          <w:lang w:val="en-GB"/>
        </w:rPr>
        <w:t>95.4%</w:t>
      </w:r>
      <w:r w:rsidR="00FC40B4" w:rsidRPr="00AF26EF">
        <w:rPr>
          <w:lang w:val="en-GB"/>
        </w:rPr>
        <w:t>)</w:t>
      </w:r>
      <w:r w:rsidR="00C241F2" w:rsidRPr="00AF26EF">
        <w:rPr>
          <w:lang w:val="en-GB"/>
        </w:rPr>
        <w:t xml:space="preserve">. </w:t>
      </w:r>
      <w:r w:rsidR="00865DB1" w:rsidRPr="00AF26EF">
        <w:rPr>
          <w:lang w:val="en-GB"/>
        </w:rPr>
        <w:t>Sixty-two</w:t>
      </w:r>
      <w:r w:rsidR="002141EA" w:rsidRPr="00AF26EF">
        <w:rPr>
          <w:lang w:val="en-GB"/>
        </w:rPr>
        <w:t xml:space="preserve"> of the 63 </w:t>
      </w:r>
      <w:r w:rsidR="00C241F2" w:rsidRPr="00AF26EF">
        <w:rPr>
          <w:lang w:val="en-GB"/>
        </w:rPr>
        <w:t>culture</w:t>
      </w:r>
      <w:r w:rsidR="00B924C5" w:rsidRPr="00AF26EF">
        <w:rPr>
          <w:lang w:val="en-GB"/>
        </w:rPr>
        <w:t>-</w:t>
      </w:r>
      <w:r w:rsidR="00C241F2" w:rsidRPr="00AF26EF">
        <w:rPr>
          <w:lang w:val="en-GB"/>
        </w:rPr>
        <w:t xml:space="preserve">positive </w:t>
      </w:r>
      <w:r w:rsidR="00316FBA" w:rsidRPr="00AF26EF">
        <w:rPr>
          <w:lang w:val="en-GB"/>
        </w:rPr>
        <w:t xml:space="preserve">patients </w:t>
      </w:r>
      <w:r w:rsidR="00C241F2" w:rsidRPr="00AF26EF">
        <w:rPr>
          <w:lang w:val="en-GB"/>
        </w:rPr>
        <w:t xml:space="preserve">were </w:t>
      </w:r>
      <w:r w:rsidR="002141EA" w:rsidRPr="00AF26EF">
        <w:rPr>
          <w:lang w:val="en-GB"/>
        </w:rPr>
        <w:t xml:space="preserve">also </w:t>
      </w:r>
      <w:r w:rsidR="00C241F2" w:rsidRPr="00AF26EF">
        <w:rPr>
          <w:lang w:val="en-GB"/>
        </w:rPr>
        <w:t xml:space="preserve">tested </w:t>
      </w:r>
      <w:r w:rsidR="002141EA" w:rsidRPr="00AF26EF">
        <w:rPr>
          <w:lang w:val="en-GB"/>
        </w:rPr>
        <w:t xml:space="preserve">with </w:t>
      </w:r>
      <w:r w:rsidR="00316FBA" w:rsidRPr="00AF26EF">
        <w:rPr>
          <w:lang w:val="en-GB"/>
        </w:rPr>
        <w:t>GX</w:t>
      </w:r>
      <w:r w:rsidR="00A5701E" w:rsidRPr="00AF26EF">
        <w:rPr>
          <w:lang w:val="en-GB"/>
        </w:rPr>
        <w:t>,</w:t>
      </w:r>
      <w:r w:rsidR="002141EA" w:rsidRPr="00AF26EF">
        <w:rPr>
          <w:lang w:val="en-GB"/>
        </w:rPr>
        <w:t xml:space="preserve"> </w:t>
      </w:r>
      <w:r w:rsidR="00316FBA" w:rsidRPr="00AF26EF">
        <w:rPr>
          <w:lang w:val="en-GB"/>
        </w:rPr>
        <w:t xml:space="preserve">using </w:t>
      </w:r>
      <w:r w:rsidR="002141EA" w:rsidRPr="00AF26EF">
        <w:rPr>
          <w:lang w:val="en-GB"/>
        </w:rPr>
        <w:t xml:space="preserve">the </w:t>
      </w:r>
      <w:proofErr w:type="spellStart"/>
      <w:r w:rsidR="0035665A" w:rsidRPr="00AF26EF">
        <w:rPr>
          <w:lang w:val="en-GB"/>
        </w:rPr>
        <w:t>Omnigene</w:t>
      </w:r>
      <w:proofErr w:type="spellEnd"/>
      <w:r w:rsidR="00A5701E" w:rsidRPr="00AF26EF">
        <w:rPr>
          <w:lang w:val="en-GB"/>
        </w:rPr>
        <w:t>-stored</w:t>
      </w:r>
      <w:r w:rsidR="0035665A" w:rsidRPr="00AF26EF">
        <w:rPr>
          <w:lang w:val="en-GB"/>
        </w:rPr>
        <w:t xml:space="preserve"> and </w:t>
      </w:r>
      <w:proofErr w:type="spellStart"/>
      <w:r w:rsidR="0035665A" w:rsidRPr="00AF26EF">
        <w:rPr>
          <w:lang w:val="en-GB"/>
        </w:rPr>
        <w:t>Primestore</w:t>
      </w:r>
      <w:proofErr w:type="spellEnd"/>
      <w:r w:rsidR="0035665A" w:rsidRPr="00AF26EF">
        <w:rPr>
          <w:lang w:val="en-GB"/>
        </w:rPr>
        <w:t>-</w:t>
      </w:r>
      <w:r w:rsidR="002141EA" w:rsidRPr="00AF26EF">
        <w:rPr>
          <w:lang w:val="en-GB"/>
        </w:rPr>
        <w:t xml:space="preserve">stored samples. </w:t>
      </w:r>
      <w:r w:rsidR="00A5701E" w:rsidRPr="00AF26EF">
        <w:rPr>
          <w:lang w:val="en-GB"/>
        </w:rPr>
        <w:t>Both sets of samples</w:t>
      </w:r>
      <w:r w:rsidR="002141EA" w:rsidRPr="00AF26EF">
        <w:rPr>
          <w:lang w:val="en-GB"/>
        </w:rPr>
        <w:t xml:space="preserve"> </w:t>
      </w:r>
      <w:r w:rsidR="00316FBA" w:rsidRPr="00AF26EF">
        <w:rPr>
          <w:lang w:val="en-GB"/>
        </w:rPr>
        <w:t>were GX-</w:t>
      </w:r>
      <w:r w:rsidR="00242052" w:rsidRPr="00AF26EF">
        <w:rPr>
          <w:lang w:val="en-GB"/>
        </w:rPr>
        <w:t>positive in</w:t>
      </w:r>
      <w:r w:rsidR="00FC40B4" w:rsidRPr="00AF26EF">
        <w:rPr>
          <w:lang w:val="en-GB"/>
        </w:rPr>
        <w:t xml:space="preserve"> 56 </w:t>
      </w:r>
      <w:r w:rsidR="00A5701E" w:rsidRPr="00AF26EF">
        <w:rPr>
          <w:lang w:val="en-GB"/>
        </w:rPr>
        <w:t xml:space="preserve">samples </w:t>
      </w:r>
      <w:r w:rsidR="00FC40B4" w:rsidRPr="00AF26EF">
        <w:rPr>
          <w:lang w:val="en-GB"/>
        </w:rPr>
        <w:t xml:space="preserve">(sensitivity </w:t>
      </w:r>
      <w:r w:rsidR="00C241F2" w:rsidRPr="00AF26EF">
        <w:rPr>
          <w:lang w:val="en-GB"/>
        </w:rPr>
        <w:t>90.3</w:t>
      </w:r>
      <w:r w:rsidR="007C69D2" w:rsidRPr="00AF26EF">
        <w:rPr>
          <w:lang w:val="en-GB"/>
        </w:rPr>
        <w:t>%</w:t>
      </w:r>
      <w:r w:rsidR="00FC40B4" w:rsidRPr="00AF26EF">
        <w:rPr>
          <w:lang w:val="en-GB"/>
        </w:rPr>
        <w:t xml:space="preserve">, 95% CI: </w:t>
      </w:r>
      <w:r w:rsidR="00C241F2" w:rsidRPr="00AF26EF">
        <w:rPr>
          <w:lang w:val="en-GB"/>
        </w:rPr>
        <w:t>80.1</w:t>
      </w:r>
      <w:r w:rsidR="00A65B20" w:rsidRPr="00AF26EF">
        <w:rPr>
          <w:lang w:val="en-GB"/>
        </w:rPr>
        <w:t>–</w:t>
      </w:r>
      <w:r w:rsidR="007C69D2" w:rsidRPr="00AF26EF">
        <w:rPr>
          <w:lang w:val="en-GB"/>
        </w:rPr>
        <w:t>96.4</w:t>
      </w:r>
      <w:r w:rsidR="00FC40B4" w:rsidRPr="00AF26EF">
        <w:rPr>
          <w:lang w:val="en-GB"/>
        </w:rPr>
        <w:t>%) and 49</w:t>
      </w:r>
      <w:r w:rsidR="00A5701E" w:rsidRPr="00AF26EF">
        <w:rPr>
          <w:lang w:val="en-GB"/>
        </w:rPr>
        <w:t xml:space="preserve"> samples</w:t>
      </w:r>
      <w:r w:rsidR="00FC40B4" w:rsidRPr="00AF26EF">
        <w:rPr>
          <w:lang w:val="en-GB"/>
        </w:rPr>
        <w:t xml:space="preserve"> (sensitivity </w:t>
      </w:r>
      <w:r w:rsidR="00C241F2" w:rsidRPr="00AF26EF">
        <w:rPr>
          <w:lang w:val="en-GB"/>
        </w:rPr>
        <w:t>79</w:t>
      </w:r>
      <w:r w:rsidR="007C69D2" w:rsidRPr="00AF26EF">
        <w:rPr>
          <w:lang w:val="en-GB"/>
        </w:rPr>
        <w:t>.0</w:t>
      </w:r>
      <w:r w:rsidR="00C241F2" w:rsidRPr="00AF26EF">
        <w:rPr>
          <w:lang w:val="en-GB"/>
        </w:rPr>
        <w:t>%</w:t>
      </w:r>
      <w:r w:rsidR="00FC40B4" w:rsidRPr="00AF26EF">
        <w:rPr>
          <w:lang w:val="en-GB"/>
        </w:rPr>
        <w:t xml:space="preserve">, 95% CI: </w:t>
      </w:r>
      <w:r w:rsidR="00C241F2" w:rsidRPr="00AF26EF">
        <w:rPr>
          <w:lang w:val="en-GB"/>
        </w:rPr>
        <w:t>66.8</w:t>
      </w:r>
      <w:r w:rsidR="00A65B20" w:rsidRPr="00AF26EF">
        <w:rPr>
          <w:lang w:val="en-GB"/>
        </w:rPr>
        <w:t>–</w:t>
      </w:r>
      <w:r w:rsidR="007C69D2" w:rsidRPr="00AF26EF">
        <w:rPr>
          <w:lang w:val="en-GB"/>
        </w:rPr>
        <w:t>88.3</w:t>
      </w:r>
      <w:r w:rsidR="00FC40B4" w:rsidRPr="00AF26EF">
        <w:rPr>
          <w:lang w:val="en-GB"/>
        </w:rPr>
        <w:t>%) respectively</w:t>
      </w:r>
      <w:r w:rsidR="007C01AE" w:rsidRPr="00AF26EF">
        <w:rPr>
          <w:lang w:val="en-GB"/>
        </w:rPr>
        <w:t xml:space="preserve">. The sensitivity using </w:t>
      </w:r>
      <w:proofErr w:type="spellStart"/>
      <w:r w:rsidR="007C01AE" w:rsidRPr="00AF26EF">
        <w:rPr>
          <w:lang w:val="en-GB"/>
        </w:rPr>
        <w:t>Primestore</w:t>
      </w:r>
      <w:proofErr w:type="spellEnd"/>
      <w:r w:rsidR="007C01AE" w:rsidRPr="00AF26EF">
        <w:rPr>
          <w:lang w:val="en-GB"/>
        </w:rPr>
        <w:t xml:space="preserve"> </w:t>
      </w:r>
      <w:r w:rsidR="0024588E" w:rsidRPr="00AF26EF">
        <w:rPr>
          <w:lang w:val="en-GB"/>
        </w:rPr>
        <w:t xml:space="preserve">was lower when </w:t>
      </w:r>
      <w:r w:rsidR="007C01AE" w:rsidRPr="00AF26EF">
        <w:rPr>
          <w:lang w:val="en-GB"/>
        </w:rPr>
        <w:t xml:space="preserve">compared </w:t>
      </w:r>
      <w:r w:rsidR="00A31530" w:rsidRPr="00AF26EF">
        <w:rPr>
          <w:lang w:val="en-GB"/>
        </w:rPr>
        <w:t xml:space="preserve">with </w:t>
      </w:r>
      <w:r w:rsidR="007C01AE" w:rsidRPr="00AF26EF">
        <w:rPr>
          <w:lang w:val="en-GB"/>
        </w:rPr>
        <w:t xml:space="preserve">the fresh </w:t>
      </w:r>
      <w:r w:rsidR="007C3E83" w:rsidRPr="00AF26EF">
        <w:rPr>
          <w:lang w:val="en-GB"/>
        </w:rPr>
        <w:t>sample,</w:t>
      </w:r>
      <w:r w:rsidR="007C01AE" w:rsidRPr="00AF26EF">
        <w:rPr>
          <w:lang w:val="en-GB"/>
        </w:rPr>
        <w:t xml:space="preserve"> </w:t>
      </w:r>
      <w:r w:rsidR="00652709" w:rsidRPr="00AF26EF">
        <w:rPr>
          <w:lang w:val="en-GB"/>
        </w:rPr>
        <w:t xml:space="preserve">but this was not statistically significantly </w:t>
      </w:r>
      <w:r w:rsidR="00316FBA" w:rsidRPr="00AF26EF">
        <w:rPr>
          <w:lang w:val="en-GB"/>
        </w:rPr>
        <w:t>(</w:t>
      </w:r>
      <w:proofErr w:type="spellStart"/>
      <w:r w:rsidR="00652709" w:rsidRPr="00AF26EF">
        <w:rPr>
          <w:lang w:val="en-GB"/>
        </w:rPr>
        <w:t>McNemar’s</w:t>
      </w:r>
      <w:proofErr w:type="spellEnd"/>
      <w:r w:rsidR="00652709" w:rsidRPr="00AF26EF">
        <w:rPr>
          <w:lang w:val="en-GB"/>
        </w:rPr>
        <w:t xml:space="preserve"> </w:t>
      </w:r>
      <w:r w:rsidR="00D13D9D" w:rsidRPr="00AF26EF">
        <w:rPr>
          <w:lang w:val="en-GB"/>
        </w:rPr>
        <w:t>t</w:t>
      </w:r>
      <w:r w:rsidR="00652709" w:rsidRPr="00AF26EF">
        <w:rPr>
          <w:lang w:val="en-GB"/>
        </w:rPr>
        <w:t xml:space="preserve">est, </w:t>
      </w:r>
      <w:r w:rsidR="00316FBA" w:rsidRPr="00AF26EF">
        <w:rPr>
          <w:lang w:val="en-GB"/>
        </w:rPr>
        <w:t xml:space="preserve">p </w:t>
      </w:r>
      <w:r w:rsidR="005652C6" w:rsidRPr="00AF26EF">
        <w:rPr>
          <w:lang w:val="en-GB"/>
        </w:rPr>
        <w:t>=</w:t>
      </w:r>
      <w:r w:rsidR="00652709" w:rsidRPr="00AF26EF">
        <w:rPr>
          <w:lang w:val="en-GB"/>
        </w:rPr>
        <w:t xml:space="preserve"> </w:t>
      </w:r>
      <w:r w:rsidR="00316FBA" w:rsidRPr="00AF26EF">
        <w:rPr>
          <w:lang w:val="en-GB"/>
        </w:rPr>
        <w:t>0.0</w:t>
      </w:r>
      <w:r w:rsidR="004E5109" w:rsidRPr="00AF26EF">
        <w:rPr>
          <w:lang w:val="en-GB"/>
        </w:rPr>
        <w:t>7</w:t>
      </w:r>
      <w:r w:rsidR="005652C6" w:rsidRPr="00AF26EF">
        <w:rPr>
          <w:lang w:val="en-GB"/>
        </w:rPr>
        <w:t>0</w:t>
      </w:r>
      <w:r w:rsidR="00316FBA" w:rsidRPr="00AF26EF">
        <w:rPr>
          <w:lang w:val="en-GB"/>
        </w:rPr>
        <w:t>)</w:t>
      </w:r>
      <w:r w:rsidR="00FC40B4" w:rsidRPr="00AF26EF">
        <w:rPr>
          <w:lang w:val="en-GB"/>
        </w:rPr>
        <w:t>.</w:t>
      </w:r>
      <w:r w:rsidR="00C4700D" w:rsidRPr="00AF26EF">
        <w:rPr>
          <w:lang w:val="en-GB"/>
        </w:rPr>
        <w:t xml:space="preserve"> </w:t>
      </w:r>
      <w:r w:rsidR="00316FBA" w:rsidRPr="00AF26EF">
        <w:rPr>
          <w:lang w:val="en-GB"/>
        </w:rPr>
        <w:t xml:space="preserve">GX in </w:t>
      </w:r>
      <w:r w:rsidR="003A19BD" w:rsidRPr="00AF26EF">
        <w:rPr>
          <w:lang w:val="en-GB"/>
        </w:rPr>
        <w:t xml:space="preserve">the </w:t>
      </w:r>
      <w:r w:rsidR="00C4700D" w:rsidRPr="00AF26EF">
        <w:rPr>
          <w:lang w:val="en-GB"/>
        </w:rPr>
        <w:t>18</w:t>
      </w:r>
      <w:r w:rsidR="00C241F2" w:rsidRPr="00AF26EF">
        <w:rPr>
          <w:lang w:val="en-GB"/>
        </w:rPr>
        <w:t>5</w:t>
      </w:r>
      <w:r w:rsidR="00C4700D" w:rsidRPr="00AF26EF">
        <w:rPr>
          <w:lang w:val="en-GB"/>
        </w:rPr>
        <w:t xml:space="preserve"> culture-negative </w:t>
      </w:r>
      <w:r w:rsidR="00242052" w:rsidRPr="00AF26EF">
        <w:rPr>
          <w:lang w:val="en-GB"/>
        </w:rPr>
        <w:t xml:space="preserve">patients </w:t>
      </w:r>
      <w:r w:rsidR="00316FBA" w:rsidRPr="00AF26EF">
        <w:rPr>
          <w:lang w:val="en-GB"/>
        </w:rPr>
        <w:t xml:space="preserve">was positive in </w:t>
      </w:r>
      <w:r w:rsidR="004E5109" w:rsidRPr="00AF26EF">
        <w:rPr>
          <w:lang w:val="en-GB"/>
        </w:rPr>
        <w:t xml:space="preserve">five patients, including </w:t>
      </w:r>
      <w:r w:rsidR="00316FBA" w:rsidRPr="00AF26EF">
        <w:rPr>
          <w:lang w:val="en-GB"/>
        </w:rPr>
        <w:t xml:space="preserve">four fresh samples </w:t>
      </w:r>
      <w:r w:rsidR="00C4700D" w:rsidRPr="00AF26EF">
        <w:rPr>
          <w:lang w:val="en-GB"/>
        </w:rPr>
        <w:t>(specific</w:t>
      </w:r>
      <w:r w:rsidR="00945359" w:rsidRPr="00AF26EF">
        <w:rPr>
          <w:lang w:val="en-GB"/>
        </w:rPr>
        <w:t>i</w:t>
      </w:r>
      <w:r w:rsidR="00C4700D" w:rsidRPr="00AF26EF">
        <w:rPr>
          <w:lang w:val="en-GB"/>
        </w:rPr>
        <w:t xml:space="preserve">ty </w:t>
      </w:r>
      <w:r w:rsidR="00C241F2" w:rsidRPr="00AF26EF">
        <w:rPr>
          <w:lang w:val="en-GB"/>
        </w:rPr>
        <w:t>97.8%</w:t>
      </w:r>
      <w:r w:rsidR="00C4700D" w:rsidRPr="00AF26EF">
        <w:rPr>
          <w:lang w:val="en-GB"/>
        </w:rPr>
        <w:t xml:space="preserve">, 95% CI: </w:t>
      </w:r>
      <w:r w:rsidR="00C241F2" w:rsidRPr="00AF26EF">
        <w:rPr>
          <w:lang w:val="en-GB"/>
        </w:rPr>
        <w:t>94.6</w:t>
      </w:r>
      <w:r w:rsidR="00A65B20" w:rsidRPr="00AF26EF">
        <w:rPr>
          <w:lang w:val="en-GB"/>
        </w:rPr>
        <w:t>–</w:t>
      </w:r>
      <w:r w:rsidR="00C241F2" w:rsidRPr="00AF26EF">
        <w:rPr>
          <w:lang w:val="en-GB"/>
        </w:rPr>
        <w:t>9</w:t>
      </w:r>
      <w:r w:rsidR="00C4700D" w:rsidRPr="00AF26EF">
        <w:rPr>
          <w:lang w:val="en-GB"/>
        </w:rPr>
        <w:t>9</w:t>
      </w:r>
      <w:r w:rsidR="00C241F2" w:rsidRPr="00AF26EF">
        <w:rPr>
          <w:lang w:val="en-GB"/>
        </w:rPr>
        <w:t>.4</w:t>
      </w:r>
      <w:r w:rsidR="00C4700D" w:rsidRPr="00AF26EF">
        <w:rPr>
          <w:lang w:val="en-GB"/>
        </w:rPr>
        <w:t>%)</w:t>
      </w:r>
      <w:r w:rsidR="004E5109" w:rsidRPr="00AF26EF">
        <w:rPr>
          <w:lang w:val="en-GB"/>
        </w:rPr>
        <w:t xml:space="preserve">, </w:t>
      </w:r>
      <w:r w:rsidR="00316FBA" w:rsidRPr="00AF26EF">
        <w:rPr>
          <w:lang w:val="en-GB"/>
        </w:rPr>
        <w:t xml:space="preserve">one </w:t>
      </w:r>
      <w:proofErr w:type="spellStart"/>
      <w:r w:rsidR="00242052" w:rsidRPr="00AF26EF">
        <w:rPr>
          <w:lang w:val="en-GB"/>
        </w:rPr>
        <w:t>Omnigene</w:t>
      </w:r>
      <w:proofErr w:type="spellEnd"/>
      <w:r w:rsidR="0024588E" w:rsidRPr="00AF26EF">
        <w:rPr>
          <w:lang w:val="en-GB"/>
        </w:rPr>
        <w:t>-stored sample</w:t>
      </w:r>
      <w:r w:rsidR="00242052" w:rsidRPr="00AF26EF">
        <w:rPr>
          <w:lang w:val="en-GB"/>
        </w:rPr>
        <w:t xml:space="preserve"> </w:t>
      </w:r>
      <w:r w:rsidR="003A19BD" w:rsidRPr="00AF26EF">
        <w:rPr>
          <w:lang w:val="en-GB"/>
        </w:rPr>
        <w:t>(specificity 99.5%, 95% CI: 97.0</w:t>
      </w:r>
      <w:r w:rsidR="00A65B20" w:rsidRPr="00AF26EF">
        <w:rPr>
          <w:lang w:val="en-GB"/>
        </w:rPr>
        <w:t>–</w:t>
      </w:r>
      <w:r w:rsidR="003A19BD" w:rsidRPr="00AF26EF">
        <w:rPr>
          <w:lang w:val="en-GB"/>
        </w:rPr>
        <w:t xml:space="preserve">100.0%) </w:t>
      </w:r>
      <w:r w:rsidR="00242052" w:rsidRPr="00AF26EF">
        <w:rPr>
          <w:lang w:val="en-GB"/>
        </w:rPr>
        <w:t xml:space="preserve">and </w:t>
      </w:r>
      <w:r w:rsidR="003A19BD" w:rsidRPr="00AF26EF">
        <w:rPr>
          <w:lang w:val="en-GB"/>
        </w:rPr>
        <w:t>three</w:t>
      </w:r>
      <w:r w:rsidR="00945359" w:rsidRPr="00AF26EF">
        <w:rPr>
          <w:lang w:val="en-GB"/>
        </w:rPr>
        <w:t xml:space="preserve"> </w:t>
      </w:r>
      <w:proofErr w:type="spellStart"/>
      <w:r w:rsidR="0024588E" w:rsidRPr="00AF26EF">
        <w:rPr>
          <w:lang w:val="en-GB"/>
        </w:rPr>
        <w:t>Primestore</w:t>
      </w:r>
      <w:proofErr w:type="spellEnd"/>
      <w:r w:rsidR="0024588E" w:rsidRPr="00AF26EF">
        <w:rPr>
          <w:lang w:val="en-GB"/>
        </w:rPr>
        <w:t xml:space="preserve">-stored samples </w:t>
      </w:r>
      <w:r w:rsidR="00945359" w:rsidRPr="00AF26EF">
        <w:rPr>
          <w:lang w:val="en-GB"/>
        </w:rPr>
        <w:t>(</w:t>
      </w:r>
      <w:r w:rsidR="00C241F2" w:rsidRPr="00AF26EF">
        <w:rPr>
          <w:lang w:val="en-GB"/>
        </w:rPr>
        <w:t>98.4%</w:t>
      </w:r>
      <w:r w:rsidR="00945359" w:rsidRPr="00AF26EF">
        <w:rPr>
          <w:lang w:val="en-GB"/>
        </w:rPr>
        <w:t xml:space="preserve">, </w:t>
      </w:r>
      <w:r w:rsidR="00C4700D" w:rsidRPr="00AF26EF">
        <w:rPr>
          <w:lang w:val="en-GB"/>
        </w:rPr>
        <w:t xml:space="preserve">95% CI: </w:t>
      </w:r>
      <w:r w:rsidR="00C241F2" w:rsidRPr="00AF26EF">
        <w:rPr>
          <w:lang w:val="en-GB"/>
        </w:rPr>
        <w:t>95.3</w:t>
      </w:r>
      <w:r w:rsidR="00A65B20" w:rsidRPr="00AF26EF">
        <w:rPr>
          <w:lang w:val="en-GB"/>
        </w:rPr>
        <w:t>–</w:t>
      </w:r>
      <w:r w:rsidR="00C241F2" w:rsidRPr="00AF26EF">
        <w:rPr>
          <w:lang w:val="en-GB"/>
        </w:rPr>
        <w:t>99.7</w:t>
      </w:r>
      <w:r w:rsidR="00C4700D" w:rsidRPr="00AF26EF">
        <w:rPr>
          <w:lang w:val="en-GB"/>
        </w:rPr>
        <w:t>%)</w:t>
      </w:r>
      <w:r w:rsidR="003A19BD" w:rsidRPr="00AF26EF">
        <w:rPr>
          <w:lang w:val="en-GB"/>
        </w:rPr>
        <w:t>.</w:t>
      </w:r>
      <w:r w:rsidR="00847057" w:rsidRPr="00AF26EF">
        <w:rPr>
          <w:lang w:val="en-GB"/>
        </w:rPr>
        <w:t xml:space="preserve"> </w:t>
      </w:r>
      <w:bookmarkStart w:id="19" w:name="_Hlk25572710"/>
      <w:r w:rsidR="004E5109" w:rsidRPr="00AF26EF">
        <w:rPr>
          <w:lang w:val="en-GB"/>
        </w:rPr>
        <w:t xml:space="preserve">One of these culture-negative samples was positive for </w:t>
      </w:r>
      <w:r w:rsidR="00652709" w:rsidRPr="00AF26EF">
        <w:rPr>
          <w:lang w:val="en-GB"/>
        </w:rPr>
        <w:t>all GX tests (</w:t>
      </w:r>
      <w:r w:rsidR="004E5109" w:rsidRPr="00AF26EF">
        <w:rPr>
          <w:lang w:val="en-GB"/>
        </w:rPr>
        <w:t>fresh</w:t>
      </w:r>
      <w:r w:rsidR="00964A0F" w:rsidRPr="00AF26EF">
        <w:rPr>
          <w:lang w:val="en-GB"/>
        </w:rPr>
        <w:t xml:space="preserve"> </w:t>
      </w:r>
      <w:r w:rsidR="00872659" w:rsidRPr="00AF26EF">
        <w:rPr>
          <w:lang w:val="en-GB"/>
        </w:rPr>
        <w:t>GX</w:t>
      </w:r>
      <w:r w:rsidR="004E5109" w:rsidRPr="00AF26EF">
        <w:rPr>
          <w:lang w:val="en-GB"/>
        </w:rPr>
        <w:t xml:space="preserve">, </w:t>
      </w:r>
      <w:proofErr w:type="spellStart"/>
      <w:r w:rsidR="004E5109" w:rsidRPr="00AF26EF">
        <w:rPr>
          <w:lang w:val="en-GB"/>
        </w:rPr>
        <w:t>Omnigene</w:t>
      </w:r>
      <w:proofErr w:type="spellEnd"/>
      <w:r w:rsidR="00964A0F" w:rsidRPr="00AF26EF">
        <w:rPr>
          <w:lang w:val="en-GB"/>
        </w:rPr>
        <w:t xml:space="preserve"> </w:t>
      </w:r>
      <w:r w:rsidR="00872659" w:rsidRPr="00AF26EF">
        <w:rPr>
          <w:lang w:val="en-GB"/>
        </w:rPr>
        <w:t>GX</w:t>
      </w:r>
      <w:r w:rsidR="004E5109" w:rsidRPr="00AF26EF">
        <w:rPr>
          <w:lang w:val="en-GB"/>
        </w:rPr>
        <w:t xml:space="preserve"> and </w:t>
      </w:r>
      <w:proofErr w:type="spellStart"/>
      <w:r w:rsidR="004E5109" w:rsidRPr="00AF26EF">
        <w:rPr>
          <w:lang w:val="en-GB"/>
        </w:rPr>
        <w:t>Primestore</w:t>
      </w:r>
      <w:proofErr w:type="spellEnd"/>
      <w:r w:rsidR="00964A0F" w:rsidRPr="00AF26EF">
        <w:rPr>
          <w:lang w:val="en-GB"/>
        </w:rPr>
        <w:t xml:space="preserve"> </w:t>
      </w:r>
      <w:r w:rsidR="00652709" w:rsidRPr="00AF26EF">
        <w:rPr>
          <w:lang w:val="en-GB"/>
        </w:rPr>
        <w:t>GX)</w:t>
      </w:r>
      <w:r w:rsidR="004E5109" w:rsidRPr="00AF26EF">
        <w:rPr>
          <w:lang w:val="en-GB"/>
        </w:rPr>
        <w:t xml:space="preserve">, suggesting </w:t>
      </w:r>
      <w:r w:rsidR="00872659" w:rsidRPr="00AF26EF">
        <w:rPr>
          <w:lang w:val="en-GB"/>
        </w:rPr>
        <w:t xml:space="preserve">that </w:t>
      </w:r>
      <w:r w:rsidR="004E5109" w:rsidRPr="00AF26EF">
        <w:rPr>
          <w:lang w:val="en-GB"/>
        </w:rPr>
        <w:t xml:space="preserve">the culture may have </w:t>
      </w:r>
      <w:r w:rsidR="008F783D" w:rsidRPr="00AF26EF">
        <w:rPr>
          <w:lang w:val="en-GB"/>
        </w:rPr>
        <w:t>failed to identify the bacteria</w:t>
      </w:r>
      <w:r w:rsidR="004E5109" w:rsidRPr="00AF26EF">
        <w:rPr>
          <w:lang w:val="en-GB"/>
        </w:rPr>
        <w:t xml:space="preserve">. </w:t>
      </w:r>
      <w:bookmarkEnd w:id="19"/>
      <w:r w:rsidR="00847057" w:rsidRPr="00AF26EF">
        <w:rPr>
          <w:lang w:val="en-GB"/>
        </w:rPr>
        <w:t xml:space="preserve">There were </w:t>
      </w:r>
      <w:r w:rsidR="001E615D" w:rsidRPr="00AF26EF">
        <w:rPr>
          <w:lang w:val="en-GB"/>
        </w:rPr>
        <w:t xml:space="preserve">also </w:t>
      </w:r>
      <w:r w:rsidR="00847057" w:rsidRPr="00AF26EF">
        <w:rPr>
          <w:lang w:val="en-GB"/>
        </w:rPr>
        <w:t>no</w:t>
      </w:r>
      <w:r w:rsidR="0004752E" w:rsidRPr="00AF26EF">
        <w:rPr>
          <w:lang w:val="en-GB"/>
        </w:rPr>
        <w:t xml:space="preserve"> statistically</w:t>
      </w:r>
      <w:r w:rsidR="00847057" w:rsidRPr="00AF26EF">
        <w:rPr>
          <w:lang w:val="en-GB"/>
        </w:rPr>
        <w:t xml:space="preserve"> significant differences in specificity </w:t>
      </w:r>
      <w:r w:rsidR="00872659" w:rsidRPr="00AF26EF">
        <w:rPr>
          <w:lang w:val="en-GB"/>
        </w:rPr>
        <w:t xml:space="preserve">between </w:t>
      </w:r>
      <w:r w:rsidR="00847057" w:rsidRPr="00AF26EF">
        <w:rPr>
          <w:lang w:val="en-GB"/>
        </w:rPr>
        <w:t>the three methods</w:t>
      </w:r>
      <w:r w:rsidR="004E5109" w:rsidRPr="00AF26EF">
        <w:rPr>
          <w:lang w:val="en-GB"/>
        </w:rPr>
        <w:t>.</w:t>
      </w:r>
    </w:p>
    <w:p w14:paraId="6BC931A9" w14:textId="10A547BE" w:rsidR="00945359" w:rsidRPr="00AF26EF" w:rsidRDefault="00242052" w:rsidP="00A547AC">
      <w:pPr>
        <w:pStyle w:val="MDPI31text"/>
        <w:rPr>
          <w:color w:val="FF0000"/>
          <w:lang w:val="en-GB"/>
        </w:rPr>
      </w:pPr>
      <w:r w:rsidRPr="00AF26EF">
        <w:rPr>
          <w:lang w:val="en-GB"/>
        </w:rPr>
        <w:lastRenderedPageBreak/>
        <w:t>HIV status was known for 59 culture-positive patients</w:t>
      </w:r>
      <w:r w:rsidR="00F934F9" w:rsidRPr="00AF26EF">
        <w:rPr>
          <w:lang w:val="en-GB"/>
        </w:rPr>
        <w:t xml:space="preserve">, with </w:t>
      </w:r>
      <w:r w:rsidRPr="00AF26EF">
        <w:rPr>
          <w:lang w:val="en-GB"/>
        </w:rPr>
        <w:t xml:space="preserve">14 </w:t>
      </w:r>
      <w:r w:rsidR="00F934F9" w:rsidRPr="00AF26EF">
        <w:rPr>
          <w:lang w:val="en-GB"/>
        </w:rPr>
        <w:t xml:space="preserve">being </w:t>
      </w:r>
      <w:r w:rsidRPr="00AF26EF">
        <w:rPr>
          <w:lang w:val="en-GB"/>
        </w:rPr>
        <w:t>HIV-infected and 45 HIV-</w:t>
      </w:r>
      <w:r w:rsidR="007A4002" w:rsidRPr="00AF26EF">
        <w:rPr>
          <w:lang w:val="en-GB"/>
        </w:rPr>
        <w:t>uninfected</w:t>
      </w:r>
      <w:r w:rsidRPr="00AF26EF">
        <w:rPr>
          <w:lang w:val="en-GB"/>
        </w:rPr>
        <w:t xml:space="preserve">. </w:t>
      </w:r>
      <w:r w:rsidR="003A19BD" w:rsidRPr="00AF26EF">
        <w:rPr>
          <w:lang w:val="en-GB"/>
        </w:rPr>
        <w:t>GX</w:t>
      </w:r>
      <w:r w:rsidR="000D7F79" w:rsidRPr="00AF26EF">
        <w:rPr>
          <w:lang w:val="en-GB"/>
        </w:rPr>
        <w:t xml:space="preserve"> </w:t>
      </w:r>
      <w:r w:rsidR="003E6C90" w:rsidRPr="00AF26EF">
        <w:rPr>
          <w:lang w:val="en-GB"/>
        </w:rPr>
        <w:t>was positive in</w:t>
      </w:r>
      <w:r w:rsidR="00C254A4" w:rsidRPr="00AF26EF">
        <w:rPr>
          <w:lang w:val="en-GB"/>
        </w:rPr>
        <w:t xml:space="preserve"> 12 </w:t>
      </w:r>
      <w:r w:rsidR="00F934F9" w:rsidRPr="00AF26EF">
        <w:rPr>
          <w:lang w:val="en-GB"/>
        </w:rPr>
        <w:t xml:space="preserve">fresh sputum </w:t>
      </w:r>
      <w:r w:rsidR="00872659" w:rsidRPr="00AF26EF">
        <w:rPr>
          <w:lang w:val="en-GB"/>
        </w:rPr>
        <w:t xml:space="preserve">samples </w:t>
      </w:r>
      <w:r w:rsidR="00C254A4" w:rsidRPr="00AF26EF">
        <w:rPr>
          <w:lang w:val="en-GB"/>
        </w:rPr>
        <w:t xml:space="preserve">(sensitivity </w:t>
      </w:r>
      <w:r w:rsidR="00476C05" w:rsidRPr="00AF26EF">
        <w:rPr>
          <w:lang w:val="en-GB"/>
        </w:rPr>
        <w:t>85.7%, 95% CI: 57.2</w:t>
      </w:r>
      <w:r w:rsidR="00A65B20" w:rsidRPr="00AF26EF">
        <w:rPr>
          <w:lang w:val="en-GB"/>
        </w:rPr>
        <w:t>–</w:t>
      </w:r>
      <w:r w:rsidR="00476C05" w:rsidRPr="00AF26EF">
        <w:rPr>
          <w:lang w:val="en-GB"/>
        </w:rPr>
        <w:t>98.2%</w:t>
      </w:r>
      <w:r w:rsidR="00C254A4" w:rsidRPr="00AF26EF">
        <w:rPr>
          <w:lang w:val="en-GB"/>
        </w:rPr>
        <w:t>)</w:t>
      </w:r>
      <w:r w:rsidR="00F934F9" w:rsidRPr="00AF26EF">
        <w:rPr>
          <w:lang w:val="en-GB"/>
        </w:rPr>
        <w:t xml:space="preserve">, </w:t>
      </w:r>
      <w:r w:rsidR="003A19BD" w:rsidRPr="00AF26EF">
        <w:rPr>
          <w:lang w:val="en-GB"/>
        </w:rPr>
        <w:t xml:space="preserve">12 </w:t>
      </w:r>
      <w:proofErr w:type="spellStart"/>
      <w:r w:rsidRPr="00AF26EF">
        <w:rPr>
          <w:lang w:val="en-GB"/>
        </w:rPr>
        <w:t>Omnigene</w:t>
      </w:r>
      <w:proofErr w:type="spellEnd"/>
      <w:r w:rsidR="007A4002" w:rsidRPr="00AF26EF">
        <w:rPr>
          <w:lang w:val="en-GB"/>
        </w:rPr>
        <w:t>-</w:t>
      </w:r>
      <w:r w:rsidR="00C254A4" w:rsidRPr="00AF26EF">
        <w:rPr>
          <w:lang w:val="en-GB"/>
        </w:rPr>
        <w:t xml:space="preserve">stored </w:t>
      </w:r>
      <w:r w:rsidR="00872659" w:rsidRPr="00AF26EF">
        <w:rPr>
          <w:lang w:val="en-GB"/>
        </w:rPr>
        <w:t xml:space="preserve">samples </w:t>
      </w:r>
      <w:r w:rsidR="00F934F9" w:rsidRPr="00AF26EF">
        <w:rPr>
          <w:lang w:val="en-GB"/>
        </w:rPr>
        <w:t xml:space="preserve">and </w:t>
      </w:r>
      <w:r w:rsidR="003A19BD" w:rsidRPr="00AF26EF">
        <w:rPr>
          <w:lang w:val="en-GB"/>
        </w:rPr>
        <w:t xml:space="preserve">five </w:t>
      </w:r>
      <w:proofErr w:type="spellStart"/>
      <w:r w:rsidR="003A19BD" w:rsidRPr="00AF26EF">
        <w:rPr>
          <w:lang w:val="en-GB"/>
        </w:rPr>
        <w:t>Primestore</w:t>
      </w:r>
      <w:proofErr w:type="spellEnd"/>
      <w:r w:rsidR="00F934F9" w:rsidRPr="00AF26EF">
        <w:rPr>
          <w:lang w:val="en-GB"/>
        </w:rPr>
        <w:t>-stored samples</w:t>
      </w:r>
      <w:r w:rsidR="003A19BD" w:rsidRPr="00AF26EF">
        <w:rPr>
          <w:lang w:val="en-GB"/>
        </w:rPr>
        <w:t xml:space="preserve"> </w:t>
      </w:r>
      <w:r w:rsidR="00476C05" w:rsidRPr="00AF26EF">
        <w:rPr>
          <w:lang w:val="en-GB"/>
        </w:rPr>
        <w:t>(</w:t>
      </w:r>
      <w:r w:rsidR="00B25A9D" w:rsidRPr="00AF26EF">
        <w:rPr>
          <w:lang w:val="en-GB"/>
        </w:rPr>
        <w:t xml:space="preserve">sensitivity </w:t>
      </w:r>
      <w:r w:rsidR="00476C05" w:rsidRPr="00AF26EF">
        <w:rPr>
          <w:lang w:val="en-GB"/>
        </w:rPr>
        <w:t>35.7%, 95% CI: 12.8</w:t>
      </w:r>
      <w:r w:rsidR="00A65B20" w:rsidRPr="00AF26EF">
        <w:rPr>
          <w:lang w:val="en-GB"/>
        </w:rPr>
        <w:t>–</w:t>
      </w:r>
      <w:r w:rsidR="00476C05" w:rsidRPr="00AF26EF">
        <w:rPr>
          <w:lang w:val="en-GB"/>
        </w:rPr>
        <w:t>64.9%</w:t>
      </w:r>
      <w:r w:rsidR="006F56A0" w:rsidRPr="00AF26EF">
        <w:rPr>
          <w:lang w:val="en-GB"/>
        </w:rPr>
        <w:t>)</w:t>
      </w:r>
      <w:r w:rsidR="00F934F9" w:rsidRPr="00AF26EF">
        <w:rPr>
          <w:lang w:val="en-GB"/>
        </w:rPr>
        <w:t xml:space="preserve"> of the 14 HIV-infected culture-positive patients</w:t>
      </w:r>
      <w:r w:rsidR="00476C05" w:rsidRPr="00AF26EF">
        <w:rPr>
          <w:lang w:val="en-GB"/>
        </w:rPr>
        <w:t>.</w:t>
      </w:r>
      <w:r w:rsidR="00945359" w:rsidRPr="00AF26EF">
        <w:rPr>
          <w:lang w:val="en-GB"/>
        </w:rPr>
        <w:t xml:space="preserve"> </w:t>
      </w:r>
      <w:r w:rsidR="003E6C90" w:rsidRPr="00AF26EF">
        <w:rPr>
          <w:lang w:val="en-GB"/>
        </w:rPr>
        <w:t xml:space="preserve">Among </w:t>
      </w:r>
      <w:r w:rsidR="00F934F9" w:rsidRPr="00AF26EF">
        <w:rPr>
          <w:lang w:val="en-GB"/>
        </w:rPr>
        <w:t xml:space="preserve">the </w:t>
      </w:r>
      <w:r w:rsidR="003E6C90" w:rsidRPr="00AF26EF">
        <w:rPr>
          <w:lang w:val="en-GB"/>
        </w:rPr>
        <w:t xml:space="preserve">45 </w:t>
      </w:r>
      <w:r w:rsidR="00945359" w:rsidRPr="00AF26EF">
        <w:rPr>
          <w:lang w:val="en-GB"/>
        </w:rPr>
        <w:t>culture</w:t>
      </w:r>
      <w:r w:rsidR="00F33975" w:rsidRPr="00AF26EF">
        <w:rPr>
          <w:lang w:val="en-GB"/>
        </w:rPr>
        <w:t>-</w:t>
      </w:r>
      <w:r w:rsidR="00945359" w:rsidRPr="00AF26EF">
        <w:rPr>
          <w:lang w:val="en-GB"/>
        </w:rPr>
        <w:t xml:space="preserve">positive </w:t>
      </w:r>
      <w:r w:rsidR="00F33975" w:rsidRPr="00AF26EF">
        <w:rPr>
          <w:lang w:val="en-GB"/>
        </w:rPr>
        <w:t>HIV-</w:t>
      </w:r>
      <w:r w:rsidR="00D13D9D" w:rsidRPr="00AF26EF">
        <w:rPr>
          <w:lang w:val="en-GB"/>
        </w:rPr>
        <w:t>uninfected</w:t>
      </w:r>
      <w:r w:rsidR="00F33975" w:rsidRPr="00AF26EF">
        <w:rPr>
          <w:lang w:val="en-GB"/>
        </w:rPr>
        <w:t xml:space="preserve"> patients</w:t>
      </w:r>
      <w:r w:rsidR="003E6C90" w:rsidRPr="00AF26EF">
        <w:rPr>
          <w:lang w:val="en-GB"/>
        </w:rPr>
        <w:t xml:space="preserve">, </w:t>
      </w:r>
      <w:r w:rsidR="00F934F9" w:rsidRPr="00AF26EF">
        <w:rPr>
          <w:lang w:val="en-GB"/>
        </w:rPr>
        <w:t xml:space="preserve">GX was positive in </w:t>
      </w:r>
      <w:r w:rsidR="003E6C90" w:rsidRPr="00AF26EF">
        <w:rPr>
          <w:lang w:val="en-GB"/>
        </w:rPr>
        <w:t>41</w:t>
      </w:r>
      <w:r w:rsidR="00F934F9" w:rsidRPr="00AF26EF">
        <w:rPr>
          <w:lang w:val="en-GB"/>
        </w:rPr>
        <w:t>/45</w:t>
      </w:r>
      <w:r w:rsidR="00F33975" w:rsidRPr="00AF26EF">
        <w:rPr>
          <w:lang w:val="en-GB"/>
        </w:rPr>
        <w:t xml:space="preserve"> </w:t>
      </w:r>
      <w:r w:rsidR="00F934F9" w:rsidRPr="00AF26EF">
        <w:rPr>
          <w:lang w:val="en-GB"/>
        </w:rPr>
        <w:t xml:space="preserve">fresh sputum </w:t>
      </w:r>
      <w:r w:rsidR="00872659" w:rsidRPr="00AF26EF">
        <w:rPr>
          <w:lang w:val="en-GB"/>
        </w:rPr>
        <w:t xml:space="preserve">samples </w:t>
      </w:r>
      <w:r w:rsidR="00945359" w:rsidRPr="00AF26EF">
        <w:rPr>
          <w:lang w:val="en-GB"/>
        </w:rPr>
        <w:t xml:space="preserve">(sensitivity </w:t>
      </w:r>
      <w:r w:rsidR="0023027F" w:rsidRPr="00AF26EF">
        <w:rPr>
          <w:lang w:val="en-GB"/>
        </w:rPr>
        <w:t>9</w:t>
      </w:r>
      <w:r w:rsidR="003E04D3" w:rsidRPr="00AF26EF">
        <w:rPr>
          <w:lang w:val="en-GB"/>
        </w:rPr>
        <w:t>1</w:t>
      </w:r>
      <w:r w:rsidR="0023027F" w:rsidRPr="00AF26EF">
        <w:rPr>
          <w:lang w:val="en-GB"/>
        </w:rPr>
        <w:t>.</w:t>
      </w:r>
      <w:r w:rsidR="003E04D3" w:rsidRPr="00AF26EF">
        <w:rPr>
          <w:lang w:val="en-GB"/>
        </w:rPr>
        <w:t>1</w:t>
      </w:r>
      <w:r w:rsidR="0023027F" w:rsidRPr="00AF26EF">
        <w:rPr>
          <w:lang w:val="en-GB"/>
        </w:rPr>
        <w:t>%</w:t>
      </w:r>
      <w:r w:rsidR="00945359" w:rsidRPr="00AF26EF">
        <w:rPr>
          <w:lang w:val="en-GB"/>
        </w:rPr>
        <w:t xml:space="preserve">, 95% CI: </w:t>
      </w:r>
      <w:r w:rsidR="0023027F" w:rsidRPr="00AF26EF">
        <w:rPr>
          <w:lang w:val="en-GB"/>
        </w:rPr>
        <w:t>7</w:t>
      </w:r>
      <w:r w:rsidR="003E04D3" w:rsidRPr="00AF26EF">
        <w:rPr>
          <w:lang w:val="en-GB"/>
        </w:rPr>
        <w:t>8</w:t>
      </w:r>
      <w:r w:rsidR="0023027F" w:rsidRPr="00AF26EF">
        <w:rPr>
          <w:lang w:val="en-GB"/>
        </w:rPr>
        <w:t>.8</w:t>
      </w:r>
      <w:r w:rsidR="00A65B20" w:rsidRPr="00AF26EF">
        <w:rPr>
          <w:lang w:val="en-GB"/>
        </w:rPr>
        <w:t>–</w:t>
      </w:r>
      <w:r w:rsidR="0023027F" w:rsidRPr="00AF26EF">
        <w:rPr>
          <w:lang w:val="en-GB"/>
        </w:rPr>
        <w:t>9</w:t>
      </w:r>
      <w:r w:rsidR="003E04D3" w:rsidRPr="00AF26EF">
        <w:rPr>
          <w:lang w:val="en-GB"/>
        </w:rPr>
        <w:t>7</w:t>
      </w:r>
      <w:r w:rsidR="0023027F" w:rsidRPr="00AF26EF">
        <w:rPr>
          <w:lang w:val="en-GB"/>
        </w:rPr>
        <w:t>.</w:t>
      </w:r>
      <w:r w:rsidR="003E04D3" w:rsidRPr="00AF26EF">
        <w:rPr>
          <w:lang w:val="en-GB"/>
        </w:rPr>
        <w:t>5</w:t>
      </w:r>
      <w:r w:rsidR="0023027F" w:rsidRPr="00AF26EF">
        <w:rPr>
          <w:lang w:val="en-GB"/>
        </w:rPr>
        <w:t>%</w:t>
      </w:r>
      <w:r w:rsidR="003E6C90" w:rsidRPr="00AF26EF">
        <w:rPr>
          <w:lang w:val="en-GB"/>
        </w:rPr>
        <w:t>)</w:t>
      </w:r>
      <w:r w:rsidR="00F934F9" w:rsidRPr="00AF26EF">
        <w:rPr>
          <w:lang w:val="en-GB"/>
        </w:rPr>
        <w:t>, 41/44</w:t>
      </w:r>
      <w:r w:rsidR="003E6C90" w:rsidRPr="00AF26EF">
        <w:rPr>
          <w:lang w:val="en-GB"/>
        </w:rPr>
        <w:t xml:space="preserve"> </w:t>
      </w:r>
      <w:proofErr w:type="spellStart"/>
      <w:r w:rsidR="003E6C90" w:rsidRPr="00AF26EF">
        <w:rPr>
          <w:lang w:val="en-GB"/>
        </w:rPr>
        <w:t>Omnigene</w:t>
      </w:r>
      <w:proofErr w:type="spellEnd"/>
      <w:r w:rsidR="00F934F9" w:rsidRPr="00AF26EF">
        <w:rPr>
          <w:lang w:val="en-GB"/>
        </w:rPr>
        <w:t xml:space="preserve">-stored </w:t>
      </w:r>
      <w:r w:rsidR="00872659" w:rsidRPr="00AF26EF">
        <w:rPr>
          <w:lang w:val="en-GB"/>
        </w:rPr>
        <w:t xml:space="preserve">samples </w:t>
      </w:r>
      <w:r w:rsidR="00F934F9" w:rsidRPr="00AF26EF">
        <w:rPr>
          <w:lang w:val="en-GB"/>
        </w:rPr>
        <w:t>a</w:t>
      </w:r>
      <w:r w:rsidR="00D13D9D" w:rsidRPr="00AF26EF">
        <w:rPr>
          <w:lang w:val="en-GB"/>
        </w:rPr>
        <w:t>n</w:t>
      </w:r>
      <w:r w:rsidR="00F934F9" w:rsidRPr="00AF26EF">
        <w:rPr>
          <w:lang w:val="en-GB"/>
        </w:rPr>
        <w:t xml:space="preserve">d 41/44 </w:t>
      </w:r>
      <w:proofErr w:type="spellStart"/>
      <w:r w:rsidR="00B25A9D" w:rsidRPr="00AF26EF">
        <w:rPr>
          <w:lang w:val="en-GB"/>
        </w:rPr>
        <w:t>P</w:t>
      </w:r>
      <w:r w:rsidR="003E6C90" w:rsidRPr="00AF26EF">
        <w:rPr>
          <w:lang w:val="en-GB"/>
        </w:rPr>
        <w:t>rimestore</w:t>
      </w:r>
      <w:proofErr w:type="spellEnd"/>
      <w:r w:rsidR="003E6C90" w:rsidRPr="00AF26EF">
        <w:rPr>
          <w:lang w:val="en-GB"/>
        </w:rPr>
        <w:t>-</w:t>
      </w:r>
      <w:r w:rsidR="00B25A9D" w:rsidRPr="00AF26EF">
        <w:rPr>
          <w:lang w:val="en-GB"/>
        </w:rPr>
        <w:t xml:space="preserve">stored samples (sensitivity </w:t>
      </w:r>
      <w:r w:rsidR="0023027F" w:rsidRPr="00AF26EF">
        <w:rPr>
          <w:lang w:val="en-GB"/>
        </w:rPr>
        <w:t>9</w:t>
      </w:r>
      <w:r w:rsidR="003E04D3" w:rsidRPr="00AF26EF">
        <w:rPr>
          <w:lang w:val="en-GB"/>
        </w:rPr>
        <w:t>3</w:t>
      </w:r>
      <w:r w:rsidR="0023027F" w:rsidRPr="00AF26EF">
        <w:rPr>
          <w:lang w:val="en-GB"/>
        </w:rPr>
        <w:t>.</w:t>
      </w:r>
      <w:r w:rsidR="003E04D3" w:rsidRPr="00AF26EF">
        <w:rPr>
          <w:lang w:val="en-GB"/>
        </w:rPr>
        <w:t>2</w:t>
      </w:r>
      <w:r w:rsidR="00B25A9D" w:rsidRPr="00AF26EF">
        <w:rPr>
          <w:lang w:val="en-GB"/>
        </w:rPr>
        <w:t>%, 95%</w:t>
      </w:r>
      <w:r w:rsidR="00872659" w:rsidRPr="00AF26EF">
        <w:rPr>
          <w:lang w:val="en-GB"/>
        </w:rPr>
        <w:t xml:space="preserve"> </w:t>
      </w:r>
      <w:r w:rsidR="00B25A9D" w:rsidRPr="00AF26EF">
        <w:rPr>
          <w:lang w:val="en-GB"/>
        </w:rPr>
        <w:t>CI</w:t>
      </w:r>
      <w:r w:rsidR="00872659" w:rsidRPr="00AF26EF">
        <w:rPr>
          <w:lang w:val="en-GB"/>
        </w:rPr>
        <w:t>:</w:t>
      </w:r>
      <w:r w:rsidR="00B25A9D" w:rsidRPr="00AF26EF">
        <w:rPr>
          <w:lang w:val="en-GB"/>
        </w:rPr>
        <w:t xml:space="preserve"> </w:t>
      </w:r>
      <w:r w:rsidR="0023027F" w:rsidRPr="00AF26EF">
        <w:rPr>
          <w:lang w:val="en-GB"/>
        </w:rPr>
        <w:t>8</w:t>
      </w:r>
      <w:r w:rsidR="003E04D3" w:rsidRPr="00AF26EF">
        <w:rPr>
          <w:lang w:val="en-GB"/>
        </w:rPr>
        <w:t>1</w:t>
      </w:r>
      <w:r w:rsidR="0023027F" w:rsidRPr="00AF26EF">
        <w:rPr>
          <w:lang w:val="en-GB"/>
        </w:rPr>
        <w:t>.</w:t>
      </w:r>
      <w:r w:rsidR="003E04D3" w:rsidRPr="00AF26EF">
        <w:rPr>
          <w:lang w:val="en-GB"/>
        </w:rPr>
        <w:t>3</w:t>
      </w:r>
      <w:r w:rsidR="00A65B20" w:rsidRPr="00AF26EF">
        <w:rPr>
          <w:lang w:val="en-GB"/>
        </w:rPr>
        <w:t>–</w:t>
      </w:r>
      <w:r w:rsidR="0023027F" w:rsidRPr="00AF26EF">
        <w:rPr>
          <w:lang w:val="en-GB"/>
        </w:rPr>
        <w:t>9</w:t>
      </w:r>
      <w:r w:rsidR="003E04D3" w:rsidRPr="00AF26EF">
        <w:rPr>
          <w:lang w:val="en-GB"/>
        </w:rPr>
        <w:t>8</w:t>
      </w:r>
      <w:r w:rsidR="0023027F" w:rsidRPr="00AF26EF">
        <w:rPr>
          <w:lang w:val="en-GB"/>
        </w:rPr>
        <w:t>.</w:t>
      </w:r>
      <w:r w:rsidR="003E04D3" w:rsidRPr="00AF26EF">
        <w:rPr>
          <w:lang w:val="en-GB"/>
        </w:rPr>
        <w:t>6</w:t>
      </w:r>
      <w:r w:rsidR="0023027F" w:rsidRPr="00AF26EF">
        <w:rPr>
          <w:lang w:val="en-GB"/>
        </w:rPr>
        <w:t>%,</w:t>
      </w:r>
      <w:r w:rsidR="00B25A9D" w:rsidRPr="00AF26EF">
        <w:rPr>
          <w:lang w:val="en-GB"/>
        </w:rPr>
        <w:t xml:space="preserve"> respectively).</w:t>
      </w:r>
    </w:p>
    <w:p w14:paraId="3314CCA2" w14:textId="06FDE506" w:rsidR="004B3112" w:rsidRPr="00AF26EF" w:rsidRDefault="004B3112" w:rsidP="00A547AC">
      <w:pPr>
        <w:pStyle w:val="MDPI31text"/>
        <w:rPr>
          <w:lang w:val="en-GB"/>
        </w:rPr>
      </w:pPr>
      <w:r w:rsidRPr="00AF26EF">
        <w:rPr>
          <w:lang w:val="en-GB"/>
        </w:rPr>
        <w:t xml:space="preserve">GX MTB </w:t>
      </w:r>
      <w:r w:rsidRPr="00AF26EF">
        <w:rPr>
          <w:shd w:val="clear" w:color="auto" w:fill="FFFFFF"/>
          <w:lang w:val="en-GB"/>
        </w:rPr>
        <w:t xml:space="preserve">semiquantitative grades </w:t>
      </w:r>
      <w:r w:rsidRPr="00AF26EF">
        <w:rPr>
          <w:lang w:val="en-GB"/>
        </w:rPr>
        <w:t xml:space="preserve">obtained using fresh, </w:t>
      </w:r>
      <w:proofErr w:type="spellStart"/>
      <w:r w:rsidRPr="00AF26EF">
        <w:rPr>
          <w:lang w:val="en-GB"/>
        </w:rPr>
        <w:t>Omnigene</w:t>
      </w:r>
      <w:proofErr w:type="spellEnd"/>
      <w:r w:rsidRPr="00AF26EF">
        <w:rPr>
          <w:lang w:val="en-GB"/>
        </w:rPr>
        <w:t>-</w:t>
      </w:r>
      <w:r w:rsidR="00872659" w:rsidRPr="00AF26EF">
        <w:rPr>
          <w:lang w:val="en-GB"/>
        </w:rPr>
        <w:t>stored</w:t>
      </w:r>
      <w:r w:rsidRPr="00AF26EF">
        <w:rPr>
          <w:lang w:val="en-GB"/>
        </w:rPr>
        <w:t xml:space="preserve"> and </w:t>
      </w:r>
      <w:proofErr w:type="spellStart"/>
      <w:r w:rsidRPr="00AF26EF">
        <w:rPr>
          <w:lang w:val="en-GB"/>
        </w:rPr>
        <w:t>Primestore</w:t>
      </w:r>
      <w:proofErr w:type="spellEnd"/>
      <w:r w:rsidRPr="00AF26EF">
        <w:rPr>
          <w:lang w:val="en-GB"/>
        </w:rPr>
        <w:t xml:space="preserve">-stored samples are shown in Figure 1. </w:t>
      </w:r>
      <w:proofErr w:type="spellStart"/>
      <w:r w:rsidRPr="00AF26EF">
        <w:rPr>
          <w:lang w:val="en-GB"/>
        </w:rPr>
        <w:t>Omnigene</w:t>
      </w:r>
      <w:proofErr w:type="spellEnd"/>
      <w:r w:rsidRPr="00AF26EF">
        <w:rPr>
          <w:lang w:val="en-GB"/>
        </w:rPr>
        <w:t xml:space="preserve">-stored sputum had higher GX grades than fresh sputum in 14 (21%) samples, similar grades in 34 (51%) </w:t>
      </w:r>
      <w:r w:rsidR="00872659" w:rsidRPr="00AF26EF">
        <w:rPr>
          <w:lang w:val="en-GB"/>
        </w:rPr>
        <w:t xml:space="preserve">samples </w:t>
      </w:r>
      <w:r w:rsidRPr="00AF26EF">
        <w:rPr>
          <w:lang w:val="en-GB"/>
        </w:rPr>
        <w:t>and lower grades in</w:t>
      </w:r>
      <w:r w:rsidR="00872659" w:rsidRPr="00AF26EF">
        <w:rPr>
          <w:lang w:val="en-GB"/>
        </w:rPr>
        <w:t xml:space="preserve"> </w:t>
      </w:r>
      <w:r w:rsidRPr="00AF26EF">
        <w:rPr>
          <w:lang w:val="en-GB"/>
        </w:rPr>
        <w:t xml:space="preserve">19 (28%) </w:t>
      </w:r>
      <w:r w:rsidR="002256EE" w:rsidRPr="00AF26EF">
        <w:rPr>
          <w:lang w:val="en-GB"/>
        </w:rPr>
        <w:t>samples</w:t>
      </w:r>
      <w:r w:rsidRPr="00AF26EF">
        <w:rPr>
          <w:lang w:val="en-GB"/>
        </w:rPr>
        <w:t xml:space="preserve">. In comparison, </w:t>
      </w:r>
      <w:proofErr w:type="spellStart"/>
      <w:r w:rsidRPr="00AF26EF">
        <w:rPr>
          <w:lang w:val="en-GB"/>
        </w:rPr>
        <w:t>Primestore</w:t>
      </w:r>
      <w:proofErr w:type="spellEnd"/>
      <w:r w:rsidRPr="00AF26EF">
        <w:rPr>
          <w:lang w:val="en-GB"/>
        </w:rPr>
        <w:t xml:space="preserve">-stored samples had higher </w:t>
      </w:r>
      <w:r w:rsidR="00D13D9D" w:rsidRPr="00AF26EF">
        <w:rPr>
          <w:lang w:val="en-GB"/>
        </w:rPr>
        <w:t xml:space="preserve">GX </w:t>
      </w:r>
      <w:r w:rsidRPr="00AF26EF">
        <w:rPr>
          <w:lang w:val="en-GB"/>
        </w:rPr>
        <w:t xml:space="preserve">grades than fresh sputum in </w:t>
      </w:r>
      <w:r w:rsidR="00407744" w:rsidRPr="00AF26EF">
        <w:rPr>
          <w:lang w:val="en-GB"/>
        </w:rPr>
        <w:t xml:space="preserve">four </w:t>
      </w:r>
      <w:r w:rsidRPr="00AF26EF">
        <w:rPr>
          <w:lang w:val="en-GB"/>
        </w:rPr>
        <w:t xml:space="preserve">(6%) samples, similar grades in 29 (43%) and lower grades in 35 (51%). </w:t>
      </w:r>
    </w:p>
    <w:p w14:paraId="5AA171B1" w14:textId="01DD2367" w:rsidR="005A78FB" w:rsidRPr="00AF26EF" w:rsidRDefault="00BE08DC" w:rsidP="00A547AC">
      <w:pPr>
        <w:pStyle w:val="MDPI31text"/>
        <w:rPr>
          <w:lang w:val="en-GB"/>
        </w:rPr>
      </w:pPr>
      <w:r w:rsidRPr="00AF26EF">
        <w:rPr>
          <w:lang w:val="en-GB"/>
        </w:rPr>
        <w:t xml:space="preserve">The agreement between </w:t>
      </w:r>
      <w:r w:rsidR="003A19BD" w:rsidRPr="00AF26EF">
        <w:rPr>
          <w:lang w:val="en-GB"/>
        </w:rPr>
        <w:t>GX</w:t>
      </w:r>
      <w:r w:rsidR="00F74B67" w:rsidRPr="00AF26EF">
        <w:rPr>
          <w:lang w:val="en-GB"/>
        </w:rPr>
        <w:t xml:space="preserve"> conducted in fresh</w:t>
      </w:r>
      <w:r w:rsidRPr="00AF26EF">
        <w:rPr>
          <w:lang w:val="en-GB"/>
        </w:rPr>
        <w:t xml:space="preserve"> and </w:t>
      </w:r>
      <w:r w:rsidR="00F74B67" w:rsidRPr="00AF26EF">
        <w:rPr>
          <w:lang w:val="en-GB"/>
        </w:rPr>
        <w:t xml:space="preserve">stored samples </w:t>
      </w:r>
      <w:r w:rsidR="00FF7562" w:rsidRPr="00AF26EF">
        <w:rPr>
          <w:lang w:val="en-GB"/>
        </w:rPr>
        <w:t xml:space="preserve">is shown in </w:t>
      </w:r>
      <w:r w:rsidR="00872659" w:rsidRPr="00AF26EF">
        <w:rPr>
          <w:lang w:val="en-GB"/>
        </w:rPr>
        <w:t>T</w:t>
      </w:r>
      <w:r w:rsidR="00FF7562" w:rsidRPr="00AF26EF">
        <w:rPr>
          <w:lang w:val="en-GB"/>
        </w:rPr>
        <w:t xml:space="preserve">able 2. </w:t>
      </w:r>
      <w:r w:rsidR="002256EE" w:rsidRPr="00AF26EF">
        <w:rPr>
          <w:lang w:val="en-GB"/>
        </w:rPr>
        <w:t xml:space="preserve">The overall agreement between fresh and </w:t>
      </w:r>
      <w:proofErr w:type="spellStart"/>
      <w:r w:rsidR="002256EE" w:rsidRPr="00AF26EF">
        <w:rPr>
          <w:lang w:val="en-GB"/>
        </w:rPr>
        <w:t>Omnigene</w:t>
      </w:r>
      <w:proofErr w:type="spellEnd"/>
      <w:r w:rsidR="002256EE" w:rsidRPr="00AF26EF">
        <w:rPr>
          <w:lang w:val="en-GB"/>
        </w:rPr>
        <w:t xml:space="preserve"> GX was 98.4% (Kappa 0.948, 95% CI: 0.903</w:t>
      </w:r>
      <w:r w:rsidR="00872659" w:rsidRPr="00AF26EF">
        <w:rPr>
          <w:lang w:val="en-GB"/>
        </w:rPr>
        <w:t>–</w:t>
      </w:r>
      <w:r w:rsidR="002256EE" w:rsidRPr="00AF26EF">
        <w:rPr>
          <w:lang w:val="en-GB"/>
        </w:rPr>
        <w:t xml:space="preserve">0.993) and </w:t>
      </w:r>
      <w:r w:rsidR="00407744" w:rsidRPr="00AF26EF">
        <w:rPr>
          <w:lang w:val="en-GB"/>
        </w:rPr>
        <w:t xml:space="preserve">94.7% </w:t>
      </w:r>
      <w:r w:rsidR="002256EE" w:rsidRPr="00AF26EF">
        <w:rPr>
          <w:lang w:val="en-GB"/>
        </w:rPr>
        <w:t xml:space="preserve">between fresh and </w:t>
      </w:r>
      <w:proofErr w:type="spellStart"/>
      <w:r w:rsidR="002256EE" w:rsidRPr="00AF26EF">
        <w:rPr>
          <w:lang w:val="en-GB"/>
        </w:rPr>
        <w:t>Primestore</w:t>
      </w:r>
      <w:proofErr w:type="spellEnd"/>
      <w:r w:rsidR="002256EE" w:rsidRPr="00AF26EF">
        <w:rPr>
          <w:lang w:val="en-GB"/>
        </w:rPr>
        <w:t xml:space="preserve"> GX (Kappa 0.850, 95% CI: 0.774</w:t>
      </w:r>
      <w:r w:rsidR="00872659" w:rsidRPr="00AF26EF">
        <w:rPr>
          <w:lang w:val="en-GB"/>
        </w:rPr>
        <w:t>–</w:t>
      </w:r>
      <w:r w:rsidR="002256EE" w:rsidRPr="00AF26EF">
        <w:rPr>
          <w:lang w:val="en-GB"/>
        </w:rPr>
        <w:t>0.926)</w:t>
      </w:r>
      <w:r w:rsidR="00872659" w:rsidRPr="00AF26EF">
        <w:rPr>
          <w:lang w:val="en-GB"/>
        </w:rPr>
        <w:t>,</w:t>
      </w:r>
      <w:r w:rsidR="002256EE" w:rsidRPr="00AF26EF">
        <w:rPr>
          <w:lang w:val="en-GB"/>
        </w:rPr>
        <w:t xml:space="preserve"> indicating a high level of agreement. However</w:t>
      </w:r>
      <w:r w:rsidR="00FE50FB" w:rsidRPr="00AF26EF">
        <w:rPr>
          <w:lang w:val="en-GB"/>
        </w:rPr>
        <w:t>, s</w:t>
      </w:r>
      <w:r w:rsidR="00FF7562" w:rsidRPr="00AF26EF">
        <w:rPr>
          <w:lang w:val="en-GB"/>
        </w:rPr>
        <w:t xml:space="preserve">ix </w:t>
      </w:r>
      <w:r w:rsidR="002256EE" w:rsidRPr="00AF26EF">
        <w:rPr>
          <w:lang w:val="en-GB"/>
        </w:rPr>
        <w:t>culture-positive samples had concomitant fresh</w:t>
      </w:r>
      <w:r w:rsidR="00FE50FB" w:rsidRPr="00AF26EF">
        <w:rPr>
          <w:lang w:val="en-GB"/>
        </w:rPr>
        <w:t xml:space="preserve">, </w:t>
      </w:r>
      <w:proofErr w:type="spellStart"/>
      <w:r w:rsidR="00FF7562" w:rsidRPr="00AF26EF">
        <w:rPr>
          <w:lang w:val="en-GB"/>
        </w:rPr>
        <w:t>Omnigene</w:t>
      </w:r>
      <w:proofErr w:type="spellEnd"/>
      <w:r w:rsidR="00FF7562" w:rsidRPr="00AF26EF">
        <w:rPr>
          <w:lang w:val="en-GB"/>
        </w:rPr>
        <w:t xml:space="preserve"> and </w:t>
      </w:r>
      <w:proofErr w:type="spellStart"/>
      <w:r w:rsidR="00FF7562" w:rsidRPr="00AF26EF">
        <w:rPr>
          <w:lang w:val="en-GB"/>
        </w:rPr>
        <w:t>Primestore</w:t>
      </w:r>
      <w:proofErr w:type="spellEnd"/>
      <w:r w:rsidR="00FE50FB" w:rsidRPr="00AF26EF">
        <w:rPr>
          <w:lang w:val="en-GB"/>
        </w:rPr>
        <w:t xml:space="preserve"> </w:t>
      </w:r>
      <w:r w:rsidR="00C20E7F" w:rsidRPr="00AF26EF">
        <w:rPr>
          <w:lang w:val="en-GB"/>
        </w:rPr>
        <w:t>GX</w:t>
      </w:r>
      <w:r w:rsidR="002256EE" w:rsidRPr="00AF26EF">
        <w:rPr>
          <w:lang w:val="en-GB"/>
        </w:rPr>
        <w:t xml:space="preserve"> </w:t>
      </w:r>
      <w:r w:rsidR="00FE50FB" w:rsidRPr="00AF26EF">
        <w:rPr>
          <w:lang w:val="en-GB"/>
        </w:rPr>
        <w:t>negative</w:t>
      </w:r>
      <w:r w:rsidR="002256EE" w:rsidRPr="00AF26EF">
        <w:rPr>
          <w:lang w:val="en-GB"/>
        </w:rPr>
        <w:t xml:space="preserve"> results</w:t>
      </w:r>
      <w:r w:rsidR="00FF7562" w:rsidRPr="00AF26EF">
        <w:rPr>
          <w:lang w:val="en-GB"/>
        </w:rPr>
        <w:t>, suggest</w:t>
      </w:r>
      <w:r w:rsidR="002256EE" w:rsidRPr="00AF26EF">
        <w:rPr>
          <w:lang w:val="en-GB"/>
        </w:rPr>
        <w:t>ing</w:t>
      </w:r>
      <w:r w:rsidR="00FF7562" w:rsidRPr="00AF26EF">
        <w:rPr>
          <w:lang w:val="en-GB"/>
        </w:rPr>
        <w:t xml:space="preserve"> </w:t>
      </w:r>
      <w:r w:rsidR="00407744" w:rsidRPr="00AF26EF">
        <w:rPr>
          <w:lang w:val="en-GB"/>
        </w:rPr>
        <w:t xml:space="preserve">that </w:t>
      </w:r>
      <w:r w:rsidR="00FE50FB" w:rsidRPr="00AF26EF">
        <w:rPr>
          <w:lang w:val="en-GB"/>
        </w:rPr>
        <w:t>t</w:t>
      </w:r>
      <w:r w:rsidR="00FF7562" w:rsidRPr="00AF26EF">
        <w:rPr>
          <w:lang w:val="en-GB"/>
        </w:rPr>
        <w:t xml:space="preserve">he </w:t>
      </w:r>
      <w:r w:rsidR="00FE50FB" w:rsidRPr="00AF26EF">
        <w:rPr>
          <w:lang w:val="en-GB"/>
        </w:rPr>
        <w:t xml:space="preserve">DNA </w:t>
      </w:r>
      <w:r w:rsidR="007C3E83" w:rsidRPr="00AF26EF">
        <w:rPr>
          <w:lang w:val="en-GB"/>
        </w:rPr>
        <w:t>concentration</w:t>
      </w:r>
      <w:r w:rsidR="00FE50FB" w:rsidRPr="00AF26EF">
        <w:rPr>
          <w:lang w:val="en-GB"/>
        </w:rPr>
        <w:t xml:space="preserve"> </w:t>
      </w:r>
      <w:r w:rsidR="002256EE" w:rsidRPr="00AF26EF">
        <w:rPr>
          <w:lang w:val="en-GB"/>
        </w:rPr>
        <w:t xml:space="preserve">may have been </w:t>
      </w:r>
      <w:r w:rsidR="00FE50FB" w:rsidRPr="00AF26EF">
        <w:rPr>
          <w:lang w:val="en-GB"/>
        </w:rPr>
        <w:t xml:space="preserve">low and </w:t>
      </w:r>
      <w:r w:rsidR="00407744" w:rsidRPr="00AF26EF">
        <w:rPr>
          <w:lang w:val="en-GB"/>
        </w:rPr>
        <w:t xml:space="preserve">was </w:t>
      </w:r>
      <w:r w:rsidR="00FE50FB" w:rsidRPr="00AF26EF">
        <w:rPr>
          <w:lang w:val="en-GB"/>
        </w:rPr>
        <w:t xml:space="preserve">missed by </w:t>
      </w:r>
      <w:r w:rsidR="002256EE" w:rsidRPr="00AF26EF">
        <w:rPr>
          <w:lang w:val="en-GB"/>
        </w:rPr>
        <w:t xml:space="preserve">all </w:t>
      </w:r>
      <w:r w:rsidR="00C20E7F" w:rsidRPr="00AF26EF">
        <w:rPr>
          <w:lang w:val="en-GB"/>
        </w:rPr>
        <w:t>GX</w:t>
      </w:r>
      <w:r w:rsidR="002256EE" w:rsidRPr="00AF26EF">
        <w:rPr>
          <w:lang w:val="en-GB"/>
        </w:rPr>
        <w:t xml:space="preserve"> tests</w:t>
      </w:r>
      <w:r w:rsidR="00FF7562" w:rsidRPr="00AF26EF">
        <w:rPr>
          <w:lang w:val="en-GB"/>
        </w:rPr>
        <w:t>.</w:t>
      </w:r>
      <w:r w:rsidR="00FE50FB" w:rsidRPr="00AF26EF">
        <w:rPr>
          <w:lang w:val="en-GB"/>
        </w:rPr>
        <w:t xml:space="preserve"> </w:t>
      </w:r>
      <w:r w:rsidR="002256EE" w:rsidRPr="00AF26EF">
        <w:rPr>
          <w:lang w:val="en-GB"/>
        </w:rPr>
        <w:t xml:space="preserve">One </w:t>
      </w:r>
      <w:r w:rsidR="00FE50FB" w:rsidRPr="00AF26EF">
        <w:rPr>
          <w:lang w:val="en-GB"/>
        </w:rPr>
        <w:t>culture-positive patient was fresh</w:t>
      </w:r>
      <w:r w:rsidR="002256EE" w:rsidRPr="00AF26EF">
        <w:rPr>
          <w:lang w:val="en-GB"/>
        </w:rPr>
        <w:t xml:space="preserve"> </w:t>
      </w:r>
      <w:r w:rsidR="00C20E7F" w:rsidRPr="00AF26EF">
        <w:rPr>
          <w:lang w:val="en-GB"/>
        </w:rPr>
        <w:t>GX</w:t>
      </w:r>
      <w:r w:rsidR="00495C0E" w:rsidRPr="00AF26EF">
        <w:rPr>
          <w:lang w:val="en-GB"/>
        </w:rPr>
        <w:t>-</w:t>
      </w:r>
      <w:r w:rsidR="00FE50FB" w:rsidRPr="00AF26EF">
        <w:rPr>
          <w:lang w:val="en-GB"/>
        </w:rPr>
        <w:t xml:space="preserve">negative but </w:t>
      </w:r>
      <w:proofErr w:type="spellStart"/>
      <w:r w:rsidR="00FE50FB" w:rsidRPr="00AF26EF">
        <w:rPr>
          <w:lang w:val="en-GB"/>
        </w:rPr>
        <w:t>Omnigene</w:t>
      </w:r>
      <w:proofErr w:type="spellEnd"/>
      <w:r w:rsidR="00FE50FB" w:rsidRPr="00AF26EF">
        <w:rPr>
          <w:lang w:val="en-GB"/>
        </w:rPr>
        <w:t xml:space="preserve"> and </w:t>
      </w:r>
      <w:proofErr w:type="spellStart"/>
      <w:r w:rsidR="00FE50FB" w:rsidRPr="00AF26EF">
        <w:rPr>
          <w:lang w:val="en-GB"/>
        </w:rPr>
        <w:t>Primestore</w:t>
      </w:r>
      <w:proofErr w:type="spellEnd"/>
      <w:r w:rsidR="00634586" w:rsidRPr="00AF26EF">
        <w:rPr>
          <w:lang w:val="en-GB"/>
        </w:rPr>
        <w:t xml:space="preserve"> </w:t>
      </w:r>
      <w:r w:rsidR="00C20E7F" w:rsidRPr="00AF26EF">
        <w:rPr>
          <w:lang w:val="en-GB"/>
        </w:rPr>
        <w:t>GX</w:t>
      </w:r>
      <w:r w:rsidR="002256EE" w:rsidRPr="00AF26EF">
        <w:rPr>
          <w:lang w:val="en-GB"/>
        </w:rPr>
        <w:t>-</w:t>
      </w:r>
      <w:r w:rsidR="00FE50FB" w:rsidRPr="00AF26EF">
        <w:rPr>
          <w:lang w:val="en-GB"/>
        </w:rPr>
        <w:t>positive</w:t>
      </w:r>
      <w:r w:rsidR="00C20E7F" w:rsidRPr="00AF26EF">
        <w:rPr>
          <w:lang w:val="en-GB"/>
        </w:rPr>
        <w:t xml:space="preserve">. Among </w:t>
      </w:r>
      <w:r w:rsidR="00FE50FB" w:rsidRPr="00AF26EF">
        <w:rPr>
          <w:lang w:val="en-GB"/>
        </w:rPr>
        <w:t>culture</w:t>
      </w:r>
      <w:r w:rsidR="00C20E7F" w:rsidRPr="00AF26EF">
        <w:rPr>
          <w:lang w:val="en-GB"/>
        </w:rPr>
        <w:t xml:space="preserve">-negative </w:t>
      </w:r>
      <w:r w:rsidR="00495C0E" w:rsidRPr="00AF26EF">
        <w:rPr>
          <w:lang w:val="en-GB"/>
        </w:rPr>
        <w:t>samples</w:t>
      </w:r>
      <w:r w:rsidR="00C20E7F" w:rsidRPr="00AF26EF">
        <w:rPr>
          <w:lang w:val="en-GB"/>
        </w:rPr>
        <w:t xml:space="preserve">, one </w:t>
      </w:r>
      <w:r w:rsidR="00495C0E" w:rsidRPr="00AF26EF">
        <w:rPr>
          <w:lang w:val="en-GB"/>
        </w:rPr>
        <w:t>sample</w:t>
      </w:r>
      <w:r w:rsidR="00C20E7F" w:rsidRPr="00AF26EF">
        <w:rPr>
          <w:lang w:val="en-GB"/>
        </w:rPr>
        <w:t xml:space="preserve"> was</w:t>
      </w:r>
      <w:r w:rsidR="00FE50FB" w:rsidRPr="00AF26EF">
        <w:rPr>
          <w:lang w:val="en-GB"/>
        </w:rPr>
        <w:t xml:space="preserve"> fresh</w:t>
      </w:r>
      <w:r w:rsidR="00407744" w:rsidRPr="00AF26EF">
        <w:rPr>
          <w:lang w:val="en-GB"/>
        </w:rPr>
        <w:t xml:space="preserve"> and</w:t>
      </w:r>
      <w:r w:rsidR="00FE50FB" w:rsidRPr="00AF26EF">
        <w:rPr>
          <w:lang w:val="en-GB"/>
        </w:rPr>
        <w:t xml:space="preserve"> </w:t>
      </w:r>
      <w:proofErr w:type="spellStart"/>
      <w:r w:rsidR="00FE50FB" w:rsidRPr="00AF26EF">
        <w:rPr>
          <w:lang w:val="en-GB"/>
        </w:rPr>
        <w:t>Omnigene</w:t>
      </w:r>
      <w:proofErr w:type="spellEnd"/>
      <w:r w:rsidR="00FE50FB" w:rsidRPr="00AF26EF">
        <w:rPr>
          <w:lang w:val="en-GB"/>
        </w:rPr>
        <w:t xml:space="preserve"> and </w:t>
      </w:r>
      <w:proofErr w:type="spellStart"/>
      <w:r w:rsidR="00FE50FB" w:rsidRPr="00AF26EF">
        <w:rPr>
          <w:lang w:val="en-GB"/>
        </w:rPr>
        <w:t>Primestore</w:t>
      </w:r>
      <w:proofErr w:type="spellEnd"/>
      <w:r w:rsidR="00495C0E" w:rsidRPr="00AF26EF">
        <w:rPr>
          <w:lang w:val="en-GB"/>
        </w:rPr>
        <w:t xml:space="preserve"> GX-positive,</w:t>
      </w:r>
      <w:r w:rsidR="00FE50FB" w:rsidRPr="00AF26EF">
        <w:rPr>
          <w:lang w:val="en-GB"/>
        </w:rPr>
        <w:t xml:space="preserve"> </w:t>
      </w:r>
      <w:r w:rsidR="00C20E7F" w:rsidRPr="00AF26EF">
        <w:rPr>
          <w:lang w:val="en-GB"/>
        </w:rPr>
        <w:t xml:space="preserve">suggesting </w:t>
      </w:r>
      <w:r w:rsidR="00407744" w:rsidRPr="00AF26EF">
        <w:rPr>
          <w:lang w:val="en-GB"/>
        </w:rPr>
        <w:t xml:space="preserve">that </w:t>
      </w:r>
      <w:r w:rsidR="00495C0E" w:rsidRPr="00AF26EF">
        <w:rPr>
          <w:lang w:val="en-GB"/>
        </w:rPr>
        <w:t xml:space="preserve">this infection </w:t>
      </w:r>
      <w:r w:rsidR="00D13D9D" w:rsidRPr="00AF26EF">
        <w:rPr>
          <w:lang w:val="en-GB"/>
        </w:rPr>
        <w:t xml:space="preserve">may have </w:t>
      </w:r>
      <w:r w:rsidR="00020484" w:rsidRPr="00AF26EF">
        <w:rPr>
          <w:lang w:val="en-GB"/>
        </w:rPr>
        <w:t>been missed</w:t>
      </w:r>
      <w:r w:rsidR="0038166D" w:rsidRPr="00AF26EF">
        <w:rPr>
          <w:lang w:val="en-GB"/>
        </w:rPr>
        <w:t xml:space="preserve"> by </w:t>
      </w:r>
      <w:r w:rsidR="00A03457" w:rsidRPr="00AF26EF">
        <w:rPr>
          <w:lang w:val="en-GB"/>
        </w:rPr>
        <w:t>the</w:t>
      </w:r>
      <w:r w:rsidR="00C20E7F" w:rsidRPr="00AF26EF">
        <w:rPr>
          <w:lang w:val="en-GB"/>
        </w:rPr>
        <w:t xml:space="preserve"> culture</w:t>
      </w:r>
      <w:r w:rsidR="00407744" w:rsidRPr="00AF26EF">
        <w:rPr>
          <w:lang w:val="en-GB"/>
        </w:rPr>
        <w:t>,</w:t>
      </w:r>
      <w:r w:rsidR="00C20E7F" w:rsidRPr="00AF26EF">
        <w:rPr>
          <w:lang w:val="en-GB"/>
        </w:rPr>
        <w:t xml:space="preserve"> </w:t>
      </w:r>
      <w:r w:rsidR="00495C0E" w:rsidRPr="00AF26EF">
        <w:rPr>
          <w:lang w:val="en-GB"/>
        </w:rPr>
        <w:t>and</w:t>
      </w:r>
      <w:r w:rsidR="00D13D9D" w:rsidRPr="00AF26EF">
        <w:rPr>
          <w:lang w:val="en-GB"/>
        </w:rPr>
        <w:t xml:space="preserve"> a further</w:t>
      </w:r>
      <w:r w:rsidR="00495C0E" w:rsidRPr="00AF26EF">
        <w:rPr>
          <w:lang w:val="en-GB"/>
        </w:rPr>
        <w:t xml:space="preserve"> </w:t>
      </w:r>
      <w:r w:rsidR="00FE50FB" w:rsidRPr="00AF26EF">
        <w:rPr>
          <w:lang w:val="en-GB"/>
        </w:rPr>
        <w:t xml:space="preserve">three </w:t>
      </w:r>
      <w:r w:rsidR="00495C0E" w:rsidRPr="00AF26EF">
        <w:rPr>
          <w:lang w:val="en-GB"/>
        </w:rPr>
        <w:t>samples</w:t>
      </w:r>
      <w:r w:rsidR="00FE50FB" w:rsidRPr="00AF26EF">
        <w:rPr>
          <w:lang w:val="en-GB"/>
        </w:rPr>
        <w:t xml:space="preserve"> </w:t>
      </w:r>
      <w:r w:rsidR="00C20E7F" w:rsidRPr="00AF26EF">
        <w:rPr>
          <w:lang w:val="en-GB"/>
        </w:rPr>
        <w:t>were culture-negative</w:t>
      </w:r>
      <w:r w:rsidR="00A03457" w:rsidRPr="00AF26EF">
        <w:rPr>
          <w:lang w:val="en-GB"/>
        </w:rPr>
        <w:t xml:space="preserve"> and</w:t>
      </w:r>
      <w:r w:rsidR="00C20E7F" w:rsidRPr="00AF26EF">
        <w:rPr>
          <w:lang w:val="en-GB"/>
        </w:rPr>
        <w:t xml:space="preserve"> fresh GX</w:t>
      </w:r>
      <w:r w:rsidR="00495C0E" w:rsidRPr="00AF26EF">
        <w:rPr>
          <w:lang w:val="en-GB"/>
        </w:rPr>
        <w:t>-</w:t>
      </w:r>
      <w:r w:rsidR="00C20E7F" w:rsidRPr="00AF26EF">
        <w:rPr>
          <w:lang w:val="en-GB"/>
        </w:rPr>
        <w:t xml:space="preserve">positive but </w:t>
      </w:r>
      <w:proofErr w:type="spellStart"/>
      <w:r w:rsidR="00C20E7F" w:rsidRPr="00AF26EF">
        <w:rPr>
          <w:lang w:val="en-GB"/>
        </w:rPr>
        <w:t>Omnigene</w:t>
      </w:r>
      <w:proofErr w:type="spellEnd"/>
      <w:r w:rsidR="00C20E7F" w:rsidRPr="00AF26EF">
        <w:rPr>
          <w:lang w:val="en-GB"/>
        </w:rPr>
        <w:t xml:space="preserve"> and </w:t>
      </w:r>
      <w:proofErr w:type="spellStart"/>
      <w:r w:rsidR="00C20E7F" w:rsidRPr="00AF26EF">
        <w:rPr>
          <w:lang w:val="en-GB"/>
        </w:rPr>
        <w:t>Primestore</w:t>
      </w:r>
      <w:proofErr w:type="spellEnd"/>
      <w:r w:rsidR="00C20E7F" w:rsidRPr="00AF26EF">
        <w:rPr>
          <w:lang w:val="en-GB"/>
        </w:rPr>
        <w:t xml:space="preserve"> GX-negative</w:t>
      </w:r>
      <w:r w:rsidR="00495C0E" w:rsidRPr="00AF26EF">
        <w:rPr>
          <w:lang w:val="en-GB"/>
        </w:rPr>
        <w:t>, which is difficult to interpret</w:t>
      </w:r>
      <w:r w:rsidR="00FE50FB" w:rsidRPr="00AF26EF">
        <w:rPr>
          <w:lang w:val="en-GB"/>
        </w:rPr>
        <w:t>.</w:t>
      </w:r>
    </w:p>
    <w:p w14:paraId="1C2D6444" w14:textId="1BA3CFC8" w:rsidR="005A78FB" w:rsidRPr="00AF26EF" w:rsidRDefault="005A78FB" w:rsidP="00B53007">
      <w:pPr>
        <w:pStyle w:val="MDPI31text"/>
        <w:rPr>
          <w:lang w:val="en-GB"/>
        </w:rPr>
      </w:pPr>
    </w:p>
    <w:p w14:paraId="7C8E9211" w14:textId="04869F26" w:rsidR="00107F5F" w:rsidRPr="00AF26EF" w:rsidRDefault="00107F5F" w:rsidP="00107F5F">
      <w:pPr>
        <w:pStyle w:val="MDPI31text"/>
        <w:ind w:firstLine="0"/>
        <w:rPr>
          <w:lang w:val="en-GB"/>
        </w:rPr>
        <w:sectPr w:rsidR="00107F5F" w:rsidRPr="00AF26EF" w:rsidSect="00C81D6E">
          <w:headerReference w:type="default" r:id="rId22"/>
          <w:headerReference w:type="first" r:id="rId23"/>
          <w:footerReference w:type="first" r:id="rId24"/>
          <w:type w:val="continuous"/>
          <w:pgSz w:w="11909" w:h="16834"/>
          <w:pgMar w:top="1417" w:right="1531" w:bottom="1077" w:left="1531" w:header="1020" w:footer="850" w:gutter="0"/>
          <w:cols w:space="720"/>
          <w:titlePg/>
          <w:docGrid w:linePitch="360"/>
        </w:sectPr>
      </w:pPr>
    </w:p>
    <w:p w14:paraId="5D737E4F" w14:textId="282E6AAB" w:rsidR="005A78FB" w:rsidRPr="00AF26EF" w:rsidRDefault="00A547AC" w:rsidP="00107F5F">
      <w:pPr>
        <w:pStyle w:val="MDPI41tablecaption"/>
        <w:jc w:val="center"/>
        <w:rPr>
          <w:lang w:val="en-GB"/>
        </w:rPr>
      </w:pPr>
      <w:r w:rsidRPr="00AF26EF">
        <w:rPr>
          <w:b/>
          <w:lang w:val="en-GB"/>
        </w:rPr>
        <w:lastRenderedPageBreak/>
        <w:t>Table 1.</w:t>
      </w:r>
      <w:r w:rsidR="005A78FB" w:rsidRPr="00AF26EF">
        <w:rPr>
          <w:b/>
          <w:lang w:val="en-GB"/>
        </w:rPr>
        <w:t xml:space="preserve"> </w:t>
      </w:r>
      <w:r w:rsidR="005A78FB" w:rsidRPr="00AF26EF">
        <w:rPr>
          <w:lang w:val="en-GB"/>
        </w:rPr>
        <w:t xml:space="preserve">Sensitivity and specificity of </w:t>
      </w:r>
      <w:proofErr w:type="spellStart"/>
      <w:r w:rsidR="005A78FB" w:rsidRPr="00AF26EF">
        <w:rPr>
          <w:lang w:val="en-GB"/>
        </w:rPr>
        <w:t>Xpert</w:t>
      </w:r>
      <w:proofErr w:type="spellEnd"/>
      <w:r w:rsidR="005A78FB" w:rsidRPr="00AF26EF">
        <w:rPr>
          <w:lang w:val="en-GB"/>
        </w:rPr>
        <w:t xml:space="preserve"> MTB/RIF in fresh, </w:t>
      </w:r>
      <w:proofErr w:type="spellStart"/>
      <w:r w:rsidR="005A78FB" w:rsidRPr="00AF26EF">
        <w:rPr>
          <w:lang w:val="en-GB"/>
        </w:rPr>
        <w:t>Omnigene</w:t>
      </w:r>
      <w:proofErr w:type="spellEnd"/>
      <w:r w:rsidR="005A78FB" w:rsidRPr="00AF26EF">
        <w:rPr>
          <w:lang w:val="en-GB"/>
        </w:rPr>
        <w:t xml:space="preserve">-stored and </w:t>
      </w:r>
      <w:proofErr w:type="spellStart"/>
      <w:r w:rsidR="005A78FB" w:rsidRPr="00AF26EF">
        <w:rPr>
          <w:lang w:val="en-GB"/>
        </w:rPr>
        <w:t>Primestore</w:t>
      </w:r>
      <w:proofErr w:type="spellEnd"/>
      <w:r w:rsidR="005A78FB" w:rsidRPr="00AF26EF">
        <w:rPr>
          <w:lang w:val="en-GB"/>
        </w:rPr>
        <w:t>-stored sputum.</w:t>
      </w:r>
      <w:r w:rsidR="00107F5F" w:rsidRPr="00AF26EF">
        <w:rPr>
          <w:lang w:val="en-GB"/>
        </w:rPr>
        <w:t xml:space="preserve"> </w:t>
      </w:r>
    </w:p>
    <w:tbl>
      <w:tblPr>
        <w:tblStyle w:val="MediumList1-Accent1"/>
        <w:tblW w:w="13798" w:type="dxa"/>
        <w:jc w:val="center"/>
        <w:tblBorders>
          <w:top w:val="single" w:sz="4" w:space="0" w:color="4472C4" w:themeColor="accent1"/>
          <w:bottom w:val="single" w:sz="4" w:space="0" w:color="4472C4" w:themeColor="accent1"/>
        </w:tblBorders>
        <w:shd w:val="clear" w:color="auto" w:fill="FFFFFF" w:themeFill="background1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3"/>
        <w:gridCol w:w="1930"/>
        <w:gridCol w:w="1138"/>
        <w:gridCol w:w="1190"/>
        <w:gridCol w:w="1138"/>
        <w:gridCol w:w="1197"/>
        <w:gridCol w:w="642"/>
        <w:gridCol w:w="2263"/>
        <w:gridCol w:w="2397"/>
      </w:tblGrid>
      <w:tr w:rsidR="0021539F" w:rsidRPr="00AF26EF" w14:paraId="78A5C062" w14:textId="77777777" w:rsidTr="00215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57331C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Culture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5089B8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C03BCD" w14:textId="5129A8F5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  <w:lang w:val="en-US"/>
              </w:rPr>
            </w:pPr>
            <w:r w:rsidRPr="00AF26EF">
              <w:rPr>
                <w:b/>
                <w:szCs w:val="16"/>
                <w:lang w:val="en-US"/>
              </w:rPr>
              <w:t>positive (</w:t>
            </w:r>
            <w:r w:rsidRPr="00AF26EF">
              <w:rPr>
                <w:b/>
                <w:i/>
                <w:szCs w:val="16"/>
                <w:lang w:val="en-US"/>
              </w:rPr>
              <w:t xml:space="preserve">n </w:t>
            </w:r>
            <w:r w:rsidRPr="00AF26EF">
              <w:rPr>
                <w:b/>
                <w:szCs w:val="16"/>
                <w:lang w:val="en-US"/>
              </w:rPr>
              <w:t>=</w:t>
            </w:r>
            <w:r w:rsidRPr="00AF26EF">
              <w:rPr>
                <w:b/>
                <w:i/>
                <w:szCs w:val="16"/>
                <w:lang w:val="en-US"/>
              </w:rPr>
              <w:t xml:space="preserve"> </w:t>
            </w:r>
            <w:r w:rsidRPr="00AF26EF">
              <w:rPr>
                <w:b/>
                <w:szCs w:val="16"/>
                <w:lang w:val="en-US"/>
              </w:rPr>
              <w:t>63)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C2E6C9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  <w:lang w:val="en-US"/>
              </w:rPr>
            </w:pPr>
            <w:r w:rsidRPr="00AF26EF">
              <w:rPr>
                <w:b/>
                <w:szCs w:val="16"/>
                <w:lang w:val="en-US"/>
              </w:rPr>
              <w:t>negative (</w:t>
            </w:r>
            <w:r w:rsidRPr="00AF26EF">
              <w:rPr>
                <w:b/>
                <w:i/>
                <w:szCs w:val="16"/>
                <w:lang w:val="en-US"/>
              </w:rPr>
              <w:t xml:space="preserve">n </w:t>
            </w:r>
            <w:r w:rsidRPr="00AF26EF">
              <w:rPr>
                <w:b/>
                <w:szCs w:val="16"/>
                <w:lang w:val="en-US"/>
              </w:rPr>
              <w:t>=</w:t>
            </w:r>
            <w:r w:rsidRPr="00AF26EF">
              <w:rPr>
                <w:b/>
                <w:i/>
                <w:szCs w:val="16"/>
                <w:lang w:val="en-US"/>
              </w:rPr>
              <w:t xml:space="preserve"> </w:t>
            </w:r>
            <w:r w:rsidRPr="00AF26EF">
              <w:rPr>
                <w:b/>
                <w:szCs w:val="16"/>
                <w:lang w:val="en-US"/>
              </w:rPr>
              <w:t>185)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1C9984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  <w:lang w:val="en-US"/>
              </w:rPr>
            </w:pPr>
            <w:r w:rsidRPr="00AF26EF">
              <w:rPr>
                <w:b/>
                <w:szCs w:val="16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3A3765" w14:textId="5C158CA4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  <w:lang w:val="en-US"/>
              </w:rPr>
            </w:pPr>
            <w:r w:rsidRPr="00AF26EF">
              <w:rPr>
                <w:b/>
                <w:szCs w:val="16"/>
                <w:lang w:val="en-US"/>
              </w:rPr>
              <w:t>sensitivity, 95% CI</w:t>
            </w:r>
            <w:r w:rsidR="00052D25" w:rsidRPr="00AF26EF">
              <w:rPr>
                <w:b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6BDA62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  <w:lang w:val="en-US"/>
              </w:rPr>
            </w:pPr>
            <w:r w:rsidRPr="00AF26EF">
              <w:rPr>
                <w:b/>
                <w:szCs w:val="16"/>
                <w:lang w:val="en-US"/>
              </w:rPr>
              <w:t xml:space="preserve">specificity, 95% CI </w:t>
            </w:r>
          </w:p>
        </w:tc>
      </w:tr>
      <w:tr w:rsidR="00052D25" w:rsidRPr="00AF26EF" w14:paraId="0BCB09C4" w14:textId="77777777" w:rsidTr="0021539F">
        <w:tblPrEx>
          <w:tblBorders>
            <w:top w:val="single" w:sz="8" w:space="0" w:color="4472C4" w:themeColor="accent1"/>
            <w:bottom w:val="single" w:sz="8" w:space="0" w:color="4472C4" w:themeColor="accent1"/>
          </w:tblBorders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D26731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rPr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7CD7261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6"/>
                <w:lang w:val="en-US"/>
              </w:rPr>
            </w:pPr>
            <w:proofErr w:type="spellStart"/>
            <w:r w:rsidRPr="00AF26EF">
              <w:rPr>
                <w:b/>
                <w:szCs w:val="16"/>
                <w:lang w:val="en-US"/>
              </w:rPr>
              <w:t>Xpert</w:t>
            </w:r>
            <w:proofErr w:type="spellEnd"/>
            <w:r w:rsidRPr="00AF26EF">
              <w:rPr>
                <w:b/>
                <w:szCs w:val="16"/>
                <w:lang w:val="en-US"/>
              </w:rPr>
              <w:t xml:space="preserve"> MTB/</w:t>
            </w:r>
            <w:proofErr w:type="spellStart"/>
            <w:r w:rsidRPr="00AF26EF">
              <w:rPr>
                <w:b/>
                <w:szCs w:val="16"/>
                <w:lang w:val="en-US"/>
              </w:rPr>
              <w:t>RiF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FA9DA30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6"/>
                <w:lang w:val="en-US"/>
              </w:rPr>
            </w:pPr>
            <w:r w:rsidRPr="00AF26EF">
              <w:rPr>
                <w:b/>
                <w:szCs w:val="16"/>
                <w:lang w:val="en-US"/>
              </w:rPr>
              <w:t>positive</w:t>
            </w:r>
          </w:p>
          <w:p w14:paraId="4224534E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6"/>
                <w:lang w:val="en-US"/>
              </w:rPr>
            </w:pPr>
            <w:r w:rsidRPr="00AF26EF">
              <w:rPr>
                <w:b/>
                <w:i/>
                <w:szCs w:val="16"/>
                <w:lang w:val="en-US"/>
              </w:rPr>
              <w:t>n</w:t>
            </w:r>
            <w:r w:rsidRPr="00AF26EF">
              <w:rPr>
                <w:b/>
                <w:szCs w:val="16"/>
                <w:lang w:val="en-US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69CB872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6"/>
                <w:lang w:val="en-US"/>
              </w:rPr>
            </w:pPr>
            <w:r w:rsidRPr="00AF26EF">
              <w:rPr>
                <w:b/>
                <w:szCs w:val="16"/>
                <w:lang w:val="en-US"/>
              </w:rPr>
              <w:t>negative</w:t>
            </w:r>
          </w:p>
          <w:p w14:paraId="455CB07A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6"/>
                <w:lang w:val="en-US"/>
              </w:rPr>
            </w:pPr>
            <w:r w:rsidRPr="00AF26EF">
              <w:rPr>
                <w:b/>
                <w:i/>
                <w:szCs w:val="16"/>
                <w:lang w:val="en-US"/>
              </w:rPr>
              <w:t>n</w:t>
            </w:r>
            <w:r w:rsidRPr="00AF26EF">
              <w:rPr>
                <w:b/>
                <w:szCs w:val="16"/>
                <w:lang w:val="en-US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FEB019A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6"/>
                <w:lang w:val="en-US"/>
              </w:rPr>
            </w:pPr>
            <w:r w:rsidRPr="00AF26EF">
              <w:rPr>
                <w:b/>
                <w:szCs w:val="16"/>
                <w:lang w:val="en-US"/>
              </w:rPr>
              <w:t>positive</w:t>
            </w:r>
          </w:p>
          <w:p w14:paraId="45A93D26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6"/>
                <w:lang w:val="en-US"/>
              </w:rPr>
            </w:pPr>
            <w:r w:rsidRPr="00AF26EF">
              <w:rPr>
                <w:b/>
                <w:i/>
                <w:szCs w:val="16"/>
                <w:lang w:val="en-US"/>
              </w:rPr>
              <w:t>n</w:t>
            </w:r>
            <w:r w:rsidRPr="00AF26EF">
              <w:rPr>
                <w:b/>
                <w:szCs w:val="16"/>
                <w:lang w:val="en-US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89BAA3B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6"/>
                <w:lang w:val="en-US"/>
              </w:rPr>
            </w:pPr>
            <w:r w:rsidRPr="00AF26EF">
              <w:rPr>
                <w:b/>
                <w:szCs w:val="16"/>
                <w:lang w:val="en-US"/>
              </w:rPr>
              <w:t>negative</w:t>
            </w:r>
          </w:p>
          <w:p w14:paraId="56DE6197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6"/>
                <w:lang w:val="en-US"/>
              </w:rPr>
            </w:pPr>
            <w:r w:rsidRPr="00AF26EF">
              <w:rPr>
                <w:b/>
                <w:i/>
                <w:szCs w:val="16"/>
                <w:lang w:val="en-US"/>
              </w:rPr>
              <w:t>n</w:t>
            </w:r>
            <w:r w:rsidRPr="00AF26EF">
              <w:rPr>
                <w:b/>
                <w:szCs w:val="16"/>
                <w:lang w:val="en-US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52B4A0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BE81EA3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EC3C1E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</w:p>
        </w:tc>
      </w:tr>
      <w:tr w:rsidR="00052D25" w:rsidRPr="00AF26EF" w14:paraId="51D79925" w14:textId="77777777" w:rsidTr="0021539F">
        <w:tblPrEx>
          <w:tblBorders>
            <w:top w:val="single" w:sz="8" w:space="0" w:color="4472C4" w:themeColor="accent1"/>
            <w:bottom w:val="single" w:sz="8" w:space="0" w:color="4472C4" w:themeColor="accent1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4266E5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 xml:space="preserve">All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97205A2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 xml:space="preserve">Fresh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64ED24C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56 (88.9)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8E67B29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7 (11.1)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D0FADA9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4 (2.2)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D85F718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181(97.8)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7655798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5DE3012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88.9%, 78.4–95.4%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FFFFFF" w:themeFill="background1"/>
            <w:noWrap/>
            <w:vAlign w:val="center"/>
          </w:tcPr>
          <w:p w14:paraId="57E6F1D0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97.8%, 94.6–99.4%</w:t>
            </w:r>
          </w:p>
        </w:tc>
      </w:tr>
      <w:tr w:rsidR="00052D25" w:rsidRPr="00AF26EF" w14:paraId="268954D5" w14:textId="77777777" w:rsidTr="0021539F">
        <w:tblPrEx>
          <w:tblBorders>
            <w:top w:val="single" w:sz="8" w:space="0" w:color="4472C4" w:themeColor="accent1"/>
            <w:bottom w:val="single" w:sz="8" w:space="0" w:color="4472C4" w:themeColor="accent1"/>
          </w:tblBorders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il"/>
            </w:tcBorders>
            <w:shd w:val="clear" w:color="auto" w:fill="FFFFFF" w:themeFill="background1"/>
            <w:vAlign w:val="center"/>
          </w:tcPr>
          <w:p w14:paraId="571AFF73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rPr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1C6C4E8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6"/>
                <w:lang w:val="en-US"/>
              </w:rPr>
            </w:pPr>
            <w:proofErr w:type="spellStart"/>
            <w:r w:rsidRPr="00AF26EF">
              <w:rPr>
                <w:szCs w:val="16"/>
                <w:lang w:val="en-US"/>
              </w:rPr>
              <w:t>Omnigene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17CC1DD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56 (90.3)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A25FD00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6 (9.7)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E67A7F2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1 (0.5)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9A29DB5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184(99.5)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890016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247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8D5072F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90.3%, 80.1–96.4%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7F8182F1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99.5%, 97–100%</w:t>
            </w:r>
          </w:p>
        </w:tc>
      </w:tr>
      <w:tr w:rsidR="00052D25" w:rsidRPr="00AF26EF" w14:paraId="333E06C2" w14:textId="77777777" w:rsidTr="0021539F">
        <w:tblPrEx>
          <w:tblBorders>
            <w:top w:val="single" w:sz="8" w:space="0" w:color="4472C4" w:themeColor="accent1"/>
            <w:bottom w:val="single" w:sz="8" w:space="0" w:color="4472C4" w:themeColor="accent1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il"/>
            </w:tcBorders>
            <w:shd w:val="clear" w:color="auto" w:fill="FFFFFF" w:themeFill="background1"/>
            <w:vAlign w:val="center"/>
          </w:tcPr>
          <w:p w14:paraId="7D883DD3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rPr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EB8CEAC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proofErr w:type="spellStart"/>
            <w:r w:rsidRPr="00AF26EF">
              <w:rPr>
                <w:szCs w:val="16"/>
                <w:lang w:val="en-US"/>
              </w:rPr>
              <w:t>Primestore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2DD829D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49 (79)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6E88AB1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13 (21)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21D70FB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3 (1.6)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E842E5E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181(98.4)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FF3962D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246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ED527DF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79%, 66.8–88.3%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62676296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98.4%, 95.3–99.7%</w:t>
            </w:r>
          </w:p>
        </w:tc>
      </w:tr>
      <w:tr w:rsidR="00052D25" w:rsidRPr="00AF26EF" w14:paraId="262FBFA1" w14:textId="77777777" w:rsidTr="0021539F">
        <w:tblPrEx>
          <w:tblBorders>
            <w:top w:val="single" w:sz="8" w:space="0" w:color="4472C4" w:themeColor="accent1"/>
            <w:bottom w:val="single" w:sz="8" w:space="0" w:color="4472C4" w:themeColor="accent1"/>
          </w:tblBorders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il"/>
            </w:tcBorders>
            <w:shd w:val="clear" w:color="auto" w:fill="FFFFFF" w:themeFill="background1"/>
            <w:vAlign w:val="center"/>
          </w:tcPr>
          <w:p w14:paraId="6D961A63" w14:textId="06D9210E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HIV</w:t>
            </w:r>
            <w:r w:rsidR="00052D25" w:rsidRPr="00AF26EF">
              <w:rPr>
                <w:b w:val="0"/>
                <w:szCs w:val="16"/>
                <w:vertAlign w:val="superscript"/>
                <w:lang w:val="en-US"/>
              </w:rPr>
              <w:t>1</w:t>
            </w:r>
            <w:r w:rsidRPr="00AF26EF">
              <w:rPr>
                <w:szCs w:val="16"/>
                <w:lang w:val="en-US"/>
              </w:rPr>
              <w:t xml:space="preserve"> infected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7F46F8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 xml:space="preserve">Fresh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D26D70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12 (85.7)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BD3742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2 (14.3)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FDA315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2 (2.8)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66611A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70 (97.2)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A801AF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86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5544E1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85.7%, 57.2–98.2%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08404F52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97.2%, 90.3–99.7%</w:t>
            </w:r>
          </w:p>
        </w:tc>
      </w:tr>
      <w:tr w:rsidR="00052D25" w:rsidRPr="00AF26EF" w14:paraId="6147D2E0" w14:textId="77777777" w:rsidTr="0021539F">
        <w:tblPrEx>
          <w:tblBorders>
            <w:top w:val="single" w:sz="8" w:space="0" w:color="4472C4" w:themeColor="accent1"/>
            <w:bottom w:val="single" w:sz="8" w:space="0" w:color="4472C4" w:themeColor="accent1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D737DE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rPr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B86F1DA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16"/>
                <w:lang w:val="en-US"/>
              </w:rPr>
            </w:pPr>
            <w:proofErr w:type="spellStart"/>
            <w:r w:rsidRPr="00AF26EF">
              <w:rPr>
                <w:szCs w:val="16"/>
                <w:lang w:val="en-US"/>
              </w:rPr>
              <w:t>Omnigene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2F9067E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12 (85.7)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67B08DB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2 (14.3)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90FA7C7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1 (1.4)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8A45E8C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71 (98.6)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CC1838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86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4CA03D2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85.7%, 57.2–98.2%</w:t>
            </w: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45016335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98.6%, 92.5–100%</w:t>
            </w:r>
          </w:p>
        </w:tc>
      </w:tr>
      <w:tr w:rsidR="00052D25" w:rsidRPr="00AF26EF" w14:paraId="16C8E043" w14:textId="77777777" w:rsidTr="0021539F">
        <w:tblPrEx>
          <w:tblBorders>
            <w:top w:val="single" w:sz="8" w:space="0" w:color="4472C4" w:themeColor="accent1"/>
            <w:bottom w:val="single" w:sz="8" w:space="0" w:color="4472C4" w:themeColor="accent1"/>
          </w:tblBorders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71C76D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rPr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FC5139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6"/>
                <w:lang w:val="en-US"/>
              </w:rPr>
            </w:pPr>
            <w:proofErr w:type="spellStart"/>
            <w:r w:rsidRPr="00AF26EF">
              <w:rPr>
                <w:szCs w:val="16"/>
                <w:lang w:val="en-US"/>
              </w:rPr>
              <w:t>Primestore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C4F37D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5 (35.7)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BDDEF2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9 (64.3)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1ED043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3 (4.2)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289F31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69 (95.8)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6FD03A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94081A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35.7%, 12.8–64.9%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5907AEC7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95.8%, 88.3–99.1%</w:t>
            </w:r>
          </w:p>
        </w:tc>
      </w:tr>
      <w:tr w:rsidR="00052D25" w:rsidRPr="00AF26EF" w14:paraId="287B7700" w14:textId="77777777" w:rsidTr="0021539F">
        <w:tblPrEx>
          <w:tblBorders>
            <w:top w:val="single" w:sz="8" w:space="0" w:color="4472C4" w:themeColor="accent1"/>
            <w:bottom w:val="single" w:sz="8" w:space="0" w:color="4472C4" w:themeColor="accent1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502742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HIV 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4FEDC4E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 xml:space="preserve">Fresh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0566132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41 (85.4)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CDB923A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4 (14.6)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E85BDD2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2 (2.0)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BCFF9C8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94 (98.0)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AE34FC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A33A4C1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91.1%, 78.8–97.5%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A444797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97.9%, 92.7–99.7%</w:t>
            </w:r>
          </w:p>
        </w:tc>
      </w:tr>
      <w:tr w:rsidR="00052D25" w:rsidRPr="00AF26EF" w14:paraId="6E2AB31F" w14:textId="77777777" w:rsidTr="0021539F">
        <w:tblPrEx>
          <w:tblBorders>
            <w:top w:val="single" w:sz="8" w:space="0" w:color="4472C4" w:themeColor="accent1"/>
            <w:bottom w:val="single" w:sz="8" w:space="0" w:color="4472C4" w:themeColor="accent1"/>
          </w:tblBorders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90FA51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rPr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BDFBB90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proofErr w:type="spellStart"/>
            <w:r w:rsidRPr="00AF26EF">
              <w:rPr>
                <w:szCs w:val="16"/>
                <w:lang w:val="en-US"/>
              </w:rPr>
              <w:t>Omnigene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12B3764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41 (93.2)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1F8B406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3 (6.8)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D1F029B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9B39F2A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96 (100)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EE0A90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9181D57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93.2%, 81.3–98.6%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4D2A6327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100.0%, 96.2–100.0%</w:t>
            </w:r>
          </w:p>
        </w:tc>
      </w:tr>
      <w:tr w:rsidR="00052D25" w:rsidRPr="00AF26EF" w14:paraId="446DB05B" w14:textId="77777777" w:rsidTr="0021539F">
        <w:tblPrEx>
          <w:tblBorders>
            <w:top w:val="single" w:sz="8" w:space="0" w:color="4472C4" w:themeColor="accent1"/>
            <w:bottom w:val="single" w:sz="8" w:space="0" w:color="4472C4" w:themeColor="accent1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2691F0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rPr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DB990C3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proofErr w:type="spellStart"/>
            <w:r w:rsidRPr="00AF26EF">
              <w:rPr>
                <w:szCs w:val="16"/>
                <w:lang w:val="en-US"/>
              </w:rPr>
              <w:t>Primestore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2F343F5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41 (93.2)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982F3E7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3 (6.8)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FD3E652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 xml:space="preserve">0 (0)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F37A5F0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96 (100)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E5D356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FE95A7E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93.2%, 81.3–98.6%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6415BDA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100.0%, 96.2–100.0%</w:t>
            </w:r>
          </w:p>
        </w:tc>
      </w:tr>
      <w:tr w:rsidR="00052D25" w:rsidRPr="00AF26EF" w14:paraId="39653037" w14:textId="77777777" w:rsidTr="0021539F">
        <w:tblPrEx>
          <w:tblBorders>
            <w:top w:val="single" w:sz="8" w:space="0" w:color="4472C4" w:themeColor="accent1"/>
            <w:bottom w:val="single" w:sz="8" w:space="0" w:color="4472C4" w:themeColor="accent1"/>
          </w:tblBorders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137E22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HIV 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9DAA77B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 xml:space="preserve">Fresh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457FE51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3 (75)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EC41ABB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1 (25)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4423F58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C84CA6A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17 (100)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562E3C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E3872AA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75.0%, 19.4–99.4%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1693A672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100.0%, 80.5–100.0%</w:t>
            </w:r>
          </w:p>
        </w:tc>
      </w:tr>
      <w:tr w:rsidR="00052D25" w:rsidRPr="00AF26EF" w14:paraId="7F81C3A5" w14:textId="77777777" w:rsidTr="0021539F">
        <w:tblPrEx>
          <w:tblBorders>
            <w:top w:val="single" w:sz="8" w:space="0" w:color="4472C4" w:themeColor="accent1"/>
            <w:bottom w:val="single" w:sz="8" w:space="0" w:color="4472C4" w:themeColor="accent1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F78EC9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rPr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92DA8EF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proofErr w:type="spellStart"/>
            <w:r w:rsidRPr="00AF26EF">
              <w:rPr>
                <w:szCs w:val="16"/>
                <w:lang w:val="en-US"/>
              </w:rPr>
              <w:t>Omnigene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7B6B2AA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3 (75)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6F0F56F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1 (25)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504565A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27188ED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17 (100)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9E917C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6403464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75.0%, 19.4–99.4%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826B1D9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100.0%, 80.5–100.0%</w:t>
            </w:r>
          </w:p>
        </w:tc>
      </w:tr>
      <w:tr w:rsidR="00052D25" w:rsidRPr="00AF26EF" w14:paraId="53786CEE" w14:textId="77777777" w:rsidTr="00052D25">
        <w:tblPrEx>
          <w:tblBorders>
            <w:top w:val="single" w:sz="8" w:space="0" w:color="4472C4" w:themeColor="accent1"/>
            <w:bottom w:val="single" w:sz="8" w:space="0" w:color="4472C4" w:themeColor="accent1"/>
          </w:tblBorders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3B8DD9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rPr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7BD8FE0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proofErr w:type="spellStart"/>
            <w:r w:rsidRPr="00AF26EF">
              <w:rPr>
                <w:szCs w:val="16"/>
                <w:lang w:val="en-US"/>
              </w:rPr>
              <w:t>Primestore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E45809B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3 (75)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B639A72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1 (25)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728BC9E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0D8AB87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16 (100)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392160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1C236B7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75.0%, 19.4–99.4%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B9F854" w14:textId="77777777" w:rsidR="0021539F" w:rsidRPr="00AF26EF" w:rsidRDefault="0021539F" w:rsidP="0021539F">
            <w:pPr>
              <w:pStyle w:val="MDPI31text"/>
              <w:autoSpaceDE w:val="0"/>
              <w:autoSpaceDN w:val="0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  <w:lang w:val="en-US"/>
              </w:rPr>
            </w:pPr>
            <w:r w:rsidRPr="00AF26EF">
              <w:rPr>
                <w:szCs w:val="16"/>
                <w:lang w:val="en-US"/>
              </w:rPr>
              <w:t>100.0%, 79.4–100.0%</w:t>
            </w:r>
          </w:p>
        </w:tc>
      </w:tr>
      <w:tr w:rsidR="00052D25" w:rsidRPr="00AF26EF" w14:paraId="6769DEE9" w14:textId="77777777" w:rsidTr="00360752">
        <w:tblPrEx>
          <w:tblBorders>
            <w:top w:val="single" w:sz="8" w:space="0" w:color="4472C4" w:themeColor="accent1"/>
            <w:bottom w:val="single" w:sz="8" w:space="0" w:color="4472C4" w:themeColor="accent1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6BCB79" w14:textId="0308E22A" w:rsidR="00052D25" w:rsidRPr="00AF26EF" w:rsidRDefault="00052D25" w:rsidP="00052D25">
            <w:pPr>
              <w:pStyle w:val="MDPI31text"/>
              <w:autoSpaceDE w:val="0"/>
              <w:autoSpaceDN w:val="0"/>
              <w:spacing w:line="240" w:lineRule="auto"/>
              <w:ind w:firstLine="0"/>
              <w:rPr>
                <w:b w:val="0"/>
                <w:szCs w:val="16"/>
              </w:rPr>
            </w:pPr>
            <w:r w:rsidRPr="00AF26EF">
              <w:rPr>
                <w:b w:val="0"/>
                <w:szCs w:val="16"/>
                <w:vertAlign w:val="superscript"/>
                <w:lang w:val="en-US"/>
              </w:rPr>
              <w:t xml:space="preserve">1 </w:t>
            </w:r>
            <w:r w:rsidRPr="00AF26EF">
              <w:rPr>
                <w:b w:val="0"/>
                <w:szCs w:val="16"/>
                <w:lang w:val="en-US"/>
              </w:rPr>
              <w:t>CI = Confidence Interval;</w:t>
            </w:r>
            <w:r w:rsidRPr="00AF26EF">
              <w:rPr>
                <w:b w:val="0"/>
                <w:szCs w:val="16"/>
                <w:vertAlign w:val="superscript"/>
                <w:lang w:val="en-US"/>
              </w:rPr>
              <w:t xml:space="preserve"> </w:t>
            </w:r>
            <w:r w:rsidRPr="00AF26EF">
              <w:rPr>
                <w:b w:val="0"/>
                <w:szCs w:val="16"/>
              </w:rPr>
              <w:t>HIV =Human Immunodeficiency Virus</w:t>
            </w:r>
          </w:p>
        </w:tc>
      </w:tr>
    </w:tbl>
    <w:p w14:paraId="2672AFF0" w14:textId="77777777" w:rsidR="009C5A64" w:rsidRPr="00AF26EF" w:rsidRDefault="009C5A64" w:rsidP="00F70C37">
      <w:pPr>
        <w:pStyle w:val="MDPI31text"/>
        <w:ind w:firstLine="0"/>
        <w:rPr>
          <w:lang w:val="en-GB"/>
        </w:rPr>
        <w:sectPr w:rsidR="009C5A64" w:rsidRPr="00AF26EF" w:rsidSect="00C81D6E">
          <w:type w:val="continuous"/>
          <w:pgSz w:w="16834" w:h="11909" w:orient="landscape"/>
          <w:pgMar w:top="1418" w:right="1531" w:bottom="1077" w:left="1531" w:header="1021" w:footer="851" w:gutter="0"/>
          <w:cols w:space="720"/>
          <w:titlePg/>
          <w:docGrid w:linePitch="360"/>
        </w:sectPr>
      </w:pPr>
    </w:p>
    <w:p w14:paraId="48BF3F22" w14:textId="4E202210" w:rsidR="005A78FB" w:rsidRPr="00AF26EF" w:rsidRDefault="00052D25" w:rsidP="00C70891">
      <w:pPr>
        <w:pStyle w:val="MDPI41tablecaption"/>
        <w:ind w:left="0"/>
        <w:rPr>
          <w:lang w:val="en-GB"/>
        </w:rPr>
      </w:pPr>
      <w:r w:rsidRPr="00AF26EF">
        <w:rPr>
          <w:noProof/>
          <w:lang w:eastAsia="zh-CN" w:bidi="ar-SA"/>
        </w:rPr>
        <w:lastRenderedPageBreak/>
        <w:drawing>
          <wp:inline distT="0" distB="0" distL="0" distR="0" wp14:anchorId="6947E939" wp14:editId="33E55858">
            <wp:extent cx="4394954" cy="7813001"/>
            <wp:effectExtent l="0" t="0" r="5715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nigene portrait fig.tif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11399" cy="784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33640" w14:textId="2E4B50CD" w:rsidR="005A78FB" w:rsidRPr="00AF26EF" w:rsidRDefault="005A78FB" w:rsidP="00B53007">
      <w:pPr>
        <w:pStyle w:val="MDPI31text"/>
        <w:rPr>
          <w:lang w:val="en-GB"/>
        </w:rPr>
      </w:pPr>
    </w:p>
    <w:p w14:paraId="58DC8640" w14:textId="24B706CD" w:rsidR="001E615D" w:rsidRPr="00AF26EF" w:rsidRDefault="00AF26EF" w:rsidP="00AF26EF">
      <w:pPr>
        <w:pStyle w:val="MDPI51figurecaption"/>
        <w:rPr>
          <w:lang w:val="en-GB"/>
        </w:rPr>
      </w:pPr>
      <w:r w:rsidRPr="00AF26EF">
        <w:rPr>
          <w:b/>
          <w:lang w:val="en-GB"/>
        </w:rPr>
        <w:t>Figure 1.</w:t>
      </w:r>
      <w:r w:rsidR="00F15C3D" w:rsidRPr="00AF26EF">
        <w:rPr>
          <w:b/>
          <w:lang w:val="en-GB"/>
        </w:rPr>
        <w:t xml:space="preserve"> </w:t>
      </w:r>
      <w:proofErr w:type="spellStart"/>
      <w:r w:rsidR="00F15C3D" w:rsidRPr="00AF26EF">
        <w:rPr>
          <w:lang w:val="en-GB"/>
        </w:rPr>
        <w:t>Xpert</w:t>
      </w:r>
      <w:proofErr w:type="spellEnd"/>
      <w:r w:rsidR="00F15C3D" w:rsidRPr="00AF26EF">
        <w:rPr>
          <w:lang w:val="en-GB"/>
        </w:rPr>
        <w:t xml:space="preserve"> semiquantitative results of fresh</w:t>
      </w:r>
      <w:r w:rsidR="00F15C3D" w:rsidRPr="00AF26EF">
        <w:rPr>
          <w:i/>
          <w:lang w:val="en-GB"/>
        </w:rPr>
        <w:t>,</w:t>
      </w:r>
      <w:r w:rsidR="00F15C3D" w:rsidRPr="00AF26EF">
        <w:rPr>
          <w:lang w:val="en-GB"/>
        </w:rPr>
        <w:t xml:space="preserve"> </w:t>
      </w:r>
      <w:proofErr w:type="spellStart"/>
      <w:r w:rsidR="00F15C3D" w:rsidRPr="00AF26EF">
        <w:rPr>
          <w:lang w:val="en-GB"/>
        </w:rPr>
        <w:t>Omnigene</w:t>
      </w:r>
      <w:proofErr w:type="spellEnd"/>
      <w:r w:rsidR="00F15C3D" w:rsidRPr="00AF26EF">
        <w:rPr>
          <w:lang w:val="en-GB"/>
        </w:rPr>
        <w:t xml:space="preserve">-stored and </w:t>
      </w:r>
      <w:proofErr w:type="spellStart"/>
      <w:r w:rsidR="00F15C3D" w:rsidRPr="00AF26EF">
        <w:rPr>
          <w:lang w:val="en-GB"/>
        </w:rPr>
        <w:t>Primestore</w:t>
      </w:r>
      <w:proofErr w:type="spellEnd"/>
      <w:r w:rsidR="00F15C3D" w:rsidRPr="00AF26EF">
        <w:rPr>
          <w:lang w:val="en-GB"/>
        </w:rPr>
        <w:t>-stored sputum specimens.</w:t>
      </w:r>
    </w:p>
    <w:p w14:paraId="50C8B678" w14:textId="31E9D4CF" w:rsidR="00C70891" w:rsidRPr="00AF26EF" w:rsidRDefault="00C70891" w:rsidP="00C70891">
      <w:pPr>
        <w:pStyle w:val="MDPI41tablecaption"/>
        <w:rPr>
          <w:lang w:val="en-GB"/>
        </w:rPr>
      </w:pPr>
      <w:r w:rsidRPr="00AF26EF">
        <w:rPr>
          <w:b/>
          <w:lang w:val="en-GB"/>
        </w:rPr>
        <w:lastRenderedPageBreak/>
        <w:t xml:space="preserve">Table 2. </w:t>
      </w:r>
      <w:r w:rsidRPr="00AF26EF">
        <w:rPr>
          <w:lang w:val="en-GB"/>
        </w:rPr>
        <w:t>Agreement of fresh</w:t>
      </w:r>
      <w:r w:rsidRPr="00AF26EF">
        <w:rPr>
          <w:i/>
          <w:lang w:val="en-GB"/>
        </w:rPr>
        <w:t xml:space="preserve"> </w:t>
      </w:r>
      <w:r w:rsidRPr="00AF26EF">
        <w:rPr>
          <w:lang w:val="en-GB"/>
        </w:rPr>
        <w:t>sputum</w:t>
      </w:r>
      <w:r w:rsidRPr="00AF26EF">
        <w:rPr>
          <w:i/>
          <w:lang w:val="en-GB"/>
        </w:rPr>
        <w:t xml:space="preserve"> </w:t>
      </w:r>
      <w:r w:rsidRPr="00AF26EF">
        <w:rPr>
          <w:lang w:val="en-GB"/>
        </w:rPr>
        <w:t xml:space="preserve">and </w:t>
      </w:r>
      <w:proofErr w:type="spellStart"/>
      <w:r w:rsidRPr="00AF26EF">
        <w:rPr>
          <w:lang w:val="en-GB"/>
        </w:rPr>
        <w:t>Omnigene</w:t>
      </w:r>
      <w:proofErr w:type="spellEnd"/>
      <w:r w:rsidRPr="00AF26EF">
        <w:rPr>
          <w:lang w:val="en-GB"/>
        </w:rPr>
        <w:t xml:space="preserve">-stored and </w:t>
      </w:r>
      <w:proofErr w:type="spellStart"/>
      <w:r w:rsidRPr="00AF26EF">
        <w:rPr>
          <w:lang w:val="en-GB"/>
        </w:rPr>
        <w:t>Primestore</w:t>
      </w:r>
      <w:proofErr w:type="spellEnd"/>
      <w:r w:rsidRPr="00AF26EF">
        <w:rPr>
          <w:lang w:val="en-GB"/>
        </w:rPr>
        <w:t xml:space="preserve">-stored </w:t>
      </w:r>
      <w:proofErr w:type="spellStart"/>
      <w:r w:rsidRPr="00AF26EF">
        <w:rPr>
          <w:lang w:val="en-GB"/>
        </w:rPr>
        <w:t>Xpert</w:t>
      </w:r>
      <w:proofErr w:type="spellEnd"/>
      <w:r w:rsidRPr="00AF26EF">
        <w:rPr>
          <w:lang w:val="en-GB"/>
        </w:rPr>
        <w:t xml:space="preserve"> MTB/RIF by culture.</w:t>
      </w:r>
    </w:p>
    <w:tbl>
      <w:tblPr>
        <w:tblStyle w:val="TableGrid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1711"/>
        <w:gridCol w:w="1112"/>
        <w:gridCol w:w="1048"/>
        <w:gridCol w:w="1349"/>
        <w:gridCol w:w="1154"/>
        <w:gridCol w:w="1109"/>
        <w:gridCol w:w="2253"/>
      </w:tblGrid>
      <w:tr w:rsidR="00C70891" w:rsidRPr="00AF26EF" w14:paraId="170E443C" w14:textId="77777777" w:rsidTr="00C70891">
        <w:trPr>
          <w:jc w:val="center"/>
        </w:trPr>
        <w:tc>
          <w:tcPr>
            <w:tcW w:w="28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D84CB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</w:pPr>
            <w:r w:rsidRPr="00AF26EF"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  <w:t>Culture</w:t>
            </w:r>
          </w:p>
        </w:tc>
        <w:tc>
          <w:tcPr>
            <w:tcW w:w="239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C36E4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</w:pPr>
            <w:r w:rsidRPr="00AF26EF"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  <w:t>Positive</w:t>
            </w:r>
          </w:p>
        </w:tc>
        <w:tc>
          <w:tcPr>
            <w:tcW w:w="2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285D2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</w:pPr>
            <w:r w:rsidRPr="00AF26EF"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  <w:t>Negative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49D95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6"/>
                <w:lang w:val="en-GB"/>
              </w:rPr>
            </w:pPr>
          </w:p>
        </w:tc>
      </w:tr>
      <w:tr w:rsidR="00C70891" w:rsidRPr="00AF26EF" w14:paraId="09273B0B" w14:textId="77777777" w:rsidTr="00C70891">
        <w:trPr>
          <w:jc w:val="center"/>
        </w:trPr>
        <w:tc>
          <w:tcPr>
            <w:tcW w:w="282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C62E1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4A043E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</w:pPr>
            <w:r w:rsidRPr="00AF26EF"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  <w:t>fresh</w:t>
            </w:r>
            <w:r w:rsidRPr="00AF26EF">
              <w:rPr>
                <w:rFonts w:ascii="Palatino Linotype" w:hAnsi="Palatino Linotype" w:cs="Times New Roman"/>
                <w:b/>
                <w:i/>
                <w:sz w:val="20"/>
                <w:szCs w:val="16"/>
                <w:lang w:val="en-GB"/>
              </w:rPr>
              <w:t xml:space="preserve"> </w:t>
            </w:r>
            <w:proofErr w:type="spellStart"/>
            <w:r w:rsidRPr="00AF26EF"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  <w:t>Xpert</w:t>
            </w:r>
            <w:proofErr w:type="spellEnd"/>
            <w:r w:rsidRPr="00AF26EF"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  <w:t xml:space="preserve">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18256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</w:pPr>
            <w:r w:rsidRPr="00AF26EF"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  <w:t>fresh</w:t>
            </w:r>
            <w:r w:rsidRPr="00AF26EF">
              <w:rPr>
                <w:rFonts w:ascii="Palatino Linotype" w:hAnsi="Palatino Linotype" w:cs="Times New Roman"/>
                <w:b/>
                <w:i/>
                <w:sz w:val="20"/>
                <w:szCs w:val="16"/>
                <w:lang w:val="en-GB"/>
              </w:rPr>
              <w:t xml:space="preserve"> </w:t>
            </w:r>
            <w:proofErr w:type="spellStart"/>
            <w:r w:rsidRPr="00AF26EF"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  <w:t>Xpert</w:t>
            </w:r>
            <w:proofErr w:type="spellEnd"/>
            <w:r w:rsidRPr="00AF26EF"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  <w:t xml:space="preserve">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41DF7A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6"/>
                <w:lang w:val="en-GB"/>
              </w:rPr>
            </w:pPr>
          </w:p>
        </w:tc>
      </w:tr>
      <w:tr w:rsidR="00C70891" w:rsidRPr="00AF26EF" w14:paraId="7204DE0E" w14:textId="77777777" w:rsidTr="00C70891">
        <w:trPr>
          <w:jc w:val="center"/>
        </w:trPr>
        <w:tc>
          <w:tcPr>
            <w:tcW w:w="282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0C1CE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7C724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</w:pPr>
            <w:r w:rsidRPr="00AF26EF"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  <w:t xml:space="preserve">positive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F789B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</w:pPr>
            <w:r w:rsidRPr="00AF26EF"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  <w:t xml:space="preserve">negative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52CBEA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</w:pPr>
            <w:r w:rsidRPr="00AF26EF"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  <w:t xml:space="preserve">positive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5C8A4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</w:pPr>
            <w:r w:rsidRPr="00AF26EF"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  <w:t xml:space="preserve">negative 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F2680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6"/>
                <w:lang w:val="en-GB"/>
              </w:rPr>
            </w:pPr>
            <w:r w:rsidRPr="00AF26EF"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  <w:t>Kappa (95% CI)</w:t>
            </w:r>
          </w:p>
        </w:tc>
      </w:tr>
      <w:tr w:rsidR="00C70891" w:rsidRPr="00AF26EF" w14:paraId="0DA32E79" w14:textId="77777777" w:rsidTr="00C70891">
        <w:trPr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7ABF5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</w:pPr>
            <w:proofErr w:type="spellStart"/>
            <w:r w:rsidRPr="00AF26EF"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  <w:t>Omnigene</w:t>
            </w:r>
            <w:proofErr w:type="spellEnd"/>
            <w:r w:rsidRPr="00AF26EF"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  <w:t xml:space="preserve"> </w:t>
            </w:r>
            <w:proofErr w:type="spellStart"/>
            <w:r w:rsidRPr="00AF26EF"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  <w:t>Xpert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CACFE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</w:pPr>
            <w:r w:rsidRPr="00AF26EF"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  <w:t>positive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5880E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6"/>
                <w:lang w:val="en-GB"/>
              </w:rPr>
            </w:pPr>
            <w:r w:rsidRPr="00AF26EF">
              <w:rPr>
                <w:rFonts w:ascii="Palatino Linotype" w:hAnsi="Palatino Linotype" w:cs="Times New Roman"/>
                <w:sz w:val="20"/>
                <w:szCs w:val="16"/>
                <w:lang w:val="en-GB"/>
              </w:rPr>
              <w:t>55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15D9F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6"/>
                <w:lang w:val="en-GB"/>
              </w:rPr>
            </w:pPr>
            <w:r w:rsidRPr="00AF26EF">
              <w:rPr>
                <w:rFonts w:ascii="Palatino Linotype" w:hAnsi="Palatino Linotype" w:cs="Times New Roman"/>
                <w:sz w:val="20"/>
                <w:szCs w:val="16"/>
                <w:lang w:val="en-GB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1831D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6"/>
                <w:lang w:val="en-GB"/>
              </w:rPr>
            </w:pPr>
            <w:r w:rsidRPr="00AF26EF">
              <w:rPr>
                <w:rFonts w:ascii="Palatino Linotype" w:hAnsi="Palatino Linotype" w:cs="Times New Roman"/>
                <w:sz w:val="20"/>
                <w:szCs w:val="16"/>
                <w:lang w:val="en-GB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FCE04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6"/>
                <w:lang w:val="en-GB"/>
              </w:rPr>
            </w:pPr>
            <w:r w:rsidRPr="00AF26EF">
              <w:rPr>
                <w:rFonts w:ascii="Palatino Linotype" w:hAnsi="Palatino Linotype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22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F7187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6"/>
                <w:lang w:val="en-GB"/>
              </w:rPr>
            </w:pPr>
            <w:r w:rsidRPr="00AF26EF">
              <w:rPr>
                <w:rFonts w:ascii="Palatino Linotype" w:hAnsi="Palatino Linotype" w:cs="Times New Roman"/>
                <w:sz w:val="20"/>
                <w:szCs w:val="16"/>
                <w:lang w:val="en-GB"/>
              </w:rPr>
              <w:t>0.948 (0.903–0.993)</w:t>
            </w:r>
          </w:p>
        </w:tc>
      </w:tr>
      <w:tr w:rsidR="00C70891" w:rsidRPr="00AF26EF" w14:paraId="48C29198" w14:textId="77777777" w:rsidTr="00C70891">
        <w:trPr>
          <w:jc w:val="center"/>
        </w:trPr>
        <w:tc>
          <w:tcPr>
            <w:tcW w:w="17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A970C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17EF4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</w:pPr>
            <w:r w:rsidRPr="00AF26EF"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  <w:t>negative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01714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6"/>
                <w:lang w:val="en-GB"/>
              </w:rPr>
            </w:pPr>
            <w:r w:rsidRPr="00AF26EF">
              <w:rPr>
                <w:rFonts w:ascii="Palatino Linotype" w:hAnsi="Palatino Linotype" w:cs="Times New Roman"/>
                <w:sz w:val="20"/>
                <w:szCs w:val="16"/>
                <w:lang w:val="en-GB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23C33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6"/>
                <w:lang w:val="en-GB"/>
              </w:rPr>
            </w:pPr>
            <w:r w:rsidRPr="00AF26EF">
              <w:rPr>
                <w:rFonts w:ascii="Palatino Linotype" w:hAnsi="Palatino Linotype" w:cs="Times New Roman"/>
                <w:sz w:val="20"/>
                <w:szCs w:val="16"/>
                <w:lang w:val="en-GB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C3384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6"/>
                <w:lang w:val="en-GB"/>
              </w:rPr>
            </w:pPr>
            <w:r w:rsidRPr="00AF26EF">
              <w:rPr>
                <w:rFonts w:ascii="Palatino Linotype" w:hAnsi="Palatino Linotype" w:cs="Times New Roman"/>
                <w:sz w:val="20"/>
                <w:szCs w:val="16"/>
                <w:lang w:val="en-GB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11145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6"/>
                <w:lang w:val="en-GB"/>
              </w:rPr>
            </w:pPr>
            <w:r w:rsidRPr="00AF26EF">
              <w:rPr>
                <w:rFonts w:ascii="Palatino Linotype" w:hAnsi="Palatino Linotype" w:cs="Times New Roman"/>
                <w:sz w:val="20"/>
                <w:szCs w:val="16"/>
                <w:lang w:val="en-GB"/>
              </w:rPr>
              <w:t>181</w:t>
            </w:r>
          </w:p>
        </w:tc>
        <w:tc>
          <w:tcPr>
            <w:tcW w:w="22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02E07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6"/>
                <w:lang w:val="en-GB"/>
              </w:rPr>
            </w:pPr>
          </w:p>
        </w:tc>
      </w:tr>
      <w:tr w:rsidR="00C70891" w:rsidRPr="00AF26EF" w14:paraId="3498CE14" w14:textId="77777777" w:rsidTr="00C70891">
        <w:trPr>
          <w:jc w:val="center"/>
        </w:trPr>
        <w:tc>
          <w:tcPr>
            <w:tcW w:w="171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83FE5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</w:pPr>
            <w:proofErr w:type="spellStart"/>
            <w:r w:rsidRPr="00AF26EF"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  <w:t>Primestore</w:t>
            </w:r>
            <w:proofErr w:type="spellEnd"/>
            <w:r w:rsidRPr="00AF26EF"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  <w:t xml:space="preserve"> </w:t>
            </w:r>
            <w:proofErr w:type="spellStart"/>
            <w:r w:rsidRPr="00AF26EF"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  <w:t>Xpert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81F91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</w:pPr>
            <w:r w:rsidRPr="00AF26EF"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  <w:t>positive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FBC63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6"/>
                <w:lang w:val="en-GB"/>
              </w:rPr>
            </w:pPr>
            <w:r w:rsidRPr="00AF26EF">
              <w:rPr>
                <w:rFonts w:ascii="Palatino Linotype" w:hAnsi="Palatino Linotype" w:cs="Times New Roman"/>
                <w:sz w:val="20"/>
                <w:szCs w:val="16"/>
                <w:lang w:val="en-GB"/>
              </w:rPr>
              <w:t>48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B2372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6"/>
                <w:lang w:val="en-GB"/>
              </w:rPr>
            </w:pPr>
            <w:r w:rsidRPr="00AF26EF">
              <w:rPr>
                <w:rFonts w:ascii="Palatino Linotype" w:hAnsi="Palatino Linotype" w:cs="Times New Roman"/>
                <w:sz w:val="20"/>
                <w:szCs w:val="16"/>
                <w:lang w:val="en-GB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7B19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6"/>
                <w:lang w:val="en-GB"/>
              </w:rPr>
            </w:pPr>
            <w:r w:rsidRPr="00AF26EF">
              <w:rPr>
                <w:rFonts w:ascii="Palatino Linotype" w:hAnsi="Palatino Linotype" w:cs="Times New Roman"/>
                <w:sz w:val="20"/>
                <w:szCs w:val="16"/>
                <w:lang w:val="en-GB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E27C8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6"/>
                <w:lang w:val="en-GB"/>
              </w:rPr>
            </w:pPr>
            <w:r w:rsidRPr="00AF26EF">
              <w:rPr>
                <w:rFonts w:ascii="Palatino Linotype" w:hAnsi="Palatino Linotype" w:cs="Times New Roman"/>
                <w:sz w:val="20"/>
                <w:szCs w:val="16"/>
                <w:lang w:val="en-GB"/>
              </w:rPr>
              <w:t>2</w:t>
            </w:r>
          </w:p>
        </w:tc>
        <w:tc>
          <w:tcPr>
            <w:tcW w:w="22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8D1E4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6"/>
                <w:lang w:val="en-GB"/>
              </w:rPr>
            </w:pPr>
            <w:r w:rsidRPr="00AF26EF">
              <w:rPr>
                <w:rFonts w:ascii="Palatino Linotype" w:hAnsi="Palatino Linotype" w:cs="Times New Roman"/>
                <w:sz w:val="20"/>
                <w:szCs w:val="16"/>
                <w:lang w:val="en-GB"/>
              </w:rPr>
              <w:t>0.850 (0.774–0.926)</w:t>
            </w:r>
          </w:p>
        </w:tc>
      </w:tr>
      <w:tr w:rsidR="00C70891" w:rsidRPr="00AF26EF" w14:paraId="1337A700" w14:textId="77777777" w:rsidTr="00C70891">
        <w:trPr>
          <w:jc w:val="center"/>
        </w:trPr>
        <w:tc>
          <w:tcPr>
            <w:tcW w:w="171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269C39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6"/>
                <w:lang w:val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441113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</w:pPr>
            <w:r w:rsidRPr="00AF26EF">
              <w:rPr>
                <w:rFonts w:ascii="Palatino Linotype" w:hAnsi="Palatino Linotype" w:cs="Times New Roman"/>
                <w:b/>
                <w:sz w:val="20"/>
                <w:szCs w:val="16"/>
                <w:lang w:val="en-GB"/>
              </w:rPr>
              <w:t>negative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F4FBBA0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6"/>
                <w:lang w:val="en-GB"/>
              </w:rPr>
            </w:pPr>
            <w:r w:rsidRPr="00AF26EF">
              <w:rPr>
                <w:rFonts w:ascii="Palatino Linotype" w:hAnsi="Palatino Linotype" w:cs="Times New Roman"/>
                <w:sz w:val="20"/>
                <w:szCs w:val="16"/>
                <w:lang w:val="en-GB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DDCC07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6"/>
                <w:lang w:val="en-GB"/>
              </w:rPr>
            </w:pPr>
            <w:r w:rsidRPr="00AF26EF">
              <w:rPr>
                <w:rFonts w:ascii="Palatino Linotype" w:hAnsi="Palatino Linotype" w:cs="Times New Roman"/>
                <w:sz w:val="20"/>
                <w:szCs w:val="16"/>
                <w:lang w:val="en-GB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E91FC1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6"/>
                <w:lang w:val="en-GB"/>
              </w:rPr>
            </w:pPr>
            <w:r w:rsidRPr="00AF26EF">
              <w:rPr>
                <w:rFonts w:ascii="Palatino Linotype" w:hAnsi="Palatino Linotype" w:cs="Times New Roman"/>
                <w:sz w:val="20"/>
                <w:szCs w:val="16"/>
                <w:lang w:val="en-GB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740895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6"/>
                <w:lang w:val="en-GB"/>
              </w:rPr>
            </w:pPr>
            <w:r w:rsidRPr="00AF26EF">
              <w:rPr>
                <w:rFonts w:ascii="Palatino Linotype" w:hAnsi="Palatino Linotype" w:cs="Times New Roman"/>
                <w:sz w:val="20"/>
                <w:szCs w:val="16"/>
                <w:lang w:val="en-GB"/>
              </w:rPr>
              <w:t>178</w:t>
            </w:r>
          </w:p>
        </w:tc>
        <w:tc>
          <w:tcPr>
            <w:tcW w:w="225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79EAF5" w14:textId="77777777" w:rsidR="00C70891" w:rsidRPr="00AF26EF" w:rsidRDefault="00C70891" w:rsidP="003F76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sz w:val="20"/>
                <w:szCs w:val="16"/>
                <w:lang w:val="en-GB"/>
              </w:rPr>
            </w:pPr>
          </w:p>
        </w:tc>
      </w:tr>
    </w:tbl>
    <w:p w14:paraId="32DA84EE" w14:textId="344BFDCB" w:rsidR="004E625F" w:rsidRPr="00AF26EF" w:rsidRDefault="00A547AC" w:rsidP="004E625F">
      <w:pPr>
        <w:pStyle w:val="MDPI21heading1"/>
        <w:rPr>
          <w:lang w:val="en-GB"/>
        </w:rPr>
      </w:pPr>
      <w:r w:rsidRPr="00AF26EF">
        <w:rPr>
          <w:lang w:val="en-GB"/>
        </w:rPr>
        <w:t xml:space="preserve">4. </w:t>
      </w:r>
      <w:r w:rsidR="00EE58CF" w:rsidRPr="00AF26EF">
        <w:rPr>
          <w:lang w:val="en-GB"/>
        </w:rPr>
        <w:t>Discussion</w:t>
      </w:r>
    </w:p>
    <w:p w14:paraId="23A14F7D" w14:textId="7714E711" w:rsidR="00114355" w:rsidRPr="00AF26EF" w:rsidRDefault="00662B5D" w:rsidP="00A547AC">
      <w:pPr>
        <w:pStyle w:val="MDPI31text"/>
        <w:rPr>
          <w:lang w:val="en-GB"/>
        </w:rPr>
      </w:pPr>
      <w:r w:rsidRPr="00AF26EF">
        <w:rPr>
          <w:lang w:val="en-GB"/>
        </w:rPr>
        <w:t>O</w:t>
      </w:r>
      <w:r w:rsidR="00114355" w:rsidRPr="00AF26EF">
        <w:rPr>
          <w:lang w:val="en-GB"/>
        </w:rPr>
        <w:t>ur study add</w:t>
      </w:r>
      <w:r w:rsidRPr="00AF26EF">
        <w:rPr>
          <w:lang w:val="en-GB"/>
        </w:rPr>
        <w:t>s important new information</w:t>
      </w:r>
      <w:r w:rsidR="00114355" w:rsidRPr="00AF26EF">
        <w:rPr>
          <w:lang w:val="en-GB"/>
        </w:rPr>
        <w:t xml:space="preserve"> to </w:t>
      </w:r>
      <w:r w:rsidRPr="00AF26EF">
        <w:rPr>
          <w:lang w:val="en-GB"/>
        </w:rPr>
        <w:t>a sparse</w:t>
      </w:r>
      <w:r w:rsidR="00114355" w:rsidRPr="00AF26EF">
        <w:rPr>
          <w:lang w:val="en-GB"/>
        </w:rPr>
        <w:t xml:space="preserve"> evidence </w:t>
      </w:r>
      <w:r w:rsidRPr="00AF26EF">
        <w:rPr>
          <w:lang w:val="en-GB"/>
        </w:rPr>
        <w:t xml:space="preserve">base </w:t>
      </w:r>
      <w:r w:rsidR="00114355" w:rsidRPr="00AF26EF">
        <w:rPr>
          <w:lang w:val="en-GB"/>
        </w:rPr>
        <w:t xml:space="preserve">on </w:t>
      </w:r>
      <w:r w:rsidRPr="00AF26EF">
        <w:rPr>
          <w:lang w:val="en-GB"/>
        </w:rPr>
        <w:t>the role of</w:t>
      </w:r>
      <w:r w:rsidR="00114355" w:rsidRPr="00AF26EF">
        <w:rPr>
          <w:lang w:val="en-GB"/>
        </w:rPr>
        <w:t xml:space="preserve"> sample preservation media </w:t>
      </w:r>
      <w:r w:rsidRPr="00AF26EF">
        <w:rPr>
          <w:lang w:val="en-GB"/>
        </w:rPr>
        <w:t>in</w:t>
      </w:r>
      <w:r w:rsidR="00114355" w:rsidRPr="00AF26EF">
        <w:rPr>
          <w:lang w:val="en-GB"/>
        </w:rPr>
        <w:t xml:space="preserve"> TB</w:t>
      </w:r>
      <w:r w:rsidRPr="00AF26EF">
        <w:rPr>
          <w:lang w:val="en-GB"/>
        </w:rPr>
        <w:t xml:space="preserve"> diagnosis</w:t>
      </w:r>
      <w:r w:rsidR="00114355" w:rsidRPr="00AF26EF">
        <w:rPr>
          <w:lang w:val="en-GB"/>
        </w:rPr>
        <w:t xml:space="preserve">. </w:t>
      </w:r>
      <w:r w:rsidRPr="00AF26EF">
        <w:rPr>
          <w:lang w:val="en-GB"/>
        </w:rPr>
        <w:t>Sputum s</w:t>
      </w:r>
      <w:r w:rsidR="00114355" w:rsidRPr="00AF26EF">
        <w:rPr>
          <w:lang w:val="en-GB"/>
        </w:rPr>
        <w:t xml:space="preserve">torage using </w:t>
      </w:r>
      <w:proofErr w:type="spellStart"/>
      <w:r w:rsidR="00114355" w:rsidRPr="00AF26EF">
        <w:rPr>
          <w:lang w:val="en-GB"/>
        </w:rPr>
        <w:t>Omnigene</w:t>
      </w:r>
      <w:proofErr w:type="spellEnd"/>
      <w:r w:rsidR="00114355" w:rsidRPr="00AF26EF">
        <w:rPr>
          <w:lang w:val="en-GB"/>
        </w:rPr>
        <w:t xml:space="preserve"> for one week in the absence of a cold</w:t>
      </w:r>
      <w:r w:rsidR="00BF2CD6" w:rsidRPr="00AF26EF">
        <w:rPr>
          <w:lang w:val="en-GB"/>
        </w:rPr>
        <w:t xml:space="preserve"> </w:t>
      </w:r>
      <w:r w:rsidR="00114355" w:rsidRPr="00AF26EF">
        <w:rPr>
          <w:lang w:val="en-GB"/>
        </w:rPr>
        <w:t xml:space="preserve">chain had little impact on the sensitivity and specificity of GX. </w:t>
      </w:r>
      <w:bookmarkStart w:id="20" w:name="_Hlk25588367"/>
      <w:r w:rsidR="00114355" w:rsidRPr="00AF26EF">
        <w:rPr>
          <w:lang w:val="en-GB"/>
        </w:rPr>
        <w:t xml:space="preserve">However, storing sputum with </w:t>
      </w:r>
      <w:proofErr w:type="spellStart"/>
      <w:r w:rsidR="00114355" w:rsidRPr="00AF26EF">
        <w:rPr>
          <w:lang w:val="en-GB"/>
        </w:rPr>
        <w:t>Primestore</w:t>
      </w:r>
      <w:proofErr w:type="spellEnd"/>
      <w:r w:rsidR="00114355" w:rsidRPr="00AF26EF">
        <w:rPr>
          <w:lang w:val="en-GB"/>
        </w:rPr>
        <w:t xml:space="preserve"> under the same conditions led to a </w:t>
      </w:r>
      <w:r w:rsidR="001E615D" w:rsidRPr="00AF26EF">
        <w:rPr>
          <w:lang w:val="en-GB"/>
        </w:rPr>
        <w:t xml:space="preserve">lower, but not statistically significant, </w:t>
      </w:r>
      <w:r w:rsidR="00114355" w:rsidRPr="00AF26EF">
        <w:rPr>
          <w:lang w:val="en-GB"/>
        </w:rPr>
        <w:t xml:space="preserve">GX positivity </w:t>
      </w:r>
      <w:r w:rsidR="00114355" w:rsidRPr="00AF26EF">
        <w:rPr>
          <w:bCs/>
          <w:lang w:val="en-GB"/>
        </w:rPr>
        <w:t>among samples from HIV-infected individuals</w:t>
      </w:r>
      <w:r w:rsidR="00114355" w:rsidRPr="00AF26EF">
        <w:rPr>
          <w:lang w:val="en-GB"/>
        </w:rPr>
        <w:t>, wh</w:t>
      </w:r>
      <w:r w:rsidR="00154003" w:rsidRPr="00AF26EF">
        <w:rPr>
          <w:lang w:val="en-GB"/>
        </w:rPr>
        <w:t>o</w:t>
      </w:r>
      <w:r w:rsidR="00114355" w:rsidRPr="00AF26EF">
        <w:rPr>
          <w:lang w:val="en-GB"/>
        </w:rPr>
        <w:t xml:space="preserve"> are more likely to have paucibacillary TB. </w:t>
      </w:r>
      <w:bookmarkEnd w:id="20"/>
    </w:p>
    <w:p w14:paraId="48B47526" w14:textId="2C0D394D" w:rsidR="0003193B" w:rsidRPr="00AF26EF" w:rsidRDefault="00C32F94" w:rsidP="00A547AC">
      <w:pPr>
        <w:pStyle w:val="MDPI31text"/>
        <w:rPr>
          <w:lang w:val="en-GB"/>
        </w:rPr>
      </w:pPr>
      <w:r w:rsidRPr="00AF26EF">
        <w:rPr>
          <w:lang w:val="en-GB"/>
        </w:rPr>
        <w:t>E</w:t>
      </w:r>
      <w:r w:rsidR="00860B51" w:rsidRPr="00AF26EF">
        <w:rPr>
          <w:lang w:val="en-GB"/>
        </w:rPr>
        <w:t xml:space="preserve">ffective </w:t>
      </w:r>
      <w:r w:rsidR="009C37B5" w:rsidRPr="00AF26EF">
        <w:rPr>
          <w:lang w:val="en-GB"/>
        </w:rPr>
        <w:t xml:space="preserve">and resilient </w:t>
      </w:r>
      <w:r w:rsidR="00860B51" w:rsidRPr="00AF26EF">
        <w:rPr>
          <w:lang w:val="en-GB"/>
        </w:rPr>
        <w:t xml:space="preserve">sputum transport </w:t>
      </w:r>
      <w:r w:rsidR="009C37B5" w:rsidRPr="00AF26EF">
        <w:rPr>
          <w:lang w:val="en-GB"/>
        </w:rPr>
        <w:t>systems are needed to</w:t>
      </w:r>
      <w:r w:rsidR="00CC1C6E" w:rsidRPr="00AF26EF">
        <w:rPr>
          <w:lang w:val="en-GB"/>
        </w:rPr>
        <w:t xml:space="preserve"> </w:t>
      </w:r>
      <w:r w:rsidR="009C37B5" w:rsidRPr="00AF26EF">
        <w:rPr>
          <w:lang w:val="en-GB"/>
        </w:rPr>
        <w:t xml:space="preserve">increase access to </w:t>
      </w:r>
      <w:r w:rsidR="00154003" w:rsidRPr="00AF26EF">
        <w:rPr>
          <w:lang w:val="en-GB"/>
        </w:rPr>
        <w:t>WHO-</w:t>
      </w:r>
      <w:r w:rsidR="00114355" w:rsidRPr="00AF26EF">
        <w:rPr>
          <w:lang w:val="en-GB"/>
        </w:rPr>
        <w:t xml:space="preserve">recommended </w:t>
      </w:r>
      <w:r w:rsidR="009C37B5" w:rsidRPr="00AF26EF">
        <w:rPr>
          <w:lang w:val="en-GB"/>
        </w:rPr>
        <w:t xml:space="preserve">diagnostics for TB. These systems need to be easy to implement </w:t>
      </w:r>
      <w:r w:rsidR="0003193B" w:rsidRPr="00AF26EF">
        <w:rPr>
          <w:lang w:val="en-GB"/>
        </w:rPr>
        <w:t xml:space="preserve">at </w:t>
      </w:r>
      <w:r w:rsidR="00D12716" w:rsidRPr="00AF26EF">
        <w:rPr>
          <w:lang w:val="en-GB"/>
        </w:rPr>
        <w:t xml:space="preserve">a </w:t>
      </w:r>
      <w:r w:rsidR="0003193B" w:rsidRPr="00AF26EF">
        <w:rPr>
          <w:lang w:val="en-GB"/>
        </w:rPr>
        <w:t xml:space="preserve">low cost and </w:t>
      </w:r>
      <w:r w:rsidR="009C37B5" w:rsidRPr="00AF26EF">
        <w:rPr>
          <w:lang w:val="en-GB"/>
        </w:rPr>
        <w:t xml:space="preserve">effective </w:t>
      </w:r>
      <w:r w:rsidR="00CC1C6E" w:rsidRPr="00AF26EF">
        <w:rPr>
          <w:lang w:val="en-GB"/>
        </w:rPr>
        <w:t xml:space="preserve">in </w:t>
      </w:r>
      <w:r w:rsidR="009C37B5" w:rsidRPr="00AF26EF">
        <w:rPr>
          <w:lang w:val="en-GB"/>
        </w:rPr>
        <w:t xml:space="preserve">preserving the integrity of </w:t>
      </w:r>
      <w:r w:rsidR="00D12716" w:rsidRPr="00AF26EF">
        <w:rPr>
          <w:lang w:val="en-GB"/>
        </w:rPr>
        <w:t xml:space="preserve">the </w:t>
      </w:r>
      <w:r w:rsidR="009C37B5" w:rsidRPr="00AF26EF">
        <w:rPr>
          <w:lang w:val="en-GB"/>
        </w:rPr>
        <w:t>sputum</w:t>
      </w:r>
      <w:r w:rsidR="00D12716" w:rsidRPr="00AF26EF">
        <w:rPr>
          <w:lang w:val="en-GB"/>
        </w:rPr>
        <w:t>,</w:t>
      </w:r>
      <w:r w:rsidR="00114355" w:rsidRPr="00AF26EF">
        <w:rPr>
          <w:lang w:val="en-GB"/>
        </w:rPr>
        <w:t xml:space="preserve"> as samples m</w:t>
      </w:r>
      <w:r w:rsidR="00226943" w:rsidRPr="00AF26EF">
        <w:rPr>
          <w:lang w:val="en-GB"/>
        </w:rPr>
        <w:t>ight</w:t>
      </w:r>
      <w:r w:rsidR="00114355" w:rsidRPr="00AF26EF">
        <w:rPr>
          <w:lang w:val="en-GB"/>
        </w:rPr>
        <w:t xml:space="preserve"> </w:t>
      </w:r>
      <w:r w:rsidR="00D12716" w:rsidRPr="00AF26EF">
        <w:rPr>
          <w:lang w:val="en-GB"/>
        </w:rPr>
        <w:t>not be immediately collected</w:t>
      </w:r>
      <w:r w:rsidR="00114355" w:rsidRPr="00AF26EF">
        <w:rPr>
          <w:lang w:val="en-GB"/>
        </w:rPr>
        <w:t xml:space="preserve">, </w:t>
      </w:r>
      <w:r w:rsidR="006933E1" w:rsidRPr="00AF26EF">
        <w:rPr>
          <w:lang w:val="en-GB"/>
        </w:rPr>
        <w:t xml:space="preserve">might </w:t>
      </w:r>
      <w:r w:rsidR="00114355" w:rsidRPr="00AF26EF">
        <w:rPr>
          <w:lang w:val="en-GB"/>
        </w:rPr>
        <w:t xml:space="preserve">travel long distances and </w:t>
      </w:r>
      <w:r w:rsidR="006933E1" w:rsidRPr="00AF26EF">
        <w:rPr>
          <w:lang w:val="en-GB"/>
        </w:rPr>
        <w:t xml:space="preserve">might have to </w:t>
      </w:r>
      <w:r w:rsidR="00114355" w:rsidRPr="00AF26EF">
        <w:rPr>
          <w:lang w:val="en-GB"/>
        </w:rPr>
        <w:t>wa</w:t>
      </w:r>
      <w:r w:rsidR="00956C66" w:rsidRPr="00AF26EF">
        <w:rPr>
          <w:lang w:val="en-GB"/>
        </w:rPr>
        <w:t>i</w:t>
      </w:r>
      <w:r w:rsidR="00114355" w:rsidRPr="00AF26EF">
        <w:rPr>
          <w:lang w:val="en-GB"/>
        </w:rPr>
        <w:t>t for testing at the destination laboratory</w:t>
      </w:r>
      <w:r w:rsidR="009C37B5" w:rsidRPr="00AF26EF">
        <w:rPr>
          <w:lang w:val="en-GB"/>
        </w:rPr>
        <w:t xml:space="preserve">. Methods that do not need a cold chain </w:t>
      </w:r>
      <w:r w:rsidR="00860B51" w:rsidRPr="00AF26EF">
        <w:rPr>
          <w:lang w:val="en-GB"/>
        </w:rPr>
        <w:t>would be of</w:t>
      </w:r>
      <w:r w:rsidR="00956C66" w:rsidRPr="00AF26EF">
        <w:rPr>
          <w:lang w:val="en-GB"/>
        </w:rPr>
        <w:t xml:space="preserve"> </w:t>
      </w:r>
      <w:proofErr w:type="gramStart"/>
      <w:r w:rsidR="00956C66" w:rsidRPr="00AF26EF">
        <w:rPr>
          <w:lang w:val="en-GB"/>
        </w:rPr>
        <w:t>particular</w:t>
      </w:r>
      <w:r w:rsidR="00860B51" w:rsidRPr="00AF26EF">
        <w:rPr>
          <w:lang w:val="en-GB"/>
        </w:rPr>
        <w:t xml:space="preserve"> interest</w:t>
      </w:r>
      <w:proofErr w:type="gramEnd"/>
      <w:r w:rsidR="00860B51" w:rsidRPr="00AF26EF">
        <w:rPr>
          <w:lang w:val="en-GB"/>
        </w:rPr>
        <w:t xml:space="preserve"> to </w:t>
      </w:r>
      <w:r w:rsidR="00114355" w:rsidRPr="00AF26EF">
        <w:rPr>
          <w:lang w:val="en-GB"/>
        </w:rPr>
        <w:t>NTPs</w:t>
      </w:r>
      <w:r w:rsidR="0003193B" w:rsidRPr="00AF26EF">
        <w:rPr>
          <w:lang w:val="en-GB"/>
        </w:rPr>
        <w:t xml:space="preserve"> with </w:t>
      </w:r>
      <w:r w:rsidR="00860B51" w:rsidRPr="00AF26EF">
        <w:rPr>
          <w:lang w:val="en-GB"/>
        </w:rPr>
        <w:t xml:space="preserve">limited </w:t>
      </w:r>
      <w:r w:rsidR="0003193B" w:rsidRPr="00AF26EF">
        <w:rPr>
          <w:lang w:val="en-GB"/>
        </w:rPr>
        <w:t xml:space="preserve">resources </w:t>
      </w:r>
      <w:r w:rsidR="00860B51" w:rsidRPr="00AF26EF">
        <w:rPr>
          <w:lang w:val="en-GB"/>
        </w:rPr>
        <w:t>and</w:t>
      </w:r>
      <w:r w:rsidR="0003193B" w:rsidRPr="00AF26EF">
        <w:rPr>
          <w:lang w:val="en-GB"/>
        </w:rPr>
        <w:t xml:space="preserve"> large </w:t>
      </w:r>
      <w:r w:rsidR="00860B51" w:rsidRPr="00AF26EF">
        <w:rPr>
          <w:lang w:val="en-GB"/>
        </w:rPr>
        <w:t>rural area</w:t>
      </w:r>
      <w:r w:rsidR="0003193B" w:rsidRPr="00AF26EF">
        <w:rPr>
          <w:lang w:val="en-GB"/>
        </w:rPr>
        <w:t xml:space="preserve"> populations</w:t>
      </w:r>
      <w:r w:rsidR="00860B51" w:rsidRPr="00AF26EF">
        <w:rPr>
          <w:lang w:val="en-GB"/>
        </w:rPr>
        <w:t xml:space="preserve">, where the provision of </w:t>
      </w:r>
      <w:r w:rsidR="0003193B" w:rsidRPr="00AF26EF">
        <w:rPr>
          <w:lang w:val="en-GB"/>
        </w:rPr>
        <w:t xml:space="preserve">cold chain </w:t>
      </w:r>
      <w:r w:rsidR="00860B51" w:rsidRPr="00AF26EF">
        <w:rPr>
          <w:lang w:val="en-GB"/>
        </w:rPr>
        <w:t xml:space="preserve">transport </w:t>
      </w:r>
      <w:r w:rsidR="0003193B" w:rsidRPr="00AF26EF">
        <w:rPr>
          <w:lang w:val="en-GB"/>
        </w:rPr>
        <w:t xml:space="preserve">systems are </w:t>
      </w:r>
      <w:r w:rsidR="00956C66" w:rsidRPr="00AF26EF">
        <w:rPr>
          <w:lang w:val="en-GB"/>
        </w:rPr>
        <w:t>prohibitively</w:t>
      </w:r>
      <w:r w:rsidR="00114355" w:rsidRPr="00AF26EF">
        <w:rPr>
          <w:lang w:val="en-GB"/>
        </w:rPr>
        <w:t xml:space="preserve"> expensive or </w:t>
      </w:r>
      <w:r w:rsidR="0003193B" w:rsidRPr="00AF26EF">
        <w:rPr>
          <w:lang w:val="en-GB"/>
        </w:rPr>
        <w:t>unavailable</w:t>
      </w:r>
      <w:r w:rsidR="00860B51" w:rsidRPr="00AF26EF">
        <w:rPr>
          <w:lang w:val="en-GB"/>
        </w:rPr>
        <w:t>. The ability to safely store samples during transport</w:t>
      </w:r>
      <w:r w:rsidR="009C37B5" w:rsidRPr="00AF26EF">
        <w:rPr>
          <w:lang w:val="en-GB"/>
        </w:rPr>
        <w:t xml:space="preserve">, avoiding </w:t>
      </w:r>
      <w:r w:rsidR="0003193B" w:rsidRPr="00AF26EF">
        <w:rPr>
          <w:lang w:val="en-GB"/>
        </w:rPr>
        <w:t xml:space="preserve">the </w:t>
      </w:r>
      <w:r w:rsidR="00860B51" w:rsidRPr="00AF26EF">
        <w:rPr>
          <w:lang w:val="en-GB"/>
        </w:rPr>
        <w:t>wast</w:t>
      </w:r>
      <w:r w:rsidR="009C37B5" w:rsidRPr="00AF26EF">
        <w:rPr>
          <w:lang w:val="en-GB"/>
        </w:rPr>
        <w:t>age of GX</w:t>
      </w:r>
      <w:r w:rsidR="00860B51" w:rsidRPr="00AF26EF">
        <w:rPr>
          <w:lang w:val="en-GB"/>
        </w:rPr>
        <w:t xml:space="preserve"> cartridges</w:t>
      </w:r>
      <w:r w:rsidR="009C37B5" w:rsidRPr="00AF26EF">
        <w:rPr>
          <w:lang w:val="en-GB"/>
        </w:rPr>
        <w:t xml:space="preserve"> and </w:t>
      </w:r>
      <w:r w:rsidR="0003193B" w:rsidRPr="00AF26EF">
        <w:rPr>
          <w:lang w:val="en-GB"/>
        </w:rPr>
        <w:t xml:space="preserve">reducing the number of </w:t>
      </w:r>
      <w:r w:rsidR="009C37B5" w:rsidRPr="00AF26EF">
        <w:rPr>
          <w:lang w:val="en-GB"/>
        </w:rPr>
        <w:t xml:space="preserve">false-negative tests due to poor </w:t>
      </w:r>
      <w:r w:rsidR="0003193B" w:rsidRPr="00AF26EF">
        <w:rPr>
          <w:lang w:val="en-GB"/>
        </w:rPr>
        <w:t xml:space="preserve">sample </w:t>
      </w:r>
      <w:r w:rsidR="009C37B5" w:rsidRPr="00AF26EF">
        <w:rPr>
          <w:lang w:val="en-GB"/>
        </w:rPr>
        <w:t>quality</w:t>
      </w:r>
      <w:r w:rsidR="006933E1" w:rsidRPr="00AF26EF">
        <w:rPr>
          <w:lang w:val="en-GB"/>
        </w:rPr>
        <w:t>,</w:t>
      </w:r>
      <w:r w:rsidR="0003193B" w:rsidRPr="00AF26EF">
        <w:rPr>
          <w:lang w:val="en-GB"/>
        </w:rPr>
        <w:t xml:space="preserve"> could have a major effect</w:t>
      </w:r>
      <w:r w:rsidR="00CC1C6E" w:rsidRPr="00AF26EF">
        <w:rPr>
          <w:lang w:val="en-GB"/>
        </w:rPr>
        <w:t xml:space="preserve"> in</w:t>
      </w:r>
      <w:r w:rsidR="0003193B" w:rsidRPr="00AF26EF">
        <w:rPr>
          <w:lang w:val="en-GB"/>
        </w:rPr>
        <w:t xml:space="preserve"> </w:t>
      </w:r>
      <w:r w:rsidR="00860B51" w:rsidRPr="00AF26EF">
        <w:rPr>
          <w:lang w:val="en-GB"/>
        </w:rPr>
        <w:t>improving case detection</w:t>
      </w:r>
      <w:r w:rsidR="00C15651" w:rsidRPr="00AF26EF">
        <w:rPr>
          <w:lang w:val="en-GB"/>
        </w:rPr>
        <w:t xml:space="preserve"> </w:t>
      </w:r>
      <w:bookmarkStart w:id="21" w:name="EXISTREF11"/>
      <w:r w:rsidR="006933E1" w:rsidRPr="00AF26EF">
        <w:rPr>
          <w:lang w:val="en-GB"/>
        </w:rPr>
        <w:t>[</w:t>
      </w:r>
      <w:r w:rsidR="00EC2DC4" w:rsidRPr="00AF26EF">
        <w:rPr>
          <w:lang w:val="en-GB"/>
        </w:rPr>
        <w:t>11</w:t>
      </w:r>
      <w:r w:rsidR="00CE774A" w:rsidRPr="00AF26EF">
        <w:rPr>
          <w:lang w:val="en-GB"/>
        </w:rPr>
        <w:t>]</w:t>
      </w:r>
      <w:bookmarkEnd w:id="21"/>
      <w:r w:rsidR="007A7845" w:rsidRPr="00AF26EF">
        <w:rPr>
          <w:lang w:val="en-GB"/>
        </w:rPr>
        <w:t xml:space="preserve"> and in the detection of drug resistance by facilitating testing with GX to obtain a RIF resistance reading.</w:t>
      </w:r>
      <w:r w:rsidR="0003193B" w:rsidRPr="00AF26EF">
        <w:rPr>
          <w:lang w:val="en-GB"/>
        </w:rPr>
        <w:t xml:space="preserve"> </w:t>
      </w:r>
      <w:r w:rsidR="00C04592" w:rsidRPr="00AF26EF">
        <w:rPr>
          <w:lang w:val="en-GB"/>
        </w:rPr>
        <w:t>A</w:t>
      </w:r>
      <w:r w:rsidR="00AF1769" w:rsidRPr="00AF26EF">
        <w:rPr>
          <w:lang w:val="en-GB"/>
        </w:rPr>
        <w:t xml:space="preserve">lthough poor transport </w:t>
      </w:r>
      <w:r w:rsidR="00D12716" w:rsidRPr="00AF26EF">
        <w:rPr>
          <w:lang w:val="en-GB"/>
        </w:rPr>
        <w:t>conditions</w:t>
      </w:r>
      <w:r w:rsidR="00AF1769" w:rsidRPr="00AF26EF">
        <w:rPr>
          <w:lang w:val="en-GB"/>
        </w:rPr>
        <w:t xml:space="preserve"> increase culture contamination and decrease positivity, there </w:t>
      </w:r>
      <w:r w:rsidR="00C04592" w:rsidRPr="00AF26EF">
        <w:rPr>
          <w:lang w:val="en-GB"/>
        </w:rPr>
        <w:t xml:space="preserve">is </w:t>
      </w:r>
      <w:r w:rsidR="00AF1769" w:rsidRPr="00AF26EF">
        <w:rPr>
          <w:lang w:val="en-GB"/>
        </w:rPr>
        <w:t>a paucity of data describing whether the same deleterious changes occur with nucleic acids for GX testing</w:t>
      </w:r>
      <w:r w:rsidR="00D12716" w:rsidRPr="00AF26EF">
        <w:rPr>
          <w:lang w:val="en-GB"/>
        </w:rPr>
        <w:t>,</w:t>
      </w:r>
      <w:r w:rsidR="00AF1769" w:rsidRPr="00AF26EF">
        <w:rPr>
          <w:lang w:val="en-GB"/>
        </w:rPr>
        <w:t xml:space="preserve"> and th</w:t>
      </w:r>
      <w:r w:rsidR="00B523A6" w:rsidRPr="00AF26EF">
        <w:rPr>
          <w:lang w:val="en-GB"/>
        </w:rPr>
        <w:t>e</w:t>
      </w:r>
      <w:r w:rsidR="00AF1769" w:rsidRPr="00AF26EF">
        <w:rPr>
          <w:lang w:val="en-GB"/>
        </w:rPr>
        <w:t xml:space="preserve">re </w:t>
      </w:r>
      <w:r w:rsidR="00C15651" w:rsidRPr="00AF26EF">
        <w:rPr>
          <w:lang w:val="en-GB"/>
        </w:rPr>
        <w:t xml:space="preserve">are no studies </w:t>
      </w:r>
      <w:r w:rsidR="008152D9" w:rsidRPr="00AF26EF">
        <w:rPr>
          <w:lang w:val="en-GB"/>
        </w:rPr>
        <w:t>compar</w:t>
      </w:r>
      <w:r w:rsidR="00AF1769" w:rsidRPr="00AF26EF">
        <w:rPr>
          <w:lang w:val="en-GB"/>
        </w:rPr>
        <w:t>ing</w:t>
      </w:r>
      <w:r w:rsidR="008152D9" w:rsidRPr="00AF26EF">
        <w:rPr>
          <w:lang w:val="en-GB"/>
        </w:rPr>
        <w:t xml:space="preserve"> transport product</w:t>
      </w:r>
      <w:r w:rsidR="003E4C12" w:rsidRPr="00AF26EF">
        <w:rPr>
          <w:lang w:val="en-GB"/>
        </w:rPr>
        <w:t>s</w:t>
      </w:r>
      <w:r w:rsidR="008152D9" w:rsidRPr="00AF26EF">
        <w:rPr>
          <w:lang w:val="en-GB"/>
        </w:rPr>
        <w:t xml:space="preserve"> versus no product, which makes it difficult to disaggregate the </w:t>
      </w:r>
      <w:r w:rsidR="00AF1769" w:rsidRPr="00AF26EF">
        <w:rPr>
          <w:lang w:val="en-GB"/>
        </w:rPr>
        <w:t xml:space="preserve">additional </w:t>
      </w:r>
      <w:r w:rsidR="008152D9" w:rsidRPr="00AF26EF">
        <w:rPr>
          <w:lang w:val="en-GB"/>
        </w:rPr>
        <w:t>effect of the product itself.</w:t>
      </w:r>
      <w:r w:rsidR="004234C3" w:rsidRPr="00AF26EF">
        <w:rPr>
          <w:lang w:val="en-GB"/>
        </w:rPr>
        <w:t xml:space="preserve"> </w:t>
      </w:r>
    </w:p>
    <w:p w14:paraId="06D1E8E0" w14:textId="26DC326E" w:rsidR="00C74DDC" w:rsidRPr="00AF26EF" w:rsidRDefault="0003193B" w:rsidP="00A547AC">
      <w:pPr>
        <w:pStyle w:val="MDPI31text"/>
        <w:rPr>
          <w:lang w:val="en-GB"/>
        </w:rPr>
      </w:pPr>
      <w:proofErr w:type="spellStart"/>
      <w:r w:rsidRPr="00AF26EF">
        <w:rPr>
          <w:lang w:val="en-GB"/>
        </w:rPr>
        <w:t>Omnigene</w:t>
      </w:r>
      <w:proofErr w:type="spellEnd"/>
      <w:r w:rsidRPr="00AF26EF">
        <w:rPr>
          <w:lang w:val="en-GB"/>
        </w:rPr>
        <w:t xml:space="preserve"> </w:t>
      </w:r>
      <w:r w:rsidR="00C2779E" w:rsidRPr="00AF26EF">
        <w:rPr>
          <w:lang w:val="en-GB"/>
        </w:rPr>
        <w:t xml:space="preserve">was developed to preserve </w:t>
      </w:r>
      <w:r w:rsidRPr="00AF26EF">
        <w:rPr>
          <w:lang w:val="en-GB"/>
        </w:rPr>
        <w:t>MTB</w:t>
      </w:r>
      <w:r w:rsidR="00C2779E" w:rsidRPr="00AF26EF">
        <w:rPr>
          <w:lang w:val="en-GB"/>
        </w:rPr>
        <w:t xml:space="preserve"> cells for culture, </w:t>
      </w:r>
      <w:r w:rsidRPr="00AF26EF">
        <w:rPr>
          <w:lang w:val="en-GB"/>
        </w:rPr>
        <w:t xml:space="preserve">with </w:t>
      </w:r>
      <w:r w:rsidR="00D12716" w:rsidRPr="00AF26EF">
        <w:rPr>
          <w:lang w:val="en-GB"/>
        </w:rPr>
        <w:t xml:space="preserve">a </w:t>
      </w:r>
      <w:r w:rsidRPr="00AF26EF">
        <w:rPr>
          <w:lang w:val="en-GB"/>
        </w:rPr>
        <w:t xml:space="preserve">reported </w:t>
      </w:r>
      <w:r w:rsidR="00C2779E" w:rsidRPr="00AF26EF">
        <w:rPr>
          <w:lang w:val="en-GB"/>
        </w:rPr>
        <w:t xml:space="preserve">viability </w:t>
      </w:r>
      <w:r w:rsidR="00D12716" w:rsidRPr="00AF26EF">
        <w:rPr>
          <w:lang w:val="en-GB"/>
        </w:rPr>
        <w:t>of eight</w:t>
      </w:r>
      <w:r w:rsidR="00C2779E" w:rsidRPr="00AF26EF">
        <w:rPr>
          <w:lang w:val="en-GB"/>
        </w:rPr>
        <w:t xml:space="preserve"> days</w:t>
      </w:r>
      <w:r w:rsidR="00284133" w:rsidRPr="00AF26EF">
        <w:rPr>
          <w:lang w:val="en-GB"/>
        </w:rPr>
        <w:t xml:space="preserve"> </w:t>
      </w:r>
      <w:bookmarkStart w:id="22" w:name="EXISTREF12"/>
      <w:r w:rsidR="00A31530" w:rsidRPr="00AF26EF">
        <w:rPr>
          <w:lang w:val="en-GB"/>
        </w:rPr>
        <w:t>[</w:t>
      </w:r>
      <w:r w:rsidR="00EC2DC4" w:rsidRPr="00AF26EF">
        <w:rPr>
          <w:lang w:val="en-GB"/>
        </w:rPr>
        <w:t>12</w:t>
      </w:r>
      <w:r w:rsidR="00A31530" w:rsidRPr="00AF26EF">
        <w:rPr>
          <w:lang w:val="en-GB"/>
        </w:rPr>
        <w:t>]</w:t>
      </w:r>
      <w:bookmarkEnd w:id="22"/>
      <w:r w:rsidR="00C2779E" w:rsidRPr="00AF26EF">
        <w:rPr>
          <w:lang w:val="en-GB"/>
        </w:rPr>
        <w:t xml:space="preserve">. </w:t>
      </w:r>
      <w:r w:rsidR="00F51525" w:rsidRPr="00AF26EF">
        <w:rPr>
          <w:lang w:val="en-GB"/>
        </w:rPr>
        <w:t xml:space="preserve">Data on the use of </w:t>
      </w:r>
      <w:proofErr w:type="spellStart"/>
      <w:r w:rsidRPr="00AF26EF">
        <w:rPr>
          <w:lang w:val="en-GB"/>
        </w:rPr>
        <w:t>Omnigene</w:t>
      </w:r>
      <w:proofErr w:type="spellEnd"/>
      <w:r w:rsidR="00F51525" w:rsidRPr="00AF26EF">
        <w:rPr>
          <w:lang w:val="en-GB"/>
        </w:rPr>
        <w:t xml:space="preserve"> for downstream culture </w:t>
      </w:r>
      <w:r w:rsidR="00A31530" w:rsidRPr="00AF26EF">
        <w:rPr>
          <w:lang w:val="en-GB"/>
        </w:rPr>
        <w:t xml:space="preserve">are </w:t>
      </w:r>
      <w:r w:rsidR="00F51525" w:rsidRPr="00AF26EF">
        <w:rPr>
          <w:lang w:val="en-GB"/>
        </w:rPr>
        <w:t>mixed</w:t>
      </w:r>
      <w:r w:rsidR="00C2779E" w:rsidRPr="00AF26EF">
        <w:rPr>
          <w:lang w:val="en-GB"/>
        </w:rPr>
        <w:t>,</w:t>
      </w:r>
      <w:r w:rsidR="00F51525" w:rsidRPr="00AF26EF">
        <w:rPr>
          <w:lang w:val="en-GB"/>
        </w:rPr>
        <w:t xml:space="preserve"> </w:t>
      </w:r>
      <w:r w:rsidR="00E50AE6" w:rsidRPr="00AF26EF">
        <w:rPr>
          <w:lang w:val="en-GB"/>
        </w:rPr>
        <w:t xml:space="preserve">however, </w:t>
      </w:r>
      <w:r w:rsidR="00F51525" w:rsidRPr="00AF26EF">
        <w:rPr>
          <w:lang w:val="en-GB"/>
        </w:rPr>
        <w:t xml:space="preserve">with some studies reporting </w:t>
      </w:r>
      <w:r w:rsidRPr="00AF26EF">
        <w:rPr>
          <w:lang w:val="en-GB"/>
        </w:rPr>
        <w:t xml:space="preserve">a </w:t>
      </w:r>
      <w:r w:rsidR="00236676" w:rsidRPr="00AF26EF">
        <w:rPr>
          <w:lang w:val="en-GB"/>
        </w:rPr>
        <w:t xml:space="preserve">reduced positivity </w:t>
      </w:r>
      <w:r w:rsidR="00E50AE6" w:rsidRPr="00AF26EF">
        <w:rPr>
          <w:lang w:val="en-GB"/>
        </w:rPr>
        <w:t xml:space="preserve">when </w:t>
      </w:r>
      <w:r w:rsidR="00236676" w:rsidRPr="00AF26EF">
        <w:rPr>
          <w:lang w:val="en-GB"/>
        </w:rPr>
        <w:t xml:space="preserve">compared </w:t>
      </w:r>
      <w:r w:rsidR="00A31530" w:rsidRPr="00AF26EF">
        <w:rPr>
          <w:lang w:val="en-GB"/>
        </w:rPr>
        <w:t>with</w:t>
      </w:r>
      <w:r w:rsidR="00236676" w:rsidRPr="00AF26EF">
        <w:rPr>
          <w:lang w:val="en-GB"/>
        </w:rPr>
        <w:t xml:space="preserve"> </w:t>
      </w:r>
      <w:r w:rsidRPr="00AF26EF">
        <w:rPr>
          <w:lang w:val="en-GB"/>
        </w:rPr>
        <w:t xml:space="preserve">the standard </w:t>
      </w:r>
      <w:r w:rsidR="00E50AE6" w:rsidRPr="00AF26EF">
        <w:rPr>
          <w:lang w:val="en-GB"/>
        </w:rPr>
        <w:t>NALC</w:t>
      </w:r>
      <w:r w:rsidR="00236676" w:rsidRPr="00AF26EF">
        <w:rPr>
          <w:lang w:val="en-GB"/>
        </w:rPr>
        <w:t xml:space="preserve">-NaOH </w:t>
      </w:r>
      <w:bookmarkStart w:id="23" w:name="EXISTREF13"/>
      <w:r w:rsidR="00A31530" w:rsidRPr="00AF26EF">
        <w:rPr>
          <w:lang w:val="en-GB"/>
        </w:rPr>
        <w:t>[</w:t>
      </w:r>
      <w:r w:rsidR="00EC2DC4" w:rsidRPr="00AF26EF">
        <w:rPr>
          <w:lang w:val="en-GB"/>
        </w:rPr>
        <w:t>13</w:t>
      </w:r>
      <w:r w:rsidR="00A31530" w:rsidRPr="00AF26EF">
        <w:rPr>
          <w:lang w:val="en-GB"/>
        </w:rPr>
        <w:t>]</w:t>
      </w:r>
      <w:bookmarkEnd w:id="23"/>
      <w:r w:rsidR="00236676" w:rsidRPr="00AF26EF">
        <w:rPr>
          <w:lang w:val="en-GB"/>
        </w:rPr>
        <w:t xml:space="preserve"> and others reporting </w:t>
      </w:r>
      <w:r w:rsidR="00E50AE6" w:rsidRPr="00AF26EF">
        <w:rPr>
          <w:lang w:val="en-GB"/>
        </w:rPr>
        <w:t xml:space="preserve">an </w:t>
      </w:r>
      <w:r w:rsidR="00236676" w:rsidRPr="00AF26EF">
        <w:rPr>
          <w:lang w:val="en-GB"/>
        </w:rPr>
        <w:t xml:space="preserve">equivalent performance </w:t>
      </w:r>
      <w:bookmarkStart w:id="24" w:name="EXISTREF14"/>
      <w:r w:rsidR="00A31530" w:rsidRPr="00AF26EF">
        <w:rPr>
          <w:lang w:val="en-GB"/>
        </w:rPr>
        <w:t>[</w:t>
      </w:r>
      <w:r w:rsidR="00EC2DC4" w:rsidRPr="00AF26EF">
        <w:rPr>
          <w:lang w:val="en-GB"/>
        </w:rPr>
        <w:t>14</w:t>
      </w:r>
      <w:r w:rsidR="00A31530" w:rsidRPr="00AF26EF">
        <w:rPr>
          <w:lang w:val="en-GB"/>
        </w:rPr>
        <w:t>]</w:t>
      </w:r>
      <w:bookmarkEnd w:id="24"/>
      <w:r w:rsidR="00236676" w:rsidRPr="00AF26EF">
        <w:rPr>
          <w:lang w:val="en-GB"/>
        </w:rPr>
        <w:t>.</w:t>
      </w:r>
      <w:r w:rsidR="00C2779E" w:rsidRPr="00AF26EF">
        <w:rPr>
          <w:lang w:val="en-GB"/>
        </w:rPr>
        <w:t xml:space="preserve"> Previous smaller studies have shown </w:t>
      </w:r>
      <w:proofErr w:type="spellStart"/>
      <w:r w:rsidRPr="00AF26EF">
        <w:rPr>
          <w:lang w:val="en-GB"/>
        </w:rPr>
        <w:t>Omnigene</w:t>
      </w:r>
      <w:proofErr w:type="spellEnd"/>
      <w:r w:rsidR="00C2779E" w:rsidRPr="00AF26EF">
        <w:rPr>
          <w:lang w:val="en-GB"/>
        </w:rPr>
        <w:t xml:space="preserve"> to be compatible with molecular diagnostics </w:t>
      </w:r>
      <w:r w:rsidRPr="00AF26EF">
        <w:rPr>
          <w:lang w:val="en-GB"/>
        </w:rPr>
        <w:t>such as GX</w:t>
      </w:r>
      <w:r w:rsidR="00284133" w:rsidRPr="00AF26EF">
        <w:rPr>
          <w:lang w:val="en-GB"/>
        </w:rPr>
        <w:t xml:space="preserve"> </w:t>
      </w:r>
      <w:r w:rsidR="00A31530" w:rsidRPr="00AF26EF">
        <w:rPr>
          <w:lang w:val="en-GB"/>
        </w:rPr>
        <w:t>[</w:t>
      </w:r>
      <w:r w:rsidR="00EC2DC4" w:rsidRPr="00AF26EF">
        <w:rPr>
          <w:lang w:val="en-GB"/>
        </w:rPr>
        <w:t>9</w:t>
      </w:r>
      <w:r w:rsidR="00A31530" w:rsidRPr="00AF26EF">
        <w:rPr>
          <w:lang w:val="en-GB"/>
        </w:rPr>
        <w:t>]</w:t>
      </w:r>
      <w:r w:rsidR="00C2779E" w:rsidRPr="00AF26EF">
        <w:rPr>
          <w:lang w:val="en-GB"/>
        </w:rPr>
        <w:t xml:space="preserve">, </w:t>
      </w:r>
      <w:r w:rsidRPr="00AF26EF">
        <w:rPr>
          <w:lang w:val="en-GB"/>
        </w:rPr>
        <w:t xml:space="preserve">and our findings confirm </w:t>
      </w:r>
      <w:r w:rsidR="00C2779E" w:rsidRPr="00AF26EF">
        <w:rPr>
          <w:lang w:val="en-GB"/>
        </w:rPr>
        <w:t xml:space="preserve">that testing </w:t>
      </w:r>
      <w:proofErr w:type="spellStart"/>
      <w:r w:rsidRPr="00AF26EF">
        <w:rPr>
          <w:lang w:val="en-GB"/>
        </w:rPr>
        <w:t>Omnigene</w:t>
      </w:r>
      <w:proofErr w:type="spellEnd"/>
      <w:r w:rsidRPr="00AF26EF">
        <w:rPr>
          <w:lang w:val="en-GB"/>
        </w:rPr>
        <w:t>-</w:t>
      </w:r>
      <w:r w:rsidR="00C2779E" w:rsidRPr="00AF26EF">
        <w:rPr>
          <w:lang w:val="en-GB"/>
        </w:rPr>
        <w:t>preserved samples was as accurate as direct</w:t>
      </w:r>
      <w:r w:rsidRPr="00AF26EF">
        <w:rPr>
          <w:lang w:val="en-GB"/>
        </w:rPr>
        <w:t xml:space="preserve">ly </w:t>
      </w:r>
      <w:r w:rsidR="00C2779E" w:rsidRPr="00AF26EF">
        <w:rPr>
          <w:lang w:val="en-GB"/>
        </w:rPr>
        <w:t>testing</w:t>
      </w:r>
      <w:r w:rsidRPr="00AF26EF">
        <w:rPr>
          <w:lang w:val="en-GB"/>
        </w:rPr>
        <w:t xml:space="preserve"> fresh sputum samples, with minimal </w:t>
      </w:r>
      <w:r w:rsidR="00956C66" w:rsidRPr="00AF26EF">
        <w:rPr>
          <w:lang w:val="en-GB"/>
        </w:rPr>
        <w:t>change</w:t>
      </w:r>
      <w:r w:rsidRPr="00AF26EF">
        <w:rPr>
          <w:lang w:val="en-GB"/>
        </w:rPr>
        <w:t xml:space="preserve"> in the </w:t>
      </w:r>
      <w:r w:rsidR="00874ABE" w:rsidRPr="00AF26EF">
        <w:rPr>
          <w:rFonts w:cs="Arial"/>
          <w:color w:val="222222"/>
          <w:shd w:val="clear" w:color="auto" w:fill="FFFFFF"/>
        </w:rPr>
        <w:t>cycle </w:t>
      </w:r>
      <w:r w:rsidR="00874ABE" w:rsidRPr="00AF26EF">
        <w:rPr>
          <w:rFonts w:cs="Arial"/>
          <w:bCs/>
          <w:color w:val="222222"/>
          <w:shd w:val="clear" w:color="auto" w:fill="FFFFFF"/>
        </w:rPr>
        <w:t>threshold</w:t>
      </w:r>
      <w:r w:rsidR="00874ABE" w:rsidRPr="00AF26EF">
        <w:rPr>
          <w:rFonts w:ascii="Arial" w:hAnsi="Arial" w:cs="Arial"/>
          <w:bCs/>
          <w:color w:val="222222"/>
          <w:shd w:val="clear" w:color="auto" w:fill="FFFFFF"/>
        </w:rPr>
        <w:t xml:space="preserve"> (</w:t>
      </w:r>
      <w:r w:rsidRPr="00AF26EF">
        <w:rPr>
          <w:lang w:val="en-GB"/>
        </w:rPr>
        <w:t>CT</w:t>
      </w:r>
      <w:r w:rsidR="00874ABE" w:rsidRPr="00AF26EF">
        <w:rPr>
          <w:lang w:val="en-GB"/>
        </w:rPr>
        <w:t>)</w:t>
      </w:r>
      <w:r w:rsidRPr="00AF26EF">
        <w:rPr>
          <w:lang w:val="en-GB"/>
        </w:rPr>
        <w:t xml:space="preserve"> values obtained</w:t>
      </w:r>
      <w:r w:rsidR="00C2779E" w:rsidRPr="00AF26EF">
        <w:rPr>
          <w:lang w:val="en-GB"/>
        </w:rPr>
        <w:t>.</w:t>
      </w:r>
      <w:r w:rsidRPr="00AF26EF">
        <w:rPr>
          <w:lang w:val="en-GB"/>
        </w:rPr>
        <w:t xml:space="preserve"> </w:t>
      </w:r>
      <w:r w:rsidR="00741C31" w:rsidRPr="00AF26EF">
        <w:rPr>
          <w:lang w:val="en-GB"/>
        </w:rPr>
        <w:t>An i</w:t>
      </w:r>
      <w:r w:rsidRPr="00AF26EF">
        <w:rPr>
          <w:lang w:val="en-GB"/>
        </w:rPr>
        <w:t xml:space="preserve">mportant consideration for </w:t>
      </w:r>
      <w:proofErr w:type="spellStart"/>
      <w:r w:rsidRPr="00AF26EF">
        <w:rPr>
          <w:lang w:val="en-GB"/>
        </w:rPr>
        <w:t>Omnigene</w:t>
      </w:r>
      <w:proofErr w:type="spellEnd"/>
      <w:r w:rsidR="00E50AE6" w:rsidRPr="00AF26EF">
        <w:rPr>
          <w:lang w:val="en-GB"/>
        </w:rPr>
        <w:t>,</w:t>
      </w:r>
      <w:r w:rsidRPr="00AF26EF">
        <w:rPr>
          <w:lang w:val="en-GB"/>
        </w:rPr>
        <w:t xml:space="preserve"> </w:t>
      </w:r>
      <w:r w:rsidR="00C1784F" w:rsidRPr="00AF26EF">
        <w:rPr>
          <w:lang w:val="en-GB"/>
        </w:rPr>
        <w:t>however</w:t>
      </w:r>
      <w:r w:rsidR="00E50AE6" w:rsidRPr="00AF26EF">
        <w:rPr>
          <w:lang w:val="en-GB"/>
        </w:rPr>
        <w:t>,</w:t>
      </w:r>
      <w:r w:rsidR="00C1784F" w:rsidRPr="00AF26EF">
        <w:rPr>
          <w:lang w:val="en-GB"/>
        </w:rPr>
        <w:t xml:space="preserve"> </w:t>
      </w:r>
      <w:r w:rsidR="00741C31" w:rsidRPr="00AF26EF">
        <w:rPr>
          <w:lang w:val="en-GB"/>
        </w:rPr>
        <w:t xml:space="preserve">is </w:t>
      </w:r>
      <w:r w:rsidR="006471A3" w:rsidRPr="00AF26EF">
        <w:rPr>
          <w:lang w:val="en-GB"/>
        </w:rPr>
        <w:t>the need to centrifuge to obtain a concentrated pellet</w:t>
      </w:r>
      <w:r w:rsidR="00C15651" w:rsidRPr="00AF26EF">
        <w:rPr>
          <w:lang w:val="en-GB"/>
        </w:rPr>
        <w:t>,</w:t>
      </w:r>
      <w:r w:rsidR="006471A3" w:rsidRPr="00AF26EF">
        <w:rPr>
          <w:lang w:val="en-GB"/>
        </w:rPr>
        <w:t xml:space="preserve"> </w:t>
      </w:r>
      <w:r w:rsidR="008152D9" w:rsidRPr="00AF26EF">
        <w:rPr>
          <w:lang w:val="en-GB"/>
        </w:rPr>
        <w:t xml:space="preserve">as this would prevent </w:t>
      </w:r>
      <w:r w:rsidR="00741C31" w:rsidRPr="00AF26EF">
        <w:rPr>
          <w:lang w:val="en-GB"/>
        </w:rPr>
        <w:t>its use at peripheral sites</w:t>
      </w:r>
      <w:r w:rsidR="00E50AE6" w:rsidRPr="00AF26EF">
        <w:rPr>
          <w:lang w:val="en-GB"/>
        </w:rPr>
        <w:t>,</w:t>
      </w:r>
      <w:r w:rsidR="00741C31" w:rsidRPr="00AF26EF">
        <w:rPr>
          <w:lang w:val="en-GB"/>
        </w:rPr>
        <w:t xml:space="preserve"> where centrifuges are often </w:t>
      </w:r>
      <w:r w:rsidR="008152D9" w:rsidRPr="00AF26EF">
        <w:rPr>
          <w:lang w:val="en-GB"/>
        </w:rPr>
        <w:t>un</w:t>
      </w:r>
      <w:r w:rsidR="00741C31" w:rsidRPr="00AF26EF">
        <w:rPr>
          <w:lang w:val="en-GB"/>
        </w:rPr>
        <w:t>available.</w:t>
      </w:r>
      <w:r w:rsidR="008152D9" w:rsidRPr="00AF26EF">
        <w:rPr>
          <w:lang w:val="en-GB"/>
        </w:rPr>
        <w:t xml:space="preserve"> A further issue is </w:t>
      </w:r>
      <w:r w:rsidRPr="00AF26EF">
        <w:rPr>
          <w:lang w:val="en-GB"/>
        </w:rPr>
        <w:t xml:space="preserve">its </w:t>
      </w:r>
      <w:r w:rsidR="00C74DDC" w:rsidRPr="00AF26EF">
        <w:rPr>
          <w:lang w:val="en-GB"/>
        </w:rPr>
        <w:t>cost</w:t>
      </w:r>
      <w:r w:rsidRPr="00AF26EF">
        <w:rPr>
          <w:lang w:val="en-GB"/>
        </w:rPr>
        <w:t xml:space="preserve">, which is </w:t>
      </w:r>
      <w:r w:rsidR="00C1784F" w:rsidRPr="00AF26EF">
        <w:rPr>
          <w:lang w:val="en-GB"/>
        </w:rPr>
        <w:t xml:space="preserve">estimated at </w:t>
      </w:r>
      <w:r w:rsidR="00C74DDC" w:rsidRPr="00AF26EF">
        <w:rPr>
          <w:lang w:val="en-GB"/>
        </w:rPr>
        <w:t>USD 2.84</w:t>
      </w:r>
      <w:r w:rsidR="00C1784F" w:rsidRPr="00AF26EF">
        <w:rPr>
          <w:lang w:val="en-GB"/>
        </w:rPr>
        <w:t xml:space="preserve"> </w:t>
      </w:r>
      <w:r w:rsidR="00A31530" w:rsidRPr="00AF26EF">
        <w:rPr>
          <w:lang w:val="en-GB"/>
        </w:rPr>
        <w:t>[</w:t>
      </w:r>
      <w:r w:rsidR="00EC2DC4" w:rsidRPr="00AF26EF">
        <w:rPr>
          <w:lang w:val="en-GB"/>
        </w:rPr>
        <w:t>6</w:t>
      </w:r>
      <w:r w:rsidR="00A31530" w:rsidRPr="00AF26EF">
        <w:rPr>
          <w:lang w:val="en-GB"/>
        </w:rPr>
        <w:t>]</w:t>
      </w:r>
      <w:r w:rsidR="00C74DDC" w:rsidRPr="00AF26EF">
        <w:rPr>
          <w:lang w:val="en-GB"/>
        </w:rPr>
        <w:t xml:space="preserve"> </w:t>
      </w:r>
      <w:r w:rsidR="00C1784F" w:rsidRPr="00AF26EF">
        <w:rPr>
          <w:lang w:val="en-GB"/>
        </w:rPr>
        <w:t xml:space="preserve">per sample. </w:t>
      </w:r>
      <w:r w:rsidR="00A31530" w:rsidRPr="00AF26EF">
        <w:rPr>
          <w:lang w:val="en-GB"/>
        </w:rPr>
        <w:t>Because</w:t>
      </w:r>
      <w:r w:rsidR="00C1784F" w:rsidRPr="00AF26EF">
        <w:rPr>
          <w:lang w:val="en-GB"/>
        </w:rPr>
        <w:t xml:space="preserve"> the </w:t>
      </w:r>
      <w:proofErr w:type="spellStart"/>
      <w:r w:rsidR="00C1784F" w:rsidRPr="00AF26EF">
        <w:rPr>
          <w:lang w:val="en-GB"/>
        </w:rPr>
        <w:t>Omnigene</w:t>
      </w:r>
      <w:proofErr w:type="spellEnd"/>
      <w:r w:rsidR="00C1784F" w:rsidRPr="00AF26EF">
        <w:rPr>
          <w:lang w:val="en-GB"/>
        </w:rPr>
        <w:t xml:space="preserve"> fluid needs to be added </w:t>
      </w:r>
      <w:r w:rsidR="00E50AE6" w:rsidRPr="00AF26EF">
        <w:rPr>
          <w:lang w:val="en-GB"/>
        </w:rPr>
        <w:t>when the</w:t>
      </w:r>
      <w:r w:rsidR="00C1784F" w:rsidRPr="00AF26EF">
        <w:rPr>
          <w:lang w:val="en-GB"/>
        </w:rPr>
        <w:t xml:space="preserve"> sputum </w:t>
      </w:r>
      <w:r w:rsidR="00E50AE6" w:rsidRPr="00AF26EF">
        <w:rPr>
          <w:lang w:val="en-GB"/>
        </w:rPr>
        <w:t>is collected</w:t>
      </w:r>
      <w:r w:rsidR="00C1784F" w:rsidRPr="00AF26EF">
        <w:rPr>
          <w:lang w:val="en-GB"/>
        </w:rPr>
        <w:t xml:space="preserve">, this is likely to be the minimum cost, as health centres need to stock larger amounts </w:t>
      </w:r>
      <w:r w:rsidR="00956C66" w:rsidRPr="00AF26EF">
        <w:rPr>
          <w:lang w:val="en-GB"/>
        </w:rPr>
        <w:t>in</w:t>
      </w:r>
      <w:r w:rsidR="00C1784F" w:rsidRPr="00AF26EF">
        <w:rPr>
          <w:lang w:val="en-GB"/>
        </w:rPr>
        <w:t xml:space="preserve"> prepar</w:t>
      </w:r>
      <w:r w:rsidR="00956C66" w:rsidRPr="00AF26EF">
        <w:rPr>
          <w:lang w:val="en-GB"/>
        </w:rPr>
        <w:t>ation</w:t>
      </w:r>
      <w:r w:rsidR="00C1784F" w:rsidRPr="00AF26EF">
        <w:rPr>
          <w:lang w:val="en-GB"/>
        </w:rPr>
        <w:t xml:space="preserve"> for the number of sputum samples </w:t>
      </w:r>
      <w:r w:rsidR="00E632C0" w:rsidRPr="00AF26EF">
        <w:rPr>
          <w:lang w:val="en-GB"/>
        </w:rPr>
        <w:t>likely</w:t>
      </w:r>
      <w:r w:rsidR="00C1784F" w:rsidRPr="00AF26EF">
        <w:rPr>
          <w:lang w:val="en-GB"/>
        </w:rPr>
        <w:t xml:space="preserve"> to be collected. </w:t>
      </w:r>
      <w:r w:rsidR="00956C66" w:rsidRPr="00AF26EF">
        <w:rPr>
          <w:lang w:val="en-GB"/>
        </w:rPr>
        <w:t>H</w:t>
      </w:r>
      <w:r w:rsidR="00C74DDC" w:rsidRPr="00AF26EF">
        <w:rPr>
          <w:lang w:val="en-GB"/>
        </w:rPr>
        <w:t xml:space="preserve">ealth economic studies are required to determine the cost-benefit of implementing </w:t>
      </w:r>
      <w:proofErr w:type="spellStart"/>
      <w:r w:rsidR="00C74DDC" w:rsidRPr="00AF26EF">
        <w:rPr>
          <w:lang w:val="en-GB"/>
        </w:rPr>
        <w:t>O</w:t>
      </w:r>
      <w:r w:rsidR="00C1784F" w:rsidRPr="00AF26EF">
        <w:rPr>
          <w:lang w:val="en-GB"/>
        </w:rPr>
        <w:t>mnigene</w:t>
      </w:r>
      <w:proofErr w:type="spellEnd"/>
      <w:r w:rsidR="00C74DDC" w:rsidRPr="00AF26EF">
        <w:rPr>
          <w:lang w:val="en-GB"/>
        </w:rPr>
        <w:t xml:space="preserve"> </w:t>
      </w:r>
      <w:r w:rsidR="00C1784F" w:rsidRPr="00AF26EF">
        <w:rPr>
          <w:lang w:val="en-GB"/>
        </w:rPr>
        <w:t xml:space="preserve">within </w:t>
      </w:r>
      <w:r w:rsidR="00C74DDC" w:rsidRPr="00AF26EF">
        <w:rPr>
          <w:lang w:val="en-GB"/>
        </w:rPr>
        <w:t>TB programs.</w:t>
      </w:r>
      <w:r w:rsidR="001C487B" w:rsidRPr="00AF26EF">
        <w:rPr>
          <w:lang w:val="en-GB"/>
        </w:rPr>
        <w:t xml:space="preserve"> </w:t>
      </w:r>
    </w:p>
    <w:p w14:paraId="060AFE12" w14:textId="0F05B6B6" w:rsidR="00F51525" w:rsidRPr="00AF26EF" w:rsidRDefault="00C2779E" w:rsidP="00A547AC">
      <w:pPr>
        <w:pStyle w:val="MDPI31text"/>
        <w:rPr>
          <w:lang w:val="en-GB"/>
        </w:rPr>
      </w:pPr>
      <w:proofErr w:type="spellStart"/>
      <w:r w:rsidRPr="00AF26EF">
        <w:rPr>
          <w:lang w:val="en-GB"/>
        </w:rPr>
        <w:t>P</w:t>
      </w:r>
      <w:r w:rsidR="00C1784F" w:rsidRPr="00AF26EF">
        <w:rPr>
          <w:lang w:val="en-GB"/>
        </w:rPr>
        <w:t>rimestore</w:t>
      </w:r>
      <w:proofErr w:type="spellEnd"/>
      <w:r w:rsidRPr="00AF26EF">
        <w:rPr>
          <w:lang w:val="en-GB"/>
        </w:rPr>
        <w:t xml:space="preserve"> was </w:t>
      </w:r>
      <w:r w:rsidR="004248CC" w:rsidRPr="00AF26EF">
        <w:rPr>
          <w:lang w:val="en-GB"/>
        </w:rPr>
        <w:t xml:space="preserve">primarily </w:t>
      </w:r>
      <w:r w:rsidRPr="00AF26EF">
        <w:rPr>
          <w:lang w:val="en-GB"/>
        </w:rPr>
        <w:t>designed to preserve nucleic acids for molecular testing</w:t>
      </w:r>
      <w:r w:rsidR="004248CC" w:rsidRPr="00AF26EF">
        <w:rPr>
          <w:lang w:val="en-GB"/>
        </w:rPr>
        <w:t>,</w:t>
      </w:r>
      <w:r w:rsidRPr="00AF26EF">
        <w:rPr>
          <w:lang w:val="en-GB"/>
        </w:rPr>
        <w:t xml:space="preserve"> rather than preserving cells for culture, </w:t>
      </w:r>
      <w:r w:rsidR="00997EA7" w:rsidRPr="00AF26EF">
        <w:rPr>
          <w:lang w:val="en-GB"/>
        </w:rPr>
        <w:t>and contains reagent</w:t>
      </w:r>
      <w:r w:rsidR="00C15651" w:rsidRPr="00AF26EF">
        <w:rPr>
          <w:lang w:val="en-GB"/>
        </w:rPr>
        <w:t>s</w:t>
      </w:r>
      <w:r w:rsidR="00997EA7" w:rsidRPr="00AF26EF">
        <w:rPr>
          <w:lang w:val="en-GB"/>
        </w:rPr>
        <w:t xml:space="preserve"> to lyse mycobacteria</w:t>
      </w:r>
      <w:r w:rsidR="00C1784F" w:rsidRPr="00AF26EF">
        <w:rPr>
          <w:lang w:val="en-GB"/>
        </w:rPr>
        <w:t xml:space="preserve">, </w:t>
      </w:r>
      <w:r w:rsidR="00997EA7" w:rsidRPr="00AF26EF">
        <w:rPr>
          <w:lang w:val="en-GB"/>
        </w:rPr>
        <w:t>protect</w:t>
      </w:r>
      <w:r w:rsidR="00C1784F" w:rsidRPr="00AF26EF">
        <w:rPr>
          <w:lang w:val="en-GB"/>
        </w:rPr>
        <w:t>ing</w:t>
      </w:r>
      <w:r w:rsidR="00997EA7" w:rsidRPr="00AF26EF">
        <w:rPr>
          <w:lang w:val="en-GB"/>
        </w:rPr>
        <w:t xml:space="preserve"> nucleic acids from nuclease</w:t>
      </w:r>
      <w:r w:rsidR="004248CC" w:rsidRPr="00AF26EF">
        <w:rPr>
          <w:lang w:val="en-GB"/>
        </w:rPr>
        <w:t>-</w:t>
      </w:r>
      <w:r w:rsidR="00997EA7" w:rsidRPr="00AF26EF">
        <w:rPr>
          <w:lang w:val="en-GB"/>
        </w:rPr>
        <w:t xml:space="preserve">mediated degradation </w:t>
      </w:r>
      <w:r w:rsidR="00A31530" w:rsidRPr="00AF26EF">
        <w:rPr>
          <w:lang w:val="en-GB"/>
        </w:rPr>
        <w:t>[</w:t>
      </w:r>
      <w:r w:rsidR="00EC2DC4" w:rsidRPr="00AF26EF">
        <w:rPr>
          <w:lang w:val="en-GB"/>
        </w:rPr>
        <w:t>7</w:t>
      </w:r>
      <w:r w:rsidR="00A31530" w:rsidRPr="00AF26EF">
        <w:rPr>
          <w:lang w:val="en-GB"/>
        </w:rPr>
        <w:t>]</w:t>
      </w:r>
      <w:r w:rsidR="00997EA7" w:rsidRPr="00AF26EF">
        <w:rPr>
          <w:lang w:val="en-GB"/>
        </w:rPr>
        <w:t>.</w:t>
      </w:r>
      <w:r w:rsidR="00A00381" w:rsidRPr="00AF26EF">
        <w:rPr>
          <w:lang w:val="en-GB"/>
        </w:rPr>
        <w:t xml:space="preserve"> </w:t>
      </w:r>
      <w:r w:rsidR="003E2ABA" w:rsidRPr="00AF26EF">
        <w:rPr>
          <w:lang w:val="en-GB"/>
        </w:rPr>
        <w:t xml:space="preserve">Samples preserved in </w:t>
      </w:r>
      <w:proofErr w:type="spellStart"/>
      <w:r w:rsidR="003E2ABA" w:rsidRPr="00AF26EF">
        <w:rPr>
          <w:lang w:val="en-GB"/>
        </w:rPr>
        <w:t>P</w:t>
      </w:r>
      <w:r w:rsidR="00C1784F" w:rsidRPr="00AF26EF">
        <w:rPr>
          <w:lang w:val="en-GB"/>
        </w:rPr>
        <w:t>rimestore</w:t>
      </w:r>
      <w:proofErr w:type="spellEnd"/>
      <w:r w:rsidR="00C1784F" w:rsidRPr="00AF26EF">
        <w:rPr>
          <w:lang w:val="en-GB"/>
        </w:rPr>
        <w:t xml:space="preserve"> </w:t>
      </w:r>
      <w:r w:rsidR="003E2ABA" w:rsidRPr="00AF26EF">
        <w:rPr>
          <w:lang w:val="en-GB"/>
        </w:rPr>
        <w:t>have been utili</w:t>
      </w:r>
      <w:r w:rsidR="00CD53A8" w:rsidRPr="00AF26EF">
        <w:rPr>
          <w:lang w:val="en-GB"/>
        </w:rPr>
        <w:t>s</w:t>
      </w:r>
      <w:r w:rsidR="003E2ABA" w:rsidRPr="00AF26EF">
        <w:rPr>
          <w:lang w:val="en-GB"/>
        </w:rPr>
        <w:t>ed for next generation sequencing</w:t>
      </w:r>
      <w:r w:rsidR="00EE5660" w:rsidRPr="00AF26EF">
        <w:rPr>
          <w:lang w:val="en-GB"/>
        </w:rPr>
        <w:t xml:space="preserve"> </w:t>
      </w:r>
      <w:bookmarkStart w:id="25" w:name="EXISTREF15"/>
      <w:r w:rsidR="00A31530" w:rsidRPr="00AF26EF">
        <w:rPr>
          <w:lang w:val="en-GB"/>
        </w:rPr>
        <w:t>[</w:t>
      </w:r>
      <w:r w:rsidR="00EC2DC4" w:rsidRPr="00AF26EF">
        <w:rPr>
          <w:lang w:val="en-GB"/>
        </w:rPr>
        <w:t>15</w:t>
      </w:r>
      <w:r w:rsidR="00A31530" w:rsidRPr="00AF26EF">
        <w:rPr>
          <w:lang w:val="en-GB"/>
        </w:rPr>
        <w:t>]</w:t>
      </w:r>
      <w:bookmarkEnd w:id="25"/>
      <w:r w:rsidR="003E2ABA" w:rsidRPr="00AF26EF">
        <w:rPr>
          <w:lang w:val="en-GB"/>
        </w:rPr>
        <w:t xml:space="preserve"> </w:t>
      </w:r>
      <w:r w:rsidR="00C1784F" w:rsidRPr="00AF26EF">
        <w:rPr>
          <w:lang w:val="en-GB"/>
        </w:rPr>
        <w:t>t</w:t>
      </w:r>
      <w:r w:rsidR="00956C66" w:rsidRPr="00AF26EF">
        <w:rPr>
          <w:lang w:val="en-GB"/>
        </w:rPr>
        <w:t>o</w:t>
      </w:r>
      <w:r w:rsidR="00C1784F" w:rsidRPr="00AF26EF">
        <w:rPr>
          <w:lang w:val="en-GB"/>
        </w:rPr>
        <w:t xml:space="preserve"> identif</w:t>
      </w:r>
      <w:r w:rsidR="00956C66" w:rsidRPr="00AF26EF">
        <w:rPr>
          <w:lang w:val="en-GB"/>
        </w:rPr>
        <w:t>y</w:t>
      </w:r>
      <w:r w:rsidR="00C1784F" w:rsidRPr="00AF26EF">
        <w:rPr>
          <w:lang w:val="en-GB"/>
        </w:rPr>
        <w:t xml:space="preserve"> </w:t>
      </w:r>
      <w:r w:rsidR="003E2ABA" w:rsidRPr="00AF26EF">
        <w:rPr>
          <w:lang w:val="en-GB"/>
        </w:rPr>
        <w:t>drug</w:t>
      </w:r>
      <w:r w:rsidR="006469D6" w:rsidRPr="00AF26EF">
        <w:rPr>
          <w:lang w:val="en-GB"/>
        </w:rPr>
        <w:t>-</w:t>
      </w:r>
      <w:r w:rsidR="003E2ABA" w:rsidRPr="00AF26EF">
        <w:rPr>
          <w:lang w:val="en-GB"/>
        </w:rPr>
        <w:t>resistan</w:t>
      </w:r>
      <w:r w:rsidR="006469D6" w:rsidRPr="00AF26EF">
        <w:rPr>
          <w:lang w:val="en-GB"/>
        </w:rPr>
        <w:t>t</w:t>
      </w:r>
      <w:r w:rsidR="003E2ABA" w:rsidRPr="00AF26EF">
        <w:rPr>
          <w:lang w:val="en-GB"/>
        </w:rPr>
        <w:t xml:space="preserve"> mutations</w:t>
      </w:r>
      <w:r w:rsidR="00BF66C7" w:rsidRPr="00AF26EF">
        <w:rPr>
          <w:lang w:val="en-GB"/>
        </w:rPr>
        <w:t>. This</w:t>
      </w:r>
      <w:r w:rsidR="003E2ABA" w:rsidRPr="00AF26EF">
        <w:rPr>
          <w:lang w:val="en-GB"/>
        </w:rPr>
        <w:t xml:space="preserve"> </w:t>
      </w:r>
      <w:r w:rsidR="00BF66C7" w:rsidRPr="00AF26EF">
        <w:rPr>
          <w:lang w:val="en-GB"/>
        </w:rPr>
        <w:t xml:space="preserve">indicates their </w:t>
      </w:r>
      <w:r w:rsidR="003E2ABA" w:rsidRPr="00AF26EF">
        <w:rPr>
          <w:lang w:val="en-GB"/>
        </w:rPr>
        <w:t xml:space="preserve">applicability </w:t>
      </w:r>
      <w:r w:rsidR="00BF66C7" w:rsidRPr="00AF26EF">
        <w:rPr>
          <w:lang w:val="en-GB"/>
        </w:rPr>
        <w:t xml:space="preserve">to </w:t>
      </w:r>
      <w:r w:rsidR="003E2ABA" w:rsidRPr="00AF26EF">
        <w:rPr>
          <w:lang w:val="en-GB"/>
        </w:rPr>
        <w:t>downstream genomics that require a level of nucleic acid integrity.</w:t>
      </w:r>
      <w:r w:rsidR="00C1784F" w:rsidRPr="00AF26EF">
        <w:rPr>
          <w:lang w:val="en-GB"/>
        </w:rPr>
        <w:t xml:space="preserve"> In this study, sputum </w:t>
      </w:r>
      <w:r w:rsidR="00BB1D74" w:rsidRPr="00AF26EF">
        <w:rPr>
          <w:lang w:val="en-GB"/>
        </w:rPr>
        <w:t>preserved with this solution</w:t>
      </w:r>
      <w:r w:rsidR="00C1784F" w:rsidRPr="00AF26EF">
        <w:rPr>
          <w:lang w:val="en-GB"/>
        </w:rPr>
        <w:t xml:space="preserve"> resulted in </w:t>
      </w:r>
      <w:r w:rsidR="00495C0E" w:rsidRPr="00AF26EF">
        <w:rPr>
          <w:lang w:val="en-GB"/>
        </w:rPr>
        <w:t>lower GX</w:t>
      </w:r>
      <w:r w:rsidR="00EE5660" w:rsidRPr="00AF26EF">
        <w:rPr>
          <w:lang w:val="en-GB"/>
        </w:rPr>
        <w:t xml:space="preserve"> </w:t>
      </w:r>
      <w:r w:rsidR="00495C0E" w:rsidRPr="00AF26EF">
        <w:rPr>
          <w:lang w:val="en-GB"/>
        </w:rPr>
        <w:t xml:space="preserve">semiquantitative grades </w:t>
      </w:r>
      <w:r w:rsidR="00C1784F" w:rsidRPr="00AF26EF">
        <w:rPr>
          <w:lang w:val="en-GB"/>
        </w:rPr>
        <w:t>and a higher proportion of false-negative samples</w:t>
      </w:r>
      <w:r w:rsidR="00E02C6F" w:rsidRPr="00AF26EF">
        <w:rPr>
          <w:lang w:val="en-GB"/>
        </w:rPr>
        <w:t xml:space="preserve"> </w:t>
      </w:r>
      <w:r w:rsidR="00753C08" w:rsidRPr="00AF26EF">
        <w:rPr>
          <w:bCs/>
          <w:lang w:val="en-GB"/>
        </w:rPr>
        <w:t>in HIV</w:t>
      </w:r>
      <w:r w:rsidR="00BF66C7" w:rsidRPr="00AF26EF">
        <w:rPr>
          <w:bCs/>
          <w:lang w:val="en-GB"/>
        </w:rPr>
        <w:t>-</w:t>
      </w:r>
      <w:r w:rsidR="00753C08" w:rsidRPr="00AF26EF">
        <w:rPr>
          <w:bCs/>
          <w:lang w:val="en-GB"/>
        </w:rPr>
        <w:t>infected patients</w:t>
      </w:r>
      <w:r w:rsidR="00753C08" w:rsidRPr="00AF26EF">
        <w:rPr>
          <w:lang w:val="en-GB"/>
        </w:rPr>
        <w:t>.</w:t>
      </w:r>
      <w:r w:rsidR="00C1784F" w:rsidRPr="00AF26EF">
        <w:rPr>
          <w:lang w:val="en-GB"/>
        </w:rPr>
        <w:t xml:space="preserve"> As the reduced sensitivity was observed among HIV-infected individuals, it is likely that the </w:t>
      </w:r>
      <w:r w:rsidR="00BB1D74" w:rsidRPr="00AF26EF">
        <w:rPr>
          <w:lang w:val="en-GB"/>
        </w:rPr>
        <w:t xml:space="preserve">smaller </w:t>
      </w:r>
      <w:r w:rsidR="00B523A6" w:rsidRPr="00AF26EF">
        <w:rPr>
          <w:lang w:val="en-GB"/>
        </w:rPr>
        <w:t xml:space="preserve">volume </w:t>
      </w:r>
      <w:r w:rsidR="00C1784F" w:rsidRPr="00AF26EF">
        <w:rPr>
          <w:lang w:val="en-GB"/>
        </w:rPr>
        <w:t xml:space="preserve">of sputum collected </w:t>
      </w:r>
      <w:r w:rsidR="00BB1D74" w:rsidRPr="00AF26EF">
        <w:rPr>
          <w:lang w:val="en-GB"/>
        </w:rPr>
        <w:t xml:space="preserve">through the </w:t>
      </w:r>
      <w:r w:rsidR="00C1784F" w:rsidRPr="00AF26EF">
        <w:rPr>
          <w:lang w:val="en-GB"/>
        </w:rPr>
        <w:t xml:space="preserve">swab </w:t>
      </w:r>
      <w:r w:rsidR="00BB1D74" w:rsidRPr="00AF26EF">
        <w:rPr>
          <w:lang w:val="en-GB"/>
        </w:rPr>
        <w:t>result</w:t>
      </w:r>
      <w:r w:rsidR="00956C66" w:rsidRPr="00AF26EF">
        <w:rPr>
          <w:lang w:val="en-GB"/>
        </w:rPr>
        <w:t>ed</w:t>
      </w:r>
      <w:r w:rsidR="00BB1D74" w:rsidRPr="00AF26EF">
        <w:rPr>
          <w:lang w:val="en-GB"/>
        </w:rPr>
        <w:t xml:space="preserve"> in a lower bacillary load</w:t>
      </w:r>
      <w:r w:rsidR="00DF1778" w:rsidRPr="00AF26EF">
        <w:rPr>
          <w:lang w:val="en-GB"/>
        </w:rPr>
        <w:t xml:space="preserve">. Moreover, it </w:t>
      </w:r>
      <w:r w:rsidR="00BD3A71" w:rsidRPr="00AF26EF">
        <w:rPr>
          <w:lang w:val="en-GB"/>
        </w:rPr>
        <w:t xml:space="preserve">may </w:t>
      </w:r>
      <w:r w:rsidR="00DF1778" w:rsidRPr="00AF26EF">
        <w:rPr>
          <w:lang w:val="en-GB"/>
        </w:rPr>
        <w:t xml:space="preserve">also </w:t>
      </w:r>
      <w:r w:rsidR="00BD3A71" w:rsidRPr="00AF26EF">
        <w:rPr>
          <w:lang w:val="en-GB"/>
        </w:rPr>
        <w:t xml:space="preserve">result in a reduced reliability of </w:t>
      </w:r>
      <w:proofErr w:type="spellStart"/>
      <w:r w:rsidR="00BD3A71" w:rsidRPr="00AF26EF">
        <w:rPr>
          <w:lang w:val="en-GB"/>
        </w:rPr>
        <w:t>Primestore</w:t>
      </w:r>
      <w:proofErr w:type="spellEnd"/>
      <w:r w:rsidR="00495C0E" w:rsidRPr="00AF26EF">
        <w:rPr>
          <w:lang w:val="en-GB"/>
        </w:rPr>
        <w:t xml:space="preserve"> </w:t>
      </w:r>
      <w:r w:rsidR="00EE5660" w:rsidRPr="00AF26EF">
        <w:rPr>
          <w:lang w:val="en-GB"/>
        </w:rPr>
        <w:t>when testing specimens with GX</w:t>
      </w:r>
      <w:r w:rsidR="00BD3A71" w:rsidRPr="00AF26EF">
        <w:rPr>
          <w:lang w:val="en-GB"/>
        </w:rPr>
        <w:t xml:space="preserve"> in HIV-infected </w:t>
      </w:r>
      <w:r w:rsidR="00BD3A71" w:rsidRPr="00AF26EF">
        <w:rPr>
          <w:lang w:val="en-GB"/>
        </w:rPr>
        <w:lastRenderedPageBreak/>
        <w:t>patients, compromis</w:t>
      </w:r>
      <w:r w:rsidR="00C15651" w:rsidRPr="00AF26EF">
        <w:rPr>
          <w:lang w:val="en-GB"/>
        </w:rPr>
        <w:t>ing</w:t>
      </w:r>
      <w:r w:rsidR="00BD3A71" w:rsidRPr="00AF26EF">
        <w:rPr>
          <w:lang w:val="en-GB"/>
        </w:rPr>
        <w:t xml:space="preserve"> the usefulness of this sputum preservation method in some southern African populations</w:t>
      </w:r>
      <w:r w:rsidR="00BB1D74" w:rsidRPr="00AF26EF">
        <w:rPr>
          <w:lang w:val="en-GB"/>
        </w:rPr>
        <w:t xml:space="preserve">. </w:t>
      </w:r>
      <w:r w:rsidR="00EE5660" w:rsidRPr="00AF26EF">
        <w:rPr>
          <w:lang w:val="en-GB"/>
        </w:rPr>
        <w:t>Lon</w:t>
      </w:r>
      <w:r w:rsidR="00E02C6F" w:rsidRPr="00AF26EF">
        <w:rPr>
          <w:lang w:val="en-GB"/>
        </w:rPr>
        <w:t>g</w:t>
      </w:r>
      <w:r w:rsidR="00EE5660" w:rsidRPr="00AF26EF">
        <w:rPr>
          <w:lang w:val="en-GB"/>
        </w:rPr>
        <w:t xml:space="preserve">horn </w:t>
      </w:r>
      <w:r w:rsidR="00E02C6F" w:rsidRPr="00AF26EF">
        <w:rPr>
          <w:lang w:val="en-GB"/>
        </w:rPr>
        <w:t>V</w:t>
      </w:r>
      <w:r w:rsidR="00EE5660" w:rsidRPr="00AF26EF">
        <w:rPr>
          <w:lang w:val="en-GB"/>
        </w:rPr>
        <w:t xml:space="preserve">accines and Diagnostics, </w:t>
      </w:r>
      <w:proofErr w:type="spellStart"/>
      <w:r w:rsidR="00EE5660" w:rsidRPr="00AF26EF">
        <w:rPr>
          <w:lang w:val="en-GB"/>
        </w:rPr>
        <w:t>Primestore</w:t>
      </w:r>
      <w:r w:rsidR="00DF1778" w:rsidRPr="00AF26EF">
        <w:rPr>
          <w:lang w:val="en-GB"/>
        </w:rPr>
        <w:t>’s</w:t>
      </w:r>
      <w:proofErr w:type="spellEnd"/>
      <w:r w:rsidR="00EE5660" w:rsidRPr="00AF26EF">
        <w:rPr>
          <w:lang w:val="en-GB"/>
        </w:rPr>
        <w:t xml:space="preserve"> manufacturer</w:t>
      </w:r>
      <w:r w:rsidR="000E0975" w:rsidRPr="00AF26EF">
        <w:rPr>
          <w:lang w:val="en-GB"/>
        </w:rPr>
        <w:t>,</w:t>
      </w:r>
      <w:r w:rsidR="00EE5660" w:rsidRPr="00AF26EF">
        <w:rPr>
          <w:lang w:val="en-GB"/>
        </w:rPr>
        <w:t xml:space="preserve"> has </w:t>
      </w:r>
      <w:r w:rsidR="00CD53A8" w:rsidRPr="00AF26EF">
        <w:rPr>
          <w:lang w:val="en-GB"/>
        </w:rPr>
        <w:t xml:space="preserve">recognised </w:t>
      </w:r>
      <w:r w:rsidR="00EE5660" w:rsidRPr="00AF26EF">
        <w:rPr>
          <w:lang w:val="en-GB"/>
        </w:rPr>
        <w:t xml:space="preserve">this issue and </w:t>
      </w:r>
      <w:r w:rsidR="000E0975" w:rsidRPr="00AF26EF">
        <w:rPr>
          <w:lang w:val="en-GB"/>
        </w:rPr>
        <w:t xml:space="preserve">currently recommends testing clinical specimens using a proprietary </w:t>
      </w:r>
      <w:r w:rsidR="00EE5660" w:rsidRPr="00AF26EF">
        <w:rPr>
          <w:lang w:val="en-GB"/>
        </w:rPr>
        <w:t xml:space="preserve">quantitative </w:t>
      </w:r>
      <w:r w:rsidR="00A31530" w:rsidRPr="00AF26EF">
        <w:rPr>
          <w:lang w:val="en-GB"/>
        </w:rPr>
        <w:t>p</w:t>
      </w:r>
      <w:r w:rsidR="00EE5660" w:rsidRPr="00AF26EF">
        <w:rPr>
          <w:lang w:val="en-GB"/>
        </w:rPr>
        <w:t xml:space="preserve">olymerase </w:t>
      </w:r>
      <w:r w:rsidR="00A31530" w:rsidRPr="00AF26EF">
        <w:rPr>
          <w:lang w:val="en-GB"/>
        </w:rPr>
        <w:t>c</w:t>
      </w:r>
      <w:r w:rsidR="00EE5660" w:rsidRPr="00AF26EF">
        <w:rPr>
          <w:lang w:val="en-GB"/>
        </w:rPr>
        <w:t xml:space="preserve">hain </w:t>
      </w:r>
      <w:r w:rsidR="00A31530" w:rsidRPr="00AF26EF">
        <w:rPr>
          <w:lang w:val="en-GB"/>
        </w:rPr>
        <w:t>r</w:t>
      </w:r>
      <w:r w:rsidR="00EE5660" w:rsidRPr="00AF26EF">
        <w:rPr>
          <w:lang w:val="en-GB"/>
        </w:rPr>
        <w:t>eaction (qPCR) assay</w:t>
      </w:r>
      <w:r w:rsidR="000E0975" w:rsidRPr="00AF26EF">
        <w:rPr>
          <w:lang w:val="en-GB"/>
        </w:rPr>
        <w:t>.</w:t>
      </w:r>
    </w:p>
    <w:p w14:paraId="62D48042" w14:textId="21F655C8" w:rsidR="00ED36A9" w:rsidRPr="00AF26EF" w:rsidRDefault="006241AF" w:rsidP="00A547AC">
      <w:pPr>
        <w:pStyle w:val="MDPI31text"/>
        <w:rPr>
          <w:lang w:val="en-GB"/>
        </w:rPr>
      </w:pPr>
      <w:r w:rsidRPr="00AF26EF">
        <w:rPr>
          <w:lang w:val="en-GB"/>
        </w:rPr>
        <w:t>We acknowledge that the study has several limitations. These include the unavoidable comparison of test performance</w:t>
      </w:r>
      <w:r w:rsidR="00291565" w:rsidRPr="00AF26EF">
        <w:rPr>
          <w:lang w:val="en-GB"/>
        </w:rPr>
        <w:t>s</w:t>
      </w:r>
      <w:r w:rsidRPr="00AF26EF">
        <w:rPr>
          <w:lang w:val="en-GB"/>
        </w:rPr>
        <w:t xml:space="preserve"> using results obtained from different samples, which may have masked natural variation</w:t>
      </w:r>
      <w:r w:rsidR="00291565" w:rsidRPr="00AF26EF">
        <w:rPr>
          <w:lang w:val="en-GB"/>
        </w:rPr>
        <w:t>s</w:t>
      </w:r>
      <w:r w:rsidRPr="00AF26EF">
        <w:rPr>
          <w:lang w:val="en-GB"/>
        </w:rPr>
        <w:t xml:space="preserve"> in bacilli loads among the sputum cups. We also used </w:t>
      </w:r>
      <w:r w:rsidR="00291565" w:rsidRPr="00AF26EF">
        <w:rPr>
          <w:lang w:val="en-GB"/>
        </w:rPr>
        <w:t xml:space="preserve">an </w:t>
      </w:r>
      <w:r w:rsidRPr="00AF26EF">
        <w:rPr>
          <w:lang w:val="en-GB"/>
        </w:rPr>
        <w:t xml:space="preserve">LJ solid culture as the reference standard. LJ has lower sensitivity than liquid </w:t>
      </w:r>
      <w:r w:rsidR="0047307E" w:rsidRPr="00AF26EF">
        <w:rPr>
          <w:lang w:val="en-GB"/>
        </w:rPr>
        <w:t>culture but</w:t>
      </w:r>
      <w:r w:rsidRPr="00AF26EF">
        <w:rPr>
          <w:lang w:val="en-GB"/>
        </w:rPr>
        <w:t xml:space="preserve"> was used because </w:t>
      </w:r>
      <w:r w:rsidR="00E4754D" w:rsidRPr="00AF26EF">
        <w:rPr>
          <w:lang w:val="en-GB"/>
        </w:rPr>
        <w:t>the latter</w:t>
      </w:r>
      <w:r w:rsidRPr="00AF26EF">
        <w:rPr>
          <w:lang w:val="en-GB"/>
        </w:rPr>
        <w:t xml:space="preserve"> is more prone to contamination in </w:t>
      </w:r>
      <w:r w:rsidR="00E4754D" w:rsidRPr="00AF26EF">
        <w:rPr>
          <w:lang w:val="en-GB"/>
        </w:rPr>
        <w:t xml:space="preserve">a </w:t>
      </w:r>
      <w:r w:rsidRPr="00AF26EF">
        <w:rPr>
          <w:lang w:val="en-GB"/>
        </w:rPr>
        <w:t xml:space="preserve">study setting. </w:t>
      </w:r>
      <w:r w:rsidR="00540315" w:rsidRPr="00AF26EF">
        <w:rPr>
          <w:lang w:val="en-GB"/>
        </w:rPr>
        <w:t>I</w:t>
      </w:r>
      <w:r w:rsidRPr="00AF26EF">
        <w:rPr>
          <w:lang w:val="en-GB"/>
        </w:rPr>
        <w:t xml:space="preserve">ts use may have resulted in missing patients with </w:t>
      </w:r>
      <w:r w:rsidR="0047307E" w:rsidRPr="00AF26EF">
        <w:rPr>
          <w:lang w:val="en-GB"/>
        </w:rPr>
        <w:t>microbiologically</w:t>
      </w:r>
      <w:r w:rsidRPr="00AF26EF">
        <w:rPr>
          <w:lang w:val="en-GB"/>
        </w:rPr>
        <w:t xml:space="preserve"> confirmed TB, </w:t>
      </w:r>
      <w:r w:rsidR="00540315" w:rsidRPr="00AF26EF">
        <w:rPr>
          <w:lang w:val="en-GB"/>
        </w:rPr>
        <w:t>and this may well be the case</w:t>
      </w:r>
      <w:r w:rsidRPr="00AF26EF">
        <w:rPr>
          <w:lang w:val="en-GB"/>
        </w:rPr>
        <w:t xml:space="preserve"> among participants with negative culture </w:t>
      </w:r>
      <w:r w:rsidR="00540315" w:rsidRPr="00AF26EF">
        <w:rPr>
          <w:lang w:val="en-GB"/>
        </w:rPr>
        <w:t>and</w:t>
      </w:r>
      <w:r w:rsidRPr="00AF26EF">
        <w:rPr>
          <w:lang w:val="en-GB"/>
        </w:rPr>
        <w:t xml:space="preserve"> </w:t>
      </w:r>
      <w:r w:rsidR="00540315" w:rsidRPr="00AF26EF">
        <w:rPr>
          <w:lang w:val="en-GB"/>
        </w:rPr>
        <w:t>multiple</w:t>
      </w:r>
      <w:r w:rsidRPr="00AF26EF">
        <w:rPr>
          <w:lang w:val="en-GB"/>
        </w:rPr>
        <w:t xml:space="preserve"> GX-positive results. </w:t>
      </w:r>
      <w:bookmarkStart w:id="26" w:name="_Hlk25923857"/>
      <w:r w:rsidR="00540315" w:rsidRPr="00AF26EF">
        <w:rPr>
          <w:lang w:val="en-GB"/>
        </w:rPr>
        <w:t xml:space="preserve">Furthermore, although the study included </w:t>
      </w:r>
      <w:r w:rsidR="00E4754D" w:rsidRPr="00AF26EF">
        <w:rPr>
          <w:lang w:val="en-GB"/>
        </w:rPr>
        <w:t xml:space="preserve">a </w:t>
      </w:r>
      <w:r w:rsidR="00540315" w:rsidRPr="00AF26EF">
        <w:rPr>
          <w:lang w:val="en-GB"/>
        </w:rPr>
        <w:t xml:space="preserve">larger number of samples than </w:t>
      </w:r>
      <w:r w:rsidR="00E4754D" w:rsidRPr="00AF26EF">
        <w:rPr>
          <w:lang w:val="en-GB"/>
        </w:rPr>
        <w:t xml:space="preserve">those of </w:t>
      </w:r>
      <w:r w:rsidR="00540315" w:rsidRPr="00AF26EF">
        <w:rPr>
          <w:lang w:val="en-GB"/>
        </w:rPr>
        <w:t xml:space="preserve">previous studies, </w:t>
      </w:r>
      <w:r w:rsidR="00E4754D" w:rsidRPr="00AF26EF">
        <w:rPr>
          <w:lang w:val="en-GB"/>
        </w:rPr>
        <w:t xml:space="preserve">it </w:t>
      </w:r>
      <w:r w:rsidR="00540315" w:rsidRPr="00AF26EF">
        <w:rPr>
          <w:lang w:val="en-GB"/>
        </w:rPr>
        <w:t>was not powered to identify differences between subgroups with low frequencies.</w:t>
      </w:r>
      <w:bookmarkStart w:id="27" w:name="_Hlk25576320"/>
      <w:bookmarkStart w:id="28" w:name="_Hlk25588464"/>
      <w:r w:rsidR="00ED36A9" w:rsidRPr="00AF26EF">
        <w:rPr>
          <w:lang w:val="en-GB"/>
        </w:rPr>
        <w:t xml:space="preserve"> This is specifically pertinent </w:t>
      </w:r>
      <w:proofErr w:type="gramStart"/>
      <w:r w:rsidR="00E4754D" w:rsidRPr="00AF26EF">
        <w:rPr>
          <w:lang w:val="en-GB"/>
        </w:rPr>
        <w:t xml:space="preserve">with regard </w:t>
      </w:r>
      <w:r w:rsidR="00ED36A9" w:rsidRPr="00AF26EF">
        <w:rPr>
          <w:lang w:val="en-GB"/>
        </w:rPr>
        <w:t>to</w:t>
      </w:r>
      <w:proofErr w:type="gramEnd"/>
      <w:r w:rsidR="00ED36A9" w:rsidRPr="00AF26EF">
        <w:rPr>
          <w:lang w:val="en-GB"/>
        </w:rPr>
        <w:t xml:space="preserve"> the subgroup of patients co-infected with HIV, as the number of participants (</w:t>
      </w:r>
      <w:r w:rsidR="00A547AC" w:rsidRPr="00AF26EF">
        <w:rPr>
          <w:i/>
          <w:lang w:val="en-GB"/>
        </w:rPr>
        <w:t xml:space="preserve">n </w:t>
      </w:r>
      <w:r w:rsidR="00A547AC" w:rsidRPr="00AF26EF">
        <w:rPr>
          <w:lang w:val="en-GB"/>
        </w:rPr>
        <w:t>=</w:t>
      </w:r>
      <w:r w:rsidR="00A547AC" w:rsidRPr="00AF26EF">
        <w:rPr>
          <w:i/>
          <w:lang w:val="en-GB"/>
        </w:rPr>
        <w:t xml:space="preserve"> </w:t>
      </w:r>
      <w:r w:rsidR="00A547AC" w:rsidRPr="00AF26EF">
        <w:rPr>
          <w:lang w:val="en-GB"/>
        </w:rPr>
        <w:t>1</w:t>
      </w:r>
      <w:r w:rsidR="00ED36A9" w:rsidRPr="00AF26EF">
        <w:rPr>
          <w:lang w:val="en-GB"/>
        </w:rPr>
        <w:t>4) was to</w:t>
      </w:r>
      <w:r w:rsidR="003C7879" w:rsidRPr="00AF26EF">
        <w:rPr>
          <w:lang w:val="en-GB"/>
        </w:rPr>
        <w:t>o</w:t>
      </w:r>
      <w:r w:rsidR="00ED36A9" w:rsidRPr="00AF26EF">
        <w:rPr>
          <w:lang w:val="en-GB"/>
        </w:rPr>
        <w:t xml:space="preserve"> small to demonstrate statistical differences.</w:t>
      </w:r>
      <w:r w:rsidR="00540315" w:rsidRPr="00AF26EF">
        <w:rPr>
          <w:lang w:val="en-GB"/>
        </w:rPr>
        <w:t xml:space="preserve"> </w:t>
      </w:r>
      <w:bookmarkStart w:id="29" w:name="_Hlk25587399"/>
      <w:bookmarkEnd w:id="26"/>
      <w:bookmarkEnd w:id="27"/>
    </w:p>
    <w:p w14:paraId="1D6B156C" w14:textId="2ADECD91" w:rsidR="0047307E" w:rsidRPr="00AF26EF" w:rsidRDefault="00D91065" w:rsidP="00A547AC">
      <w:pPr>
        <w:pStyle w:val="MDPI31text"/>
        <w:rPr>
          <w:lang w:val="en-GB"/>
        </w:rPr>
      </w:pPr>
      <w:r w:rsidRPr="00AF26EF">
        <w:rPr>
          <w:lang w:val="en-GB"/>
        </w:rPr>
        <w:t xml:space="preserve">Furthermore, as </w:t>
      </w:r>
      <w:proofErr w:type="spellStart"/>
      <w:r w:rsidRPr="00AF26EF">
        <w:rPr>
          <w:lang w:val="en-GB"/>
        </w:rPr>
        <w:t>Omnigene</w:t>
      </w:r>
      <w:proofErr w:type="spellEnd"/>
      <w:r w:rsidRPr="00AF26EF">
        <w:rPr>
          <w:lang w:val="en-GB"/>
        </w:rPr>
        <w:t xml:space="preserve"> was developed to preserve MTB cells for culture, with </w:t>
      </w:r>
      <w:r w:rsidR="00E4754D" w:rsidRPr="00AF26EF">
        <w:rPr>
          <w:lang w:val="en-GB"/>
        </w:rPr>
        <w:t xml:space="preserve">a </w:t>
      </w:r>
      <w:r w:rsidRPr="00AF26EF">
        <w:rPr>
          <w:lang w:val="en-GB"/>
        </w:rPr>
        <w:t xml:space="preserve">reported viability </w:t>
      </w:r>
      <w:r w:rsidR="00E4754D" w:rsidRPr="00AF26EF">
        <w:rPr>
          <w:lang w:val="en-GB"/>
        </w:rPr>
        <w:t xml:space="preserve">of </w:t>
      </w:r>
      <w:r w:rsidR="00A31530" w:rsidRPr="00AF26EF">
        <w:rPr>
          <w:lang w:val="en-GB"/>
        </w:rPr>
        <w:t xml:space="preserve">eight </w:t>
      </w:r>
      <w:r w:rsidRPr="00AF26EF">
        <w:rPr>
          <w:lang w:val="en-GB"/>
        </w:rPr>
        <w:t>days, it would have been desirable to test for culture at the seventh day</w:t>
      </w:r>
      <w:r w:rsidR="00A31530" w:rsidRPr="00AF26EF">
        <w:rPr>
          <w:lang w:val="en-GB"/>
        </w:rPr>
        <w:t xml:space="preserve"> as well</w:t>
      </w:r>
      <w:r w:rsidR="00E4754D" w:rsidRPr="00AF26EF">
        <w:rPr>
          <w:lang w:val="en-GB"/>
        </w:rPr>
        <w:t>,</w:t>
      </w:r>
      <w:r w:rsidRPr="00AF26EF">
        <w:rPr>
          <w:lang w:val="en-GB"/>
        </w:rPr>
        <w:t xml:space="preserve"> to confirm its performance for both GX and </w:t>
      </w:r>
      <w:r w:rsidR="00E4754D" w:rsidRPr="00AF26EF">
        <w:rPr>
          <w:lang w:val="en-GB"/>
        </w:rPr>
        <w:t xml:space="preserve">the </w:t>
      </w:r>
      <w:r w:rsidRPr="00AF26EF">
        <w:rPr>
          <w:lang w:val="en-GB"/>
        </w:rPr>
        <w:t xml:space="preserve">culture. </w:t>
      </w:r>
      <w:bookmarkEnd w:id="28"/>
      <w:bookmarkEnd w:id="29"/>
      <w:r w:rsidR="0047307E" w:rsidRPr="00AF26EF">
        <w:rPr>
          <w:lang w:val="en-GB"/>
        </w:rPr>
        <w:t xml:space="preserve">Moreover, the study aimed to evaluate the effectiveness of both </w:t>
      </w:r>
      <w:proofErr w:type="spellStart"/>
      <w:r w:rsidR="0047307E" w:rsidRPr="00AF26EF">
        <w:rPr>
          <w:lang w:val="en-GB"/>
        </w:rPr>
        <w:t>Omnigene</w:t>
      </w:r>
      <w:proofErr w:type="spellEnd"/>
      <w:r w:rsidR="0047307E" w:rsidRPr="00AF26EF">
        <w:rPr>
          <w:lang w:val="en-GB"/>
        </w:rPr>
        <w:t xml:space="preserve"> and </w:t>
      </w:r>
      <w:proofErr w:type="spellStart"/>
      <w:r w:rsidR="0047307E" w:rsidRPr="00AF26EF">
        <w:rPr>
          <w:lang w:val="en-GB"/>
        </w:rPr>
        <w:t>Primestore</w:t>
      </w:r>
      <w:proofErr w:type="spellEnd"/>
      <w:r w:rsidR="0047307E" w:rsidRPr="00AF26EF">
        <w:rPr>
          <w:lang w:val="en-GB"/>
        </w:rPr>
        <w:t xml:space="preserve"> for GX and shows that </w:t>
      </w:r>
      <w:r w:rsidR="00F23B2A" w:rsidRPr="00AF26EF">
        <w:rPr>
          <w:lang w:val="en-GB"/>
        </w:rPr>
        <w:t xml:space="preserve">the </w:t>
      </w:r>
      <w:r w:rsidR="0047307E" w:rsidRPr="00AF26EF">
        <w:rPr>
          <w:lang w:val="en-GB"/>
        </w:rPr>
        <w:t xml:space="preserve">results are </w:t>
      </w:r>
      <w:proofErr w:type="gramStart"/>
      <w:r w:rsidR="0047307E" w:rsidRPr="00AF26EF">
        <w:rPr>
          <w:lang w:val="en-GB"/>
        </w:rPr>
        <w:t>similar to</w:t>
      </w:r>
      <w:proofErr w:type="gramEnd"/>
      <w:r w:rsidR="0047307E" w:rsidRPr="00AF26EF">
        <w:rPr>
          <w:lang w:val="en-GB"/>
        </w:rPr>
        <w:t xml:space="preserve"> a GX test on a fresh sample. Although we opted for the comparison at day </w:t>
      </w:r>
      <w:r w:rsidR="00F23B2A" w:rsidRPr="00AF26EF">
        <w:rPr>
          <w:lang w:val="en-GB"/>
        </w:rPr>
        <w:t xml:space="preserve">1 </w:t>
      </w:r>
      <w:r w:rsidR="0047307E" w:rsidRPr="00AF26EF">
        <w:rPr>
          <w:lang w:val="en-GB"/>
        </w:rPr>
        <w:t xml:space="preserve">and not at day </w:t>
      </w:r>
      <w:r w:rsidR="00F23B2A" w:rsidRPr="00AF26EF">
        <w:rPr>
          <w:lang w:val="en-GB"/>
        </w:rPr>
        <w:t>7</w:t>
      </w:r>
      <w:r w:rsidR="0047307E" w:rsidRPr="00AF26EF">
        <w:rPr>
          <w:lang w:val="en-GB"/>
        </w:rPr>
        <w:t xml:space="preserve">, we </w:t>
      </w:r>
      <w:r w:rsidR="00E4754D" w:rsidRPr="00AF26EF">
        <w:rPr>
          <w:lang w:val="en-GB"/>
        </w:rPr>
        <w:t>failed to</w:t>
      </w:r>
      <w:r w:rsidR="0047307E" w:rsidRPr="00AF26EF">
        <w:rPr>
          <w:lang w:val="en-GB"/>
        </w:rPr>
        <w:t xml:space="preserve"> compar</w:t>
      </w:r>
      <w:r w:rsidR="00E4754D" w:rsidRPr="00AF26EF">
        <w:rPr>
          <w:lang w:val="en-GB"/>
        </w:rPr>
        <w:t>e</w:t>
      </w:r>
      <w:r w:rsidR="0047307E" w:rsidRPr="00AF26EF">
        <w:rPr>
          <w:lang w:val="en-GB"/>
        </w:rPr>
        <w:t xml:space="preserve"> all tests at </w:t>
      </w:r>
      <w:r w:rsidR="00E4754D" w:rsidRPr="00AF26EF">
        <w:rPr>
          <w:lang w:val="en-GB"/>
        </w:rPr>
        <w:t xml:space="preserve">equal </w:t>
      </w:r>
      <w:r w:rsidR="0047307E" w:rsidRPr="00AF26EF">
        <w:rPr>
          <w:lang w:val="en-GB"/>
        </w:rPr>
        <w:t xml:space="preserve">time intervals, which could have generated further evidence </w:t>
      </w:r>
      <w:r w:rsidR="00B61346" w:rsidRPr="00AF26EF">
        <w:rPr>
          <w:lang w:val="en-GB"/>
        </w:rPr>
        <w:t xml:space="preserve">regarding </w:t>
      </w:r>
      <w:r w:rsidR="0047307E" w:rsidRPr="00AF26EF">
        <w:rPr>
          <w:lang w:val="en-GB"/>
        </w:rPr>
        <w:t>when and where to use these reagents. </w:t>
      </w:r>
    </w:p>
    <w:p w14:paraId="4FA121AF" w14:textId="2775EC1E" w:rsidR="00772CD8" w:rsidRPr="00AF26EF" w:rsidRDefault="00A547AC" w:rsidP="00A547AC">
      <w:pPr>
        <w:pStyle w:val="MDPI21heading1"/>
        <w:rPr>
          <w:lang w:val="en-GB"/>
        </w:rPr>
      </w:pPr>
      <w:r w:rsidRPr="00AF26EF">
        <w:rPr>
          <w:lang w:val="en-GB"/>
        </w:rPr>
        <w:t xml:space="preserve">5. </w:t>
      </w:r>
      <w:r w:rsidR="00772CD8" w:rsidRPr="00AF26EF">
        <w:rPr>
          <w:lang w:val="en-GB"/>
        </w:rPr>
        <w:t xml:space="preserve">Conclusion </w:t>
      </w:r>
    </w:p>
    <w:p w14:paraId="4BECFD2F" w14:textId="170D3511" w:rsidR="004234C3" w:rsidRPr="00AF26EF" w:rsidRDefault="00C74DDC" w:rsidP="00A547AC">
      <w:pPr>
        <w:pStyle w:val="MDPI31text"/>
        <w:rPr>
          <w:lang w:val="en-GB"/>
        </w:rPr>
      </w:pPr>
      <w:r w:rsidRPr="00AF26EF">
        <w:rPr>
          <w:lang w:val="en-GB"/>
        </w:rPr>
        <w:t xml:space="preserve">This study demonstrates </w:t>
      </w:r>
      <w:r w:rsidR="00BB1D74" w:rsidRPr="00AF26EF">
        <w:rPr>
          <w:lang w:val="en-GB"/>
        </w:rPr>
        <w:t xml:space="preserve">that </w:t>
      </w:r>
      <w:proofErr w:type="spellStart"/>
      <w:r w:rsidR="00BB1D74" w:rsidRPr="00AF26EF">
        <w:rPr>
          <w:lang w:val="en-GB"/>
        </w:rPr>
        <w:t>Omnigene</w:t>
      </w:r>
      <w:proofErr w:type="spellEnd"/>
      <w:r w:rsidR="00BB1D74" w:rsidRPr="00AF26EF">
        <w:rPr>
          <w:lang w:val="en-GB"/>
        </w:rPr>
        <w:t xml:space="preserve"> has </w:t>
      </w:r>
      <w:r w:rsidRPr="00AF26EF">
        <w:rPr>
          <w:lang w:val="en-GB"/>
        </w:rPr>
        <w:t xml:space="preserve">the potential to </w:t>
      </w:r>
      <w:r w:rsidR="00BB1D74" w:rsidRPr="00AF26EF">
        <w:rPr>
          <w:lang w:val="en-GB"/>
        </w:rPr>
        <w:t xml:space="preserve">facilitate a </w:t>
      </w:r>
      <w:r w:rsidRPr="00AF26EF">
        <w:rPr>
          <w:lang w:val="en-GB"/>
        </w:rPr>
        <w:t xml:space="preserve">cold-chain-free transport </w:t>
      </w:r>
      <w:r w:rsidR="00BB1D74" w:rsidRPr="00AF26EF">
        <w:rPr>
          <w:lang w:val="en-GB"/>
        </w:rPr>
        <w:t xml:space="preserve">system for the collection of sputum for GX testing. Further studies are needed to identify logistics and operational issues and cost-effectiveness when implemented in areas with low access to diagnosis to inform </w:t>
      </w:r>
      <w:r w:rsidR="000C4772" w:rsidRPr="00AF26EF">
        <w:rPr>
          <w:lang w:val="en-GB"/>
        </w:rPr>
        <w:t>a</w:t>
      </w:r>
      <w:r w:rsidR="00BB1D74" w:rsidRPr="00AF26EF">
        <w:rPr>
          <w:lang w:val="en-GB"/>
        </w:rPr>
        <w:t xml:space="preserve"> potential large</w:t>
      </w:r>
      <w:r w:rsidR="000C4772" w:rsidRPr="00AF26EF">
        <w:rPr>
          <w:lang w:val="en-GB"/>
        </w:rPr>
        <w:t>-</w:t>
      </w:r>
      <w:r w:rsidR="00BB1D74" w:rsidRPr="00AF26EF">
        <w:rPr>
          <w:lang w:val="en-GB"/>
        </w:rPr>
        <w:t>scale implementation.</w:t>
      </w:r>
      <w:r w:rsidR="004234C3" w:rsidRPr="00AF26EF">
        <w:rPr>
          <w:lang w:val="en-GB"/>
        </w:rPr>
        <w:t xml:space="preserve"> </w:t>
      </w:r>
      <w:r w:rsidR="00B523A6" w:rsidRPr="00AF26EF">
        <w:rPr>
          <w:lang w:val="en-GB"/>
        </w:rPr>
        <w:t>T</w:t>
      </w:r>
      <w:r w:rsidR="004234C3" w:rsidRPr="00AF26EF">
        <w:rPr>
          <w:lang w:val="en-GB"/>
        </w:rPr>
        <w:t xml:space="preserve">hese products </w:t>
      </w:r>
      <w:r w:rsidR="00B523A6" w:rsidRPr="00AF26EF">
        <w:rPr>
          <w:lang w:val="en-GB"/>
        </w:rPr>
        <w:t xml:space="preserve">should also be studied </w:t>
      </w:r>
      <w:r w:rsidR="004234C3" w:rsidRPr="00AF26EF">
        <w:rPr>
          <w:lang w:val="en-GB"/>
        </w:rPr>
        <w:t xml:space="preserve">with specimens that require </w:t>
      </w:r>
      <w:r w:rsidR="00B523A6" w:rsidRPr="00AF26EF">
        <w:rPr>
          <w:lang w:val="en-GB"/>
        </w:rPr>
        <w:t xml:space="preserve">downstream </w:t>
      </w:r>
      <w:r w:rsidR="004234C3" w:rsidRPr="00AF26EF">
        <w:rPr>
          <w:lang w:val="en-GB"/>
        </w:rPr>
        <w:t xml:space="preserve">culture, as </w:t>
      </w:r>
      <w:r w:rsidR="00874ABE" w:rsidRPr="00AF26EF">
        <w:rPr>
          <w:lang w:val="en-GB"/>
        </w:rPr>
        <w:t xml:space="preserve">transport can affect </w:t>
      </w:r>
      <w:r w:rsidR="004234C3" w:rsidRPr="00AF26EF">
        <w:rPr>
          <w:lang w:val="en-GB"/>
        </w:rPr>
        <w:t>culture</w:t>
      </w:r>
      <w:r w:rsidR="00874ABE" w:rsidRPr="00AF26EF">
        <w:rPr>
          <w:lang w:val="en-GB"/>
        </w:rPr>
        <w:t xml:space="preserve"> results </w:t>
      </w:r>
      <w:r w:rsidR="00E859CA" w:rsidRPr="00AF26EF">
        <w:rPr>
          <w:lang w:val="en-GB"/>
        </w:rPr>
        <w:t xml:space="preserve">to a higher degree </w:t>
      </w:r>
      <w:r w:rsidR="004234C3" w:rsidRPr="00AF26EF">
        <w:rPr>
          <w:lang w:val="en-GB"/>
        </w:rPr>
        <w:t>than GX testing. Specifically</w:t>
      </w:r>
      <w:r w:rsidR="00E859CA" w:rsidRPr="00AF26EF">
        <w:rPr>
          <w:lang w:val="en-GB"/>
        </w:rPr>
        <w:t>,</w:t>
      </w:r>
      <w:r w:rsidR="004234C3" w:rsidRPr="00AF26EF">
        <w:rPr>
          <w:lang w:val="en-GB"/>
        </w:rPr>
        <w:t xml:space="preserve"> evidence is needed to document </w:t>
      </w:r>
      <w:proofErr w:type="spellStart"/>
      <w:r w:rsidR="00E859CA" w:rsidRPr="00AF26EF">
        <w:rPr>
          <w:lang w:val="en-GB"/>
        </w:rPr>
        <w:t>Omnigene’s</w:t>
      </w:r>
      <w:proofErr w:type="spellEnd"/>
      <w:r w:rsidR="004234C3" w:rsidRPr="00AF26EF">
        <w:rPr>
          <w:lang w:val="en-GB"/>
        </w:rPr>
        <w:t xml:space="preserve"> value for testing specimens collected </w:t>
      </w:r>
      <w:r w:rsidR="00E859CA" w:rsidRPr="00AF26EF">
        <w:rPr>
          <w:lang w:val="en-GB"/>
        </w:rPr>
        <w:t>from d</w:t>
      </w:r>
      <w:r w:rsidR="004234C3" w:rsidRPr="00AF26EF">
        <w:rPr>
          <w:lang w:val="en-GB"/>
        </w:rPr>
        <w:t>rug-</w:t>
      </w:r>
      <w:r w:rsidR="00E859CA" w:rsidRPr="00AF26EF">
        <w:rPr>
          <w:lang w:val="en-GB"/>
        </w:rPr>
        <w:t>r</w:t>
      </w:r>
      <w:r w:rsidR="004234C3" w:rsidRPr="00AF26EF">
        <w:rPr>
          <w:lang w:val="en-GB"/>
        </w:rPr>
        <w:t>esistant</w:t>
      </w:r>
      <w:r w:rsidR="00E859CA" w:rsidRPr="00AF26EF">
        <w:rPr>
          <w:lang w:val="en-GB"/>
        </w:rPr>
        <w:t xml:space="preserve"> </w:t>
      </w:r>
      <w:r w:rsidR="004234C3" w:rsidRPr="00AF26EF">
        <w:rPr>
          <w:lang w:val="en-GB"/>
        </w:rPr>
        <w:t>TB patients</w:t>
      </w:r>
      <w:r w:rsidR="00E859CA" w:rsidRPr="00AF26EF">
        <w:rPr>
          <w:lang w:val="en-GB"/>
        </w:rPr>
        <w:t>,</w:t>
      </w:r>
      <w:r w:rsidR="004234C3" w:rsidRPr="00AF26EF">
        <w:rPr>
          <w:lang w:val="en-GB"/>
        </w:rPr>
        <w:t xml:space="preserve"> for treatment monitoring and for the diagnosis of paucibacillary smear-negative TB. </w:t>
      </w:r>
    </w:p>
    <w:p w14:paraId="437B3FF1" w14:textId="6D072854" w:rsidR="00C3472A" w:rsidRPr="00AF26EF" w:rsidRDefault="00C3472A" w:rsidP="00A547AC">
      <w:pPr>
        <w:pStyle w:val="MDPI62Acknowledgments"/>
        <w:rPr>
          <w:b/>
          <w:lang w:val="en-GB"/>
        </w:rPr>
      </w:pPr>
      <w:r w:rsidRPr="00C65874">
        <w:rPr>
          <w:b/>
          <w:highlight w:val="yellow"/>
          <w:lang w:val="en-GB"/>
        </w:rPr>
        <w:t>Authors contributions:</w:t>
      </w:r>
      <w:r w:rsidRPr="00AF26EF">
        <w:rPr>
          <w:b/>
          <w:lang w:val="en-GB"/>
        </w:rPr>
        <w:t xml:space="preserve"> </w:t>
      </w:r>
      <w:r w:rsidR="00874ABE" w:rsidRPr="00AF26EF">
        <w:rPr>
          <w:b/>
          <w:lang w:val="en-GB"/>
        </w:rPr>
        <w:t xml:space="preserve"> </w:t>
      </w:r>
      <w:r w:rsidR="00874ABE" w:rsidRPr="00AF26EF">
        <w:t>Conceptualization, L</w:t>
      </w:r>
      <w:r w:rsidR="00203781" w:rsidRPr="00AF26EF">
        <w:rPr>
          <w:rFonts w:asciiTheme="minorEastAsia" w:eastAsiaTheme="minorEastAsia" w:hAnsiTheme="minorEastAsia"/>
          <w:lang w:eastAsia="zh-CN"/>
        </w:rPr>
        <w:t>.</w:t>
      </w:r>
      <w:r w:rsidR="00874ABE" w:rsidRPr="00AF26EF">
        <w:t>E</w:t>
      </w:r>
      <w:r w:rsidR="002C2DB2" w:rsidRPr="00AF26EF">
        <w:t>.</w:t>
      </w:r>
      <w:r w:rsidR="00874ABE" w:rsidRPr="00AF26EF">
        <w:t>C</w:t>
      </w:r>
      <w:r w:rsidR="007416BC" w:rsidRPr="00AF26EF">
        <w:t>.</w:t>
      </w:r>
      <w:r w:rsidR="00E17B6A" w:rsidRPr="00AF26EF">
        <w:t>,</w:t>
      </w:r>
      <w:r w:rsidR="007416BC" w:rsidRPr="00AF26EF">
        <w:t xml:space="preserve"> L</w:t>
      </w:r>
      <w:r w:rsidR="002C2DB2" w:rsidRPr="00AF26EF">
        <w:t>.</w:t>
      </w:r>
      <w:r w:rsidR="007416BC" w:rsidRPr="00AF26EF">
        <w:t>L</w:t>
      </w:r>
      <w:r w:rsidR="002C2DB2" w:rsidRPr="00AF26EF">
        <w:t>.</w:t>
      </w:r>
      <w:r w:rsidR="00874ABE" w:rsidRPr="00AF26EF">
        <w:t xml:space="preserve"> and J</w:t>
      </w:r>
      <w:r w:rsidR="00203781" w:rsidRPr="00AF26EF">
        <w:t>.</w:t>
      </w:r>
      <w:r w:rsidR="00874ABE" w:rsidRPr="00AF26EF">
        <w:t xml:space="preserve">D.; Methodology, </w:t>
      </w:r>
      <w:r w:rsidR="007416BC" w:rsidRPr="00AF26EF">
        <w:t>L</w:t>
      </w:r>
      <w:r w:rsidR="00E17B6A" w:rsidRPr="00AF26EF">
        <w:t>.</w:t>
      </w:r>
      <w:r w:rsidR="007416BC" w:rsidRPr="00AF26EF">
        <w:t>L</w:t>
      </w:r>
      <w:r w:rsidR="00E17B6A" w:rsidRPr="00AF26EF">
        <w:t>.</w:t>
      </w:r>
      <w:r w:rsidR="007416BC" w:rsidRPr="00AF26EF">
        <w:t>, J</w:t>
      </w:r>
      <w:r w:rsidR="00E17B6A" w:rsidRPr="00AF26EF">
        <w:t>.</w:t>
      </w:r>
      <w:r w:rsidR="007416BC" w:rsidRPr="00AF26EF">
        <w:t>D</w:t>
      </w:r>
      <w:r w:rsidR="00E17B6A" w:rsidRPr="00AF26EF">
        <w:t>.</w:t>
      </w:r>
      <w:r w:rsidR="007416BC" w:rsidRPr="00AF26EF">
        <w:t>, J</w:t>
      </w:r>
      <w:r w:rsidR="00E17B6A" w:rsidRPr="00AF26EF">
        <w:t>.</w:t>
      </w:r>
      <w:r w:rsidR="007416BC" w:rsidRPr="00AF26EF">
        <w:t>C</w:t>
      </w:r>
      <w:r w:rsidR="00E17B6A" w:rsidRPr="00AF26EF">
        <w:t>.</w:t>
      </w:r>
      <w:r w:rsidR="007416BC" w:rsidRPr="00AF26EF">
        <w:t>, D</w:t>
      </w:r>
      <w:r w:rsidR="00E17B6A" w:rsidRPr="00AF26EF">
        <w:t>.</w:t>
      </w:r>
      <w:r w:rsidR="007416BC" w:rsidRPr="00AF26EF">
        <w:t>J</w:t>
      </w:r>
      <w:r w:rsidR="00E17B6A" w:rsidRPr="00AF26EF">
        <w:t>.</w:t>
      </w:r>
      <w:r w:rsidR="007416BC" w:rsidRPr="00AF26EF">
        <w:t>S</w:t>
      </w:r>
      <w:r w:rsidR="00E17B6A" w:rsidRPr="00AF26EF">
        <w:t>.</w:t>
      </w:r>
      <w:r w:rsidR="008806FF">
        <w:t xml:space="preserve">, </w:t>
      </w:r>
      <w:r w:rsidR="007416BC" w:rsidRPr="00AF26EF">
        <w:t>and L</w:t>
      </w:r>
      <w:r w:rsidR="00E17B6A" w:rsidRPr="00AF26EF">
        <w:t>.</w:t>
      </w:r>
      <w:r w:rsidR="007416BC" w:rsidRPr="00AF26EF">
        <w:t>E</w:t>
      </w:r>
      <w:r w:rsidR="00E17B6A" w:rsidRPr="00AF26EF">
        <w:t>.</w:t>
      </w:r>
      <w:r w:rsidR="007416BC" w:rsidRPr="00AF26EF">
        <w:t>C</w:t>
      </w:r>
      <w:r w:rsidR="00E17B6A" w:rsidRPr="00AF26EF">
        <w:t>.</w:t>
      </w:r>
      <w:r w:rsidR="00874ABE" w:rsidRPr="00AF26EF">
        <w:t xml:space="preserve">; Validation, </w:t>
      </w:r>
      <w:r w:rsidR="007416BC" w:rsidRPr="00AF26EF">
        <w:t>K</w:t>
      </w:r>
      <w:r w:rsidR="00E17B6A" w:rsidRPr="00AF26EF">
        <w:t>.</w:t>
      </w:r>
      <w:r w:rsidR="007416BC" w:rsidRPr="00AF26EF">
        <w:t>K</w:t>
      </w:r>
      <w:r w:rsidR="00E17B6A" w:rsidRPr="00AF26EF">
        <w:t xml:space="preserve">. </w:t>
      </w:r>
      <w:r w:rsidR="007416BC" w:rsidRPr="00AF26EF">
        <w:t>and T</w:t>
      </w:r>
      <w:r w:rsidR="00E17B6A" w:rsidRPr="00AF26EF">
        <w:t>.</w:t>
      </w:r>
      <w:r w:rsidR="007416BC" w:rsidRPr="00AF26EF">
        <w:t>E</w:t>
      </w:r>
      <w:r w:rsidR="00E17B6A" w:rsidRPr="00AF26EF">
        <w:t>.</w:t>
      </w:r>
      <w:r w:rsidR="00874ABE" w:rsidRPr="00AF26EF">
        <w:t xml:space="preserve">; Formal Analysis, </w:t>
      </w:r>
      <w:r w:rsidR="007416BC" w:rsidRPr="00AF26EF">
        <w:rPr>
          <w:lang w:val="en-GB"/>
        </w:rPr>
        <w:t>J</w:t>
      </w:r>
      <w:r w:rsidR="00E17B6A" w:rsidRPr="00AF26EF">
        <w:rPr>
          <w:lang w:val="en-GB"/>
        </w:rPr>
        <w:t>.</w:t>
      </w:r>
      <w:r w:rsidR="007416BC" w:rsidRPr="00AF26EF">
        <w:rPr>
          <w:lang w:val="en-GB"/>
        </w:rPr>
        <w:t>D</w:t>
      </w:r>
      <w:r w:rsidR="00E17B6A" w:rsidRPr="00AF26EF">
        <w:rPr>
          <w:lang w:val="en-GB"/>
        </w:rPr>
        <w:t>.</w:t>
      </w:r>
      <w:r w:rsidR="007416BC" w:rsidRPr="00AF26EF">
        <w:rPr>
          <w:lang w:val="en-GB"/>
        </w:rPr>
        <w:t>, L</w:t>
      </w:r>
      <w:r w:rsidR="00E17B6A" w:rsidRPr="00AF26EF">
        <w:rPr>
          <w:lang w:val="en-GB"/>
        </w:rPr>
        <w:t>.</w:t>
      </w:r>
      <w:r w:rsidR="007416BC" w:rsidRPr="00AF26EF">
        <w:rPr>
          <w:lang w:val="en-GB"/>
        </w:rPr>
        <w:t>E</w:t>
      </w:r>
      <w:r w:rsidR="00E17B6A" w:rsidRPr="00AF26EF">
        <w:rPr>
          <w:lang w:val="en-GB"/>
        </w:rPr>
        <w:t>.</w:t>
      </w:r>
      <w:r w:rsidR="007416BC" w:rsidRPr="00AF26EF">
        <w:rPr>
          <w:lang w:val="en-GB"/>
        </w:rPr>
        <w:t>C</w:t>
      </w:r>
      <w:r w:rsidR="00E17B6A" w:rsidRPr="00AF26EF">
        <w:rPr>
          <w:lang w:val="en-GB"/>
        </w:rPr>
        <w:t>.</w:t>
      </w:r>
      <w:r w:rsidR="007416BC" w:rsidRPr="00AF26EF">
        <w:rPr>
          <w:lang w:val="en-GB"/>
        </w:rPr>
        <w:t xml:space="preserve"> and T</w:t>
      </w:r>
      <w:r w:rsidR="00E17B6A" w:rsidRPr="00AF26EF">
        <w:rPr>
          <w:lang w:val="en-GB"/>
        </w:rPr>
        <w:t>.</w:t>
      </w:r>
      <w:r w:rsidR="007416BC" w:rsidRPr="00AF26EF">
        <w:rPr>
          <w:lang w:val="en-GB"/>
        </w:rPr>
        <w:t>E</w:t>
      </w:r>
      <w:r w:rsidR="00E17B6A" w:rsidRPr="00AF26EF">
        <w:rPr>
          <w:lang w:val="en-GB"/>
        </w:rPr>
        <w:t>.</w:t>
      </w:r>
      <w:r w:rsidR="00874ABE" w:rsidRPr="00AF26EF">
        <w:t xml:space="preserve">; Investigation, </w:t>
      </w:r>
      <w:r w:rsidR="007416BC" w:rsidRPr="00AF26EF">
        <w:rPr>
          <w:lang w:val="en-GB"/>
        </w:rPr>
        <w:t>L</w:t>
      </w:r>
      <w:r w:rsidR="00E17B6A" w:rsidRPr="00AF26EF">
        <w:rPr>
          <w:lang w:val="en-GB"/>
        </w:rPr>
        <w:t>.</w:t>
      </w:r>
      <w:r w:rsidR="007416BC" w:rsidRPr="00AF26EF">
        <w:rPr>
          <w:lang w:val="en-GB"/>
        </w:rPr>
        <w:t>L</w:t>
      </w:r>
      <w:r w:rsidR="00E17B6A" w:rsidRPr="00AF26EF">
        <w:rPr>
          <w:lang w:val="en-GB"/>
        </w:rPr>
        <w:t>.</w:t>
      </w:r>
      <w:r w:rsidR="007416BC" w:rsidRPr="00AF26EF">
        <w:rPr>
          <w:lang w:val="en-GB"/>
        </w:rPr>
        <w:t>, J</w:t>
      </w:r>
      <w:r w:rsidR="00E17B6A" w:rsidRPr="00AF26EF">
        <w:rPr>
          <w:lang w:val="en-GB"/>
        </w:rPr>
        <w:t>.</w:t>
      </w:r>
      <w:r w:rsidR="007416BC" w:rsidRPr="00AF26EF">
        <w:rPr>
          <w:lang w:val="en-GB"/>
        </w:rPr>
        <w:t>S</w:t>
      </w:r>
      <w:r w:rsidR="00E17B6A" w:rsidRPr="00AF26EF">
        <w:rPr>
          <w:lang w:val="en-GB"/>
        </w:rPr>
        <w:t>.</w:t>
      </w:r>
      <w:r w:rsidR="007416BC" w:rsidRPr="00AF26EF">
        <w:rPr>
          <w:lang w:val="en-GB"/>
        </w:rPr>
        <w:t>B</w:t>
      </w:r>
      <w:r w:rsidR="00E17B6A" w:rsidRPr="00AF26EF">
        <w:rPr>
          <w:lang w:val="en-GB"/>
        </w:rPr>
        <w:t>.</w:t>
      </w:r>
      <w:r w:rsidR="007416BC" w:rsidRPr="00AF26EF">
        <w:rPr>
          <w:lang w:val="en-GB"/>
        </w:rPr>
        <w:t xml:space="preserve"> and B</w:t>
      </w:r>
      <w:r w:rsidR="00E17B6A" w:rsidRPr="00AF26EF">
        <w:rPr>
          <w:lang w:val="en-GB"/>
        </w:rPr>
        <w:t>.</w:t>
      </w:r>
      <w:r w:rsidR="007416BC" w:rsidRPr="00AF26EF">
        <w:rPr>
          <w:lang w:val="en-GB"/>
        </w:rPr>
        <w:t>E</w:t>
      </w:r>
      <w:r w:rsidR="00E17B6A" w:rsidRPr="00AF26EF">
        <w:rPr>
          <w:lang w:val="en-GB"/>
        </w:rPr>
        <w:t>.</w:t>
      </w:r>
      <w:r w:rsidR="007416BC" w:rsidRPr="00AF26EF">
        <w:rPr>
          <w:lang w:val="en-GB"/>
        </w:rPr>
        <w:t>E</w:t>
      </w:r>
      <w:r w:rsidR="00E17B6A" w:rsidRPr="00AF26EF">
        <w:rPr>
          <w:lang w:val="en-GB"/>
        </w:rPr>
        <w:t>.</w:t>
      </w:r>
      <w:r w:rsidR="00874ABE" w:rsidRPr="00AF26EF">
        <w:t xml:space="preserve">; Resources, </w:t>
      </w:r>
      <w:r w:rsidR="007416BC" w:rsidRPr="00AF26EF">
        <w:t>L</w:t>
      </w:r>
      <w:r w:rsidR="00E17B6A" w:rsidRPr="00AF26EF">
        <w:t>.</w:t>
      </w:r>
      <w:r w:rsidR="007416BC" w:rsidRPr="00AF26EF">
        <w:t>E</w:t>
      </w:r>
      <w:r w:rsidR="00E17B6A" w:rsidRPr="00AF26EF">
        <w:t>.</w:t>
      </w:r>
      <w:r w:rsidR="007416BC" w:rsidRPr="00AF26EF">
        <w:t>C</w:t>
      </w:r>
      <w:r w:rsidR="00E17B6A" w:rsidRPr="00AF26EF">
        <w:t>.</w:t>
      </w:r>
      <w:r w:rsidR="007416BC" w:rsidRPr="00AF26EF">
        <w:t>, L</w:t>
      </w:r>
      <w:r w:rsidR="00E17B6A" w:rsidRPr="00AF26EF">
        <w:t>.</w:t>
      </w:r>
      <w:r w:rsidR="007416BC" w:rsidRPr="00AF26EF">
        <w:t>L</w:t>
      </w:r>
      <w:r w:rsidR="00E17B6A" w:rsidRPr="00AF26EF">
        <w:t>.</w:t>
      </w:r>
      <w:r w:rsidR="007416BC" w:rsidRPr="00AF26EF">
        <w:t xml:space="preserve"> and J</w:t>
      </w:r>
      <w:r w:rsidR="00E17B6A" w:rsidRPr="00AF26EF">
        <w:t>.</w:t>
      </w:r>
      <w:r w:rsidR="007416BC" w:rsidRPr="00AF26EF">
        <w:t>D</w:t>
      </w:r>
      <w:r w:rsidR="00E17B6A" w:rsidRPr="00AF26EF">
        <w:t>.</w:t>
      </w:r>
      <w:r w:rsidR="00874ABE" w:rsidRPr="00AF26EF">
        <w:t xml:space="preserve">; Writing-Original Draft Preparation, </w:t>
      </w:r>
      <w:r w:rsidR="007416BC" w:rsidRPr="00AF26EF">
        <w:rPr>
          <w:lang w:val="en-GB"/>
        </w:rPr>
        <w:t>T</w:t>
      </w:r>
      <w:r w:rsidR="00E17B6A" w:rsidRPr="00AF26EF">
        <w:rPr>
          <w:lang w:val="en-GB"/>
        </w:rPr>
        <w:t>.</w:t>
      </w:r>
      <w:r w:rsidR="007416BC" w:rsidRPr="00AF26EF">
        <w:rPr>
          <w:lang w:val="en-GB"/>
        </w:rPr>
        <w:t>E</w:t>
      </w:r>
      <w:r w:rsidR="00E17B6A" w:rsidRPr="00AF26EF">
        <w:rPr>
          <w:lang w:val="en-GB"/>
        </w:rPr>
        <w:t>.</w:t>
      </w:r>
      <w:r w:rsidR="007416BC" w:rsidRPr="00AF26EF">
        <w:rPr>
          <w:lang w:val="en-GB"/>
        </w:rPr>
        <w:t>, L</w:t>
      </w:r>
      <w:r w:rsidR="00E17B6A" w:rsidRPr="00AF26EF">
        <w:rPr>
          <w:lang w:val="en-GB"/>
        </w:rPr>
        <w:t>.</w:t>
      </w:r>
      <w:r w:rsidR="007416BC" w:rsidRPr="00AF26EF">
        <w:rPr>
          <w:lang w:val="en-GB"/>
        </w:rPr>
        <w:t>E</w:t>
      </w:r>
      <w:r w:rsidR="00E17B6A" w:rsidRPr="00AF26EF">
        <w:rPr>
          <w:lang w:val="en-GB"/>
        </w:rPr>
        <w:t>.</w:t>
      </w:r>
      <w:r w:rsidR="007416BC" w:rsidRPr="00AF26EF">
        <w:rPr>
          <w:lang w:val="en-GB"/>
        </w:rPr>
        <w:t>C</w:t>
      </w:r>
      <w:r w:rsidR="00E17B6A" w:rsidRPr="00AF26EF">
        <w:rPr>
          <w:lang w:val="en-GB"/>
        </w:rPr>
        <w:t>.</w:t>
      </w:r>
      <w:r w:rsidR="007416BC" w:rsidRPr="00AF26EF">
        <w:rPr>
          <w:lang w:val="en-GB"/>
        </w:rPr>
        <w:t>, J</w:t>
      </w:r>
      <w:r w:rsidR="00E17B6A" w:rsidRPr="00AF26EF">
        <w:rPr>
          <w:lang w:val="en-GB"/>
        </w:rPr>
        <w:t>.</w:t>
      </w:r>
      <w:r w:rsidR="007416BC" w:rsidRPr="00AF26EF">
        <w:rPr>
          <w:lang w:val="en-GB"/>
        </w:rPr>
        <w:t>C</w:t>
      </w:r>
      <w:r w:rsidR="00E17B6A" w:rsidRPr="00AF26EF">
        <w:rPr>
          <w:lang w:val="en-GB"/>
        </w:rPr>
        <w:t>.</w:t>
      </w:r>
      <w:r w:rsidR="007416BC" w:rsidRPr="00AF26EF">
        <w:rPr>
          <w:lang w:val="en-GB"/>
        </w:rPr>
        <w:t xml:space="preserve"> and D</w:t>
      </w:r>
      <w:r w:rsidR="00E17B6A" w:rsidRPr="00AF26EF">
        <w:rPr>
          <w:lang w:val="en-GB"/>
        </w:rPr>
        <w:t>.</w:t>
      </w:r>
      <w:r w:rsidR="007416BC" w:rsidRPr="00AF26EF">
        <w:rPr>
          <w:lang w:val="en-GB"/>
        </w:rPr>
        <w:t>J</w:t>
      </w:r>
      <w:r w:rsidR="00E17B6A" w:rsidRPr="00AF26EF">
        <w:rPr>
          <w:lang w:val="en-GB"/>
        </w:rPr>
        <w:t>.</w:t>
      </w:r>
      <w:r w:rsidR="007416BC" w:rsidRPr="00AF26EF">
        <w:rPr>
          <w:lang w:val="en-GB"/>
        </w:rPr>
        <w:t>S</w:t>
      </w:r>
      <w:r w:rsidR="00E17B6A" w:rsidRPr="00AF26EF">
        <w:rPr>
          <w:lang w:val="en-GB"/>
        </w:rPr>
        <w:t>.</w:t>
      </w:r>
      <w:r w:rsidR="00874ABE" w:rsidRPr="00AF26EF">
        <w:t xml:space="preserve">; Writing-Review &amp; Editing, </w:t>
      </w:r>
      <w:r w:rsidR="008806FF">
        <w:t xml:space="preserve">E.R.A., </w:t>
      </w:r>
      <w:r w:rsidR="007416BC" w:rsidRPr="00AF26EF">
        <w:t>L</w:t>
      </w:r>
      <w:r w:rsidR="00E17B6A" w:rsidRPr="00AF26EF">
        <w:t>.</w:t>
      </w:r>
      <w:r w:rsidR="007416BC" w:rsidRPr="00AF26EF">
        <w:t>E</w:t>
      </w:r>
      <w:r w:rsidR="00E17B6A" w:rsidRPr="00AF26EF">
        <w:t>.</w:t>
      </w:r>
      <w:r w:rsidR="007416BC" w:rsidRPr="00AF26EF">
        <w:t>C</w:t>
      </w:r>
      <w:r w:rsidR="00E17B6A" w:rsidRPr="00AF26EF">
        <w:t>.</w:t>
      </w:r>
      <w:r w:rsidR="007416BC" w:rsidRPr="00AF26EF">
        <w:t>, J</w:t>
      </w:r>
      <w:r w:rsidR="00E17B6A" w:rsidRPr="00AF26EF">
        <w:t>.</w:t>
      </w:r>
      <w:r w:rsidR="007416BC" w:rsidRPr="00AF26EF">
        <w:t>B</w:t>
      </w:r>
      <w:r w:rsidR="00E17B6A" w:rsidRPr="00AF26EF">
        <w:t>.</w:t>
      </w:r>
      <w:r w:rsidR="007416BC" w:rsidRPr="00AF26EF">
        <w:t>, J</w:t>
      </w:r>
      <w:r w:rsidR="00E17B6A" w:rsidRPr="00AF26EF">
        <w:t>.</w:t>
      </w:r>
      <w:r w:rsidR="007416BC" w:rsidRPr="00AF26EF">
        <w:t>C</w:t>
      </w:r>
      <w:r w:rsidR="00E17B6A" w:rsidRPr="00AF26EF">
        <w:t>.</w:t>
      </w:r>
      <w:r w:rsidR="007416BC" w:rsidRPr="00AF26EF">
        <w:t xml:space="preserve"> and D</w:t>
      </w:r>
      <w:r w:rsidR="00E17B6A" w:rsidRPr="00AF26EF">
        <w:t>.</w:t>
      </w:r>
      <w:r w:rsidR="007416BC" w:rsidRPr="00AF26EF">
        <w:t>J</w:t>
      </w:r>
      <w:r w:rsidR="00E17B6A" w:rsidRPr="00AF26EF">
        <w:t>.</w:t>
      </w:r>
      <w:r w:rsidR="007416BC" w:rsidRPr="00AF26EF">
        <w:t>S</w:t>
      </w:r>
      <w:r w:rsidR="00E17B6A" w:rsidRPr="00AF26EF">
        <w:t>.</w:t>
      </w:r>
      <w:r w:rsidR="007416BC" w:rsidRPr="00AF26EF">
        <w:t xml:space="preserve">; </w:t>
      </w:r>
      <w:r w:rsidR="00874ABE" w:rsidRPr="00AF26EF">
        <w:t xml:space="preserve">Project Administration, </w:t>
      </w:r>
      <w:r w:rsidR="007416BC" w:rsidRPr="00AF26EF">
        <w:t>L</w:t>
      </w:r>
      <w:r w:rsidR="00E17B6A" w:rsidRPr="00AF26EF">
        <w:t>.</w:t>
      </w:r>
      <w:r w:rsidR="007416BC" w:rsidRPr="00AF26EF">
        <w:t>E</w:t>
      </w:r>
      <w:r w:rsidR="00E17B6A" w:rsidRPr="00AF26EF">
        <w:t>.</w:t>
      </w:r>
      <w:r w:rsidR="007416BC" w:rsidRPr="00AF26EF">
        <w:t>C</w:t>
      </w:r>
      <w:r w:rsidR="00E17B6A" w:rsidRPr="00AF26EF">
        <w:t>.</w:t>
      </w:r>
      <w:r w:rsidR="00874ABE" w:rsidRPr="00AF26EF">
        <w:t xml:space="preserve">; Funding Acquisition, </w:t>
      </w:r>
      <w:r w:rsidR="007416BC" w:rsidRPr="00AF26EF">
        <w:t>L</w:t>
      </w:r>
      <w:r w:rsidR="00E17B6A" w:rsidRPr="00AF26EF">
        <w:t>.</w:t>
      </w:r>
      <w:r w:rsidR="007416BC" w:rsidRPr="00AF26EF">
        <w:t>E</w:t>
      </w:r>
      <w:r w:rsidR="00E17B6A" w:rsidRPr="00AF26EF">
        <w:t>.</w:t>
      </w:r>
      <w:r w:rsidR="007416BC" w:rsidRPr="00AF26EF">
        <w:t>C</w:t>
      </w:r>
      <w:r w:rsidR="00E17B6A" w:rsidRPr="00AF26EF">
        <w:t>.</w:t>
      </w:r>
      <w:r w:rsidR="007416BC" w:rsidRPr="00AF26EF">
        <w:t xml:space="preserve">, </w:t>
      </w:r>
      <w:r w:rsidR="008806FF">
        <w:t xml:space="preserve">E.R.A., </w:t>
      </w:r>
      <w:r w:rsidR="007416BC" w:rsidRPr="00AF26EF">
        <w:t>J</w:t>
      </w:r>
      <w:r w:rsidR="00E17B6A" w:rsidRPr="00AF26EF">
        <w:t>.</w:t>
      </w:r>
      <w:commentRangeStart w:id="30"/>
      <w:r w:rsidR="007416BC" w:rsidRPr="00AF26EF">
        <w:t>D</w:t>
      </w:r>
      <w:commentRangeEnd w:id="30"/>
      <w:r w:rsidR="00986035">
        <w:rPr>
          <w:rStyle w:val="CommentReference"/>
          <w:rFonts w:asciiTheme="minorHAnsi" w:eastAsia="SimSun" w:hAnsiTheme="minorHAnsi" w:cstheme="minorBidi"/>
          <w:snapToGrid/>
          <w:color w:val="auto"/>
          <w:lang w:eastAsia="en-US" w:bidi="ar-SA"/>
        </w:rPr>
        <w:commentReference w:id="30"/>
      </w:r>
      <w:r w:rsidR="00874ABE" w:rsidRPr="00AF26EF">
        <w:t>.</w:t>
      </w:r>
    </w:p>
    <w:p w14:paraId="44D91B38" w14:textId="5034153E" w:rsidR="00C3472A" w:rsidRPr="00AF26EF" w:rsidRDefault="00A547AC" w:rsidP="00A547AC">
      <w:pPr>
        <w:pStyle w:val="MDPI62Acknowledgments"/>
        <w:rPr>
          <w:lang w:val="en-GB"/>
        </w:rPr>
      </w:pPr>
      <w:r w:rsidRPr="00AF26EF">
        <w:rPr>
          <w:b/>
          <w:lang w:val="en-GB"/>
        </w:rPr>
        <w:t>F</w:t>
      </w:r>
      <w:r w:rsidR="00C3472A" w:rsidRPr="00AF26EF">
        <w:rPr>
          <w:b/>
          <w:lang w:val="en-GB"/>
        </w:rPr>
        <w:t xml:space="preserve">unding: </w:t>
      </w:r>
      <w:r w:rsidR="00C3472A" w:rsidRPr="00AF26EF">
        <w:rPr>
          <w:color w:val="333333"/>
          <w:shd w:val="clear" w:color="auto" w:fill="FFFFFF"/>
          <w:lang w:val="en-GB"/>
        </w:rPr>
        <w:t xml:space="preserve">This research was funded by </w:t>
      </w:r>
      <w:r w:rsidR="00C3472A" w:rsidRPr="00AF26EF">
        <w:rPr>
          <w:color w:val="333333"/>
          <w:lang w:val="en-GB"/>
        </w:rPr>
        <w:t xml:space="preserve">the European and Developing Countries Clinical Trial Partnership (EDCTP), grant number </w:t>
      </w:r>
      <w:r w:rsidR="00C3472A" w:rsidRPr="00AF26EF">
        <w:rPr>
          <w:lang w:val="en-GB"/>
        </w:rPr>
        <w:t>DRIA2014-309</w:t>
      </w:r>
      <w:r w:rsidR="006B6A74" w:rsidRPr="00AF26EF">
        <w:rPr>
          <w:lang w:val="en-GB"/>
        </w:rPr>
        <w:t>,</w:t>
      </w:r>
      <w:r w:rsidR="00C3472A" w:rsidRPr="00AF26EF">
        <w:rPr>
          <w:lang w:val="en-GB"/>
        </w:rPr>
        <w:t xml:space="preserve"> and its co-</w:t>
      </w:r>
      <w:proofErr w:type="spellStart"/>
      <w:r w:rsidR="00C3472A" w:rsidRPr="00AF26EF">
        <w:rPr>
          <w:lang w:val="en-GB"/>
        </w:rPr>
        <w:t>funders</w:t>
      </w:r>
      <w:proofErr w:type="spellEnd"/>
      <w:r w:rsidR="00C3472A" w:rsidRPr="00AF26EF">
        <w:rPr>
          <w:lang w:val="en-GB"/>
        </w:rPr>
        <w:t xml:space="preserve"> </w:t>
      </w:r>
      <w:r w:rsidR="006B6A74" w:rsidRPr="00AF26EF">
        <w:rPr>
          <w:lang w:val="en-GB"/>
        </w:rPr>
        <w:t xml:space="preserve">were the </w:t>
      </w:r>
      <w:r w:rsidR="00C3472A" w:rsidRPr="00AF26EF">
        <w:rPr>
          <w:lang w:val="en-GB"/>
        </w:rPr>
        <w:t>Medical Research Council (MRC)</w:t>
      </w:r>
      <w:r w:rsidR="006B6A74" w:rsidRPr="00AF26EF">
        <w:rPr>
          <w:lang w:val="en-GB"/>
        </w:rPr>
        <w:t>,</w:t>
      </w:r>
      <w:r w:rsidR="00C3472A" w:rsidRPr="00AF26EF">
        <w:rPr>
          <w:lang w:val="en-GB"/>
        </w:rPr>
        <w:t xml:space="preserve"> UK</w:t>
      </w:r>
      <w:r w:rsidR="006B6A74" w:rsidRPr="00AF26EF">
        <w:rPr>
          <w:lang w:val="en-GB"/>
        </w:rPr>
        <w:t>,</w:t>
      </w:r>
      <w:r w:rsidR="00C3472A" w:rsidRPr="00AF26EF">
        <w:rPr>
          <w:lang w:val="en-GB"/>
        </w:rPr>
        <w:t xml:space="preserve"> Instituto de </w:t>
      </w:r>
      <w:proofErr w:type="spellStart"/>
      <w:r w:rsidR="00C3472A" w:rsidRPr="00AF26EF">
        <w:rPr>
          <w:lang w:val="en-GB"/>
        </w:rPr>
        <w:t>Salud</w:t>
      </w:r>
      <w:proofErr w:type="spellEnd"/>
      <w:r w:rsidR="00C3472A" w:rsidRPr="00AF26EF">
        <w:rPr>
          <w:lang w:val="en-GB"/>
        </w:rPr>
        <w:t xml:space="preserve"> Carlos III </w:t>
      </w:r>
      <w:r w:rsidR="006B6A74" w:rsidRPr="00AF26EF">
        <w:rPr>
          <w:rFonts w:eastAsia="Helvetica"/>
          <w:lang w:val="en-GB"/>
        </w:rPr>
        <w:t>(</w:t>
      </w:r>
      <w:r w:rsidR="00C3472A" w:rsidRPr="00AF26EF">
        <w:rPr>
          <w:rFonts w:eastAsia="Helvetica"/>
          <w:lang w:val="en-GB"/>
        </w:rPr>
        <w:t xml:space="preserve">ISCIII Spain) and </w:t>
      </w:r>
      <w:r w:rsidR="00C3472A" w:rsidRPr="00AF26EF">
        <w:rPr>
          <w:lang w:val="en-GB"/>
        </w:rPr>
        <w:t>Global Affairs Canada, through the TB REACH Initiative of the Stop TB Partnership, Wave 5</w:t>
      </w:r>
      <w:r w:rsidR="006B6A74" w:rsidRPr="00AF26EF">
        <w:rPr>
          <w:lang w:val="en-GB"/>
        </w:rPr>
        <w:t>,</w:t>
      </w:r>
      <w:r w:rsidR="00C3472A" w:rsidRPr="00AF26EF">
        <w:rPr>
          <w:lang w:val="en-GB"/>
        </w:rPr>
        <w:t xml:space="preserve"> project number STBP/TBREACH//GSA/W5-07.</w:t>
      </w:r>
    </w:p>
    <w:p w14:paraId="4ADFD0B9" w14:textId="61E15A8C" w:rsidR="00C3472A" w:rsidRPr="00AF26EF" w:rsidRDefault="00C3472A" w:rsidP="00A547AC">
      <w:pPr>
        <w:pStyle w:val="MDPI62Acknowledgments"/>
        <w:rPr>
          <w:b/>
          <w:lang w:val="en-GB"/>
        </w:rPr>
      </w:pPr>
      <w:r w:rsidRPr="00AF26EF">
        <w:rPr>
          <w:b/>
          <w:lang w:val="en-GB"/>
        </w:rPr>
        <w:t xml:space="preserve">Conflicts of Interest: </w:t>
      </w:r>
      <w:r w:rsidRPr="00AF26EF">
        <w:rPr>
          <w:lang w:val="en-GB"/>
        </w:rPr>
        <w:t>The</w:t>
      </w:r>
      <w:r w:rsidRPr="00AF26EF">
        <w:rPr>
          <w:b/>
          <w:lang w:val="en-GB"/>
        </w:rPr>
        <w:t xml:space="preserve"> </w:t>
      </w:r>
      <w:r w:rsidRPr="00AF26EF">
        <w:rPr>
          <w:lang w:val="en-GB"/>
        </w:rPr>
        <w:t>authors have no conflict</w:t>
      </w:r>
      <w:r w:rsidR="00F23B2A" w:rsidRPr="00AF26EF">
        <w:rPr>
          <w:lang w:val="en-GB"/>
        </w:rPr>
        <w:t>s</w:t>
      </w:r>
      <w:r w:rsidRPr="00AF26EF">
        <w:rPr>
          <w:lang w:val="en-GB"/>
        </w:rPr>
        <w:t xml:space="preserve"> of interest to declare. The manufacturers of </w:t>
      </w:r>
      <w:proofErr w:type="spellStart"/>
      <w:r w:rsidRPr="00AF26EF">
        <w:rPr>
          <w:lang w:val="en-GB"/>
        </w:rPr>
        <w:t>PrimeStore</w:t>
      </w:r>
      <w:proofErr w:type="spellEnd"/>
      <w:r w:rsidRPr="00AF26EF">
        <w:rPr>
          <w:lang w:val="en-GB"/>
        </w:rPr>
        <w:t xml:space="preserve"> MTM and </w:t>
      </w:r>
      <w:proofErr w:type="spellStart"/>
      <w:r w:rsidRPr="00AF26EF">
        <w:rPr>
          <w:lang w:val="en-GB"/>
        </w:rPr>
        <w:t>OMNIgene</w:t>
      </w:r>
      <w:proofErr w:type="spellEnd"/>
      <w:r w:rsidRPr="00AF26EF">
        <w:rPr>
          <w:lang w:val="en-GB"/>
        </w:rPr>
        <w:t xml:space="preserve"> (DNA </w:t>
      </w:r>
      <w:proofErr w:type="spellStart"/>
      <w:r w:rsidRPr="00AF26EF">
        <w:rPr>
          <w:lang w:val="en-GB"/>
        </w:rPr>
        <w:t>Genotek</w:t>
      </w:r>
      <w:proofErr w:type="spellEnd"/>
      <w:r w:rsidRPr="00AF26EF">
        <w:rPr>
          <w:lang w:val="en-GB"/>
        </w:rPr>
        <w:t xml:space="preserve"> Inc</w:t>
      </w:r>
      <w:r w:rsidR="0016236A" w:rsidRPr="00AF26EF">
        <w:rPr>
          <w:lang w:val="en-GB"/>
        </w:rPr>
        <w:t>.</w:t>
      </w:r>
      <w:r w:rsidRPr="00AF26EF">
        <w:rPr>
          <w:lang w:val="en-GB"/>
        </w:rPr>
        <w:t xml:space="preserve"> and Lon</w:t>
      </w:r>
      <w:r w:rsidR="00D706CC" w:rsidRPr="00AF26EF">
        <w:rPr>
          <w:lang w:val="en-GB"/>
        </w:rPr>
        <w:t>g</w:t>
      </w:r>
      <w:r w:rsidRPr="00AF26EF">
        <w:rPr>
          <w:lang w:val="en-GB"/>
        </w:rPr>
        <w:t xml:space="preserve">horn Vaccines and Diagnostics) were informed of the results of the study and </w:t>
      </w:r>
      <w:r w:rsidR="00F23B2A" w:rsidRPr="00AF26EF">
        <w:rPr>
          <w:lang w:val="en-GB"/>
        </w:rPr>
        <w:t xml:space="preserve">were </w:t>
      </w:r>
      <w:r w:rsidRPr="00AF26EF">
        <w:rPr>
          <w:lang w:val="en-GB"/>
        </w:rPr>
        <w:t>invited to provide feedback. However</w:t>
      </w:r>
      <w:r w:rsidR="00E30F74" w:rsidRPr="00AF26EF">
        <w:rPr>
          <w:lang w:val="en-GB"/>
        </w:rPr>
        <w:t>,</w:t>
      </w:r>
      <w:r w:rsidRPr="00AF26EF">
        <w:rPr>
          <w:lang w:val="en-GB"/>
        </w:rPr>
        <w:t xml:space="preserve"> the authors were </w:t>
      </w:r>
      <w:r w:rsidR="00E30F74" w:rsidRPr="00AF26EF">
        <w:rPr>
          <w:lang w:val="en-GB"/>
        </w:rPr>
        <w:t xml:space="preserve">free </w:t>
      </w:r>
      <w:r w:rsidRPr="00AF26EF">
        <w:rPr>
          <w:lang w:val="en-GB"/>
        </w:rPr>
        <w:t>to accept or reject suggestions and to provide the final interpretation of results.</w:t>
      </w:r>
    </w:p>
    <w:p w14:paraId="3B351417" w14:textId="77777777" w:rsidR="003D45E1" w:rsidRPr="00AF26EF" w:rsidRDefault="003D45E1" w:rsidP="003D45E1">
      <w:pPr>
        <w:adjustRightInd w:val="0"/>
        <w:snapToGrid w:val="0"/>
        <w:spacing w:before="240" w:after="120" w:line="260" w:lineRule="atLeast"/>
        <w:jc w:val="both"/>
        <w:outlineLvl w:val="0"/>
        <w:rPr>
          <w:rFonts w:ascii="Palatino Linotype" w:eastAsia="Times New Roman" w:hAnsi="Palatino Linotype" w:cs="Times New Roman"/>
          <w:b/>
          <w:snapToGrid w:val="0"/>
          <w:color w:val="000000"/>
          <w:sz w:val="20"/>
          <w:lang w:eastAsia="de-DE" w:bidi="en-US"/>
        </w:rPr>
      </w:pPr>
      <w:r w:rsidRPr="00AF26EF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lang w:eastAsia="de-DE" w:bidi="en-US"/>
        </w:rPr>
        <w:t>References</w:t>
      </w:r>
    </w:p>
    <w:p w14:paraId="7E5095BC" w14:textId="77777777" w:rsidR="003D45E1" w:rsidRPr="00AF26EF" w:rsidRDefault="003D45E1" w:rsidP="003D45E1">
      <w:pPr>
        <w:numPr>
          <w:ilvl w:val="0"/>
          <w:numId w:val="6"/>
        </w:numPr>
        <w:adjustRightInd w:val="0"/>
        <w:snapToGrid w:val="0"/>
        <w:spacing w:after="0" w:line="260" w:lineRule="atLeast"/>
        <w:ind w:left="425" w:hanging="425"/>
        <w:jc w:val="both"/>
        <w:rPr>
          <w:rFonts w:ascii="Palatino Linotype" w:hAnsi="Palatino Linotype" w:cs="Calibri"/>
          <w:noProof/>
          <w:sz w:val="18"/>
          <w:szCs w:val="18"/>
        </w:rPr>
      </w:pPr>
      <w:r w:rsidRPr="00AF26EF">
        <w:rPr>
          <w:rFonts w:ascii="Palatino Linotype" w:hAnsi="Palatino Linotype" w:cs="Calibri"/>
          <w:noProof/>
          <w:sz w:val="18"/>
          <w:szCs w:val="18"/>
        </w:rPr>
        <w:t xml:space="preserve">The global burden of tuberculosis: Results from the Global Burden of Disease Study 2015. </w:t>
      </w:r>
      <w:r w:rsidRPr="00AF26EF">
        <w:rPr>
          <w:rFonts w:ascii="Palatino Linotype" w:hAnsi="Palatino Linotype" w:cs="Calibri"/>
          <w:i/>
          <w:noProof/>
          <w:sz w:val="18"/>
          <w:szCs w:val="18"/>
        </w:rPr>
        <w:t>Lancet Infect. Dis.</w:t>
      </w:r>
      <w:r w:rsidRPr="00AF26EF">
        <w:rPr>
          <w:rFonts w:ascii="Palatino Linotype" w:hAnsi="Palatino Linotype" w:cs="Calibri"/>
          <w:noProof/>
          <w:sz w:val="18"/>
          <w:szCs w:val="18"/>
        </w:rPr>
        <w:t xml:space="preserve"> </w:t>
      </w:r>
      <w:r w:rsidRPr="00AF26EF">
        <w:rPr>
          <w:rFonts w:ascii="Palatino Linotype" w:hAnsi="Palatino Linotype" w:cs="Calibri"/>
          <w:b/>
          <w:noProof/>
          <w:sz w:val="18"/>
          <w:szCs w:val="18"/>
        </w:rPr>
        <w:t>2018</w:t>
      </w:r>
      <w:r w:rsidRPr="00AF26EF">
        <w:rPr>
          <w:rFonts w:ascii="Palatino Linotype" w:hAnsi="Palatino Linotype" w:cs="Calibri"/>
          <w:noProof/>
          <w:sz w:val="18"/>
          <w:szCs w:val="18"/>
        </w:rPr>
        <w:t xml:space="preserve">, </w:t>
      </w:r>
      <w:r w:rsidRPr="00AF26EF">
        <w:rPr>
          <w:rFonts w:ascii="Palatino Linotype" w:hAnsi="Palatino Linotype" w:cs="Calibri"/>
          <w:i/>
          <w:noProof/>
          <w:sz w:val="18"/>
          <w:szCs w:val="18"/>
        </w:rPr>
        <w:t>18</w:t>
      </w:r>
      <w:r w:rsidRPr="00AF26EF">
        <w:rPr>
          <w:rFonts w:ascii="Palatino Linotype" w:hAnsi="Palatino Linotype" w:cs="Calibri"/>
          <w:noProof/>
          <w:sz w:val="18"/>
          <w:szCs w:val="18"/>
        </w:rPr>
        <w:t>, 261–284, doi:10.1016/s1473-3099(17)30703-x.</w:t>
      </w:r>
    </w:p>
    <w:p w14:paraId="748D5643" w14:textId="77777777" w:rsidR="003D45E1" w:rsidRPr="00AF26EF" w:rsidRDefault="003D45E1" w:rsidP="003D45E1">
      <w:pPr>
        <w:numPr>
          <w:ilvl w:val="0"/>
          <w:numId w:val="6"/>
        </w:numPr>
        <w:adjustRightInd w:val="0"/>
        <w:snapToGrid w:val="0"/>
        <w:spacing w:after="0" w:line="260" w:lineRule="atLeast"/>
        <w:ind w:left="425" w:hanging="425"/>
        <w:jc w:val="both"/>
        <w:rPr>
          <w:rFonts w:ascii="Palatino Linotype" w:hAnsi="Palatino Linotype" w:cs="Calibri"/>
          <w:noProof/>
          <w:sz w:val="18"/>
          <w:szCs w:val="18"/>
        </w:rPr>
      </w:pPr>
      <w:r w:rsidRPr="00AF26EF">
        <w:rPr>
          <w:rFonts w:ascii="Palatino Linotype" w:hAnsi="Palatino Linotype" w:cs="Calibri"/>
          <w:noProof/>
          <w:sz w:val="18"/>
          <w:szCs w:val="18"/>
        </w:rPr>
        <w:t xml:space="preserve">Floyd, K.; Glaziou, P.; Houben, R.M.G.J.; Sumner, T.; White, R.G.; Raviglione, M. Global tuberculosis targets and milestones set for 2016–2035: Definition and rationale. </w:t>
      </w:r>
      <w:r w:rsidRPr="00AF26EF">
        <w:rPr>
          <w:rFonts w:ascii="Palatino Linotype" w:hAnsi="Palatino Linotype" w:cs="Calibri"/>
          <w:i/>
          <w:noProof/>
          <w:sz w:val="18"/>
          <w:szCs w:val="18"/>
        </w:rPr>
        <w:t>Int. J. Tuberc. Lung Dis.</w:t>
      </w:r>
      <w:r w:rsidRPr="00AF26EF">
        <w:rPr>
          <w:rFonts w:ascii="Palatino Linotype" w:hAnsi="Palatino Linotype" w:cs="Calibri"/>
          <w:noProof/>
          <w:sz w:val="18"/>
          <w:szCs w:val="18"/>
        </w:rPr>
        <w:t xml:space="preserve"> </w:t>
      </w:r>
      <w:r w:rsidRPr="00AF26EF">
        <w:rPr>
          <w:rFonts w:ascii="Palatino Linotype" w:hAnsi="Palatino Linotype" w:cs="Calibri"/>
          <w:b/>
          <w:noProof/>
          <w:sz w:val="18"/>
          <w:szCs w:val="18"/>
        </w:rPr>
        <w:t>2018</w:t>
      </w:r>
      <w:r w:rsidRPr="00AF26EF">
        <w:rPr>
          <w:rFonts w:ascii="Palatino Linotype" w:hAnsi="Palatino Linotype" w:cs="Calibri"/>
          <w:noProof/>
          <w:sz w:val="18"/>
          <w:szCs w:val="18"/>
        </w:rPr>
        <w:t xml:space="preserve">, </w:t>
      </w:r>
      <w:r w:rsidRPr="00AF26EF">
        <w:rPr>
          <w:rFonts w:ascii="Palatino Linotype" w:hAnsi="Palatino Linotype" w:cs="Calibri"/>
          <w:i/>
          <w:noProof/>
          <w:sz w:val="18"/>
          <w:szCs w:val="18"/>
        </w:rPr>
        <w:t>22</w:t>
      </w:r>
      <w:r w:rsidRPr="00AF26EF">
        <w:rPr>
          <w:rFonts w:ascii="Palatino Linotype" w:hAnsi="Palatino Linotype" w:cs="Calibri"/>
          <w:noProof/>
          <w:sz w:val="18"/>
          <w:szCs w:val="18"/>
        </w:rPr>
        <w:t>, 723–30, doi:10.5588/ijtld.17.0835.</w:t>
      </w:r>
    </w:p>
    <w:p w14:paraId="6D334A0A" w14:textId="77777777" w:rsidR="003D45E1" w:rsidRPr="00AF26EF" w:rsidRDefault="003D45E1" w:rsidP="003D45E1">
      <w:pPr>
        <w:numPr>
          <w:ilvl w:val="0"/>
          <w:numId w:val="6"/>
        </w:numPr>
        <w:adjustRightInd w:val="0"/>
        <w:snapToGrid w:val="0"/>
        <w:spacing w:after="0" w:line="260" w:lineRule="atLeast"/>
        <w:ind w:left="425" w:hanging="425"/>
        <w:jc w:val="both"/>
        <w:rPr>
          <w:rFonts w:ascii="Palatino Linotype" w:hAnsi="Palatino Linotype" w:cs="Calibri"/>
          <w:noProof/>
          <w:sz w:val="18"/>
          <w:szCs w:val="18"/>
        </w:rPr>
      </w:pPr>
      <w:r w:rsidRPr="00AF26EF">
        <w:rPr>
          <w:rFonts w:ascii="Palatino Linotype" w:hAnsi="Palatino Linotype" w:cs="Calibri"/>
          <w:noProof/>
          <w:sz w:val="18"/>
          <w:szCs w:val="18"/>
        </w:rPr>
        <w:t xml:space="preserve">Stop TB Partnership. </w:t>
      </w:r>
      <w:r w:rsidRPr="00AF26EF">
        <w:rPr>
          <w:rFonts w:ascii="Palatino Linotype" w:hAnsi="Palatino Linotype" w:cs="Calibri"/>
          <w:i/>
          <w:noProof/>
          <w:sz w:val="18"/>
          <w:szCs w:val="18"/>
        </w:rPr>
        <w:t>Partnership: The Paradigm Shift 2016–2020.</w:t>
      </w:r>
      <w:r w:rsidRPr="00AF26EF">
        <w:rPr>
          <w:rFonts w:ascii="Palatino Linotype" w:hAnsi="Palatino Linotype" w:cs="Calibri"/>
          <w:noProof/>
          <w:sz w:val="18"/>
          <w:szCs w:val="18"/>
        </w:rPr>
        <w:t xml:space="preserve"> </w:t>
      </w:r>
      <w:r w:rsidRPr="00AF26EF">
        <w:rPr>
          <w:rFonts w:ascii="Palatino Linotype" w:hAnsi="Palatino Linotype" w:cs="Calibri"/>
          <w:i/>
          <w:noProof/>
          <w:sz w:val="18"/>
          <w:szCs w:val="18"/>
        </w:rPr>
        <w:t>Global Plan to End TB</w:t>
      </w:r>
      <w:r w:rsidRPr="00AF26EF">
        <w:rPr>
          <w:rFonts w:ascii="Palatino Linotype" w:hAnsi="Palatino Linotype" w:cs="Calibri"/>
          <w:noProof/>
          <w:sz w:val="18"/>
          <w:szCs w:val="18"/>
        </w:rPr>
        <w:t>; Stop TB Partnership: Geneva, Switzerland, 2015.</w:t>
      </w:r>
    </w:p>
    <w:p w14:paraId="63AC4BA8" w14:textId="77777777" w:rsidR="003D45E1" w:rsidRPr="00AF26EF" w:rsidRDefault="003D45E1" w:rsidP="003D45E1">
      <w:pPr>
        <w:numPr>
          <w:ilvl w:val="0"/>
          <w:numId w:val="6"/>
        </w:numPr>
        <w:adjustRightInd w:val="0"/>
        <w:snapToGrid w:val="0"/>
        <w:spacing w:after="0" w:line="260" w:lineRule="atLeast"/>
        <w:ind w:left="425" w:hanging="425"/>
        <w:jc w:val="both"/>
        <w:rPr>
          <w:rFonts w:ascii="Palatino Linotype" w:hAnsi="Palatino Linotype" w:cs="Calibri"/>
          <w:noProof/>
          <w:sz w:val="18"/>
          <w:szCs w:val="18"/>
        </w:rPr>
      </w:pPr>
      <w:r w:rsidRPr="00AF26EF">
        <w:rPr>
          <w:rFonts w:ascii="Palatino Linotype" w:hAnsi="Palatino Linotype" w:cs="Calibri"/>
          <w:noProof/>
          <w:sz w:val="18"/>
          <w:szCs w:val="18"/>
        </w:rPr>
        <w:lastRenderedPageBreak/>
        <w:t xml:space="preserve">Abdurrahman, S.T.; Emenyonu, N.; Obasanya, O.J.; Lawson, L.; Dacombe, R.; Muhammad, M.; Oladimeji, O.; Cuevas, L.E. The hidden costs of installing Xpert machines in a tuberculosis high-burden country: Experiences from Nigeria. </w:t>
      </w:r>
      <w:r w:rsidRPr="00AF26EF">
        <w:rPr>
          <w:rFonts w:ascii="Palatino Linotype" w:hAnsi="Palatino Linotype" w:cs="Calibri"/>
          <w:i/>
          <w:noProof/>
          <w:sz w:val="18"/>
          <w:szCs w:val="18"/>
        </w:rPr>
        <w:t>Pan Afr. Med J.</w:t>
      </w:r>
      <w:r w:rsidRPr="00AF26EF">
        <w:rPr>
          <w:rFonts w:ascii="Palatino Linotype" w:hAnsi="Palatino Linotype" w:cs="Calibri"/>
          <w:noProof/>
          <w:sz w:val="18"/>
          <w:szCs w:val="18"/>
        </w:rPr>
        <w:t xml:space="preserve"> </w:t>
      </w:r>
      <w:r w:rsidRPr="00AF26EF">
        <w:rPr>
          <w:rFonts w:ascii="Palatino Linotype" w:hAnsi="Palatino Linotype" w:cs="Calibri"/>
          <w:b/>
          <w:noProof/>
          <w:sz w:val="18"/>
          <w:szCs w:val="18"/>
        </w:rPr>
        <w:t>2014</w:t>
      </w:r>
      <w:r w:rsidRPr="00AF26EF">
        <w:rPr>
          <w:rFonts w:ascii="Palatino Linotype" w:hAnsi="Palatino Linotype" w:cs="Calibri"/>
          <w:noProof/>
          <w:sz w:val="18"/>
          <w:szCs w:val="18"/>
        </w:rPr>
        <w:t xml:space="preserve">, </w:t>
      </w:r>
      <w:r w:rsidRPr="00AF26EF">
        <w:rPr>
          <w:rFonts w:ascii="Palatino Linotype" w:hAnsi="Palatino Linotype" w:cs="Calibri"/>
          <w:i/>
          <w:noProof/>
          <w:sz w:val="18"/>
          <w:szCs w:val="18"/>
        </w:rPr>
        <w:t>18</w:t>
      </w:r>
      <w:r w:rsidRPr="00AF26EF">
        <w:rPr>
          <w:rFonts w:ascii="Palatino Linotype" w:hAnsi="Palatino Linotype" w:cs="Calibri"/>
          <w:noProof/>
          <w:sz w:val="18"/>
          <w:szCs w:val="18"/>
        </w:rPr>
        <w:t>, 277, doi:10.11604/pamj.2014.18.277.3906.</w:t>
      </w:r>
    </w:p>
    <w:p w14:paraId="78FE147F" w14:textId="77777777" w:rsidR="002C073F" w:rsidRPr="00AF26EF" w:rsidRDefault="003D45E1" w:rsidP="002C073F">
      <w:pPr>
        <w:numPr>
          <w:ilvl w:val="0"/>
          <w:numId w:val="6"/>
        </w:numPr>
        <w:adjustRightInd w:val="0"/>
        <w:snapToGrid w:val="0"/>
        <w:spacing w:after="0" w:line="260" w:lineRule="atLeast"/>
        <w:ind w:left="425" w:hanging="425"/>
        <w:jc w:val="both"/>
        <w:rPr>
          <w:rFonts w:ascii="Palatino Linotype" w:hAnsi="Palatino Linotype" w:cs="Calibri"/>
          <w:noProof/>
          <w:sz w:val="18"/>
          <w:szCs w:val="18"/>
        </w:rPr>
      </w:pPr>
      <w:r w:rsidRPr="00AF26EF">
        <w:rPr>
          <w:rFonts w:ascii="Palatino Linotype" w:hAnsi="Palatino Linotype" w:cs="Calibri"/>
          <w:noProof/>
          <w:sz w:val="18"/>
          <w:szCs w:val="18"/>
        </w:rPr>
        <w:t xml:space="preserve">Albert, H.; Nathavitharana, R.R.; Isaacs, C.; Pai, M.; Denkinger, C.M.; Boehme, C.C. Development, roll-out and impact of Xpert MTB/RIF for tuberculosis: What lessons have we learnt and how can we do better? </w:t>
      </w:r>
      <w:r w:rsidRPr="00AF26EF">
        <w:rPr>
          <w:rFonts w:ascii="Palatino Linotype" w:hAnsi="Palatino Linotype" w:cs="Calibri"/>
          <w:i/>
          <w:noProof/>
          <w:sz w:val="18"/>
          <w:szCs w:val="18"/>
        </w:rPr>
        <w:t>Eur. Respir. J.</w:t>
      </w:r>
      <w:r w:rsidRPr="00AF26EF">
        <w:rPr>
          <w:rFonts w:ascii="Palatino Linotype" w:hAnsi="Palatino Linotype" w:cs="Calibri"/>
          <w:noProof/>
          <w:sz w:val="18"/>
          <w:szCs w:val="18"/>
        </w:rPr>
        <w:t xml:space="preserve"> </w:t>
      </w:r>
      <w:r w:rsidRPr="00AF26EF">
        <w:rPr>
          <w:rFonts w:ascii="Palatino Linotype" w:hAnsi="Palatino Linotype" w:cs="Calibri"/>
          <w:b/>
          <w:noProof/>
          <w:sz w:val="18"/>
          <w:szCs w:val="18"/>
        </w:rPr>
        <w:t>2016</w:t>
      </w:r>
      <w:r w:rsidRPr="00AF26EF">
        <w:rPr>
          <w:rFonts w:ascii="Palatino Linotype" w:hAnsi="Palatino Linotype" w:cs="Calibri"/>
          <w:noProof/>
          <w:sz w:val="18"/>
          <w:szCs w:val="18"/>
        </w:rPr>
        <w:t xml:space="preserve">, </w:t>
      </w:r>
      <w:r w:rsidRPr="00AF26EF">
        <w:rPr>
          <w:rFonts w:ascii="Palatino Linotype" w:hAnsi="Palatino Linotype" w:cs="Calibri"/>
          <w:i/>
          <w:noProof/>
          <w:sz w:val="18"/>
          <w:szCs w:val="18"/>
        </w:rPr>
        <w:t>48</w:t>
      </w:r>
      <w:r w:rsidRPr="00AF26EF">
        <w:rPr>
          <w:rFonts w:ascii="Palatino Linotype" w:hAnsi="Palatino Linotype" w:cs="Calibri"/>
          <w:noProof/>
          <w:sz w:val="18"/>
          <w:szCs w:val="18"/>
        </w:rPr>
        <w:t>, 516–525.</w:t>
      </w:r>
    </w:p>
    <w:p w14:paraId="07AACC23" w14:textId="5120F905" w:rsidR="003D45E1" w:rsidRPr="00AF26EF" w:rsidRDefault="003D45E1" w:rsidP="002C073F">
      <w:pPr>
        <w:numPr>
          <w:ilvl w:val="0"/>
          <w:numId w:val="6"/>
        </w:numPr>
        <w:adjustRightInd w:val="0"/>
        <w:snapToGrid w:val="0"/>
        <w:spacing w:after="0" w:line="260" w:lineRule="atLeast"/>
        <w:ind w:left="425" w:hanging="425"/>
        <w:jc w:val="both"/>
        <w:rPr>
          <w:rFonts w:ascii="Palatino Linotype" w:hAnsi="Palatino Linotype" w:cs="Calibri"/>
          <w:noProof/>
          <w:sz w:val="18"/>
          <w:szCs w:val="18"/>
        </w:rPr>
      </w:pPr>
      <w:r w:rsidRPr="00AF26EF">
        <w:rPr>
          <w:rFonts w:ascii="Palatino Linotype" w:hAnsi="Palatino Linotype" w:cs="Calibri"/>
          <w:noProof/>
          <w:sz w:val="18"/>
          <w:szCs w:val="18"/>
        </w:rPr>
        <w:t xml:space="preserve">Azam, K.; Cadir, N.; Madeira, C.; Gillespie, S.H.; Sabiiti, W. OMNIgene.SPUTUM suppresses contaminants while maintaining Mycobacterium tuberculosis viability and obviates cold-chain transport. </w:t>
      </w:r>
      <w:r w:rsidRPr="00AF26EF">
        <w:rPr>
          <w:rFonts w:ascii="Palatino Linotype" w:hAnsi="Palatino Linotype" w:cs="Calibri"/>
          <w:i/>
          <w:noProof/>
          <w:sz w:val="18"/>
          <w:szCs w:val="18"/>
        </w:rPr>
        <w:t>ERJ Open Res.</w:t>
      </w:r>
      <w:r w:rsidRPr="00AF26EF">
        <w:rPr>
          <w:rFonts w:ascii="Palatino Linotype" w:hAnsi="Palatino Linotype" w:cs="Calibri"/>
          <w:noProof/>
          <w:sz w:val="18"/>
          <w:szCs w:val="18"/>
        </w:rPr>
        <w:t xml:space="preserve"> </w:t>
      </w:r>
      <w:r w:rsidRPr="00AF26EF">
        <w:rPr>
          <w:rFonts w:ascii="Palatino Linotype" w:hAnsi="Palatino Linotype" w:cs="Calibri"/>
          <w:b/>
          <w:noProof/>
          <w:sz w:val="18"/>
          <w:szCs w:val="18"/>
        </w:rPr>
        <w:t>2018</w:t>
      </w:r>
      <w:r w:rsidRPr="00AF26EF">
        <w:rPr>
          <w:rFonts w:ascii="Palatino Linotype" w:hAnsi="Palatino Linotype" w:cs="Calibri"/>
          <w:noProof/>
          <w:sz w:val="18"/>
          <w:szCs w:val="18"/>
        </w:rPr>
        <w:t xml:space="preserve">, </w:t>
      </w:r>
      <w:r w:rsidRPr="00AF26EF">
        <w:rPr>
          <w:rFonts w:ascii="Palatino Linotype" w:hAnsi="Palatino Linotype" w:cs="Calibri"/>
          <w:i/>
          <w:noProof/>
          <w:sz w:val="18"/>
          <w:szCs w:val="18"/>
        </w:rPr>
        <w:t>4</w:t>
      </w:r>
      <w:r w:rsidRPr="00AF26EF">
        <w:rPr>
          <w:rFonts w:ascii="Palatino Linotype" w:hAnsi="Palatino Linotype" w:cs="Calibri"/>
          <w:noProof/>
          <w:sz w:val="18"/>
          <w:szCs w:val="18"/>
        </w:rPr>
        <w:t>, doi:10.1183/23120541.00074–2017.</w:t>
      </w:r>
    </w:p>
    <w:p w14:paraId="3E6602A7" w14:textId="77777777" w:rsidR="003D45E1" w:rsidRPr="00AF26EF" w:rsidRDefault="003D45E1" w:rsidP="003D45E1">
      <w:pPr>
        <w:numPr>
          <w:ilvl w:val="0"/>
          <w:numId w:val="6"/>
        </w:numPr>
        <w:adjustRightInd w:val="0"/>
        <w:snapToGrid w:val="0"/>
        <w:spacing w:after="0" w:line="260" w:lineRule="atLeast"/>
        <w:ind w:left="425" w:hanging="425"/>
        <w:jc w:val="both"/>
        <w:rPr>
          <w:rFonts w:ascii="Palatino Linotype" w:hAnsi="Palatino Linotype" w:cs="Calibri"/>
          <w:noProof/>
          <w:sz w:val="18"/>
          <w:szCs w:val="18"/>
        </w:rPr>
      </w:pPr>
      <w:r w:rsidRPr="00AF26EF">
        <w:rPr>
          <w:rFonts w:ascii="Palatino Linotype" w:hAnsi="Palatino Linotype" w:cs="Calibri"/>
          <w:noProof/>
          <w:sz w:val="18"/>
          <w:szCs w:val="18"/>
        </w:rPr>
        <w:t>Daum, L.T.; Fourie, P.; Peters, R.; Rodriguez, J.; Worthy, S.; Khubbar, M.; Bhattacharyya, S.</w:t>
      </w:r>
      <w:r w:rsidRPr="00AF26EF">
        <w:rPr>
          <w:rFonts w:ascii="Palatino Linotype" w:hAnsi="Palatino Linotype" w:cs="Calibri"/>
          <w:noProof/>
          <w:sz w:val="18"/>
          <w:szCs w:val="18"/>
          <w:lang w:eastAsia="zh-CN"/>
        </w:rPr>
        <w:t>;</w:t>
      </w:r>
      <w:r w:rsidRPr="00AF26EF">
        <w:rPr>
          <w:rFonts w:ascii="Palatino Linotype" w:hAnsi="Palatino Linotype" w:cs="Calibri"/>
          <w:noProof/>
          <w:sz w:val="18"/>
          <w:szCs w:val="18"/>
        </w:rPr>
        <w:t xml:space="preserve"> Gradus, M.; Helm, C.; Fischer, G. GeneXpert detection of mycobacterium tuberculosis from sputum collected and transported in a molecular transport medium. </w:t>
      </w:r>
      <w:r w:rsidRPr="00AF26EF">
        <w:rPr>
          <w:rFonts w:ascii="Palatino Linotype" w:hAnsi="Palatino Linotype" w:cs="Calibri"/>
          <w:i/>
          <w:noProof/>
          <w:sz w:val="18"/>
          <w:szCs w:val="18"/>
        </w:rPr>
        <w:t>Int. J. Infect. Dis.</w:t>
      </w:r>
      <w:r w:rsidRPr="00AF26EF">
        <w:rPr>
          <w:rFonts w:ascii="Palatino Linotype" w:hAnsi="Palatino Linotype" w:cs="Calibri"/>
          <w:noProof/>
          <w:sz w:val="18"/>
          <w:szCs w:val="18"/>
        </w:rPr>
        <w:t xml:space="preserve"> </w:t>
      </w:r>
      <w:r w:rsidRPr="00AF26EF">
        <w:rPr>
          <w:rFonts w:ascii="Palatino Linotype" w:hAnsi="Palatino Linotype" w:cs="Calibri"/>
          <w:b/>
          <w:noProof/>
          <w:sz w:val="18"/>
          <w:szCs w:val="18"/>
        </w:rPr>
        <w:t>2016</w:t>
      </w:r>
      <w:r w:rsidRPr="00AF26EF">
        <w:rPr>
          <w:rFonts w:ascii="Palatino Linotype" w:hAnsi="Palatino Linotype" w:cs="Calibri"/>
          <w:noProof/>
          <w:sz w:val="18"/>
          <w:szCs w:val="18"/>
        </w:rPr>
        <w:t xml:space="preserve">, </w:t>
      </w:r>
      <w:r w:rsidRPr="00AF26EF">
        <w:rPr>
          <w:rFonts w:ascii="Palatino Linotype" w:hAnsi="Palatino Linotype" w:cs="Calibri"/>
          <w:i/>
          <w:noProof/>
          <w:sz w:val="18"/>
          <w:szCs w:val="18"/>
        </w:rPr>
        <w:t>45</w:t>
      </w:r>
      <w:r w:rsidRPr="00AF26EF">
        <w:rPr>
          <w:rFonts w:ascii="Palatino Linotype" w:hAnsi="Palatino Linotype" w:cs="Calibri"/>
          <w:noProof/>
          <w:sz w:val="18"/>
          <w:szCs w:val="18"/>
        </w:rPr>
        <w:t>, 392–393, doi:10.1016/j.ijid.2016.02.840.</w:t>
      </w:r>
    </w:p>
    <w:p w14:paraId="6A809363" w14:textId="77777777" w:rsidR="003D45E1" w:rsidRPr="00AF26EF" w:rsidRDefault="003D45E1" w:rsidP="003D45E1">
      <w:pPr>
        <w:numPr>
          <w:ilvl w:val="0"/>
          <w:numId w:val="6"/>
        </w:numPr>
        <w:adjustRightInd w:val="0"/>
        <w:snapToGrid w:val="0"/>
        <w:spacing w:after="0" w:line="260" w:lineRule="atLeast"/>
        <w:ind w:left="425" w:hanging="425"/>
        <w:jc w:val="both"/>
        <w:rPr>
          <w:rFonts w:ascii="Palatino Linotype" w:hAnsi="Palatino Linotype" w:cs="Calibri"/>
          <w:noProof/>
          <w:sz w:val="18"/>
          <w:szCs w:val="18"/>
        </w:rPr>
      </w:pPr>
      <w:r w:rsidRPr="00AF26EF">
        <w:rPr>
          <w:rFonts w:ascii="Palatino Linotype" w:hAnsi="Palatino Linotype" w:cs="Calibri"/>
          <w:noProof/>
          <w:sz w:val="18"/>
          <w:szCs w:val="18"/>
        </w:rPr>
        <w:t>Omar, S.V.; Peters</w:t>
      </w:r>
      <w:r w:rsidRPr="00AF26EF">
        <w:rPr>
          <w:rFonts w:ascii="Palatino Linotype" w:hAnsi="Palatino Linotype" w:cs="Calibri"/>
          <w:noProof/>
          <w:sz w:val="18"/>
          <w:szCs w:val="18"/>
          <w:lang w:eastAsia="zh-CN"/>
        </w:rPr>
        <w:t>,</w:t>
      </w:r>
      <w:r w:rsidRPr="00AF26EF">
        <w:rPr>
          <w:rFonts w:ascii="Palatino Linotype" w:hAnsi="Palatino Linotype" w:cs="Calibri"/>
          <w:noProof/>
          <w:sz w:val="18"/>
          <w:szCs w:val="18"/>
        </w:rPr>
        <w:t xml:space="preserve"> R.P.H.; Ismail, N.A.; Jonkman, K.; Dreyer, A.W.; Said, H.M.; Gwala, T.; Ismail, N.; Fourie, P.B. Field evaluation of a novel preservation medium to transport sputum specimens for molecular detection of Mycobacterium tuberculosis in a rural African setting. </w:t>
      </w:r>
      <w:r w:rsidRPr="00AF26EF">
        <w:rPr>
          <w:rFonts w:ascii="Palatino Linotype" w:hAnsi="Palatino Linotype" w:cs="Calibri"/>
          <w:i/>
          <w:noProof/>
          <w:sz w:val="18"/>
          <w:szCs w:val="18"/>
        </w:rPr>
        <w:t>Trop. Med. Int. Health</w:t>
      </w:r>
      <w:r w:rsidRPr="00AF26EF">
        <w:rPr>
          <w:rFonts w:ascii="Palatino Linotype" w:hAnsi="Palatino Linotype" w:cs="Calibri"/>
          <w:noProof/>
          <w:sz w:val="18"/>
          <w:szCs w:val="18"/>
        </w:rPr>
        <w:t xml:space="preserve"> </w:t>
      </w:r>
      <w:r w:rsidRPr="00AF26EF">
        <w:rPr>
          <w:rFonts w:ascii="Palatino Linotype" w:hAnsi="Palatino Linotype" w:cs="Calibri"/>
          <w:b/>
          <w:noProof/>
          <w:sz w:val="18"/>
          <w:szCs w:val="18"/>
        </w:rPr>
        <w:t>2016</w:t>
      </w:r>
      <w:r w:rsidRPr="00AF26EF">
        <w:rPr>
          <w:rFonts w:ascii="Palatino Linotype" w:hAnsi="Palatino Linotype" w:cs="Calibri"/>
          <w:noProof/>
          <w:sz w:val="18"/>
          <w:szCs w:val="18"/>
        </w:rPr>
        <w:t xml:space="preserve">, </w:t>
      </w:r>
      <w:r w:rsidRPr="00AF26EF">
        <w:rPr>
          <w:rFonts w:ascii="Palatino Linotype" w:hAnsi="Palatino Linotype" w:cs="Calibri"/>
          <w:i/>
          <w:noProof/>
          <w:sz w:val="18"/>
          <w:szCs w:val="18"/>
        </w:rPr>
        <w:t>21</w:t>
      </w:r>
      <w:r w:rsidRPr="00AF26EF">
        <w:rPr>
          <w:rFonts w:ascii="Palatino Linotype" w:hAnsi="Palatino Linotype" w:cs="Calibri"/>
          <w:noProof/>
          <w:sz w:val="18"/>
          <w:szCs w:val="18"/>
        </w:rPr>
        <w:t>, 776–782, doi:10.1111/tmi.12701.</w:t>
      </w:r>
    </w:p>
    <w:p w14:paraId="61A32B2F" w14:textId="77777777" w:rsidR="003D45E1" w:rsidRPr="00AF26EF" w:rsidRDefault="003D45E1" w:rsidP="003D45E1">
      <w:pPr>
        <w:numPr>
          <w:ilvl w:val="0"/>
          <w:numId w:val="6"/>
        </w:numPr>
        <w:adjustRightInd w:val="0"/>
        <w:snapToGrid w:val="0"/>
        <w:spacing w:after="0" w:line="260" w:lineRule="atLeast"/>
        <w:ind w:left="425" w:hanging="425"/>
        <w:jc w:val="both"/>
        <w:rPr>
          <w:rFonts w:ascii="Palatino Linotype" w:hAnsi="Palatino Linotype" w:cs="Calibri"/>
          <w:noProof/>
          <w:sz w:val="18"/>
          <w:szCs w:val="18"/>
        </w:rPr>
      </w:pPr>
      <w:r w:rsidRPr="00AF26EF">
        <w:rPr>
          <w:rFonts w:ascii="Palatino Linotype" w:hAnsi="Palatino Linotype" w:cs="Calibri"/>
          <w:noProof/>
          <w:sz w:val="18"/>
          <w:szCs w:val="18"/>
        </w:rPr>
        <w:t xml:space="preserve">Kelly-Cirino, C.D.; Curry, P.S.; Marola, J.L.; Helstrom, N.K.; Salfinger, M. Novel multi-day sputum transport reagent works with routine tuberculosis tests and eliminates need for cold chain: Preliminary study of compatibility with the Xpert(R) MTB/RIF assay. </w:t>
      </w:r>
      <w:r w:rsidRPr="00AF26EF">
        <w:rPr>
          <w:rFonts w:ascii="Palatino Linotype" w:hAnsi="Palatino Linotype" w:cs="Calibri"/>
          <w:i/>
          <w:noProof/>
          <w:sz w:val="18"/>
          <w:szCs w:val="18"/>
        </w:rPr>
        <w:t>Diagn. Microbiol. Infect. Dis.</w:t>
      </w:r>
      <w:r w:rsidRPr="00AF26EF">
        <w:rPr>
          <w:rFonts w:ascii="Palatino Linotype" w:hAnsi="Palatino Linotype" w:cs="Calibri"/>
          <w:noProof/>
          <w:sz w:val="18"/>
          <w:szCs w:val="18"/>
        </w:rPr>
        <w:t xml:space="preserve"> </w:t>
      </w:r>
      <w:r w:rsidRPr="00AF26EF">
        <w:rPr>
          <w:rFonts w:ascii="Palatino Linotype" w:hAnsi="Palatino Linotype" w:cs="Calibri"/>
          <w:b/>
          <w:noProof/>
          <w:sz w:val="18"/>
          <w:szCs w:val="18"/>
        </w:rPr>
        <w:t>2016</w:t>
      </w:r>
      <w:r w:rsidRPr="00AF26EF">
        <w:rPr>
          <w:rFonts w:ascii="Palatino Linotype" w:hAnsi="Palatino Linotype" w:cs="Calibri"/>
          <w:noProof/>
          <w:sz w:val="18"/>
          <w:szCs w:val="18"/>
        </w:rPr>
        <w:t xml:space="preserve">, </w:t>
      </w:r>
      <w:r w:rsidRPr="00AF26EF">
        <w:rPr>
          <w:rFonts w:ascii="Palatino Linotype" w:hAnsi="Palatino Linotype" w:cs="Calibri"/>
          <w:i/>
          <w:noProof/>
          <w:sz w:val="18"/>
          <w:szCs w:val="18"/>
        </w:rPr>
        <w:t>86</w:t>
      </w:r>
      <w:r w:rsidRPr="00AF26EF">
        <w:rPr>
          <w:rFonts w:ascii="Palatino Linotype" w:hAnsi="Palatino Linotype" w:cs="Calibri"/>
          <w:noProof/>
          <w:sz w:val="18"/>
          <w:szCs w:val="18"/>
        </w:rPr>
        <w:t>, 273–276, doi:10.1016/j.diagmicrobio.2016.08.013.</w:t>
      </w:r>
    </w:p>
    <w:p w14:paraId="4BBC8B55" w14:textId="77777777" w:rsidR="003D45E1" w:rsidRPr="00AF26EF" w:rsidRDefault="003D45E1" w:rsidP="003D45E1">
      <w:pPr>
        <w:numPr>
          <w:ilvl w:val="0"/>
          <w:numId w:val="6"/>
        </w:numPr>
        <w:adjustRightInd w:val="0"/>
        <w:snapToGrid w:val="0"/>
        <w:spacing w:after="0" w:line="260" w:lineRule="atLeast"/>
        <w:ind w:left="425" w:hanging="425"/>
        <w:jc w:val="both"/>
        <w:rPr>
          <w:rFonts w:ascii="Palatino Linotype" w:hAnsi="Palatino Linotype" w:cs="Calibri"/>
          <w:noProof/>
          <w:sz w:val="18"/>
          <w:szCs w:val="18"/>
        </w:rPr>
      </w:pPr>
      <w:r w:rsidRPr="00AF26EF">
        <w:rPr>
          <w:rFonts w:ascii="Palatino Linotype" w:hAnsi="Palatino Linotype" w:cs="Calibri"/>
          <w:noProof/>
          <w:sz w:val="18"/>
          <w:szCs w:val="18"/>
        </w:rPr>
        <w:t xml:space="preserve">Cuevas, L.E.; Yassin, M.A.; Al-Sonboli, N.; Lawson, L.; Arbide, I.; Al-Aghbari, N.; Sherchand, J.B.; Al-Absi, A.; Emenyonu, E.N.; Merid, Y.; et al. A multi-country non-inferiority cluster randomized trial of frontloaded smear microscopy for the diagnosis of pulmonary tuberculosis. </w:t>
      </w:r>
      <w:r w:rsidRPr="00AF26EF">
        <w:rPr>
          <w:rFonts w:ascii="Palatino Linotype" w:hAnsi="Palatino Linotype" w:cs="Calibri"/>
          <w:i/>
          <w:noProof/>
          <w:sz w:val="18"/>
          <w:szCs w:val="18"/>
        </w:rPr>
        <w:t>PLoS Med</w:t>
      </w:r>
      <w:r w:rsidRPr="00AF26EF">
        <w:rPr>
          <w:rFonts w:ascii="Palatino Linotype" w:hAnsi="Palatino Linotype" w:cs="Calibri"/>
          <w:noProof/>
          <w:sz w:val="18"/>
          <w:szCs w:val="18"/>
        </w:rPr>
        <w:t xml:space="preserve">. </w:t>
      </w:r>
      <w:r w:rsidRPr="00AF26EF">
        <w:rPr>
          <w:rFonts w:ascii="Palatino Linotype" w:hAnsi="Palatino Linotype" w:cs="Calibri"/>
          <w:b/>
          <w:noProof/>
          <w:sz w:val="18"/>
          <w:szCs w:val="18"/>
        </w:rPr>
        <w:t>2011</w:t>
      </w:r>
      <w:r w:rsidRPr="00AF26EF">
        <w:rPr>
          <w:rFonts w:ascii="Palatino Linotype" w:hAnsi="Palatino Linotype" w:cs="Calibri"/>
          <w:noProof/>
          <w:sz w:val="18"/>
          <w:szCs w:val="18"/>
        </w:rPr>
        <w:t xml:space="preserve">, </w:t>
      </w:r>
      <w:r w:rsidRPr="00AF26EF">
        <w:rPr>
          <w:rFonts w:ascii="Palatino Linotype" w:hAnsi="Palatino Linotype" w:cs="Calibri"/>
          <w:i/>
          <w:noProof/>
          <w:sz w:val="18"/>
          <w:szCs w:val="18"/>
        </w:rPr>
        <w:t>8</w:t>
      </w:r>
      <w:r w:rsidRPr="00AF26EF">
        <w:rPr>
          <w:rFonts w:ascii="Palatino Linotype" w:hAnsi="Palatino Linotype" w:cs="Calibri"/>
          <w:noProof/>
          <w:sz w:val="18"/>
          <w:szCs w:val="18"/>
        </w:rPr>
        <w:t>, e1000443, doi:10.1371/journal.pmed.1000443.</w:t>
      </w:r>
    </w:p>
    <w:p w14:paraId="1B3A0CE1" w14:textId="77777777" w:rsidR="003D45E1" w:rsidRPr="00AF26EF" w:rsidRDefault="003D45E1" w:rsidP="003D45E1">
      <w:pPr>
        <w:numPr>
          <w:ilvl w:val="0"/>
          <w:numId w:val="6"/>
        </w:numPr>
        <w:adjustRightInd w:val="0"/>
        <w:snapToGrid w:val="0"/>
        <w:spacing w:after="0" w:line="260" w:lineRule="atLeast"/>
        <w:ind w:left="425" w:hanging="425"/>
        <w:jc w:val="both"/>
        <w:rPr>
          <w:rFonts w:ascii="Palatino Linotype" w:hAnsi="Palatino Linotype" w:cs="Calibri"/>
          <w:noProof/>
          <w:sz w:val="18"/>
          <w:szCs w:val="18"/>
        </w:rPr>
      </w:pPr>
      <w:r w:rsidRPr="00AF26EF">
        <w:rPr>
          <w:rFonts w:ascii="Palatino Linotype" w:hAnsi="Palatino Linotype" w:cs="Calibri"/>
          <w:noProof/>
          <w:sz w:val="18"/>
          <w:szCs w:val="18"/>
        </w:rPr>
        <w:t xml:space="preserve">Maharjan, B.; Shrestha, B.; Weirich, A.; Stewart, A.; Kelly-Cirino, C.D. A novel sputum transport solution eliminates cold chain and supports routine tuberculosis testing in Nepal. </w:t>
      </w:r>
      <w:r w:rsidRPr="00AF26EF">
        <w:rPr>
          <w:rFonts w:ascii="Palatino Linotype" w:hAnsi="Palatino Linotype" w:cs="Calibri"/>
          <w:i/>
          <w:noProof/>
          <w:sz w:val="18"/>
          <w:szCs w:val="18"/>
        </w:rPr>
        <w:t>J. Epidemiol. Glob. Health</w:t>
      </w:r>
      <w:r w:rsidRPr="00AF26EF">
        <w:rPr>
          <w:rFonts w:ascii="Palatino Linotype" w:hAnsi="Palatino Linotype" w:cs="Calibri"/>
          <w:noProof/>
          <w:sz w:val="18"/>
          <w:szCs w:val="18"/>
        </w:rPr>
        <w:t xml:space="preserve"> </w:t>
      </w:r>
      <w:r w:rsidRPr="00AF26EF">
        <w:rPr>
          <w:rFonts w:ascii="Palatino Linotype" w:hAnsi="Palatino Linotype" w:cs="Calibri"/>
          <w:b/>
          <w:noProof/>
          <w:sz w:val="18"/>
          <w:szCs w:val="18"/>
        </w:rPr>
        <w:t>2016</w:t>
      </w:r>
      <w:r w:rsidRPr="00AF26EF">
        <w:rPr>
          <w:rFonts w:ascii="Palatino Linotype" w:hAnsi="Palatino Linotype" w:cs="Calibri"/>
          <w:noProof/>
          <w:sz w:val="18"/>
          <w:szCs w:val="18"/>
        </w:rPr>
        <w:t xml:space="preserve">, </w:t>
      </w:r>
      <w:r w:rsidRPr="00AF26EF">
        <w:rPr>
          <w:rFonts w:ascii="Palatino Linotype" w:hAnsi="Palatino Linotype" w:cs="Calibri"/>
          <w:i/>
          <w:noProof/>
          <w:sz w:val="18"/>
          <w:szCs w:val="18"/>
        </w:rPr>
        <w:t>6</w:t>
      </w:r>
      <w:r w:rsidRPr="00AF26EF">
        <w:rPr>
          <w:rFonts w:ascii="Palatino Linotype" w:hAnsi="Palatino Linotype" w:cs="Calibri"/>
          <w:noProof/>
          <w:sz w:val="18"/>
          <w:szCs w:val="18"/>
        </w:rPr>
        <w:t>, 257–265, doi:10.1016/j.jegh.2016.04.002.</w:t>
      </w:r>
    </w:p>
    <w:p w14:paraId="1D0CD4C7" w14:textId="77777777" w:rsidR="003D45E1" w:rsidRPr="00AF26EF" w:rsidRDefault="003D45E1" w:rsidP="003D45E1">
      <w:pPr>
        <w:numPr>
          <w:ilvl w:val="0"/>
          <w:numId w:val="6"/>
        </w:numPr>
        <w:adjustRightInd w:val="0"/>
        <w:snapToGrid w:val="0"/>
        <w:spacing w:after="0" w:line="260" w:lineRule="atLeast"/>
        <w:ind w:left="425" w:hanging="425"/>
        <w:jc w:val="both"/>
        <w:rPr>
          <w:rFonts w:ascii="Palatino Linotype" w:hAnsi="Palatino Linotype" w:cs="Calibri"/>
          <w:noProof/>
          <w:sz w:val="18"/>
          <w:szCs w:val="18"/>
        </w:rPr>
      </w:pPr>
      <w:r w:rsidRPr="00AF26EF">
        <w:rPr>
          <w:rFonts w:ascii="Palatino Linotype" w:hAnsi="Palatino Linotype" w:cs="Calibri"/>
          <w:noProof/>
          <w:sz w:val="18"/>
          <w:szCs w:val="18"/>
        </w:rPr>
        <w:t xml:space="preserve">Affolabi, D.; Sanoussi, N.; Sossou, A.; Nys, T.; Bodi, O.; Esse, M.; Massou, F.; de Jong, B.C.; Rigouts, L. Performance of OMNIgene*SPUTUM (DNA Genotek) and cetylpyridinium chloride for sputum storage prior to mycobacterial culture. </w:t>
      </w:r>
      <w:r w:rsidRPr="00AF26EF">
        <w:rPr>
          <w:rFonts w:ascii="Palatino Linotype" w:hAnsi="Palatino Linotype" w:cs="Calibri"/>
          <w:i/>
          <w:noProof/>
          <w:sz w:val="18"/>
          <w:szCs w:val="18"/>
        </w:rPr>
        <w:t>J. Med Microbiol.</w:t>
      </w:r>
      <w:r w:rsidRPr="00AF26EF">
        <w:rPr>
          <w:rFonts w:ascii="Palatino Linotype" w:hAnsi="Palatino Linotype" w:cs="Calibri"/>
          <w:noProof/>
          <w:sz w:val="18"/>
          <w:szCs w:val="18"/>
        </w:rPr>
        <w:t xml:space="preserve"> </w:t>
      </w:r>
      <w:r w:rsidRPr="00AF26EF">
        <w:rPr>
          <w:rFonts w:ascii="Palatino Linotype" w:hAnsi="Palatino Linotype" w:cs="Calibri"/>
          <w:b/>
          <w:noProof/>
          <w:sz w:val="18"/>
          <w:szCs w:val="18"/>
        </w:rPr>
        <w:t>2018</w:t>
      </w:r>
      <w:r w:rsidRPr="00AF26EF">
        <w:rPr>
          <w:rFonts w:ascii="Palatino Linotype" w:hAnsi="Palatino Linotype" w:cs="Calibri"/>
          <w:noProof/>
          <w:sz w:val="18"/>
          <w:szCs w:val="18"/>
        </w:rPr>
        <w:t xml:space="preserve">, </w:t>
      </w:r>
      <w:r w:rsidRPr="00AF26EF">
        <w:rPr>
          <w:rFonts w:ascii="Palatino Linotype" w:hAnsi="Palatino Linotype" w:cs="Calibri"/>
          <w:i/>
          <w:noProof/>
          <w:sz w:val="18"/>
          <w:szCs w:val="18"/>
        </w:rPr>
        <w:t>67</w:t>
      </w:r>
      <w:r w:rsidRPr="00AF26EF">
        <w:rPr>
          <w:rFonts w:ascii="Palatino Linotype" w:hAnsi="Palatino Linotype" w:cs="Calibri"/>
          <w:noProof/>
          <w:sz w:val="18"/>
          <w:szCs w:val="18"/>
        </w:rPr>
        <w:t>, 798–805, doi:10.1099/jmm.0.000745.</w:t>
      </w:r>
    </w:p>
    <w:p w14:paraId="104BA33F" w14:textId="77777777" w:rsidR="003D45E1" w:rsidRPr="00AF26EF" w:rsidRDefault="003D45E1" w:rsidP="003D45E1">
      <w:pPr>
        <w:numPr>
          <w:ilvl w:val="0"/>
          <w:numId w:val="6"/>
        </w:numPr>
        <w:adjustRightInd w:val="0"/>
        <w:snapToGrid w:val="0"/>
        <w:spacing w:after="0" w:line="260" w:lineRule="atLeast"/>
        <w:ind w:left="425" w:hanging="425"/>
        <w:jc w:val="both"/>
        <w:rPr>
          <w:rFonts w:ascii="Palatino Linotype" w:hAnsi="Palatino Linotype" w:cs="Calibri"/>
          <w:noProof/>
          <w:sz w:val="18"/>
          <w:szCs w:val="18"/>
        </w:rPr>
      </w:pPr>
      <w:r w:rsidRPr="00AF26EF">
        <w:rPr>
          <w:rFonts w:ascii="Palatino Linotype" w:hAnsi="Palatino Linotype" w:cs="Calibri"/>
          <w:noProof/>
          <w:sz w:val="18"/>
          <w:szCs w:val="18"/>
        </w:rPr>
        <w:t xml:space="preserve">Zallet, J.; Olaru, I.D.; Witt, A.K.; Vock, P.; Kalsdorf, B.; Andres, S.; Hillemann, D.; Kranzer, K. Evaluation of OMNIgene((R))*SPUTUM reagent for mycobacterial culture. </w:t>
      </w:r>
      <w:r w:rsidRPr="00AF26EF">
        <w:rPr>
          <w:rFonts w:ascii="Palatino Linotype" w:hAnsi="Palatino Linotype" w:cs="Calibri"/>
          <w:i/>
          <w:noProof/>
          <w:sz w:val="18"/>
          <w:szCs w:val="18"/>
        </w:rPr>
        <w:t>Int. J. Tuberc. Lung Dis.</w:t>
      </w:r>
      <w:r w:rsidRPr="00AF26EF">
        <w:rPr>
          <w:rFonts w:ascii="Palatino Linotype" w:hAnsi="Palatino Linotype" w:cs="Calibri"/>
          <w:noProof/>
          <w:sz w:val="18"/>
          <w:szCs w:val="18"/>
        </w:rPr>
        <w:t xml:space="preserve"> </w:t>
      </w:r>
      <w:r w:rsidRPr="00AF26EF">
        <w:rPr>
          <w:rFonts w:ascii="Palatino Linotype" w:hAnsi="Palatino Linotype" w:cs="Calibri"/>
          <w:b/>
          <w:noProof/>
          <w:sz w:val="18"/>
          <w:szCs w:val="18"/>
        </w:rPr>
        <w:t>2018</w:t>
      </w:r>
      <w:r w:rsidRPr="00AF26EF">
        <w:rPr>
          <w:rFonts w:ascii="Palatino Linotype" w:hAnsi="Palatino Linotype" w:cs="Calibri"/>
          <w:noProof/>
          <w:sz w:val="18"/>
          <w:szCs w:val="18"/>
        </w:rPr>
        <w:t xml:space="preserve">, </w:t>
      </w:r>
      <w:r w:rsidRPr="00AF26EF">
        <w:rPr>
          <w:rFonts w:ascii="Palatino Linotype" w:hAnsi="Palatino Linotype" w:cs="Calibri"/>
          <w:i/>
          <w:noProof/>
          <w:sz w:val="18"/>
          <w:szCs w:val="18"/>
        </w:rPr>
        <w:t>22</w:t>
      </w:r>
      <w:r w:rsidRPr="00AF26EF">
        <w:rPr>
          <w:rFonts w:ascii="Palatino Linotype" w:hAnsi="Palatino Linotype" w:cs="Calibri"/>
          <w:noProof/>
          <w:sz w:val="18"/>
          <w:szCs w:val="18"/>
        </w:rPr>
        <w:t>, 945–949, doi:10.5588/ijtld.17.0020.</w:t>
      </w:r>
    </w:p>
    <w:p w14:paraId="40C27045" w14:textId="77777777" w:rsidR="003D45E1" w:rsidRPr="00AF26EF" w:rsidRDefault="003D45E1" w:rsidP="003D45E1">
      <w:pPr>
        <w:numPr>
          <w:ilvl w:val="0"/>
          <w:numId w:val="6"/>
        </w:numPr>
        <w:adjustRightInd w:val="0"/>
        <w:snapToGrid w:val="0"/>
        <w:spacing w:after="0" w:line="260" w:lineRule="atLeast"/>
        <w:ind w:left="425" w:hanging="425"/>
        <w:jc w:val="both"/>
        <w:rPr>
          <w:rFonts w:ascii="Palatino Linotype" w:hAnsi="Palatino Linotype" w:cs="Calibri"/>
          <w:noProof/>
          <w:sz w:val="18"/>
          <w:szCs w:val="18"/>
        </w:rPr>
      </w:pPr>
      <w:r w:rsidRPr="00AF26EF">
        <w:rPr>
          <w:rFonts w:ascii="Palatino Linotype" w:hAnsi="Palatino Linotype" w:cs="Calibri"/>
          <w:noProof/>
          <w:sz w:val="18"/>
          <w:szCs w:val="18"/>
        </w:rPr>
        <w:t xml:space="preserve">Asandem, D.; Asante-Poku, A.; Asare, P.; Aboagye, S.; Stephen, O.-W.; Danso, E.; Klevor, P.M.; Hayibor, K.M.; Yeboah-Manu, D. OMNIgene SPUTUM: A good transport and decontaminating reagent for tuberculosis testing. </w:t>
      </w:r>
      <w:r w:rsidRPr="00AF26EF">
        <w:rPr>
          <w:rFonts w:ascii="Palatino Linotype" w:hAnsi="Palatino Linotype" w:cs="Calibri"/>
          <w:i/>
          <w:noProof/>
          <w:sz w:val="18"/>
          <w:szCs w:val="18"/>
        </w:rPr>
        <w:t>Int. J. Mycobacteriol.</w:t>
      </w:r>
      <w:r w:rsidRPr="00AF26EF">
        <w:rPr>
          <w:rFonts w:ascii="Palatino Linotype" w:hAnsi="Palatino Linotype" w:cs="Calibri"/>
          <w:noProof/>
          <w:sz w:val="18"/>
          <w:szCs w:val="18"/>
        </w:rPr>
        <w:t xml:space="preserve"> </w:t>
      </w:r>
      <w:r w:rsidRPr="00AF26EF">
        <w:rPr>
          <w:rFonts w:ascii="Palatino Linotype" w:hAnsi="Palatino Linotype" w:cs="Calibri"/>
          <w:b/>
          <w:noProof/>
          <w:sz w:val="18"/>
          <w:szCs w:val="18"/>
        </w:rPr>
        <w:t>2018</w:t>
      </w:r>
      <w:r w:rsidRPr="00AF26EF">
        <w:rPr>
          <w:rFonts w:ascii="Palatino Linotype" w:hAnsi="Palatino Linotype" w:cs="Calibri"/>
          <w:noProof/>
          <w:sz w:val="18"/>
          <w:szCs w:val="18"/>
        </w:rPr>
        <w:t xml:space="preserve">, </w:t>
      </w:r>
      <w:r w:rsidRPr="00AF26EF">
        <w:rPr>
          <w:rFonts w:ascii="Palatino Linotype" w:hAnsi="Palatino Linotype" w:cs="Calibri"/>
          <w:i/>
          <w:noProof/>
          <w:sz w:val="18"/>
          <w:szCs w:val="18"/>
        </w:rPr>
        <w:t>7</w:t>
      </w:r>
      <w:r w:rsidRPr="00AF26EF">
        <w:rPr>
          <w:rFonts w:ascii="Palatino Linotype" w:hAnsi="Palatino Linotype" w:cs="Calibri"/>
          <w:noProof/>
          <w:sz w:val="18"/>
          <w:szCs w:val="18"/>
        </w:rPr>
        <w:t>, 222–227, doi:10.4103/ijmy.ijmy_102_18.</w:t>
      </w:r>
    </w:p>
    <w:p w14:paraId="7E59CC5F" w14:textId="77777777" w:rsidR="003D45E1" w:rsidRPr="00AF26EF" w:rsidRDefault="003D45E1" w:rsidP="003D45E1">
      <w:pPr>
        <w:numPr>
          <w:ilvl w:val="0"/>
          <w:numId w:val="6"/>
        </w:numPr>
        <w:adjustRightInd w:val="0"/>
        <w:snapToGrid w:val="0"/>
        <w:spacing w:after="0" w:line="260" w:lineRule="atLeast"/>
        <w:ind w:left="425" w:hanging="425"/>
        <w:jc w:val="both"/>
        <w:rPr>
          <w:rFonts w:ascii="Palatino Linotype" w:hAnsi="Palatino Linotype" w:cs="Calibri"/>
          <w:noProof/>
          <w:sz w:val="18"/>
          <w:szCs w:val="18"/>
        </w:rPr>
      </w:pPr>
      <w:r w:rsidRPr="00AF26EF">
        <w:rPr>
          <w:rFonts w:ascii="Palatino Linotype" w:hAnsi="Palatino Linotype" w:cs="Calibri"/>
          <w:noProof/>
          <w:sz w:val="18"/>
          <w:szCs w:val="18"/>
        </w:rPr>
        <w:t xml:space="preserve">Maningi, N.E.; Daum, L.T.; Rodriguez, J.D.; Mphahlele, M.; Peters, R.P.H.; Fischer, G.W.; Chambers, J.P.; Fourie, P.B. Improved detection by next-generation sequencing of pyrazinamide resistance in </w:t>
      </w:r>
      <w:r w:rsidRPr="00AF26EF">
        <w:rPr>
          <w:rFonts w:ascii="Palatino Linotype" w:hAnsi="Palatino Linotype" w:cs="Calibri"/>
          <w:i/>
          <w:noProof/>
          <w:sz w:val="18"/>
          <w:szCs w:val="18"/>
        </w:rPr>
        <w:t>Mycobacterium tuberculosis</w:t>
      </w:r>
      <w:r w:rsidRPr="00AF26EF">
        <w:rPr>
          <w:rFonts w:ascii="Palatino Linotype" w:hAnsi="Palatino Linotype" w:cs="Calibri"/>
          <w:noProof/>
          <w:sz w:val="18"/>
          <w:szCs w:val="18"/>
        </w:rPr>
        <w:t xml:space="preserve"> Isolates. </w:t>
      </w:r>
      <w:r w:rsidRPr="00AF26EF">
        <w:rPr>
          <w:rFonts w:ascii="Palatino Linotype" w:hAnsi="Palatino Linotype" w:cs="Calibri"/>
          <w:i/>
          <w:noProof/>
          <w:sz w:val="18"/>
          <w:szCs w:val="18"/>
        </w:rPr>
        <w:t>J. Clin. Microbiol.</w:t>
      </w:r>
      <w:r w:rsidRPr="00AF26EF">
        <w:rPr>
          <w:rFonts w:ascii="Palatino Linotype" w:hAnsi="Palatino Linotype" w:cs="Calibri"/>
          <w:noProof/>
          <w:sz w:val="18"/>
          <w:szCs w:val="18"/>
        </w:rPr>
        <w:t xml:space="preserve"> </w:t>
      </w:r>
      <w:r w:rsidRPr="00AF26EF">
        <w:rPr>
          <w:rFonts w:ascii="Palatino Linotype" w:hAnsi="Palatino Linotype" w:cs="Calibri"/>
          <w:b/>
          <w:noProof/>
          <w:sz w:val="18"/>
          <w:szCs w:val="18"/>
        </w:rPr>
        <w:t>2015</w:t>
      </w:r>
      <w:r w:rsidRPr="00AF26EF">
        <w:rPr>
          <w:rFonts w:ascii="Palatino Linotype" w:hAnsi="Palatino Linotype" w:cs="Calibri"/>
          <w:noProof/>
          <w:sz w:val="18"/>
          <w:szCs w:val="18"/>
        </w:rPr>
        <w:t xml:space="preserve">, </w:t>
      </w:r>
      <w:r w:rsidRPr="00AF26EF">
        <w:rPr>
          <w:rFonts w:ascii="Palatino Linotype" w:hAnsi="Palatino Linotype" w:cs="Calibri"/>
          <w:i/>
          <w:noProof/>
          <w:sz w:val="18"/>
          <w:szCs w:val="18"/>
        </w:rPr>
        <w:t>53</w:t>
      </w:r>
      <w:r w:rsidRPr="00AF26EF">
        <w:rPr>
          <w:rFonts w:ascii="Palatino Linotype" w:hAnsi="Palatino Linotype" w:cs="Calibri"/>
          <w:noProof/>
          <w:sz w:val="18"/>
          <w:szCs w:val="18"/>
        </w:rPr>
        <w:t>, 3779–3783, doi:10.1128/jcm.01179-15.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93"/>
        <w:gridCol w:w="7149"/>
      </w:tblGrid>
      <w:tr w:rsidR="005A78FB" w:rsidRPr="00AF26EF" w14:paraId="77A80030" w14:textId="77777777" w:rsidTr="00C82D8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F88E528" w14:textId="1941B546" w:rsidR="005A78FB" w:rsidRPr="00AF26EF" w:rsidRDefault="005A78FB" w:rsidP="00C82D82">
            <w:pPr>
              <w:pStyle w:val="MDPI71References"/>
              <w:numPr>
                <w:ilvl w:val="0"/>
                <w:numId w:val="0"/>
              </w:numPr>
              <w:ind w:left="-85"/>
              <w:rPr>
                <w:rFonts w:eastAsia="SimSun"/>
                <w:bCs/>
                <w:lang w:val="en-GB"/>
              </w:rPr>
            </w:pPr>
            <w:r w:rsidRPr="00AF26EF">
              <w:rPr>
                <w:rFonts w:eastAsia="SimSun"/>
                <w:bCs/>
                <w:noProof/>
                <w:lang w:eastAsia="zh-CN" w:bidi="ar-SA"/>
              </w:rPr>
              <w:drawing>
                <wp:inline distT="0" distB="0" distL="0" distR="0" wp14:anchorId="1184D26A" wp14:editId="4EF7F368">
                  <wp:extent cx="998220" cy="358140"/>
                  <wp:effectExtent l="0" t="0" r="0" b="3810"/>
                  <wp:docPr id="50" name="Picture 50" descr="copy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py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9" w:type="dxa"/>
            <w:shd w:val="clear" w:color="auto" w:fill="auto"/>
            <w:vAlign w:val="center"/>
          </w:tcPr>
          <w:p w14:paraId="31CBEF4C" w14:textId="77777777" w:rsidR="005A78FB" w:rsidRPr="00AF26EF" w:rsidRDefault="005A78FB" w:rsidP="00C82D82">
            <w:pPr>
              <w:pStyle w:val="MDPI71References"/>
              <w:numPr>
                <w:ilvl w:val="0"/>
                <w:numId w:val="0"/>
              </w:numPr>
              <w:ind w:left="-85"/>
              <w:rPr>
                <w:rFonts w:eastAsia="SimSun"/>
                <w:bCs/>
                <w:lang w:val="en-GB"/>
              </w:rPr>
            </w:pPr>
            <w:r w:rsidRPr="00AF26EF">
              <w:rPr>
                <w:rFonts w:eastAsia="SimSun"/>
                <w:bCs/>
                <w:lang w:val="en-GB"/>
              </w:rPr>
              <w:t>© 2019 by the authors. Submitted for possible open access publication under the terms and conditions of the Creative Commons Attribution (CC BY) license (http://creativecommons.org/licenses/by/4.0/).</w:t>
            </w:r>
          </w:p>
        </w:tc>
      </w:tr>
    </w:tbl>
    <w:p w14:paraId="08CA2181" w14:textId="1C2F2244" w:rsidR="00A572E7" w:rsidRPr="00AF26EF" w:rsidRDefault="00A572E7" w:rsidP="004E625F">
      <w:pPr>
        <w:adjustRightInd w:val="0"/>
        <w:snapToGrid w:val="0"/>
        <w:spacing w:line="480" w:lineRule="auto"/>
        <w:rPr>
          <w:rFonts w:ascii="Palatino Linotype" w:hAnsi="Palatino Linotype" w:cs="Times New Roman"/>
          <w:sz w:val="24"/>
          <w:szCs w:val="24"/>
          <w:lang w:val="en-GB"/>
        </w:rPr>
      </w:pPr>
    </w:p>
    <w:sectPr w:rsidR="00A572E7" w:rsidRPr="00AF26EF" w:rsidSect="00C81D6E">
      <w:type w:val="continuous"/>
      <w:pgSz w:w="11909" w:h="16834"/>
      <w:pgMar w:top="1531" w:right="1077" w:bottom="1531" w:left="1418" w:header="1021" w:footer="851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0" w:author="MDPI" w:date="2019-12-04T17:59:00Z" w:initials="M">
    <w:p w14:paraId="024881CB" w14:textId="32F55D7E" w:rsidR="00986035" w:rsidRDefault="00986035" w:rsidP="00986035">
      <w:pPr>
        <w:pStyle w:val="CommentText"/>
      </w:pPr>
      <w:r>
        <w:rPr>
          <w:rStyle w:val="CommentReference"/>
        </w:rPr>
        <w:annotationRef/>
      </w:r>
      <w:r>
        <w:t>Please add</w:t>
      </w:r>
      <w:r w:rsidRPr="00986035">
        <w:rPr>
          <w:rStyle w:val="Hyperlink"/>
          <w:color w:val="auto"/>
          <w:szCs w:val="24"/>
          <w:u w:val="none"/>
          <w:lang w:val="en-GB"/>
        </w:rPr>
        <w:t xml:space="preserve"> </w:t>
      </w:r>
      <w:r w:rsidRPr="00AF26EF">
        <w:rPr>
          <w:rStyle w:val="Hyperlink"/>
          <w:color w:val="auto"/>
          <w:szCs w:val="24"/>
          <w:u w:val="none"/>
          <w:lang w:val="en-GB"/>
        </w:rPr>
        <w:t>Emily R. Adams</w:t>
      </w:r>
      <w:r>
        <w:rPr>
          <w:rStyle w:val="Hyperlink"/>
          <w:color w:val="auto"/>
          <w:szCs w:val="24"/>
          <w:u w:val="none"/>
          <w:lang w:val="en-GB"/>
        </w:rPr>
        <w:t>’ contribution in this part.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4881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4881CB" w16cid:durableId="219205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58560" w14:textId="77777777" w:rsidR="005A7591" w:rsidRDefault="005A7591" w:rsidP="00663E13">
      <w:pPr>
        <w:spacing w:after="0" w:line="240" w:lineRule="auto"/>
      </w:pPr>
      <w:r>
        <w:separator/>
      </w:r>
    </w:p>
  </w:endnote>
  <w:endnote w:type="continuationSeparator" w:id="0">
    <w:p w14:paraId="781C4A8C" w14:textId="77777777" w:rsidR="005A7591" w:rsidRDefault="005A7591" w:rsidP="0066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7ED2D" w14:textId="389D64D9" w:rsidR="005D3A5C" w:rsidRPr="00655603" w:rsidRDefault="00655603" w:rsidP="002F4F35">
    <w:pPr>
      <w:pStyle w:val="MDPIfooterfirstpage"/>
      <w:spacing w:line="240" w:lineRule="auto"/>
      <w:jc w:val="both"/>
    </w:pPr>
    <w:r w:rsidRPr="00BB0268">
      <w:rPr>
        <w:i/>
        <w:szCs w:val="16"/>
      </w:rPr>
      <w:t>J. Clin. Med.</w:t>
    </w:r>
    <w:r w:rsidRPr="00BB0268">
      <w:rPr>
        <w:szCs w:val="16"/>
      </w:rPr>
      <w:t xml:space="preserve"> </w:t>
    </w:r>
    <w:r w:rsidRPr="00853B85">
      <w:rPr>
        <w:b/>
        <w:szCs w:val="16"/>
      </w:rPr>
      <w:t>2019</w:t>
    </w:r>
    <w:r w:rsidRPr="00853B85">
      <w:rPr>
        <w:szCs w:val="16"/>
      </w:rPr>
      <w:t xml:space="preserve">, </w:t>
    </w:r>
    <w:r w:rsidRPr="00853B85">
      <w:rPr>
        <w:i/>
        <w:szCs w:val="16"/>
      </w:rPr>
      <w:t>8</w:t>
    </w:r>
    <w:r w:rsidRPr="00853B85">
      <w:rPr>
        <w:szCs w:val="16"/>
      </w:rPr>
      <w:t xml:space="preserve">, </w:t>
    </w:r>
    <w:r>
      <w:rPr>
        <w:szCs w:val="16"/>
      </w:rPr>
      <w:t xml:space="preserve">x; </w:t>
    </w:r>
    <w:proofErr w:type="spellStart"/>
    <w:r>
      <w:rPr>
        <w:szCs w:val="16"/>
      </w:rPr>
      <w:t>doi</w:t>
    </w:r>
    <w:proofErr w:type="spellEnd"/>
    <w:r>
      <w:rPr>
        <w:szCs w:val="16"/>
      </w:rPr>
      <w:t>: FOR PEER REVIEW</w:t>
    </w:r>
    <w:r w:rsidRPr="008B308E">
      <w:rPr>
        <w:lang w:val="fr-CH"/>
      </w:rPr>
      <w:tab/>
      <w:t>www.mdpi.com/journal/</w:t>
    </w:r>
    <w:proofErr w:type="spellStart"/>
    <w:r>
      <w:t>jcm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9D33E" w14:textId="77777777" w:rsidR="005A7591" w:rsidRDefault="005A7591" w:rsidP="00663E13">
      <w:pPr>
        <w:spacing w:after="0" w:line="240" w:lineRule="auto"/>
      </w:pPr>
      <w:r>
        <w:separator/>
      </w:r>
    </w:p>
  </w:footnote>
  <w:footnote w:type="continuationSeparator" w:id="0">
    <w:p w14:paraId="547D37CF" w14:textId="77777777" w:rsidR="005A7591" w:rsidRDefault="005A7591" w:rsidP="0066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4C2BD" w14:textId="372E5D6A" w:rsidR="005D3A5C" w:rsidRPr="004E625F" w:rsidRDefault="005D3A5C" w:rsidP="004E625F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i/>
        <w:sz w:val="16"/>
      </w:rPr>
      <w:t xml:space="preserve">J. Clin. Med. </w:t>
    </w:r>
    <w:r w:rsidRPr="00853B85">
      <w:rPr>
        <w:rFonts w:ascii="Palatino Linotype" w:hAnsi="Palatino Linotype"/>
        <w:b/>
        <w:sz w:val="16"/>
      </w:rPr>
      <w:t>2019</w:t>
    </w:r>
    <w:r w:rsidRPr="00853B85">
      <w:rPr>
        <w:rFonts w:ascii="Palatino Linotype" w:hAnsi="Palatino Linotype"/>
        <w:sz w:val="16"/>
      </w:rPr>
      <w:t xml:space="preserve">, </w:t>
    </w:r>
    <w:r w:rsidRPr="00853B85">
      <w:rPr>
        <w:rFonts w:ascii="Palatino Linotype" w:hAnsi="Palatino Linotype"/>
        <w:i/>
        <w:sz w:val="16"/>
      </w:rPr>
      <w:t>8</w:t>
    </w:r>
    <w:r>
      <w:rPr>
        <w:rFonts w:ascii="Palatino Linotype" w:hAnsi="Palatino Linotype"/>
        <w:sz w:val="16"/>
      </w:rPr>
      <w:t>, x FOR PEER REVIEW</w:t>
    </w:r>
    <w:r>
      <w:rPr>
        <w:rFonts w:ascii="Palatino Linotype" w:hAnsi="Palatino Linotype"/>
        <w:sz w:val="16"/>
      </w:rPr>
      <w:tab/>
    </w:r>
    <w:r w:rsidR="00D706CC">
      <w:rPr>
        <w:rFonts w:ascii="Palatino Linotype" w:hAnsi="Palatino Linotype"/>
        <w:noProof/>
        <w:sz w:val="16"/>
      </w:rPr>
      <w:t>8</w:t>
    </w:r>
    <w:r>
      <w:rPr>
        <w:rFonts w:ascii="Palatino Linotype" w:hAnsi="Palatino Linotype"/>
        <w:sz w:val="16"/>
      </w:rPr>
      <w:t xml:space="preserve"> of </w:t>
    </w:r>
    <w:r w:rsidR="00D706CC">
      <w:rPr>
        <w:rFonts w:ascii="Palatino Linotype" w:hAnsi="Palatino Linotype"/>
        <w:noProof/>
        <w:sz w:val="16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DBD8" w14:textId="01381124" w:rsidR="005D3A5C" w:rsidRDefault="005D3A5C" w:rsidP="00B53007">
    <w:pPr>
      <w:pStyle w:val="MDPIheaderjournallogo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21A4AF4" wp14:editId="5A34240E">
              <wp:simplePos x="0" y="0"/>
              <wp:positionH relativeFrom="page">
                <wp:posOffset>6029960</wp:posOffset>
              </wp:positionH>
              <wp:positionV relativeFrom="page">
                <wp:posOffset>647700</wp:posOffset>
              </wp:positionV>
              <wp:extent cx="550545" cy="708660"/>
              <wp:effectExtent l="0" t="0" r="190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6A9BBF" w14:textId="0C13EF01" w:rsidR="005D3A5C" w:rsidRDefault="005D3A5C" w:rsidP="00B53007">
                          <w:pPr>
                            <w:pStyle w:val="MDPIheaderjournallogo"/>
                            <w:jc w:val="center"/>
                            <w:rPr>
                              <w:i w:val="0"/>
                              <w:szCs w:val="16"/>
                            </w:rPr>
                          </w:pPr>
                          <w:r w:rsidRPr="00996419">
                            <w:rPr>
                              <w:i w:val="0"/>
                              <w:noProof/>
                              <w:szCs w:val="16"/>
                              <w:lang w:eastAsia="zh-CN"/>
                            </w:rPr>
                            <w:drawing>
                              <wp:inline distT="0" distB="0" distL="0" distR="0" wp14:anchorId="32A28F92" wp14:editId="56EE392A">
                                <wp:extent cx="541020" cy="358140"/>
                                <wp:effectExtent l="0" t="0" r="0" b="3810"/>
                                <wp:docPr id="52" name="Picture 52" descr="C:\Users\home\Desktop\logos\ori\png\logo-mdp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home\Desktop\logos\ori\png\logo-mdp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358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A4AF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74.8pt;margin-top:51pt;width:43.35pt;height:55.8pt;z-index:-251653120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" stroked="f">
              <v:textbox inset="0,0,0,0">
                <w:txbxContent>
                  <w:p w14:paraId="216A9BBF" w14:textId="0C13EF01" w:rsidR="005D3A5C" w:rsidRDefault="005D3A5C" w:rsidP="00B53007">
                    <w:pPr>
                      <w:pStyle w:val="MDPIheaderjournallogo"/>
                      <w:jc w:val="center"/>
                      <w:rPr>
                        <w:i w:val="0"/>
                        <w:szCs w:val="16"/>
                      </w:rPr>
                    </w:pPr>
                    <w:r w:rsidRPr="00996419">
                      <w:rPr>
                        <w:i w:val="0"/>
                        <w:noProof/>
                        <w:szCs w:val="16"/>
                        <w:lang w:eastAsia="zh-CN"/>
                      </w:rPr>
                      <w:drawing>
                        <wp:inline distT="0" distB="0" distL="0" distR="0" wp14:anchorId="32A28F92" wp14:editId="56EE392A">
                          <wp:extent cx="541020" cy="358140"/>
                          <wp:effectExtent l="0" t="0" r="0" b="3810"/>
                          <wp:docPr id="52" name="Picture 52" descr="C:\Users\home\Desktop\logos\ori\png\logo-mdp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home\Desktop\logos\ori\png\logo-mdp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358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686">
      <w:rPr>
        <w:noProof/>
        <w:lang w:eastAsia="zh-CN"/>
      </w:rPr>
      <w:drawing>
        <wp:inline distT="0" distB="0" distL="0" distR="0" wp14:anchorId="65BA2ECE" wp14:editId="64CC2DD6">
          <wp:extent cx="1676400" cy="426720"/>
          <wp:effectExtent l="0" t="0" r="0" b="0"/>
          <wp:docPr id="51" name="Picture 51" descr="C:\Users\home\Desktop\logos\png\jc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ome\Desktop\logos\png\jcm-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375EE7EE" wp14:editId="1A2E7413">
              <wp:simplePos x="0" y="0"/>
              <wp:positionH relativeFrom="page">
                <wp:posOffset>6029960</wp:posOffset>
              </wp:positionH>
              <wp:positionV relativeFrom="page">
                <wp:posOffset>647700</wp:posOffset>
              </wp:positionV>
              <wp:extent cx="550545" cy="708660"/>
              <wp:effectExtent l="0" t="0" r="190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6161D" w14:textId="28B48760" w:rsidR="005D3A5C" w:rsidRDefault="005D3A5C" w:rsidP="00B53007">
                          <w:pPr>
                            <w:pStyle w:val="MDPIheaderjournallogo"/>
                            <w:jc w:val="center"/>
                            <w:rPr>
                              <w:i w:val="0"/>
                              <w:szCs w:val="16"/>
                            </w:rPr>
                          </w:pPr>
                          <w:r w:rsidRPr="00996419">
                            <w:rPr>
                              <w:i w:val="0"/>
                              <w:noProof/>
                              <w:szCs w:val="16"/>
                              <w:lang w:eastAsia="zh-CN"/>
                            </w:rPr>
                            <w:drawing>
                              <wp:inline distT="0" distB="0" distL="0" distR="0" wp14:anchorId="131C661D" wp14:editId="42B1591D">
                                <wp:extent cx="541020" cy="358140"/>
                                <wp:effectExtent l="0" t="0" r="0" b="3810"/>
                                <wp:docPr id="53" name="Picture 53" descr="C:\Users\home\Desktop\logos\ori\png\logo-mdp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home\Desktop\logos\ori\png\logo-mdp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358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EE7EE" id="Text Box 8" o:spid="_x0000_s1027" type="#_x0000_t202" style="position:absolute;left:0;text-align:left;margin-left:474.8pt;margin-top:51pt;width:43.35pt;height:55.8pt;z-index:-251660288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" stroked="f">
              <v:textbox inset="0,0,0,0">
                <w:txbxContent>
                  <w:p w14:paraId="4386161D" w14:textId="28B48760" w:rsidR="005D3A5C" w:rsidRDefault="005D3A5C" w:rsidP="00B53007">
                    <w:pPr>
                      <w:pStyle w:val="MDPIheaderjournallogo"/>
                      <w:jc w:val="center"/>
                      <w:rPr>
                        <w:i w:val="0"/>
                        <w:szCs w:val="16"/>
                      </w:rPr>
                    </w:pPr>
                    <w:r w:rsidRPr="00996419">
                      <w:rPr>
                        <w:i w:val="0"/>
                        <w:noProof/>
                        <w:szCs w:val="16"/>
                        <w:lang w:eastAsia="zh-CN"/>
                      </w:rPr>
                      <w:drawing>
                        <wp:inline distT="0" distB="0" distL="0" distR="0" wp14:anchorId="131C661D" wp14:editId="42B1591D">
                          <wp:extent cx="541020" cy="358140"/>
                          <wp:effectExtent l="0" t="0" r="0" b="3810"/>
                          <wp:docPr id="53" name="Picture 53" descr="C:\Users\home\Desktop\logos\ori\png\logo-mdp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home\Desktop\logos\ori\png\logo-mdp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358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3B02"/>
    <w:multiLevelType w:val="hybridMultilevel"/>
    <w:tmpl w:val="BA586470"/>
    <w:lvl w:ilvl="0" w:tplc="9F4A5600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A245F"/>
    <w:multiLevelType w:val="hybridMultilevel"/>
    <w:tmpl w:val="1C3A3F0C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51C"/>
    <w:multiLevelType w:val="hybridMultilevel"/>
    <w:tmpl w:val="857682CE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9A6535"/>
    <w:multiLevelType w:val="hybridMultilevel"/>
    <w:tmpl w:val="781408B4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CD7C9B"/>
    <w:multiLevelType w:val="hybridMultilevel"/>
    <w:tmpl w:val="5BC8916E"/>
    <w:lvl w:ilvl="0" w:tplc="A09022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54DBF"/>
    <w:multiLevelType w:val="hybridMultilevel"/>
    <w:tmpl w:val="D19E518E"/>
    <w:lvl w:ilvl="0" w:tplc="E124BA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DPI">
    <w15:presenceInfo w15:providerId="None" w15:userId="MDP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1sLQwNjIwtTA2MLdU0lEKTi0uzszPAykwrgUAFiPDZi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L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7540D"/>
    <w:rsid w:val="000146A7"/>
    <w:rsid w:val="0001761D"/>
    <w:rsid w:val="00020484"/>
    <w:rsid w:val="000277EA"/>
    <w:rsid w:val="0003193B"/>
    <w:rsid w:val="000346E4"/>
    <w:rsid w:val="00036C4F"/>
    <w:rsid w:val="0004752E"/>
    <w:rsid w:val="00050E48"/>
    <w:rsid w:val="00052D25"/>
    <w:rsid w:val="00065066"/>
    <w:rsid w:val="00073A40"/>
    <w:rsid w:val="00085CE2"/>
    <w:rsid w:val="00092026"/>
    <w:rsid w:val="000A2898"/>
    <w:rsid w:val="000C4772"/>
    <w:rsid w:val="000D7F79"/>
    <w:rsid w:val="000D7FDD"/>
    <w:rsid w:val="000E0975"/>
    <w:rsid w:val="000E4013"/>
    <w:rsid w:val="000F094B"/>
    <w:rsid w:val="000F27AE"/>
    <w:rsid w:val="000F390C"/>
    <w:rsid w:val="00107F5F"/>
    <w:rsid w:val="00112573"/>
    <w:rsid w:val="00112770"/>
    <w:rsid w:val="00114355"/>
    <w:rsid w:val="00153B93"/>
    <w:rsid w:val="00154003"/>
    <w:rsid w:val="0016236A"/>
    <w:rsid w:val="00163682"/>
    <w:rsid w:val="00173239"/>
    <w:rsid w:val="00176361"/>
    <w:rsid w:val="001841CC"/>
    <w:rsid w:val="00184848"/>
    <w:rsid w:val="00184F14"/>
    <w:rsid w:val="001A01E5"/>
    <w:rsid w:val="001A5D47"/>
    <w:rsid w:val="001B66B1"/>
    <w:rsid w:val="001C2E6C"/>
    <w:rsid w:val="001C487B"/>
    <w:rsid w:val="001D3D6E"/>
    <w:rsid w:val="001D5D57"/>
    <w:rsid w:val="001D6ECE"/>
    <w:rsid w:val="001E399B"/>
    <w:rsid w:val="001E615D"/>
    <w:rsid w:val="00203781"/>
    <w:rsid w:val="002141EA"/>
    <w:rsid w:val="0021539F"/>
    <w:rsid w:val="002256EE"/>
    <w:rsid w:val="00226943"/>
    <w:rsid w:val="0023027F"/>
    <w:rsid w:val="00236676"/>
    <w:rsid w:val="00242052"/>
    <w:rsid w:val="0024588E"/>
    <w:rsid w:val="00246F49"/>
    <w:rsid w:val="00254A7F"/>
    <w:rsid w:val="00262C7B"/>
    <w:rsid w:val="00274F36"/>
    <w:rsid w:val="002757C1"/>
    <w:rsid w:val="00284133"/>
    <w:rsid w:val="00291565"/>
    <w:rsid w:val="0029638F"/>
    <w:rsid w:val="002B7F98"/>
    <w:rsid w:val="002C073F"/>
    <w:rsid w:val="002C2DB2"/>
    <w:rsid w:val="002C431E"/>
    <w:rsid w:val="002E18DA"/>
    <w:rsid w:val="002E4C6B"/>
    <w:rsid w:val="002E740B"/>
    <w:rsid w:val="002F4F35"/>
    <w:rsid w:val="002F55B8"/>
    <w:rsid w:val="00303A19"/>
    <w:rsid w:val="00305A0D"/>
    <w:rsid w:val="00312832"/>
    <w:rsid w:val="0031451E"/>
    <w:rsid w:val="00316FBA"/>
    <w:rsid w:val="003216E5"/>
    <w:rsid w:val="00323783"/>
    <w:rsid w:val="00327BCD"/>
    <w:rsid w:val="00332868"/>
    <w:rsid w:val="00333CF7"/>
    <w:rsid w:val="003411FB"/>
    <w:rsid w:val="00343586"/>
    <w:rsid w:val="0035299D"/>
    <w:rsid w:val="0035665A"/>
    <w:rsid w:val="00360752"/>
    <w:rsid w:val="00361C46"/>
    <w:rsid w:val="00362085"/>
    <w:rsid w:val="00364BC1"/>
    <w:rsid w:val="003674A5"/>
    <w:rsid w:val="00371264"/>
    <w:rsid w:val="00371817"/>
    <w:rsid w:val="00372522"/>
    <w:rsid w:val="00380AC1"/>
    <w:rsid w:val="0038166D"/>
    <w:rsid w:val="0039423B"/>
    <w:rsid w:val="003A19BD"/>
    <w:rsid w:val="003A1FC4"/>
    <w:rsid w:val="003A2E0C"/>
    <w:rsid w:val="003A3664"/>
    <w:rsid w:val="003A6A2E"/>
    <w:rsid w:val="003B732F"/>
    <w:rsid w:val="003C08FE"/>
    <w:rsid w:val="003C7879"/>
    <w:rsid w:val="003D45E1"/>
    <w:rsid w:val="003D76E2"/>
    <w:rsid w:val="003E04D3"/>
    <w:rsid w:val="003E133D"/>
    <w:rsid w:val="003E2ABA"/>
    <w:rsid w:val="003E4C12"/>
    <w:rsid w:val="003E6C90"/>
    <w:rsid w:val="003F2127"/>
    <w:rsid w:val="003F5712"/>
    <w:rsid w:val="003F5C0B"/>
    <w:rsid w:val="003F665B"/>
    <w:rsid w:val="00403B6C"/>
    <w:rsid w:val="00407744"/>
    <w:rsid w:val="004234C3"/>
    <w:rsid w:val="004248CC"/>
    <w:rsid w:val="00424DDF"/>
    <w:rsid w:val="00427A38"/>
    <w:rsid w:val="00452CEC"/>
    <w:rsid w:val="00456537"/>
    <w:rsid w:val="00457DAB"/>
    <w:rsid w:val="0047307E"/>
    <w:rsid w:val="00475B22"/>
    <w:rsid w:val="004769C4"/>
    <w:rsid w:val="00476C05"/>
    <w:rsid w:val="00476D2F"/>
    <w:rsid w:val="00480B81"/>
    <w:rsid w:val="00485F63"/>
    <w:rsid w:val="0048702E"/>
    <w:rsid w:val="0049517E"/>
    <w:rsid w:val="00495C0E"/>
    <w:rsid w:val="004A21FD"/>
    <w:rsid w:val="004A4130"/>
    <w:rsid w:val="004A5860"/>
    <w:rsid w:val="004B0BC1"/>
    <w:rsid w:val="004B3112"/>
    <w:rsid w:val="004B60A4"/>
    <w:rsid w:val="004C1480"/>
    <w:rsid w:val="004C6262"/>
    <w:rsid w:val="004D0551"/>
    <w:rsid w:val="004D2B10"/>
    <w:rsid w:val="004D573E"/>
    <w:rsid w:val="004E1E07"/>
    <w:rsid w:val="004E3796"/>
    <w:rsid w:val="004E3CF2"/>
    <w:rsid w:val="004E5109"/>
    <w:rsid w:val="004E625F"/>
    <w:rsid w:val="005031D0"/>
    <w:rsid w:val="005031D7"/>
    <w:rsid w:val="0051062A"/>
    <w:rsid w:val="00521741"/>
    <w:rsid w:val="00521BB0"/>
    <w:rsid w:val="0052478C"/>
    <w:rsid w:val="00526218"/>
    <w:rsid w:val="00527175"/>
    <w:rsid w:val="005350D0"/>
    <w:rsid w:val="00540315"/>
    <w:rsid w:val="00540F26"/>
    <w:rsid w:val="00546F37"/>
    <w:rsid w:val="005524FF"/>
    <w:rsid w:val="00552745"/>
    <w:rsid w:val="005652C6"/>
    <w:rsid w:val="0056622F"/>
    <w:rsid w:val="005679D9"/>
    <w:rsid w:val="005709A0"/>
    <w:rsid w:val="0057540D"/>
    <w:rsid w:val="0057571C"/>
    <w:rsid w:val="005821A5"/>
    <w:rsid w:val="0058681B"/>
    <w:rsid w:val="00586B79"/>
    <w:rsid w:val="00590D4A"/>
    <w:rsid w:val="005A7591"/>
    <w:rsid w:val="005A78FB"/>
    <w:rsid w:val="005B4059"/>
    <w:rsid w:val="005C5679"/>
    <w:rsid w:val="005C6078"/>
    <w:rsid w:val="005D148C"/>
    <w:rsid w:val="005D3A5C"/>
    <w:rsid w:val="005D6415"/>
    <w:rsid w:val="005D7CA8"/>
    <w:rsid w:val="005E2AD1"/>
    <w:rsid w:val="005F3DDE"/>
    <w:rsid w:val="005F7B0F"/>
    <w:rsid w:val="00604236"/>
    <w:rsid w:val="00606639"/>
    <w:rsid w:val="0061162E"/>
    <w:rsid w:val="00617A61"/>
    <w:rsid w:val="006241AF"/>
    <w:rsid w:val="00634586"/>
    <w:rsid w:val="0064218C"/>
    <w:rsid w:val="006469D6"/>
    <w:rsid w:val="006471A3"/>
    <w:rsid w:val="006500DD"/>
    <w:rsid w:val="00652709"/>
    <w:rsid w:val="00655603"/>
    <w:rsid w:val="00656EB5"/>
    <w:rsid w:val="006572D8"/>
    <w:rsid w:val="006604FE"/>
    <w:rsid w:val="00662B5D"/>
    <w:rsid w:val="00663E13"/>
    <w:rsid w:val="00680D6C"/>
    <w:rsid w:val="006840EB"/>
    <w:rsid w:val="006910AD"/>
    <w:rsid w:val="006933E1"/>
    <w:rsid w:val="0069352D"/>
    <w:rsid w:val="00693DBB"/>
    <w:rsid w:val="006A1303"/>
    <w:rsid w:val="006B6A74"/>
    <w:rsid w:val="006B70C6"/>
    <w:rsid w:val="006C5502"/>
    <w:rsid w:val="006C6A19"/>
    <w:rsid w:val="006D0188"/>
    <w:rsid w:val="006D0B4A"/>
    <w:rsid w:val="006D2022"/>
    <w:rsid w:val="006F2893"/>
    <w:rsid w:val="006F56A0"/>
    <w:rsid w:val="006F7DA6"/>
    <w:rsid w:val="00704AC2"/>
    <w:rsid w:val="00706065"/>
    <w:rsid w:val="00714523"/>
    <w:rsid w:val="007416BC"/>
    <w:rsid w:val="00741C31"/>
    <w:rsid w:val="007444E8"/>
    <w:rsid w:val="00746B13"/>
    <w:rsid w:val="00750A11"/>
    <w:rsid w:val="00752091"/>
    <w:rsid w:val="00753C08"/>
    <w:rsid w:val="00756688"/>
    <w:rsid w:val="00756697"/>
    <w:rsid w:val="00762D44"/>
    <w:rsid w:val="00772CD8"/>
    <w:rsid w:val="00774BCD"/>
    <w:rsid w:val="0078006A"/>
    <w:rsid w:val="0078193C"/>
    <w:rsid w:val="0078330A"/>
    <w:rsid w:val="00783CAC"/>
    <w:rsid w:val="00783F6A"/>
    <w:rsid w:val="0079011A"/>
    <w:rsid w:val="007A4002"/>
    <w:rsid w:val="007A7845"/>
    <w:rsid w:val="007B00F0"/>
    <w:rsid w:val="007B158C"/>
    <w:rsid w:val="007B3BFD"/>
    <w:rsid w:val="007C01AE"/>
    <w:rsid w:val="007C3E83"/>
    <w:rsid w:val="007C5916"/>
    <w:rsid w:val="007C69D2"/>
    <w:rsid w:val="007C757E"/>
    <w:rsid w:val="007D0F62"/>
    <w:rsid w:val="007E1B8A"/>
    <w:rsid w:val="007E4688"/>
    <w:rsid w:val="007F4797"/>
    <w:rsid w:val="008108A2"/>
    <w:rsid w:val="00811721"/>
    <w:rsid w:val="00813542"/>
    <w:rsid w:val="008152D9"/>
    <w:rsid w:val="0082011D"/>
    <w:rsid w:val="00827DA1"/>
    <w:rsid w:val="00833245"/>
    <w:rsid w:val="0083705B"/>
    <w:rsid w:val="00837768"/>
    <w:rsid w:val="00847057"/>
    <w:rsid w:val="00847BEB"/>
    <w:rsid w:val="008529D8"/>
    <w:rsid w:val="00854A4F"/>
    <w:rsid w:val="00854C90"/>
    <w:rsid w:val="008569F8"/>
    <w:rsid w:val="00860B51"/>
    <w:rsid w:val="00865DB1"/>
    <w:rsid w:val="008705C1"/>
    <w:rsid w:val="00872659"/>
    <w:rsid w:val="00874ABE"/>
    <w:rsid w:val="00874AE2"/>
    <w:rsid w:val="00877329"/>
    <w:rsid w:val="008806FF"/>
    <w:rsid w:val="00880BB0"/>
    <w:rsid w:val="00881714"/>
    <w:rsid w:val="00890647"/>
    <w:rsid w:val="0089492A"/>
    <w:rsid w:val="00897360"/>
    <w:rsid w:val="008A54DF"/>
    <w:rsid w:val="008B5BE4"/>
    <w:rsid w:val="008B7A19"/>
    <w:rsid w:val="008C54F0"/>
    <w:rsid w:val="008D01BF"/>
    <w:rsid w:val="008D61BB"/>
    <w:rsid w:val="008D7297"/>
    <w:rsid w:val="008E1A5E"/>
    <w:rsid w:val="008F575A"/>
    <w:rsid w:val="008F5B42"/>
    <w:rsid w:val="008F783D"/>
    <w:rsid w:val="00900310"/>
    <w:rsid w:val="00901CA2"/>
    <w:rsid w:val="00902D71"/>
    <w:rsid w:val="00945359"/>
    <w:rsid w:val="00946714"/>
    <w:rsid w:val="009501F0"/>
    <w:rsid w:val="0095354C"/>
    <w:rsid w:val="00956C66"/>
    <w:rsid w:val="00964A0F"/>
    <w:rsid w:val="00966E18"/>
    <w:rsid w:val="00977EE7"/>
    <w:rsid w:val="00982752"/>
    <w:rsid w:val="00986035"/>
    <w:rsid w:val="009975A9"/>
    <w:rsid w:val="00997EA7"/>
    <w:rsid w:val="009A0828"/>
    <w:rsid w:val="009B5453"/>
    <w:rsid w:val="009B60FE"/>
    <w:rsid w:val="009B7EAF"/>
    <w:rsid w:val="009C14C8"/>
    <w:rsid w:val="009C37B5"/>
    <w:rsid w:val="009C5A64"/>
    <w:rsid w:val="009D6575"/>
    <w:rsid w:val="009E1B57"/>
    <w:rsid w:val="009E7654"/>
    <w:rsid w:val="009E799F"/>
    <w:rsid w:val="009F2FE0"/>
    <w:rsid w:val="009F3CC2"/>
    <w:rsid w:val="00A00381"/>
    <w:rsid w:val="00A031C9"/>
    <w:rsid w:val="00A03457"/>
    <w:rsid w:val="00A03849"/>
    <w:rsid w:val="00A103E7"/>
    <w:rsid w:val="00A158B5"/>
    <w:rsid w:val="00A16253"/>
    <w:rsid w:val="00A31530"/>
    <w:rsid w:val="00A32638"/>
    <w:rsid w:val="00A32CDE"/>
    <w:rsid w:val="00A359C7"/>
    <w:rsid w:val="00A5239D"/>
    <w:rsid w:val="00A547AC"/>
    <w:rsid w:val="00A5701E"/>
    <w:rsid w:val="00A572E7"/>
    <w:rsid w:val="00A64C5D"/>
    <w:rsid w:val="00A65B20"/>
    <w:rsid w:val="00A67B1F"/>
    <w:rsid w:val="00A86217"/>
    <w:rsid w:val="00A901AF"/>
    <w:rsid w:val="00AA5CB3"/>
    <w:rsid w:val="00AA6FCD"/>
    <w:rsid w:val="00AB2052"/>
    <w:rsid w:val="00AC0628"/>
    <w:rsid w:val="00AD0979"/>
    <w:rsid w:val="00AE6C42"/>
    <w:rsid w:val="00AF138C"/>
    <w:rsid w:val="00AF1769"/>
    <w:rsid w:val="00AF26EF"/>
    <w:rsid w:val="00AF4E48"/>
    <w:rsid w:val="00AF59B7"/>
    <w:rsid w:val="00B04E0F"/>
    <w:rsid w:val="00B070C4"/>
    <w:rsid w:val="00B075FE"/>
    <w:rsid w:val="00B1524E"/>
    <w:rsid w:val="00B157E4"/>
    <w:rsid w:val="00B25A9D"/>
    <w:rsid w:val="00B309B8"/>
    <w:rsid w:val="00B34AED"/>
    <w:rsid w:val="00B447A4"/>
    <w:rsid w:val="00B46931"/>
    <w:rsid w:val="00B47278"/>
    <w:rsid w:val="00B5116E"/>
    <w:rsid w:val="00B5193D"/>
    <w:rsid w:val="00B523A6"/>
    <w:rsid w:val="00B53007"/>
    <w:rsid w:val="00B573C5"/>
    <w:rsid w:val="00B61346"/>
    <w:rsid w:val="00B65659"/>
    <w:rsid w:val="00B666F2"/>
    <w:rsid w:val="00B81143"/>
    <w:rsid w:val="00B8198B"/>
    <w:rsid w:val="00B83A74"/>
    <w:rsid w:val="00B8617B"/>
    <w:rsid w:val="00B873BA"/>
    <w:rsid w:val="00B9213B"/>
    <w:rsid w:val="00B924C5"/>
    <w:rsid w:val="00B92B8A"/>
    <w:rsid w:val="00B966AB"/>
    <w:rsid w:val="00BA662C"/>
    <w:rsid w:val="00BB1D74"/>
    <w:rsid w:val="00BB4073"/>
    <w:rsid w:val="00BC179C"/>
    <w:rsid w:val="00BC2805"/>
    <w:rsid w:val="00BD3A71"/>
    <w:rsid w:val="00BD4F2F"/>
    <w:rsid w:val="00BE08DC"/>
    <w:rsid w:val="00BE5DA0"/>
    <w:rsid w:val="00BF18AA"/>
    <w:rsid w:val="00BF2CD6"/>
    <w:rsid w:val="00BF306C"/>
    <w:rsid w:val="00BF31CC"/>
    <w:rsid w:val="00BF66C7"/>
    <w:rsid w:val="00C04592"/>
    <w:rsid w:val="00C15651"/>
    <w:rsid w:val="00C1784F"/>
    <w:rsid w:val="00C17DD1"/>
    <w:rsid w:val="00C20E7F"/>
    <w:rsid w:val="00C21987"/>
    <w:rsid w:val="00C241F2"/>
    <w:rsid w:val="00C25473"/>
    <w:rsid w:val="00C254A4"/>
    <w:rsid w:val="00C269F4"/>
    <w:rsid w:val="00C2779E"/>
    <w:rsid w:val="00C31199"/>
    <w:rsid w:val="00C32F94"/>
    <w:rsid w:val="00C3472A"/>
    <w:rsid w:val="00C416C7"/>
    <w:rsid w:val="00C4700D"/>
    <w:rsid w:val="00C51070"/>
    <w:rsid w:val="00C55E58"/>
    <w:rsid w:val="00C57543"/>
    <w:rsid w:val="00C65874"/>
    <w:rsid w:val="00C659BB"/>
    <w:rsid w:val="00C70891"/>
    <w:rsid w:val="00C71ED8"/>
    <w:rsid w:val="00C72F96"/>
    <w:rsid w:val="00C74DDC"/>
    <w:rsid w:val="00C81D6E"/>
    <w:rsid w:val="00C82D82"/>
    <w:rsid w:val="00C83CC7"/>
    <w:rsid w:val="00C952C6"/>
    <w:rsid w:val="00CB670B"/>
    <w:rsid w:val="00CC1C6E"/>
    <w:rsid w:val="00CC5AB3"/>
    <w:rsid w:val="00CD53A8"/>
    <w:rsid w:val="00CD7C1D"/>
    <w:rsid w:val="00CE45AE"/>
    <w:rsid w:val="00CE774A"/>
    <w:rsid w:val="00CF2EB3"/>
    <w:rsid w:val="00CF3DC0"/>
    <w:rsid w:val="00CF3F7F"/>
    <w:rsid w:val="00CF4233"/>
    <w:rsid w:val="00D07A53"/>
    <w:rsid w:val="00D100F2"/>
    <w:rsid w:val="00D12716"/>
    <w:rsid w:val="00D13D9D"/>
    <w:rsid w:val="00D21885"/>
    <w:rsid w:val="00D25C3A"/>
    <w:rsid w:val="00D31F53"/>
    <w:rsid w:val="00D3257A"/>
    <w:rsid w:val="00D34041"/>
    <w:rsid w:val="00D36CB5"/>
    <w:rsid w:val="00D50DF1"/>
    <w:rsid w:val="00D52A6F"/>
    <w:rsid w:val="00D636E3"/>
    <w:rsid w:val="00D63E01"/>
    <w:rsid w:val="00D706CC"/>
    <w:rsid w:val="00D802E5"/>
    <w:rsid w:val="00D91065"/>
    <w:rsid w:val="00D950B6"/>
    <w:rsid w:val="00DA309C"/>
    <w:rsid w:val="00DB0433"/>
    <w:rsid w:val="00DB4594"/>
    <w:rsid w:val="00DB63CF"/>
    <w:rsid w:val="00DD1D9D"/>
    <w:rsid w:val="00DD7F59"/>
    <w:rsid w:val="00DF1778"/>
    <w:rsid w:val="00DF7028"/>
    <w:rsid w:val="00DF73B0"/>
    <w:rsid w:val="00E02C6F"/>
    <w:rsid w:val="00E02F43"/>
    <w:rsid w:val="00E068D5"/>
    <w:rsid w:val="00E17B6A"/>
    <w:rsid w:val="00E21186"/>
    <w:rsid w:val="00E2154C"/>
    <w:rsid w:val="00E30F74"/>
    <w:rsid w:val="00E3114D"/>
    <w:rsid w:val="00E43090"/>
    <w:rsid w:val="00E4754D"/>
    <w:rsid w:val="00E50AE6"/>
    <w:rsid w:val="00E50E37"/>
    <w:rsid w:val="00E52972"/>
    <w:rsid w:val="00E632C0"/>
    <w:rsid w:val="00E6716D"/>
    <w:rsid w:val="00E859CA"/>
    <w:rsid w:val="00E85A68"/>
    <w:rsid w:val="00E86368"/>
    <w:rsid w:val="00EA49E7"/>
    <w:rsid w:val="00EA699A"/>
    <w:rsid w:val="00EA74F3"/>
    <w:rsid w:val="00EB1939"/>
    <w:rsid w:val="00EC17D1"/>
    <w:rsid w:val="00EC2DC4"/>
    <w:rsid w:val="00ED36A9"/>
    <w:rsid w:val="00EE5660"/>
    <w:rsid w:val="00EE58CF"/>
    <w:rsid w:val="00EE6FDE"/>
    <w:rsid w:val="00EF17C2"/>
    <w:rsid w:val="00EF469A"/>
    <w:rsid w:val="00F07C07"/>
    <w:rsid w:val="00F10A1C"/>
    <w:rsid w:val="00F15046"/>
    <w:rsid w:val="00F15C3D"/>
    <w:rsid w:val="00F16DA8"/>
    <w:rsid w:val="00F170C0"/>
    <w:rsid w:val="00F23B2A"/>
    <w:rsid w:val="00F33975"/>
    <w:rsid w:val="00F43D27"/>
    <w:rsid w:val="00F46163"/>
    <w:rsid w:val="00F46C49"/>
    <w:rsid w:val="00F51525"/>
    <w:rsid w:val="00F51710"/>
    <w:rsid w:val="00F62CC0"/>
    <w:rsid w:val="00F63158"/>
    <w:rsid w:val="00F70C37"/>
    <w:rsid w:val="00F7454B"/>
    <w:rsid w:val="00F74B67"/>
    <w:rsid w:val="00F91403"/>
    <w:rsid w:val="00F934F9"/>
    <w:rsid w:val="00F95F4E"/>
    <w:rsid w:val="00F960FE"/>
    <w:rsid w:val="00FA00BD"/>
    <w:rsid w:val="00FB0ADA"/>
    <w:rsid w:val="00FB64F8"/>
    <w:rsid w:val="00FC40B4"/>
    <w:rsid w:val="00FD6914"/>
    <w:rsid w:val="00FE248B"/>
    <w:rsid w:val="00FE50FB"/>
    <w:rsid w:val="00FF0AB0"/>
    <w:rsid w:val="00FF171B"/>
    <w:rsid w:val="00FF3F96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B956C0"/>
  <w15:docId w15:val="{563CFE81-8411-47DD-8EFA-793139E0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6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5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573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C416C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416C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416C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416C7"/>
    <w:rPr>
      <w:rFonts w:ascii="Calibri" w:hAnsi="Calibri" w:cs="Calibri"/>
      <w:noProof/>
    </w:rPr>
  </w:style>
  <w:style w:type="character" w:styleId="Strong">
    <w:name w:val="Strong"/>
    <w:basedOn w:val="DefaultParagraphFont"/>
    <w:uiPriority w:val="22"/>
    <w:qFormat/>
    <w:rsid w:val="006F56A0"/>
    <w:rPr>
      <w:b/>
      <w:bCs/>
    </w:rPr>
  </w:style>
  <w:style w:type="table" w:styleId="MediumList1-Accent1">
    <w:name w:val="Medium List 1 Accent 1"/>
    <w:basedOn w:val="TableNormal"/>
    <w:uiPriority w:val="65"/>
    <w:rsid w:val="00403B6C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TableGrid">
    <w:name w:val="Table Grid"/>
    <w:basedOn w:val="TableNormal"/>
    <w:uiPriority w:val="39"/>
    <w:rsid w:val="00B8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3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3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3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1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3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E13"/>
  </w:style>
  <w:style w:type="paragraph" w:styleId="Footer">
    <w:name w:val="footer"/>
    <w:basedOn w:val="Normal"/>
    <w:link w:val="FooterChar"/>
    <w:uiPriority w:val="99"/>
    <w:unhideWhenUsed/>
    <w:rsid w:val="00663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E13"/>
  </w:style>
  <w:style w:type="paragraph" w:styleId="Revision">
    <w:name w:val="Revision"/>
    <w:hidden/>
    <w:uiPriority w:val="99"/>
    <w:semiHidden/>
    <w:rsid w:val="001A01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171B"/>
    <w:pPr>
      <w:spacing w:after="200" w:line="276" w:lineRule="auto"/>
      <w:ind w:left="720"/>
      <w:contextualSpacing/>
    </w:pPr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7C07"/>
    <w:rPr>
      <w:color w:val="605E5C"/>
      <w:shd w:val="clear" w:color="auto" w:fill="E1DFDD"/>
    </w:rPr>
  </w:style>
  <w:style w:type="paragraph" w:customStyle="1" w:styleId="MDPIheaderjournallogo">
    <w:name w:val="MDPI_header_journal_logo"/>
    <w:qFormat/>
    <w:rsid w:val="00B53007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color w:val="000000"/>
      <w:sz w:val="24"/>
      <w:lang w:eastAsia="de-CH"/>
    </w:rPr>
  </w:style>
  <w:style w:type="paragraph" w:customStyle="1" w:styleId="MDPIfooterfirstpage">
    <w:name w:val="MDPI_footer_firstpage"/>
    <w:qFormat/>
    <w:rsid w:val="00B53007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color w:val="000000"/>
      <w:sz w:val="16"/>
      <w:szCs w:val="20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B53007"/>
  </w:style>
  <w:style w:type="paragraph" w:customStyle="1" w:styleId="MDPI11articletype">
    <w:name w:val="MDPI_1.1_article_type"/>
    <w:next w:val="Normal"/>
    <w:qFormat/>
    <w:rsid w:val="00B53007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B53007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B53007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B53007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15academiceditor">
    <w:name w:val="MDPI_1.5_academic_editor"/>
    <w:qFormat/>
    <w:rsid w:val="00B53007"/>
    <w:pPr>
      <w:adjustRightInd w:val="0"/>
      <w:snapToGrid w:val="0"/>
      <w:spacing w:after="0" w:line="260" w:lineRule="atLeast"/>
      <w:ind w:left="113"/>
    </w:pPr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paragraph" w:customStyle="1" w:styleId="MDPI16affiliation">
    <w:name w:val="MDPI_1.6_affiliation"/>
    <w:qFormat/>
    <w:rsid w:val="00B53007"/>
    <w:pPr>
      <w:adjustRightInd w:val="0"/>
      <w:snapToGrid w:val="0"/>
      <w:spacing w:after="0" w:line="26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B53007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color w:val="000000"/>
      <w:sz w:val="20"/>
      <w:lang w:eastAsia="de-DE" w:bidi="en-US"/>
    </w:rPr>
  </w:style>
  <w:style w:type="paragraph" w:customStyle="1" w:styleId="MDPI18keywords">
    <w:name w:val="MDPI_1.8_keywords"/>
    <w:next w:val="Normal"/>
    <w:qFormat/>
    <w:rsid w:val="00B53007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19classification">
    <w:name w:val="MDPI_1.9_classification"/>
    <w:qFormat/>
    <w:rsid w:val="00B53007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9line">
    <w:name w:val="MDPI_1.9_line"/>
    <w:qFormat/>
    <w:rsid w:val="00B53007"/>
    <w:pPr>
      <w:pBdr>
        <w:bottom w:val="single" w:sz="6" w:space="1" w:color="auto"/>
      </w:pBdr>
      <w:spacing w:after="0" w:line="260" w:lineRule="atLeast"/>
      <w:jc w:val="both"/>
    </w:pPr>
    <w:rPr>
      <w:rFonts w:ascii="Palatino Linotype" w:eastAsia="Times New Roman" w:hAnsi="Palatino Linotype"/>
      <w:color w:val="000000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B53007"/>
    <w:pPr>
      <w:adjustRightInd w:val="0"/>
      <w:snapToGrid w:val="0"/>
      <w:spacing w:before="240" w:after="120" w:line="260" w:lineRule="atLeast"/>
      <w:jc w:val="both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eastAsia="de-DE" w:bidi="en-US"/>
    </w:rPr>
  </w:style>
  <w:style w:type="paragraph" w:customStyle="1" w:styleId="MDPI22heading2">
    <w:name w:val="MDPI_2.2_heading2"/>
    <w:qFormat/>
    <w:rsid w:val="00B53007"/>
    <w:pPr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eastAsia="de-DE" w:bidi="en-US"/>
    </w:rPr>
  </w:style>
  <w:style w:type="paragraph" w:customStyle="1" w:styleId="MDPI23heading3">
    <w:name w:val="MDPI_2.3_heading3"/>
    <w:qFormat/>
    <w:rsid w:val="00B53007"/>
    <w:pPr>
      <w:adjustRightInd w:val="0"/>
      <w:snapToGrid w:val="0"/>
      <w:spacing w:before="240" w:after="120" w:line="260" w:lineRule="atLeast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1text">
    <w:name w:val="MDPI_3.1_text"/>
    <w:qFormat/>
    <w:rsid w:val="00B53007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2textnoindent">
    <w:name w:val="MDPI_3.2_text_no_indent"/>
    <w:qFormat/>
    <w:rsid w:val="00B53007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3textspaceafter">
    <w:name w:val="MDPI_3.3_text_space_after"/>
    <w:qFormat/>
    <w:rsid w:val="00B53007"/>
    <w:pPr>
      <w:spacing w:after="24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4textspacebefore">
    <w:name w:val="MDPI_3.4_text_space_before"/>
    <w:qFormat/>
    <w:rsid w:val="00B53007"/>
    <w:pPr>
      <w:spacing w:before="240"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5textbeforelist">
    <w:name w:val="MDPI_3.5_text_before_list"/>
    <w:qFormat/>
    <w:rsid w:val="00B53007"/>
    <w:pPr>
      <w:spacing w:after="12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6textafterlist">
    <w:name w:val="MDPI_3.6_text_after_list"/>
    <w:qFormat/>
    <w:rsid w:val="00B53007"/>
    <w:pPr>
      <w:spacing w:before="120"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7itemize">
    <w:name w:val="MDPI_3.7_itemize"/>
    <w:qFormat/>
    <w:rsid w:val="00B53007"/>
    <w:pPr>
      <w:numPr>
        <w:numId w:val="3"/>
      </w:numPr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8bullet">
    <w:name w:val="MDPI_3.8_bullet"/>
    <w:qFormat/>
    <w:rsid w:val="00B53007"/>
    <w:pPr>
      <w:numPr>
        <w:numId w:val="4"/>
      </w:num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9equation">
    <w:name w:val="MDPI_3.9_equation"/>
    <w:qFormat/>
    <w:rsid w:val="00B53007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aequationnumber">
    <w:name w:val="MDPI_3.a_equation_number"/>
    <w:qFormat/>
    <w:rsid w:val="00B53007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411onetablecaption">
    <w:name w:val="MDPI_4.1.1_one_table_caption"/>
    <w:qFormat/>
    <w:rsid w:val="00B53007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/>
      <w:noProof/>
      <w:color w:val="000000"/>
      <w:sz w:val="18"/>
      <w:lang w:eastAsia="zh-CN" w:bidi="en-US"/>
    </w:rPr>
  </w:style>
  <w:style w:type="paragraph" w:customStyle="1" w:styleId="MDPI41tablecaption">
    <w:name w:val="MDPI_4.1_table_caption"/>
    <w:qFormat/>
    <w:rsid w:val="00B53007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B53007"/>
    <w:pPr>
      <w:adjustRightInd w:val="0"/>
      <w:snapToGrid w:val="0"/>
      <w:spacing w:after="0" w:line="240" w:lineRule="auto"/>
      <w:jc w:val="center"/>
    </w:pPr>
    <w:rPr>
      <w:rFonts w:ascii="Palatino Linotype" w:eastAsiaTheme="minorEastAsia" w:hAnsi="Palatino Linotype" w:cs="Times New Roman"/>
      <w:color w:val="000000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B53007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B53007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 w:cs="Times New Roman"/>
      <w:noProof/>
      <w:color w:val="000000"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B53007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B53007"/>
    <w:pPr>
      <w:adjustRightInd w:val="0"/>
      <w:snapToGrid w:val="0"/>
      <w:spacing w:before="240" w:after="12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61Supplementary">
    <w:name w:val="MDPI_6.1_Supplementary"/>
    <w:qFormat/>
    <w:rsid w:val="00B53007"/>
    <w:pPr>
      <w:spacing w:before="240"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bidi="en-US"/>
    </w:rPr>
  </w:style>
  <w:style w:type="paragraph" w:customStyle="1" w:styleId="MDPI62Acknowledgments">
    <w:name w:val="MDPI_6.2_Acknowledgments"/>
    <w:qFormat/>
    <w:rsid w:val="00B53007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63AuthorContributions">
    <w:name w:val="MDPI_6.3_AuthorContributions"/>
    <w:qFormat/>
    <w:rsid w:val="00B53007"/>
    <w:pPr>
      <w:spacing w:after="0" w:line="260" w:lineRule="atLeast"/>
      <w:jc w:val="both"/>
    </w:pPr>
    <w:rPr>
      <w:rFonts w:ascii="Palatino Linotype" w:hAnsi="Palatino Linotype" w:cs="Times New Roman"/>
      <w:snapToGrid w:val="0"/>
      <w:sz w:val="18"/>
      <w:szCs w:val="20"/>
      <w:lang w:bidi="en-US"/>
    </w:rPr>
  </w:style>
  <w:style w:type="paragraph" w:customStyle="1" w:styleId="MDPI64CoI">
    <w:name w:val="MDPI_6.4_CoI"/>
    <w:qFormat/>
    <w:rsid w:val="00B53007"/>
    <w:pPr>
      <w:adjustRightInd w:val="0"/>
      <w:snapToGrid w:val="0"/>
      <w:spacing w:before="120" w:after="12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71References">
    <w:name w:val="MDPI_7.1_References"/>
    <w:qFormat/>
    <w:rsid w:val="00B53007"/>
    <w:pPr>
      <w:numPr>
        <w:numId w:val="5"/>
      </w:numPr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B53007"/>
    <w:pPr>
      <w:adjustRightInd w:val="0"/>
      <w:snapToGrid w:val="0"/>
      <w:spacing w:before="400" w:after="0" w:line="260" w:lineRule="atLeast"/>
      <w:jc w:val="both"/>
    </w:pPr>
    <w:rPr>
      <w:rFonts w:ascii="Palatino Linotype" w:eastAsia="Times New Roman" w:hAnsi="Palatino Linotype" w:cs="Times New Roman"/>
      <w:noProof/>
      <w:snapToGrid w:val="0"/>
      <w:color w:val="000000"/>
      <w:spacing w:val="-2"/>
      <w:sz w:val="18"/>
      <w:szCs w:val="20"/>
      <w:lang w:val="en-GB" w:eastAsia="en-GB"/>
    </w:rPr>
  </w:style>
  <w:style w:type="paragraph" w:customStyle="1" w:styleId="MDPI73CopyrightImage">
    <w:name w:val="MDPI_7.3_CopyrightImage"/>
    <w:rsid w:val="00B53007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sz w:val="20"/>
      <w:szCs w:val="20"/>
      <w:lang w:eastAsia="de-CH"/>
    </w:rPr>
  </w:style>
  <w:style w:type="paragraph" w:customStyle="1" w:styleId="MDPI81theorem">
    <w:name w:val="MDPI_8.1_theorem"/>
    <w:qFormat/>
    <w:rsid w:val="00B53007"/>
    <w:pPr>
      <w:spacing w:after="0" w:line="260" w:lineRule="atLeast"/>
      <w:jc w:val="both"/>
    </w:pPr>
    <w:rPr>
      <w:rFonts w:ascii="Palatino Linotype" w:eastAsia="Times New Roman" w:hAnsi="Palatino Linotype" w:cs="Times New Roman"/>
      <w:i/>
      <w:snapToGrid w:val="0"/>
      <w:color w:val="000000"/>
      <w:sz w:val="20"/>
      <w:lang w:eastAsia="de-DE" w:bidi="en-US"/>
    </w:rPr>
  </w:style>
  <w:style w:type="paragraph" w:customStyle="1" w:styleId="MDPI82proof">
    <w:name w:val="MDPI_8.2_proof"/>
    <w:qFormat/>
    <w:rsid w:val="00B53007"/>
    <w:pPr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equationFram">
    <w:name w:val="MDPI_equationFram"/>
    <w:qFormat/>
    <w:rsid w:val="00B53007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footer">
    <w:name w:val="MDPI_footer"/>
    <w:qFormat/>
    <w:rsid w:val="00B53007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eastAsia="de-DE"/>
    </w:rPr>
  </w:style>
  <w:style w:type="paragraph" w:customStyle="1" w:styleId="MDPIheader">
    <w:name w:val="MDPI_header"/>
    <w:qFormat/>
    <w:rsid w:val="00B53007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sz w:val="16"/>
      <w:szCs w:val="20"/>
      <w:lang w:eastAsia="de-DE"/>
    </w:rPr>
  </w:style>
  <w:style w:type="paragraph" w:customStyle="1" w:styleId="MDPIheadercitation">
    <w:name w:val="MDPI_header_citation"/>
    <w:rsid w:val="00B53007"/>
    <w:pPr>
      <w:spacing w:after="240" w:line="240" w:lineRule="auto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headermdpilogo">
    <w:name w:val="MDPI_header_mdpi_logo"/>
    <w:qFormat/>
    <w:rsid w:val="00B53007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color w:val="000000"/>
      <w:sz w:val="24"/>
      <w:lang w:eastAsia="de-CH"/>
    </w:rPr>
  </w:style>
  <w:style w:type="paragraph" w:customStyle="1" w:styleId="MDPItext">
    <w:name w:val="MDPI_text"/>
    <w:qFormat/>
    <w:rsid w:val="00B53007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lang w:eastAsia="de-DE" w:bidi="en-US"/>
    </w:rPr>
  </w:style>
  <w:style w:type="paragraph" w:customStyle="1" w:styleId="MDPItitle">
    <w:name w:val="MDPI_title"/>
    <w:qFormat/>
    <w:rsid w:val="00B53007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styleId="NormalWeb">
    <w:name w:val="Normal (Web)"/>
    <w:basedOn w:val="Normal"/>
    <w:uiPriority w:val="99"/>
    <w:unhideWhenUsed/>
    <w:rsid w:val="00C8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3C787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86B79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pcbdac">
    <w:name w:val="pcbdac"/>
    <w:basedOn w:val="DefaultParagraphFont"/>
    <w:rsid w:val="0058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comments" Target="comments.xm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image" Target="media/image3.tif"/><Relationship Id="rId2" Type="http://schemas.openxmlformats.org/officeDocument/2006/relationships/customXml" Target="../customXml/item2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javascript:void(0);" TargetMode="External"/><Relationship Id="rId24" Type="http://schemas.openxmlformats.org/officeDocument/2006/relationships/footer" Target="footer1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javascript:void(0);" TargetMode="External"/><Relationship Id="rId23" Type="http://schemas.openxmlformats.org/officeDocument/2006/relationships/header" Target="header2.xml"/><Relationship Id="rId28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yperlink" Target="javascript:void(0);" TargetMode="External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javascript:void(0);" TargetMode="External"/><Relationship Id="rId22" Type="http://schemas.openxmlformats.org/officeDocument/2006/relationships/header" Target="header1.xml"/><Relationship Id="rId27" Type="http://schemas.microsoft.com/office/2011/relationships/commentsExtended" Target="commentsExtended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313E4B3A65946AA6347A25606C862" ma:contentTypeVersion="11" ma:contentTypeDescription="Create a new document." ma:contentTypeScope="" ma:versionID="7d12df47e01dd94617020d7d45d6d465">
  <xsd:schema xmlns:xsd="http://www.w3.org/2001/XMLSchema" xmlns:xs="http://www.w3.org/2001/XMLSchema" xmlns:p="http://schemas.microsoft.com/office/2006/metadata/properties" xmlns:ns3="b76f73d5-8707-4e0a-97d7-5dda970b788a" xmlns:ns4="07d92abb-7e70-4817-9485-a10225bf0917" targetNamespace="http://schemas.microsoft.com/office/2006/metadata/properties" ma:root="true" ma:fieldsID="ceef9daae52e855efa5bdb87a42812f4" ns3:_="" ns4:_="">
    <xsd:import namespace="b76f73d5-8707-4e0a-97d7-5dda970b788a"/>
    <xsd:import namespace="07d92abb-7e70-4817-9485-a10225bf09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f73d5-8707-4e0a-97d7-5dda970b7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92abb-7e70-4817-9485-a10225bf09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9D892-7D23-40A9-8D47-E271AB4E5EA9}">
  <ds:schemaRefs>
    <ds:schemaRef ds:uri="http://schemas.microsoft.com/office/2006/metadata/properties"/>
    <ds:schemaRef ds:uri="http://schemas.microsoft.com/office/2006/documentManagement/types"/>
    <ds:schemaRef ds:uri="07d92abb-7e70-4817-9485-a10225bf0917"/>
    <ds:schemaRef ds:uri="b76f73d5-8707-4e0a-97d7-5dda970b788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F656F3-4839-49EB-9D9C-F5D241142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f73d5-8707-4e0a-97d7-5dda970b788a"/>
    <ds:schemaRef ds:uri="07d92abb-7e70-4817-9485-a10225bf0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7AB6A5-7AC0-4758-990B-C8E5E81D0F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D85B2F-C5B6-4FCC-BC4A-3FEC1A7F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4327</Words>
  <Characters>24664</Characters>
  <Application>Microsoft Office Word</Application>
  <DocSecurity>4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28934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MDPI</dc:creator>
  <cp:keywords/>
  <dc:description/>
  <cp:lastModifiedBy>Christine Bradbury</cp:lastModifiedBy>
  <cp:revision>2</cp:revision>
  <cp:lastPrinted>2019-12-04T01:46:00Z</cp:lastPrinted>
  <dcterms:created xsi:type="dcterms:W3CDTF">2019-12-04T10:40:00Z</dcterms:created>
  <dcterms:modified xsi:type="dcterms:W3CDTF">2019-12-04T10:40:00Z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0x010100C15313E4B3A65946AA6347A25606C862</vt:lpwstr>
  </property>
</Properties>
</file>