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C2A19" w14:textId="3D51EFE3" w:rsidR="00FB45F9" w:rsidRPr="00493E4F" w:rsidRDefault="008458A1" w:rsidP="00B54D21">
      <w:pPr>
        <w:spacing w:before="120" w:after="120" w:line="360" w:lineRule="auto"/>
      </w:pPr>
      <w:bookmarkStart w:id="0" w:name="_GoBack"/>
      <w:bookmarkEnd w:id="0"/>
      <w:r w:rsidRPr="00493E4F">
        <w:rPr>
          <w:b/>
        </w:rPr>
        <w:t>Title:</w:t>
      </w:r>
      <w:r w:rsidR="0005757F" w:rsidRPr="00493E4F">
        <w:rPr>
          <w:b/>
        </w:rPr>
        <w:t xml:space="preserve"> </w:t>
      </w:r>
      <w:r w:rsidR="00945F9B" w:rsidRPr="00493E4F">
        <w:rPr>
          <w:bCs/>
        </w:rPr>
        <w:t>The effect</w:t>
      </w:r>
      <w:r w:rsidRPr="00493E4F">
        <w:t xml:space="preserve"> of </w:t>
      </w:r>
      <w:r w:rsidR="000B7770" w:rsidRPr="00493E4F">
        <w:t xml:space="preserve">a </w:t>
      </w:r>
      <w:r w:rsidRPr="00493E4F">
        <w:t xml:space="preserve">Community-Based Health Insurance on </w:t>
      </w:r>
      <w:r w:rsidR="00945F9B" w:rsidRPr="00493E4F">
        <w:t xml:space="preserve">the </w:t>
      </w:r>
      <w:r w:rsidR="006676F4" w:rsidRPr="00493E4F">
        <w:t>O</w:t>
      </w:r>
      <w:r w:rsidR="000B7770" w:rsidRPr="00493E4F">
        <w:t>ut-of-pocket</w:t>
      </w:r>
      <w:r w:rsidRPr="00493E4F">
        <w:t xml:space="preserve"> Payments for </w:t>
      </w:r>
      <w:r w:rsidR="00E12B0C" w:rsidRPr="00493E4F">
        <w:t>Utilizing</w:t>
      </w:r>
      <w:r w:rsidR="00B15824" w:rsidRPr="00493E4F">
        <w:t xml:space="preserve"> </w:t>
      </w:r>
      <w:r w:rsidR="0055191E" w:rsidRPr="00493E4F">
        <w:t xml:space="preserve">Medically Trained </w:t>
      </w:r>
      <w:r w:rsidRPr="00493E4F">
        <w:t>Providers</w:t>
      </w:r>
      <w:r w:rsidR="00945F9B" w:rsidRPr="00493E4F">
        <w:t xml:space="preserve"> in</w:t>
      </w:r>
      <w:r w:rsidRPr="00493E4F">
        <w:t xml:space="preserve"> Bangladesh</w:t>
      </w:r>
    </w:p>
    <w:p w14:paraId="07B7FE4A" w14:textId="16A5B36D" w:rsidR="00B93C24" w:rsidRPr="00493E4F" w:rsidRDefault="00B54D21" w:rsidP="00B93C24">
      <w:pPr>
        <w:pStyle w:val="PlainText"/>
        <w:rPr>
          <w:rFonts w:ascii="Times New Roman" w:hAnsi="Times New Roman" w:cs="Times New Roman"/>
          <w:sz w:val="24"/>
          <w:szCs w:val="24"/>
        </w:rPr>
      </w:pPr>
      <w:r w:rsidRPr="00493E4F">
        <w:rPr>
          <w:rFonts w:ascii="Times New Roman" w:hAnsi="Times New Roman" w:cs="Times New Roman"/>
          <w:b/>
          <w:sz w:val="24"/>
          <w:szCs w:val="24"/>
        </w:rPr>
        <w:t xml:space="preserve">Authors: </w:t>
      </w:r>
      <w:r w:rsidR="00B93C24" w:rsidRPr="00493E4F">
        <w:rPr>
          <w:rFonts w:ascii="Times New Roman" w:hAnsi="Times New Roman" w:cs="Times New Roman"/>
          <w:sz w:val="24"/>
          <w:szCs w:val="24"/>
        </w:rPr>
        <w:t>Jahangir A. M. Khan</w:t>
      </w:r>
      <w:r w:rsidR="00B93C24" w:rsidRPr="00493E4F">
        <w:rPr>
          <w:rFonts w:ascii="Times New Roman" w:eastAsiaTheme="minorEastAsia" w:hAnsi="Times New Roman" w:cs="Times New Roman"/>
          <w:sz w:val="24"/>
          <w:szCs w:val="24"/>
          <w:vertAlign w:val="superscript"/>
        </w:rPr>
        <w:t>1</w:t>
      </w:r>
      <w:r w:rsidR="00B93C24" w:rsidRPr="00493E4F">
        <w:rPr>
          <w:rFonts w:ascii="Times New Roman" w:hAnsi="Times New Roman" w:cs="Times New Roman"/>
          <w:sz w:val="24"/>
          <w:szCs w:val="24"/>
          <w:vertAlign w:val="superscript"/>
        </w:rPr>
        <w:t>,</w:t>
      </w:r>
      <w:r w:rsidR="00EA3172" w:rsidRPr="00493E4F">
        <w:rPr>
          <w:rFonts w:ascii="Times New Roman" w:hAnsi="Times New Roman" w:cs="Times New Roman"/>
          <w:sz w:val="24"/>
          <w:szCs w:val="24"/>
          <w:vertAlign w:val="superscript"/>
        </w:rPr>
        <w:t>2</w:t>
      </w:r>
      <w:r w:rsidR="00571FDA" w:rsidRPr="00493E4F">
        <w:rPr>
          <w:rFonts w:ascii="Times New Roman" w:hAnsi="Times New Roman" w:cs="Times New Roman"/>
          <w:sz w:val="24"/>
          <w:szCs w:val="24"/>
          <w:vertAlign w:val="superscript"/>
        </w:rPr>
        <w:t>,3</w:t>
      </w:r>
      <w:r w:rsidR="00B93C24" w:rsidRPr="00493E4F">
        <w:rPr>
          <w:rFonts w:ascii="Times New Roman" w:hAnsi="Times New Roman" w:cs="Times New Roman"/>
          <w:sz w:val="24"/>
          <w:szCs w:val="24"/>
        </w:rPr>
        <w:t>, Sayem Ahmed</w:t>
      </w:r>
      <w:r w:rsidR="00B93C24" w:rsidRPr="00493E4F">
        <w:rPr>
          <w:rFonts w:ascii="Times New Roman" w:hAnsi="Times New Roman" w:cs="Times New Roman"/>
          <w:sz w:val="24"/>
          <w:szCs w:val="24"/>
          <w:vertAlign w:val="superscript"/>
        </w:rPr>
        <w:t>1,</w:t>
      </w:r>
      <w:r w:rsidR="00EB716C">
        <w:rPr>
          <w:rFonts w:ascii="Times New Roman" w:hAnsi="Times New Roman" w:cs="Times New Roman"/>
          <w:sz w:val="24"/>
          <w:szCs w:val="24"/>
          <w:vertAlign w:val="superscript"/>
        </w:rPr>
        <w:t>2,</w:t>
      </w:r>
      <w:r w:rsidR="00571FDA" w:rsidRPr="00493E4F">
        <w:rPr>
          <w:rFonts w:ascii="Times New Roman" w:hAnsi="Times New Roman" w:cs="Times New Roman"/>
          <w:sz w:val="24"/>
          <w:szCs w:val="24"/>
          <w:vertAlign w:val="superscript"/>
        </w:rPr>
        <w:t>3</w:t>
      </w:r>
      <w:r w:rsidR="00B93C24" w:rsidRPr="00493E4F">
        <w:rPr>
          <w:rFonts w:ascii="Times New Roman" w:hAnsi="Times New Roman" w:cs="Times New Roman"/>
          <w:sz w:val="24"/>
          <w:szCs w:val="24"/>
        </w:rPr>
        <w:t xml:space="preserve">, </w:t>
      </w:r>
      <w:proofErr w:type="spellStart"/>
      <w:r w:rsidR="00B93C24" w:rsidRPr="00493E4F">
        <w:rPr>
          <w:rFonts w:ascii="Times New Roman" w:hAnsi="Times New Roman" w:cs="Times New Roman"/>
          <w:sz w:val="24"/>
          <w:szCs w:val="24"/>
        </w:rPr>
        <w:t>Marufa</w:t>
      </w:r>
      <w:proofErr w:type="spellEnd"/>
      <w:r w:rsidR="00B93C24" w:rsidRPr="00493E4F">
        <w:rPr>
          <w:rFonts w:ascii="Times New Roman" w:hAnsi="Times New Roman" w:cs="Times New Roman"/>
          <w:sz w:val="24"/>
          <w:szCs w:val="24"/>
        </w:rPr>
        <w:t xml:space="preserve"> Sultana</w:t>
      </w:r>
      <w:r w:rsidR="00B93C24" w:rsidRPr="00493E4F">
        <w:rPr>
          <w:rFonts w:ascii="Times New Roman" w:hAnsi="Times New Roman" w:cs="Times New Roman"/>
          <w:sz w:val="24"/>
          <w:szCs w:val="24"/>
          <w:vertAlign w:val="superscript"/>
        </w:rPr>
        <w:t>1,</w:t>
      </w:r>
      <w:r w:rsidR="009D5610" w:rsidRPr="00493E4F">
        <w:rPr>
          <w:rFonts w:ascii="Times New Roman" w:hAnsi="Times New Roman" w:cs="Times New Roman"/>
          <w:sz w:val="24"/>
          <w:szCs w:val="24"/>
          <w:vertAlign w:val="superscript"/>
        </w:rPr>
        <w:t>4</w:t>
      </w:r>
      <w:r w:rsidR="00B93C24" w:rsidRPr="00493E4F">
        <w:rPr>
          <w:rFonts w:ascii="Times New Roman" w:hAnsi="Times New Roman" w:cs="Times New Roman"/>
          <w:sz w:val="24"/>
          <w:szCs w:val="24"/>
        </w:rPr>
        <w:t xml:space="preserve">, </w:t>
      </w:r>
      <w:proofErr w:type="spellStart"/>
      <w:r w:rsidR="00B93C24" w:rsidRPr="00493E4F">
        <w:rPr>
          <w:rFonts w:ascii="Times New Roman" w:hAnsi="Times New Roman" w:cs="Times New Roman"/>
          <w:sz w:val="24"/>
          <w:szCs w:val="24"/>
        </w:rPr>
        <w:t>Abdur</w:t>
      </w:r>
      <w:proofErr w:type="spellEnd"/>
      <w:r w:rsidR="00B93C24" w:rsidRPr="00493E4F">
        <w:rPr>
          <w:rFonts w:ascii="Times New Roman" w:hAnsi="Times New Roman" w:cs="Times New Roman"/>
          <w:sz w:val="24"/>
          <w:szCs w:val="24"/>
        </w:rPr>
        <w:t xml:space="preserve"> </w:t>
      </w:r>
      <w:proofErr w:type="spellStart"/>
      <w:r w:rsidR="00B93C24" w:rsidRPr="00493E4F">
        <w:rPr>
          <w:rFonts w:ascii="Times New Roman" w:hAnsi="Times New Roman" w:cs="Times New Roman"/>
          <w:sz w:val="24"/>
          <w:szCs w:val="24"/>
        </w:rPr>
        <w:t>Razzaque</w:t>
      </w:r>
      <w:proofErr w:type="spellEnd"/>
      <w:r w:rsidR="00B93C24" w:rsidRPr="00493E4F">
        <w:rPr>
          <w:rFonts w:ascii="Times New Roman" w:hAnsi="Times New Roman" w:cs="Times New Roman"/>
          <w:sz w:val="24"/>
          <w:szCs w:val="24"/>
        </w:rPr>
        <w:t xml:space="preserve"> Sarker</w:t>
      </w:r>
      <w:r w:rsidR="00B93C24" w:rsidRPr="00493E4F">
        <w:rPr>
          <w:rFonts w:ascii="Times New Roman" w:hAnsi="Times New Roman" w:cs="Times New Roman"/>
          <w:sz w:val="24"/>
          <w:szCs w:val="24"/>
          <w:vertAlign w:val="superscript"/>
        </w:rPr>
        <w:t>1,5</w:t>
      </w:r>
      <w:r w:rsidR="00B93C24" w:rsidRPr="00493E4F">
        <w:rPr>
          <w:rFonts w:ascii="Times New Roman" w:hAnsi="Times New Roman" w:cs="Times New Roman"/>
          <w:sz w:val="24"/>
          <w:szCs w:val="24"/>
        </w:rPr>
        <w:t xml:space="preserve">, </w:t>
      </w:r>
      <w:proofErr w:type="spellStart"/>
      <w:r w:rsidR="00B93C24" w:rsidRPr="00493E4F">
        <w:rPr>
          <w:rFonts w:ascii="Times New Roman" w:hAnsi="Times New Roman" w:cs="Times New Roman"/>
          <w:sz w:val="24"/>
          <w:szCs w:val="24"/>
        </w:rPr>
        <w:t>Sanchita</w:t>
      </w:r>
      <w:proofErr w:type="spellEnd"/>
      <w:r w:rsidR="00B93C24" w:rsidRPr="00493E4F">
        <w:rPr>
          <w:rFonts w:ascii="Times New Roman" w:hAnsi="Times New Roman" w:cs="Times New Roman"/>
          <w:sz w:val="24"/>
          <w:szCs w:val="24"/>
        </w:rPr>
        <w:t xml:space="preserve"> Chakro</w:t>
      </w:r>
      <w:r w:rsidR="008313F8" w:rsidRPr="00493E4F">
        <w:rPr>
          <w:rFonts w:ascii="Times New Roman" w:hAnsi="Times New Roman" w:cs="Times New Roman"/>
          <w:sz w:val="24"/>
          <w:szCs w:val="24"/>
        </w:rPr>
        <w:t>v</w:t>
      </w:r>
      <w:r w:rsidR="00B93C24" w:rsidRPr="00493E4F">
        <w:rPr>
          <w:rFonts w:ascii="Times New Roman" w:hAnsi="Times New Roman" w:cs="Times New Roman"/>
          <w:sz w:val="24"/>
          <w:szCs w:val="24"/>
        </w:rPr>
        <w:t>orty</w:t>
      </w:r>
      <w:r w:rsidR="00B93C24" w:rsidRPr="00493E4F">
        <w:rPr>
          <w:rFonts w:ascii="Times New Roman" w:hAnsi="Times New Roman" w:cs="Times New Roman"/>
          <w:sz w:val="24"/>
          <w:szCs w:val="24"/>
          <w:vertAlign w:val="superscript"/>
        </w:rPr>
        <w:t>1,</w:t>
      </w:r>
      <w:r w:rsidR="009D5610" w:rsidRPr="00493E4F">
        <w:rPr>
          <w:rFonts w:ascii="Times New Roman" w:hAnsi="Times New Roman" w:cs="Times New Roman"/>
          <w:sz w:val="24"/>
          <w:szCs w:val="24"/>
          <w:vertAlign w:val="superscript"/>
        </w:rPr>
        <w:t>6</w:t>
      </w:r>
      <w:r w:rsidR="00B93C24" w:rsidRPr="00493E4F">
        <w:rPr>
          <w:rFonts w:ascii="Times New Roman" w:hAnsi="Times New Roman" w:cs="Times New Roman"/>
          <w:sz w:val="24"/>
          <w:szCs w:val="24"/>
        </w:rPr>
        <w:t xml:space="preserve">, Mohammad </w:t>
      </w:r>
      <w:proofErr w:type="spellStart"/>
      <w:r w:rsidR="00B93C24" w:rsidRPr="00493E4F">
        <w:rPr>
          <w:rFonts w:ascii="Times New Roman" w:hAnsi="Times New Roman" w:cs="Times New Roman"/>
          <w:sz w:val="24"/>
          <w:szCs w:val="24"/>
        </w:rPr>
        <w:t>Hafizur</w:t>
      </w:r>
      <w:proofErr w:type="spellEnd"/>
      <w:r w:rsidR="00B93C24" w:rsidRPr="00493E4F">
        <w:rPr>
          <w:rFonts w:ascii="Times New Roman" w:hAnsi="Times New Roman" w:cs="Times New Roman"/>
          <w:sz w:val="24"/>
          <w:szCs w:val="24"/>
        </w:rPr>
        <w:t xml:space="preserve"> Rahman</w:t>
      </w:r>
      <w:r w:rsidR="009D5610" w:rsidRPr="00493E4F">
        <w:rPr>
          <w:rFonts w:ascii="Times New Roman" w:hAnsi="Times New Roman" w:cs="Times New Roman"/>
          <w:sz w:val="24"/>
          <w:szCs w:val="24"/>
          <w:vertAlign w:val="superscript"/>
        </w:rPr>
        <w:t>7</w:t>
      </w:r>
      <w:r w:rsidR="00B93C24" w:rsidRPr="00493E4F">
        <w:rPr>
          <w:rFonts w:ascii="Times New Roman" w:hAnsi="Times New Roman" w:cs="Times New Roman"/>
          <w:sz w:val="24"/>
          <w:szCs w:val="24"/>
        </w:rPr>
        <w:t>, Ziaul Islam</w:t>
      </w:r>
      <w:r w:rsidR="00B93C24" w:rsidRPr="00493E4F">
        <w:rPr>
          <w:rFonts w:ascii="Times New Roman" w:hAnsi="Times New Roman" w:cs="Times New Roman"/>
          <w:sz w:val="24"/>
          <w:szCs w:val="24"/>
          <w:vertAlign w:val="superscript"/>
        </w:rPr>
        <w:t>1</w:t>
      </w:r>
      <w:r w:rsidR="00B93C24" w:rsidRPr="00493E4F">
        <w:rPr>
          <w:rFonts w:ascii="Times New Roman" w:hAnsi="Times New Roman" w:cs="Times New Roman"/>
          <w:sz w:val="24"/>
          <w:szCs w:val="24"/>
        </w:rPr>
        <w:t>,</w:t>
      </w:r>
      <w:r w:rsidR="00060CB0" w:rsidRPr="00493E4F">
        <w:rPr>
          <w:rFonts w:ascii="Times New Roman" w:hAnsi="Times New Roman" w:cs="Times New Roman"/>
          <w:sz w:val="24"/>
          <w:szCs w:val="24"/>
        </w:rPr>
        <w:t xml:space="preserve"> </w:t>
      </w:r>
      <w:r w:rsidR="00B93C24" w:rsidRPr="00493E4F">
        <w:rPr>
          <w:rFonts w:ascii="Times New Roman" w:hAnsi="Times New Roman" w:cs="Times New Roman"/>
          <w:noProof/>
          <w:sz w:val="24"/>
          <w:szCs w:val="24"/>
        </w:rPr>
        <w:t>Clas</w:t>
      </w:r>
      <w:r w:rsidR="00B93C24" w:rsidRPr="00493E4F">
        <w:rPr>
          <w:rFonts w:ascii="Times New Roman" w:hAnsi="Times New Roman" w:cs="Times New Roman"/>
          <w:sz w:val="24"/>
          <w:szCs w:val="24"/>
        </w:rPr>
        <w:t xml:space="preserve"> Re</w:t>
      </w:r>
      <w:r w:rsidR="008313F8" w:rsidRPr="00493E4F">
        <w:rPr>
          <w:rFonts w:ascii="Times New Roman" w:hAnsi="Times New Roman" w:cs="Times New Roman"/>
          <w:sz w:val="24"/>
          <w:szCs w:val="24"/>
        </w:rPr>
        <w:t>h</w:t>
      </w:r>
      <w:r w:rsidR="00B93C24" w:rsidRPr="00493E4F">
        <w:rPr>
          <w:rFonts w:ascii="Times New Roman" w:hAnsi="Times New Roman" w:cs="Times New Roman"/>
          <w:sz w:val="24"/>
          <w:szCs w:val="24"/>
        </w:rPr>
        <w:t>nberg</w:t>
      </w:r>
      <w:r w:rsidR="009D5610" w:rsidRPr="00493E4F">
        <w:rPr>
          <w:rFonts w:ascii="Times New Roman" w:hAnsi="Times New Roman" w:cs="Times New Roman"/>
          <w:sz w:val="24"/>
          <w:szCs w:val="24"/>
          <w:vertAlign w:val="superscript"/>
        </w:rPr>
        <w:t>3</w:t>
      </w:r>
      <w:r w:rsidR="00B93C24" w:rsidRPr="00493E4F">
        <w:rPr>
          <w:rFonts w:ascii="Times New Roman" w:hAnsi="Times New Roman" w:cs="Times New Roman"/>
          <w:sz w:val="24"/>
          <w:szCs w:val="24"/>
        </w:rPr>
        <w:t>, Louis W Niessen</w:t>
      </w:r>
      <w:r w:rsidR="009D5610" w:rsidRPr="00493E4F">
        <w:rPr>
          <w:rFonts w:ascii="Times New Roman" w:hAnsi="Times New Roman" w:cs="Times New Roman"/>
          <w:sz w:val="24"/>
          <w:szCs w:val="24"/>
          <w:vertAlign w:val="superscript"/>
        </w:rPr>
        <w:t>2</w:t>
      </w:r>
    </w:p>
    <w:p w14:paraId="38A3245D" w14:textId="77777777" w:rsidR="00795B7B" w:rsidRPr="00493E4F" w:rsidRDefault="00795B7B" w:rsidP="006B7E81">
      <w:pPr>
        <w:pStyle w:val="PlainText"/>
        <w:ind w:left="90" w:hanging="90"/>
        <w:rPr>
          <w:rFonts w:ascii="Times New Roman" w:hAnsi="Times New Roman" w:cs="Times New Roman"/>
          <w:sz w:val="24"/>
          <w:szCs w:val="24"/>
          <w:vertAlign w:val="superscript"/>
        </w:rPr>
      </w:pPr>
    </w:p>
    <w:p w14:paraId="65B6E890" w14:textId="29C32F11" w:rsidR="00B93C24" w:rsidRPr="00493E4F" w:rsidRDefault="00B93C24" w:rsidP="006B7E81">
      <w:pPr>
        <w:pStyle w:val="PlainText"/>
        <w:ind w:left="90" w:hanging="90"/>
        <w:rPr>
          <w:rFonts w:ascii="Times New Roman" w:hAnsi="Times New Roman" w:cs="Times New Roman"/>
          <w:sz w:val="24"/>
          <w:szCs w:val="24"/>
        </w:rPr>
      </w:pPr>
      <w:r w:rsidRPr="00493E4F">
        <w:rPr>
          <w:rFonts w:ascii="Times New Roman" w:hAnsi="Times New Roman" w:cs="Times New Roman"/>
          <w:sz w:val="24"/>
          <w:szCs w:val="24"/>
          <w:vertAlign w:val="superscript"/>
        </w:rPr>
        <w:t>1</w:t>
      </w:r>
      <w:r w:rsidRPr="00493E4F">
        <w:rPr>
          <w:rFonts w:ascii="Times New Roman" w:hAnsi="Times New Roman" w:cs="Times New Roman"/>
          <w:sz w:val="24"/>
          <w:szCs w:val="24"/>
        </w:rPr>
        <w:t xml:space="preserve">Health Economics and Financing Research Group, </w:t>
      </w:r>
      <w:r w:rsidR="006A4452" w:rsidRPr="00493E4F">
        <w:rPr>
          <w:rFonts w:ascii="Times New Roman" w:hAnsi="Times New Roman" w:cs="Times New Roman"/>
          <w:sz w:val="24"/>
          <w:szCs w:val="24"/>
        </w:rPr>
        <w:t>Health Systems and Population Studies</w:t>
      </w:r>
      <w:r w:rsidR="006B7E81" w:rsidRPr="00493E4F">
        <w:rPr>
          <w:rFonts w:ascii="Times New Roman" w:hAnsi="Times New Roman" w:cs="Times New Roman"/>
          <w:sz w:val="24"/>
          <w:szCs w:val="24"/>
        </w:rPr>
        <w:t xml:space="preserve"> </w:t>
      </w:r>
      <w:r w:rsidR="006A4452" w:rsidRPr="00493E4F">
        <w:rPr>
          <w:rFonts w:ascii="Times New Roman" w:hAnsi="Times New Roman" w:cs="Times New Roman"/>
          <w:sz w:val="24"/>
          <w:szCs w:val="24"/>
        </w:rPr>
        <w:t>Division</w:t>
      </w:r>
      <w:r w:rsidRPr="00493E4F">
        <w:rPr>
          <w:rFonts w:ascii="Times New Roman" w:hAnsi="Times New Roman" w:cs="Times New Roman"/>
          <w:sz w:val="24"/>
          <w:szCs w:val="24"/>
        </w:rPr>
        <w:t>, icddr,b,</w:t>
      </w:r>
      <w:r w:rsidR="0005530A">
        <w:rPr>
          <w:rFonts w:ascii="Times New Roman" w:hAnsi="Times New Roman" w:cs="Times New Roman"/>
          <w:sz w:val="24"/>
          <w:szCs w:val="24"/>
        </w:rPr>
        <w:t xml:space="preserve"> Dhaka, 1212,</w:t>
      </w:r>
      <w:r w:rsidRPr="00493E4F">
        <w:rPr>
          <w:rFonts w:ascii="Times New Roman" w:hAnsi="Times New Roman" w:cs="Times New Roman"/>
          <w:sz w:val="24"/>
          <w:szCs w:val="24"/>
        </w:rPr>
        <w:t xml:space="preserve"> Bangladesh </w:t>
      </w:r>
    </w:p>
    <w:p w14:paraId="3504C1EB" w14:textId="642E259E" w:rsidR="00EA3172" w:rsidRPr="00493E4F" w:rsidRDefault="00EA3172" w:rsidP="00EA3172">
      <w:pPr>
        <w:pStyle w:val="PlainText"/>
        <w:ind w:left="180" w:hanging="180"/>
        <w:rPr>
          <w:rFonts w:ascii="Times New Roman" w:hAnsi="Times New Roman" w:cs="Times New Roman"/>
          <w:sz w:val="24"/>
          <w:szCs w:val="24"/>
        </w:rPr>
      </w:pPr>
      <w:r w:rsidRPr="00493E4F">
        <w:rPr>
          <w:rFonts w:ascii="Times New Roman" w:hAnsi="Times New Roman" w:cs="Times New Roman"/>
          <w:sz w:val="24"/>
          <w:szCs w:val="24"/>
          <w:vertAlign w:val="superscript"/>
        </w:rPr>
        <w:t>2</w:t>
      </w:r>
      <w:r w:rsidRPr="00493E4F">
        <w:rPr>
          <w:rFonts w:ascii="Times New Roman" w:hAnsi="Times New Roman" w:cs="Times New Roman"/>
          <w:sz w:val="24"/>
          <w:szCs w:val="24"/>
        </w:rPr>
        <w:t>Liverpool School of Tropical Medicine,</w:t>
      </w:r>
      <w:r w:rsidR="0005530A">
        <w:rPr>
          <w:rFonts w:ascii="Times New Roman" w:hAnsi="Times New Roman" w:cs="Times New Roman"/>
          <w:sz w:val="24"/>
          <w:szCs w:val="24"/>
        </w:rPr>
        <w:t xml:space="preserve"> Liverpool,</w:t>
      </w:r>
      <w:r w:rsidR="00330D7F">
        <w:rPr>
          <w:rFonts w:ascii="Times New Roman" w:hAnsi="Times New Roman" w:cs="Times New Roman"/>
          <w:sz w:val="24"/>
          <w:szCs w:val="24"/>
        </w:rPr>
        <w:t xml:space="preserve"> </w:t>
      </w:r>
      <w:r w:rsidR="0005530A">
        <w:rPr>
          <w:rFonts w:ascii="Times New Roman" w:hAnsi="Times New Roman" w:cs="Times New Roman"/>
          <w:sz w:val="24"/>
          <w:szCs w:val="24"/>
        </w:rPr>
        <w:t>L3 5QA</w:t>
      </w:r>
      <w:r w:rsidRPr="00493E4F">
        <w:rPr>
          <w:rFonts w:ascii="Times New Roman" w:hAnsi="Times New Roman" w:cs="Times New Roman"/>
          <w:sz w:val="24"/>
          <w:szCs w:val="24"/>
        </w:rPr>
        <w:t xml:space="preserve"> UK. </w:t>
      </w:r>
    </w:p>
    <w:p w14:paraId="1290138A" w14:textId="590B7225" w:rsidR="00B93C24" w:rsidRPr="00493E4F" w:rsidRDefault="00571FDA" w:rsidP="00DC044A">
      <w:pPr>
        <w:pStyle w:val="PlainText"/>
        <w:rPr>
          <w:rFonts w:ascii="Times New Roman" w:hAnsi="Times New Roman" w:cs="Times New Roman"/>
          <w:sz w:val="24"/>
          <w:szCs w:val="24"/>
        </w:rPr>
      </w:pPr>
      <w:r w:rsidRPr="00493E4F">
        <w:rPr>
          <w:rFonts w:ascii="Times New Roman" w:hAnsi="Times New Roman" w:cs="Times New Roman"/>
          <w:sz w:val="24"/>
          <w:szCs w:val="24"/>
          <w:vertAlign w:val="superscript"/>
        </w:rPr>
        <w:t>3</w:t>
      </w:r>
      <w:r w:rsidR="00B93C24" w:rsidRPr="00493E4F">
        <w:rPr>
          <w:rFonts w:ascii="Times New Roman" w:hAnsi="Times New Roman" w:cs="Times New Roman"/>
          <w:sz w:val="24"/>
          <w:szCs w:val="24"/>
        </w:rPr>
        <w:t>Health Economics</w:t>
      </w:r>
      <w:r w:rsidR="00EB20BB" w:rsidRPr="00493E4F">
        <w:rPr>
          <w:rFonts w:ascii="Times New Roman" w:hAnsi="Times New Roman" w:cs="Times New Roman"/>
          <w:sz w:val="24"/>
          <w:szCs w:val="24"/>
        </w:rPr>
        <w:t xml:space="preserve"> and Policy</w:t>
      </w:r>
      <w:r w:rsidR="00B93C24" w:rsidRPr="00493E4F">
        <w:rPr>
          <w:rFonts w:ascii="Times New Roman" w:hAnsi="Times New Roman" w:cs="Times New Roman"/>
          <w:sz w:val="24"/>
          <w:szCs w:val="24"/>
        </w:rPr>
        <w:t xml:space="preserve"> Unit, Department of Learning, Informatics, Management and </w:t>
      </w:r>
      <w:r w:rsidR="00B93C24" w:rsidRPr="00493E4F">
        <w:rPr>
          <w:rFonts w:ascii="Times New Roman" w:hAnsi="Times New Roman" w:cs="Times New Roman"/>
          <w:sz w:val="24"/>
          <w:szCs w:val="24"/>
        </w:rPr>
        <w:br/>
        <w:t xml:space="preserve">   Ethics (LIME), Karolinska Institutet</w:t>
      </w:r>
      <w:r w:rsidR="00B93C24" w:rsidRPr="00493E4F">
        <w:rPr>
          <w:rFonts w:ascii="Times New Roman" w:hAnsi="Times New Roman" w:cs="Times New Roman"/>
          <w:noProof/>
          <w:sz w:val="24"/>
          <w:szCs w:val="24"/>
        </w:rPr>
        <w:t>,</w:t>
      </w:r>
      <w:r w:rsidR="00F4025A" w:rsidRPr="00493E4F">
        <w:rPr>
          <w:rFonts w:ascii="Times New Roman" w:hAnsi="Times New Roman" w:cs="Times New Roman"/>
          <w:noProof/>
          <w:sz w:val="24"/>
          <w:szCs w:val="24"/>
        </w:rPr>
        <w:t xml:space="preserve"> </w:t>
      </w:r>
      <w:r w:rsidR="00B93C24" w:rsidRPr="00493E4F">
        <w:rPr>
          <w:rFonts w:ascii="Times New Roman" w:hAnsi="Times New Roman" w:cs="Times New Roman"/>
          <w:noProof/>
          <w:sz w:val="24"/>
          <w:szCs w:val="24"/>
        </w:rPr>
        <w:t>Stockholm</w:t>
      </w:r>
      <w:r w:rsidR="00B93C24" w:rsidRPr="00493E4F">
        <w:rPr>
          <w:rFonts w:ascii="Times New Roman" w:hAnsi="Times New Roman" w:cs="Times New Roman"/>
          <w:sz w:val="24"/>
          <w:szCs w:val="24"/>
        </w:rPr>
        <w:t>,</w:t>
      </w:r>
      <w:r w:rsidR="003A362E" w:rsidRPr="003A362E">
        <w:t xml:space="preserve"> </w:t>
      </w:r>
      <w:r w:rsidR="003A362E" w:rsidRPr="003A362E">
        <w:rPr>
          <w:rFonts w:ascii="Times New Roman" w:hAnsi="Times New Roman" w:cs="Times New Roman"/>
          <w:sz w:val="24"/>
          <w:szCs w:val="24"/>
        </w:rPr>
        <w:t>17177</w:t>
      </w:r>
      <w:r w:rsidR="003A362E">
        <w:rPr>
          <w:rFonts w:ascii="Times New Roman" w:hAnsi="Times New Roman" w:cs="Times New Roman"/>
          <w:sz w:val="24"/>
          <w:szCs w:val="24"/>
        </w:rPr>
        <w:t>,</w:t>
      </w:r>
      <w:r w:rsidR="00B93C24" w:rsidRPr="00493E4F">
        <w:rPr>
          <w:rFonts w:ascii="Times New Roman" w:hAnsi="Times New Roman" w:cs="Times New Roman"/>
          <w:sz w:val="24"/>
          <w:szCs w:val="24"/>
        </w:rPr>
        <w:t xml:space="preserve"> Sweden.</w:t>
      </w:r>
    </w:p>
    <w:p w14:paraId="3C4A4D54" w14:textId="59661C20" w:rsidR="00B93C24" w:rsidRPr="00493E4F" w:rsidRDefault="009D5610" w:rsidP="00DC044A">
      <w:pPr>
        <w:pStyle w:val="PlainText"/>
        <w:rPr>
          <w:rFonts w:ascii="Times New Roman" w:hAnsi="Times New Roman" w:cs="Times New Roman"/>
          <w:sz w:val="24"/>
          <w:szCs w:val="24"/>
        </w:rPr>
      </w:pPr>
      <w:r w:rsidRPr="00493E4F">
        <w:rPr>
          <w:rFonts w:ascii="Times New Roman" w:hAnsi="Times New Roman" w:cs="Times New Roman"/>
          <w:sz w:val="24"/>
          <w:szCs w:val="24"/>
          <w:vertAlign w:val="superscript"/>
        </w:rPr>
        <w:t>4</w:t>
      </w:r>
      <w:r w:rsidR="003F6F17">
        <w:rPr>
          <w:rFonts w:ascii="Times New Roman" w:hAnsi="Times New Roman" w:cs="Times New Roman"/>
          <w:sz w:val="24"/>
          <w:szCs w:val="24"/>
        </w:rPr>
        <w:t>Deakin Health Economics, School of Health and Social Development</w:t>
      </w:r>
      <w:r w:rsidR="00B93C24" w:rsidRPr="00493E4F">
        <w:rPr>
          <w:rFonts w:ascii="Times New Roman" w:hAnsi="Times New Roman" w:cs="Times New Roman"/>
          <w:sz w:val="24"/>
          <w:szCs w:val="24"/>
        </w:rPr>
        <w:t>, Deakin University, Melbourne, VIC 3125, Australia</w:t>
      </w:r>
    </w:p>
    <w:p w14:paraId="09857233" w14:textId="77777777" w:rsidR="009D5610" w:rsidRPr="00493E4F" w:rsidRDefault="009D5610" w:rsidP="009D5610">
      <w:pPr>
        <w:pStyle w:val="PlainText"/>
        <w:rPr>
          <w:rFonts w:ascii="Times New Roman" w:hAnsi="Times New Roman" w:cs="Times New Roman"/>
          <w:sz w:val="24"/>
          <w:szCs w:val="24"/>
        </w:rPr>
      </w:pPr>
      <w:r w:rsidRPr="00493E4F">
        <w:rPr>
          <w:rFonts w:ascii="Times New Roman" w:hAnsi="Times New Roman" w:cs="Times New Roman"/>
          <w:sz w:val="24"/>
          <w:szCs w:val="24"/>
          <w:vertAlign w:val="superscript"/>
        </w:rPr>
        <w:t>5</w:t>
      </w:r>
      <w:r w:rsidRPr="00493E4F">
        <w:rPr>
          <w:rFonts w:ascii="Times New Roman" w:hAnsi="Times New Roman" w:cs="Times New Roman"/>
          <w:sz w:val="24"/>
          <w:szCs w:val="24"/>
        </w:rPr>
        <w:t>Department of Management Science, University of Strathclyde, Glasgow G1</w:t>
      </w:r>
      <w:r w:rsidR="002C7BEE" w:rsidRPr="00493E4F">
        <w:rPr>
          <w:rFonts w:ascii="Times New Roman" w:hAnsi="Times New Roman" w:cs="Times New Roman"/>
          <w:sz w:val="24"/>
          <w:szCs w:val="24"/>
        </w:rPr>
        <w:t xml:space="preserve"> </w:t>
      </w:r>
      <w:r w:rsidRPr="00493E4F">
        <w:rPr>
          <w:rFonts w:ascii="Times New Roman" w:hAnsi="Times New Roman" w:cs="Times New Roman"/>
          <w:sz w:val="24"/>
          <w:szCs w:val="24"/>
        </w:rPr>
        <w:t>1XQ, UK</w:t>
      </w:r>
    </w:p>
    <w:p w14:paraId="5F7ACA78" w14:textId="77777777" w:rsidR="00B93C24" w:rsidRPr="00493E4F" w:rsidRDefault="009D5610" w:rsidP="00DC044A">
      <w:pPr>
        <w:pStyle w:val="PlainText"/>
        <w:rPr>
          <w:rFonts w:ascii="Times New Roman" w:hAnsi="Times New Roman" w:cs="Times New Roman"/>
          <w:sz w:val="24"/>
          <w:szCs w:val="24"/>
        </w:rPr>
      </w:pPr>
      <w:r w:rsidRPr="00493E4F">
        <w:rPr>
          <w:rFonts w:ascii="Times New Roman" w:hAnsi="Times New Roman" w:cs="Times New Roman"/>
          <w:sz w:val="24"/>
          <w:szCs w:val="24"/>
          <w:vertAlign w:val="superscript"/>
        </w:rPr>
        <w:t>6</w:t>
      </w:r>
      <w:r w:rsidR="00B93C24" w:rsidRPr="00493E4F">
        <w:rPr>
          <w:rFonts w:ascii="Times New Roman" w:hAnsi="Times New Roman" w:cs="Times New Roman"/>
          <w:sz w:val="24"/>
          <w:szCs w:val="24"/>
        </w:rPr>
        <w:t>Department of Agriculture Economics, Purdue University, IN 47907, USA</w:t>
      </w:r>
    </w:p>
    <w:p w14:paraId="04B6436D" w14:textId="04D611ED" w:rsidR="00571FDA" w:rsidRPr="00493E4F" w:rsidRDefault="009D5610" w:rsidP="00571FDA">
      <w:pPr>
        <w:pStyle w:val="PlainText"/>
        <w:rPr>
          <w:rFonts w:ascii="Times New Roman" w:hAnsi="Times New Roman" w:cs="Times New Roman"/>
          <w:sz w:val="24"/>
          <w:szCs w:val="24"/>
        </w:rPr>
      </w:pPr>
      <w:r w:rsidRPr="00493E4F">
        <w:rPr>
          <w:rFonts w:ascii="Times New Roman" w:hAnsi="Times New Roman" w:cs="Times New Roman"/>
          <w:sz w:val="24"/>
          <w:szCs w:val="24"/>
          <w:vertAlign w:val="superscript"/>
        </w:rPr>
        <w:t>7</w:t>
      </w:r>
      <w:r w:rsidR="00571FDA" w:rsidRPr="00493E4F">
        <w:rPr>
          <w:rFonts w:ascii="Times New Roman" w:hAnsi="Times New Roman" w:cs="Times New Roman"/>
          <w:sz w:val="24"/>
          <w:szCs w:val="24"/>
        </w:rPr>
        <w:t xml:space="preserve">Health Economics and Unit, Ministry of Health and </w:t>
      </w:r>
      <w:r w:rsidR="00F4025A" w:rsidRPr="00493E4F">
        <w:rPr>
          <w:rFonts w:ascii="Times New Roman" w:hAnsi="Times New Roman" w:cs="Times New Roman"/>
          <w:noProof/>
          <w:sz w:val="24"/>
          <w:szCs w:val="24"/>
        </w:rPr>
        <w:t>F</w:t>
      </w:r>
      <w:r w:rsidR="00571FDA" w:rsidRPr="00493E4F">
        <w:rPr>
          <w:rFonts w:ascii="Times New Roman" w:hAnsi="Times New Roman" w:cs="Times New Roman"/>
          <w:noProof/>
          <w:sz w:val="24"/>
          <w:szCs w:val="24"/>
        </w:rPr>
        <w:t>amily</w:t>
      </w:r>
      <w:r w:rsidR="00571FDA" w:rsidRPr="00493E4F">
        <w:rPr>
          <w:rFonts w:ascii="Times New Roman" w:hAnsi="Times New Roman" w:cs="Times New Roman"/>
          <w:sz w:val="24"/>
          <w:szCs w:val="24"/>
        </w:rPr>
        <w:t xml:space="preserve"> Welfare,</w:t>
      </w:r>
      <w:r w:rsidR="0005530A">
        <w:rPr>
          <w:rFonts w:ascii="Times New Roman" w:hAnsi="Times New Roman" w:cs="Times New Roman"/>
          <w:sz w:val="24"/>
          <w:szCs w:val="24"/>
        </w:rPr>
        <w:t xml:space="preserve"> Dhaka, 1000,</w:t>
      </w:r>
      <w:r w:rsidR="00571FDA" w:rsidRPr="00493E4F">
        <w:rPr>
          <w:rFonts w:ascii="Times New Roman" w:hAnsi="Times New Roman" w:cs="Times New Roman"/>
          <w:sz w:val="24"/>
          <w:szCs w:val="24"/>
        </w:rPr>
        <w:t xml:space="preserve"> Bangladesh</w:t>
      </w:r>
    </w:p>
    <w:p w14:paraId="5F455A4D" w14:textId="77777777" w:rsidR="00B93C24" w:rsidRPr="00493E4F" w:rsidRDefault="00B93C24" w:rsidP="00B93C24">
      <w:pPr>
        <w:pStyle w:val="PlainText"/>
        <w:rPr>
          <w:rFonts w:ascii="Times New Roman" w:hAnsi="Times New Roman" w:cs="Times New Roman"/>
          <w:sz w:val="24"/>
          <w:szCs w:val="24"/>
        </w:rPr>
      </w:pPr>
    </w:p>
    <w:p w14:paraId="02A63489" w14:textId="77777777" w:rsidR="00B93C24" w:rsidRPr="00493E4F" w:rsidRDefault="00B93C24" w:rsidP="00B93C24">
      <w:pPr>
        <w:pStyle w:val="PlainText"/>
        <w:rPr>
          <w:rFonts w:ascii="Times New Roman" w:hAnsi="Times New Roman" w:cs="Times New Roman"/>
          <w:b/>
          <w:sz w:val="24"/>
          <w:szCs w:val="24"/>
        </w:rPr>
      </w:pPr>
      <w:r w:rsidRPr="00493E4F">
        <w:rPr>
          <w:rFonts w:ascii="Times New Roman" w:hAnsi="Times New Roman" w:cs="Times New Roman"/>
          <w:b/>
          <w:sz w:val="24"/>
          <w:szCs w:val="24"/>
        </w:rPr>
        <w:t>*Corresponding author</w:t>
      </w:r>
    </w:p>
    <w:p w14:paraId="3D3A2936" w14:textId="77777777" w:rsidR="00B93C24" w:rsidRPr="00493E4F" w:rsidRDefault="004A016E" w:rsidP="00B93C24">
      <w:pPr>
        <w:pStyle w:val="PlainText"/>
        <w:rPr>
          <w:rFonts w:ascii="Times New Roman" w:hAnsi="Times New Roman" w:cs="Times New Roman"/>
          <w:sz w:val="24"/>
          <w:szCs w:val="24"/>
        </w:rPr>
      </w:pPr>
      <w:r w:rsidRPr="00493E4F">
        <w:rPr>
          <w:rFonts w:ascii="Times New Roman" w:hAnsi="Times New Roman" w:cs="Times New Roman"/>
          <w:sz w:val="24"/>
          <w:szCs w:val="24"/>
        </w:rPr>
        <w:t>Jahangir A. M. Khan</w:t>
      </w:r>
    </w:p>
    <w:p w14:paraId="7B4BD45B" w14:textId="77777777" w:rsidR="00B93C24" w:rsidRPr="00493E4F" w:rsidRDefault="00B93C24" w:rsidP="00B93C24">
      <w:pPr>
        <w:pStyle w:val="PlainText"/>
        <w:rPr>
          <w:rFonts w:ascii="Times New Roman" w:hAnsi="Times New Roman" w:cs="Times New Roman"/>
          <w:sz w:val="24"/>
          <w:szCs w:val="24"/>
        </w:rPr>
      </w:pPr>
      <w:r w:rsidRPr="00493E4F">
        <w:rPr>
          <w:rFonts w:ascii="Times New Roman" w:hAnsi="Times New Roman" w:cs="Times New Roman"/>
          <w:sz w:val="24"/>
          <w:szCs w:val="24"/>
        </w:rPr>
        <w:t>Liverpool School of Tropical Medicine, Pembroke Place, L3 5QA, Liverpool, United Kingdom.</w:t>
      </w:r>
    </w:p>
    <w:p w14:paraId="271EB2CD" w14:textId="77777777" w:rsidR="00B93C24" w:rsidRPr="00493E4F" w:rsidRDefault="00B93C24" w:rsidP="00B93C24">
      <w:pPr>
        <w:pStyle w:val="PlainText"/>
        <w:rPr>
          <w:rFonts w:ascii="Times New Roman" w:hAnsi="Times New Roman" w:cs="Times New Roman"/>
          <w:sz w:val="24"/>
          <w:szCs w:val="24"/>
        </w:rPr>
      </w:pPr>
      <w:r w:rsidRPr="00493E4F">
        <w:rPr>
          <w:rFonts w:ascii="Times New Roman" w:hAnsi="Times New Roman" w:cs="Times New Roman"/>
          <w:sz w:val="24"/>
          <w:szCs w:val="24"/>
        </w:rPr>
        <w:t xml:space="preserve">Tel. +44(0)1517029345 Fax +88-02-8811568   E-mail address: </w:t>
      </w:r>
      <w:hyperlink r:id="rId8" w:history="1">
        <w:r w:rsidRPr="00493E4F">
          <w:rPr>
            <w:rStyle w:val="Hyperlink"/>
            <w:rFonts w:ascii="Times New Roman" w:hAnsi="Times New Roman" w:cs="Times New Roman"/>
            <w:sz w:val="24"/>
            <w:szCs w:val="24"/>
          </w:rPr>
          <w:t>jahangir.khan@lstmed.ac.uk</w:t>
        </w:r>
      </w:hyperlink>
    </w:p>
    <w:p w14:paraId="5FBE332B" w14:textId="77777777" w:rsidR="00E670FB" w:rsidRPr="00493E4F" w:rsidRDefault="00E670FB" w:rsidP="002C7BEE">
      <w:pPr>
        <w:spacing w:before="120"/>
        <w:jc w:val="both"/>
        <w:rPr>
          <w:b/>
          <w:noProof/>
        </w:rPr>
      </w:pPr>
    </w:p>
    <w:p w14:paraId="1EBDEA84" w14:textId="77777777" w:rsidR="00E670FB" w:rsidRPr="00493E4F" w:rsidRDefault="00E670FB" w:rsidP="002C7BEE">
      <w:pPr>
        <w:pStyle w:val="Heading3"/>
        <w:spacing w:before="120"/>
        <w:rPr>
          <w:rFonts w:ascii="Times New Roman" w:hAnsi="Times New Roman" w:cs="Times New Roman"/>
          <w:color w:val="auto"/>
        </w:rPr>
      </w:pPr>
    </w:p>
    <w:p w14:paraId="76DA8106" w14:textId="77777777" w:rsidR="003648F5" w:rsidRPr="00493E4F" w:rsidRDefault="003648F5" w:rsidP="00610B0C">
      <w:pPr>
        <w:spacing w:before="120" w:line="480" w:lineRule="auto"/>
        <w:jc w:val="both"/>
        <w:rPr>
          <w:rFonts w:eastAsia="Calibri"/>
          <w:iCs/>
          <w:color w:val="000000"/>
          <w:lang w:val="en-US"/>
        </w:rPr>
      </w:pPr>
    </w:p>
    <w:p w14:paraId="3794B06D" w14:textId="77777777" w:rsidR="00DA6097" w:rsidRPr="00493E4F" w:rsidRDefault="00DA6097">
      <w:pPr>
        <w:spacing w:after="200" w:line="276" w:lineRule="auto"/>
        <w:rPr>
          <w:rFonts w:eastAsiaTheme="majorEastAsia"/>
          <w:b/>
          <w:bCs/>
        </w:rPr>
      </w:pPr>
      <w:r w:rsidRPr="00493E4F">
        <w:br w:type="page"/>
      </w:r>
    </w:p>
    <w:p w14:paraId="5E411924" w14:textId="77777777" w:rsidR="00905862" w:rsidRPr="00493E4F" w:rsidRDefault="003238F9" w:rsidP="004F792B">
      <w:pPr>
        <w:pStyle w:val="Heading3"/>
        <w:spacing w:before="120" w:after="120" w:line="360" w:lineRule="auto"/>
        <w:rPr>
          <w:rFonts w:ascii="Times New Roman" w:hAnsi="Times New Roman" w:cs="Times New Roman"/>
          <w:color w:val="auto"/>
        </w:rPr>
      </w:pPr>
      <w:r w:rsidRPr="00493E4F">
        <w:rPr>
          <w:rFonts w:ascii="Times New Roman" w:hAnsi="Times New Roman" w:cs="Times New Roman"/>
          <w:color w:val="auto"/>
        </w:rPr>
        <w:lastRenderedPageBreak/>
        <w:t>Abstract</w:t>
      </w:r>
    </w:p>
    <w:p w14:paraId="026E683A" w14:textId="5A58B427" w:rsidR="00264EAA" w:rsidRPr="00493E4F" w:rsidRDefault="00F40021" w:rsidP="00B004E6">
      <w:pPr>
        <w:spacing w:after="120" w:line="480" w:lineRule="auto"/>
        <w:jc w:val="both"/>
        <w:rPr>
          <w:color w:val="000000"/>
        </w:rPr>
      </w:pPr>
      <w:bookmarkStart w:id="1" w:name="OLE_LINK5"/>
      <w:r w:rsidRPr="00493E4F">
        <w:rPr>
          <w:rFonts w:eastAsia="MS Mincho"/>
          <w:lang w:val="en-US"/>
        </w:rPr>
        <w:t>We</w:t>
      </w:r>
      <w:r w:rsidR="00B54D21" w:rsidRPr="00493E4F">
        <w:rPr>
          <w:rFonts w:eastAsia="MS Mincho"/>
          <w:lang w:val="en-US"/>
        </w:rPr>
        <w:t xml:space="preserve"> aimed to </w:t>
      </w:r>
      <w:r w:rsidR="000A0E62" w:rsidRPr="00493E4F">
        <w:rPr>
          <w:rFonts w:eastAsia="MS Mincho"/>
          <w:lang w:val="en-US"/>
        </w:rPr>
        <w:t>estimat</w:t>
      </w:r>
      <w:r w:rsidR="00B54D21" w:rsidRPr="00493E4F">
        <w:rPr>
          <w:rFonts w:eastAsia="MS Mincho"/>
          <w:lang w:val="en-US"/>
        </w:rPr>
        <w:t>e</w:t>
      </w:r>
      <w:r w:rsidR="000A0E62" w:rsidRPr="00493E4F">
        <w:rPr>
          <w:rFonts w:eastAsia="MS Mincho"/>
          <w:lang w:val="en-US"/>
        </w:rPr>
        <w:t xml:space="preserve"> the </w:t>
      </w:r>
      <w:r w:rsidR="00D2471F" w:rsidRPr="00493E4F">
        <w:rPr>
          <w:rFonts w:eastAsia="MS Mincho"/>
          <w:lang w:val="en-US"/>
        </w:rPr>
        <w:t>effect</w:t>
      </w:r>
      <w:r w:rsidR="000A0E62" w:rsidRPr="00493E4F">
        <w:rPr>
          <w:rFonts w:eastAsia="MS Mincho"/>
          <w:lang w:val="en-US"/>
        </w:rPr>
        <w:t xml:space="preserve"> of </w:t>
      </w:r>
      <w:r w:rsidR="00A030EC" w:rsidRPr="00493E4F">
        <w:rPr>
          <w:rFonts w:eastAsia="MS Mincho"/>
          <w:noProof/>
          <w:lang w:val="en-US"/>
        </w:rPr>
        <w:t>community-based</w:t>
      </w:r>
      <w:r w:rsidR="00A030EC" w:rsidRPr="00493E4F">
        <w:rPr>
          <w:rFonts w:eastAsia="MS Mincho"/>
          <w:lang w:val="en-US"/>
        </w:rPr>
        <w:t xml:space="preserve"> health insurance (</w:t>
      </w:r>
      <w:r w:rsidR="005D7F1D" w:rsidRPr="00493E4F">
        <w:rPr>
          <w:rFonts w:eastAsia="MS Mincho"/>
          <w:lang w:val="en-US"/>
        </w:rPr>
        <w:t>CBHI</w:t>
      </w:r>
      <w:r w:rsidR="00A030EC" w:rsidRPr="00493E4F">
        <w:rPr>
          <w:rFonts w:eastAsia="MS Mincho"/>
          <w:lang w:val="en-US"/>
        </w:rPr>
        <w:t>)</w:t>
      </w:r>
      <w:r w:rsidR="000A0E62" w:rsidRPr="00493E4F">
        <w:rPr>
          <w:rFonts w:eastAsia="MS Mincho"/>
          <w:lang w:val="en-US"/>
        </w:rPr>
        <w:t xml:space="preserve"> scheme</w:t>
      </w:r>
      <w:r w:rsidR="00FA1E31" w:rsidRPr="00493E4F">
        <w:rPr>
          <w:rFonts w:eastAsia="MS Mincho"/>
          <w:lang w:val="en-US"/>
        </w:rPr>
        <w:t xml:space="preserve"> </w:t>
      </w:r>
      <w:r w:rsidR="000A0E62" w:rsidRPr="00493E4F">
        <w:rPr>
          <w:rFonts w:eastAsia="MS Mincho"/>
          <w:lang w:val="en-US"/>
        </w:rPr>
        <w:t>on the magnitude of out-of-pocket</w:t>
      </w:r>
      <w:r w:rsidR="002E347B" w:rsidRPr="00493E4F">
        <w:rPr>
          <w:rFonts w:eastAsia="MS Mincho"/>
          <w:lang w:val="en-US"/>
        </w:rPr>
        <w:t xml:space="preserve"> (OOP)</w:t>
      </w:r>
      <w:r w:rsidR="000A0E62" w:rsidRPr="00493E4F">
        <w:rPr>
          <w:rFonts w:eastAsia="MS Mincho"/>
          <w:lang w:val="en-US"/>
        </w:rPr>
        <w:t xml:space="preserve"> payments </w:t>
      </w:r>
      <w:r w:rsidR="000F317D" w:rsidRPr="00493E4F">
        <w:rPr>
          <w:rFonts w:eastAsia="MS Mincho"/>
          <w:lang w:val="en-US"/>
        </w:rPr>
        <w:t xml:space="preserve">for </w:t>
      </w:r>
      <w:r w:rsidR="00F4025A" w:rsidRPr="00493E4F">
        <w:rPr>
          <w:rFonts w:eastAsia="MS Mincho"/>
          <w:lang w:val="en-US"/>
        </w:rPr>
        <w:t xml:space="preserve">the </w:t>
      </w:r>
      <w:r w:rsidR="000A0E62" w:rsidRPr="00493E4F">
        <w:rPr>
          <w:rFonts w:eastAsia="MS Mincho"/>
          <w:noProof/>
          <w:lang w:val="en-US"/>
        </w:rPr>
        <w:t>healthcare</w:t>
      </w:r>
      <w:r w:rsidR="000A0E62" w:rsidRPr="00493E4F">
        <w:rPr>
          <w:rFonts w:eastAsia="MS Mincho"/>
          <w:lang w:val="en-US"/>
        </w:rPr>
        <w:t xml:space="preserve"> </w:t>
      </w:r>
      <w:r w:rsidR="005D7F1D" w:rsidRPr="00493E4F">
        <w:rPr>
          <w:rFonts w:eastAsia="MS Mincho"/>
          <w:lang w:val="en-US"/>
        </w:rPr>
        <w:t>of</w:t>
      </w:r>
      <w:r w:rsidR="0057400C" w:rsidRPr="00493E4F">
        <w:rPr>
          <w:rFonts w:eastAsia="MS Mincho"/>
          <w:lang w:val="en-US"/>
        </w:rPr>
        <w:t xml:space="preserve"> </w:t>
      </w:r>
      <w:r w:rsidR="002E347B" w:rsidRPr="00493E4F">
        <w:rPr>
          <w:rFonts w:eastAsia="MS Mincho"/>
          <w:lang w:val="en-US"/>
        </w:rPr>
        <w:t xml:space="preserve">the </w:t>
      </w:r>
      <w:r w:rsidR="000A0E62" w:rsidRPr="00493E4F">
        <w:rPr>
          <w:rFonts w:eastAsia="MS Mincho"/>
          <w:lang w:val="en-US"/>
        </w:rPr>
        <w:t>informal workers</w:t>
      </w:r>
      <w:r w:rsidR="001672F4" w:rsidRPr="00493E4F">
        <w:rPr>
          <w:rFonts w:eastAsia="MS Mincho"/>
          <w:lang w:val="en-US"/>
        </w:rPr>
        <w:t xml:space="preserve"> and their dependents</w:t>
      </w:r>
      <w:r w:rsidR="000A0E62" w:rsidRPr="00493E4F">
        <w:rPr>
          <w:rFonts w:eastAsia="MS Mincho"/>
          <w:lang w:val="en-US"/>
        </w:rPr>
        <w:t>.</w:t>
      </w:r>
      <w:r w:rsidR="00A65BEB" w:rsidRPr="00493E4F">
        <w:rPr>
          <w:rFonts w:eastAsia="MS Mincho"/>
          <w:b/>
          <w:lang w:val="en-US"/>
        </w:rPr>
        <w:t xml:space="preserve"> </w:t>
      </w:r>
      <w:r w:rsidR="005A2B44" w:rsidRPr="00493E4F">
        <w:rPr>
          <w:rFonts w:eastAsia="MS Mincho"/>
          <w:lang w:val="en-US"/>
        </w:rPr>
        <w:t>Th</w:t>
      </w:r>
      <w:r w:rsidR="00893BDE" w:rsidRPr="00493E4F">
        <w:rPr>
          <w:rFonts w:eastAsia="MS Mincho"/>
          <w:lang w:val="en-US"/>
        </w:rPr>
        <w:t>e CBHI scheme</w:t>
      </w:r>
      <w:r w:rsidR="005A2B44" w:rsidRPr="00493E4F">
        <w:rPr>
          <w:rFonts w:eastAsia="MS Mincho"/>
          <w:lang w:val="en-US"/>
        </w:rPr>
        <w:t xml:space="preserve"> was </w:t>
      </w:r>
      <w:r w:rsidR="00E654F7" w:rsidRPr="00493E4F">
        <w:rPr>
          <w:rFonts w:eastAsia="MS Mincho"/>
          <w:lang w:val="en-US"/>
        </w:rPr>
        <w:t xml:space="preserve">piloted through a </w:t>
      </w:r>
      <w:r w:rsidR="00E151A6" w:rsidRPr="00493E4F">
        <w:rPr>
          <w:rFonts w:eastAsia="MS Mincho"/>
          <w:lang w:val="en-US"/>
        </w:rPr>
        <w:t xml:space="preserve">cooperative </w:t>
      </w:r>
      <w:r w:rsidR="00E654F7" w:rsidRPr="00493E4F">
        <w:rPr>
          <w:rFonts w:eastAsia="MS Mincho"/>
          <w:lang w:val="en-US"/>
        </w:rPr>
        <w:t xml:space="preserve">of informal workers, </w:t>
      </w:r>
      <w:r w:rsidR="00E151A6" w:rsidRPr="00493E4F">
        <w:rPr>
          <w:rFonts w:eastAsia="MS Mincho"/>
          <w:lang w:val="en-US"/>
        </w:rPr>
        <w:t xml:space="preserve">which </w:t>
      </w:r>
      <w:r w:rsidR="001672F4" w:rsidRPr="00493E4F">
        <w:rPr>
          <w:rFonts w:eastAsia="MS Mincho"/>
          <w:lang w:val="en-US"/>
        </w:rPr>
        <w:t>covered</w:t>
      </w:r>
      <w:r w:rsidR="005A2B44" w:rsidRPr="00493E4F">
        <w:rPr>
          <w:rFonts w:eastAsia="MS Mincho"/>
          <w:lang w:val="en-US"/>
        </w:rPr>
        <w:t xml:space="preserve"> 7 </w:t>
      </w:r>
      <w:r w:rsidR="001672F4" w:rsidRPr="00493E4F">
        <w:rPr>
          <w:rFonts w:eastAsia="MS Mincho"/>
          <w:lang w:val="en-US"/>
        </w:rPr>
        <w:t>U</w:t>
      </w:r>
      <w:r w:rsidR="005A2B44" w:rsidRPr="00493E4F">
        <w:rPr>
          <w:rFonts w:eastAsia="MS Mincho"/>
          <w:lang w:val="en-US"/>
        </w:rPr>
        <w:t xml:space="preserve">nions in Chandpur </w:t>
      </w:r>
      <w:proofErr w:type="spellStart"/>
      <w:r w:rsidR="005A2B44" w:rsidRPr="00493E4F">
        <w:rPr>
          <w:rFonts w:eastAsia="MS Mincho"/>
          <w:lang w:val="en-US"/>
        </w:rPr>
        <w:t>Sadar</w:t>
      </w:r>
      <w:proofErr w:type="spellEnd"/>
      <w:r w:rsidR="005A2B44" w:rsidRPr="00493E4F">
        <w:rPr>
          <w:rFonts w:eastAsia="MS Mincho"/>
          <w:lang w:val="en-US"/>
        </w:rPr>
        <w:t xml:space="preserve"> </w:t>
      </w:r>
      <w:proofErr w:type="spellStart"/>
      <w:r w:rsidR="005A2B44" w:rsidRPr="00493E4F">
        <w:rPr>
          <w:rFonts w:eastAsia="MS Mincho"/>
          <w:lang w:val="en-US"/>
        </w:rPr>
        <w:t>Upazila</w:t>
      </w:r>
      <w:proofErr w:type="spellEnd"/>
      <w:r w:rsidR="00087C04" w:rsidRPr="00493E4F">
        <w:rPr>
          <w:rFonts w:eastAsia="MS Mincho"/>
          <w:lang w:val="en-US"/>
        </w:rPr>
        <w:t xml:space="preserve"> </w:t>
      </w:r>
      <w:r w:rsidR="005A2B44" w:rsidRPr="00493E4F">
        <w:rPr>
          <w:rFonts w:eastAsia="MS Mincho"/>
          <w:lang w:val="en-US"/>
        </w:rPr>
        <w:t>of Bangladesh.</w:t>
      </w:r>
      <w:r w:rsidR="003E38E8" w:rsidRPr="00493E4F">
        <w:rPr>
          <w:rFonts w:eastAsia="MS Mincho"/>
          <w:b/>
          <w:lang w:val="en-US"/>
        </w:rPr>
        <w:t xml:space="preserve"> </w:t>
      </w:r>
      <w:r w:rsidR="000A0E62" w:rsidRPr="00493E4F">
        <w:rPr>
          <w:rFonts w:eastAsia="MS Mincho"/>
          <w:lang w:val="en-US"/>
        </w:rPr>
        <w:t>A quasi</w:t>
      </w:r>
      <w:r w:rsidR="006D4FF0" w:rsidRPr="00493E4F">
        <w:rPr>
          <w:rFonts w:eastAsia="MS Mincho"/>
          <w:lang w:val="en-US"/>
        </w:rPr>
        <w:t>-</w:t>
      </w:r>
      <w:r w:rsidR="000A0E62" w:rsidRPr="00493E4F">
        <w:rPr>
          <w:rFonts w:eastAsia="MS Mincho"/>
          <w:lang w:val="en-US"/>
        </w:rPr>
        <w:t xml:space="preserve">experimental study was conducted </w:t>
      </w:r>
      <w:r w:rsidR="00F362E4" w:rsidRPr="00493E4F">
        <w:rPr>
          <w:rFonts w:eastAsia="MS Mincho"/>
          <w:lang w:val="en-US"/>
        </w:rPr>
        <w:t>using</w:t>
      </w:r>
      <w:r w:rsidR="00AB57FA" w:rsidRPr="00493E4F">
        <w:rPr>
          <w:rFonts w:eastAsia="MS Mincho"/>
          <w:lang w:val="en-US"/>
        </w:rPr>
        <w:t xml:space="preserve"> a</w:t>
      </w:r>
      <w:r w:rsidR="003E38E8" w:rsidRPr="00493E4F">
        <w:rPr>
          <w:rFonts w:eastAsia="MS Mincho"/>
          <w:lang w:val="en-US"/>
        </w:rPr>
        <w:t xml:space="preserve"> </w:t>
      </w:r>
      <w:r w:rsidR="000F317D" w:rsidRPr="00493E4F">
        <w:rPr>
          <w:rFonts w:eastAsia="MS Mincho"/>
          <w:lang w:val="en-US"/>
        </w:rPr>
        <w:t xml:space="preserve">case-comparison design. </w:t>
      </w:r>
      <w:r w:rsidR="000A0E62" w:rsidRPr="00493E4F">
        <w:rPr>
          <w:rFonts w:eastAsia="MS Mincho"/>
          <w:lang w:val="en-US"/>
        </w:rPr>
        <w:t xml:space="preserve">In total 1,292 (646 insured and 646 uninsured) households were surveyed. A propensity score matching was </w:t>
      </w:r>
      <w:r w:rsidR="001672F4" w:rsidRPr="00493E4F">
        <w:rPr>
          <w:rFonts w:eastAsia="MS Mincho"/>
          <w:lang w:val="en-US"/>
        </w:rPr>
        <w:t>done</w:t>
      </w:r>
      <w:r w:rsidR="000A0E62" w:rsidRPr="00493E4F">
        <w:rPr>
          <w:rFonts w:eastAsia="MS Mincho"/>
          <w:lang w:val="en-US"/>
        </w:rPr>
        <w:t xml:space="preserve"> to minimize the observed baseline differences </w:t>
      </w:r>
      <w:r w:rsidR="00CC3081" w:rsidRPr="00493E4F">
        <w:rPr>
          <w:rFonts w:eastAsia="MS Mincho"/>
          <w:noProof/>
          <w:lang w:val="en-US"/>
        </w:rPr>
        <w:t>in</w:t>
      </w:r>
      <w:r w:rsidR="00462291" w:rsidRPr="00493E4F">
        <w:rPr>
          <w:rFonts w:eastAsia="MS Mincho"/>
          <w:lang w:val="en-US"/>
        </w:rPr>
        <w:t xml:space="preserve"> </w:t>
      </w:r>
      <w:r w:rsidR="000A0E62" w:rsidRPr="00493E4F">
        <w:rPr>
          <w:rFonts w:eastAsia="MS Mincho"/>
          <w:lang w:val="en-US"/>
        </w:rPr>
        <w:t xml:space="preserve">the characteristics </w:t>
      </w:r>
      <w:r w:rsidR="00462291" w:rsidRPr="00493E4F">
        <w:rPr>
          <w:rFonts w:eastAsia="MS Mincho"/>
          <w:lang w:val="en-US"/>
        </w:rPr>
        <w:t xml:space="preserve">between </w:t>
      </w:r>
      <w:r w:rsidR="000A0E62" w:rsidRPr="00493E4F">
        <w:rPr>
          <w:rFonts w:eastAsia="MS Mincho"/>
          <w:lang w:val="en-US"/>
        </w:rPr>
        <w:t>insured and uninsured groups</w:t>
      </w:r>
      <w:r w:rsidR="000A0E62" w:rsidRPr="00493E4F">
        <w:rPr>
          <w:rFonts w:eastAsia="MS Mincho"/>
          <w:noProof/>
          <w:lang w:val="en-US"/>
        </w:rPr>
        <w:t>.</w:t>
      </w:r>
      <w:r w:rsidR="00CC3081" w:rsidRPr="00493E4F">
        <w:rPr>
          <w:rFonts w:eastAsia="MS Mincho"/>
          <w:noProof/>
          <w:lang w:val="en-US"/>
        </w:rPr>
        <w:t xml:space="preserve"> </w:t>
      </w:r>
      <w:r w:rsidR="00C54BE7" w:rsidRPr="00493E4F">
        <w:rPr>
          <w:noProof/>
        </w:rPr>
        <w:t>A</w:t>
      </w:r>
      <w:r w:rsidR="00C54BE7" w:rsidRPr="00493E4F">
        <w:t xml:space="preserve"> two-part regression model </w:t>
      </w:r>
      <w:r w:rsidR="0041056A" w:rsidRPr="00493E4F">
        <w:t xml:space="preserve">was applied </w:t>
      </w:r>
      <w:r w:rsidR="00C54BE7" w:rsidRPr="00493E4F">
        <w:t>us</w:t>
      </w:r>
      <w:r w:rsidR="0041056A" w:rsidRPr="00493E4F">
        <w:t>ing</w:t>
      </w:r>
      <w:r w:rsidR="00C54BE7" w:rsidRPr="00493E4F">
        <w:t xml:space="preserve"> both the probability</w:t>
      </w:r>
      <w:r w:rsidR="00925B73" w:rsidRPr="00493E4F">
        <w:t xml:space="preserve"> of OOP spending</w:t>
      </w:r>
      <w:r w:rsidR="00C54BE7" w:rsidRPr="00493E4F">
        <w:t xml:space="preserve"> and magnitude of </w:t>
      </w:r>
      <w:r w:rsidR="00925B73" w:rsidRPr="00493E4F">
        <w:t>such spending</w:t>
      </w:r>
      <w:r w:rsidR="00C54BE7" w:rsidRPr="00493E4F">
        <w:t xml:space="preserve"> for healthcare in assessing </w:t>
      </w:r>
      <w:r w:rsidR="00FB3A05" w:rsidRPr="00493E4F">
        <w:t xml:space="preserve">the association with the </w:t>
      </w:r>
      <w:r w:rsidR="00C54BE7" w:rsidRPr="00493E4F">
        <w:t>enrolment</w:t>
      </w:r>
      <w:r w:rsidR="00FB3A05" w:rsidRPr="00493E4F">
        <w:t xml:space="preserve"> status</w:t>
      </w:r>
      <w:r w:rsidR="00C54BE7" w:rsidRPr="00493E4F">
        <w:t xml:space="preserve"> in CBHI scheme</w:t>
      </w:r>
      <w:r w:rsidR="00FB3A05" w:rsidRPr="00493E4F">
        <w:t xml:space="preserve"> while </w:t>
      </w:r>
      <w:r w:rsidR="00FB3A05" w:rsidRPr="00493E4F">
        <w:rPr>
          <w:noProof/>
        </w:rPr>
        <w:t>controll</w:t>
      </w:r>
      <w:r w:rsidR="00CC3081" w:rsidRPr="00493E4F">
        <w:rPr>
          <w:noProof/>
        </w:rPr>
        <w:t>ing</w:t>
      </w:r>
      <w:r w:rsidR="00FB3A05" w:rsidRPr="00493E4F">
        <w:t xml:space="preserve"> for </w:t>
      </w:r>
      <w:r w:rsidR="00C54BE7" w:rsidRPr="00493E4F">
        <w:t xml:space="preserve">other covariates. </w:t>
      </w:r>
      <w:r w:rsidR="008F12FA" w:rsidRPr="00493E4F">
        <w:rPr>
          <w:color w:val="000000"/>
        </w:rPr>
        <w:t xml:space="preserve">The </w:t>
      </w:r>
      <w:r w:rsidR="00FB3A05" w:rsidRPr="00493E4F">
        <w:rPr>
          <w:color w:val="000000"/>
        </w:rPr>
        <w:t>OOP</w:t>
      </w:r>
      <w:r w:rsidR="0057400C" w:rsidRPr="00493E4F">
        <w:rPr>
          <w:color w:val="000000"/>
        </w:rPr>
        <w:t xml:space="preserve"> </w:t>
      </w:r>
      <w:r w:rsidR="00895063" w:rsidRPr="00493E4F">
        <w:rPr>
          <w:color w:val="000000"/>
        </w:rPr>
        <w:t>payment</w:t>
      </w:r>
      <w:r w:rsidR="00466DC6" w:rsidRPr="00493E4F">
        <w:rPr>
          <w:color w:val="000000"/>
        </w:rPr>
        <w:t xml:space="preserve"> was </w:t>
      </w:r>
      <w:r w:rsidR="00E6343E" w:rsidRPr="00493E4F">
        <w:rPr>
          <w:color w:val="000000"/>
        </w:rPr>
        <w:t>6</w:t>
      </w:r>
      <w:r w:rsidR="00412062" w:rsidRPr="00493E4F">
        <w:rPr>
          <w:color w:val="000000"/>
        </w:rPr>
        <w:t>.4</w:t>
      </w:r>
      <w:r w:rsidR="00E6343E" w:rsidRPr="00493E4F">
        <w:rPr>
          <w:color w:val="000000"/>
        </w:rPr>
        <w:t xml:space="preserve">% </w:t>
      </w:r>
      <w:r w:rsidR="001B7C46" w:rsidRPr="00493E4F">
        <w:rPr>
          <w:color w:val="000000"/>
        </w:rPr>
        <w:t>(p&lt;0.001)</w:t>
      </w:r>
      <w:r w:rsidR="0057400C" w:rsidRPr="00493E4F">
        <w:rPr>
          <w:color w:val="000000"/>
        </w:rPr>
        <w:t xml:space="preserve"> </w:t>
      </w:r>
      <w:r w:rsidR="00C54BE7" w:rsidRPr="00493E4F">
        <w:t>lower</w:t>
      </w:r>
      <w:r w:rsidR="008F12FA" w:rsidRPr="00493E4F">
        <w:t xml:space="preserve"> for </w:t>
      </w:r>
      <w:r w:rsidR="00702980" w:rsidRPr="00493E4F">
        <w:t xml:space="preserve">medically trained </w:t>
      </w:r>
      <w:r w:rsidR="008F12FA" w:rsidRPr="00493E4F">
        <w:t>provider</w:t>
      </w:r>
      <w:r w:rsidR="00CD2B1B" w:rsidRPr="00493E4F">
        <w:t xml:space="preserve"> </w:t>
      </w:r>
      <w:r w:rsidR="00E15EAE" w:rsidRPr="00493E4F">
        <w:t>(MTPs)</w:t>
      </w:r>
      <w:r w:rsidR="008F12FA" w:rsidRPr="00493E4F">
        <w:t xml:space="preserve"> utilization</w:t>
      </w:r>
      <w:r w:rsidR="0057400C" w:rsidRPr="00493E4F">
        <w:t xml:space="preserve"> </w:t>
      </w:r>
      <w:r w:rsidR="00523457" w:rsidRPr="00493E4F">
        <w:t xml:space="preserve">among the insured </w:t>
      </w:r>
      <w:r w:rsidR="00FB3A05" w:rsidRPr="00493E4F">
        <w:t>in comparison</w:t>
      </w:r>
      <w:r w:rsidR="00FB3A05" w:rsidRPr="00493E4F">
        <w:rPr>
          <w:color w:val="000000"/>
        </w:rPr>
        <w:t xml:space="preserve"> with </w:t>
      </w:r>
      <w:r w:rsidR="00523457" w:rsidRPr="00493E4F">
        <w:rPr>
          <w:color w:val="000000"/>
        </w:rPr>
        <w:t xml:space="preserve">the uninsured. </w:t>
      </w:r>
      <w:r w:rsidR="00F76153" w:rsidRPr="00493E4F">
        <w:rPr>
          <w:color w:val="000000"/>
        </w:rPr>
        <w:t>However, no significant difference was found in</w:t>
      </w:r>
      <w:r w:rsidR="00F362E4" w:rsidRPr="00493E4F">
        <w:rPr>
          <w:color w:val="000000"/>
        </w:rPr>
        <w:t xml:space="preserve"> the</w:t>
      </w:r>
      <w:r w:rsidR="00F76153" w:rsidRPr="00493E4F">
        <w:rPr>
          <w:color w:val="000000"/>
        </w:rPr>
        <w:t xml:space="preserve"> OOP payments </w:t>
      </w:r>
      <w:r w:rsidR="004930C3" w:rsidRPr="00493E4F">
        <w:rPr>
          <w:color w:val="000000"/>
        </w:rPr>
        <w:t xml:space="preserve">for </w:t>
      </w:r>
      <w:r w:rsidR="00FB3A05" w:rsidRPr="00493E4F">
        <w:rPr>
          <w:color w:val="000000"/>
        </w:rPr>
        <w:t>health</w:t>
      </w:r>
      <w:r w:rsidR="003A4BDB" w:rsidRPr="00493E4F">
        <w:rPr>
          <w:color w:val="000000"/>
        </w:rPr>
        <w:t>care</w:t>
      </w:r>
      <w:r w:rsidR="00FB3A05" w:rsidRPr="00493E4F">
        <w:rPr>
          <w:color w:val="000000"/>
        </w:rPr>
        <w:t xml:space="preserve"> </w:t>
      </w:r>
      <w:r w:rsidR="004930C3" w:rsidRPr="00493E4F">
        <w:rPr>
          <w:color w:val="000000"/>
        </w:rPr>
        <w:t>utiliz</w:t>
      </w:r>
      <w:r w:rsidR="004B6B6A" w:rsidRPr="00493E4F">
        <w:rPr>
          <w:color w:val="000000"/>
        </w:rPr>
        <w:t xml:space="preserve">ation </w:t>
      </w:r>
      <w:r w:rsidR="00FB3A05" w:rsidRPr="00493E4F">
        <w:rPr>
          <w:color w:val="000000"/>
        </w:rPr>
        <w:t xml:space="preserve">from all kind of </w:t>
      </w:r>
      <w:r w:rsidR="00F76153" w:rsidRPr="00493E4F">
        <w:rPr>
          <w:color w:val="000000"/>
        </w:rPr>
        <w:t xml:space="preserve">providers including </w:t>
      </w:r>
      <w:r w:rsidR="00FB3A05" w:rsidRPr="00493E4F">
        <w:rPr>
          <w:color w:val="000000"/>
        </w:rPr>
        <w:t xml:space="preserve">the </w:t>
      </w:r>
      <w:r w:rsidR="00BD6E48" w:rsidRPr="00493E4F">
        <w:rPr>
          <w:color w:val="000000"/>
        </w:rPr>
        <w:t>non-</w:t>
      </w:r>
      <w:r w:rsidR="00372F0E" w:rsidRPr="00493E4F">
        <w:rPr>
          <w:color w:val="000000"/>
        </w:rPr>
        <w:t>trained</w:t>
      </w:r>
      <w:r w:rsidR="00F76153" w:rsidRPr="00493E4F">
        <w:rPr>
          <w:color w:val="000000"/>
        </w:rPr>
        <w:t xml:space="preserve"> ones.</w:t>
      </w:r>
      <w:r w:rsidR="0057400C" w:rsidRPr="00493E4F">
        <w:rPr>
          <w:b/>
          <w:color w:val="000000"/>
        </w:rPr>
        <w:t xml:space="preserve"> </w:t>
      </w:r>
      <w:r w:rsidR="003C2AEC" w:rsidRPr="00493E4F">
        <w:rPr>
          <w:color w:val="000000"/>
        </w:rPr>
        <w:t>T</w:t>
      </w:r>
      <w:r w:rsidR="00F362E4" w:rsidRPr="00493E4F">
        <w:rPr>
          <w:color w:val="000000"/>
        </w:rPr>
        <w:t xml:space="preserve">he </w:t>
      </w:r>
      <w:r w:rsidR="006328AD" w:rsidRPr="00493E4F">
        <w:rPr>
          <w:color w:val="000000"/>
        </w:rPr>
        <w:t>CBHI scheme could</w:t>
      </w:r>
      <w:r w:rsidR="00944273" w:rsidRPr="00493E4F">
        <w:rPr>
          <w:color w:val="000000"/>
        </w:rPr>
        <w:t xml:space="preserve"> reduce OOP payments while provi</w:t>
      </w:r>
      <w:r w:rsidR="00F362E4" w:rsidRPr="00493E4F">
        <w:rPr>
          <w:color w:val="000000"/>
        </w:rPr>
        <w:t>ding</w:t>
      </w:r>
      <w:r w:rsidR="0057400C" w:rsidRPr="00493E4F">
        <w:rPr>
          <w:color w:val="000000"/>
        </w:rPr>
        <w:t xml:space="preserve"> </w:t>
      </w:r>
      <w:r w:rsidR="00895063" w:rsidRPr="00493E4F">
        <w:t>better quality</w:t>
      </w:r>
      <w:r w:rsidR="00462291" w:rsidRPr="00493E4F">
        <w:t xml:space="preserve"> healthcare</w:t>
      </w:r>
      <w:r w:rsidR="00895063" w:rsidRPr="00493E4F">
        <w:t xml:space="preserve"> through </w:t>
      </w:r>
      <w:r w:rsidR="00CC3081" w:rsidRPr="00493E4F">
        <w:t xml:space="preserve">the </w:t>
      </w:r>
      <w:r w:rsidR="00895063" w:rsidRPr="00493E4F">
        <w:rPr>
          <w:noProof/>
        </w:rPr>
        <w:t>increased</w:t>
      </w:r>
      <w:r w:rsidR="00895063" w:rsidRPr="00493E4F">
        <w:t xml:space="preserve"> use of MTPs</w:t>
      </w:r>
      <w:r w:rsidR="00C22CFD" w:rsidRPr="00493E4F">
        <w:rPr>
          <w:color w:val="000000"/>
        </w:rPr>
        <w:t xml:space="preserve">, which consequently </w:t>
      </w:r>
      <w:r w:rsidR="0040730F" w:rsidRPr="00493E4F">
        <w:rPr>
          <w:color w:val="000000"/>
        </w:rPr>
        <w:t>could</w:t>
      </w:r>
      <w:r w:rsidR="0057400C" w:rsidRPr="00493E4F">
        <w:rPr>
          <w:color w:val="000000"/>
        </w:rPr>
        <w:t xml:space="preserve"> </w:t>
      </w:r>
      <w:r w:rsidR="003C2AEC" w:rsidRPr="00493E4F">
        <w:rPr>
          <w:color w:val="000000"/>
        </w:rPr>
        <w:t>push</w:t>
      </w:r>
      <w:r w:rsidR="005D7F1D" w:rsidRPr="00493E4F">
        <w:rPr>
          <w:color w:val="000000"/>
        </w:rPr>
        <w:t xml:space="preserve"> the country towards </w:t>
      </w:r>
      <w:r w:rsidR="0091667F" w:rsidRPr="00493E4F">
        <w:rPr>
          <w:color w:val="000000"/>
        </w:rPr>
        <w:t>Universal Health Coverage</w:t>
      </w:r>
      <w:r w:rsidR="005D7F1D" w:rsidRPr="00493E4F">
        <w:rPr>
          <w:color w:val="000000"/>
        </w:rPr>
        <w:t>.</w:t>
      </w:r>
      <w:bookmarkEnd w:id="1"/>
    </w:p>
    <w:p w14:paraId="60A12CFE" w14:textId="77777777" w:rsidR="007B185D" w:rsidRPr="00493E4F" w:rsidRDefault="007B185D" w:rsidP="000975D7">
      <w:pPr>
        <w:spacing w:after="120" w:line="480" w:lineRule="auto"/>
        <w:jc w:val="both"/>
      </w:pPr>
      <w:r w:rsidRPr="00493E4F">
        <w:rPr>
          <w:b/>
          <w:noProof/>
        </w:rPr>
        <w:t>Keywords</w:t>
      </w:r>
      <w:r w:rsidRPr="00493E4F">
        <w:rPr>
          <w:b/>
        </w:rPr>
        <w:t xml:space="preserve">: </w:t>
      </w:r>
      <w:bookmarkStart w:id="2" w:name="OLE_LINK3"/>
      <w:bookmarkStart w:id="3" w:name="OLE_LINK4"/>
      <w:r w:rsidRPr="00493E4F">
        <w:t>Community-based Health Insurance; Out-of-pocket payments, Healthcare financing</w:t>
      </w:r>
      <w:bookmarkEnd w:id="2"/>
      <w:bookmarkEnd w:id="3"/>
      <w:r w:rsidRPr="00493E4F">
        <w:t>, Informal workers, Bangladesh</w:t>
      </w:r>
    </w:p>
    <w:p w14:paraId="224807C2" w14:textId="77777777" w:rsidR="007B185D" w:rsidRPr="00493E4F" w:rsidRDefault="007B185D" w:rsidP="00B004E6">
      <w:pPr>
        <w:spacing w:after="120" w:line="480" w:lineRule="auto"/>
        <w:jc w:val="both"/>
        <w:rPr>
          <w:color w:val="000000"/>
        </w:rPr>
      </w:pPr>
    </w:p>
    <w:p w14:paraId="405E7525" w14:textId="77777777" w:rsidR="00383E46" w:rsidRPr="00493E4F" w:rsidRDefault="00383E46">
      <w:pPr>
        <w:spacing w:after="200" w:line="276" w:lineRule="auto"/>
        <w:rPr>
          <w:b/>
        </w:rPr>
      </w:pPr>
      <w:r w:rsidRPr="00493E4F">
        <w:rPr>
          <w:b/>
        </w:rPr>
        <w:br w:type="page"/>
      </w:r>
    </w:p>
    <w:p w14:paraId="02C0D3DA" w14:textId="77777777" w:rsidR="00AC4668" w:rsidRPr="00493E4F" w:rsidRDefault="00BE3A1D" w:rsidP="003F286C">
      <w:pPr>
        <w:spacing w:after="200" w:line="276" w:lineRule="auto"/>
        <w:rPr>
          <w:rFonts w:eastAsiaTheme="majorEastAsia"/>
          <w:b/>
          <w:bCs/>
        </w:rPr>
      </w:pPr>
      <w:r w:rsidRPr="00493E4F">
        <w:rPr>
          <w:b/>
        </w:rPr>
        <w:lastRenderedPageBreak/>
        <w:t>Introduction</w:t>
      </w:r>
    </w:p>
    <w:p w14:paraId="3A8C09A5" w14:textId="107364F7" w:rsidR="008C193B" w:rsidRPr="00493E4F" w:rsidRDefault="006B1997" w:rsidP="00D724FB">
      <w:pPr>
        <w:spacing w:before="120" w:line="480" w:lineRule="auto"/>
        <w:jc w:val="both"/>
      </w:pPr>
      <w:r w:rsidRPr="00493E4F">
        <w:t>T</w:t>
      </w:r>
      <w:r w:rsidR="004E0C0E" w:rsidRPr="00493E4F">
        <w:t xml:space="preserve">he government of Bangladesh expressed its interest to work for achieving Universal Health Coverage (UHC) and taking actions </w:t>
      </w:r>
      <w:r w:rsidR="000B24A8" w:rsidRPr="00493E4F">
        <w:t>accordingly</w:t>
      </w:r>
      <w:r w:rsidR="00383E46" w:rsidRPr="00493E4F">
        <w:t>.</w:t>
      </w:r>
      <w:r w:rsidR="003A0B22" w:rsidRPr="00493E4F">
        <w:fldChar w:fldCharType="begin" w:fldLock="1"/>
      </w:r>
      <w:r w:rsidR="00B25CC4" w:rsidRPr="00493E4F">
        <w:instrText>ADDIN CSL_CITATION {"citationItems":[{"id":"ITEM-1","itemData":{"author":[{"dropping-particle":"","family":"MoHFW","given":"","non-dropping-particle":"","parse-names":false,"suffix":""}],"id":"ITEM-1","issued":{"date-parts":[["2012"]]},"publisher-place":"Dhaka","title":"Expanding Social Protection for Health: Towards Universal Coverage, Health Care Financing Strategy 2012-2032","type":"report"},"uris":["http://www.mendeley.com/documents/?uuid=420d4a3d-9f6d-4715-8a94-f21b33a27288"]}],"mendeley":{"formattedCitation":"&lt;sup&gt;1&lt;/sup&gt;","plainTextFormattedCitation":"1","previouslyFormattedCitation":"&lt;sup&gt;1&lt;/sup&gt;"},"properties":{"noteIndex":0},"schema":"https://github.com/citation-style-language/schema/raw/master/csl-citation.json"}</w:instrText>
      </w:r>
      <w:r w:rsidR="003A0B22" w:rsidRPr="00493E4F">
        <w:fldChar w:fldCharType="separate"/>
      </w:r>
      <w:r w:rsidR="00383E46" w:rsidRPr="00493E4F">
        <w:rPr>
          <w:noProof/>
          <w:vertAlign w:val="superscript"/>
        </w:rPr>
        <w:t>1</w:t>
      </w:r>
      <w:r w:rsidR="003A0B22" w:rsidRPr="00493E4F">
        <w:fldChar w:fldCharType="end"/>
      </w:r>
      <w:r w:rsidR="00CC3081" w:rsidRPr="00493E4F">
        <w:rPr>
          <w:noProof/>
        </w:rPr>
        <w:t xml:space="preserve"> </w:t>
      </w:r>
      <w:r w:rsidR="0025214A" w:rsidRPr="00493E4F">
        <w:rPr>
          <w:noProof/>
        </w:rPr>
        <w:t>Like</w:t>
      </w:r>
      <w:r w:rsidR="0025214A" w:rsidRPr="00493E4F">
        <w:t xml:space="preserve"> many </w:t>
      </w:r>
      <w:r w:rsidR="0025214A" w:rsidRPr="00493E4F">
        <w:rPr>
          <w:noProof/>
        </w:rPr>
        <w:t>low</w:t>
      </w:r>
      <w:r w:rsidR="0025214A" w:rsidRPr="00493E4F">
        <w:t>- and middle-income countries</w:t>
      </w:r>
      <w:r w:rsidR="00F0755D" w:rsidRPr="00493E4F">
        <w:t xml:space="preserve"> (LMICs)</w:t>
      </w:r>
      <w:r w:rsidR="0025214A" w:rsidRPr="00493E4F">
        <w:t xml:space="preserve">, </w:t>
      </w:r>
      <w:r w:rsidR="0032243E" w:rsidRPr="00493E4F">
        <w:t>out-of-pocket</w:t>
      </w:r>
      <w:r w:rsidR="00342C6D" w:rsidRPr="00493E4F">
        <w:t xml:space="preserve"> (OOP)</w:t>
      </w:r>
      <w:r w:rsidR="00AC4668" w:rsidRPr="00493E4F">
        <w:t xml:space="preserve"> health expenditure constitutes </w:t>
      </w:r>
      <w:r w:rsidR="0025214A" w:rsidRPr="00493E4F">
        <w:t>a large share (</w:t>
      </w:r>
      <w:r w:rsidR="009E2276" w:rsidRPr="00493E4F">
        <w:t>63.3</w:t>
      </w:r>
      <w:r w:rsidR="00AC4668" w:rsidRPr="00493E4F">
        <w:t>%</w:t>
      </w:r>
      <w:r w:rsidR="0025214A" w:rsidRPr="00493E4F">
        <w:t>)</w:t>
      </w:r>
      <w:r w:rsidR="00AC4668" w:rsidRPr="00493E4F">
        <w:t xml:space="preserve"> of total healthcare expenditur</w:t>
      </w:r>
      <w:r w:rsidR="0032243E" w:rsidRPr="00493E4F">
        <w:t>e</w:t>
      </w:r>
      <w:r w:rsidR="009C059C" w:rsidRPr="00493E4F">
        <w:t xml:space="preserve"> </w:t>
      </w:r>
      <w:r w:rsidR="003A0B22" w:rsidRPr="00493E4F">
        <w:fldChar w:fldCharType="begin" w:fldLock="1"/>
      </w:r>
      <w:r w:rsidR="00B25CC4" w:rsidRPr="00493E4F">
        <w:instrText>ADDIN CSL_CITATION {"citationItems":[{"id":"ITEM-1","itemData":{"DOI":"10.13140/RG.2.1.3951.6247","author":[{"dropping-particle":"","family":"MoHFW","given":"","non-dropping-particle":"","parse-names":false,"suffix":""}],"id":"ITEM-1","issue":"February 2, 2011","issued":{"date-parts":[["2015"]]},"publisher-place":"Dhaka","title":"Bangladesh National Health Accounts 1997 - 2012","type":"report"},"uris":["http://www.mendeley.com/documents/?uuid=4c40055a-ce1b-4661-ac8d-81140f240ff2"]}],"mendeley":{"formattedCitation":"&lt;sup&gt;2&lt;/sup&gt;","plainTextFormattedCitation":"2","previouslyFormattedCitation":"&lt;sup&gt;2&lt;/sup&gt;"},"properties":{"noteIndex":0},"schema":"https://github.com/citation-style-language/schema/raw/master/csl-citation.json"}</w:instrText>
      </w:r>
      <w:r w:rsidR="003A0B22" w:rsidRPr="00493E4F">
        <w:fldChar w:fldCharType="separate"/>
      </w:r>
      <w:r w:rsidR="00383E46" w:rsidRPr="00493E4F">
        <w:rPr>
          <w:noProof/>
          <w:vertAlign w:val="superscript"/>
        </w:rPr>
        <w:t>2</w:t>
      </w:r>
      <w:r w:rsidR="003A0B22" w:rsidRPr="00493E4F">
        <w:fldChar w:fldCharType="end"/>
      </w:r>
      <w:r w:rsidR="00AC4668" w:rsidRPr="00493E4F">
        <w:rPr>
          <w:noProof/>
        </w:rPr>
        <w:t>.</w:t>
      </w:r>
      <w:r w:rsidR="00CC3081" w:rsidRPr="00493E4F">
        <w:rPr>
          <w:noProof/>
        </w:rPr>
        <w:t xml:space="preserve"> </w:t>
      </w:r>
      <w:r w:rsidR="0025214A" w:rsidRPr="00493E4F">
        <w:rPr>
          <w:noProof/>
        </w:rPr>
        <w:t>Reliance</w:t>
      </w:r>
      <w:r w:rsidR="0025214A" w:rsidRPr="00493E4F">
        <w:t xml:space="preserve"> on OOP</w:t>
      </w:r>
      <w:r w:rsidR="00D25472" w:rsidRPr="00493E4F">
        <w:t xml:space="preserve"> payment</w:t>
      </w:r>
      <w:r w:rsidR="0025214A" w:rsidRPr="00493E4F">
        <w:t xml:space="preserve"> results in two divergences, firstly, it leads to </w:t>
      </w:r>
      <w:r w:rsidR="008E589D" w:rsidRPr="00493E4F">
        <w:t xml:space="preserve">the </w:t>
      </w:r>
      <w:r w:rsidR="00AC4668" w:rsidRPr="00493E4F">
        <w:t xml:space="preserve">catastrophic </w:t>
      </w:r>
      <w:r w:rsidR="0025214A" w:rsidRPr="00493E4F">
        <w:t xml:space="preserve">economic </w:t>
      </w:r>
      <w:r w:rsidR="00AC4668" w:rsidRPr="00493E4F">
        <w:t xml:space="preserve">burden </w:t>
      </w:r>
      <w:r w:rsidR="0025214A" w:rsidRPr="00493E4F">
        <w:t>o</w:t>
      </w:r>
      <w:r w:rsidR="000522AA" w:rsidRPr="00493E4F">
        <w:t>n</w:t>
      </w:r>
      <w:r w:rsidR="00AC4668" w:rsidRPr="00493E4F">
        <w:t xml:space="preserve"> households</w:t>
      </w:r>
      <w:r w:rsidR="003A0B22" w:rsidRPr="00493E4F">
        <w:fldChar w:fldCharType="begin" w:fldLock="1"/>
      </w:r>
      <w:r w:rsidR="00B25CC4" w:rsidRPr="00493E4F">
        <w:instrText>ADDIN CSL_CITATION {"citationItems":[{"id":"ITEM-1","itemData":{"ISBN":"1057-9230 (Print)","PMID":"17311356","abstract":"Out-of-pocket (OOP) payments are the principal means of financing health care throughout much of Asia. We estimate the magnitude and distribution of OOP payments for health care in fourteen countries and territories accounting for 81% of the Asian population. We focus on payments that are catastrophic, in the sense of severely disrupting household living standards, and approximate such payments by those absorbing a large fraction of household resources. Bangladesh, China, India, Nepal and Vietnam rely most heavily on OOP financing and have the highest incidence of catastrophic payments. Sri Lanka, Thailand and Malaysia stand out as low to middle income countries that have constrained both the OOP share of health financing and the catastrophic impact of direct payments. In most low/middle-income countries, the better-off are more likely to spend a large fraction of total household resources on health care. This may reflect the inability of the poorest of the poor to divert resources from other basic needs and possibly the protection of the poor from user charges offered in some countries. But in China, Kyrgyz and Vietnam, where there are no exemptions of the poor from charges, they are as, or even more, likely to incur catastrophic payments.","author":[{"dropping-particle":"","family":"Doorslaer","given":"Eddy","non-dropping-particle":"Van","parse-names":false,"suffix":""},{"dropping-particle":"","family":"O'Donnell","given":"O","non-dropping-particle":"","parse-names":false,"suffix":""},{"dropping-particle":"","family":"Rannan-Eliya","given":"R P","non-dropping-particle":"","parse-names":false,"suffix":""},{"dropping-particle":"","family":"Somanathan","given":"A","non-dropping-particle":"","parse-names":false,"suffix":""},{"dropping-particle":"","family":"Adhikari","given":"S R","non-dropping-particle":"","parse-names":false,"suffix":""},{"dropping-particle":"","family":"Garg","given":"C C","non-dropping-particle":"","parse-names":false,"suffix":""},{"dropping-particle":"","family":"Harbianto","given":"D","non-dropping-particle":"","parse-names":false,"suffix":""},{"dropping-particle":"","family":"Herrin","given":"A N","non-dropping-particle":"","parse-names":false,"suffix":""},{"dropping-particle":"","family":"Huq","given":"M N","non-dropping-particle":"","parse-names":false,"suffix":""},{"dropping-particle":"","family":"Ibragimova","given":"S","non-dropping-particle":"","parse-names":false,"suffix":""},{"dropping-particle":"","family":"Karan","given":"A","non-dropping-particle":"","parse-names":false,"suffix":""},{"dropping-particle":"","family":"Lee","given":"T J","non-dropping-particle":"","parse-names":false,"suffix":""},{"dropping-particle":"","family":"Leung","given":"G M","non-dropping-particle":"","parse-names":false,"suffix":""},{"dropping-particle":"","family":"Lu","given":"J F","non-dropping-particle":"","parse-names":false,"suffix":""},{"dropping-particle":"","family":"Ng","given":"C W","non-dropping-particle":"","parse-names":false,"suffix":""},{"dropping-particle":"","family":"Pande","given":"B R","non-dropping-particle":"","parse-names":false,"suffix":""},{"dropping-particle":"","family":"Racelis","given":"R","non-dropping-particle":"","parse-names":false,"suffix":""},{"dropping-particle":"","family":"Tao","given":"S","non-dropping-particle":"","parse-names":false,"suffix":""},{"dropping-particle":"","family":"Tin","given":"K","non-dropping-particle":"","parse-names":false,"suffix":""},{"dropping-particle":"","family":"Tisayaticom","given":"K","non-dropping-particle":"","parse-names":false,"suffix":""},{"dropping-particle":"","family":"Trisnantoro","given":"L","non-dropping-particle":"","parse-names":false,"suffix":""},{"dropping-particle":"","family":"Vasavid","given":"C","non-dropping-particle":"","parse-names":false,"suffix":""},{"dropping-particle":"","family":"Zhao","given":"Y","non-dropping-particle":"","parse-names":false,"suffix":""}],"container-title":"Health Econ","id":"ITEM-1","issue":"11","issued":{"date-parts":[["2007"]]},"page":"1159-1184","title":"Catastrophic payments for health care in Asia","type":"article-journal","volume":"16"},"uris":["http://www.mendeley.com/documents/?uuid=4ba50cfc-ee24-42d3-b725-e85f0cee6e1d"]}],"mendeley":{"formattedCitation":"&lt;sup&gt;3&lt;/sup&gt;","plainTextFormattedCitation":"3","previouslyFormattedCitation":"&lt;sup&gt;3&lt;/sup&gt;"},"properties":{"noteIndex":0},"schema":"https://github.com/citation-style-language/schema/raw/master/csl-citation.json"}</w:instrText>
      </w:r>
      <w:r w:rsidR="003A0B22" w:rsidRPr="00493E4F">
        <w:fldChar w:fldCharType="separate"/>
      </w:r>
      <w:r w:rsidR="00383E46" w:rsidRPr="00493E4F">
        <w:rPr>
          <w:noProof/>
          <w:vertAlign w:val="superscript"/>
        </w:rPr>
        <w:t>3</w:t>
      </w:r>
      <w:r w:rsidR="003A0B22" w:rsidRPr="00493E4F">
        <w:fldChar w:fldCharType="end"/>
      </w:r>
      <w:r w:rsidR="003D1678" w:rsidRPr="00493E4F">
        <w:t xml:space="preserve"> </w:t>
      </w:r>
      <w:r w:rsidR="0025214A" w:rsidRPr="00493E4F">
        <w:t>and secondly</w:t>
      </w:r>
      <w:r w:rsidR="008E589D" w:rsidRPr="00493E4F">
        <w:t>,</w:t>
      </w:r>
      <w:r w:rsidR="006B7E81" w:rsidRPr="00493E4F">
        <w:t xml:space="preserve"> </w:t>
      </w:r>
      <w:r w:rsidR="008E589D" w:rsidRPr="00493E4F">
        <w:rPr>
          <w:noProof/>
        </w:rPr>
        <w:t>inability</w:t>
      </w:r>
      <w:r w:rsidR="00CC3081" w:rsidRPr="00493E4F">
        <w:rPr>
          <w:noProof/>
        </w:rPr>
        <w:t xml:space="preserve"> </w:t>
      </w:r>
      <w:r w:rsidR="0025214A" w:rsidRPr="00493E4F">
        <w:rPr>
          <w:noProof/>
        </w:rPr>
        <w:t>to</w:t>
      </w:r>
      <w:r w:rsidR="0025214A" w:rsidRPr="00493E4F">
        <w:t xml:space="preserve"> pay for adequate healthcare at the </w:t>
      </w:r>
      <w:r w:rsidR="008E589D" w:rsidRPr="00493E4F">
        <w:t xml:space="preserve">point of </w:t>
      </w:r>
      <w:r w:rsidR="0025214A" w:rsidRPr="00493E4F">
        <w:t xml:space="preserve">service </w:t>
      </w:r>
      <w:r w:rsidR="007E64D5" w:rsidRPr="00493E4F">
        <w:t xml:space="preserve">by low-income people which results in </w:t>
      </w:r>
      <w:r w:rsidR="007E64D5" w:rsidRPr="00493E4F">
        <w:rPr>
          <w:noProof/>
        </w:rPr>
        <w:t>unmet</w:t>
      </w:r>
      <w:r w:rsidR="007E64D5" w:rsidRPr="00493E4F">
        <w:t xml:space="preserve"> need of care</w:t>
      </w:r>
      <w:r w:rsidR="00383E46" w:rsidRPr="00493E4F">
        <w:t>.</w:t>
      </w:r>
      <w:r w:rsidR="003A0B22" w:rsidRPr="00493E4F">
        <w:fldChar w:fldCharType="begin" w:fldLock="1"/>
      </w:r>
      <w:r w:rsidR="00B25CC4" w:rsidRPr="00493E4F">
        <w:instrText>ADDIN CSL_CITATION {"citationItems":[{"id":"ITEM-1","itemData":{"DOI":"10.2105/AJPH.2009.182022","ISBN":"1541-0048","ISSN":"00900036","PMID":"20558789","abstract":"Objectives. We examined the extent of unmet needs and barriers to accessing health care among homeless people within a universal health insurance system. Methods. We randomly selected a representative sample of 1169 homeless individuals at shelters and meal programs in Toronto, Ontario. We determined the prevalence of self-reported unmet needs for health care in the past 12 months and used regression analyses to identify factors associated with unmet needs. Results. Unmet health care needs were reported by 17% of participants. Compared with Toronto's general population, unmet needs were significantly more common among homeless individuals, particularly among homeless women with dependent children. Factors independently associated with a greater likelihood of unmet needs were younger age, having been a victim of physical assault in the past 12 months, and lower mental and physical health scores on the 12-Item Short Form Health Survey. Conclusions. Within a system of universal health insurance, homeless people still encounter barriers to obtaining health care. Strategies to reduce nonfinancial barriers faced by homeless women with children, younger adults, and recent victims of physical assault should be explored","author":[{"dropping-particle":"","family":"Hwang","given":"Stephen W.","non-dropping-particle":"","parse-names":false,"suffix":""},{"dropping-particle":"","family":"Ueng","given":"Joanna J M","non-dropping-particle":"","parse-names":false,"suffix":""},{"dropping-particle":"","family":"Chiu","given":"Shirley","non-dropping-particle":"","parse-names":false,"suffix":""},{"dropping-particle":"","family":"Kiss","given":"Alex","non-dropping-particle":"","parse-names":false,"suffix":""},{"dropping-particle":"","family":"Tolomiczenko","given":"George","non-dropping-particle":"","parse-names":false,"suffix":""},{"dropping-particle":"","family":"Cowan","given":"Laura","non-dropping-particle":"","parse-names":false,"suffix":""},{"dropping-particle":"","family":"Levinson","given":"Wendy","non-dropping-particle":"","parse-names":false,"suffix":""},{"dropping-particle":"","family":"Redeimeier","given":"Donald A.","non-dropping-particle":"","parse-names":false,"suffix":""}],"container-title":"American Journal of Public Health","id":"ITEM-1","issue":"8","issued":{"date-parts":[["2010"]]},"page":"1454-1461","title":"Universal health insurance and health care access for homeless persons","type":"article-journal","volume":"100"},"uris":["http://www.mendeley.com/documents/?uuid=9fb2bce6-93e5-4cc4-9dca-4e2a260765fc","http://www.mendeley.com/documents/?uuid=94606265-8d68-4261-bd5f-0386691b1f80"]}],"mendeley":{"formattedCitation":"&lt;sup&gt;4&lt;/sup&gt;","plainTextFormattedCitation":"4","previouslyFormattedCitation":"&lt;sup&gt;4&lt;/sup&gt;"},"properties":{"noteIndex":0},"schema":"https://github.com/citation-style-language/schema/raw/master/csl-citation.json"}</w:instrText>
      </w:r>
      <w:r w:rsidR="003A0B22" w:rsidRPr="00493E4F">
        <w:fldChar w:fldCharType="separate"/>
      </w:r>
      <w:r w:rsidR="00383E46" w:rsidRPr="00493E4F">
        <w:rPr>
          <w:noProof/>
          <w:vertAlign w:val="superscript"/>
        </w:rPr>
        <w:t>4</w:t>
      </w:r>
      <w:r w:rsidR="003A0B22" w:rsidRPr="00493E4F">
        <w:fldChar w:fldCharType="end"/>
      </w:r>
      <w:r w:rsidR="00AC4668" w:rsidRPr="00493E4F">
        <w:t xml:space="preserve"> </w:t>
      </w:r>
      <w:r w:rsidR="008E589D" w:rsidRPr="00493E4F">
        <w:t>This effect often leads</w:t>
      </w:r>
      <w:r w:rsidR="00785884" w:rsidRPr="00493E4F">
        <w:t xml:space="preserve"> low-income people </w:t>
      </w:r>
      <w:r w:rsidR="008E589D" w:rsidRPr="00493E4F">
        <w:rPr>
          <w:noProof/>
        </w:rPr>
        <w:t>to</w:t>
      </w:r>
      <w:r w:rsidR="00CC3081" w:rsidRPr="00493E4F">
        <w:rPr>
          <w:noProof/>
        </w:rPr>
        <w:t xml:space="preserve"> </w:t>
      </w:r>
      <w:r w:rsidR="00785884" w:rsidRPr="00493E4F">
        <w:rPr>
          <w:noProof/>
        </w:rPr>
        <w:t>seek</w:t>
      </w:r>
      <w:r w:rsidR="00785884" w:rsidRPr="00493E4F">
        <w:t xml:space="preserve"> healthcare from </w:t>
      </w:r>
      <w:r w:rsidR="00686EB5" w:rsidRPr="00493E4F">
        <w:t>un</w:t>
      </w:r>
      <w:r w:rsidR="00731728" w:rsidRPr="00493E4F">
        <w:t>trained</w:t>
      </w:r>
      <w:r w:rsidR="007E64D5" w:rsidRPr="00493E4F">
        <w:t xml:space="preserve"> </w:t>
      </w:r>
      <w:r w:rsidR="007E64D5" w:rsidRPr="00493E4F">
        <w:rPr>
          <w:noProof/>
        </w:rPr>
        <w:t>healthcare</w:t>
      </w:r>
      <w:r w:rsidR="00CC3081" w:rsidRPr="00493E4F">
        <w:rPr>
          <w:noProof/>
        </w:rPr>
        <w:t xml:space="preserve"> </w:t>
      </w:r>
      <w:r w:rsidR="00785884" w:rsidRPr="00493E4F">
        <w:rPr>
          <w:noProof/>
        </w:rPr>
        <w:t>providers</w:t>
      </w:r>
      <w:r w:rsidR="00785884" w:rsidRPr="00493E4F">
        <w:t>, which in many cases result</w:t>
      </w:r>
      <w:r w:rsidR="008E589D" w:rsidRPr="00493E4F">
        <w:t>s</w:t>
      </w:r>
      <w:r w:rsidR="00785884" w:rsidRPr="00493E4F">
        <w:t xml:space="preserve"> in adverse effect</w:t>
      </w:r>
      <w:r w:rsidR="008E589D" w:rsidRPr="00493E4F">
        <w:t>s</w:t>
      </w:r>
      <w:r w:rsidR="00785884" w:rsidRPr="00493E4F">
        <w:t xml:space="preserve"> </w:t>
      </w:r>
      <w:r w:rsidR="00785884" w:rsidRPr="00493E4F">
        <w:rPr>
          <w:noProof/>
        </w:rPr>
        <w:t>o</w:t>
      </w:r>
      <w:r w:rsidR="00CC3081" w:rsidRPr="00493E4F">
        <w:rPr>
          <w:noProof/>
        </w:rPr>
        <w:t>n</w:t>
      </w:r>
      <w:r w:rsidR="00785884" w:rsidRPr="00493E4F">
        <w:t xml:space="preserve"> health or </w:t>
      </w:r>
      <w:r w:rsidR="00344AD8" w:rsidRPr="00493E4F">
        <w:t>inadequacy of required health</w:t>
      </w:r>
      <w:r w:rsidR="00785884" w:rsidRPr="00493E4F">
        <w:t xml:space="preserve">care </w:t>
      </w:r>
      <w:r w:rsidR="007E64D5" w:rsidRPr="00493E4F">
        <w:rPr>
          <w:noProof/>
        </w:rPr>
        <w:t xml:space="preserve">considering </w:t>
      </w:r>
      <w:r w:rsidR="00CC3081" w:rsidRPr="00493E4F">
        <w:rPr>
          <w:noProof/>
        </w:rPr>
        <w:t>need</w:t>
      </w:r>
      <w:r w:rsidR="00383E46" w:rsidRPr="00493E4F">
        <w:rPr>
          <w:noProof/>
        </w:rPr>
        <w:t>.</w:t>
      </w:r>
      <w:r w:rsidR="003A0B22" w:rsidRPr="00493E4F">
        <w:fldChar w:fldCharType="begin" w:fldLock="1"/>
      </w:r>
      <w:r w:rsidR="00B25CC4" w:rsidRPr="00493E4F">
        <w:instrText>ADDIN CSL_CITATION {"citationItems":[{"id":"ITEM-1","itemData":{"DOI":"S0102-311X2007001200003 [pii]","ISBN":"0102-311X (Print)\\r0102-311X (Linking)","ISSN":"0102-311X","PMID":"18157324","abstract":"Effective health care interventions are underutilized in the developing world, and income-related disparities in use are large. The evidence concerning this access problem is summarized and its demand side causes are identified. Broad strategies that have been proposed to tackle the access problem through changes in economic incentives are considered. It is argued that there is a need to go beyond the identification of broad strategies to the design and evaluation of specific policy measures. Only through experimentation and evaluation will we learn what works in raising health care utilization, particularly among the poor in the developing world.","author":[{"dropping-particle":"","family":"Donnell","given":"Owen O","non-dropping-particle":"","parse-names":false,"suffix":""}],"container-title":"Cad Saude Publica.","id":"ITEM-1","issue":"12","issued":{"date-parts":[["2007"]]},"page":"2820-2834","title":"Access to health care in developing countries : breaking down demand side barriers","type":"article-journal","volume":"23"},"uris":["http://www.mendeley.com/documents/?uuid=7327648c-3d53-4fb0-b499-900730bb43b9","http://www.mendeley.com/documents/?uuid=6131f9d4-c7d3-4f8e-829a-4e2b3e1d308f"]}],"mendeley":{"formattedCitation":"&lt;sup&gt;5&lt;/sup&gt;","plainTextFormattedCitation":"5","previouslyFormattedCitation":"&lt;sup&gt;5&lt;/sup&gt;"},"properties":{"noteIndex":0},"schema":"https://github.com/citation-style-language/schema/raw/master/csl-citation.json"}</w:instrText>
      </w:r>
      <w:r w:rsidR="003A0B22" w:rsidRPr="00493E4F">
        <w:fldChar w:fldCharType="separate"/>
      </w:r>
      <w:r w:rsidR="00383E46" w:rsidRPr="00493E4F">
        <w:rPr>
          <w:noProof/>
          <w:vertAlign w:val="superscript"/>
        </w:rPr>
        <w:t>5</w:t>
      </w:r>
      <w:r w:rsidR="003A0B22" w:rsidRPr="00493E4F">
        <w:fldChar w:fldCharType="end"/>
      </w:r>
      <w:r w:rsidR="00785884" w:rsidRPr="00493E4F">
        <w:t xml:space="preserve"> </w:t>
      </w:r>
      <w:r w:rsidR="00041E5B" w:rsidRPr="00493E4F">
        <w:t>The c</w:t>
      </w:r>
      <w:r w:rsidR="00785884" w:rsidRPr="00493E4F">
        <w:t xml:space="preserve">atastrophic health expenditure and </w:t>
      </w:r>
      <w:r w:rsidR="00344AD8" w:rsidRPr="00493E4F">
        <w:t>inadequacy of health</w:t>
      </w:r>
      <w:r w:rsidR="00785884" w:rsidRPr="00493E4F">
        <w:t>care</w:t>
      </w:r>
      <w:r w:rsidR="0025214A" w:rsidRPr="00493E4F">
        <w:t xml:space="preserve"> address the “financial risk protection”</w:t>
      </w:r>
      <w:r w:rsidR="00041E5B" w:rsidRPr="00493E4F">
        <w:t xml:space="preserve"> and “service coverage”</w:t>
      </w:r>
      <w:r w:rsidR="0025214A" w:rsidRPr="00493E4F">
        <w:t xml:space="preserve"> dimension of </w:t>
      </w:r>
      <w:r w:rsidR="00D25472" w:rsidRPr="00493E4F">
        <w:t>UHC</w:t>
      </w:r>
      <w:r w:rsidR="00DD57DF" w:rsidRPr="00493E4F">
        <w:t xml:space="preserve"> respectively</w:t>
      </w:r>
      <w:r w:rsidR="00383E46" w:rsidRPr="00493E4F">
        <w:t>.</w:t>
      </w:r>
      <w:r w:rsidR="003A0B22" w:rsidRPr="00493E4F">
        <w:fldChar w:fldCharType="begin" w:fldLock="1"/>
      </w:r>
      <w:r w:rsidR="00B25CC4" w:rsidRPr="00493E4F">
        <w:instrText>ADDIN CSL_CITATION {"citationItems":[{"id":"ITEM-1","itemData":{"author":[{"dropping-particle":"","family":"WHO","given":"","non-dropping-particle":"","parse-names":false,"suffix":""}],"id":"ITEM-1","issued":{"date-parts":[["2010"]]},"publisher":"World Health Organisation","publisher-place":"Geneva","title":"The world health report: health systems financing: the path to universal coverage","type":"report"},"uris":["http://www.mendeley.com/documents/?uuid=6732c683-8f4d-42d0-a3c7-520481cab3ba"]}],"mendeley":{"formattedCitation":"&lt;sup&gt;6&lt;/sup&gt;","plainTextFormattedCitation":"6","previouslyFormattedCitation":"&lt;sup&gt;6&lt;/sup&gt;"},"properties":{"noteIndex":0},"schema":"https://github.com/citation-style-language/schema/raw/master/csl-citation.json"}</w:instrText>
      </w:r>
      <w:r w:rsidR="003A0B22" w:rsidRPr="00493E4F">
        <w:fldChar w:fldCharType="separate"/>
      </w:r>
      <w:r w:rsidR="00383E46" w:rsidRPr="00493E4F">
        <w:rPr>
          <w:noProof/>
          <w:vertAlign w:val="superscript"/>
        </w:rPr>
        <w:t>6</w:t>
      </w:r>
      <w:r w:rsidR="003A0B22" w:rsidRPr="00493E4F">
        <w:fldChar w:fldCharType="end"/>
      </w:r>
      <w:r w:rsidR="006B7E81" w:rsidRPr="00493E4F">
        <w:t xml:space="preserve"> </w:t>
      </w:r>
      <w:r w:rsidR="00CC7484" w:rsidRPr="00493E4F">
        <w:t>Therefore, the Sustainable Development Goals (SDG)</w:t>
      </w:r>
      <w:r w:rsidR="00227E47" w:rsidRPr="00493E4F">
        <w:t xml:space="preserve"> has</w:t>
      </w:r>
      <w:r w:rsidR="00DA24B9" w:rsidRPr="00493E4F">
        <w:t xml:space="preserve"> included</w:t>
      </w:r>
      <w:r w:rsidR="006B7E81" w:rsidRPr="00493E4F">
        <w:t xml:space="preserve"> </w:t>
      </w:r>
      <w:r w:rsidR="00CC7484" w:rsidRPr="00493E4F">
        <w:t xml:space="preserve">UHC </w:t>
      </w:r>
      <w:r w:rsidR="00DA24B9" w:rsidRPr="00493E4F">
        <w:t xml:space="preserve">(goal 3) </w:t>
      </w:r>
      <w:r w:rsidR="00CC7484" w:rsidRPr="00493E4F">
        <w:t>as an important agenda objective</w:t>
      </w:r>
      <w:r w:rsidR="00383E46" w:rsidRPr="00493E4F">
        <w:t>.</w:t>
      </w:r>
      <w:r w:rsidR="003A0B22" w:rsidRPr="00493E4F">
        <w:fldChar w:fldCharType="begin" w:fldLock="1"/>
      </w:r>
      <w:r w:rsidR="00B25CC4" w:rsidRPr="00493E4F">
        <w:instrText>ADDIN CSL_CITATION {"citationItems":[{"id":"ITEM-1","itemData":{"DOI":"10.1017/CBO9781107415324.004","ISBN":"9788578110796","ISSN":"1098-6596","PMID":"25246403","abstract":"1 Preamble This Agenda is a plan of action for people, planet and prosperity. It also seeks to strengthen universal peace in larger freedom. We recognise that eradicating poverty in all its forms and dimensions, including extreme poveliy, is the greatest global chaIlenge and an indispensable requirement for sustainable development. All countries and all stakeholders, acting in collaborative pminership, will implement this plan. We are resolved to fi'ee the human race from the tyranny ofpove11y and want and to heal and secure our planet. We are determined to take the bold and transformative steps which are urgently needed to shift the world onto a sustainable and resilient path. As we embark on this collective journey, we pledge that no one will be left behind. The 17 Sustainable Development Goals and 169 targets which we are announcing today demonstrate the scale and ambition of this new universal Agenda. They seek to build on the Millennium Development Goals and complete what these did not achieve. They seek to realize the human rights of all and to achieve gender equality and the empowerment of all women and girls. They are integrated and indivisible and balance the three dimensions of sustainable development: the economic, social and environmental. The Goals and targets will stimulate action over the next fifteen years in areas of critical importance for humanity and the planet:","author":[{"dropping-particle":"","family":"UN","given":"","non-dropping-particle":"","parse-names":false,"suffix":""}],"id":"ITEM-1","issued":{"date-parts":[["2015"]]},"publisher-place":"New York","title":"Transforming our World: The 2030 Agenda for Sustainable Development","type":"report"},"uris":["http://www.mendeley.com/documents/?uuid=19cbaa52-2f8f-4507-9f93-aa693d660810"]}],"mendeley":{"formattedCitation":"&lt;sup&gt;7&lt;/sup&gt;","plainTextFormattedCitation":"7","previouslyFormattedCitation":"&lt;sup&gt;7&lt;/sup&gt;"},"properties":{"noteIndex":0},"schema":"https://github.com/citation-style-language/schema/raw/master/csl-citation.json"}</w:instrText>
      </w:r>
      <w:r w:rsidR="003A0B22" w:rsidRPr="00493E4F">
        <w:fldChar w:fldCharType="separate"/>
      </w:r>
      <w:r w:rsidR="00383E46" w:rsidRPr="00493E4F">
        <w:rPr>
          <w:noProof/>
          <w:vertAlign w:val="superscript"/>
        </w:rPr>
        <w:t>7</w:t>
      </w:r>
      <w:r w:rsidR="003A0B22" w:rsidRPr="00493E4F">
        <w:fldChar w:fldCharType="end"/>
      </w:r>
      <w:r w:rsidR="00CC7484" w:rsidRPr="00493E4F">
        <w:t xml:space="preserve"> </w:t>
      </w:r>
      <w:r w:rsidR="007F5381" w:rsidRPr="00493E4F">
        <w:t>High</w:t>
      </w:r>
      <w:r w:rsidR="00DA24B9" w:rsidRPr="00493E4F">
        <w:t xml:space="preserve"> </w:t>
      </w:r>
      <w:r w:rsidR="00DA24B9" w:rsidRPr="00493E4F">
        <w:rPr>
          <w:noProof/>
        </w:rPr>
        <w:t>rel</w:t>
      </w:r>
      <w:r w:rsidR="00DD3AF8" w:rsidRPr="00493E4F">
        <w:rPr>
          <w:noProof/>
        </w:rPr>
        <w:t>i</w:t>
      </w:r>
      <w:r w:rsidR="007F5381" w:rsidRPr="00493E4F">
        <w:rPr>
          <w:noProof/>
        </w:rPr>
        <w:t>ance</w:t>
      </w:r>
      <w:r w:rsidR="00DA24B9" w:rsidRPr="00493E4F">
        <w:t xml:space="preserve"> on </w:t>
      </w:r>
      <w:r w:rsidR="00344AD8" w:rsidRPr="00493E4F">
        <w:rPr>
          <w:noProof/>
        </w:rPr>
        <w:t>OOP</w:t>
      </w:r>
      <w:r w:rsidR="00344AD8" w:rsidRPr="00493E4F">
        <w:t xml:space="preserve"> payments</w:t>
      </w:r>
      <w:r w:rsidR="00DA24B9" w:rsidRPr="00493E4F">
        <w:t xml:space="preserve"> </w:t>
      </w:r>
      <w:r w:rsidR="007F5381" w:rsidRPr="00493E4F">
        <w:t xml:space="preserve">is a challenge to achieve UHC </w:t>
      </w:r>
      <w:r w:rsidR="00DA24B9" w:rsidRPr="00493E4F">
        <w:t xml:space="preserve">since </w:t>
      </w:r>
      <w:r w:rsidR="00B83FF6" w:rsidRPr="00493E4F">
        <w:t xml:space="preserve">healthcare is considered as a luxury </w:t>
      </w:r>
      <w:r w:rsidR="00DA24B9" w:rsidRPr="00493E4F">
        <w:rPr>
          <w:noProof/>
        </w:rPr>
        <w:t>when</w:t>
      </w:r>
      <w:r w:rsidR="00DD3AF8" w:rsidRPr="00493E4F">
        <w:rPr>
          <w:noProof/>
        </w:rPr>
        <w:t xml:space="preserve"> </w:t>
      </w:r>
      <w:r w:rsidR="0011362D" w:rsidRPr="00493E4F">
        <w:rPr>
          <w:noProof/>
        </w:rPr>
        <w:t>utilizing</w:t>
      </w:r>
      <w:r w:rsidR="00DA24B9" w:rsidRPr="00493E4F">
        <w:t xml:space="preserve"> from</w:t>
      </w:r>
      <w:r w:rsidR="00B83FF6" w:rsidRPr="00493E4F">
        <w:t xml:space="preserve"> private</w:t>
      </w:r>
      <w:r w:rsidR="00DA24B9" w:rsidRPr="00493E4F">
        <w:t xml:space="preserve"> for-profit providers</w:t>
      </w:r>
      <w:r w:rsidR="004354E8" w:rsidRPr="00493E4F">
        <w:t xml:space="preserve"> without financial protection</w:t>
      </w:r>
      <w:r w:rsidR="00383E46" w:rsidRPr="00493E4F">
        <w:t>.</w:t>
      </w:r>
      <w:r w:rsidR="003A0B22" w:rsidRPr="00493E4F">
        <w:fldChar w:fldCharType="begin" w:fldLock="1"/>
      </w:r>
      <w:r w:rsidR="00B25CC4" w:rsidRPr="00493E4F">
        <w:instrText>ADDIN CSL_CITATION {"citationItems":[{"id":"ITEM-1","itemData":{"author":[{"dropping-particle":"","family":"Khan","given":"Jahangir A M","non-dropping-particle":"","parse-names":false,"suffix":""},{"dropping-particle":"","family":"Mahumud","given":"Rashidul Alam","non-dropping-particle":"","parse-names":false,"suffix":""}],"id":"ITEM-1","issued":{"date-parts":[["2015"]]},"title":"Is healthcare a ‘ Necessity ’ or ‘ Luxury ’ ? an empirical evidence from public and private sector analyses of South-East Asian countries ?","type":"article-journal"},"uris":["http://www.mendeley.com/documents/?uuid=04df87ec-b4af-46e4-b9aa-4c5577544549","http://www.mendeley.com/documents/?uuid=90b4a197-8930-4ef3-a014-a9003901fb73"]}],"mendeley":{"formattedCitation":"&lt;sup&gt;8&lt;/sup&gt;","plainTextFormattedCitation":"8","previouslyFormattedCitation":"&lt;sup&gt;8&lt;/sup&gt;"},"properties":{"noteIndex":0},"schema":"https://github.com/citation-style-language/schema/raw/master/csl-citation.json"}</w:instrText>
      </w:r>
      <w:r w:rsidR="003A0B22" w:rsidRPr="00493E4F">
        <w:fldChar w:fldCharType="separate"/>
      </w:r>
      <w:r w:rsidR="00383E46" w:rsidRPr="00493E4F">
        <w:rPr>
          <w:noProof/>
          <w:vertAlign w:val="superscript"/>
        </w:rPr>
        <w:t>8</w:t>
      </w:r>
      <w:r w:rsidR="003A0B22" w:rsidRPr="00493E4F">
        <w:fldChar w:fldCharType="end"/>
      </w:r>
      <w:r w:rsidR="00DD3AF8" w:rsidRPr="00493E4F">
        <w:rPr>
          <w:noProof/>
        </w:rPr>
        <w:t xml:space="preserve"> </w:t>
      </w:r>
      <w:r w:rsidR="00C51080" w:rsidRPr="00493E4F">
        <w:rPr>
          <w:noProof/>
        </w:rPr>
        <w:t>Furthermore</w:t>
      </w:r>
      <w:r w:rsidR="00C51080" w:rsidRPr="00493E4F">
        <w:t>,</w:t>
      </w:r>
      <w:r w:rsidR="00E425B4" w:rsidRPr="00493E4F">
        <w:rPr>
          <w:noProof/>
        </w:rPr>
        <w:t xml:space="preserve"> </w:t>
      </w:r>
      <w:r w:rsidR="00E425B4" w:rsidRPr="00493E4F">
        <w:t xml:space="preserve">the </w:t>
      </w:r>
      <w:r w:rsidR="00E425B4" w:rsidRPr="00493E4F">
        <w:rPr>
          <w:noProof/>
        </w:rPr>
        <w:t>accumulation</w:t>
      </w:r>
      <w:r w:rsidR="00E425B4" w:rsidRPr="00493E4F">
        <w:t xml:space="preserve"> of prepaid funds, for instance, tax, social insurance </w:t>
      </w:r>
      <w:r w:rsidR="00E425B4" w:rsidRPr="00493E4F">
        <w:rPr>
          <w:noProof/>
        </w:rPr>
        <w:t>contribution from</w:t>
      </w:r>
      <w:r w:rsidR="00E425B4" w:rsidRPr="00493E4F">
        <w:t xml:space="preserve"> informal workers is difficult</w:t>
      </w:r>
      <w:r w:rsidR="00BD22FD">
        <w:t xml:space="preserve"> as they often are not in the national income tax base</w:t>
      </w:r>
      <w:r w:rsidR="00E425B4" w:rsidRPr="00493E4F">
        <w:t>.</w:t>
      </w:r>
      <w:r w:rsidR="00B83FF6" w:rsidRPr="00493E4F">
        <w:t xml:space="preserve"> </w:t>
      </w:r>
      <w:r w:rsidR="00BD22FD">
        <w:t>A</w:t>
      </w:r>
      <w:r w:rsidR="00C35FF0" w:rsidRPr="00493E4F">
        <w:t xml:space="preserve">chieving </w:t>
      </w:r>
      <w:r w:rsidR="00C35FF0" w:rsidRPr="00493E4F">
        <w:rPr>
          <w:noProof/>
        </w:rPr>
        <w:t xml:space="preserve">UHC </w:t>
      </w:r>
      <w:r w:rsidR="00BD22FD">
        <w:rPr>
          <w:noProof/>
        </w:rPr>
        <w:t xml:space="preserve">is thus a challenge due to the difficulties of includig the </w:t>
      </w:r>
      <w:r w:rsidR="00B83FF6" w:rsidRPr="00493E4F">
        <w:t xml:space="preserve">informal </w:t>
      </w:r>
      <w:r w:rsidR="00C35FF0" w:rsidRPr="00493E4F">
        <w:rPr>
          <w:noProof/>
        </w:rPr>
        <w:t>workers</w:t>
      </w:r>
      <w:r w:rsidR="00B83FF6" w:rsidRPr="00493E4F">
        <w:t xml:space="preserve"> in Bangladesh</w:t>
      </w:r>
      <w:r w:rsidR="00C51080" w:rsidRPr="00493E4F">
        <w:t xml:space="preserve"> </w:t>
      </w:r>
      <w:r w:rsidR="00BD22FD">
        <w:t>in the</w:t>
      </w:r>
      <w:r w:rsidR="00C35FF0" w:rsidRPr="00493E4F">
        <w:t xml:space="preserve"> public financing</w:t>
      </w:r>
      <w:r w:rsidR="00BD22FD">
        <w:t xml:space="preserve"> system for healthcare.</w:t>
      </w:r>
      <w:r w:rsidR="00B83FF6" w:rsidRPr="00493E4F">
        <w:t xml:space="preserve"> This challenge has been recognized in the first ever healthcare financing strategy </w:t>
      </w:r>
      <w:r w:rsidR="00BD22FD">
        <w:t xml:space="preserve">of </w:t>
      </w:r>
      <w:r w:rsidR="00540322" w:rsidRPr="00493E4F">
        <w:t>Bangladesh</w:t>
      </w:r>
      <w:r w:rsidR="00383E46" w:rsidRPr="00493E4F">
        <w:t>.</w:t>
      </w:r>
      <w:r w:rsidR="003A0B22" w:rsidRPr="00493E4F">
        <w:fldChar w:fldCharType="begin" w:fldLock="1"/>
      </w:r>
      <w:r w:rsidR="00B25CC4" w:rsidRPr="00493E4F">
        <w:instrText>ADDIN CSL_CITATION {"citationItems":[{"id":"ITEM-1","itemData":{"author":[{"dropping-particle":"","family":"MoHFW","given":"","non-dropping-particle":"","parse-names":false,"suffix":""}],"id":"ITEM-1","issued":{"date-parts":[["2012"]]},"publisher-place":"Dhaka","title":"Expanding Social Protection for Health: Towards Universal Coverage, Health Care Financing Strategy 2012-2032","type":"report"},"uris":["http://www.mendeley.com/documents/?uuid=420d4a3d-9f6d-4715-8a94-f21b33a27288"]}],"mendeley":{"formattedCitation":"&lt;sup&gt;1&lt;/sup&gt;","plainTextFormattedCitation":"1","previouslyFormattedCitation":"&lt;sup&gt;1&lt;/sup&gt;"},"properties":{"noteIndex":0},"schema":"https://github.com/citation-style-language/schema/raw/master/csl-citation.json"}</w:instrText>
      </w:r>
      <w:r w:rsidR="003A0B22" w:rsidRPr="00493E4F">
        <w:fldChar w:fldCharType="separate"/>
      </w:r>
      <w:r w:rsidR="00383E46" w:rsidRPr="00493E4F">
        <w:rPr>
          <w:noProof/>
          <w:vertAlign w:val="superscript"/>
        </w:rPr>
        <w:t>1</w:t>
      </w:r>
      <w:r w:rsidR="003A0B22" w:rsidRPr="00493E4F">
        <w:fldChar w:fldCharType="end"/>
      </w:r>
      <w:r w:rsidR="00CE240C" w:rsidRPr="00493E4F">
        <w:rPr>
          <w:noProof/>
        </w:rPr>
        <w:t xml:space="preserve"> </w:t>
      </w:r>
      <w:r w:rsidR="00BD22FD">
        <w:rPr>
          <w:noProof/>
        </w:rPr>
        <w:t xml:space="preserve">However, value-added tax are being paid by all consumers irresepctive of </w:t>
      </w:r>
      <w:r w:rsidR="001E35D9">
        <w:rPr>
          <w:noProof/>
        </w:rPr>
        <w:t xml:space="preserve">their </w:t>
      </w:r>
      <w:r w:rsidR="00BD22FD">
        <w:rPr>
          <w:noProof/>
        </w:rPr>
        <w:t xml:space="preserve">employment status, which ultimately contribute to </w:t>
      </w:r>
      <w:r w:rsidR="001E35D9">
        <w:rPr>
          <w:noProof/>
        </w:rPr>
        <w:t xml:space="preserve">the public fund. </w:t>
      </w:r>
      <w:r w:rsidR="00AC4668" w:rsidRPr="00493E4F">
        <w:rPr>
          <w:noProof/>
        </w:rPr>
        <w:t>Government</w:t>
      </w:r>
      <w:r w:rsidR="00AC4668" w:rsidRPr="00493E4F">
        <w:t xml:space="preserve"> revenue through tax</w:t>
      </w:r>
      <w:r w:rsidR="008E589D" w:rsidRPr="00493E4F">
        <w:t>es</w:t>
      </w:r>
      <w:r w:rsidR="00F74A02" w:rsidRPr="00493E4F">
        <w:t xml:space="preserve"> for social health protection scheme</w:t>
      </w:r>
      <w:r w:rsidR="008E589D" w:rsidRPr="00493E4F">
        <w:t>s</w:t>
      </w:r>
      <w:r w:rsidR="00F74A02" w:rsidRPr="00493E4F">
        <w:t xml:space="preserve"> (along with funding from development partners)</w:t>
      </w:r>
      <w:r w:rsidR="00397284" w:rsidRPr="00493E4F">
        <w:t xml:space="preserve">, </w:t>
      </w:r>
      <w:r w:rsidR="00AC4668" w:rsidRPr="00493E4F">
        <w:t>micro</w:t>
      </w:r>
      <w:r w:rsidR="00C51080" w:rsidRPr="00493E4F">
        <w:t>-</w:t>
      </w:r>
      <w:r w:rsidR="00F74A02" w:rsidRPr="00493E4F">
        <w:t>or/and</w:t>
      </w:r>
      <w:r w:rsidR="00C51080" w:rsidRPr="00493E4F">
        <w:t xml:space="preserve"> community-based </w:t>
      </w:r>
      <w:r w:rsidR="00AC4668" w:rsidRPr="00493E4F">
        <w:t>health insurance</w:t>
      </w:r>
      <w:r w:rsidR="00DF2BA5" w:rsidRPr="00493E4F">
        <w:t xml:space="preserve"> (CBHI)</w:t>
      </w:r>
      <w:r w:rsidR="00AC4668" w:rsidRPr="00493E4F">
        <w:t xml:space="preserve"> are </w:t>
      </w:r>
      <w:r w:rsidR="002E298B" w:rsidRPr="00493E4F">
        <w:t xml:space="preserve">prioritized and </w:t>
      </w:r>
      <w:r w:rsidR="00AC4668" w:rsidRPr="00493E4F">
        <w:t xml:space="preserve">considered as </w:t>
      </w:r>
      <w:r w:rsidR="00777F60" w:rsidRPr="00493E4F">
        <w:t xml:space="preserve">the </w:t>
      </w:r>
      <w:r w:rsidR="00AC4668" w:rsidRPr="00493E4F">
        <w:t>po</w:t>
      </w:r>
      <w:r w:rsidR="00777F60" w:rsidRPr="00493E4F">
        <w:t>tential</w:t>
      </w:r>
      <w:r w:rsidR="00AC4668" w:rsidRPr="00493E4F">
        <w:t xml:space="preserve"> mechanisms for financing healthcare of low</w:t>
      </w:r>
      <w:r w:rsidR="00C51080" w:rsidRPr="00493E4F">
        <w:t>-</w:t>
      </w:r>
      <w:r w:rsidR="00AC4668" w:rsidRPr="00493E4F">
        <w:t>income people</w:t>
      </w:r>
      <w:r w:rsidR="00397284" w:rsidRPr="00493E4F">
        <w:t xml:space="preserve">. </w:t>
      </w:r>
      <w:r w:rsidR="00F74A02" w:rsidRPr="00493E4F">
        <w:t>L</w:t>
      </w:r>
      <w:r w:rsidR="00FD49F6" w:rsidRPr="00493E4F">
        <w:t xml:space="preserve">ike many </w:t>
      </w:r>
      <w:r w:rsidR="00695DB7" w:rsidRPr="00493E4F">
        <w:t>LMICs</w:t>
      </w:r>
      <w:r w:rsidR="002E298B" w:rsidRPr="00493E4F">
        <w:t xml:space="preserve">, </w:t>
      </w:r>
      <w:r w:rsidR="00EF22CA" w:rsidRPr="00493E4F">
        <w:rPr>
          <w:noProof/>
        </w:rPr>
        <w:t>the</w:t>
      </w:r>
      <w:r w:rsidR="005F0891" w:rsidRPr="00493E4F">
        <w:rPr>
          <w:noProof/>
        </w:rPr>
        <w:t xml:space="preserve"> </w:t>
      </w:r>
      <w:r w:rsidR="00F74A02" w:rsidRPr="00493E4F">
        <w:rPr>
          <w:noProof/>
        </w:rPr>
        <w:t>tax</w:t>
      </w:r>
      <w:r w:rsidR="00F74A02" w:rsidRPr="00493E4F">
        <w:t>-base in Bangladesh</w:t>
      </w:r>
      <w:r w:rsidR="005F0891" w:rsidRPr="00493E4F">
        <w:t xml:space="preserve"> </w:t>
      </w:r>
      <w:r w:rsidR="00AC4668" w:rsidRPr="00493E4F">
        <w:t xml:space="preserve">is </w:t>
      </w:r>
      <w:r w:rsidR="00FD49F6" w:rsidRPr="00493E4F">
        <w:t>small</w:t>
      </w:r>
      <w:r w:rsidR="00AC4668" w:rsidRPr="00493E4F">
        <w:t xml:space="preserve"> and </w:t>
      </w:r>
      <w:r w:rsidR="00C378FE" w:rsidRPr="00493E4F">
        <w:t xml:space="preserve">the </w:t>
      </w:r>
      <w:r w:rsidR="00AC4668" w:rsidRPr="00493E4F">
        <w:rPr>
          <w:noProof/>
        </w:rPr>
        <w:t>inclusion</w:t>
      </w:r>
      <w:r w:rsidR="00AC4668" w:rsidRPr="00493E4F">
        <w:t xml:space="preserve"> of low-income </w:t>
      </w:r>
      <w:r w:rsidR="00AC4668" w:rsidRPr="00493E4F">
        <w:lastRenderedPageBreak/>
        <w:t>people</w:t>
      </w:r>
      <w:r w:rsidR="001E35D9">
        <w:t>, particularly the</w:t>
      </w:r>
      <w:r w:rsidR="00AC4668" w:rsidRPr="00493E4F">
        <w:t xml:space="preserve"> informal workers</w:t>
      </w:r>
      <w:r w:rsidR="001E35D9">
        <w:t>,</w:t>
      </w:r>
      <w:r w:rsidR="00AC4668" w:rsidRPr="00493E4F">
        <w:t xml:space="preserve"> in </w:t>
      </w:r>
      <w:r w:rsidR="005F0891" w:rsidRPr="00493E4F">
        <w:t xml:space="preserve">the </w:t>
      </w:r>
      <w:r w:rsidR="00AC4668" w:rsidRPr="00493E4F">
        <w:rPr>
          <w:noProof/>
        </w:rPr>
        <w:t>tax</w:t>
      </w:r>
      <w:r w:rsidR="00AC4668" w:rsidRPr="00493E4F">
        <w:t xml:space="preserve"> system is still a challenge</w:t>
      </w:r>
      <w:r w:rsidR="009E367A" w:rsidRPr="00493E4F">
        <w:t>.</w:t>
      </w:r>
      <w:r w:rsidR="00AC4668" w:rsidRPr="00493E4F">
        <w:t xml:space="preserve"> </w:t>
      </w:r>
      <w:r w:rsidR="009E367A" w:rsidRPr="00493E4F">
        <w:t xml:space="preserve">The </w:t>
      </w:r>
      <w:r w:rsidR="00C04162" w:rsidRPr="00493E4F">
        <w:t>CBHI</w:t>
      </w:r>
      <w:r w:rsidR="0084052F" w:rsidRPr="00493E4F">
        <w:t xml:space="preserve"> </w:t>
      </w:r>
      <w:r w:rsidR="00AC4668" w:rsidRPr="00493E4F">
        <w:t>c</w:t>
      </w:r>
      <w:r w:rsidR="00EF22CA" w:rsidRPr="00493E4F">
        <w:t>ould</w:t>
      </w:r>
      <w:r w:rsidR="0084052F" w:rsidRPr="00493E4F">
        <w:t xml:space="preserve"> </w:t>
      </w:r>
      <w:r w:rsidR="00AC4668" w:rsidRPr="00493E4F">
        <w:t xml:space="preserve">be a </w:t>
      </w:r>
      <w:r w:rsidR="00EF22CA" w:rsidRPr="00493E4F">
        <w:t>suitable</w:t>
      </w:r>
      <w:r w:rsidR="00AC4668" w:rsidRPr="00493E4F">
        <w:t xml:space="preserve"> mechanism</w:t>
      </w:r>
      <w:r w:rsidR="008E589D" w:rsidRPr="00493E4F">
        <w:t xml:space="preserve"> to achieve their goals</w:t>
      </w:r>
      <w:r w:rsidR="002E298B" w:rsidRPr="00493E4F">
        <w:t xml:space="preserve">. </w:t>
      </w:r>
      <w:r w:rsidR="00A909E6" w:rsidRPr="00493E4F">
        <w:t>The CBHI schemes are often criticized for its small size to function effectively</w:t>
      </w:r>
      <w:r w:rsidR="005405C2" w:rsidRPr="00493E4F">
        <w:t xml:space="preserve"> for</w:t>
      </w:r>
      <w:r w:rsidR="0084052F" w:rsidRPr="00493E4F">
        <w:t xml:space="preserve"> </w:t>
      </w:r>
      <w:r w:rsidR="00A909E6" w:rsidRPr="00493E4F">
        <w:t>risk pool</w:t>
      </w:r>
      <w:r w:rsidR="005405C2" w:rsidRPr="00493E4F">
        <w:t>ing</w:t>
      </w:r>
      <w:r w:rsidR="00A909E6" w:rsidRPr="00493E4F">
        <w:t>.</w:t>
      </w:r>
      <w:r w:rsidR="007D7C61" w:rsidRPr="00493E4F">
        <w:t xml:space="preserve"> This type of scheme has limited coverage </w:t>
      </w:r>
      <w:r w:rsidR="005405C2" w:rsidRPr="00493E4F">
        <w:t xml:space="preserve">and often excluded </w:t>
      </w:r>
      <w:r w:rsidR="007D7C61" w:rsidRPr="00493E4F">
        <w:t xml:space="preserve">expensive </w:t>
      </w:r>
      <w:r w:rsidR="006940CF" w:rsidRPr="00493E4F">
        <w:t>treatment</w:t>
      </w:r>
      <w:r w:rsidR="007D7C61" w:rsidRPr="00493E4F">
        <w:t xml:space="preserve"> such as surgery</w:t>
      </w:r>
      <w:r w:rsidR="000508F9" w:rsidRPr="00493E4F">
        <w:t>.</w:t>
      </w:r>
      <w:r w:rsidR="003A0B22" w:rsidRPr="00493E4F">
        <w:fldChar w:fldCharType="begin" w:fldLock="1"/>
      </w:r>
      <w:r w:rsidR="00B25CC4" w:rsidRPr="00493E4F">
        <w:instrText>ADDIN CSL_CITATION {"citationItems":[{"id":"ITEM-1","itemData":{"author":[{"dropping-particle":"","family":"WHO","given":"","non-dropping-particle":"","parse-names":false,"suffix":""}],"id":"ITEM-1","issued":{"date-parts":[["2010"]]},"publisher":"World Health Organisation","publisher-place":"Geneva","title":"The world health report: health systems financing: the path to universal coverage","type":"report"},"uris":["http://www.mendeley.com/documents/?uuid=6732c683-8f4d-42d0-a3c7-520481cab3ba"]}],"mendeley":{"formattedCitation":"&lt;sup&gt;6&lt;/sup&gt;","plainTextFormattedCitation":"6","previouslyFormattedCitation":"&lt;sup&gt;6&lt;/sup&gt;"},"properties":{"noteIndex":0},"schema":"https://github.com/citation-style-language/schema/raw/master/csl-citation.json"}</w:instrText>
      </w:r>
      <w:r w:rsidR="003A0B22" w:rsidRPr="00493E4F">
        <w:fldChar w:fldCharType="separate"/>
      </w:r>
      <w:r w:rsidR="00383E46" w:rsidRPr="00493E4F">
        <w:rPr>
          <w:noProof/>
          <w:vertAlign w:val="superscript"/>
        </w:rPr>
        <w:t>6</w:t>
      </w:r>
      <w:r w:rsidR="003A0B22" w:rsidRPr="00493E4F">
        <w:fldChar w:fldCharType="end"/>
      </w:r>
      <w:r w:rsidR="00843B8D" w:rsidRPr="00493E4F">
        <w:t xml:space="preserve"> However, </w:t>
      </w:r>
      <w:r w:rsidR="0073530D" w:rsidRPr="00493E4F">
        <w:t>such</w:t>
      </w:r>
      <w:r w:rsidR="00843B8D" w:rsidRPr="00493E4F">
        <w:t xml:space="preserve"> </w:t>
      </w:r>
      <w:r w:rsidR="0084052F" w:rsidRPr="00493E4F">
        <w:t xml:space="preserve">a </w:t>
      </w:r>
      <w:r w:rsidR="00843B8D" w:rsidRPr="00493E4F">
        <w:t xml:space="preserve">scheme is still useful to expand protection against the financial risk of ill health where </w:t>
      </w:r>
      <w:r w:rsidR="0078007C" w:rsidRPr="00493E4F">
        <w:rPr>
          <w:noProof/>
        </w:rPr>
        <w:t>other</w:t>
      </w:r>
      <w:r w:rsidR="0078007C" w:rsidRPr="00493E4F">
        <w:t xml:space="preserve"> prepayment scheme</w:t>
      </w:r>
      <w:r w:rsidR="00C378FE" w:rsidRPr="00493E4F">
        <w:t>s</w:t>
      </w:r>
      <w:r w:rsidR="0078007C" w:rsidRPr="00493E4F">
        <w:t xml:space="preserve"> </w:t>
      </w:r>
      <w:r w:rsidR="00C378FE" w:rsidRPr="00493E4F">
        <w:t>are</w:t>
      </w:r>
      <w:r w:rsidR="0078007C" w:rsidRPr="00493E4F">
        <w:t xml:space="preserve"> limited or difficult to implement</w:t>
      </w:r>
      <w:r w:rsidR="000508F9" w:rsidRPr="00493E4F">
        <w:t>.</w:t>
      </w:r>
      <w:r w:rsidR="003A0B22" w:rsidRPr="00493E4F">
        <w:fldChar w:fldCharType="begin" w:fldLock="1"/>
      </w:r>
      <w:r w:rsidR="00B25CC4" w:rsidRPr="00493E4F">
        <w:instrText>ADDIN CSL_CITATION {"citationItems":[{"id":"ITEM-1","itemData":{"author":[{"dropping-particle":"","family":"WHO","given":"","non-dropping-particle":"","parse-names":false,"suffix":""}],"id":"ITEM-1","issued":{"date-parts":[["2010"]]},"publisher":"World Health Organisation","publisher-place":"Geneva","title":"The world health report: health systems financing: the path to universal coverage","type":"report"},"uris":["http://www.mendeley.com/documents/?uuid=6732c683-8f4d-42d0-a3c7-520481cab3ba"]}],"mendeley":{"formattedCitation":"&lt;sup&gt;6&lt;/sup&gt;","plainTextFormattedCitation":"6","previouslyFormattedCitation":"&lt;sup&gt;6&lt;/sup&gt;"},"properties":{"noteIndex":0},"schema":"https://github.com/citation-style-language/schema/raw/master/csl-citation.json"}</w:instrText>
      </w:r>
      <w:r w:rsidR="003A0B22" w:rsidRPr="00493E4F">
        <w:fldChar w:fldCharType="separate"/>
      </w:r>
      <w:r w:rsidR="00383E46" w:rsidRPr="00493E4F">
        <w:rPr>
          <w:noProof/>
          <w:vertAlign w:val="superscript"/>
        </w:rPr>
        <w:t>6</w:t>
      </w:r>
      <w:r w:rsidR="003A0B22" w:rsidRPr="00493E4F">
        <w:fldChar w:fldCharType="end"/>
      </w:r>
      <w:r w:rsidR="00730115" w:rsidRPr="00493E4F">
        <w:t xml:space="preserve"> </w:t>
      </w:r>
      <w:bookmarkStart w:id="4" w:name="_Hlk14711358"/>
      <w:r w:rsidR="00730115" w:rsidRPr="00493E4F">
        <w:t>Some studies reported</w:t>
      </w:r>
      <w:r w:rsidR="005E1D01" w:rsidRPr="00493E4F">
        <w:t xml:space="preserve"> that CBHI scheme are vulnerable to </w:t>
      </w:r>
      <w:r w:rsidR="00730115" w:rsidRPr="00493E4F">
        <w:t xml:space="preserve">adverse selection </w:t>
      </w:r>
      <w:r w:rsidR="0033585A" w:rsidRPr="00493E4F">
        <w:t xml:space="preserve">due to </w:t>
      </w:r>
      <w:r w:rsidR="0033585A" w:rsidRPr="00493E4F">
        <w:rPr>
          <w:noProof/>
        </w:rPr>
        <w:t>it</w:t>
      </w:r>
      <w:r w:rsidR="00E71FE8" w:rsidRPr="00493E4F">
        <w:rPr>
          <w:noProof/>
        </w:rPr>
        <w:t>’</w:t>
      </w:r>
      <w:r w:rsidR="00B86345" w:rsidRPr="00493E4F">
        <w:rPr>
          <w:noProof/>
        </w:rPr>
        <w:t>s</w:t>
      </w:r>
      <w:r w:rsidR="0033585A" w:rsidRPr="00493E4F">
        <w:t xml:space="preserve"> </w:t>
      </w:r>
      <w:r w:rsidR="00AA224A" w:rsidRPr="00493E4F">
        <w:t>voluntary nature</w:t>
      </w:r>
      <w:r w:rsidR="000508F9" w:rsidRPr="00493E4F">
        <w:t>.</w:t>
      </w:r>
      <w:bookmarkEnd w:id="4"/>
      <w:r w:rsidR="003A0B22" w:rsidRPr="00493E4F">
        <w:fldChar w:fldCharType="begin" w:fldLock="1"/>
      </w:r>
      <w:r w:rsidR="00B25CC4" w:rsidRPr="00493E4F">
        <w:instrText>ADDIN CSL_CITATION {"citationItems":[{"id":"ITEM-1","itemData":{"DOI":"10.1186/1472-6963-12-181","ISSN":"1472-6963","PMID":"22741549","abstract":"BACKGROUND: Although most community-based health insurance (CBHI) schemes are voluntary, problem of adverse selection is hardly studied. Evidence on the impact of targeted subsidies on adverse selection is completely missing. This paper investigates adverse selection in a CBHI scheme in Burkina Faso. First, we studied the change in adverse selection over a period of 4 years. Second, we studied the effect of targeted subsidies on adverse selection.\n\nMETHODS: The study area, covering 41 villages and 1 town, was divided into 33 clusters and CBHI was randomly offered to these clusters during 2004-06. In 2007, premium subsidies were offered to the poor households. The data was collected by a household panel survey 2004-2007 from randomly selected households in these 33 clusters (n = 6795). We applied fixed effect models.\n\nRESULTS: We found weak evidence of adverse selection before the implementation of subsidies. Adverse selection significantly increased the next year and targeted subsidies largely explained this increase.\n\nCONCLUSIONS: Adverse selection is an important concern for any voluntary health insurance scheme. Targeted subsidies are often used as a tool to pursue the vision of universal coverage. At the same time targeted subsidies are also associated with increased adverse selection as found in this study. Therefore, it's essential that targeted subsidies for poor (or other high-risk groups) must be accompanied with a sound plan to bridge the financial gap due to adverse selection so that these schemes can continue to serve these populations.","author":[{"dropping-particle":"","family":"Parmar","given":"Divya","non-dropping-particle":"","parse-names":false,"suffix":""},{"dropping-particle":"","family":"Souares","given":"Aurélia","non-dropping-particle":"","parse-names":false,"suffix":""},{"dropping-particle":"","family":"Allegri","given":"Manuela","non-dropping-particle":"de","parse-names":false,"suffix":""},{"dropping-particle":"","family":"Savadogo","given":"Germain","non-dropping-particle":"","parse-names":false,"suffix":""},{"dropping-particle":"","family":"Sauerborn","given":"Rainer","non-dropping-particle":"","parse-names":false,"suffix":""}],"container-title":"BMC health services research","id":"ITEM-1","issued":{"date-parts":[["2012","1"]]},"page":"181","title":"Adverse selection in a community-based health insurance scheme in rural Africa: implications for introducing targeted subsidies.","type":"article-journal","volume":"12"},"uris":["http://www.mendeley.com/documents/?uuid=c24f39f0-be31-4ed4-8525-2930fcea03bd"]},{"id":"ITEM-2","itemData":{"DOI":"10.1016/j.socscimed.2006.03.008","ISBN":"0277-9536 (Print)\\r0277-9536 (Linking)","ISSN":"02779536","PMID":"16635541","abstract":"This study examines adverse selection in a subsidized voluntary health insurance scheme, the Rural Mutual Health Care (RMHC) scheme, in a poor rural area of China. The study was made possible by a unique longitudinal data set: the total sample includes 3492 rural residents from 1020 households. Logistic regression was employed for the data analysis. The results show that although this subsidized scheme achieved a considerable high enrollment rate of 71% of rural residents, adverse selection still exists. In general, individuals with worse health status are more likely to enroll in RMHC than individuals with better health status. Although the household is set as the enrollment unit for the RMHC for the purpose of reducing adverse selection, nearly 1/3 of enrolled households are actually only partially enrolled. Furthermore, we found that adverse selection mainly occurs in partially enrolled households. The non-enrolled individuals in partially enrolled households have the best health status, while the enrolled individuals in partially enrolled households have the worst health status. Pre-RMHC, medical expenditure for enrolled individuals in partially enrolled households was 206.6 yuan per capita per year, which is 1.7 times as much as the pre-RMHC medical expenditure for non-enrolled individuals in partially enrolled households. The study also reveals that the pre-enrolled medical expenditure per capita per year of enrolled individuals was 9.6% higher than the pre-enrolled medical expenditure of all residents, including both enrolled and non-enrolled individuals. In conclusion, although the subsidized RMHC scheme reached a very high enrollment rate and the household is set as the enrollment unit for the purpose of reducing adverse selection, adverse selection still exists, especially within partially enrolled households. Voluntary RMHC will not be financially sustainable if the adverse selection is not fully taken into account. ?? 2006 Elsevier Ltd. All rights reserved.","author":[{"dropping-particle":"","family":"Wang","given":"Hong","non-dropping-particle":"","parse-names":false,"suffix":""},{"dropping-particle":"","family":"Zhang","given":"Licheng","non-dropping-particle":"","parse-names":false,"suffix":""},{"dropping-particle":"","family":"Yip","given":"Winnie","non-dropping-particle":"","parse-names":false,"suffix":""},{"dropping-particle":"","family":"Hsiao","given":"William","non-dropping-particle":"","parse-names":false,"suffix":""}],"container-title":"Social Science and Medicine","id":"ITEM-2","issue":"5","issued":{"date-parts":[["2006"]]},"page":"1236-1245","title":"Adverse selection in a voluntary Rural Mutual Health Care health insurance scheme in China","type":"article-journal","volume":"63"},"uris":["http://www.mendeley.com/documents/?uuid=6cefeaff-fcf3-42ca-9111-6618436c9d5a"]},{"id":"ITEM-3","itemData":{"DOI":"10.3390/ijerph15020242","author":[{"dropping-particle":"","family":"Ahmed","given":"Sayem","non-dropping-particle":"","parse-names":false,"suffix":""},{"dropping-particle":"","family":"Sarker","given":"AR Abdur Razzaque","non-dropping-particle":"","parse-names":false,"suffix":""},{"dropping-particle":"","family":"Sultana","given":"Marufa","non-dropping-particle":"","parse-names":false,"suffix":""},{"dropping-particle":"","family":"Chakrovorty","given":"Sanchita","non-dropping-particle":"","parse-names":false,"suffix":""},{"dropping-particle":"","family":"Hasan","given":"Md. Zahid MZ","non-dropping-particle":"","parse-names":false,"suffix":""},{"dropping-particle":"","family":"Mirelman","given":"AJ Andrew J","non-dropping-particle":"","parse-names":false,"suffix":""},{"dropping-particle":"","family":"Khan","given":"JAM Jahangir A M","non-dropping-particle":"","parse-names":false,"suffix":""}],"container-title":"International Journal of Environmental Research and Public Health","id":"ITEM-3","issue":"2","issued":{"date-parts":[["2018"]]},"title":"Adverse Selection in Community Based Health Insurance among Informal Workers in Bangladesh: An EQ-5D Assessment","type":"article-journal","volume":"15"},"uris":["http://www.mendeley.com/documents/?uuid=a21a30c0-5443-4b98-af50-df2f3936a4b1"]}],"mendeley":{"formattedCitation":"&lt;sup&gt;9–11&lt;/sup&gt;","plainTextFormattedCitation":"9–11","previouslyFormattedCitation":"&lt;sup&gt;9–11&lt;/sup&gt;"},"properties":{"noteIndex":0},"schema":"https://github.com/citation-style-language/schema/raw/master/csl-citation.json"}</w:instrText>
      </w:r>
      <w:r w:rsidR="003A0B22" w:rsidRPr="00493E4F">
        <w:fldChar w:fldCharType="separate"/>
      </w:r>
      <w:r w:rsidR="00B25CC4" w:rsidRPr="00493E4F">
        <w:rPr>
          <w:noProof/>
          <w:vertAlign w:val="superscript"/>
        </w:rPr>
        <w:t>9–11</w:t>
      </w:r>
      <w:r w:rsidR="003A0B22" w:rsidRPr="00493E4F">
        <w:fldChar w:fldCharType="end"/>
      </w:r>
      <w:r w:rsidR="00B00596" w:rsidRPr="00493E4F">
        <w:t xml:space="preserve"> </w:t>
      </w:r>
      <w:r w:rsidR="00730115" w:rsidRPr="00493E4F">
        <w:t xml:space="preserve">However, careful designing of </w:t>
      </w:r>
      <w:r w:rsidR="00FA29C7" w:rsidRPr="00493E4F">
        <w:t xml:space="preserve">the </w:t>
      </w:r>
      <w:r w:rsidR="00730115" w:rsidRPr="00493E4F">
        <w:t xml:space="preserve">scheme may be useful to </w:t>
      </w:r>
      <w:r w:rsidR="005405C2" w:rsidRPr="00493E4F">
        <w:t>diminish</w:t>
      </w:r>
      <w:r w:rsidR="00730115" w:rsidRPr="00493E4F">
        <w:t xml:space="preserve"> such </w:t>
      </w:r>
      <w:r w:rsidR="00730115" w:rsidRPr="00493E4F">
        <w:rPr>
          <w:noProof/>
        </w:rPr>
        <w:t>problem</w:t>
      </w:r>
      <w:r w:rsidR="00C378FE" w:rsidRPr="00493E4F">
        <w:rPr>
          <w:noProof/>
        </w:rPr>
        <w:t>s</w:t>
      </w:r>
      <w:r w:rsidR="00730115" w:rsidRPr="00493E4F">
        <w:t>.</w:t>
      </w:r>
    </w:p>
    <w:p w14:paraId="295AC24E" w14:textId="3553EC9C" w:rsidR="003C42AF" w:rsidRPr="00493E4F" w:rsidRDefault="00AC4668" w:rsidP="00D724FB">
      <w:pPr>
        <w:spacing w:before="120" w:line="480" w:lineRule="auto"/>
        <w:jc w:val="both"/>
      </w:pPr>
      <w:r w:rsidRPr="00493E4F">
        <w:t xml:space="preserve">For mitigating the </w:t>
      </w:r>
      <w:r w:rsidR="00004480" w:rsidRPr="00493E4F">
        <w:t xml:space="preserve">consequences </w:t>
      </w:r>
      <w:r w:rsidR="00004480" w:rsidRPr="00493E4F">
        <w:rPr>
          <w:noProof/>
        </w:rPr>
        <w:t>of</w:t>
      </w:r>
      <w:r w:rsidR="0084052F" w:rsidRPr="00493E4F">
        <w:rPr>
          <w:noProof/>
        </w:rPr>
        <w:t xml:space="preserve"> OOP</w:t>
      </w:r>
      <w:r w:rsidR="002E298B" w:rsidRPr="00493E4F">
        <w:t xml:space="preserve"> </w:t>
      </w:r>
      <w:r w:rsidRPr="00493E4F">
        <w:t xml:space="preserve">payment, risk-pooling mechanisms are recommended for financing </w:t>
      </w:r>
      <w:r w:rsidRPr="00493E4F">
        <w:rPr>
          <w:noProof/>
        </w:rPr>
        <w:t>healthcare</w:t>
      </w:r>
      <w:r w:rsidRPr="00493E4F">
        <w:t xml:space="preserve">. </w:t>
      </w:r>
      <w:r w:rsidR="00A909E6" w:rsidRPr="00493E4F">
        <w:t xml:space="preserve">However, the inclusion of informal workers in risk pooling mechanisms (e.g. </w:t>
      </w:r>
      <w:r w:rsidR="005405C2" w:rsidRPr="00493E4F">
        <w:t>social</w:t>
      </w:r>
      <w:r w:rsidR="00A909E6" w:rsidRPr="00493E4F">
        <w:t xml:space="preserve"> health insurance) is a challenge because of their </w:t>
      </w:r>
      <w:r w:rsidR="00A909E6" w:rsidRPr="00493E4F">
        <w:rPr>
          <w:noProof/>
        </w:rPr>
        <w:t>irregular</w:t>
      </w:r>
      <w:r w:rsidR="002808FF" w:rsidRPr="00493E4F">
        <w:rPr>
          <w:noProof/>
        </w:rPr>
        <w:t xml:space="preserve"> income </w:t>
      </w:r>
      <w:r w:rsidR="00A909E6" w:rsidRPr="00493E4F">
        <w:rPr>
          <w:noProof/>
        </w:rPr>
        <w:t>and</w:t>
      </w:r>
      <w:r w:rsidR="00A909E6" w:rsidRPr="00493E4F">
        <w:t xml:space="preserve"> the difficulty of collecting contributions from them through </w:t>
      </w:r>
      <w:r w:rsidR="00C378FE" w:rsidRPr="00493E4F">
        <w:t xml:space="preserve">the </w:t>
      </w:r>
      <w:r w:rsidR="00A909E6" w:rsidRPr="00493E4F">
        <w:rPr>
          <w:noProof/>
        </w:rPr>
        <w:t>tax</w:t>
      </w:r>
      <w:r w:rsidR="00A909E6" w:rsidRPr="00493E4F">
        <w:t xml:space="preserve"> system</w:t>
      </w:r>
      <w:r w:rsidR="00B25CC4" w:rsidRPr="00493E4F">
        <w:t>.</w:t>
      </w:r>
      <w:r w:rsidR="003A0B22" w:rsidRPr="00493E4F">
        <w:fldChar w:fldCharType="begin" w:fldLock="1"/>
      </w:r>
      <w:r w:rsidR="005E1DD1" w:rsidRPr="00493E4F">
        <w:instrText>ADDIN CSL_CITATION {"citationItems":[{"id":"ITEM-1","itemData":{"DOI":"10.13140/RG.2.1.1153.3040","author":[{"dropping-particle":"","family":"Vargas","given":"Veronica","non-dropping-particle":"","parse-names":false,"suffix":""},{"dropping-particle":"","family":"Begum","given":"Tahmina","non-dropping-particle":"","parse-names":false,"suffix":""},{"dropping-particle":"","family":"Ahmed","given":"Sayem","non-dropping-particle":"","parse-names":false,"suffix":""},{"dropping-particle":"","family":"Smith","given":"Owen","non-dropping-particle":"","parse-names":false,"suffix":""}],"id":"ITEM-1","issued":{"date-parts":[["2016"]]},"publisher-place":"Washington D.C.","title":"Fiscal Space for Health in Bangladesh","type":"report"},"uris":["http://www.mendeley.com/documents/?uuid=480faa3f-8aa5-4860-8022-b4a675970a76"]},{"id":"ITEM-2","itemData":{"abstract":"EQUITY IN HEALTH CARE FINANCING IN GHANA Candidate: James Akazili Thesis presented for the degree of DOCTOR OF PHILOSOPHY in the Health Economics Unit School of Public Health and Family Medicine Faculty of Health Sciences UNIVERSITY OF CAPE TOWN May 2010","author":[{"dropping-particle":"","family":"Akazili","given":"James","non-dropping-particle":"","parse-names":false,"suffix":""}],"id":"ITEM-2","issued":{"date-parts":[["2010"]]},"publisher":"University of Cape Town","publisher-place":"Cape Town","title":"Equity in health care financing in Ghana","type":"report"},"uris":["http://www.mendeley.com/documents/?uuid=5d3ef499-f6fe-41a4-a9f3-83a70dc6eeb2","http://www.mendeley.com/documents/?uuid=3bd669c3-96d4-4e5a-9036-598ffdfb84d6"]}],"mendeley":{"formattedCitation":"&lt;sup&gt;12,13&lt;/sup&gt;","plainTextFormattedCitation":"12,13","previouslyFormattedCitation":"&lt;sup&gt;12,13&lt;/sup&gt;"},"properties":{"noteIndex":0},"schema":"https://github.com/citation-style-language/schema/raw/master/csl-citation.json"}</w:instrText>
      </w:r>
      <w:r w:rsidR="003A0B22" w:rsidRPr="00493E4F">
        <w:fldChar w:fldCharType="separate"/>
      </w:r>
      <w:r w:rsidR="00B25CC4" w:rsidRPr="00493E4F">
        <w:rPr>
          <w:noProof/>
          <w:vertAlign w:val="superscript"/>
        </w:rPr>
        <w:t>12,13</w:t>
      </w:r>
      <w:r w:rsidR="003A0B22" w:rsidRPr="00493E4F">
        <w:fldChar w:fldCharType="end"/>
      </w:r>
      <w:r w:rsidR="002808FF" w:rsidRPr="00493E4F">
        <w:rPr>
          <w:noProof/>
        </w:rPr>
        <w:t xml:space="preserve"> </w:t>
      </w:r>
      <w:r w:rsidR="00F872EF" w:rsidRPr="00493E4F">
        <w:rPr>
          <w:noProof/>
        </w:rPr>
        <w:t>Occupational</w:t>
      </w:r>
      <w:r w:rsidR="00F872EF" w:rsidRPr="00493E4F">
        <w:t xml:space="preserve"> associations and cooperative</w:t>
      </w:r>
      <w:r w:rsidR="005405C2" w:rsidRPr="00493E4F">
        <w:t>s</w:t>
      </w:r>
      <w:r w:rsidR="00F872EF" w:rsidRPr="00493E4F">
        <w:t xml:space="preserve"> c</w:t>
      </w:r>
      <w:r w:rsidR="005405C2" w:rsidRPr="00493E4F">
        <w:t>ould</w:t>
      </w:r>
      <w:r w:rsidR="00F872EF" w:rsidRPr="00493E4F">
        <w:t xml:space="preserve"> be a base for engaging such workers for </w:t>
      </w:r>
      <w:r w:rsidR="00F872EF" w:rsidRPr="00493E4F">
        <w:rPr>
          <w:noProof/>
        </w:rPr>
        <w:t>healthcare</w:t>
      </w:r>
      <w:r w:rsidR="00F872EF" w:rsidRPr="00493E4F">
        <w:t xml:space="preserve"> financing</w:t>
      </w:r>
      <w:r w:rsidR="00B25CC4" w:rsidRPr="00493E4F">
        <w:t>.</w:t>
      </w:r>
      <w:r w:rsidR="003A0B22" w:rsidRPr="00493E4F">
        <w:fldChar w:fldCharType="begin" w:fldLock="1"/>
      </w:r>
      <w:r w:rsidR="00B25CC4" w:rsidRPr="00493E4F">
        <w:instrText>ADDIN CSL_CITATION {"citationItems":[{"id":"ITEM-1","itemData":{"author":[{"dropping-particle":"","family":"Devadasan","given":"N","non-dropping-particle":"","parse-names":false,"suffix":""},{"dropping-particle":"","family":"Nandraj","given":"MS","non-dropping-particle":"","parse-names":false,"suffix":""}],"container-title":"Institute of Public Health, Bangalore","id":"ITEM-1","issued":{"date-parts":[["2006"]]},"title":"Planning and implementing health insurance programme in India","type":"article-journal"},"uris":["http://www.mendeley.com/documents/?uuid=92eb0fad-9bf7-4536-9177-2307268fd9e8"]},{"id":"ITEM-2","itemData":{"DOI":"10.1186/2191-1991-3-12","ISSN":"2191-1991","PMID":"23628206","abstract":"BACKGROUND: The reliance on out-of-pocket payments for health services leads to a catastrophic burden for many households in Bangladesh. The World Health Organization suggests that risk-pooling mechanisms should be used for financing healthcare. Like many low-income countries (LIC), a large share of employment in Bangladesh is in the informal sector (88%). Inclusion of these workers in health insurance is a big challenge. Among other barriers, the \"literacy gap\" for health insurance\" is a reason for the low insurance uptake in Bangladesh. The aim of this study is, therefore, to assess the impact of an educational intervention on willingness-to-pay (WTP) for health insurance among informal sector workers in urban Bangladesh. METHOD: An educational intervention on occupational solidarity and health insurance is offered to groups of informal workers. Educational sessions take place once a week (3-4 hours) during three subsequent weeks for each occupational group. For assessing the impact of the educational intervention, WTP for joining health insurance using occupational solidarity between workers in \"pre- and post-treatment\" periods as well as between \"control and treatment\" groups were compared. Multiple-regression analysis is applied for predicting WTP by educational intervention, while controlling for demographic and socioeconomic characteristics. RESULTS: The coefficient of variation (CoV) of the WTP is estimated in control and treatment groups and expected to be lower in the latter. The WTP for health insurance is higher (33.8%) among workers who joined the educational intervention in comparison with those who did not (control group). CoV of WTP is found to be generally lower in post-treatment period and in treatment group compared to pre-treatment period and control group respectively. CONCLUSION: Educational interventions can be used for increasing demand for health insurance scheme using occupational solidarity among informal sector workers.","author":[{"dropping-particle":"","family":"Khan","given":"Jahangir AM","non-dropping-particle":"","parse-names":false,"suffix":""},{"dropping-particle":"","family":"Ahmed","given":"Sayem","non-dropping-particle":"","parse-names":false,"suffix":""}],"container-title":"Health Economics Review","id":"ITEM-2","issue":"1","issued":{"date-parts":[["2013","1"]]},"page":"12","title":"Impact of educational intervention on willingness-to-pay for health insurance: A study of informal sector workers in urban Bangladesh","type":"article-journal","volume":"3"},"uris":["http://www.mendeley.com/documents/?uuid=d1c5f769-a553-437e-8343-e35496964622"]},{"id":"ITEM-3","itemData":{"abstract":"EQUITY IN HEALTH CARE FINANCING IN GHANA Candidate: James Akazili Thesis presented for the degree of DOCTOR OF PHILOSOPHY in the Health Economics Unit School of Public Health and Family Medicine Faculty of Health Sciences UNIVERSITY OF CAPE TOWN May 2010","author":[{"dropping-particle":"","family":"Akazili","given":"James","non-dropping-particle":"","parse-names":false,"suffix":""}],"id":"ITEM-3","issued":{"date-parts":[["2010"]]},"publisher":"University of Cape Town","publisher-place":"Cape Town","title":"Equity in health care financing in Ghana","type":"report"},"uris":["http://www.mendeley.com/documents/?uuid=3bd669c3-96d4-4e5a-9036-598ffdfb84d6","http://www.mendeley.com/documents/?uuid=5d3ef499-f6fe-41a4-a9f3-83a70dc6eeb2"]}],"mendeley":{"formattedCitation":"&lt;sup&gt;13–15&lt;/sup&gt;","plainTextFormattedCitation":"13–15","previouslyFormattedCitation":"&lt;sup&gt;13–15&lt;/sup&gt;"},"properties":{"noteIndex":0},"schema":"https://github.com/citation-style-language/schema/raw/master/csl-citation.json"}</w:instrText>
      </w:r>
      <w:r w:rsidR="003A0B22" w:rsidRPr="00493E4F">
        <w:fldChar w:fldCharType="separate"/>
      </w:r>
      <w:r w:rsidR="00B25CC4" w:rsidRPr="00493E4F">
        <w:rPr>
          <w:noProof/>
          <w:vertAlign w:val="superscript"/>
        </w:rPr>
        <w:t>13–15</w:t>
      </w:r>
      <w:r w:rsidR="003A0B22" w:rsidRPr="00493E4F">
        <w:fldChar w:fldCharType="end"/>
      </w:r>
      <w:r w:rsidR="00F872EF" w:rsidRPr="00493E4F">
        <w:t xml:space="preserve"> Th</w:t>
      </w:r>
      <w:r w:rsidR="00C37073" w:rsidRPr="00493E4F">
        <w:t>is</w:t>
      </w:r>
      <w:r w:rsidR="00F872EF" w:rsidRPr="00493E4F">
        <w:t xml:space="preserve"> study thus aims to evaluate a pilot </w:t>
      </w:r>
      <w:r w:rsidR="00B00596" w:rsidRPr="00493E4F">
        <w:t xml:space="preserve">CBHI scheme of informal workers to </w:t>
      </w:r>
      <w:r w:rsidR="00B00596" w:rsidRPr="00493E4F">
        <w:rPr>
          <w:rFonts w:eastAsia="MS Mincho"/>
          <w:lang w:val="en-US"/>
        </w:rPr>
        <w:t xml:space="preserve">estimate </w:t>
      </w:r>
      <w:r w:rsidR="00F44D53" w:rsidRPr="00493E4F">
        <w:rPr>
          <w:rFonts w:eastAsia="MS Mincho"/>
          <w:lang w:val="en-US"/>
        </w:rPr>
        <w:t xml:space="preserve">its </w:t>
      </w:r>
      <w:r w:rsidR="00D2471F" w:rsidRPr="00493E4F">
        <w:rPr>
          <w:rFonts w:eastAsia="MS Mincho"/>
          <w:noProof/>
          <w:lang w:val="en-US"/>
        </w:rPr>
        <w:t>effect</w:t>
      </w:r>
      <w:r w:rsidR="002808FF" w:rsidRPr="00493E4F">
        <w:rPr>
          <w:rFonts w:eastAsia="MS Mincho"/>
          <w:noProof/>
          <w:lang w:val="en-US"/>
        </w:rPr>
        <w:t xml:space="preserve"> </w:t>
      </w:r>
      <w:r w:rsidR="00B00596" w:rsidRPr="00493E4F">
        <w:rPr>
          <w:rFonts w:eastAsia="MS Mincho"/>
          <w:noProof/>
          <w:lang w:val="en-US"/>
        </w:rPr>
        <w:t>on</w:t>
      </w:r>
      <w:r w:rsidR="00B00596" w:rsidRPr="00493E4F">
        <w:rPr>
          <w:rFonts w:eastAsia="MS Mincho"/>
          <w:lang w:val="en-US"/>
        </w:rPr>
        <w:t xml:space="preserve"> </w:t>
      </w:r>
      <w:r w:rsidR="005405C2" w:rsidRPr="00493E4F">
        <w:rPr>
          <w:rFonts w:eastAsia="MS Mincho"/>
          <w:lang w:val="en-US"/>
        </w:rPr>
        <w:t xml:space="preserve">the </w:t>
      </w:r>
      <w:r w:rsidR="00B00596" w:rsidRPr="00493E4F">
        <w:rPr>
          <w:rFonts w:eastAsia="MS Mincho"/>
          <w:lang w:val="en-US"/>
        </w:rPr>
        <w:t xml:space="preserve">magnitude of OOP payments for healthcare </w:t>
      </w:r>
      <w:r w:rsidR="00B00596" w:rsidRPr="00493E4F">
        <w:t xml:space="preserve">while utilizing </w:t>
      </w:r>
      <w:r w:rsidR="00BA6021" w:rsidRPr="00493E4F">
        <w:t>services f</w:t>
      </w:r>
      <w:r w:rsidR="000F5D5B" w:rsidRPr="00493E4F">
        <w:t>r</w:t>
      </w:r>
      <w:r w:rsidR="00BA6021" w:rsidRPr="00493E4F">
        <w:t>o</w:t>
      </w:r>
      <w:r w:rsidR="000F5D5B" w:rsidRPr="00493E4F">
        <w:t xml:space="preserve">m the </w:t>
      </w:r>
      <w:r w:rsidR="00F85286" w:rsidRPr="00493E4F">
        <w:t>medically trained</w:t>
      </w:r>
      <w:r w:rsidR="00517ABB" w:rsidRPr="00493E4F">
        <w:t xml:space="preserve"> providers</w:t>
      </w:r>
      <w:r w:rsidR="00904A14" w:rsidRPr="00493E4F">
        <w:t xml:space="preserve"> (MTPs)</w:t>
      </w:r>
      <w:r w:rsidR="00B00596" w:rsidRPr="00493E4F">
        <w:rPr>
          <w:noProof/>
        </w:rPr>
        <w:t>.</w:t>
      </w:r>
      <w:r w:rsidR="002808FF" w:rsidRPr="00493E4F">
        <w:rPr>
          <w:noProof/>
        </w:rPr>
        <w:t xml:space="preserve"> </w:t>
      </w:r>
      <w:r w:rsidR="00BA6021" w:rsidRPr="00493E4F">
        <w:rPr>
          <w:noProof/>
        </w:rPr>
        <w:t>Since</w:t>
      </w:r>
      <w:r w:rsidR="00BA6021" w:rsidRPr="00493E4F">
        <w:t xml:space="preserve"> </w:t>
      </w:r>
      <w:r w:rsidR="002808FF" w:rsidRPr="00493E4F">
        <w:t xml:space="preserve">the </w:t>
      </w:r>
      <w:r w:rsidR="00EE4A37" w:rsidRPr="00493E4F">
        <w:rPr>
          <w:noProof/>
        </w:rPr>
        <w:t>quality</w:t>
      </w:r>
      <w:r w:rsidR="00EE4A37" w:rsidRPr="00493E4F">
        <w:t xml:space="preserve"> of care is for </w:t>
      </w:r>
      <w:r w:rsidR="00BA6021" w:rsidRPr="00493E4F">
        <w:t>UHC mission</w:t>
      </w:r>
      <w:r w:rsidR="00EE4A37" w:rsidRPr="00493E4F">
        <w:t>, our investigation focus</w:t>
      </w:r>
      <w:r w:rsidR="00E71FE8" w:rsidRPr="00493E4F">
        <w:t>ed</w:t>
      </w:r>
      <w:r w:rsidR="00EE4A37" w:rsidRPr="00493E4F">
        <w:t xml:space="preserve"> on OOP payments for utilizing the health services provided </w:t>
      </w:r>
      <w:r w:rsidR="00EE4A37" w:rsidRPr="00493E4F">
        <w:rPr>
          <w:noProof/>
        </w:rPr>
        <w:t>by</w:t>
      </w:r>
      <w:r w:rsidR="00EE4A37" w:rsidRPr="00493E4F">
        <w:t xml:space="preserve"> the medically trained providers</w:t>
      </w:r>
      <w:r w:rsidR="00A909E6" w:rsidRPr="00493E4F">
        <w:rPr>
          <w:noProof/>
        </w:rPr>
        <w:t>.</w:t>
      </w:r>
      <w:r w:rsidR="002808FF" w:rsidRPr="00493E4F">
        <w:rPr>
          <w:noProof/>
        </w:rPr>
        <w:t xml:space="preserve"> </w:t>
      </w:r>
      <w:r w:rsidR="00A57516" w:rsidRPr="00493E4F">
        <w:rPr>
          <w:noProof/>
        </w:rPr>
        <w:t>The</w:t>
      </w:r>
      <w:r w:rsidR="00A57516" w:rsidRPr="00493E4F">
        <w:t xml:space="preserve"> </w:t>
      </w:r>
      <w:r w:rsidR="00EE62A4" w:rsidRPr="00493E4F">
        <w:t xml:space="preserve">UHC is concerned about safe, effective, </w:t>
      </w:r>
      <w:r w:rsidR="00EE62A4" w:rsidRPr="00493E4F">
        <w:rPr>
          <w:noProof/>
        </w:rPr>
        <w:t>people-centred</w:t>
      </w:r>
      <w:r w:rsidR="00EE62A4" w:rsidRPr="00493E4F">
        <w:t xml:space="preserve"> and timely care</w:t>
      </w:r>
      <w:r w:rsidR="00D1254A" w:rsidRPr="00493E4F">
        <w:t>.</w:t>
      </w:r>
      <w:r w:rsidR="003A0B22" w:rsidRPr="00493E4F">
        <w:rPr>
          <w:lang w:val="en-US"/>
        </w:rPr>
        <w:fldChar w:fldCharType="begin" w:fldLock="1"/>
      </w:r>
      <w:r w:rsidR="00B25CC4" w:rsidRPr="00493E4F">
        <w:rPr>
          <w:lang w:val="en-US"/>
        </w:rPr>
        <w:instrText>ADDIN CSL_CITATION {"citationItems":[{"id":"ITEM-1","itemData":{"URL":"http://www.who.int/servicedeliverysafety/areas/qhc/en/","accessed":{"date-parts":[["2018","4","16"]]},"author":[{"dropping-particle":"","family":"WHO","given":"","non-dropping-particle":"","parse-names":false,"suffix":""}],"id":"ITEM-1","issued":{"date-parts":[["0"]]},"title":"Quality in universal health coverage","type":"webpage"},"uris":["http://www.mendeley.com/documents/?uuid=4d7cd64b-4e55-4d21-b41b-0c9d85d0f49c"]}],"mendeley":{"formattedCitation":"&lt;sup&gt;16&lt;/sup&gt;","plainTextFormattedCitation":"16","previouslyFormattedCitation":"&lt;sup&gt;16&lt;/sup&gt;"},"properties":{"noteIndex":0},"schema":"https://github.com/citation-style-language/schema/raw/master/csl-citation.json"}</w:instrText>
      </w:r>
      <w:r w:rsidR="003A0B22" w:rsidRPr="00493E4F">
        <w:rPr>
          <w:lang w:val="en-US"/>
        </w:rPr>
        <w:fldChar w:fldCharType="separate"/>
      </w:r>
      <w:r w:rsidR="00383E46" w:rsidRPr="00493E4F">
        <w:rPr>
          <w:noProof/>
          <w:vertAlign w:val="superscript"/>
          <w:lang w:val="en-US"/>
        </w:rPr>
        <w:t>16</w:t>
      </w:r>
      <w:r w:rsidR="003A0B22" w:rsidRPr="00493E4F">
        <w:rPr>
          <w:lang w:val="en-US"/>
        </w:rPr>
        <w:fldChar w:fldCharType="end"/>
      </w:r>
      <w:r w:rsidR="00EE62A4" w:rsidRPr="00493E4F">
        <w:rPr>
          <w:lang w:val="en-US"/>
        </w:rPr>
        <w:t xml:space="preserve"> </w:t>
      </w:r>
      <w:r w:rsidR="00A57516" w:rsidRPr="00493E4F">
        <w:t xml:space="preserve">In LMICs context, it </w:t>
      </w:r>
      <w:r w:rsidR="00EE62A4" w:rsidRPr="00493E4F">
        <w:t>can be</w:t>
      </w:r>
      <w:r w:rsidR="00A57516" w:rsidRPr="00493E4F">
        <w:t xml:space="preserve"> argu</w:t>
      </w:r>
      <w:r w:rsidR="00EE62A4" w:rsidRPr="00493E4F">
        <w:t>ed</w:t>
      </w:r>
      <w:r w:rsidR="00A57516" w:rsidRPr="00493E4F">
        <w:t xml:space="preserve"> that </w:t>
      </w:r>
      <w:r w:rsidR="00EE62A4" w:rsidRPr="00493E4F">
        <w:t xml:space="preserve">the </w:t>
      </w:r>
      <w:r w:rsidR="00A57516" w:rsidRPr="00493E4F">
        <w:t>services from MTPs m</w:t>
      </w:r>
      <w:r w:rsidR="00EE62A4" w:rsidRPr="00493E4F">
        <w:t>ight</w:t>
      </w:r>
      <w:r w:rsidR="00A57516" w:rsidRPr="00493E4F">
        <w:t xml:space="preserve"> secure better quality </w:t>
      </w:r>
      <w:r w:rsidR="00EE62A4" w:rsidRPr="00493E4F">
        <w:t>than any</w:t>
      </w:r>
      <w:r w:rsidR="00E71FE8" w:rsidRPr="00493E4F">
        <w:t xml:space="preserve"> other</w:t>
      </w:r>
      <w:r w:rsidR="00EE62A4" w:rsidRPr="00493E4F">
        <w:t xml:space="preserve"> providers without adequate medical training. </w:t>
      </w:r>
    </w:p>
    <w:p w14:paraId="19DD0022" w14:textId="77777777" w:rsidR="00043C64" w:rsidRPr="00493E4F" w:rsidRDefault="00043C64" w:rsidP="00D724FB">
      <w:pPr>
        <w:spacing w:before="120" w:line="480" w:lineRule="auto"/>
        <w:jc w:val="both"/>
      </w:pPr>
    </w:p>
    <w:p w14:paraId="4E5ACB01" w14:textId="77777777" w:rsidR="008458A1" w:rsidRPr="00493E4F" w:rsidRDefault="0030378B" w:rsidP="00D724FB">
      <w:pPr>
        <w:pStyle w:val="Heading3"/>
        <w:spacing w:before="120" w:line="480" w:lineRule="auto"/>
        <w:rPr>
          <w:rFonts w:ascii="Times New Roman" w:hAnsi="Times New Roman" w:cs="Times New Roman"/>
          <w:color w:val="auto"/>
        </w:rPr>
      </w:pPr>
      <w:r w:rsidRPr="00493E4F">
        <w:rPr>
          <w:rFonts w:ascii="Times New Roman" w:hAnsi="Times New Roman" w:cs="Times New Roman"/>
          <w:color w:val="auto"/>
        </w:rPr>
        <w:t>Description of the scheme</w:t>
      </w:r>
    </w:p>
    <w:p w14:paraId="0C2AB71D" w14:textId="77777777" w:rsidR="00AC4668" w:rsidRPr="00493E4F" w:rsidRDefault="00220A0E" w:rsidP="00D724FB">
      <w:pPr>
        <w:pStyle w:val="Heading2"/>
        <w:spacing w:before="120" w:line="480" w:lineRule="auto"/>
        <w:jc w:val="both"/>
        <w:rPr>
          <w:b w:val="0"/>
          <w:i/>
        </w:rPr>
      </w:pPr>
      <w:bookmarkStart w:id="5" w:name="_Toc346354381"/>
      <w:r w:rsidRPr="00493E4F">
        <w:rPr>
          <w:b w:val="0"/>
          <w:i/>
        </w:rPr>
        <w:t>Labour</w:t>
      </w:r>
      <w:r w:rsidR="00AC4668" w:rsidRPr="00493E4F">
        <w:rPr>
          <w:b w:val="0"/>
          <w:i/>
        </w:rPr>
        <w:t xml:space="preserve"> Association for Social Protection (LASP)</w:t>
      </w:r>
      <w:bookmarkEnd w:id="5"/>
    </w:p>
    <w:p w14:paraId="5DBF8D87" w14:textId="1AC85D25" w:rsidR="00AC4668" w:rsidRPr="00493E4F" w:rsidRDefault="00C20260" w:rsidP="00D724FB">
      <w:pPr>
        <w:tabs>
          <w:tab w:val="left" w:pos="1265"/>
        </w:tabs>
        <w:spacing w:before="120" w:line="480" w:lineRule="auto"/>
        <w:jc w:val="both"/>
        <w:rPr>
          <w:color w:val="000000" w:themeColor="text1"/>
        </w:rPr>
      </w:pPr>
      <w:r w:rsidRPr="00493E4F">
        <w:rPr>
          <w:color w:val="000000" w:themeColor="text1"/>
        </w:rPr>
        <w:t xml:space="preserve">A group of workers established a cooperative, named </w:t>
      </w:r>
      <w:proofErr w:type="spellStart"/>
      <w:r w:rsidRPr="00493E4F">
        <w:rPr>
          <w:color w:val="000000" w:themeColor="text1"/>
        </w:rPr>
        <w:t>Labor</w:t>
      </w:r>
      <w:proofErr w:type="spellEnd"/>
      <w:r w:rsidRPr="00493E4F">
        <w:rPr>
          <w:color w:val="000000" w:themeColor="text1"/>
        </w:rPr>
        <w:t xml:space="preserve"> Association for Social Protection (LASP) that included 14 Unions (lower administrative in rural) and a municipality in the Chandpur sub-district of Bangladesh</w:t>
      </w:r>
      <w:r w:rsidR="00FA5C00" w:rsidRPr="00493E4F">
        <w:rPr>
          <w:color w:val="000000" w:themeColor="text1"/>
        </w:rPr>
        <w:t>.</w:t>
      </w:r>
      <w:r w:rsidRPr="00493E4F">
        <w:rPr>
          <w:color w:val="000000" w:themeColor="text1"/>
        </w:rPr>
        <w:t xml:space="preserve"> The </w:t>
      </w:r>
      <w:r w:rsidR="00AC4668" w:rsidRPr="00493E4F">
        <w:rPr>
          <w:color w:val="000000" w:themeColor="text1"/>
        </w:rPr>
        <w:t>LASP</w:t>
      </w:r>
      <w:r w:rsidR="00BB72E8" w:rsidRPr="00493E4F">
        <w:rPr>
          <w:color w:val="000000" w:themeColor="text1"/>
        </w:rPr>
        <w:t xml:space="preserve"> </w:t>
      </w:r>
      <w:r w:rsidR="00C11DE5" w:rsidRPr="00493E4F">
        <w:rPr>
          <w:color w:val="000000" w:themeColor="text1"/>
        </w:rPr>
        <w:t xml:space="preserve">has implemented a </w:t>
      </w:r>
      <w:r w:rsidR="006167F8" w:rsidRPr="00493E4F">
        <w:rPr>
          <w:color w:val="000000" w:themeColor="text1"/>
        </w:rPr>
        <w:t xml:space="preserve">CBHI </w:t>
      </w:r>
      <w:r w:rsidR="00C11DE5" w:rsidRPr="00493E4F">
        <w:rPr>
          <w:color w:val="000000" w:themeColor="text1"/>
        </w:rPr>
        <w:t xml:space="preserve">pilot scheme in </w:t>
      </w:r>
      <w:r w:rsidR="00374FD8" w:rsidRPr="00493E4F">
        <w:rPr>
          <w:color w:val="000000" w:themeColor="text1"/>
        </w:rPr>
        <w:t xml:space="preserve">7 Unions </w:t>
      </w:r>
      <w:r w:rsidR="00C378FE" w:rsidRPr="00493E4F">
        <w:rPr>
          <w:noProof/>
          <w:color w:val="000000" w:themeColor="text1"/>
        </w:rPr>
        <w:t>from</w:t>
      </w:r>
      <w:r w:rsidR="00B80051" w:rsidRPr="00493E4F">
        <w:rPr>
          <w:color w:val="000000" w:themeColor="text1"/>
        </w:rPr>
        <w:t xml:space="preserve"> January 201</w:t>
      </w:r>
      <w:r w:rsidR="00CC0D92" w:rsidRPr="00493E4F">
        <w:rPr>
          <w:color w:val="000000" w:themeColor="text1"/>
        </w:rPr>
        <w:t xml:space="preserve">3 to </w:t>
      </w:r>
      <w:r w:rsidR="00B80051" w:rsidRPr="00493E4F">
        <w:rPr>
          <w:color w:val="000000" w:themeColor="text1"/>
        </w:rPr>
        <w:t>June 201</w:t>
      </w:r>
      <w:r w:rsidR="00575163" w:rsidRPr="00493E4F">
        <w:rPr>
          <w:color w:val="000000" w:themeColor="text1"/>
        </w:rPr>
        <w:t>4</w:t>
      </w:r>
      <w:r w:rsidR="00CC0D92" w:rsidRPr="00493E4F">
        <w:rPr>
          <w:color w:val="000000" w:themeColor="text1"/>
        </w:rPr>
        <w:t xml:space="preserve"> with support from Grand Challenge Canada</w:t>
      </w:r>
      <w:r w:rsidR="00B80051" w:rsidRPr="00493E4F">
        <w:rPr>
          <w:noProof/>
          <w:color w:val="000000" w:themeColor="text1"/>
        </w:rPr>
        <w:t>.</w:t>
      </w:r>
      <w:r w:rsidR="002808FF" w:rsidRPr="00493E4F">
        <w:rPr>
          <w:noProof/>
          <w:color w:val="000000" w:themeColor="text1"/>
        </w:rPr>
        <w:t xml:space="preserve"> </w:t>
      </w:r>
      <w:r w:rsidR="00C11DE5" w:rsidRPr="00493E4F">
        <w:rPr>
          <w:noProof/>
          <w:color w:val="000000" w:themeColor="text1"/>
        </w:rPr>
        <w:t>A</w:t>
      </w:r>
      <w:r w:rsidR="00AC4668" w:rsidRPr="00493E4F">
        <w:rPr>
          <w:color w:val="000000" w:themeColor="text1"/>
        </w:rPr>
        <w:t xml:space="preserve"> research team </w:t>
      </w:r>
      <w:r w:rsidR="00C37073" w:rsidRPr="00493E4F">
        <w:rPr>
          <w:color w:val="000000" w:themeColor="text1"/>
        </w:rPr>
        <w:t>from</w:t>
      </w:r>
      <w:r w:rsidR="00881B33" w:rsidRPr="00493E4F">
        <w:rPr>
          <w:color w:val="000000" w:themeColor="text1"/>
        </w:rPr>
        <w:t xml:space="preserve"> </w:t>
      </w:r>
      <w:r w:rsidR="0011704E" w:rsidRPr="00493E4F">
        <w:rPr>
          <w:color w:val="000000" w:themeColor="text1"/>
        </w:rPr>
        <w:t>icddr,b</w:t>
      </w:r>
      <w:r w:rsidR="00881B33" w:rsidRPr="00493E4F">
        <w:rPr>
          <w:color w:val="000000" w:themeColor="text1"/>
        </w:rPr>
        <w:t xml:space="preserve"> </w:t>
      </w:r>
      <w:r w:rsidR="00AC4668" w:rsidRPr="00493E4F">
        <w:rPr>
          <w:color w:val="000000" w:themeColor="text1"/>
        </w:rPr>
        <w:t>provide</w:t>
      </w:r>
      <w:r w:rsidR="00C11DE5" w:rsidRPr="00493E4F">
        <w:rPr>
          <w:color w:val="000000" w:themeColor="text1"/>
        </w:rPr>
        <w:t>d</w:t>
      </w:r>
      <w:r w:rsidR="00AC4668" w:rsidRPr="00493E4F">
        <w:rPr>
          <w:color w:val="000000" w:themeColor="text1"/>
        </w:rPr>
        <w:t xml:space="preserve"> technical support for capacity building in collaboration with </w:t>
      </w:r>
      <w:r w:rsidR="00C37073" w:rsidRPr="00493E4F">
        <w:rPr>
          <w:color w:val="000000" w:themeColor="text1"/>
        </w:rPr>
        <w:t xml:space="preserve">the </w:t>
      </w:r>
      <w:r w:rsidR="00AC4668" w:rsidRPr="00493E4F">
        <w:rPr>
          <w:color w:val="000000" w:themeColor="text1"/>
        </w:rPr>
        <w:t>Sajida Foundation</w:t>
      </w:r>
      <w:r w:rsidR="0011704E" w:rsidRPr="00493E4F">
        <w:rPr>
          <w:color w:val="000000" w:themeColor="text1"/>
        </w:rPr>
        <w:t xml:space="preserve"> -</w:t>
      </w:r>
      <w:r w:rsidR="00C11DE5" w:rsidRPr="00493E4F">
        <w:rPr>
          <w:color w:val="000000" w:themeColor="text1"/>
        </w:rPr>
        <w:t xml:space="preserve"> a micro-credit and health institute</w:t>
      </w:r>
      <w:r w:rsidR="00AC4668" w:rsidRPr="00493E4F">
        <w:rPr>
          <w:color w:val="000000" w:themeColor="text1"/>
        </w:rPr>
        <w:t>. The areas of technical support comprise</w:t>
      </w:r>
      <w:r w:rsidR="00C11DE5" w:rsidRPr="00493E4F">
        <w:rPr>
          <w:color w:val="000000" w:themeColor="text1"/>
        </w:rPr>
        <w:t>d</w:t>
      </w:r>
      <w:r w:rsidR="00060A6B" w:rsidRPr="00493E4F">
        <w:rPr>
          <w:color w:val="000000" w:themeColor="text1"/>
        </w:rPr>
        <w:t xml:space="preserve">: </w:t>
      </w:r>
      <w:r w:rsidR="00AC4668" w:rsidRPr="00493E4F">
        <w:rPr>
          <w:color w:val="000000" w:themeColor="text1"/>
        </w:rPr>
        <w:t xml:space="preserve"> training </w:t>
      </w:r>
      <w:r w:rsidR="00657BE9" w:rsidRPr="00493E4F">
        <w:rPr>
          <w:color w:val="000000" w:themeColor="text1"/>
        </w:rPr>
        <w:t xml:space="preserve">of management and field staff, </w:t>
      </w:r>
      <w:r w:rsidR="00AC4668" w:rsidRPr="00493E4F">
        <w:rPr>
          <w:color w:val="000000" w:themeColor="text1"/>
        </w:rPr>
        <w:t xml:space="preserve">relationship development with healthcare providers and stakeholders, making policies and operational directives relevant to social protection (with </w:t>
      </w:r>
      <w:r w:rsidR="002808FF" w:rsidRPr="00493E4F">
        <w:rPr>
          <w:color w:val="000000" w:themeColor="text1"/>
        </w:rPr>
        <w:t xml:space="preserve">an </w:t>
      </w:r>
      <w:r w:rsidR="00AC4668" w:rsidRPr="00493E4F">
        <w:rPr>
          <w:noProof/>
          <w:color w:val="000000" w:themeColor="text1"/>
        </w:rPr>
        <w:t>emphasis</w:t>
      </w:r>
      <w:r w:rsidR="00AC4668" w:rsidRPr="00493E4F">
        <w:rPr>
          <w:color w:val="000000" w:themeColor="text1"/>
        </w:rPr>
        <w:t xml:space="preserve"> on health protection); training on information technology</w:t>
      </w:r>
      <w:r w:rsidR="00BD5298" w:rsidRPr="00493E4F">
        <w:rPr>
          <w:color w:val="000000" w:themeColor="text1"/>
        </w:rPr>
        <w:t xml:space="preserve"> </w:t>
      </w:r>
      <w:r w:rsidR="003347DC" w:rsidRPr="00493E4F">
        <w:rPr>
          <w:color w:val="000000" w:themeColor="text1"/>
        </w:rPr>
        <w:t>(IT)</w:t>
      </w:r>
      <w:r w:rsidR="00AC4668" w:rsidRPr="00493E4F">
        <w:rPr>
          <w:color w:val="000000" w:themeColor="text1"/>
        </w:rPr>
        <w:t xml:space="preserve"> and database management of IT-staff, training of </w:t>
      </w:r>
      <w:r w:rsidR="00220A0E" w:rsidRPr="00493E4F">
        <w:rPr>
          <w:color w:val="000000" w:themeColor="text1"/>
        </w:rPr>
        <w:t>labour</w:t>
      </w:r>
      <w:r w:rsidR="00AC4668" w:rsidRPr="00493E4F">
        <w:rPr>
          <w:color w:val="000000" w:themeColor="text1"/>
        </w:rPr>
        <w:t xml:space="preserve"> leaders/ prospective leaders and developing and applying monitoring tools. </w:t>
      </w:r>
    </w:p>
    <w:p w14:paraId="18A56483" w14:textId="77777777" w:rsidR="00AC4668" w:rsidRPr="00493E4F" w:rsidRDefault="00AC4668" w:rsidP="00D724FB">
      <w:pPr>
        <w:pStyle w:val="Heading2"/>
        <w:spacing w:before="120" w:line="480" w:lineRule="auto"/>
        <w:jc w:val="both"/>
        <w:rPr>
          <w:b w:val="0"/>
          <w:i/>
        </w:rPr>
      </w:pPr>
      <w:bookmarkStart w:id="6" w:name="_Toc346354382"/>
      <w:r w:rsidRPr="00493E4F">
        <w:rPr>
          <w:b w:val="0"/>
          <w:i/>
        </w:rPr>
        <w:t>Membership</w:t>
      </w:r>
      <w:bookmarkEnd w:id="6"/>
    </w:p>
    <w:p w14:paraId="1C0DC1B8" w14:textId="780E872D" w:rsidR="00AC4668" w:rsidRPr="00493E4F" w:rsidRDefault="00AC4668" w:rsidP="00D724FB">
      <w:pPr>
        <w:tabs>
          <w:tab w:val="left" w:pos="1578"/>
        </w:tabs>
        <w:spacing w:before="120" w:line="480" w:lineRule="auto"/>
        <w:jc w:val="both"/>
        <w:rPr>
          <w:lang w:bidi="bn-IN"/>
        </w:rPr>
      </w:pPr>
      <w:r w:rsidRPr="00493E4F">
        <w:t>Membership of LASP w</w:t>
      </w:r>
      <w:r w:rsidR="003777D1" w:rsidRPr="00493E4F">
        <w:t>as</w:t>
      </w:r>
      <w:r w:rsidRPr="00493E4F">
        <w:t xml:space="preserve"> open for informal </w:t>
      </w:r>
      <w:r w:rsidR="00DB3CAA">
        <w:t xml:space="preserve">blue-collar </w:t>
      </w:r>
      <w:r w:rsidRPr="00493E4F">
        <w:t>workers against a membership fee.</w:t>
      </w:r>
      <w:r w:rsidR="00AC2FCB" w:rsidRPr="00493E4F">
        <w:t xml:space="preserve"> The informal workers </w:t>
      </w:r>
      <w:r w:rsidR="00DB3CAA">
        <w:t>referred to them, who did not have any formal job contract</w:t>
      </w:r>
      <w:r w:rsidR="00AC2FCB" w:rsidRPr="00493E4F">
        <w:t>.</w:t>
      </w:r>
      <w:r w:rsidR="005E1DD1" w:rsidRPr="00493E4F">
        <w:fldChar w:fldCharType="begin" w:fldLock="1"/>
      </w:r>
      <w:r w:rsidR="005A6516" w:rsidRPr="00493E4F">
        <w:instrText>ADDIN CSL_CITATION {"citationItems":[{"id":"ITEM-1","itemData":{"author":[{"dropping-particle":"","family":"Hussmanns","given":"R.","non-dropping-particle":"","parse-names":false,"suffix":""}],"id":"ITEM-1","issued":{"date-parts":[["1998"]]},"publisher":"Sixteenth International Conference of Labour Statisticians","publisher-place":"Geneva","title":"Developments in the design and implementation of informal sector and similar surveys - A review of national practices and experiences","type":"paper-conference"},"uris":["http://www.mendeley.com/documents/?uuid=6ee86b14-3508-4e40-b391-4334dc72672e"]}],"mendeley":{"formattedCitation":"&lt;sup&gt;17&lt;/sup&gt;","plainTextFormattedCitation":"17","previouslyFormattedCitation":"&lt;sup&gt;17&lt;/sup&gt;"},"properties":{"noteIndex":0},"schema":"https://github.com/citation-style-language/schema/raw/master/csl-citation.json"}</w:instrText>
      </w:r>
      <w:r w:rsidR="005E1DD1" w:rsidRPr="00493E4F">
        <w:fldChar w:fldCharType="separate"/>
      </w:r>
      <w:r w:rsidR="005E1DD1" w:rsidRPr="00493E4F">
        <w:rPr>
          <w:noProof/>
          <w:vertAlign w:val="superscript"/>
        </w:rPr>
        <w:t>17</w:t>
      </w:r>
      <w:r w:rsidR="005E1DD1" w:rsidRPr="00493E4F">
        <w:fldChar w:fldCharType="end"/>
      </w:r>
      <w:r w:rsidR="00F175A1" w:rsidRPr="00493E4F">
        <w:t xml:space="preserve"> The commonly found informal workers in urban Bangladesh are </w:t>
      </w:r>
      <w:r w:rsidR="005A6516" w:rsidRPr="00493E4F">
        <w:t>r</w:t>
      </w:r>
      <w:r w:rsidR="00FC0754" w:rsidRPr="00493E4F">
        <w:t>ikshaw Puller</w:t>
      </w:r>
      <w:r w:rsidR="00DB3CAA">
        <w:t>s</w:t>
      </w:r>
      <w:r w:rsidR="00FC0754" w:rsidRPr="00493E4F">
        <w:t xml:space="preserve">, </w:t>
      </w:r>
      <w:r w:rsidR="005C2E08" w:rsidRPr="00493E4F">
        <w:t>shop keeper</w:t>
      </w:r>
      <w:r w:rsidR="00DB3CAA">
        <w:t>s</w:t>
      </w:r>
      <w:r w:rsidR="005C2E08" w:rsidRPr="00493E4F">
        <w:t xml:space="preserve">, </w:t>
      </w:r>
      <w:r w:rsidR="005E00ED" w:rsidRPr="00493E4F">
        <w:t>restaurant worker</w:t>
      </w:r>
      <w:r w:rsidR="00DB3CAA">
        <w:t>s</w:t>
      </w:r>
      <w:r w:rsidR="005E00ED" w:rsidRPr="00493E4F">
        <w:t>, daily labour</w:t>
      </w:r>
      <w:r w:rsidR="005E1DD1" w:rsidRPr="00493E4F">
        <w:t>, factory worker</w:t>
      </w:r>
      <w:r w:rsidR="00DB3CAA">
        <w:t xml:space="preserve">s, </w:t>
      </w:r>
      <w:r w:rsidR="005E00ED" w:rsidRPr="00493E4F">
        <w:t>transport worker</w:t>
      </w:r>
      <w:r w:rsidR="00DB3CAA">
        <w:t>s and so forth</w:t>
      </w:r>
      <w:r w:rsidR="005E1DD1" w:rsidRPr="00493E4F">
        <w:t>.</w:t>
      </w:r>
      <w:r w:rsidR="005A6516" w:rsidRPr="00493E4F">
        <w:fldChar w:fldCharType="begin" w:fldLock="1"/>
      </w:r>
      <w:r w:rsidR="005E437F" w:rsidRPr="00493E4F">
        <w:instrText>ADDIN CSL_CITATION {"citationItems":[{"id":"ITEM-1","itemData":{"DOI":"10.1371/journal.pone.0148211","ISSN":"1932-6203","author":[{"dropping-particle":"","family":"Ahmed","given":"Sayem","non-dropping-particle":"","parse-names":false,"suffix":""},{"dropping-particle":"","family":"Hoque","given":"Mohammad Enamul","non-dropping-particle":"","parse-names":false,"suffix":""},{"dropping-particle":"","family":"Sarker","given":"Abdur Razzaque","non-dropping-particle":"","parse-names":false,"suffix":""},{"dropping-particle":"","family":"Sultana","given":"Marufa","non-dropping-particle":"","parse-names":false,"suffix":""},{"dropping-particle":"","family":"Islam","given":"Ziaul","non-dropping-particle":"","parse-names":false,"suffix":""},{"dropping-particle":"","family":"Gazi","given":"Rukhsana","non-dropping-particle":"","parse-names":false,"suffix":""},{"dropping-particle":"","family":"Khan","given":"Jahangir A. M.","non-dropping-particle":"","parse-names":false,"suffix":""}],"container-title":"PLOS ONE","editor":[{"dropping-particle":"","family":"Lane","given":"Julia","non-dropping-particle":"","parse-names":false,"suffix":""}],"id":"ITEM-1","issue":"2","issued":{"date-parts":[["2016","2","1"]]},"page":"e0148211","title":"Willingness-to-Pay for Community-Based Health Insurance among Informal Workers in Urban Bangladesh","type":"article-journal","volume":"11"},"uris":["http://www.mendeley.com/documents/?uuid=5d0305c3-de2b-4a6b-8277-e80fe4a1279f"]},{"id":"ITEM-2","itemData":{"ISBN":"9789290929239","author":[{"dropping-particle":"","family":"ADB","given":"","non-dropping-particle":"","parse-names":false,"suffix":""}],"id":"ITEM-2","issued":{"date-parts":[["2010"]]},"publisher-place":"Philipines","title":"The Informal Sector and Informal Employment in Bangladesh","type":"book"},"uris":["http://www.mendeley.com/documents/?uuid=53298cbc-a5f2-47b8-87a2-d3604ccda424"]}],"mendeley":{"formattedCitation":"&lt;sup&gt;18,19&lt;/sup&gt;","plainTextFormattedCitation":"18,19","previouslyFormattedCitation":"&lt;sup&gt;18,19&lt;/sup&gt;"},"properties":{"noteIndex":0},"schema":"https://github.com/citation-style-language/schema/raw/master/csl-citation.json"}</w:instrText>
      </w:r>
      <w:r w:rsidR="005A6516" w:rsidRPr="00493E4F">
        <w:fldChar w:fldCharType="separate"/>
      </w:r>
      <w:r w:rsidR="005A6516" w:rsidRPr="00493E4F">
        <w:rPr>
          <w:noProof/>
          <w:vertAlign w:val="superscript"/>
        </w:rPr>
        <w:t>18,19</w:t>
      </w:r>
      <w:r w:rsidR="005A6516" w:rsidRPr="00493E4F">
        <w:fldChar w:fldCharType="end"/>
      </w:r>
      <w:r w:rsidRPr="00493E4F">
        <w:t xml:space="preserve"> </w:t>
      </w:r>
      <w:r w:rsidR="003561C9" w:rsidRPr="00493E4F">
        <w:t>A</w:t>
      </w:r>
      <w:r w:rsidR="003777D1" w:rsidRPr="00493E4F">
        <w:t xml:space="preserve"> maximum of 6 household members could get access to </w:t>
      </w:r>
      <w:r w:rsidR="00FC116F" w:rsidRPr="00493E4F">
        <w:t>benefits against one membership</w:t>
      </w:r>
      <w:r w:rsidR="003777D1" w:rsidRPr="00493E4F">
        <w:t xml:space="preserve">, with a possibility of inclusion of more household member with additional fees. </w:t>
      </w:r>
      <w:r w:rsidR="00E4619F" w:rsidRPr="00493E4F">
        <w:t xml:space="preserve">The membership fee (premium) was 50 </w:t>
      </w:r>
      <w:r w:rsidR="00222AC5" w:rsidRPr="00493E4F">
        <w:t>Bangladeshi Taka (</w:t>
      </w:r>
      <w:r w:rsidR="00E4619F" w:rsidRPr="00493E4F">
        <w:t>BDT</w:t>
      </w:r>
      <w:r w:rsidR="00222AC5" w:rsidRPr="00493E4F">
        <w:t>)</w:t>
      </w:r>
      <w:r w:rsidR="00E4619F" w:rsidRPr="00493E4F">
        <w:t xml:space="preserve"> per month</w:t>
      </w:r>
      <w:r w:rsidR="008A1057" w:rsidRPr="00493E4F">
        <w:t>.</w:t>
      </w:r>
      <w:r w:rsidR="00693379" w:rsidRPr="00493E4F">
        <w:t xml:space="preserve"> The premium was </w:t>
      </w:r>
      <w:r w:rsidR="00E82A6E" w:rsidRPr="00493E4F">
        <w:t>determined</w:t>
      </w:r>
      <w:r w:rsidR="00693379" w:rsidRPr="00493E4F">
        <w:t xml:space="preserve"> through </w:t>
      </w:r>
      <w:r w:rsidR="002B4D9F" w:rsidRPr="00493E4F">
        <w:t xml:space="preserve">informal </w:t>
      </w:r>
      <w:r w:rsidR="00DA1796" w:rsidRPr="00493E4F">
        <w:t xml:space="preserve">discussion with </w:t>
      </w:r>
      <w:r w:rsidR="00DA1796" w:rsidRPr="00493E4F">
        <w:rPr>
          <w:noProof/>
        </w:rPr>
        <w:t>the</w:t>
      </w:r>
      <w:r w:rsidR="0083417C" w:rsidRPr="00493E4F">
        <w:rPr>
          <w:noProof/>
        </w:rPr>
        <w:t xml:space="preserve"> </w:t>
      </w:r>
      <w:r w:rsidR="00693379" w:rsidRPr="00493E4F">
        <w:t xml:space="preserve">workers </w:t>
      </w:r>
      <w:r w:rsidR="002B4D9F" w:rsidRPr="00493E4F">
        <w:t xml:space="preserve">in the Chandpur </w:t>
      </w:r>
      <w:r w:rsidR="00E82A6E" w:rsidRPr="00493E4F">
        <w:t xml:space="preserve">sub-district </w:t>
      </w:r>
      <w:r w:rsidR="00E82A6E" w:rsidRPr="00493E4F">
        <w:rPr>
          <w:noProof/>
        </w:rPr>
        <w:t>and</w:t>
      </w:r>
      <w:r w:rsidR="0083417C" w:rsidRPr="00493E4F">
        <w:rPr>
          <w:noProof/>
        </w:rPr>
        <w:t xml:space="preserve"> </w:t>
      </w:r>
      <w:r w:rsidR="00E82A6E" w:rsidRPr="00493E4F">
        <w:rPr>
          <w:noProof/>
        </w:rPr>
        <w:t>considering</w:t>
      </w:r>
      <w:r w:rsidR="00E82A6E" w:rsidRPr="00493E4F">
        <w:t xml:space="preserve"> findings of </w:t>
      </w:r>
      <w:r w:rsidR="00CB32FE" w:rsidRPr="00493E4F">
        <w:t>willingness-to-pay stud</w:t>
      </w:r>
      <w:r w:rsidR="00445DE4" w:rsidRPr="00493E4F">
        <w:t>ies</w:t>
      </w:r>
      <w:r w:rsidR="00CB32FE" w:rsidRPr="00493E4F">
        <w:t xml:space="preserve"> among </w:t>
      </w:r>
      <w:r w:rsidR="00C378FE" w:rsidRPr="00493E4F">
        <w:rPr>
          <w:noProof/>
        </w:rPr>
        <w:t>a</w:t>
      </w:r>
      <w:r w:rsidR="00CB32FE" w:rsidRPr="00493E4F">
        <w:rPr>
          <w:noProof/>
        </w:rPr>
        <w:t xml:space="preserve"> similar</w:t>
      </w:r>
      <w:r w:rsidR="00CB32FE" w:rsidRPr="00493E4F">
        <w:t xml:space="preserve"> group of workers</w:t>
      </w:r>
      <w:r w:rsidR="00D1254A" w:rsidRPr="00493E4F">
        <w:t>.</w:t>
      </w:r>
      <w:r w:rsidR="003A0B22" w:rsidRPr="00493E4F">
        <w:fldChar w:fldCharType="begin" w:fldLock="1"/>
      </w:r>
      <w:r w:rsidR="005A6516" w:rsidRPr="00493E4F">
        <w:instrText>ADDIN CSL_CITATION {"citationItems":[{"id":"ITEM-1","itemData":{"DOI":"10.1186/2191-1991-3-12","ISSN":"2191-1991","PMID":"23628206","abstract":"BACKGROUND: The reliance on out-of-pocket payments for health services leads to a catastrophic burden for many households in Bangladesh. The World Health Organization suggests that risk-pooling mechanisms should be used for financing healthcare. Like many low-income countries (LIC), a large share of employment in Bangladesh is in the informal sector (88%). Inclusion of these workers in health insurance is a big challenge. Among other barriers, the \"literacy gap\" for health insurance\" is a reason for the low insurance uptake in Bangladesh. The aim of this study is, therefore, to assess the impact of an educational intervention on willingness-to-pay (WTP) for health insurance among informal sector workers in urban Bangladesh. METHOD: An educational intervention on occupational solidarity and health insurance is offered to groups of informal workers. Educational sessions take place once a week (3-4 hours) during three subsequent weeks for each occupational group. For assessing the impact of the educational intervention, WTP for joining health insurance using occupational solidarity between workers in \"pre- and post-treatment\" periods as well as between \"control and treatment\" groups were compared. Multiple-regression analysis is applied for predicting WTP by educational intervention, while controlling for demographic and socioeconomic characteristics. RESULTS: The coefficient of variation (CoV) of the WTP is estimated in control and treatment groups and expected to be lower in the latter. The WTP for health insurance is higher (33.8%) among workers who joined the educational intervention in comparison with those who did not (control group). CoV of WTP is found to be generally lower in post-treatment period and in treatment group compared to pre-treatment period and control group respectively. CONCLUSION: Educational interventions can be used for increasing demand for health insurance scheme using occupational solidarity among informal sector workers.","author":[{"dropping-particle":"","family":"Khan","given":"Jahangir AM","non-dropping-particle":"","parse-names":false,"suffix":""},{"dropping-particle":"","family":"Ahmed","given":"Sayem","non-dropping-particle":"","parse-names":false,"suffix":""}],"container-title":"Health Economics Review","id":"ITEM-1","issue":"1","issued":{"date-parts":[["2013","1"]]},"page":"12","title":"Impact of educational intervention on willingness-to-pay for health insurance: A study of informal sector workers in urban Bangladesh","type":"article-journal","volume":"3"},"uris":["http://www.mendeley.com/documents/?uuid=d1c5f769-a553-437e-8343-e35496964622"]},{"id":"ITEM-2","itemData":{"DOI":"10.1371/journal.pone.0148211","ISSN":"1932-6203","author":[{"dropping-particle":"","family":"Ahmed","given":"Sayem","non-dropping-particle":"","parse-names":false,"suffix":""},{"dropping-particle":"","family":"Hoque","given":"Mohammad Enamul","non-dropping-particle":"","parse-names":false,"suffix":""},{"dropping-particle":"","family":"Sarker","given":"Abdur Razzaque","non-dropping-particle":"","parse-names":false,"suffix":""},{"dropping-particle":"","family":"Sultana","given":"Marufa","non-dropping-particle":"","parse-names":false,"suffix":""},{"dropping-particle":"","family":"Islam","given":"Ziaul","non-dropping-particle":"","parse-names":false,"suffix":""},{"dropping-particle":"","family":"Gazi","given":"Rukhsana","non-dropping-particle":"","parse-names":false,"suffix":""},{"dropping-particle":"","family":"Khan","given":"Jahangir A. M.","non-dropping-particle":"","parse-names":false,"suffix":""}],"container-title":"PLOS ONE","editor":[{"dropping-particle":"","family":"Lane","given":"Julia","non-dropping-particle":"","parse-names":false,"suffix":""}],"id":"ITEM-2","issue":"2","issued":{"date-parts":[["2016","2","1"]]},"page":"e0148211","title":"Willingness-to-Pay for Community-Based Health Insurance among Informal Workers in Urban Bangladesh","type":"article-journal","volume":"11"},"uris":["http://www.mendeley.com/documents/?uuid=5d0305c3-de2b-4a6b-8277-e80fe4a1279f"]}],"mendeley":{"formattedCitation":"&lt;sup&gt;15,18&lt;/sup&gt;","plainTextFormattedCitation":"15,18","previouslyFormattedCitation":"&lt;sup&gt;15,18&lt;/sup&gt;"},"properties":{"noteIndex":0},"schema":"https://github.com/citation-style-language/schema/raw/master/csl-citation.json"}</w:instrText>
      </w:r>
      <w:r w:rsidR="003A0B22" w:rsidRPr="00493E4F">
        <w:fldChar w:fldCharType="separate"/>
      </w:r>
      <w:r w:rsidR="005A6516" w:rsidRPr="00493E4F">
        <w:rPr>
          <w:noProof/>
          <w:vertAlign w:val="superscript"/>
        </w:rPr>
        <w:t>15,18</w:t>
      </w:r>
      <w:r w:rsidR="003A0B22" w:rsidRPr="00493E4F">
        <w:fldChar w:fldCharType="end"/>
      </w:r>
      <w:r w:rsidR="00E82A6E" w:rsidRPr="00493E4F">
        <w:t xml:space="preserve"> </w:t>
      </w:r>
      <w:r w:rsidR="00D13E8A" w:rsidRPr="00493E4F">
        <w:t>Initially, t</w:t>
      </w:r>
      <w:r w:rsidR="008A1057" w:rsidRPr="00493E4F">
        <w:t xml:space="preserve">he fee </w:t>
      </w:r>
      <w:r w:rsidR="00E4619F" w:rsidRPr="00493E4F">
        <w:t xml:space="preserve">was collected weekly </w:t>
      </w:r>
      <w:r w:rsidR="00BB428D" w:rsidRPr="00493E4F">
        <w:t xml:space="preserve">and after one year it was revised </w:t>
      </w:r>
      <w:r w:rsidR="00C65C6D" w:rsidRPr="00493E4F">
        <w:t xml:space="preserve">to </w:t>
      </w:r>
      <w:r w:rsidR="00BB428D" w:rsidRPr="00493E4F">
        <w:t>m</w:t>
      </w:r>
      <w:r w:rsidR="00E4619F" w:rsidRPr="00493E4F">
        <w:t xml:space="preserve">onthly </w:t>
      </w:r>
      <w:r w:rsidR="00D13E8A" w:rsidRPr="00493E4F">
        <w:t>s</w:t>
      </w:r>
      <w:r w:rsidR="00C65C6D" w:rsidRPr="00493E4F">
        <w:t>ince it was difficult to reach all members</w:t>
      </w:r>
      <w:r w:rsidR="007879CA" w:rsidRPr="00493E4F">
        <w:t xml:space="preserve"> </w:t>
      </w:r>
      <w:r w:rsidR="007879CA" w:rsidRPr="00493E4F">
        <w:rPr>
          <w:noProof/>
        </w:rPr>
        <w:t>on</w:t>
      </w:r>
      <w:r w:rsidR="0083417C" w:rsidRPr="00493E4F">
        <w:rPr>
          <w:noProof/>
        </w:rPr>
        <w:t xml:space="preserve"> </w:t>
      </w:r>
      <w:r w:rsidR="00F4554D" w:rsidRPr="00493E4F">
        <w:rPr>
          <w:noProof/>
        </w:rPr>
        <w:t>a</w:t>
      </w:r>
      <w:r w:rsidR="00F4554D" w:rsidRPr="00493E4F">
        <w:t xml:space="preserve"> </w:t>
      </w:r>
      <w:r w:rsidR="00920C20" w:rsidRPr="00493E4F">
        <w:t>weekly basis</w:t>
      </w:r>
      <w:r w:rsidR="00E4619F" w:rsidRPr="00493E4F">
        <w:t xml:space="preserve">. </w:t>
      </w:r>
    </w:p>
    <w:p w14:paraId="56CD784C" w14:textId="77777777" w:rsidR="00C378FE" w:rsidRPr="00493E4F" w:rsidRDefault="00C378FE">
      <w:pPr>
        <w:tabs>
          <w:tab w:val="left" w:pos="2379"/>
        </w:tabs>
        <w:spacing w:before="120" w:line="480" w:lineRule="auto"/>
        <w:jc w:val="both"/>
        <w:rPr>
          <w:i/>
          <w:noProof/>
        </w:rPr>
      </w:pPr>
      <w:bookmarkStart w:id="7" w:name="_Toc346354383"/>
    </w:p>
    <w:p w14:paraId="238CEE40" w14:textId="77777777" w:rsidR="004F40C5" w:rsidRPr="00493E4F" w:rsidRDefault="00AC4668">
      <w:pPr>
        <w:tabs>
          <w:tab w:val="left" w:pos="2379"/>
        </w:tabs>
        <w:spacing w:before="120" w:line="480" w:lineRule="auto"/>
        <w:jc w:val="both"/>
        <w:rPr>
          <w:i/>
          <w:color w:val="365F91" w:themeColor="accent1" w:themeShade="BF"/>
        </w:rPr>
      </w:pPr>
      <w:r w:rsidRPr="00493E4F">
        <w:rPr>
          <w:i/>
          <w:noProof/>
        </w:rPr>
        <w:t>Benefit</w:t>
      </w:r>
      <w:r w:rsidR="0083417C" w:rsidRPr="00493E4F">
        <w:rPr>
          <w:i/>
          <w:noProof/>
        </w:rPr>
        <w:t>s</w:t>
      </w:r>
      <w:r w:rsidRPr="00493E4F">
        <w:rPr>
          <w:i/>
        </w:rPr>
        <w:t xml:space="preserve"> package </w:t>
      </w:r>
      <w:bookmarkEnd w:id="7"/>
      <w:r w:rsidR="00043C64" w:rsidRPr="00493E4F">
        <w:rPr>
          <w:i/>
        </w:rPr>
        <w:t>and providers</w:t>
      </w:r>
    </w:p>
    <w:p w14:paraId="709CE3A4" w14:textId="77777777" w:rsidR="00043C64" w:rsidRPr="00493E4F" w:rsidRDefault="00F12517" w:rsidP="00D724FB">
      <w:pPr>
        <w:spacing w:before="120" w:line="480" w:lineRule="auto"/>
        <w:jc w:val="both"/>
      </w:pPr>
      <w:r w:rsidRPr="00493E4F">
        <w:t xml:space="preserve">The benefit package of the CBHI scheme included both health and non-health benefits. </w:t>
      </w:r>
      <w:r w:rsidR="00043C64" w:rsidRPr="00493E4F">
        <w:t xml:space="preserve">In addition to the cooperatives’ own doctor and </w:t>
      </w:r>
      <w:r w:rsidR="00FB6B81" w:rsidRPr="00493E4F">
        <w:t xml:space="preserve">pharmacy </w:t>
      </w:r>
      <w:r w:rsidR="00043C64" w:rsidRPr="00493E4F">
        <w:t xml:space="preserve">facility, private and public healthcare providers </w:t>
      </w:r>
      <w:r w:rsidR="00C71E3F" w:rsidRPr="00493E4F">
        <w:rPr>
          <w:noProof/>
        </w:rPr>
        <w:t>were</w:t>
      </w:r>
      <w:r w:rsidR="0083417C" w:rsidRPr="00493E4F">
        <w:rPr>
          <w:noProof/>
        </w:rPr>
        <w:t xml:space="preserve"> </w:t>
      </w:r>
      <w:r w:rsidR="00DC78DC" w:rsidRPr="00493E4F">
        <w:rPr>
          <w:noProof/>
        </w:rPr>
        <w:t>engaged</w:t>
      </w:r>
      <w:r w:rsidR="00043C64" w:rsidRPr="00493E4F">
        <w:t xml:space="preserve"> for </w:t>
      </w:r>
      <w:r w:rsidR="00C71E3F" w:rsidRPr="00493E4F">
        <w:t xml:space="preserve">providing </w:t>
      </w:r>
      <w:r w:rsidR="00043C64" w:rsidRPr="00493E4F">
        <w:t xml:space="preserve">services to the </w:t>
      </w:r>
      <w:r w:rsidR="00C71E3F" w:rsidRPr="00493E4F">
        <w:rPr>
          <w:noProof/>
        </w:rPr>
        <w:t>enro</w:t>
      </w:r>
      <w:r w:rsidR="0083417C" w:rsidRPr="00493E4F">
        <w:rPr>
          <w:noProof/>
        </w:rPr>
        <w:t>l</w:t>
      </w:r>
      <w:r w:rsidR="00C71E3F" w:rsidRPr="00493E4F">
        <w:rPr>
          <w:noProof/>
        </w:rPr>
        <w:t>lees</w:t>
      </w:r>
      <w:r w:rsidR="00C71E3F" w:rsidRPr="00493E4F">
        <w:t xml:space="preserve"> of the scheme</w:t>
      </w:r>
      <w:r w:rsidR="00043C64" w:rsidRPr="00493E4F">
        <w:t xml:space="preserve">. </w:t>
      </w:r>
      <w:r w:rsidR="00B52C41" w:rsidRPr="00493E4F">
        <w:t xml:space="preserve">The </w:t>
      </w:r>
      <w:r w:rsidR="00B52C41" w:rsidRPr="00493E4F">
        <w:rPr>
          <w:noProof/>
        </w:rPr>
        <w:t>enro</w:t>
      </w:r>
      <w:r w:rsidR="0083417C" w:rsidRPr="00493E4F">
        <w:rPr>
          <w:noProof/>
        </w:rPr>
        <w:t>l</w:t>
      </w:r>
      <w:r w:rsidR="00B52C41" w:rsidRPr="00493E4F">
        <w:rPr>
          <w:noProof/>
        </w:rPr>
        <w:t>lees</w:t>
      </w:r>
      <w:r w:rsidR="00B52C41" w:rsidRPr="00493E4F">
        <w:t xml:space="preserve"> </w:t>
      </w:r>
      <w:r w:rsidR="00C6431F" w:rsidRPr="00493E4F">
        <w:t xml:space="preserve">had </w:t>
      </w:r>
      <w:r w:rsidR="0083417C" w:rsidRPr="00493E4F">
        <w:t xml:space="preserve">an </w:t>
      </w:r>
      <w:r w:rsidR="00C6431F" w:rsidRPr="00493E4F">
        <w:rPr>
          <w:noProof/>
        </w:rPr>
        <w:t>entitlement</w:t>
      </w:r>
      <w:r w:rsidR="00C6431F" w:rsidRPr="00493E4F">
        <w:t xml:space="preserve"> to the </w:t>
      </w:r>
      <w:r w:rsidR="00C6431F" w:rsidRPr="00493E4F">
        <w:rPr>
          <w:noProof/>
        </w:rPr>
        <w:t>benefit</w:t>
      </w:r>
      <w:r w:rsidR="0083417C" w:rsidRPr="00493E4F">
        <w:rPr>
          <w:noProof/>
        </w:rPr>
        <w:t>s</w:t>
      </w:r>
      <w:r w:rsidR="00C6431F" w:rsidRPr="00493E4F">
        <w:t xml:space="preserve"> package with a low co-payment. </w:t>
      </w:r>
      <w:r w:rsidR="00C71E3F" w:rsidRPr="00493E4F">
        <w:t xml:space="preserve">The </w:t>
      </w:r>
      <w:r w:rsidR="00043C64" w:rsidRPr="00493E4F">
        <w:t>benefit</w:t>
      </w:r>
      <w:r w:rsidR="00723620" w:rsidRPr="00493E4F">
        <w:t>s</w:t>
      </w:r>
      <w:r w:rsidR="00C71E3F" w:rsidRPr="00493E4F">
        <w:t xml:space="preserve"> package</w:t>
      </w:r>
      <w:r w:rsidR="00043C64" w:rsidRPr="00493E4F">
        <w:t xml:space="preserve"> offered by LASP</w:t>
      </w:r>
      <w:r w:rsidR="00AE6F78" w:rsidRPr="00493E4F">
        <w:t xml:space="preserve"> </w:t>
      </w:r>
      <w:r w:rsidR="00C6431F" w:rsidRPr="00493E4F">
        <w:t>wa</w:t>
      </w:r>
      <w:r w:rsidR="00723620" w:rsidRPr="00493E4F">
        <w:t xml:space="preserve">s </w:t>
      </w:r>
      <w:r w:rsidR="00C71E3F" w:rsidRPr="00493E4F">
        <w:t>as follows</w:t>
      </w:r>
      <w:r w:rsidR="00F46767" w:rsidRPr="00493E4F">
        <w:t>,</w:t>
      </w:r>
    </w:p>
    <w:p w14:paraId="4DD5F4FA" w14:textId="77777777" w:rsidR="00657BE9" w:rsidRPr="00493E4F" w:rsidRDefault="00657BE9" w:rsidP="00D724FB">
      <w:pPr>
        <w:spacing w:before="120" w:line="480" w:lineRule="auto"/>
        <w:rPr>
          <w:b/>
          <w:bCs/>
        </w:rPr>
      </w:pPr>
      <w:r w:rsidRPr="00493E4F">
        <w:rPr>
          <w:b/>
          <w:bCs/>
        </w:rPr>
        <w:t xml:space="preserve">Health </w:t>
      </w:r>
      <w:r w:rsidR="00496531" w:rsidRPr="00493E4F">
        <w:rPr>
          <w:b/>
          <w:bCs/>
        </w:rPr>
        <w:t>b</w:t>
      </w:r>
      <w:r w:rsidRPr="00493E4F">
        <w:rPr>
          <w:b/>
          <w:bCs/>
        </w:rPr>
        <w:t>enefits</w:t>
      </w:r>
    </w:p>
    <w:p w14:paraId="2423F1F7" w14:textId="77777777" w:rsidR="00043C64" w:rsidRPr="00493E4F" w:rsidRDefault="00043C64" w:rsidP="00D724FB">
      <w:pPr>
        <w:numPr>
          <w:ilvl w:val="0"/>
          <w:numId w:val="8"/>
        </w:numPr>
        <w:tabs>
          <w:tab w:val="left" w:pos="728"/>
        </w:tabs>
        <w:spacing w:before="120" w:line="480" w:lineRule="auto"/>
        <w:rPr>
          <w:color w:val="000000"/>
        </w:rPr>
      </w:pPr>
      <w:r w:rsidRPr="00493E4F">
        <w:rPr>
          <w:color w:val="000000"/>
        </w:rPr>
        <w:t xml:space="preserve">MBBS doctor’s consultation - </w:t>
      </w:r>
      <w:r w:rsidR="00916EB9" w:rsidRPr="00493E4F">
        <w:rPr>
          <w:color w:val="000000"/>
        </w:rPr>
        <w:t xml:space="preserve">co-payment </w:t>
      </w:r>
      <w:r w:rsidRPr="00493E4F">
        <w:rPr>
          <w:color w:val="000000"/>
        </w:rPr>
        <w:t xml:space="preserve">30 </w:t>
      </w:r>
      <w:r w:rsidR="00DD4098" w:rsidRPr="00493E4F">
        <w:rPr>
          <w:color w:val="000000"/>
        </w:rPr>
        <w:t>BDT</w:t>
      </w:r>
      <w:r w:rsidR="0040730F" w:rsidRPr="00493E4F">
        <w:rPr>
          <w:color w:val="000000"/>
        </w:rPr>
        <w:t xml:space="preserve"> (0.40 USD)</w:t>
      </w:r>
    </w:p>
    <w:p w14:paraId="12064DBA" w14:textId="77777777" w:rsidR="00043C64" w:rsidRPr="00493E4F" w:rsidRDefault="00957FC4" w:rsidP="00D724FB">
      <w:pPr>
        <w:numPr>
          <w:ilvl w:val="0"/>
          <w:numId w:val="8"/>
        </w:numPr>
        <w:spacing w:before="120" w:line="480" w:lineRule="auto"/>
        <w:rPr>
          <w:color w:val="000000"/>
        </w:rPr>
      </w:pPr>
      <w:r w:rsidRPr="00493E4F">
        <w:rPr>
          <w:color w:val="000000"/>
        </w:rPr>
        <w:t>M</w:t>
      </w:r>
      <w:r w:rsidR="00043C64" w:rsidRPr="00493E4F">
        <w:rPr>
          <w:color w:val="000000"/>
        </w:rPr>
        <w:t xml:space="preserve">edicine – 20% </w:t>
      </w:r>
      <w:r w:rsidRPr="00493E4F">
        <w:rPr>
          <w:color w:val="000000"/>
        </w:rPr>
        <w:t xml:space="preserve">discount from </w:t>
      </w:r>
      <w:r w:rsidR="0083417C" w:rsidRPr="00493E4F">
        <w:rPr>
          <w:color w:val="000000"/>
        </w:rPr>
        <w:t xml:space="preserve">the </w:t>
      </w:r>
      <w:r w:rsidRPr="00493E4F">
        <w:rPr>
          <w:noProof/>
          <w:color w:val="000000"/>
        </w:rPr>
        <w:t>m</w:t>
      </w:r>
      <w:r w:rsidR="008B08F3" w:rsidRPr="00493E4F">
        <w:rPr>
          <w:noProof/>
          <w:color w:val="000000"/>
        </w:rPr>
        <w:t>aximum</w:t>
      </w:r>
      <w:r w:rsidR="008B08F3" w:rsidRPr="00493E4F">
        <w:rPr>
          <w:color w:val="000000"/>
        </w:rPr>
        <w:t xml:space="preserve"> </w:t>
      </w:r>
      <w:r w:rsidRPr="00493E4F">
        <w:rPr>
          <w:color w:val="000000"/>
        </w:rPr>
        <w:t>r</w:t>
      </w:r>
      <w:r w:rsidR="008B08F3" w:rsidRPr="00493E4F">
        <w:rPr>
          <w:color w:val="000000"/>
        </w:rPr>
        <w:t xml:space="preserve">etail </w:t>
      </w:r>
      <w:r w:rsidRPr="00493E4F">
        <w:rPr>
          <w:color w:val="000000"/>
        </w:rPr>
        <w:t>p</w:t>
      </w:r>
      <w:r w:rsidR="008B08F3" w:rsidRPr="00493E4F">
        <w:rPr>
          <w:color w:val="000000"/>
        </w:rPr>
        <w:t>rice</w:t>
      </w:r>
    </w:p>
    <w:p w14:paraId="16E08681" w14:textId="77777777" w:rsidR="00043C64" w:rsidRPr="00493E4F" w:rsidRDefault="00043C64" w:rsidP="00D724FB">
      <w:pPr>
        <w:numPr>
          <w:ilvl w:val="0"/>
          <w:numId w:val="8"/>
        </w:numPr>
        <w:spacing w:before="120" w:line="480" w:lineRule="auto"/>
        <w:rPr>
          <w:color w:val="000000"/>
        </w:rPr>
      </w:pPr>
      <w:r w:rsidRPr="00493E4F">
        <w:rPr>
          <w:color w:val="000000"/>
        </w:rPr>
        <w:t>Diagnostic tests – 50% discount on market price</w:t>
      </w:r>
    </w:p>
    <w:p w14:paraId="3E94C39A" w14:textId="77777777" w:rsidR="00043C64" w:rsidRPr="00493E4F" w:rsidRDefault="00043C64" w:rsidP="00D724FB">
      <w:pPr>
        <w:numPr>
          <w:ilvl w:val="0"/>
          <w:numId w:val="8"/>
        </w:numPr>
        <w:spacing w:before="120" w:line="480" w:lineRule="auto"/>
        <w:rPr>
          <w:color w:val="000000"/>
        </w:rPr>
      </w:pPr>
      <w:r w:rsidRPr="00493E4F">
        <w:rPr>
          <w:color w:val="000000"/>
        </w:rPr>
        <w:t>Specialist doctor’s consultation</w:t>
      </w:r>
      <w:r w:rsidR="002719E6" w:rsidRPr="00493E4F">
        <w:rPr>
          <w:color w:val="000000"/>
        </w:rPr>
        <w:t xml:space="preserve"> (e.g. </w:t>
      </w:r>
      <w:r w:rsidR="002719E6" w:rsidRPr="00493E4F">
        <w:t>paediatricians, gynaecologists, cardiologists, endocrinologists</w:t>
      </w:r>
      <w:r w:rsidR="002719E6" w:rsidRPr="00493E4F">
        <w:rPr>
          <w:color w:val="000000"/>
        </w:rPr>
        <w:t>)</w:t>
      </w:r>
      <w:r w:rsidRPr="00493E4F">
        <w:rPr>
          <w:color w:val="000000"/>
        </w:rPr>
        <w:t xml:space="preserve"> – co</w:t>
      </w:r>
      <w:r w:rsidR="00EB4093" w:rsidRPr="00493E4F">
        <w:rPr>
          <w:color w:val="000000"/>
        </w:rPr>
        <w:t>-</w:t>
      </w:r>
      <w:r w:rsidRPr="00493E4F">
        <w:rPr>
          <w:color w:val="000000"/>
        </w:rPr>
        <w:t xml:space="preserve">payment 100 </w:t>
      </w:r>
      <w:r w:rsidR="00DD4098" w:rsidRPr="00493E4F">
        <w:rPr>
          <w:color w:val="000000"/>
        </w:rPr>
        <w:t>BDT</w:t>
      </w:r>
      <w:r w:rsidR="0040730F" w:rsidRPr="00493E4F">
        <w:rPr>
          <w:color w:val="000000"/>
        </w:rPr>
        <w:t xml:space="preserve"> (1.3 USD)</w:t>
      </w:r>
    </w:p>
    <w:p w14:paraId="6C20C262" w14:textId="77777777" w:rsidR="00043C64" w:rsidRPr="00493E4F" w:rsidRDefault="00043C64" w:rsidP="00D724FB">
      <w:pPr>
        <w:numPr>
          <w:ilvl w:val="0"/>
          <w:numId w:val="8"/>
        </w:numPr>
        <w:spacing w:before="120" w:line="480" w:lineRule="auto"/>
        <w:rPr>
          <w:color w:val="000000"/>
        </w:rPr>
      </w:pPr>
      <w:r w:rsidRPr="00493E4F">
        <w:rPr>
          <w:color w:val="000000"/>
        </w:rPr>
        <w:t>Hospitalization</w:t>
      </w:r>
      <w:r w:rsidR="006265A4" w:rsidRPr="00493E4F">
        <w:rPr>
          <w:color w:val="000000"/>
        </w:rPr>
        <w:t xml:space="preserve">–maximum </w:t>
      </w:r>
      <w:r w:rsidR="00A05715" w:rsidRPr="00493E4F">
        <w:rPr>
          <w:color w:val="000000"/>
        </w:rPr>
        <w:t>4,000</w:t>
      </w:r>
      <w:r w:rsidR="006265A4" w:rsidRPr="00493E4F">
        <w:rPr>
          <w:color w:val="000000"/>
        </w:rPr>
        <w:t xml:space="preserve"> </w:t>
      </w:r>
      <w:r w:rsidR="00D1254A" w:rsidRPr="00493E4F">
        <w:rPr>
          <w:color w:val="000000"/>
        </w:rPr>
        <w:t>BDT (</w:t>
      </w:r>
      <w:r w:rsidR="0040730F" w:rsidRPr="00493E4F">
        <w:rPr>
          <w:color w:val="000000"/>
        </w:rPr>
        <w:t xml:space="preserve">52 USD) </w:t>
      </w:r>
      <w:r w:rsidR="006265A4" w:rsidRPr="00493E4F">
        <w:rPr>
          <w:color w:val="000000"/>
        </w:rPr>
        <w:t>per household per year</w:t>
      </w:r>
    </w:p>
    <w:p w14:paraId="3FCE28D5" w14:textId="77777777" w:rsidR="00043C64" w:rsidRPr="00493E4F" w:rsidRDefault="00043C64" w:rsidP="00D724FB">
      <w:pPr>
        <w:numPr>
          <w:ilvl w:val="0"/>
          <w:numId w:val="8"/>
        </w:numPr>
        <w:spacing w:before="120" w:line="480" w:lineRule="auto"/>
        <w:rPr>
          <w:color w:val="000000"/>
        </w:rPr>
      </w:pPr>
      <w:r w:rsidRPr="00493E4F">
        <w:rPr>
          <w:color w:val="000000"/>
        </w:rPr>
        <w:t>Periodic satellite clinics in rural areas</w:t>
      </w:r>
    </w:p>
    <w:p w14:paraId="63013756" w14:textId="77777777" w:rsidR="00AC4668" w:rsidRPr="00493E4F" w:rsidRDefault="00AC4668" w:rsidP="00D724FB">
      <w:pPr>
        <w:spacing w:before="120" w:line="480" w:lineRule="auto"/>
        <w:rPr>
          <w:lang w:val="en-US"/>
        </w:rPr>
      </w:pPr>
      <w:r w:rsidRPr="00493E4F">
        <w:rPr>
          <w:b/>
          <w:bCs/>
        </w:rPr>
        <w:t>Non-</w:t>
      </w:r>
      <w:r w:rsidR="00436369" w:rsidRPr="00493E4F">
        <w:rPr>
          <w:b/>
          <w:bCs/>
        </w:rPr>
        <w:t>h</w:t>
      </w:r>
      <w:r w:rsidRPr="00493E4F">
        <w:rPr>
          <w:b/>
          <w:bCs/>
        </w:rPr>
        <w:t xml:space="preserve">ealth </w:t>
      </w:r>
      <w:r w:rsidR="00436369" w:rsidRPr="00493E4F">
        <w:rPr>
          <w:b/>
          <w:bCs/>
        </w:rPr>
        <w:t>b</w:t>
      </w:r>
      <w:r w:rsidRPr="00493E4F">
        <w:rPr>
          <w:b/>
          <w:bCs/>
        </w:rPr>
        <w:t>enefits</w:t>
      </w:r>
    </w:p>
    <w:p w14:paraId="40B4D4C7" w14:textId="77777777" w:rsidR="00AC4668" w:rsidRPr="00493E4F" w:rsidRDefault="00C6431F" w:rsidP="006259DB">
      <w:pPr>
        <w:numPr>
          <w:ilvl w:val="0"/>
          <w:numId w:val="8"/>
        </w:numPr>
        <w:spacing w:before="120" w:line="480" w:lineRule="auto"/>
      </w:pPr>
      <w:r w:rsidRPr="00493E4F">
        <w:rPr>
          <w:noProof/>
          <w:color w:val="000000"/>
        </w:rPr>
        <w:t>Weekly</w:t>
      </w:r>
      <w:r w:rsidRPr="00493E4F">
        <w:rPr>
          <w:color w:val="000000"/>
        </w:rPr>
        <w:t>/monthly s</w:t>
      </w:r>
      <w:r w:rsidR="00043C64" w:rsidRPr="00493E4F">
        <w:rPr>
          <w:color w:val="000000"/>
        </w:rPr>
        <w:t>avings</w:t>
      </w:r>
      <w:r w:rsidR="006160F7" w:rsidRPr="00493E4F">
        <w:t xml:space="preserve"> opportunity</w:t>
      </w:r>
    </w:p>
    <w:p w14:paraId="7453BDC4" w14:textId="77777777" w:rsidR="00AC4668" w:rsidRPr="00493E4F" w:rsidRDefault="00AC4668" w:rsidP="006259DB">
      <w:pPr>
        <w:numPr>
          <w:ilvl w:val="0"/>
          <w:numId w:val="8"/>
        </w:numPr>
        <w:spacing w:before="120" w:line="480" w:lineRule="auto"/>
        <w:rPr>
          <w:color w:val="000000" w:themeColor="text1"/>
        </w:rPr>
      </w:pPr>
      <w:r w:rsidRPr="00493E4F">
        <w:rPr>
          <w:color w:val="000000"/>
        </w:rPr>
        <w:t>Computer</w:t>
      </w:r>
      <w:r w:rsidRPr="00493E4F">
        <w:rPr>
          <w:color w:val="000000" w:themeColor="text1"/>
        </w:rPr>
        <w:t xml:space="preserve"> course at </w:t>
      </w:r>
      <w:r w:rsidR="0083417C" w:rsidRPr="00493E4F">
        <w:rPr>
          <w:color w:val="000000" w:themeColor="text1"/>
        </w:rPr>
        <w:t xml:space="preserve">a </w:t>
      </w:r>
      <w:r w:rsidRPr="00493E4F">
        <w:rPr>
          <w:noProof/>
          <w:color w:val="000000" w:themeColor="text1"/>
        </w:rPr>
        <w:t>lower</w:t>
      </w:r>
      <w:r w:rsidRPr="00493E4F">
        <w:rPr>
          <w:color w:val="000000" w:themeColor="text1"/>
        </w:rPr>
        <w:t xml:space="preserve"> price</w:t>
      </w:r>
      <w:r w:rsidR="00B31F1F" w:rsidRPr="00493E4F">
        <w:rPr>
          <w:color w:val="000000" w:themeColor="text1"/>
        </w:rPr>
        <w:t xml:space="preserve"> than </w:t>
      </w:r>
      <w:r w:rsidR="0083417C" w:rsidRPr="00493E4F">
        <w:rPr>
          <w:color w:val="000000" w:themeColor="text1"/>
        </w:rPr>
        <w:t xml:space="preserve">the </w:t>
      </w:r>
      <w:r w:rsidR="00B31F1F" w:rsidRPr="00493E4F">
        <w:rPr>
          <w:noProof/>
          <w:color w:val="000000" w:themeColor="text1"/>
        </w:rPr>
        <w:t>market</w:t>
      </w:r>
      <w:r w:rsidR="00B31F1F" w:rsidRPr="00493E4F">
        <w:rPr>
          <w:color w:val="000000" w:themeColor="text1"/>
        </w:rPr>
        <w:t xml:space="preserve"> price</w:t>
      </w:r>
    </w:p>
    <w:p w14:paraId="4BA4027C" w14:textId="77777777" w:rsidR="00176EDD" w:rsidRPr="00493E4F" w:rsidRDefault="00176EDD" w:rsidP="00176EDD">
      <w:pPr>
        <w:spacing w:after="200" w:line="276" w:lineRule="auto"/>
      </w:pPr>
    </w:p>
    <w:p w14:paraId="56044D32" w14:textId="77777777" w:rsidR="00B4169A" w:rsidRPr="00493E4F" w:rsidRDefault="00C939EB" w:rsidP="00176EDD">
      <w:pPr>
        <w:spacing w:after="200" w:line="276" w:lineRule="auto"/>
        <w:rPr>
          <w:rFonts w:eastAsiaTheme="majorEastAsia"/>
          <w:b/>
          <w:bCs/>
        </w:rPr>
      </w:pPr>
      <w:r w:rsidRPr="00493E4F">
        <w:rPr>
          <w:b/>
        </w:rPr>
        <w:t>Materials and methods</w:t>
      </w:r>
    </w:p>
    <w:p w14:paraId="7E124B74" w14:textId="77777777" w:rsidR="00392ABA" w:rsidRPr="00493E4F" w:rsidRDefault="00392ABA" w:rsidP="00392ABA">
      <w:pPr>
        <w:pStyle w:val="Heading2"/>
        <w:spacing w:before="120" w:line="480" w:lineRule="auto"/>
        <w:jc w:val="both"/>
      </w:pPr>
      <w:bookmarkStart w:id="8" w:name="_Toc396052270"/>
      <w:r w:rsidRPr="00493E4F">
        <w:t>Study design</w:t>
      </w:r>
      <w:bookmarkEnd w:id="8"/>
    </w:p>
    <w:p w14:paraId="1EE5AE9C" w14:textId="77777777" w:rsidR="00392ABA" w:rsidRPr="00493E4F" w:rsidRDefault="00392ABA" w:rsidP="00392ABA">
      <w:pPr>
        <w:spacing w:before="120" w:line="480" w:lineRule="auto"/>
        <w:jc w:val="both"/>
      </w:pPr>
      <w:r w:rsidRPr="00493E4F">
        <w:t xml:space="preserve">A quasi-experimental case-comparison study was conducted. The households that were insured (case) and uninsured (comparison) were asked </w:t>
      </w:r>
      <w:r w:rsidR="00C6431F" w:rsidRPr="00493E4F">
        <w:t xml:space="preserve">about their </w:t>
      </w:r>
      <w:r w:rsidRPr="00493E4F">
        <w:t xml:space="preserve">OOP payments for </w:t>
      </w:r>
      <w:r w:rsidRPr="00493E4F">
        <w:rPr>
          <w:noProof/>
        </w:rPr>
        <w:t>healthcare</w:t>
      </w:r>
      <w:r w:rsidRPr="00493E4F">
        <w:t xml:space="preserve"> in the past three months from the time of the survey. The difference in OOP payments between insured and uninsured households was the main variable of interest in this study.</w:t>
      </w:r>
    </w:p>
    <w:p w14:paraId="6C6847BF" w14:textId="77777777" w:rsidR="008458A1" w:rsidRPr="00493E4F" w:rsidRDefault="008458A1" w:rsidP="00D724FB">
      <w:pPr>
        <w:pStyle w:val="Heading2"/>
        <w:spacing w:before="120" w:line="480" w:lineRule="auto"/>
        <w:jc w:val="both"/>
      </w:pPr>
      <w:r w:rsidRPr="00493E4F">
        <w:t>Study population</w:t>
      </w:r>
      <w:r w:rsidR="00392ABA" w:rsidRPr="00493E4F">
        <w:t xml:space="preserve"> and sample</w:t>
      </w:r>
    </w:p>
    <w:p w14:paraId="7795699D" w14:textId="6064C68D" w:rsidR="00CC0D92" w:rsidRPr="00493E4F" w:rsidRDefault="00981794" w:rsidP="00176EDD">
      <w:pPr>
        <w:spacing w:before="120" w:line="480" w:lineRule="auto"/>
        <w:jc w:val="both"/>
        <w:rPr>
          <w:color w:val="000000"/>
        </w:rPr>
      </w:pPr>
      <w:r w:rsidRPr="00493E4F">
        <w:t xml:space="preserve">Chandpur sub-district consists of 14 unions and a municipality. </w:t>
      </w:r>
      <w:r w:rsidR="004D3035" w:rsidRPr="00493E4F">
        <w:t>Out of these</w:t>
      </w:r>
      <w:r w:rsidR="00373FF9" w:rsidRPr="00493E4F">
        <w:t xml:space="preserve"> 14 Unions, </w:t>
      </w:r>
      <w:r w:rsidR="004D3035" w:rsidRPr="00493E4F">
        <w:t>s</w:t>
      </w:r>
      <w:r w:rsidR="008458A1" w:rsidRPr="00493E4F">
        <w:t xml:space="preserve">even closely located </w:t>
      </w:r>
      <w:r w:rsidR="00373FF9" w:rsidRPr="00493E4F">
        <w:t>U</w:t>
      </w:r>
      <w:r w:rsidR="008458A1" w:rsidRPr="00493E4F">
        <w:t xml:space="preserve">nions </w:t>
      </w:r>
      <w:r w:rsidR="002F4B4D" w:rsidRPr="00493E4F">
        <w:t xml:space="preserve">of Chandpur were </w:t>
      </w:r>
      <w:r w:rsidR="003571EA" w:rsidRPr="00493E4F">
        <w:t>under the CBHI scheme</w:t>
      </w:r>
      <w:r w:rsidR="002F4B4D" w:rsidRPr="00493E4F">
        <w:t xml:space="preserve"> and consequently included in the study.</w:t>
      </w:r>
      <w:r w:rsidR="008458A1" w:rsidRPr="00493E4F">
        <w:t xml:space="preserve"> There are 98,109 households in the sub-district of which 63.5% (62,296 households) live in rural areas and the rest (35,813 households) in urban</w:t>
      </w:r>
      <w:r w:rsidR="00D1254A" w:rsidRPr="00493E4F">
        <w:t>.</w:t>
      </w:r>
      <w:r w:rsidR="003A0B22" w:rsidRPr="00493E4F">
        <w:fldChar w:fldCharType="begin" w:fldLock="1"/>
      </w:r>
      <w:r w:rsidR="005A6516" w:rsidRPr="00493E4F">
        <w:instrText>ADDIN CSL_CITATION {"citationItems":[{"id":"ITEM-1","itemData":{"ISBN":"8802818142","author":[{"dropping-particle":"","family":"BBS","given":"","non-dropping-particle":"","parse-names":false,"suffix":""}],"id":"ITEM-1","issued":{"date-parts":[["2011"]]},"publisher-place":"Dhaka","title":"Population and housing census 2011","type":"book"},"uris":["http://www.mendeley.com/documents/?uuid=bf3148c0-f98f-4d61-8ba7-094a0c3ff313"]}],"mendeley":{"formattedCitation":"&lt;sup&gt;20&lt;/sup&gt;","plainTextFormattedCitation":"20","previouslyFormattedCitation":"&lt;sup&gt;20&lt;/sup&gt;"},"properties":{"noteIndex":0},"schema":"https://github.com/citation-style-language/schema/raw/master/csl-citation.json"}</w:instrText>
      </w:r>
      <w:r w:rsidR="003A0B22" w:rsidRPr="00493E4F">
        <w:fldChar w:fldCharType="separate"/>
      </w:r>
      <w:r w:rsidR="005E1DD1" w:rsidRPr="00493E4F">
        <w:rPr>
          <w:noProof/>
          <w:vertAlign w:val="superscript"/>
        </w:rPr>
        <w:t>20</w:t>
      </w:r>
      <w:r w:rsidR="003A0B22" w:rsidRPr="00493E4F">
        <w:fldChar w:fldCharType="end"/>
      </w:r>
      <w:r w:rsidR="008458A1" w:rsidRPr="00493E4F">
        <w:t xml:space="preserve"> </w:t>
      </w:r>
      <w:r w:rsidR="008B12F9" w:rsidRPr="00493E4F">
        <w:t xml:space="preserve">Since the scheme </w:t>
      </w:r>
      <w:r w:rsidR="007B5696" w:rsidRPr="00493E4F">
        <w:rPr>
          <w:noProof/>
        </w:rPr>
        <w:t>covered</w:t>
      </w:r>
      <w:r w:rsidR="0083417C" w:rsidRPr="00493E4F">
        <w:rPr>
          <w:noProof/>
        </w:rPr>
        <w:t xml:space="preserve"> </w:t>
      </w:r>
      <w:r w:rsidR="009A35BD" w:rsidRPr="00493E4F">
        <w:rPr>
          <w:noProof/>
        </w:rPr>
        <w:t>around</w:t>
      </w:r>
      <w:r w:rsidR="009A35BD" w:rsidRPr="00493E4F">
        <w:t xml:space="preserve"> </w:t>
      </w:r>
      <w:r w:rsidR="00D936D8" w:rsidRPr="00493E4F">
        <w:t xml:space="preserve">50% of the population of the </w:t>
      </w:r>
      <w:r w:rsidR="008B12F9" w:rsidRPr="00493E4F">
        <w:t xml:space="preserve">sub-district, </w:t>
      </w:r>
      <w:r w:rsidR="008458A1" w:rsidRPr="00493E4F">
        <w:t xml:space="preserve">an estimated 31,148 households in rural and 17,907 households in urban </w:t>
      </w:r>
      <w:r w:rsidR="00C37073" w:rsidRPr="00493E4F">
        <w:t>we</w:t>
      </w:r>
      <w:r w:rsidR="008458A1" w:rsidRPr="00493E4F">
        <w:t>re available</w:t>
      </w:r>
      <w:r w:rsidR="00A853EA" w:rsidRPr="00493E4F">
        <w:t xml:space="preserve"> to join the scheme</w:t>
      </w:r>
      <w:r w:rsidR="008458A1" w:rsidRPr="00493E4F">
        <w:t xml:space="preserve">. </w:t>
      </w:r>
      <w:bookmarkStart w:id="9" w:name="_Toc396052272"/>
      <w:r w:rsidR="0051696D" w:rsidRPr="00493E4F">
        <w:t>In absence of comparable studies</w:t>
      </w:r>
      <w:r w:rsidR="009E1E21" w:rsidRPr="00493E4F">
        <w:t xml:space="preserve"> </w:t>
      </w:r>
      <w:r w:rsidR="0051696D" w:rsidRPr="00493E4F">
        <w:t xml:space="preserve">in Bangladesh, </w:t>
      </w:r>
      <w:r w:rsidR="0051696D" w:rsidRPr="00493E4F">
        <w:rPr>
          <w:lang w:val="en-US"/>
        </w:rPr>
        <w:t>w</w:t>
      </w:r>
      <w:r w:rsidR="00962C88" w:rsidRPr="00493E4F">
        <w:rPr>
          <w:lang w:val="en-US"/>
        </w:rPr>
        <w:t xml:space="preserve">e estimated </w:t>
      </w:r>
      <w:r w:rsidR="0051696D" w:rsidRPr="00493E4F">
        <w:rPr>
          <w:lang w:val="en-US"/>
        </w:rPr>
        <w:t xml:space="preserve">the </w:t>
      </w:r>
      <w:r w:rsidR="00962C88" w:rsidRPr="00493E4F">
        <w:rPr>
          <w:lang w:val="en-US"/>
        </w:rPr>
        <w:t xml:space="preserve">sample size considering </w:t>
      </w:r>
      <w:r w:rsidR="00C80B79" w:rsidRPr="00493E4F">
        <w:rPr>
          <w:lang w:val="en-US"/>
        </w:rPr>
        <w:t>7.6</w:t>
      </w:r>
      <w:r w:rsidR="00962C88" w:rsidRPr="00493E4F">
        <w:rPr>
          <w:lang w:val="en-US"/>
        </w:rPr>
        <w:t>%</w:t>
      </w:r>
      <w:r w:rsidR="00C80B79" w:rsidRPr="00493E4F">
        <w:rPr>
          <w:lang w:val="en-US"/>
        </w:rPr>
        <w:t xml:space="preserve"> and 6.2%</w:t>
      </w:r>
      <w:r w:rsidR="009375FB" w:rsidRPr="00493E4F">
        <w:rPr>
          <w:lang w:val="en-US"/>
        </w:rPr>
        <w:t xml:space="preserve"> </w:t>
      </w:r>
      <w:r w:rsidR="00C80B79" w:rsidRPr="00493E4F">
        <w:rPr>
          <w:lang w:val="en-US"/>
        </w:rPr>
        <w:t xml:space="preserve">healthcare </w:t>
      </w:r>
      <w:r w:rsidR="00962C88" w:rsidRPr="00493E4F">
        <w:rPr>
          <w:lang w:val="en-US"/>
        </w:rPr>
        <w:t>utilization</w:t>
      </w:r>
      <w:r w:rsidR="00C80B79" w:rsidRPr="00493E4F">
        <w:rPr>
          <w:lang w:val="en-US"/>
        </w:rPr>
        <w:t xml:space="preserve"> rate</w:t>
      </w:r>
      <w:r w:rsidR="0051696D" w:rsidRPr="00493E4F">
        <w:rPr>
          <w:lang w:val="en-US"/>
        </w:rPr>
        <w:t>s</w:t>
      </w:r>
      <w:r w:rsidR="004E1A31" w:rsidRPr="00493E4F">
        <w:rPr>
          <w:lang w:val="en-US"/>
        </w:rPr>
        <w:t xml:space="preserve"> </w:t>
      </w:r>
      <w:r w:rsidR="006D4D6F" w:rsidRPr="00493E4F">
        <w:rPr>
          <w:lang w:val="en-US"/>
        </w:rPr>
        <w:t xml:space="preserve">in insured </w:t>
      </w:r>
      <w:r w:rsidR="0051696D" w:rsidRPr="00493E4F">
        <w:rPr>
          <w:lang w:val="en-US"/>
        </w:rPr>
        <w:t xml:space="preserve">and </w:t>
      </w:r>
      <w:r w:rsidR="006D4D6F" w:rsidRPr="00493E4F">
        <w:rPr>
          <w:lang w:val="en-US"/>
        </w:rPr>
        <w:t>uninsured group</w:t>
      </w:r>
      <w:r w:rsidR="0051696D" w:rsidRPr="00493E4F">
        <w:rPr>
          <w:lang w:val="en-US"/>
        </w:rPr>
        <w:t xml:space="preserve"> respectively</w:t>
      </w:r>
      <w:r w:rsidR="006D4D6F" w:rsidRPr="00493E4F">
        <w:rPr>
          <w:lang w:val="en-US"/>
        </w:rPr>
        <w:t xml:space="preserve"> as observed by</w:t>
      </w:r>
      <w:r w:rsidR="0051696D" w:rsidRPr="00493E4F">
        <w:rPr>
          <w:lang w:val="en-US"/>
        </w:rPr>
        <w:t xml:space="preserve"> an</w:t>
      </w:r>
      <w:r w:rsidR="006D4D6F" w:rsidRPr="00493E4F">
        <w:rPr>
          <w:lang w:val="en-US"/>
        </w:rPr>
        <w:t xml:space="preserve"> earlier study on micro-health insurance in </w:t>
      </w:r>
      <w:r w:rsidR="00C378FE" w:rsidRPr="00493E4F">
        <w:rPr>
          <w:lang w:val="en-US"/>
        </w:rPr>
        <w:t xml:space="preserve">the </w:t>
      </w:r>
      <w:r w:rsidR="006D4D6F" w:rsidRPr="00493E4F">
        <w:rPr>
          <w:noProof/>
        </w:rPr>
        <w:t>Philippines</w:t>
      </w:r>
      <w:r w:rsidR="00D1254A" w:rsidRPr="00493E4F">
        <w:rPr>
          <w:noProof/>
        </w:rPr>
        <w:t>.</w:t>
      </w:r>
      <w:r w:rsidR="003A0B22" w:rsidRPr="00493E4F">
        <w:fldChar w:fldCharType="begin" w:fldLock="1"/>
      </w:r>
      <w:r w:rsidR="005A6516" w:rsidRPr="00493E4F">
        <w:rPr>
          <w:lang w:val="en-US"/>
        </w:rPr>
        <w:instrText>ADDIN CSL_CITATION {"citationItems":[{"id":"ITEM-1","itemData":{"DOI":"10.1016/j.healthpol.2004.11.018","ISSN":"0168-8510","PMID":"16039345","abstract":"Underutilization of healthcare is common among rural and low-income population segments in countries with lower income or inequitable income distribution. Micro health insurance units (MIUs) are created by informal sector groups because people cannot access health insurance or are dissatisfied with the programmes they can access. The policy choice to support MIUs relies on evidence that affiliation with these schemes increases healthcare utilization. This article examines new evidence of the association between affiliation with MIUs and healthcare utilization. We analyzed field data collected in 6 MIUs in the Philippines in 2002 (through a household survey encompassing 890 insured- and 1063 uninsured households). The two cohorts did not differ in demographic parameters, and differed only marginally in income and education levels, both higher amongst the insured. Insured persons reported higher hospitalization rates, higher rates of professionally-attended deliveries, lower rates of delivery at home, a higher frequency of primary-care physician encounters, a higher rate of diagnosed chronic diseases, and better drug compliance among chronically ill. Increased utilization by the insured is not due to adverse selection, judging by two facts: morbidity of the two cohorts, as assessed by a proxy indicator (the reported number of episodes of illness) did not differ; and rates of deliveries were even slightly higher among the uninsured. We conclude that MIUs in the Philippines can alleviate underutilization of heath care.","author":[{"dropping-particle":"","family":"Dror","given":"David M","non-dropping-particle":"","parse-names":false,"suffix":""},{"dropping-particle":"","family":"Soriano","given":"Elmer S","non-dropping-particle":"","parse-names":false,"suffix":""},{"dropping-particle":"","family":"Lorenzo","given":"Marilyn E","non-dropping-particle":"","parse-names":false,"suffix":""},{"dropping-particle":"","family":"Sarol","given":"Jesus N","non-dropping-particle":"","parse-names":false,"suffix":""},{"dropping-particle":"","family":"Azcuna","given":"Rosebelle S","non-dropping-particle":"","parse-names":false,"suffix":""},{"dropping-particle":"","family":"Koren","given":"Ruth","non-dropping-particle":"","parse-names":false,"suffix":""}],"container-title":"Health policy","id":"ITEM-1","issue":"3","issued":{"date-parts":[["2005","9","8"]]},"page":"263-71","title":"Field based evidence of enhanced healthcare utilization among persons insured by micro health insurance units in Philippines.","type":"article-journal","volume":"73"},"uris":["http://www.mendeley.com/documents/?uuid=d81df108-75e4-4a48-89df-712deea209bb"]}],"mendeley":{"formattedCitation":"&lt;sup&gt;21&lt;/sup&gt;","plainTextFormattedCitation":"21","previouslyFormattedCitation":"&lt;sup&gt;21&lt;/sup&gt;"},"properties":{"noteIndex":0},"schema":"https://github.com/citation-style-language/schema/raw/master/csl-citation.json"}</w:instrText>
      </w:r>
      <w:r w:rsidR="003A0B22" w:rsidRPr="00493E4F">
        <w:fldChar w:fldCharType="separate"/>
      </w:r>
      <w:r w:rsidR="005E1DD1" w:rsidRPr="00493E4F">
        <w:rPr>
          <w:noProof/>
          <w:vertAlign w:val="superscript"/>
          <w:lang w:val="en-US"/>
        </w:rPr>
        <w:t>21</w:t>
      </w:r>
      <w:r w:rsidR="003A0B22" w:rsidRPr="00493E4F">
        <w:fldChar w:fldCharType="end"/>
      </w:r>
      <w:r w:rsidR="0083417C" w:rsidRPr="00493E4F">
        <w:rPr>
          <w:noProof/>
        </w:rPr>
        <w:t xml:space="preserve"> </w:t>
      </w:r>
      <w:r w:rsidR="00764729" w:rsidRPr="00493E4F">
        <w:rPr>
          <w:noProof/>
          <w:lang w:val="en-US"/>
        </w:rPr>
        <w:t>The</w:t>
      </w:r>
      <w:r w:rsidR="00764729" w:rsidRPr="00493E4F">
        <w:rPr>
          <w:lang w:val="en-US"/>
        </w:rPr>
        <w:t xml:space="preserve"> sample size was estimated </w:t>
      </w:r>
      <w:r w:rsidR="0083417C" w:rsidRPr="00493E4F">
        <w:rPr>
          <w:noProof/>
          <w:lang w:val="en-US"/>
        </w:rPr>
        <w:t>at</w:t>
      </w:r>
      <w:r w:rsidR="00764729" w:rsidRPr="00493E4F">
        <w:rPr>
          <w:lang w:val="en-US"/>
        </w:rPr>
        <w:t xml:space="preserve"> </w:t>
      </w:r>
      <w:r w:rsidR="003D6E39" w:rsidRPr="00493E4F">
        <w:rPr>
          <w:lang w:val="en-US"/>
        </w:rPr>
        <w:t xml:space="preserve">777 households from each of </w:t>
      </w:r>
      <w:r w:rsidR="00E8193A" w:rsidRPr="00493E4F">
        <w:rPr>
          <w:lang w:val="en-US"/>
        </w:rPr>
        <w:t xml:space="preserve">the </w:t>
      </w:r>
      <w:r w:rsidR="00CC50BE" w:rsidRPr="00493E4F">
        <w:rPr>
          <w:noProof/>
          <w:lang w:val="en-US"/>
        </w:rPr>
        <w:t>insured</w:t>
      </w:r>
      <w:r w:rsidR="003D6E39" w:rsidRPr="00493E4F">
        <w:rPr>
          <w:lang w:val="en-US"/>
        </w:rPr>
        <w:t xml:space="preserve"> and </w:t>
      </w:r>
      <w:r w:rsidR="00CC50BE" w:rsidRPr="00493E4F">
        <w:rPr>
          <w:lang w:val="en-US"/>
        </w:rPr>
        <w:t>uninsured</w:t>
      </w:r>
      <w:r w:rsidR="003D6E39" w:rsidRPr="00493E4F">
        <w:rPr>
          <w:lang w:val="en-US"/>
        </w:rPr>
        <w:t xml:space="preserve"> groups were estimated considering 90% power and </w:t>
      </w:r>
      <w:r w:rsidR="00C378FE" w:rsidRPr="00493E4F">
        <w:rPr>
          <w:lang w:val="en-US"/>
        </w:rPr>
        <w:t xml:space="preserve">a </w:t>
      </w:r>
      <w:r w:rsidR="003D6E39" w:rsidRPr="00493E4F">
        <w:rPr>
          <w:noProof/>
          <w:lang w:val="en-US"/>
        </w:rPr>
        <w:t>10</w:t>
      </w:r>
      <w:r w:rsidR="003D6E39" w:rsidRPr="00493E4F">
        <w:rPr>
          <w:lang w:val="en-US"/>
        </w:rPr>
        <w:t>% non-response rate</w:t>
      </w:r>
      <w:r w:rsidR="00D1254A" w:rsidRPr="00493E4F">
        <w:rPr>
          <w:lang w:val="en-US"/>
        </w:rPr>
        <w:t>.</w:t>
      </w:r>
      <w:r w:rsidR="003A0B22" w:rsidRPr="00493E4F">
        <w:fldChar w:fldCharType="begin" w:fldLock="1"/>
      </w:r>
      <w:r w:rsidR="005A6516" w:rsidRPr="00493E4F">
        <w:rPr>
          <w:lang w:val="en-US"/>
        </w:rPr>
        <w:instrText>ADDIN CSL_CITATION {"citationItems":[{"id":"ITEM-1","itemData":{"ISSN":"0006-341X","PMID":"7407322","abstract":"An investigator wishes to compare two independent proportions, based on perhaps unequal sample sizes, by means of the chi squared test with the Yates' correction. A simple approximation is given to the sample size(s) required for the Yates-corrected chi squared test to have specified power; it is then compared with other approximations and with the exact sample size for the equal sample case. In that case the proposed approximation is quite similar to the approximate formula recently put forward by Casagrande, Pike and Smith (1978, Biometrics 34, 483-486).","author":[{"dropping-particle":"","family":"Ury","given":"H K","non-dropping-particle":"","parse-names":false,"suffix":""},{"dropping-particle":"","family":"Fleiss","given":"J L","non-dropping-particle":"","parse-names":false,"suffix":""}],"container-title":"Biometrics","id":"ITEM-1","issue":"2","issued":{"date-parts":[["1980","6"]]},"page":"347-51","title":"On approximate sample sizes for comparing two independent proportions with the use of Yates' correction.","type":"article-journal","volume":"36"},"uris":["http://www.mendeley.com/documents/?uuid=22886f20-a9b8-4022-9106-9a510d34088c"]},{"id":"ITEM-2","itemData":{"ISSN":"0006-341X","PMID":"719125","author":[{"dropping-particle":"","family":"Casagrande","given":"J T","non-dropping-particle":"","parse-names":false,"suffix":""},{"dropping-particle":"","family":"Pike","given":"M C","non-dropping-particle":"","parse-names":false,"suffix":""}],"container-title":"Biometrics","id":"ITEM-2","issue":"3","issued":{"date-parts":[["1978","9"]]},"page":"483-6","title":"An improved approximate formula for calculating sample sizes for comparing two binomial distributions.","type":"article-journal","volume":"34"},"uris":["http://www.mendeley.com/documents/?uuid=019a5884-bab0-4a42-8f12-c0c711af730d"]}],"mendeley":{"formattedCitation":"&lt;sup&gt;22,23&lt;/sup&gt;","plainTextFormattedCitation":"22,23","previouslyFormattedCitation":"&lt;sup&gt;22,23&lt;/sup&gt;"},"properties":{"noteIndex":0},"schema":"https://github.com/citation-style-language/schema/raw/master/csl-citation.json"}</w:instrText>
      </w:r>
      <w:r w:rsidR="003A0B22" w:rsidRPr="00493E4F">
        <w:fldChar w:fldCharType="separate"/>
      </w:r>
      <w:r w:rsidR="005E1DD1" w:rsidRPr="00493E4F">
        <w:rPr>
          <w:noProof/>
          <w:vertAlign w:val="superscript"/>
        </w:rPr>
        <w:t>22,23</w:t>
      </w:r>
      <w:r w:rsidR="003A0B22" w:rsidRPr="00493E4F">
        <w:fldChar w:fldCharType="end"/>
      </w:r>
      <w:r w:rsidR="003D6E39" w:rsidRPr="00493E4F">
        <w:t xml:space="preserve"> </w:t>
      </w:r>
      <w:r w:rsidR="00764729" w:rsidRPr="00493E4F">
        <w:t xml:space="preserve">The </w:t>
      </w:r>
      <w:r w:rsidR="003D6E39" w:rsidRPr="00493E4F">
        <w:t xml:space="preserve">total </w:t>
      </w:r>
      <w:r w:rsidR="00764729" w:rsidRPr="00493E4F">
        <w:t xml:space="preserve">sample size was thus </w:t>
      </w:r>
      <w:r w:rsidR="003D6E39" w:rsidRPr="00493E4F">
        <w:t>1,554 households. However</w:t>
      </w:r>
      <w:r w:rsidR="00764729" w:rsidRPr="00493E4F">
        <w:t>,</w:t>
      </w:r>
      <w:r w:rsidR="003D6E39" w:rsidRPr="00493E4F">
        <w:t xml:space="preserve"> 1,292 households (83.1% </w:t>
      </w:r>
      <w:r w:rsidR="00D963D4" w:rsidRPr="00493E4F">
        <w:t>response rate</w:t>
      </w:r>
      <w:r w:rsidR="003D6E39" w:rsidRPr="00493E4F">
        <w:t xml:space="preserve">) responded to this survey which comprises 6,694 individuals (insured=3,548, uninsured= 3,146). </w:t>
      </w:r>
      <w:r w:rsidR="001E762D" w:rsidRPr="00493E4F">
        <w:rPr>
          <w:color w:val="000000"/>
        </w:rPr>
        <w:t>R</w:t>
      </w:r>
      <w:r w:rsidR="00AB7FCF" w:rsidRPr="00493E4F">
        <w:rPr>
          <w:color w:val="000000"/>
        </w:rPr>
        <w:t xml:space="preserve">andom sampling was done for </w:t>
      </w:r>
      <w:r w:rsidR="00E8193A" w:rsidRPr="00493E4F">
        <w:rPr>
          <w:color w:val="000000"/>
        </w:rPr>
        <w:t xml:space="preserve">the </w:t>
      </w:r>
      <w:r w:rsidR="00AB7FCF" w:rsidRPr="00493E4F">
        <w:rPr>
          <w:noProof/>
          <w:color w:val="000000"/>
        </w:rPr>
        <w:t>insured</w:t>
      </w:r>
      <w:r w:rsidR="00AB7FCF" w:rsidRPr="00493E4F">
        <w:rPr>
          <w:color w:val="000000"/>
        </w:rPr>
        <w:t xml:space="preserve"> group from </w:t>
      </w:r>
      <w:r w:rsidR="00E8193A" w:rsidRPr="00493E4F">
        <w:rPr>
          <w:color w:val="000000"/>
        </w:rPr>
        <w:t xml:space="preserve">the </w:t>
      </w:r>
      <w:r w:rsidR="00AB7FCF" w:rsidRPr="00493E4F">
        <w:rPr>
          <w:noProof/>
          <w:color w:val="000000"/>
        </w:rPr>
        <w:t>list</w:t>
      </w:r>
      <w:r w:rsidR="00AB7FCF" w:rsidRPr="00493E4F">
        <w:rPr>
          <w:color w:val="000000"/>
        </w:rPr>
        <w:t xml:space="preserve"> of all enrolled </w:t>
      </w:r>
      <w:r w:rsidR="00C37133" w:rsidRPr="00493E4F">
        <w:rPr>
          <w:color w:val="000000"/>
        </w:rPr>
        <w:t>households</w:t>
      </w:r>
      <w:r w:rsidR="00AB7FCF" w:rsidRPr="00493E4F">
        <w:rPr>
          <w:color w:val="000000"/>
        </w:rPr>
        <w:t xml:space="preserve"> and </w:t>
      </w:r>
      <w:r w:rsidR="00E8193A" w:rsidRPr="00493E4F">
        <w:rPr>
          <w:color w:val="000000"/>
        </w:rPr>
        <w:t xml:space="preserve">the </w:t>
      </w:r>
      <w:r w:rsidR="00AB7FCF" w:rsidRPr="00493E4F">
        <w:rPr>
          <w:noProof/>
          <w:color w:val="000000"/>
        </w:rPr>
        <w:t>uninsured</w:t>
      </w:r>
      <w:r w:rsidR="00AB7FCF" w:rsidRPr="00493E4F">
        <w:rPr>
          <w:color w:val="000000"/>
        </w:rPr>
        <w:t xml:space="preserve"> household was identified through cross-walk from </w:t>
      </w:r>
      <w:r w:rsidR="00E8193A" w:rsidRPr="00493E4F">
        <w:rPr>
          <w:color w:val="000000"/>
        </w:rPr>
        <w:t xml:space="preserve">the </w:t>
      </w:r>
      <w:r w:rsidR="00AB7FCF" w:rsidRPr="00493E4F">
        <w:rPr>
          <w:noProof/>
          <w:color w:val="000000"/>
        </w:rPr>
        <w:t>same</w:t>
      </w:r>
      <w:r w:rsidR="00AB7FCF" w:rsidRPr="00493E4F">
        <w:rPr>
          <w:color w:val="000000"/>
        </w:rPr>
        <w:t xml:space="preserve"> village with </w:t>
      </w:r>
      <w:r w:rsidR="00C378FE" w:rsidRPr="00493E4F">
        <w:rPr>
          <w:noProof/>
          <w:color w:val="000000"/>
        </w:rPr>
        <w:t>a</w:t>
      </w:r>
      <w:r w:rsidR="00E8193A" w:rsidRPr="00493E4F">
        <w:rPr>
          <w:noProof/>
          <w:color w:val="000000"/>
        </w:rPr>
        <w:t xml:space="preserve"> </w:t>
      </w:r>
      <w:r w:rsidR="00AB7FCF" w:rsidRPr="00493E4F">
        <w:rPr>
          <w:noProof/>
          <w:color w:val="000000"/>
        </w:rPr>
        <w:t>similar</w:t>
      </w:r>
      <w:r w:rsidR="00AB7FCF" w:rsidRPr="00493E4F">
        <w:rPr>
          <w:color w:val="000000"/>
        </w:rPr>
        <w:t xml:space="preserve"> occupation of </w:t>
      </w:r>
      <w:r w:rsidR="00E8193A" w:rsidRPr="00493E4F">
        <w:rPr>
          <w:color w:val="000000"/>
        </w:rPr>
        <w:t xml:space="preserve">the </w:t>
      </w:r>
      <w:r w:rsidR="00AB7FCF" w:rsidRPr="00493E4F">
        <w:rPr>
          <w:noProof/>
          <w:color w:val="000000"/>
        </w:rPr>
        <w:t>household</w:t>
      </w:r>
      <w:r w:rsidR="00AB7FCF" w:rsidRPr="00493E4F">
        <w:rPr>
          <w:color w:val="000000"/>
        </w:rPr>
        <w:t xml:space="preserve"> head. </w:t>
      </w:r>
      <w:r w:rsidR="003D6E39" w:rsidRPr="00493E4F">
        <w:t xml:space="preserve">The household survey was conducted from April to </w:t>
      </w:r>
      <w:r w:rsidR="003D6E39" w:rsidRPr="00493E4F">
        <w:rPr>
          <w:noProof/>
        </w:rPr>
        <w:t>June</w:t>
      </w:r>
      <w:r w:rsidR="003D6E39" w:rsidRPr="00493E4F">
        <w:t xml:space="preserve"> 2014</w:t>
      </w:r>
      <w:r w:rsidR="003D6E39" w:rsidRPr="00493E4F">
        <w:rPr>
          <w:noProof/>
        </w:rPr>
        <w:t>.</w:t>
      </w:r>
      <w:r w:rsidR="00E8193A" w:rsidRPr="00493E4F">
        <w:rPr>
          <w:noProof/>
        </w:rPr>
        <w:t xml:space="preserve"> </w:t>
      </w:r>
      <w:r w:rsidR="005F0B01" w:rsidRPr="00493E4F">
        <w:rPr>
          <w:noProof/>
          <w:color w:val="000000"/>
        </w:rPr>
        <w:t>W</w:t>
      </w:r>
      <w:r w:rsidR="00522B8F" w:rsidRPr="00493E4F">
        <w:rPr>
          <w:noProof/>
          <w:color w:val="000000"/>
        </w:rPr>
        <w:t>e</w:t>
      </w:r>
      <w:r w:rsidR="00522B8F" w:rsidRPr="00493E4F">
        <w:rPr>
          <w:color w:val="000000"/>
        </w:rPr>
        <w:t xml:space="preserve"> los</w:t>
      </w:r>
      <w:r w:rsidR="00CC0D92" w:rsidRPr="00493E4F">
        <w:rPr>
          <w:color w:val="000000"/>
        </w:rPr>
        <w:t>t</w:t>
      </w:r>
      <w:r w:rsidR="00522B8F" w:rsidRPr="00493E4F">
        <w:rPr>
          <w:color w:val="000000"/>
        </w:rPr>
        <w:t xml:space="preserve"> </w:t>
      </w:r>
      <w:r w:rsidR="00E47128">
        <w:rPr>
          <w:color w:val="000000"/>
        </w:rPr>
        <w:t>1</w:t>
      </w:r>
      <w:r w:rsidR="00522B8F" w:rsidRPr="00493E4F">
        <w:rPr>
          <w:color w:val="000000"/>
        </w:rPr>
        <w:t xml:space="preserve">6.9% of </w:t>
      </w:r>
      <w:r w:rsidR="00C378FE" w:rsidRPr="00493E4F">
        <w:rPr>
          <w:color w:val="000000"/>
        </w:rPr>
        <w:t xml:space="preserve">the </w:t>
      </w:r>
      <w:r w:rsidR="00522B8F" w:rsidRPr="00493E4F">
        <w:rPr>
          <w:noProof/>
          <w:color w:val="000000"/>
        </w:rPr>
        <w:t>targeted</w:t>
      </w:r>
      <w:r w:rsidR="00522B8F" w:rsidRPr="00493E4F">
        <w:rPr>
          <w:color w:val="000000"/>
        </w:rPr>
        <w:t xml:space="preserve"> </w:t>
      </w:r>
      <w:r w:rsidR="00522B8F" w:rsidRPr="00493E4F">
        <w:rPr>
          <w:noProof/>
          <w:color w:val="000000"/>
        </w:rPr>
        <w:t>sample</w:t>
      </w:r>
      <w:r w:rsidR="00E8193A" w:rsidRPr="00493E4F">
        <w:rPr>
          <w:noProof/>
          <w:color w:val="000000"/>
        </w:rPr>
        <w:t xml:space="preserve"> </w:t>
      </w:r>
      <w:r w:rsidR="005F0B01" w:rsidRPr="00493E4F">
        <w:rPr>
          <w:noProof/>
          <w:color w:val="000000"/>
        </w:rPr>
        <w:t>due</w:t>
      </w:r>
      <w:r w:rsidR="005F0B01" w:rsidRPr="00493E4F">
        <w:rPr>
          <w:color w:val="000000"/>
        </w:rPr>
        <w:t xml:space="preserve"> to</w:t>
      </w:r>
      <w:r w:rsidR="003E0628" w:rsidRPr="00493E4F">
        <w:rPr>
          <w:color w:val="000000"/>
        </w:rPr>
        <w:t xml:space="preserve"> low</w:t>
      </w:r>
      <w:r w:rsidR="009375FB" w:rsidRPr="00493E4F">
        <w:rPr>
          <w:color w:val="000000"/>
        </w:rPr>
        <w:t xml:space="preserve"> </w:t>
      </w:r>
      <w:r w:rsidR="003E0628" w:rsidRPr="00493E4F">
        <w:rPr>
          <w:color w:val="000000"/>
        </w:rPr>
        <w:t>(</w:t>
      </w:r>
      <w:r w:rsidR="005F0B01" w:rsidRPr="00493E4F">
        <w:rPr>
          <w:color w:val="000000"/>
        </w:rPr>
        <w:t xml:space="preserve">83.1% </w:t>
      </w:r>
      <w:r w:rsidR="003E0628" w:rsidRPr="00493E4F">
        <w:rPr>
          <w:color w:val="000000"/>
        </w:rPr>
        <w:t>response rate</w:t>
      </w:r>
      <w:r w:rsidR="005F0B01" w:rsidRPr="00493E4F">
        <w:rPr>
          <w:color w:val="000000"/>
        </w:rPr>
        <w:t>)</w:t>
      </w:r>
      <w:r w:rsidR="00000930">
        <w:rPr>
          <w:color w:val="000000"/>
        </w:rPr>
        <w:t>.</w:t>
      </w:r>
      <w:r w:rsidR="005F0B01" w:rsidRPr="00493E4F">
        <w:rPr>
          <w:color w:val="000000"/>
        </w:rPr>
        <w:t xml:space="preserve"> response rate</w:t>
      </w:r>
      <w:r w:rsidR="00522B8F" w:rsidRPr="00493E4F">
        <w:rPr>
          <w:color w:val="000000"/>
        </w:rPr>
        <w:t xml:space="preserve">. </w:t>
      </w:r>
      <w:r w:rsidR="00EF7210" w:rsidRPr="00493E4F">
        <w:rPr>
          <w:noProof/>
          <w:color w:val="000000"/>
        </w:rPr>
        <w:t>Since</w:t>
      </w:r>
      <w:r w:rsidR="00EF7210" w:rsidRPr="00493E4F">
        <w:rPr>
          <w:color w:val="000000"/>
        </w:rPr>
        <w:t xml:space="preserve"> </w:t>
      </w:r>
      <w:r w:rsidR="007B30B3" w:rsidRPr="00493E4F">
        <w:rPr>
          <w:color w:val="000000"/>
        </w:rPr>
        <w:t>w</w:t>
      </w:r>
      <w:r w:rsidR="00522B8F" w:rsidRPr="00493E4F">
        <w:rPr>
          <w:color w:val="000000"/>
        </w:rPr>
        <w:t xml:space="preserve">e </w:t>
      </w:r>
      <w:r w:rsidR="00522B8F" w:rsidRPr="00493E4F">
        <w:rPr>
          <w:noProof/>
          <w:color w:val="000000"/>
        </w:rPr>
        <w:t>consider</w:t>
      </w:r>
      <w:r w:rsidR="00EF7210" w:rsidRPr="00493E4F">
        <w:rPr>
          <w:noProof/>
          <w:color w:val="000000"/>
        </w:rPr>
        <w:t>ed</w:t>
      </w:r>
      <w:r w:rsidR="007B30B3" w:rsidRPr="00493E4F">
        <w:rPr>
          <w:color w:val="000000"/>
        </w:rPr>
        <w:t xml:space="preserve"> </w:t>
      </w:r>
      <w:r w:rsidR="00522B8F" w:rsidRPr="00493E4F">
        <w:rPr>
          <w:color w:val="000000"/>
        </w:rPr>
        <w:t xml:space="preserve">high power (90%) during the sample size </w:t>
      </w:r>
      <w:r w:rsidR="00683D13" w:rsidRPr="00493E4F">
        <w:rPr>
          <w:color w:val="000000"/>
        </w:rPr>
        <w:t>calculation;</w:t>
      </w:r>
      <w:r w:rsidR="00522B8F" w:rsidRPr="00493E4F">
        <w:rPr>
          <w:color w:val="000000"/>
        </w:rPr>
        <w:t xml:space="preserve"> the non-response rate </w:t>
      </w:r>
      <w:r w:rsidR="00CC0D92" w:rsidRPr="00493E4F">
        <w:rPr>
          <w:color w:val="000000"/>
        </w:rPr>
        <w:t xml:space="preserve">should </w:t>
      </w:r>
      <w:r w:rsidR="00522B8F" w:rsidRPr="00493E4F">
        <w:rPr>
          <w:color w:val="000000"/>
        </w:rPr>
        <w:t>not affect the estimates</w:t>
      </w:r>
      <w:r w:rsidR="00CC0D92" w:rsidRPr="00493E4F">
        <w:rPr>
          <w:color w:val="000000"/>
        </w:rPr>
        <w:t xml:space="preserve"> as </w:t>
      </w:r>
      <w:r w:rsidR="00D71654" w:rsidRPr="00493E4F">
        <w:rPr>
          <w:noProof/>
          <w:color w:val="000000"/>
        </w:rPr>
        <w:t>the</w:t>
      </w:r>
      <w:r w:rsidR="00E8193A" w:rsidRPr="00493E4F">
        <w:rPr>
          <w:noProof/>
          <w:color w:val="000000"/>
        </w:rPr>
        <w:t xml:space="preserve"> </w:t>
      </w:r>
      <w:r w:rsidR="00EF7210" w:rsidRPr="00493E4F">
        <w:rPr>
          <w:noProof/>
          <w:color w:val="000000"/>
        </w:rPr>
        <w:t>power</w:t>
      </w:r>
      <w:r w:rsidR="00CC0D92" w:rsidRPr="00493E4F">
        <w:rPr>
          <w:color w:val="000000"/>
        </w:rPr>
        <w:t xml:space="preserve"> of sample calculation varied </w:t>
      </w:r>
      <w:r w:rsidR="00EF7210" w:rsidRPr="00493E4F">
        <w:rPr>
          <w:color w:val="000000"/>
        </w:rPr>
        <w:t>between 80% and 90%</w:t>
      </w:r>
      <w:r w:rsidR="00CC0D92" w:rsidRPr="00493E4F">
        <w:rPr>
          <w:color w:val="000000"/>
        </w:rPr>
        <w:t xml:space="preserve"> in </w:t>
      </w:r>
      <w:r w:rsidR="00E8193A" w:rsidRPr="00493E4F">
        <w:rPr>
          <w:color w:val="000000"/>
        </w:rPr>
        <w:t xml:space="preserve">the </w:t>
      </w:r>
      <w:r w:rsidR="00CC0D92" w:rsidRPr="00493E4F">
        <w:rPr>
          <w:noProof/>
          <w:color w:val="000000"/>
        </w:rPr>
        <w:t>literature</w:t>
      </w:r>
      <w:r w:rsidR="00D1254A" w:rsidRPr="00493E4F">
        <w:rPr>
          <w:noProof/>
          <w:color w:val="000000"/>
        </w:rPr>
        <w:t>.</w:t>
      </w:r>
      <w:r w:rsidR="003A0B22" w:rsidRPr="00493E4F">
        <w:rPr>
          <w:color w:val="000000"/>
        </w:rPr>
        <w:fldChar w:fldCharType="begin" w:fldLock="1"/>
      </w:r>
      <w:r w:rsidR="005A6516" w:rsidRPr="00493E4F">
        <w:rPr>
          <w:color w:val="000000"/>
        </w:rPr>
        <w:instrText>ADDIN CSL_CITATION {"citationItems":[{"id":"ITEM-1","itemData":{"DOI":"10.1136/emj.20.5.453","ISBN":"1472-0213 (Electronic)\\n1472-0205 (Linking)","ISSN":"1472-0205","PMID":"12954688","abstract":"The importance of power and sample size estimation for study design and analysis.","author":[{"dropping-particle":"","family":"Jones","given":"S R","non-dropping-particle":"","parse-names":false,"suffix":""}],"container-title":"Emergency Medicine Journal","id":"ITEM-1","issue":"5","issued":{"date-parts":[["2003"]]},"page":"453-458","title":"An introduction to power and sample size estimation","type":"article-journal","volume":"20"},"uris":["http://www.mendeley.com/documents/?uuid=7a80624c-7fdc-4e68-90a7-e9adc072e6c0"]}],"mendeley":{"formattedCitation":"&lt;sup&gt;24&lt;/sup&gt;","plainTextFormattedCitation":"24","previouslyFormattedCitation":"&lt;sup&gt;24&lt;/sup&gt;"},"properties":{"noteIndex":0},"schema":"https://github.com/citation-style-language/schema/raw/master/csl-citation.json"}</w:instrText>
      </w:r>
      <w:r w:rsidR="003A0B22" w:rsidRPr="00493E4F">
        <w:rPr>
          <w:color w:val="000000"/>
        </w:rPr>
        <w:fldChar w:fldCharType="separate"/>
      </w:r>
      <w:r w:rsidR="005E1DD1" w:rsidRPr="00493E4F">
        <w:rPr>
          <w:noProof/>
          <w:color w:val="000000"/>
          <w:vertAlign w:val="superscript"/>
        </w:rPr>
        <w:t>24</w:t>
      </w:r>
      <w:r w:rsidR="003A0B22" w:rsidRPr="00493E4F">
        <w:rPr>
          <w:color w:val="000000"/>
        </w:rPr>
        <w:fldChar w:fldCharType="end"/>
      </w:r>
    </w:p>
    <w:p w14:paraId="3A01965C" w14:textId="77777777" w:rsidR="00522B8F" w:rsidRPr="00493E4F" w:rsidRDefault="00522B8F" w:rsidP="00176EDD">
      <w:pPr>
        <w:spacing w:before="120" w:line="480" w:lineRule="auto"/>
        <w:jc w:val="both"/>
        <w:rPr>
          <w:color w:val="000000"/>
        </w:rPr>
      </w:pPr>
    </w:p>
    <w:p w14:paraId="69F217AB" w14:textId="77777777" w:rsidR="00496A1F" w:rsidRPr="00493E4F" w:rsidRDefault="00496A1F" w:rsidP="005C7FB3">
      <w:pPr>
        <w:pStyle w:val="Heading2"/>
        <w:spacing w:before="120" w:line="480" w:lineRule="auto"/>
        <w:jc w:val="both"/>
      </w:pPr>
      <w:r w:rsidRPr="00493E4F">
        <w:t>Data collection and variables</w:t>
      </w:r>
    </w:p>
    <w:p w14:paraId="0782E992" w14:textId="235E06F2" w:rsidR="00546C74" w:rsidRPr="00493E4F" w:rsidRDefault="00496A1F" w:rsidP="00546C74">
      <w:pPr>
        <w:spacing w:before="120" w:line="480" w:lineRule="auto"/>
        <w:jc w:val="both"/>
      </w:pPr>
      <w:r w:rsidRPr="00493E4F">
        <w:t>A structured questionnaire was administered in face-to-face interview</w:t>
      </w:r>
      <w:r w:rsidR="00CC0D92" w:rsidRPr="00493E4F">
        <w:t>s</w:t>
      </w:r>
      <w:r w:rsidRPr="00493E4F">
        <w:t xml:space="preserve"> of </w:t>
      </w:r>
      <w:r w:rsidR="00E8193A" w:rsidRPr="00493E4F">
        <w:t xml:space="preserve">the </w:t>
      </w:r>
      <w:r w:rsidRPr="00493E4F">
        <w:rPr>
          <w:noProof/>
        </w:rPr>
        <w:t>household</w:t>
      </w:r>
      <w:r w:rsidRPr="00493E4F">
        <w:t xml:space="preserve"> head of the insured and the uninsured households. </w:t>
      </w:r>
      <w:r w:rsidR="007166F7" w:rsidRPr="00493E4F">
        <w:t xml:space="preserve">Five trained </w:t>
      </w:r>
      <w:r w:rsidR="004200D2" w:rsidRPr="00493E4F">
        <w:t>F</w:t>
      </w:r>
      <w:r w:rsidR="007166F7" w:rsidRPr="00493E4F">
        <w:t xml:space="preserve">ield </w:t>
      </w:r>
      <w:r w:rsidR="004200D2" w:rsidRPr="00493E4F">
        <w:t>R</w:t>
      </w:r>
      <w:r w:rsidR="007166F7" w:rsidRPr="00493E4F">
        <w:t xml:space="preserve">esearch </w:t>
      </w:r>
      <w:r w:rsidR="004200D2" w:rsidRPr="00493E4F">
        <w:t>A</w:t>
      </w:r>
      <w:r w:rsidR="007166F7" w:rsidRPr="00493E4F">
        <w:t xml:space="preserve">ssistants were involved </w:t>
      </w:r>
      <w:r w:rsidR="00C378FE" w:rsidRPr="00493E4F">
        <w:rPr>
          <w:noProof/>
        </w:rPr>
        <w:t>in</w:t>
      </w:r>
      <w:r w:rsidR="00E8193A" w:rsidRPr="00493E4F">
        <w:rPr>
          <w:noProof/>
        </w:rPr>
        <w:t xml:space="preserve"> </w:t>
      </w:r>
      <w:r w:rsidR="002A0F24" w:rsidRPr="00493E4F">
        <w:rPr>
          <w:noProof/>
        </w:rPr>
        <w:t>conducting</w:t>
      </w:r>
      <w:r w:rsidR="00CC0D92" w:rsidRPr="00493E4F">
        <w:t xml:space="preserve"> </w:t>
      </w:r>
      <w:r w:rsidR="00CC0D92" w:rsidRPr="00493E4F">
        <w:rPr>
          <w:noProof/>
        </w:rPr>
        <w:t>the</w:t>
      </w:r>
      <w:r w:rsidR="00E8193A" w:rsidRPr="00493E4F">
        <w:rPr>
          <w:noProof/>
        </w:rPr>
        <w:t xml:space="preserve"> </w:t>
      </w:r>
      <w:r w:rsidR="00C154A3" w:rsidRPr="00493E4F">
        <w:rPr>
          <w:noProof/>
        </w:rPr>
        <w:t>interviews</w:t>
      </w:r>
      <w:r w:rsidR="00C154A3" w:rsidRPr="00493E4F">
        <w:t xml:space="preserve"> </w:t>
      </w:r>
      <w:r w:rsidR="00C154A3" w:rsidRPr="00493E4F">
        <w:rPr>
          <w:noProof/>
        </w:rPr>
        <w:t>th</w:t>
      </w:r>
      <w:r w:rsidR="00C378FE" w:rsidRPr="00493E4F">
        <w:rPr>
          <w:noProof/>
        </w:rPr>
        <w:t>r</w:t>
      </w:r>
      <w:r w:rsidR="00C154A3" w:rsidRPr="00493E4F">
        <w:rPr>
          <w:noProof/>
        </w:rPr>
        <w:t>ough</w:t>
      </w:r>
      <w:r w:rsidR="00C154A3" w:rsidRPr="00493E4F">
        <w:t xml:space="preserve"> household visit</w:t>
      </w:r>
      <w:r w:rsidR="00CC0D92" w:rsidRPr="00493E4F">
        <w:t>s</w:t>
      </w:r>
      <w:r w:rsidR="00C154A3" w:rsidRPr="00493E4F">
        <w:t xml:space="preserve">. </w:t>
      </w:r>
      <w:r w:rsidR="004200D2" w:rsidRPr="00493E4F">
        <w:t>One Field Research Officer along with the investigators</w:t>
      </w:r>
      <w:r w:rsidR="00230A5C" w:rsidRPr="00493E4F">
        <w:t xml:space="preserve"> of the study</w:t>
      </w:r>
      <w:r w:rsidR="004200D2" w:rsidRPr="00493E4F">
        <w:t xml:space="preserve"> supervise</w:t>
      </w:r>
      <w:r w:rsidR="00230A5C" w:rsidRPr="00493E4F">
        <w:t>d</w:t>
      </w:r>
      <w:r w:rsidR="004200D2" w:rsidRPr="00493E4F">
        <w:t xml:space="preserve"> the data collector</w:t>
      </w:r>
      <w:r w:rsidR="002620F4" w:rsidRPr="00493E4F">
        <w:t>s</w:t>
      </w:r>
      <w:r w:rsidR="004200D2" w:rsidRPr="00493E4F">
        <w:t>.</w:t>
      </w:r>
      <w:r w:rsidR="00BE1ED0" w:rsidRPr="00493E4F">
        <w:t xml:space="preserve"> </w:t>
      </w:r>
      <w:r w:rsidR="00CC0D92" w:rsidRPr="00493E4F">
        <w:t>Information on t</w:t>
      </w:r>
      <w:r w:rsidRPr="00493E4F">
        <w:t xml:space="preserve">he demographic characteristics of individual members and household socioeconomic characteristics were collected. </w:t>
      </w:r>
      <w:r w:rsidR="00CC0D92" w:rsidRPr="00493E4F">
        <w:t xml:space="preserve">Data about </w:t>
      </w:r>
      <w:r w:rsidRPr="00493E4F">
        <w:rPr>
          <w:noProof/>
        </w:rPr>
        <w:t>healthcare</w:t>
      </w:r>
      <w:r w:rsidRPr="00493E4F">
        <w:t xml:space="preserve"> seeking of any household members</w:t>
      </w:r>
      <w:r w:rsidR="00CC0D92" w:rsidRPr="00493E4F">
        <w:t xml:space="preserve"> and associated out-of-pocket payments </w:t>
      </w:r>
      <w:r w:rsidRPr="00493E4F">
        <w:t xml:space="preserve">in </w:t>
      </w:r>
      <w:r w:rsidR="00E8193A" w:rsidRPr="00493E4F">
        <w:t xml:space="preserve">the </w:t>
      </w:r>
      <w:r w:rsidRPr="00493E4F">
        <w:rPr>
          <w:noProof/>
        </w:rPr>
        <w:t>past</w:t>
      </w:r>
      <w:r w:rsidRPr="00493E4F">
        <w:t xml:space="preserve"> 90 days</w:t>
      </w:r>
      <w:r w:rsidR="00CC0D92" w:rsidRPr="00493E4F">
        <w:t xml:space="preserve"> were </w:t>
      </w:r>
      <w:r w:rsidR="00580E3F" w:rsidRPr="00493E4F">
        <w:t>gathered</w:t>
      </w:r>
      <w:r w:rsidR="00CC0D92" w:rsidRPr="00493E4F">
        <w:t xml:space="preserve">. </w:t>
      </w:r>
      <w:r w:rsidRPr="00493E4F">
        <w:rPr>
          <w:noProof/>
        </w:rPr>
        <w:t>Generally</w:t>
      </w:r>
      <w:r w:rsidR="00E8193A" w:rsidRPr="00493E4F">
        <w:rPr>
          <w:noProof/>
        </w:rPr>
        <w:t>,</w:t>
      </w:r>
      <w:r w:rsidRPr="00493E4F">
        <w:t xml:space="preserve"> the informal workers sought healthcare from village doctors, drug-sellers, traditional healers, doctors, private clinics, medical colleges and district hospitals, sub-district health complexes and </w:t>
      </w:r>
      <w:r w:rsidR="00F44BAE" w:rsidRPr="00493E4F">
        <w:t xml:space="preserve">clinics managed by </w:t>
      </w:r>
      <w:r w:rsidR="00A56B32" w:rsidRPr="00493E4F">
        <w:t>non-profit organization (</w:t>
      </w:r>
      <w:r w:rsidRPr="00493E4F">
        <w:t>NGO</w:t>
      </w:r>
      <w:r w:rsidR="00A56B32" w:rsidRPr="00493E4F">
        <w:t>)</w:t>
      </w:r>
      <w:r w:rsidR="005162AA" w:rsidRPr="00493E4F">
        <w:t>.</w:t>
      </w:r>
      <w:r w:rsidR="003A0B22" w:rsidRPr="00493E4F">
        <w:fldChar w:fldCharType="begin" w:fldLock="1"/>
      </w:r>
      <w:r w:rsidR="005A6516" w:rsidRPr="00493E4F">
        <w:instrText>ADDIN CSL_CITATION {"citationItems":[{"id":"ITEM-1","itemData":{"ISSN":"0268-1080","PMID":"12917272","abstract":"It is generally assumed that socioeconomic development interventions for the poor will enhance their material and social capacities to prevent ill health and to seek appropriate and timely care. Using cross-sectional data from surveys undertaken in 1995 and 1999 as part of the BRAC-ICDDR,B Joint Research Project in Matlab, Bangladesh, this paper explores patterns of health-seeking behaviour over time, with the hypothesis that exposure to integrated socioeconomic development activities will enhance gender equity in care-seeking and the use of qualified medical care. While there is tentative evidence of greater gender equity in treatment choice among households benefiting from development interventions, a preference for qualified medical care is not apparent. Findings reveal a striking and generalized rise in self-treatment over the 4-year period that is attributed to the economic repercussions of a major flood in 1998, and greater heath awareness due to the density of community health workers in Matlab. Also noteworthy is the substantial reliance on informal and often unqualified practitioners (over 20%) such as pharmacists and itinerant drug sellers. Factors associated with the type of health care sought were identified using logistic regression. Self-care is associated with female gender, the absence of low cost health services and illnesses of relatively short duration. Medical care, on the other hand, is positively predicted by male gender, geographic location, greater socioeconomic status and serious illness of long duration. The paper concludes by emphasizing the importance of enhancing local capacities to determine whether self-treatment is indicated, to self-treat appropriately, or in cases where health care is sought, to judge provider competence and evaluate whether treatment costs are justified. The provision of pharmaceutical training to the full spectrum of health care providers is also recommended.","author":[{"dropping-particle":"","family":"Ahmed","given":"Syed Masud","non-dropping-particle":"","parse-names":false,"suffix":""},{"dropping-particle":"","family":"Adams","given":"Alayne M","non-dropping-particle":"","parse-names":false,"suffix":""},{"dropping-particle":"","family":"Chowdhury","given":"Mushtaque","non-dropping-particle":"","parse-names":false,"suffix":""},{"dropping-particle":"","family":"Bhuiya","given":"Abbas","non-dropping-particle":"","parse-names":false,"suffix":""}],"container-title":"Health policy and planning","id":"ITEM-1","issue":"3","issued":{"date-parts":[["2003","9"]]},"page":"306-15","title":"Changing health-seeking behaviour in Matlab, Bangladesh: do development interventions matter?","type":"article-journal","volume":"18"},"uris":["http://www.mendeley.com/documents/?uuid=6debaf03-8038-43e6-a32f-a927193ac5fb"]},{"id":"ITEM-2","itemData":{"DOI":"10.1590/S0042-96862005000200011","ISSN":"0042-9686","author":[{"dropping-particle":"","family":"Ahmed","given":"Syed Masud","non-dropping-particle":"","parse-names":false,"suffix":""},{"dropping-particle":"","family":"Tomson","given":"Göran","non-dropping-particle":"","parse-names":false,"suffix":""},{"dropping-particle":"","family":"Petzold","given":"Max","non-dropping-particle":"","parse-names":false,"suffix":""},{"dropping-particle":"","family":"Kabir","given":"Zarina Nahar","non-dropping-particle":"","parse-names":false,"suffix":""}],"container-title":"Bulletin of the World Health Organization","id":"ITEM-2","issue":"2","issued":{"date-parts":[["2005"]]},"page":"109-117","publisher":"World Health Organization","title":"Socioeconomic status overrides age and gender in determining health-seeking behaviour in rural Bangladesh","type":"article-journal","volume":"83"},"uris":["http://www.mendeley.com/documents/?uuid=ff982062-3a3a-40fd-9b25-d0e32dcbb5cd"]}],"mendeley":{"formattedCitation":"&lt;sup&gt;25,26&lt;/sup&gt;","plainTextFormattedCitation":"25,26","previouslyFormattedCitation":"&lt;sup&gt;25,26&lt;/sup&gt;"},"properties":{"noteIndex":0},"schema":"https://github.com/citation-style-language/schema/raw/master/csl-citation.json"}</w:instrText>
      </w:r>
      <w:r w:rsidR="003A0B22" w:rsidRPr="00493E4F">
        <w:fldChar w:fldCharType="separate"/>
      </w:r>
      <w:r w:rsidR="005E1DD1" w:rsidRPr="00493E4F">
        <w:rPr>
          <w:noProof/>
          <w:vertAlign w:val="superscript"/>
        </w:rPr>
        <w:t>25,26</w:t>
      </w:r>
      <w:r w:rsidR="003A0B22" w:rsidRPr="00493E4F">
        <w:fldChar w:fldCharType="end"/>
      </w:r>
      <w:r w:rsidRPr="00493E4F">
        <w:t xml:space="preserve"> </w:t>
      </w:r>
      <w:r w:rsidR="00546C74" w:rsidRPr="00493E4F">
        <w:t xml:space="preserve">We considered </w:t>
      </w:r>
      <w:r w:rsidR="00DB3CAA">
        <w:t xml:space="preserve">the </w:t>
      </w:r>
      <w:r w:rsidR="004F0589" w:rsidRPr="00493E4F">
        <w:t>doctor</w:t>
      </w:r>
      <w:r w:rsidR="00DB3CAA">
        <w:t>s</w:t>
      </w:r>
      <w:r w:rsidR="004F0589" w:rsidRPr="00493E4F">
        <w:t xml:space="preserve"> with </w:t>
      </w:r>
      <w:r w:rsidR="00636362" w:rsidRPr="00493E4F">
        <w:t>Bachelor of Medicine and Bachelor of Surgery (</w:t>
      </w:r>
      <w:r w:rsidR="00546C74" w:rsidRPr="00493E4F">
        <w:t>MBBS</w:t>
      </w:r>
      <w:r w:rsidR="00636362" w:rsidRPr="00493E4F">
        <w:t>)</w:t>
      </w:r>
      <w:r w:rsidR="00546C74" w:rsidRPr="00493E4F">
        <w:t xml:space="preserve"> </w:t>
      </w:r>
      <w:r w:rsidR="000C4CD3">
        <w:t xml:space="preserve">degree </w:t>
      </w:r>
      <w:r w:rsidR="00546C74" w:rsidRPr="00493E4F">
        <w:t xml:space="preserve">(General Practitioners), specialized doctors, private clinics, medical college and district hospitals, Upazila Health Complex and NGO clinics as </w:t>
      </w:r>
      <w:r w:rsidR="000C4CD3">
        <w:t xml:space="preserve">the </w:t>
      </w:r>
      <w:r w:rsidR="00546C74" w:rsidRPr="00493E4F">
        <w:t>MTPs since the</w:t>
      </w:r>
      <w:r w:rsidR="000C4CD3">
        <w:t>se healthcare proving organizations</w:t>
      </w:r>
      <w:r w:rsidR="00546C74" w:rsidRPr="00493E4F">
        <w:t xml:space="preserve"> employ medically well-educated staffs. Whereas, village doctors, drug-sellers, traditional healers constituted the non-trained providers</w:t>
      </w:r>
      <w:r w:rsidR="00580E3F" w:rsidRPr="00493E4F">
        <w:t xml:space="preserve"> in this study as such providers usually </w:t>
      </w:r>
      <w:r w:rsidR="00580E3F" w:rsidRPr="00493E4F">
        <w:rPr>
          <w:noProof/>
        </w:rPr>
        <w:t>lack</w:t>
      </w:r>
      <w:r w:rsidR="00E8193A" w:rsidRPr="00493E4F">
        <w:rPr>
          <w:noProof/>
        </w:rPr>
        <w:t xml:space="preserve"> </w:t>
      </w:r>
      <w:r w:rsidR="00580E3F" w:rsidRPr="00493E4F">
        <w:rPr>
          <w:noProof/>
        </w:rPr>
        <w:t>medical</w:t>
      </w:r>
      <w:r w:rsidR="00580E3F" w:rsidRPr="00493E4F">
        <w:t xml:space="preserve"> training as per standard curriculum. </w:t>
      </w:r>
      <w:r w:rsidR="00A3182C" w:rsidRPr="00493E4F">
        <w:t xml:space="preserve">The OOP payments for </w:t>
      </w:r>
      <w:r w:rsidR="00A3182C" w:rsidRPr="00493E4F">
        <w:rPr>
          <w:noProof/>
        </w:rPr>
        <w:t>healthcare</w:t>
      </w:r>
      <w:r w:rsidR="00A3182C" w:rsidRPr="00493E4F">
        <w:t xml:space="preserve"> included medical fees, user charges for public hospital care, purchases of medicines (whether prescribed or not), insurance co-payments, and payments for appliances</w:t>
      </w:r>
      <w:r w:rsidR="00580E3F" w:rsidRPr="00493E4F">
        <w:t xml:space="preserve"> and</w:t>
      </w:r>
      <w:r w:rsidR="00A3182C" w:rsidRPr="00493E4F">
        <w:t xml:space="preserve"> diagnostic tests</w:t>
      </w:r>
      <w:r w:rsidR="005162AA" w:rsidRPr="00493E4F">
        <w:t>.</w:t>
      </w:r>
      <w:r w:rsidR="003A0B22" w:rsidRPr="00493E4F">
        <w:fldChar w:fldCharType="begin" w:fldLock="1"/>
      </w:r>
      <w:r w:rsidR="005A6516" w:rsidRPr="00493E4F">
        <w:instrText>ADDIN CSL_CITATION {"citationItems":[{"id":"ITEM-1","itemData":{"ISBN":"1474-547X (Electronic) 0140-6736 (Linking)","abstract":"BACKGROUND: Conventional estimates of poverty do not take account of out-of-pocket payments to finance health care. We aimed to reassess measures of poverty in 11 low-to-middle income countries in Asia by calculating total household resources both with and without out-of-pocket payments for health care. METHODS: We obtained data on payments for health care from nationally representative surveys, and subtracted these payments from total household resources. We then calculated the number of individuals with less than the internationally accepted threshold of absolute poverty (US1 dollar per head per day) after making health payments. We also assessed the effect of health-care payments on the poverty gap--the amount by which household resources fell short of the 1 dollar poverty line in these countries. FINDINGS: Our estimate of the overall prevalence of absolute poverty in these countries was 14% higher than conventional estimates that do not take account of out-of-pocket payments for health care. We calculated that an additional 2.7% of the population under study (78 million people) ended up with less than 1 dollar per day after they had paid for health care. In Bangladesh, China, India, Nepal, and Vietnam, where more than 60% of health-care costs are paid out-of-pocket by households, our estimates of poverty were much higher than conventional figures, ranging from an additional 1.2% of the population in Vietnam to 3.8% in Bangladesh. INTERPRETATION: Out-of-pocket health payments exacerbate poverty. Policies to reduce the number of Asians living on less than 1 dollar per day need to include measures to reduce such payments.","author":[{"dropping-particle":"","family":"Doorslaer","given":"E","non-dropping-particle":"van","parse-names":false,"suffix":""},{"dropping-particle":"","family":"O'Donnell","given":"O","non-dropping-particle":"","parse-names":false,"suffix":""},{"dropping-particle":"","family":"Rannan-Eliya","given":"R P","non-dropping-particle":"","parse-names":false,"suffix":""},{"dropping-particle":"","family":"Somanathan","given":"A","non-dropping-particle":"","parse-names":false,"suffix":""},{"dropping-particle":"","family":"Adhikari","given":"S R","non-dropping-particle":"","parse-names":false,"suffix":""},{"dropping-particle":"","family":"Garg","given":"C C","non-dropping-particle":"","parse-names":false,"suffix":""},{"dropping-particle":"","family":"Harbianto","given":"D","non-dropping-particle":"","parse-names":false,"suffix":""},{"dropping-particle":"","family":"Herrin","given":"A N","non-dropping-particle":"","parse-names":false,"suffix":""},{"dropping-particle":"","family":"Huq","given":"M N","non-dropping-particle":"","parse-names":false,"suffix":""},{"dropping-particle":"","family":"Ibragimova","given":"S","non-dropping-particle":"","parse-names":false,"suffix":""},{"dropping-particle":"","family":"Karan","given":"A","non-dropping-particle":"","parse-names":false,"suffix":""},{"dropping-particle":"","family":"Ng","given":"C W","non-dropping-particle":"","parse-names":false,"suffix":""},{"dropping-particle":"","family":"Pande","given":"B R","non-dropping-particle":"","parse-names":false,"suffix":""},{"dropping-particle":"","family":"Racelis","given":"R","non-dropping-particle":"","parse-names":false,"suffix":""},{"dropping-particle":"","family":"Tao","given":"S","non-dropping-particle":"","parse-names":false,"suffix":""},{"dropping-particle":"","family":"Tin","given":"K","non-dropping-particle":"","parse-names":false,"suffix":""},{"dropping-particle":"","family":"Tisayaticom","given":"K","non-dropping-particle":"","parse-names":false,"suffix":""},{"dropping-particle":"","family":"Trisnantoro","given":"L","non-dropping-particle":"","parse-names":false,"suffix":""},{"dropping-particle":"","family":"Vasavid","given":"C","non-dropping-particle":"","parse-names":false,"suffix":""},{"dropping-particle":"","family":"Zhao","given":"Y","non-dropping-particle":"","parse-names":false,"suffix":""}],"container-title":"Lancet","id":"ITEM-1","issue":"9544","issued":{"date-parts":[["2006"]]},"note":"Using Smart Source Parsing\nOct 14","page":"1357-1364","title":"Effect of payments for health care on poverty estimates in 11 countries in Asia: an analysis of household survey data","type":"article-journal","volume":"368"},"uris":["http://www.mendeley.com/documents/?uuid=a450ee45-317e-425b-a140-1abfb67bef08"]}],"mendeley":{"formattedCitation":"&lt;sup&gt;27&lt;/sup&gt;","plainTextFormattedCitation":"27","previouslyFormattedCitation":"&lt;sup&gt;27&lt;/sup&gt;"},"properties":{"noteIndex":0},"schema":"https://github.com/citation-style-language/schema/raw/master/csl-citation.json"}</w:instrText>
      </w:r>
      <w:r w:rsidR="003A0B22" w:rsidRPr="00493E4F">
        <w:fldChar w:fldCharType="separate"/>
      </w:r>
      <w:r w:rsidR="005E1DD1" w:rsidRPr="00493E4F">
        <w:rPr>
          <w:noProof/>
          <w:vertAlign w:val="superscript"/>
        </w:rPr>
        <w:t>27</w:t>
      </w:r>
      <w:r w:rsidR="003A0B22" w:rsidRPr="00493E4F">
        <w:fldChar w:fldCharType="end"/>
      </w:r>
    </w:p>
    <w:p w14:paraId="0EAC3752" w14:textId="77777777" w:rsidR="00DA5DC1" w:rsidRDefault="00DA5DC1" w:rsidP="00546C74">
      <w:pPr>
        <w:spacing w:line="480" w:lineRule="auto"/>
        <w:jc w:val="both"/>
      </w:pPr>
    </w:p>
    <w:p w14:paraId="44472F79" w14:textId="55B9638A" w:rsidR="00496A1F" w:rsidRPr="00493E4F" w:rsidRDefault="00B03433" w:rsidP="00546C74">
      <w:pPr>
        <w:spacing w:line="480" w:lineRule="auto"/>
        <w:jc w:val="both"/>
      </w:pPr>
      <w:r>
        <w:t>The income is an unreliable estimate of socioeconomic status of informal workers due to seasonal variation and underreport of their income</w:t>
      </w:r>
      <w:r w:rsidR="00A67DFA">
        <w:t xml:space="preserve"> in </w:t>
      </w:r>
      <w:r w:rsidR="007F3FB8">
        <w:t>the LMIC</w:t>
      </w:r>
      <w:r w:rsidR="00A67DFA">
        <w:t xml:space="preserve"> context</w:t>
      </w:r>
      <w:r>
        <w:t>.</w:t>
      </w:r>
      <w:r w:rsidRPr="00493E4F">
        <w:fldChar w:fldCharType="begin" w:fldLock="1"/>
      </w:r>
      <w:r>
        <w:instrText>ADDIN CSL_CITATION {"citationItems":[{"id":"ITEM-1","itemData":{"DOI":"10.1371/journal.pone.0148211","ISSN":"1932-6203","author":[{"dropping-particle":"","family":"Ahmed","given":"Sayem","non-dropping-particle":"","parse-names":false,"suffix":""},{"dropping-particle":"","family":"Hoque","given":"Mohammad Enamul","non-dropping-particle":"","parse-names":false,"suffix":""},{"dropping-particle":"","family":"Sarker","given":"Abdur Razzaque","non-dropping-particle":"","parse-names":false,"suffix":""},{"dropping-particle":"","family":"Sultana","given":"Marufa","non-dropping-particle":"","parse-names":false,"suffix":""},{"dropping-particle":"","family":"Islam","given":"Ziaul","non-dropping-particle":"","parse-names":false,"suffix":""},{"dropping-particle":"","family":"Gazi","given":"Rukhsana","non-dropping-particle":"","parse-names":false,"suffix":""},{"dropping-particle":"","family":"Khan","given":"Jahangir A. M.","non-dropping-particle":"","parse-names":false,"suffix":""}],"container-title":"PLOS ONE","editor":[{"dropping-particle":"","family":"Lane","given":"Julia","non-dropping-particle":"","parse-names":false,"suffix":""}],"id":"ITEM-1","issue":"2","issued":{"date-parts":[["2016","2","1"]]},"page":"e0148211","title":"Willingness-to-Pay for Community-Based Health Insurance among Informal Workers in Urban Bangladesh","type":"article-journal","volume":"11"},"uris":["http://www.mendeley.com/documents/?uuid=5d0305c3-de2b-4a6b-8277-e80fe4a1279f"]},{"id":"ITEM-2","itemData":{"ISBN":"9789290929239","author":[{"dropping-particle":"","family":"ADB","given":"","non-dropping-particle":"","parse-names":false,"suffix":""}],"id":"ITEM-2","issued":{"date-parts":[["2010"]]},"publisher-place":"Philipines","title":"The Informal Sector and Informal Employment in Bangladesh","type":"book"},"uris":["http://www.mendeley.com/documents/?uuid=53298cbc-a5f2-47b8-87a2-d3604ccda424"]}],"mendeley":{"formattedCitation":"&lt;sup&gt;18,19&lt;/sup&gt;","manualFormatting":"19","plainTextFormattedCitation":"18,19","previouslyFormattedCitation":"&lt;sup&gt;18,19&lt;/sup&gt;"},"properties":{"noteIndex":0},"schema":"https://github.com/citation-style-language/schema/raw/master/csl-citation.json"}</w:instrText>
      </w:r>
      <w:r w:rsidRPr="00493E4F">
        <w:fldChar w:fldCharType="separate"/>
      </w:r>
      <w:r w:rsidRPr="00493E4F">
        <w:rPr>
          <w:noProof/>
          <w:vertAlign w:val="superscript"/>
        </w:rPr>
        <w:t>19</w:t>
      </w:r>
      <w:r w:rsidRPr="00493E4F">
        <w:fldChar w:fldCharType="end"/>
      </w:r>
      <w:r w:rsidRPr="00725B43">
        <w:rPr>
          <w:vertAlign w:val="superscript"/>
        </w:rPr>
        <w:t>,</w:t>
      </w:r>
      <w:r w:rsidRPr="00493E4F">
        <w:fldChar w:fldCharType="begin" w:fldLock="1"/>
      </w:r>
      <w:r w:rsidR="00EB716C">
        <w:instrText>ADDIN CSL_CITATION {"citationItems":[{"id":"ITEM-1","itemData":{"author":[{"dropping-particle":"","family":"O'Donnell","given":"O","non-dropping-particle":"","parse-names":false,"suffix":""},{"dropping-particle":"","family":"Doorslaer","given":"E","non-dropping-particle":"van","parse-names":false,"suffix":""},{"dropping-particle":"","family":"Wagstaff","given":"A","non-dropping-particle":"","parse-names":false,"suffix":""},{"dropping-particle":"","family":"Lindelow","given":"M","non-dropping-particle":"","parse-names":false,"suffix":""}],"id":"ITEM-1","issued":{"date-parts":[["2008"]]},"publisher":"The World Bank","publisher-place":"Washington DC","title":"Analyzing health equity using household survey data: A guide to techniques and their implementation","type":"book"},"uris":["http://www.mendeley.com/documents/?uuid=966a8384-1f9c-43e2-b0ca-6a8e8d0cf74a"]}],"mendeley":{"formattedCitation":"&lt;sup&gt;28&lt;/sup&gt;","plainTextFormattedCitation":"28","previouslyFormattedCitation":"&lt;sup&gt;29&lt;/sup&gt;"},"properties":{"noteIndex":0},"schema":"https://github.com/citation-style-language/schema/raw/master/csl-citation.json"}</w:instrText>
      </w:r>
      <w:r w:rsidRPr="00493E4F">
        <w:fldChar w:fldCharType="separate"/>
      </w:r>
      <w:r w:rsidR="00EB716C" w:rsidRPr="00EB716C">
        <w:rPr>
          <w:noProof/>
          <w:vertAlign w:val="superscript"/>
        </w:rPr>
        <w:t>28</w:t>
      </w:r>
      <w:r w:rsidRPr="00493E4F">
        <w:fldChar w:fldCharType="end"/>
      </w:r>
      <w:r>
        <w:t xml:space="preserve">  Therefore, we used asset quintile as a measure of socioeconomic status rather than the income</w:t>
      </w:r>
      <w:r w:rsidR="00A67DFA">
        <w:t xml:space="preserve"> levels</w:t>
      </w:r>
      <w:r>
        <w:t xml:space="preserve">. </w:t>
      </w:r>
      <w:r w:rsidR="00496A1F" w:rsidRPr="00493E4F">
        <w:t>Household wealth status was categorized into five quintiles</w:t>
      </w:r>
      <w:r w:rsidR="00580E3F" w:rsidRPr="00493E4F">
        <w:t xml:space="preserve"> ranging between the</w:t>
      </w:r>
      <w:r w:rsidR="00496A1F" w:rsidRPr="00493E4F">
        <w:t xml:space="preserve"> poorest to richest based on the</w:t>
      </w:r>
      <w:r w:rsidR="00580E3F" w:rsidRPr="00493E4F">
        <w:t xml:space="preserve"> available</w:t>
      </w:r>
      <w:r w:rsidR="00496A1F" w:rsidRPr="00493E4F">
        <w:t xml:space="preserve"> asset</w:t>
      </w:r>
      <w:r w:rsidR="00580E3F" w:rsidRPr="00493E4F">
        <w:t xml:space="preserve">s in the households </w:t>
      </w:r>
      <w:r w:rsidR="00580E3F" w:rsidRPr="00493E4F">
        <w:rPr>
          <w:noProof/>
        </w:rPr>
        <w:t>l</w:t>
      </w:r>
      <w:r w:rsidR="00496A1F" w:rsidRPr="00493E4F">
        <w:rPr>
          <w:noProof/>
        </w:rPr>
        <w:t>ike</w:t>
      </w:r>
      <w:r w:rsidR="00496A1F" w:rsidRPr="00493E4F">
        <w:t xml:space="preserve"> housing material, sanitation facilities, access to utility services, access to drinking water. A principal component analysis (PCA) was conducted using these asset variables to estimate the asset score</w:t>
      </w:r>
      <w:r w:rsidR="00580E3F" w:rsidRPr="00493E4F">
        <w:t xml:space="preserve"> after adjustment for household size, which</w:t>
      </w:r>
      <w:r w:rsidR="00496A1F" w:rsidRPr="00493E4F">
        <w:t xml:space="preserve"> was used for </w:t>
      </w:r>
      <w:r w:rsidR="00E8193A" w:rsidRPr="00493E4F">
        <w:t xml:space="preserve">the </w:t>
      </w:r>
      <w:r w:rsidR="00496A1F" w:rsidRPr="00493E4F">
        <w:rPr>
          <w:noProof/>
        </w:rPr>
        <w:t>categorization</w:t>
      </w:r>
      <w:r w:rsidR="00496A1F" w:rsidRPr="00493E4F">
        <w:t xml:space="preserve"> of </w:t>
      </w:r>
      <w:r w:rsidR="00C378FE" w:rsidRPr="00493E4F">
        <w:t xml:space="preserve">the </w:t>
      </w:r>
      <w:r w:rsidR="00496A1F" w:rsidRPr="00493E4F">
        <w:rPr>
          <w:noProof/>
        </w:rPr>
        <w:t>wealth</w:t>
      </w:r>
      <w:r w:rsidR="00496A1F" w:rsidRPr="00493E4F">
        <w:t xml:space="preserve"> status of the households</w:t>
      </w:r>
      <w:r w:rsidR="005162AA" w:rsidRPr="00493E4F">
        <w:t>.</w:t>
      </w:r>
      <w:r w:rsidR="003A0B22" w:rsidRPr="00493E4F">
        <w:fldChar w:fldCharType="begin" w:fldLock="1"/>
      </w:r>
      <w:r w:rsidR="00EB716C">
        <w:instrText>ADDIN CSL_CITATION {"citationItems":[{"id":"ITEM-1","itemData":{"ISBN":"0268-1080 (Print)\n0268-1080 (Linking)","abstract":"Theoretically, measures of household wealth can be reflected by income, consumption or expenditure information. However, the collection of accurate income and consumption data requires extensive resources for household surveys. Given the increasingly routine application of principal components analysis (PCA) using asset data in creating socio-economic status (SES) indices, we review how PCA-based indices are constructed, how they can be used, and their validity and limitations. Specifically, issues related to choice of variables, data preparation and problems such as data clustering are addressed. Interpretation of results and methods of classifying households into SES groups are also discussed. PCA has been validated as a method to describe SES differentiation within a population. Issues related to the underlying data will affect PCA and this should be considered when generating and interpreting results.","author":[{"dropping-particle":"","family":"Vyas","given":"S","non-dropping-particle":"","parse-names":false,"suffix":""},{"dropping-particle":"","family":"Kumaranayake","given":"L","non-dropping-particle":"","parse-names":false,"suffix":""}],"container-title":"Health Policy Plan","id":"ITEM-1","issue":"6","issued":{"date-parts":[["2006"]]},"note":"Using Smart Source Parsing&lt;m:linebreak&gt;&lt;/m:linebreak&gt;Nov; Epub 2006 Oct 9","page":"459-468","title":"Constructing socio-economic status indices: how to use principal components analysis","type":"article-journal","volume":"21"},"uris":["http://www.mendeley.com/documents/?uuid=b991a3a0-5c20-497d-bbd8-53a42c82cfb3"]}],"mendeley":{"formattedCitation":"&lt;sup&gt;29&lt;/sup&gt;","plainTextFormattedCitation":"29","previouslyFormattedCitation":"&lt;sup&gt;28&lt;/sup&gt;"},"properties":{"noteIndex":0},"schema":"https://github.com/citation-style-language/schema/raw/master/csl-citation.json"}</w:instrText>
      </w:r>
      <w:r w:rsidR="003A0B22" w:rsidRPr="00493E4F">
        <w:fldChar w:fldCharType="separate"/>
      </w:r>
      <w:r w:rsidR="00EB716C" w:rsidRPr="00EB716C">
        <w:rPr>
          <w:noProof/>
          <w:vertAlign w:val="superscript"/>
        </w:rPr>
        <w:t>29</w:t>
      </w:r>
      <w:r w:rsidR="003A0B22" w:rsidRPr="00493E4F">
        <w:fldChar w:fldCharType="end"/>
      </w:r>
      <w:r w:rsidR="004D55E8">
        <w:t xml:space="preserve"> </w:t>
      </w:r>
    </w:p>
    <w:bookmarkEnd w:id="9"/>
    <w:p w14:paraId="79F51FF4" w14:textId="77777777" w:rsidR="004D77ED" w:rsidRPr="00493E4F" w:rsidRDefault="00B5514E" w:rsidP="00EF13C8">
      <w:pPr>
        <w:pStyle w:val="Heading2"/>
        <w:spacing w:before="120" w:line="480" w:lineRule="auto"/>
        <w:jc w:val="both"/>
      </w:pPr>
      <w:r w:rsidRPr="00493E4F">
        <w:t>Propensity score matching</w:t>
      </w:r>
    </w:p>
    <w:p w14:paraId="4BD7BC2A" w14:textId="2D55CF74" w:rsidR="00D02196" w:rsidRPr="00493E4F" w:rsidRDefault="00A005EE" w:rsidP="00D724FB">
      <w:pPr>
        <w:spacing w:before="120" w:line="480" w:lineRule="auto"/>
        <w:jc w:val="both"/>
        <w:rPr>
          <w:color w:val="000000"/>
        </w:rPr>
      </w:pPr>
      <w:r w:rsidRPr="00493E4F">
        <w:t>Due to</w:t>
      </w:r>
      <w:r w:rsidR="00C37073" w:rsidRPr="00493E4F">
        <w:t xml:space="preserve"> the</w:t>
      </w:r>
      <w:r w:rsidRPr="00493E4F">
        <w:t xml:space="preserve"> absence of </w:t>
      </w:r>
      <w:r w:rsidR="00802B0A" w:rsidRPr="00493E4F">
        <w:t xml:space="preserve">baseline information for </w:t>
      </w:r>
      <w:r w:rsidR="00BE6E4C" w:rsidRPr="00493E4F">
        <w:rPr>
          <w:noProof/>
        </w:rPr>
        <w:t xml:space="preserve">insured </w:t>
      </w:r>
      <w:r w:rsidR="00802B0A" w:rsidRPr="00493E4F">
        <w:t xml:space="preserve">and </w:t>
      </w:r>
      <w:r w:rsidR="00BE6E4C" w:rsidRPr="00493E4F">
        <w:rPr>
          <w:noProof/>
        </w:rPr>
        <w:t>uninsured</w:t>
      </w:r>
      <w:r w:rsidR="00E8193A" w:rsidRPr="00493E4F">
        <w:rPr>
          <w:noProof/>
        </w:rPr>
        <w:t xml:space="preserve"> </w:t>
      </w:r>
      <w:r w:rsidR="00802B0A" w:rsidRPr="00493E4F">
        <w:rPr>
          <w:noProof/>
        </w:rPr>
        <w:t>groups,</w:t>
      </w:r>
      <w:r w:rsidR="00E8193A" w:rsidRPr="00493E4F">
        <w:rPr>
          <w:noProof/>
        </w:rPr>
        <w:t xml:space="preserve"> </w:t>
      </w:r>
      <w:r w:rsidRPr="00493E4F">
        <w:rPr>
          <w:noProof/>
        </w:rPr>
        <w:t xml:space="preserve">there </w:t>
      </w:r>
      <w:r w:rsidR="00BC4AEC" w:rsidRPr="00493E4F">
        <w:rPr>
          <w:noProof/>
        </w:rPr>
        <w:t>was</w:t>
      </w:r>
      <w:r w:rsidRPr="00493E4F">
        <w:rPr>
          <w:noProof/>
        </w:rPr>
        <w:t xml:space="preserve"> a high possibility of</w:t>
      </w:r>
      <w:r w:rsidR="00D276A2" w:rsidRPr="00493E4F">
        <w:rPr>
          <w:noProof/>
        </w:rPr>
        <w:t xml:space="preserve"> baseline</w:t>
      </w:r>
      <w:r w:rsidR="00802B0A" w:rsidRPr="00493E4F">
        <w:t xml:space="preserve"> bias after </w:t>
      </w:r>
      <w:r w:rsidR="00E8193A" w:rsidRPr="00493E4F">
        <w:t xml:space="preserve">the </w:t>
      </w:r>
      <w:r w:rsidR="00802B0A" w:rsidRPr="00493E4F">
        <w:rPr>
          <w:noProof/>
        </w:rPr>
        <w:t>direct</w:t>
      </w:r>
      <w:r w:rsidR="00802B0A" w:rsidRPr="00493E4F">
        <w:t xml:space="preserve"> matching of household and individual characteristics. </w:t>
      </w:r>
      <w:r w:rsidRPr="00493E4F">
        <w:t>We, t</w:t>
      </w:r>
      <w:r w:rsidR="00802B0A" w:rsidRPr="00493E4F">
        <w:t xml:space="preserve">herefore, </w:t>
      </w:r>
      <w:r w:rsidRPr="00493E4F">
        <w:t xml:space="preserve">employed </w:t>
      </w:r>
      <w:r w:rsidR="00802B0A" w:rsidRPr="00493E4F">
        <w:t xml:space="preserve">a propensity score matching (PSM) approach to </w:t>
      </w:r>
      <w:r w:rsidR="00802B0A" w:rsidRPr="00493E4F">
        <w:rPr>
          <w:noProof/>
        </w:rPr>
        <w:t>minimise</w:t>
      </w:r>
      <w:r w:rsidR="00802B0A" w:rsidRPr="00493E4F">
        <w:t xml:space="preserve"> the observed difference</w:t>
      </w:r>
      <w:r w:rsidR="008A3791" w:rsidRPr="00493E4F">
        <w:t xml:space="preserve">s </w:t>
      </w:r>
      <w:r w:rsidR="008A3791" w:rsidRPr="00493E4F">
        <w:rPr>
          <w:noProof/>
        </w:rPr>
        <w:t>between</w:t>
      </w:r>
      <w:r w:rsidR="00C378FE" w:rsidRPr="00493E4F">
        <w:rPr>
          <w:noProof/>
        </w:rPr>
        <w:t xml:space="preserve"> </w:t>
      </w:r>
      <w:r w:rsidR="00AC16A3" w:rsidRPr="00493E4F">
        <w:rPr>
          <w:noProof/>
        </w:rPr>
        <w:t xml:space="preserve">insured and uninsured </w:t>
      </w:r>
      <w:r w:rsidR="006676F4" w:rsidRPr="00493E4F">
        <w:rPr>
          <w:noProof/>
        </w:rPr>
        <w:t>groups</w:t>
      </w:r>
      <w:r w:rsidR="00C378FE" w:rsidRPr="00493E4F">
        <w:rPr>
          <w:noProof/>
        </w:rPr>
        <w:t xml:space="preserve"> </w:t>
      </w:r>
      <w:r w:rsidRPr="00493E4F">
        <w:rPr>
          <w:noProof/>
        </w:rPr>
        <w:t>while</w:t>
      </w:r>
      <w:r w:rsidR="00802B0A" w:rsidRPr="00493E4F">
        <w:t xml:space="preserve"> estimating the </w:t>
      </w:r>
      <w:r w:rsidR="00D2471F" w:rsidRPr="00493E4F">
        <w:t>effect</w:t>
      </w:r>
      <w:r w:rsidR="00802B0A" w:rsidRPr="00493E4F">
        <w:t xml:space="preserve"> of CBHI scheme </w:t>
      </w:r>
      <w:r w:rsidR="00802B0A" w:rsidRPr="00493E4F">
        <w:rPr>
          <w:rFonts w:eastAsia="MS Mincho"/>
          <w:lang w:val="en-US"/>
        </w:rPr>
        <w:t xml:space="preserve">on </w:t>
      </w:r>
      <w:r w:rsidR="007E0A06" w:rsidRPr="00493E4F">
        <w:rPr>
          <w:rFonts w:eastAsia="MS Mincho"/>
          <w:lang w:val="en-US"/>
        </w:rPr>
        <w:t>OOP payments</w:t>
      </w:r>
      <w:r w:rsidR="005162AA" w:rsidRPr="00493E4F">
        <w:rPr>
          <w:rFonts w:eastAsia="MS Mincho"/>
          <w:lang w:val="en-US"/>
        </w:rPr>
        <w:t>.</w:t>
      </w:r>
      <w:r w:rsidR="003A0B22" w:rsidRPr="00493E4F">
        <w:fldChar w:fldCharType="begin" w:fldLock="1"/>
      </w:r>
      <w:r w:rsidR="00EB716C">
        <w:instrText>ADDIN CSL_CITATION {"citationItems":[{"id":"ITEM-1","itemData":{"PMID":"19058865","abstract":"In 2003, China launched a heavily subsidized voluntary health insurance program for rural residents. We combine differences-in-differences with matching methods to obtain impact estimates, using data collected from program administrators, health facilities and households. The scheme has increased outpatient and inpatient utilization, and has reduced the cost of deliveries. But it has not reduced out-of-pocket expenses per outpatient visit or inpatient spell. Out-of-pocket payments overall have not been reduced. We find heterogeneity across income groups and implementing counties. The program has increased ownership of expensive equipment among central township health centers but has had no impact on cost per case. ?? 2008 Elsevier B.V. All rights reserved.","author":[{"dropping-particle":"","family":"Wagstaff","given":"Adam","non-dropping-particle":"","parse-names":false,"suffix":""},{"dropping-particle":"","family":"Lindelow","given":"Magnus","non-dropping-particle":"","parse-names":false,"suffix":""},{"dropping-particle":"","family":"Jun","given":"Gao","non-dropping-particle":"","parse-names":false,"suffix":""},{"dropping-particle":"","family":"Ling","given":"Xu","non-dropping-particle":"","parse-names":false,"suffix":""},{"dropping-particle":"","family":"Juncheng","given":"Qian","non-dropping-particle":"","parse-names":false,"suffix":""}],"container-title":"Journal of Health Economics","id":"ITEM-1","issue":"1","issued":{"date-parts":[["2009"]]},"page":"1-19","title":"Extending health insurance to the rural population: An impact evaluation of China's new cooperative medical scheme","type":"article-journal","volume":"28"},"uris":["http://www.mendeley.com/documents/?uuid=9f74feac-5f7d-4ad4-abe3-b3284af1dba6"]},{"id":"ITEM-2","itemData":{"DOI":"10.1093/biomet/70.1.41","ISSN":"0006-3444","abstract":"The propensity score is the conditional probability of assignment to a particular treatment given a vector of observed covariates. Both large and small sample theory show that adjustment for the scalar propensity score is sufficient to remove bias due to all observed covariates. Applications include: (i) matched sampling on the univariate propensity score, which is a generalization of discriminant matching, (ii) multivariate adjustment by subclassification on the propensity score where the same subclasses are used to estimate treatment effects for all outcome variables and in all subpopulations, and (iii) visual representation of multivariate covariance adjustment by a two- dimensional plot.","author":[{"dropping-particle":"","family":"Rosenbaum","given":"Paul R.","non-dropping-particle":"","parse-names":false,"suffix":""},{"dropping-particle":"","family":"Rubin","given":"Donald B.","non-dropping-particle":"","parse-names":false,"suffix":""}],"container-title":"Biometrika","id":"ITEM-2","issue":"1","issued":{"date-parts":[["1983","4","1"]]},"page":"41-55","title":"The central role of the propensity score in observational studies for causal effects","type":"article-journal","volume":"70"},"uris":["http://www.mendeley.com/documents/?uuid=6772a573-ab4a-411d-8608-849925de2242"]}],"mendeley":{"formattedCitation":"&lt;sup&gt;30,31&lt;/sup&gt;","plainTextFormattedCitation":"30,31","previouslyFormattedCitation":"&lt;sup&gt;30,31&lt;/sup&gt;"},"properties":{"noteIndex":0},"schema":"https://github.com/citation-style-language/schema/raw/master/csl-citation.json"}</w:instrText>
      </w:r>
      <w:r w:rsidR="003A0B22" w:rsidRPr="00493E4F">
        <w:fldChar w:fldCharType="separate"/>
      </w:r>
      <w:r w:rsidR="00725B43" w:rsidRPr="00725B43">
        <w:rPr>
          <w:noProof/>
          <w:vertAlign w:val="superscript"/>
        </w:rPr>
        <w:t>30,31</w:t>
      </w:r>
      <w:r w:rsidR="003A0B22" w:rsidRPr="00493E4F">
        <w:fldChar w:fldCharType="end"/>
      </w:r>
      <w:r w:rsidR="00D02196" w:rsidRPr="00493E4F">
        <w:t xml:space="preserve"> </w:t>
      </w:r>
      <w:r w:rsidR="00DA405F" w:rsidRPr="00493E4F">
        <w:t xml:space="preserve">PSM is a statistical tool that weighs differences in observable variables between the individuals of the </w:t>
      </w:r>
      <w:r w:rsidR="00DA405F" w:rsidRPr="00493E4F">
        <w:rPr>
          <w:noProof/>
        </w:rPr>
        <w:t>case</w:t>
      </w:r>
      <w:r w:rsidR="00DA405F" w:rsidRPr="00493E4F">
        <w:t xml:space="preserve"> and comparison groups.</w:t>
      </w:r>
      <w:r w:rsidR="008E1D93" w:rsidRPr="00493E4F">
        <w:t xml:space="preserve"> This is a useful tool for reducing selection bias where complete randomization is </w:t>
      </w:r>
      <w:r w:rsidR="005E437F" w:rsidRPr="00493E4F">
        <w:t>challenging.</w:t>
      </w:r>
      <w:r w:rsidR="005E437F" w:rsidRPr="00493E4F">
        <w:fldChar w:fldCharType="begin" w:fldLock="1"/>
      </w:r>
      <w:r w:rsidR="00EB716C">
        <w:instrText>ADDIN CSL_CITATION {"citationItems":[{"id":"ITEM-1","itemData":{"DOI":"10.1007/s12350-017-1012-y","ISSN":"15326551","author":[{"dropping-particle":"","family":"Morgan","given":"Charity J.","non-dropping-particle":"","parse-names":false,"suffix":""}],"container-title":"Journal of Nuclear Cardiology","id":"ITEM-1","issue":"2","issued":{"date-parts":[["2018"]]},"page":"404-406","publisher":"Springer US","title":"Reducing bias using propensity score matching","type":"article-journal","volume":"25"},"uris":["http://www.mendeley.com/documents/?uuid=8351cac6-5fcb-42fc-9f96-87cc21f74b83"]}],"mendeley":{"formattedCitation":"&lt;sup&gt;32&lt;/sup&gt;","plainTextFormattedCitation":"32","previouslyFormattedCitation":"&lt;sup&gt;32&lt;/sup&gt;"},"properties":{"noteIndex":0},"schema":"https://github.com/citation-style-language/schema/raw/master/csl-citation.json"}</w:instrText>
      </w:r>
      <w:r w:rsidR="005E437F" w:rsidRPr="00493E4F">
        <w:fldChar w:fldCharType="separate"/>
      </w:r>
      <w:r w:rsidR="00725B43" w:rsidRPr="00725B43">
        <w:rPr>
          <w:noProof/>
          <w:vertAlign w:val="superscript"/>
        </w:rPr>
        <w:t>32</w:t>
      </w:r>
      <w:r w:rsidR="005E437F" w:rsidRPr="00493E4F">
        <w:fldChar w:fldCharType="end"/>
      </w:r>
      <w:r w:rsidR="00DA405F" w:rsidRPr="00493E4F">
        <w:t xml:space="preserve"> The propensity score represents the conditional probability of assignment to a particular intervention given a vector of observed covariates</w:t>
      </w:r>
      <w:r w:rsidR="00DA405F" w:rsidRPr="00493E4F">
        <w:rPr>
          <w:noProof/>
        </w:rPr>
        <w:t xml:space="preserve">. </w:t>
      </w:r>
      <w:r w:rsidR="00D02196" w:rsidRPr="00493E4F">
        <w:t xml:space="preserve">The matching was done at the level of </w:t>
      </w:r>
      <w:r w:rsidR="00E8193A" w:rsidRPr="00493E4F">
        <w:t xml:space="preserve">the </w:t>
      </w:r>
      <w:r w:rsidR="00D02196" w:rsidRPr="00493E4F">
        <w:rPr>
          <w:noProof/>
        </w:rPr>
        <w:t>individual</w:t>
      </w:r>
      <w:r w:rsidR="00D02196" w:rsidRPr="00493E4F">
        <w:t xml:space="preserve">. However, both individual </w:t>
      </w:r>
      <w:r w:rsidR="00C457A6" w:rsidRPr="00493E4F">
        <w:t xml:space="preserve">(e.g. </w:t>
      </w:r>
      <w:r w:rsidR="004109C8" w:rsidRPr="00493E4F">
        <w:t>gender</w:t>
      </w:r>
      <w:r w:rsidR="00C457A6" w:rsidRPr="00493E4F">
        <w:t>, age</w:t>
      </w:r>
      <w:r w:rsidR="00096DC8" w:rsidRPr="00493E4F">
        <w:t>)</w:t>
      </w:r>
      <w:r w:rsidR="009375FB" w:rsidRPr="00493E4F">
        <w:t xml:space="preserve"> </w:t>
      </w:r>
      <w:r w:rsidR="00D02196" w:rsidRPr="00493E4F">
        <w:t>and household</w:t>
      </w:r>
      <w:r w:rsidR="00C457A6" w:rsidRPr="00493E4F">
        <w:t xml:space="preserve"> (e.g. household size</w:t>
      </w:r>
      <w:r w:rsidR="00B000B8" w:rsidRPr="00493E4F">
        <w:t>,</w:t>
      </w:r>
      <w:r w:rsidR="00C457A6" w:rsidRPr="00493E4F">
        <w:t xml:space="preserve"> asset quintile)</w:t>
      </w:r>
      <w:r w:rsidR="00D02196" w:rsidRPr="00493E4F">
        <w:t xml:space="preserve"> characteristics were used for this </w:t>
      </w:r>
      <w:r w:rsidR="00D02196" w:rsidRPr="00493E4F">
        <w:rPr>
          <w:noProof/>
        </w:rPr>
        <w:t>matching</w:t>
      </w:r>
      <w:r w:rsidR="00C378FE" w:rsidRPr="00493E4F">
        <w:rPr>
          <w:noProof/>
        </w:rPr>
        <w:t xml:space="preserve"> </w:t>
      </w:r>
      <w:r w:rsidR="0054335C" w:rsidRPr="00493E4F">
        <w:rPr>
          <w:noProof/>
        </w:rPr>
        <w:t>since</w:t>
      </w:r>
      <w:r w:rsidR="0054335C" w:rsidRPr="00493E4F">
        <w:t xml:space="preserve"> </w:t>
      </w:r>
      <w:r w:rsidR="00612943" w:rsidRPr="00493E4F">
        <w:t xml:space="preserve">such characteristics were </w:t>
      </w:r>
      <w:r w:rsidR="00612943" w:rsidRPr="00493E4F">
        <w:rPr>
          <w:noProof/>
        </w:rPr>
        <w:t>associate</w:t>
      </w:r>
      <w:r w:rsidR="00C378FE" w:rsidRPr="00493E4F">
        <w:rPr>
          <w:noProof/>
        </w:rPr>
        <w:t>d</w:t>
      </w:r>
      <w:r w:rsidR="00612943" w:rsidRPr="00493E4F">
        <w:t xml:space="preserve"> with </w:t>
      </w:r>
      <w:r w:rsidR="0054335C" w:rsidRPr="00493E4F">
        <w:t>healthcare utilization and OOP payments</w:t>
      </w:r>
      <w:r w:rsidR="0054335C" w:rsidRPr="00493E4F">
        <w:rPr>
          <w:noProof/>
        </w:rPr>
        <w:t>.</w:t>
      </w:r>
      <w:r w:rsidR="00E8193A" w:rsidRPr="00493E4F">
        <w:rPr>
          <w:noProof/>
        </w:rPr>
        <w:t xml:space="preserve"> </w:t>
      </w:r>
      <w:r w:rsidR="0051311F" w:rsidRPr="00493E4F">
        <w:rPr>
          <w:noProof/>
          <w:color w:val="000000"/>
        </w:rPr>
        <w:t>We</w:t>
      </w:r>
      <w:r w:rsidR="0051311F" w:rsidRPr="00493E4F">
        <w:rPr>
          <w:color w:val="000000"/>
        </w:rPr>
        <w:t xml:space="preserve"> </w:t>
      </w:r>
      <w:r w:rsidR="00612943" w:rsidRPr="00493E4F">
        <w:rPr>
          <w:color w:val="000000"/>
        </w:rPr>
        <w:t xml:space="preserve">also </w:t>
      </w:r>
      <w:r w:rsidR="0051311F" w:rsidRPr="00493E4F">
        <w:rPr>
          <w:color w:val="000000"/>
        </w:rPr>
        <w:t>included age-group</w:t>
      </w:r>
      <w:r w:rsidR="005B435C" w:rsidRPr="00493E4F">
        <w:rPr>
          <w:color w:val="000000"/>
        </w:rPr>
        <w:t xml:space="preserve"> and </w:t>
      </w:r>
      <w:r w:rsidR="00646886" w:rsidRPr="00493E4F">
        <w:t xml:space="preserve">illness status </w:t>
      </w:r>
      <w:r w:rsidR="00612943" w:rsidRPr="00493E4F">
        <w:t xml:space="preserve">of individuals </w:t>
      </w:r>
      <w:r w:rsidR="00646886" w:rsidRPr="00493E4F">
        <w:t>(</w:t>
      </w:r>
      <w:r w:rsidR="00646886" w:rsidRPr="00493E4F">
        <w:rPr>
          <w:noProof/>
        </w:rPr>
        <w:t>as</w:t>
      </w:r>
      <w:r w:rsidR="00646886" w:rsidRPr="00493E4F">
        <w:t xml:space="preserve"> </w:t>
      </w:r>
      <w:r w:rsidR="00E8193A" w:rsidRPr="00493E4F">
        <w:t xml:space="preserve">a </w:t>
      </w:r>
      <w:r w:rsidR="00646886" w:rsidRPr="00493E4F">
        <w:rPr>
          <w:noProof/>
        </w:rPr>
        <w:t>dummy</w:t>
      </w:r>
      <w:r w:rsidR="00646886" w:rsidRPr="00493E4F">
        <w:t xml:space="preserve"> variable, 1=suffered from illness, 0= did not suffer from illness)</w:t>
      </w:r>
      <w:r w:rsidR="00904C72" w:rsidRPr="00493E4F">
        <w:t xml:space="preserve"> </w:t>
      </w:r>
      <w:r w:rsidR="0051311F" w:rsidRPr="00493E4F">
        <w:rPr>
          <w:color w:val="000000"/>
        </w:rPr>
        <w:t xml:space="preserve">in the </w:t>
      </w:r>
      <w:r w:rsidR="00856003" w:rsidRPr="00493E4F">
        <w:rPr>
          <w:color w:val="000000"/>
        </w:rPr>
        <w:t>PSM</w:t>
      </w:r>
      <w:r w:rsidR="00904C72" w:rsidRPr="00493E4F">
        <w:rPr>
          <w:color w:val="000000"/>
        </w:rPr>
        <w:t xml:space="preserve"> </w:t>
      </w:r>
      <w:r w:rsidR="007E664F" w:rsidRPr="00493E4F">
        <w:rPr>
          <w:color w:val="000000"/>
        </w:rPr>
        <w:t>as</w:t>
      </w:r>
      <w:r w:rsidR="0051311F" w:rsidRPr="00493E4F">
        <w:rPr>
          <w:color w:val="000000"/>
        </w:rPr>
        <w:t xml:space="preserve"> a proxy </w:t>
      </w:r>
      <w:r w:rsidR="00612943" w:rsidRPr="00493E4F">
        <w:rPr>
          <w:color w:val="000000"/>
        </w:rPr>
        <w:t xml:space="preserve">for </w:t>
      </w:r>
      <w:r w:rsidR="005852DC" w:rsidRPr="00493E4F">
        <w:rPr>
          <w:color w:val="000000"/>
        </w:rPr>
        <w:t xml:space="preserve">health status to addressing the </w:t>
      </w:r>
      <w:r w:rsidR="0051311F" w:rsidRPr="00493E4F">
        <w:rPr>
          <w:color w:val="000000"/>
        </w:rPr>
        <w:t>adverse selection</w:t>
      </w:r>
      <w:r w:rsidR="00967717" w:rsidRPr="00493E4F">
        <w:rPr>
          <w:color w:val="000000"/>
        </w:rPr>
        <w:t xml:space="preserve"> problem</w:t>
      </w:r>
      <w:r w:rsidR="005852DC" w:rsidRPr="00493E4F">
        <w:rPr>
          <w:color w:val="000000"/>
        </w:rPr>
        <w:t xml:space="preserve">. </w:t>
      </w:r>
    </w:p>
    <w:p w14:paraId="2E5A8015" w14:textId="0C3798C0" w:rsidR="004E4078" w:rsidRPr="00493E4F" w:rsidRDefault="004E4078" w:rsidP="00D724FB">
      <w:pPr>
        <w:spacing w:before="120" w:line="480" w:lineRule="auto"/>
        <w:jc w:val="both"/>
      </w:pPr>
      <w:r w:rsidRPr="00493E4F">
        <w:t xml:space="preserve">The main purpose of </w:t>
      </w:r>
      <w:r w:rsidR="00C80C62" w:rsidRPr="00493E4F">
        <w:t>the</w:t>
      </w:r>
      <w:r w:rsidRPr="00493E4F">
        <w:t xml:space="preserve"> matching was to identify unique controls with similar characteristics </w:t>
      </w:r>
      <w:r w:rsidRPr="00493E4F">
        <w:rPr>
          <w:noProof/>
        </w:rPr>
        <w:t>except</w:t>
      </w:r>
      <w:r w:rsidR="00E8193A" w:rsidRPr="00493E4F">
        <w:rPr>
          <w:noProof/>
        </w:rPr>
        <w:t xml:space="preserve"> for</w:t>
      </w:r>
      <w:r w:rsidRPr="00493E4F">
        <w:t xml:space="preserve"> the outcome of interest i.e. out-of-pocket payment. The radius matching </w:t>
      </w:r>
      <w:r w:rsidR="008A2268" w:rsidRPr="00493E4F">
        <w:t xml:space="preserve">was done </w:t>
      </w:r>
      <w:r w:rsidR="00F66D28" w:rsidRPr="00493E4F">
        <w:t xml:space="preserve">in PMS </w:t>
      </w:r>
      <w:r w:rsidR="008A2268" w:rsidRPr="00493E4F">
        <w:t xml:space="preserve">between </w:t>
      </w:r>
      <w:r w:rsidRPr="00493E4F">
        <w:t>two-group</w:t>
      </w:r>
      <w:r w:rsidR="009375FB" w:rsidRPr="00493E4F">
        <w:t>s</w:t>
      </w:r>
      <w:r w:rsidRPr="00493E4F">
        <w:t xml:space="preserve"> of observations</w:t>
      </w:r>
      <w:r w:rsidR="00904C72" w:rsidRPr="00493E4F">
        <w:t xml:space="preserve"> </w:t>
      </w:r>
      <w:r w:rsidR="008A2268" w:rsidRPr="00493E4F">
        <w:t>(insured and uninsured) considering the</w:t>
      </w:r>
      <w:r w:rsidRPr="00493E4F">
        <w:t xml:space="preserve"> weight equals 1. We tried other matching method</w:t>
      </w:r>
      <w:r w:rsidR="00F66D28" w:rsidRPr="00493E4F">
        <w:t>s</w:t>
      </w:r>
      <w:r w:rsidRPr="00493E4F">
        <w:t xml:space="preserve"> like kernel </w:t>
      </w:r>
      <w:r w:rsidR="004B0234" w:rsidRPr="00493E4F">
        <w:t>matching;</w:t>
      </w:r>
      <w:r w:rsidRPr="00493E4F">
        <w:t xml:space="preserve"> however, </w:t>
      </w:r>
      <w:r w:rsidR="00F66D28" w:rsidRPr="00493E4F">
        <w:t>none</w:t>
      </w:r>
      <w:r w:rsidRPr="00493E4F">
        <w:t xml:space="preserve"> serve</w:t>
      </w:r>
      <w:r w:rsidR="00F66D28" w:rsidRPr="00493E4F">
        <w:t>d</w:t>
      </w:r>
      <w:r w:rsidRPr="00493E4F">
        <w:t xml:space="preserve"> our purpose of identifying two groups of observations </w:t>
      </w:r>
      <w:r w:rsidR="00F66D28" w:rsidRPr="00493E4F">
        <w:t>for</w:t>
      </w:r>
      <w:r w:rsidRPr="00493E4F">
        <w:t xml:space="preserve"> us</w:t>
      </w:r>
      <w:r w:rsidR="00F66D28" w:rsidRPr="00493E4F">
        <w:t>ing</w:t>
      </w:r>
      <w:r w:rsidRPr="00493E4F">
        <w:t xml:space="preserve"> them in the two-part model. </w:t>
      </w:r>
      <w:r w:rsidR="00F66D28" w:rsidRPr="00493E4F">
        <w:t xml:space="preserve">We, therefore, </w:t>
      </w:r>
      <w:r w:rsidRPr="00493E4F">
        <w:t xml:space="preserve">used the radius matching </w:t>
      </w:r>
      <w:r w:rsidR="00F66D28" w:rsidRPr="00493E4F">
        <w:t xml:space="preserve">which was supported by </w:t>
      </w:r>
      <w:r w:rsidRPr="00493E4F">
        <w:t>available literature</w:t>
      </w:r>
      <w:r w:rsidR="005162AA" w:rsidRPr="00493E4F">
        <w:t>.</w:t>
      </w:r>
      <w:r w:rsidR="003A0B22" w:rsidRPr="00493E4F">
        <w:rPr>
          <w:rFonts w:eastAsia="MS Mincho"/>
          <w:lang w:val="en-US"/>
        </w:rPr>
        <w:fldChar w:fldCharType="begin" w:fldLock="1"/>
      </w:r>
      <w:r w:rsidR="00EB716C">
        <w:rPr>
          <w:rFonts w:eastAsia="MS Mincho"/>
          <w:lang w:val="en-US"/>
        </w:rPr>
        <w:instrText>ADDIN CSL_CITATION {"citationItems":[{"id":"ITEM-1","itemData":{"DOI":"10.1002/pst.433","ISBN":"1539-1612","ISSN":"15391604","PMID":"20925139","abstract":"In a study comparing the effects of two treatments, the propensity score is the probability of assignment to one treatment conditional on a subject's measured baseline covariates. Propensity-score matching is increasingly being used to estimate the effects of exposures using observational data. In the most common implementation of propensity-score matching, pairs of treated and untreated subjects are formed whose propensity scores differ by at most a pre-specified amount (the caliper width). There has been a little research into the optimal caliper width. We conducted an extensive series of Monte Carlo simulations to determine the optimal caliper width for estimating differences in means (for continuous outcomes) and risk differences (for binary outcomes). When estimating differences in means or risk differences, we recommend that researchers match on the logit of the propensity score using calipers of width equal to 0.2 of the standard deviation of the logit of the propensity score. When at least some of the covariates were continuous, then either this value, or one close to it, minimized the mean square error of the resultant estimated treatment effect. It also eliminated at least 98% of the bias in the crude estimator, and it resulted in confidence intervals with approximately the correct coverage rates. Furthermore, the empirical type I error rate was approximately correct. When all of the covariates were binary, then the choice of caliper width had a much smaller impact on the performance of estimation of risk differences and differences in means. Copyright © 2010 John Wiley &amp; Sons, Ltd.","author":[{"dropping-particle":"","family":"Austin","given":"Peter C.","non-dropping-particle":"","parse-names":false,"suffix":""}],"container-title":"Pharmaceutical Statistics","id":"ITEM-1","issue":"2","issued":{"date-parts":[["2011"]]},"page":"150-161","title":"Optimal caliper widths for propensity-score matching when estimating differences in means and differences in proportions in observational studies","type":"article-journal","volume":"10"},"uris":["http://www.mendeley.com/documents/?uuid=2e86058f-6491-4de1-9a73-c9acf62d39e2","http://www.mendeley.com/documents/?uuid=0bb56ed8-c216-4db8-88ef-2146298356c7"]}],"mendeley":{"formattedCitation":"&lt;sup&gt;33&lt;/sup&gt;","plainTextFormattedCitation":"33","previouslyFormattedCitation":"&lt;sup&gt;33&lt;/sup&gt;"},"properties":{"noteIndex":0},"schema":"https://github.com/citation-style-language/schema/raw/master/csl-citation.json"}</w:instrText>
      </w:r>
      <w:r w:rsidR="003A0B22" w:rsidRPr="00493E4F">
        <w:rPr>
          <w:rFonts w:eastAsia="MS Mincho"/>
          <w:lang w:val="en-US"/>
        </w:rPr>
        <w:fldChar w:fldCharType="separate"/>
      </w:r>
      <w:r w:rsidR="00725B43" w:rsidRPr="00725B43">
        <w:rPr>
          <w:rFonts w:eastAsia="MS Mincho"/>
          <w:noProof/>
          <w:vertAlign w:val="superscript"/>
          <w:lang w:val="en-US"/>
        </w:rPr>
        <w:t>33</w:t>
      </w:r>
      <w:r w:rsidR="003A0B22" w:rsidRPr="00493E4F">
        <w:rPr>
          <w:rFonts w:eastAsia="MS Mincho"/>
          <w:lang w:val="en-US"/>
        </w:rPr>
        <w:fldChar w:fldCharType="end"/>
      </w:r>
    </w:p>
    <w:p w14:paraId="60F083E3" w14:textId="7FF5FF02" w:rsidR="00802B0A" w:rsidRPr="00493E4F" w:rsidRDefault="0090698D" w:rsidP="00D724FB">
      <w:pPr>
        <w:spacing w:before="120" w:line="480" w:lineRule="auto"/>
        <w:jc w:val="both"/>
        <w:rPr>
          <w:rFonts w:eastAsia="MS Mincho"/>
          <w:lang w:val="en-US"/>
        </w:rPr>
      </w:pPr>
      <w:r w:rsidRPr="00493E4F">
        <w:rPr>
          <w:noProof/>
        </w:rPr>
        <w:t>We</w:t>
      </w:r>
      <w:r w:rsidRPr="00493E4F">
        <w:t xml:space="preserve"> applied a</w:t>
      </w:r>
      <w:r w:rsidR="00802B0A" w:rsidRPr="00493E4F">
        <w:t xml:space="preserve"> logistic </w:t>
      </w:r>
      <w:r w:rsidR="00A005EE" w:rsidRPr="00493E4F">
        <w:t xml:space="preserve">regression </w:t>
      </w:r>
      <w:r w:rsidR="00802B0A" w:rsidRPr="00493E4F">
        <w:t xml:space="preserve">model </w:t>
      </w:r>
      <w:r w:rsidR="00802B0A" w:rsidRPr="00493E4F">
        <w:rPr>
          <w:rFonts w:eastAsia="MS Mincho"/>
          <w:lang w:val="en-US"/>
        </w:rPr>
        <w:t xml:space="preserve">for estimating the propensity score. Based on the closeness of the estimated propensity score of each individual from </w:t>
      </w:r>
      <w:r w:rsidR="00D354E3" w:rsidRPr="00493E4F">
        <w:rPr>
          <w:rFonts w:eastAsia="MS Mincho"/>
          <w:lang w:val="en-US"/>
        </w:rPr>
        <w:t xml:space="preserve">insured </w:t>
      </w:r>
      <w:r w:rsidR="00802B0A" w:rsidRPr="00493E4F">
        <w:rPr>
          <w:rFonts w:eastAsia="MS Mincho"/>
          <w:lang w:val="en-US"/>
        </w:rPr>
        <w:t xml:space="preserve">to the individual from </w:t>
      </w:r>
      <w:r w:rsidR="00C378FE" w:rsidRPr="00493E4F">
        <w:rPr>
          <w:rFonts w:eastAsia="MS Mincho"/>
          <w:lang w:val="en-US"/>
        </w:rPr>
        <w:t xml:space="preserve">the </w:t>
      </w:r>
      <w:r w:rsidR="00D354E3" w:rsidRPr="00493E4F">
        <w:rPr>
          <w:rFonts w:eastAsia="MS Mincho"/>
          <w:noProof/>
          <w:lang w:val="en-US"/>
        </w:rPr>
        <w:t>uninsured</w:t>
      </w:r>
      <w:r w:rsidR="00E8193A" w:rsidRPr="00493E4F">
        <w:rPr>
          <w:rFonts w:eastAsia="MS Mincho"/>
          <w:noProof/>
          <w:lang w:val="en-US"/>
        </w:rPr>
        <w:t xml:space="preserve"> </w:t>
      </w:r>
      <w:r w:rsidR="00802B0A" w:rsidRPr="00493E4F">
        <w:rPr>
          <w:rFonts w:eastAsia="MS Mincho"/>
          <w:noProof/>
          <w:lang w:val="en-US"/>
        </w:rPr>
        <w:t>group</w:t>
      </w:r>
      <w:r w:rsidR="00802B0A" w:rsidRPr="00493E4F">
        <w:rPr>
          <w:rFonts w:eastAsia="MS Mincho"/>
          <w:lang w:val="en-US"/>
        </w:rPr>
        <w:t xml:space="preserve">, a matched sample was drawn. </w:t>
      </w:r>
      <w:r w:rsidR="00756223" w:rsidRPr="00493E4F">
        <w:rPr>
          <w:rFonts w:eastAsia="MS Mincho"/>
          <w:lang w:val="en-US"/>
        </w:rPr>
        <w:t xml:space="preserve">Using </w:t>
      </w:r>
      <w:r w:rsidR="006F4B74" w:rsidRPr="00493E4F">
        <w:rPr>
          <w:rFonts w:eastAsia="MS Mincho"/>
          <w:lang w:val="en-US"/>
        </w:rPr>
        <w:t>“</w:t>
      </w:r>
      <w:r w:rsidR="00756223" w:rsidRPr="00493E4F">
        <w:rPr>
          <w:rFonts w:eastAsia="MS Mincho"/>
          <w:lang w:val="en-US"/>
        </w:rPr>
        <w:t>psmatch2</w:t>
      </w:r>
      <w:r w:rsidR="006F4B74" w:rsidRPr="00493E4F">
        <w:rPr>
          <w:rFonts w:eastAsia="MS Mincho"/>
          <w:lang w:val="en-US"/>
        </w:rPr>
        <w:t>”</w:t>
      </w:r>
      <w:r w:rsidR="00756223" w:rsidRPr="00493E4F">
        <w:rPr>
          <w:rFonts w:eastAsia="MS Mincho"/>
          <w:lang w:val="en-US"/>
        </w:rPr>
        <w:t xml:space="preserve"> command in STATA 13, we applied </w:t>
      </w:r>
      <w:r w:rsidR="00E8193A" w:rsidRPr="00493E4F">
        <w:rPr>
          <w:rFonts w:eastAsia="MS Mincho"/>
          <w:lang w:val="en-US"/>
        </w:rPr>
        <w:t xml:space="preserve">a </w:t>
      </w:r>
      <w:r w:rsidR="00802B0A" w:rsidRPr="00493E4F">
        <w:rPr>
          <w:rFonts w:eastAsia="MS Mincho"/>
          <w:noProof/>
          <w:lang w:val="en-US"/>
        </w:rPr>
        <w:t>radius</w:t>
      </w:r>
      <w:r w:rsidR="00802B0A" w:rsidRPr="00493E4F">
        <w:rPr>
          <w:rFonts w:eastAsia="MS Mincho"/>
          <w:lang w:val="en-US"/>
        </w:rPr>
        <w:t xml:space="preserve"> matching method to estimate the matched sample using recommended </w:t>
      </w:r>
      <w:r w:rsidR="00802B0A" w:rsidRPr="00493E4F">
        <w:rPr>
          <w:rFonts w:eastAsia="MS Mincho"/>
          <w:noProof/>
          <w:lang w:val="en-US"/>
        </w:rPr>
        <w:t>ca</w:t>
      </w:r>
      <w:r w:rsidR="00C378FE" w:rsidRPr="00493E4F">
        <w:rPr>
          <w:rFonts w:eastAsia="MS Mincho"/>
          <w:noProof/>
          <w:lang w:val="en-US"/>
        </w:rPr>
        <w:t>l</w:t>
      </w:r>
      <w:r w:rsidR="00802B0A" w:rsidRPr="00493E4F">
        <w:rPr>
          <w:rFonts w:eastAsia="MS Mincho"/>
          <w:noProof/>
          <w:lang w:val="en-US"/>
        </w:rPr>
        <w:t>liper</w:t>
      </w:r>
      <w:r w:rsidR="00802B0A" w:rsidRPr="00493E4F">
        <w:rPr>
          <w:rFonts w:eastAsia="MS Mincho"/>
          <w:lang w:val="en-US"/>
        </w:rPr>
        <w:t xml:space="preserve"> size (standard deviation of the logit score is multiplied by 0.2)</w:t>
      </w:r>
      <w:r w:rsidR="00CA2C7B" w:rsidRPr="00493E4F">
        <w:rPr>
          <w:rFonts w:eastAsia="MS Mincho"/>
          <w:lang w:val="en-US"/>
        </w:rPr>
        <w:t>.</w:t>
      </w:r>
      <w:r w:rsidR="003A0B22" w:rsidRPr="00493E4F">
        <w:rPr>
          <w:rFonts w:eastAsia="MS Mincho"/>
          <w:lang w:val="en-US"/>
        </w:rPr>
        <w:fldChar w:fldCharType="begin" w:fldLock="1"/>
      </w:r>
      <w:r w:rsidR="00EB716C">
        <w:rPr>
          <w:rFonts w:eastAsia="MS Mincho"/>
          <w:lang w:val="en-US"/>
        </w:rPr>
        <w:instrText>ADDIN CSL_CITATION {"citationItems":[{"id":"ITEM-1","itemData":{"DOI":"10.1002/pst.433","ISBN":"1539-1612","ISSN":"15391604","PMID":"20925139","abstract":"In a study comparing the effects of two treatments, the propensity score is the probability of assignment to one treatment conditional on a subject's measured baseline covariates. Propensity-score matching is increasingly being used to estimate the effects of exposures using observational data. In the most common implementation of propensity-score matching, pairs of treated and untreated subjects are formed whose propensity scores differ by at most a pre-specified amount (the caliper width). There has been a little research into the optimal caliper width. We conducted an extensive series of Monte Carlo simulations to determine the optimal caliper width for estimating differences in means (for continuous outcomes) and risk differences (for binary outcomes). When estimating differences in means or risk differences, we recommend that researchers match on the logit of the propensity score using calipers of width equal to 0.2 of the standard deviation of the logit of the propensity score. When at least some of the covariates were continuous, then either this value, or one close to it, minimized the mean square error of the resultant estimated treatment effect. It also eliminated at least 98% of the bias in the crude estimator, and it resulted in confidence intervals with approximately the correct coverage rates. Furthermore, the empirical type I error rate was approximately correct. When all of the covariates were binary, then the choice of caliper width had a much smaller impact on the performance of estimation of risk differences and differences in means. Copyright © 2010 John Wiley &amp; Sons, Ltd.","author":[{"dropping-particle":"","family":"Austin","given":"Peter C.","non-dropping-particle":"","parse-names":false,"suffix":""}],"container-title":"Pharmaceutical Statistics","id":"ITEM-1","issue":"2","issued":{"date-parts":[["2011"]]},"page":"150-161","title":"Optimal caliper widths for propensity-score matching when estimating differences in means and differences in proportions in observational studies","type":"article-journal","volume":"10"},"uris":["http://www.mendeley.com/documents/?uuid=2e86058f-6491-4de1-9a73-c9acf62d39e2","http://www.mendeley.com/documents/?uuid=0bb56ed8-c216-4db8-88ef-2146298356c7"]}],"mendeley":{"formattedCitation":"&lt;sup&gt;33&lt;/sup&gt;","plainTextFormattedCitation":"33","previouslyFormattedCitation":"&lt;sup&gt;33&lt;/sup&gt;"},"properties":{"noteIndex":0},"schema":"https://github.com/citation-style-language/schema/raw/master/csl-citation.json"}</w:instrText>
      </w:r>
      <w:r w:rsidR="003A0B22" w:rsidRPr="00493E4F">
        <w:rPr>
          <w:rFonts w:eastAsia="MS Mincho"/>
          <w:lang w:val="en-US"/>
        </w:rPr>
        <w:fldChar w:fldCharType="separate"/>
      </w:r>
      <w:r w:rsidR="00725B43" w:rsidRPr="00725B43">
        <w:rPr>
          <w:rFonts w:eastAsia="MS Mincho"/>
          <w:noProof/>
          <w:vertAlign w:val="superscript"/>
          <w:lang w:val="en-US"/>
        </w:rPr>
        <w:t>33</w:t>
      </w:r>
      <w:r w:rsidR="003A0B22" w:rsidRPr="00493E4F">
        <w:rPr>
          <w:rFonts w:eastAsia="MS Mincho"/>
          <w:lang w:val="en-US"/>
        </w:rPr>
        <w:fldChar w:fldCharType="end"/>
      </w:r>
      <w:r w:rsidR="00802B0A" w:rsidRPr="00493E4F">
        <w:rPr>
          <w:rFonts w:eastAsia="MS Mincho"/>
          <w:lang w:val="en-US"/>
        </w:rPr>
        <w:t xml:space="preserve"> Figure 1 shows the </w:t>
      </w:r>
      <w:r w:rsidR="00B81587" w:rsidRPr="00493E4F">
        <w:rPr>
          <w:rFonts w:eastAsia="MS Mincho"/>
          <w:lang w:val="en-US"/>
        </w:rPr>
        <w:t xml:space="preserve">distribution of </w:t>
      </w:r>
      <w:r w:rsidR="00802B0A" w:rsidRPr="00493E4F">
        <w:rPr>
          <w:rFonts w:eastAsia="MS Mincho"/>
          <w:lang w:val="en-US"/>
        </w:rPr>
        <w:t xml:space="preserve">propensity </w:t>
      </w:r>
      <w:r w:rsidR="00802B0A" w:rsidRPr="00493E4F">
        <w:rPr>
          <w:rFonts w:eastAsia="MS Mincho"/>
          <w:noProof/>
          <w:lang w:val="en-US"/>
        </w:rPr>
        <w:t>score</w:t>
      </w:r>
      <w:r w:rsidR="00967C12" w:rsidRPr="00493E4F">
        <w:rPr>
          <w:rFonts w:eastAsia="MS Mincho"/>
          <w:noProof/>
          <w:lang w:val="en-US"/>
        </w:rPr>
        <w:t>s</w:t>
      </w:r>
      <w:r w:rsidR="00E8193A" w:rsidRPr="00493E4F">
        <w:rPr>
          <w:rFonts w:eastAsia="MS Mincho"/>
          <w:noProof/>
          <w:lang w:val="en-US"/>
        </w:rPr>
        <w:t xml:space="preserve"> </w:t>
      </w:r>
      <w:r w:rsidR="00936A38" w:rsidRPr="00493E4F">
        <w:rPr>
          <w:rFonts w:eastAsia="MS Mincho"/>
          <w:noProof/>
          <w:lang w:val="en-US"/>
        </w:rPr>
        <w:t>before</w:t>
      </w:r>
      <w:r w:rsidR="00936A38" w:rsidRPr="00493E4F">
        <w:rPr>
          <w:rFonts w:eastAsia="MS Mincho"/>
          <w:lang w:val="en-US"/>
        </w:rPr>
        <w:t xml:space="preserve"> and after matching </w:t>
      </w:r>
      <w:r w:rsidR="00802B0A" w:rsidRPr="00493E4F">
        <w:rPr>
          <w:rFonts w:eastAsia="MS Mincho"/>
          <w:lang w:val="en-US"/>
        </w:rPr>
        <w:t xml:space="preserve">in the </w:t>
      </w:r>
      <w:r w:rsidR="00BE6E4C" w:rsidRPr="00493E4F">
        <w:rPr>
          <w:rFonts w:eastAsia="MS Mincho"/>
          <w:noProof/>
          <w:lang w:val="en-US"/>
        </w:rPr>
        <w:t>insured</w:t>
      </w:r>
      <w:r w:rsidR="00E8193A" w:rsidRPr="00493E4F">
        <w:rPr>
          <w:rFonts w:eastAsia="MS Mincho"/>
          <w:noProof/>
          <w:lang w:val="en-US"/>
        </w:rPr>
        <w:t xml:space="preserve"> </w:t>
      </w:r>
      <w:r w:rsidR="00802B0A" w:rsidRPr="00493E4F">
        <w:rPr>
          <w:rFonts w:eastAsia="MS Mincho"/>
          <w:noProof/>
          <w:lang w:val="en-US"/>
        </w:rPr>
        <w:t>and</w:t>
      </w:r>
      <w:r w:rsidR="00802B0A" w:rsidRPr="00493E4F">
        <w:rPr>
          <w:rFonts w:eastAsia="MS Mincho"/>
          <w:lang w:val="en-US"/>
        </w:rPr>
        <w:t xml:space="preserve"> the </w:t>
      </w:r>
      <w:r w:rsidR="00BE6E4C" w:rsidRPr="00493E4F">
        <w:rPr>
          <w:rFonts w:eastAsia="MS Mincho"/>
          <w:noProof/>
          <w:lang w:val="en-US"/>
        </w:rPr>
        <w:t>uninsured</w:t>
      </w:r>
      <w:r w:rsidR="00E8193A" w:rsidRPr="00493E4F">
        <w:rPr>
          <w:rFonts w:eastAsia="MS Mincho"/>
          <w:noProof/>
          <w:lang w:val="en-US"/>
        </w:rPr>
        <w:t xml:space="preserve"> </w:t>
      </w:r>
      <w:r w:rsidR="00802B0A" w:rsidRPr="00493E4F">
        <w:rPr>
          <w:rFonts w:eastAsia="MS Mincho"/>
          <w:noProof/>
          <w:lang w:val="en-US"/>
        </w:rPr>
        <w:t>groups</w:t>
      </w:r>
      <w:r w:rsidR="00936A38" w:rsidRPr="00493E4F">
        <w:rPr>
          <w:rFonts w:eastAsia="MS Mincho"/>
          <w:noProof/>
          <w:lang w:val="en-US"/>
        </w:rPr>
        <w:t>.</w:t>
      </w:r>
      <w:r w:rsidR="00E8193A" w:rsidRPr="00493E4F">
        <w:rPr>
          <w:rFonts w:eastAsia="MS Mincho"/>
          <w:noProof/>
          <w:lang w:val="en-US"/>
        </w:rPr>
        <w:t xml:space="preserve"> </w:t>
      </w:r>
      <w:r w:rsidR="00802B0A" w:rsidRPr="00493E4F">
        <w:rPr>
          <w:rFonts w:eastAsia="MS Mincho"/>
          <w:noProof/>
          <w:lang w:val="en-US"/>
        </w:rPr>
        <w:t>Before</w:t>
      </w:r>
      <w:r w:rsidR="00802B0A" w:rsidRPr="00493E4F">
        <w:rPr>
          <w:rFonts w:eastAsia="MS Mincho"/>
          <w:lang w:val="en-US"/>
        </w:rPr>
        <w:t xml:space="preserve"> propensity score adjustment</w:t>
      </w:r>
      <w:r w:rsidR="004F6BE2" w:rsidRPr="00493E4F">
        <w:rPr>
          <w:rFonts w:eastAsia="MS Mincho"/>
          <w:lang w:val="en-US"/>
        </w:rPr>
        <w:t>,</w:t>
      </w:r>
      <w:r w:rsidR="00802B0A" w:rsidRPr="00493E4F">
        <w:rPr>
          <w:rFonts w:eastAsia="MS Mincho"/>
          <w:lang w:val="en-US"/>
        </w:rPr>
        <w:t xml:space="preserve"> </w:t>
      </w:r>
      <w:r w:rsidR="00802B0A" w:rsidRPr="00493E4F">
        <w:rPr>
          <w:rFonts w:eastAsia="MS Mincho"/>
          <w:noProof/>
          <w:lang w:val="en-US"/>
        </w:rPr>
        <w:t>the</w:t>
      </w:r>
      <w:r w:rsidR="00E8193A" w:rsidRPr="00493E4F">
        <w:rPr>
          <w:rFonts w:eastAsia="MS Mincho"/>
          <w:noProof/>
          <w:lang w:val="en-US"/>
        </w:rPr>
        <w:t xml:space="preserve"> </w:t>
      </w:r>
      <w:r w:rsidR="00D872C8" w:rsidRPr="00493E4F">
        <w:rPr>
          <w:rFonts w:eastAsia="MS Mincho"/>
          <w:noProof/>
          <w:lang w:val="en-US"/>
        </w:rPr>
        <w:t>insured</w:t>
      </w:r>
      <w:r w:rsidR="00D872C8" w:rsidRPr="00493E4F">
        <w:rPr>
          <w:rFonts w:eastAsia="MS Mincho"/>
          <w:lang w:val="en-US"/>
        </w:rPr>
        <w:t xml:space="preserve"> </w:t>
      </w:r>
      <w:r w:rsidR="00802B0A" w:rsidRPr="00493E4F">
        <w:rPr>
          <w:rFonts w:eastAsia="MS Mincho"/>
          <w:lang w:val="en-US"/>
        </w:rPr>
        <w:t xml:space="preserve">and </w:t>
      </w:r>
      <w:r w:rsidR="00D872C8" w:rsidRPr="00493E4F">
        <w:rPr>
          <w:rFonts w:eastAsia="MS Mincho"/>
          <w:noProof/>
          <w:lang w:val="en-US"/>
        </w:rPr>
        <w:t>uninsured</w:t>
      </w:r>
      <w:r w:rsidR="00E8193A" w:rsidRPr="00493E4F">
        <w:rPr>
          <w:rFonts w:eastAsia="MS Mincho"/>
          <w:noProof/>
          <w:lang w:val="en-US"/>
        </w:rPr>
        <w:t xml:space="preserve"> </w:t>
      </w:r>
      <w:r w:rsidR="003D3BD2" w:rsidRPr="00493E4F">
        <w:rPr>
          <w:rFonts w:eastAsia="MS Mincho"/>
          <w:noProof/>
          <w:lang w:val="en-US"/>
        </w:rPr>
        <w:t>group</w:t>
      </w:r>
      <w:r w:rsidR="004F6BE2" w:rsidRPr="00493E4F">
        <w:rPr>
          <w:rFonts w:eastAsia="MS Mincho"/>
          <w:noProof/>
          <w:lang w:val="en-US"/>
        </w:rPr>
        <w:t>s</w:t>
      </w:r>
      <w:r w:rsidR="003D3BD2" w:rsidRPr="00493E4F">
        <w:rPr>
          <w:rFonts w:eastAsia="MS Mincho"/>
          <w:lang w:val="en-US"/>
        </w:rPr>
        <w:t xml:space="preserve"> were dissimilar with regar</w:t>
      </w:r>
      <w:r w:rsidR="00802B0A" w:rsidRPr="00493E4F">
        <w:rPr>
          <w:rFonts w:eastAsia="MS Mincho"/>
          <w:lang w:val="en-US"/>
        </w:rPr>
        <w:t>d to the characteristics</w:t>
      </w:r>
      <w:r w:rsidR="00C656C8" w:rsidRPr="00493E4F">
        <w:rPr>
          <w:rFonts w:eastAsia="MS Mincho"/>
          <w:lang w:val="en-US"/>
        </w:rPr>
        <w:t>. However,</w:t>
      </w:r>
      <w:r w:rsidR="00802B0A" w:rsidRPr="00493E4F">
        <w:rPr>
          <w:rFonts w:eastAsia="MS Mincho"/>
          <w:lang w:val="en-US"/>
        </w:rPr>
        <w:t xml:space="preserve"> after matching the</w:t>
      </w:r>
      <w:r w:rsidR="00420421" w:rsidRPr="00493E4F">
        <w:rPr>
          <w:rFonts w:eastAsia="MS Mincho"/>
          <w:lang w:val="en-US"/>
        </w:rPr>
        <w:t>y are</w:t>
      </w:r>
      <w:r w:rsidR="00E14D48" w:rsidRPr="00493E4F">
        <w:rPr>
          <w:rFonts w:eastAsia="MS Mincho"/>
          <w:lang w:val="en-US"/>
        </w:rPr>
        <w:t xml:space="preserve"> mostly</w:t>
      </w:r>
      <w:r w:rsidR="00420421" w:rsidRPr="00493E4F">
        <w:rPr>
          <w:rFonts w:eastAsia="MS Mincho"/>
          <w:lang w:val="en-US"/>
        </w:rPr>
        <w:t xml:space="preserve"> similar</w:t>
      </w:r>
      <w:r w:rsidR="00D34DAF" w:rsidRPr="00493E4F">
        <w:rPr>
          <w:rFonts w:eastAsia="MS Mincho"/>
          <w:lang w:val="en-US"/>
        </w:rPr>
        <w:t xml:space="preserve"> (Figure 1)</w:t>
      </w:r>
      <w:r w:rsidR="00420421" w:rsidRPr="00493E4F">
        <w:rPr>
          <w:rFonts w:eastAsia="MS Mincho"/>
          <w:lang w:val="en-US"/>
        </w:rPr>
        <w:t xml:space="preserve">. </w:t>
      </w:r>
      <w:r w:rsidR="00AC5B04" w:rsidRPr="00493E4F">
        <w:rPr>
          <w:rFonts w:eastAsia="MS Mincho"/>
          <w:lang w:val="en-US"/>
        </w:rPr>
        <w:t>Finally</w:t>
      </w:r>
      <w:r w:rsidR="00420421" w:rsidRPr="00493E4F">
        <w:rPr>
          <w:rFonts w:eastAsia="MS Mincho"/>
          <w:lang w:val="en-US"/>
        </w:rPr>
        <w:t xml:space="preserve">, </w:t>
      </w:r>
      <w:r w:rsidR="00802B0A" w:rsidRPr="00493E4F">
        <w:rPr>
          <w:rFonts w:eastAsia="MS Mincho"/>
          <w:lang w:val="en-US"/>
        </w:rPr>
        <w:t>2,5</w:t>
      </w:r>
      <w:r w:rsidR="00936A38" w:rsidRPr="00493E4F">
        <w:rPr>
          <w:rFonts w:eastAsia="MS Mincho"/>
          <w:lang w:val="en-US"/>
        </w:rPr>
        <w:t>02</w:t>
      </w:r>
      <w:r w:rsidR="00802B0A" w:rsidRPr="00493E4F">
        <w:rPr>
          <w:rFonts w:eastAsia="MS Mincho"/>
          <w:lang w:val="en-US"/>
        </w:rPr>
        <w:t xml:space="preserve"> individuals from </w:t>
      </w:r>
      <w:r w:rsidR="00E8193A" w:rsidRPr="00493E4F">
        <w:rPr>
          <w:rFonts w:eastAsia="MS Mincho"/>
          <w:lang w:val="en-US"/>
        </w:rPr>
        <w:t xml:space="preserve">the </w:t>
      </w:r>
      <w:r w:rsidR="009A5A9A" w:rsidRPr="00493E4F">
        <w:rPr>
          <w:rFonts w:eastAsia="MS Mincho"/>
          <w:noProof/>
          <w:lang w:val="en-US"/>
        </w:rPr>
        <w:t>insured</w:t>
      </w:r>
      <w:r w:rsidR="009A5A9A" w:rsidRPr="00493E4F">
        <w:rPr>
          <w:rFonts w:eastAsia="MS Mincho"/>
          <w:lang w:val="en-US"/>
        </w:rPr>
        <w:t xml:space="preserve"> </w:t>
      </w:r>
      <w:r w:rsidR="00420421" w:rsidRPr="00493E4F">
        <w:rPr>
          <w:rFonts w:eastAsia="MS Mincho"/>
          <w:lang w:val="en-US"/>
        </w:rPr>
        <w:t xml:space="preserve">group and the same number from </w:t>
      </w:r>
      <w:r w:rsidR="00E8193A" w:rsidRPr="00493E4F">
        <w:rPr>
          <w:rFonts w:eastAsia="MS Mincho"/>
          <w:lang w:val="en-US"/>
        </w:rPr>
        <w:t xml:space="preserve">the </w:t>
      </w:r>
      <w:r w:rsidR="009A5A9A" w:rsidRPr="00493E4F">
        <w:rPr>
          <w:rFonts w:eastAsia="MS Mincho"/>
          <w:noProof/>
          <w:lang w:val="en-US"/>
        </w:rPr>
        <w:t>uninsured</w:t>
      </w:r>
      <w:r w:rsidR="00420421" w:rsidRPr="00493E4F">
        <w:rPr>
          <w:rFonts w:eastAsia="MS Mincho"/>
          <w:lang w:val="en-US"/>
        </w:rPr>
        <w:t xml:space="preserve"> group </w:t>
      </w:r>
      <w:r w:rsidR="00802B0A" w:rsidRPr="00493E4F">
        <w:rPr>
          <w:rFonts w:eastAsia="MS Mincho"/>
          <w:lang w:val="en-US"/>
        </w:rPr>
        <w:t xml:space="preserve">were included in </w:t>
      </w:r>
      <w:r w:rsidR="00381039" w:rsidRPr="00493E4F">
        <w:rPr>
          <w:rFonts w:eastAsia="MS Mincho"/>
          <w:lang w:val="en-US"/>
        </w:rPr>
        <w:t>the analysis.</w:t>
      </w:r>
    </w:p>
    <w:p w14:paraId="060088A4" w14:textId="77777777" w:rsidR="00B5514E" w:rsidRPr="00493E4F" w:rsidRDefault="00B5514E" w:rsidP="00D724FB">
      <w:pPr>
        <w:spacing w:before="120" w:line="480" w:lineRule="auto"/>
        <w:jc w:val="both"/>
      </w:pPr>
    </w:p>
    <w:p w14:paraId="5D86A1A4" w14:textId="77777777" w:rsidR="00B5514E" w:rsidRPr="00493E4F" w:rsidRDefault="005A7E9E" w:rsidP="00D724FB">
      <w:pPr>
        <w:spacing w:before="120" w:line="480" w:lineRule="auto"/>
        <w:jc w:val="center"/>
      </w:pPr>
      <w:r w:rsidRPr="00493E4F">
        <w:t>Figure 1 to</w:t>
      </w:r>
      <w:r w:rsidR="005D7F1D" w:rsidRPr="00493E4F">
        <w:t xml:space="preserve"> be inserted here</w:t>
      </w:r>
    </w:p>
    <w:p w14:paraId="10F3F4E9" w14:textId="77777777" w:rsidR="006A0AF7" w:rsidRPr="00493E4F" w:rsidRDefault="006A0AF7" w:rsidP="006A0AF7">
      <w:pPr>
        <w:pStyle w:val="Heading2"/>
        <w:spacing w:before="120" w:line="480" w:lineRule="auto"/>
        <w:jc w:val="both"/>
      </w:pPr>
      <w:r w:rsidRPr="00493E4F">
        <w:t>Statistical analysis</w:t>
      </w:r>
    </w:p>
    <w:p w14:paraId="42650B58" w14:textId="3585927C" w:rsidR="00E17E61" w:rsidRPr="00493E4F" w:rsidRDefault="00BD2839" w:rsidP="00493E4F">
      <w:pPr>
        <w:spacing w:before="120" w:line="480" w:lineRule="auto"/>
        <w:jc w:val="both"/>
      </w:pPr>
      <w:r w:rsidRPr="00493E4F">
        <w:t xml:space="preserve">The main </w:t>
      </w:r>
      <w:r w:rsidR="007A14C3" w:rsidRPr="00493E4F">
        <w:rPr>
          <w:noProof/>
        </w:rPr>
        <w:t>hypothes</w:t>
      </w:r>
      <w:r w:rsidR="000B7770" w:rsidRPr="00493E4F">
        <w:rPr>
          <w:noProof/>
        </w:rPr>
        <w:t>i</w:t>
      </w:r>
      <w:r w:rsidR="007A14C3" w:rsidRPr="00493E4F">
        <w:rPr>
          <w:noProof/>
        </w:rPr>
        <w:t>s</w:t>
      </w:r>
      <w:r w:rsidR="00E8193A" w:rsidRPr="00493E4F">
        <w:rPr>
          <w:noProof/>
        </w:rPr>
        <w:t xml:space="preserve"> </w:t>
      </w:r>
      <w:r w:rsidR="000B7770" w:rsidRPr="00493E4F">
        <w:rPr>
          <w:noProof/>
        </w:rPr>
        <w:t>of</w:t>
      </w:r>
      <w:r w:rsidR="000B7770" w:rsidRPr="00493E4F">
        <w:t xml:space="preserve"> </w:t>
      </w:r>
      <w:r w:rsidRPr="00493E4F">
        <w:t xml:space="preserve">this study was </w:t>
      </w:r>
      <w:r w:rsidR="000B7770" w:rsidRPr="00493E4F">
        <w:t xml:space="preserve">that </w:t>
      </w:r>
      <w:r w:rsidRPr="00493E4F">
        <w:t xml:space="preserve">the OOP </w:t>
      </w:r>
      <w:r w:rsidR="00900C4A" w:rsidRPr="00493E4F">
        <w:t>payments</w:t>
      </w:r>
      <w:r w:rsidR="003F70FE" w:rsidRPr="00493E4F">
        <w:t xml:space="preserve"> for utilizing </w:t>
      </w:r>
      <w:r w:rsidRPr="00493E4F">
        <w:t xml:space="preserve">MTP </w:t>
      </w:r>
      <w:r w:rsidRPr="00493E4F">
        <w:rPr>
          <w:noProof/>
        </w:rPr>
        <w:t>provider</w:t>
      </w:r>
      <w:r w:rsidR="00E8193A" w:rsidRPr="00493E4F">
        <w:rPr>
          <w:noProof/>
        </w:rPr>
        <w:t xml:space="preserve"> </w:t>
      </w:r>
      <w:r w:rsidR="000B7770" w:rsidRPr="00493E4F">
        <w:rPr>
          <w:noProof/>
        </w:rPr>
        <w:t>w</w:t>
      </w:r>
      <w:r w:rsidR="00C378FE" w:rsidRPr="00493E4F">
        <w:rPr>
          <w:noProof/>
        </w:rPr>
        <w:t>ere</w:t>
      </w:r>
      <w:r w:rsidR="003F70FE" w:rsidRPr="00493E4F">
        <w:t xml:space="preserve"> lower for </w:t>
      </w:r>
      <w:r w:rsidRPr="00493E4F">
        <w:t>insured</w:t>
      </w:r>
      <w:r w:rsidR="003F70FE" w:rsidRPr="00493E4F">
        <w:t xml:space="preserve"> compared to </w:t>
      </w:r>
      <w:r w:rsidRPr="00493E4F">
        <w:t>uninsured</w:t>
      </w:r>
      <w:r w:rsidR="00B076DC" w:rsidRPr="00493E4F">
        <w:rPr>
          <w:noProof/>
        </w:rPr>
        <w:t>.</w:t>
      </w:r>
      <w:r w:rsidR="00E8193A" w:rsidRPr="00493E4F">
        <w:rPr>
          <w:noProof/>
        </w:rPr>
        <w:t xml:space="preserve"> </w:t>
      </w:r>
      <w:r w:rsidR="00043C64" w:rsidRPr="00493E4F">
        <w:rPr>
          <w:noProof/>
        </w:rPr>
        <w:t>Descriptive</w:t>
      </w:r>
      <w:r w:rsidR="00043C64" w:rsidRPr="00493E4F">
        <w:t xml:space="preserve"> statistics </w:t>
      </w:r>
      <w:r w:rsidR="000B7770" w:rsidRPr="00493E4F">
        <w:t>presented the mean and variations (</w:t>
      </w:r>
      <w:r w:rsidR="00043C64" w:rsidRPr="00493E4F">
        <w:t xml:space="preserve">standard deviation) </w:t>
      </w:r>
      <w:r w:rsidR="000B7770" w:rsidRPr="00493E4F">
        <w:t xml:space="preserve">of OOP payments in </w:t>
      </w:r>
      <w:r w:rsidR="00861A96" w:rsidRPr="00493E4F">
        <w:t xml:space="preserve">insured </w:t>
      </w:r>
      <w:r w:rsidR="00043C64" w:rsidRPr="00493E4F">
        <w:t xml:space="preserve">and </w:t>
      </w:r>
      <w:r w:rsidR="00861A96" w:rsidRPr="00493E4F">
        <w:t>matched uninsured</w:t>
      </w:r>
      <w:r w:rsidR="00043C64" w:rsidRPr="00493E4F">
        <w:t xml:space="preserve"> groups</w:t>
      </w:r>
      <w:r w:rsidR="00043C64" w:rsidRPr="00493E4F">
        <w:rPr>
          <w:noProof/>
        </w:rPr>
        <w:t>.</w:t>
      </w:r>
      <w:r w:rsidR="00E8193A" w:rsidRPr="00493E4F">
        <w:rPr>
          <w:noProof/>
        </w:rPr>
        <w:t xml:space="preserve"> </w:t>
      </w:r>
      <w:r w:rsidR="000B7770" w:rsidRPr="00493E4F">
        <w:rPr>
          <w:noProof/>
        </w:rPr>
        <w:t>We</w:t>
      </w:r>
      <w:r w:rsidR="000B7770" w:rsidRPr="00493E4F">
        <w:t xml:space="preserve"> presented this </w:t>
      </w:r>
      <w:r w:rsidR="000B7770" w:rsidRPr="00493E4F">
        <w:rPr>
          <w:noProof/>
        </w:rPr>
        <w:t>variable</w:t>
      </w:r>
      <w:r w:rsidR="00E8193A" w:rsidRPr="00493E4F">
        <w:rPr>
          <w:noProof/>
        </w:rPr>
        <w:t xml:space="preserve"> </w:t>
      </w:r>
      <w:r w:rsidR="000B7770" w:rsidRPr="00493E4F">
        <w:rPr>
          <w:noProof/>
        </w:rPr>
        <w:t>even</w:t>
      </w:r>
      <w:r w:rsidR="000B7770" w:rsidRPr="00493E4F">
        <w:t xml:space="preserve"> using s</w:t>
      </w:r>
      <w:r w:rsidR="00043C64" w:rsidRPr="00493E4F">
        <w:t xml:space="preserve">everal dimensions, like </w:t>
      </w:r>
      <w:r w:rsidR="00EC7F0C" w:rsidRPr="00493E4F">
        <w:t xml:space="preserve">asset </w:t>
      </w:r>
      <w:r w:rsidR="00005F8E" w:rsidRPr="00493E4F">
        <w:t>quintiles</w:t>
      </w:r>
      <w:r w:rsidR="00043C64" w:rsidRPr="00493E4F">
        <w:t xml:space="preserve">, occupation, household size, geographic area. </w:t>
      </w:r>
      <w:r w:rsidR="009C28C7" w:rsidRPr="00493E4F">
        <w:t xml:space="preserve">We performed </w:t>
      </w:r>
      <w:r w:rsidR="00E8193A" w:rsidRPr="00493E4F">
        <w:t xml:space="preserve">the </w:t>
      </w:r>
      <w:r w:rsidR="009C28C7" w:rsidRPr="00493E4F">
        <w:rPr>
          <w:noProof/>
        </w:rPr>
        <w:t>Shapiro</w:t>
      </w:r>
      <w:r w:rsidR="009C28C7" w:rsidRPr="00493E4F">
        <w:t xml:space="preserve">–Wilk test and found that OOP healthcare payment was not normally distributed (P-value&lt;0.01). </w:t>
      </w:r>
      <w:r w:rsidR="00221BE5" w:rsidRPr="00493E4F">
        <w:t>We, therefore, employed</w:t>
      </w:r>
      <w:r w:rsidR="009C28C7" w:rsidRPr="00493E4F">
        <w:t xml:space="preserve"> Wilcoxon-Mann-Whitney test, a non-parametric test, to make inference </w:t>
      </w:r>
      <w:r w:rsidR="009C28C7" w:rsidRPr="00493E4F">
        <w:rPr>
          <w:noProof/>
        </w:rPr>
        <w:t>on</w:t>
      </w:r>
      <w:r w:rsidR="00E8193A" w:rsidRPr="00493E4F">
        <w:rPr>
          <w:noProof/>
        </w:rPr>
        <w:t xml:space="preserve"> </w:t>
      </w:r>
      <w:r w:rsidR="00043C64" w:rsidRPr="00493E4F">
        <w:rPr>
          <w:noProof/>
        </w:rPr>
        <w:t>the</w:t>
      </w:r>
      <w:r w:rsidR="00043C64" w:rsidRPr="00493E4F">
        <w:t xml:space="preserve"> significance of </w:t>
      </w:r>
      <w:r w:rsidR="004F6BE2" w:rsidRPr="00493E4F">
        <w:t>the</w:t>
      </w:r>
      <w:r w:rsidR="000F43E6" w:rsidRPr="00493E4F">
        <w:t xml:space="preserve"> </w:t>
      </w:r>
      <w:r w:rsidR="000F43E6" w:rsidRPr="00493E4F">
        <w:rPr>
          <w:noProof/>
        </w:rPr>
        <w:t>mean</w:t>
      </w:r>
      <w:r w:rsidR="00E8193A" w:rsidRPr="00493E4F">
        <w:rPr>
          <w:noProof/>
        </w:rPr>
        <w:t xml:space="preserve"> </w:t>
      </w:r>
      <w:r w:rsidR="00043C64" w:rsidRPr="00493E4F">
        <w:rPr>
          <w:noProof/>
        </w:rPr>
        <w:t>difference</w:t>
      </w:r>
      <w:r w:rsidR="007C0767" w:rsidRPr="00493E4F">
        <w:rPr>
          <w:noProof/>
        </w:rPr>
        <w:t>s</w:t>
      </w:r>
      <w:r w:rsidR="00043C64" w:rsidRPr="00493E4F">
        <w:t xml:space="preserve"> in </w:t>
      </w:r>
      <w:r w:rsidR="0035494D" w:rsidRPr="00493E4F">
        <w:t xml:space="preserve">the </w:t>
      </w:r>
      <w:r w:rsidR="00043C64" w:rsidRPr="00493E4F">
        <w:t>OO</w:t>
      </w:r>
      <w:r w:rsidR="007C0767" w:rsidRPr="00493E4F">
        <w:t xml:space="preserve">P healthcare </w:t>
      </w:r>
      <w:r w:rsidR="00043C64" w:rsidRPr="00493E4F">
        <w:t>payment</w:t>
      </w:r>
      <w:r w:rsidR="00D853E2" w:rsidRPr="00493E4F">
        <w:t>s</w:t>
      </w:r>
      <w:r w:rsidR="00043C64" w:rsidRPr="00493E4F">
        <w:t xml:space="preserve"> between </w:t>
      </w:r>
      <w:r w:rsidR="002D0073" w:rsidRPr="00493E4F">
        <w:t xml:space="preserve">insured </w:t>
      </w:r>
      <w:r w:rsidR="00043C64" w:rsidRPr="00493E4F">
        <w:t xml:space="preserve">and </w:t>
      </w:r>
      <w:r w:rsidR="002D0073" w:rsidRPr="00493E4F">
        <w:t xml:space="preserve">matched </w:t>
      </w:r>
      <w:r w:rsidR="002D0073" w:rsidRPr="00493E4F">
        <w:rPr>
          <w:noProof/>
        </w:rPr>
        <w:t>uninsured</w:t>
      </w:r>
      <w:r w:rsidR="00E8193A" w:rsidRPr="00493E4F">
        <w:rPr>
          <w:noProof/>
        </w:rPr>
        <w:t xml:space="preserve"> </w:t>
      </w:r>
      <w:r w:rsidR="00043C64" w:rsidRPr="00493E4F">
        <w:rPr>
          <w:noProof/>
        </w:rPr>
        <w:t>groups</w:t>
      </w:r>
      <w:r w:rsidR="00043C64" w:rsidRPr="00493E4F">
        <w:t>.</w:t>
      </w:r>
      <w:r w:rsidR="008155C1" w:rsidRPr="00493E4F">
        <w:t xml:space="preserve"> Further,</w:t>
      </w:r>
      <w:r w:rsidR="00005F8E" w:rsidRPr="00493E4F">
        <w:t xml:space="preserve"> two-part</w:t>
      </w:r>
      <w:r w:rsidR="008155C1" w:rsidRPr="00493E4F">
        <w:t xml:space="preserve"> r</w:t>
      </w:r>
      <w:r w:rsidR="00043C64" w:rsidRPr="00493E4F">
        <w:t xml:space="preserve">egression analysis </w:t>
      </w:r>
      <w:r w:rsidR="00C4010C" w:rsidRPr="00493E4F">
        <w:rPr>
          <w:noProof/>
        </w:rPr>
        <w:t>was</w:t>
      </w:r>
      <w:r w:rsidR="00E8193A" w:rsidRPr="00493E4F">
        <w:rPr>
          <w:noProof/>
        </w:rPr>
        <w:t xml:space="preserve"> </w:t>
      </w:r>
      <w:r w:rsidR="00221BE5" w:rsidRPr="00493E4F">
        <w:rPr>
          <w:noProof/>
        </w:rPr>
        <w:t>conducted</w:t>
      </w:r>
      <w:r w:rsidR="00221BE5" w:rsidRPr="00493E4F">
        <w:t xml:space="preserve"> </w:t>
      </w:r>
      <w:r w:rsidR="00043C64" w:rsidRPr="00493E4F">
        <w:t xml:space="preserve">to estimate the </w:t>
      </w:r>
      <w:r w:rsidR="00C4010C" w:rsidRPr="00493E4F">
        <w:t xml:space="preserve">effect of </w:t>
      </w:r>
      <w:r w:rsidR="00D2286D" w:rsidRPr="00493E4F">
        <w:t>individuals’</w:t>
      </w:r>
      <w:r w:rsidR="008155C1" w:rsidRPr="00493E4F">
        <w:t xml:space="preserve"> enrolment in </w:t>
      </w:r>
      <w:r w:rsidR="00C4010C" w:rsidRPr="00493E4F">
        <w:t xml:space="preserve">CBHI </w:t>
      </w:r>
      <w:r w:rsidR="008155C1" w:rsidRPr="00493E4F">
        <w:t xml:space="preserve">scheme </w:t>
      </w:r>
      <w:r w:rsidR="00C4010C" w:rsidRPr="00493E4F">
        <w:t>on OOP payments for seeking healthcare from the</w:t>
      </w:r>
      <w:r w:rsidR="00BF56CC" w:rsidRPr="00493E4F">
        <w:t xml:space="preserve"> MTP</w:t>
      </w:r>
      <w:r w:rsidR="00F65ED7" w:rsidRPr="00493E4F">
        <w:t xml:space="preserve">. </w:t>
      </w:r>
      <w:r w:rsidR="00853335" w:rsidRPr="00493E4F">
        <w:t>A</w:t>
      </w:r>
      <w:r w:rsidR="00F65ED7" w:rsidRPr="00493E4F">
        <w:t xml:space="preserve">dditionally, </w:t>
      </w:r>
      <w:r w:rsidR="00853335" w:rsidRPr="00493E4F">
        <w:t xml:space="preserve">we </w:t>
      </w:r>
      <w:r w:rsidR="00F65ED7" w:rsidRPr="00493E4F">
        <w:t xml:space="preserve">estimated the association of OOP payments with healthcare utilization </w:t>
      </w:r>
      <w:r w:rsidR="00F65ED7" w:rsidRPr="00493E4F">
        <w:rPr>
          <w:noProof/>
        </w:rPr>
        <w:t>from</w:t>
      </w:r>
      <w:r w:rsidR="00E8193A" w:rsidRPr="00493E4F">
        <w:rPr>
          <w:noProof/>
        </w:rPr>
        <w:t xml:space="preserve"> non</w:t>
      </w:r>
      <w:r w:rsidR="00347E47" w:rsidRPr="00493E4F">
        <w:t xml:space="preserve">-trained </w:t>
      </w:r>
      <w:r w:rsidR="00C4010C" w:rsidRPr="00493E4F">
        <w:rPr>
          <w:noProof/>
        </w:rPr>
        <w:t>providers</w:t>
      </w:r>
      <w:r w:rsidR="00F65ED7" w:rsidRPr="00493E4F">
        <w:rPr>
          <w:noProof/>
        </w:rPr>
        <w:t>.</w:t>
      </w:r>
      <w:r w:rsidR="00E8193A" w:rsidRPr="00493E4F">
        <w:rPr>
          <w:noProof/>
        </w:rPr>
        <w:t xml:space="preserve"> </w:t>
      </w:r>
      <w:r w:rsidR="00043C64" w:rsidRPr="00493E4F">
        <w:rPr>
          <w:noProof/>
        </w:rPr>
        <w:t>The</w:t>
      </w:r>
      <w:r w:rsidR="00043C64" w:rsidRPr="00493E4F">
        <w:t xml:space="preserve"> OOP payment </w:t>
      </w:r>
      <w:r w:rsidR="00347E47" w:rsidRPr="00493E4F">
        <w:t>wa</w:t>
      </w:r>
      <w:r w:rsidR="00043C64" w:rsidRPr="00493E4F">
        <w:t xml:space="preserve">s a limited dependent variable and </w:t>
      </w:r>
      <w:r w:rsidR="00347E47" w:rsidRPr="00493E4F">
        <w:t>wa</w:t>
      </w:r>
      <w:r w:rsidR="00043C64" w:rsidRPr="00493E4F">
        <w:t>s continuous over most of its distribution but h</w:t>
      </w:r>
      <w:r w:rsidR="00347E47" w:rsidRPr="00493E4F">
        <w:t>ad</w:t>
      </w:r>
      <w:r w:rsidR="00043C64" w:rsidRPr="00493E4F">
        <w:t xml:space="preserve"> a mass of observations at zero values. The decision </w:t>
      </w:r>
      <w:r w:rsidR="00043C64" w:rsidRPr="00493E4F">
        <w:rPr>
          <w:noProof/>
        </w:rPr>
        <w:t>of</w:t>
      </w:r>
      <w:r w:rsidR="00E8193A" w:rsidRPr="00493E4F">
        <w:rPr>
          <w:noProof/>
        </w:rPr>
        <w:t xml:space="preserve"> </w:t>
      </w:r>
      <w:r w:rsidR="00043C64" w:rsidRPr="00493E4F">
        <w:rPr>
          <w:noProof/>
        </w:rPr>
        <w:t>healthcare</w:t>
      </w:r>
      <w:r w:rsidR="00043C64" w:rsidRPr="00493E4F">
        <w:t xml:space="preserve"> expenditure and the magnitude of </w:t>
      </w:r>
      <w:r w:rsidR="00043C64" w:rsidRPr="00493E4F">
        <w:rPr>
          <w:noProof/>
        </w:rPr>
        <w:t>expenditure</w:t>
      </w:r>
      <w:r w:rsidR="00043C64" w:rsidRPr="00493E4F">
        <w:t xml:space="preserve"> m</w:t>
      </w:r>
      <w:r w:rsidR="00347E47" w:rsidRPr="00493E4F">
        <w:t>ight</w:t>
      </w:r>
      <w:r w:rsidR="00043C64" w:rsidRPr="00493E4F">
        <w:t xml:space="preserve"> not be statistically independent</w:t>
      </w:r>
      <w:r w:rsidR="00CA2C7B" w:rsidRPr="00493E4F">
        <w:t>.</w:t>
      </w:r>
      <w:r w:rsidR="003A0B22" w:rsidRPr="00493E4F">
        <w:fldChar w:fldCharType="begin" w:fldLock="1"/>
      </w:r>
      <w:r w:rsidR="00EB716C">
        <w:instrText>ADDIN CSL_CITATION {"citationItems":[{"id":"ITEM-1","itemData":{"DOI":"10.1002/hec.1471","ISSN":"1099-1050","PMID":"19405046","abstract":"Several papers in the leading health economics journals modeled the determinants of healthcare expenditure using household survey or family budgets data of developed countries. Past work largely used self-reported current income as the core determinant, whereas the theoretically correct concept of household resource constraint is permanent or long-run income (á lá Milton Friedman). This paper strives to rectify the theoretical oversight of using current income by augmenting the model with household asset. Using longitudinal data, we constructed 'wealth index' as a distinct covariate to capture the households' tendency to liquidate assets when defraying necessary healthcare liabilities after exhausting cash incomes. (Current income and assets together capture the household expanded resource base). Using 98 632 household observations from Thailand Socio-Economic Surveys (1994-2000 biennial data cycles) we found, using a double-hurdle model with dependent errors, that out-of-pocket healthcare spending behaves as a technical necessity across income quintiles and household sizes. Pre-1997 economic shock income elasticities are smaller than the post-shock estimates across income quintiles for large and small households. Proximity to death, median age, and assets are also among other significant determinants. Our novel findings extend the theoretical consistency of a multi-level decision model in household healthcare expenditure in the developing Asian country context.","author":[{"dropping-particle":"","family":"Okunade","given":"Albert A","non-dropping-particle":"","parse-names":false,"suffix":""},{"dropping-particle":"","family":"Suraratdecha","given":"Chutima","non-dropping-particle":"","parse-names":false,"suffix":""},{"dropping-particle":"","family":"Benson","given":"David A","non-dropping-particle":"","parse-names":false,"suffix":""}],"container-title":"Health economics","id":"ITEM-1","issue":"3","issued":{"date-parts":[["2010","3"]]},"page":"365-76","title":"Determinants of Thailand household healthcare expenditure: the relevance of permanent resources and other correlates.","type":"article-journal","volume":"19"},"uris":["http://www.mendeley.com/documents/?uuid=3a144c7d-b7a4-4975-98d1-505c048cd8fe"]},{"id":"ITEM-2","itemData":{"author":[{"dropping-particle":"","family":"Jones","given":"AM","non-dropping-particle":"","parse-names":false,"suffix":""}],"container-title":"Journal of Applied Econometrics","id":"ITEM-2","issue":"1","issued":{"date-parts":[["1989"]]},"page":"23-39","title":"A double‐hurdle model of cigarette consumption","type":"article-journal","volume":"4"},"uris":["http://www.mendeley.com/documents/?uuid=137e304e-11f6-46ec-8b3e-25938a59f6e9","http://www.mendeley.com/documents/?uuid=251a51f6-90c8-4448-8722-f92225195fd0"]}],"mendeley":{"formattedCitation":"&lt;sup&gt;34,35&lt;/sup&gt;","plainTextFormattedCitation":"34,35","previouslyFormattedCitation":"&lt;sup&gt;34,35&lt;/sup&gt;"},"properties":{"noteIndex":0},"schema":"https://github.com/citation-style-language/schema/raw/master/csl-citation.json"}</w:instrText>
      </w:r>
      <w:r w:rsidR="003A0B22" w:rsidRPr="00493E4F">
        <w:fldChar w:fldCharType="separate"/>
      </w:r>
      <w:r w:rsidR="00725B43" w:rsidRPr="00725B43">
        <w:rPr>
          <w:noProof/>
          <w:vertAlign w:val="superscript"/>
        </w:rPr>
        <w:t>34,35</w:t>
      </w:r>
      <w:r w:rsidR="003A0B22" w:rsidRPr="00493E4F">
        <w:fldChar w:fldCharType="end"/>
      </w:r>
      <w:r w:rsidR="00E8193A" w:rsidRPr="00493E4F">
        <w:rPr>
          <w:noProof/>
        </w:rPr>
        <w:t xml:space="preserve"> </w:t>
      </w:r>
      <w:r w:rsidR="00043C64" w:rsidRPr="00493E4F">
        <w:rPr>
          <w:noProof/>
        </w:rPr>
        <w:t>Application</w:t>
      </w:r>
      <w:r w:rsidR="00043C64" w:rsidRPr="00493E4F">
        <w:t xml:space="preserve"> of an O</w:t>
      </w:r>
      <w:r w:rsidR="00137A60" w:rsidRPr="00493E4F">
        <w:t xml:space="preserve">rdinary </w:t>
      </w:r>
      <w:r w:rsidR="00043C64" w:rsidRPr="00493E4F">
        <w:t>L</w:t>
      </w:r>
      <w:r w:rsidR="00137A60" w:rsidRPr="00493E4F">
        <w:t xml:space="preserve">east </w:t>
      </w:r>
      <w:r w:rsidR="00043C64" w:rsidRPr="00493E4F">
        <w:t>S</w:t>
      </w:r>
      <w:r w:rsidR="00137A60" w:rsidRPr="00493E4F">
        <w:t>quare</w:t>
      </w:r>
      <w:r w:rsidR="00B1114E" w:rsidRPr="00493E4F">
        <w:t xml:space="preserve"> (OLS)</w:t>
      </w:r>
      <w:r w:rsidR="009375FB" w:rsidRPr="00493E4F">
        <w:t xml:space="preserve"> </w:t>
      </w:r>
      <w:r w:rsidR="00137A60" w:rsidRPr="00493E4F">
        <w:t xml:space="preserve">estimation method of </w:t>
      </w:r>
      <w:r w:rsidR="00043C64" w:rsidRPr="00493E4F">
        <w:t xml:space="preserve">regression </w:t>
      </w:r>
      <w:r w:rsidR="00137A60" w:rsidRPr="00493E4F">
        <w:t>coefficient</w:t>
      </w:r>
      <w:r w:rsidR="00043C64" w:rsidRPr="00493E4F">
        <w:t xml:space="preserve"> to only part of the sample</w:t>
      </w:r>
      <w:r w:rsidR="00111083" w:rsidRPr="00493E4F">
        <w:t xml:space="preserve"> who spen</w:t>
      </w:r>
      <w:r w:rsidR="00CA3388" w:rsidRPr="00493E4F">
        <w:t>t</w:t>
      </w:r>
      <w:r w:rsidR="00111083" w:rsidRPr="00493E4F">
        <w:t xml:space="preserve"> for healthcare</w:t>
      </w:r>
      <w:r w:rsidR="00043C64" w:rsidRPr="00493E4F">
        <w:t xml:space="preserve"> raise</w:t>
      </w:r>
      <w:r w:rsidR="00347E47" w:rsidRPr="00493E4F">
        <w:t>d</w:t>
      </w:r>
      <w:r w:rsidR="00043C64" w:rsidRPr="00493E4F">
        <w:t xml:space="preserve"> the possibility of sample selection bias</w:t>
      </w:r>
      <w:r w:rsidR="00CA2C7B" w:rsidRPr="00493E4F">
        <w:t>.</w:t>
      </w:r>
      <w:r w:rsidR="003A0B22" w:rsidRPr="00493E4F">
        <w:fldChar w:fldCharType="begin" w:fldLock="1"/>
      </w:r>
      <w:r w:rsidR="00EB716C">
        <w:instrText>ADDIN CSL_CITATION {"citationItems":[{"id":"ITEM-1","itemData":{"ISBN":"0444535926","abstract":"What new theories, evidence, and policies have shaped health economics in the 21st century? Editors Mark Pauly, Thomas McGuire, and Pedro Pita Barros assemble the expertise of leading authorities in this survey of substantive issues. In 16 chapters they cover recent developments in health economics, from medical spending growth to the demand for health care, the markets for pharmaceutical products, the medical workforce, and equity in health and health care. Its global perspective, including an emphasis on low and middle-income countries, will result in the same high citations that made Volume 1 (2000) a foundational text. Presents coherent summaries of major subjects and methodologies, marking important advances and revisions. Serves as a frequently used non-journal reference. Introduces non-economists to the best research in health economics.","author":[{"dropping-particle":"","family":"Jones","given":"A.M.","non-dropping-particle":"","parse-names":false,"suffix":""}],"editor":[{"dropping-particle":"","family":"Culyer","given":"AJ","non-dropping-particle":"","parse-names":false,"suffix":""},{"dropping-particle":"","family":"Newhouse","given":"JP","non-dropping-particle":"","parse-names":false,"suffix":""}],"id":"ITEM-1","issued":{"date-parts":[["2000"]]},"number-of-pages":"265-346","publisher":"Elsevier North-Holland","publisher-place":"Amsterdam","title":"Health Econometrics. In Handbook of Health Economics","type":"book","volume":"6"},"uris":["http://www.mendeley.com/documents/?uuid=3fe9fa96-db70-4070-af56-493b6b2062d3"]}],"mendeley":{"formattedCitation":"&lt;sup&gt;36&lt;/sup&gt;","plainTextFormattedCitation":"36","previouslyFormattedCitation":"&lt;sup&gt;36&lt;/sup&gt;"},"properties":{"noteIndex":0},"schema":"https://github.com/citation-style-language/schema/raw/master/csl-citation.json"}</w:instrText>
      </w:r>
      <w:r w:rsidR="003A0B22" w:rsidRPr="00493E4F">
        <w:fldChar w:fldCharType="separate"/>
      </w:r>
      <w:r w:rsidR="00725B43" w:rsidRPr="00725B43">
        <w:rPr>
          <w:noProof/>
          <w:vertAlign w:val="superscript"/>
        </w:rPr>
        <w:t>36</w:t>
      </w:r>
      <w:r w:rsidR="003A0B22" w:rsidRPr="00493E4F">
        <w:fldChar w:fldCharType="end"/>
      </w:r>
      <w:r w:rsidR="00043C64" w:rsidRPr="00493E4F">
        <w:t xml:space="preserve"> In this case</w:t>
      </w:r>
      <w:r w:rsidR="004F6BE2" w:rsidRPr="00493E4F">
        <w:t>, a</w:t>
      </w:r>
      <w:r w:rsidR="00F139A5" w:rsidRPr="00493E4F">
        <w:t xml:space="preserve"> two-part</w:t>
      </w:r>
      <w:r w:rsidR="00043C64" w:rsidRPr="00493E4F">
        <w:t xml:space="preserve"> regression model </w:t>
      </w:r>
      <w:r w:rsidR="00347E47" w:rsidRPr="00493E4F">
        <w:rPr>
          <w:noProof/>
        </w:rPr>
        <w:t>was</w:t>
      </w:r>
      <w:r w:rsidR="00E8193A" w:rsidRPr="00493E4F">
        <w:rPr>
          <w:noProof/>
        </w:rPr>
        <w:t xml:space="preserve"> </w:t>
      </w:r>
      <w:r w:rsidR="00347E47" w:rsidRPr="00493E4F">
        <w:rPr>
          <w:noProof/>
        </w:rPr>
        <w:t>applied</w:t>
      </w:r>
      <w:r w:rsidR="00CA2C7B" w:rsidRPr="00493E4F">
        <w:rPr>
          <w:noProof/>
        </w:rPr>
        <w:t>.</w:t>
      </w:r>
      <w:r w:rsidR="003A0B22" w:rsidRPr="00493E4F">
        <w:fldChar w:fldCharType="begin" w:fldLock="1"/>
      </w:r>
      <w:r w:rsidR="00EB716C">
        <w:instrText>ADDIN CSL_CITATION {"citationItems":[{"id":"ITEM-1","itemData":{"DOI":"10.1371/journal.pone.0056873","ISSN":"1932-6203","PMID":"23451102","abstract":"BACKGROUND: Bangladesh has a high proportion of households incurring catastrophic health expenditure, and very limited risk sharing mechanisms. Identifying determinants of out-of-pocket (OOP) payments and catastrophic health expenditure may reveal opportunities to reduce costs and protect households from financial risk. OBJECTIVE: This study investigates the determinants of high healthcare expenditure and healthcare- related financial catastrophe. METHODS: A cross-sectional household survey was conducted in Rajshahi city, Bangladesh, in 2011. Catastrophic health expenditure was estimated separately based on capacity to pay and proportion of non-food expenditure. Determinants of OOP payments and financial catastrophe were estimated using double hurdle and Poisson regression models respectively. RESULTS: On average households spent 11% of their total budgets on health, half the residents spent 7% of the monthly per capita consumption expenditure for one illness, and nearly 9% of households faced financial catastrophe. The poorest households spent less on health but had a four times higher risk of catastrophe than the richest households. The risk of financial catastrophe and the level of OOP payments were higher for users of inpatient, outpatient public and private facilities respectively compared to using self-medication or traditional healers. Other determinants of OOP payments and catastrophic expenses were economic status, presence of chronic illness in the household, and illness among children and adults. CONCLUSION: Households that received inpatient or outpatient private care experienced the highest burden of health expenditure. The poorest members of the community also face large, often catastrophic expenses. Chronic illness management is crucial to reducing the total burden of disease in a household and its associated increased risk of level of OOP payments and catastrophic expenses. Households can only be protected from these situations by reducing the health system's dependency on OOP payments and providing more financial risk protection.","author":[{"dropping-particle":"","family":"Rahman","given":"Md Mizanur","non-dropping-particle":"","parse-names":false,"suffix":""},{"dropping-particle":"","family":"Gilmour","given":"Stuart","non-dropping-particle":"","parse-names":false,"suffix":""},{"dropping-particle":"","family":"Saito","given":"Eiko","non-dropping-particle":"","parse-names":false,"suffix":""},{"dropping-particle":"","family":"Sultana","given":"Papia","non-dropping-particle":"","parse-names":false,"suffix":""},{"dropping-particle":"","family":"Shibuya","given":"Kenji","non-dropping-particle":"","parse-names":false,"suffix":""}],"container-title":"PloS one","id":"ITEM-1","issue":"2","issued":{"date-parts":[["2013","1"]]},"page":"e56873","title":"Health-related financial catastrophe, inequality and chronic illness in Bangladesh.","type":"article-journal","volume":"8"},"uris":["http://www.mendeley.com/documents/?uuid=4f218b04-a00f-4154-8a29-6814e5c16098"]},{"id":"ITEM-2","itemData":{"DOI":"10.1002/hec.1471","ISSN":"1099-1050","PMID":"19405046","abstract":"Several papers in the leading health economics journals modeled the determinants of healthcare expenditure using household survey or family budgets data of developed countries. Past work largely used self-reported current income as the core determinant, whereas the theoretically correct concept of household resource constraint is permanent or long-run income (á lá Milton Friedman). This paper strives to rectify the theoretical oversight of using current income by augmenting the model with household asset. Using longitudinal data, we constructed 'wealth index' as a distinct covariate to capture the households' tendency to liquidate assets when defraying necessary healthcare liabilities after exhausting cash incomes. (Current income and assets together capture the household expanded resource base). Using 98 632 household observations from Thailand Socio-Economic Surveys (1994-2000 biennial data cycles) we found, using a double-hurdle model with dependent errors, that out-of-pocket healthcare spending behaves as a technical necessity across income quintiles and household sizes. Pre-1997 economic shock income elasticities are smaller than the post-shock estimates across income quintiles for large and small households. Proximity to death, median age, and assets are also among other significant determinants. Our novel findings extend the theoretical consistency of a multi-level decision model in household healthcare expenditure in the developing Asian country context.","author":[{"dropping-particle":"","family":"Okunade","given":"Albert A","non-dropping-particle":"","parse-names":false,"suffix":""},{"dropping-particle":"","family":"Suraratdecha","given":"Chutima","non-dropping-particle":"","parse-names":false,"suffix":""},{"dropping-particle":"","family":"Benson","given":"David A","non-dropping-particle":"","parse-names":false,"suffix":""}],"container-title":"Health economics","id":"ITEM-2","issue":"3","issued":{"date-parts":[["2010","3"]]},"page":"365-76","title":"Determinants of Thailand household healthcare expenditure: the relevance of permanent resources and other correlates.","type":"article-journal","volume":"19"},"uris":["http://www.mendeley.com/documents/?uuid=3a144c7d-b7a4-4975-98d1-505c048cd8fe"]}],"mendeley":{"formattedCitation":"&lt;sup&gt;34,37&lt;/sup&gt;","plainTextFormattedCitation":"34,37","previouslyFormattedCitation":"&lt;sup&gt;34,37&lt;/sup&gt;"},"properties":{"noteIndex":0},"schema":"https://github.com/citation-style-language/schema/raw/master/csl-citation.json"}</w:instrText>
      </w:r>
      <w:r w:rsidR="003A0B22" w:rsidRPr="00493E4F">
        <w:fldChar w:fldCharType="separate"/>
      </w:r>
      <w:r w:rsidR="00725B43" w:rsidRPr="00725B43">
        <w:rPr>
          <w:noProof/>
          <w:vertAlign w:val="superscript"/>
        </w:rPr>
        <w:t>34,37</w:t>
      </w:r>
      <w:r w:rsidR="003A0B22" w:rsidRPr="00493E4F">
        <w:fldChar w:fldCharType="end"/>
      </w:r>
      <w:r w:rsidR="00E8193A" w:rsidRPr="00493E4F">
        <w:rPr>
          <w:noProof/>
        </w:rPr>
        <w:t xml:space="preserve"> </w:t>
      </w:r>
      <w:r w:rsidR="00043C64" w:rsidRPr="00493E4F">
        <w:rPr>
          <w:noProof/>
        </w:rPr>
        <w:t>The</w:t>
      </w:r>
      <w:r w:rsidR="00043C64" w:rsidRPr="00493E4F">
        <w:t xml:space="preserve"> first </w:t>
      </w:r>
      <w:r w:rsidR="00F139A5" w:rsidRPr="00493E4F">
        <w:rPr>
          <w:noProof/>
        </w:rPr>
        <w:t>part</w:t>
      </w:r>
      <w:r w:rsidR="00E8193A" w:rsidRPr="00493E4F">
        <w:rPr>
          <w:noProof/>
        </w:rPr>
        <w:t xml:space="preserve"> </w:t>
      </w:r>
      <w:r w:rsidR="00043C64" w:rsidRPr="00493E4F">
        <w:rPr>
          <w:noProof/>
        </w:rPr>
        <w:t>involve</w:t>
      </w:r>
      <w:r w:rsidR="00347E47" w:rsidRPr="00493E4F">
        <w:rPr>
          <w:noProof/>
        </w:rPr>
        <w:t>d</w:t>
      </w:r>
      <w:r w:rsidR="00043C64" w:rsidRPr="00493E4F">
        <w:t xml:space="preserve"> the </w:t>
      </w:r>
      <w:r w:rsidR="007C4266" w:rsidRPr="00493E4F">
        <w:t xml:space="preserve">likelihood </w:t>
      </w:r>
      <w:r w:rsidR="00347E47" w:rsidRPr="00493E4F">
        <w:t>of incurring any healthcare cost</w:t>
      </w:r>
      <w:r w:rsidR="006D1A07" w:rsidRPr="00493E4F">
        <w:t>s</w:t>
      </w:r>
      <w:r w:rsidR="00CA3388" w:rsidRPr="00493E4F">
        <w:t xml:space="preserve">, where 0 and 1 meant ‘no cost’ and ‘any cost’ respectively. </w:t>
      </w:r>
      <w:r w:rsidR="001D1537" w:rsidRPr="00493E4F">
        <w:rPr>
          <w:noProof/>
        </w:rPr>
        <w:t>This</w:t>
      </w:r>
      <w:r w:rsidR="00E8193A" w:rsidRPr="00493E4F">
        <w:rPr>
          <w:noProof/>
        </w:rPr>
        <w:t xml:space="preserve"> </w:t>
      </w:r>
      <w:r w:rsidR="00347E47" w:rsidRPr="00493E4F">
        <w:rPr>
          <w:noProof/>
        </w:rPr>
        <w:t>wa</w:t>
      </w:r>
      <w:r w:rsidR="00043C64" w:rsidRPr="00493E4F">
        <w:rPr>
          <w:noProof/>
        </w:rPr>
        <w:t xml:space="preserve">s </w:t>
      </w:r>
      <w:r w:rsidR="00CA3388" w:rsidRPr="00493E4F">
        <w:rPr>
          <w:noProof/>
        </w:rPr>
        <w:t>incorporated</w:t>
      </w:r>
      <w:r w:rsidR="00E8193A" w:rsidRPr="00493E4F">
        <w:rPr>
          <w:noProof/>
        </w:rPr>
        <w:t xml:space="preserve"> </w:t>
      </w:r>
      <w:r w:rsidR="00043C64" w:rsidRPr="00493E4F">
        <w:rPr>
          <w:noProof/>
        </w:rPr>
        <w:t>in</w:t>
      </w:r>
      <w:r w:rsidR="00043C64" w:rsidRPr="00493E4F">
        <w:t xml:space="preserve"> the </w:t>
      </w:r>
      <w:r w:rsidR="00F139A5" w:rsidRPr="00493E4F">
        <w:t xml:space="preserve">two-part </w:t>
      </w:r>
      <w:r w:rsidR="00043C64" w:rsidRPr="00493E4F">
        <w:t xml:space="preserve">model with a </w:t>
      </w:r>
      <w:r w:rsidR="00F139A5" w:rsidRPr="00493E4F">
        <w:rPr>
          <w:noProof/>
        </w:rPr>
        <w:t>logit</w:t>
      </w:r>
      <w:r w:rsidR="00E8193A" w:rsidRPr="00493E4F">
        <w:rPr>
          <w:noProof/>
        </w:rPr>
        <w:t xml:space="preserve"> </w:t>
      </w:r>
      <w:r w:rsidR="00043C64" w:rsidRPr="00493E4F">
        <w:rPr>
          <w:noProof/>
        </w:rPr>
        <w:t>function</w:t>
      </w:r>
      <w:r w:rsidR="00043C64" w:rsidRPr="00493E4F">
        <w:t>.</w:t>
      </w:r>
      <w:r w:rsidR="00794A8D" w:rsidRPr="00493E4F">
        <w:t xml:space="preserve"> </w:t>
      </w:r>
      <w:r w:rsidR="00043C64" w:rsidRPr="00493E4F">
        <w:t xml:space="preserve">The second </w:t>
      </w:r>
      <w:r w:rsidR="00F139A5" w:rsidRPr="00493E4F">
        <w:t xml:space="preserve">part </w:t>
      </w:r>
      <w:r w:rsidR="00CA3388" w:rsidRPr="00493E4F">
        <w:t>considered</w:t>
      </w:r>
      <w:r w:rsidR="00794A8D" w:rsidRPr="00493E4F">
        <w:t xml:space="preserve"> </w:t>
      </w:r>
      <w:r w:rsidR="00043C64" w:rsidRPr="00493E4F">
        <w:t xml:space="preserve">the magnitude of OOP </w:t>
      </w:r>
      <w:r w:rsidR="00682F2C" w:rsidRPr="00493E4F">
        <w:t xml:space="preserve">healthcare </w:t>
      </w:r>
      <w:r w:rsidR="00043C64" w:rsidRPr="00493E4F">
        <w:t>payments</w:t>
      </w:r>
      <w:r w:rsidR="00043C64" w:rsidRPr="00493E4F">
        <w:rPr>
          <w:noProof/>
        </w:rPr>
        <w:t>.</w:t>
      </w:r>
      <w:r w:rsidR="00E8193A" w:rsidRPr="00493E4F">
        <w:rPr>
          <w:noProof/>
        </w:rPr>
        <w:t xml:space="preserve"> </w:t>
      </w:r>
      <w:r w:rsidR="00043C64" w:rsidRPr="00493E4F">
        <w:rPr>
          <w:noProof/>
        </w:rPr>
        <w:t>A</w:t>
      </w:r>
      <w:r w:rsidR="00347E47" w:rsidRPr="00493E4F">
        <w:rPr>
          <w:noProof/>
        </w:rPr>
        <w:t>n</w:t>
      </w:r>
      <w:r w:rsidR="00C378FE" w:rsidRPr="00493E4F">
        <w:rPr>
          <w:noProof/>
        </w:rPr>
        <w:t xml:space="preserve"> </w:t>
      </w:r>
      <w:r w:rsidR="007C4266" w:rsidRPr="00493E4F">
        <w:rPr>
          <w:noProof/>
        </w:rPr>
        <w:t>ordinary</w:t>
      </w:r>
      <w:r w:rsidR="007C4266" w:rsidRPr="00493E4F">
        <w:t xml:space="preserve"> least square</w:t>
      </w:r>
      <w:r w:rsidR="00794A8D" w:rsidRPr="00493E4F">
        <w:t xml:space="preserve"> </w:t>
      </w:r>
      <w:r w:rsidR="00043C64" w:rsidRPr="00493E4F">
        <w:t>function</w:t>
      </w:r>
      <w:r w:rsidR="00794A8D" w:rsidRPr="00493E4F">
        <w:t xml:space="preserve"> </w:t>
      </w:r>
      <w:r w:rsidR="00BD64F0" w:rsidRPr="00493E4F">
        <w:t>wa</w:t>
      </w:r>
      <w:r w:rsidR="00043C64" w:rsidRPr="00493E4F">
        <w:t xml:space="preserve">s used to model it with the consumption decision. Thus </w:t>
      </w:r>
      <w:r w:rsidR="009A11A3" w:rsidRPr="00493E4F">
        <w:t>the two-part</w:t>
      </w:r>
      <w:r w:rsidR="00043C64" w:rsidRPr="00493E4F">
        <w:t xml:space="preserve"> model use</w:t>
      </w:r>
      <w:r w:rsidR="001D12B6" w:rsidRPr="00493E4F">
        <w:t>d information on both the probability and magnitude of OOP payments for healthcare simultaneously in assessing predictors like enrolment in CBHI scheme along with other covariates</w:t>
      </w:r>
      <w:r w:rsidR="00CA2C7B" w:rsidRPr="00493E4F">
        <w:t>.</w:t>
      </w:r>
      <w:r w:rsidR="003A0B22" w:rsidRPr="00493E4F">
        <w:fldChar w:fldCharType="begin" w:fldLock="1"/>
      </w:r>
      <w:r w:rsidR="00EB716C">
        <w:instrText>ADDIN CSL_CITATION {"citationItems":[{"id":"ITEM-1","itemData":{"author":[{"dropping-particle":"","family":"Cragg","given":"JG","non-dropping-particle":"","parse-names":false,"suffix":""}],"container-title":"Econometrica: Journal of the Econometric Society","id":"ITEM-1","issue":"5","issued":{"date-parts":[["1971"]]},"page":"829-844","title":"Some statistical models for limited dependent variables with application to the demand for durable goods","type":"article-journal","volume":"39"},"uris":["http://www.mendeley.com/documents/?uuid=cb5c180d-0db8-4c0f-950e-fd1a40880365"]},{"id":"ITEM-2","itemData":{"author":[{"dropping-particle":"","family":"O'Donnell","given":"O","non-dropping-particle":"","parse-names":false,"suffix":""},{"dropping-particle":"","family":"Doorslaer","given":"E","non-dropping-particle":"van","parse-names":false,"suffix":""},{"dropping-particle":"","family":"Wagstaff","given":"A","non-dropping-particle":"","parse-names":false,"suffix":""},{"dropping-particle":"","family":"Lindelow","given":"M","non-dropping-particle":"","parse-names":false,"suffix":""}],"id":"ITEM-2","issued":{"date-parts":[["2008"]]},"publisher":"The World Bank","publisher-place":"Washington DC","title":"Analyzing health equity using household survey data: A guide to techniques and their implementation","type":"book"},"uris":["http://www.mendeley.com/documents/?uuid=966a8384-1f9c-43e2-b0ca-6a8e8d0cf74a"]}],"mendeley":{"formattedCitation":"&lt;sup&gt;28,38&lt;/sup&gt;","plainTextFormattedCitation":"28,38","previouslyFormattedCitation":"&lt;sup&gt;29,38&lt;/sup&gt;"},"properties":{"noteIndex":0},"schema":"https://github.com/citation-style-language/schema/raw/master/csl-citation.json"}</w:instrText>
      </w:r>
      <w:r w:rsidR="003A0B22" w:rsidRPr="00493E4F">
        <w:fldChar w:fldCharType="separate"/>
      </w:r>
      <w:r w:rsidR="00EB716C" w:rsidRPr="00EB716C">
        <w:rPr>
          <w:noProof/>
          <w:vertAlign w:val="superscript"/>
        </w:rPr>
        <w:t>28,38</w:t>
      </w:r>
      <w:r w:rsidR="003A0B22" w:rsidRPr="00493E4F">
        <w:fldChar w:fldCharType="end"/>
      </w:r>
      <w:r w:rsidR="00CA2C7B" w:rsidRPr="00493E4F">
        <w:t xml:space="preserve"> </w:t>
      </w:r>
      <w:r w:rsidR="00CA3388" w:rsidRPr="00493E4F">
        <w:t>In sum, t</w:t>
      </w:r>
      <w:r w:rsidR="00043C64" w:rsidRPr="00493E4F">
        <w:t>he dependent</w:t>
      </w:r>
      <w:r w:rsidR="00BD64F0" w:rsidRPr="00493E4F">
        <w:t xml:space="preserve"> variable for the </w:t>
      </w:r>
      <w:r w:rsidR="007C4266" w:rsidRPr="00493E4F">
        <w:t xml:space="preserve">logit </w:t>
      </w:r>
      <w:r w:rsidR="00BD64F0" w:rsidRPr="00493E4F">
        <w:t>model wa</w:t>
      </w:r>
      <w:r w:rsidR="00043C64" w:rsidRPr="00493E4F">
        <w:t>s a dichotomous variable that indicate</w:t>
      </w:r>
      <w:r w:rsidR="00CA3388" w:rsidRPr="00493E4F">
        <w:t>d</w:t>
      </w:r>
      <w:r w:rsidR="00043C64" w:rsidRPr="00493E4F">
        <w:t xml:space="preserve"> whether OOP expenses were incurred (the participation decision). The </w:t>
      </w:r>
      <w:r w:rsidR="007C4266" w:rsidRPr="00493E4F">
        <w:t xml:space="preserve"> ordinary least square </w:t>
      </w:r>
      <w:r w:rsidR="00043C64" w:rsidRPr="00493E4F">
        <w:t>regression model analyse</w:t>
      </w:r>
      <w:r w:rsidR="00BD64F0" w:rsidRPr="00493E4F">
        <w:t>d</w:t>
      </w:r>
      <w:r w:rsidR="00043C64" w:rsidRPr="00493E4F">
        <w:t xml:space="preserve"> the natural logarithm of OOP payments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oMath>
      <w:r w:rsidR="00043C64" w:rsidRPr="00493E4F">
        <w:t>) as a function of the covariates</w:t>
      </w:r>
      <w:r w:rsidR="00CA2C7B" w:rsidRPr="00493E4F">
        <w:t>.</w:t>
      </w:r>
      <w:r w:rsidR="003A0B22" w:rsidRPr="00493E4F">
        <w:fldChar w:fldCharType="begin" w:fldLock="1"/>
      </w:r>
      <w:r w:rsidR="00EB716C">
        <w:instrText>ADDIN CSL_CITATION {"citationItems":[{"id":"ITEM-1","itemData":{"DOI":"10.1371/journal.pone.0056873","ISSN":"1932-6203","PMID":"23451102","abstract":"BACKGROUND: Bangladesh has a high proportion of households incurring catastrophic health expenditure, and very limited risk sharing mechanisms. Identifying determinants of out-of-pocket (OOP) payments and catastrophic health expenditure may reveal opportunities to reduce costs and protect households from financial risk. OBJECTIVE: This study investigates the determinants of high healthcare expenditure and healthcare- related financial catastrophe. METHODS: A cross-sectional household survey was conducted in Rajshahi city, Bangladesh, in 2011. Catastrophic health expenditure was estimated separately based on capacity to pay and proportion of non-food expenditure. Determinants of OOP payments and financial catastrophe were estimated using double hurdle and Poisson regression models respectively. RESULTS: On average households spent 11% of their total budgets on health, half the residents spent 7% of the monthly per capita consumption expenditure for one illness, and nearly 9% of households faced financial catastrophe. The poorest households spent less on health but had a four times higher risk of catastrophe than the richest households. The risk of financial catastrophe and the level of OOP payments were higher for users of inpatient, outpatient public and private facilities respectively compared to using self-medication or traditional healers. Other determinants of OOP payments and catastrophic expenses were economic status, presence of chronic illness in the household, and illness among children and adults. CONCLUSION: Households that received inpatient or outpatient private care experienced the highest burden of health expenditure. The poorest members of the community also face large, often catastrophic expenses. Chronic illness management is crucial to reducing the total burden of disease in a household and its associated increased risk of level of OOP payments and catastrophic expenses. Households can only be protected from these situations by reducing the health system's dependency on OOP payments and providing more financial risk protection.","author":[{"dropping-particle":"","family":"Rahman","given":"Md Mizanur","non-dropping-particle":"","parse-names":false,"suffix":""},{"dropping-particle":"","family":"Gilmour","given":"Stuart","non-dropping-particle":"","parse-names":false,"suffix":""},{"dropping-particle":"","family":"Saito","given":"Eiko","non-dropping-particle":"","parse-names":false,"suffix":""},{"dropping-particle":"","family":"Sultana","given":"Papia","non-dropping-particle":"","parse-names":false,"suffix":""},{"dropping-particle":"","family":"Shibuya","given":"Kenji","non-dropping-particle":"","parse-names":false,"suffix":""}],"container-title":"PloS one","id":"ITEM-1","issue":"2","issued":{"date-parts":[["2013","1"]]},"page":"e56873","title":"Health-related financial catastrophe, inequality and chronic illness in Bangladesh.","type":"article-journal","volume":"8"},"uris":["http://www.mendeley.com/documents/?uuid=4f218b04-a00f-4154-8a29-6814e5c16098"]}],"mendeley":{"formattedCitation":"&lt;sup&gt;37&lt;/sup&gt;","plainTextFormattedCitation":"37","previouslyFormattedCitation":"&lt;sup&gt;37&lt;/sup&gt;"},"properties":{"noteIndex":0},"schema":"https://github.com/citation-style-language/schema/raw/master/csl-citation.json"}</w:instrText>
      </w:r>
      <w:r w:rsidR="003A0B22" w:rsidRPr="00493E4F">
        <w:fldChar w:fldCharType="separate"/>
      </w:r>
      <w:r w:rsidR="00725B43" w:rsidRPr="00725B43">
        <w:rPr>
          <w:noProof/>
          <w:vertAlign w:val="superscript"/>
        </w:rPr>
        <w:t>37</w:t>
      </w:r>
      <w:r w:rsidR="003A0B22" w:rsidRPr="00493E4F">
        <w:fldChar w:fldCharType="end"/>
      </w:r>
      <w:r w:rsidR="00043C64" w:rsidRPr="00493E4F">
        <w:t xml:space="preserve"> </w:t>
      </w:r>
      <w:r w:rsidR="00CA3388" w:rsidRPr="00493E4F">
        <w:t xml:space="preserve">In addition to our </w:t>
      </w:r>
      <w:r w:rsidR="00182DCA" w:rsidRPr="00493E4F">
        <w:t xml:space="preserve">main variable of interest, </w:t>
      </w:r>
      <w:r w:rsidR="00CA3388" w:rsidRPr="00493E4F">
        <w:t>i.e</w:t>
      </w:r>
      <w:r w:rsidR="009375FB" w:rsidRPr="00493E4F">
        <w:t>.</w:t>
      </w:r>
      <w:r w:rsidR="00CA3388" w:rsidRPr="00493E4F">
        <w:t xml:space="preserve"> </w:t>
      </w:r>
      <w:r w:rsidR="00182DCA" w:rsidRPr="00493E4F">
        <w:t xml:space="preserve">‘membership of the CBHI scheme’, several control variables like, </w:t>
      </w:r>
      <w:r w:rsidR="00C12503" w:rsidRPr="00493E4F">
        <w:t>asset quintiles</w:t>
      </w:r>
      <w:r w:rsidR="00182DCA" w:rsidRPr="00493E4F">
        <w:t xml:space="preserve">, education, household composition, healthcare utilization, geographic location and health condition were </w:t>
      </w:r>
      <w:r w:rsidR="00CA3388" w:rsidRPr="00493E4F">
        <w:t>include</w:t>
      </w:r>
      <w:r w:rsidR="00182DCA" w:rsidRPr="00493E4F">
        <w:t>d as control variables in the regression model.</w:t>
      </w:r>
      <w:r w:rsidR="00B62330" w:rsidRPr="00493E4F">
        <w:t xml:space="preserve"> Let consider </w:t>
      </w:r>
      <w:r w:rsidR="00E17E61" w:rsidRPr="00493E4F">
        <w:t>Y</w:t>
      </w:r>
      <w:r w:rsidR="00E17E61" w:rsidRPr="00493E4F">
        <w:rPr>
          <w:vertAlign w:val="subscript"/>
        </w:rPr>
        <w:t>i</w:t>
      </w:r>
      <w:r w:rsidR="00E17E61" w:rsidRPr="00493E4F">
        <w:t xml:space="preserve"> is the </w:t>
      </w:r>
      <w:r w:rsidR="006C7328" w:rsidRPr="00493E4F">
        <w:t>semi-continuous</w:t>
      </w:r>
      <w:r w:rsidR="00E17E61" w:rsidRPr="00493E4F">
        <w:t xml:space="preserve"> </w:t>
      </w:r>
      <w:r w:rsidR="008C0C1E" w:rsidRPr="00493E4F">
        <w:t>OOP</w:t>
      </w:r>
      <w:r w:rsidR="00E17E61" w:rsidRPr="00493E4F">
        <w:t xml:space="preserve"> payment</w:t>
      </w:r>
      <w:r w:rsidR="009C2389" w:rsidRPr="00493E4F">
        <w:t xml:space="preserve"> variable</w:t>
      </w:r>
      <w:r w:rsidR="00E17E61" w:rsidRPr="00493E4F">
        <w:t>.</w:t>
      </w:r>
      <w:r w:rsidR="001D560F" w:rsidRPr="00493E4F">
        <w:t xml:space="preserve"> The</w:t>
      </w:r>
      <w:r w:rsidR="00E8193A" w:rsidRPr="00493E4F">
        <w:t xml:space="preserve"> </w:t>
      </w:r>
      <w:r w:rsidR="001D560F" w:rsidRPr="00493E4F">
        <w:rPr>
          <w:rFonts w:eastAsiaTheme="minorEastAsia"/>
        </w:rPr>
        <w:t>o</w:t>
      </w:r>
      <w:r w:rsidR="00E17E61" w:rsidRPr="00493E4F">
        <w:rPr>
          <w:rFonts w:eastAsiaTheme="minorEastAsia"/>
        </w:rPr>
        <w:t xml:space="preserve">bserved OOP payments </w:t>
      </w:r>
      <w:r w:rsidR="001D560F" w:rsidRPr="00493E4F">
        <w:rPr>
          <w:rFonts w:eastAsiaTheme="minorEastAsia"/>
        </w:rPr>
        <w:t xml:space="preserve">can be presented by two variables. </w:t>
      </w:r>
      <w:r w:rsidR="00BF0454" w:rsidRPr="00493E4F">
        <w:rPr>
          <w:rFonts w:eastAsiaTheme="minorEastAsia"/>
        </w:rPr>
        <w:t>Firstly,</w:t>
      </w:r>
      <w:r w:rsidR="001D560F" w:rsidRPr="00493E4F">
        <w:rPr>
          <w:rFonts w:eastAsiaTheme="minorEastAsia"/>
        </w:rPr>
        <w:t xml:space="preserve"> the </w:t>
      </w:r>
      <w:r w:rsidR="00B47209" w:rsidRPr="00493E4F">
        <w:rPr>
          <w:rFonts w:eastAsiaTheme="minorEastAsia"/>
        </w:rPr>
        <w:t>occurrence</w:t>
      </w:r>
      <w:r w:rsidR="00BF0454" w:rsidRPr="00493E4F">
        <w:rPr>
          <w:rFonts w:eastAsiaTheme="minorEastAsia"/>
        </w:rPr>
        <w:t xml:space="preserve"> of </w:t>
      </w:r>
      <w:r w:rsidR="00CA1C91" w:rsidRPr="00493E4F">
        <w:rPr>
          <w:rFonts w:eastAsiaTheme="minorEastAsia"/>
        </w:rPr>
        <w:t>OOP</w:t>
      </w:r>
      <w:r w:rsidR="00BF0454" w:rsidRPr="00493E4F">
        <w:rPr>
          <w:rFonts w:eastAsiaTheme="minorEastAsia"/>
        </w:rPr>
        <w:t xml:space="preserve"> payments</w:t>
      </w:r>
      <w:r w:rsidR="001D560F" w:rsidRPr="00493E4F">
        <w:rPr>
          <w:rFonts w:eastAsiaTheme="minorEastAsia"/>
        </w:rPr>
        <w:t xml:space="preserve"> </w:t>
      </w:r>
      <w:r w:rsidR="00BF0454" w:rsidRPr="00493E4F">
        <w:rPr>
          <w:rFonts w:eastAsiaTheme="minorEastAsia"/>
          <w:noProof/>
        </w:rPr>
        <w:t>will</w:t>
      </w:r>
      <w:r w:rsidR="001D560F" w:rsidRPr="00493E4F">
        <w:rPr>
          <w:rFonts w:eastAsiaTheme="minorEastAsia"/>
          <w:noProof/>
        </w:rPr>
        <w:t xml:space="preserve"> be</w:t>
      </w:r>
      <w:r w:rsidR="00BF0454" w:rsidRPr="00493E4F">
        <w:rPr>
          <w:rFonts w:eastAsiaTheme="minorEastAsia"/>
          <w:noProof/>
        </w:rPr>
        <w:t xml:space="preserve"> a dummy variable</w:t>
      </w:r>
      <w:r w:rsidR="001D560F" w:rsidRPr="00493E4F">
        <w:rPr>
          <w:rFonts w:eastAsiaTheme="minorEastAsia"/>
        </w:rPr>
        <w:t>as below</w:t>
      </w:r>
      <w:r w:rsidR="00E17E61" w:rsidRPr="00493E4F">
        <w:rPr>
          <w:rFonts w:eastAsiaTheme="minorEastAsia"/>
        </w:rPr>
        <w:t>,</w:t>
      </w:r>
    </w:p>
    <w:p w14:paraId="397114F2" w14:textId="75A14D41" w:rsidR="00E17E61" w:rsidRPr="00493E4F" w:rsidRDefault="00CA2C01" w:rsidP="007F3FB8">
      <w:pPr>
        <w:tabs>
          <w:tab w:val="left" w:pos="3969"/>
        </w:tabs>
        <w:spacing w:before="120" w:line="480" w:lineRule="auto"/>
        <w:jc w:val="center"/>
        <w:rPr>
          <w:rFonts w:eastAsiaTheme="minorEastAsia"/>
        </w:rPr>
      </w:pP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1i</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eastAsiaTheme="minorEastAsia" w:hAnsi="Cambria Math"/>
                  </w:rPr>
                  <m:t>1</m:t>
                </m:r>
                <m:r>
                  <w:rPr>
                    <w:rFonts w:ascii="Cambria Math" w:hAnsi="Cambria Math"/>
                  </w:rPr>
                  <m:t xml:space="preserve">           if</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r>
                  <w:rPr>
                    <w:rFonts w:ascii="Cambria Math" w:hAnsi="Cambria Math"/>
                  </w:rPr>
                  <m:t>&gt;0</m:t>
                </m:r>
              </m:e>
              <m:e>
                <m:r>
                  <w:rPr>
                    <w:rFonts w:ascii="Cambria Math" w:eastAsiaTheme="minorEastAsia" w:hAnsi="Cambria Math"/>
                  </w:rPr>
                  <m:t>0</m:t>
                </m:r>
                <m:r>
                  <w:rPr>
                    <w:rFonts w:ascii="Cambria Math" w:hAnsi="Cambria Math"/>
                  </w:rPr>
                  <m:t>,              otherwise</m:t>
                </m:r>
              </m:e>
            </m:eqArr>
          </m:e>
        </m:d>
      </m:oMath>
      <w:r w:rsidR="00E17E61" w:rsidRPr="00493E4F">
        <w:rPr>
          <w:rFonts w:eastAsiaTheme="minorEastAsia"/>
        </w:rPr>
        <w:t>…(I)</w:t>
      </w:r>
    </w:p>
    <w:p w14:paraId="02392E85" w14:textId="4C37AB5A" w:rsidR="00CE1339" w:rsidRPr="00493E4F" w:rsidRDefault="00B47209" w:rsidP="00D724FB">
      <w:pPr>
        <w:spacing w:before="120" w:line="480" w:lineRule="auto"/>
        <w:jc w:val="both"/>
      </w:pPr>
      <w:r w:rsidRPr="00493E4F">
        <w:t>An</w:t>
      </w:r>
      <w:r w:rsidR="00BF0454" w:rsidRPr="00493E4F">
        <w:t>d</w:t>
      </w:r>
      <w:r w:rsidRPr="00493E4F">
        <w:t xml:space="preserve"> the</w:t>
      </w:r>
      <w:r w:rsidR="00CA1C91" w:rsidRPr="00493E4F">
        <w:t xml:space="preserve"> magnitude of OOP payment</w:t>
      </w:r>
      <w:r w:rsidRPr="00493E4F">
        <w:t xml:space="preserve"> variable</w:t>
      </w:r>
      <w:r w:rsidR="00111BB8" w:rsidRPr="00493E4F">
        <w:t xml:space="preserve"> (Y</w:t>
      </w:r>
      <w:r w:rsidR="00111BB8" w:rsidRPr="00493E4F">
        <w:rPr>
          <w:vertAlign w:val="subscript"/>
        </w:rPr>
        <w:t>2i</w:t>
      </w:r>
      <w:r w:rsidR="00111BB8" w:rsidRPr="00493E4F">
        <w:t>)</w:t>
      </w:r>
      <w:r w:rsidR="008673EB" w:rsidRPr="00493E4F">
        <w:t xml:space="preserve"> will be approximately normally distributed</w:t>
      </w:r>
      <w:r w:rsidR="007858B9" w:rsidRPr="00493E4F">
        <w:t xml:space="preserve"> which will be subset of </w:t>
      </w:r>
      <w:r w:rsidR="00DB1720" w:rsidRPr="00493E4F">
        <w:t>the OOP payment variable (Y</w:t>
      </w:r>
      <w:r w:rsidR="00DB1720" w:rsidRPr="00493E4F">
        <w:rPr>
          <w:vertAlign w:val="subscript"/>
        </w:rPr>
        <w:t>i</w:t>
      </w:r>
      <w:r w:rsidR="00DB1720" w:rsidRPr="00493E4F">
        <w:t xml:space="preserve">) </w:t>
      </w:r>
      <w:r w:rsidR="00CE1339" w:rsidRPr="00493E4F">
        <w:t>where Y</w:t>
      </w:r>
      <w:r w:rsidR="00CE1339" w:rsidRPr="00493E4F">
        <w:rPr>
          <w:vertAlign w:val="subscript"/>
        </w:rPr>
        <w:t>i</w:t>
      </w:r>
      <w:r w:rsidR="00CE1339" w:rsidRPr="00493E4F">
        <w:t xml:space="preserve"> &gt;0</w:t>
      </w:r>
      <w:r w:rsidR="008673EB" w:rsidRPr="00493E4F">
        <w:t>.</w:t>
      </w:r>
      <w:r w:rsidR="000918E5" w:rsidRPr="00493E4F">
        <w:t xml:space="preserve"> </w:t>
      </w:r>
      <w:r w:rsidR="009D7BE9" w:rsidRPr="00493E4F">
        <w:t xml:space="preserve">In </w:t>
      </w:r>
      <w:r w:rsidR="00A078C3" w:rsidRPr="00493E4F">
        <w:t>two-</w:t>
      </w:r>
      <w:r w:rsidR="009D7BE9" w:rsidRPr="00493E4F">
        <w:t>part model, w</w:t>
      </w:r>
      <w:r w:rsidR="00111BB8" w:rsidRPr="00493E4F">
        <w:t>e are inte</w:t>
      </w:r>
      <w:r w:rsidR="009D7BE9" w:rsidRPr="00493E4F">
        <w:t>rested</w:t>
      </w:r>
      <w:r w:rsidR="00967127" w:rsidRPr="00493E4F">
        <w:t xml:space="preserve"> in both the distribution of occurrence variable (Y</w:t>
      </w:r>
      <w:r w:rsidR="00967127" w:rsidRPr="00493E4F">
        <w:rPr>
          <w:vertAlign w:val="subscript"/>
        </w:rPr>
        <w:t>1i</w:t>
      </w:r>
      <w:r w:rsidR="00967127" w:rsidRPr="00493E4F">
        <w:t>) and magnitude variable</w:t>
      </w:r>
      <w:r w:rsidR="00A078C3" w:rsidRPr="00493E4F">
        <w:t xml:space="preserve"> (Y</w:t>
      </w:r>
      <w:r w:rsidR="00A078C3" w:rsidRPr="00493E4F">
        <w:rPr>
          <w:vertAlign w:val="subscript"/>
        </w:rPr>
        <w:t>2i</w:t>
      </w:r>
      <w:r w:rsidR="00A078C3" w:rsidRPr="00493E4F">
        <w:t xml:space="preserve">) given that </w:t>
      </w:r>
      <w:r w:rsidR="009C2389" w:rsidRPr="00493E4F">
        <w:t>Y</w:t>
      </w:r>
      <w:r w:rsidR="009C2389" w:rsidRPr="00493E4F">
        <w:rPr>
          <w:vertAlign w:val="subscript"/>
        </w:rPr>
        <w:t>i</w:t>
      </w:r>
      <w:r w:rsidR="009C2389" w:rsidRPr="00493E4F">
        <w:t xml:space="preserve"> &gt;0. </w:t>
      </w:r>
      <w:r w:rsidR="003D7650" w:rsidRPr="00493E4F">
        <w:t>Therefore</w:t>
      </w:r>
      <w:r w:rsidR="007D7B27" w:rsidRPr="00493E4F">
        <w:t>,</w:t>
      </w:r>
      <w:r w:rsidR="009C2389" w:rsidRPr="00493E4F">
        <w:t xml:space="preserve"> </w:t>
      </w:r>
      <w:r w:rsidR="003D7650" w:rsidRPr="00493E4F">
        <w:t xml:space="preserve">the </w:t>
      </w:r>
      <w:r w:rsidR="00B6233F" w:rsidRPr="00493E4F">
        <w:t>two-part</w:t>
      </w:r>
      <w:r w:rsidR="003D7650" w:rsidRPr="00493E4F">
        <w:t xml:space="preserve"> regression model can be specified </w:t>
      </w:r>
      <w:r w:rsidR="000E3820" w:rsidRPr="00493E4F">
        <w:t>using following two equations</w:t>
      </w:r>
      <w:r w:rsidR="00B6233F" w:rsidRPr="00493E4F">
        <w:fldChar w:fldCharType="begin" w:fldLock="1"/>
      </w:r>
      <w:r w:rsidR="00E1324F" w:rsidRPr="00493E4F">
        <w:instrText>ADDIN CSL_CITATION {"citationItems":[{"id":"ITEM-1","itemData":{"DOI":"10.1146/annurev-statistics-060116-054131","ISBN":"0601160541","ISSN":"2326-8298","abstract":"Statistical models that involve a two-part mixture distribution are applicable in a variety of situations. Frequently, the two parts are a model for the binary response variable and a model for the outcome variable that is conditioned on the binary response. Two common examples are zero-inflated or hurdle models for count data and two-part models for semicontinuous data. Recently, there has been particular interest in the use of these models for the analysis of repeated measures of an outcome variable over time. The aim of this review is to consider motivations for the use of such models in this context and to highlight the central issues that arise with their use. We examine two-part models for semicontinuous and zero-heavy count data, and we also consider models for count data with a two-part random effects distribution.","author":[{"dropping-particle":"","family":"Farewell","given":"V.T.","non-dropping-particle":"","parse-names":false,"suffix":""},{"dropping-particle":"","family":"Long","given":"D.L.","non-dropping-particle":"","parse-names":false,"suffix":""},{"dropping-particle":"","family":"Tom","given":"B.D.M.","non-dropping-particle":"","parse-names":false,"suffix":""},{"dropping-particle":"","family":"Yiu","given":"S.","non-dropping-particle":"","parse-names":false,"suffix":""},{"dropping-particle":"","family":"Su","given":"L.","non-dropping-particle":"","parse-names":false,"suffix":""}],"container-title":"Annual Review of Statistics and Its Application","id":"ITEM-1","issue":"1","issued":{"date-parts":[["2017"]]},"number-of-pages":"283-315","title":"Two-Part and Related Regression Models for Longitudinal Data","type":"book","volume":"4"},"uris":["http://www.mendeley.com/documents/?uuid=60a28851-be72-4294-bac7-e2cb5bf78d45"]}],"mendeley":{"formattedCitation":"&lt;sup&gt;39&lt;/sup&gt;","plainTextFormattedCitation":"39","previouslyFormattedCitation":"&lt;sup&gt;39&lt;/sup&gt;"},"properties":{"noteIndex":0},"schema":"https://github.com/citation-style-language/schema/raw/master/csl-citation.json"}</w:instrText>
      </w:r>
      <w:r w:rsidR="00B6233F" w:rsidRPr="00493E4F">
        <w:fldChar w:fldCharType="separate"/>
      </w:r>
      <w:r w:rsidR="00B6233F" w:rsidRPr="00493E4F">
        <w:rPr>
          <w:noProof/>
          <w:vertAlign w:val="superscript"/>
        </w:rPr>
        <w:t>39</w:t>
      </w:r>
      <w:r w:rsidR="00B6233F" w:rsidRPr="00493E4F">
        <w:fldChar w:fldCharType="end"/>
      </w:r>
      <w:r w:rsidR="003D7650" w:rsidRPr="00493E4F">
        <w:t>,</w:t>
      </w:r>
      <w:r w:rsidR="009C2389" w:rsidRPr="00493E4F">
        <w:rPr>
          <w:vertAlign w:val="subscript"/>
        </w:rPr>
        <w:t xml:space="preserve"> </w:t>
      </w:r>
    </w:p>
    <w:p w14:paraId="022448B7" w14:textId="1184C21F" w:rsidR="00B6233F" w:rsidRPr="00493E4F" w:rsidRDefault="008673EB" w:rsidP="00B6233F">
      <w:pPr>
        <w:spacing w:before="120" w:line="480" w:lineRule="auto"/>
        <w:jc w:val="center"/>
      </w:pPr>
      <w:r w:rsidRPr="00493E4F">
        <w:t xml:space="preserve"> </w:t>
      </w:r>
      <w:r w:rsidR="00AA1F20" w:rsidRPr="00493E4F">
        <w:t xml:space="preserve"> </w:t>
      </w:r>
      <w:r w:rsidR="00CA1C91" w:rsidRPr="00493E4F">
        <w:t xml:space="preserve"> </w:t>
      </w:r>
      <w:r w:rsidR="00B47209" w:rsidRPr="00493E4F">
        <w:t xml:space="preserve">  </w:t>
      </w:r>
      <m:oMath>
        <m:r>
          <m:rPr>
            <m:sty m:val="p"/>
          </m:rPr>
          <w:rPr>
            <w:rFonts w:ascii="Cambria Math" w:hAnsi="Cambria Math"/>
          </w:rPr>
          <w:br/>
        </m:r>
        <m:sSubSup>
          <m:sSubSupPr>
            <m:ctrlPr>
              <w:rPr>
                <w:rFonts w:ascii="Cambria Math" w:hAnsi="Cambria Math"/>
                <w:i/>
              </w:rPr>
            </m:ctrlPr>
          </m:sSubSupPr>
          <m:e>
            <m:r>
              <w:rPr>
                <w:rFonts w:ascii="Cambria Math" w:hAnsi="Cambria Math"/>
              </w:rPr>
              <m:t>Logit(Y</m:t>
            </m:r>
          </m:e>
          <m:sub>
            <m:r>
              <w:rPr>
                <w:rFonts w:ascii="Cambria Math" w:hAnsi="Cambria Math"/>
              </w:rPr>
              <m:t>1i</m:t>
            </m:r>
          </m:sub>
          <m:sup/>
        </m:sSubSup>
        <m:r>
          <w:rPr>
            <w:rFonts w:ascii="Cambria Math" w:hAnsi="Cambria Math"/>
          </w:rPr>
          <m:t>)=</m:t>
        </m:r>
        <m:sSub>
          <m:sSubPr>
            <m:ctrlPr>
              <w:rPr>
                <w:rFonts w:ascii="Cambria Math" w:hAnsi="Cambria Math"/>
              </w:rPr>
            </m:ctrlPr>
          </m:sSubPr>
          <m:e>
            <m:r>
              <w:rPr>
                <w:rFonts w:ascii="Cambria Math" w:hAnsi="Cambria Math"/>
                <w:i/>
              </w:rPr>
              <w:sym w:font="Symbol" w:char="F071"/>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i/>
              </w:rPr>
              <w:sym w:font="Symbol" w:char="F071"/>
            </m:r>
          </m:e>
          <m:sub>
            <m:r>
              <m:rPr>
                <m:sty m:val="p"/>
              </m:rPr>
              <w:rPr>
                <w:rFonts w:ascii="Cambria Math" w:hAnsi="Cambria Math"/>
              </w:rPr>
              <m:t>1</m:t>
            </m:r>
          </m:sub>
        </m:sSub>
        <m:sSub>
          <m:sSubPr>
            <m:ctrlPr>
              <w:rPr>
                <w:rFonts w:ascii="Cambria Math" w:hAnsi="Cambria Math"/>
                <w:lang w:val="es-MX"/>
              </w:rPr>
            </m:ctrlPr>
          </m:sSubPr>
          <m:e>
            <m:r>
              <m:rPr>
                <m:sty m:val="p"/>
              </m:rPr>
              <w:rPr>
                <w:rFonts w:ascii="Cambria Math" w:hAnsi="Cambria Math"/>
                <w:lang w:val="es-MX"/>
              </w:rPr>
              <m:t>X</m:t>
            </m:r>
          </m:e>
          <m:sub>
            <m:r>
              <m:rPr>
                <m:sty m:val="p"/>
              </m:rPr>
              <w:rPr>
                <w:rFonts w:ascii="Cambria Math" w:hAnsi="Cambria Math"/>
                <w:lang w:val="es-MX"/>
              </w:rPr>
              <m:t>1i</m:t>
            </m:r>
          </m:sub>
        </m:sSub>
        <m:r>
          <m:rPr>
            <m:sty m:val="p"/>
          </m:rPr>
          <w:rPr>
            <w:rFonts w:ascii="Cambria Math" w:hAnsi="Cambria Math"/>
            <w:lang w:val="es-MX"/>
          </w:rPr>
          <m:t>+</m:t>
        </m:r>
        <m:sSub>
          <m:sSubPr>
            <m:ctrlPr>
              <w:rPr>
                <w:rFonts w:ascii="Cambria Math" w:hAnsi="Cambria Math"/>
              </w:rPr>
            </m:ctrlPr>
          </m:sSubPr>
          <m:e>
            <m:r>
              <w:rPr>
                <w:rFonts w:ascii="Cambria Math" w:hAnsi="Cambria Math"/>
                <w:i/>
              </w:rPr>
              <w:sym w:font="Symbol" w:char="F071"/>
            </m:r>
          </m:e>
          <m:sub>
            <m:r>
              <m:rPr>
                <m:sty m:val="p"/>
              </m:rPr>
              <w:rPr>
                <w:rFonts w:ascii="Cambria Math" w:hAnsi="Cambria Math"/>
              </w:rPr>
              <m:t>2</m:t>
            </m:r>
          </m:sub>
        </m:sSub>
        <m:sSub>
          <m:sSubPr>
            <m:ctrlPr>
              <w:rPr>
                <w:rFonts w:ascii="Cambria Math" w:hAnsi="Cambria Math"/>
                <w:lang w:val="es-MX"/>
              </w:rPr>
            </m:ctrlPr>
          </m:sSubPr>
          <m:e>
            <m:r>
              <m:rPr>
                <m:sty m:val="p"/>
              </m:rPr>
              <w:rPr>
                <w:rFonts w:ascii="Cambria Math" w:hAnsi="Cambria Math"/>
                <w:lang w:val="es-MX"/>
              </w:rPr>
              <m:t>X</m:t>
            </m:r>
          </m:e>
          <m:sub>
            <m:r>
              <m:rPr>
                <m:sty m:val="p"/>
              </m:rPr>
              <w:rPr>
                <w:rFonts w:ascii="Cambria Math" w:hAnsi="Cambria Math"/>
                <w:lang w:val="es-MX"/>
              </w:rPr>
              <m:t>2i</m:t>
            </m:r>
          </m:sub>
        </m:sSub>
        <m:r>
          <m:rPr>
            <m:sty m:val="p"/>
          </m:rPr>
          <w:rPr>
            <w:rFonts w:ascii="Cambria Math" w:hAnsi="Cambria Math"/>
            <w:lang w:val="es-MX"/>
          </w:rPr>
          <m:t>+</m:t>
        </m:r>
        <m:sSub>
          <m:sSubPr>
            <m:ctrlPr>
              <w:rPr>
                <w:rFonts w:ascii="Cambria Math" w:hAnsi="Cambria Math"/>
              </w:rPr>
            </m:ctrlPr>
          </m:sSubPr>
          <m:e>
            <m:r>
              <w:rPr>
                <w:rFonts w:ascii="Cambria Math" w:hAnsi="Cambria Math"/>
                <w:i/>
              </w:rPr>
              <w:sym w:font="Symbol" w:char="F071"/>
            </m:r>
          </m:e>
          <m:sub>
            <m:r>
              <m:rPr>
                <m:sty m:val="p"/>
              </m:rPr>
              <w:rPr>
                <w:rFonts w:ascii="Cambria Math" w:hAnsi="Cambria Math"/>
              </w:rPr>
              <m:t>3</m:t>
            </m:r>
          </m:sub>
        </m:sSub>
        <m:sSub>
          <m:sSubPr>
            <m:ctrlPr>
              <w:rPr>
                <w:rFonts w:ascii="Cambria Math" w:hAnsi="Cambria Math"/>
                <w:lang w:val="es-MX"/>
              </w:rPr>
            </m:ctrlPr>
          </m:sSubPr>
          <m:e>
            <m:r>
              <m:rPr>
                <m:sty m:val="p"/>
              </m:rPr>
              <w:rPr>
                <w:rFonts w:ascii="Cambria Math" w:hAnsi="Cambria Math"/>
                <w:lang w:val="es-MX"/>
              </w:rPr>
              <m:t>X</m:t>
            </m:r>
          </m:e>
          <m:sub>
            <m:r>
              <m:rPr>
                <m:sty m:val="p"/>
              </m:rPr>
              <w:rPr>
                <w:rFonts w:ascii="Cambria Math" w:hAnsi="Cambria Math"/>
                <w:lang w:val="es-MX"/>
              </w:rPr>
              <m:t>3i</m:t>
            </m:r>
          </m:sub>
        </m:sSub>
        <m:r>
          <m:rPr>
            <m:sty m:val="p"/>
          </m:rPr>
          <w:rPr>
            <w:rFonts w:ascii="Cambria Math" w:hAnsi="Cambria Math"/>
            <w:lang w:val="es-MX"/>
          </w:rPr>
          <m:t xml:space="preserve">+ … </m:t>
        </m:r>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i</m:t>
            </m:r>
          </m:sub>
        </m:sSub>
      </m:oMath>
      <w:r w:rsidR="00601824" w:rsidRPr="00493E4F">
        <w:t>….(II)</w:t>
      </w:r>
    </w:p>
    <w:p w14:paraId="12D17009" w14:textId="6390B897" w:rsidR="002B0376" w:rsidRPr="00493E4F" w:rsidRDefault="002B0376" w:rsidP="002B0376">
      <w:pPr>
        <w:spacing w:before="120" w:line="480" w:lineRule="auto"/>
        <w:jc w:val="both"/>
      </w:pPr>
      <w:r w:rsidRPr="00493E4F">
        <w:t xml:space="preserve">Where, </w:t>
      </w:r>
      <w:r w:rsidRPr="00493E4F">
        <w:rPr>
          <w:noProof/>
        </w:rPr>
        <w:sym w:font="Symbol" w:char="F071"/>
      </w:r>
      <w:r w:rsidRPr="00493E4F">
        <w:rPr>
          <w:noProof/>
          <w:vertAlign w:val="subscript"/>
        </w:rPr>
        <w:t xml:space="preserve">0 </w:t>
      </w:r>
      <w:r w:rsidRPr="00493E4F">
        <w:t>is a constant, X</w:t>
      </w:r>
      <w:r w:rsidRPr="00493E4F">
        <w:rPr>
          <w:vertAlign w:val="subscript"/>
        </w:rPr>
        <w:t xml:space="preserve">1 </w:t>
      </w:r>
      <w:r w:rsidRPr="00493E4F">
        <w:t>i</w:t>
      </w:r>
      <w:r w:rsidRPr="00493E4F">
        <w:rPr>
          <w:noProof/>
        </w:rPr>
        <w:t xml:space="preserve">ndicates if </w:t>
      </w:r>
      <w:r w:rsidRPr="00493E4F">
        <w:t>the household had membership in CBHI scheme with values 0 or 1 (0= did not have a memb</w:t>
      </w:r>
      <w:r w:rsidRPr="00493E4F">
        <w:rPr>
          <w:noProof/>
        </w:rPr>
        <w:t>ership, 1=</w:t>
      </w:r>
      <w:r w:rsidRPr="00493E4F">
        <w:t xml:space="preserve"> had memb</w:t>
      </w:r>
      <w:r w:rsidRPr="00493E4F">
        <w:rPr>
          <w:noProof/>
        </w:rPr>
        <w:t xml:space="preserve">ership), </w:t>
      </w:r>
      <w:r w:rsidR="00336899" w:rsidRPr="00493E4F">
        <w:rPr>
          <w:noProof/>
        </w:rPr>
        <w:sym w:font="Symbol" w:char="F071"/>
      </w:r>
      <w:r w:rsidRPr="00493E4F">
        <w:rPr>
          <w:noProof/>
          <w:vertAlign w:val="subscript"/>
        </w:rPr>
        <w:t xml:space="preserve">1 </w:t>
      </w:r>
      <w:r w:rsidRPr="00493E4F">
        <w:t>is the coefficient that shows magnitude and direction of relationship, X</w:t>
      </w:r>
      <w:r w:rsidRPr="00493E4F">
        <w:rPr>
          <w:vertAlign w:val="subscript"/>
        </w:rPr>
        <w:t>2</w:t>
      </w:r>
      <w:r w:rsidRPr="00493E4F">
        <w:t>, X</w:t>
      </w:r>
      <w:r w:rsidRPr="00493E4F">
        <w:rPr>
          <w:vertAlign w:val="subscript"/>
        </w:rPr>
        <w:t>3</w:t>
      </w:r>
      <w:r w:rsidRPr="00493E4F">
        <w:t xml:space="preserve">... denote control variables, </w:t>
      </w:r>
      <w:r w:rsidR="00336899" w:rsidRPr="00493E4F">
        <w:sym w:font="Symbol" w:char="F071"/>
      </w:r>
      <w:r w:rsidRPr="00493E4F">
        <w:rPr>
          <w:vertAlign w:val="subscript"/>
        </w:rPr>
        <w:t>2</w:t>
      </w:r>
      <w:r w:rsidRPr="00493E4F">
        <w:t xml:space="preserve">, </w:t>
      </w:r>
      <w:r w:rsidR="00336899" w:rsidRPr="00493E4F">
        <w:sym w:font="Symbol" w:char="F071"/>
      </w:r>
      <w:r w:rsidRPr="00493E4F">
        <w:rPr>
          <w:vertAlign w:val="subscript"/>
        </w:rPr>
        <w:t>3</w:t>
      </w:r>
      <w:r w:rsidRPr="00493E4F">
        <w:t xml:space="preserve"> ... represent the estimated coefficients and </w:t>
      </w:r>
      <w:proofErr w:type="spellStart"/>
      <w:r w:rsidR="00336899" w:rsidRPr="00493E4F">
        <w:t>u</w:t>
      </w:r>
      <w:r w:rsidRPr="00493E4F">
        <w:rPr>
          <w:vertAlign w:val="subscript"/>
        </w:rPr>
        <w:t>i</w:t>
      </w:r>
      <w:proofErr w:type="spellEnd"/>
      <w:r w:rsidRPr="00493E4F">
        <w:t xml:space="preserve"> is the random error term of the model.</w:t>
      </w:r>
    </w:p>
    <w:p w14:paraId="04BF8295" w14:textId="77777777" w:rsidR="00A44AD0" w:rsidRPr="00493E4F" w:rsidRDefault="00A44AD0" w:rsidP="00D724FB">
      <w:pPr>
        <w:spacing w:before="120" w:line="480" w:lineRule="auto"/>
        <w:jc w:val="both"/>
      </w:pPr>
    </w:p>
    <w:p w14:paraId="42014427" w14:textId="60517E0E" w:rsidR="00E8193A" w:rsidRPr="00493E4F" w:rsidRDefault="00B84C9F" w:rsidP="00D724FB">
      <w:pPr>
        <w:spacing w:before="120" w:line="480" w:lineRule="auto"/>
        <w:jc w:val="center"/>
      </w:pPr>
      <m:oMathPara>
        <m:oMath>
          <m:r>
            <m:rPr>
              <m:sty m:val="p"/>
            </m:rPr>
            <w:rPr>
              <w:rFonts w:ascii="Cambria Math" w:hAnsi="Cambria Math"/>
            </w:rPr>
            <m:t>ln⁡</m:t>
          </m:r>
          <m:r>
            <w:rPr>
              <w:rFonts w:ascii="Cambria Math" w:hAnsi="Cambria Math"/>
            </w:rPr>
            <m:t>(</m:t>
          </m:r>
          <m:sSubSup>
            <m:sSubSupPr>
              <m:ctrlPr>
                <w:rPr>
                  <w:rFonts w:ascii="Cambria Math" w:hAnsi="Cambria Math"/>
                  <w:i/>
                </w:rPr>
              </m:ctrlPr>
            </m:sSubSupPr>
            <m:e>
              <m:r>
                <w:rPr>
                  <w:rFonts w:ascii="Cambria Math" w:hAnsi="Cambria Math"/>
                </w:rPr>
                <m:t>Y</m:t>
              </m:r>
            </m:e>
            <m:sub>
              <m:r>
                <w:rPr>
                  <w:rFonts w:ascii="Cambria Math" w:hAnsi="Cambria Math"/>
                </w:rPr>
                <m:t>2i</m:t>
              </m:r>
            </m:sub>
            <m:sup/>
          </m:sSubSup>
          <m: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1</m:t>
              </m:r>
            </m:sub>
          </m:sSub>
          <m:sSub>
            <m:sSubPr>
              <m:ctrlPr>
                <w:rPr>
                  <w:rFonts w:ascii="Cambria Math" w:hAnsi="Cambria Math"/>
                  <w:lang w:val="es-MX"/>
                </w:rPr>
              </m:ctrlPr>
            </m:sSubPr>
            <m:e>
              <m:r>
                <m:rPr>
                  <m:sty m:val="p"/>
                </m:rPr>
                <w:rPr>
                  <w:rFonts w:ascii="Cambria Math" w:hAnsi="Cambria Math"/>
                  <w:lang w:val="es-MX"/>
                </w:rPr>
                <m:t>X</m:t>
              </m:r>
            </m:e>
            <m:sub>
              <m:r>
                <m:rPr>
                  <m:sty m:val="p"/>
                </m:rPr>
                <w:rPr>
                  <w:rFonts w:ascii="Cambria Math" w:hAnsi="Cambria Math"/>
                  <w:lang w:val="es-MX"/>
                </w:rPr>
                <m:t>1i</m:t>
              </m:r>
            </m:sub>
          </m:sSub>
          <m:r>
            <m:rPr>
              <m:sty m:val="p"/>
            </m:rPr>
            <w:rPr>
              <w:rFonts w:ascii="Cambria Math" w:hAnsi="Cambria Math"/>
              <w:lang w:val="es-MX"/>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2</m:t>
              </m:r>
            </m:sub>
          </m:sSub>
          <m:sSub>
            <m:sSubPr>
              <m:ctrlPr>
                <w:rPr>
                  <w:rFonts w:ascii="Cambria Math" w:hAnsi="Cambria Math"/>
                  <w:lang w:val="es-MX"/>
                </w:rPr>
              </m:ctrlPr>
            </m:sSubPr>
            <m:e>
              <m:r>
                <m:rPr>
                  <m:sty m:val="p"/>
                </m:rPr>
                <w:rPr>
                  <w:rFonts w:ascii="Cambria Math" w:hAnsi="Cambria Math"/>
                  <w:lang w:val="es-MX"/>
                </w:rPr>
                <m:t>X</m:t>
              </m:r>
            </m:e>
            <m:sub>
              <m:r>
                <m:rPr>
                  <m:sty m:val="p"/>
                </m:rPr>
                <w:rPr>
                  <w:rFonts w:ascii="Cambria Math" w:hAnsi="Cambria Math"/>
                  <w:lang w:val="es-MX"/>
                </w:rPr>
                <m:t>2i</m:t>
              </m:r>
            </m:sub>
          </m:sSub>
          <m:r>
            <m:rPr>
              <m:sty m:val="p"/>
            </m:rPr>
            <w:rPr>
              <w:rFonts w:ascii="Cambria Math" w:hAnsi="Cambria Math"/>
              <w:lang w:val="es-MX"/>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3</m:t>
              </m:r>
            </m:sub>
          </m:sSub>
          <m:sSub>
            <m:sSubPr>
              <m:ctrlPr>
                <w:rPr>
                  <w:rFonts w:ascii="Cambria Math" w:hAnsi="Cambria Math"/>
                  <w:lang w:val="es-MX"/>
                </w:rPr>
              </m:ctrlPr>
            </m:sSubPr>
            <m:e>
              <m:r>
                <m:rPr>
                  <m:sty m:val="p"/>
                </m:rPr>
                <w:rPr>
                  <w:rFonts w:ascii="Cambria Math" w:hAnsi="Cambria Math"/>
                  <w:lang w:val="es-MX"/>
                </w:rPr>
                <m:t>X</m:t>
              </m:r>
            </m:e>
            <m:sub>
              <m:r>
                <m:rPr>
                  <m:sty m:val="p"/>
                </m:rPr>
                <w:rPr>
                  <w:rFonts w:ascii="Cambria Math" w:hAnsi="Cambria Math"/>
                  <w:lang w:val="es-MX"/>
                </w:rPr>
                <m:t>3i</m:t>
              </m:r>
            </m:sub>
          </m:sSub>
          <m:r>
            <m:rPr>
              <m:sty m:val="p"/>
            </m:rPr>
            <w:rPr>
              <w:rFonts w:ascii="Cambria Math" w:hAnsi="Cambria Math"/>
              <w:lang w:val="es-MX"/>
            </w:rPr>
            <m:t xml:space="preserve">+ … </m:t>
          </m:r>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m:t>
              </m:r>
            </m:sub>
          </m:sSub>
          <m:r>
            <w:rPr>
              <w:rFonts w:ascii="Cambria Math" w:hAnsi="Cambria Math"/>
            </w:rPr>
            <m:t>…(</m:t>
          </m:r>
          <m:r>
            <m:rPr>
              <m:sty m:val="p"/>
            </m:rPr>
            <w:rPr>
              <w:rFonts w:ascii="Cambria Math" w:hAnsi="Cambria Math"/>
            </w:rPr>
            <m:t>III</m:t>
          </m:r>
          <m:r>
            <w:rPr>
              <w:rFonts w:ascii="Cambria Math" w:hAnsi="Cambria Math"/>
            </w:rPr>
            <m:t>)</m:t>
          </m:r>
        </m:oMath>
      </m:oMathPara>
    </w:p>
    <w:p w14:paraId="6EFCD5C9" w14:textId="4B83F664" w:rsidR="00043C64" w:rsidRPr="00493E4F" w:rsidRDefault="004C6BDA" w:rsidP="00173ABB">
      <w:pPr>
        <w:spacing w:before="120" w:line="480" w:lineRule="auto"/>
        <w:jc w:val="both"/>
      </w:pPr>
      <w:r w:rsidRPr="00493E4F">
        <w:t>Similarly</w:t>
      </w:r>
      <w:r w:rsidR="00137996" w:rsidRPr="00493E4F">
        <w:t xml:space="preserve">, </w:t>
      </w:r>
      <w:r w:rsidR="002A37A6" w:rsidRPr="00493E4F">
        <w:t xml:space="preserve"> </w:t>
      </w:r>
      <w:r w:rsidR="002A37A6" w:rsidRPr="00493E4F">
        <w:rPr>
          <w:noProof/>
        </w:rPr>
        <w:t>β</w:t>
      </w:r>
      <w:r w:rsidR="002A37A6" w:rsidRPr="00493E4F">
        <w:rPr>
          <w:noProof/>
          <w:vertAlign w:val="subscript"/>
        </w:rPr>
        <w:t xml:space="preserve">0 </w:t>
      </w:r>
      <w:r w:rsidR="00835092" w:rsidRPr="00493E4F">
        <w:t>is a constant,</w:t>
      </w:r>
      <w:r w:rsidR="00370C0C" w:rsidRPr="00493E4F">
        <w:t xml:space="preserve"> </w:t>
      </w:r>
      <w:r w:rsidR="0073668D" w:rsidRPr="00493E4F">
        <w:t>X</w:t>
      </w:r>
      <w:r w:rsidR="0073668D" w:rsidRPr="00493E4F">
        <w:rPr>
          <w:vertAlign w:val="subscript"/>
        </w:rPr>
        <w:t>1</w:t>
      </w:r>
      <w:r w:rsidR="005202BF" w:rsidRPr="00493E4F">
        <w:rPr>
          <w:vertAlign w:val="subscript"/>
        </w:rPr>
        <w:t xml:space="preserve"> </w:t>
      </w:r>
      <w:r w:rsidR="00835092" w:rsidRPr="00493E4F">
        <w:t>i</w:t>
      </w:r>
      <w:r w:rsidR="00835092" w:rsidRPr="00493E4F">
        <w:rPr>
          <w:noProof/>
        </w:rPr>
        <w:t xml:space="preserve">ndicates if </w:t>
      </w:r>
      <w:r w:rsidR="0054352D" w:rsidRPr="00493E4F">
        <w:t>the household ha</w:t>
      </w:r>
      <w:r w:rsidR="000539A7" w:rsidRPr="00493E4F">
        <w:t>d</w:t>
      </w:r>
      <w:r w:rsidR="0054352D" w:rsidRPr="00493E4F">
        <w:t xml:space="preserve"> membership in CBHI scheme with values 0 or 1 (0= did not have</w:t>
      </w:r>
      <w:r w:rsidR="005202BF" w:rsidRPr="00493E4F">
        <w:t xml:space="preserve"> a</w:t>
      </w:r>
      <w:r w:rsidR="0054352D" w:rsidRPr="00493E4F">
        <w:t xml:space="preserve"> memb</w:t>
      </w:r>
      <w:r w:rsidR="0054352D" w:rsidRPr="00493E4F">
        <w:rPr>
          <w:noProof/>
        </w:rPr>
        <w:t>ership, 1=</w:t>
      </w:r>
      <w:r w:rsidR="0054352D" w:rsidRPr="00493E4F">
        <w:t xml:space="preserve"> had memb</w:t>
      </w:r>
      <w:r w:rsidR="0054352D" w:rsidRPr="00493E4F">
        <w:rPr>
          <w:noProof/>
        </w:rPr>
        <w:t>ership)</w:t>
      </w:r>
      <w:r w:rsidR="0073668D" w:rsidRPr="00493E4F">
        <w:rPr>
          <w:noProof/>
        </w:rPr>
        <w:t>,</w:t>
      </w:r>
      <w:r w:rsidR="005202BF" w:rsidRPr="00493E4F">
        <w:rPr>
          <w:noProof/>
        </w:rPr>
        <w:t xml:space="preserve"> </w:t>
      </w:r>
      <w:r w:rsidR="006C46BD" w:rsidRPr="00493E4F">
        <w:rPr>
          <w:noProof/>
        </w:rPr>
        <w:t>β</w:t>
      </w:r>
      <w:r w:rsidR="006C46BD" w:rsidRPr="00493E4F">
        <w:rPr>
          <w:noProof/>
          <w:vertAlign w:val="subscript"/>
        </w:rPr>
        <w:t>1</w:t>
      </w:r>
      <w:r w:rsidR="000B79CF" w:rsidRPr="00493E4F">
        <w:rPr>
          <w:noProof/>
          <w:vertAlign w:val="subscript"/>
        </w:rPr>
        <w:t xml:space="preserve"> </w:t>
      </w:r>
      <w:r w:rsidR="006C46BD" w:rsidRPr="00493E4F">
        <w:t>is the coefficient that shows magnitude and direction of relationship,</w:t>
      </w:r>
      <w:r w:rsidR="005202BF" w:rsidRPr="00493E4F">
        <w:t xml:space="preserve"> </w:t>
      </w:r>
      <w:r w:rsidR="0073668D" w:rsidRPr="00493E4F">
        <w:t>X</w:t>
      </w:r>
      <w:r w:rsidR="0073668D" w:rsidRPr="00493E4F">
        <w:rPr>
          <w:vertAlign w:val="subscript"/>
        </w:rPr>
        <w:t>2</w:t>
      </w:r>
      <w:r w:rsidR="0073668D" w:rsidRPr="00493E4F">
        <w:t>, X</w:t>
      </w:r>
      <w:r w:rsidR="0073668D" w:rsidRPr="00493E4F">
        <w:rPr>
          <w:vertAlign w:val="subscript"/>
        </w:rPr>
        <w:t>3</w:t>
      </w:r>
      <w:r w:rsidR="0073668D" w:rsidRPr="00493E4F">
        <w:t xml:space="preserve">... </w:t>
      </w:r>
      <w:r w:rsidR="006C46BD" w:rsidRPr="00493E4F">
        <w:t>denote control</w:t>
      </w:r>
      <w:r w:rsidR="0073668D" w:rsidRPr="00493E4F">
        <w:t xml:space="preserve"> variables, β</w:t>
      </w:r>
      <w:r w:rsidR="0073668D" w:rsidRPr="00493E4F">
        <w:rPr>
          <w:vertAlign w:val="subscript"/>
        </w:rPr>
        <w:t>2</w:t>
      </w:r>
      <w:r w:rsidR="0073668D" w:rsidRPr="00493E4F">
        <w:t>, β</w:t>
      </w:r>
      <w:r w:rsidR="0073668D" w:rsidRPr="00493E4F">
        <w:rPr>
          <w:vertAlign w:val="subscript"/>
        </w:rPr>
        <w:t>3</w:t>
      </w:r>
      <w:r w:rsidR="0073668D" w:rsidRPr="00493E4F">
        <w:t xml:space="preserve"> ... represent the estimated coefficients and </w:t>
      </w:r>
      <w:proofErr w:type="spellStart"/>
      <w:r w:rsidR="0073668D" w:rsidRPr="00493E4F">
        <w:t>ε</w:t>
      </w:r>
      <w:r w:rsidR="0073668D" w:rsidRPr="00493E4F">
        <w:rPr>
          <w:vertAlign w:val="subscript"/>
        </w:rPr>
        <w:t>i</w:t>
      </w:r>
      <w:proofErr w:type="spellEnd"/>
      <w:r w:rsidR="0073668D" w:rsidRPr="00493E4F">
        <w:t xml:space="preserve"> is the random error term</w:t>
      </w:r>
      <w:r w:rsidR="00451860" w:rsidRPr="00493E4F">
        <w:t xml:space="preserve"> </w:t>
      </w:r>
      <w:r w:rsidR="0073668D" w:rsidRPr="00493E4F">
        <w:t>of the model.</w:t>
      </w:r>
    </w:p>
    <w:p w14:paraId="74A26851" w14:textId="5348B6D4" w:rsidR="00043C64" w:rsidRPr="00493E4F" w:rsidRDefault="00370C0C" w:rsidP="00D724FB">
      <w:pPr>
        <w:spacing w:before="120" w:line="480" w:lineRule="auto"/>
        <w:jc w:val="both"/>
      </w:pPr>
      <w:r w:rsidRPr="00493E4F">
        <w:t xml:space="preserve">Tobit model </w:t>
      </w:r>
      <w:r w:rsidR="00AE6FB6" w:rsidRPr="00493E4F">
        <w:t xml:space="preserve">can address </w:t>
      </w:r>
      <w:r w:rsidR="00921C99" w:rsidRPr="00493E4F">
        <w:t xml:space="preserve">the </w:t>
      </w:r>
      <w:r w:rsidR="00141999" w:rsidRPr="00493E4F">
        <w:t>problem</w:t>
      </w:r>
      <w:r w:rsidR="00921C99" w:rsidRPr="00493E4F">
        <w:t xml:space="preserve"> with </w:t>
      </w:r>
      <w:r w:rsidR="00C378FE" w:rsidRPr="00493E4F">
        <w:t xml:space="preserve">a </w:t>
      </w:r>
      <w:r w:rsidR="00921C99" w:rsidRPr="00493E4F">
        <w:rPr>
          <w:noProof/>
        </w:rPr>
        <w:t>large</w:t>
      </w:r>
      <w:r w:rsidR="00921C99" w:rsidRPr="00493E4F">
        <w:t xml:space="preserve"> number of zero response </w:t>
      </w:r>
      <w:r w:rsidR="00C378FE" w:rsidRPr="00493E4F">
        <w:rPr>
          <w:noProof/>
        </w:rPr>
        <w:t>of</w:t>
      </w:r>
      <w:r w:rsidR="00921C99" w:rsidRPr="00493E4F">
        <w:rPr>
          <w:noProof/>
        </w:rPr>
        <w:t xml:space="preserve"> dependent</w:t>
      </w:r>
      <w:r w:rsidR="00921C99" w:rsidRPr="00493E4F">
        <w:t xml:space="preserve"> variable</w:t>
      </w:r>
      <w:r w:rsidR="00AE6FB6" w:rsidRPr="00493E4F">
        <w:t xml:space="preserve">. </w:t>
      </w:r>
      <w:r w:rsidR="00E657FA" w:rsidRPr="00493E4F">
        <w:t>Although</w:t>
      </w:r>
      <w:r w:rsidR="00AE6FB6" w:rsidRPr="00493E4F">
        <w:t xml:space="preserve"> the two</w:t>
      </w:r>
      <w:r w:rsidR="005202BF" w:rsidRPr="00493E4F">
        <w:t>-</w:t>
      </w:r>
      <w:r w:rsidR="00AE6FB6" w:rsidRPr="00493E4F">
        <w:t xml:space="preserve">part model is </w:t>
      </w:r>
      <w:r w:rsidR="005202BF" w:rsidRPr="00493E4F">
        <w:t xml:space="preserve">a </w:t>
      </w:r>
      <w:r w:rsidR="00AE6FB6" w:rsidRPr="00493E4F">
        <w:t xml:space="preserve">more popular approach to </w:t>
      </w:r>
      <w:r w:rsidR="00AE6FB6" w:rsidRPr="00493E4F">
        <w:rPr>
          <w:noProof/>
        </w:rPr>
        <w:t>mode</w:t>
      </w:r>
      <w:r w:rsidR="00C378FE" w:rsidRPr="00493E4F">
        <w:rPr>
          <w:noProof/>
        </w:rPr>
        <w:t>l</w:t>
      </w:r>
      <w:r w:rsidR="00AE6FB6" w:rsidRPr="00493E4F">
        <w:rPr>
          <w:noProof/>
        </w:rPr>
        <w:t>ling</w:t>
      </w:r>
      <w:r w:rsidR="00AE6FB6" w:rsidRPr="00493E4F">
        <w:t xml:space="preserve"> medical expenditures and preferred by O’Donnell et al. 2008</w:t>
      </w:r>
      <w:r w:rsidR="008D003B" w:rsidRPr="00493E4F">
        <w:t xml:space="preserve"> </w:t>
      </w:r>
      <w:r w:rsidR="003A0B22" w:rsidRPr="00493E4F">
        <w:fldChar w:fldCharType="begin" w:fldLock="1"/>
      </w:r>
      <w:r w:rsidR="00EB716C">
        <w:instrText>ADDIN CSL_CITATION {"citationItems":[{"id":"ITEM-1","itemData":{"author":[{"dropping-particle":"","family":"O'Donnell","given":"O","non-dropping-particle":"","parse-names":false,"suffix":""},{"dropping-particle":"","family":"Doorslaer","given":"E","non-dropping-particle":"van","parse-names":false,"suffix":""},{"dropping-particle":"","family":"Wagstaff","given":"A","non-dropping-particle":"","parse-names":false,"suffix":""},{"dropping-particle":"","family":"Lindelow","given":"M","non-dropping-particle":"","parse-names":false,"suffix":""}],"id":"ITEM-1","issued":{"date-parts":[["2008"]]},"publisher":"The World Bank","publisher-place":"Washington DC","title":"Analyzing health equity using household survey data: A guide to techniques and their implementation","type":"book"},"uris":["http://www.mendeley.com/documents/?uuid=966a8384-1f9c-43e2-b0ca-6a8e8d0cf74a"]}],"mendeley":{"formattedCitation":"&lt;sup&gt;28&lt;/sup&gt;","plainTextFormattedCitation":"28","previouslyFormattedCitation":"&lt;sup&gt;29&lt;/sup&gt;"},"properties":{"noteIndex":0},"schema":"https://github.com/citation-style-language/schema/raw/master/csl-citation.json"}</w:instrText>
      </w:r>
      <w:r w:rsidR="003A0B22" w:rsidRPr="00493E4F">
        <w:fldChar w:fldCharType="separate"/>
      </w:r>
      <w:r w:rsidR="00EB716C" w:rsidRPr="00EB716C">
        <w:rPr>
          <w:noProof/>
          <w:vertAlign w:val="superscript"/>
        </w:rPr>
        <w:t>28</w:t>
      </w:r>
      <w:r w:rsidR="003A0B22" w:rsidRPr="00493E4F">
        <w:fldChar w:fldCharType="end"/>
      </w:r>
      <w:r w:rsidR="00E657FA" w:rsidRPr="00493E4F">
        <w:t xml:space="preserve">, we </w:t>
      </w:r>
      <w:r w:rsidR="00771F9F" w:rsidRPr="00493E4F">
        <w:t>included</w:t>
      </w:r>
      <w:r w:rsidR="00E657FA" w:rsidRPr="00493E4F">
        <w:t xml:space="preserve"> findings from Tobit model </w:t>
      </w:r>
      <w:r w:rsidR="00D64D25" w:rsidRPr="00493E4F">
        <w:t>s</w:t>
      </w:r>
      <w:r w:rsidR="00E657FA" w:rsidRPr="00493E4F">
        <w:t xml:space="preserve">upplementary </w:t>
      </w:r>
      <w:r w:rsidR="009F6AA1" w:rsidRPr="00493E4F">
        <w:t>materials</w:t>
      </w:r>
      <w:r w:rsidR="00E657FA" w:rsidRPr="00493E4F">
        <w:t xml:space="preserve">. </w:t>
      </w:r>
      <w:r w:rsidR="00812BCF" w:rsidRPr="00493E4F">
        <w:t xml:space="preserve">We presented </w:t>
      </w:r>
      <w:r w:rsidR="00C378FE" w:rsidRPr="00493E4F">
        <w:t xml:space="preserve">a </w:t>
      </w:r>
      <w:r w:rsidR="00812BCF" w:rsidRPr="00493E4F">
        <w:rPr>
          <w:noProof/>
        </w:rPr>
        <w:t>95</w:t>
      </w:r>
      <w:r w:rsidR="00812BCF" w:rsidRPr="00493E4F">
        <w:t>% confidence interval for the coefficients of regression analysis and standard error for OOP payments estimates.</w:t>
      </w:r>
    </w:p>
    <w:p w14:paraId="1588E5A3" w14:textId="77777777" w:rsidR="006A4E93" w:rsidRPr="00493E4F" w:rsidRDefault="006A4E93" w:rsidP="00A70F49">
      <w:pPr>
        <w:spacing w:after="200" w:line="276" w:lineRule="auto"/>
        <w:rPr>
          <w:b/>
        </w:rPr>
      </w:pPr>
    </w:p>
    <w:p w14:paraId="3FDE5B95" w14:textId="77777777" w:rsidR="00AC4668" w:rsidRPr="00493E4F" w:rsidRDefault="000A08C6" w:rsidP="00A70F49">
      <w:pPr>
        <w:spacing w:after="200" w:line="276" w:lineRule="auto"/>
        <w:rPr>
          <w:b/>
        </w:rPr>
      </w:pPr>
      <w:r w:rsidRPr="00493E4F">
        <w:rPr>
          <w:b/>
        </w:rPr>
        <w:t>Results</w:t>
      </w:r>
    </w:p>
    <w:p w14:paraId="506C33E7" w14:textId="77777777" w:rsidR="00A42BAA" w:rsidRPr="00493E4F" w:rsidRDefault="00C67971" w:rsidP="00D724FB">
      <w:pPr>
        <w:spacing w:before="120" w:line="480" w:lineRule="auto"/>
        <w:jc w:val="both"/>
        <w:rPr>
          <w:color w:val="000000" w:themeColor="text1"/>
        </w:rPr>
      </w:pPr>
      <w:r w:rsidRPr="00493E4F">
        <w:rPr>
          <w:color w:val="000000" w:themeColor="text1"/>
        </w:rPr>
        <w:t xml:space="preserve">Table 1 reports the percentages of </w:t>
      </w:r>
      <w:r w:rsidR="00C20009" w:rsidRPr="00493E4F">
        <w:rPr>
          <w:noProof/>
          <w:color w:val="000000" w:themeColor="text1"/>
        </w:rPr>
        <w:t>participants</w:t>
      </w:r>
      <w:r w:rsidR="000E1C96" w:rsidRPr="00493E4F">
        <w:rPr>
          <w:noProof/>
          <w:color w:val="000000" w:themeColor="text1"/>
        </w:rPr>
        <w:t xml:space="preserve"> </w:t>
      </w:r>
      <w:r w:rsidR="00C20009" w:rsidRPr="00493E4F">
        <w:rPr>
          <w:noProof/>
          <w:color w:val="000000" w:themeColor="text1"/>
        </w:rPr>
        <w:t>in</w:t>
      </w:r>
      <w:r w:rsidR="00C20009" w:rsidRPr="00493E4F">
        <w:rPr>
          <w:color w:val="000000" w:themeColor="text1"/>
        </w:rPr>
        <w:t xml:space="preserve"> </w:t>
      </w:r>
      <w:r w:rsidR="00C2472D" w:rsidRPr="00493E4F">
        <w:rPr>
          <w:color w:val="000000" w:themeColor="text1"/>
        </w:rPr>
        <w:t xml:space="preserve">insured </w:t>
      </w:r>
      <w:r w:rsidR="00220A0E" w:rsidRPr="00493E4F">
        <w:rPr>
          <w:color w:val="000000" w:themeColor="text1"/>
        </w:rPr>
        <w:t xml:space="preserve">and </w:t>
      </w:r>
      <w:r w:rsidR="00C2472D" w:rsidRPr="00493E4F">
        <w:rPr>
          <w:color w:val="000000" w:themeColor="text1"/>
        </w:rPr>
        <w:t>uninsured</w:t>
      </w:r>
      <w:r w:rsidR="00C20009" w:rsidRPr="00493E4F">
        <w:rPr>
          <w:color w:val="000000" w:themeColor="text1"/>
        </w:rPr>
        <w:t xml:space="preserve"> </w:t>
      </w:r>
      <w:r w:rsidR="00C20009" w:rsidRPr="00493E4F">
        <w:rPr>
          <w:noProof/>
          <w:color w:val="000000" w:themeColor="text1"/>
        </w:rPr>
        <w:t>groups</w:t>
      </w:r>
      <w:r w:rsidRPr="00493E4F">
        <w:rPr>
          <w:color w:val="000000" w:themeColor="text1"/>
        </w:rPr>
        <w:t xml:space="preserve"> </w:t>
      </w:r>
      <w:r w:rsidR="000E1C96" w:rsidRPr="00493E4F">
        <w:rPr>
          <w:color w:val="000000" w:themeColor="text1"/>
        </w:rPr>
        <w:t xml:space="preserve">by </w:t>
      </w:r>
      <w:r w:rsidRPr="00493E4F">
        <w:rPr>
          <w:color w:val="000000" w:themeColor="text1"/>
        </w:rPr>
        <w:t>socio-demographic characteristics</w:t>
      </w:r>
      <w:r w:rsidR="00C20009" w:rsidRPr="00493E4F">
        <w:rPr>
          <w:color w:val="000000" w:themeColor="text1"/>
        </w:rPr>
        <w:t>,</w:t>
      </w:r>
      <w:r w:rsidRPr="00493E4F">
        <w:rPr>
          <w:color w:val="000000" w:themeColor="text1"/>
        </w:rPr>
        <w:t xml:space="preserve"> before and after matching</w:t>
      </w:r>
      <w:r w:rsidR="00C20009" w:rsidRPr="00493E4F">
        <w:rPr>
          <w:color w:val="000000" w:themeColor="text1"/>
        </w:rPr>
        <w:t xml:space="preserve"> by propensity score</w:t>
      </w:r>
      <w:r w:rsidRPr="00493E4F">
        <w:rPr>
          <w:color w:val="000000" w:themeColor="text1"/>
        </w:rPr>
        <w:t xml:space="preserve">. </w:t>
      </w:r>
      <w:r w:rsidR="00DC36EF" w:rsidRPr="00493E4F">
        <w:rPr>
          <w:color w:val="000000" w:themeColor="text1"/>
        </w:rPr>
        <w:t>Before matching, there were significant associations of age group, occupation, household size, years of schooling and asset quintiles with the</w:t>
      </w:r>
      <w:r w:rsidR="00776F30" w:rsidRPr="00493E4F">
        <w:rPr>
          <w:color w:val="000000" w:themeColor="text1"/>
        </w:rPr>
        <w:t xml:space="preserve"> insurance status</w:t>
      </w:r>
      <w:r w:rsidR="00DC36EF" w:rsidRPr="00493E4F">
        <w:rPr>
          <w:color w:val="000000" w:themeColor="text1"/>
        </w:rPr>
        <w:t xml:space="preserve">. </w:t>
      </w:r>
      <w:r w:rsidRPr="00493E4F">
        <w:rPr>
          <w:color w:val="000000" w:themeColor="text1"/>
        </w:rPr>
        <w:t xml:space="preserve">After matching, </w:t>
      </w:r>
      <w:r w:rsidR="0057782D" w:rsidRPr="00493E4F">
        <w:rPr>
          <w:color w:val="000000" w:themeColor="text1"/>
        </w:rPr>
        <w:t xml:space="preserve">we found </w:t>
      </w:r>
      <w:r w:rsidRPr="00493E4F">
        <w:rPr>
          <w:color w:val="000000" w:themeColor="text1"/>
        </w:rPr>
        <w:t xml:space="preserve">no significant </w:t>
      </w:r>
      <w:r w:rsidR="00A42BAA" w:rsidRPr="00493E4F">
        <w:rPr>
          <w:color w:val="000000" w:themeColor="text1"/>
        </w:rPr>
        <w:t>association of</w:t>
      </w:r>
      <w:r w:rsidRPr="00493E4F">
        <w:rPr>
          <w:color w:val="000000" w:themeColor="text1"/>
        </w:rPr>
        <w:t xml:space="preserve"> occupation, household size, </w:t>
      </w:r>
      <w:r w:rsidR="004F592F" w:rsidRPr="00493E4F">
        <w:rPr>
          <w:color w:val="000000" w:themeColor="text1"/>
        </w:rPr>
        <w:t>years</w:t>
      </w:r>
      <w:r w:rsidRPr="00493E4F">
        <w:rPr>
          <w:color w:val="000000" w:themeColor="text1"/>
        </w:rPr>
        <w:t xml:space="preserve"> of schooling, and asset </w:t>
      </w:r>
      <w:r w:rsidRPr="00493E4F">
        <w:rPr>
          <w:noProof/>
          <w:color w:val="000000" w:themeColor="text1"/>
        </w:rPr>
        <w:t>quintile</w:t>
      </w:r>
      <w:r w:rsidR="00B425EC" w:rsidRPr="00493E4F">
        <w:rPr>
          <w:noProof/>
          <w:color w:val="000000" w:themeColor="text1"/>
        </w:rPr>
        <w:t>s</w:t>
      </w:r>
      <w:r w:rsidR="000E1C96" w:rsidRPr="00493E4F">
        <w:rPr>
          <w:noProof/>
          <w:color w:val="000000" w:themeColor="text1"/>
        </w:rPr>
        <w:t xml:space="preserve"> </w:t>
      </w:r>
      <w:r w:rsidR="00E675F2" w:rsidRPr="00493E4F">
        <w:rPr>
          <w:noProof/>
          <w:color w:val="000000" w:themeColor="text1"/>
        </w:rPr>
        <w:t>with</w:t>
      </w:r>
      <w:r w:rsidRPr="00493E4F">
        <w:rPr>
          <w:color w:val="000000" w:themeColor="text1"/>
        </w:rPr>
        <w:t xml:space="preserve"> the</w:t>
      </w:r>
      <w:r w:rsidR="00E675F2" w:rsidRPr="00493E4F">
        <w:rPr>
          <w:color w:val="000000" w:themeColor="text1"/>
        </w:rPr>
        <w:t xml:space="preserve"> insurance </w:t>
      </w:r>
      <w:r w:rsidR="000E52AA" w:rsidRPr="00493E4F">
        <w:rPr>
          <w:color w:val="000000" w:themeColor="text1"/>
        </w:rPr>
        <w:t xml:space="preserve">enrolment </w:t>
      </w:r>
      <w:r w:rsidR="00DE5D10" w:rsidRPr="00493E4F">
        <w:rPr>
          <w:color w:val="000000" w:themeColor="text1"/>
        </w:rPr>
        <w:t>status of the participants</w:t>
      </w:r>
      <w:r w:rsidR="007373E9" w:rsidRPr="00493E4F">
        <w:rPr>
          <w:noProof/>
          <w:color w:val="000000" w:themeColor="text1"/>
        </w:rPr>
        <w:t>.</w:t>
      </w:r>
      <w:r w:rsidR="000E1C96" w:rsidRPr="00493E4F">
        <w:rPr>
          <w:noProof/>
          <w:color w:val="000000" w:themeColor="text1"/>
        </w:rPr>
        <w:t xml:space="preserve"> </w:t>
      </w:r>
      <w:r w:rsidRPr="00493E4F">
        <w:rPr>
          <w:noProof/>
          <w:color w:val="000000" w:themeColor="text1"/>
        </w:rPr>
        <w:t>However</w:t>
      </w:r>
      <w:r w:rsidRPr="00493E4F">
        <w:rPr>
          <w:color w:val="000000" w:themeColor="text1"/>
        </w:rPr>
        <w:t xml:space="preserve">, </w:t>
      </w:r>
      <w:r w:rsidR="000E1C96" w:rsidRPr="00493E4F">
        <w:rPr>
          <w:color w:val="000000" w:themeColor="text1"/>
        </w:rPr>
        <w:t xml:space="preserve">a </w:t>
      </w:r>
      <w:r w:rsidR="00262558" w:rsidRPr="00493E4F">
        <w:rPr>
          <w:noProof/>
          <w:color w:val="000000" w:themeColor="text1"/>
        </w:rPr>
        <w:t>significant</w:t>
      </w:r>
      <w:r w:rsidR="00262558" w:rsidRPr="00493E4F">
        <w:rPr>
          <w:color w:val="000000" w:themeColor="text1"/>
        </w:rPr>
        <w:t xml:space="preserve"> a</w:t>
      </w:r>
      <w:r w:rsidR="00B53DD3" w:rsidRPr="00493E4F">
        <w:rPr>
          <w:color w:val="000000" w:themeColor="text1"/>
        </w:rPr>
        <w:t xml:space="preserve">ssociation </w:t>
      </w:r>
      <w:r w:rsidR="00E000C9" w:rsidRPr="00493E4F">
        <w:rPr>
          <w:color w:val="000000" w:themeColor="text1"/>
        </w:rPr>
        <w:t xml:space="preserve">was </w:t>
      </w:r>
      <w:r w:rsidR="000F7FDE" w:rsidRPr="00493E4F">
        <w:rPr>
          <w:color w:val="000000" w:themeColor="text1"/>
        </w:rPr>
        <w:t xml:space="preserve">observed </w:t>
      </w:r>
      <w:r w:rsidR="00DC6E15" w:rsidRPr="00493E4F">
        <w:rPr>
          <w:color w:val="000000" w:themeColor="text1"/>
        </w:rPr>
        <w:t xml:space="preserve">between age and insurance enrolment status </w:t>
      </w:r>
      <w:r w:rsidRPr="00493E4F">
        <w:rPr>
          <w:noProof/>
          <w:color w:val="000000" w:themeColor="text1"/>
        </w:rPr>
        <w:t>still</w:t>
      </w:r>
      <w:r w:rsidR="0034238D" w:rsidRPr="00493E4F">
        <w:rPr>
          <w:color w:val="000000" w:themeColor="text1"/>
        </w:rPr>
        <w:t xml:space="preserve"> after matching</w:t>
      </w:r>
      <w:r w:rsidR="00373BF0" w:rsidRPr="00493E4F">
        <w:rPr>
          <w:color w:val="000000" w:themeColor="text1"/>
        </w:rPr>
        <w:t>.</w:t>
      </w:r>
    </w:p>
    <w:p w14:paraId="620FF76A" w14:textId="77777777" w:rsidR="00FF7A0C" w:rsidRPr="00493E4F" w:rsidRDefault="00334173" w:rsidP="00D724FB">
      <w:pPr>
        <w:spacing w:before="120" w:line="480" w:lineRule="auto"/>
        <w:jc w:val="both"/>
      </w:pPr>
      <w:r w:rsidRPr="00493E4F">
        <w:t xml:space="preserve">The </w:t>
      </w:r>
      <w:r w:rsidR="004149B1" w:rsidRPr="00493E4F">
        <w:t xml:space="preserve">matched </w:t>
      </w:r>
      <w:r w:rsidRPr="00493E4F">
        <w:t xml:space="preserve">sample showed that </w:t>
      </w:r>
      <w:r w:rsidR="00ED229B" w:rsidRPr="00493E4F">
        <w:t>most of the pa</w:t>
      </w:r>
      <w:r w:rsidR="00A44AD0" w:rsidRPr="00493E4F">
        <w:t>rticipants were 15-60 years old</w:t>
      </w:r>
      <w:r w:rsidRPr="00493E4F">
        <w:t xml:space="preserve"> (</w:t>
      </w:r>
      <w:r w:rsidR="00ED229B" w:rsidRPr="00493E4F">
        <w:t>63.6%</w:t>
      </w:r>
      <w:r w:rsidR="005231D9" w:rsidRPr="00493E4F">
        <w:t xml:space="preserve"> of insured and</w:t>
      </w:r>
      <w:r w:rsidR="003028EF" w:rsidRPr="00493E4F">
        <w:t xml:space="preserve"> </w:t>
      </w:r>
      <w:r w:rsidR="00ED229B" w:rsidRPr="00493E4F">
        <w:t>61.4%</w:t>
      </w:r>
      <w:r w:rsidR="005231D9" w:rsidRPr="00493E4F">
        <w:t xml:space="preserve"> of uninsured</w:t>
      </w:r>
      <w:r w:rsidRPr="00493E4F">
        <w:t>) and proportion of female (</w:t>
      </w:r>
      <w:r w:rsidR="00ED229B" w:rsidRPr="00493E4F">
        <w:t>49.7</w:t>
      </w:r>
      <w:r w:rsidRPr="00493E4F">
        <w:t xml:space="preserve">% </w:t>
      </w:r>
      <w:r w:rsidR="005231D9" w:rsidRPr="00493E4F">
        <w:t>of insured and</w:t>
      </w:r>
      <w:r w:rsidRPr="00493E4F">
        <w:t xml:space="preserve"> 49.6%</w:t>
      </w:r>
      <w:r w:rsidR="005231D9" w:rsidRPr="00493E4F">
        <w:t xml:space="preserve"> of uninsured</w:t>
      </w:r>
      <w:r w:rsidRPr="00493E4F">
        <w:t xml:space="preserve">) represented similarly in </w:t>
      </w:r>
      <w:r w:rsidR="008B651B" w:rsidRPr="00493E4F">
        <w:t xml:space="preserve">both </w:t>
      </w:r>
      <w:r w:rsidR="003816B0" w:rsidRPr="00493E4F">
        <w:t xml:space="preserve">insured </w:t>
      </w:r>
      <w:r w:rsidRPr="00493E4F">
        <w:t xml:space="preserve">and </w:t>
      </w:r>
      <w:r w:rsidR="003816B0" w:rsidRPr="00493E4F">
        <w:t>uninsured</w:t>
      </w:r>
      <w:r w:rsidRPr="00493E4F">
        <w:t xml:space="preserve"> groups. </w:t>
      </w:r>
      <w:r w:rsidR="00220A0E" w:rsidRPr="00493E4F">
        <w:rPr>
          <w:noProof/>
        </w:rPr>
        <w:t>Most</w:t>
      </w:r>
      <w:r w:rsidR="000E1C96" w:rsidRPr="00493E4F">
        <w:rPr>
          <w:noProof/>
        </w:rPr>
        <w:t xml:space="preserve"> </w:t>
      </w:r>
      <w:r w:rsidR="00220A0E" w:rsidRPr="00493E4F">
        <w:rPr>
          <w:noProof/>
        </w:rPr>
        <w:t>of</w:t>
      </w:r>
      <w:r w:rsidR="00220A0E" w:rsidRPr="00493E4F">
        <w:t xml:space="preserve"> </w:t>
      </w:r>
      <w:r w:rsidR="00ED229B" w:rsidRPr="00493E4F">
        <w:t xml:space="preserve">the participants </w:t>
      </w:r>
      <w:r w:rsidRPr="00493E4F">
        <w:t>were married (4</w:t>
      </w:r>
      <w:r w:rsidR="00ED229B" w:rsidRPr="00493E4F">
        <w:t>9</w:t>
      </w:r>
      <w:r w:rsidRPr="00493E4F">
        <w:t>.</w:t>
      </w:r>
      <w:r w:rsidR="00ED229B" w:rsidRPr="00493E4F">
        <w:t>9</w:t>
      </w:r>
      <w:r w:rsidRPr="00493E4F">
        <w:t xml:space="preserve">% </w:t>
      </w:r>
      <w:r w:rsidR="005231D9" w:rsidRPr="00493E4F">
        <w:t>of insured and</w:t>
      </w:r>
      <w:r w:rsidRPr="00493E4F">
        <w:t xml:space="preserve"> 4</w:t>
      </w:r>
      <w:r w:rsidR="00ED229B" w:rsidRPr="00493E4F">
        <w:t>8.</w:t>
      </w:r>
      <w:r w:rsidRPr="00493E4F">
        <w:t>7%</w:t>
      </w:r>
      <w:r w:rsidR="005231D9" w:rsidRPr="00493E4F">
        <w:t xml:space="preserve"> of uninsured</w:t>
      </w:r>
      <w:r w:rsidRPr="00493E4F">
        <w:t xml:space="preserve">). </w:t>
      </w:r>
    </w:p>
    <w:p w14:paraId="199376D3" w14:textId="77777777" w:rsidR="00FF7A0C" w:rsidRPr="00493E4F" w:rsidRDefault="00FF7A0C" w:rsidP="00D724FB">
      <w:pPr>
        <w:spacing w:before="120" w:line="480" w:lineRule="auto"/>
        <w:jc w:val="both"/>
      </w:pPr>
    </w:p>
    <w:p w14:paraId="494243E9" w14:textId="77777777" w:rsidR="00FF7A0C" w:rsidRPr="00493E4F" w:rsidRDefault="00FF7A0C" w:rsidP="00FF7A0C">
      <w:pPr>
        <w:spacing w:before="120" w:line="480" w:lineRule="auto"/>
        <w:jc w:val="center"/>
        <w:rPr>
          <w:color w:val="000000" w:themeColor="text1"/>
        </w:rPr>
      </w:pPr>
      <w:r w:rsidRPr="00493E4F">
        <w:t>(Table 1 to be inserted here)</w:t>
      </w:r>
    </w:p>
    <w:p w14:paraId="0E341185" w14:textId="77777777" w:rsidR="00FF7A0C" w:rsidRPr="00493E4F" w:rsidRDefault="00FF7A0C" w:rsidP="00D724FB">
      <w:pPr>
        <w:spacing w:before="120" w:line="480" w:lineRule="auto"/>
        <w:jc w:val="both"/>
      </w:pPr>
    </w:p>
    <w:p w14:paraId="7E90E6EA" w14:textId="77777777" w:rsidR="00115773" w:rsidRPr="00493E4F" w:rsidRDefault="00ED229B" w:rsidP="00D724FB">
      <w:pPr>
        <w:spacing w:before="120" w:line="480" w:lineRule="auto"/>
        <w:jc w:val="both"/>
      </w:pPr>
      <w:r w:rsidRPr="00493E4F">
        <w:t xml:space="preserve">The highest proportion of </w:t>
      </w:r>
      <w:r w:rsidR="008413C9" w:rsidRPr="00493E4F">
        <w:t xml:space="preserve">respondent was </w:t>
      </w:r>
      <w:r w:rsidR="000E1C96" w:rsidRPr="00493E4F">
        <w:t xml:space="preserve">a </w:t>
      </w:r>
      <w:r w:rsidRPr="00493E4F">
        <w:rPr>
          <w:noProof/>
        </w:rPr>
        <w:t>housewife</w:t>
      </w:r>
      <w:r w:rsidRPr="00493E4F">
        <w:t xml:space="preserve"> (21.7% </w:t>
      </w:r>
      <w:r w:rsidR="005231D9" w:rsidRPr="00493E4F">
        <w:t>of insured and</w:t>
      </w:r>
      <w:r w:rsidRPr="00493E4F">
        <w:t xml:space="preserve"> 23.3%</w:t>
      </w:r>
      <w:r w:rsidR="005231D9" w:rsidRPr="00493E4F">
        <w:t xml:space="preserve"> of uninsured</w:t>
      </w:r>
      <w:r w:rsidRPr="00493E4F">
        <w:t xml:space="preserve">) </w:t>
      </w:r>
      <w:r w:rsidR="00334173" w:rsidRPr="00493E4F">
        <w:t>in both groups</w:t>
      </w:r>
      <w:r w:rsidRPr="00493E4F">
        <w:t xml:space="preserve">. </w:t>
      </w:r>
      <w:r w:rsidR="000E1C96" w:rsidRPr="00493E4F">
        <w:rPr>
          <w:noProof/>
        </w:rPr>
        <w:t>The p</w:t>
      </w:r>
      <w:r w:rsidR="00AB18B8" w:rsidRPr="00493E4F">
        <w:rPr>
          <w:noProof/>
        </w:rPr>
        <w:t>roportion</w:t>
      </w:r>
      <w:r w:rsidR="00AB18B8" w:rsidRPr="00493E4F">
        <w:t xml:space="preserve"> of a</w:t>
      </w:r>
      <w:r w:rsidR="00334173" w:rsidRPr="00493E4F">
        <w:t>gricultural work</w:t>
      </w:r>
      <w:r w:rsidR="00F17B12" w:rsidRPr="00493E4F">
        <w:t>er</w:t>
      </w:r>
      <w:r w:rsidR="00334173" w:rsidRPr="00493E4F">
        <w:t xml:space="preserve">, </w:t>
      </w:r>
      <w:r w:rsidR="00334173" w:rsidRPr="00493E4F">
        <w:rPr>
          <w:noProof/>
        </w:rPr>
        <w:t>daily</w:t>
      </w:r>
      <w:r w:rsidR="000E1C96" w:rsidRPr="00493E4F">
        <w:rPr>
          <w:noProof/>
        </w:rPr>
        <w:t xml:space="preserve"> </w:t>
      </w:r>
      <w:r w:rsidR="00220A0E" w:rsidRPr="00493E4F">
        <w:rPr>
          <w:noProof/>
        </w:rPr>
        <w:t>labour</w:t>
      </w:r>
      <w:r w:rsidR="00F17B12" w:rsidRPr="00493E4F">
        <w:rPr>
          <w:noProof/>
        </w:rPr>
        <w:t>er</w:t>
      </w:r>
      <w:r w:rsidR="00334173" w:rsidRPr="00493E4F">
        <w:t xml:space="preserve">, sales worker (shop-keeper), service </w:t>
      </w:r>
      <w:r w:rsidR="00F17B12" w:rsidRPr="00493E4F">
        <w:t>holder</w:t>
      </w:r>
      <w:r w:rsidR="00334173" w:rsidRPr="00493E4F">
        <w:t xml:space="preserve"> and transport </w:t>
      </w:r>
      <w:r w:rsidR="00334173" w:rsidRPr="00493E4F">
        <w:rPr>
          <w:noProof/>
        </w:rPr>
        <w:t>worker</w:t>
      </w:r>
      <w:r w:rsidR="000E1C96" w:rsidRPr="00493E4F">
        <w:rPr>
          <w:noProof/>
        </w:rPr>
        <w:t xml:space="preserve">s </w:t>
      </w:r>
      <w:r w:rsidR="0033341C" w:rsidRPr="00493E4F">
        <w:rPr>
          <w:noProof/>
        </w:rPr>
        <w:t>were</w:t>
      </w:r>
      <w:r w:rsidR="0033341C" w:rsidRPr="00493E4F">
        <w:t xml:space="preserve"> </w:t>
      </w:r>
      <w:r w:rsidRPr="00493E4F">
        <w:t>similar in both groups</w:t>
      </w:r>
      <w:r w:rsidR="00334173" w:rsidRPr="00493E4F">
        <w:t xml:space="preserve">. </w:t>
      </w:r>
      <w:r w:rsidR="00FE1022" w:rsidRPr="00493E4F">
        <w:t>T</w:t>
      </w:r>
      <w:r w:rsidR="00EE5A6C" w:rsidRPr="00493E4F">
        <w:t xml:space="preserve">he </w:t>
      </w:r>
      <w:r w:rsidR="00210B28" w:rsidRPr="00493E4F">
        <w:t xml:space="preserve">average </w:t>
      </w:r>
      <w:r w:rsidR="00EE5A6C" w:rsidRPr="00493E4F">
        <w:t xml:space="preserve">household </w:t>
      </w:r>
      <w:r w:rsidR="00FE1022" w:rsidRPr="00493E4F">
        <w:t xml:space="preserve">size was </w:t>
      </w:r>
      <w:r w:rsidR="00EE5A6C" w:rsidRPr="00493E4F">
        <w:t>5 persons</w:t>
      </w:r>
      <w:r w:rsidR="00FE1022" w:rsidRPr="00493E4F">
        <w:t xml:space="preserve"> or more in both group</w:t>
      </w:r>
      <w:r w:rsidR="004A3F6E" w:rsidRPr="00493E4F">
        <w:t>s</w:t>
      </w:r>
      <w:r w:rsidR="00FE1022" w:rsidRPr="00493E4F">
        <w:t xml:space="preserve"> (49.4% </w:t>
      </w:r>
      <w:r w:rsidR="002B20D9" w:rsidRPr="00493E4F">
        <w:t xml:space="preserve">in insured and </w:t>
      </w:r>
      <w:r w:rsidR="00FE1022" w:rsidRPr="00493E4F">
        <w:t>51.2%</w:t>
      </w:r>
      <w:r w:rsidR="002B20D9" w:rsidRPr="00493E4F">
        <w:t xml:space="preserve"> in uninsured</w:t>
      </w:r>
      <w:r w:rsidR="00FE1022" w:rsidRPr="00493E4F">
        <w:t>)</w:t>
      </w:r>
      <w:r w:rsidR="00EE5A6C" w:rsidRPr="00493E4F">
        <w:t xml:space="preserve">. </w:t>
      </w:r>
      <w:r w:rsidR="002105A9" w:rsidRPr="00493E4F">
        <w:t>The average household monthly income was</w:t>
      </w:r>
      <w:r w:rsidR="00EA1CDD" w:rsidRPr="00493E4F">
        <w:t xml:space="preserve"> significantly higher</w:t>
      </w:r>
      <w:r w:rsidR="002105A9" w:rsidRPr="00493E4F">
        <w:t xml:space="preserve"> in </w:t>
      </w:r>
      <w:r w:rsidR="00C378FE" w:rsidRPr="00493E4F">
        <w:t xml:space="preserve">the </w:t>
      </w:r>
      <w:r w:rsidR="002105A9" w:rsidRPr="00493E4F">
        <w:rPr>
          <w:noProof/>
        </w:rPr>
        <w:t>insured</w:t>
      </w:r>
      <w:r w:rsidR="002105A9" w:rsidRPr="00493E4F">
        <w:t xml:space="preserve"> group</w:t>
      </w:r>
      <w:r w:rsidR="00EA1CDD" w:rsidRPr="00493E4F">
        <w:t xml:space="preserve"> (19,148 BDT)</w:t>
      </w:r>
      <w:r w:rsidR="00003112" w:rsidRPr="00493E4F">
        <w:t xml:space="preserve"> </w:t>
      </w:r>
      <w:r w:rsidR="00EA1CDD" w:rsidRPr="00493E4F">
        <w:t>compared to</w:t>
      </w:r>
      <w:r w:rsidR="00003112" w:rsidRPr="00493E4F">
        <w:t xml:space="preserve"> uninsured group</w:t>
      </w:r>
      <w:r w:rsidR="00EA1CDD" w:rsidRPr="00493E4F">
        <w:t xml:space="preserve"> (17,969 BDT)</w:t>
      </w:r>
      <w:r w:rsidR="00003112" w:rsidRPr="00493E4F">
        <w:t xml:space="preserve"> before matching (Supplementary </w:t>
      </w:r>
      <w:r w:rsidR="00C378FE" w:rsidRPr="00493E4F">
        <w:rPr>
          <w:noProof/>
        </w:rPr>
        <w:t>T</w:t>
      </w:r>
      <w:r w:rsidR="00003112" w:rsidRPr="00493E4F">
        <w:rPr>
          <w:noProof/>
        </w:rPr>
        <w:t>able</w:t>
      </w:r>
      <w:r w:rsidR="00003112" w:rsidRPr="00493E4F">
        <w:t xml:space="preserve"> </w:t>
      </w:r>
      <w:r w:rsidR="001530E6" w:rsidRPr="00493E4F">
        <w:t>1</w:t>
      </w:r>
      <w:r w:rsidR="00003112" w:rsidRPr="00493E4F">
        <w:t xml:space="preserve">). </w:t>
      </w:r>
      <w:r w:rsidR="0035151F" w:rsidRPr="00493E4F">
        <w:t xml:space="preserve">Since we used asset quintile in PSM for </w:t>
      </w:r>
      <w:r w:rsidR="000223F1" w:rsidRPr="00493E4F">
        <w:t>matching</w:t>
      </w:r>
      <w:r w:rsidR="00904C72" w:rsidRPr="00493E4F">
        <w:t>,</w:t>
      </w:r>
      <w:r w:rsidR="0035151F" w:rsidRPr="00493E4F">
        <w:t xml:space="preserve"> we did not </w:t>
      </w:r>
      <w:r w:rsidR="000223F1" w:rsidRPr="00493E4F">
        <w:t>include</w:t>
      </w:r>
      <w:r w:rsidR="006244E0" w:rsidRPr="00493E4F">
        <w:t xml:space="preserve"> household monthly</w:t>
      </w:r>
      <w:r w:rsidR="0035151F" w:rsidRPr="00493E4F">
        <w:t xml:space="preserve"> income for matching.  </w:t>
      </w:r>
    </w:p>
    <w:p w14:paraId="17F7A9C7" w14:textId="77777777" w:rsidR="005F251A" w:rsidRPr="00493E4F" w:rsidRDefault="00176FAC" w:rsidP="00D724FB">
      <w:pPr>
        <w:spacing w:before="120" w:line="480" w:lineRule="auto"/>
        <w:jc w:val="both"/>
      </w:pPr>
      <w:r w:rsidRPr="00493E4F">
        <w:t xml:space="preserve">Table 2 presents </w:t>
      </w:r>
      <w:r w:rsidR="004F5988" w:rsidRPr="00493E4F">
        <w:t xml:space="preserve">the descriptive </w:t>
      </w:r>
      <w:r w:rsidR="00FF7A0C" w:rsidRPr="00493E4F">
        <w:t xml:space="preserve">statistics on </w:t>
      </w:r>
      <w:r w:rsidRPr="00493E4F">
        <w:t>OOP</w:t>
      </w:r>
      <w:r w:rsidR="0080420E" w:rsidRPr="00493E4F">
        <w:t xml:space="preserve"> </w:t>
      </w:r>
      <w:r w:rsidR="0080420E" w:rsidRPr="00493E4F">
        <w:rPr>
          <w:noProof/>
        </w:rPr>
        <w:t>payments</w:t>
      </w:r>
      <w:r w:rsidR="000E1C96" w:rsidRPr="00493E4F">
        <w:rPr>
          <w:noProof/>
        </w:rPr>
        <w:t xml:space="preserve"> in </w:t>
      </w:r>
      <w:r w:rsidRPr="00493E4F">
        <w:rPr>
          <w:noProof/>
        </w:rPr>
        <w:t>both</w:t>
      </w:r>
      <w:r w:rsidRPr="00493E4F">
        <w:t xml:space="preserve"> </w:t>
      </w:r>
      <w:r w:rsidRPr="00493E4F">
        <w:rPr>
          <w:noProof/>
        </w:rPr>
        <w:t>groups</w:t>
      </w:r>
      <w:r w:rsidR="000E1C96" w:rsidRPr="00493E4F">
        <w:rPr>
          <w:noProof/>
        </w:rPr>
        <w:t xml:space="preserve"> </w:t>
      </w:r>
      <w:r w:rsidR="00FF7A0C" w:rsidRPr="00493E4F">
        <w:rPr>
          <w:noProof/>
        </w:rPr>
        <w:t>for</w:t>
      </w:r>
      <w:r w:rsidR="00FF7A0C" w:rsidRPr="00493E4F">
        <w:t xml:space="preserve"> </w:t>
      </w:r>
      <w:r w:rsidR="00FF7A0C" w:rsidRPr="00493E4F">
        <w:rPr>
          <w:noProof/>
        </w:rPr>
        <w:t>seeking</w:t>
      </w:r>
      <w:r w:rsidR="000E1C96" w:rsidRPr="00493E4F">
        <w:rPr>
          <w:noProof/>
        </w:rPr>
        <w:t xml:space="preserve"> </w:t>
      </w:r>
      <w:r w:rsidR="00115773" w:rsidRPr="00493E4F">
        <w:rPr>
          <w:noProof/>
        </w:rPr>
        <w:t>he</w:t>
      </w:r>
      <w:r w:rsidR="00A03C21" w:rsidRPr="00493E4F">
        <w:rPr>
          <w:noProof/>
        </w:rPr>
        <w:t>althcare</w:t>
      </w:r>
      <w:r w:rsidR="00A03C21" w:rsidRPr="00493E4F">
        <w:t xml:space="preserve"> </w:t>
      </w:r>
      <w:r w:rsidR="009D7CD2" w:rsidRPr="00493E4F">
        <w:t xml:space="preserve">from </w:t>
      </w:r>
      <w:r w:rsidR="00615F3B" w:rsidRPr="00493E4F">
        <w:t>MTPs</w:t>
      </w:r>
      <w:r w:rsidR="00AB4457" w:rsidRPr="00493E4F">
        <w:t xml:space="preserve"> </w:t>
      </w:r>
      <w:r w:rsidR="00220A0E" w:rsidRPr="00493E4F">
        <w:t>and</w:t>
      </w:r>
      <w:r w:rsidR="00AB4457" w:rsidRPr="00493E4F">
        <w:t xml:space="preserve"> </w:t>
      </w:r>
      <w:r w:rsidR="00115773" w:rsidRPr="00493E4F">
        <w:t xml:space="preserve">from </w:t>
      </w:r>
      <w:r w:rsidR="009D7CD2" w:rsidRPr="00493E4F">
        <w:t>any providers</w:t>
      </w:r>
      <w:r w:rsidRPr="00493E4F">
        <w:t xml:space="preserve">. </w:t>
      </w:r>
      <w:r w:rsidR="005B26FC" w:rsidRPr="00493E4F">
        <w:t xml:space="preserve">Average </w:t>
      </w:r>
      <w:r w:rsidRPr="00493E4F">
        <w:t xml:space="preserve">OOP </w:t>
      </w:r>
      <w:r w:rsidR="000E780B" w:rsidRPr="00493E4F">
        <w:rPr>
          <w:noProof/>
        </w:rPr>
        <w:t>payment</w:t>
      </w:r>
      <w:r w:rsidR="003237AF" w:rsidRPr="00493E4F">
        <w:rPr>
          <w:noProof/>
        </w:rPr>
        <w:t>s</w:t>
      </w:r>
      <w:r w:rsidR="000E1C96" w:rsidRPr="00493E4F">
        <w:rPr>
          <w:noProof/>
        </w:rPr>
        <w:t xml:space="preserve"> </w:t>
      </w:r>
      <w:r w:rsidR="00EE2AE8" w:rsidRPr="00493E4F">
        <w:rPr>
          <w:noProof/>
        </w:rPr>
        <w:t>for</w:t>
      </w:r>
      <w:r w:rsidR="00EE2AE8" w:rsidRPr="00493E4F">
        <w:t xml:space="preserve"> seeking healthcare </w:t>
      </w:r>
      <w:r w:rsidR="00EE2AE8" w:rsidRPr="00493E4F">
        <w:rPr>
          <w:noProof/>
        </w:rPr>
        <w:t>from</w:t>
      </w:r>
      <w:r w:rsidR="000E1C96" w:rsidRPr="00493E4F">
        <w:rPr>
          <w:noProof/>
        </w:rPr>
        <w:t xml:space="preserve"> </w:t>
      </w:r>
      <w:r w:rsidR="00EE2AE8" w:rsidRPr="00493E4F">
        <w:rPr>
          <w:noProof/>
        </w:rPr>
        <w:t>all</w:t>
      </w:r>
      <w:r w:rsidR="00EE2AE8" w:rsidRPr="00493E4F">
        <w:t xml:space="preserve"> </w:t>
      </w:r>
      <w:r w:rsidR="00EE2AE8" w:rsidRPr="00493E4F">
        <w:rPr>
          <w:noProof/>
        </w:rPr>
        <w:t>provider</w:t>
      </w:r>
      <w:r w:rsidR="00A03C21" w:rsidRPr="00493E4F">
        <w:rPr>
          <w:noProof/>
        </w:rPr>
        <w:t>s</w:t>
      </w:r>
      <w:r w:rsidR="000E1C96" w:rsidRPr="00493E4F">
        <w:rPr>
          <w:noProof/>
        </w:rPr>
        <w:t xml:space="preserve"> </w:t>
      </w:r>
      <w:r w:rsidR="005B26FC" w:rsidRPr="00493E4F">
        <w:rPr>
          <w:noProof/>
        </w:rPr>
        <w:t>were</w:t>
      </w:r>
      <w:r w:rsidR="005B26FC" w:rsidRPr="00493E4F">
        <w:t xml:space="preserve"> lower in </w:t>
      </w:r>
      <w:r w:rsidR="000E1C96" w:rsidRPr="00493E4F">
        <w:t xml:space="preserve">the </w:t>
      </w:r>
      <w:r w:rsidR="005B26FC" w:rsidRPr="00493E4F">
        <w:rPr>
          <w:noProof/>
        </w:rPr>
        <w:t>insured</w:t>
      </w:r>
      <w:r w:rsidR="005B26FC" w:rsidRPr="00493E4F">
        <w:t xml:space="preserve"> group </w:t>
      </w:r>
      <w:r w:rsidR="000F0E44" w:rsidRPr="00493E4F">
        <w:t>(2,512 BDT</w:t>
      </w:r>
      <w:r w:rsidR="005B26FC" w:rsidRPr="00493E4F">
        <w:t>)</w:t>
      </w:r>
      <w:r w:rsidR="003026FA" w:rsidRPr="00493E4F">
        <w:t xml:space="preserve"> </w:t>
      </w:r>
      <w:r w:rsidR="005B26FC" w:rsidRPr="00493E4F">
        <w:t>compared to uninsured group</w:t>
      </w:r>
      <w:r w:rsidR="00565DCF" w:rsidRPr="00493E4F">
        <w:t xml:space="preserve"> </w:t>
      </w:r>
      <w:r w:rsidR="005B26FC" w:rsidRPr="00493E4F">
        <w:t>(</w:t>
      </w:r>
      <w:r w:rsidR="000F0E44" w:rsidRPr="00493E4F">
        <w:t xml:space="preserve">2,660 BDT) </w:t>
      </w:r>
      <w:r w:rsidR="005B26FC" w:rsidRPr="00493E4F">
        <w:t>though not statistically significant</w:t>
      </w:r>
      <w:r w:rsidR="00EE2AE8" w:rsidRPr="00493E4F">
        <w:t>.</w:t>
      </w:r>
      <w:r w:rsidR="005E2D87" w:rsidRPr="00493E4F">
        <w:t xml:space="preserve"> However</w:t>
      </w:r>
      <w:r w:rsidR="00830F3B" w:rsidRPr="00493E4F">
        <w:rPr>
          <w:noProof/>
        </w:rPr>
        <w:t>,</w:t>
      </w:r>
      <w:r w:rsidR="000E1C96" w:rsidRPr="00493E4F">
        <w:rPr>
          <w:noProof/>
        </w:rPr>
        <w:t xml:space="preserve"> </w:t>
      </w:r>
      <w:r w:rsidR="00FF7A0C" w:rsidRPr="00493E4F">
        <w:rPr>
          <w:noProof/>
        </w:rPr>
        <w:t>when</w:t>
      </w:r>
      <w:r w:rsidR="00FF7A0C" w:rsidRPr="00493E4F">
        <w:t xml:space="preserve"> compared </w:t>
      </w:r>
      <w:r w:rsidR="001D167B" w:rsidRPr="00493E4F">
        <w:t>t</w:t>
      </w:r>
      <w:r w:rsidR="008C248C" w:rsidRPr="00493E4F">
        <w:t>he</w:t>
      </w:r>
      <w:r w:rsidR="00FF7A0C" w:rsidRPr="00493E4F">
        <w:t xml:space="preserve"> </w:t>
      </w:r>
      <w:r w:rsidR="00FF7A0C" w:rsidRPr="00493E4F">
        <w:rPr>
          <w:noProof/>
        </w:rPr>
        <w:t>mean</w:t>
      </w:r>
      <w:r w:rsidR="000E1C96" w:rsidRPr="00493E4F">
        <w:rPr>
          <w:noProof/>
        </w:rPr>
        <w:t>s</w:t>
      </w:r>
      <w:r w:rsidR="005E2D87" w:rsidRPr="00493E4F">
        <w:t xml:space="preserve"> healthcare payment</w:t>
      </w:r>
      <w:r w:rsidR="00FF7A0C" w:rsidRPr="00493E4F">
        <w:t xml:space="preserve">s for utilizing healthcare from MTPs, we observed </w:t>
      </w:r>
      <w:r w:rsidR="005E2D87" w:rsidRPr="00493E4F">
        <w:t xml:space="preserve">significantly lower </w:t>
      </w:r>
      <w:r w:rsidR="00FF7A0C" w:rsidRPr="00493E4F">
        <w:t>amount in</w:t>
      </w:r>
      <w:r w:rsidR="005E2D87" w:rsidRPr="00493E4F">
        <w:t xml:space="preserve"> </w:t>
      </w:r>
      <w:r w:rsidR="00C378FE" w:rsidRPr="00493E4F">
        <w:t xml:space="preserve">the </w:t>
      </w:r>
      <w:r w:rsidR="005E2D87" w:rsidRPr="00493E4F">
        <w:rPr>
          <w:noProof/>
        </w:rPr>
        <w:t>insured</w:t>
      </w:r>
      <w:r w:rsidR="005E2D87" w:rsidRPr="00493E4F">
        <w:t xml:space="preserve"> </w:t>
      </w:r>
      <w:r w:rsidR="005E2D87" w:rsidRPr="00493E4F">
        <w:rPr>
          <w:noProof/>
        </w:rPr>
        <w:t>group</w:t>
      </w:r>
      <w:r w:rsidR="000E1C96" w:rsidRPr="00493E4F">
        <w:rPr>
          <w:noProof/>
        </w:rPr>
        <w:t xml:space="preserve"> </w:t>
      </w:r>
      <w:r w:rsidR="00FF7A0C" w:rsidRPr="00493E4F">
        <w:rPr>
          <w:noProof/>
        </w:rPr>
        <w:t>in</w:t>
      </w:r>
      <w:r w:rsidR="00FF7A0C" w:rsidRPr="00493E4F">
        <w:t xml:space="preserve"> comparison with uninsured </w:t>
      </w:r>
      <w:r w:rsidR="007C1F5E" w:rsidRPr="00493E4F">
        <w:t>(4,189 BDT versus 5,154 BDT)</w:t>
      </w:r>
      <w:r w:rsidR="005E2D87" w:rsidRPr="00493E4F">
        <w:rPr>
          <w:noProof/>
        </w:rPr>
        <w:t>.</w:t>
      </w:r>
      <w:r w:rsidR="00C378FE" w:rsidRPr="00493E4F">
        <w:rPr>
          <w:noProof/>
        </w:rPr>
        <w:t xml:space="preserve"> </w:t>
      </w:r>
      <w:r w:rsidR="00FF7A0C" w:rsidRPr="00493E4F">
        <w:rPr>
          <w:noProof/>
        </w:rPr>
        <w:t>W</w:t>
      </w:r>
      <w:r w:rsidR="00A909E6" w:rsidRPr="00493E4F">
        <w:rPr>
          <w:noProof/>
        </w:rPr>
        <w:t>e</w:t>
      </w:r>
      <w:r w:rsidR="000E1C96" w:rsidRPr="00493E4F">
        <w:rPr>
          <w:noProof/>
        </w:rPr>
        <w:t xml:space="preserve"> </w:t>
      </w:r>
      <w:r w:rsidR="00A909E6" w:rsidRPr="00493E4F">
        <w:rPr>
          <w:bCs/>
          <w:noProof/>
        </w:rPr>
        <w:t>further</w:t>
      </w:r>
      <w:r w:rsidR="00A909E6" w:rsidRPr="00493E4F">
        <w:rPr>
          <w:bCs/>
        </w:rPr>
        <w:t xml:space="preserve"> observed that i</w:t>
      </w:r>
      <w:r w:rsidR="008C43E3" w:rsidRPr="00493E4F">
        <w:rPr>
          <w:bCs/>
        </w:rPr>
        <w:t>rrespective of provider types, the OOP payments between insured and</w:t>
      </w:r>
      <w:r w:rsidR="00B26A77" w:rsidRPr="00493E4F">
        <w:t xml:space="preserve"> uninsured groups</w:t>
      </w:r>
      <w:r w:rsidR="00FF7A0C" w:rsidRPr="00493E4F">
        <w:t xml:space="preserve"> were significantly different between insured and </w:t>
      </w:r>
      <w:r w:rsidR="00FF7A0C" w:rsidRPr="00493E4F">
        <w:rPr>
          <w:noProof/>
        </w:rPr>
        <w:t>uninsured</w:t>
      </w:r>
      <w:r w:rsidR="000E1C96" w:rsidRPr="00493E4F">
        <w:rPr>
          <w:noProof/>
        </w:rPr>
        <w:t xml:space="preserve"> </w:t>
      </w:r>
      <w:r w:rsidR="00115773" w:rsidRPr="00493E4F">
        <w:rPr>
          <w:noProof/>
        </w:rPr>
        <w:t>when</w:t>
      </w:r>
      <w:r w:rsidR="00115773" w:rsidRPr="00493E4F">
        <w:t xml:space="preserve"> </w:t>
      </w:r>
      <w:r w:rsidR="00115773" w:rsidRPr="00493E4F">
        <w:rPr>
          <w:noProof/>
        </w:rPr>
        <w:t>disaggregated</w:t>
      </w:r>
      <w:r w:rsidR="000E1C96" w:rsidRPr="00493E4F">
        <w:rPr>
          <w:noProof/>
        </w:rPr>
        <w:t xml:space="preserve"> </w:t>
      </w:r>
      <w:r w:rsidR="00FF7A0C" w:rsidRPr="00493E4F">
        <w:rPr>
          <w:noProof/>
        </w:rPr>
        <w:t>into</w:t>
      </w:r>
      <w:r w:rsidR="000E1C96" w:rsidRPr="00493E4F">
        <w:rPr>
          <w:noProof/>
        </w:rPr>
        <w:t xml:space="preserve"> </w:t>
      </w:r>
      <w:r w:rsidR="00E71E89" w:rsidRPr="00493E4F">
        <w:rPr>
          <w:noProof/>
        </w:rPr>
        <w:t>different</w:t>
      </w:r>
      <w:r w:rsidR="00E71E89" w:rsidRPr="00493E4F">
        <w:t xml:space="preserve"> socioeconomic characteristics</w:t>
      </w:r>
      <w:r w:rsidR="007E725A" w:rsidRPr="00493E4F">
        <w:t xml:space="preserve"> namely, age-group, marital status</w:t>
      </w:r>
      <w:r w:rsidR="000E1C96" w:rsidRPr="00493E4F">
        <w:t>,</w:t>
      </w:r>
      <w:r w:rsidR="007E725A" w:rsidRPr="00493E4F">
        <w:t xml:space="preserve"> </w:t>
      </w:r>
      <w:r w:rsidR="007E725A" w:rsidRPr="00493E4F">
        <w:rPr>
          <w:noProof/>
        </w:rPr>
        <w:t>and</w:t>
      </w:r>
      <w:r w:rsidR="007E725A" w:rsidRPr="00493E4F">
        <w:t xml:space="preserve"> occupation</w:t>
      </w:r>
      <w:r w:rsidR="00A45806" w:rsidRPr="00493E4F">
        <w:t xml:space="preserve"> (Table 2)</w:t>
      </w:r>
      <w:r w:rsidR="00115773" w:rsidRPr="00493E4F">
        <w:t>.</w:t>
      </w:r>
    </w:p>
    <w:p w14:paraId="1338FA0F" w14:textId="77777777" w:rsidR="0061016A" w:rsidRPr="00493E4F" w:rsidRDefault="0061016A" w:rsidP="00D724FB">
      <w:pPr>
        <w:spacing w:before="120" w:line="480" w:lineRule="auto"/>
      </w:pPr>
    </w:p>
    <w:p w14:paraId="0BDDBEDC" w14:textId="77777777" w:rsidR="00AC4668" w:rsidRPr="00493E4F" w:rsidRDefault="00FF3DB3" w:rsidP="00D724FB">
      <w:pPr>
        <w:spacing w:before="120" w:line="480" w:lineRule="auto"/>
        <w:jc w:val="center"/>
      </w:pPr>
      <w:r w:rsidRPr="00493E4F">
        <w:t>(</w:t>
      </w:r>
      <w:r w:rsidR="005A7E9E" w:rsidRPr="00493E4F">
        <w:t>Table 2 to</w:t>
      </w:r>
      <w:r w:rsidR="00A44AD0" w:rsidRPr="00493E4F">
        <w:t xml:space="preserve"> be inserted here</w:t>
      </w:r>
      <w:r w:rsidRPr="00493E4F">
        <w:t>)</w:t>
      </w:r>
    </w:p>
    <w:p w14:paraId="54EFB43E" w14:textId="77777777" w:rsidR="00997F50" w:rsidRPr="00493E4F" w:rsidRDefault="00997F50" w:rsidP="00D724FB">
      <w:pPr>
        <w:spacing w:before="120" w:line="480" w:lineRule="auto"/>
      </w:pPr>
    </w:p>
    <w:p w14:paraId="0AE2A2D1" w14:textId="5795A2A3" w:rsidR="00AC4668" w:rsidRPr="00493E4F" w:rsidRDefault="007C6AFA" w:rsidP="00D724FB">
      <w:pPr>
        <w:spacing w:before="120" w:line="480" w:lineRule="auto"/>
        <w:jc w:val="both"/>
      </w:pPr>
      <w:r w:rsidRPr="00493E4F">
        <w:t xml:space="preserve">Table 3 </w:t>
      </w:r>
      <w:r w:rsidR="00763328" w:rsidRPr="00493E4F">
        <w:rPr>
          <w:noProof/>
        </w:rPr>
        <w:t>shows</w:t>
      </w:r>
      <w:r w:rsidR="0039563C" w:rsidRPr="00493E4F">
        <w:rPr>
          <w:noProof/>
        </w:rPr>
        <w:t xml:space="preserve"> </w:t>
      </w:r>
      <w:r w:rsidR="00F6342B" w:rsidRPr="00493E4F">
        <w:rPr>
          <w:noProof/>
        </w:rPr>
        <w:t>the</w:t>
      </w:r>
      <w:r w:rsidR="00F6342B" w:rsidRPr="00493E4F">
        <w:t xml:space="preserve"> </w:t>
      </w:r>
      <w:r w:rsidRPr="00493E4F">
        <w:t>estimated effect</w:t>
      </w:r>
      <w:r w:rsidR="00F92E4B" w:rsidRPr="00493E4F">
        <w:t>s</w:t>
      </w:r>
      <w:r w:rsidRPr="00493E4F">
        <w:t xml:space="preserve"> of CBHI enrolment on </w:t>
      </w:r>
      <w:r w:rsidR="000C3A42" w:rsidRPr="00493E4F">
        <w:t>OOP</w:t>
      </w:r>
      <w:r w:rsidR="003D7EB8" w:rsidRPr="00493E4F">
        <w:t xml:space="preserve"> payments for </w:t>
      </w:r>
      <w:r w:rsidRPr="00493E4F">
        <w:t xml:space="preserve">healthcare utilization from </w:t>
      </w:r>
      <w:r w:rsidR="000C750E" w:rsidRPr="00493E4F">
        <w:t>MTPs</w:t>
      </w:r>
      <w:r w:rsidR="00371B1B" w:rsidRPr="00493E4F">
        <w:t xml:space="preserve"> and</w:t>
      </w:r>
      <w:r w:rsidR="00763328" w:rsidRPr="00493E4F">
        <w:t xml:space="preserve"> </w:t>
      </w:r>
      <w:r w:rsidR="00371B1B" w:rsidRPr="00493E4F">
        <w:t xml:space="preserve">from all </w:t>
      </w:r>
      <w:r w:rsidR="00763328" w:rsidRPr="00493E4F">
        <w:t xml:space="preserve">types of </w:t>
      </w:r>
      <w:r w:rsidR="00371B1B" w:rsidRPr="00493E4F">
        <w:rPr>
          <w:noProof/>
        </w:rPr>
        <w:t>providers</w:t>
      </w:r>
      <w:r w:rsidR="0039563C" w:rsidRPr="00493E4F">
        <w:rPr>
          <w:noProof/>
        </w:rPr>
        <w:t xml:space="preserve"> </w:t>
      </w:r>
      <w:r w:rsidR="00F6342B" w:rsidRPr="00493E4F">
        <w:rPr>
          <w:noProof/>
        </w:rPr>
        <w:t>while</w:t>
      </w:r>
      <w:r w:rsidR="003D7EB8" w:rsidRPr="00493E4F">
        <w:t xml:space="preserve"> controlling for relevant covariates</w:t>
      </w:r>
      <w:r w:rsidR="00D3075B" w:rsidRPr="00493E4F">
        <w:t xml:space="preserve">, like demographic and socioeconomic characteristics. </w:t>
      </w:r>
      <w:r w:rsidR="003C7156" w:rsidRPr="00493E4F">
        <w:t xml:space="preserve">It </w:t>
      </w:r>
      <w:r w:rsidR="003C7156" w:rsidRPr="00493E4F">
        <w:rPr>
          <w:noProof/>
        </w:rPr>
        <w:t>was</w:t>
      </w:r>
      <w:r w:rsidR="0039563C" w:rsidRPr="00493E4F">
        <w:rPr>
          <w:noProof/>
        </w:rPr>
        <w:t xml:space="preserve"> </w:t>
      </w:r>
      <w:r w:rsidR="003D7EB8" w:rsidRPr="00493E4F">
        <w:rPr>
          <w:noProof/>
        </w:rPr>
        <w:t>found</w:t>
      </w:r>
      <w:r w:rsidR="003D7EB8" w:rsidRPr="00493E4F">
        <w:t xml:space="preserve"> that </w:t>
      </w:r>
      <w:r w:rsidR="00BD60A8" w:rsidRPr="00493E4F">
        <w:t xml:space="preserve">insured </w:t>
      </w:r>
      <w:r w:rsidR="00005343" w:rsidRPr="00493E4F">
        <w:t xml:space="preserve">individuals were </w:t>
      </w:r>
      <w:r w:rsidR="00753358" w:rsidRPr="00493E4F">
        <w:t xml:space="preserve">1.43 times </w:t>
      </w:r>
      <w:r w:rsidR="00005343" w:rsidRPr="00493E4F">
        <w:t>more likely</w:t>
      </w:r>
      <w:r w:rsidR="00E0146F" w:rsidRPr="00493E4F">
        <w:t xml:space="preserve"> (95% CI=1.22-1.68)</w:t>
      </w:r>
      <w:r w:rsidR="00005343" w:rsidRPr="00493E4F">
        <w:t xml:space="preserve"> to</w:t>
      </w:r>
      <w:r w:rsidR="00F218D8" w:rsidRPr="00493E4F">
        <w:t xml:space="preserve"> spend </w:t>
      </w:r>
      <w:r w:rsidR="00F218D8" w:rsidRPr="00493E4F">
        <w:rPr>
          <w:noProof/>
        </w:rPr>
        <w:t>for</w:t>
      </w:r>
      <w:r w:rsidR="0039563C" w:rsidRPr="00493E4F">
        <w:rPr>
          <w:noProof/>
        </w:rPr>
        <w:t xml:space="preserve"> </w:t>
      </w:r>
      <w:r w:rsidR="00A176A7" w:rsidRPr="00493E4F">
        <w:rPr>
          <w:noProof/>
        </w:rPr>
        <w:t>services</w:t>
      </w:r>
      <w:r w:rsidR="00A176A7" w:rsidRPr="00493E4F">
        <w:t xml:space="preserve"> from </w:t>
      </w:r>
      <w:r w:rsidR="00563FC2" w:rsidRPr="00493E4F">
        <w:t>MTPs</w:t>
      </w:r>
      <w:r w:rsidR="00005343" w:rsidRPr="00493E4F">
        <w:t xml:space="preserve"> and </w:t>
      </w:r>
      <w:r w:rsidR="00A14394" w:rsidRPr="00493E4F">
        <w:t xml:space="preserve">their </w:t>
      </w:r>
      <w:r w:rsidR="003D7EB8" w:rsidRPr="00493E4F">
        <w:t>OOP</w:t>
      </w:r>
      <w:r w:rsidR="0043047B" w:rsidRPr="00493E4F">
        <w:t xml:space="preserve"> payments </w:t>
      </w:r>
      <w:r w:rsidR="0043047B" w:rsidRPr="00493E4F">
        <w:rPr>
          <w:noProof/>
        </w:rPr>
        <w:t>were</w:t>
      </w:r>
      <w:r w:rsidR="0039563C" w:rsidRPr="00493E4F">
        <w:rPr>
          <w:noProof/>
        </w:rPr>
        <w:t xml:space="preserve"> </w:t>
      </w:r>
      <w:r w:rsidR="00A176A7" w:rsidRPr="00493E4F">
        <w:rPr>
          <w:noProof/>
        </w:rPr>
        <w:t>significantly</w:t>
      </w:r>
      <w:r w:rsidR="00A176A7" w:rsidRPr="00493E4F">
        <w:t xml:space="preserve"> less by </w:t>
      </w:r>
      <w:r w:rsidR="003D7EB8" w:rsidRPr="00493E4F">
        <w:t>6.</w:t>
      </w:r>
      <w:r w:rsidR="00005343" w:rsidRPr="00493E4F">
        <w:t>4</w:t>
      </w:r>
      <w:r w:rsidR="003D7EB8" w:rsidRPr="00493E4F">
        <w:t>0%</w:t>
      </w:r>
      <w:r w:rsidR="00F521FC" w:rsidRPr="00493E4F">
        <w:t xml:space="preserve"> </w:t>
      </w:r>
      <w:r w:rsidR="00C955C1" w:rsidRPr="00493E4F">
        <w:t>compared to uninsured</w:t>
      </w:r>
      <w:r w:rsidR="00A176A7" w:rsidRPr="00493E4F">
        <w:t>.</w:t>
      </w:r>
    </w:p>
    <w:p w14:paraId="338CDBCE" w14:textId="77777777" w:rsidR="0039283E" w:rsidRPr="00493E4F" w:rsidRDefault="0039283E" w:rsidP="00D724FB">
      <w:pPr>
        <w:spacing w:before="120" w:line="480" w:lineRule="auto"/>
        <w:jc w:val="center"/>
      </w:pPr>
    </w:p>
    <w:p w14:paraId="3DD94A4C" w14:textId="77777777" w:rsidR="008458A1" w:rsidRPr="00493E4F" w:rsidRDefault="00FF3DB3" w:rsidP="00D724FB">
      <w:pPr>
        <w:spacing w:before="120" w:line="480" w:lineRule="auto"/>
        <w:jc w:val="center"/>
      </w:pPr>
      <w:r w:rsidRPr="00493E4F">
        <w:t>(</w:t>
      </w:r>
      <w:r w:rsidR="005A7E9E" w:rsidRPr="00493E4F">
        <w:t>Table 3 to</w:t>
      </w:r>
      <w:r w:rsidR="0039283E" w:rsidRPr="00493E4F">
        <w:t xml:space="preserve"> be inserted here</w:t>
      </w:r>
      <w:r w:rsidRPr="00493E4F">
        <w:t>)</w:t>
      </w:r>
    </w:p>
    <w:p w14:paraId="540424FE" w14:textId="77777777" w:rsidR="0039283E" w:rsidRPr="00493E4F" w:rsidRDefault="0039283E" w:rsidP="00D724FB">
      <w:pPr>
        <w:spacing w:before="120" w:line="480" w:lineRule="auto"/>
        <w:jc w:val="center"/>
      </w:pPr>
    </w:p>
    <w:p w14:paraId="3E0C06E1" w14:textId="77777777" w:rsidR="00893067" w:rsidRPr="00493E4F" w:rsidRDefault="001167F1">
      <w:pPr>
        <w:spacing w:before="120" w:line="480" w:lineRule="auto"/>
        <w:jc w:val="both"/>
        <w:rPr>
          <w:bCs/>
          <w:noProof/>
        </w:rPr>
      </w:pPr>
      <w:r w:rsidRPr="00493E4F">
        <w:rPr>
          <w:bCs/>
        </w:rPr>
        <w:t>Along with enrolment in CBHI, marital status, occupation, education and asset quintile influence</w:t>
      </w:r>
      <w:r w:rsidR="00BB02B9" w:rsidRPr="00493E4F">
        <w:rPr>
          <w:bCs/>
        </w:rPr>
        <w:t>d</w:t>
      </w:r>
      <w:r w:rsidRPr="00493E4F">
        <w:rPr>
          <w:bCs/>
        </w:rPr>
        <w:t xml:space="preserve"> the </w:t>
      </w:r>
      <w:r w:rsidR="002B4569" w:rsidRPr="00493E4F">
        <w:rPr>
          <w:bCs/>
        </w:rPr>
        <w:t xml:space="preserve">OOP </w:t>
      </w:r>
      <w:r w:rsidR="002B4569" w:rsidRPr="00493E4F">
        <w:rPr>
          <w:bCs/>
          <w:noProof/>
        </w:rPr>
        <w:t>pay</w:t>
      </w:r>
      <w:r w:rsidR="0039563C" w:rsidRPr="00493E4F">
        <w:rPr>
          <w:bCs/>
          <w:noProof/>
        </w:rPr>
        <w:t>me</w:t>
      </w:r>
      <w:r w:rsidR="002B4569" w:rsidRPr="00493E4F">
        <w:rPr>
          <w:bCs/>
          <w:noProof/>
        </w:rPr>
        <w:t>nts</w:t>
      </w:r>
      <w:r w:rsidR="002B4569" w:rsidRPr="00493E4F">
        <w:rPr>
          <w:bCs/>
        </w:rPr>
        <w:t xml:space="preserve"> for </w:t>
      </w:r>
      <w:r w:rsidRPr="00493E4F">
        <w:rPr>
          <w:bCs/>
        </w:rPr>
        <w:t>utiliz</w:t>
      </w:r>
      <w:r w:rsidR="002B4569" w:rsidRPr="00493E4F">
        <w:rPr>
          <w:bCs/>
        </w:rPr>
        <w:t xml:space="preserve">ing services </w:t>
      </w:r>
      <w:r w:rsidRPr="00493E4F">
        <w:rPr>
          <w:bCs/>
        </w:rPr>
        <w:t xml:space="preserve">from </w:t>
      </w:r>
      <w:r w:rsidR="0003655E" w:rsidRPr="00493E4F">
        <w:rPr>
          <w:bCs/>
        </w:rPr>
        <w:t>MTPs</w:t>
      </w:r>
      <w:r w:rsidRPr="00493E4F">
        <w:rPr>
          <w:bCs/>
        </w:rPr>
        <w:t xml:space="preserve">. </w:t>
      </w:r>
      <w:r w:rsidR="00DC7B2D" w:rsidRPr="00493E4F">
        <w:rPr>
          <w:bCs/>
        </w:rPr>
        <w:t xml:space="preserve">Marital status </w:t>
      </w:r>
      <w:r w:rsidR="002B4569" w:rsidRPr="00493E4F">
        <w:rPr>
          <w:bCs/>
        </w:rPr>
        <w:t xml:space="preserve">(being unmarried) </w:t>
      </w:r>
      <w:r w:rsidR="00DC7B2D" w:rsidRPr="00493E4F">
        <w:rPr>
          <w:bCs/>
        </w:rPr>
        <w:t xml:space="preserve">had </w:t>
      </w:r>
      <w:r w:rsidR="0039563C" w:rsidRPr="00493E4F">
        <w:rPr>
          <w:bCs/>
        </w:rPr>
        <w:t xml:space="preserve">a </w:t>
      </w:r>
      <w:r w:rsidR="00DC7B2D" w:rsidRPr="00493E4F">
        <w:rPr>
          <w:bCs/>
          <w:noProof/>
        </w:rPr>
        <w:t>significantly</w:t>
      </w:r>
      <w:r w:rsidR="00DC7B2D" w:rsidRPr="00493E4F">
        <w:rPr>
          <w:bCs/>
        </w:rPr>
        <w:t xml:space="preserve"> negative effect on OOP payments. However, individuals</w:t>
      </w:r>
      <w:r w:rsidR="00BB02B9" w:rsidRPr="00493E4F">
        <w:rPr>
          <w:bCs/>
        </w:rPr>
        <w:t>’</w:t>
      </w:r>
      <w:r w:rsidR="00DC7B2D" w:rsidRPr="00493E4F">
        <w:rPr>
          <w:bCs/>
        </w:rPr>
        <w:t xml:space="preserve"> asset quintile, residential location, illness type and inpatient care utilization had </w:t>
      </w:r>
      <w:r w:rsidR="0039563C" w:rsidRPr="00493E4F">
        <w:rPr>
          <w:bCs/>
        </w:rPr>
        <w:t xml:space="preserve">a </w:t>
      </w:r>
      <w:r w:rsidR="00DC7B2D" w:rsidRPr="00493E4F">
        <w:rPr>
          <w:bCs/>
          <w:noProof/>
        </w:rPr>
        <w:t>significantly</w:t>
      </w:r>
      <w:r w:rsidR="00DC7B2D" w:rsidRPr="00493E4F">
        <w:rPr>
          <w:bCs/>
        </w:rPr>
        <w:t xml:space="preserve"> positive effect on OOP</w:t>
      </w:r>
      <w:r w:rsidR="00AB4457" w:rsidRPr="00493E4F">
        <w:rPr>
          <w:bCs/>
        </w:rPr>
        <w:t xml:space="preserve"> </w:t>
      </w:r>
      <w:r w:rsidR="00DC7B2D" w:rsidRPr="00493E4F">
        <w:rPr>
          <w:bCs/>
        </w:rPr>
        <w:t xml:space="preserve">payments. </w:t>
      </w:r>
      <w:r w:rsidR="004F4185" w:rsidRPr="00493E4F">
        <w:rPr>
          <w:bCs/>
        </w:rPr>
        <w:t>CBHI enrolment status</w:t>
      </w:r>
      <w:r w:rsidR="00753358" w:rsidRPr="00493E4F">
        <w:rPr>
          <w:bCs/>
        </w:rPr>
        <w:t>, however,</w:t>
      </w:r>
      <w:r w:rsidR="004F4185" w:rsidRPr="00493E4F">
        <w:rPr>
          <w:bCs/>
        </w:rPr>
        <w:t xml:space="preserve"> didn’t appear to </w:t>
      </w:r>
      <w:r w:rsidR="00B57686" w:rsidRPr="00493E4F">
        <w:rPr>
          <w:bCs/>
        </w:rPr>
        <w:t>have</w:t>
      </w:r>
      <w:r w:rsidR="004F4185" w:rsidRPr="00493E4F">
        <w:rPr>
          <w:bCs/>
        </w:rPr>
        <w:t xml:space="preserve"> </w:t>
      </w:r>
      <w:r w:rsidR="0039563C" w:rsidRPr="00493E4F">
        <w:rPr>
          <w:bCs/>
        </w:rPr>
        <w:t xml:space="preserve">a </w:t>
      </w:r>
      <w:r w:rsidR="004F4185" w:rsidRPr="00493E4F">
        <w:rPr>
          <w:bCs/>
          <w:noProof/>
        </w:rPr>
        <w:t>significant</w:t>
      </w:r>
      <w:r w:rsidR="004F4185" w:rsidRPr="00493E4F">
        <w:rPr>
          <w:bCs/>
        </w:rPr>
        <w:t xml:space="preserve"> </w:t>
      </w:r>
      <w:r w:rsidR="00D105BB" w:rsidRPr="00493E4F">
        <w:rPr>
          <w:bCs/>
        </w:rPr>
        <w:t>associat</w:t>
      </w:r>
      <w:r w:rsidR="00853E6B" w:rsidRPr="00493E4F">
        <w:rPr>
          <w:bCs/>
        </w:rPr>
        <w:t>ion</w:t>
      </w:r>
      <w:r w:rsidR="00D105BB" w:rsidRPr="00493E4F">
        <w:rPr>
          <w:bCs/>
        </w:rPr>
        <w:t xml:space="preserve"> with</w:t>
      </w:r>
      <w:r w:rsidR="004F4185" w:rsidRPr="00493E4F">
        <w:rPr>
          <w:bCs/>
        </w:rPr>
        <w:t xml:space="preserve"> OOP </w:t>
      </w:r>
      <w:r w:rsidR="004F4185" w:rsidRPr="00493E4F">
        <w:rPr>
          <w:bCs/>
          <w:noProof/>
        </w:rPr>
        <w:t>payments</w:t>
      </w:r>
      <w:r w:rsidR="0039563C" w:rsidRPr="00493E4F">
        <w:rPr>
          <w:bCs/>
          <w:noProof/>
        </w:rPr>
        <w:t xml:space="preserve"> </w:t>
      </w:r>
      <w:r w:rsidR="002B4569" w:rsidRPr="00493E4F">
        <w:rPr>
          <w:bCs/>
          <w:noProof/>
        </w:rPr>
        <w:t>while</w:t>
      </w:r>
      <w:r w:rsidR="002B4569" w:rsidRPr="00493E4F">
        <w:rPr>
          <w:bCs/>
        </w:rPr>
        <w:t xml:space="preserve"> we </w:t>
      </w:r>
      <w:r w:rsidR="002B4569" w:rsidRPr="00493E4F">
        <w:rPr>
          <w:bCs/>
          <w:noProof/>
        </w:rPr>
        <w:t>considered</w:t>
      </w:r>
      <w:r w:rsidR="0039563C" w:rsidRPr="00493E4F">
        <w:rPr>
          <w:bCs/>
          <w:noProof/>
        </w:rPr>
        <w:t xml:space="preserve"> </w:t>
      </w:r>
      <w:r w:rsidR="00753358" w:rsidRPr="00493E4F">
        <w:rPr>
          <w:bCs/>
          <w:noProof/>
        </w:rPr>
        <w:t>utiliz</w:t>
      </w:r>
      <w:r w:rsidR="002B4569" w:rsidRPr="00493E4F">
        <w:rPr>
          <w:bCs/>
          <w:noProof/>
        </w:rPr>
        <w:t>ation</w:t>
      </w:r>
      <w:r w:rsidR="002B4569" w:rsidRPr="00493E4F">
        <w:rPr>
          <w:bCs/>
        </w:rPr>
        <w:t xml:space="preserve"> of </w:t>
      </w:r>
      <w:r w:rsidR="00753358" w:rsidRPr="00493E4F">
        <w:rPr>
          <w:bCs/>
        </w:rPr>
        <w:t xml:space="preserve">healthcare from all </w:t>
      </w:r>
      <w:r w:rsidR="002B4569" w:rsidRPr="00493E4F">
        <w:rPr>
          <w:bCs/>
        </w:rPr>
        <w:t xml:space="preserve">types of </w:t>
      </w:r>
      <w:r w:rsidR="00753358" w:rsidRPr="00493E4F">
        <w:rPr>
          <w:bCs/>
        </w:rPr>
        <w:t>providers</w:t>
      </w:r>
      <w:r w:rsidR="002B4569" w:rsidRPr="00493E4F">
        <w:rPr>
          <w:bCs/>
        </w:rPr>
        <w:t xml:space="preserve"> (</w:t>
      </w:r>
      <w:r w:rsidR="00753358" w:rsidRPr="00493E4F">
        <w:rPr>
          <w:bCs/>
        </w:rPr>
        <w:t xml:space="preserve">including </w:t>
      </w:r>
      <w:r w:rsidR="00853E6B" w:rsidRPr="00493E4F">
        <w:rPr>
          <w:bCs/>
        </w:rPr>
        <w:t xml:space="preserve">MTPs </w:t>
      </w:r>
      <w:r w:rsidR="00753358" w:rsidRPr="00493E4F">
        <w:rPr>
          <w:bCs/>
        </w:rPr>
        <w:t>and non-trained ones</w:t>
      </w:r>
      <w:r w:rsidR="002B4569" w:rsidRPr="00493E4F">
        <w:rPr>
          <w:bCs/>
        </w:rPr>
        <w:t>) together in the analysis</w:t>
      </w:r>
      <w:r w:rsidR="004F4185" w:rsidRPr="00493E4F">
        <w:rPr>
          <w:bCs/>
          <w:noProof/>
        </w:rPr>
        <w:t>.</w:t>
      </w:r>
      <w:r w:rsidR="00AB4457" w:rsidRPr="00493E4F">
        <w:rPr>
          <w:bCs/>
          <w:noProof/>
        </w:rPr>
        <w:t xml:space="preserve"> </w:t>
      </w:r>
    </w:p>
    <w:p w14:paraId="6E70C113" w14:textId="77777777" w:rsidR="00602EFC" w:rsidRPr="00493E4F" w:rsidRDefault="002B4569">
      <w:pPr>
        <w:spacing w:before="120" w:line="480" w:lineRule="auto"/>
        <w:jc w:val="both"/>
        <w:rPr>
          <w:color w:val="000000"/>
        </w:rPr>
      </w:pPr>
      <w:r w:rsidRPr="00493E4F">
        <w:rPr>
          <w:bCs/>
          <w:noProof/>
        </w:rPr>
        <w:t>In</w:t>
      </w:r>
      <w:r w:rsidRPr="00493E4F">
        <w:rPr>
          <w:bCs/>
        </w:rPr>
        <w:t xml:space="preserve"> addition to the </w:t>
      </w:r>
      <w:r w:rsidR="00213EB6" w:rsidRPr="00493E4F">
        <w:rPr>
          <w:bCs/>
        </w:rPr>
        <w:t>tw</w:t>
      </w:r>
      <w:r w:rsidRPr="00493E4F">
        <w:rPr>
          <w:bCs/>
        </w:rPr>
        <w:t>o</w:t>
      </w:r>
      <w:r w:rsidR="00213EB6" w:rsidRPr="00493E4F">
        <w:rPr>
          <w:bCs/>
        </w:rPr>
        <w:t xml:space="preserve">-part model, we estimated </w:t>
      </w:r>
      <w:r w:rsidR="00C378FE" w:rsidRPr="00493E4F">
        <w:rPr>
          <w:bCs/>
        </w:rPr>
        <w:t xml:space="preserve">the </w:t>
      </w:r>
      <w:r w:rsidR="00213EB6" w:rsidRPr="00493E4F">
        <w:rPr>
          <w:bCs/>
          <w:noProof/>
        </w:rPr>
        <w:t>average</w:t>
      </w:r>
      <w:r w:rsidR="00213EB6" w:rsidRPr="00493E4F">
        <w:rPr>
          <w:bCs/>
        </w:rPr>
        <w:t xml:space="preserve"> insurance effect (AT</w:t>
      </w:r>
      <w:r w:rsidR="00576FA7" w:rsidRPr="00493E4F">
        <w:rPr>
          <w:bCs/>
        </w:rPr>
        <w:t>E</w:t>
      </w:r>
      <w:r w:rsidR="00213EB6" w:rsidRPr="00493E4F">
        <w:rPr>
          <w:bCs/>
        </w:rPr>
        <w:t>)</w:t>
      </w:r>
      <w:r w:rsidR="00A70C20" w:rsidRPr="00493E4F">
        <w:rPr>
          <w:bCs/>
        </w:rPr>
        <w:t xml:space="preserve"> </w:t>
      </w:r>
      <w:r w:rsidR="00213EB6" w:rsidRPr="00493E4F">
        <w:rPr>
          <w:bCs/>
        </w:rPr>
        <w:t>using the “</w:t>
      </w:r>
      <w:proofErr w:type="spellStart"/>
      <w:r w:rsidR="00213EB6" w:rsidRPr="00493E4F">
        <w:rPr>
          <w:bCs/>
          <w:noProof/>
        </w:rPr>
        <w:t>teffects</w:t>
      </w:r>
      <w:proofErr w:type="spellEnd"/>
      <w:r w:rsidR="00213EB6" w:rsidRPr="00493E4F">
        <w:rPr>
          <w:bCs/>
        </w:rPr>
        <w:t xml:space="preserve"> </w:t>
      </w:r>
      <w:r w:rsidR="00213EB6" w:rsidRPr="00493E4F">
        <w:rPr>
          <w:bCs/>
          <w:noProof/>
        </w:rPr>
        <w:t>psmatch</w:t>
      </w:r>
      <w:r w:rsidR="00213EB6" w:rsidRPr="00493E4F">
        <w:rPr>
          <w:bCs/>
        </w:rPr>
        <w:t>” command</w:t>
      </w:r>
      <w:r w:rsidR="00213EB6" w:rsidRPr="00493E4F">
        <w:rPr>
          <w:bCs/>
          <w:noProof/>
        </w:rPr>
        <w:t>.</w:t>
      </w:r>
      <w:r w:rsidR="0039563C" w:rsidRPr="00493E4F">
        <w:rPr>
          <w:bCs/>
          <w:noProof/>
        </w:rPr>
        <w:t xml:space="preserve"> </w:t>
      </w:r>
      <w:r w:rsidR="0086552E" w:rsidRPr="00493E4F">
        <w:rPr>
          <w:bCs/>
          <w:noProof/>
        </w:rPr>
        <w:t>This</w:t>
      </w:r>
      <w:r w:rsidR="0086552E" w:rsidRPr="00493E4F">
        <w:rPr>
          <w:bCs/>
        </w:rPr>
        <w:t xml:space="preserve"> analysis showed similar findings as </w:t>
      </w:r>
      <w:r w:rsidR="0039563C" w:rsidRPr="00493E4F">
        <w:rPr>
          <w:bCs/>
        </w:rPr>
        <w:t xml:space="preserve">a </w:t>
      </w:r>
      <w:r w:rsidR="0086552E" w:rsidRPr="00493E4F">
        <w:rPr>
          <w:bCs/>
          <w:noProof/>
        </w:rPr>
        <w:t>two-par</w:t>
      </w:r>
      <w:r w:rsidR="0039563C" w:rsidRPr="00493E4F">
        <w:rPr>
          <w:bCs/>
          <w:noProof/>
        </w:rPr>
        <w:t>t</w:t>
      </w:r>
      <w:r w:rsidR="0086552E" w:rsidRPr="00493E4F">
        <w:rPr>
          <w:bCs/>
        </w:rPr>
        <w:t xml:space="preserve"> model, meaning that</w:t>
      </w:r>
      <w:r w:rsidR="00213EB6" w:rsidRPr="00493E4F">
        <w:rPr>
          <w:bCs/>
        </w:rPr>
        <w:t xml:space="preserve"> the OOP expenditure was significantly </w:t>
      </w:r>
      <w:r w:rsidR="0086552E" w:rsidRPr="00493E4F">
        <w:rPr>
          <w:bCs/>
        </w:rPr>
        <w:t>lower</w:t>
      </w:r>
      <w:r w:rsidR="00213EB6" w:rsidRPr="00493E4F">
        <w:rPr>
          <w:bCs/>
        </w:rPr>
        <w:t xml:space="preserve"> among the CBHI enrolled individuals while utilizing healthcare from the MTPs</w:t>
      </w:r>
      <w:r w:rsidR="0086552E" w:rsidRPr="00493E4F">
        <w:rPr>
          <w:bCs/>
        </w:rPr>
        <w:t xml:space="preserve"> (Supplementary </w:t>
      </w:r>
      <w:r w:rsidR="00C378FE" w:rsidRPr="00493E4F">
        <w:rPr>
          <w:bCs/>
          <w:noProof/>
        </w:rPr>
        <w:t>T</w:t>
      </w:r>
      <w:r w:rsidR="0086552E" w:rsidRPr="00493E4F">
        <w:rPr>
          <w:bCs/>
          <w:noProof/>
        </w:rPr>
        <w:t>able</w:t>
      </w:r>
      <w:r w:rsidR="0086552E" w:rsidRPr="00493E4F">
        <w:rPr>
          <w:bCs/>
        </w:rPr>
        <w:t xml:space="preserve"> </w:t>
      </w:r>
      <w:r w:rsidR="00BA0797" w:rsidRPr="00493E4F">
        <w:rPr>
          <w:bCs/>
        </w:rPr>
        <w:t>2</w:t>
      </w:r>
      <w:r w:rsidR="0086552E" w:rsidRPr="00493E4F">
        <w:rPr>
          <w:bCs/>
        </w:rPr>
        <w:t>)</w:t>
      </w:r>
      <w:r w:rsidR="00213EB6" w:rsidRPr="00493E4F">
        <w:rPr>
          <w:bCs/>
        </w:rPr>
        <w:t xml:space="preserve">.  </w:t>
      </w:r>
      <w:r w:rsidR="0086552E" w:rsidRPr="00493E4F">
        <w:rPr>
          <w:bCs/>
        </w:rPr>
        <w:t xml:space="preserve">Further, </w:t>
      </w:r>
      <w:r w:rsidR="0039563C" w:rsidRPr="00493E4F">
        <w:rPr>
          <w:bCs/>
        </w:rPr>
        <w:t xml:space="preserve">the </w:t>
      </w:r>
      <w:r w:rsidR="0086552E" w:rsidRPr="00493E4F">
        <w:rPr>
          <w:bCs/>
          <w:noProof/>
        </w:rPr>
        <w:t>inclusion</w:t>
      </w:r>
      <w:r w:rsidR="0086552E" w:rsidRPr="00493E4F">
        <w:rPr>
          <w:bCs/>
        </w:rPr>
        <w:t xml:space="preserve"> of </w:t>
      </w:r>
      <w:r w:rsidR="00BC50EB" w:rsidRPr="00493E4F">
        <w:rPr>
          <w:color w:val="000000"/>
        </w:rPr>
        <w:t xml:space="preserve">the inverse </w:t>
      </w:r>
      <w:r w:rsidR="00BC50EB" w:rsidRPr="00493E4F">
        <w:rPr>
          <w:bCs/>
        </w:rPr>
        <w:t xml:space="preserve">probability weights from PSM </w:t>
      </w:r>
      <w:r w:rsidR="0086552E" w:rsidRPr="00493E4F">
        <w:rPr>
          <w:bCs/>
        </w:rPr>
        <w:t>in the analysis did not change the association between insurance enrolment and OOP payments for services from MTPs (see</w:t>
      </w:r>
      <w:r w:rsidR="00BC50EB" w:rsidRPr="00493E4F">
        <w:rPr>
          <w:bCs/>
        </w:rPr>
        <w:t xml:space="preserve"> Supplementary </w:t>
      </w:r>
      <w:r w:rsidR="00C378FE" w:rsidRPr="00493E4F">
        <w:rPr>
          <w:bCs/>
          <w:noProof/>
        </w:rPr>
        <w:t>T</w:t>
      </w:r>
      <w:r w:rsidR="00BC50EB" w:rsidRPr="00493E4F">
        <w:rPr>
          <w:bCs/>
          <w:noProof/>
        </w:rPr>
        <w:t>able</w:t>
      </w:r>
      <w:r w:rsidR="00BC50EB" w:rsidRPr="00493E4F">
        <w:rPr>
          <w:bCs/>
        </w:rPr>
        <w:t xml:space="preserve"> </w:t>
      </w:r>
      <w:r w:rsidR="00BA0797" w:rsidRPr="00493E4F">
        <w:rPr>
          <w:bCs/>
        </w:rPr>
        <w:t>3</w:t>
      </w:r>
      <w:r w:rsidR="0086552E" w:rsidRPr="00493E4F">
        <w:rPr>
          <w:bCs/>
        </w:rPr>
        <w:t>)</w:t>
      </w:r>
      <w:r w:rsidR="00BC50EB" w:rsidRPr="00493E4F">
        <w:rPr>
          <w:bCs/>
        </w:rPr>
        <w:t>.</w:t>
      </w:r>
      <w:r w:rsidR="0086552E" w:rsidRPr="00493E4F">
        <w:rPr>
          <w:bCs/>
        </w:rPr>
        <w:t xml:space="preserve"> </w:t>
      </w:r>
      <w:r w:rsidR="00893067" w:rsidRPr="00493E4F">
        <w:rPr>
          <w:color w:val="000000"/>
        </w:rPr>
        <w:t>The</w:t>
      </w:r>
      <w:r w:rsidR="00893067" w:rsidRPr="00493E4F">
        <w:t xml:space="preserve"> Tobit model </w:t>
      </w:r>
      <w:r w:rsidR="00242588" w:rsidRPr="00493E4F">
        <w:t xml:space="preserve">also </w:t>
      </w:r>
      <w:r w:rsidR="0005330C" w:rsidRPr="00493E4F">
        <w:t>showed significant</w:t>
      </w:r>
      <w:r w:rsidR="009E00D1" w:rsidRPr="00493E4F">
        <w:t>ly</w:t>
      </w:r>
      <w:r w:rsidR="0005330C" w:rsidRPr="00493E4F">
        <w:t xml:space="preserve"> less OOP payment among insured </w:t>
      </w:r>
      <w:r w:rsidR="009E00D1" w:rsidRPr="00493E4F">
        <w:t xml:space="preserve">for utilizing MTPs </w:t>
      </w:r>
      <w:r w:rsidR="0005330C" w:rsidRPr="00493E4F">
        <w:t xml:space="preserve">compared to </w:t>
      </w:r>
      <w:r w:rsidR="00C378FE" w:rsidRPr="00493E4F">
        <w:t xml:space="preserve">the </w:t>
      </w:r>
      <w:r w:rsidR="0005330C" w:rsidRPr="00493E4F">
        <w:rPr>
          <w:noProof/>
        </w:rPr>
        <w:t>uninsured</w:t>
      </w:r>
      <w:r w:rsidR="0005330C" w:rsidRPr="00493E4F">
        <w:t xml:space="preserve"> group while controlling for </w:t>
      </w:r>
      <w:r w:rsidR="00C378FE" w:rsidRPr="00493E4F">
        <w:t xml:space="preserve">a </w:t>
      </w:r>
      <w:r w:rsidR="0005330C" w:rsidRPr="00493E4F">
        <w:rPr>
          <w:noProof/>
        </w:rPr>
        <w:t>number</w:t>
      </w:r>
      <w:r w:rsidR="0005330C" w:rsidRPr="00493E4F">
        <w:t xml:space="preserve"> of demographic and socioeconomic factors (S</w:t>
      </w:r>
      <w:r w:rsidR="00893067" w:rsidRPr="00493E4F">
        <w:t xml:space="preserve">upplementary </w:t>
      </w:r>
      <w:r w:rsidR="00C378FE" w:rsidRPr="00493E4F">
        <w:rPr>
          <w:noProof/>
        </w:rPr>
        <w:t>T</w:t>
      </w:r>
      <w:r w:rsidR="0005330C" w:rsidRPr="00493E4F">
        <w:rPr>
          <w:noProof/>
        </w:rPr>
        <w:t>able</w:t>
      </w:r>
      <w:r w:rsidR="0005330C" w:rsidRPr="00493E4F">
        <w:t xml:space="preserve"> </w:t>
      </w:r>
      <w:r w:rsidR="00BA0797" w:rsidRPr="00493E4F">
        <w:t>4</w:t>
      </w:r>
      <w:r w:rsidR="0005330C" w:rsidRPr="00493E4F">
        <w:t>).</w:t>
      </w:r>
      <w:r w:rsidR="00E15FA5" w:rsidRPr="00493E4F">
        <w:rPr>
          <w:bCs/>
        </w:rPr>
        <w:t xml:space="preserve"> It implies that the usage of different relevant analysis techniques verified our findings from the two-part model.</w:t>
      </w:r>
    </w:p>
    <w:p w14:paraId="368EFFBB" w14:textId="77777777" w:rsidR="00180615" w:rsidRPr="00493E4F" w:rsidRDefault="000A08C6" w:rsidP="00751EE2">
      <w:pPr>
        <w:spacing w:after="200" w:line="276" w:lineRule="auto"/>
        <w:rPr>
          <w:rFonts w:eastAsiaTheme="majorEastAsia"/>
          <w:b/>
          <w:bCs/>
        </w:rPr>
      </w:pPr>
      <w:r w:rsidRPr="00493E4F">
        <w:rPr>
          <w:b/>
        </w:rPr>
        <w:t>Discussion</w:t>
      </w:r>
    </w:p>
    <w:p w14:paraId="26F57031" w14:textId="79BE6262" w:rsidR="00900403" w:rsidRPr="00493E4F" w:rsidRDefault="006E4537" w:rsidP="00D724FB">
      <w:pPr>
        <w:spacing w:before="120" w:line="480" w:lineRule="auto"/>
        <w:jc w:val="both"/>
      </w:pPr>
      <w:r w:rsidRPr="00493E4F">
        <w:t xml:space="preserve">The pilot </w:t>
      </w:r>
      <w:r w:rsidR="00062EB1" w:rsidRPr="00493E4F">
        <w:t>CBHI</w:t>
      </w:r>
      <w:r w:rsidR="00AB4457" w:rsidRPr="00493E4F">
        <w:t xml:space="preserve"> </w:t>
      </w:r>
      <w:r w:rsidRPr="00493E4F">
        <w:t xml:space="preserve">scheme offered health </w:t>
      </w:r>
      <w:r w:rsidRPr="00493E4F">
        <w:rPr>
          <w:noProof/>
        </w:rPr>
        <w:t>benefit</w:t>
      </w:r>
      <w:r w:rsidR="0039563C" w:rsidRPr="00493E4F">
        <w:rPr>
          <w:noProof/>
        </w:rPr>
        <w:t>s</w:t>
      </w:r>
      <w:r w:rsidRPr="00493E4F">
        <w:t xml:space="preserve"> package consisting of mainly primary care with affordable co-payment and an opportunity for reimbursement for inpatient care</w:t>
      </w:r>
      <w:r w:rsidR="003C7A83" w:rsidRPr="00493E4F">
        <w:t xml:space="preserve"> with a ceiling</w:t>
      </w:r>
      <w:r w:rsidRPr="00493E4F">
        <w:rPr>
          <w:noProof/>
        </w:rPr>
        <w:t>.</w:t>
      </w:r>
      <w:r w:rsidR="0039563C" w:rsidRPr="00493E4F">
        <w:rPr>
          <w:noProof/>
        </w:rPr>
        <w:t xml:space="preserve"> </w:t>
      </w:r>
      <w:bookmarkStart w:id="10" w:name="_Hlk15325610"/>
      <w:r w:rsidR="00BA0135" w:rsidRPr="00493E4F">
        <w:rPr>
          <w:noProof/>
        </w:rPr>
        <w:t>W</w:t>
      </w:r>
      <w:r w:rsidR="00E927B1" w:rsidRPr="00493E4F">
        <w:rPr>
          <w:noProof/>
        </w:rPr>
        <w:t>e</w:t>
      </w:r>
      <w:r w:rsidR="00E927B1" w:rsidRPr="00493E4F">
        <w:t xml:space="preserve"> </w:t>
      </w:r>
      <w:r w:rsidR="00BA0135" w:rsidRPr="00493E4F">
        <w:t>f</w:t>
      </w:r>
      <w:r w:rsidR="00E927B1" w:rsidRPr="00493E4F">
        <w:t xml:space="preserve">ound that </w:t>
      </w:r>
      <w:r w:rsidR="00AB4457" w:rsidRPr="00493E4F">
        <w:t xml:space="preserve">OOP payments for healthcare utilization from MTPs </w:t>
      </w:r>
      <w:r w:rsidR="00AB4457" w:rsidRPr="00493E4F">
        <w:rPr>
          <w:noProof/>
        </w:rPr>
        <w:t>were</w:t>
      </w:r>
      <w:r w:rsidR="00F6342B" w:rsidRPr="00493E4F">
        <w:t xml:space="preserve"> significantly lower among</w:t>
      </w:r>
      <w:r w:rsidR="00AD5DE7" w:rsidRPr="00493E4F">
        <w:t xml:space="preserve"> workers </w:t>
      </w:r>
      <w:r w:rsidR="00AD5DE7" w:rsidRPr="00493E4F">
        <w:rPr>
          <w:noProof/>
        </w:rPr>
        <w:t>in</w:t>
      </w:r>
      <w:r w:rsidR="0039563C" w:rsidRPr="00493E4F">
        <w:rPr>
          <w:noProof/>
        </w:rPr>
        <w:t xml:space="preserve"> </w:t>
      </w:r>
      <w:r w:rsidR="00C378FE" w:rsidRPr="00493E4F">
        <w:rPr>
          <w:noProof/>
        </w:rPr>
        <w:t xml:space="preserve">the </w:t>
      </w:r>
      <w:r w:rsidR="00040AB3" w:rsidRPr="00493E4F">
        <w:rPr>
          <w:noProof/>
        </w:rPr>
        <w:t>insured</w:t>
      </w:r>
      <w:r w:rsidR="00040AB3" w:rsidRPr="00493E4F">
        <w:t xml:space="preserve"> </w:t>
      </w:r>
      <w:r w:rsidR="00AD5DE7" w:rsidRPr="00493E4F">
        <w:t xml:space="preserve">group </w:t>
      </w:r>
      <w:r w:rsidR="00F6342B" w:rsidRPr="00493E4F">
        <w:t xml:space="preserve">in comparison </w:t>
      </w:r>
      <w:r w:rsidR="00F6342B" w:rsidRPr="00493E4F">
        <w:rPr>
          <w:noProof/>
        </w:rPr>
        <w:t>with</w:t>
      </w:r>
      <w:r w:rsidR="0039563C" w:rsidRPr="00493E4F">
        <w:rPr>
          <w:noProof/>
        </w:rPr>
        <w:t xml:space="preserve"> </w:t>
      </w:r>
      <w:r w:rsidR="00C378FE" w:rsidRPr="00493E4F">
        <w:rPr>
          <w:noProof/>
        </w:rPr>
        <w:t xml:space="preserve">the </w:t>
      </w:r>
      <w:r w:rsidR="00040AB3" w:rsidRPr="00493E4F">
        <w:rPr>
          <w:noProof/>
        </w:rPr>
        <w:t>uninsured</w:t>
      </w:r>
      <w:r w:rsidR="0039563C" w:rsidRPr="00493E4F">
        <w:rPr>
          <w:noProof/>
        </w:rPr>
        <w:t xml:space="preserve"> </w:t>
      </w:r>
      <w:r w:rsidR="00AD5DE7" w:rsidRPr="00493E4F">
        <w:rPr>
          <w:noProof/>
        </w:rPr>
        <w:t>group</w:t>
      </w:r>
      <w:r w:rsidR="00AD5DE7" w:rsidRPr="00493E4F">
        <w:t>,</w:t>
      </w:r>
      <w:r w:rsidR="001E2C87" w:rsidRPr="00493E4F">
        <w:t xml:space="preserve"> which</w:t>
      </w:r>
      <w:r w:rsidR="008D295B" w:rsidRPr="00493E4F">
        <w:t xml:space="preserve"> can be explained by lower co-payment of </w:t>
      </w:r>
      <w:r w:rsidR="008D295B" w:rsidRPr="00493E4F">
        <w:rPr>
          <w:noProof/>
        </w:rPr>
        <w:t>enro</w:t>
      </w:r>
      <w:r w:rsidR="0039563C" w:rsidRPr="00493E4F">
        <w:rPr>
          <w:noProof/>
        </w:rPr>
        <w:t>l</w:t>
      </w:r>
      <w:r w:rsidR="008D295B" w:rsidRPr="00493E4F">
        <w:rPr>
          <w:noProof/>
        </w:rPr>
        <w:t>lees</w:t>
      </w:r>
      <w:r w:rsidR="008D295B" w:rsidRPr="00493E4F">
        <w:t xml:space="preserve"> due to </w:t>
      </w:r>
      <w:r w:rsidR="00976987" w:rsidRPr="00493E4F">
        <w:t xml:space="preserve">their entitlement to the </w:t>
      </w:r>
      <w:r w:rsidR="008D295B" w:rsidRPr="00493E4F">
        <w:t>benefit</w:t>
      </w:r>
      <w:r w:rsidR="0039563C" w:rsidRPr="00493E4F">
        <w:t>s</w:t>
      </w:r>
      <w:r w:rsidR="008D295B" w:rsidRPr="00493E4F">
        <w:t xml:space="preserve"> package.</w:t>
      </w:r>
      <w:r w:rsidR="0039563C" w:rsidRPr="00493E4F">
        <w:t xml:space="preserve"> </w:t>
      </w:r>
      <w:bookmarkStart w:id="11" w:name="_Hlk14720731"/>
      <w:r w:rsidR="00976987" w:rsidRPr="00493E4F">
        <w:t xml:space="preserve">The health </w:t>
      </w:r>
      <w:r w:rsidR="00AB4457" w:rsidRPr="00493E4F">
        <w:t>services from non-trained providers, on the contrary, were</w:t>
      </w:r>
      <w:r w:rsidR="00976987" w:rsidRPr="00493E4F">
        <w:t xml:space="preserve"> not covered by the insurance benefits package and OOP payments for such services</w:t>
      </w:r>
      <w:r w:rsidR="0039563C" w:rsidRPr="00493E4F">
        <w:t xml:space="preserve"> </w:t>
      </w:r>
      <w:r w:rsidR="00976987" w:rsidRPr="00493E4F">
        <w:t>did not reduce as expected</w:t>
      </w:r>
      <w:r w:rsidR="00262F93" w:rsidRPr="00493E4F">
        <w:t xml:space="preserve">. Since </w:t>
      </w:r>
      <w:r w:rsidR="00F2016C" w:rsidRPr="00493E4F">
        <w:t>enrolees</w:t>
      </w:r>
      <w:r w:rsidR="00262F93" w:rsidRPr="00493E4F">
        <w:t xml:space="preserve"> of the insurance scheme utilized health services from other service providers than the contracted ones (by </w:t>
      </w:r>
      <w:r w:rsidR="0039563C" w:rsidRPr="00493E4F">
        <w:t xml:space="preserve">the </w:t>
      </w:r>
      <w:r w:rsidR="00262F93" w:rsidRPr="00493E4F">
        <w:t>scheme), the OOP payments for health services from all types of providers did not decrease significantly. However, it needs to be noted here that for achieving UHC the quality of healthcare is crucial</w:t>
      </w:r>
      <w:r w:rsidR="00706BBE" w:rsidRPr="00493E4F">
        <w:t xml:space="preserve">. The World Health Organization noticed that </w:t>
      </w:r>
      <w:r w:rsidR="00706BBE" w:rsidRPr="00493E4F">
        <w:rPr>
          <w:noProof/>
        </w:rPr>
        <w:t>healthcare</w:t>
      </w:r>
      <w:r w:rsidR="00706BBE" w:rsidRPr="00493E4F">
        <w:t xml:space="preserve"> should be safe</w:t>
      </w:r>
      <w:r w:rsidR="00262F93" w:rsidRPr="00493E4F">
        <w:t>, effective</w:t>
      </w:r>
      <w:r w:rsidR="00706BBE" w:rsidRPr="00493E4F">
        <w:t>, people-</w:t>
      </w:r>
      <w:r w:rsidR="00A64FC0" w:rsidRPr="00493E4F">
        <w:t>centred</w:t>
      </w:r>
      <w:r w:rsidR="00706BBE" w:rsidRPr="00493E4F">
        <w:t xml:space="preserve"> and timely.</w:t>
      </w:r>
      <w:r w:rsidR="00A87675" w:rsidRPr="00493E4F">
        <w:rPr>
          <w:lang w:val="en-US"/>
        </w:rPr>
        <w:fldChar w:fldCharType="begin" w:fldLock="1"/>
      </w:r>
      <w:r w:rsidR="00A87675" w:rsidRPr="00493E4F">
        <w:rPr>
          <w:lang w:val="en-US"/>
        </w:rPr>
        <w:instrText>ADDIN CSL_CITATION {"citationItems":[{"id":"ITEM-1","itemData":{"URL":"http://www.who.int/servicedeliverysafety/areas/qhc/en/","accessed":{"date-parts":[["2018","4","16"]]},"author":[{"dropping-particle":"","family":"WHO","given":"","non-dropping-particle":"","parse-names":false,"suffix":""}],"id":"ITEM-1","issued":{"date-parts":[["0"]]},"title":"Quality in universal health coverage","type":"webpage"},"uris":["http://www.mendeley.com/documents/?uuid=4d7cd64b-4e55-4d21-b41b-0c9d85d0f49c"]}],"mendeley":{"formattedCitation":"&lt;sup&gt;16&lt;/sup&gt;","plainTextFormattedCitation":"16","previouslyFormattedCitation":"&lt;sup&gt;16&lt;/sup&gt;"},"properties":{"noteIndex":0},"schema":"https://github.com/citation-style-language/schema/raw/master/csl-citation.json"}</w:instrText>
      </w:r>
      <w:r w:rsidR="00A87675" w:rsidRPr="00493E4F">
        <w:rPr>
          <w:lang w:val="en-US"/>
        </w:rPr>
        <w:fldChar w:fldCharType="separate"/>
      </w:r>
      <w:r w:rsidR="00A87675" w:rsidRPr="00493E4F">
        <w:rPr>
          <w:noProof/>
          <w:vertAlign w:val="superscript"/>
          <w:lang w:val="en-US"/>
        </w:rPr>
        <w:t>16</w:t>
      </w:r>
      <w:r w:rsidR="00A87675" w:rsidRPr="00493E4F">
        <w:rPr>
          <w:lang w:val="en-US"/>
        </w:rPr>
        <w:fldChar w:fldCharType="end"/>
      </w:r>
      <w:r w:rsidR="00A87675" w:rsidRPr="00493E4F">
        <w:rPr>
          <w:lang w:val="en-US"/>
        </w:rPr>
        <w:t xml:space="preserve"> </w:t>
      </w:r>
      <w:r w:rsidR="00706BBE" w:rsidRPr="00493E4F">
        <w:t xml:space="preserve"> Securing such quality of care, contracting medically trained providers for healthcare delivery of insured is imperative, which has been focused in this study.</w:t>
      </w:r>
      <w:r w:rsidR="0039563C" w:rsidRPr="00493E4F">
        <w:t xml:space="preserve"> </w:t>
      </w:r>
      <w:r w:rsidR="00E1324F" w:rsidRPr="00493E4F">
        <w:t>The</w:t>
      </w:r>
      <w:r w:rsidR="00706BBE" w:rsidRPr="00493E4F">
        <w:t xml:space="preserve"> CBH</w:t>
      </w:r>
      <w:r w:rsidR="00C378FE" w:rsidRPr="00493E4F">
        <w:t>I</w:t>
      </w:r>
      <w:r w:rsidR="00706BBE" w:rsidRPr="00493E4F">
        <w:t xml:space="preserve"> scheme had assigned </w:t>
      </w:r>
      <w:r w:rsidR="0039563C" w:rsidRPr="00493E4F">
        <w:t xml:space="preserve">a </w:t>
      </w:r>
      <w:r w:rsidR="00706BBE" w:rsidRPr="00493E4F">
        <w:t xml:space="preserve">doctor and diagnostic </w:t>
      </w:r>
      <w:r w:rsidR="00706BBE" w:rsidRPr="00493E4F">
        <w:rPr>
          <w:noProof/>
        </w:rPr>
        <w:t>cent</w:t>
      </w:r>
      <w:r w:rsidR="00C378FE" w:rsidRPr="00493E4F">
        <w:rPr>
          <w:noProof/>
        </w:rPr>
        <w:t>re</w:t>
      </w:r>
      <w:r w:rsidR="00706BBE" w:rsidRPr="00493E4F">
        <w:t xml:space="preserve">. </w:t>
      </w:r>
      <w:r w:rsidR="009E283A" w:rsidRPr="00493E4F">
        <w:t xml:space="preserve">Information about </w:t>
      </w:r>
      <w:r w:rsidR="0039563C" w:rsidRPr="00493E4F">
        <w:t xml:space="preserve">the </w:t>
      </w:r>
      <w:r w:rsidR="009E283A" w:rsidRPr="00493E4F">
        <w:t>place for care seeking in advance c</w:t>
      </w:r>
      <w:r w:rsidR="00706BBE" w:rsidRPr="00493E4F">
        <w:t>ould</w:t>
      </w:r>
      <w:r w:rsidR="009E283A" w:rsidRPr="00493E4F">
        <w:t xml:space="preserve"> have a </w:t>
      </w:r>
      <w:r w:rsidR="002D486E" w:rsidRPr="00493E4F">
        <w:t>favourable</w:t>
      </w:r>
      <w:r w:rsidR="009E283A" w:rsidRPr="00493E4F">
        <w:t xml:space="preserve"> influence on travel costs of care seekers. </w:t>
      </w:r>
      <w:r w:rsidR="00086481" w:rsidRPr="00493E4F">
        <w:t xml:space="preserve">Further, care-seeking in satellite clinics did not cost the patients for travels as </w:t>
      </w:r>
      <w:r w:rsidR="00D80E06" w:rsidRPr="00493E4F">
        <w:t xml:space="preserve">the </w:t>
      </w:r>
      <w:r w:rsidR="00706BBE" w:rsidRPr="00493E4F">
        <w:t>insured</w:t>
      </w:r>
      <w:r w:rsidR="0039563C" w:rsidRPr="00493E4F">
        <w:t xml:space="preserve"> </w:t>
      </w:r>
      <w:r w:rsidR="00996990" w:rsidRPr="00493E4F">
        <w:t xml:space="preserve">patients </w:t>
      </w:r>
      <w:r w:rsidR="00706BBE" w:rsidRPr="00493E4F">
        <w:t>lived</w:t>
      </w:r>
      <w:r w:rsidR="0039563C" w:rsidRPr="00493E4F">
        <w:t xml:space="preserve"> </w:t>
      </w:r>
      <w:r w:rsidR="00086481" w:rsidRPr="00493E4F">
        <w:t xml:space="preserve">close to </w:t>
      </w:r>
      <w:r w:rsidR="009F59B8" w:rsidRPr="00493E4F">
        <w:t>such clinics</w:t>
      </w:r>
      <w:r w:rsidR="00996990" w:rsidRPr="00493E4F">
        <w:t xml:space="preserve">. </w:t>
      </w:r>
      <w:bookmarkEnd w:id="10"/>
    </w:p>
    <w:bookmarkEnd w:id="11"/>
    <w:p w14:paraId="30DDD7AD" w14:textId="79CDBBD2" w:rsidR="00F44493" w:rsidRPr="00493E4F" w:rsidRDefault="002A2306" w:rsidP="00D724FB">
      <w:pPr>
        <w:spacing w:before="120" w:line="480" w:lineRule="auto"/>
        <w:jc w:val="both"/>
      </w:pPr>
      <w:r w:rsidRPr="00493E4F">
        <w:t xml:space="preserve">In addition to our main variable of interest, we found some significant association of control variables with the dependent variable. </w:t>
      </w:r>
      <w:r w:rsidR="00027B7E" w:rsidRPr="00493E4F">
        <w:t>Unm</w:t>
      </w:r>
      <w:r w:rsidR="00CF654B" w:rsidRPr="00493E4F">
        <w:t xml:space="preserve">arried individual spent 5.7% less OOP </w:t>
      </w:r>
      <w:r w:rsidR="007842DA" w:rsidRPr="00493E4F">
        <w:t xml:space="preserve">compared to </w:t>
      </w:r>
      <w:r w:rsidR="00C378FE" w:rsidRPr="00493E4F">
        <w:t xml:space="preserve">a </w:t>
      </w:r>
      <w:r w:rsidR="007842DA" w:rsidRPr="00493E4F">
        <w:rPr>
          <w:noProof/>
        </w:rPr>
        <w:t>married</w:t>
      </w:r>
      <w:r w:rsidR="007842DA" w:rsidRPr="00493E4F">
        <w:t xml:space="preserve"> </w:t>
      </w:r>
      <w:r w:rsidR="007842DA" w:rsidRPr="00493E4F">
        <w:rPr>
          <w:noProof/>
        </w:rPr>
        <w:t>individual</w:t>
      </w:r>
      <w:r w:rsidR="0039563C" w:rsidRPr="00493E4F">
        <w:rPr>
          <w:noProof/>
        </w:rPr>
        <w:t xml:space="preserve"> </w:t>
      </w:r>
      <w:r w:rsidRPr="00493E4F">
        <w:rPr>
          <w:noProof/>
        </w:rPr>
        <w:t>for</w:t>
      </w:r>
      <w:r w:rsidRPr="00493E4F">
        <w:t xml:space="preserve"> MTPs utilization</w:t>
      </w:r>
      <w:r w:rsidR="003E7C28" w:rsidRPr="00493E4F">
        <w:rPr>
          <w:noProof/>
        </w:rPr>
        <w:t>.</w:t>
      </w:r>
      <w:r w:rsidR="0039563C" w:rsidRPr="00493E4F">
        <w:rPr>
          <w:noProof/>
        </w:rPr>
        <w:t xml:space="preserve"> </w:t>
      </w:r>
      <w:r w:rsidR="00333952" w:rsidRPr="00493E4F">
        <w:rPr>
          <w:noProof/>
        </w:rPr>
        <w:t>Number</w:t>
      </w:r>
      <w:r w:rsidR="00333952" w:rsidRPr="00493E4F">
        <w:t xml:space="preserve"> of studies reported</w:t>
      </w:r>
      <w:r w:rsidR="00B306F4" w:rsidRPr="00493E4F">
        <w:t xml:space="preserve"> </w:t>
      </w:r>
      <w:r w:rsidR="0039563C" w:rsidRPr="00493E4F">
        <w:t xml:space="preserve">a </w:t>
      </w:r>
      <w:r w:rsidR="00B306F4" w:rsidRPr="00493E4F">
        <w:rPr>
          <w:noProof/>
        </w:rPr>
        <w:t>similar</w:t>
      </w:r>
      <w:r w:rsidR="00B306F4" w:rsidRPr="00493E4F">
        <w:t xml:space="preserve"> association between marital status and OOP expenditure</w:t>
      </w:r>
      <w:r w:rsidR="00BC1147" w:rsidRPr="00493E4F">
        <w:t>.</w:t>
      </w:r>
      <w:r w:rsidR="003A0B22" w:rsidRPr="00493E4F">
        <w:fldChar w:fldCharType="begin" w:fldLock="1"/>
      </w:r>
      <w:r w:rsidR="00E1324F" w:rsidRPr="00493E4F">
        <w:instrText>ADDIN CSL_CITATION {"citationItems":[{"id":"ITEM-1","itemData":{"DOI":"10.3961/jpmph.16.089","ISBN":"2233-4521 (Electronic) 1975-8375 (Linking)","ISSN":"19758375","PMID":"28372353","abstract":"OBJECTIVES: As in many low-income and middle-income countries, out-of-pocket (OOP) payments by patients or their families are a key healthcare financing mechanism in Bangladesh that leads to economic burdens for households. The objective of this study was to identify whether and to what extent socioeconomic, demographic, and behavioral factors of the population had an impact on OOP expenditures in Bangladesh. METHODS: A total of 12 400 patients who had paid to receive any type of healthcare services within the previous 30 days were analyzed from the Bangladesh Household Income and Expenditure Survey data, 2010. We employed regression analysis for identify factors influencing OOP health expenditures using the ordinary least square method. RESULTS: The mean total OOP healthcare expenditures was US dollar (USD) 27.66; while, the cost of medicines (USD 16.98) was the highest cost driver (61% of total OOP healthcare expenditure). In addition, this study identified age, sex, marital status, place of residence, and family wealth as significant factors associated with higher OOP healthcare expenditures. In contrary, unemployment and not receiving financial social benefits were inversely associated with OOP expenditures. CONCLUSIONS: The findings of this study can help decision-makers by clarifying the determinants of OOP, discussing the mechanisms driving these determinants, and there by underscoring the need to develop policy options for building stronger financial protection mechanisms. The government should consider devoting more resources to providing free or subsidized care. In parallel with government action, the development of other prudential and sustainable risk-pooling mechanisms may help attract enthusiastic subscribers to community-based health insurance schemes.","author":[{"dropping-particle":"","family":"Mahumud","given":"Rashidul Alam","non-dropping-particle":"","parse-names":false,"suffix":""},{"dropping-particle":"","family":"Sarker","given":"Abdur Razzaque","non-dropping-particle":"","parse-names":false,"suffix":""},{"dropping-particle":"","family":"Sultana","given":"Marufa","non-dropping-particle":"","parse-names":false,"suffix":""},{"dropping-particle":"","family":"Islam","given":"Ziaul","non-dropping-particle":"","parse-names":false,"suffix":""},{"dropping-particle":"","family":"Khan","given":"Jahangir","non-dropping-particle":"","parse-names":false,"suffix":""},{"dropping-particle":"","family":"Morton","given":"Alec","non-dropping-particle":"","parse-names":false,"suffix":""}],"container-title":"Journal of Preventive Medicine and Public Health","id":"ITEM-1","issue":"2","issued":{"date-parts":[["2017"]]},"page":"91-99","title":"Distribution and determinants of out-of-pocket healthcare expenditures in Bangladesh","type":"article-journal","volume":"50"},"uris":["http://www.mendeley.com/documents/?uuid=93a0ba1b-08fb-4b0f-8743-d5ba8bc9f4cd"]},{"id":"ITEM-2","itemData":{"DOI":"10.1186/1478-4505-5-6","ISSN":"1478-4505","PMID":"17537268","abstract":"BACKGROUND: Achieving universal health insurance coverage by means of different types of insurance programs may be a pragmatic and feasible approach. However, the fragmentation of the health financing system may imply costs in terms of varying ability of the insurance programs to improve access to and reduce spending on care across different population groups. This study looks at the effect of different types of health insurance programs on the probability of utilizing care, the intensity of utilization, and individual spending on care in Jordan. METHODS: Using national household survey data collected in 2000 with a sub-sample of around 8,300 individuals, the study applies econometric techniques to a set of specified models along the two-part model approach to the demand for health care. By means of particular tests and other procedures, the robustness of the results is controlled. RESULTS: Around 60 percent of the population is covered by some type of insurance. However, the distribution varies across income groups, and importantly, the effect of insurance on the outcome indicators differ substantially across the various programs. Generally, insurance is found to increase the intensity of utilization and reduce out-of-pocket spending, while no general insurance effect on the probability of use is found. More specifically, however, these effects are only found for some programs and not for all. The best performing programs are those to which the somewhat better off groups have access. CONCLUSION: Notwithstanding the empirical nature of the issues, the results point at the need to assess the effect of insurance coverage more profoundly than what is commonly done. Applying rigorous analysis to survey data in other settings will contribute to bringing out better evidence on what types of programs perform most effectively and equitably in different contexts.","author":[{"dropping-particle":"","family":"Ekman","given":"Björn","non-dropping-particle":"","parse-names":false,"suffix":""}],"container-title":"Health research policy and systems / BioMed Central","id":"ITEM-2","issued":{"date-parts":[["2007","1"]]},"page":"6","title":"The impact of health insurance on outpatient utilization and expenditure: evidence from one middle-income country using national household survey data.","type":"article-journal","volume":"5"},"uris":["http://www.mendeley.com/documents/?uuid=e6d571dd-40b2-4ff4-890d-aa08be88cdb0"]},{"id":"ITEM-3","itemData":{"DOI":"10.1016/j.healthpol.2008.02.014","ISSN":"0168-8510","PMID":"18423775","abstract":"BACKGROUND: Economic reforms in Vietnam initiated in the late 1980s included deregulation of the health system resulting in extensive changes in health care delivery, access, and financing. One aspect of the health sector reform was the introduction of user fees at both public and private health facilities, which was in stark contrast to the former socialized system of free medical care. Subsequently, health insurance and free health care cards for the poor were introduced to mitigate the barriers to seeking care and financial burden imposed by out-of-pocket (OOP) health payments as a result of the user fees. OBJECTIVE: To examine the determinants of seeking care and OOP payments as well as the relationship between individual out-of-pocket (OOP) health expenditures and household ability to pay (ATP) during 1992-2002. DATA: The data are drawn from 1992-93 and 1997-98 Vietnam Living Standard Surveys (VLSS) and 2002 Vietnam Household and Living Standards Survey (VHLSS). METHODS: We use a two-part model where the first part is a probit model that estimates the probability that an individual will seek treatment. The second part is a truncated non-linear regression model that uses ordinary least-squares and fixed effects methods to estimate the determinants of OOP payments that are measured both as absolute as well as relative expenditures. Based on the analysis, we examine the relationship between the predicted shares of individual OOP health payments and household's ATP as well as selected socioeconomic characteristics. RESULTS: Our results indicate that payments increased with increasing ATP, but the consequent financial burden (payment share) decreased with increasing ATP, indicating a regressive system during the first two periods. However, share of payments increased with ATP, indicating a progressive system by 2002. When comparing across years, we find horizontal inequities in all the years that worsened between 1992 and 1998 but improved by 2002. CONCLUSION: The regressivity in payments noted during 1992 and 1998 might be because the rich could avail of health insurance more than those at lower incomes and as a consequence, were able to use the healthcare system more effectively without paying a high OOP payment. In contrast, the poor either incurred higher OOP payments or were discouraged from seeking treatments until their ailment became serious. This inequality becomes exacerbated in 1998 when insurance take-up rates were not high, but the impact o…","author":[{"dropping-particle":"","family":"Chaudhuri","given":"Anoshua","non-dropping-particle":"","parse-names":false,"suffix":""},{"dropping-particle":"","family":"Roy","given":"Kakoli","non-dropping-particle":"","parse-names":false,"suffix":""}],"container-title":"Health policy (Amsterdam, Netherlands)","id":"ITEM-3","issue":"1","issued":{"date-parts":[["2008","10"]]},"page":"38-48","title":"Changes in out-of-pocket payments for healthcare in Vietnam and its impact on equity in payments, 1992-2002.","type":"article-journal","volume":"88"},"uris":["http://www.mendeley.com/documents/?uuid=a9a00d64-fd83-47d2-94d4-c86e90353274"]}],"mendeley":{"formattedCitation":"&lt;sup&gt;40–42&lt;/sup&gt;","plainTextFormattedCitation":"40–42","previouslyFormattedCitation":"&lt;sup&gt;40–42&lt;/sup&gt;"},"properties":{"noteIndex":0},"schema":"https://github.com/citation-style-language/schema/raw/master/csl-citation.json"}</w:instrText>
      </w:r>
      <w:r w:rsidR="003A0B22" w:rsidRPr="00493E4F">
        <w:fldChar w:fldCharType="separate"/>
      </w:r>
      <w:r w:rsidR="00B6233F" w:rsidRPr="00493E4F">
        <w:rPr>
          <w:noProof/>
          <w:vertAlign w:val="superscript"/>
        </w:rPr>
        <w:t>40–42</w:t>
      </w:r>
      <w:r w:rsidR="003A0B22" w:rsidRPr="00493E4F">
        <w:fldChar w:fldCharType="end"/>
      </w:r>
      <w:r w:rsidR="0039563C" w:rsidRPr="00493E4F">
        <w:rPr>
          <w:noProof/>
        </w:rPr>
        <w:t xml:space="preserve"> </w:t>
      </w:r>
      <w:r w:rsidR="006279FD" w:rsidRPr="00493E4F">
        <w:rPr>
          <w:noProof/>
        </w:rPr>
        <w:t>T</w:t>
      </w:r>
      <w:r w:rsidR="00831C06" w:rsidRPr="00493E4F">
        <w:rPr>
          <w:noProof/>
        </w:rPr>
        <w:t>he</w:t>
      </w:r>
      <w:r w:rsidR="00831C06" w:rsidRPr="00493E4F">
        <w:t xml:space="preserve"> healthcare need may be higher among married compared to unmarried that resulted in higher OOP payments </w:t>
      </w:r>
      <w:r w:rsidR="007A40CA" w:rsidRPr="00493E4F">
        <w:t>by</w:t>
      </w:r>
      <w:r w:rsidR="00831C06" w:rsidRPr="00493E4F">
        <w:t xml:space="preserve"> the married</w:t>
      </w:r>
      <w:r w:rsidR="00072933" w:rsidRPr="00493E4F">
        <w:t xml:space="preserve"> workers</w:t>
      </w:r>
      <w:r w:rsidR="00BC1147" w:rsidRPr="00493E4F">
        <w:t>.</w:t>
      </w:r>
      <w:r w:rsidR="003A0B22" w:rsidRPr="00493E4F">
        <w:fldChar w:fldCharType="begin" w:fldLock="1"/>
      </w:r>
      <w:r w:rsidR="00E1324F" w:rsidRPr="00493E4F">
        <w:instrText>ADDIN CSL_CITATION {"citationItems":[{"id":"ITEM-1","itemData":{"DOI":"10.4297/najms.2009.7345","ISSN":"2250-1541 (Print)","PMID":"22666722","abstract":"BACKGROUND: Since 1988, when Jamaica began collecting data on the living conditions of its people, men have reported seeking less health care than women. Despite this fact, the group has never been studied by researchers. The same is true about the health status of married and non-married men. OBJECTIVES: The current study will 1) evaluate the changing epidemiological patterns of diseases affecting men in Jamaica; 2) determine factors that correlate with good health status of men; 3) compare and contrast the differences in health status of men, in particular marital status; and 4) determine which marital status has the greater health status. MATERIALS AND METHODS: The data for this research were taken from two secondary cross-sectional surveys. A sample of 8,078 respondents 15 years and older was extracted from the 2002 survey (n=25,018 respondents) and 2,224 respondents from the 2007 sample (n=6,783 respondents). SPSS for Windows 16.0 was used to store, retrieve and analyse the data. Chi-square, analysis of variance, t-test and logistic regression were used in this paper. RESULTS: Married men are more likely to report an illness than never married (OR = 1.68, 95% CI = 1.45-1.95), separated, divorced or widowed men (OR = 2.62, 95% CI = 2.06-3.33). No significant statistical difference existed between the self-rated health status of married and unmarried men. CONCLUSION: This study provides a platform upon which future studies can commence as we begin to examine men's health in Jamaica.","author":[{"dropping-particle":"","family":"Bourne","given":"Paul Andrew","non-dropping-particle":"","parse-names":false,"suffix":""}],"container-title":"North American journal of medical sciences","id":"ITEM-1","issue":"7","issued":{"date-parts":[["2009"]]},"page":"345-352","title":"Self-rated health and health conditions of married and unmarried men in Jamaica.","type":"article-journal","volume":"1"},"uris":["http://www.mendeley.com/documents/?uuid=6b155166-2460-4a1a-8515-c87d3bac3aa1"]},{"id":"ITEM-2","itemData":{"DOI":"10.1093/ije/24.3.569","ISSN":"0300-5771","PMID":"7672898","abstract":"BACKGROUND: Several studies have reported differences in health care utilization by marital status, but usually only controlling for age and sex. Our study aimed at answering the questions: 1) To what extent are differences in health care utilization by marital status due to confounding by socio-demographic variables other than age and sex? and 2) To what extent are these differences due to differences in health status by marital status? METHODS: For the analyses we used the baseline data from the Longitudinal Study on Socio-Economic Differences in the Utilization of Health Services. Our study population consisted of 2662 people from the Netherlands, aged 25-74 years. People with diabetes mellitus, chronic non-specific lung diseases, heart conditions and back complaints were overrepresented. Our measures for health care utilization were general practitioner consultation, specialist consultation, hospital admission and use of prescription medicines. Multiple logistic regression models were used to calculate odds ratios (OR) for health care utilization by marital status, controlling for the socio-demographic variables age, sex, educational level, degree of urbanization, religion and country of birth (question 1), and a number of health indicators (question 2). RESULTS: We found that educational level is an important confounder of the relationship between health care utilization and marital status. In addition differences in health status to a considerable extent explain the higher utilization of health services of widowed and divorced people, but not the lower utilization of the never married. After control for confounding and health status there still were unexplained differences in health care utilization by marital status: e.g. the divorced were more frequently hospitalized (OR = 1.53, 95% CI: 1.03-2.22) than married people. CONCLUSIONS: There are differences in health care utilization by marital status which are not due to confounding by other socio-demographic variables or differences in health status. Further investigation of these differences is necessary, and is likely to benefit from inclusion of socio-psychological variables. Living arrangements should also be included in these future analyses.","author":[{"dropping-particle":"","family":"Joung","given":"I M a","non-dropping-particle":"","parse-names":false,"suffix":""},{"dropping-particle":"","family":"Meer","given":"J B W","non-dropping-particle":"Van Der","parse-names":false,"suffix":""},{"dropping-particle":"","family":"Mackenbach","given":"J P","non-dropping-particle":"","parse-names":false,"suffix":""}],"container-title":"International Journal of Epidemiology","id":"ITEM-2","issue":"3","issued":{"date-parts":[["1995"]]},"page":"569-575","title":"Marital Status and Health Care Utilization","type":"article-journal","volume":"24"},"uris":["http://www.mendeley.com/documents/?uuid=7eafc205-b0d1-473f-b9d6-ff93da84ba2e"]}],"mendeley":{"formattedCitation":"&lt;sup&gt;43,44&lt;/sup&gt;","plainTextFormattedCitation":"43,44","previouslyFormattedCitation":"&lt;sup&gt;43,44&lt;/sup&gt;"},"properties":{"noteIndex":0},"schema":"https://github.com/citation-style-language/schema/raw/master/csl-citation.json"}</w:instrText>
      </w:r>
      <w:r w:rsidR="003A0B22" w:rsidRPr="00493E4F">
        <w:fldChar w:fldCharType="separate"/>
      </w:r>
      <w:r w:rsidR="00B6233F" w:rsidRPr="00493E4F">
        <w:rPr>
          <w:noProof/>
          <w:vertAlign w:val="superscript"/>
        </w:rPr>
        <w:t>43,44</w:t>
      </w:r>
      <w:r w:rsidR="003A0B22" w:rsidRPr="00493E4F">
        <w:fldChar w:fldCharType="end"/>
      </w:r>
      <w:r w:rsidR="0039563C" w:rsidRPr="00493E4F">
        <w:rPr>
          <w:noProof/>
        </w:rPr>
        <w:t xml:space="preserve"> </w:t>
      </w:r>
      <w:r w:rsidR="004F6D92" w:rsidRPr="00493E4F">
        <w:rPr>
          <w:noProof/>
        </w:rPr>
        <w:t>Higher</w:t>
      </w:r>
      <w:r w:rsidR="004F6D92" w:rsidRPr="00493E4F">
        <w:t xml:space="preserve"> OOP </w:t>
      </w:r>
      <w:r w:rsidR="004F6D92" w:rsidRPr="00493E4F">
        <w:rPr>
          <w:noProof/>
        </w:rPr>
        <w:t>payment</w:t>
      </w:r>
      <w:r w:rsidR="009955DD" w:rsidRPr="00493E4F">
        <w:rPr>
          <w:noProof/>
        </w:rPr>
        <w:t>s</w:t>
      </w:r>
      <w:r w:rsidR="00C378FE" w:rsidRPr="00493E4F">
        <w:rPr>
          <w:noProof/>
        </w:rPr>
        <w:t xml:space="preserve"> </w:t>
      </w:r>
      <w:r w:rsidR="00EF6D26" w:rsidRPr="00493E4F">
        <w:rPr>
          <w:noProof/>
        </w:rPr>
        <w:t>among</w:t>
      </w:r>
      <w:r w:rsidR="00C378FE" w:rsidRPr="00493E4F">
        <w:rPr>
          <w:noProof/>
        </w:rPr>
        <w:t xml:space="preserve"> </w:t>
      </w:r>
      <w:r w:rsidR="004F6D92" w:rsidRPr="00493E4F">
        <w:rPr>
          <w:noProof/>
        </w:rPr>
        <w:t>better</w:t>
      </w:r>
      <w:r w:rsidR="004F6D92" w:rsidRPr="00493E4F">
        <w:t xml:space="preserve">-off </w:t>
      </w:r>
      <w:r w:rsidR="00B40300" w:rsidRPr="00493E4F">
        <w:t>informal workers</w:t>
      </w:r>
      <w:r w:rsidR="006F2A03" w:rsidRPr="00493E4F">
        <w:t xml:space="preserve"> (</w:t>
      </w:r>
      <w:r w:rsidR="00B70913" w:rsidRPr="00493E4F">
        <w:t xml:space="preserve">e.g. </w:t>
      </w:r>
      <w:r w:rsidR="006F2A03" w:rsidRPr="00493E4F">
        <w:t>2</w:t>
      </w:r>
      <w:r w:rsidR="006F2A03" w:rsidRPr="00493E4F">
        <w:rPr>
          <w:vertAlign w:val="superscript"/>
        </w:rPr>
        <w:t>nd</w:t>
      </w:r>
      <w:r w:rsidR="00AB4457" w:rsidRPr="00493E4F">
        <w:rPr>
          <w:vertAlign w:val="superscript"/>
        </w:rPr>
        <w:t xml:space="preserve"> </w:t>
      </w:r>
      <w:r w:rsidR="006F2A03" w:rsidRPr="00493E4F">
        <w:t xml:space="preserve">and </w:t>
      </w:r>
      <w:r w:rsidR="005D3716" w:rsidRPr="00493E4F">
        <w:t xml:space="preserve">the </w:t>
      </w:r>
      <w:r w:rsidR="006F2A03" w:rsidRPr="00493E4F">
        <w:t>richest quintiles)</w:t>
      </w:r>
      <w:r w:rsidR="004F6D92" w:rsidRPr="00493E4F">
        <w:t xml:space="preserve"> compared to </w:t>
      </w:r>
      <w:r w:rsidR="005D3716" w:rsidRPr="00493E4F">
        <w:t xml:space="preserve">the </w:t>
      </w:r>
      <w:r w:rsidR="00195017" w:rsidRPr="00493E4F">
        <w:t xml:space="preserve">poor </w:t>
      </w:r>
      <w:r w:rsidR="00611313" w:rsidRPr="00493E4F">
        <w:t>worker</w:t>
      </w:r>
      <w:r w:rsidR="00B70913" w:rsidRPr="00493E4F">
        <w:t xml:space="preserve"> (e.g. the poorest quintile)</w:t>
      </w:r>
      <w:r w:rsidR="00721F4D" w:rsidRPr="00493E4F">
        <w:t xml:space="preserve"> </w:t>
      </w:r>
      <w:r w:rsidR="00195017" w:rsidRPr="00493E4F">
        <w:t xml:space="preserve">can be explained by </w:t>
      </w:r>
      <w:r w:rsidR="003F2E68" w:rsidRPr="00493E4F">
        <w:t>the</w:t>
      </w:r>
      <w:r w:rsidR="00195017" w:rsidRPr="00493E4F">
        <w:t xml:space="preserve"> ability to pay</w:t>
      </w:r>
      <w:r w:rsidR="00611313" w:rsidRPr="00493E4F">
        <w:t xml:space="preserve"> and</w:t>
      </w:r>
      <w:r w:rsidR="00195017" w:rsidRPr="00493E4F">
        <w:t xml:space="preserve"> utilization of</w:t>
      </w:r>
      <w:r w:rsidR="00FA05D0" w:rsidRPr="00493E4F">
        <w:t xml:space="preserve"> </w:t>
      </w:r>
      <w:r w:rsidR="00FA05D0" w:rsidRPr="00493E4F">
        <w:rPr>
          <w:noProof/>
        </w:rPr>
        <w:t>expensive</w:t>
      </w:r>
      <w:r w:rsidR="0039563C" w:rsidRPr="00493E4F">
        <w:rPr>
          <w:noProof/>
        </w:rPr>
        <w:t xml:space="preserve"> </w:t>
      </w:r>
      <w:r w:rsidR="00195017" w:rsidRPr="00493E4F">
        <w:rPr>
          <w:noProof/>
        </w:rPr>
        <w:t>private</w:t>
      </w:r>
      <w:r w:rsidR="00195017" w:rsidRPr="00493E4F">
        <w:t xml:space="preserve"> facilities</w:t>
      </w:r>
      <w:r w:rsidR="006777BF" w:rsidRPr="00493E4F">
        <w:t xml:space="preserve"> not covered by the scheme</w:t>
      </w:r>
      <w:r w:rsidR="00736695" w:rsidRPr="00493E4F">
        <w:t xml:space="preserve"> among the better-off worker</w:t>
      </w:r>
      <w:r w:rsidR="00BC1147" w:rsidRPr="00493E4F">
        <w:t>.</w:t>
      </w:r>
      <w:r w:rsidR="003A0B22" w:rsidRPr="00493E4F">
        <w:fldChar w:fldCharType="begin" w:fldLock="1"/>
      </w:r>
      <w:r w:rsidR="00E1324F" w:rsidRPr="00493E4F">
        <w:instrText>ADDIN CSL_CITATION {"citationItems":[{"id":"ITEM-1","itemData":{"DOI":"10.1371/journal.pone.0200265","ISBN":"1111111111","ISSN":"1932-6203","author":[{"dropping-particle":"","family":"Ahmed","given":"Sayem","non-dropping-particle":"","parse-names":false,"suffix":""},{"dropping-particle":"","family":"Sarker","given":"Abdur Razzaque","non-dropping-particle":"","parse-names":false,"suffix":""},{"dropping-particle":"","family":"Sultana","given":"Marufa","non-dropping-particle":"","parse-names":false,"suffix":""},{"dropping-particle":"","family":"Chakrovorty","given":"Sanchita","non-dropping-particle":"","parse-names":false,"suffix":""},{"dropping-particle":"","family":"Ahmed","given":"Mohammad Wahid","non-dropping-particle":"","parse-names":false,"suffix":""},{"dropping-particle":"","family":"Dorin","given":"Farzana","non-dropping-particle":"","parse-names":false,"suffix":""},{"dropping-particle":"","family":"Mirelman","given":"Andrew J","non-dropping-particle":"","parse-names":false,"suffix":""},{"dropping-particle":"","family":"Islam","given":"Ziaul","non-dropping-particle":"","parse-names":false,"suffix":""},{"dropping-particle":"","family":"Rahman","given":"Mohammad Hafizur","non-dropping-particle":"","parse-names":false,"suffix":""},{"dropping-particle":"","family":"Niessen","given":"Louis W","non-dropping-particle":"","parse-names":false,"suffix":""},{"dropping-particle":"","family":"Rehnberg","given":"Clas","non-dropping-particle":"","parse-names":false,"suffix":""},{"dropping-particle":"","family":"Khan","given":"Jahangir A. M.","non-dropping-particle":"","parse-names":false,"suffix":""}],"container-title":"PLOS ONE","editor":[{"dropping-particle":"","family":"Oh","given":"Juhwan","non-dropping-particle":"","parse-names":false,"suffix":""}],"id":"ITEM-1","issue":"7","issued":{"date-parts":[["2018","7","11"]]},"page":"e0200265","title":"The impact of community-based health insurance on the utilization of medically trained healthcare providers among informal workers in Bangladesh","type":"article-journal","volume":"13"},"uris":["http://www.mendeley.com/documents/?uuid=d7a4030f-9a49-4b03-a673-5ad3698b6e5e"]},{"id":"ITEM-2","itemData":{"DOI":"10.1093/heapol/czw131","ISSN":"1460-2237","PMID":"28365753","abstract":"Background Equity in access to and utilization of healthcare is an important goal for any health system and an essential prerequisite for achieving Universal Health Coverage for any country. Objectives This study investigated the extent to which health benefits are distributed across socioeconomic groups; and how different types of providers contribute to inequity in health benefits of Bangladesh. Methodology The distribution of health benefits across socioeconomic groups was estimated using concentration indices. Health benefits from three types of formal providers were analysed (public, private and NGO providers), separated into rural and urban populations. Decomposition of concentration indices into types of providers quantified the relative contribution of providers to the overall distribution of benefits across socioeconomic groups. Eventually, the distribution of benefits was compared to the distribution of healthcare need (proxied by 'self-reported illness and symptoms') across socioeconomic groups. Data from the latest Household Income and Expenditure Survey, 2010 and WHO-CHOICE were used. Results An overall pro-rich distribution of healthcare benefits was observed (CI = 0.229, t -value = 9.50). Healthcare benefits from private providers (CI = 0.237, t -value = 9.44) largely favoured the richer socioeconomic groups. Little evidence of inequity in benefits was found in public (CI = 0.044, t -value = 2.98) and NGO (CI = 0.095, t -value = 0.54) providers. Private providers contributed by 95.9% to overall inequity. The poorest socioeconomic group with 21.8% of the need for healthcare received only 12.7% of the benefits, while the richest group with 18.0% of the need accounted for 32.8% of the health benefits. Conclusion Overall healthcare benefits in Bangladesh were pro-rich, particularly because of health benefits from private providers. Public providers were observed to contribute relatively slightly to inequity. The poorest (richest) people with largest (least) need for healthcare actually received lower (higher) benefits. When working to achieve Universal Health Coverage in Bangladesh, particular consideration should be given to ensuring that private sector care is more equitable.","author":[{"dropping-particle":"","family":"Khan","given":"Jahangir A M","non-dropping-particle":"","parse-names":false,"suffix":""},{"dropping-particle":"","family":"Ahmed","given":"Sayem","non-dropping-particle":"","parse-names":false,"suffix":""},{"dropping-particle":"","family":"MacLennan","given":"Mary","non-dropping-particle":"","parse-names":false,"suffix":""},{"dropping-particle":"","family":"Sarker","given":"Abdur Razzaque","non-dropping-particle":"","parse-names":false,"suffix":""},{"dropping-particle":"","family":"Sultana","given":"Marufa","non-dropping-particle":"","parse-names":false,"suffix":""},{"dropping-particle":"","family":"Rahman","given":"Hafizur","non-dropping-particle":"","parse-names":false,"suffix":""}],"container-title":"Health policy and planning","id":"ITEM-2","issue":"3","issued":{"date-parts":[["2017","4","1"]]},"page":"359-365","title":"Benefit incidence analysis of healthcare in Bangladesh - equity matters for universal health coverage.","type":"article-journal","volume":"32"},"uris":["http://www.mendeley.com/documents/?uuid=17b08d42-c69e-4f30-b8f1-343dba16b18f"]},{"id":"ITEM-3","itemData":{"DOI":"10.1186/s41043-016-0078-5","ISSN":"2072-1315","author":[{"dropping-particle":"","family":"Rahman","given":"Aminur","non-dropping-particle":"","parse-names":false,"suffix":""},{"dropping-particle":"","family":"Nisha","given":"Monjura Khatun","non-dropping-particle":"","parse-names":false,"suffix":""},{"dropping-particle":"","family":"Begum","given":"Tahmina","non-dropping-particle":"","parse-names":false,"suffix":""},{"dropping-particle":"","family":"Ahmed","given":"Sayem","non-dropping-particle":"","parse-names":false,"suffix":""},{"dropping-particle":"","family":"Alam","given":"Nurul","non-dropping-particle":"","parse-names":false,"suffix":""},{"dropping-particle":"","family":"Anwar","given":"Iqbal","non-dropping-particle":"","parse-names":false,"suffix":""}],"container-title":"Journal of Health, Population and Nutrition","id":"ITEM-3","issue":"1","issued":{"date-parts":[["2017"]]},"page":"2","publisher":"Journal of Health, Population and Nutrition","title":"Trends, determinants and inequities of 4+ ANC utilisation in Bangladesh","type":"article-journal","volume":"36"},"uris":["http://www.mendeley.com/documents/?uuid=f485882a-3e4d-4481-b96e-5a18d44ed7a4"]}],"mendeley":{"formattedCitation":"&lt;sup&gt;45–47&lt;/sup&gt;","plainTextFormattedCitation":"45–47","previouslyFormattedCitation":"&lt;sup&gt;45–47&lt;/sup&gt;"},"properties":{"noteIndex":0},"schema":"https://github.com/citation-style-language/schema/raw/master/csl-citation.json"}</w:instrText>
      </w:r>
      <w:r w:rsidR="003A0B22" w:rsidRPr="00493E4F">
        <w:fldChar w:fldCharType="separate"/>
      </w:r>
      <w:r w:rsidR="00B6233F" w:rsidRPr="00493E4F">
        <w:rPr>
          <w:noProof/>
          <w:vertAlign w:val="superscript"/>
        </w:rPr>
        <w:t>45–47</w:t>
      </w:r>
      <w:r w:rsidR="003A0B22" w:rsidRPr="00493E4F">
        <w:fldChar w:fldCharType="end"/>
      </w:r>
      <w:r w:rsidR="00C532A0" w:rsidRPr="00493E4F">
        <w:t xml:space="preserve"> </w:t>
      </w:r>
      <w:r w:rsidR="00611313" w:rsidRPr="00493E4F">
        <w:t xml:space="preserve">Similar association </w:t>
      </w:r>
      <w:r w:rsidR="000636EA" w:rsidRPr="00493E4F">
        <w:rPr>
          <w:noProof/>
        </w:rPr>
        <w:t>between</w:t>
      </w:r>
      <w:r w:rsidR="0039563C" w:rsidRPr="00493E4F">
        <w:rPr>
          <w:noProof/>
        </w:rPr>
        <w:t xml:space="preserve"> </w:t>
      </w:r>
      <w:r w:rsidR="000636EA" w:rsidRPr="00493E4F">
        <w:rPr>
          <w:noProof/>
        </w:rPr>
        <w:t>a</w:t>
      </w:r>
      <w:r w:rsidR="00611313" w:rsidRPr="00493E4F">
        <w:rPr>
          <w:noProof/>
        </w:rPr>
        <w:t>sset</w:t>
      </w:r>
      <w:r w:rsidR="00611313" w:rsidRPr="00493E4F">
        <w:t xml:space="preserve"> quintiles</w:t>
      </w:r>
      <w:r w:rsidR="000636EA" w:rsidRPr="00493E4F">
        <w:t xml:space="preserve"> and OOP</w:t>
      </w:r>
      <w:r w:rsidR="002472DD" w:rsidRPr="00493E4F">
        <w:t xml:space="preserve"> healthcare</w:t>
      </w:r>
      <w:r w:rsidR="000636EA" w:rsidRPr="00493E4F">
        <w:t xml:space="preserve"> payments</w:t>
      </w:r>
      <w:r w:rsidR="00611313" w:rsidRPr="00493E4F">
        <w:t xml:space="preserve"> were observed in </w:t>
      </w:r>
      <w:r w:rsidR="0039563C" w:rsidRPr="00493E4F">
        <w:t xml:space="preserve">a </w:t>
      </w:r>
      <w:r w:rsidR="00611313" w:rsidRPr="00493E4F">
        <w:rPr>
          <w:noProof/>
        </w:rPr>
        <w:t>number</w:t>
      </w:r>
      <w:r w:rsidR="00611313" w:rsidRPr="00493E4F">
        <w:t xml:space="preserve"> of </w:t>
      </w:r>
      <w:r w:rsidR="004367EA" w:rsidRPr="00493E4F">
        <w:t xml:space="preserve">earlier </w:t>
      </w:r>
      <w:r w:rsidR="00611313" w:rsidRPr="00493E4F">
        <w:rPr>
          <w:noProof/>
        </w:rPr>
        <w:t>studies</w:t>
      </w:r>
      <w:r w:rsidR="0039563C" w:rsidRPr="00493E4F">
        <w:rPr>
          <w:noProof/>
        </w:rPr>
        <w:t xml:space="preserve"> </w:t>
      </w:r>
      <w:r w:rsidR="00611313" w:rsidRPr="00493E4F">
        <w:rPr>
          <w:noProof/>
        </w:rPr>
        <w:t>in</w:t>
      </w:r>
      <w:r w:rsidR="00611313" w:rsidRPr="00493E4F">
        <w:t xml:space="preserve"> </w:t>
      </w:r>
      <w:r w:rsidR="00611313" w:rsidRPr="00493E4F">
        <w:rPr>
          <w:noProof/>
        </w:rPr>
        <w:t>low</w:t>
      </w:r>
      <w:r w:rsidR="0039563C" w:rsidRPr="00493E4F">
        <w:rPr>
          <w:noProof/>
        </w:rPr>
        <w:t>-</w:t>
      </w:r>
      <w:r w:rsidR="00611313" w:rsidRPr="00493E4F">
        <w:rPr>
          <w:noProof/>
        </w:rPr>
        <w:t>income</w:t>
      </w:r>
      <w:r w:rsidR="00611313" w:rsidRPr="00493E4F">
        <w:t xml:space="preserve"> settings</w:t>
      </w:r>
      <w:r w:rsidR="00BC1147" w:rsidRPr="00493E4F">
        <w:t>.</w:t>
      </w:r>
      <w:r w:rsidR="003A0B22" w:rsidRPr="00493E4F">
        <w:fldChar w:fldCharType="begin" w:fldLock="1"/>
      </w:r>
      <w:r w:rsidR="00EB716C">
        <w:instrText>ADDIN CSL_CITATION {"citationItems":[{"id":"ITEM-1","itemData":{"DOI":"10.3961/jpmph.16.089","ISBN":"2233-4521 (Electronic) 1975-8375 (Linking)","ISSN":"19758375","PMID":"28372353","abstract":"OBJECTIVES: As in many low-income and middle-income countries, out-of-pocket (OOP) payments by patients or their families are a key healthcare financing mechanism in Bangladesh that leads to economic burdens for households. The objective of this study was to identify whether and to what extent socioeconomic, demographic, and behavioral factors of the population had an impact on OOP expenditures in Bangladesh. METHODS: A total of 12 400 patients who had paid to receive any type of healthcare services within the previous 30 days were analyzed from the Bangladesh Household Income and Expenditure Survey data, 2010. We employed regression analysis for identify factors influencing OOP health expenditures using the ordinary least square method. RESULTS: The mean total OOP healthcare expenditures was US dollar (USD) 27.66; while, the cost of medicines (USD 16.98) was the highest cost driver (61% of total OOP healthcare expenditure). In addition, this study identified age, sex, marital status, place of residence, and family wealth as significant factors associated with higher OOP healthcare expenditures. In contrary, unemployment and not receiving financial social benefits were inversely associated with OOP expenditures. CONCLUSIONS: The findings of this study can help decision-makers by clarifying the determinants of OOP, discussing the mechanisms driving these determinants, and there by underscoring the need to develop policy options for building stronger financial protection mechanisms. The government should consider devoting more resources to providing free or subsidized care. In parallel with government action, the development of other prudential and sustainable risk-pooling mechanisms may help attract enthusiastic subscribers to community-based health insurance schemes.","author":[{"dropping-particle":"","family":"Mahumud","given":"Rashidul Alam","non-dropping-particle":"","parse-names":false,"suffix":""},{"dropping-particle":"","family":"Sarker","given":"Abdur Razzaque","non-dropping-particle":"","parse-names":false,"suffix":""},{"dropping-particle":"","family":"Sultana","given":"Marufa","non-dropping-particle":"","parse-names":false,"suffix":""},{"dropping-particle":"","family":"Islam","given":"Ziaul","non-dropping-particle":"","parse-names":false,"suffix":""},{"dropping-particle":"","family":"Khan","given":"Jahangir","non-dropping-particle":"","parse-names":false,"suffix":""},{"dropping-particle":"","family":"Morton","given":"Alec","non-dropping-particle":"","parse-names":false,"suffix":""}],"container-title":"Journal of Preventive Medicine and Public Health","id":"ITEM-1","issue":"2","issued":{"date-parts":[["2017"]]},"page":"91-99","title":"Distribution and determinants of out-of-pocket healthcare expenditures in Bangladesh","type":"article-journal","volume":"50"},"uris":["http://www.mendeley.com/documents/?uuid=93a0ba1b-08fb-4b0f-8743-d5ba8bc9f4cd"]},{"id":"ITEM-2","itemData":{"DOI":"10.1186/s12939-018-0757-5","ISSN":"1475-9276","PMID":"29703209","abstract":"BACKGROUND Universal health coverage implies that people obtain the health services they need without experiencing financial hardship. While the factors contributing to catastrophic health expenditure (CHE) among households are well understood, few studies have examined this relationship in the context of environmentally vulnerable regions, such as tropical deltas. This study aims to examine the disparities in the prevalence of CHE and impoverishment due to out-of-pocket (OOP) healthcare payments in the Mekong Delta in comparison with rest of Vietnam. It also intends to investigate the associations between economic and environmental shocks, CHE and the impoverishment from healthcare payments. METHODS Using data from the Vietnam Household Living Standards Survey 2012, the prevalence of CHE was estimated from the fraction of healthcare costs in relation to household consumption expenditure. The poverty headcount was estimated using the total household consumption expenditure considering both with and without OOP expenditure for healthcare in comparison with the national poverty-line. Simple and multiple logistic regression models were used to examine the associations between geography, health systems, environmental and demographic variables and OOP healthcare expenditure related CHE, and impoverishment respectively. RESULTS Both the level of OOP household healthcare expenditure and the proportion of households suffering from impoverishment as the result of such payments were higher in the Mekong Delta region compared to rest of Vietnam. Although the results from the multiple regression analysis showed that households in the Mekong Delta region were significantly less likely to suffer from CHE, they were significantly more likely to be impoverished due to OOP healthcare expenditure. While health insurance membership did not have a significant effect on either outcomes, households that faced an economic or an environmental shock in past 5 years were considerably more likely to suffer from CHE and impoverishment from OOP healthcare payments. CONCLUSIONS The findings suggest that the financial protection capacity of health insurance schemes in Vietnam should be improved and expanded to reduce impoverishment as the result of OOP healthcare payments, particularly in the Mekong Delta region. Additional investments in disaster preparedness strategies can further help to reduce the financial burden of households in this environmentally vulnerable region.","author":[{"dropping-particle":"","family":"Ahmed","given":"Sayem","non-dropping-particle":"","parse-names":false,"suffix":""},{"dropping-particle":"","family":"Szabo","given":"Sylvia","non-dropping-particle":"","parse-names":false,"suffix":""},{"dropping-particle":"","family":"Nilsen","given":"Kristine","non-dropping-particle":"","parse-names":false,"suffix":""}],"container-title":"International journal for equity in health","id":"ITEM-2","issue":"1","issued":{"date-parts":[["2018","4","27"]]},"page":"53","publisher":"International Journal for Equity in Health","title":"Catastrophic healthcare expenditure and impoverishment in tropical deltas: evidence from the Mekong Delta region.","type":"article-journal","volume":"17"},"uris":["http://www.mendeley.com/documents/?uuid=dfa29004-2980-44db-a8df-82b1988ede50"]},{"id":"ITEM-3","itemData":{"DOI":"10.1371/journal.pone.0056873","ISSN":"1932-6203","PMID":"23451102","abstract":"BACKGROUND: Bangladesh has a high proportion of households incurring catastrophic health expenditure, and very limited risk sharing mechanisms. Identifying determinants of out-of-pocket (OOP) payments and catastrophic health expenditure may reveal opportunities to reduce costs and protect households from financial risk. OBJECTIVE: This study investigates the determinants of high healthcare expenditure and healthcare- related financial catastrophe. METHODS: A cross-sectional household survey was conducted in Rajshahi city, Bangladesh, in 2011. Catastrophic health expenditure was estimated separately based on capacity to pay and proportion of non-food expenditure. Determinants of OOP payments and financial catastrophe were estimated using double hurdle and Poisson regression models respectively. RESULTS: On average households spent 11% of their total budgets on health, half the residents spent 7% of the monthly per capita consumption expenditure for one illness, and nearly 9% of households faced financial catastrophe. The poorest households spent less on health but had a four times higher risk of catastrophe than the richest households. The risk of financial catastrophe and the level of OOP payments were higher for users of inpatient, outpatient public and private facilities respectively compared to using self-medication or traditional healers. Other determinants of OOP payments and catastrophic expenses were economic status, presence of chronic illness in the household, and illness among children and adults. CONCLUSION: Households that received inpatient or outpatient private care experienced the highest burden of health expenditure. The poorest members of the community also face large, often catastrophic expenses. Chronic illness management is crucial to reducing the total burden of disease in a household and its associated increased risk of level of OOP payments and catastrophic expenses. Households can only be protected from these situations by reducing the health system's dependency on OOP payments and providing more financial risk protection.","author":[{"dropping-particle":"","family":"Rahman","given":"Md Mizanur","non-dropping-particle":"","parse-names":false,"suffix":""},{"dropping-particle":"","family":"Gilmour","given":"Stuart","non-dropping-particle":"","parse-names":false,"suffix":""},{"dropping-particle":"","family":"Saito","given":"Eiko","non-dropping-particle":"","parse-names":false,"suffix":""},{"dropping-particle":"","family":"Sultana","given":"Papia","non-dropping-particle":"","parse-names":false,"suffix":""},{"dropping-particle":"","family":"Shibuya","given":"Kenji","non-dropping-particle":"","parse-names":false,"suffix":""}],"container-title":"PloS one","id":"ITEM-3","issue":"2","issued":{"date-parts":[["2013","1"]]},"page":"e56873","title":"Health-related financial catastrophe, inequality and chronic illness in Bangladesh.","type":"article-journal","volume":"8"},"uris":["http://www.mendeley.com/documents/?uuid=4f218b04-a00f-4154-8a29-6814e5c16098"]}],"mendeley":{"formattedCitation":"&lt;sup&gt;37,40,48&lt;/sup&gt;","plainTextFormattedCitation":"37,40,48","previouslyFormattedCitation":"&lt;sup&gt;37,40,48&lt;/sup&gt;"},"properties":{"noteIndex":0},"schema":"https://github.com/citation-style-language/schema/raw/master/csl-citation.json"}</w:instrText>
      </w:r>
      <w:r w:rsidR="003A0B22" w:rsidRPr="00493E4F">
        <w:fldChar w:fldCharType="separate"/>
      </w:r>
      <w:r w:rsidR="00725B43" w:rsidRPr="00725B43">
        <w:rPr>
          <w:noProof/>
          <w:vertAlign w:val="superscript"/>
        </w:rPr>
        <w:t>37,40,48</w:t>
      </w:r>
      <w:r w:rsidR="003A0B22" w:rsidRPr="00493E4F">
        <w:fldChar w:fldCharType="end"/>
      </w:r>
      <w:r w:rsidR="004C42B4" w:rsidRPr="00493E4F">
        <w:t xml:space="preserve"> </w:t>
      </w:r>
      <w:r w:rsidR="00097002" w:rsidRPr="00493E4F">
        <w:t>The worker suffered from</w:t>
      </w:r>
      <w:r w:rsidR="00CC3894" w:rsidRPr="00493E4F">
        <w:t xml:space="preserve"> a</w:t>
      </w:r>
      <w:r w:rsidR="00097002" w:rsidRPr="00493E4F">
        <w:t xml:space="preserve"> chronic illness spent 8.2% higher OOP </w:t>
      </w:r>
      <w:r w:rsidR="009634DD" w:rsidRPr="00493E4F">
        <w:t xml:space="preserve">compared to </w:t>
      </w:r>
      <w:r w:rsidR="0039563C" w:rsidRPr="00493E4F">
        <w:t xml:space="preserve">a </w:t>
      </w:r>
      <w:r w:rsidR="009634DD" w:rsidRPr="00493E4F">
        <w:rPr>
          <w:noProof/>
        </w:rPr>
        <w:t>worker</w:t>
      </w:r>
      <w:r w:rsidR="009634DD" w:rsidRPr="00493E4F">
        <w:t xml:space="preserve"> who suffered </w:t>
      </w:r>
      <w:r w:rsidR="00CC3894" w:rsidRPr="00493E4F">
        <w:t xml:space="preserve">from </w:t>
      </w:r>
      <w:r w:rsidR="00E70BD6" w:rsidRPr="00493E4F">
        <w:rPr>
          <w:noProof/>
        </w:rPr>
        <w:t>communicable</w:t>
      </w:r>
      <w:r w:rsidR="00E70BD6" w:rsidRPr="00493E4F">
        <w:t xml:space="preserve"> disease</w:t>
      </w:r>
      <w:r w:rsidR="000C3E80" w:rsidRPr="00493E4F">
        <w:t xml:space="preserve"> in </w:t>
      </w:r>
      <w:r w:rsidR="0039563C" w:rsidRPr="00493E4F">
        <w:t xml:space="preserve">the </w:t>
      </w:r>
      <w:r w:rsidR="000C3E80" w:rsidRPr="00493E4F">
        <w:rPr>
          <w:noProof/>
        </w:rPr>
        <w:t>last</w:t>
      </w:r>
      <w:r w:rsidR="000C3E80" w:rsidRPr="00493E4F">
        <w:t xml:space="preserve"> 90 days period</w:t>
      </w:r>
      <w:r w:rsidR="00981B2C" w:rsidRPr="00493E4F">
        <w:t xml:space="preserve">. This </w:t>
      </w:r>
      <w:r w:rsidR="009130D0" w:rsidRPr="00493E4F">
        <w:t>may be</w:t>
      </w:r>
      <w:r w:rsidR="000C3E80" w:rsidRPr="00493E4F">
        <w:t xml:space="preserve"> due to high treatment expenses for </w:t>
      </w:r>
      <w:r w:rsidR="00065A1D" w:rsidRPr="00493E4F">
        <w:t xml:space="preserve">the </w:t>
      </w:r>
      <w:r w:rsidR="000C3E80" w:rsidRPr="00493E4F">
        <w:t>chronic condition</w:t>
      </w:r>
      <w:r w:rsidR="00F2016C">
        <w:t>(s)</w:t>
      </w:r>
      <w:r w:rsidR="00BC1147" w:rsidRPr="00493E4F">
        <w:t>.</w:t>
      </w:r>
      <w:r w:rsidR="003A0B22" w:rsidRPr="00493E4F">
        <w:fldChar w:fldCharType="begin" w:fldLock="1"/>
      </w:r>
      <w:r w:rsidR="00E1324F" w:rsidRPr="00493E4F">
        <w:instrText>ADDIN CSL_CITATION {"citationItems":[{"id":"ITEM-1","itemData":{"DOI":"10.1371/journal.pone.0056873","ISSN":"1932-6203","PMID":"23451102","abstract":"BACKGROUND: Bangladesh has a high proportion of households incurring catastrophic health expenditure, and very limited risk sharing mechanisms. Identifying determinants of out-of-pocket (OOP) payments and catastrophic health expenditure may reveal opportunities to reduce costs and protect households from financial risk.\n\nOBJECTIVE: This study investigates the determinants of high healthcare expenditure and healthcare- related financial catastrophe.\n\nMETHODS: A cross-sectional household survey was conducted in Rajshahi city, Bangladesh, in 2011. Catastrophic health expenditure was estimated separately based on capacity to pay and proportion of non-food expenditure. Determinants of OOP payments and financial catastrophe were estimated using double hurdle and Poisson regression models respectively.\n\nRESULTS: On average households spent 11% of their total budgets on health, half the residents spent 7% of the monthly per capita consumption expenditure for one illness, and nearly 9% of households faced financial catastrophe. The poorest households spent less on health but had a four times higher risk of catastrophe than the richest households. The risk of financial catastrophe and the level of OOP payments were higher for users of inpatient, outpatient public and private facilities respectively compared to using self-medication or traditional healers. Other determinants of OOP payments and catastrophic expenses were economic status, presence of chronic illness in the household, and illness among children and adults.\n\nCONCLUSION: Households that received inpatient or outpatient private care experienced the highest burden of health expenditure. The poorest members of the community also face large, often catastrophic expenses. Chronic illness management is crucial to reducing the total burden of disease in a household and its associated increased risk of level of OOP payments and catastrophic expenses. Households can only be protected from these situations by reducing the health system's dependency on OOP payments and providing more financial risk protection.","author":[{"dropping-particle":"","family":"Rahman","given":"Md Mizanur","non-dropping-particle":"","parse-names":false,"suffix":""},{"dropping-particle":"","family":"Gilmour","given":"Stuart","non-dropping-particle":"","parse-names":false,"suffix":""},{"dropping-particle":"","family":"Saito","given":"Eiko","non-dropping-particle":"","parse-names":false,"suffix":""},{"dropping-particle":"","family":"Sultana","given":"Papia","non-dropping-particle":"","parse-names":false,"suffix":""},{"dropping-particle":"","family":"Shibuya","given":"Kenji","non-dropping-particle":"","parse-names":false,"suffix":""}],"container-title":"PloS one","editor":[{"dropping-particle":"","family":"Baal","given":"Pieter H. M.","non-dropping-particle":"van","parse-names":false,"suffix":""}],"id":"ITEM-1","issue":"2","issued":{"date-parts":[["2013","1"]]},"page":"e56873","publisher":"Public Library of Science","title":"Health-related financial catastrophe, inequality and chronic illness in Bangladesh.","type":"article-journal","volume":"8"},"uris":["http://www.mendeley.com/documents/?uuid=9e3e23d3-76c2-4e1e-ba67-ef7ea8ed13bf"]}],"mendeley":{"formattedCitation":"&lt;sup&gt;49&lt;/sup&gt;","plainTextFormattedCitation":"49","previouslyFormattedCitation":"&lt;sup&gt;49&lt;/sup&gt;"},"properties":{"noteIndex":0},"schema":"https://github.com/citation-style-language/schema/raw/master/csl-citation.json"}</w:instrText>
      </w:r>
      <w:r w:rsidR="003A0B22" w:rsidRPr="00493E4F">
        <w:fldChar w:fldCharType="separate"/>
      </w:r>
      <w:r w:rsidR="00B6233F" w:rsidRPr="00493E4F">
        <w:rPr>
          <w:noProof/>
          <w:vertAlign w:val="superscript"/>
        </w:rPr>
        <w:t>49</w:t>
      </w:r>
      <w:r w:rsidR="003A0B22" w:rsidRPr="00493E4F">
        <w:fldChar w:fldCharType="end"/>
      </w:r>
    </w:p>
    <w:p w14:paraId="49A7D373" w14:textId="5729EFE6" w:rsidR="009D46C9" w:rsidRPr="00493E4F" w:rsidRDefault="00B43C73" w:rsidP="00D724FB">
      <w:pPr>
        <w:spacing w:before="120" w:line="480" w:lineRule="auto"/>
        <w:jc w:val="both"/>
      </w:pPr>
      <w:r w:rsidRPr="00493E4F">
        <w:t xml:space="preserve">Effects of health insurance on </w:t>
      </w:r>
      <w:r w:rsidR="006676F4" w:rsidRPr="00493E4F">
        <w:t>OOP</w:t>
      </w:r>
      <w:r w:rsidR="00175BB1" w:rsidRPr="00493E4F">
        <w:t xml:space="preserve"> healthcare</w:t>
      </w:r>
      <w:r w:rsidRPr="00493E4F">
        <w:t xml:space="preserve"> payments </w:t>
      </w:r>
      <w:r w:rsidR="006B2CDD" w:rsidRPr="00493E4F">
        <w:t xml:space="preserve">were </w:t>
      </w:r>
      <w:r w:rsidRPr="00493E4F">
        <w:t>ambiguous</w:t>
      </w:r>
      <w:r w:rsidR="00597A8B" w:rsidRPr="00493E4F">
        <w:t xml:space="preserve"> in literature</w:t>
      </w:r>
      <w:r w:rsidRPr="00493E4F">
        <w:t xml:space="preserve">, implying that while some studies </w:t>
      </w:r>
      <w:r w:rsidR="00120D97" w:rsidRPr="00493E4F">
        <w:t xml:space="preserve">showed </w:t>
      </w:r>
      <w:r w:rsidRPr="00493E4F">
        <w:t>a negative relationship</w:t>
      </w:r>
      <w:r w:rsidR="00BC1147" w:rsidRPr="00493E4F">
        <w:t xml:space="preserve"> </w:t>
      </w:r>
      <w:r w:rsidR="003A0B22" w:rsidRPr="00493E4F">
        <w:fldChar w:fldCharType="begin" w:fldLock="1"/>
      </w:r>
      <w:r w:rsidR="00E1324F" w:rsidRPr="00493E4F">
        <w:instrText>ADDIN CSL_CITATION {"citationItems":[{"id":"ITEM-1","itemData":{"DOI":"10.4103/0971-5916.192075","ISSN":"0971-5916","author":[{"dropping-particle":"","family":"Dror","given":"DavidM","non-dropping-particle":"","parse-names":false,"suffix":""},{"dropping-particle":"","family":"Chakraborty","given":"Arpita","non-dropping-particle":"","parse-names":false,"suffix":""},{"dropping-particle":"","family":"Majumdar","given":"Atanu","non-dropping-particle":"","parse-names":false,"suffix":""},{"dropping-particle":"","family":"Panda","given":"Pradeep","non-dropping-particle":"","parse-names":false,"suffix":""},{"dropping-particle":"","family":"Koren","given":"Ruth","non-dropping-particle":"","parse-names":false,"suffix":""}],"container-title":"Indian Journal of Medical Research","id":"ITEM-1","issue":"6","issued":{"date-parts":[["2016"]]},"page":"809","title":"Impact of community-based health insurance in rural India on self-medication &amp;amp; financial protection of the insured","type":"article-journal","volume":"143"},"uris":["http://www.mendeley.com/documents/?uuid=bd53730b-667b-4da4-9b3f-9436badfa3b2"]},{"id":"ITEM-2","itemData":{"DOI":"10.1136/bmjopen-2017-019442","ISSN":"2044-6055","author":[{"dropping-particle":"","family":"Xie","given":"Biao","non-dropping-particle":"","parse-names":false,"suffix":""},{"dropping-particle":"","family":"Huo","given":"Minghe","non-dropping-particle":"","parse-names":false,"suffix":""},{"dropping-particle":"","family":"Wang","given":"Zhiqiang","non-dropping-particle":"","parse-names":false,"suffix":""},{"dropping-particle":"","family":"Chen","given":"Yongjie","non-dropping-particle":"","parse-names":false,"suffix":""},{"dropping-particle":"","family":"Fu","given":"Rong","non-dropping-particle":"","parse-names":false,"suffix":""},{"dropping-particle":"","family":"Liu","given":"Meina","non-dropping-particle":"","parse-names":false,"suffix":""},{"dropping-particle":"","family":"Meng","given":"Qun","non-dropping-particle":"","parse-names":false,"suffix":""}],"container-title":"BMJ open","id":"ITEM-2","issue":"2","issued":{"date-parts":[["2018"]]},"page":"e019442","title":"Impact of the New Cooperative Medical Scheme on the trend of catastrophic health expenditure in Chinese rural households: results from nationally representative surveys from 2003 to 2013","type":"article-journal","volume":"8"},"uris":["http://www.mendeley.com/documents/?uuid=9f07ee87-4e4b-481f-8de4-eaef6810862f"]},{"id":"ITEM-3","itemData":{"DOI":"10.3390/ijerph10072995","ISSN":"1660-4601","PMID":"23873263","abstract":"We used panel data from the Indonesian Family Life Survey to investigate the impact of health insurance programs on reducing out-of-pocket expenditures. We employed three linear panel data models, two of which accounted for endogeneity: pooled ordinary least squares (OLS), pooled two-stage least squares (2SLS) for instrumental variable (IV), and fixed effects (FE). The study revealed that two health insurance programs had a significantly negative impact on out-of-pocket expenditures by using IV estimates. In the IV model, Askeskin decreased out-of-pocket expenditures by 34% and Askes by 55% compared with non-Askeskin and non-Askes, respectively, while Jamsostek was found to bear a nonsignificant effect on out-of-pocket expenditures. In the FE model, only Askeskin had a significant negative effect with an 11% reduction on out-of-pocket expenditures. This study showed that two large existing health insurance programs in Indonesia, Askeskin and Askes, effectively reduced household out-of-pocket expenditures. The ability of programs to offer financial protection by reducing out-of-pocket expenditures is likely to be a direct function of their benefits package and co-payment policies.","author":[{"dropping-particle":"","family":"Aji","given":"Budi","non-dropping-particle":"","parse-names":false,"suffix":""},{"dropping-particle":"","family":"Allegri","given":"Manuela","non-dropping-particle":"De","parse-names":false,"suffix":""},{"dropping-particle":"","family":"Souares","given":"Aurelia","non-dropping-particle":"","parse-names":false,"suffix":""},{"dropping-particle":"","family":"Sauerborn","given":"Rainer","non-dropping-particle":"","parse-names":false,"suffix":""}],"container-title":"International journal of environmental research and public health","id":"ITEM-3","issue":"7","issued":{"date-parts":[["2013","7"]]},"page":"2995-3013","title":"The impact of health insurance programs on out-of-pocket expenditures in Indonesia: an increase or a decrease?","type":"article-journal","volume":"10"},"uris":["http://www.mendeley.com/documents/?uuid=339f003e-ba8f-49ab-b6bf-c3b9028c3c30"]},{"id":"ITEM-4","itemData":{"DOI":"10.1161/STROKEAHA.108.540054","ISBN":"0039-2499","ISSN":"00392499","PMID":"19359646","abstract":"BACKGROUND AND PURPOSE: Stroke is a major health burden in China, but there are limited data on its economic effects on households. We aimed to examine the economic impact of stroke and to assess the influence of health insurance. METHODS: In a nationwide, prospective, 62-hospital registry study of acute stroke in China, we recorded information on patient demographics, clinical features, socioeconomic factors, management, and costs of medical care. Information on out-of-pocket health expenses was obtained in surviving patients at 3- and 12-month follow-up. Catastrophic healthcare payments, defined as &gt;or=30% of total household annual income, were estimated from reported household annual income. RESULTS: Among 4739 3-month survivors of stroke with outcome data, average hospital and medication costs were 16,525 Chinese Yuan Renminbi (US $2361) and out-of-pocket costs were 14,478 Chinese Yuan Renminbi (US $2068). Overall, 3384 (71%) patients had experienced catastrophic out-of-pocket expenditure. Workers without health insurance were 7 times (OR, 6.9; 95% CI, 4.6 to 10.3) more likely to experience catastrophic payments than workers with insurance. Health insurance also protected against catastrophic payments in patients who were either retired or not working (no insurance: OR, 4.7; 95% CI, 3.1 to 7.2; OR, 1.82; 95% CI, 1.3 to 2.6, respectively). CONCLUSIONS: Because healthcare costs are high relative to income in China, families face considerable economic hardship after stroke. Health insurance protects families against catastrophic healthcare payments, thus highlighting the need to accelerate the ongoing process of building a comprehensive healthcare system in both urban and rural settings in China.","author":[{"dropping-particle":"","family":"Heeley","given":"Emma","non-dropping-particle":"","parse-names":false,"suffix":""},{"dropping-particle":"","family":"Anderson","given":"Craig S.","non-dropping-particle":"","parse-names":false,"suffix":""},{"dropping-particle":"","family":"Huang","given":"Yining","non-dropping-particle":"","parse-names":false,"suffix":""},{"dropping-particle":"","family":"Jan","given":"Stephen","non-dropping-particle":"","parse-names":false,"suffix":""},{"dropping-particle":"","family":"Li","given":"Yan","non-dropping-particle":"","parse-names":false,"suffix":""},{"dropping-particle":"","family":"Liu","given":"Ming","non-dropping-particle":"","parse-names":false,"suffix":""},{"dropping-particle":"","family":"Sun","given":"Jian","non-dropping-particle":"","parse-names":false,"suffix":""},{"dropping-particle":"","family":"Xu","given":"En","non-dropping-particle":"","parse-names":false,"suffix":""},{"dropping-particle":"","family":"Wu","given":"Yangfeng","non-dropping-particle":"","parse-names":false,"suffix":""},{"dropping-particle":"","family":"Yang","given":"Qidong","non-dropping-particle":"","parse-names":false,"suffix":""},{"dropping-particle":"","family":"Zhang","given":"Jingfen","non-dropping-particle":"","parse-names":false,"suffix":""},{"dropping-particle":"","family":"Zhang","given":"Shihong","non-dropping-particle":"","parse-names":false,"suffix":""},{"dropping-particle":"","family":"Wang","given":"Jiguang","non-dropping-particle":"","parse-names":false,"suffix":""}],"container-title":"Stroke","id":"ITEM-4","issue":"6","issued":{"date-parts":[["2009"]]},"page":"2149-2156","title":"Role of health insurance in averting economic hardship in families after acute stroke in China","type":"article-journal","volume":"40"},"uris":["http://www.mendeley.com/documents/?uuid=e9e1a309-8b13-429d-b7be-3c60dc4fac90"]}],"mendeley":{"formattedCitation":"&lt;sup&gt;50–53&lt;/sup&gt;","plainTextFormattedCitation":"50–53","previouslyFormattedCitation":"&lt;sup&gt;50–53&lt;/sup&gt;"},"properties":{"noteIndex":0},"schema":"https://github.com/citation-style-language/schema/raw/master/csl-citation.json"}</w:instrText>
      </w:r>
      <w:r w:rsidR="003A0B22" w:rsidRPr="00493E4F">
        <w:fldChar w:fldCharType="separate"/>
      </w:r>
      <w:r w:rsidR="00B6233F" w:rsidRPr="00493E4F">
        <w:rPr>
          <w:noProof/>
          <w:vertAlign w:val="superscript"/>
        </w:rPr>
        <w:t>50–53</w:t>
      </w:r>
      <w:r w:rsidR="003A0B22" w:rsidRPr="00493E4F">
        <w:fldChar w:fldCharType="end"/>
      </w:r>
      <w:r w:rsidRPr="00493E4F">
        <w:t xml:space="preserve"> others </w:t>
      </w:r>
      <w:r w:rsidR="007246D3" w:rsidRPr="00493E4F">
        <w:rPr>
          <w:noProof/>
        </w:rPr>
        <w:t>found</w:t>
      </w:r>
      <w:r w:rsidR="0039563C" w:rsidRPr="00493E4F">
        <w:rPr>
          <w:noProof/>
        </w:rPr>
        <w:t xml:space="preserve"> </w:t>
      </w:r>
      <w:r w:rsidRPr="00493E4F">
        <w:rPr>
          <w:noProof/>
        </w:rPr>
        <w:t>non</w:t>
      </w:r>
      <w:r w:rsidRPr="00493E4F">
        <w:t>-significant relations</w:t>
      </w:r>
      <w:r w:rsidR="00BC1147" w:rsidRPr="00493E4F">
        <w:t>.</w:t>
      </w:r>
      <w:r w:rsidR="003A0B22" w:rsidRPr="00493E4F">
        <w:fldChar w:fldCharType="begin" w:fldLock="1"/>
      </w:r>
      <w:r w:rsidR="00E1324F" w:rsidRPr="00493E4F">
        <w:instrText>ADDIN CSL_CITATION {"citationItems":[{"id":"ITEM-1","itemData":{"DOI":"10.1186/s12939-018-0757-5","ISSN":"1475-9276","PMID":"29703209","abstract":"BACKGROUND Universal health coverage implies that people obtain the health services they need without experiencing financial hardship. While the factors contributing to catastrophic health expenditure (CHE) among households are well understood, few studies have examined this relationship in the context of environmentally vulnerable regions, such as tropical deltas. This study aims to examine the disparities in the prevalence of CHE and impoverishment due to out-of-pocket (OOP) healthcare payments in the Mekong Delta in comparison with rest of Vietnam. It also intends to investigate the associations between economic and environmental shocks, CHE and the impoverishment from healthcare payments. METHODS Using data from the Vietnam Household Living Standards Survey 2012, the prevalence of CHE was estimated from the fraction of healthcare costs in relation to household consumption expenditure. The poverty headcount was estimated using the total household consumption expenditure considering both with and without OOP expenditure for healthcare in comparison with the national poverty-line. Simple and multiple logistic regression models were used to examine the associations between geography, health systems, environmental and demographic variables and OOP healthcare expenditure related CHE, and impoverishment respectively. RESULTS Both the level of OOP household healthcare expenditure and the proportion of households suffering from impoverishment as the result of such payments were higher in the Mekong Delta region compared to rest of Vietnam. Although the results from the multiple regression analysis showed that households in the Mekong Delta region were significantly less likely to suffer from CHE, they were significantly more likely to be impoverished due to OOP healthcare expenditure. While health insurance membership did not have a significant effect on either outcomes, households that faced an economic or an environmental shock in past 5 years were considerably more likely to suffer from CHE and impoverishment from OOP healthcare payments. CONCLUSIONS The findings suggest that the financial protection capacity of health insurance schemes in Vietnam should be improved and expanded to reduce impoverishment as the result of OOP healthcare payments, particularly in the Mekong Delta region. Additional investments in disaster preparedness strategies can further help to reduce the financial burden of households in this environmentally vulnerable region.","author":[{"dropping-particle":"","family":"Ahmed","given":"Sayem","non-dropping-particle":"","parse-names":false,"suffix":""},{"dropping-particle":"","family":"Szabo","given":"Sylvia","non-dropping-particle":"","parse-names":false,"suffix":""},{"dropping-particle":"","family":"Nilsen","given":"Kristine","non-dropping-particle":"","parse-names":false,"suffix":""}],"container-title":"International journal for equity in health","id":"ITEM-1","issue":"1","issued":{"date-parts":[["2018","4","27"]]},"page":"53","publisher":"International Journal for Equity in Health","title":"Catastrophic healthcare expenditure and impoverishment in tropical deltas: evidence from the Mekong Delta region.","type":"article-journal","volume":"17"},"uris":["http://www.mendeley.com/documents/?uuid=dfa29004-2980-44db-a8df-82b1988ede50"]},{"id":"ITEM-2","itemData":{"DOI":"10.1371/journal.pone.0080978","ISSN":"1932-6203","PMID":"24324654","abstract":"OBJECTIVE: In China, despite a high coverage rate, health insurance is not used for all illness episodes. Our goal is to identify subjects' characteristics associated with insurance utilization and the association between utilization and medical expenditure. METHODS: A survey was conducted in January and February of 2012. 2093 middle-aged and elderly subjects (45 years old and above) were surveyed. RESULTS: Heath insurance was not utilized for 12.6% (inpatient), 53.3% (outpatient), and 72.6% (self-treatment) of disease episodes. Subjects' characteristics were associated with insurance utilization. Inpatient and outpatient treatments were expensive. In the multivariate analysis of outpatient treatment expenditure, insurance utilization was significantly associated with higher treatment cost, lost income, and gross total cost. CONCLUSION: Utilization of health insurance may need to be improved. Insurance utilization can reduce out-of-pocket medical expenditure. However, the amount paid by the insured is still high. Policy intervention is needed to further improve the effectiveness of health insurance.","author":[{"dropping-particle":"","family":"Wang","given":"Yu","non-dropping-particle":"","parse-names":false,"suffix":""},{"dropping-particle":"","family":"Jiang","given":"Yan","non-dropping-particle":"","parse-names":false,"suffix":""},{"dropping-particle":"","family":"Li","given":"Yang","non-dropping-particle":"","parse-names":false,"suffix":""},{"dropping-particle":"","family":"Wang","given":"Xiaojun","non-dropping-particle":"","parse-names":false,"suffix":""},{"dropping-particle":"","family":"Ma","given":"Chi","non-dropping-particle":"","parse-names":false,"suffix":""},{"dropping-particle":"","family":"Ma","given":"Shuangge","non-dropping-particle":"","parse-names":false,"suffix":""}],"container-title":"PloS one","id":"ITEM-2","issue":"12","issued":{"date-parts":[["2013","1"]]},"page":"e80978","title":"Health insurance utilization and its impact: observations from the middle-aged and elderly in china.","type":"article-journal","volume":"8"},"uris":["http://www.mendeley.com/documents/?uuid=57c0fa09-431d-49fe-95f7-5923f89a4c09"]},{"id":"ITEM-3","itemData":{"DOI":"10.1177/1010539515602306","ISSN":"1941-2479","PMID":"26316502","abstract":"We aimed to compare the sociodemographics, health care utilization pattern, and out-of-pocket (OOP) expenses of 149 insured and 147 uninsured below-poverty-line households insured under the Comprehensive Health Insurance Scheme, Kerala, through a comparative cross-sectional study. Family size more than 4 (odds ratio [OR] = 2.34; 95% confidence interval [CI] = 1.13-4.82), family member with chronic disease (OR = 2.05; 95% CI = 1.18-3.57), high socioeconomic status (OR = 2.95; 95% CI = 1.74-5.03), and an employed household head (OR = 2.69; 95% CI = 1.44-5.02) were significantly associated with insured households. Insured households had higher inpatient service utilization (OR = 1.57; 95% CI = 1.05-2.34). Only 40% of inpatient service utilization among the insured was covered by insurance. The mean OOP expenses for inpatient services among insured (INR 448.95) was higher than among uninsured households (INR 159.93); P = .003. These findings show that urgent attention of the government is required to redesign and closely monitor the scheme.","author":[{"dropping-particle":"","family":"Philip","given":"Neena Elezebeth","non-dropping-particle":"","parse-names":false,"suffix":""},{"dropping-particle":"","family":"Kannan","given":"Srinivasan","non-dropping-particle":"","parse-names":false,"suffix":""},{"dropping-particle":"","family":"Sarma","given":"Sankara P","non-dropping-particle":"","parse-names":false,"suffix":""}],"container-title":"Asia-Pacific journal of public health","id":"ITEM-3","issue":"1 Suppl","issued":{"date-parts":[["2015","1","27"]]},"page":"77S-85S","title":"Utilization of Comprehensive Health Insurance Scheme, Kerala: A Comparative Study of Insured and Uninsured Below-Poverty-Line Households.","type":"article-journal","volume":"28"},"uris":["http://www.mendeley.com/documents/?uuid=bd78c737-9879-4f06-88d5-3c1bce7c5df5"]},{"id":"ITEM-4","itemData":{"ISSN":"09210210","author":[{"dropping-particle":"","family":"Mebratie","given":"Anagaw","non-dropping-particle":"","parse-names":false,"suffix":""},{"dropping-particle":"","family":"Sparrow","given":"Robert","non-dropping-particle":"","parse-names":false,"suffix":""},{"dropping-particle":"","family":"Debebe","given":"Zelalem","non-dropping-particle":"","parse-names":false,"suffix":""},{"dropping-particle":"","family":"Ejigie","given":"Degnet Abebaw","non-dropping-particle":"","parse-names":false,"suffix":""},{"dropping-particle":"","family":"Alemu","given":"Getnet","non-dropping-particle":"","parse-names":false,"suffix":""},{"dropping-particle":"","family":"Bedi","given":"Arjun Singh","non-dropping-particle":"","parse-names":false,"suffix":""}],"container-title":"ISS Working Paper Series / General Series","id":"ITEM-4","issue":"October 2014","issued":{"date-parts":[["2014"]]},"number-of-pages":"1-46","publisher-place":"Amsterdam","title":"The impact of Ethiopia’s pilot community based health insurance scheme on healthcare utilization and cost of care","type":"report","volume":"593"},"uris":["http://www.mendeley.com/documents/?uuid=1ac349f2-b2c1-4d7b-bf37-74d9fe5051d4"]},{"id":"ITEM-5","itemData":{"author":[{"dropping-particle":"","family":"Ekman","given":"B","non-dropping-particle":"","parse-names":false,"suffix":""}],"container-title":"Health policy and planning","id":"ITEM-5","issue":"5","issued":{"date-parts":[["2004"]]},"page":"249-70","title":"Community-based health insurance in low-income countries: a systematic review of the evidence","type":"article-journal","volume":"19"},"uris":["http://www.mendeley.com/documents/?uuid=1e1f6230-9b67-4361-aeb9-dda102e2b105"]},{"id":"ITEM-6","itemData":{"DOI":"10.1002/hec.3307","ISBN":"1099-1050; 1057-9230","ISSN":"10991050","PMID":"19816948","abstract":"Since the 1990s, community-based health insurance (CBHI) schemes have been proposed to reduce thefi nancial conse-quences of illness and enhance access to healthcare in developing countries. Convincing evidence on the ability of such schemes to meet their objectives is scarce. This paper uses randomized control trials conducted in rural Uttar Pradesh and Bihar (India) to evaluate the effects of three CBHI schemes on healthcare utilization and expenditure. Wefi nd that the schemes have no effect on these outcomes. The results suggest that CBHI schemes of the type examined in this paper are unlikely to have a substantial impact on access andfi nancial protection in developing countries.","author":[{"dropping-particle":"","family":"Raza","given":"Wameq A.","non-dropping-particle":"","parse-names":false,"suffix":""},{"dropping-particle":"","family":"Poel","given":"Ellen","non-dropping-particle":"Van De","parse-names":false,"suffix":""},{"dropping-particle":"","family":"Bedi","given":"Arjun","non-dropping-particle":"","parse-names":false,"suffix":""},{"dropping-particle":"","family":"Rutten","given":"Frans","non-dropping-particle":"","parse-names":false,"suffix":""}],"container-title":"Health Economics","id":"ITEM-6","issue":"6","issued":{"date-parts":[["2016"]]},"page":"675-687","title":"Impact of community-based health insurance on access and financial protection: Evidence from three randomized control trials in rural India","type":"article-journal","volume":"25"},"uris":["http://www.mendeley.com/documents/?uuid=f682aba5-3ad6-4c35-bbda-50f87ca63460"]}],"mendeley":{"formattedCitation":"&lt;sup&gt;48,54–58&lt;/sup&gt;","plainTextFormattedCitation":"48,54–58","previouslyFormattedCitation":"&lt;sup&gt;48,54–58&lt;/sup&gt;"},"properties":{"noteIndex":0},"schema":"https://github.com/citation-style-language/schema/raw/master/csl-citation.json"}</w:instrText>
      </w:r>
      <w:r w:rsidR="003A0B22" w:rsidRPr="00493E4F">
        <w:fldChar w:fldCharType="separate"/>
      </w:r>
      <w:r w:rsidR="00B6233F" w:rsidRPr="00493E4F">
        <w:rPr>
          <w:noProof/>
          <w:vertAlign w:val="superscript"/>
        </w:rPr>
        <w:t>48,54–58</w:t>
      </w:r>
      <w:r w:rsidR="003A0B22" w:rsidRPr="00493E4F">
        <w:fldChar w:fldCharType="end"/>
      </w:r>
      <w:r w:rsidRPr="00493E4F">
        <w:t xml:space="preserve"> </w:t>
      </w:r>
      <w:proofErr w:type="spellStart"/>
      <w:r w:rsidRPr="00493E4F">
        <w:t>Aji</w:t>
      </w:r>
      <w:proofErr w:type="spellEnd"/>
      <w:r w:rsidRPr="00493E4F">
        <w:t xml:space="preserve"> et al. (2013) investigated the </w:t>
      </w:r>
      <w:r w:rsidR="00D2471F" w:rsidRPr="00493E4F">
        <w:rPr>
          <w:noProof/>
        </w:rPr>
        <w:t>effect</w:t>
      </w:r>
      <w:r w:rsidR="0039563C" w:rsidRPr="00493E4F">
        <w:rPr>
          <w:noProof/>
        </w:rPr>
        <w:t xml:space="preserve"> </w:t>
      </w:r>
      <w:r w:rsidRPr="00493E4F">
        <w:rPr>
          <w:noProof/>
        </w:rPr>
        <w:t>of</w:t>
      </w:r>
      <w:r w:rsidRPr="00493E4F">
        <w:t xml:space="preserve"> three health insurance programs</w:t>
      </w:r>
      <w:r w:rsidR="00885C9F" w:rsidRPr="00493E4F">
        <w:t xml:space="preserve"> (</w:t>
      </w:r>
      <w:proofErr w:type="spellStart"/>
      <w:r w:rsidR="008F3A1C" w:rsidRPr="00493E4F">
        <w:rPr>
          <w:i/>
        </w:rPr>
        <w:t>Askeskin</w:t>
      </w:r>
      <w:proofErr w:type="spellEnd"/>
      <w:r w:rsidR="008F3A1C" w:rsidRPr="00493E4F">
        <w:rPr>
          <w:i/>
        </w:rPr>
        <w:t xml:space="preserve">, </w:t>
      </w:r>
      <w:r w:rsidR="00885C9F" w:rsidRPr="00493E4F">
        <w:rPr>
          <w:i/>
        </w:rPr>
        <w:t>Askes</w:t>
      </w:r>
      <w:r w:rsidR="008F3A1C" w:rsidRPr="00493E4F">
        <w:rPr>
          <w:i/>
        </w:rPr>
        <w:t>,</w:t>
      </w:r>
      <w:r w:rsidR="00885C9F" w:rsidRPr="00493E4F">
        <w:rPr>
          <w:i/>
        </w:rPr>
        <w:t xml:space="preserve"> and </w:t>
      </w:r>
      <w:proofErr w:type="spellStart"/>
      <w:r w:rsidR="008F3A1C" w:rsidRPr="00493E4F">
        <w:rPr>
          <w:i/>
        </w:rPr>
        <w:t>Jamsostek</w:t>
      </w:r>
      <w:proofErr w:type="spellEnd"/>
      <w:r w:rsidR="00885C9F" w:rsidRPr="00493E4F">
        <w:t>)</w:t>
      </w:r>
      <w:r w:rsidRPr="00493E4F">
        <w:t xml:space="preserve"> on </w:t>
      </w:r>
      <w:r w:rsidR="006676F4" w:rsidRPr="00493E4F">
        <w:t>OOP</w:t>
      </w:r>
      <w:r w:rsidRPr="00493E4F">
        <w:t xml:space="preserve"> expenditure in Indonesia</w:t>
      </w:r>
      <w:r w:rsidR="00BC1147" w:rsidRPr="00493E4F">
        <w:t>.</w:t>
      </w:r>
      <w:r w:rsidR="003A0B22" w:rsidRPr="00493E4F">
        <w:fldChar w:fldCharType="begin" w:fldLock="1"/>
      </w:r>
      <w:r w:rsidR="00E1324F" w:rsidRPr="00493E4F">
        <w:instrText>ADDIN CSL_CITATION {"citationItems":[{"id":"ITEM-1","itemData":{"DOI":"10.3390/ijerph10072995","ISSN":"1660-4601","PMID":"23873263","abstract":"We used panel data from the Indonesian Family Life Survey to investigate the impact of health insurance programs on reducing out-of-pocket expenditures. We employed three linear panel data models, two of which accounted for endogeneity: pooled ordinary least squares (OLS), pooled two-stage least squares (2SLS) for instrumental variable (IV), and fixed effects (FE). The study revealed that two health insurance programs had a significantly negative impact on out-of-pocket expenditures by using IV estimates. In the IV model, Askeskin decreased out-of-pocket expenditures by 34% and Askes by 55% compared with non-Askeskin and non-Askes, respectively, while Jamsostek was found to bear a nonsignificant effect on out-of-pocket expenditures. In the FE model, only Askeskin had a significant negative effect with an 11% reduction on out-of-pocket expenditures. This study showed that two large existing health insurance programs in Indonesia, Askeskin and Askes, effectively reduced household out-of-pocket expenditures. The ability of programs to offer financial protection by reducing out-of-pocket expenditures is likely to be a direct function of their benefits package and co-payment policies.","author":[{"dropping-particle":"","family":"Aji","given":"Budi","non-dropping-particle":"","parse-names":false,"suffix":""},{"dropping-particle":"","family":"Allegri","given":"Manuela","non-dropping-particle":"De","parse-names":false,"suffix":""},{"dropping-particle":"","family":"Souares","given":"Aurelia","non-dropping-particle":"","parse-names":false,"suffix":""},{"dropping-particle":"","family":"Sauerborn","given":"Rainer","non-dropping-particle":"","parse-names":false,"suffix":""}],"container-title":"International journal of environmental research and public health","id":"ITEM-1","issue":"7","issued":{"date-parts":[["2013","7"]]},"page":"2995-3013","title":"The impact of health insurance programs on out-of-pocket expenditures in Indonesia: an increase or a decrease?","type":"article-journal","volume":"10"},"uris":["http://www.mendeley.com/documents/?uuid=339f003e-ba8f-49ab-b6bf-c3b9028c3c30"]}],"mendeley":{"formattedCitation":"&lt;sup&gt;52&lt;/sup&gt;","plainTextFormattedCitation":"52","previouslyFormattedCitation":"&lt;sup&gt;52&lt;/sup&gt;"},"properties":{"noteIndex":0},"schema":"https://github.com/citation-style-language/schema/raw/master/csl-citation.json"}</w:instrText>
      </w:r>
      <w:r w:rsidR="003A0B22" w:rsidRPr="00493E4F">
        <w:fldChar w:fldCharType="separate"/>
      </w:r>
      <w:r w:rsidR="00B6233F" w:rsidRPr="00493E4F">
        <w:rPr>
          <w:noProof/>
          <w:vertAlign w:val="superscript"/>
        </w:rPr>
        <w:t>52</w:t>
      </w:r>
      <w:r w:rsidR="003A0B22" w:rsidRPr="00493E4F">
        <w:fldChar w:fldCharType="end"/>
      </w:r>
      <w:r w:rsidRPr="00493E4F">
        <w:t xml:space="preserve"> The authors found</w:t>
      </w:r>
      <w:r w:rsidR="00EE533D" w:rsidRPr="00493E4F">
        <w:t xml:space="preserve"> </w:t>
      </w:r>
      <w:r w:rsidR="0039563C" w:rsidRPr="00493E4F">
        <w:t xml:space="preserve">a </w:t>
      </w:r>
      <w:r w:rsidR="00EE533D" w:rsidRPr="00493E4F">
        <w:rPr>
          <w:noProof/>
        </w:rPr>
        <w:t>decrease</w:t>
      </w:r>
      <w:r w:rsidR="00EE533D" w:rsidRPr="00493E4F">
        <w:t xml:space="preserve"> in </w:t>
      </w:r>
      <w:r w:rsidRPr="00493E4F">
        <w:t>OOP</w:t>
      </w:r>
      <w:r w:rsidR="002E07E6" w:rsidRPr="00493E4F">
        <w:t xml:space="preserve"> payments</w:t>
      </w:r>
      <w:r w:rsidRPr="00493E4F">
        <w:t xml:space="preserve"> among </w:t>
      </w:r>
      <w:r w:rsidRPr="00493E4F">
        <w:rPr>
          <w:noProof/>
        </w:rPr>
        <w:t>enro</w:t>
      </w:r>
      <w:r w:rsidR="0039563C" w:rsidRPr="00493E4F">
        <w:rPr>
          <w:noProof/>
        </w:rPr>
        <w:t>l</w:t>
      </w:r>
      <w:r w:rsidRPr="00493E4F">
        <w:rPr>
          <w:noProof/>
        </w:rPr>
        <w:t>lees</w:t>
      </w:r>
      <w:r w:rsidRPr="00493E4F">
        <w:t xml:space="preserve"> in two programs with 34%</w:t>
      </w:r>
      <w:r w:rsidR="00A86780" w:rsidRPr="00493E4F">
        <w:t xml:space="preserve"> (</w:t>
      </w:r>
      <w:proofErr w:type="spellStart"/>
      <w:r w:rsidR="00A86780" w:rsidRPr="00493E4F">
        <w:rPr>
          <w:i/>
        </w:rPr>
        <w:t>Askeskin</w:t>
      </w:r>
      <w:proofErr w:type="spellEnd"/>
      <w:r w:rsidR="00A86780" w:rsidRPr="00493E4F">
        <w:t>)</w:t>
      </w:r>
      <w:r w:rsidRPr="00493E4F">
        <w:t xml:space="preserve"> and 55%</w:t>
      </w:r>
      <w:r w:rsidR="00A86780" w:rsidRPr="00493E4F">
        <w:t xml:space="preserve"> (</w:t>
      </w:r>
      <w:r w:rsidR="00A86780" w:rsidRPr="00493E4F">
        <w:rPr>
          <w:i/>
        </w:rPr>
        <w:t>Askes)</w:t>
      </w:r>
      <w:r w:rsidRPr="00493E4F">
        <w:t xml:space="preserve"> reduction. The </w:t>
      </w:r>
      <w:proofErr w:type="spellStart"/>
      <w:r w:rsidR="008F3A1C" w:rsidRPr="00493E4F">
        <w:rPr>
          <w:i/>
        </w:rPr>
        <w:t>Jamsostek</w:t>
      </w:r>
      <w:proofErr w:type="spellEnd"/>
      <w:r w:rsidR="00AB4457" w:rsidRPr="00493E4F">
        <w:rPr>
          <w:i/>
        </w:rPr>
        <w:t xml:space="preserve"> </w:t>
      </w:r>
      <w:r w:rsidRPr="00493E4F">
        <w:t>program</w:t>
      </w:r>
      <w:r w:rsidR="007246D3" w:rsidRPr="00493E4F">
        <w:t>,</w:t>
      </w:r>
      <w:r w:rsidRPr="00493E4F">
        <w:t xml:space="preserve"> however</w:t>
      </w:r>
      <w:r w:rsidR="007246D3" w:rsidRPr="00493E4F">
        <w:t>,</w:t>
      </w:r>
      <w:r w:rsidRPr="00493E4F">
        <w:t xml:space="preserve"> did not sho</w:t>
      </w:r>
      <w:r w:rsidR="00686809" w:rsidRPr="00493E4F">
        <w:t>w any significant relationship</w:t>
      </w:r>
      <w:r w:rsidR="006B2CDD" w:rsidRPr="00493E4F">
        <w:t xml:space="preserve"> with OOP payment</w:t>
      </w:r>
      <w:r w:rsidR="009D4B2E" w:rsidRPr="00493E4F">
        <w:t>s</w:t>
      </w:r>
      <w:r w:rsidR="00686809" w:rsidRPr="00493E4F">
        <w:t xml:space="preserve">. The authors of the Indonesian study concluded that two large existing insurance programs had </w:t>
      </w:r>
      <w:r w:rsidR="0039563C" w:rsidRPr="00493E4F">
        <w:t xml:space="preserve">the </w:t>
      </w:r>
      <w:r w:rsidR="00686809" w:rsidRPr="00493E4F">
        <w:rPr>
          <w:noProof/>
        </w:rPr>
        <w:t>ability</w:t>
      </w:r>
      <w:r w:rsidR="00686809" w:rsidRPr="00493E4F">
        <w:t xml:space="preserve"> to reduce OOP spending, which was a direct function of their </w:t>
      </w:r>
      <w:r w:rsidR="00686809" w:rsidRPr="00493E4F">
        <w:rPr>
          <w:noProof/>
        </w:rPr>
        <w:t>benefit</w:t>
      </w:r>
      <w:r w:rsidR="0039563C" w:rsidRPr="00493E4F">
        <w:rPr>
          <w:noProof/>
        </w:rPr>
        <w:t>s</w:t>
      </w:r>
      <w:r w:rsidR="00686809" w:rsidRPr="00493E4F">
        <w:t xml:space="preserve"> packages and co-payment</w:t>
      </w:r>
      <w:r w:rsidR="00BC1147" w:rsidRPr="00493E4F">
        <w:t>.</w:t>
      </w:r>
      <w:r w:rsidR="003A0B22" w:rsidRPr="00493E4F">
        <w:fldChar w:fldCharType="begin" w:fldLock="1"/>
      </w:r>
      <w:r w:rsidR="00E1324F" w:rsidRPr="00493E4F">
        <w:instrText>ADDIN CSL_CITATION {"citationItems":[{"id":"ITEM-1","itemData":{"DOI":"10.3390/ijerph10072995","ISSN":"1660-4601","PMID":"23873263","abstract":"We used panel data from the Indonesian Family Life Survey to investigate the impact of health insurance programs on reducing out-of-pocket expenditures. We employed three linear panel data models, two of which accounted for endogeneity: pooled ordinary least squares (OLS), pooled two-stage least squares (2SLS) for instrumental variable (IV), and fixed effects (FE). The study revealed that two health insurance programs had a significantly negative impact on out-of-pocket expenditures by using IV estimates. In the IV model, Askeskin decreased out-of-pocket expenditures by 34% and Askes by 55% compared with non-Askeskin and non-Askes, respectively, while Jamsostek was found to bear a nonsignificant effect on out-of-pocket expenditures. In the FE model, only Askeskin had a significant negative effect with an 11% reduction on out-of-pocket expenditures. This study showed that two large existing health insurance programs in Indonesia, Askeskin and Askes, effectively reduced household out-of-pocket expenditures. The ability of programs to offer financial protection by reducing out-of-pocket expenditures is likely to be a direct function of their benefits package and co-payment policies.","author":[{"dropping-particle":"","family":"Aji","given":"Budi","non-dropping-particle":"","parse-names":false,"suffix":""},{"dropping-particle":"","family":"Allegri","given":"Manuela","non-dropping-particle":"De","parse-names":false,"suffix":""},{"dropping-particle":"","family":"Souares","given":"Aurelia","non-dropping-particle":"","parse-names":false,"suffix":""},{"dropping-particle":"","family":"Sauerborn","given":"Rainer","non-dropping-particle":"","parse-names":false,"suffix":""}],"container-title":"International journal of environmental research and public health","id":"ITEM-1","issue":"7","issued":{"date-parts":[["2013","7"]]},"page":"2995-3013","title":"The impact of health insurance programs on out-of-pocket expenditures in Indonesia: an increase or a decrease?","type":"article-journal","volume":"10"},"uris":["http://www.mendeley.com/documents/?uuid=339f003e-ba8f-49ab-b6bf-c3b9028c3c30"]}],"mendeley":{"formattedCitation":"&lt;sup&gt;52&lt;/sup&gt;","plainTextFormattedCitation":"52","previouslyFormattedCitation":"&lt;sup&gt;52&lt;/sup&gt;"},"properties":{"noteIndex":0},"schema":"https://github.com/citation-style-language/schema/raw/master/csl-citation.json"}</w:instrText>
      </w:r>
      <w:r w:rsidR="003A0B22" w:rsidRPr="00493E4F">
        <w:fldChar w:fldCharType="separate"/>
      </w:r>
      <w:r w:rsidR="00B6233F" w:rsidRPr="00493E4F">
        <w:rPr>
          <w:noProof/>
          <w:vertAlign w:val="superscript"/>
        </w:rPr>
        <w:t>52</w:t>
      </w:r>
      <w:r w:rsidR="003A0B22" w:rsidRPr="00493E4F">
        <w:fldChar w:fldCharType="end"/>
      </w:r>
      <w:r w:rsidR="00686809" w:rsidRPr="00493E4F">
        <w:t xml:space="preserve"> The findings from our current study were </w:t>
      </w:r>
      <w:r w:rsidR="00C378FE" w:rsidRPr="00493E4F">
        <w:rPr>
          <w:noProof/>
        </w:rPr>
        <w:t>o</w:t>
      </w:r>
      <w:r w:rsidR="00686809" w:rsidRPr="00493E4F">
        <w:rPr>
          <w:noProof/>
        </w:rPr>
        <w:t>n</w:t>
      </w:r>
      <w:r w:rsidR="00686809" w:rsidRPr="00493E4F">
        <w:t xml:space="preserve"> the same line. A Chinese study examined </w:t>
      </w:r>
      <w:r w:rsidR="00686809" w:rsidRPr="00493E4F">
        <w:rPr>
          <w:noProof/>
        </w:rPr>
        <w:t>the</w:t>
      </w:r>
      <w:r w:rsidR="005A32A5" w:rsidRPr="00493E4F">
        <w:rPr>
          <w:noProof/>
        </w:rPr>
        <w:t xml:space="preserve"> </w:t>
      </w:r>
      <w:r w:rsidR="00686809" w:rsidRPr="00493E4F">
        <w:rPr>
          <w:noProof/>
        </w:rPr>
        <w:t>impact</w:t>
      </w:r>
      <w:r w:rsidR="00686809" w:rsidRPr="00493E4F">
        <w:t xml:space="preserve"> of </w:t>
      </w:r>
      <w:r w:rsidR="00C70B1F" w:rsidRPr="00493E4F">
        <w:t xml:space="preserve">health insurance on OOP payments for </w:t>
      </w:r>
      <w:r w:rsidR="00686809" w:rsidRPr="00493E4F">
        <w:rPr>
          <w:noProof/>
        </w:rPr>
        <w:t>stroke</w:t>
      </w:r>
      <w:r w:rsidR="005A32A5" w:rsidRPr="00493E4F">
        <w:rPr>
          <w:noProof/>
        </w:rPr>
        <w:t xml:space="preserve"> </w:t>
      </w:r>
      <w:r w:rsidR="00686809" w:rsidRPr="00493E4F">
        <w:rPr>
          <w:noProof/>
        </w:rPr>
        <w:t>and</w:t>
      </w:r>
      <w:r w:rsidR="00686809" w:rsidRPr="00493E4F">
        <w:t xml:space="preserve"> found that </w:t>
      </w:r>
      <w:r w:rsidR="00B0696D" w:rsidRPr="00493E4F">
        <w:t xml:space="preserve">uninsured </w:t>
      </w:r>
      <w:r w:rsidR="00686809" w:rsidRPr="00493E4F">
        <w:t xml:space="preserve">workers were 7 times more likely to face catastrophic economic burden </w:t>
      </w:r>
      <w:r w:rsidR="00EE533D" w:rsidRPr="00493E4F">
        <w:t>due to acute stroke in comparison with insur</w:t>
      </w:r>
      <w:r w:rsidR="001B1E7C" w:rsidRPr="00493E4F">
        <w:t>ed</w:t>
      </w:r>
      <w:r w:rsidR="00EE533D" w:rsidRPr="00493E4F">
        <w:t xml:space="preserve"> </w:t>
      </w:r>
      <w:r w:rsidR="00EE533D" w:rsidRPr="00493E4F">
        <w:rPr>
          <w:noProof/>
        </w:rPr>
        <w:t>enro</w:t>
      </w:r>
      <w:r w:rsidR="005A32A5" w:rsidRPr="00493E4F">
        <w:rPr>
          <w:noProof/>
        </w:rPr>
        <w:t>l</w:t>
      </w:r>
      <w:r w:rsidR="00EE533D" w:rsidRPr="00493E4F">
        <w:rPr>
          <w:noProof/>
        </w:rPr>
        <w:t>lees</w:t>
      </w:r>
      <w:r w:rsidR="00EE533D" w:rsidRPr="00493E4F">
        <w:t>, which implied that OOP</w:t>
      </w:r>
      <w:r w:rsidR="00F85567" w:rsidRPr="00493E4F">
        <w:t xml:space="preserve"> </w:t>
      </w:r>
      <w:r w:rsidR="00F85567" w:rsidRPr="00493E4F">
        <w:rPr>
          <w:noProof/>
        </w:rPr>
        <w:t>healthcare</w:t>
      </w:r>
      <w:r w:rsidR="005A32A5" w:rsidRPr="00493E4F">
        <w:rPr>
          <w:noProof/>
        </w:rPr>
        <w:t xml:space="preserve"> </w:t>
      </w:r>
      <w:r w:rsidR="002E07E6" w:rsidRPr="00493E4F">
        <w:rPr>
          <w:noProof/>
        </w:rPr>
        <w:t>payments</w:t>
      </w:r>
      <w:r w:rsidR="002E07E6" w:rsidRPr="00493E4F">
        <w:t xml:space="preserve"> </w:t>
      </w:r>
      <w:r w:rsidR="00864A39" w:rsidRPr="00493E4F">
        <w:rPr>
          <w:noProof/>
        </w:rPr>
        <w:t>w</w:t>
      </w:r>
      <w:r w:rsidR="005A32A5" w:rsidRPr="00493E4F">
        <w:rPr>
          <w:noProof/>
        </w:rPr>
        <w:t>ere</w:t>
      </w:r>
      <w:r w:rsidR="00864A39" w:rsidRPr="00493E4F">
        <w:t xml:space="preserve"> </w:t>
      </w:r>
      <w:r w:rsidR="00EE533D" w:rsidRPr="00493E4F">
        <w:t xml:space="preserve">remarkably </w:t>
      </w:r>
      <w:r w:rsidR="00864A39" w:rsidRPr="00493E4F">
        <w:t xml:space="preserve">reduced </w:t>
      </w:r>
      <w:r w:rsidR="00EE533D" w:rsidRPr="00493E4F">
        <w:t xml:space="preserve">among </w:t>
      </w:r>
      <w:r w:rsidR="00C70B1F" w:rsidRPr="00493E4F">
        <w:t xml:space="preserve">the </w:t>
      </w:r>
      <w:r w:rsidR="00EE533D" w:rsidRPr="00493E4F">
        <w:t>insured</w:t>
      </w:r>
      <w:r w:rsidR="00C70B1F" w:rsidRPr="00493E4F">
        <w:t xml:space="preserve"> patients</w:t>
      </w:r>
      <w:r w:rsidR="00BC1147" w:rsidRPr="00493E4F">
        <w:t>.</w:t>
      </w:r>
      <w:r w:rsidR="003A0B22" w:rsidRPr="00493E4F">
        <w:fldChar w:fldCharType="begin" w:fldLock="1"/>
      </w:r>
      <w:r w:rsidR="00E1324F" w:rsidRPr="00493E4F">
        <w:instrText>ADDIN CSL_CITATION {"citationItems":[{"id":"ITEM-1","itemData":{"DOI":"10.1161/STROKEAHA.108.540054","ISBN":"0039-2499","ISSN":"00392499","PMID":"19359646","abstract":"BACKGROUND AND PURPOSE: Stroke is a major health burden in China, but there are limited data on its economic effects on households. We aimed to examine the economic impact of stroke and to assess the influence of health insurance. METHODS: In a nationwide, prospective, 62-hospital registry study of acute stroke in China, we recorded information on patient demographics, clinical features, socioeconomic factors, management, and costs of medical care. Information on out-of-pocket health expenses was obtained in surviving patients at 3- and 12-month follow-up. Catastrophic healthcare payments, defined as &gt;or=30% of total household annual income, were estimated from reported household annual income. RESULTS: Among 4739 3-month survivors of stroke with outcome data, average hospital and medication costs were 16,525 Chinese Yuan Renminbi (US $2361) and out-of-pocket costs were 14,478 Chinese Yuan Renminbi (US $2068). Overall, 3384 (71%) patients had experienced catastrophic out-of-pocket expenditure. Workers without health insurance were 7 times (OR, 6.9; 95% CI, 4.6 to 10.3) more likely to experience catastrophic payments than workers with insurance. Health insurance also protected against catastrophic payments in patients who were either retired or not working (no insurance: OR, 4.7; 95% CI, 3.1 to 7.2; OR, 1.82; 95% CI, 1.3 to 2.6, respectively). CONCLUSIONS: Because healthcare costs are high relative to income in China, families face considerable economic hardship after stroke. Health insurance protects families against catastrophic healthcare payments, thus highlighting the need to accelerate the ongoing process of building a comprehensive healthcare system in both urban and rural settings in China.","author":[{"dropping-particle":"","family":"Heeley","given":"Emma","non-dropping-particle":"","parse-names":false,"suffix":""},{"dropping-particle":"","family":"Anderson","given":"Craig S.","non-dropping-particle":"","parse-names":false,"suffix":""},{"dropping-particle":"","family":"Huang","given":"Yining","non-dropping-particle":"","parse-names":false,"suffix":""},{"dropping-particle":"","family":"Jan","given":"Stephen","non-dropping-particle":"","parse-names":false,"suffix":""},{"dropping-particle":"","family":"Li","given":"Yan","non-dropping-particle":"","parse-names":false,"suffix":""},{"dropping-particle":"","family":"Liu","given":"Ming","non-dropping-particle":"","parse-names":false,"suffix":""},{"dropping-particle":"","family":"Sun","given":"Jian","non-dropping-particle":"","parse-names":false,"suffix":""},{"dropping-particle":"","family":"Xu","given":"En","non-dropping-particle":"","parse-names":false,"suffix":""},{"dropping-particle":"","family":"Wu","given":"Yangfeng","non-dropping-particle":"","parse-names":false,"suffix":""},{"dropping-particle":"","family":"Yang","given":"Qidong","non-dropping-particle":"","parse-names":false,"suffix":""},{"dropping-particle":"","family":"Zhang","given":"Jingfen","non-dropping-particle":"","parse-names":false,"suffix":""},{"dropping-particle":"","family":"Zhang","given":"Shihong","non-dropping-particle":"","parse-names":false,"suffix":""},{"dropping-particle":"","family":"Wang","given":"Jiguang","non-dropping-particle":"","parse-names":false,"suffix":""}],"container-title":"Stroke","id":"ITEM-1","issue":"6","issued":{"date-parts":[["2009"]]},"page":"2149-2156","title":"Role of health insurance in averting economic hardship in families after acute stroke in China","type":"article-journal","volume":"40"},"uris":["http://www.mendeley.com/documents/?uuid=e9e1a309-8b13-429d-b7be-3c60dc4fac90"]}],"mendeley":{"formattedCitation":"&lt;sup&gt;53&lt;/sup&gt;","plainTextFormattedCitation":"53","previouslyFormattedCitation":"&lt;sup&gt;53&lt;/sup&gt;"},"properties":{"noteIndex":0},"schema":"https://github.com/citation-style-language/schema/raw/master/csl-citation.json"}</w:instrText>
      </w:r>
      <w:r w:rsidR="003A0B22" w:rsidRPr="00493E4F">
        <w:fldChar w:fldCharType="separate"/>
      </w:r>
      <w:r w:rsidR="00B6233F" w:rsidRPr="00493E4F">
        <w:rPr>
          <w:noProof/>
          <w:vertAlign w:val="superscript"/>
        </w:rPr>
        <w:t>53</w:t>
      </w:r>
      <w:r w:rsidR="003A0B22" w:rsidRPr="00493E4F">
        <w:fldChar w:fldCharType="end"/>
      </w:r>
      <w:r w:rsidR="00EE533D" w:rsidRPr="00493E4F">
        <w:t xml:space="preserve"> </w:t>
      </w:r>
      <w:r w:rsidR="00472234" w:rsidRPr="00493E4F">
        <w:t xml:space="preserve">A systematic </w:t>
      </w:r>
      <w:r w:rsidR="00472234" w:rsidRPr="00493E4F">
        <w:rPr>
          <w:noProof/>
        </w:rPr>
        <w:t>review</w:t>
      </w:r>
      <w:r w:rsidR="00472234" w:rsidRPr="00493E4F">
        <w:t xml:space="preserve"> </w:t>
      </w:r>
      <w:r w:rsidR="00C70B1F" w:rsidRPr="00493E4F">
        <w:rPr>
          <w:noProof/>
        </w:rPr>
        <w:t>reported</w:t>
      </w:r>
      <w:r w:rsidR="005A32A5" w:rsidRPr="00493E4F">
        <w:rPr>
          <w:noProof/>
        </w:rPr>
        <w:t xml:space="preserve"> </w:t>
      </w:r>
      <w:r w:rsidR="00472234" w:rsidRPr="00493E4F">
        <w:rPr>
          <w:noProof/>
        </w:rPr>
        <w:t>that</w:t>
      </w:r>
      <w:r w:rsidR="00472234" w:rsidRPr="00493E4F">
        <w:t xml:space="preserve"> CBHI and S</w:t>
      </w:r>
      <w:r w:rsidR="00432078" w:rsidRPr="00493E4F">
        <w:t xml:space="preserve">ocial </w:t>
      </w:r>
      <w:r w:rsidR="00472234" w:rsidRPr="00493E4F">
        <w:t>H</w:t>
      </w:r>
      <w:r w:rsidR="00432078" w:rsidRPr="00493E4F">
        <w:t xml:space="preserve">ealth </w:t>
      </w:r>
      <w:r w:rsidR="00472234" w:rsidRPr="00493E4F">
        <w:t>I</w:t>
      </w:r>
      <w:r w:rsidR="00432078" w:rsidRPr="00493E4F">
        <w:t>nsurance (SHI)</w:t>
      </w:r>
      <w:r w:rsidR="005A32A5" w:rsidRPr="00493E4F">
        <w:t xml:space="preserve"> </w:t>
      </w:r>
      <w:r w:rsidR="00ED49A2" w:rsidRPr="00493E4F">
        <w:rPr>
          <w:noProof/>
        </w:rPr>
        <w:t>increased</w:t>
      </w:r>
      <w:r w:rsidR="005A32A5" w:rsidRPr="00493E4F">
        <w:rPr>
          <w:noProof/>
        </w:rPr>
        <w:t xml:space="preserve"> </w:t>
      </w:r>
      <w:r w:rsidR="00472234" w:rsidRPr="00493E4F">
        <w:rPr>
          <w:noProof/>
        </w:rPr>
        <w:t>service</w:t>
      </w:r>
      <w:r w:rsidR="00472234" w:rsidRPr="00493E4F">
        <w:t xml:space="preserve"> utilization and </w:t>
      </w:r>
      <w:r w:rsidR="00ED49A2" w:rsidRPr="00493E4F">
        <w:t xml:space="preserve">simultaneously </w:t>
      </w:r>
      <w:r w:rsidR="00276D30" w:rsidRPr="00493E4F">
        <w:t xml:space="preserve">secured financial risk </w:t>
      </w:r>
      <w:r w:rsidR="00472234" w:rsidRPr="00493E4F">
        <w:t>protect</w:t>
      </w:r>
      <w:r w:rsidR="00276D30" w:rsidRPr="00493E4F">
        <w:t xml:space="preserve">ion </w:t>
      </w:r>
      <w:r w:rsidR="00276D30" w:rsidRPr="00493E4F">
        <w:rPr>
          <w:noProof/>
        </w:rPr>
        <w:t>of</w:t>
      </w:r>
      <w:r w:rsidR="00472234" w:rsidRPr="00493E4F">
        <w:rPr>
          <w:noProof/>
        </w:rPr>
        <w:t xml:space="preserve"> members</w:t>
      </w:r>
      <w:r w:rsidR="00472234" w:rsidRPr="00493E4F">
        <w:t xml:space="preserve"> by reducing their </w:t>
      </w:r>
      <w:r w:rsidR="006676F4" w:rsidRPr="00493E4F">
        <w:t>OOP</w:t>
      </w:r>
      <w:r w:rsidR="00472234" w:rsidRPr="00493E4F">
        <w:t xml:space="preserve"> exp</w:t>
      </w:r>
      <w:r w:rsidR="00276D30" w:rsidRPr="00493E4F">
        <w:t>enditure</w:t>
      </w:r>
      <w:r w:rsidR="00BC1147" w:rsidRPr="00493E4F">
        <w:t>.</w:t>
      </w:r>
      <w:r w:rsidR="003A0B22" w:rsidRPr="00493E4F">
        <w:fldChar w:fldCharType="begin" w:fldLock="1"/>
      </w:r>
      <w:r w:rsidR="00E1324F" w:rsidRPr="00493E4F">
        <w:instrText>ADDIN CSL_CITATION {"citationItems":[{"id":"ITEM-1","itemData":{"DOI":"10.2471/BLT.12.102301","ISBN":"1564-0604 (Electronic)\\r0042-9686 (Linking)","ISSN":"00429686","PMID":"22984313","abstract":"OBJECTIVE: To evaluate the impact of health insurance on resource mobilization, financial protection, service utilization, quality of care, social inclusion and community empowerment in low- and lower-middle-income countries in Africa and Asia.\\n\\nMETHODS: A systematic search for randomized controlled trials, quasi-experimental and observational studies published before the end of 2011 was conducted in 20 literature databases, reference lists of relevant studies, web sites and the grey literature. Study quality was assessed with a quality grading protocol.\\n\\nFINDINGS: Inclusion criteria were met by 159 studies - 68 in Africa and 91 in Asia. Most African studies reported on community-based health insurance (CBHI) and were of relatively high quality; social health insurance (SHI) studies were mostly Asian and of medium quality. Only one Asian study dealt with private health insurance (PHI). Most studies were observational; four had randomized controls and 20 had a quasi-experimental design. Financial protection, utilization and social inclusion were far more common subjects than resource mobilization, quality of care or community empowerment. Strong evidence shows that CBHI and SHI improve service utilization and protect members financially by reducing their out-of-pocket expenditure, and that CBHI improves resource mobilization too. Weak evidence points to a positive effect of both SHI and CBHI on quality of care and social inclusion. The effect of SHI and CBHI on community empowerment is inconclusive. Findings for PHI are inconclusive in all domains because of insufficient studies.\\n\\nCONCLUSION: Health insurance offers some protection against the detrimental effects of user fees and a promising avenue towards universal health-care coverage.","author":[{"dropping-particle":"","family":"Spaan","given":"Ernst","non-dropping-particle":"","parse-names":false,"suffix":""},{"dropping-particle":"","family":"Mathijssen","given":"Judith","non-dropping-particle":"","parse-names":false,"suffix":""},{"dropping-particle":"","family":"Tromp","given":"Noor","non-dropping-particle":"","parse-names":false,"suffix":""},{"dropping-particle":"","family":"McBain","given":"Florence","non-dropping-particle":"","parse-names":false,"suffix":""},{"dropping-particle":"","family":"Have","given":"Arthur","non-dropping-particle":"ten","parse-names":false,"suffix":""},{"dropping-particle":"","family":"Baltussen","given":"Rob","non-dropping-particle":"","parse-names":false,"suffix":""}],"container-title":"Bulletin of the World Health Organization","id":"ITEM-1","issue":"9","issued":{"date-parts":[["2012"]]},"page":"685-692","title":"The impact of health insurance in Africa and Asia: a systematic review","type":"article-journal","volume":"90"},"uris":["http://www.mendeley.com/documents/?uuid=6eff9439-235f-48a5-8525-f056a1b6f3bb"]}],"mendeley":{"formattedCitation":"&lt;sup&gt;59&lt;/sup&gt;","plainTextFormattedCitation":"59","previouslyFormattedCitation":"&lt;sup&gt;59&lt;/sup&gt;"},"properties":{"noteIndex":0},"schema":"https://github.com/citation-style-language/schema/raw/master/csl-citation.json"}</w:instrText>
      </w:r>
      <w:r w:rsidR="003A0B22" w:rsidRPr="00493E4F">
        <w:fldChar w:fldCharType="separate"/>
      </w:r>
      <w:r w:rsidR="00B6233F" w:rsidRPr="00493E4F">
        <w:rPr>
          <w:noProof/>
          <w:vertAlign w:val="superscript"/>
        </w:rPr>
        <w:t>59</w:t>
      </w:r>
      <w:r w:rsidR="003A0B22" w:rsidRPr="00493E4F">
        <w:fldChar w:fldCharType="end"/>
      </w:r>
      <w:r w:rsidR="00ED49A2" w:rsidRPr="00493E4F">
        <w:t xml:space="preserve"> The same review stated</w:t>
      </w:r>
      <w:r w:rsidR="00276D30" w:rsidRPr="00493E4F">
        <w:t xml:space="preserve"> that CBHI </w:t>
      </w:r>
      <w:r w:rsidR="00B9467D" w:rsidRPr="00493E4F">
        <w:rPr>
          <w:noProof/>
        </w:rPr>
        <w:t>scheme</w:t>
      </w:r>
      <w:r w:rsidR="005A32A5" w:rsidRPr="00493E4F">
        <w:rPr>
          <w:noProof/>
        </w:rPr>
        <w:t xml:space="preserve"> </w:t>
      </w:r>
      <w:r w:rsidR="00ED49A2" w:rsidRPr="00493E4F">
        <w:rPr>
          <w:noProof/>
        </w:rPr>
        <w:t>generate</w:t>
      </w:r>
      <w:r w:rsidR="00C378FE" w:rsidRPr="00493E4F">
        <w:rPr>
          <w:noProof/>
        </w:rPr>
        <w:t>s</w:t>
      </w:r>
      <w:r w:rsidR="005A32A5" w:rsidRPr="00493E4F">
        <w:rPr>
          <w:noProof/>
        </w:rPr>
        <w:t xml:space="preserve"> </w:t>
      </w:r>
      <w:r w:rsidR="00897B95" w:rsidRPr="00493E4F">
        <w:rPr>
          <w:noProof/>
        </w:rPr>
        <w:t>new</w:t>
      </w:r>
      <w:r w:rsidR="00897B95" w:rsidRPr="00493E4F">
        <w:t xml:space="preserve"> </w:t>
      </w:r>
      <w:r w:rsidR="00DC2723" w:rsidRPr="00493E4F">
        <w:t>resource</w:t>
      </w:r>
      <w:r w:rsidR="00ED49A2" w:rsidRPr="00493E4F">
        <w:t>s</w:t>
      </w:r>
      <w:r w:rsidR="00897B95" w:rsidRPr="00493E4F">
        <w:t xml:space="preserve"> for health</w:t>
      </w:r>
      <w:r w:rsidR="00DC2723" w:rsidRPr="00493E4F">
        <w:t>care</w:t>
      </w:r>
      <w:r w:rsidR="00BC1147" w:rsidRPr="00493E4F">
        <w:t>.</w:t>
      </w:r>
      <w:r w:rsidR="003A0B22" w:rsidRPr="00493E4F">
        <w:fldChar w:fldCharType="begin" w:fldLock="1"/>
      </w:r>
      <w:r w:rsidR="00E1324F" w:rsidRPr="00493E4F">
        <w:instrText>ADDIN CSL_CITATION {"citationItems":[{"id":"ITEM-1","itemData":{"DOI":"10.2471/BLT.12.102301","ISBN":"1564-0604 (Electronic)\\r0042-9686 (Linking)","ISSN":"00429686","PMID":"22984313","abstract":"OBJECTIVE: To evaluate the impact of health insurance on resource mobilization, financial protection, service utilization, quality of care, social inclusion and community empowerment in low- and lower-middle-income countries in Africa and Asia.\\n\\nMETHODS: A systematic search for randomized controlled trials, quasi-experimental and observational studies published before the end of 2011 was conducted in 20 literature databases, reference lists of relevant studies, web sites and the grey literature. Study quality was assessed with a quality grading protocol.\\n\\nFINDINGS: Inclusion criteria were met by 159 studies - 68 in Africa and 91 in Asia. Most African studies reported on community-based health insurance (CBHI) and were of relatively high quality; social health insurance (SHI) studies were mostly Asian and of medium quality. Only one Asian study dealt with private health insurance (PHI). Most studies were observational; four had randomized controls and 20 had a quasi-experimental design. Financial protection, utilization and social inclusion were far more common subjects than resource mobilization, quality of care or community empowerment. Strong evidence shows that CBHI and SHI improve service utilization and protect members financially by reducing their out-of-pocket expenditure, and that CBHI improves resource mobilization too. Weak evidence points to a positive effect of both SHI and CBHI on quality of care and social inclusion. The effect of SHI and CBHI on community empowerment is inconclusive. Findings for PHI are inconclusive in all domains because of insufficient studies.\\n\\nCONCLUSION: Health insurance offers some protection against the detrimental effects of user fees and a promising avenue towards universal health-care coverage.","author":[{"dropping-particle":"","family":"Spaan","given":"Ernst","non-dropping-particle":"","parse-names":false,"suffix":""},{"dropping-particle":"","family":"Mathijssen","given":"Judith","non-dropping-particle":"","parse-names":false,"suffix":""},{"dropping-particle":"","family":"Tromp","given":"Noor","non-dropping-particle":"","parse-names":false,"suffix":""},{"dropping-particle":"","family":"McBain","given":"Florence","non-dropping-particle":"","parse-names":false,"suffix":""},{"dropping-particle":"","family":"Have","given":"Arthur","non-dropping-particle":"ten","parse-names":false,"suffix":""},{"dropping-particle":"","family":"Baltussen","given":"Rob","non-dropping-particle":"","parse-names":false,"suffix":""}],"container-title":"Bulletin of the World Health Organization","id":"ITEM-1","issue":"9","issued":{"date-parts":[["2012"]]},"page":"685-692","title":"The impact of health insurance in Africa and Asia: a systematic review","type":"article-journal","volume":"90"},"uris":["http://www.mendeley.com/documents/?uuid=6eff9439-235f-48a5-8525-f056a1b6f3bb"]}],"mendeley":{"formattedCitation":"&lt;sup&gt;59&lt;/sup&gt;","plainTextFormattedCitation":"59","previouslyFormattedCitation":"&lt;sup&gt;59&lt;/sup&gt;"},"properties":{"noteIndex":0},"schema":"https://github.com/citation-style-language/schema/raw/master/csl-citation.json"}</w:instrText>
      </w:r>
      <w:r w:rsidR="003A0B22" w:rsidRPr="00493E4F">
        <w:fldChar w:fldCharType="separate"/>
      </w:r>
      <w:r w:rsidR="00B6233F" w:rsidRPr="00493E4F">
        <w:rPr>
          <w:noProof/>
          <w:vertAlign w:val="superscript"/>
        </w:rPr>
        <w:t>59</w:t>
      </w:r>
      <w:r w:rsidR="003A0B22" w:rsidRPr="00493E4F">
        <w:fldChar w:fldCharType="end"/>
      </w:r>
      <w:r w:rsidR="005A32A5" w:rsidRPr="00493E4F">
        <w:rPr>
          <w:noProof/>
        </w:rPr>
        <w:t xml:space="preserve">  </w:t>
      </w:r>
      <w:r w:rsidR="00FB121A" w:rsidRPr="00493E4F">
        <w:rPr>
          <w:noProof/>
        </w:rPr>
        <w:t>However</w:t>
      </w:r>
      <w:r w:rsidR="00FB121A" w:rsidRPr="00493E4F">
        <w:t xml:space="preserve">, another review </w:t>
      </w:r>
      <w:r w:rsidR="00ED49A2" w:rsidRPr="00493E4F">
        <w:t xml:space="preserve">on the impact of SHI </w:t>
      </w:r>
      <w:r w:rsidR="00CB437C" w:rsidRPr="00493E4F">
        <w:t>observed no</w:t>
      </w:r>
      <w:r w:rsidR="00ED49A2" w:rsidRPr="00493E4F">
        <w:t xml:space="preserve"> remarkable </w:t>
      </w:r>
      <w:r w:rsidR="00CB437C" w:rsidRPr="00493E4F">
        <w:t xml:space="preserve">evidence of an impact </w:t>
      </w:r>
      <w:r w:rsidR="00ED49A2" w:rsidRPr="00493E4F">
        <w:t xml:space="preserve">of insurance </w:t>
      </w:r>
      <w:r w:rsidR="00CB437C" w:rsidRPr="00493E4F">
        <w:t>on utilization, protection from financial risk, and health status</w:t>
      </w:r>
      <w:r w:rsidR="00ED49A2" w:rsidRPr="00493E4F">
        <w:rPr>
          <w:noProof/>
        </w:rPr>
        <w:t>,</w:t>
      </w:r>
      <w:r w:rsidR="005A32A5" w:rsidRPr="00493E4F">
        <w:rPr>
          <w:noProof/>
        </w:rPr>
        <w:t xml:space="preserve"> </w:t>
      </w:r>
      <w:r w:rsidR="00ED49A2" w:rsidRPr="00493E4F">
        <w:rPr>
          <w:noProof/>
        </w:rPr>
        <w:t>while</w:t>
      </w:r>
      <w:r w:rsidR="00CB437C" w:rsidRPr="00493E4F">
        <w:t xml:space="preserve"> a few insurance schemes </w:t>
      </w:r>
      <w:r w:rsidR="00ED49A2" w:rsidRPr="00493E4F">
        <w:rPr>
          <w:noProof/>
        </w:rPr>
        <w:t>found</w:t>
      </w:r>
      <w:r w:rsidR="005A32A5" w:rsidRPr="00493E4F">
        <w:rPr>
          <w:noProof/>
        </w:rPr>
        <w:t xml:space="preserve"> </w:t>
      </w:r>
      <w:r w:rsidR="00CB437C" w:rsidRPr="00493E4F">
        <w:rPr>
          <w:noProof/>
        </w:rPr>
        <w:t>significant</w:t>
      </w:r>
      <w:r w:rsidR="00CB437C" w:rsidRPr="00493E4F">
        <w:t xml:space="preserve"> protection from high </w:t>
      </w:r>
      <w:r w:rsidR="00A64556" w:rsidRPr="00493E4F">
        <w:t>OOP</w:t>
      </w:r>
      <w:r w:rsidR="00CB437C" w:rsidRPr="00493E4F">
        <w:t xml:space="preserve"> expenditures. </w:t>
      </w:r>
    </w:p>
    <w:p w14:paraId="4667C72E" w14:textId="7D1F80CC" w:rsidR="009D46C9" w:rsidRPr="00493E4F" w:rsidRDefault="001F54D7" w:rsidP="008A13EF">
      <w:pPr>
        <w:spacing w:before="120" w:line="480" w:lineRule="auto"/>
        <w:jc w:val="both"/>
      </w:pPr>
      <w:r w:rsidRPr="00493E4F">
        <w:t>C</w:t>
      </w:r>
      <w:r w:rsidR="008A13EF" w:rsidRPr="00493E4F">
        <w:t>atastrophic health expenditure in many countries</w:t>
      </w:r>
      <w:r w:rsidRPr="00493E4F">
        <w:t xml:space="preserve"> occurs due to high OOP health spending which contributes to the </w:t>
      </w:r>
      <w:r w:rsidRPr="00493E4F">
        <w:rPr>
          <w:noProof/>
        </w:rPr>
        <w:t>challenges</w:t>
      </w:r>
      <w:r w:rsidR="005A32A5" w:rsidRPr="00493E4F">
        <w:rPr>
          <w:noProof/>
        </w:rPr>
        <w:t xml:space="preserve"> </w:t>
      </w:r>
      <w:r w:rsidRPr="00493E4F">
        <w:rPr>
          <w:noProof/>
        </w:rPr>
        <w:t>of</w:t>
      </w:r>
      <w:r w:rsidRPr="00493E4F">
        <w:t xml:space="preserve"> financial protection</w:t>
      </w:r>
      <w:r w:rsidR="00BC1147" w:rsidRPr="00493E4F">
        <w:t>.</w:t>
      </w:r>
      <w:r w:rsidR="003A0B22" w:rsidRPr="00493E4F">
        <w:fldChar w:fldCharType="begin" w:fldLock="1"/>
      </w:r>
      <w:r w:rsidR="00E1324F" w:rsidRPr="00493E4F">
        <w:instrText>ADDIN CSL_CITATION {"citationItems":[{"id":"ITEM-1","itemData":{"DOI":"10.1093/heapol/czx048","ISSN":"1460-2237","PMID":"28575415","abstract":"The Sustainable Development Goals target to achieve Universal Health Coverage (UHC), including financial risk protection (FRP) among other dimensions. There are four indicators of FRP, namely incidence of catastrophic health expenditure (CHE), mean positive catastrophic overshoot, incidence of impoverishment and increase in the depth of poverty occur for high out-of-pocket (OOP) healthcare spending. OOP spending is the major payment strategy for healthcare in most low-and-middle-income countries, such as Bangladesh. Large and unpredictable health payments can expose households to substantial financial risk and, at their most extreme, can result in poverty. The aim of this study was to estimate the impact of OOP spending on CHE and poverty, i.e. status of FRP for UHC in Bangladesh. A nationally representative Household Income and Expenditure Survey 2010 was used to determine household consumption expenditure and health-related spending in the last 30 days. Mean CHE headcount and its concentration indices (CI) were calculated. The propensity of facing CHE for households was predicted by demographic and socioeconomic characteristics. The poverty headcount was estimated using 'total household consumption expenditure' and such expenditure without OOP payments for health in comparison with the poverty-line measured by cost of basic need. In absolute values, a pro-rich distribution of OOP payment for healthcare was found in urban and rural Bangladesh. At the 10%-threshold level, in total 14.2% of households faced CHE with 1.9% overshoot. 16.5% of the poorest and 9.2% of the richest households faced CHE. An overall pro-poor distribution was found for CHE (CI = -0.064) in both urban and rural households, while the former had higher CHE incidences. The poverty headcount increased by 3.5% (5.1 million individuals) due to OOP payments. Reliance on OOP payments for healthcare in Bangladesh should be reduced for poverty alleviation in urban and rural Bangladesh in order to secure FRP for UHC.","author":[{"dropping-particle":"","family":"Khan","given":"Jahangir A M","non-dropping-particle":"","parse-names":false,"suffix":""},{"dropping-particle":"","family":"Ahmed","given":"Sayem","non-dropping-particle":"","parse-names":false,"suffix":""},{"dropping-particle":"","family":"Evans","given":"Timothy G","non-dropping-particle":"","parse-names":false,"suffix":""}],"container-title":"Health policy and planning","id":"ITEM-1","issue":"8","issued":{"date-parts":[["2017","10","1"]]},"page":"1102-1110","title":"Catastrophic healthcare expenditure and poverty related to out-of-pocket payments for healthcare in Bangladesh-an estimation of financial risk protection of universal health coverage.","type":"article-journal","volume":"32"},"uris":["http://www.mendeley.com/documents/?uuid=b2745d3b-aee1-4318-8d8d-238c4adc4bd1"]},{"id":"ITEM-2","itemData":{"DOI":"10.1186/s12939-018-0757-5","ISSN":"1475-9276","PMID":"29703209","abstract":"BACKGROUND Universal health coverage implies that people obtain the health services they need without experiencing financial hardship. While the factors contributing to catastrophic health expenditure (CHE) among households are well understood, few studies have examined this relationship in the context of environmentally vulnerable regions, such as tropical deltas. This study aims to examine the disparities in the prevalence of CHE and impoverishment due to out-of-pocket (OOP) healthcare payments in the Mekong Delta in comparison with rest of Vietnam. It also intends to investigate the associations between economic and environmental shocks, CHE and the impoverishment from healthcare payments. METHODS Using data from the Vietnam Household Living Standards Survey 2012, the prevalence of CHE was estimated from the fraction of healthcare costs in relation to household consumption expenditure. The poverty headcount was estimated using the total household consumption expenditure considering both with and without OOP expenditure for healthcare in comparison with the national poverty-line. Simple and multiple logistic regression models were used to examine the associations between geography, health systems, environmental and demographic variables and OOP healthcare expenditure related CHE, and impoverishment respectively. RESULTS Both the level of OOP household healthcare expenditure and the proportion of households suffering from impoverishment as the result of such payments were higher in the Mekong Delta region compared to rest of Vietnam. Although the results from the multiple regression analysis showed that households in the Mekong Delta region were significantly less likely to suffer from CHE, they were significantly more likely to be impoverished due to OOP healthcare expenditure. While health insurance membership did not have a significant effect on either outcomes, households that faced an economic or an environmental shock in past 5 years were considerably more likely to suffer from CHE and impoverishment from OOP healthcare payments. CONCLUSIONS The findings suggest that the financial protection capacity of health insurance schemes in Vietnam should be improved and expanded to reduce impoverishment as the result of OOP healthcare payments, particularly in the Mekong Delta region. Additional investments in disaster preparedness strategies can further help to reduce the financial burden of households in this environmentally vulnerable region.","author":[{"dropping-particle":"","family":"Ahmed","given":"Sayem","non-dropping-particle":"","parse-names":false,"suffix":""},{"dropping-particle":"","family":"Szabo","given":"Sylvia","non-dropping-particle":"","parse-names":false,"suffix":""},{"dropping-particle":"","family":"Nilsen","given":"Kristine","non-dropping-particle":"","parse-names":false,"suffix":""}],"container-title":"International journal for equity in health","id":"ITEM-2","issue":"1","issued":{"date-parts":[["2018","4","27"]]},"page":"53","publisher":"International Journal for Equity in Health","title":"Catastrophic healthcare expenditure and impoverishment in tropical deltas: evidence from the Mekong Delta region.","type":"article-journal","volume":"17"},"uris":["http://www.mendeley.com/documents/?uuid=dfa29004-2980-44db-a8df-82b1988ede50"]},{"id":"ITEM-3","itemData":{"DOI":"10.1002/hec.776","ISSN":"1057-9230","PMID":"14601155","abstract":"This paper presents and compares two threshold approaches to measuring the fairness of health care payments, one requiring that payments do not exceed a pre-specified proportion of pre-payment income, the other that they do not drive households into poverty. We develop indices for 'catastrophe' that capture the intensity of catastrophe as well as its incidence and also allow the analyst to capture the degree to which catastrophic payments occur disproportionately among poor households. Measures of poverty impact capturing both intensity and incidence are also developed. The arguments and methods are empirically illustrated with data on out-of-pocket payments from Vietnam in 1993 and 1998. This is not an uninteresting application given that 80% of health spending in that country was paid out-of-pocket in 1998. We find that the incidence and intensity of 'catastrophic' payments - both in terms of pre-payment income as well as ability to pay - were reduced between 1993 and 1998, and that both incidence and intensity of 'catastrophe' became less concentrated among the poor. We also find that the incidence and intensity of the poverty impact of out-of-pocket payments diminished over the period in question. Finally, we find that the poverty impact of out-of-pocket payments is primarily due to poor people becoming even poorer rather than the non-poor being made poor, and that it was not expenses associated with inpatient care that increased poverty but rather non-hospital expenditures.","author":[{"dropping-particle":"","family":"Wagstaff","given":"Adam","non-dropping-particle":"","parse-names":false,"suffix":""},{"dropping-particle":"","family":"Doorslaer","given":"Eddy","non-dropping-particle":"van","parse-names":false,"suffix":""}],"container-title":"Health economics","id":"ITEM-3","issue":"11","issued":{"date-parts":[["2003","11"]]},"note":"8","page":"921-34","title":"Catastrophe and impoverishment in paying for health care: with applications to Vietnam 1993-1998.","type":"article-journal","volume":"12"},"uris":["http://www.mendeley.com/documents/?uuid=3c4a8356-4872-40dd-bfdd-f48c3a938ce6"]},{"id":"ITEM-4","itemData":{"ISBN":"1057-9230 (Print)","PMID":"17311356","abstract":"Out-of-pocket (OOP) payments are the principal means of financing health care throughout much of Asia. We estimate the magnitude and distribution of OOP payments for health care in fourteen countries and territories accounting for 81% of the Asian population. We focus on payments that are catastrophic, in the sense of severely disrupting household living standards, and approximate such payments by those absorbing a large fraction of household resources. Bangladesh, China, India, Nepal and Vietnam rely most heavily on OOP financing and have the highest incidence of catastrophic payments. Sri Lanka, Thailand and Malaysia stand out as low to middle income countries that have constrained both the OOP share of health financing and the catastrophic impact of direct payments. In most low/middle-income countries, the better-off are more likely to spend a large fraction of total household resources on health care. This may reflect the inability of the poorest of the poor to divert resources from other basic needs and possibly the protection of the poor from user charges offered in some countries. But in China, Kyrgyz and Vietnam, where there are no exemptions of the poor from charges, they are as, or even more, likely to incur catastrophic payments.","author":[{"dropping-particle":"","family":"Doorslaer","given":"Eddy","non-dropping-particle":"Van","parse-names":false,"suffix":""},{"dropping-particle":"","family":"O'Donnell","given":"O","non-dropping-particle":"","parse-names":false,"suffix":""},{"dropping-particle":"","family":"Rannan-Eliya","given":"R P","non-dropping-particle":"","parse-names":false,"suffix":""},{"dropping-particle":"","family":"Somanathan","given":"A","non-dropping-particle":"","parse-names":false,"suffix":""},{"dropping-particle":"","family":"Adhikari","given":"S R","non-dropping-particle":"","parse-names":false,"suffix":""},{"dropping-particle":"","family":"Garg","given":"C C","non-dropping-particle":"","parse-names":false,"suffix":""},{"dropping-particle":"","family":"Harbianto","given":"D","non-dropping-particle":"","parse-names":false,"suffix":""},{"dropping-particle":"","family":"Herrin","given":"A N","non-dropping-particle":"","parse-names":false,"suffix":""},{"dropping-particle":"","family":"Huq","given":"M N","non-dropping-particle":"","parse-names":false,"suffix":""},{"dropping-particle":"","family":"Ibragimova","given":"S","non-dropping-particle":"","parse-names":false,"suffix":""},{"dropping-particle":"","family":"Karan","given":"A","non-dropping-particle":"","parse-names":false,"suffix":""},{"dropping-particle":"","family":"Lee","given":"T J","non-dropping-particle":"","parse-names":false,"suffix":""},{"dropping-particle":"","family":"Leung","given":"G M","non-dropping-particle":"","parse-names":false,"suffix":""},{"dropping-particle":"","family":"Lu","given":"J F","non-dropping-particle":"","parse-names":false,"suffix":""},{"dropping-particle":"","family":"Ng","given":"C W","non-dropping-particle":"","parse-names":false,"suffix":""},{"dropping-particle":"","family":"Pande","given":"B R","non-dropping-particle":"","parse-names":false,"suffix":""},{"dropping-particle":"","family":"Racelis","given":"R","non-dropping-particle":"","parse-names":false,"suffix":""},{"dropping-particle":"","family":"Tao","given":"S","non-dropping-particle":"","parse-names":false,"suffix":""},{"dropping-particle":"","family":"Tin","given":"K","non-dropping-particle":"","parse-names":false,"suffix":""},{"dropping-particle":"","family":"Tisayaticom","given":"K","non-dropping-particle":"","parse-names":false,"suffix":""},{"dropping-particle":"","family":"Trisnantoro","given":"L","non-dropping-particle":"","parse-names":false,"suffix":""},{"dropping-particle":"","family":"Vasavid","given":"C","non-dropping-particle":"","parse-names":false,"suffix":""},{"dropping-particle":"","family":"Zhao","given":"Y","non-dropping-particle":"","parse-names":false,"suffix":""}],"container-title":"Health Econ","id":"ITEM-4","issue":"11","issued":{"date-parts":[["2007"]]},"page":"1159-1184","title":"Catastrophic payments for health care in Asia","type":"article-journal","volume":"16"},"uris":["http://www.mendeley.com/documents/?uuid=4ba50cfc-ee24-42d3-b725-e85f0cee6e1d"]}],"mendeley":{"formattedCitation":"&lt;sup&gt;3,48,60,61&lt;/sup&gt;","plainTextFormattedCitation":"3,48,60,61","previouslyFormattedCitation":"&lt;sup&gt;3,48,60,61&lt;/sup&gt;"},"properties":{"noteIndex":0},"schema":"https://github.com/citation-style-language/schema/raw/master/csl-citation.json"}</w:instrText>
      </w:r>
      <w:r w:rsidR="003A0B22" w:rsidRPr="00493E4F">
        <w:fldChar w:fldCharType="separate"/>
      </w:r>
      <w:r w:rsidR="00B6233F" w:rsidRPr="00493E4F">
        <w:rPr>
          <w:noProof/>
          <w:vertAlign w:val="superscript"/>
        </w:rPr>
        <w:t>3,48,60,61</w:t>
      </w:r>
      <w:r w:rsidR="003A0B22" w:rsidRPr="00493E4F">
        <w:fldChar w:fldCharType="end"/>
      </w:r>
      <w:r w:rsidR="008A13EF" w:rsidRPr="00493E4F">
        <w:t xml:space="preserve"> </w:t>
      </w:r>
      <w:r w:rsidR="009D46C9" w:rsidRPr="00493E4F">
        <w:t xml:space="preserve">The findings from this pilot addressed the influence of CBHI scheme on the </w:t>
      </w:r>
      <w:r w:rsidR="00E45776" w:rsidRPr="00493E4F">
        <w:t xml:space="preserve">financial protection </w:t>
      </w:r>
      <w:r w:rsidR="009D46C9" w:rsidRPr="00493E4F">
        <w:t>dimensi</w:t>
      </w:r>
      <w:r w:rsidR="00780C99" w:rsidRPr="00493E4F">
        <w:t xml:space="preserve">on of </w:t>
      </w:r>
      <w:r w:rsidR="00904A14" w:rsidRPr="00493E4F">
        <w:t>UHC</w:t>
      </w:r>
      <w:r w:rsidR="00A05402" w:rsidRPr="00493E4F">
        <w:t xml:space="preserve"> for low-income informal workers and their </w:t>
      </w:r>
      <w:r w:rsidR="00ED49A2" w:rsidRPr="00493E4F">
        <w:t>dependents</w:t>
      </w:r>
      <w:r w:rsidR="00780C99" w:rsidRPr="00493E4F">
        <w:t xml:space="preserve">. While UHC aims at increasing the number of population covered through risk pooling mechanisms (like, tax and insurance) and find informal workers as a challenge, the pilot scheme gave an indication that using </w:t>
      </w:r>
      <w:r w:rsidR="00220A0E" w:rsidRPr="00493E4F">
        <w:t>labour</w:t>
      </w:r>
      <w:r w:rsidR="00780C99" w:rsidRPr="00493E4F">
        <w:t xml:space="preserve"> cooperatives more people can be brought under </w:t>
      </w:r>
      <w:r w:rsidR="005A32A5" w:rsidRPr="00493E4F">
        <w:t xml:space="preserve">a </w:t>
      </w:r>
      <w:r w:rsidR="00780C99" w:rsidRPr="00493E4F">
        <w:rPr>
          <w:noProof/>
        </w:rPr>
        <w:t>risk</w:t>
      </w:r>
      <w:r w:rsidR="00780C99" w:rsidRPr="00493E4F">
        <w:t xml:space="preserve"> pooling mechanism and such people can be benefited by getting access to better healthcare from </w:t>
      </w:r>
      <w:r w:rsidR="00AC6A52" w:rsidRPr="00493E4F">
        <w:t>MTPs</w:t>
      </w:r>
      <w:r w:rsidR="00780C99" w:rsidRPr="00493E4F">
        <w:t xml:space="preserve"> at a lower </w:t>
      </w:r>
      <w:r w:rsidR="006676F4" w:rsidRPr="00493E4F">
        <w:t>OOP</w:t>
      </w:r>
      <w:r w:rsidR="00780C99" w:rsidRPr="00493E4F">
        <w:t xml:space="preserve"> payment. </w:t>
      </w:r>
      <w:r w:rsidR="008F70E8" w:rsidRPr="00493E4F">
        <w:t xml:space="preserve">The magnitude of reduction in </w:t>
      </w:r>
      <w:r w:rsidR="008F70E8" w:rsidRPr="00493E4F">
        <w:rPr>
          <w:noProof/>
        </w:rPr>
        <w:t>OOP</w:t>
      </w:r>
      <w:r w:rsidR="005A32A5" w:rsidRPr="00493E4F">
        <w:rPr>
          <w:noProof/>
        </w:rPr>
        <w:t xml:space="preserve"> </w:t>
      </w:r>
      <w:r w:rsidR="001F564D" w:rsidRPr="00493E4F">
        <w:rPr>
          <w:noProof/>
        </w:rPr>
        <w:t>healthcare</w:t>
      </w:r>
      <w:r w:rsidR="001F564D" w:rsidRPr="00493E4F">
        <w:t xml:space="preserve"> </w:t>
      </w:r>
      <w:r w:rsidR="002E07E6" w:rsidRPr="00493E4F">
        <w:rPr>
          <w:noProof/>
        </w:rPr>
        <w:t>payments</w:t>
      </w:r>
      <w:r w:rsidR="005A32A5" w:rsidRPr="00493E4F">
        <w:rPr>
          <w:noProof/>
        </w:rPr>
        <w:t xml:space="preserve"> </w:t>
      </w:r>
      <w:r w:rsidR="00370DAB" w:rsidRPr="00493E4F">
        <w:rPr>
          <w:noProof/>
        </w:rPr>
        <w:t>through</w:t>
      </w:r>
      <w:r w:rsidR="00370DAB" w:rsidRPr="00493E4F">
        <w:t xml:space="preserve"> utilization of</w:t>
      </w:r>
      <w:r w:rsidR="00C019A4" w:rsidRPr="00493E4F">
        <w:t xml:space="preserve"> a health insurance </w:t>
      </w:r>
      <w:r w:rsidR="00C019A4" w:rsidRPr="00493E4F">
        <w:rPr>
          <w:noProof/>
        </w:rPr>
        <w:t>scheme</w:t>
      </w:r>
      <w:r w:rsidR="005A32A5" w:rsidRPr="00493E4F">
        <w:rPr>
          <w:noProof/>
        </w:rPr>
        <w:t xml:space="preserve"> </w:t>
      </w:r>
      <w:r w:rsidR="008F70E8" w:rsidRPr="00493E4F">
        <w:rPr>
          <w:noProof/>
        </w:rPr>
        <w:t>depends</w:t>
      </w:r>
      <w:r w:rsidR="008F70E8" w:rsidRPr="00493E4F">
        <w:t xml:space="preserve"> on the co-payment for different </w:t>
      </w:r>
      <w:r w:rsidR="008F70E8" w:rsidRPr="00493E4F">
        <w:rPr>
          <w:noProof/>
        </w:rPr>
        <w:t>services</w:t>
      </w:r>
      <w:r w:rsidR="006B3191" w:rsidRPr="00493E4F">
        <w:rPr>
          <w:noProof/>
        </w:rPr>
        <w:t xml:space="preserve"> in</w:t>
      </w:r>
      <w:r w:rsidR="006B3191" w:rsidRPr="00493E4F">
        <w:t xml:space="preserve"> the</w:t>
      </w:r>
      <w:r w:rsidR="0085764A" w:rsidRPr="00493E4F">
        <w:t xml:space="preserve"> </w:t>
      </w:r>
      <w:r w:rsidR="0085764A" w:rsidRPr="00493E4F">
        <w:rPr>
          <w:noProof/>
        </w:rPr>
        <w:t>benefit</w:t>
      </w:r>
      <w:r w:rsidR="005A32A5" w:rsidRPr="00493E4F">
        <w:rPr>
          <w:noProof/>
        </w:rPr>
        <w:t xml:space="preserve"> </w:t>
      </w:r>
      <w:r w:rsidR="008F70E8" w:rsidRPr="00493E4F">
        <w:rPr>
          <w:noProof/>
        </w:rPr>
        <w:t>package</w:t>
      </w:r>
      <w:r w:rsidR="006209CD" w:rsidRPr="00493E4F">
        <w:t xml:space="preserve"> of</w:t>
      </w:r>
      <w:r w:rsidR="002D2684" w:rsidRPr="00493E4F">
        <w:t>fered by</w:t>
      </w:r>
      <w:r w:rsidR="006209CD" w:rsidRPr="00493E4F">
        <w:t xml:space="preserve"> the scheme</w:t>
      </w:r>
      <w:r w:rsidR="008A4EC7" w:rsidRPr="00493E4F">
        <w:t>.</w:t>
      </w:r>
      <w:r w:rsidR="003A0B22" w:rsidRPr="00493E4F">
        <w:fldChar w:fldCharType="begin" w:fldLock="1"/>
      </w:r>
      <w:r w:rsidR="00E1324F" w:rsidRPr="00493E4F">
        <w:instrText>ADDIN CSL_CITATION {"citationItems":[{"id":"ITEM-1","itemData":{"DOI":"10.3390/ijerph10072995","ISSN":"1660-4601","PMID":"23873263","abstract":"We used panel data from the Indonesian Family Life Survey to investigate the impact of health insurance programs on reducing out-of-pocket expenditures. We employed three linear panel data models, two of which accounted for endogeneity: pooled ordinary least squares (OLS), pooled two-stage least squares (2SLS) for instrumental variable (IV), and fixed effects (FE). The study revealed that two health insurance programs had a significantly negative impact on out-of-pocket expenditures by using IV estimates. In the IV model, Askeskin decreased out-of-pocket expenditures by 34% and Askes by 55% compared with non-Askeskin and non-Askes, respectively, while Jamsostek was found to bear a nonsignificant effect on out-of-pocket expenditures. In the FE model, only Askeskin had a significant negative effect with an 11% reduction on out-of-pocket expenditures. This study showed that two large existing health insurance programs in Indonesia, Askeskin and Askes, effectively reduced household out-of-pocket expenditures. The ability of programs to offer financial protection by reducing out-of-pocket expenditures is likely to be a direct function of their benefits package and co-payment policies.","author":[{"dropping-particle":"","family":"Aji","given":"Budi","non-dropping-particle":"","parse-names":false,"suffix":""},{"dropping-particle":"","family":"Allegri","given":"Manuela","non-dropping-particle":"De","parse-names":false,"suffix":""},{"dropping-particle":"","family":"Souares","given":"Aurelia","non-dropping-particle":"","parse-names":false,"suffix":""},{"dropping-particle":"","family":"Sauerborn","given":"Rainer","non-dropping-particle":"","parse-names":false,"suffix":""}],"container-title":"International journal of environmental research and public health","id":"ITEM-1","issue":"7","issued":{"date-parts":[["2013","7"]]},"page":"2995-3013","title":"The impact of health insurance programs on out-of-pocket expenditures in Indonesia: an increase or a decrease?","type":"article-journal","volume":"10"},"uris":["http://www.mendeley.com/documents/?uuid=339f003e-ba8f-49ab-b6bf-c3b9028c3c30"]}],"mendeley":{"formattedCitation":"&lt;sup&gt;52&lt;/sup&gt;","plainTextFormattedCitation":"52","previouslyFormattedCitation":"&lt;sup&gt;52&lt;/sup&gt;"},"properties":{"noteIndex":0},"schema":"https://github.com/citation-style-language/schema/raw/master/csl-citation.json"}</w:instrText>
      </w:r>
      <w:r w:rsidR="003A0B22" w:rsidRPr="00493E4F">
        <w:fldChar w:fldCharType="separate"/>
      </w:r>
      <w:r w:rsidR="00B6233F" w:rsidRPr="00493E4F">
        <w:rPr>
          <w:noProof/>
          <w:vertAlign w:val="superscript"/>
        </w:rPr>
        <w:t>52</w:t>
      </w:r>
      <w:r w:rsidR="003A0B22" w:rsidRPr="00493E4F">
        <w:fldChar w:fldCharType="end"/>
      </w:r>
      <w:r w:rsidR="008F70E8" w:rsidRPr="00493E4F">
        <w:t xml:space="preserve"> For instance, the </w:t>
      </w:r>
      <w:r w:rsidR="008F70E8" w:rsidRPr="00493E4F">
        <w:rPr>
          <w:noProof/>
        </w:rPr>
        <w:t>benefit</w:t>
      </w:r>
      <w:r w:rsidR="005A32A5" w:rsidRPr="00493E4F">
        <w:rPr>
          <w:noProof/>
        </w:rPr>
        <w:t>s</w:t>
      </w:r>
      <w:r w:rsidR="008F70E8" w:rsidRPr="00493E4F">
        <w:t xml:space="preserve"> package of LASP was mainly </w:t>
      </w:r>
      <w:r w:rsidR="008F70E8" w:rsidRPr="00493E4F">
        <w:rPr>
          <w:noProof/>
        </w:rPr>
        <w:t>characteri</w:t>
      </w:r>
      <w:r w:rsidR="005A32A5" w:rsidRPr="00493E4F">
        <w:rPr>
          <w:noProof/>
        </w:rPr>
        <w:t>z</w:t>
      </w:r>
      <w:r w:rsidR="008F70E8" w:rsidRPr="00493E4F">
        <w:rPr>
          <w:noProof/>
        </w:rPr>
        <w:t>ed</w:t>
      </w:r>
      <w:r w:rsidR="008F70E8" w:rsidRPr="00493E4F">
        <w:t xml:space="preserve"> by primary care along with </w:t>
      </w:r>
      <w:r w:rsidR="00491A08" w:rsidRPr="00493E4F">
        <w:t xml:space="preserve"> </w:t>
      </w:r>
      <w:r w:rsidR="00916C8D" w:rsidRPr="00493E4F">
        <w:t xml:space="preserve">the </w:t>
      </w:r>
      <w:r w:rsidR="008F70E8" w:rsidRPr="00493E4F">
        <w:t>co-payment</w:t>
      </w:r>
      <w:r w:rsidR="00745F70" w:rsidRPr="00493E4F">
        <w:t>s</w:t>
      </w:r>
      <w:r w:rsidR="00A2332D" w:rsidRPr="00493E4F">
        <w:t xml:space="preserve"> </w:t>
      </w:r>
      <w:r w:rsidR="00491A08" w:rsidRPr="00493E4F">
        <w:t>as well as reimbursement of 4,000 BDT</w:t>
      </w:r>
      <w:r w:rsidR="000D0FC5" w:rsidRPr="00493E4F">
        <w:t xml:space="preserve"> for inpatient care</w:t>
      </w:r>
      <w:r w:rsidR="00491A08" w:rsidRPr="00493E4F">
        <w:t xml:space="preserve"> per household per year.</w:t>
      </w:r>
    </w:p>
    <w:p w14:paraId="165118D7" w14:textId="34C6B4C6" w:rsidR="0038046A" w:rsidRPr="00493E4F" w:rsidRDefault="006E16DA" w:rsidP="00D724FB">
      <w:pPr>
        <w:spacing w:before="120" w:line="480" w:lineRule="auto"/>
        <w:jc w:val="both"/>
      </w:pPr>
      <w:r w:rsidRPr="00493E4F">
        <w:t xml:space="preserve">CBHI schemes could be a </w:t>
      </w:r>
      <w:r w:rsidRPr="00493E4F">
        <w:rPr>
          <w:noProof/>
        </w:rPr>
        <w:t>potential</w:t>
      </w:r>
      <w:r w:rsidR="005A32A5" w:rsidRPr="00493E4F">
        <w:rPr>
          <w:noProof/>
        </w:rPr>
        <w:t xml:space="preserve"> </w:t>
      </w:r>
      <w:r w:rsidRPr="00493E4F">
        <w:rPr>
          <w:noProof/>
        </w:rPr>
        <w:t>mechanism</w:t>
      </w:r>
      <w:r w:rsidRPr="00493E4F">
        <w:t xml:space="preserve"> for generating new resources for securing quality healthcare with financial protection in the </w:t>
      </w:r>
      <w:r w:rsidRPr="00493E4F">
        <w:rPr>
          <w:noProof/>
        </w:rPr>
        <w:t>journey</w:t>
      </w:r>
      <w:r w:rsidRPr="00493E4F">
        <w:t xml:space="preserve"> towards UHC</w:t>
      </w:r>
      <w:r w:rsidR="0043536B" w:rsidRPr="00493E4F">
        <w:t xml:space="preserve"> since the </w:t>
      </w:r>
      <w:r w:rsidR="0043536B" w:rsidRPr="00493E4F">
        <w:rPr>
          <w:noProof/>
        </w:rPr>
        <w:t>large</w:t>
      </w:r>
      <w:r w:rsidR="005A32A5" w:rsidRPr="00493E4F">
        <w:rPr>
          <w:noProof/>
        </w:rPr>
        <w:t>s</w:t>
      </w:r>
      <w:r w:rsidR="0043536B" w:rsidRPr="00493E4F">
        <w:rPr>
          <w:noProof/>
        </w:rPr>
        <w:t>t</w:t>
      </w:r>
      <w:r w:rsidR="0043536B" w:rsidRPr="00493E4F">
        <w:t xml:space="preserve"> share of empl</w:t>
      </w:r>
      <w:r w:rsidR="005A32A5" w:rsidRPr="00493E4F">
        <w:t>oyment</w:t>
      </w:r>
      <w:r w:rsidR="0043536B" w:rsidRPr="00493E4F">
        <w:t xml:space="preserve"> in the country are located in </w:t>
      </w:r>
      <w:r w:rsidR="005A32A5" w:rsidRPr="00493E4F">
        <w:t xml:space="preserve">the </w:t>
      </w:r>
      <w:r w:rsidR="0043536B" w:rsidRPr="00493E4F">
        <w:t xml:space="preserve">informal sector of </w:t>
      </w:r>
      <w:r w:rsidR="00C378FE" w:rsidRPr="00493E4F">
        <w:t xml:space="preserve">the </w:t>
      </w:r>
      <w:r w:rsidR="0043536B" w:rsidRPr="00493E4F">
        <w:rPr>
          <w:noProof/>
        </w:rPr>
        <w:t>economy</w:t>
      </w:r>
      <w:r w:rsidRPr="00493E4F">
        <w:t>.</w:t>
      </w:r>
      <w:r w:rsidR="0043536B" w:rsidRPr="00493E4F">
        <w:t xml:space="preserve"> It might be reasonable to develop such schemes in existing cooperatives</w:t>
      </w:r>
      <w:r w:rsidR="00B64131" w:rsidRPr="00493E4F">
        <w:t>.</w:t>
      </w:r>
      <w:r w:rsidR="0043536B" w:rsidRPr="00493E4F">
        <w:t xml:space="preserve"> </w:t>
      </w:r>
      <w:r w:rsidR="00B64131" w:rsidRPr="00493E4F">
        <w:t>In these cooperatives</w:t>
      </w:r>
      <w:r w:rsidR="00F2016C">
        <w:t>,</w:t>
      </w:r>
      <w:r w:rsidR="00B64131" w:rsidRPr="00493E4F">
        <w:t xml:space="preserve"> this scheme can be</w:t>
      </w:r>
      <w:r w:rsidR="0043536B" w:rsidRPr="00493E4F">
        <w:t xml:space="preserve"> built on the basis of solidarity among</w:t>
      </w:r>
      <w:r w:rsidR="00113B39" w:rsidRPr="00493E4F">
        <w:t xml:space="preserve"> the </w:t>
      </w:r>
      <w:r w:rsidR="00F51C13" w:rsidRPr="00493E4F">
        <w:t>current</w:t>
      </w:r>
      <w:r w:rsidR="0043536B" w:rsidRPr="00493E4F">
        <w:t xml:space="preserve"> members</w:t>
      </w:r>
      <w:r w:rsidR="009C190C" w:rsidRPr="00493E4F">
        <w:t xml:space="preserve">. </w:t>
      </w:r>
      <w:r w:rsidR="00465987" w:rsidRPr="00493E4F">
        <w:t>T</w:t>
      </w:r>
      <w:r w:rsidR="005A32A5" w:rsidRPr="00493E4F">
        <w:t>he</w:t>
      </w:r>
      <w:r w:rsidR="009C190C" w:rsidRPr="00493E4F">
        <w:t xml:space="preserve"> existing</w:t>
      </w:r>
      <w:r w:rsidR="005A32A5" w:rsidRPr="00493E4F">
        <w:t xml:space="preserve"> </w:t>
      </w:r>
      <w:r w:rsidR="0043536B" w:rsidRPr="00493E4F">
        <w:t>infrastructure (</w:t>
      </w:r>
      <w:r w:rsidR="00741600" w:rsidRPr="00493E4F">
        <w:t xml:space="preserve">e.g. </w:t>
      </w:r>
      <w:r w:rsidR="0043536B" w:rsidRPr="00493E4F">
        <w:t>management capacity, office space, field staff)</w:t>
      </w:r>
      <w:r w:rsidR="00741600" w:rsidRPr="00493E4F">
        <w:t xml:space="preserve"> of the cooperatives will </w:t>
      </w:r>
      <w:r w:rsidR="001F4775" w:rsidRPr="00493E4F">
        <w:t>facilitate</w:t>
      </w:r>
      <w:r w:rsidR="0043536B" w:rsidRPr="00493E4F">
        <w:t xml:space="preserve"> implemen</w:t>
      </w:r>
      <w:r w:rsidR="001F4775" w:rsidRPr="00493E4F">
        <w:t>ta</w:t>
      </w:r>
      <w:r w:rsidR="0043536B" w:rsidRPr="00493E4F">
        <w:t>ti</w:t>
      </w:r>
      <w:r w:rsidR="001F4775" w:rsidRPr="00493E4F">
        <w:t>o</w:t>
      </w:r>
      <w:r w:rsidR="0043536B" w:rsidRPr="00493E4F">
        <w:t xml:space="preserve">n </w:t>
      </w:r>
      <w:r w:rsidR="001F4775" w:rsidRPr="00493E4F">
        <w:t xml:space="preserve">of the </w:t>
      </w:r>
      <w:r w:rsidR="0043536B" w:rsidRPr="00493E4F">
        <w:t>CBHI schemes as an add-on project</w:t>
      </w:r>
      <w:r w:rsidR="00C931B8" w:rsidRPr="00493E4F">
        <w:t>. This will</w:t>
      </w:r>
      <w:r w:rsidR="0043536B" w:rsidRPr="00493E4F">
        <w:t xml:space="preserve"> </w:t>
      </w:r>
      <w:r w:rsidR="00C931B8" w:rsidRPr="00493E4F">
        <w:t>reduce</w:t>
      </w:r>
      <w:r w:rsidR="0043536B" w:rsidRPr="00493E4F">
        <w:t xml:space="preserve"> costs to ongoing activities</w:t>
      </w:r>
      <w:r w:rsidR="00C931B8" w:rsidRPr="00493E4F">
        <w:t xml:space="preserve"> of the scheme</w:t>
      </w:r>
      <w:r w:rsidR="0043536B" w:rsidRPr="00493E4F">
        <w:t>.</w:t>
      </w:r>
      <w:r w:rsidR="005A32A5" w:rsidRPr="00493E4F">
        <w:t xml:space="preserve"> </w:t>
      </w:r>
      <w:r w:rsidR="001861D1" w:rsidRPr="00493E4F">
        <w:t xml:space="preserve">Cooperatives in Bangladesh are organized under the Department of </w:t>
      </w:r>
      <w:r w:rsidR="00CB105F" w:rsidRPr="00493E4F">
        <w:t xml:space="preserve">Cooperatives in the Ministry of Local Government and Rural Development of Bangladesh. </w:t>
      </w:r>
      <w:r w:rsidR="005A32A5" w:rsidRPr="00493E4F">
        <w:t>The r</w:t>
      </w:r>
      <w:r w:rsidR="00CB105F" w:rsidRPr="00493E4F">
        <w:t>ecent information showed that t</w:t>
      </w:r>
      <w:r w:rsidR="00180615" w:rsidRPr="00493E4F">
        <w:t xml:space="preserve">here are 1,107 central </w:t>
      </w:r>
      <w:r w:rsidR="00CB105F" w:rsidRPr="00493E4F">
        <w:t xml:space="preserve">cooperatives </w:t>
      </w:r>
      <w:r w:rsidR="00180615" w:rsidRPr="00493E4F">
        <w:t>with 133,188 members and 163,408 primary cooperatives with 8</w:t>
      </w:r>
      <w:r w:rsidR="002E07E6" w:rsidRPr="00493E4F">
        <w:t>.</w:t>
      </w:r>
      <w:r w:rsidR="00180615" w:rsidRPr="00493E4F">
        <w:t xml:space="preserve">5 Million members (Ministry of LGRD &amp; Cooperatives, </w:t>
      </w:r>
      <w:proofErr w:type="spellStart"/>
      <w:r w:rsidR="00180615" w:rsidRPr="00493E4F">
        <w:t>GoB</w:t>
      </w:r>
      <w:proofErr w:type="spellEnd"/>
      <w:r w:rsidR="00180615" w:rsidRPr="00493E4F">
        <w:t>)</w:t>
      </w:r>
      <w:r w:rsidR="008A4EC7" w:rsidRPr="00493E4F">
        <w:t>.</w:t>
      </w:r>
      <w:r w:rsidR="003A0B22" w:rsidRPr="00493E4F">
        <w:fldChar w:fldCharType="begin" w:fldLock="1"/>
      </w:r>
      <w:r w:rsidR="00E1324F" w:rsidRPr="00493E4F">
        <w:instrText>ADDIN CSL_CITATION {"citationItems":[{"id":"ITEM-1","itemData":{"URL":"http://www.coop.gov.bd/","accessed":{"date-parts":[["2012","12","6"]]},"author":[{"dropping-particle":"","family":"LGRD","given":"","non-dropping-particle":"","parse-names":false,"suffix":""}],"id":"ITEM-1","issued":{"date-parts":[["2012"]]},"title":"Department of Cooperatives in the Ministry of Local Government and Rural Development of Bangladesh","type":"webpage"},"uris":["http://www.mendeley.com/documents/?uuid=ed5249cc-d445-4ff3-8df1-5e0fc6ad30b8"]}],"mendeley":{"formattedCitation":"&lt;sup&gt;62&lt;/sup&gt;","plainTextFormattedCitation":"62","previouslyFormattedCitation":"&lt;sup&gt;62&lt;/sup&gt;"},"properties":{"noteIndex":0},"schema":"https://github.com/citation-style-language/schema/raw/master/csl-citation.json"}</w:instrText>
      </w:r>
      <w:r w:rsidR="003A0B22" w:rsidRPr="00493E4F">
        <w:fldChar w:fldCharType="separate"/>
      </w:r>
      <w:r w:rsidR="00B6233F" w:rsidRPr="00493E4F">
        <w:rPr>
          <w:noProof/>
          <w:vertAlign w:val="superscript"/>
        </w:rPr>
        <w:t>62</w:t>
      </w:r>
      <w:r w:rsidR="003A0B22" w:rsidRPr="00493E4F">
        <w:fldChar w:fldCharType="end"/>
      </w:r>
      <w:r w:rsidR="00180615" w:rsidRPr="00493E4F">
        <w:t xml:space="preserve"> These cooperatives are not necessarily developed by informal workers. However, there </w:t>
      </w:r>
      <w:r w:rsidR="00CB105F" w:rsidRPr="00493E4F">
        <w:t xml:space="preserve">are existing cooperatives of informal workers and there </w:t>
      </w:r>
      <w:r w:rsidR="00180615" w:rsidRPr="00493E4F">
        <w:t xml:space="preserve">is </w:t>
      </w:r>
      <w:r w:rsidR="00331DCF" w:rsidRPr="00493E4F">
        <w:t xml:space="preserve">a </w:t>
      </w:r>
      <w:r w:rsidR="00180615" w:rsidRPr="00493E4F">
        <w:t xml:space="preserve">large scope for </w:t>
      </w:r>
      <w:r w:rsidR="00CB105F" w:rsidRPr="00493E4F">
        <w:t>such</w:t>
      </w:r>
      <w:r w:rsidR="00180615" w:rsidRPr="00493E4F">
        <w:t xml:space="preserve"> workers </w:t>
      </w:r>
      <w:r w:rsidR="00CB105F" w:rsidRPr="00493E4F">
        <w:t xml:space="preserve">to </w:t>
      </w:r>
      <w:r w:rsidR="00220A0E" w:rsidRPr="00493E4F">
        <w:t>incorporate CBHI along with their prevailing economic activities (</w:t>
      </w:r>
      <w:r w:rsidR="00153C4F" w:rsidRPr="00493E4F">
        <w:t>e.g.</w:t>
      </w:r>
      <w:r w:rsidR="00790723" w:rsidRPr="00493E4F">
        <w:t xml:space="preserve"> </w:t>
      </w:r>
      <w:r w:rsidR="00220A0E" w:rsidRPr="00493E4F">
        <w:t xml:space="preserve">micro-credit, trading, </w:t>
      </w:r>
      <w:r w:rsidR="00E455FA" w:rsidRPr="00493E4F">
        <w:t>and landowning</w:t>
      </w:r>
      <w:r w:rsidR="00220A0E" w:rsidRPr="00493E4F">
        <w:t xml:space="preserve">). </w:t>
      </w:r>
    </w:p>
    <w:p w14:paraId="40329D83" w14:textId="6ADDAE44" w:rsidR="00CB105F" w:rsidRPr="00493E4F" w:rsidRDefault="0038046A" w:rsidP="00D724FB">
      <w:pPr>
        <w:spacing w:before="120" w:line="480" w:lineRule="auto"/>
        <w:jc w:val="both"/>
      </w:pPr>
      <w:r w:rsidRPr="00493E4F">
        <w:t xml:space="preserve">The </w:t>
      </w:r>
      <w:r w:rsidRPr="00493E4F">
        <w:rPr>
          <w:noProof/>
        </w:rPr>
        <w:t>healthcare</w:t>
      </w:r>
      <w:r w:rsidRPr="00493E4F">
        <w:t xml:space="preserve"> financing strategy of Bangladesh strongly addressed the importance as well as </w:t>
      </w:r>
      <w:r w:rsidR="005A32A5" w:rsidRPr="00493E4F">
        <w:t xml:space="preserve">the </w:t>
      </w:r>
      <w:r w:rsidR="00A03C21" w:rsidRPr="00493E4F">
        <w:rPr>
          <w:noProof/>
        </w:rPr>
        <w:t>resilience</w:t>
      </w:r>
      <w:r w:rsidRPr="00493E4F">
        <w:t xml:space="preserve"> of including informal workers </w:t>
      </w:r>
      <w:r w:rsidRPr="00493E4F">
        <w:rPr>
          <w:noProof/>
        </w:rPr>
        <w:t>in</w:t>
      </w:r>
      <w:r w:rsidRPr="00493E4F">
        <w:t xml:space="preserve"> pre-payment schemes</w:t>
      </w:r>
      <w:r w:rsidR="008A4EC7" w:rsidRPr="00493E4F">
        <w:t>.</w:t>
      </w:r>
      <w:r w:rsidR="003A0B22" w:rsidRPr="00493E4F">
        <w:fldChar w:fldCharType="begin" w:fldLock="1"/>
      </w:r>
      <w:r w:rsidR="00B25CC4" w:rsidRPr="00493E4F">
        <w:instrText>ADDIN CSL_CITATION {"citationItems":[{"id":"ITEM-1","itemData":{"author":[{"dropping-particle":"","family":"MoHFW","given":"","non-dropping-particle":"","parse-names":false,"suffix":""}],"id":"ITEM-1","issued":{"date-parts":[["2012"]]},"publisher-place":"Dhaka","title":"Expanding Social Protection for Health: Towards Universal Coverage, Health Care Financing Strategy 2012-2032","type":"report"},"uris":["http://www.mendeley.com/documents/?uuid=420d4a3d-9f6d-4715-8a94-f21b33a27288"]}],"mendeley":{"formattedCitation":"&lt;sup&gt;1&lt;/sup&gt;","plainTextFormattedCitation":"1","previouslyFormattedCitation":"&lt;sup&gt;1&lt;/sup&gt;"},"properties":{"noteIndex":0},"schema":"https://github.com/citation-style-language/schema/raw/master/csl-citation.json"}</w:instrText>
      </w:r>
      <w:r w:rsidR="003A0B22" w:rsidRPr="00493E4F">
        <w:fldChar w:fldCharType="separate"/>
      </w:r>
      <w:r w:rsidR="00383E46" w:rsidRPr="00493E4F">
        <w:rPr>
          <w:noProof/>
          <w:vertAlign w:val="superscript"/>
        </w:rPr>
        <w:t>1</w:t>
      </w:r>
      <w:r w:rsidR="003A0B22" w:rsidRPr="00493E4F">
        <w:fldChar w:fldCharType="end"/>
      </w:r>
      <w:r w:rsidRPr="00493E4F">
        <w:t xml:space="preserve"> Our experience su</w:t>
      </w:r>
      <w:r w:rsidR="000B60A4" w:rsidRPr="00493E4F">
        <w:t xml:space="preserve">ggests that cooperatives appear as </w:t>
      </w:r>
      <w:r w:rsidRPr="00493E4F">
        <w:t xml:space="preserve">a platform for economic benefits </w:t>
      </w:r>
      <w:r w:rsidR="00893AAF" w:rsidRPr="00493E4F">
        <w:t>e.g.</w:t>
      </w:r>
      <w:r w:rsidRPr="00493E4F">
        <w:t xml:space="preserve">, micro-credit, savings </w:t>
      </w:r>
      <w:r w:rsidR="000B60A4" w:rsidRPr="00493E4F">
        <w:t xml:space="preserve">of informal low-income workers. </w:t>
      </w:r>
      <w:r w:rsidR="00707305" w:rsidRPr="00493E4F">
        <w:t xml:space="preserve">It was observed that CBHI schemes suffer non-renewal or drop-out of </w:t>
      </w:r>
      <w:r w:rsidR="00707305" w:rsidRPr="00493E4F">
        <w:rPr>
          <w:noProof/>
        </w:rPr>
        <w:t>enro</w:t>
      </w:r>
      <w:r w:rsidR="005A32A5" w:rsidRPr="00493E4F">
        <w:rPr>
          <w:noProof/>
        </w:rPr>
        <w:t>l</w:t>
      </w:r>
      <w:r w:rsidR="00707305" w:rsidRPr="00493E4F">
        <w:rPr>
          <w:noProof/>
        </w:rPr>
        <w:t>lees</w:t>
      </w:r>
      <w:r w:rsidR="00707305" w:rsidRPr="00493E4F">
        <w:t xml:space="preserve">, which puts such schemes into </w:t>
      </w:r>
      <w:r w:rsidR="005A32A5" w:rsidRPr="00493E4F">
        <w:t xml:space="preserve">the </w:t>
      </w:r>
      <w:r w:rsidR="00707305" w:rsidRPr="00493E4F">
        <w:rPr>
          <w:noProof/>
        </w:rPr>
        <w:t>challenge</w:t>
      </w:r>
      <w:r w:rsidR="00707305" w:rsidRPr="00493E4F">
        <w:t xml:space="preserve"> of financial sustainability</w:t>
      </w:r>
      <w:r w:rsidR="008A4EC7" w:rsidRPr="00493E4F">
        <w:t>.</w:t>
      </w:r>
      <w:r w:rsidR="003A0B22" w:rsidRPr="00493E4F">
        <w:fldChar w:fldCharType="begin" w:fldLock="1"/>
      </w:r>
      <w:r w:rsidR="00E1324F" w:rsidRPr="00493E4F">
        <w:instrText>ADDIN CSL_CITATION {"citationItems":[{"id":"ITEM-1","itemData":{"DOI":"10.1093/heapol/czu142","ISBN":"0268-1080","ISSN":"14602237","PMID":"25616670","abstract":"Low contract renewal rates have been identified as one of the challenges facing the development of community-based health insurance (CBHI) schemes. This article uses longitudinal household survey data gathered in 2012 and 2013 to examine dropout in the case of Ethiopia's pilot CBHI scheme. We treat dropout as a function of scheme affordability, health status, scheme understanding and quality of care. The scheme saw enrolment increase from 41% 1 year after inception to 48% a year later. An impressive 82% of those who enrolled in the first year renewed their subscriptions, while 25% who had not enrolled joined the scheme. The analysis shows that socioeconomic status, a greater understanding of health insurance and experience with and knowledge of the CBHI scheme are associated with lower dropout rates. While there are concerns about the quality of care and the treatment meted out to the insured by providers, the overall picture is that returns from the scheme are overwhelmingly positive. For the bulk of households, premiums do not seem to be onerous, basic understanding of health insurance is high and almost all those who are currently enrolled signalled their desire to renew contracts.","author":[{"dropping-particle":"","family":"Mebratie","given":"Anagaw D.","non-dropping-particle":"","parse-names":false,"suffix":""},{"dropping-particle":"","family":"Sparrow","given":"Robert","non-dropping-particle":"","parse-names":false,"suffix":""},{"dropping-particle":"","family":"Yilma","given":"Zelalem","non-dropping-particle":"","parse-names":false,"suffix":""},{"dropping-particle":"","family":"Alemu","given":"Getnet","non-dropping-particle":"","parse-names":false,"suffix":""},{"dropping-particle":"","family":"Bedi","given":"Arjun S.","non-dropping-particle":"","parse-names":false,"suffix":""}],"container-title":"Health Policy and Planning","id":"ITEM-1","issue":"10","issued":{"date-parts":[["2015"]]},"page":"1296-1306","title":"Dropping out of Ethiopia's community-based health insurance scheme","type":"article-journal","volume":"30"},"uris":["http://www.mendeley.com/documents/?uuid=6e063407-659e-4934-88a3-476ba03f9559"]},{"id":"ITEM-2","itemData":{"DOI":"10.1093/heapol/czw090","ISSN":"14602237","PMID":"27476500","abstract":"Low renewal rate is a key challenge facing the sustainability of Community-based Health Insurance (CBHI) schemes. While there is a large literature on initial enrolment into such schemes, there is limited evidence on the factors that impede renewal. This paper uses longitudinal data to analyse what determines renewal, both one and two years after the introduction of three CBHI schemes, which have been operating in rural Bihar and Uttar Pradesh since 2011. We find that initial scheme uptake is about 23-24 % and that two years after scheme operation, only about 20 % of the initial enrolees maintain their membership. A household’s socio-economic status does not seem to play a large role in impeding renewal. In some instances, a greater understanding of the scheme boosts renewal. The link between health status and use of health care in maintaining renewal is mixed. The clearest effect is that individuals living in households that have received benefits from the scheme are substantially more likely to renew their contracts. We find that having access to a national health insurance scheme is not a substitute for the CBHI. We conclude that the low retention rates may be attributed to limited benefit packages, slow claims processing times and the gaps between the amounts claimed and amounts paid out by insurance.","author":[{"dropping-particle":"","family":"Panda","given":"Pradeep","non-dropping-particle":"","parse-names":false,"suffix":""},{"dropping-particle":"","family":"Chakraborty","given":"Arpita","non-dropping-particle":"","parse-names":false,"suffix":""},{"dropping-particle":"","family":"Raza","given":"Wameq","non-dropping-particle":"","parse-names":false,"suffix":""},{"dropping-particle":"","family":"Bedi","given":"Arjun S.","non-dropping-particle":"","parse-names":false,"suffix":""}],"container-title":"Health Policy and Planning","id":"ITEM-2","issue":"10","issued":{"date-parts":[["2016"]]},"page":"1433-1444","title":"Renewing membership in three communitybased health insurance schemes in rural India","type":"article-journal","volume":"31"},"uris":["http://www.mendeley.com/documents/?uuid=c1188596-8309-49ba-8c6a-3b5c2751fb60"]}],"mendeley":{"formattedCitation":"&lt;sup&gt;63,64&lt;/sup&gt;","plainTextFormattedCitation":"63,64","previouslyFormattedCitation":"&lt;sup&gt;63,64&lt;/sup&gt;"},"properties":{"noteIndex":0},"schema":"https://github.com/citation-style-language/schema/raw/master/csl-citation.json"}</w:instrText>
      </w:r>
      <w:r w:rsidR="003A0B22" w:rsidRPr="00493E4F">
        <w:fldChar w:fldCharType="separate"/>
      </w:r>
      <w:r w:rsidR="00B6233F" w:rsidRPr="00493E4F">
        <w:rPr>
          <w:noProof/>
          <w:vertAlign w:val="superscript"/>
        </w:rPr>
        <w:t>63,64</w:t>
      </w:r>
      <w:r w:rsidR="003A0B22" w:rsidRPr="00493E4F">
        <w:fldChar w:fldCharType="end"/>
      </w:r>
      <w:r w:rsidR="00707305" w:rsidRPr="00493E4F">
        <w:t xml:space="preserve"> The cooperatives, which are developed based on solidarity among members in addition to careful designing of the scheme, may reduce the challenge of retention of the members</w:t>
      </w:r>
      <w:r w:rsidR="008A4EC7" w:rsidRPr="00493E4F">
        <w:t>.</w:t>
      </w:r>
      <w:r w:rsidR="003A0B22" w:rsidRPr="00493E4F">
        <w:fldChar w:fldCharType="begin" w:fldLock="1"/>
      </w:r>
      <w:r w:rsidR="00E1324F" w:rsidRPr="00493E4F">
        <w:instrText>ADDIN CSL_CITATION {"citationItems":[{"id":"ITEM-1","itemData":{"DOI":"10.1016/j.socscimed.2006.10.032","ISSN":"0277-9536","PMID":"17141931","abstract":"We applied a decision tool for rationing choices, with a predetermined budget of about 11 US dollars per household per year, to identify priorities of poor people regarding health insurance benefits in India in late 2005. A total of 302 individuals, organized in 24 groups, participated from a number of villages and neighborhoods of towns in Karnataka and Maharashtra. Many individuals were illiterate, innumerate and without insurance experience. Involving clients in insurance package design is based on an implied assumption that people can make judicious rationing decisions. Judiciousness was assessed by examining the association between the frequency of choosing a package and its perceived effectiveness. Perceived effectiveness was evaluated by comparing respondents' choices to the costs registered in 2049 illness episodes among a comparable cohort, using three criteria: 'reimbursement' (reimbursement regardless of the absolute level of expenditure), 'fairness' (higher reimbursement rate for higher expenses) and 'catastrophic coverage' (insurance for catastrophic exposure). The most frequently chosen packages scored highly on all three criteria; thus, rationing choices were confirmed as judicious. Fully 88.4% of the respondents selected at least three of the following benefits: outpatient, inpatient, drugs and tests, with a clear preference to cover high aggregate costs regardless of their probability. The results show that involving prospective clients in benefit package design can be done without compromising the judiciousness of rationing choices, even with people who have low education, low-income and no previous experience in similar exercises.","author":[{"dropping-particle":"","family":"Dror","given":"David Mark","non-dropping-particle":"","parse-names":false,"suffix":""},{"dropping-particle":"","family":"Koren","given":"Ruth","non-dropping-particle":"","parse-names":false,"suffix":""},{"dropping-particle":"","family":"Ost","given":"Alexander","non-dropping-particle":"","parse-names":false,"suffix":""},{"dropping-particle":"","family":"Binnendijk","given":"Erika","non-dropping-particle":"","parse-names":false,"suffix":""},{"dropping-particle":"","family":"Vellakkal","given":"Sukumar","non-dropping-particle":"","parse-names":false,"suffix":""},{"dropping-particle":"","family":"Danis","given":"Marion","non-dropping-particle":"","parse-names":false,"suffix":""}],"container-title":"Social science &amp; medicine (1982)","id":"ITEM-1","issue":"4","issued":{"date-parts":[["2007","2"]]},"page":"884-96","title":"Health insurance benefit packages prioritized by low-income clients in India: three criteria to estimate effectiveness of choice.","type":"article-journal","volume":"64"},"uris":["http://www.mendeley.com/documents/?uuid=5045cd1a-b61c-4fde-b862-b8edff482b29"]},{"id":"ITEM-2","itemData":{"DOI":"10.1136/bmjgh-2016-000052","ISSN":"2059-7908","author":[{"dropping-particle":"","family":"Sarker","given":"Abdur Razzaque","non-dropping-particle":"","parse-names":false,"suffix":""},{"dropping-particle":"","family":"Sultana","given":"Marufa","non-dropping-particle":"","parse-names":false,"suffix":""},{"dropping-particle":"","family":"Mahumud","given":"Rashidul Alam","non-dropping-particle":"","parse-names":false,"suffix":""}],"container-title":"BMJ Global Health","id":"ITEM-2","issue":"3","issued":{"date-parts":[["2016"]]},"page":"e000052","title":"Cooperative societies: a sustainable platform for promoting universal health coverage in Bangladesh","type":"article-journal","volume":"1"},"uris":["http://www.mendeley.com/documents/?uuid=0435a645-1303-471a-96b3-bedff67fcb22"]}],"mendeley":{"formattedCitation":"&lt;sup&gt;65,66&lt;/sup&gt;","plainTextFormattedCitation":"65,66","previouslyFormattedCitation":"&lt;sup&gt;65,66&lt;/sup&gt;"},"properties":{"noteIndex":0},"schema":"https://github.com/citation-style-language/schema/raw/master/csl-citation.json"}</w:instrText>
      </w:r>
      <w:r w:rsidR="003A0B22" w:rsidRPr="00493E4F">
        <w:fldChar w:fldCharType="separate"/>
      </w:r>
      <w:r w:rsidR="00B6233F" w:rsidRPr="00493E4F">
        <w:rPr>
          <w:noProof/>
          <w:vertAlign w:val="superscript"/>
        </w:rPr>
        <w:t>65,66</w:t>
      </w:r>
      <w:r w:rsidR="003A0B22" w:rsidRPr="00493E4F">
        <w:fldChar w:fldCharType="end"/>
      </w:r>
      <w:r w:rsidR="00707305" w:rsidRPr="00493E4F">
        <w:t xml:space="preserve"> I</w:t>
      </w:r>
      <w:r w:rsidR="000B60A4" w:rsidRPr="00493E4F">
        <w:t xml:space="preserve">n </w:t>
      </w:r>
      <w:r w:rsidR="00707305" w:rsidRPr="00493E4F">
        <w:t>the CBHI schemes, operated by cooperatives</w:t>
      </w:r>
      <w:r w:rsidR="00D40B6D" w:rsidRPr="00493E4F">
        <w:t>,</w:t>
      </w:r>
      <w:r w:rsidR="000B60A4" w:rsidRPr="00493E4F">
        <w:t xml:space="preserve"> if </w:t>
      </w:r>
      <w:r w:rsidR="000B60A4" w:rsidRPr="00493E4F">
        <w:rPr>
          <w:noProof/>
        </w:rPr>
        <w:t>workers</w:t>
      </w:r>
      <w:r w:rsidR="005A32A5" w:rsidRPr="00493E4F">
        <w:rPr>
          <w:noProof/>
        </w:rPr>
        <w:t xml:space="preserve"> </w:t>
      </w:r>
      <w:r w:rsidR="00864A39" w:rsidRPr="00493E4F">
        <w:rPr>
          <w:noProof/>
        </w:rPr>
        <w:t>do</w:t>
      </w:r>
      <w:r w:rsidR="00864A39" w:rsidRPr="00493E4F">
        <w:t xml:space="preserve"> </w:t>
      </w:r>
      <w:r w:rsidR="00864A39" w:rsidRPr="00493E4F">
        <w:rPr>
          <w:noProof/>
        </w:rPr>
        <w:t>not</w:t>
      </w:r>
      <w:r w:rsidR="005A32A5" w:rsidRPr="00493E4F">
        <w:rPr>
          <w:noProof/>
        </w:rPr>
        <w:t xml:space="preserve"> </w:t>
      </w:r>
      <w:r w:rsidR="00707305" w:rsidRPr="00493E4F">
        <w:rPr>
          <w:noProof/>
        </w:rPr>
        <w:t>get</w:t>
      </w:r>
      <w:r w:rsidR="00AA500E" w:rsidRPr="00493E4F">
        <w:t xml:space="preserve"> health benefits</w:t>
      </w:r>
      <w:r w:rsidR="000B60A4" w:rsidRPr="00493E4F">
        <w:t xml:space="preserve"> (if they do not get sick), they </w:t>
      </w:r>
      <w:r w:rsidR="00864A39" w:rsidRPr="00493E4F">
        <w:t xml:space="preserve">may </w:t>
      </w:r>
      <w:r w:rsidR="00D40B6D" w:rsidRPr="00493E4F">
        <w:t xml:space="preserve">be </w:t>
      </w:r>
      <w:r w:rsidR="000B60A4" w:rsidRPr="00493E4F">
        <w:t>benefit</w:t>
      </w:r>
      <w:r w:rsidR="00D40B6D" w:rsidRPr="00493E4F">
        <w:t>ed</w:t>
      </w:r>
      <w:r w:rsidR="000B60A4" w:rsidRPr="00493E4F">
        <w:t xml:space="preserve"> from other component</w:t>
      </w:r>
      <w:r w:rsidR="00D40B6D" w:rsidRPr="00493E4F">
        <w:t>s</w:t>
      </w:r>
      <w:r w:rsidR="000B60A4" w:rsidRPr="00493E4F">
        <w:t xml:space="preserve"> of the cooperative </w:t>
      </w:r>
      <w:r w:rsidR="00D40B6D" w:rsidRPr="00493E4F">
        <w:t xml:space="preserve">(e.g. </w:t>
      </w:r>
      <w:r w:rsidR="000B60A4" w:rsidRPr="00493E4F">
        <w:t>micro-credit</w:t>
      </w:r>
      <w:r w:rsidR="00D40B6D" w:rsidRPr="00493E4F">
        <w:t xml:space="preserve"> and</w:t>
      </w:r>
      <w:r w:rsidR="000B60A4" w:rsidRPr="00493E4F">
        <w:t xml:space="preserve"> savings</w:t>
      </w:r>
      <w:r w:rsidR="00D40B6D" w:rsidRPr="00493E4F">
        <w:t>)</w:t>
      </w:r>
      <w:r w:rsidR="000B60A4" w:rsidRPr="00493E4F">
        <w:t xml:space="preserve"> which can increase the possibility for more enrolment and retention of the members. In this pilot scheme</w:t>
      </w:r>
      <w:r w:rsidR="002039A6" w:rsidRPr="00493E4F">
        <w:t>,</w:t>
      </w:r>
      <w:r w:rsidR="000B60A4" w:rsidRPr="00493E4F">
        <w:t xml:space="preserve"> we did not have the opportunity to test th</w:t>
      </w:r>
      <w:r w:rsidR="00B307D1" w:rsidRPr="00493E4F">
        <w:t>e</w:t>
      </w:r>
      <w:r w:rsidR="000B60A4" w:rsidRPr="00493E4F">
        <w:t>s</w:t>
      </w:r>
      <w:r w:rsidR="00B307D1" w:rsidRPr="00493E4F">
        <w:t>e</w:t>
      </w:r>
      <w:r w:rsidR="000B60A4" w:rsidRPr="00493E4F">
        <w:t xml:space="preserve"> assumptions because of </w:t>
      </w:r>
      <w:r w:rsidR="000B60A4" w:rsidRPr="00493E4F">
        <w:rPr>
          <w:noProof/>
        </w:rPr>
        <w:t>lack</w:t>
      </w:r>
      <w:r w:rsidR="000B60A4" w:rsidRPr="00493E4F">
        <w:t xml:space="preserve"> of comparable packages under the same scheme</w:t>
      </w:r>
      <w:r w:rsidR="00CF250C" w:rsidRPr="00493E4F">
        <w:t xml:space="preserve"> since </w:t>
      </w:r>
      <w:r w:rsidR="002039A6" w:rsidRPr="00493E4F">
        <w:t xml:space="preserve">all </w:t>
      </w:r>
      <w:r w:rsidR="002039A6" w:rsidRPr="00493E4F">
        <w:rPr>
          <w:noProof/>
        </w:rPr>
        <w:t>enro</w:t>
      </w:r>
      <w:r w:rsidR="005A32A5" w:rsidRPr="00493E4F">
        <w:rPr>
          <w:noProof/>
        </w:rPr>
        <w:t>l</w:t>
      </w:r>
      <w:r w:rsidR="002039A6" w:rsidRPr="00493E4F">
        <w:rPr>
          <w:noProof/>
        </w:rPr>
        <w:t>lees</w:t>
      </w:r>
      <w:r w:rsidR="002039A6" w:rsidRPr="00493E4F">
        <w:t xml:space="preserve"> </w:t>
      </w:r>
      <w:r w:rsidR="00B33913" w:rsidRPr="00493E4F">
        <w:t xml:space="preserve">were entitled to both </w:t>
      </w:r>
      <w:r w:rsidR="003165A8" w:rsidRPr="00493E4F">
        <w:t>health insurance and savings</w:t>
      </w:r>
      <w:r w:rsidR="000B60A4" w:rsidRPr="00493E4F">
        <w:t xml:space="preserve">. </w:t>
      </w:r>
      <w:r w:rsidR="000778D1" w:rsidRPr="00493E4F">
        <w:t>F</w:t>
      </w:r>
      <w:r w:rsidR="00D01B56" w:rsidRPr="00493E4F">
        <w:t xml:space="preserve">urther research is required </w:t>
      </w:r>
      <w:r w:rsidR="00170C48" w:rsidRPr="00493E4F">
        <w:t>by offering different combinations of benefits (health insurance alone or/and savings or/and micro-credit or/and subsidy o</w:t>
      </w:r>
      <w:r w:rsidR="006F4C20" w:rsidRPr="00493E4F">
        <w:t>n</w:t>
      </w:r>
      <w:r w:rsidR="00170C48" w:rsidRPr="00493E4F">
        <w:t xml:space="preserve"> food</w:t>
      </w:r>
      <w:r w:rsidR="006F4C20" w:rsidRPr="00493E4F">
        <w:t xml:space="preserve"> purchase</w:t>
      </w:r>
      <w:r w:rsidR="00170C48" w:rsidRPr="00493E4F">
        <w:t xml:space="preserve">) </w:t>
      </w:r>
      <w:r w:rsidR="00D01B56" w:rsidRPr="00493E4F">
        <w:t xml:space="preserve">for designing the schemes </w:t>
      </w:r>
      <w:r w:rsidR="003165A8" w:rsidRPr="00493E4F">
        <w:t>based on</w:t>
      </w:r>
      <w:r w:rsidR="00D01B56" w:rsidRPr="00493E4F">
        <w:t xml:space="preserve"> more </w:t>
      </w:r>
      <w:r w:rsidR="00D01B56" w:rsidRPr="00493E4F">
        <w:rPr>
          <w:noProof/>
        </w:rPr>
        <w:t>evidence</w:t>
      </w:r>
      <w:r w:rsidR="00D01B56" w:rsidRPr="00493E4F">
        <w:t xml:space="preserve">. </w:t>
      </w:r>
      <w:r w:rsidR="003165A8" w:rsidRPr="00493E4F">
        <w:t>It is thus important to emphasize</w:t>
      </w:r>
      <w:r w:rsidR="000778D1" w:rsidRPr="00493E4F">
        <w:t xml:space="preserve"> here that for progressing towards </w:t>
      </w:r>
      <w:r w:rsidR="00D40B6D" w:rsidRPr="00493E4F">
        <w:t>UHC</w:t>
      </w:r>
      <w:r w:rsidR="000778D1" w:rsidRPr="00493E4F">
        <w:t xml:space="preserve"> usage of cooperatives can be considered as a high potential</w:t>
      </w:r>
      <w:r w:rsidR="003165A8" w:rsidRPr="00493E4F">
        <w:t xml:space="preserve"> platform for developing CBHI schemes</w:t>
      </w:r>
      <w:r w:rsidR="000778D1" w:rsidRPr="00493E4F">
        <w:t>.</w:t>
      </w:r>
    </w:p>
    <w:p w14:paraId="70D18746" w14:textId="46427E59" w:rsidR="00E95DAA" w:rsidRPr="00493E4F" w:rsidRDefault="00E95DAA" w:rsidP="002450CA">
      <w:pPr>
        <w:spacing w:before="120" w:line="480" w:lineRule="auto"/>
        <w:jc w:val="both"/>
      </w:pPr>
      <w:r w:rsidRPr="00493E4F">
        <w:t>One possible limitation of this study was that we could not capture the seasonal variation in OOP payment of healthcare since the survey took place from April to June 2014. However</w:t>
      </w:r>
      <w:r w:rsidRPr="00493E4F">
        <w:rPr>
          <w:noProof/>
        </w:rPr>
        <w:t>,</w:t>
      </w:r>
      <w:r w:rsidR="005A32A5" w:rsidRPr="00493E4F">
        <w:rPr>
          <w:noProof/>
        </w:rPr>
        <w:t xml:space="preserve"> </w:t>
      </w:r>
      <w:r w:rsidRPr="00493E4F">
        <w:rPr>
          <w:noProof/>
        </w:rPr>
        <w:t>the</w:t>
      </w:r>
      <w:r w:rsidRPr="00493E4F">
        <w:t xml:space="preserve"> use of a comparison group in </w:t>
      </w:r>
      <w:r w:rsidRPr="00493E4F">
        <w:rPr>
          <w:noProof/>
        </w:rPr>
        <w:t>the</w:t>
      </w:r>
      <w:r w:rsidR="005A32A5" w:rsidRPr="00493E4F">
        <w:rPr>
          <w:noProof/>
        </w:rPr>
        <w:t xml:space="preserve"> </w:t>
      </w:r>
      <w:r w:rsidRPr="00493E4F">
        <w:rPr>
          <w:noProof/>
        </w:rPr>
        <w:t>study</w:t>
      </w:r>
      <w:r w:rsidRPr="00493E4F">
        <w:t xml:space="preserve"> from </w:t>
      </w:r>
      <w:r w:rsidR="005A32A5" w:rsidRPr="00493E4F">
        <w:t xml:space="preserve">the </w:t>
      </w:r>
      <w:r w:rsidRPr="00493E4F">
        <w:rPr>
          <w:noProof/>
        </w:rPr>
        <w:t>same</w:t>
      </w:r>
      <w:r w:rsidRPr="00493E4F">
        <w:t xml:space="preserve"> community and </w:t>
      </w:r>
      <w:r w:rsidRPr="00493E4F">
        <w:rPr>
          <w:noProof/>
        </w:rPr>
        <w:t>the</w:t>
      </w:r>
      <w:r w:rsidR="005A32A5" w:rsidRPr="00493E4F">
        <w:rPr>
          <w:noProof/>
        </w:rPr>
        <w:t xml:space="preserve"> </w:t>
      </w:r>
      <w:r w:rsidRPr="00493E4F">
        <w:rPr>
          <w:noProof/>
        </w:rPr>
        <w:t>use</w:t>
      </w:r>
      <w:r w:rsidRPr="00493E4F">
        <w:t xml:space="preserve"> of </w:t>
      </w:r>
      <w:r w:rsidRPr="00493E4F">
        <w:rPr>
          <w:noProof/>
        </w:rPr>
        <w:t>PSM</w:t>
      </w:r>
      <w:r w:rsidR="005A32A5" w:rsidRPr="00493E4F">
        <w:rPr>
          <w:noProof/>
        </w:rPr>
        <w:t xml:space="preserve"> </w:t>
      </w:r>
      <w:r w:rsidRPr="00493E4F">
        <w:rPr>
          <w:noProof/>
        </w:rPr>
        <w:t>during</w:t>
      </w:r>
      <w:r w:rsidRPr="00493E4F">
        <w:t xml:space="preserve"> analysis could minimize such bias. </w:t>
      </w:r>
      <w:r w:rsidR="00EB411F" w:rsidRPr="00493E4F">
        <w:t xml:space="preserve">Another limitation was the potential for recall bias, as OOP </w:t>
      </w:r>
      <w:r w:rsidR="00EB411F" w:rsidRPr="00493E4F">
        <w:rPr>
          <w:noProof/>
        </w:rPr>
        <w:t>payments</w:t>
      </w:r>
      <w:r w:rsidR="005A32A5" w:rsidRPr="00493E4F">
        <w:rPr>
          <w:noProof/>
        </w:rPr>
        <w:t xml:space="preserve"> </w:t>
      </w:r>
      <w:r w:rsidR="00622DF7" w:rsidRPr="00493E4F">
        <w:rPr>
          <w:noProof/>
        </w:rPr>
        <w:t>related</w:t>
      </w:r>
      <w:r w:rsidR="00622DF7" w:rsidRPr="00493E4F">
        <w:t xml:space="preserve"> information </w:t>
      </w:r>
      <w:r w:rsidR="00B20F89" w:rsidRPr="00493E4F">
        <w:rPr>
          <w:noProof/>
        </w:rPr>
        <w:t>was</w:t>
      </w:r>
      <w:r w:rsidR="005A32A5" w:rsidRPr="00493E4F">
        <w:rPr>
          <w:noProof/>
        </w:rPr>
        <w:t xml:space="preserve"> </w:t>
      </w:r>
      <w:r w:rsidR="00622DF7" w:rsidRPr="00493E4F">
        <w:rPr>
          <w:noProof/>
        </w:rPr>
        <w:t>collected</w:t>
      </w:r>
      <w:r w:rsidR="00622DF7" w:rsidRPr="00493E4F">
        <w:t xml:space="preserve"> using</w:t>
      </w:r>
      <w:r w:rsidR="00EB411F" w:rsidRPr="00493E4F">
        <w:t xml:space="preserve"> a self-reported questionnaire. </w:t>
      </w:r>
      <w:r w:rsidR="000A4C62" w:rsidRPr="00493E4F">
        <w:t xml:space="preserve">We used 3 months recall period </w:t>
      </w:r>
      <w:r w:rsidR="001219FC" w:rsidRPr="00493E4F">
        <w:rPr>
          <w:noProof/>
        </w:rPr>
        <w:t>though</w:t>
      </w:r>
      <w:r w:rsidR="005A32A5" w:rsidRPr="00493E4F">
        <w:rPr>
          <w:noProof/>
        </w:rPr>
        <w:t xml:space="preserve"> </w:t>
      </w:r>
      <w:r w:rsidR="003F6152" w:rsidRPr="00493E4F">
        <w:rPr>
          <w:noProof/>
        </w:rPr>
        <w:t>earlier</w:t>
      </w:r>
      <w:r w:rsidR="003F6152" w:rsidRPr="00493E4F">
        <w:t xml:space="preserve"> studies </w:t>
      </w:r>
      <w:r w:rsidR="001219FC" w:rsidRPr="00493E4F">
        <w:t xml:space="preserve">used </w:t>
      </w:r>
      <w:r w:rsidR="009617C3" w:rsidRPr="00493E4F">
        <w:t>1</w:t>
      </w:r>
      <w:r w:rsidR="00BD7167" w:rsidRPr="00493E4F">
        <w:t xml:space="preserve"> </w:t>
      </w:r>
      <w:r w:rsidR="000A4C62" w:rsidRPr="00493E4F">
        <w:t>to 12 months</w:t>
      </w:r>
      <w:r w:rsidR="001219FC" w:rsidRPr="00493E4F">
        <w:t xml:space="preserve"> recall</w:t>
      </w:r>
      <w:r w:rsidR="00AB4457" w:rsidRPr="00493E4F">
        <w:t xml:space="preserve"> </w:t>
      </w:r>
      <w:r w:rsidR="001219FC" w:rsidRPr="00493E4F">
        <w:t>periods</w:t>
      </w:r>
      <w:r w:rsidR="008A4EC7" w:rsidRPr="00493E4F">
        <w:t>.</w:t>
      </w:r>
      <w:r w:rsidR="003A0B22" w:rsidRPr="00493E4F">
        <w:fldChar w:fldCharType="begin" w:fldLock="1"/>
      </w:r>
      <w:r w:rsidR="00E1324F" w:rsidRPr="00493E4F">
        <w:instrText>ADDIN CSL_CITATION {"citationItems":[{"id":"ITEM-1","itemData":{"abstract":"OBJECTIVE: To investigate the effect of survey design, specifically the number of items and recall period, on estimates of household out-of-pocket and catastrophic expenditure on health. METHODS: We used results from two surveys--the World Health Survey and the Living Standards Measurement Study--that asked the same respondents about health expenditures in different ways. Data from the World Health Survey were used to compare estimates of average annual out-of-pocket spending on health care derived from a single-item and from an eight-item measure. This was done by calculating the ratio of the average obtained with the single-item measure to that obtained with the eight-item measure. Estimates of catastrophic spending from the two measures were also compared. Data from the Living Standards Measurement Study from three countries (Bulgaria, Jamaica and Nepal) with different recall periods and varying numbers of items in different modules were used to compare estimates of average annual out-of-pocket spending derived using various methods. FINDINGS: In most countries, a lower level of disaggregation (i.e. fewer items) gave a lower estimate for average health spending, and a shorter recall period yielded a larger estimate. However, when the effects of aggregation and recall period are combined, it is difficult to predict which of the two has the greater influence. CONCLUSION: The magnitude of both out-of-pocket and catastrophic spending on health is affected by the choice of recall period and the number of items. Thus, it is crucial to establish a method to generate valid, reliable and comparable information on private health spending.","author":[{"dropping-particle":"","family":"Lu","given":"Chunling","non-dropping-particle":"","parse-names":false,"suffix":""},{"dropping-particle":"","family":"Chin","given":"Brian","non-dropping-particle":"","parse-names":false,"suffix":""},{"dropping-particle":"","family":"Li","given":"Guohong","non-dropping-particle":"","parse-names":false,"suffix":""},{"dropping-particle":"","family":"Murray","given":"Christopher J L","non-dropping-particle":"","parse-names":false,"suffix":""}],"container-title":"Bulletin of the World Health Organization","id":"ITEM-1","issue":"3","issued":{"date-parts":[["2009"]]},"page":"238-244","title":"Limitations of methods for measuring out-of-pocket and catastrophic private health expenditures","type":"article-journal","volume":"87"},"uris":["http://www.mendeley.com/documents/?uuid=c6279982-8f33-40b8-bce7-7b7037900cc1"]},{"id":"ITEM-2","itemData":{"DOI":"10.15171/ijhpm.2015.05","ISSN":"2322-5939","PMID":"25584350","abstract":"BACKGROUND: Out of eight commonly agreed Millennium Development Goals (MDG), six are related to the attainment of Universal Health Coverage (UHC) throughout the globe. This universalization of health status suggests policies to narrow the gap in access and benefit sharing between different socially and economically underprivileged classes with that of the better placed ones and a consequent expansion of subsidized healthcare appears to be a common feature for most of the developing nations. The National Health Policy in India (2002) suggests expansion of market-based care for the affording class and subsidized care for the deserving class of the society. So, the benefit distribution of this limited public support in health sector is important to examine to study the welfare consequences of the policy. This paper examines the nature of utilization to inpatient care by different socio-economic groups across regions and gender in West Bengal (WB), India. The benefit incidence of public subsidies across these socio-economic groups has also been verified for different types of services like medicines, diagnostics and professional care etc.\n\nMETHODS: National Sample Survey Organization (NSSO) has collected information on all hospitalized cases (60(th) round, 2004) with a recall period of 365 days from the sampled households through stratified random sampling technique. The data has been used to assess utilization of healthcare services during hospitalization and the distribution of public subsidies among the patients of different socio-economic background; a Benefit Incidence Analysis (BIA) has also been carried out.\n\nRESULTS: Analysis shows that though the rate of utilization of public hospitals is quite high, other complementary services like medicine, doctor and diagnostic tests are mostly purchased from private market. This leads to high Out-of-Pocket (OOP) expenditure. Moreover, BIA reveals that the public subsidies are mostly enjoyed by the relatively better placed patients, both socially and economically. The worse situation is observed for gender related inequality in access and benefit from public subsidies in the state.\n\nCONCLUSION: Focused policies are required to ensure proper distribution of public subsidies to arrest high OOP expenditure. Drastic change in policy targeting is needed to secure equity without compromising efficiency.","author":[{"dropping-particle":"","family":"Bose","given":"Montu","non-dropping-particle":"","parse-names":false,"suffix":""},{"dropping-particle":"","family":"Dutta","given":"Arijita","non-dropping-particle":"","parse-names":false,"suffix":""}],"container-title":"International journal of health policy and management","id":"ITEM-2","issue":"1","issued":{"date-parts":[["2015","1"]]},"page":"29-38","title":"Inequity in hospitalization care: a study on utilization of healthcare services in West Bengal, India.","type":"article-journal","volume":"4"},"uris":["http://www.mendeley.com/documents/?uuid=29f9d93f-8977-437e-807a-26f6d80f0eaf"]},{"id":"ITEM-3","itemData":{"ISBN":"1932126074","author":[{"dropping-particle":"","family":"Ranson","given":"M Kent","non-dropping-particle":"","parse-names":false,"suffix":""}],"id":"ITEM-3","issued":{"date-parts":[["2016"]]},"number-of-pages":"1-27","title":"The Impact of SEWA's Medical Insurance Fund on Hospital Utilization and Expenditure","type":"report"},"uris":["http://www.mendeley.com/documents/?uuid=aabf27d8-33c0-44af-9411-417d425b42d1"]}],"mendeley":{"formattedCitation":"&lt;sup&gt;67–69&lt;/sup&gt;","plainTextFormattedCitation":"67–69","previouslyFormattedCitation":"&lt;sup&gt;67–69&lt;/sup&gt;"},"properties":{"noteIndex":0},"schema":"https://github.com/citation-style-language/schema/raw/master/csl-citation.json"}</w:instrText>
      </w:r>
      <w:r w:rsidR="003A0B22" w:rsidRPr="00493E4F">
        <w:fldChar w:fldCharType="separate"/>
      </w:r>
      <w:r w:rsidR="00B6233F" w:rsidRPr="00493E4F">
        <w:rPr>
          <w:noProof/>
          <w:vertAlign w:val="superscript"/>
        </w:rPr>
        <w:t>67–69</w:t>
      </w:r>
      <w:r w:rsidR="003A0B22" w:rsidRPr="00493E4F">
        <w:fldChar w:fldCharType="end"/>
      </w:r>
      <w:r w:rsidR="00FC6DED" w:rsidRPr="00493E4F">
        <w:t xml:space="preserve"> F</w:t>
      </w:r>
      <w:r w:rsidR="00AB184A">
        <w:t>urther,</w:t>
      </w:r>
      <w:r w:rsidR="00FC6DED" w:rsidRPr="00493E4F">
        <w:t xml:space="preserve"> the interviewer</w:t>
      </w:r>
      <w:r w:rsidR="00B70A90">
        <w:t>s’</w:t>
      </w:r>
      <w:r w:rsidR="00FC6DED" w:rsidRPr="00493E4F">
        <w:t xml:space="preserve"> bias</w:t>
      </w:r>
      <w:r w:rsidR="00B70A90">
        <w:t>ness</w:t>
      </w:r>
      <w:r w:rsidR="00FC6DED" w:rsidRPr="00493E4F">
        <w:t xml:space="preserve"> can influence the response of the respondent. </w:t>
      </w:r>
      <w:r w:rsidR="00AB184A">
        <w:t>T</w:t>
      </w:r>
      <w:r w:rsidR="00AB184A" w:rsidRPr="00493E4F">
        <w:t>o mitigate this bias</w:t>
      </w:r>
      <w:r w:rsidR="00AB184A">
        <w:t>,</w:t>
      </w:r>
      <w:r w:rsidR="00AB184A" w:rsidRPr="00493E4F">
        <w:t xml:space="preserve"> </w:t>
      </w:r>
      <w:r w:rsidR="00AB184A">
        <w:t>we</w:t>
      </w:r>
      <w:r w:rsidR="00FC6DED" w:rsidRPr="00493E4F">
        <w:t xml:space="preserve"> </w:t>
      </w:r>
      <w:r w:rsidR="003A427C" w:rsidRPr="00493E4F">
        <w:t>conducted</w:t>
      </w:r>
      <w:r w:rsidR="00FC6DED" w:rsidRPr="00493E4F">
        <w:t xml:space="preserve"> train</w:t>
      </w:r>
      <w:r w:rsidR="003A427C" w:rsidRPr="00493E4F">
        <w:t>ing of</w:t>
      </w:r>
      <w:r w:rsidR="00FC6DED" w:rsidRPr="00493E4F">
        <w:t xml:space="preserve"> the data collectors and supervisors on the survey tools</w:t>
      </w:r>
      <w:r w:rsidR="00AB184A">
        <w:t>; p</w:t>
      </w:r>
      <w:proofErr w:type="spellStart"/>
      <w:r w:rsidR="00AB184A">
        <w:rPr>
          <w:rStyle w:val="Hyperlink0"/>
          <w:rFonts w:eastAsia="Calibri"/>
          <w:lang w:val="en-US"/>
        </w:rPr>
        <w:t>ilot</w:t>
      </w:r>
      <w:proofErr w:type="spellEnd"/>
      <w:r w:rsidR="00AB184A">
        <w:rPr>
          <w:rStyle w:val="Hyperlink0"/>
          <w:rFonts w:eastAsia="Calibri"/>
          <w:lang w:val="en-US"/>
        </w:rPr>
        <w:t xml:space="preserve"> interviews were therefore conducted </w:t>
      </w:r>
      <w:r w:rsidR="00AB184A" w:rsidRPr="00137FF0">
        <w:rPr>
          <w:rStyle w:val="Hyperlink0"/>
          <w:rFonts w:eastAsia="Calibri"/>
          <w:lang w:val="en-US"/>
        </w:rPr>
        <w:t>to identify and resolve</w:t>
      </w:r>
      <w:r w:rsidR="00AB184A" w:rsidDel="00137FF0">
        <w:rPr>
          <w:rStyle w:val="Hyperlink0"/>
          <w:rFonts w:eastAsia="Calibri"/>
          <w:lang w:val="en-US"/>
        </w:rPr>
        <w:t xml:space="preserve"> </w:t>
      </w:r>
      <w:r w:rsidR="00AB184A">
        <w:rPr>
          <w:rStyle w:val="Hyperlink0"/>
          <w:rFonts w:eastAsia="Calibri"/>
          <w:lang w:val="en-US"/>
        </w:rPr>
        <w:t xml:space="preserve">potential challenges </w:t>
      </w:r>
      <w:r w:rsidR="00AB184A">
        <w:t>prior to final data collection</w:t>
      </w:r>
      <w:r w:rsidR="00E31E6B" w:rsidRPr="00493E4F">
        <w:t>.</w:t>
      </w:r>
      <w:r w:rsidR="00FC6DED" w:rsidRPr="00493E4F">
        <w:t xml:space="preserve"> </w:t>
      </w:r>
      <w:r w:rsidR="001A6B7B" w:rsidRPr="00493E4F">
        <w:t>We did not include income in the PSM model for two reason</w:t>
      </w:r>
      <w:r w:rsidR="007B1F0D" w:rsidRPr="00493E4F">
        <w:t>s</w:t>
      </w:r>
      <w:r w:rsidR="001A6B7B" w:rsidRPr="00493E4F">
        <w:t>. Firstly, we included asset quintile in the PSM model as indicator of socio-economic status. Adding income in this model will generate multicollinearity problem in the model since income and asset quintiles are highly correlated. Secondly, asset index is better indicator for socioeconomic status of the informal workers than income. This is because</w:t>
      </w:r>
      <w:r w:rsidR="007B1F0D" w:rsidRPr="00493E4F">
        <w:t xml:space="preserve"> of fluctuation in</w:t>
      </w:r>
      <w:r w:rsidR="001A6B7B" w:rsidRPr="00493E4F">
        <w:t xml:space="preserve"> income of different types informal workers by season</w:t>
      </w:r>
      <w:r w:rsidR="00E1324F" w:rsidRPr="00493E4F">
        <w:fldChar w:fldCharType="begin" w:fldLock="1"/>
      </w:r>
      <w:r w:rsidR="00B80B85">
        <w:instrText>ADDIN CSL_CITATION {"citationItems":[{"id":"ITEM-1","itemData":{"ISBN":"9789290929239","author":[{"dropping-particle":"","family":"ADB","given":"","non-dropping-particle":"","parse-names":false,"suffix":""}],"id":"ITEM-1","issued":{"date-parts":[["2010"]]},"publisher-place":"Philipines","title":"The Informal Sector and Informal Employment in Bangladesh","type":"book"},"uris":["http://www.mendeley.com/documents/?uuid=53298cbc-a5f2-47b8-87a2-d3604ccda424"]}],"mendeley":{"formattedCitation":"&lt;sup&gt;19&lt;/sup&gt;","plainTextFormattedCitation":"19","previouslyFormattedCitation":"&lt;sup&gt;19&lt;/sup&gt;"},"properties":{"noteIndex":0},"schema":"https://github.com/citation-style-language/schema/raw/master/csl-citation.json"}</w:instrText>
      </w:r>
      <w:r w:rsidR="00E1324F" w:rsidRPr="00493E4F">
        <w:fldChar w:fldCharType="separate"/>
      </w:r>
      <w:r w:rsidR="00E1324F" w:rsidRPr="00493E4F">
        <w:rPr>
          <w:noProof/>
          <w:vertAlign w:val="superscript"/>
        </w:rPr>
        <w:t>19</w:t>
      </w:r>
      <w:r w:rsidR="00E1324F" w:rsidRPr="00493E4F">
        <w:fldChar w:fldCharType="end"/>
      </w:r>
      <w:r w:rsidR="001A6B7B" w:rsidRPr="00493E4F">
        <w:t>.</w:t>
      </w:r>
    </w:p>
    <w:p w14:paraId="313F7CB8" w14:textId="77777777" w:rsidR="00E95DAA" w:rsidRPr="00493E4F" w:rsidRDefault="00E95DAA" w:rsidP="00E95DAA">
      <w:pPr>
        <w:ind w:left="720"/>
      </w:pPr>
    </w:p>
    <w:p w14:paraId="6BA07515" w14:textId="77777777" w:rsidR="00CE04F4" w:rsidRPr="00493E4F" w:rsidRDefault="000A08C6" w:rsidP="00D724FB">
      <w:pPr>
        <w:pStyle w:val="Heading3"/>
        <w:spacing w:before="120" w:line="480" w:lineRule="auto"/>
        <w:rPr>
          <w:rFonts w:ascii="Times New Roman" w:hAnsi="Times New Roman" w:cs="Times New Roman"/>
          <w:color w:val="auto"/>
        </w:rPr>
      </w:pPr>
      <w:r w:rsidRPr="00493E4F">
        <w:rPr>
          <w:rFonts w:ascii="Times New Roman" w:hAnsi="Times New Roman" w:cs="Times New Roman"/>
          <w:color w:val="auto"/>
        </w:rPr>
        <w:t>Conclusion</w:t>
      </w:r>
    </w:p>
    <w:p w14:paraId="05B8A975" w14:textId="77777777" w:rsidR="001861D1" w:rsidRPr="00493E4F" w:rsidRDefault="00F932E9" w:rsidP="00D724FB">
      <w:pPr>
        <w:spacing w:before="120" w:line="480" w:lineRule="auto"/>
        <w:jc w:val="both"/>
      </w:pPr>
      <w:r w:rsidRPr="00493E4F">
        <w:t xml:space="preserve">This study showed that </w:t>
      </w:r>
      <w:r w:rsidRPr="00493E4F">
        <w:rPr>
          <w:noProof/>
        </w:rPr>
        <w:t>enro</w:t>
      </w:r>
      <w:r w:rsidR="005A32A5" w:rsidRPr="00493E4F">
        <w:rPr>
          <w:noProof/>
        </w:rPr>
        <w:t>l</w:t>
      </w:r>
      <w:r w:rsidRPr="00493E4F">
        <w:rPr>
          <w:noProof/>
        </w:rPr>
        <w:t>lees</w:t>
      </w:r>
      <w:r w:rsidRPr="00493E4F">
        <w:t xml:space="preserve"> of the CBHI scheme, piloted in a cooperative, had </w:t>
      </w:r>
      <w:r w:rsidR="005A32A5" w:rsidRPr="00493E4F">
        <w:t xml:space="preserve">a </w:t>
      </w:r>
      <w:r w:rsidRPr="00493E4F">
        <w:rPr>
          <w:noProof/>
        </w:rPr>
        <w:t>significantly</w:t>
      </w:r>
      <w:r w:rsidRPr="00493E4F">
        <w:t xml:space="preserve"> lower level of out-of-pocket healthcare payments for utilizing health services from medically trained providers</w:t>
      </w:r>
      <w:r w:rsidR="00100356" w:rsidRPr="00493E4F">
        <w:rPr>
          <w:noProof/>
        </w:rPr>
        <w:t>.</w:t>
      </w:r>
      <w:r w:rsidR="005A32A5" w:rsidRPr="00493E4F">
        <w:rPr>
          <w:noProof/>
        </w:rPr>
        <w:t xml:space="preserve"> </w:t>
      </w:r>
      <w:r w:rsidR="00EC04CF" w:rsidRPr="00493E4F">
        <w:rPr>
          <w:noProof/>
        </w:rPr>
        <w:t>More</w:t>
      </w:r>
      <w:r w:rsidR="00EC04CF" w:rsidRPr="00493E4F">
        <w:t xml:space="preserve"> research needs to be done for understanding and estimating the incentives (</w:t>
      </w:r>
      <w:r w:rsidR="006421C6" w:rsidRPr="00493E4F">
        <w:t>e.g.</w:t>
      </w:r>
      <w:r w:rsidR="00EC04CF" w:rsidRPr="00493E4F">
        <w:t>, co-payment size, reimbursement ceiling</w:t>
      </w:r>
      <w:r w:rsidR="004F6BE2" w:rsidRPr="00493E4F">
        <w:t>s</w:t>
      </w:r>
      <w:r w:rsidR="00EC04CF" w:rsidRPr="00493E4F">
        <w:t xml:space="preserve">, waiting period before accessing benefits, </w:t>
      </w:r>
      <w:r w:rsidR="004F6BE2" w:rsidRPr="00493E4F">
        <w:t xml:space="preserve">and </w:t>
      </w:r>
      <w:r w:rsidR="00EC04CF" w:rsidRPr="00493E4F">
        <w:t xml:space="preserve">non-health benefits) </w:t>
      </w:r>
      <w:r w:rsidR="00B815DD" w:rsidRPr="00493E4F">
        <w:rPr>
          <w:noProof/>
        </w:rPr>
        <w:t>for</w:t>
      </w:r>
      <w:r w:rsidR="005A32A5" w:rsidRPr="00493E4F">
        <w:rPr>
          <w:noProof/>
        </w:rPr>
        <w:t xml:space="preserve"> </w:t>
      </w:r>
      <w:r w:rsidR="0067596B" w:rsidRPr="00493E4F">
        <w:rPr>
          <w:noProof/>
        </w:rPr>
        <w:t>designing</w:t>
      </w:r>
      <w:r w:rsidR="00EC04CF" w:rsidRPr="00493E4F">
        <w:t xml:space="preserve"> the </w:t>
      </w:r>
      <w:r w:rsidR="00EC04CF" w:rsidRPr="00493E4F">
        <w:rPr>
          <w:noProof/>
        </w:rPr>
        <w:t>benefit</w:t>
      </w:r>
      <w:r w:rsidR="00EC04CF" w:rsidRPr="00493E4F">
        <w:t xml:space="preserve"> package and</w:t>
      </w:r>
      <w:r w:rsidR="00C97964" w:rsidRPr="00493E4F">
        <w:t>,</w:t>
      </w:r>
      <w:r w:rsidR="00EC04CF" w:rsidRPr="00493E4F">
        <w:t xml:space="preserve"> insurance policy of the scheme. </w:t>
      </w:r>
      <w:r w:rsidR="003C2AEC" w:rsidRPr="00493E4F">
        <w:t xml:space="preserve">Considering the availability of a large number of cooperatives in </w:t>
      </w:r>
      <w:r w:rsidRPr="00493E4F">
        <w:t>Bangladesh</w:t>
      </w:r>
      <w:r w:rsidR="003C2AEC" w:rsidRPr="00493E4F">
        <w:t xml:space="preserve">, such CBHI schemes may contribute to </w:t>
      </w:r>
      <w:r w:rsidR="003C2AEC" w:rsidRPr="00493E4F">
        <w:rPr>
          <w:noProof/>
        </w:rPr>
        <w:t>br</w:t>
      </w:r>
      <w:r w:rsidR="00C378FE" w:rsidRPr="00493E4F">
        <w:rPr>
          <w:noProof/>
        </w:rPr>
        <w:t>ing</w:t>
      </w:r>
      <w:r w:rsidR="003C2AEC" w:rsidRPr="00493E4F">
        <w:rPr>
          <w:noProof/>
        </w:rPr>
        <w:t>ing</w:t>
      </w:r>
      <w:r w:rsidR="003C2AEC" w:rsidRPr="00493E4F">
        <w:t xml:space="preserve"> more informal sector workers and their dependents under health coverage with financial protection for achieving UHC. </w:t>
      </w:r>
    </w:p>
    <w:p w14:paraId="1849A6AD" w14:textId="77777777" w:rsidR="006A4E93" w:rsidRPr="00493E4F" w:rsidRDefault="006A4E93" w:rsidP="006A4E93">
      <w:pPr>
        <w:pStyle w:val="Heading2"/>
        <w:jc w:val="both"/>
      </w:pPr>
    </w:p>
    <w:p w14:paraId="5C8C0506" w14:textId="77777777" w:rsidR="00E85669" w:rsidRPr="00493E4F" w:rsidRDefault="00482806" w:rsidP="00D724FB">
      <w:pPr>
        <w:spacing w:before="120" w:line="480" w:lineRule="auto"/>
        <w:rPr>
          <w:b/>
        </w:rPr>
      </w:pPr>
      <w:r w:rsidRPr="00493E4F">
        <w:rPr>
          <w:b/>
        </w:rPr>
        <w:t>Author</w:t>
      </w:r>
      <w:r w:rsidR="000766C5" w:rsidRPr="00493E4F">
        <w:rPr>
          <w:b/>
        </w:rPr>
        <w:t>s’</w:t>
      </w:r>
      <w:r w:rsidRPr="00493E4F">
        <w:rPr>
          <w:b/>
        </w:rPr>
        <w:t xml:space="preserve"> c</w:t>
      </w:r>
      <w:r w:rsidR="00E85669" w:rsidRPr="00493E4F">
        <w:rPr>
          <w:b/>
        </w:rPr>
        <w:t>ontributors</w:t>
      </w:r>
    </w:p>
    <w:p w14:paraId="02A9B0A4" w14:textId="77777777" w:rsidR="002C2A1C" w:rsidRPr="00493E4F" w:rsidRDefault="00F07E14" w:rsidP="00384270">
      <w:pPr>
        <w:spacing w:line="480" w:lineRule="auto"/>
        <w:jc w:val="both"/>
        <w:rPr>
          <w:lang w:val="en-US"/>
        </w:rPr>
      </w:pPr>
      <w:r w:rsidRPr="00493E4F">
        <w:rPr>
          <w:lang w:val="en-US"/>
        </w:rPr>
        <w:t>JAMK</w:t>
      </w:r>
      <w:r w:rsidR="00E12EB6" w:rsidRPr="00493E4F">
        <w:rPr>
          <w:lang w:val="en-US"/>
        </w:rPr>
        <w:t xml:space="preserve"> and SA</w:t>
      </w:r>
      <w:r w:rsidR="002C2A1C" w:rsidRPr="00493E4F">
        <w:rPr>
          <w:lang w:val="en-US"/>
        </w:rPr>
        <w:t xml:space="preserve"> </w:t>
      </w:r>
      <w:r w:rsidR="002C2A1C" w:rsidRPr="00493E4F">
        <w:rPr>
          <w:noProof/>
          <w:lang w:val="en-US"/>
        </w:rPr>
        <w:t>conceptualiz</w:t>
      </w:r>
      <w:r w:rsidR="0007777A" w:rsidRPr="00493E4F">
        <w:rPr>
          <w:noProof/>
          <w:lang w:val="en-US"/>
        </w:rPr>
        <w:t>ed</w:t>
      </w:r>
      <w:r w:rsidR="005A32A5" w:rsidRPr="00493E4F">
        <w:rPr>
          <w:noProof/>
          <w:lang w:val="en-US"/>
        </w:rPr>
        <w:t xml:space="preserve"> </w:t>
      </w:r>
      <w:r w:rsidR="002C2A1C" w:rsidRPr="00493E4F">
        <w:rPr>
          <w:noProof/>
          <w:lang w:val="en-US"/>
        </w:rPr>
        <w:t>the</w:t>
      </w:r>
      <w:r w:rsidR="002C2A1C" w:rsidRPr="00493E4F">
        <w:rPr>
          <w:lang w:val="en-US"/>
        </w:rPr>
        <w:t xml:space="preserve"> research idea, study design, literature search, data extraction and analysis, data interpretation, and writing the manuscript. </w:t>
      </w:r>
      <w:r w:rsidRPr="00493E4F">
        <w:rPr>
          <w:lang w:val="en-US"/>
        </w:rPr>
        <w:t>MS, ARS,</w:t>
      </w:r>
      <w:r w:rsidR="0057099B" w:rsidRPr="00493E4F">
        <w:rPr>
          <w:lang w:val="en-US"/>
        </w:rPr>
        <w:t xml:space="preserve"> SC,</w:t>
      </w:r>
      <w:r w:rsidRPr="00493E4F">
        <w:rPr>
          <w:lang w:val="en-US"/>
        </w:rPr>
        <w:t xml:space="preserve"> MHR, ZI, CR</w:t>
      </w:r>
      <w:r w:rsidR="0057099B" w:rsidRPr="00493E4F">
        <w:rPr>
          <w:lang w:val="en-US"/>
        </w:rPr>
        <w:t xml:space="preserve"> and </w:t>
      </w:r>
      <w:r w:rsidR="0057099B" w:rsidRPr="00493E4F">
        <w:rPr>
          <w:noProof/>
          <w:lang w:val="en-US"/>
        </w:rPr>
        <w:t>LWN</w:t>
      </w:r>
      <w:r w:rsidR="005A32A5" w:rsidRPr="00493E4F">
        <w:rPr>
          <w:noProof/>
          <w:lang w:val="en-US"/>
        </w:rPr>
        <w:t xml:space="preserve"> </w:t>
      </w:r>
      <w:r w:rsidR="002C2A1C" w:rsidRPr="00493E4F">
        <w:rPr>
          <w:noProof/>
          <w:lang w:val="en-US"/>
        </w:rPr>
        <w:t>contributed</w:t>
      </w:r>
      <w:r w:rsidR="002C2A1C" w:rsidRPr="00493E4F">
        <w:rPr>
          <w:lang w:val="en-US"/>
        </w:rPr>
        <w:t xml:space="preserve"> </w:t>
      </w:r>
      <w:r w:rsidR="005A32A5" w:rsidRPr="00493E4F">
        <w:rPr>
          <w:noProof/>
          <w:lang w:val="en-US"/>
        </w:rPr>
        <w:t>in</w:t>
      </w:r>
      <w:r w:rsidR="002C2A1C" w:rsidRPr="00493E4F">
        <w:rPr>
          <w:lang w:val="en-US"/>
        </w:rPr>
        <w:t xml:space="preserve"> writing, reviewing and revising the manuscript. All authors read and approved the final manuscript</w:t>
      </w:r>
      <w:r w:rsidRPr="00493E4F">
        <w:rPr>
          <w:lang w:val="en-US"/>
        </w:rPr>
        <w:t>.</w:t>
      </w:r>
    </w:p>
    <w:p w14:paraId="42EA47EA" w14:textId="77777777" w:rsidR="00384270" w:rsidRPr="00493E4F" w:rsidRDefault="00384270" w:rsidP="00384270">
      <w:pPr>
        <w:jc w:val="both"/>
        <w:rPr>
          <w:lang w:val="en-US"/>
        </w:rPr>
      </w:pPr>
    </w:p>
    <w:p w14:paraId="30D5A8AA" w14:textId="77777777" w:rsidR="000766C5" w:rsidRPr="00493E4F" w:rsidRDefault="000766C5" w:rsidP="000766C5">
      <w:pPr>
        <w:pStyle w:val="Heading3"/>
        <w:spacing w:before="120"/>
        <w:rPr>
          <w:rFonts w:ascii="Times New Roman" w:hAnsi="Times New Roman" w:cs="Times New Roman"/>
          <w:color w:val="auto"/>
        </w:rPr>
      </w:pPr>
      <w:r w:rsidRPr="00493E4F">
        <w:rPr>
          <w:rFonts w:ascii="Times New Roman" w:hAnsi="Times New Roman" w:cs="Times New Roman"/>
          <w:noProof/>
          <w:color w:val="auto"/>
        </w:rPr>
        <w:t>Acknowledg</w:t>
      </w:r>
      <w:r w:rsidR="00C378FE" w:rsidRPr="00493E4F">
        <w:rPr>
          <w:rFonts w:ascii="Times New Roman" w:hAnsi="Times New Roman" w:cs="Times New Roman"/>
          <w:noProof/>
          <w:color w:val="auto"/>
        </w:rPr>
        <w:t>e</w:t>
      </w:r>
      <w:r w:rsidRPr="00493E4F">
        <w:rPr>
          <w:rFonts w:ascii="Times New Roman" w:hAnsi="Times New Roman" w:cs="Times New Roman"/>
          <w:noProof/>
          <w:color w:val="auto"/>
        </w:rPr>
        <w:t>ment</w:t>
      </w:r>
    </w:p>
    <w:p w14:paraId="0FB44545" w14:textId="77777777" w:rsidR="000766C5" w:rsidRPr="00493E4F" w:rsidRDefault="000766C5" w:rsidP="000766C5">
      <w:pPr>
        <w:spacing w:before="120" w:line="480" w:lineRule="auto"/>
        <w:jc w:val="both"/>
      </w:pPr>
      <w:r w:rsidRPr="00493E4F">
        <w:rPr>
          <w:rFonts w:eastAsia="Calibri"/>
          <w:iCs/>
          <w:color w:val="000000"/>
          <w:lang w:val="en-US"/>
        </w:rPr>
        <w:t xml:space="preserve">We acknowledge with gratitude the financial contribution of Grand Challenge Canada for </w:t>
      </w:r>
      <w:r w:rsidRPr="00493E4F">
        <w:t>performing</w:t>
      </w:r>
      <w:r w:rsidRPr="00493E4F">
        <w:rPr>
          <w:rFonts w:eastAsia="Calibri"/>
          <w:iCs/>
          <w:color w:val="000000"/>
          <w:lang w:val="en-US"/>
        </w:rPr>
        <w:t xml:space="preserve"> this study. We </w:t>
      </w:r>
      <w:r w:rsidRPr="00493E4F">
        <w:rPr>
          <w:rFonts w:eastAsia="Calibri"/>
          <w:iCs/>
          <w:noProof/>
          <w:color w:val="000000"/>
          <w:lang w:val="en-US"/>
        </w:rPr>
        <w:t>thank the</w:t>
      </w:r>
      <w:r w:rsidRPr="00493E4F">
        <w:rPr>
          <w:rFonts w:eastAsia="Calibri"/>
          <w:iCs/>
          <w:color w:val="000000"/>
          <w:lang w:val="en-US"/>
        </w:rPr>
        <w:t xml:space="preserve"> Executive Committee members, management and employees of LASP for giving the opportunity to implement the study</w:t>
      </w:r>
      <w:r w:rsidRPr="00493E4F">
        <w:rPr>
          <w:rFonts w:eastAsia="Calibri"/>
          <w:iCs/>
          <w:noProof/>
          <w:color w:val="000000"/>
          <w:lang w:val="en-US"/>
        </w:rPr>
        <w:t>. Our</w:t>
      </w:r>
      <w:r w:rsidRPr="00493E4F">
        <w:rPr>
          <w:rFonts w:eastAsia="Calibri"/>
          <w:iCs/>
          <w:color w:val="000000"/>
          <w:lang w:val="en-US"/>
        </w:rPr>
        <w:t xml:space="preserve"> gratitude goes to the then the Director General </w:t>
      </w:r>
      <w:r w:rsidRPr="00493E4F">
        <w:rPr>
          <w:rFonts w:eastAsia="Calibri"/>
          <w:iCs/>
          <w:noProof/>
          <w:color w:val="000000"/>
          <w:lang w:val="en-US"/>
        </w:rPr>
        <w:t>Mr.</w:t>
      </w:r>
      <w:r w:rsidRPr="00493E4F">
        <w:rPr>
          <w:rFonts w:eastAsia="Calibri"/>
          <w:iCs/>
          <w:color w:val="000000"/>
          <w:lang w:val="en-US"/>
        </w:rPr>
        <w:t xml:space="preserve"> Kabir Khaled and Director </w:t>
      </w:r>
      <w:r w:rsidRPr="00493E4F">
        <w:rPr>
          <w:rFonts w:eastAsia="Calibri"/>
          <w:iCs/>
          <w:noProof/>
          <w:color w:val="000000"/>
          <w:lang w:val="en-US"/>
        </w:rPr>
        <w:t>Amio</w:t>
      </w:r>
      <w:r w:rsidRPr="00493E4F">
        <w:rPr>
          <w:rFonts w:eastAsia="Calibri"/>
          <w:iCs/>
          <w:color w:val="000000"/>
          <w:lang w:val="en-US"/>
        </w:rPr>
        <w:t xml:space="preserve"> Kumar </w:t>
      </w:r>
      <w:r w:rsidRPr="00493E4F">
        <w:rPr>
          <w:rFonts w:eastAsia="Calibri"/>
          <w:iCs/>
          <w:noProof/>
          <w:color w:val="000000"/>
          <w:lang w:val="en-US"/>
        </w:rPr>
        <w:t>Chottopaddhya</w:t>
      </w:r>
      <w:r w:rsidRPr="00493E4F">
        <w:rPr>
          <w:rFonts w:eastAsia="Calibri"/>
          <w:iCs/>
          <w:color w:val="000000"/>
          <w:lang w:val="en-US"/>
        </w:rPr>
        <w:t xml:space="preserve"> of the Department of Cooperative in Bangladesh and to the core funders of icddr,b. </w:t>
      </w:r>
      <w:r w:rsidRPr="00493E4F">
        <w:t xml:space="preserve">Gratitude goes to </w:t>
      </w:r>
      <w:r w:rsidRPr="00493E4F">
        <w:rPr>
          <w:noProof/>
        </w:rPr>
        <w:t>Mr.</w:t>
      </w:r>
      <w:r w:rsidRPr="00493E4F">
        <w:t xml:space="preserve"> </w:t>
      </w:r>
      <w:proofErr w:type="spellStart"/>
      <w:r w:rsidRPr="00493E4F">
        <w:t>Khandaker</w:t>
      </w:r>
      <w:proofErr w:type="spellEnd"/>
      <w:r w:rsidRPr="00493E4F">
        <w:t xml:space="preserve"> Mohammad Zahid and other field workers for their cordial cooperation for conducting this study.</w:t>
      </w:r>
    </w:p>
    <w:p w14:paraId="11D234CC" w14:textId="77777777" w:rsidR="006B7DBB" w:rsidRPr="00493E4F" w:rsidRDefault="006B7DBB" w:rsidP="00384270">
      <w:pPr>
        <w:tabs>
          <w:tab w:val="left" w:pos="3204"/>
        </w:tabs>
        <w:ind w:right="-108"/>
        <w:rPr>
          <w:b/>
        </w:rPr>
      </w:pPr>
    </w:p>
    <w:p w14:paraId="48402996" w14:textId="77777777" w:rsidR="00AB4457" w:rsidRPr="00493E4F" w:rsidRDefault="002C2A1C" w:rsidP="00384270">
      <w:pPr>
        <w:tabs>
          <w:tab w:val="left" w:pos="3204"/>
        </w:tabs>
        <w:ind w:right="-108"/>
        <w:rPr>
          <w:b/>
        </w:rPr>
      </w:pPr>
      <w:r w:rsidRPr="00493E4F">
        <w:rPr>
          <w:b/>
        </w:rPr>
        <w:t>Funding</w:t>
      </w:r>
    </w:p>
    <w:p w14:paraId="6088312A" w14:textId="77777777" w:rsidR="002C2A1C" w:rsidRPr="00493E4F" w:rsidRDefault="002C2A1C" w:rsidP="00384270">
      <w:pPr>
        <w:tabs>
          <w:tab w:val="left" w:pos="3204"/>
        </w:tabs>
        <w:ind w:right="-108"/>
        <w:rPr>
          <w:rFonts w:eastAsia="Calibri"/>
          <w:lang w:val="en-US"/>
        </w:rPr>
      </w:pPr>
      <w:r w:rsidRPr="00493E4F">
        <w:rPr>
          <w:rFonts w:eastAsia="Calibri"/>
          <w:lang w:val="en-US"/>
        </w:rPr>
        <w:t>This work was supported by the Grand Challenge Canada (GR# 01009, 2012).</w:t>
      </w:r>
    </w:p>
    <w:p w14:paraId="63D2F1A5" w14:textId="77777777" w:rsidR="00AB4457" w:rsidRPr="00493E4F" w:rsidRDefault="00384270" w:rsidP="006B7DBB">
      <w:pPr>
        <w:tabs>
          <w:tab w:val="left" w:pos="3204"/>
        </w:tabs>
        <w:ind w:right="-108"/>
        <w:rPr>
          <w:b/>
        </w:rPr>
      </w:pPr>
      <w:r w:rsidRPr="00493E4F">
        <w:rPr>
          <w:b/>
        </w:rPr>
        <w:br/>
      </w:r>
      <w:r w:rsidR="00E85669" w:rsidRPr="00493E4F">
        <w:rPr>
          <w:b/>
        </w:rPr>
        <w:t>Competing interest</w:t>
      </w:r>
    </w:p>
    <w:p w14:paraId="2E8D3B88" w14:textId="77777777" w:rsidR="002C2A1C" w:rsidRPr="00493E4F" w:rsidRDefault="002C2A1C" w:rsidP="00384270">
      <w:pPr>
        <w:rPr>
          <w:b/>
        </w:rPr>
      </w:pPr>
      <w:r w:rsidRPr="00493E4F">
        <w:t>None declared</w:t>
      </w:r>
      <w:r w:rsidRPr="00493E4F">
        <w:rPr>
          <w:b/>
        </w:rPr>
        <w:t>.</w:t>
      </w:r>
    </w:p>
    <w:p w14:paraId="7B319C28" w14:textId="77777777" w:rsidR="006B7DBB" w:rsidRPr="00493E4F" w:rsidRDefault="006B7DBB" w:rsidP="006B7DBB"/>
    <w:p w14:paraId="39409CDF" w14:textId="77777777" w:rsidR="006B7DBB" w:rsidRPr="00493E4F" w:rsidRDefault="006B7DBB" w:rsidP="006B7DBB">
      <w:pPr>
        <w:rPr>
          <w:b/>
        </w:rPr>
      </w:pPr>
      <w:r w:rsidRPr="00493E4F">
        <w:rPr>
          <w:b/>
        </w:rPr>
        <w:t>Ethics statement</w:t>
      </w:r>
    </w:p>
    <w:p w14:paraId="7ECEF80A" w14:textId="77777777" w:rsidR="006B7DBB" w:rsidRPr="00493E4F" w:rsidRDefault="006B7DBB" w:rsidP="006B7DBB">
      <w:pPr>
        <w:spacing w:before="120" w:line="480" w:lineRule="auto"/>
        <w:jc w:val="both"/>
      </w:pPr>
      <w:r w:rsidRPr="00493E4F">
        <w:t>Informed written consent was taken from all interviewees, and confidentiality and anonymity were ensured. This study was approved by the Ethical Review Committee of the International Centre for Diarrhoeal Disease Research, Bangladesh (icddr,b).</w:t>
      </w:r>
    </w:p>
    <w:p w14:paraId="650EA073" w14:textId="77777777" w:rsidR="006B7DBB" w:rsidRPr="00493E4F" w:rsidRDefault="006B7DBB" w:rsidP="006B7DBB"/>
    <w:p w14:paraId="7D2E4FB0" w14:textId="77777777" w:rsidR="00AC4668" w:rsidRPr="00493E4F" w:rsidRDefault="00DA6097" w:rsidP="005D7F1D">
      <w:pPr>
        <w:pStyle w:val="Heading3"/>
        <w:spacing w:before="120" w:after="120" w:line="360" w:lineRule="auto"/>
        <w:rPr>
          <w:rFonts w:ascii="Times New Roman" w:hAnsi="Times New Roman" w:cs="Times New Roman"/>
          <w:color w:val="auto"/>
        </w:rPr>
      </w:pPr>
      <w:r w:rsidRPr="00493E4F">
        <w:rPr>
          <w:rFonts w:ascii="Times New Roman" w:hAnsi="Times New Roman" w:cs="Times New Roman"/>
          <w:color w:val="auto"/>
        </w:rPr>
        <w:t>References</w:t>
      </w:r>
    </w:p>
    <w:p w14:paraId="0E1FF43A" w14:textId="5CFF3165" w:rsidR="00EB716C" w:rsidRPr="00EB716C" w:rsidRDefault="003A0B22" w:rsidP="00EB716C">
      <w:pPr>
        <w:widowControl w:val="0"/>
        <w:autoSpaceDE w:val="0"/>
        <w:autoSpaceDN w:val="0"/>
        <w:adjustRightInd w:val="0"/>
        <w:spacing w:before="100" w:after="100"/>
        <w:ind w:left="640" w:hanging="640"/>
        <w:rPr>
          <w:noProof/>
        </w:rPr>
      </w:pPr>
      <w:r w:rsidRPr="00493E4F">
        <w:rPr>
          <w:rFonts w:eastAsia="Calibri"/>
          <w:iCs/>
          <w:color w:val="000000"/>
          <w:lang w:val="en-US"/>
        </w:rPr>
        <w:fldChar w:fldCharType="begin" w:fldLock="1"/>
      </w:r>
      <w:r w:rsidR="00A579BD" w:rsidRPr="00493E4F">
        <w:rPr>
          <w:rFonts w:eastAsia="Calibri"/>
          <w:iCs/>
          <w:color w:val="000000"/>
          <w:lang w:val="en-US"/>
        </w:rPr>
        <w:instrText xml:space="preserve">ADDIN Mendeley Bibliography CSL_BIBLIOGRAPHY </w:instrText>
      </w:r>
      <w:r w:rsidRPr="00493E4F">
        <w:rPr>
          <w:rFonts w:eastAsia="Calibri"/>
          <w:iCs/>
          <w:color w:val="000000"/>
          <w:lang w:val="en-US"/>
        </w:rPr>
        <w:fldChar w:fldCharType="separate"/>
      </w:r>
      <w:r w:rsidR="00EB716C" w:rsidRPr="00EB716C">
        <w:rPr>
          <w:noProof/>
        </w:rPr>
        <w:t xml:space="preserve">1. </w:t>
      </w:r>
      <w:r w:rsidR="00EB716C" w:rsidRPr="00EB716C">
        <w:rPr>
          <w:noProof/>
        </w:rPr>
        <w:tab/>
        <w:t>MoHFW. Expanding Social Protection for Health: Towards Universal Coverage, Health Care Financing Strategy 2012-2032. Dhaka; 2012.</w:t>
      </w:r>
    </w:p>
    <w:p w14:paraId="7AE9040C"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2. </w:t>
      </w:r>
      <w:r w:rsidRPr="00EB716C">
        <w:rPr>
          <w:noProof/>
        </w:rPr>
        <w:tab/>
        <w:t>MoHFW. Bangladesh National Health Accounts 1997 - 2012. Dhaka; 2015. doi:10.13140/RG.2.1.3951.6247</w:t>
      </w:r>
    </w:p>
    <w:p w14:paraId="584D3C4A"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3. </w:t>
      </w:r>
      <w:r w:rsidRPr="00EB716C">
        <w:rPr>
          <w:noProof/>
        </w:rPr>
        <w:tab/>
        <w:t>Van Doorslaer E, O’Donnell O, Rannan-Eliya RP, et al. Catastrophic payments for health care in Asia. Heal Econ. 2007;16(11):1159-1184.</w:t>
      </w:r>
    </w:p>
    <w:p w14:paraId="260ECD82"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4. </w:t>
      </w:r>
      <w:r w:rsidRPr="00EB716C">
        <w:rPr>
          <w:noProof/>
        </w:rPr>
        <w:tab/>
        <w:t>Hwang SW, Ueng JJM, Chiu S, et al. Universal health insurance and health care access for homeless persons. Am J Public Health. 2010;100(8):1454-1461. doi:10.2105/AJPH.2009.182022</w:t>
      </w:r>
    </w:p>
    <w:p w14:paraId="20EEB9E9"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5. </w:t>
      </w:r>
      <w:r w:rsidRPr="00EB716C">
        <w:rPr>
          <w:noProof/>
        </w:rPr>
        <w:tab/>
        <w:t>Donnell OO. Access to health care in developing countries : breaking down demand side barriers. Cad Saude Publica. 2007;23(12):2820-2834. doi:S0102-311X2007001200003 [pii]</w:t>
      </w:r>
    </w:p>
    <w:p w14:paraId="015EF6A4"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6. </w:t>
      </w:r>
      <w:r w:rsidRPr="00EB716C">
        <w:rPr>
          <w:noProof/>
        </w:rPr>
        <w:tab/>
        <w:t>WHO. The World Health Report: Health Systems Financing: The Path to Universal Coverage. Geneva: World Health Organisation; 2010.</w:t>
      </w:r>
    </w:p>
    <w:p w14:paraId="3328A0A2"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7. </w:t>
      </w:r>
      <w:r w:rsidRPr="00EB716C">
        <w:rPr>
          <w:noProof/>
        </w:rPr>
        <w:tab/>
        <w:t>UN. Transforming Our World: The 2030 Agenda for Sustainable Development. New York; 2015. doi:10.1017/CBO9781107415324.004</w:t>
      </w:r>
    </w:p>
    <w:p w14:paraId="38A74364"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8. </w:t>
      </w:r>
      <w:r w:rsidRPr="00EB716C">
        <w:rPr>
          <w:noProof/>
        </w:rPr>
        <w:tab/>
        <w:t>Khan JAM, Mahumud RA. Is healthcare a ‘ Necessity ’ or ‘ Luxury ’ ? an empirical evidence from public and private sector analyses of South-East Asian countries ? 2015.</w:t>
      </w:r>
    </w:p>
    <w:p w14:paraId="03D11ED3"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9. </w:t>
      </w:r>
      <w:r w:rsidRPr="00EB716C">
        <w:rPr>
          <w:noProof/>
        </w:rPr>
        <w:tab/>
        <w:t>Parmar D, Souares A, de Allegri M, Savadogo G, Sauerborn R. Adverse selection in a community-based health insurance scheme in rural Africa: implications for introducing targeted subsidies. BMC Health Serv Res. 2012;12:181. doi:10.1186/1472-6963-12-181</w:t>
      </w:r>
    </w:p>
    <w:p w14:paraId="08982506"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10. </w:t>
      </w:r>
      <w:r w:rsidRPr="00EB716C">
        <w:rPr>
          <w:noProof/>
        </w:rPr>
        <w:tab/>
        <w:t>Wang H, Zhang L, Yip W, Hsiao W. Adverse selection in a voluntary Rural Mutual Health Care health insurance scheme in China. Soc Sci Med. 2006;63(5):1236-1245. doi:10.1016/j.socscimed.2006.03.008</w:t>
      </w:r>
    </w:p>
    <w:p w14:paraId="4FD11CA3"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11. </w:t>
      </w:r>
      <w:r w:rsidRPr="00EB716C">
        <w:rPr>
          <w:noProof/>
        </w:rPr>
        <w:tab/>
        <w:t>Ahmed S, Sarker AAR, Sultana M, et al. Adverse Selection in Community Based Health Insurance among Informal Workers in Bangladesh: An EQ-5D Assessment. Int J Environ Res Public Health. 2018;15(2). doi:10.3390/ijerph15020242</w:t>
      </w:r>
    </w:p>
    <w:p w14:paraId="244481AB"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12. </w:t>
      </w:r>
      <w:r w:rsidRPr="00EB716C">
        <w:rPr>
          <w:noProof/>
        </w:rPr>
        <w:tab/>
        <w:t>Vargas V, Begum T, Ahmed S, Smith O. Fiscal Space for Health in Bangladesh. Washington D.C.; 2016. doi:10.13140/RG.2.1.1153.3040</w:t>
      </w:r>
    </w:p>
    <w:p w14:paraId="732F3889"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13. </w:t>
      </w:r>
      <w:r w:rsidRPr="00EB716C">
        <w:rPr>
          <w:noProof/>
        </w:rPr>
        <w:tab/>
        <w:t>Akazili J. Equity in Health Care Financing in Ghana. Cape Town: University of Cape Town; 2010.</w:t>
      </w:r>
    </w:p>
    <w:p w14:paraId="7598E18B"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14. </w:t>
      </w:r>
      <w:r w:rsidRPr="00EB716C">
        <w:rPr>
          <w:noProof/>
        </w:rPr>
        <w:tab/>
        <w:t>Devadasan N, Nandraj M. Planning and implementing health insurance programme in India. Inst Public Heal Bangalore. 2006.</w:t>
      </w:r>
    </w:p>
    <w:p w14:paraId="0511826B"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15. </w:t>
      </w:r>
      <w:r w:rsidRPr="00EB716C">
        <w:rPr>
          <w:noProof/>
        </w:rPr>
        <w:tab/>
        <w:t>Khan JA, Ahmed S. Impact of educational intervention on willingness-to-pay for health insurance: A study of informal sector workers in urban Bangladesh. Health Econ Rev. 2013;3(1):12. doi:10.1186/2191-1991-3-12</w:t>
      </w:r>
    </w:p>
    <w:p w14:paraId="0BC4EC29"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16. </w:t>
      </w:r>
      <w:r w:rsidRPr="00EB716C">
        <w:rPr>
          <w:noProof/>
        </w:rPr>
        <w:tab/>
        <w:t>WHO. Quality in universal health coverage. http://www.who.int/servicedeliverysafety/areas/qhc/en/. Accessed April 16, 2018.</w:t>
      </w:r>
    </w:p>
    <w:p w14:paraId="1CA49798"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17. </w:t>
      </w:r>
      <w:r w:rsidRPr="00EB716C">
        <w:rPr>
          <w:noProof/>
        </w:rPr>
        <w:tab/>
        <w:t>Hussmanns R. Developments in the design and implementation of informal sector and similar surveys - A review of national practices and experiences. In: Geneva: Sixteenth International Conference of Labour Statisticians; 1998.</w:t>
      </w:r>
    </w:p>
    <w:p w14:paraId="71586C9F"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18. </w:t>
      </w:r>
      <w:r w:rsidRPr="00EB716C">
        <w:rPr>
          <w:noProof/>
        </w:rPr>
        <w:tab/>
        <w:t>Ahmed S, Hoque ME, Sarker AR, et al. Willingness-to-Pay for Community-Based Health Insurance among Informal Workers in Urban Bangladesh. Lane J, ed. PLoS One. 2016;11(2):e0148211. doi:10.1371/journal.pone.0148211</w:t>
      </w:r>
    </w:p>
    <w:p w14:paraId="684BF7C3"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19. </w:t>
      </w:r>
      <w:r w:rsidRPr="00EB716C">
        <w:rPr>
          <w:noProof/>
        </w:rPr>
        <w:tab/>
        <w:t>ADB. The Informal Sector and Informal Employment in Bangladesh. Philipines; 2010.</w:t>
      </w:r>
    </w:p>
    <w:p w14:paraId="456CD22D"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20. </w:t>
      </w:r>
      <w:r w:rsidRPr="00EB716C">
        <w:rPr>
          <w:noProof/>
        </w:rPr>
        <w:tab/>
        <w:t>BBS. Population and Housing Census 2011. Dhaka; 2011.</w:t>
      </w:r>
    </w:p>
    <w:p w14:paraId="7AC7D61F"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21. </w:t>
      </w:r>
      <w:r w:rsidRPr="00EB716C">
        <w:rPr>
          <w:noProof/>
        </w:rPr>
        <w:tab/>
        <w:t>Dror DM, Soriano ES, Lorenzo ME, Sarol JN, Azcuna RS, Koren R. Field based evidence of enhanced healthcare utilization among persons insured by micro health insurance units in Philippines. Health Policy (New York). 2005;73(3):263-271. doi:10.1016/j.healthpol.2004.11.018</w:t>
      </w:r>
    </w:p>
    <w:p w14:paraId="5F6E51EE"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22. </w:t>
      </w:r>
      <w:r w:rsidRPr="00EB716C">
        <w:rPr>
          <w:noProof/>
        </w:rPr>
        <w:tab/>
        <w:t>Ury HK, Fleiss JL. On approximate sample sizes for comparing two independent proportions with the use of Yates’ correction. Biometrics. 1980;36(2):347-351. http://www.ncbi.nlm.nih.gov/pubmed/7407322. Accessed January 2, 2014.</w:t>
      </w:r>
    </w:p>
    <w:p w14:paraId="2649FC3E"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23. </w:t>
      </w:r>
      <w:r w:rsidRPr="00EB716C">
        <w:rPr>
          <w:noProof/>
        </w:rPr>
        <w:tab/>
        <w:t>Casagrande JT, Pike MC. An improved approximate formula for calculating sample sizes for comparing two binomial distributions. Biometrics. 1978;34(3):483-486.</w:t>
      </w:r>
    </w:p>
    <w:p w14:paraId="7F5E95C2"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24. </w:t>
      </w:r>
      <w:r w:rsidRPr="00EB716C">
        <w:rPr>
          <w:noProof/>
        </w:rPr>
        <w:tab/>
        <w:t>Jones SR. An introduction to power and sample size estimation. Emerg Med J. 2003;20(5):453-458. doi:10.1136/emj.20.5.453</w:t>
      </w:r>
    </w:p>
    <w:p w14:paraId="6AA43F5E"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25. </w:t>
      </w:r>
      <w:r w:rsidRPr="00EB716C">
        <w:rPr>
          <w:noProof/>
        </w:rPr>
        <w:tab/>
        <w:t>Ahmed SM, Adams AM, Chowdhury M, Bhuiya A. Changing health-seeking behaviour in Matlab, Bangladesh: do development interventions matter? Health Policy Plan. 2003;18(3):306-315.</w:t>
      </w:r>
    </w:p>
    <w:p w14:paraId="3A1FD7C9"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26. </w:t>
      </w:r>
      <w:r w:rsidRPr="00EB716C">
        <w:rPr>
          <w:noProof/>
        </w:rPr>
        <w:tab/>
        <w:t>Ahmed SM, Tomson G, Petzold M, Kabir ZN. Socioeconomic status overrides age and gender in determining health-seeking behaviour in rural Bangladesh. Bull World Health Organ. 2005;83(2):109-117. doi:10.1590/S0042-96862005000200011</w:t>
      </w:r>
    </w:p>
    <w:p w14:paraId="72A5FD4D"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27. </w:t>
      </w:r>
      <w:r w:rsidRPr="00EB716C">
        <w:rPr>
          <w:noProof/>
        </w:rPr>
        <w:tab/>
        <w:t>van Doorslaer E, O’Donnell O, Rannan-Eliya RP, et al. Effect of payments for health care on poverty estimates in 11 countries in Asia: an analysis of household survey data. Lancet. 2006;368(9544):1357-1364.</w:t>
      </w:r>
    </w:p>
    <w:p w14:paraId="64F37785"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28. </w:t>
      </w:r>
      <w:r w:rsidRPr="00EB716C">
        <w:rPr>
          <w:noProof/>
        </w:rPr>
        <w:tab/>
        <w:t>O’Donnell O, van Doorslaer E, Wagstaff A, Lindelow M. Analyzing Health Equity Using Household Survey Data: A Guide to Techniques and Their Implementation. Washington DC: The World Bank; 2008.</w:t>
      </w:r>
    </w:p>
    <w:p w14:paraId="6B3D0F97"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29. </w:t>
      </w:r>
      <w:r w:rsidRPr="00EB716C">
        <w:rPr>
          <w:noProof/>
        </w:rPr>
        <w:tab/>
        <w:t>Vyas S, Kumaranayake L. Constructing socio-economic status indices: how to use principal components analysis. Heal Policy Plan. 2006;21(6):459-468.</w:t>
      </w:r>
    </w:p>
    <w:p w14:paraId="208C11BD"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30. </w:t>
      </w:r>
      <w:r w:rsidRPr="00EB716C">
        <w:rPr>
          <w:noProof/>
        </w:rPr>
        <w:tab/>
        <w:t>Wagstaff A, Lindelow M, Jun G, Ling X, Juncheng Q. Extending health insurance to the rural population: An impact evaluation of China’s new cooperative medical scheme. J Health Econ. 2009;28(1):1-19.</w:t>
      </w:r>
    </w:p>
    <w:p w14:paraId="38913922"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31. </w:t>
      </w:r>
      <w:r w:rsidRPr="00EB716C">
        <w:rPr>
          <w:noProof/>
        </w:rPr>
        <w:tab/>
        <w:t>Rosenbaum PR, Rubin DB. The central role of the propensity score in observational studies for causal effects. Biometrika. 1983;70(1):41-55. doi:10.1093/biomet/70.1.41</w:t>
      </w:r>
    </w:p>
    <w:p w14:paraId="36498D0B"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32. </w:t>
      </w:r>
      <w:r w:rsidRPr="00EB716C">
        <w:rPr>
          <w:noProof/>
        </w:rPr>
        <w:tab/>
        <w:t>Morgan CJ. Reducing bias using propensity score matching. J Nucl Cardiol. 2018;25(2):404-406. doi:10.1007/s12350-017-1012-y</w:t>
      </w:r>
    </w:p>
    <w:p w14:paraId="3EB4A19C"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33. </w:t>
      </w:r>
      <w:r w:rsidRPr="00EB716C">
        <w:rPr>
          <w:noProof/>
        </w:rPr>
        <w:tab/>
        <w:t>Austin PC. Optimal caliper widths for propensity-score matching when estimating differences in means and differences in proportions in observational studies. Pharm Stat. 2011;10(2):150-161. doi:10.1002/pst.433</w:t>
      </w:r>
    </w:p>
    <w:p w14:paraId="32A8A382"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34. </w:t>
      </w:r>
      <w:r w:rsidRPr="00EB716C">
        <w:rPr>
          <w:noProof/>
        </w:rPr>
        <w:tab/>
        <w:t>Okunade AA, Suraratdecha C, Benson DA. Determinants of Thailand household healthcare expenditure: the relevance of permanent resources and other correlates. Health Econ. 2010;19(3):365-376. doi:10.1002/hec.1471</w:t>
      </w:r>
    </w:p>
    <w:p w14:paraId="0A9570CC"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35. </w:t>
      </w:r>
      <w:r w:rsidRPr="00EB716C">
        <w:rPr>
          <w:noProof/>
        </w:rPr>
        <w:tab/>
        <w:t>Jones A. A double‐hurdle model of cigarette consumption. J Appl Econom. 1989;4(1):23-39. http://onlinelibrary.wiley.com/doi/10.1002/jae.3950040103/full. Accessed January 10, 2014.</w:t>
      </w:r>
    </w:p>
    <w:p w14:paraId="2214E8ED"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36. </w:t>
      </w:r>
      <w:r w:rsidRPr="00EB716C">
        <w:rPr>
          <w:noProof/>
        </w:rPr>
        <w:tab/>
        <w:t>Jones AM. Health Econometrics. In Handbook of Health Economics. Vol 6. (Culyer A, Newhouse J, eds.). Amsterdam: Elsevier North-Holland; 2000.</w:t>
      </w:r>
    </w:p>
    <w:p w14:paraId="17388306"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37. </w:t>
      </w:r>
      <w:r w:rsidRPr="00EB716C">
        <w:rPr>
          <w:noProof/>
        </w:rPr>
        <w:tab/>
        <w:t>Rahman MM, Gilmour S, Saito E, Sultana P, Shibuya K. Health-related financial catastrophe, inequality and chronic illness in Bangladesh. PLoS One. 2013;8(2):e56873. doi:10.1371/journal.pone.0056873</w:t>
      </w:r>
    </w:p>
    <w:p w14:paraId="6E07361F"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38. </w:t>
      </w:r>
      <w:r w:rsidRPr="00EB716C">
        <w:rPr>
          <w:noProof/>
        </w:rPr>
        <w:tab/>
        <w:t>Cragg J. Some statistical models for limited dependent variables with application to the demand for durable goods. Econom J Econom Soc. 1971;39(5):829-844. http://www.jstor.org/stable/10.2307/1909582. Accessed January 10, 2014.</w:t>
      </w:r>
    </w:p>
    <w:p w14:paraId="25B44544"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39. </w:t>
      </w:r>
      <w:r w:rsidRPr="00EB716C">
        <w:rPr>
          <w:noProof/>
        </w:rPr>
        <w:tab/>
        <w:t>Farewell VT, Long DL, Tom BDM, Yiu S, Su L. Two-Part and Related Regression Models for Longitudinal Data. Vol 4.; 2017. doi:10.1146/annurev-statistics-060116-054131</w:t>
      </w:r>
    </w:p>
    <w:p w14:paraId="0FD1FAE0"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40. </w:t>
      </w:r>
      <w:r w:rsidRPr="00EB716C">
        <w:rPr>
          <w:noProof/>
        </w:rPr>
        <w:tab/>
        <w:t>Mahumud RA, Sarker AR, Sultana M, Islam Z, Khan J, Morton A. Distribution and determinants of out-of-pocket healthcare expenditures in Bangladesh. J Prev Med Public Heal. 2017;50(2):91-99. doi:10.3961/jpmph.16.089</w:t>
      </w:r>
    </w:p>
    <w:p w14:paraId="05922D8F"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41. </w:t>
      </w:r>
      <w:r w:rsidRPr="00EB716C">
        <w:rPr>
          <w:noProof/>
        </w:rPr>
        <w:tab/>
        <w:t>Ekman B. The impact of health insurance on outpatient utilization and expenditure: evidence from one middle-income country using national household survey data. Health Res Policy Syst. 2007;5:6. doi:10.1186/1478-4505-5-6</w:t>
      </w:r>
    </w:p>
    <w:p w14:paraId="53EA73AE"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42. </w:t>
      </w:r>
      <w:r w:rsidRPr="00EB716C">
        <w:rPr>
          <w:noProof/>
        </w:rPr>
        <w:tab/>
        <w:t>Chaudhuri A, Roy K. Changes in out-of-pocket payments for healthcare in Vietnam and its impact on equity in payments, 1992-2002. Health Policy. 2008;88(1):38-48. doi:10.1016/j.healthpol.2008.02.014</w:t>
      </w:r>
    </w:p>
    <w:p w14:paraId="6464C4E8"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43. </w:t>
      </w:r>
      <w:r w:rsidRPr="00EB716C">
        <w:rPr>
          <w:noProof/>
        </w:rPr>
        <w:tab/>
        <w:t>Bourne PA. Self-rated health and health conditions of married and unmarried men in Jamaica. N Am J Med Sci. 2009;1(7):345-352. doi:10.4297/najms.2009.7345</w:t>
      </w:r>
    </w:p>
    <w:p w14:paraId="08E2EB4D"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44. </w:t>
      </w:r>
      <w:r w:rsidRPr="00EB716C">
        <w:rPr>
          <w:noProof/>
        </w:rPr>
        <w:tab/>
        <w:t>Joung IM a, Van Der Meer JBW, Mackenbach JP. Marital Status and Health Care Utilization. Int J Epidemiol. 1995;24(3):569-575. doi:10.1093/ije/24.3.569</w:t>
      </w:r>
    </w:p>
    <w:p w14:paraId="0469957C"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45. </w:t>
      </w:r>
      <w:r w:rsidRPr="00EB716C">
        <w:rPr>
          <w:noProof/>
        </w:rPr>
        <w:tab/>
        <w:t>Ahmed S, Sarker AR, Sultana M, et al. The impact of community-based health insurance on the utilization of medically trained healthcare providers among informal workers in Bangladesh. Oh J, ed. PLoS One. 2018;13(7):e0200265. doi:10.1371/journal.pone.0200265</w:t>
      </w:r>
    </w:p>
    <w:p w14:paraId="6198657A"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46. </w:t>
      </w:r>
      <w:r w:rsidRPr="00EB716C">
        <w:rPr>
          <w:noProof/>
        </w:rPr>
        <w:tab/>
        <w:t>Khan JAM, Ahmed S, MacLennan M, Sarker AR, Sultana M, Rahman H. Benefit incidence analysis of healthcare in Bangladesh - equity matters for universal health coverage. Health Policy Plan. 2017;32(3):359-365. doi:10.1093/heapol/czw131</w:t>
      </w:r>
    </w:p>
    <w:p w14:paraId="2E79D256"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47. </w:t>
      </w:r>
      <w:r w:rsidRPr="00EB716C">
        <w:rPr>
          <w:noProof/>
        </w:rPr>
        <w:tab/>
        <w:t>Rahman A, Nisha MK, Begum T, Ahmed S, Alam N, Anwar I. Trends, determinants and inequities of 4+ ANC utilisation in Bangladesh. J Heal Popul Nutr. 2017;36(1):2. doi:10.1186/s41043-016-0078-5</w:t>
      </w:r>
    </w:p>
    <w:p w14:paraId="1286FEFE"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48. </w:t>
      </w:r>
      <w:r w:rsidRPr="00EB716C">
        <w:rPr>
          <w:noProof/>
        </w:rPr>
        <w:tab/>
        <w:t>Ahmed S, Szabo S, Nilsen K. Catastrophic healthcare expenditure and impoverishment in tropical deltas: evidence from the Mekong Delta region. Int J Equity Health. 2018;17(1):53. doi:10.1186/s12939-018-0757-5</w:t>
      </w:r>
    </w:p>
    <w:p w14:paraId="5FF11044"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49. </w:t>
      </w:r>
      <w:r w:rsidRPr="00EB716C">
        <w:rPr>
          <w:noProof/>
        </w:rPr>
        <w:tab/>
        <w:t>Rahman MM, Gilmour S, Saito E, Sultana P, Shibuya K. Health-related financial catastrophe, inequality and chronic illness in Bangladesh. van Baal PHM, ed. PLoS One. 2013;8(2):e56873. doi:10.1371/journal.pone.0056873</w:t>
      </w:r>
    </w:p>
    <w:p w14:paraId="3E09F12C"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50. </w:t>
      </w:r>
      <w:r w:rsidRPr="00EB716C">
        <w:rPr>
          <w:noProof/>
        </w:rPr>
        <w:tab/>
        <w:t>Dror D, Chakraborty A, Majumdar A, Panda P, Koren R. Impact of community-based health insurance in rural India on self-medication &amp;amp; financial protection of the insured. Indian J Med Res. 2016;143(6):809. doi:10.4103/0971-5916.192075</w:t>
      </w:r>
    </w:p>
    <w:p w14:paraId="1E75F11D"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51. </w:t>
      </w:r>
      <w:r w:rsidRPr="00EB716C">
        <w:rPr>
          <w:noProof/>
        </w:rPr>
        <w:tab/>
        <w:t>Xie B, Huo M, Wang Z, et al. Impact of the New Cooperative Medical Scheme on the trend of catastrophic health expenditure in Chinese rural households: results from nationally representative surveys from 2003 to 2013. BMJ Open. 2018;8(2):e019442. doi:10.1136/bmjopen-2017-019442</w:t>
      </w:r>
    </w:p>
    <w:p w14:paraId="2DAFADFE"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52. </w:t>
      </w:r>
      <w:r w:rsidRPr="00EB716C">
        <w:rPr>
          <w:noProof/>
        </w:rPr>
        <w:tab/>
        <w:t>Aji B, De Allegri M, Souares A, Sauerborn R. The impact of health insurance programs on out-of-pocket expenditures in Indonesia: an increase or a decrease? Int J Environ Res Public Health. 2013;10(7):2995-3013. doi:10.3390/ijerph10072995</w:t>
      </w:r>
    </w:p>
    <w:p w14:paraId="47B2B58D"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53. </w:t>
      </w:r>
      <w:r w:rsidRPr="00EB716C">
        <w:rPr>
          <w:noProof/>
        </w:rPr>
        <w:tab/>
        <w:t>Heeley E, Anderson CS, Huang Y, et al. Role of health insurance in averting economic hardship in families after acute stroke in China. Stroke. 2009;40(6):2149-2156. doi:10.1161/STROKEAHA.108.540054</w:t>
      </w:r>
    </w:p>
    <w:p w14:paraId="2DEBB89E"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54. </w:t>
      </w:r>
      <w:r w:rsidRPr="00EB716C">
        <w:rPr>
          <w:noProof/>
        </w:rPr>
        <w:tab/>
        <w:t>Wang Y, Jiang Y, Li Y, Wang X, Ma C, Ma S. Health insurance utilization and its impact: observations from the middle-aged and elderly in china. PLoS One. 2013;8(12):e80978. doi:10.1371/journal.pone.0080978</w:t>
      </w:r>
    </w:p>
    <w:p w14:paraId="4716496F"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55. </w:t>
      </w:r>
      <w:r w:rsidRPr="00EB716C">
        <w:rPr>
          <w:noProof/>
        </w:rPr>
        <w:tab/>
        <w:t>Philip NE, Kannan S, Sarma SP. Utilization of Comprehensive Health Insurance Scheme, Kerala: A Comparative Study of Insured and Uninsured Below-Poverty-Line Households. Asia-Pacific J public Heal. 2015;28(1 Suppl):77S-85S. doi:10.1177/1010539515602306</w:t>
      </w:r>
    </w:p>
    <w:p w14:paraId="3D0BFE77"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56. </w:t>
      </w:r>
      <w:r w:rsidRPr="00EB716C">
        <w:rPr>
          <w:noProof/>
        </w:rPr>
        <w:tab/>
        <w:t>Mebratie A, Sparrow R, Debebe Z, Ejigie DA, Alemu G, Bedi AS. The Impact of Ethiopia’s Pilot Community Based Health Insurance Scheme on Healthcare Utilization and Cost of Care. Vol 593. Amsterdam; 2014. http://repub.eur.nl/pub/77021/.</w:t>
      </w:r>
    </w:p>
    <w:p w14:paraId="102DFE97"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57. </w:t>
      </w:r>
      <w:r w:rsidRPr="00EB716C">
        <w:rPr>
          <w:noProof/>
        </w:rPr>
        <w:tab/>
        <w:t>Ekman B. Community-based health insurance in low-income countries: a systematic review of the evidence. Health Policy Plan. 2004;19(5):249-270.</w:t>
      </w:r>
    </w:p>
    <w:p w14:paraId="4F8C94C9"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58. </w:t>
      </w:r>
      <w:r w:rsidRPr="00EB716C">
        <w:rPr>
          <w:noProof/>
        </w:rPr>
        <w:tab/>
        <w:t>Raza WA, Van De Poel E, Bedi A, Rutten F. Impact of community-based health insurance on access and financial protection: Evidence from three randomized control trials in rural India. Health Econ. 2016;25(6):675-687. doi:10.1002/hec.3307</w:t>
      </w:r>
    </w:p>
    <w:p w14:paraId="5F34CA1F"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59. </w:t>
      </w:r>
      <w:r w:rsidRPr="00EB716C">
        <w:rPr>
          <w:noProof/>
        </w:rPr>
        <w:tab/>
        <w:t>Spaan E, Mathijssen J, Tromp N, McBain F, ten Have A, Baltussen R. The impact of health insurance in Africa and Asia: a systematic review. Bull World Health Organ. 2012;90(9):685-692. doi:10.2471/BLT.12.102301</w:t>
      </w:r>
    </w:p>
    <w:p w14:paraId="073ADEB5"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60. </w:t>
      </w:r>
      <w:r w:rsidRPr="00EB716C">
        <w:rPr>
          <w:noProof/>
        </w:rPr>
        <w:tab/>
        <w:t>Khan JAM, Ahmed S, Evans TG. Catastrophic healthcare expenditure and poverty related to out-of-pocket payments for healthcare in Bangladesh-an estimation of financial risk protection of universal health coverage. Health Policy Plan. 2017;32(8):1102-1110. doi:10.1093/heapol/czx048</w:t>
      </w:r>
    </w:p>
    <w:p w14:paraId="787E7841"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61. </w:t>
      </w:r>
      <w:r w:rsidRPr="00EB716C">
        <w:rPr>
          <w:noProof/>
        </w:rPr>
        <w:tab/>
        <w:t>Wagstaff A, van Doorslaer E. Catastrophe and impoverishment in paying for health care: with applications to Vietnam 1993-1998. Health Econ. 2003;12(11):921-934. doi:10.1002/hec.776</w:t>
      </w:r>
    </w:p>
    <w:p w14:paraId="26D83FCA"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62. </w:t>
      </w:r>
      <w:r w:rsidRPr="00EB716C">
        <w:rPr>
          <w:noProof/>
        </w:rPr>
        <w:tab/>
        <w:t>LGRD. Department of Cooperatives in the Ministry of Local Government and Rural Development of Bangladesh. http://www.coop.gov.bd/. Published 2012. Accessed December 6, 2012.</w:t>
      </w:r>
    </w:p>
    <w:p w14:paraId="5113EAB2"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63. </w:t>
      </w:r>
      <w:r w:rsidRPr="00EB716C">
        <w:rPr>
          <w:noProof/>
        </w:rPr>
        <w:tab/>
        <w:t>Mebratie AD, Sparrow R, Yilma Z, Alemu G, Bedi AS. Dropping out of Ethiopia’s community-based health insurance scheme. Health Policy Plan. 2015;30(10):1296-1306. doi:10.1093/heapol/czu142</w:t>
      </w:r>
    </w:p>
    <w:p w14:paraId="041F7EFE"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64. </w:t>
      </w:r>
      <w:r w:rsidRPr="00EB716C">
        <w:rPr>
          <w:noProof/>
        </w:rPr>
        <w:tab/>
        <w:t>Panda P, Chakraborty A, Raza W, Bedi AS. Renewing membership in three communitybased health insurance schemes in rural India. Health Policy Plan. 2016;31(10):1433-1444. doi:10.1093/heapol/czw090</w:t>
      </w:r>
    </w:p>
    <w:p w14:paraId="47577EF6"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65. </w:t>
      </w:r>
      <w:r w:rsidRPr="00EB716C">
        <w:rPr>
          <w:noProof/>
        </w:rPr>
        <w:tab/>
        <w:t>Dror DM, Koren R, Ost A, Binnendijk E, Vellakkal S, Danis M. Health insurance benefit packages prioritized by low-income clients in India: three criteria to estimate effectiveness of choice. Soc Sci Med. 2007;64(4):884-896. doi:10.1016/j.socscimed.2006.10.032</w:t>
      </w:r>
    </w:p>
    <w:p w14:paraId="02AE6F0D"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66. </w:t>
      </w:r>
      <w:r w:rsidRPr="00EB716C">
        <w:rPr>
          <w:noProof/>
        </w:rPr>
        <w:tab/>
        <w:t>Sarker AR, Sultana M, Mahumud RA. Cooperative societies: a sustainable platform for promoting universal health coverage in Bangladesh. BMJ Glob Heal. 2016;1(3):e000052. doi:10.1136/bmjgh-2016-000052</w:t>
      </w:r>
    </w:p>
    <w:p w14:paraId="78E6E45D"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67. </w:t>
      </w:r>
      <w:r w:rsidRPr="00EB716C">
        <w:rPr>
          <w:noProof/>
        </w:rPr>
        <w:tab/>
        <w:t>Lu C, Chin B, Li G, Murray CJL. Limitations of methods for measuring out-of-pocket and catastrophic private health expenditures. Bull World Health Organ. 2009;87(3):238-244.</w:t>
      </w:r>
    </w:p>
    <w:p w14:paraId="4CD3CF27"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68. </w:t>
      </w:r>
      <w:r w:rsidRPr="00EB716C">
        <w:rPr>
          <w:noProof/>
        </w:rPr>
        <w:tab/>
        <w:t>Bose M, Dutta A. Inequity in hospitalization care: a study on utilization of healthcare services in West Bengal, India. Int J Heal policy Manag. 2015;4(1):29-38. doi:10.15171/ijhpm.2015.05</w:t>
      </w:r>
    </w:p>
    <w:p w14:paraId="74BEF663" w14:textId="77777777" w:rsidR="00EB716C" w:rsidRPr="00EB716C" w:rsidRDefault="00EB716C" w:rsidP="00EB716C">
      <w:pPr>
        <w:widowControl w:val="0"/>
        <w:autoSpaceDE w:val="0"/>
        <w:autoSpaceDN w:val="0"/>
        <w:adjustRightInd w:val="0"/>
        <w:spacing w:before="100" w:after="100"/>
        <w:ind w:left="640" w:hanging="640"/>
        <w:rPr>
          <w:noProof/>
        </w:rPr>
      </w:pPr>
      <w:r w:rsidRPr="00EB716C">
        <w:rPr>
          <w:noProof/>
        </w:rPr>
        <w:t xml:space="preserve">69. </w:t>
      </w:r>
      <w:r w:rsidRPr="00EB716C">
        <w:rPr>
          <w:noProof/>
        </w:rPr>
        <w:tab/>
        <w:t>Ranson MK. The Impact of SEWA’s Medical Insurance Fund on Hospital Utilization and Expenditure.; 2016.</w:t>
      </w:r>
    </w:p>
    <w:p w14:paraId="58D4D7D2" w14:textId="77777777" w:rsidR="004C4353" w:rsidRPr="00E670FB" w:rsidRDefault="003A0B22" w:rsidP="00E140A3">
      <w:pPr>
        <w:widowControl w:val="0"/>
        <w:autoSpaceDE w:val="0"/>
        <w:autoSpaceDN w:val="0"/>
        <w:adjustRightInd w:val="0"/>
        <w:spacing w:before="100" w:after="100"/>
        <w:ind w:left="480" w:hanging="480"/>
      </w:pPr>
      <w:r w:rsidRPr="00493E4F">
        <w:rPr>
          <w:rFonts w:eastAsia="Calibri"/>
          <w:iCs/>
          <w:color w:val="000000"/>
          <w:lang w:val="en-US"/>
        </w:rPr>
        <w:fldChar w:fldCharType="end"/>
      </w:r>
    </w:p>
    <w:sectPr w:rsidR="004C4353" w:rsidRPr="00E670FB" w:rsidSect="00E9612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3687A" w14:textId="77777777" w:rsidR="00CA2C01" w:rsidRDefault="00CA2C01" w:rsidP="00AC4668">
      <w:r>
        <w:separator/>
      </w:r>
    </w:p>
  </w:endnote>
  <w:endnote w:type="continuationSeparator" w:id="0">
    <w:p w14:paraId="36ECF6B0" w14:textId="77777777" w:rsidR="00CA2C01" w:rsidRDefault="00CA2C01" w:rsidP="00AC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Light SemiCond">
    <w:altName w:val="Segoe UI Light"/>
    <w:panose1 w:val="00000000000000000000"/>
    <w:charset w:val="00"/>
    <w:family w:val="swiss"/>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onsolas">
    <w:panose1 w:val="020B0609020204030204"/>
    <w:charset w:val="00"/>
    <w:family w:val="modern"/>
    <w:pitch w:val="fixed"/>
    <w:sig w:usb0="E00002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0867"/>
      <w:docPartObj>
        <w:docPartGallery w:val="Page Numbers (Bottom of Page)"/>
        <w:docPartUnique/>
      </w:docPartObj>
    </w:sdtPr>
    <w:sdtEndPr/>
    <w:sdtContent>
      <w:p w14:paraId="7F9B9E90" w14:textId="37DC4A0D" w:rsidR="00DB3CAA" w:rsidRDefault="00DB3CAA">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101EEFA7" w14:textId="77777777" w:rsidR="00DB3CAA" w:rsidRDefault="00DB3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06524" w14:textId="77777777" w:rsidR="00CA2C01" w:rsidRDefault="00CA2C01" w:rsidP="00AC4668">
      <w:r>
        <w:separator/>
      </w:r>
    </w:p>
  </w:footnote>
  <w:footnote w:type="continuationSeparator" w:id="0">
    <w:p w14:paraId="65C2AE76" w14:textId="77777777" w:rsidR="00CA2C01" w:rsidRDefault="00CA2C01" w:rsidP="00AC4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0E73"/>
    <w:multiLevelType w:val="hybridMultilevel"/>
    <w:tmpl w:val="36AA6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0D35E0"/>
    <w:multiLevelType w:val="hybridMultilevel"/>
    <w:tmpl w:val="0B88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B7BA0"/>
    <w:multiLevelType w:val="hybridMultilevel"/>
    <w:tmpl w:val="0662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67D8A"/>
    <w:multiLevelType w:val="hybridMultilevel"/>
    <w:tmpl w:val="C9601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F8204B"/>
    <w:multiLevelType w:val="hybridMultilevel"/>
    <w:tmpl w:val="1EDAF44A"/>
    <w:lvl w:ilvl="0" w:tplc="62B42374">
      <w:start w:val="1"/>
      <w:numFmt w:val="bullet"/>
      <w:lvlText w:val=""/>
      <w:lvlJc w:val="left"/>
      <w:pPr>
        <w:tabs>
          <w:tab w:val="num" w:pos="720"/>
        </w:tabs>
        <w:ind w:left="720" w:hanging="360"/>
      </w:pPr>
      <w:rPr>
        <w:rFonts w:ascii="Wingdings" w:hAnsi="Wingdings" w:hint="default"/>
      </w:rPr>
    </w:lvl>
    <w:lvl w:ilvl="1" w:tplc="628AD20E" w:tentative="1">
      <w:start w:val="1"/>
      <w:numFmt w:val="bullet"/>
      <w:lvlText w:val=""/>
      <w:lvlJc w:val="left"/>
      <w:pPr>
        <w:tabs>
          <w:tab w:val="num" w:pos="1440"/>
        </w:tabs>
        <w:ind w:left="1440" w:hanging="360"/>
      </w:pPr>
      <w:rPr>
        <w:rFonts w:ascii="Wingdings" w:hAnsi="Wingdings" w:hint="default"/>
      </w:rPr>
    </w:lvl>
    <w:lvl w:ilvl="2" w:tplc="DDC0ADB2" w:tentative="1">
      <w:start w:val="1"/>
      <w:numFmt w:val="bullet"/>
      <w:lvlText w:val=""/>
      <w:lvlJc w:val="left"/>
      <w:pPr>
        <w:tabs>
          <w:tab w:val="num" w:pos="2160"/>
        </w:tabs>
        <w:ind w:left="2160" w:hanging="360"/>
      </w:pPr>
      <w:rPr>
        <w:rFonts w:ascii="Wingdings" w:hAnsi="Wingdings" w:hint="default"/>
      </w:rPr>
    </w:lvl>
    <w:lvl w:ilvl="3" w:tplc="0BE46F8A" w:tentative="1">
      <w:start w:val="1"/>
      <w:numFmt w:val="bullet"/>
      <w:lvlText w:val=""/>
      <w:lvlJc w:val="left"/>
      <w:pPr>
        <w:tabs>
          <w:tab w:val="num" w:pos="2880"/>
        </w:tabs>
        <w:ind w:left="2880" w:hanging="360"/>
      </w:pPr>
      <w:rPr>
        <w:rFonts w:ascii="Wingdings" w:hAnsi="Wingdings" w:hint="default"/>
      </w:rPr>
    </w:lvl>
    <w:lvl w:ilvl="4" w:tplc="9392E764" w:tentative="1">
      <w:start w:val="1"/>
      <w:numFmt w:val="bullet"/>
      <w:lvlText w:val=""/>
      <w:lvlJc w:val="left"/>
      <w:pPr>
        <w:tabs>
          <w:tab w:val="num" w:pos="3600"/>
        </w:tabs>
        <w:ind w:left="3600" w:hanging="360"/>
      </w:pPr>
      <w:rPr>
        <w:rFonts w:ascii="Wingdings" w:hAnsi="Wingdings" w:hint="default"/>
      </w:rPr>
    </w:lvl>
    <w:lvl w:ilvl="5" w:tplc="79FC3EF4" w:tentative="1">
      <w:start w:val="1"/>
      <w:numFmt w:val="bullet"/>
      <w:lvlText w:val=""/>
      <w:lvlJc w:val="left"/>
      <w:pPr>
        <w:tabs>
          <w:tab w:val="num" w:pos="4320"/>
        </w:tabs>
        <w:ind w:left="4320" w:hanging="360"/>
      </w:pPr>
      <w:rPr>
        <w:rFonts w:ascii="Wingdings" w:hAnsi="Wingdings" w:hint="default"/>
      </w:rPr>
    </w:lvl>
    <w:lvl w:ilvl="6" w:tplc="A80AFB58" w:tentative="1">
      <w:start w:val="1"/>
      <w:numFmt w:val="bullet"/>
      <w:lvlText w:val=""/>
      <w:lvlJc w:val="left"/>
      <w:pPr>
        <w:tabs>
          <w:tab w:val="num" w:pos="5040"/>
        </w:tabs>
        <w:ind w:left="5040" w:hanging="360"/>
      </w:pPr>
      <w:rPr>
        <w:rFonts w:ascii="Wingdings" w:hAnsi="Wingdings" w:hint="default"/>
      </w:rPr>
    </w:lvl>
    <w:lvl w:ilvl="7" w:tplc="1166B520" w:tentative="1">
      <w:start w:val="1"/>
      <w:numFmt w:val="bullet"/>
      <w:lvlText w:val=""/>
      <w:lvlJc w:val="left"/>
      <w:pPr>
        <w:tabs>
          <w:tab w:val="num" w:pos="5760"/>
        </w:tabs>
        <w:ind w:left="5760" w:hanging="360"/>
      </w:pPr>
      <w:rPr>
        <w:rFonts w:ascii="Wingdings" w:hAnsi="Wingdings" w:hint="default"/>
      </w:rPr>
    </w:lvl>
    <w:lvl w:ilvl="8" w:tplc="13109E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6445B8"/>
    <w:multiLevelType w:val="hybridMultilevel"/>
    <w:tmpl w:val="ECF0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202FE"/>
    <w:multiLevelType w:val="hybridMultilevel"/>
    <w:tmpl w:val="CC72ED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F50C1A"/>
    <w:multiLevelType w:val="hybridMultilevel"/>
    <w:tmpl w:val="D7741F9A"/>
    <w:lvl w:ilvl="0" w:tplc="6974F1C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B602C1"/>
    <w:multiLevelType w:val="hybridMultilevel"/>
    <w:tmpl w:val="BEB4B516"/>
    <w:lvl w:ilvl="0" w:tplc="1084DD4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4F385638"/>
    <w:multiLevelType w:val="hybridMultilevel"/>
    <w:tmpl w:val="B7583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AE09D5"/>
    <w:multiLevelType w:val="hybridMultilevel"/>
    <w:tmpl w:val="9F24D08A"/>
    <w:lvl w:ilvl="0" w:tplc="04090001">
      <w:start w:val="1"/>
      <w:numFmt w:val="lowerLetter"/>
      <w:lvlText w:val="%1)"/>
      <w:lvlJc w:val="left"/>
      <w:pPr>
        <w:ind w:left="720" w:hanging="360"/>
      </w:pPr>
      <w:rPr>
        <w:rFonts w:cs="Times New Roman" w:hint="default"/>
        <w:color w:val="000000"/>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15:restartNumberingAfterBreak="0">
    <w:nsid w:val="58F611EE"/>
    <w:multiLevelType w:val="hybridMultilevel"/>
    <w:tmpl w:val="1DEEA48A"/>
    <w:lvl w:ilvl="0" w:tplc="7696C23A">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
      <w:lvlJc w:val="left"/>
      <w:pPr>
        <w:tabs>
          <w:tab w:val="num" w:pos="1440"/>
        </w:tabs>
        <w:ind w:left="1440" w:hanging="360"/>
      </w:pPr>
      <w:rPr>
        <w:rFonts w:ascii="Wingdings" w:hAnsi="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Wingdings" w:hAnsi="Wingdings" w:hint="default"/>
      </w:rPr>
    </w:lvl>
    <w:lvl w:ilvl="4" w:tplc="04090019" w:tentative="1">
      <w:start w:val="1"/>
      <w:numFmt w:val="bullet"/>
      <w:lvlText w:val=""/>
      <w:lvlJc w:val="left"/>
      <w:pPr>
        <w:tabs>
          <w:tab w:val="num" w:pos="3600"/>
        </w:tabs>
        <w:ind w:left="3600" w:hanging="360"/>
      </w:pPr>
      <w:rPr>
        <w:rFonts w:ascii="Wingdings" w:hAnsi="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Wingdings" w:hAnsi="Wingdings" w:hint="default"/>
      </w:rPr>
    </w:lvl>
    <w:lvl w:ilvl="7" w:tplc="04090019" w:tentative="1">
      <w:start w:val="1"/>
      <w:numFmt w:val="bullet"/>
      <w:lvlText w:val=""/>
      <w:lvlJc w:val="left"/>
      <w:pPr>
        <w:tabs>
          <w:tab w:val="num" w:pos="5760"/>
        </w:tabs>
        <w:ind w:left="5760" w:hanging="360"/>
      </w:pPr>
      <w:rPr>
        <w:rFonts w:ascii="Wingdings" w:hAnsi="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392520"/>
    <w:multiLevelType w:val="hybridMultilevel"/>
    <w:tmpl w:val="CAE0914E"/>
    <w:lvl w:ilvl="0" w:tplc="EC2A877C">
      <w:start w:val="1"/>
      <w:numFmt w:val="bullet"/>
      <w:lvlText w:val=""/>
      <w:lvlJc w:val="left"/>
      <w:pPr>
        <w:tabs>
          <w:tab w:val="num" w:pos="720"/>
        </w:tabs>
        <w:ind w:left="720" w:hanging="360"/>
      </w:pPr>
      <w:rPr>
        <w:rFonts w:ascii="Wingdings" w:hAnsi="Wingdings" w:hint="default"/>
      </w:rPr>
    </w:lvl>
    <w:lvl w:ilvl="1" w:tplc="24D8E9B8" w:tentative="1">
      <w:start w:val="1"/>
      <w:numFmt w:val="bullet"/>
      <w:lvlText w:val=""/>
      <w:lvlJc w:val="left"/>
      <w:pPr>
        <w:tabs>
          <w:tab w:val="num" w:pos="1440"/>
        </w:tabs>
        <w:ind w:left="1440" w:hanging="360"/>
      </w:pPr>
      <w:rPr>
        <w:rFonts w:ascii="Wingdings" w:hAnsi="Wingdings" w:hint="default"/>
      </w:rPr>
    </w:lvl>
    <w:lvl w:ilvl="2" w:tplc="B68CB120" w:tentative="1">
      <w:start w:val="1"/>
      <w:numFmt w:val="bullet"/>
      <w:lvlText w:val=""/>
      <w:lvlJc w:val="left"/>
      <w:pPr>
        <w:tabs>
          <w:tab w:val="num" w:pos="2160"/>
        </w:tabs>
        <w:ind w:left="2160" w:hanging="360"/>
      </w:pPr>
      <w:rPr>
        <w:rFonts w:ascii="Wingdings" w:hAnsi="Wingdings" w:hint="default"/>
      </w:rPr>
    </w:lvl>
    <w:lvl w:ilvl="3" w:tplc="AD1CA97C" w:tentative="1">
      <w:start w:val="1"/>
      <w:numFmt w:val="bullet"/>
      <w:lvlText w:val=""/>
      <w:lvlJc w:val="left"/>
      <w:pPr>
        <w:tabs>
          <w:tab w:val="num" w:pos="2880"/>
        </w:tabs>
        <w:ind w:left="2880" w:hanging="360"/>
      </w:pPr>
      <w:rPr>
        <w:rFonts w:ascii="Wingdings" w:hAnsi="Wingdings" w:hint="default"/>
      </w:rPr>
    </w:lvl>
    <w:lvl w:ilvl="4" w:tplc="87EAB8AC" w:tentative="1">
      <w:start w:val="1"/>
      <w:numFmt w:val="bullet"/>
      <w:lvlText w:val=""/>
      <w:lvlJc w:val="left"/>
      <w:pPr>
        <w:tabs>
          <w:tab w:val="num" w:pos="3600"/>
        </w:tabs>
        <w:ind w:left="3600" w:hanging="360"/>
      </w:pPr>
      <w:rPr>
        <w:rFonts w:ascii="Wingdings" w:hAnsi="Wingdings" w:hint="default"/>
      </w:rPr>
    </w:lvl>
    <w:lvl w:ilvl="5" w:tplc="15BC3F4C" w:tentative="1">
      <w:start w:val="1"/>
      <w:numFmt w:val="bullet"/>
      <w:lvlText w:val=""/>
      <w:lvlJc w:val="left"/>
      <w:pPr>
        <w:tabs>
          <w:tab w:val="num" w:pos="4320"/>
        </w:tabs>
        <w:ind w:left="4320" w:hanging="360"/>
      </w:pPr>
      <w:rPr>
        <w:rFonts w:ascii="Wingdings" w:hAnsi="Wingdings" w:hint="default"/>
      </w:rPr>
    </w:lvl>
    <w:lvl w:ilvl="6" w:tplc="94E813BA" w:tentative="1">
      <w:start w:val="1"/>
      <w:numFmt w:val="bullet"/>
      <w:lvlText w:val=""/>
      <w:lvlJc w:val="left"/>
      <w:pPr>
        <w:tabs>
          <w:tab w:val="num" w:pos="5040"/>
        </w:tabs>
        <w:ind w:left="5040" w:hanging="360"/>
      </w:pPr>
      <w:rPr>
        <w:rFonts w:ascii="Wingdings" w:hAnsi="Wingdings" w:hint="default"/>
      </w:rPr>
    </w:lvl>
    <w:lvl w:ilvl="7" w:tplc="08FC0CD8" w:tentative="1">
      <w:start w:val="1"/>
      <w:numFmt w:val="bullet"/>
      <w:lvlText w:val=""/>
      <w:lvlJc w:val="left"/>
      <w:pPr>
        <w:tabs>
          <w:tab w:val="num" w:pos="5760"/>
        </w:tabs>
        <w:ind w:left="5760" w:hanging="360"/>
      </w:pPr>
      <w:rPr>
        <w:rFonts w:ascii="Wingdings" w:hAnsi="Wingdings" w:hint="default"/>
      </w:rPr>
    </w:lvl>
    <w:lvl w:ilvl="8" w:tplc="F80C73F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9C2BDA"/>
    <w:multiLevelType w:val="hybridMultilevel"/>
    <w:tmpl w:val="E520A63C"/>
    <w:lvl w:ilvl="0" w:tplc="C120A39E">
      <w:start w:val="1"/>
      <w:numFmt w:val="bullet"/>
      <w:lvlText w:val=""/>
      <w:lvlJc w:val="left"/>
      <w:pPr>
        <w:tabs>
          <w:tab w:val="num" w:pos="720"/>
        </w:tabs>
        <w:ind w:left="720" w:hanging="360"/>
      </w:pPr>
      <w:rPr>
        <w:rFonts w:ascii="Wingdings" w:hAnsi="Wingdings" w:hint="default"/>
      </w:rPr>
    </w:lvl>
    <w:lvl w:ilvl="1" w:tplc="5440785A" w:tentative="1">
      <w:start w:val="1"/>
      <w:numFmt w:val="bullet"/>
      <w:lvlText w:val=""/>
      <w:lvlJc w:val="left"/>
      <w:pPr>
        <w:tabs>
          <w:tab w:val="num" w:pos="1440"/>
        </w:tabs>
        <w:ind w:left="1440" w:hanging="360"/>
      </w:pPr>
      <w:rPr>
        <w:rFonts w:ascii="Wingdings" w:hAnsi="Wingdings" w:hint="default"/>
      </w:rPr>
    </w:lvl>
    <w:lvl w:ilvl="2" w:tplc="7ED092FE" w:tentative="1">
      <w:start w:val="1"/>
      <w:numFmt w:val="bullet"/>
      <w:lvlText w:val=""/>
      <w:lvlJc w:val="left"/>
      <w:pPr>
        <w:tabs>
          <w:tab w:val="num" w:pos="2160"/>
        </w:tabs>
        <w:ind w:left="2160" w:hanging="360"/>
      </w:pPr>
      <w:rPr>
        <w:rFonts w:ascii="Wingdings" w:hAnsi="Wingdings" w:hint="default"/>
      </w:rPr>
    </w:lvl>
    <w:lvl w:ilvl="3" w:tplc="8B90B752" w:tentative="1">
      <w:start w:val="1"/>
      <w:numFmt w:val="bullet"/>
      <w:lvlText w:val=""/>
      <w:lvlJc w:val="left"/>
      <w:pPr>
        <w:tabs>
          <w:tab w:val="num" w:pos="2880"/>
        </w:tabs>
        <w:ind w:left="2880" w:hanging="360"/>
      </w:pPr>
      <w:rPr>
        <w:rFonts w:ascii="Wingdings" w:hAnsi="Wingdings" w:hint="default"/>
      </w:rPr>
    </w:lvl>
    <w:lvl w:ilvl="4" w:tplc="4798252A" w:tentative="1">
      <w:start w:val="1"/>
      <w:numFmt w:val="bullet"/>
      <w:lvlText w:val=""/>
      <w:lvlJc w:val="left"/>
      <w:pPr>
        <w:tabs>
          <w:tab w:val="num" w:pos="3600"/>
        </w:tabs>
        <w:ind w:left="3600" w:hanging="360"/>
      </w:pPr>
      <w:rPr>
        <w:rFonts w:ascii="Wingdings" w:hAnsi="Wingdings" w:hint="default"/>
      </w:rPr>
    </w:lvl>
    <w:lvl w:ilvl="5" w:tplc="150E14F0" w:tentative="1">
      <w:start w:val="1"/>
      <w:numFmt w:val="bullet"/>
      <w:lvlText w:val=""/>
      <w:lvlJc w:val="left"/>
      <w:pPr>
        <w:tabs>
          <w:tab w:val="num" w:pos="4320"/>
        </w:tabs>
        <w:ind w:left="4320" w:hanging="360"/>
      </w:pPr>
      <w:rPr>
        <w:rFonts w:ascii="Wingdings" w:hAnsi="Wingdings" w:hint="default"/>
      </w:rPr>
    </w:lvl>
    <w:lvl w:ilvl="6" w:tplc="7C184734" w:tentative="1">
      <w:start w:val="1"/>
      <w:numFmt w:val="bullet"/>
      <w:lvlText w:val=""/>
      <w:lvlJc w:val="left"/>
      <w:pPr>
        <w:tabs>
          <w:tab w:val="num" w:pos="5040"/>
        </w:tabs>
        <w:ind w:left="5040" w:hanging="360"/>
      </w:pPr>
      <w:rPr>
        <w:rFonts w:ascii="Wingdings" w:hAnsi="Wingdings" w:hint="default"/>
      </w:rPr>
    </w:lvl>
    <w:lvl w:ilvl="7" w:tplc="E89E80B8" w:tentative="1">
      <w:start w:val="1"/>
      <w:numFmt w:val="bullet"/>
      <w:lvlText w:val=""/>
      <w:lvlJc w:val="left"/>
      <w:pPr>
        <w:tabs>
          <w:tab w:val="num" w:pos="5760"/>
        </w:tabs>
        <w:ind w:left="5760" w:hanging="360"/>
      </w:pPr>
      <w:rPr>
        <w:rFonts w:ascii="Wingdings" w:hAnsi="Wingdings" w:hint="default"/>
      </w:rPr>
    </w:lvl>
    <w:lvl w:ilvl="8" w:tplc="7ABAB1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294BB9"/>
    <w:multiLevelType w:val="hybridMultilevel"/>
    <w:tmpl w:val="621AFDEE"/>
    <w:lvl w:ilvl="0" w:tplc="FC5CE330">
      <w:start w:val="1"/>
      <w:numFmt w:val="bullet"/>
      <w:lvlText w:val=""/>
      <w:lvlJc w:val="left"/>
      <w:pPr>
        <w:ind w:left="1440" w:hanging="360"/>
      </w:pPr>
      <w:rPr>
        <w:rFonts w:ascii="Symbol" w:hAnsi="Symbol" w:hint="default"/>
      </w:rPr>
    </w:lvl>
    <w:lvl w:ilvl="1" w:tplc="5E3471A4" w:tentative="1">
      <w:start w:val="1"/>
      <w:numFmt w:val="bullet"/>
      <w:lvlText w:val="o"/>
      <w:lvlJc w:val="left"/>
      <w:pPr>
        <w:ind w:left="2160" w:hanging="360"/>
      </w:pPr>
      <w:rPr>
        <w:rFonts w:ascii="Courier New" w:hAnsi="Courier New" w:cs="Courier New" w:hint="default"/>
      </w:rPr>
    </w:lvl>
    <w:lvl w:ilvl="2" w:tplc="1F2098F2" w:tentative="1">
      <w:start w:val="1"/>
      <w:numFmt w:val="bullet"/>
      <w:lvlText w:val=""/>
      <w:lvlJc w:val="left"/>
      <w:pPr>
        <w:ind w:left="2880" w:hanging="360"/>
      </w:pPr>
      <w:rPr>
        <w:rFonts w:ascii="Wingdings" w:hAnsi="Wingdings" w:hint="default"/>
      </w:rPr>
    </w:lvl>
    <w:lvl w:ilvl="3" w:tplc="0D360D00" w:tentative="1">
      <w:start w:val="1"/>
      <w:numFmt w:val="bullet"/>
      <w:lvlText w:val=""/>
      <w:lvlJc w:val="left"/>
      <w:pPr>
        <w:ind w:left="3600" w:hanging="360"/>
      </w:pPr>
      <w:rPr>
        <w:rFonts w:ascii="Symbol" w:hAnsi="Symbol" w:hint="default"/>
      </w:rPr>
    </w:lvl>
    <w:lvl w:ilvl="4" w:tplc="065C71C0" w:tentative="1">
      <w:start w:val="1"/>
      <w:numFmt w:val="bullet"/>
      <w:lvlText w:val="o"/>
      <w:lvlJc w:val="left"/>
      <w:pPr>
        <w:ind w:left="4320" w:hanging="360"/>
      </w:pPr>
      <w:rPr>
        <w:rFonts w:ascii="Courier New" w:hAnsi="Courier New" w:cs="Courier New" w:hint="default"/>
      </w:rPr>
    </w:lvl>
    <w:lvl w:ilvl="5" w:tplc="4F0AC23E" w:tentative="1">
      <w:start w:val="1"/>
      <w:numFmt w:val="bullet"/>
      <w:lvlText w:val=""/>
      <w:lvlJc w:val="left"/>
      <w:pPr>
        <w:ind w:left="5040" w:hanging="360"/>
      </w:pPr>
      <w:rPr>
        <w:rFonts w:ascii="Wingdings" w:hAnsi="Wingdings" w:hint="default"/>
      </w:rPr>
    </w:lvl>
    <w:lvl w:ilvl="6" w:tplc="58644920" w:tentative="1">
      <w:start w:val="1"/>
      <w:numFmt w:val="bullet"/>
      <w:lvlText w:val=""/>
      <w:lvlJc w:val="left"/>
      <w:pPr>
        <w:ind w:left="5760" w:hanging="360"/>
      </w:pPr>
      <w:rPr>
        <w:rFonts w:ascii="Symbol" w:hAnsi="Symbol" w:hint="default"/>
      </w:rPr>
    </w:lvl>
    <w:lvl w:ilvl="7" w:tplc="E8A6C5EC" w:tentative="1">
      <w:start w:val="1"/>
      <w:numFmt w:val="bullet"/>
      <w:lvlText w:val="o"/>
      <w:lvlJc w:val="left"/>
      <w:pPr>
        <w:ind w:left="6480" w:hanging="360"/>
      </w:pPr>
      <w:rPr>
        <w:rFonts w:ascii="Courier New" w:hAnsi="Courier New" w:cs="Courier New" w:hint="default"/>
      </w:rPr>
    </w:lvl>
    <w:lvl w:ilvl="8" w:tplc="7DBC2F2E"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5"/>
  </w:num>
  <w:num w:numId="4">
    <w:abstractNumId w:val="4"/>
  </w:num>
  <w:num w:numId="5">
    <w:abstractNumId w:val="11"/>
  </w:num>
  <w:num w:numId="6">
    <w:abstractNumId w:val="12"/>
  </w:num>
  <w:num w:numId="7">
    <w:abstractNumId w:val="13"/>
  </w:num>
  <w:num w:numId="8">
    <w:abstractNumId w:val="6"/>
  </w:num>
  <w:num w:numId="9">
    <w:abstractNumId w:val="10"/>
  </w:num>
  <w:num w:numId="10">
    <w:abstractNumId w:val="2"/>
  </w:num>
  <w:num w:numId="11">
    <w:abstractNumId w:val="7"/>
  </w:num>
  <w:num w:numId="12">
    <w:abstractNumId w:val="8"/>
  </w:num>
  <w:num w:numId="13">
    <w:abstractNumId w:val="3"/>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2MLQwAJImJuam5ko6SsGpxcWZ+XkgBSYmtQAN5YlzLQAAAA=="/>
  </w:docVars>
  <w:rsids>
    <w:rsidRoot w:val="00AC4668"/>
    <w:rsid w:val="00000930"/>
    <w:rsid w:val="00001931"/>
    <w:rsid w:val="00003112"/>
    <w:rsid w:val="00004480"/>
    <w:rsid w:val="00004E9C"/>
    <w:rsid w:val="00005343"/>
    <w:rsid w:val="00005F8E"/>
    <w:rsid w:val="00007B31"/>
    <w:rsid w:val="00010287"/>
    <w:rsid w:val="00010A63"/>
    <w:rsid w:val="000122A7"/>
    <w:rsid w:val="00012686"/>
    <w:rsid w:val="000127FE"/>
    <w:rsid w:val="00012B70"/>
    <w:rsid w:val="00015716"/>
    <w:rsid w:val="00017555"/>
    <w:rsid w:val="000204FA"/>
    <w:rsid w:val="00021AC1"/>
    <w:rsid w:val="00021BA2"/>
    <w:rsid w:val="000223F1"/>
    <w:rsid w:val="000250DD"/>
    <w:rsid w:val="00025466"/>
    <w:rsid w:val="000256DF"/>
    <w:rsid w:val="000269C7"/>
    <w:rsid w:val="00027827"/>
    <w:rsid w:val="00027B7E"/>
    <w:rsid w:val="00031694"/>
    <w:rsid w:val="00031B8D"/>
    <w:rsid w:val="00032A94"/>
    <w:rsid w:val="00033168"/>
    <w:rsid w:val="00035C14"/>
    <w:rsid w:val="0003655E"/>
    <w:rsid w:val="000373B0"/>
    <w:rsid w:val="000376CB"/>
    <w:rsid w:val="00037E2C"/>
    <w:rsid w:val="00040AB3"/>
    <w:rsid w:val="00040CCD"/>
    <w:rsid w:val="00041E01"/>
    <w:rsid w:val="00041E5B"/>
    <w:rsid w:val="00043C64"/>
    <w:rsid w:val="00044681"/>
    <w:rsid w:val="000453BA"/>
    <w:rsid w:val="00047203"/>
    <w:rsid w:val="000508F9"/>
    <w:rsid w:val="00051F18"/>
    <w:rsid w:val="000522AA"/>
    <w:rsid w:val="0005330C"/>
    <w:rsid w:val="000537BF"/>
    <w:rsid w:val="000539A7"/>
    <w:rsid w:val="0005530A"/>
    <w:rsid w:val="00055CFD"/>
    <w:rsid w:val="00056777"/>
    <w:rsid w:val="0005757F"/>
    <w:rsid w:val="000601FD"/>
    <w:rsid w:val="00060A6B"/>
    <w:rsid w:val="00060CB0"/>
    <w:rsid w:val="00062C0D"/>
    <w:rsid w:val="00062C24"/>
    <w:rsid w:val="00062EB1"/>
    <w:rsid w:val="000636EA"/>
    <w:rsid w:val="0006385B"/>
    <w:rsid w:val="0006401D"/>
    <w:rsid w:val="00064A6B"/>
    <w:rsid w:val="000653DC"/>
    <w:rsid w:val="00065A1D"/>
    <w:rsid w:val="00066502"/>
    <w:rsid w:val="0006758E"/>
    <w:rsid w:val="00071C95"/>
    <w:rsid w:val="00071D2E"/>
    <w:rsid w:val="00072223"/>
    <w:rsid w:val="00072933"/>
    <w:rsid w:val="00072A06"/>
    <w:rsid w:val="00073D98"/>
    <w:rsid w:val="00074675"/>
    <w:rsid w:val="000750FB"/>
    <w:rsid w:val="000759DE"/>
    <w:rsid w:val="000766C5"/>
    <w:rsid w:val="0007777A"/>
    <w:rsid w:val="000778D1"/>
    <w:rsid w:val="000779A2"/>
    <w:rsid w:val="000807C8"/>
    <w:rsid w:val="00082087"/>
    <w:rsid w:val="00084740"/>
    <w:rsid w:val="00084D47"/>
    <w:rsid w:val="00086481"/>
    <w:rsid w:val="00087920"/>
    <w:rsid w:val="00087BE8"/>
    <w:rsid w:val="00087C04"/>
    <w:rsid w:val="00091205"/>
    <w:rsid w:val="000918E5"/>
    <w:rsid w:val="00093CCC"/>
    <w:rsid w:val="00094178"/>
    <w:rsid w:val="000958E8"/>
    <w:rsid w:val="00096AA5"/>
    <w:rsid w:val="00096DC8"/>
    <w:rsid w:val="00097002"/>
    <w:rsid w:val="000975D7"/>
    <w:rsid w:val="000A08C6"/>
    <w:rsid w:val="000A0E62"/>
    <w:rsid w:val="000A4013"/>
    <w:rsid w:val="000A44CF"/>
    <w:rsid w:val="000A4C62"/>
    <w:rsid w:val="000A5491"/>
    <w:rsid w:val="000A62F4"/>
    <w:rsid w:val="000A6824"/>
    <w:rsid w:val="000A6CE4"/>
    <w:rsid w:val="000A7437"/>
    <w:rsid w:val="000B064E"/>
    <w:rsid w:val="000B0EDF"/>
    <w:rsid w:val="000B231A"/>
    <w:rsid w:val="000B2445"/>
    <w:rsid w:val="000B24A8"/>
    <w:rsid w:val="000B3917"/>
    <w:rsid w:val="000B60A4"/>
    <w:rsid w:val="000B6422"/>
    <w:rsid w:val="000B6F7C"/>
    <w:rsid w:val="000B73DE"/>
    <w:rsid w:val="000B7770"/>
    <w:rsid w:val="000B79CF"/>
    <w:rsid w:val="000B7C1F"/>
    <w:rsid w:val="000C0BCE"/>
    <w:rsid w:val="000C16DC"/>
    <w:rsid w:val="000C366D"/>
    <w:rsid w:val="000C3A42"/>
    <w:rsid w:val="000C3BD8"/>
    <w:rsid w:val="000C3C0C"/>
    <w:rsid w:val="000C3E80"/>
    <w:rsid w:val="000C4690"/>
    <w:rsid w:val="000C4CD3"/>
    <w:rsid w:val="000C4ED8"/>
    <w:rsid w:val="000C5394"/>
    <w:rsid w:val="000C5761"/>
    <w:rsid w:val="000C6379"/>
    <w:rsid w:val="000C69D1"/>
    <w:rsid w:val="000C6A0A"/>
    <w:rsid w:val="000C6D5A"/>
    <w:rsid w:val="000C71A2"/>
    <w:rsid w:val="000C750E"/>
    <w:rsid w:val="000D0FC5"/>
    <w:rsid w:val="000D3734"/>
    <w:rsid w:val="000D53DF"/>
    <w:rsid w:val="000D5D97"/>
    <w:rsid w:val="000D6470"/>
    <w:rsid w:val="000D74EB"/>
    <w:rsid w:val="000D7626"/>
    <w:rsid w:val="000E1364"/>
    <w:rsid w:val="000E1C96"/>
    <w:rsid w:val="000E2CE9"/>
    <w:rsid w:val="000E3453"/>
    <w:rsid w:val="000E3820"/>
    <w:rsid w:val="000E52AA"/>
    <w:rsid w:val="000E6B43"/>
    <w:rsid w:val="000E77DF"/>
    <w:rsid w:val="000E780B"/>
    <w:rsid w:val="000F00BF"/>
    <w:rsid w:val="000F0E44"/>
    <w:rsid w:val="000F10C1"/>
    <w:rsid w:val="000F10DA"/>
    <w:rsid w:val="000F164C"/>
    <w:rsid w:val="000F25A2"/>
    <w:rsid w:val="000F317D"/>
    <w:rsid w:val="000F43E6"/>
    <w:rsid w:val="000F498D"/>
    <w:rsid w:val="000F5D5B"/>
    <w:rsid w:val="000F7FDE"/>
    <w:rsid w:val="00100356"/>
    <w:rsid w:val="001018E4"/>
    <w:rsid w:val="00101C0D"/>
    <w:rsid w:val="00102CE3"/>
    <w:rsid w:val="00104DC8"/>
    <w:rsid w:val="00105968"/>
    <w:rsid w:val="0011054D"/>
    <w:rsid w:val="001108C3"/>
    <w:rsid w:val="00111083"/>
    <w:rsid w:val="00111BB8"/>
    <w:rsid w:val="00112A5B"/>
    <w:rsid w:val="00112A5C"/>
    <w:rsid w:val="0011362D"/>
    <w:rsid w:val="00113B39"/>
    <w:rsid w:val="001142EA"/>
    <w:rsid w:val="00114509"/>
    <w:rsid w:val="00114B45"/>
    <w:rsid w:val="00114B5C"/>
    <w:rsid w:val="00115773"/>
    <w:rsid w:val="0011622B"/>
    <w:rsid w:val="001167F1"/>
    <w:rsid w:val="00116D8E"/>
    <w:rsid w:val="0011704E"/>
    <w:rsid w:val="0012004A"/>
    <w:rsid w:val="00120496"/>
    <w:rsid w:val="00120D97"/>
    <w:rsid w:val="00120DB8"/>
    <w:rsid w:val="001219FC"/>
    <w:rsid w:val="00121EC8"/>
    <w:rsid w:val="0012331B"/>
    <w:rsid w:val="0012368E"/>
    <w:rsid w:val="0012461F"/>
    <w:rsid w:val="00130C46"/>
    <w:rsid w:val="001318C0"/>
    <w:rsid w:val="00134B68"/>
    <w:rsid w:val="00136C5C"/>
    <w:rsid w:val="00137599"/>
    <w:rsid w:val="00137996"/>
    <w:rsid w:val="00137A60"/>
    <w:rsid w:val="0014028A"/>
    <w:rsid w:val="0014120C"/>
    <w:rsid w:val="0014176C"/>
    <w:rsid w:val="00141999"/>
    <w:rsid w:val="001423F4"/>
    <w:rsid w:val="001468A8"/>
    <w:rsid w:val="001470AE"/>
    <w:rsid w:val="00147715"/>
    <w:rsid w:val="001522AB"/>
    <w:rsid w:val="001530E6"/>
    <w:rsid w:val="00153AE5"/>
    <w:rsid w:val="00153C4F"/>
    <w:rsid w:val="00153FFC"/>
    <w:rsid w:val="001548A9"/>
    <w:rsid w:val="00154A59"/>
    <w:rsid w:val="00160B84"/>
    <w:rsid w:val="00160DC8"/>
    <w:rsid w:val="00161847"/>
    <w:rsid w:val="001638BD"/>
    <w:rsid w:val="001672F4"/>
    <w:rsid w:val="00170C48"/>
    <w:rsid w:val="00173ABB"/>
    <w:rsid w:val="00173FE7"/>
    <w:rsid w:val="001746FF"/>
    <w:rsid w:val="00174C67"/>
    <w:rsid w:val="00175BB1"/>
    <w:rsid w:val="00176EDD"/>
    <w:rsid w:val="00176F59"/>
    <w:rsid w:val="00176FAC"/>
    <w:rsid w:val="00180615"/>
    <w:rsid w:val="00182DCA"/>
    <w:rsid w:val="001833A2"/>
    <w:rsid w:val="0018347D"/>
    <w:rsid w:val="001855AC"/>
    <w:rsid w:val="0018589A"/>
    <w:rsid w:val="001861D1"/>
    <w:rsid w:val="00186A28"/>
    <w:rsid w:val="00187CB0"/>
    <w:rsid w:val="00190B48"/>
    <w:rsid w:val="001935F6"/>
    <w:rsid w:val="00193C30"/>
    <w:rsid w:val="001943B8"/>
    <w:rsid w:val="00194FD5"/>
    <w:rsid w:val="00195017"/>
    <w:rsid w:val="0019505E"/>
    <w:rsid w:val="00197812"/>
    <w:rsid w:val="001A0FC8"/>
    <w:rsid w:val="001A193E"/>
    <w:rsid w:val="001A32C9"/>
    <w:rsid w:val="001A5348"/>
    <w:rsid w:val="001A59CC"/>
    <w:rsid w:val="001A6B7B"/>
    <w:rsid w:val="001A7CB3"/>
    <w:rsid w:val="001B02C0"/>
    <w:rsid w:val="001B083D"/>
    <w:rsid w:val="001B17D1"/>
    <w:rsid w:val="001B1DE4"/>
    <w:rsid w:val="001B1E7C"/>
    <w:rsid w:val="001B25CB"/>
    <w:rsid w:val="001B2638"/>
    <w:rsid w:val="001B552F"/>
    <w:rsid w:val="001B5AB3"/>
    <w:rsid w:val="001B6560"/>
    <w:rsid w:val="001B6F22"/>
    <w:rsid w:val="001B7C46"/>
    <w:rsid w:val="001C0AC3"/>
    <w:rsid w:val="001C0B28"/>
    <w:rsid w:val="001C1998"/>
    <w:rsid w:val="001C23C1"/>
    <w:rsid w:val="001C2D51"/>
    <w:rsid w:val="001C3BB6"/>
    <w:rsid w:val="001C57F0"/>
    <w:rsid w:val="001C6BB8"/>
    <w:rsid w:val="001D12B6"/>
    <w:rsid w:val="001D1537"/>
    <w:rsid w:val="001D167B"/>
    <w:rsid w:val="001D1EAC"/>
    <w:rsid w:val="001D22B5"/>
    <w:rsid w:val="001D339A"/>
    <w:rsid w:val="001D4105"/>
    <w:rsid w:val="001D560F"/>
    <w:rsid w:val="001D62C4"/>
    <w:rsid w:val="001E1AF9"/>
    <w:rsid w:val="001E2C87"/>
    <w:rsid w:val="001E35D9"/>
    <w:rsid w:val="001E3C89"/>
    <w:rsid w:val="001E420E"/>
    <w:rsid w:val="001E5513"/>
    <w:rsid w:val="001E5CC2"/>
    <w:rsid w:val="001E5F22"/>
    <w:rsid w:val="001E699A"/>
    <w:rsid w:val="001E6C84"/>
    <w:rsid w:val="001E762D"/>
    <w:rsid w:val="001F08DB"/>
    <w:rsid w:val="001F0D93"/>
    <w:rsid w:val="001F1C14"/>
    <w:rsid w:val="001F3E34"/>
    <w:rsid w:val="001F4775"/>
    <w:rsid w:val="001F5320"/>
    <w:rsid w:val="001F54D7"/>
    <w:rsid w:val="001F564D"/>
    <w:rsid w:val="001F6504"/>
    <w:rsid w:val="00200BFC"/>
    <w:rsid w:val="00201828"/>
    <w:rsid w:val="00201F9E"/>
    <w:rsid w:val="00201FC7"/>
    <w:rsid w:val="00202D9F"/>
    <w:rsid w:val="002039A6"/>
    <w:rsid w:val="002047D0"/>
    <w:rsid w:val="00204819"/>
    <w:rsid w:val="00204A08"/>
    <w:rsid w:val="00204F19"/>
    <w:rsid w:val="00206508"/>
    <w:rsid w:val="002079E0"/>
    <w:rsid w:val="0021032D"/>
    <w:rsid w:val="00210390"/>
    <w:rsid w:val="002105A9"/>
    <w:rsid w:val="00210A18"/>
    <w:rsid w:val="00210B28"/>
    <w:rsid w:val="00213EB6"/>
    <w:rsid w:val="00215787"/>
    <w:rsid w:val="002162A8"/>
    <w:rsid w:val="00217AC5"/>
    <w:rsid w:val="00220A0E"/>
    <w:rsid w:val="00220B02"/>
    <w:rsid w:val="002210F1"/>
    <w:rsid w:val="00221BE5"/>
    <w:rsid w:val="00222A29"/>
    <w:rsid w:val="00222AC5"/>
    <w:rsid w:val="0022411F"/>
    <w:rsid w:val="002272C9"/>
    <w:rsid w:val="00227781"/>
    <w:rsid w:val="00227E47"/>
    <w:rsid w:val="00230484"/>
    <w:rsid w:val="00230A5C"/>
    <w:rsid w:val="00230B7A"/>
    <w:rsid w:val="00230D5C"/>
    <w:rsid w:val="00233440"/>
    <w:rsid w:val="00234EDD"/>
    <w:rsid w:val="002362AC"/>
    <w:rsid w:val="00237BB4"/>
    <w:rsid w:val="00241D23"/>
    <w:rsid w:val="00242588"/>
    <w:rsid w:val="002450CA"/>
    <w:rsid w:val="00245C96"/>
    <w:rsid w:val="00245D18"/>
    <w:rsid w:val="0024653D"/>
    <w:rsid w:val="002472DD"/>
    <w:rsid w:val="002515ED"/>
    <w:rsid w:val="00252072"/>
    <w:rsid w:val="0025214A"/>
    <w:rsid w:val="002536B6"/>
    <w:rsid w:val="002538F7"/>
    <w:rsid w:val="0025574F"/>
    <w:rsid w:val="00255C93"/>
    <w:rsid w:val="002562FC"/>
    <w:rsid w:val="00261FC4"/>
    <w:rsid w:val="00262020"/>
    <w:rsid w:val="002620F4"/>
    <w:rsid w:val="00262558"/>
    <w:rsid w:val="00262F93"/>
    <w:rsid w:val="00263EFD"/>
    <w:rsid w:val="00264EAA"/>
    <w:rsid w:val="002653EE"/>
    <w:rsid w:val="00267B0B"/>
    <w:rsid w:val="0027181B"/>
    <w:rsid w:val="002719E6"/>
    <w:rsid w:val="00271F47"/>
    <w:rsid w:val="002751C8"/>
    <w:rsid w:val="00276601"/>
    <w:rsid w:val="00276978"/>
    <w:rsid w:val="00276D30"/>
    <w:rsid w:val="002771B2"/>
    <w:rsid w:val="00277E1A"/>
    <w:rsid w:val="002808FF"/>
    <w:rsid w:val="00282079"/>
    <w:rsid w:val="002824B7"/>
    <w:rsid w:val="00285970"/>
    <w:rsid w:val="002862FC"/>
    <w:rsid w:val="00286C37"/>
    <w:rsid w:val="002953A3"/>
    <w:rsid w:val="00295B34"/>
    <w:rsid w:val="00296384"/>
    <w:rsid w:val="002967CB"/>
    <w:rsid w:val="00297A97"/>
    <w:rsid w:val="002A0EAB"/>
    <w:rsid w:val="002A0F24"/>
    <w:rsid w:val="002A1124"/>
    <w:rsid w:val="002A2306"/>
    <w:rsid w:val="002A30E4"/>
    <w:rsid w:val="002A37A6"/>
    <w:rsid w:val="002A6939"/>
    <w:rsid w:val="002A7D05"/>
    <w:rsid w:val="002B0376"/>
    <w:rsid w:val="002B06C1"/>
    <w:rsid w:val="002B100F"/>
    <w:rsid w:val="002B20D9"/>
    <w:rsid w:val="002B2416"/>
    <w:rsid w:val="002B2631"/>
    <w:rsid w:val="002B3166"/>
    <w:rsid w:val="002B40A8"/>
    <w:rsid w:val="002B4569"/>
    <w:rsid w:val="002B46EE"/>
    <w:rsid w:val="002B4D9F"/>
    <w:rsid w:val="002B58E7"/>
    <w:rsid w:val="002B5F3E"/>
    <w:rsid w:val="002B63E3"/>
    <w:rsid w:val="002C2A1C"/>
    <w:rsid w:val="002C2F71"/>
    <w:rsid w:val="002C3791"/>
    <w:rsid w:val="002C4B64"/>
    <w:rsid w:val="002C508C"/>
    <w:rsid w:val="002C5133"/>
    <w:rsid w:val="002C7BEE"/>
    <w:rsid w:val="002D0073"/>
    <w:rsid w:val="002D02E5"/>
    <w:rsid w:val="002D1153"/>
    <w:rsid w:val="002D2684"/>
    <w:rsid w:val="002D486E"/>
    <w:rsid w:val="002D4C9F"/>
    <w:rsid w:val="002D4D15"/>
    <w:rsid w:val="002D7AE0"/>
    <w:rsid w:val="002E07E6"/>
    <w:rsid w:val="002E298B"/>
    <w:rsid w:val="002E347B"/>
    <w:rsid w:val="002E4060"/>
    <w:rsid w:val="002E4A77"/>
    <w:rsid w:val="002E4B00"/>
    <w:rsid w:val="002E51D0"/>
    <w:rsid w:val="002E531F"/>
    <w:rsid w:val="002E7426"/>
    <w:rsid w:val="002F0C79"/>
    <w:rsid w:val="002F0C95"/>
    <w:rsid w:val="002F12F4"/>
    <w:rsid w:val="002F187D"/>
    <w:rsid w:val="002F3FC7"/>
    <w:rsid w:val="002F4B4D"/>
    <w:rsid w:val="002F56E9"/>
    <w:rsid w:val="002F707F"/>
    <w:rsid w:val="002F7B87"/>
    <w:rsid w:val="003005AC"/>
    <w:rsid w:val="00301FA8"/>
    <w:rsid w:val="00301FC8"/>
    <w:rsid w:val="00302355"/>
    <w:rsid w:val="003026FA"/>
    <w:rsid w:val="003028EF"/>
    <w:rsid w:val="00302974"/>
    <w:rsid w:val="00303630"/>
    <w:rsid w:val="0030378B"/>
    <w:rsid w:val="003045D5"/>
    <w:rsid w:val="00307522"/>
    <w:rsid w:val="00307805"/>
    <w:rsid w:val="00307981"/>
    <w:rsid w:val="00307B20"/>
    <w:rsid w:val="00311B6C"/>
    <w:rsid w:val="003122C3"/>
    <w:rsid w:val="00313BAC"/>
    <w:rsid w:val="003148AD"/>
    <w:rsid w:val="00315AE3"/>
    <w:rsid w:val="00315D5A"/>
    <w:rsid w:val="00315DD8"/>
    <w:rsid w:val="003165A8"/>
    <w:rsid w:val="00316F08"/>
    <w:rsid w:val="00320B72"/>
    <w:rsid w:val="0032243E"/>
    <w:rsid w:val="00322D4F"/>
    <w:rsid w:val="003237AF"/>
    <w:rsid w:val="003238F9"/>
    <w:rsid w:val="003253DC"/>
    <w:rsid w:val="0032541E"/>
    <w:rsid w:val="00326316"/>
    <w:rsid w:val="003264E9"/>
    <w:rsid w:val="003274B0"/>
    <w:rsid w:val="003300D3"/>
    <w:rsid w:val="00330D7F"/>
    <w:rsid w:val="00331278"/>
    <w:rsid w:val="00331DCF"/>
    <w:rsid w:val="00332FDA"/>
    <w:rsid w:val="003332A0"/>
    <w:rsid w:val="0033341C"/>
    <w:rsid w:val="00333952"/>
    <w:rsid w:val="00334173"/>
    <w:rsid w:val="003347DC"/>
    <w:rsid w:val="0033585A"/>
    <w:rsid w:val="00336899"/>
    <w:rsid w:val="00336D6C"/>
    <w:rsid w:val="00336E44"/>
    <w:rsid w:val="003406A6"/>
    <w:rsid w:val="0034089B"/>
    <w:rsid w:val="00340CCD"/>
    <w:rsid w:val="00340F25"/>
    <w:rsid w:val="0034238D"/>
    <w:rsid w:val="00342C6D"/>
    <w:rsid w:val="00343777"/>
    <w:rsid w:val="00344AD8"/>
    <w:rsid w:val="00344BD7"/>
    <w:rsid w:val="0034503E"/>
    <w:rsid w:val="0034513A"/>
    <w:rsid w:val="003459EC"/>
    <w:rsid w:val="003461D9"/>
    <w:rsid w:val="00347E47"/>
    <w:rsid w:val="003508BA"/>
    <w:rsid w:val="00350C10"/>
    <w:rsid w:val="0035151F"/>
    <w:rsid w:val="00351FBD"/>
    <w:rsid w:val="0035241E"/>
    <w:rsid w:val="00352CDE"/>
    <w:rsid w:val="00353A8D"/>
    <w:rsid w:val="00354057"/>
    <w:rsid w:val="0035460F"/>
    <w:rsid w:val="0035494D"/>
    <w:rsid w:val="00355B0B"/>
    <w:rsid w:val="003561C9"/>
    <w:rsid w:val="003571EA"/>
    <w:rsid w:val="00360329"/>
    <w:rsid w:val="00360724"/>
    <w:rsid w:val="00361015"/>
    <w:rsid w:val="00361378"/>
    <w:rsid w:val="00361F6E"/>
    <w:rsid w:val="00363486"/>
    <w:rsid w:val="00363544"/>
    <w:rsid w:val="003648F5"/>
    <w:rsid w:val="003672C0"/>
    <w:rsid w:val="00370C0C"/>
    <w:rsid w:val="00370DAB"/>
    <w:rsid w:val="00370FE2"/>
    <w:rsid w:val="00371B1B"/>
    <w:rsid w:val="00371C17"/>
    <w:rsid w:val="00371E06"/>
    <w:rsid w:val="003728EC"/>
    <w:rsid w:val="00372908"/>
    <w:rsid w:val="00372F0E"/>
    <w:rsid w:val="00373BF0"/>
    <w:rsid w:val="00373FF9"/>
    <w:rsid w:val="00374FD8"/>
    <w:rsid w:val="003777D1"/>
    <w:rsid w:val="00380282"/>
    <w:rsid w:val="00380292"/>
    <w:rsid w:val="0038046A"/>
    <w:rsid w:val="0038097A"/>
    <w:rsid w:val="00381039"/>
    <w:rsid w:val="003814FD"/>
    <w:rsid w:val="003816B0"/>
    <w:rsid w:val="0038299E"/>
    <w:rsid w:val="00383E46"/>
    <w:rsid w:val="00384270"/>
    <w:rsid w:val="003854A1"/>
    <w:rsid w:val="0038692C"/>
    <w:rsid w:val="00390D73"/>
    <w:rsid w:val="0039212A"/>
    <w:rsid w:val="0039283E"/>
    <w:rsid w:val="00392ABA"/>
    <w:rsid w:val="0039563C"/>
    <w:rsid w:val="003956B8"/>
    <w:rsid w:val="00395D6E"/>
    <w:rsid w:val="0039673E"/>
    <w:rsid w:val="00397284"/>
    <w:rsid w:val="003A0B22"/>
    <w:rsid w:val="003A137A"/>
    <w:rsid w:val="003A1BC2"/>
    <w:rsid w:val="003A1CB4"/>
    <w:rsid w:val="003A362E"/>
    <w:rsid w:val="003A427C"/>
    <w:rsid w:val="003A4BDB"/>
    <w:rsid w:val="003A7BDA"/>
    <w:rsid w:val="003B22CE"/>
    <w:rsid w:val="003B263A"/>
    <w:rsid w:val="003B5A8E"/>
    <w:rsid w:val="003B60FB"/>
    <w:rsid w:val="003B64E6"/>
    <w:rsid w:val="003B78C1"/>
    <w:rsid w:val="003C193F"/>
    <w:rsid w:val="003C2AEC"/>
    <w:rsid w:val="003C3D18"/>
    <w:rsid w:val="003C42AF"/>
    <w:rsid w:val="003C42DF"/>
    <w:rsid w:val="003C4CF3"/>
    <w:rsid w:val="003C57F3"/>
    <w:rsid w:val="003C5850"/>
    <w:rsid w:val="003C5D22"/>
    <w:rsid w:val="003C6E99"/>
    <w:rsid w:val="003C7156"/>
    <w:rsid w:val="003C7341"/>
    <w:rsid w:val="003C7A83"/>
    <w:rsid w:val="003C7F22"/>
    <w:rsid w:val="003D0512"/>
    <w:rsid w:val="003D068D"/>
    <w:rsid w:val="003D1678"/>
    <w:rsid w:val="003D2A18"/>
    <w:rsid w:val="003D3BD2"/>
    <w:rsid w:val="003D51A1"/>
    <w:rsid w:val="003D534A"/>
    <w:rsid w:val="003D63E3"/>
    <w:rsid w:val="003D6E39"/>
    <w:rsid w:val="003D7650"/>
    <w:rsid w:val="003D7EB8"/>
    <w:rsid w:val="003E0628"/>
    <w:rsid w:val="003E07EE"/>
    <w:rsid w:val="003E19EF"/>
    <w:rsid w:val="003E1B4A"/>
    <w:rsid w:val="003E29B8"/>
    <w:rsid w:val="003E38E8"/>
    <w:rsid w:val="003E67AD"/>
    <w:rsid w:val="003E721D"/>
    <w:rsid w:val="003E7516"/>
    <w:rsid w:val="003E781A"/>
    <w:rsid w:val="003E7C28"/>
    <w:rsid w:val="003F0A6B"/>
    <w:rsid w:val="003F0CFB"/>
    <w:rsid w:val="003F12A7"/>
    <w:rsid w:val="003F1ED9"/>
    <w:rsid w:val="003F286C"/>
    <w:rsid w:val="003F2E68"/>
    <w:rsid w:val="003F31E0"/>
    <w:rsid w:val="003F3B79"/>
    <w:rsid w:val="003F3D3F"/>
    <w:rsid w:val="003F3F30"/>
    <w:rsid w:val="003F4334"/>
    <w:rsid w:val="003F6152"/>
    <w:rsid w:val="003F6F17"/>
    <w:rsid w:val="003F70FE"/>
    <w:rsid w:val="00404371"/>
    <w:rsid w:val="00404DFD"/>
    <w:rsid w:val="00405702"/>
    <w:rsid w:val="00406340"/>
    <w:rsid w:val="0040730F"/>
    <w:rsid w:val="0041043C"/>
    <w:rsid w:val="0041056A"/>
    <w:rsid w:val="004109C8"/>
    <w:rsid w:val="004109E6"/>
    <w:rsid w:val="004117C6"/>
    <w:rsid w:val="00411D4A"/>
    <w:rsid w:val="00412062"/>
    <w:rsid w:val="0041261A"/>
    <w:rsid w:val="00413E6D"/>
    <w:rsid w:val="004149B1"/>
    <w:rsid w:val="00414F5B"/>
    <w:rsid w:val="00415A44"/>
    <w:rsid w:val="00416EB0"/>
    <w:rsid w:val="004200D2"/>
    <w:rsid w:val="00420421"/>
    <w:rsid w:val="004205F7"/>
    <w:rsid w:val="00421B1E"/>
    <w:rsid w:val="0042272B"/>
    <w:rsid w:val="00423D61"/>
    <w:rsid w:val="0042664A"/>
    <w:rsid w:val="00427ACC"/>
    <w:rsid w:val="0043047B"/>
    <w:rsid w:val="00430FC6"/>
    <w:rsid w:val="00431049"/>
    <w:rsid w:val="00431D1D"/>
    <w:rsid w:val="00432078"/>
    <w:rsid w:val="004320B1"/>
    <w:rsid w:val="00433910"/>
    <w:rsid w:val="00433FD6"/>
    <w:rsid w:val="00434071"/>
    <w:rsid w:val="00434C97"/>
    <w:rsid w:val="00434F87"/>
    <w:rsid w:val="0043534E"/>
    <w:rsid w:val="0043536B"/>
    <w:rsid w:val="004354E8"/>
    <w:rsid w:val="00435B6E"/>
    <w:rsid w:val="00435FF2"/>
    <w:rsid w:val="00436369"/>
    <w:rsid w:val="004367EA"/>
    <w:rsid w:val="00441AB0"/>
    <w:rsid w:val="00441CC1"/>
    <w:rsid w:val="00442236"/>
    <w:rsid w:val="004439A5"/>
    <w:rsid w:val="00443A7C"/>
    <w:rsid w:val="00445DE4"/>
    <w:rsid w:val="00446BD4"/>
    <w:rsid w:val="00447209"/>
    <w:rsid w:val="00447330"/>
    <w:rsid w:val="00451860"/>
    <w:rsid w:val="00454527"/>
    <w:rsid w:val="004550AD"/>
    <w:rsid w:val="00462291"/>
    <w:rsid w:val="00463595"/>
    <w:rsid w:val="004649E2"/>
    <w:rsid w:val="00465253"/>
    <w:rsid w:val="00465987"/>
    <w:rsid w:val="00465BA8"/>
    <w:rsid w:val="00466DC6"/>
    <w:rsid w:val="00467142"/>
    <w:rsid w:val="004718F1"/>
    <w:rsid w:val="00472234"/>
    <w:rsid w:val="00473EA5"/>
    <w:rsid w:val="00476358"/>
    <w:rsid w:val="00476777"/>
    <w:rsid w:val="004776FF"/>
    <w:rsid w:val="00480D5D"/>
    <w:rsid w:val="004812EF"/>
    <w:rsid w:val="00481B00"/>
    <w:rsid w:val="00482806"/>
    <w:rsid w:val="00482BB5"/>
    <w:rsid w:val="004847F4"/>
    <w:rsid w:val="004869C9"/>
    <w:rsid w:val="004875D7"/>
    <w:rsid w:val="004907BE"/>
    <w:rsid w:val="00491A08"/>
    <w:rsid w:val="004930C3"/>
    <w:rsid w:val="00493E4F"/>
    <w:rsid w:val="00493F21"/>
    <w:rsid w:val="00495CC0"/>
    <w:rsid w:val="00496531"/>
    <w:rsid w:val="00496A1F"/>
    <w:rsid w:val="00497062"/>
    <w:rsid w:val="004A016E"/>
    <w:rsid w:val="004A02FA"/>
    <w:rsid w:val="004A227C"/>
    <w:rsid w:val="004A3F6E"/>
    <w:rsid w:val="004A498F"/>
    <w:rsid w:val="004A6767"/>
    <w:rsid w:val="004A6C66"/>
    <w:rsid w:val="004A7231"/>
    <w:rsid w:val="004B0234"/>
    <w:rsid w:val="004B143F"/>
    <w:rsid w:val="004B1C43"/>
    <w:rsid w:val="004B2369"/>
    <w:rsid w:val="004B38B9"/>
    <w:rsid w:val="004B4129"/>
    <w:rsid w:val="004B41BF"/>
    <w:rsid w:val="004B6B6A"/>
    <w:rsid w:val="004C0904"/>
    <w:rsid w:val="004C42B4"/>
    <w:rsid w:val="004C4353"/>
    <w:rsid w:val="004C44B7"/>
    <w:rsid w:val="004C59DC"/>
    <w:rsid w:val="004C5BC3"/>
    <w:rsid w:val="004C634A"/>
    <w:rsid w:val="004C6BDA"/>
    <w:rsid w:val="004D021A"/>
    <w:rsid w:val="004D0452"/>
    <w:rsid w:val="004D3035"/>
    <w:rsid w:val="004D33F9"/>
    <w:rsid w:val="004D3AB5"/>
    <w:rsid w:val="004D3B9D"/>
    <w:rsid w:val="004D468C"/>
    <w:rsid w:val="004D4FF3"/>
    <w:rsid w:val="004D5597"/>
    <w:rsid w:val="004D55E8"/>
    <w:rsid w:val="004D6F09"/>
    <w:rsid w:val="004D77ED"/>
    <w:rsid w:val="004E000F"/>
    <w:rsid w:val="004E0030"/>
    <w:rsid w:val="004E0926"/>
    <w:rsid w:val="004E0C0E"/>
    <w:rsid w:val="004E1239"/>
    <w:rsid w:val="004E1860"/>
    <w:rsid w:val="004E1A31"/>
    <w:rsid w:val="004E4078"/>
    <w:rsid w:val="004E439E"/>
    <w:rsid w:val="004E52F8"/>
    <w:rsid w:val="004E5341"/>
    <w:rsid w:val="004E5DD9"/>
    <w:rsid w:val="004E661A"/>
    <w:rsid w:val="004F0589"/>
    <w:rsid w:val="004F1466"/>
    <w:rsid w:val="004F187E"/>
    <w:rsid w:val="004F1D56"/>
    <w:rsid w:val="004F2381"/>
    <w:rsid w:val="004F28CF"/>
    <w:rsid w:val="004F3926"/>
    <w:rsid w:val="004F40C5"/>
    <w:rsid w:val="004F4185"/>
    <w:rsid w:val="004F4761"/>
    <w:rsid w:val="004F592F"/>
    <w:rsid w:val="004F5988"/>
    <w:rsid w:val="004F60DF"/>
    <w:rsid w:val="004F6509"/>
    <w:rsid w:val="004F6859"/>
    <w:rsid w:val="004F6BE2"/>
    <w:rsid w:val="004F6D92"/>
    <w:rsid w:val="004F792B"/>
    <w:rsid w:val="004F7B89"/>
    <w:rsid w:val="004F7CFB"/>
    <w:rsid w:val="00500B97"/>
    <w:rsid w:val="0050163C"/>
    <w:rsid w:val="00501E1E"/>
    <w:rsid w:val="005036ED"/>
    <w:rsid w:val="00506DC5"/>
    <w:rsid w:val="00507577"/>
    <w:rsid w:val="00510250"/>
    <w:rsid w:val="00510A39"/>
    <w:rsid w:val="00510D40"/>
    <w:rsid w:val="0051136D"/>
    <w:rsid w:val="0051311F"/>
    <w:rsid w:val="00514CC7"/>
    <w:rsid w:val="005162AA"/>
    <w:rsid w:val="0051696D"/>
    <w:rsid w:val="00516CC4"/>
    <w:rsid w:val="00517ABB"/>
    <w:rsid w:val="0052014D"/>
    <w:rsid w:val="005202BF"/>
    <w:rsid w:val="005204E9"/>
    <w:rsid w:val="005217F9"/>
    <w:rsid w:val="00522B8F"/>
    <w:rsid w:val="00522D8A"/>
    <w:rsid w:val="005231D9"/>
    <w:rsid w:val="00523457"/>
    <w:rsid w:val="00523AC8"/>
    <w:rsid w:val="00524292"/>
    <w:rsid w:val="00524781"/>
    <w:rsid w:val="0052490F"/>
    <w:rsid w:val="00525B59"/>
    <w:rsid w:val="00526C62"/>
    <w:rsid w:val="005301A2"/>
    <w:rsid w:val="00531ED9"/>
    <w:rsid w:val="00532B67"/>
    <w:rsid w:val="00533387"/>
    <w:rsid w:val="0053468E"/>
    <w:rsid w:val="005347CD"/>
    <w:rsid w:val="00537895"/>
    <w:rsid w:val="00537C38"/>
    <w:rsid w:val="0054000B"/>
    <w:rsid w:val="00540322"/>
    <w:rsid w:val="00540543"/>
    <w:rsid w:val="005405AF"/>
    <w:rsid w:val="005405C2"/>
    <w:rsid w:val="005408E5"/>
    <w:rsid w:val="00541358"/>
    <w:rsid w:val="00541609"/>
    <w:rsid w:val="00541EF3"/>
    <w:rsid w:val="00541F3B"/>
    <w:rsid w:val="00542EAE"/>
    <w:rsid w:val="0054335C"/>
    <w:rsid w:val="0054352D"/>
    <w:rsid w:val="0054480D"/>
    <w:rsid w:val="00546C74"/>
    <w:rsid w:val="00547959"/>
    <w:rsid w:val="00550EE9"/>
    <w:rsid w:val="0055191E"/>
    <w:rsid w:val="00552F24"/>
    <w:rsid w:val="0055321C"/>
    <w:rsid w:val="00553703"/>
    <w:rsid w:val="00553D12"/>
    <w:rsid w:val="00554D23"/>
    <w:rsid w:val="00555A8A"/>
    <w:rsid w:val="00555DDC"/>
    <w:rsid w:val="0055626B"/>
    <w:rsid w:val="005563C2"/>
    <w:rsid w:val="005575C8"/>
    <w:rsid w:val="00557CFB"/>
    <w:rsid w:val="00560094"/>
    <w:rsid w:val="005604C5"/>
    <w:rsid w:val="00560DFA"/>
    <w:rsid w:val="00561391"/>
    <w:rsid w:val="00561619"/>
    <w:rsid w:val="00562A44"/>
    <w:rsid w:val="00563FC2"/>
    <w:rsid w:val="005649B9"/>
    <w:rsid w:val="00565DCF"/>
    <w:rsid w:val="00566C7C"/>
    <w:rsid w:val="005673D4"/>
    <w:rsid w:val="0057099B"/>
    <w:rsid w:val="00570D12"/>
    <w:rsid w:val="00571FDA"/>
    <w:rsid w:val="00572563"/>
    <w:rsid w:val="0057400C"/>
    <w:rsid w:val="00575163"/>
    <w:rsid w:val="0057675E"/>
    <w:rsid w:val="005767A4"/>
    <w:rsid w:val="00576FA7"/>
    <w:rsid w:val="0057770B"/>
    <w:rsid w:val="0057782D"/>
    <w:rsid w:val="00580564"/>
    <w:rsid w:val="00580E3F"/>
    <w:rsid w:val="00581A40"/>
    <w:rsid w:val="00582542"/>
    <w:rsid w:val="00583E73"/>
    <w:rsid w:val="00584D6C"/>
    <w:rsid w:val="005852DC"/>
    <w:rsid w:val="00586637"/>
    <w:rsid w:val="0059431E"/>
    <w:rsid w:val="005950A8"/>
    <w:rsid w:val="0059611A"/>
    <w:rsid w:val="00597739"/>
    <w:rsid w:val="00597A8B"/>
    <w:rsid w:val="00597BB7"/>
    <w:rsid w:val="005A2B44"/>
    <w:rsid w:val="005A3139"/>
    <w:rsid w:val="005A32A5"/>
    <w:rsid w:val="005A445F"/>
    <w:rsid w:val="005A4722"/>
    <w:rsid w:val="005A6516"/>
    <w:rsid w:val="005A7058"/>
    <w:rsid w:val="005A70A9"/>
    <w:rsid w:val="005A7E9E"/>
    <w:rsid w:val="005B26FC"/>
    <w:rsid w:val="005B4297"/>
    <w:rsid w:val="005B435C"/>
    <w:rsid w:val="005B4E61"/>
    <w:rsid w:val="005B50E7"/>
    <w:rsid w:val="005B5D83"/>
    <w:rsid w:val="005B7893"/>
    <w:rsid w:val="005B7C49"/>
    <w:rsid w:val="005C0D66"/>
    <w:rsid w:val="005C0F90"/>
    <w:rsid w:val="005C1021"/>
    <w:rsid w:val="005C1455"/>
    <w:rsid w:val="005C1E73"/>
    <w:rsid w:val="005C2E08"/>
    <w:rsid w:val="005C2FA5"/>
    <w:rsid w:val="005C343C"/>
    <w:rsid w:val="005C3907"/>
    <w:rsid w:val="005C3FC0"/>
    <w:rsid w:val="005C5488"/>
    <w:rsid w:val="005C565E"/>
    <w:rsid w:val="005C5AB9"/>
    <w:rsid w:val="005C7AB2"/>
    <w:rsid w:val="005C7FB3"/>
    <w:rsid w:val="005D0135"/>
    <w:rsid w:val="005D1773"/>
    <w:rsid w:val="005D1DFB"/>
    <w:rsid w:val="005D3716"/>
    <w:rsid w:val="005D3C15"/>
    <w:rsid w:val="005D432B"/>
    <w:rsid w:val="005D672B"/>
    <w:rsid w:val="005D7085"/>
    <w:rsid w:val="005D7F1D"/>
    <w:rsid w:val="005E00ED"/>
    <w:rsid w:val="005E064F"/>
    <w:rsid w:val="005E1384"/>
    <w:rsid w:val="005E1572"/>
    <w:rsid w:val="005E1D01"/>
    <w:rsid w:val="005E1DD1"/>
    <w:rsid w:val="005E2882"/>
    <w:rsid w:val="005E2D87"/>
    <w:rsid w:val="005E3BD1"/>
    <w:rsid w:val="005E437F"/>
    <w:rsid w:val="005E58BC"/>
    <w:rsid w:val="005E7E53"/>
    <w:rsid w:val="005F0580"/>
    <w:rsid w:val="005F0891"/>
    <w:rsid w:val="005F09FF"/>
    <w:rsid w:val="005F0B01"/>
    <w:rsid w:val="005F0F9A"/>
    <w:rsid w:val="005F181B"/>
    <w:rsid w:val="005F2300"/>
    <w:rsid w:val="005F251A"/>
    <w:rsid w:val="005F26B5"/>
    <w:rsid w:val="005F2895"/>
    <w:rsid w:val="005F2DA9"/>
    <w:rsid w:val="005F40CF"/>
    <w:rsid w:val="005F50BC"/>
    <w:rsid w:val="005F558D"/>
    <w:rsid w:val="005F7D29"/>
    <w:rsid w:val="00601824"/>
    <w:rsid w:val="00601BA5"/>
    <w:rsid w:val="006029FA"/>
    <w:rsid w:val="00602EFC"/>
    <w:rsid w:val="00603183"/>
    <w:rsid w:val="0060403A"/>
    <w:rsid w:val="0060543C"/>
    <w:rsid w:val="0061016A"/>
    <w:rsid w:val="006102FF"/>
    <w:rsid w:val="006107CD"/>
    <w:rsid w:val="00610B0C"/>
    <w:rsid w:val="006112F2"/>
    <w:rsid w:val="00611313"/>
    <w:rsid w:val="006118E4"/>
    <w:rsid w:val="00612943"/>
    <w:rsid w:val="00614426"/>
    <w:rsid w:val="00615F3B"/>
    <w:rsid w:val="006160F7"/>
    <w:rsid w:val="006167F8"/>
    <w:rsid w:val="00616BBF"/>
    <w:rsid w:val="006173C3"/>
    <w:rsid w:val="00620306"/>
    <w:rsid w:val="0062036E"/>
    <w:rsid w:val="006205AF"/>
    <w:rsid w:val="006209CD"/>
    <w:rsid w:val="00620D83"/>
    <w:rsid w:val="0062126F"/>
    <w:rsid w:val="006215DA"/>
    <w:rsid w:val="00622430"/>
    <w:rsid w:val="00622DF7"/>
    <w:rsid w:val="00623FA6"/>
    <w:rsid w:val="006244E0"/>
    <w:rsid w:val="00624790"/>
    <w:rsid w:val="006259DB"/>
    <w:rsid w:val="006265A4"/>
    <w:rsid w:val="00626AF7"/>
    <w:rsid w:val="0062743B"/>
    <w:rsid w:val="006279FD"/>
    <w:rsid w:val="00627CCB"/>
    <w:rsid w:val="00631089"/>
    <w:rsid w:val="0063284E"/>
    <w:rsid w:val="00632884"/>
    <w:rsid w:val="006328AD"/>
    <w:rsid w:val="00632D82"/>
    <w:rsid w:val="006334CF"/>
    <w:rsid w:val="00635C41"/>
    <w:rsid w:val="00635F54"/>
    <w:rsid w:val="00636362"/>
    <w:rsid w:val="006371E4"/>
    <w:rsid w:val="0064063C"/>
    <w:rsid w:val="006421C6"/>
    <w:rsid w:val="0064342B"/>
    <w:rsid w:val="006438C2"/>
    <w:rsid w:val="00643B0C"/>
    <w:rsid w:val="0064487F"/>
    <w:rsid w:val="00644B34"/>
    <w:rsid w:val="00646854"/>
    <w:rsid w:val="00646886"/>
    <w:rsid w:val="00650042"/>
    <w:rsid w:val="006529FD"/>
    <w:rsid w:val="006550A7"/>
    <w:rsid w:val="00656E77"/>
    <w:rsid w:val="00657BE9"/>
    <w:rsid w:val="0066008D"/>
    <w:rsid w:val="00660302"/>
    <w:rsid w:val="0066057F"/>
    <w:rsid w:val="006611FE"/>
    <w:rsid w:val="00662220"/>
    <w:rsid w:val="006628FB"/>
    <w:rsid w:val="006629D6"/>
    <w:rsid w:val="006643C7"/>
    <w:rsid w:val="006643DD"/>
    <w:rsid w:val="006650D9"/>
    <w:rsid w:val="006676F4"/>
    <w:rsid w:val="00673195"/>
    <w:rsid w:val="0067596B"/>
    <w:rsid w:val="006777BF"/>
    <w:rsid w:val="00677ADF"/>
    <w:rsid w:val="00682F2C"/>
    <w:rsid w:val="00683D13"/>
    <w:rsid w:val="00684A4B"/>
    <w:rsid w:val="006864DC"/>
    <w:rsid w:val="00686809"/>
    <w:rsid w:val="006869FF"/>
    <w:rsid w:val="00686EB5"/>
    <w:rsid w:val="00687270"/>
    <w:rsid w:val="00687C65"/>
    <w:rsid w:val="006925AB"/>
    <w:rsid w:val="006929D4"/>
    <w:rsid w:val="00693379"/>
    <w:rsid w:val="006940CF"/>
    <w:rsid w:val="006943D7"/>
    <w:rsid w:val="006948E2"/>
    <w:rsid w:val="006952B4"/>
    <w:rsid w:val="00695CEF"/>
    <w:rsid w:val="00695DB7"/>
    <w:rsid w:val="00696027"/>
    <w:rsid w:val="0069606C"/>
    <w:rsid w:val="00696911"/>
    <w:rsid w:val="00696A6B"/>
    <w:rsid w:val="006A0AF7"/>
    <w:rsid w:val="006A3307"/>
    <w:rsid w:val="006A3500"/>
    <w:rsid w:val="006A3701"/>
    <w:rsid w:val="006A4452"/>
    <w:rsid w:val="006A4519"/>
    <w:rsid w:val="006A4A89"/>
    <w:rsid w:val="006A4E93"/>
    <w:rsid w:val="006A67D1"/>
    <w:rsid w:val="006B08CF"/>
    <w:rsid w:val="006B1997"/>
    <w:rsid w:val="006B1F95"/>
    <w:rsid w:val="006B2256"/>
    <w:rsid w:val="006B2CDD"/>
    <w:rsid w:val="006B3191"/>
    <w:rsid w:val="006B425E"/>
    <w:rsid w:val="006B5701"/>
    <w:rsid w:val="006B6881"/>
    <w:rsid w:val="006B6D6D"/>
    <w:rsid w:val="006B70A4"/>
    <w:rsid w:val="006B7340"/>
    <w:rsid w:val="006B7DBB"/>
    <w:rsid w:val="006B7E81"/>
    <w:rsid w:val="006B7F5A"/>
    <w:rsid w:val="006C2D7B"/>
    <w:rsid w:val="006C46BD"/>
    <w:rsid w:val="006C4BB0"/>
    <w:rsid w:val="006C4EF3"/>
    <w:rsid w:val="006C6E0B"/>
    <w:rsid w:val="006C7328"/>
    <w:rsid w:val="006D1A07"/>
    <w:rsid w:val="006D2206"/>
    <w:rsid w:val="006D2B95"/>
    <w:rsid w:val="006D300A"/>
    <w:rsid w:val="006D362E"/>
    <w:rsid w:val="006D4970"/>
    <w:rsid w:val="006D4D6F"/>
    <w:rsid w:val="006D4FF0"/>
    <w:rsid w:val="006D6497"/>
    <w:rsid w:val="006D71ED"/>
    <w:rsid w:val="006D7200"/>
    <w:rsid w:val="006D7576"/>
    <w:rsid w:val="006E16DA"/>
    <w:rsid w:val="006E3152"/>
    <w:rsid w:val="006E4537"/>
    <w:rsid w:val="006E49BA"/>
    <w:rsid w:val="006E49FF"/>
    <w:rsid w:val="006E6E47"/>
    <w:rsid w:val="006F02DC"/>
    <w:rsid w:val="006F1BA8"/>
    <w:rsid w:val="006F1EAF"/>
    <w:rsid w:val="006F231E"/>
    <w:rsid w:val="006F2A03"/>
    <w:rsid w:val="006F3139"/>
    <w:rsid w:val="006F3804"/>
    <w:rsid w:val="006F4B74"/>
    <w:rsid w:val="006F4C20"/>
    <w:rsid w:val="006F60E7"/>
    <w:rsid w:val="0070054A"/>
    <w:rsid w:val="00701C86"/>
    <w:rsid w:val="00702626"/>
    <w:rsid w:val="00702980"/>
    <w:rsid w:val="00703EDC"/>
    <w:rsid w:val="007058B9"/>
    <w:rsid w:val="00706BBE"/>
    <w:rsid w:val="007070CB"/>
    <w:rsid w:val="00707305"/>
    <w:rsid w:val="00710A8F"/>
    <w:rsid w:val="00712155"/>
    <w:rsid w:val="0071264D"/>
    <w:rsid w:val="00712A79"/>
    <w:rsid w:val="0071383C"/>
    <w:rsid w:val="00714232"/>
    <w:rsid w:val="00715D59"/>
    <w:rsid w:val="00716490"/>
    <w:rsid w:val="007166F7"/>
    <w:rsid w:val="00717448"/>
    <w:rsid w:val="007203BE"/>
    <w:rsid w:val="0072191C"/>
    <w:rsid w:val="00721F4D"/>
    <w:rsid w:val="00722050"/>
    <w:rsid w:val="007230DE"/>
    <w:rsid w:val="00723422"/>
    <w:rsid w:val="00723620"/>
    <w:rsid w:val="007246D3"/>
    <w:rsid w:val="0072473A"/>
    <w:rsid w:val="00725B43"/>
    <w:rsid w:val="00730115"/>
    <w:rsid w:val="00731728"/>
    <w:rsid w:val="00731CFB"/>
    <w:rsid w:val="00733E7E"/>
    <w:rsid w:val="0073530D"/>
    <w:rsid w:val="0073668D"/>
    <w:rsid w:val="00736695"/>
    <w:rsid w:val="007373E9"/>
    <w:rsid w:val="00741600"/>
    <w:rsid w:val="00742175"/>
    <w:rsid w:val="007426E1"/>
    <w:rsid w:val="007432A4"/>
    <w:rsid w:val="007458BC"/>
    <w:rsid w:val="00745F70"/>
    <w:rsid w:val="00746067"/>
    <w:rsid w:val="00746BE7"/>
    <w:rsid w:val="00750552"/>
    <w:rsid w:val="00750F39"/>
    <w:rsid w:val="007511ED"/>
    <w:rsid w:val="0075163F"/>
    <w:rsid w:val="00751EE2"/>
    <w:rsid w:val="00752799"/>
    <w:rsid w:val="00752938"/>
    <w:rsid w:val="00753358"/>
    <w:rsid w:val="0075389B"/>
    <w:rsid w:val="00754728"/>
    <w:rsid w:val="00756014"/>
    <w:rsid w:val="00756223"/>
    <w:rsid w:val="00762516"/>
    <w:rsid w:val="00763328"/>
    <w:rsid w:val="00764729"/>
    <w:rsid w:val="007660D5"/>
    <w:rsid w:val="0076631F"/>
    <w:rsid w:val="00766516"/>
    <w:rsid w:val="00767F28"/>
    <w:rsid w:val="00770955"/>
    <w:rsid w:val="00771F9F"/>
    <w:rsid w:val="007722E9"/>
    <w:rsid w:val="0077263D"/>
    <w:rsid w:val="00776F30"/>
    <w:rsid w:val="00777A19"/>
    <w:rsid w:val="00777F60"/>
    <w:rsid w:val="0078007C"/>
    <w:rsid w:val="00780C99"/>
    <w:rsid w:val="0078112C"/>
    <w:rsid w:val="00781787"/>
    <w:rsid w:val="00782049"/>
    <w:rsid w:val="007823FA"/>
    <w:rsid w:val="007835FC"/>
    <w:rsid w:val="0078386A"/>
    <w:rsid w:val="007842AD"/>
    <w:rsid w:val="007842DA"/>
    <w:rsid w:val="007851C8"/>
    <w:rsid w:val="007857E3"/>
    <w:rsid w:val="00785884"/>
    <w:rsid w:val="007858B9"/>
    <w:rsid w:val="00785A27"/>
    <w:rsid w:val="007879CA"/>
    <w:rsid w:val="00790723"/>
    <w:rsid w:val="00790B11"/>
    <w:rsid w:val="00791F22"/>
    <w:rsid w:val="00792370"/>
    <w:rsid w:val="00794A8D"/>
    <w:rsid w:val="00795A8A"/>
    <w:rsid w:val="00795B7B"/>
    <w:rsid w:val="00796B4D"/>
    <w:rsid w:val="00796BBA"/>
    <w:rsid w:val="00797675"/>
    <w:rsid w:val="00797AFD"/>
    <w:rsid w:val="007A0BFA"/>
    <w:rsid w:val="007A14C3"/>
    <w:rsid w:val="007A21BA"/>
    <w:rsid w:val="007A40CA"/>
    <w:rsid w:val="007A4474"/>
    <w:rsid w:val="007A479A"/>
    <w:rsid w:val="007A5099"/>
    <w:rsid w:val="007A6C00"/>
    <w:rsid w:val="007A6F54"/>
    <w:rsid w:val="007B05F7"/>
    <w:rsid w:val="007B0705"/>
    <w:rsid w:val="007B0986"/>
    <w:rsid w:val="007B185D"/>
    <w:rsid w:val="007B1A81"/>
    <w:rsid w:val="007B1F0D"/>
    <w:rsid w:val="007B27B3"/>
    <w:rsid w:val="007B30B3"/>
    <w:rsid w:val="007B3982"/>
    <w:rsid w:val="007B5696"/>
    <w:rsid w:val="007B64B0"/>
    <w:rsid w:val="007C0767"/>
    <w:rsid w:val="007C0809"/>
    <w:rsid w:val="007C1F5E"/>
    <w:rsid w:val="007C289D"/>
    <w:rsid w:val="007C2B7A"/>
    <w:rsid w:val="007C2F27"/>
    <w:rsid w:val="007C30C4"/>
    <w:rsid w:val="007C33F0"/>
    <w:rsid w:val="007C3F7D"/>
    <w:rsid w:val="007C4266"/>
    <w:rsid w:val="007C5A67"/>
    <w:rsid w:val="007C6AFA"/>
    <w:rsid w:val="007D03FA"/>
    <w:rsid w:val="007D049D"/>
    <w:rsid w:val="007D09CF"/>
    <w:rsid w:val="007D168E"/>
    <w:rsid w:val="007D21EC"/>
    <w:rsid w:val="007D446F"/>
    <w:rsid w:val="007D5119"/>
    <w:rsid w:val="007D5A13"/>
    <w:rsid w:val="007D733F"/>
    <w:rsid w:val="007D7358"/>
    <w:rsid w:val="007D7409"/>
    <w:rsid w:val="007D7B27"/>
    <w:rsid w:val="007D7C61"/>
    <w:rsid w:val="007E05B4"/>
    <w:rsid w:val="007E0A06"/>
    <w:rsid w:val="007E1264"/>
    <w:rsid w:val="007E2D47"/>
    <w:rsid w:val="007E315F"/>
    <w:rsid w:val="007E392A"/>
    <w:rsid w:val="007E4346"/>
    <w:rsid w:val="007E5842"/>
    <w:rsid w:val="007E64D5"/>
    <w:rsid w:val="007E664F"/>
    <w:rsid w:val="007E712B"/>
    <w:rsid w:val="007E725A"/>
    <w:rsid w:val="007E725F"/>
    <w:rsid w:val="007F01EB"/>
    <w:rsid w:val="007F1425"/>
    <w:rsid w:val="007F1557"/>
    <w:rsid w:val="007F1751"/>
    <w:rsid w:val="007F20ED"/>
    <w:rsid w:val="007F340F"/>
    <w:rsid w:val="007F3FB8"/>
    <w:rsid w:val="007F5381"/>
    <w:rsid w:val="007F6ED3"/>
    <w:rsid w:val="007F7888"/>
    <w:rsid w:val="007F7CB7"/>
    <w:rsid w:val="00800B39"/>
    <w:rsid w:val="00802B0A"/>
    <w:rsid w:val="0080420E"/>
    <w:rsid w:val="008046F0"/>
    <w:rsid w:val="008053F4"/>
    <w:rsid w:val="00807D21"/>
    <w:rsid w:val="00810612"/>
    <w:rsid w:val="00812BCF"/>
    <w:rsid w:val="00812DA0"/>
    <w:rsid w:val="00813046"/>
    <w:rsid w:val="008134B2"/>
    <w:rsid w:val="008155C1"/>
    <w:rsid w:val="00815853"/>
    <w:rsid w:val="00815A76"/>
    <w:rsid w:val="00817117"/>
    <w:rsid w:val="0082123E"/>
    <w:rsid w:val="00822719"/>
    <w:rsid w:val="00823062"/>
    <w:rsid w:val="008233E8"/>
    <w:rsid w:val="00825298"/>
    <w:rsid w:val="008265E5"/>
    <w:rsid w:val="00830EB1"/>
    <w:rsid w:val="00830F3B"/>
    <w:rsid w:val="0083139F"/>
    <w:rsid w:val="008313F8"/>
    <w:rsid w:val="0083186D"/>
    <w:rsid w:val="00831C06"/>
    <w:rsid w:val="008325BB"/>
    <w:rsid w:val="008329B1"/>
    <w:rsid w:val="00833B62"/>
    <w:rsid w:val="0083417C"/>
    <w:rsid w:val="008342A8"/>
    <w:rsid w:val="00834CD7"/>
    <w:rsid w:val="00835092"/>
    <w:rsid w:val="00835F73"/>
    <w:rsid w:val="0084052F"/>
    <w:rsid w:val="008413C9"/>
    <w:rsid w:val="00841F5C"/>
    <w:rsid w:val="00842993"/>
    <w:rsid w:val="00843B8D"/>
    <w:rsid w:val="00844DDD"/>
    <w:rsid w:val="008458A1"/>
    <w:rsid w:val="00845CFC"/>
    <w:rsid w:val="00846017"/>
    <w:rsid w:val="00852585"/>
    <w:rsid w:val="0085313E"/>
    <w:rsid w:val="008531CA"/>
    <w:rsid w:val="00853335"/>
    <w:rsid w:val="00853E6B"/>
    <w:rsid w:val="00854E52"/>
    <w:rsid w:val="008558CB"/>
    <w:rsid w:val="00856003"/>
    <w:rsid w:val="00856421"/>
    <w:rsid w:val="00856C2A"/>
    <w:rsid w:val="0085759F"/>
    <w:rsid w:val="0085764A"/>
    <w:rsid w:val="00857C51"/>
    <w:rsid w:val="00860DCF"/>
    <w:rsid w:val="00861A96"/>
    <w:rsid w:val="00861B37"/>
    <w:rsid w:val="008625E0"/>
    <w:rsid w:val="00862901"/>
    <w:rsid w:val="008643E2"/>
    <w:rsid w:val="00864A39"/>
    <w:rsid w:val="00864B0B"/>
    <w:rsid w:val="0086552E"/>
    <w:rsid w:val="008673EB"/>
    <w:rsid w:val="0087083B"/>
    <w:rsid w:val="00874F58"/>
    <w:rsid w:val="008752B8"/>
    <w:rsid w:val="00877134"/>
    <w:rsid w:val="008771B5"/>
    <w:rsid w:val="008806B9"/>
    <w:rsid w:val="00880FEA"/>
    <w:rsid w:val="00881B33"/>
    <w:rsid w:val="00883EC7"/>
    <w:rsid w:val="00885C9F"/>
    <w:rsid w:val="00886D34"/>
    <w:rsid w:val="00890F1B"/>
    <w:rsid w:val="00893067"/>
    <w:rsid w:val="008930DF"/>
    <w:rsid w:val="00893AAF"/>
    <w:rsid w:val="00893BDE"/>
    <w:rsid w:val="00895063"/>
    <w:rsid w:val="008958B4"/>
    <w:rsid w:val="00897069"/>
    <w:rsid w:val="00897B95"/>
    <w:rsid w:val="008A05EF"/>
    <w:rsid w:val="008A1057"/>
    <w:rsid w:val="008A13EF"/>
    <w:rsid w:val="008A151C"/>
    <w:rsid w:val="008A1E12"/>
    <w:rsid w:val="008A2268"/>
    <w:rsid w:val="008A3791"/>
    <w:rsid w:val="008A37D0"/>
    <w:rsid w:val="008A4EC7"/>
    <w:rsid w:val="008B08F3"/>
    <w:rsid w:val="008B12F9"/>
    <w:rsid w:val="008B2A92"/>
    <w:rsid w:val="008B4467"/>
    <w:rsid w:val="008B651B"/>
    <w:rsid w:val="008B7A26"/>
    <w:rsid w:val="008C0C1E"/>
    <w:rsid w:val="008C193B"/>
    <w:rsid w:val="008C248C"/>
    <w:rsid w:val="008C2FA3"/>
    <w:rsid w:val="008C345F"/>
    <w:rsid w:val="008C38FF"/>
    <w:rsid w:val="008C3E9A"/>
    <w:rsid w:val="008C43E3"/>
    <w:rsid w:val="008C47C7"/>
    <w:rsid w:val="008C4CB9"/>
    <w:rsid w:val="008C7D9F"/>
    <w:rsid w:val="008D003B"/>
    <w:rsid w:val="008D16B2"/>
    <w:rsid w:val="008D1E9D"/>
    <w:rsid w:val="008D295B"/>
    <w:rsid w:val="008D513D"/>
    <w:rsid w:val="008D6CCE"/>
    <w:rsid w:val="008D75AA"/>
    <w:rsid w:val="008D77CF"/>
    <w:rsid w:val="008D7B68"/>
    <w:rsid w:val="008D7EB0"/>
    <w:rsid w:val="008E030F"/>
    <w:rsid w:val="008E1D93"/>
    <w:rsid w:val="008E2385"/>
    <w:rsid w:val="008E257F"/>
    <w:rsid w:val="008E2934"/>
    <w:rsid w:val="008E2B78"/>
    <w:rsid w:val="008E3DD4"/>
    <w:rsid w:val="008E4C4A"/>
    <w:rsid w:val="008E589D"/>
    <w:rsid w:val="008E58CB"/>
    <w:rsid w:val="008E5F31"/>
    <w:rsid w:val="008F127E"/>
    <w:rsid w:val="008F12FA"/>
    <w:rsid w:val="008F3A1C"/>
    <w:rsid w:val="008F70E8"/>
    <w:rsid w:val="008F72FC"/>
    <w:rsid w:val="00900403"/>
    <w:rsid w:val="00900C4A"/>
    <w:rsid w:val="00902D0F"/>
    <w:rsid w:val="00904A14"/>
    <w:rsid w:val="00904C72"/>
    <w:rsid w:val="00905862"/>
    <w:rsid w:val="00906167"/>
    <w:rsid w:val="0090698D"/>
    <w:rsid w:val="00907047"/>
    <w:rsid w:val="00907304"/>
    <w:rsid w:val="0091041B"/>
    <w:rsid w:val="00910461"/>
    <w:rsid w:val="00910D8F"/>
    <w:rsid w:val="009110AD"/>
    <w:rsid w:val="00911A83"/>
    <w:rsid w:val="009130D0"/>
    <w:rsid w:val="00914FE1"/>
    <w:rsid w:val="0091667F"/>
    <w:rsid w:val="00916C8D"/>
    <w:rsid w:val="00916EB9"/>
    <w:rsid w:val="00920C20"/>
    <w:rsid w:val="009216B1"/>
    <w:rsid w:val="00921961"/>
    <w:rsid w:val="00921C47"/>
    <w:rsid w:val="00921C99"/>
    <w:rsid w:val="00922866"/>
    <w:rsid w:val="00922A92"/>
    <w:rsid w:val="00923125"/>
    <w:rsid w:val="0092409E"/>
    <w:rsid w:val="009243B9"/>
    <w:rsid w:val="00924E21"/>
    <w:rsid w:val="0092585D"/>
    <w:rsid w:val="00925B73"/>
    <w:rsid w:val="0093016F"/>
    <w:rsid w:val="00930D77"/>
    <w:rsid w:val="00930FDA"/>
    <w:rsid w:val="00931616"/>
    <w:rsid w:val="00931834"/>
    <w:rsid w:val="009320DE"/>
    <w:rsid w:val="00932B02"/>
    <w:rsid w:val="00935F6D"/>
    <w:rsid w:val="00936A38"/>
    <w:rsid w:val="009375FB"/>
    <w:rsid w:val="00937C7D"/>
    <w:rsid w:val="0094048D"/>
    <w:rsid w:val="0094231E"/>
    <w:rsid w:val="009423E3"/>
    <w:rsid w:val="00944230"/>
    <w:rsid w:val="00944273"/>
    <w:rsid w:val="009459EB"/>
    <w:rsid w:val="00945F9B"/>
    <w:rsid w:val="00946163"/>
    <w:rsid w:val="009470FC"/>
    <w:rsid w:val="009503A8"/>
    <w:rsid w:val="00953AFC"/>
    <w:rsid w:val="00953EE2"/>
    <w:rsid w:val="009542AA"/>
    <w:rsid w:val="00957FC4"/>
    <w:rsid w:val="00960041"/>
    <w:rsid w:val="009617C3"/>
    <w:rsid w:val="00962C88"/>
    <w:rsid w:val="00963028"/>
    <w:rsid w:val="00963099"/>
    <w:rsid w:val="0096346E"/>
    <w:rsid w:val="009634DD"/>
    <w:rsid w:val="00966ECB"/>
    <w:rsid w:val="00967127"/>
    <w:rsid w:val="0096745D"/>
    <w:rsid w:val="00967717"/>
    <w:rsid w:val="00967A83"/>
    <w:rsid w:val="00967C12"/>
    <w:rsid w:val="00971475"/>
    <w:rsid w:val="00971A93"/>
    <w:rsid w:val="00972365"/>
    <w:rsid w:val="00974652"/>
    <w:rsid w:val="009756E8"/>
    <w:rsid w:val="0097587D"/>
    <w:rsid w:val="00975D9F"/>
    <w:rsid w:val="009767D2"/>
    <w:rsid w:val="00976987"/>
    <w:rsid w:val="00981794"/>
    <w:rsid w:val="00981B2C"/>
    <w:rsid w:val="00981F4E"/>
    <w:rsid w:val="00981FC9"/>
    <w:rsid w:val="00983E05"/>
    <w:rsid w:val="0098615D"/>
    <w:rsid w:val="00986B20"/>
    <w:rsid w:val="0099024D"/>
    <w:rsid w:val="009917F2"/>
    <w:rsid w:val="00994AF7"/>
    <w:rsid w:val="00995343"/>
    <w:rsid w:val="009955DD"/>
    <w:rsid w:val="00996990"/>
    <w:rsid w:val="009972DB"/>
    <w:rsid w:val="00997626"/>
    <w:rsid w:val="00997A6A"/>
    <w:rsid w:val="00997F50"/>
    <w:rsid w:val="009A111B"/>
    <w:rsid w:val="009A11A3"/>
    <w:rsid w:val="009A295E"/>
    <w:rsid w:val="009A29B5"/>
    <w:rsid w:val="009A35BD"/>
    <w:rsid w:val="009A4FDC"/>
    <w:rsid w:val="009A55B7"/>
    <w:rsid w:val="009A5920"/>
    <w:rsid w:val="009A5A9A"/>
    <w:rsid w:val="009A5B2A"/>
    <w:rsid w:val="009B0CDA"/>
    <w:rsid w:val="009B1B0D"/>
    <w:rsid w:val="009B4626"/>
    <w:rsid w:val="009B46AC"/>
    <w:rsid w:val="009B4D93"/>
    <w:rsid w:val="009B4F1F"/>
    <w:rsid w:val="009B6285"/>
    <w:rsid w:val="009B6850"/>
    <w:rsid w:val="009C059C"/>
    <w:rsid w:val="009C190C"/>
    <w:rsid w:val="009C2389"/>
    <w:rsid w:val="009C28C7"/>
    <w:rsid w:val="009C3971"/>
    <w:rsid w:val="009C4340"/>
    <w:rsid w:val="009C46A0"/>
    <w:rsid w:val="009C7A1C"/>
    <w:rsid w:val="009D0492"/>
    <w:rsid w:val="009D2C84"/>
    <w:rsid w:val="009D394B"/>
    <w:rsid w:val="009D46C9"/>
    <w:rsid w:val="009D4B2E"/>
    <w:rsid w:val="009D4BBC"/>
    <w:rsid w:val="009D5610"/>
    <w:rsid w:val="009D5706"/>
    <w:rsid w:val="009D724C"/>
    <w:rsid w:val="009D7BE9"/>
    <w:rsid w:val="009D7CD2"/>
    <w:rsid w:val="009E00D1"/>
    <w:rsid w:val="009E10CA"/>
    <w:rsid w:val="009E1E21"/>
    <w:rsid w:val="009E2276"/>
    <w:rsid w:val="009E283A"/>
    <w:rsid w:val="009E2CFE"/>
    <w:rsid w:val="009E356A"/>
    <w:rsid w:val="009E367A"/>
    <w:rsid w:val="009E40A2"/>
    <w:rsid w:val="009E5827"/>
    <w:rsid w:val="009E6FEC"/>
    <w:rsid w:val="009E7EB8"/>
    <w:rsid w:val="009F1F0E"/>
    <w:rsid w:val="009F2BA1"/>
    <w:rsid w:val="009F50F0"/>
    <w:rsid w:val="009F59B8"/>
    <w:rsid w:val="009F6AA1"/>
    <w:rsid w:val="009F7B38"/>
    <w:rsid w:val="00A005EE"/>
    <w:rsid w:val="00A018DA"/>
    <w:rsid w:val="00A023C4"/>
    <w:rsid w:val="00A02468"/>
    <w:rsid w:val="00A030EC"/>
    <w:rsid w:val="00A039C7"/>
    <w:rsid w:val="00A03C21"/>
    <w:rsid w:val="00A05402"/>
    <w:rsid w:val="00A05715"/>
    <w:rsid w:val="00A058C1"/>
    <w:rsid w:val="00A0660F"/>
    <w:rsid w:val="00A0710E"/>
    <w:rsid w:val="00A078C3"/>
    <w:rsid w:val="00A11BFD"/>
    <w:rsid w:val="00A127B8"/>
    <w:rsid w:val="00A12E33"/>
    <w:rsid w:val="00A14394"/>
    <w:rsid w:val="00A1440A"/>
    <w:rsid w:val="00A14600"/>
    <w:rsid w:val="00A14A48"/>
    <w:rsid w:val="00A150C4"/>
    <w:rsid w:val="00A159ED"/>
    <w:rsid w:val="00A17573"/>
    <w:rsid w:val="00A176A7"/>
    <w:rsid w:val="00A21711"/>
    <w:rsid w:val="00A22560"/>
    <w:rsid w:val="00A2332D"/>
    <w:rsid w:val="00A26283"/>
    <w:rsid w:val="00A267D1"/>
    <w:rsid w:val="00A26A1E"/>
    <w:rsid w:val="00A2743E"/>
    <w:rsid w:val="00A3182C"/>
    <w:rsid w:val="00A31B72"/>
    <w:rsid w:val="00A32FD5"/>
    <w:rsid w:val="00A34658"/>
    <w:rsid w:val="00A35302"/>
    <w:rsid w:val="00A35B57"/>
    <w:rsid w:val="00A363EC"/>
    <w:rsid w:val="00A3775D"/>
    <w:rsid w:val="00A40C18"/>
    <w:rsid w:val="00A4252C"/>
    <w:rsid w:val="00A42BAA"/>
    <w:rsid w:val="00A43438"/>
    <w:rsid w:val="00A4460A"/>
    <w:rsid w:val="00A44AD0"/>
    <w:rsid w:val="00A44B84"/>
    <w:rsid w:val="00A44C2C"/>
    <w:rsid w:val="00A45806"/>
    <w:rsid w:val="00A45D5E"/>
    <w:rsid w:val="00A47053"/>
    <w:rsid w:val="00A47FEA"/>
    <w:rsid w:val="00A50CE1"/>
    <w:rsid w:val="00A51B17"/>
    <w:rsid w:val="00A51FAD"/>
    <w:rsid w:val="00A53ABB"/>
    <w:rsid w:val="00A53D22"/>
    <w:rsid w:val="00A5471B"/>
    <w:rsid w:val="00A5566D"/>
    <w:rsid w:val="00A55753"/>
    <w:rsid w:val="00A5603B"/>
    <w:rsid w:val="00A56B32"/>
    <w:rsid w:val="00A56E9A"/>
    <w:rsid w:val="00A57516"/>
    <w:rsid w:val="00A579BD"/>
    <w:rsid w:val="00A615BF"/>
    <w:rsid w:val="00A61A7B"/>
    <w:rsid w:val="00A61AD7"/>
    <w:rsid w:val="00A620E4"/>
    <w:rsid w:val="00A62517"/>
    <w:rsid w:val="00A64556"/>
    <w:rsid w:val="00A64FC0"/>
    <w:rsid w:val="00A6510B"/>
    <w:rsid w:val="00A65378"/>
    <w:rsid w:val="00A65A42"/>
    <w:rsid w:val="00A65BEB"/>
    <w:rsid w:val="00A67DFA"/>
    <w:rsid w:val="00A70C20"/>
    <w:rsid w:val="00A70F49"/>
    <w:rsid w:val="00A71986"/>
    <w:rsid w:val="00A7643E"/>
    <w:rsid w:val="00A76B5D"/>
    <w:rsid w:val="00A77001"/>
    <w:rsid w:val="00A82366"/>
    <w:rsid w:val="00A8288A"/>
    <w:rsid w:val="00A82CF9"/>
    <w:rsid w:val="00A853EA"/>
    <w:rsid w:val="00A86508"/>
    <w:rsid w:val="00A86569"/>
    <w:rsid w:val="00A86780"/>
    <w:rsid w:val="00A87675"/>
    <w:rsid w:val="00A87EB5"/>
    <w:rsid w:val="00A909E6"/>
    <w:rsid w:val="00A90DCD"/>
    <w:rsid w:val="00A91A62"/>
    <w:rsid w:val="00A948C7"/>
    <w:rsid w:val="00A96939"/>
    <w:rsid w:val="00A96AB7"/>
    <w:rsid w:val="00A96C1B"/>
    <w:rsid w:val="00A96EAE"/>
    <w:rsid w:val="00A97063"/>
    <w:rsid w:val="00A97D50"/>
    <w:rsid w:val="00AA1AD3"/>
    <w:rsid w:val="00AA1F20"/>
    <w:rsid w:val="00AA224A"/>
    <w:rsid w:val="00AA2AA4"/>
    <w:rsid w:val="00AA38E2"/>
    <w:rsid w:val="00AA3AEB"/>
    <w:rsid w:val="00AA44AA"/>
    <w:rsid w:val="00AA4741"/>
    <w:rsid w:val="00AA4C7D"/>
    <w:rsid w:val="00AA4F63"/>
    <w:rsid w:val="00AA500E"/>
    <w:rsid w:val="00AA52E7"/>
    <w:rsid w:val="00AA531B"/>
    <w:rsid w:val="00AB0018"/>
    <w:rsid w:val="00AB0125"/>
    <w:rsid w:val="00AB184A"/>
    <w:rsid w:val="00AB18B8"/>
    <w:rsid w:val="00AB4457"/>
    <w:rsid w:val="00AB57FA"/>
    <w:rsid w:val="00AB5E44"/>
    <w:rsid w:val="00AB76E8"/>
    <w:rsid w:val="00AB7FCF"/>
    <w:rsid w:val="00AC0522"/>
    <w:rsid w:val="00AC15F7"/>
    <w:rsid w:val="00AC16A3"/>
    <w:rsid w:val="00AC17FD"/>
    <w:rsid w:val="00AC1FDC"/>
    <w:rsid w:val="00AC2FCB"/>
    <w:rsid w:val="00AC3417"/>
    <w:rsid w:val="00AC4668"/>
    <w:rsid w:val="00AC5B04"/>
    <w:rsid w:val="00AC5E77"/>
    <w:rsid w:val="00AC5F11"/>
    <w:rsid w:val="00AC6A00"/>
    <w:rsid w:val="00AC6A52"/>
    <w:rsid w:val="00AD02C6"/>
    <w:rsid w:val="00AD0606"/>
    <w:rsid w:val="00AD0A0D"/>
    <w:rsid w:val="00AD0AB5"/>
    <w:rsid w:val="00AD1065"/>
    <w:rsid w:val="00AD12E1"/>
    <w:rsid w:val="00AD34FD"/>
    <w:rsid w:val="00AD3BE4"/>
    <w:rsid w:val="00AD3ED4"/>
    <w:rsid w:val="00AD4428"/>
    <w:rsid w:val="00AD514F"/>
    <w:rsid w:val="00AD5DE7"/>
    <w:rsid w:val="00AD61DB"/>
    <w:rsid w:val="00AD6BA7"/>
    <w:rsid w:val="00AD76AB"/>
    <w:rsid w:val="00AD7C90"/>
    <w:rsid w:val="00AE222E"/>
    <w:rsid w:val="00AE2608"/>
    <w:rsid w:val="00AE37B6"/>
    <w:rsid w:val="00AE5B91"/>
    <w:rsid w:val="00AE5BFD"/>
    <w:rsid w:val="00AE6F78"/>
    <w:rsid w:val="00AE6FB6"/>
    <w:rsid w:val="00AF0A51"/>
    <w:rsid w:val="00AF12E2"/>
    <w:rsid w:val="00AF1E85"/>
    <w:rsid w:val="00AF21F0"/>
    <w:rsid w:val="00AF4623"/>
    <w:rsid w:val="00AF5E04"/>
    <w:rsid w:val="00AF6AFE"/>
    <w:rsid w:val="00AF7D76"/>
    <w:rsid w:val="00B000B8"/>
    <w:rsid w:val="00B004E6"/>
    <w:rsid w:val="00B00596"/>
    <w:rsid w:val="00B01406"/>
    <w:rsid w:val="00B03433"/>
    <w:rsid w:val="00B04C96"/>
    <w:rsid w:val="00B0696D"/>
    <w:rsid w:val="00B06D9B"/>
    <w:rsid w:val="00B076DC"/>
    <w:rsid w:val="00B11025"/>
    <w:rsid w:val="00B1114E"/>
    <w:rsid w:val="00B11E0F"/>
    <w:rsid w:val="00B12BD5"/>
    <w:rsid w:val="00B13F01"/>
    <w:rsid w:val="00B1479B"/>
    <w:rsid w:val="00B14FE8"/>
    <w:rsid w:val="00B15824"/>
    <w:rsid w:val="00B15C85"/>
    <w:rsid w:val="00B15C9B"/>
    <w:rsid w:val="00B1624B"/>
    <w:rsid w:val="00B168B7"/>
    <w:rsid w:val="00B16923"/>
    <w:rsid w:val="00B171B0"/>
    <w:rsid w:val="00B20F89"/>
    <w:rsid w:val="00B2480E"/>
    <w:rsid w:val="00B24DD6"/>
    <w:rsid w:val="00B25961"/>
    <w:rsid w:val="00B25CC4"/>
    <w:rsid w:val="00B261EC"/>
    <w:rsid w:val="00B26A77"/>
    <w:rsid w:val="00B27CFD"/>
    <w:rsid w:val="00B306F4"/>
    <w:rsid w:val="00B307D1"/>
    <w:rsid w:val="00B310CE"/>
    <w:rsid w:val="00B31519"/>
    <w:rsid w:val="00B31F1F"/>
    <w:rsid w:val="00B33913"/>
    <w:rsid w:val="00B3396C"/>
    <w:rsid w:val="00B33975"/>
    <w:rsid w:val="00B34224"/>
    <w:rsid w:val="00B35BB4"/>
    <w:rsid w:val="00B3618E"/>
    <w:rsid w:val="00B366D1"/>
    <w:rsid w:val="00B36ABF"/>
    <w:rsid w:val="00B36FD5"/>
    <w:rsid w:val="00B40300"/>
    <w:rsid w:val="00B40FF1"/>
    <w:rsid w:val="00B4130C"/>
    <w:rsid w:val="00B4169A"/>
    <w:rsid w:val="00B41BDC"/>
    <w:rsid w:val="00B425EC"/>
    <w:rsid w:val="00B42D95"/>
    <w:rsid w:val="00B43C73"/>
    <w:rsid w:val="00B45954"/>
    <w:rsid w:val="00B468B3"/>
    <w:rsid w:val="00B46FE9"/>
    <w:rsid w:val="00B47209"/>
    <w:rsid w:val="00B4789C"/>
    <w:rsid w:val="00B52C41"/>
    <w:rsid w:val="00B52FE6"/>
    <w:rsid w:val="00B532AD"/>
    <w:rsid w:val="00B533D3"/>
    <w:rsid w:val="00B53DD3"/>
    <w:rsid w:val="00B54AE8"/>
    <w:rsid w:val="00B54D21"/>
    <w:rsid w:val="00B5514E"/>
    <w:rsid w:val="00B55539"/>
    <w:rsid w:val="00B55D3F"/>
    <w:rsid w:val="00B57686"/>
    <w:rsid w:val="00B602D7"/>
    <w:rsid w:val="00B62330"/>
    <w:rsid w:val="00B6233F"/>
    <w:rsid w:val="00B64131"/>
    <w:rsid w:val="00B65367"/>
    <w:rsid w:val="00B66B78"/>
    <w:rsid w:val="00B707C8"/>
    <w:rsid w:val="00B70913"/>
    <w:rsid w:val="00B70A90"/>
    <w:rsid w:val="00B72F6D"/>
    <w:rsid w:val="00B738B3"/>
    <w:rsid w:val="00B76947"/>
    <w:rsid w:val="00B76BE3"/>
    <w:rsid w:val="00B76C71"/>
    <w:rsid w:val="00B80051"/>
    <w:rsid w:val="00B800F8"/>
    <w:rsid w:val="00B80B85"/>
    <w:rsid w:val="00B81587"/>
    <w:rsid w:val="00B815DD"/>
    <w:rsid w:val="00B81684"/>
    <w:rsid w:val="00B82FD4"/>
    <w:rsid w:val="00B837AF"/>
    <w:rsid w:val="00B83FF6"/>
    <w:rsid w:val="00B8427D"/>
    <w:rsid w:val="00B84C9F"/>
    <w:rsid w:val="00B86345"/>
    <w:rsid w:val="00B86BF4"/>
    <w:rsid w:val="00B87E4C"/>
    <w:rsid w:val="00B90FDA"/>
    <w:rsid w:val="00B9225A"/>
    <w:rsid w:val="00B926E9"/>
    <w:rsid w:val="00B93C24"/>
    <w:rsid w:val="00B94316"/>
    <w:rsid w:val="00B9467D"/>
    <w:rsid w:val="00B94EEA"/>
    <w:rsid w:val="00B952E8"/>
    <w:rsid w:val="00B972D7"/>
    <w:rsid w:val="00BA0135"/>
    <w:rsid w:val="00BA0797"/>
    <w:rsid w:val="00BA2334"/>
    <w:rsid w:val="00BA234F"/>
    <w:rsid w:val="00BA461F"/>
    <w:rsid w:val="00BA6021"/>
    <w:rsid w:val="00BA690C"/>
    <w:rsid w:val="00BB02B9"/>
    <w:rsid w:val="00BB1914"/>
    <w:rsid w:val="00BB428D"/>
    <w:rsid w:val="00BB6460"/>
    <w:rsid w:val="00BB6FEE"/>
    <w:rsid w:val="00BB7103"/>
    <w:rsid w:val="00BB72E8"/>
    <w:rsid w:val="00BB77A2"/>
    <w:rsid w:val="00BC1147"/>
    <w:rsid w:val="00BC1AE6"/>
    <w:rsid w:val="00BC4AEC"/>
    <w:rsid w:val="00BC4C33"/>
    <w:rsid w:val="00BC50EB"/>
    <w:rsid w:val="00BC650D"/>
    <w:rsid w:val="00BC6A67"/>
    <w:rsid w:val="00BC71B9"/>
    <w:rsid w:val="00BD071C"/>
    <w:rsid w:val="00BD0D32"/>
    <w:rsid w:val="00BD175E"/>
    <w:rsid w:val="00BD22FD"/>
    <w:rsid w:val="00BD2839"/>
    <w:rsid w:val="00BD4473"/>
    <w:rsid w:val="00BD5298"/>
    <w:rsid w:val="00BD5C77"/>
    <w:rsid w:val="00BD60A8"/>
    <w:rsid w:val="00BD64F0"/>
    <w:rsid w:val="00BD6E48"/>
    <w:rsid w:val="00BD70FC"/>
    <w:rsid w:val="00BD7167"/>
    <w:rsid w:val="00BE03F9"/>
    <w:rsid w:val="00BE0FDA"/>
    <w:rsid w:val="00BE1ED0"/>
    <w:rsid w:val="00BE3A1D"/>
    <w:rsid w:val="00BE3CD6"/>
    <w:rsid w:val="00BE415E"/>
    <w:rsid w:val="00BE6113"/>
    <w:rsid w:val="00BE6E4C"/>
    <w:rsid w:val="00BE7D42"/>
    <w:rsid w:val="00BF0454"/>
    <w:rsid w:val="00BF080E"/>
    <w:rsid w:val="00BF297F"/>
    <w:rsid w:val="00BF40E9"/>
    <w:rsid w:val="00BF46CA"/>
    <w:rsid w:val="00BF4E37"/>
    <w:rsid w:val="00BF5030"/>
    <w:rsid w:val="00BF56CC"/>
    <w:rsid w:val="00BF6305"/>
    <w:rsid w:val="00BF6570"/>
    <w:rsid w:val="00C0062D"/>
    <w:rsid w:val="00C0114C"/>
    <w:rsid w:val="00C019A4"/>
    <w:rsid w:val="00C01A99"/>
    <w:rsid w:val="00C02639"/>
    <w:rsid w:val="00C04162"/>
    <w:rsid w:val="00C04E0C"/>
    <w:rsid w:val="00C07115"/>
    <w:rsid w:val="00C0765D"/>
    <w:rsid w:val="00C11DE5"/>
    <w:rsid w:val="00C11F3D"/>
    <w:rsid w:val="00C12503"/>
    <w:rsid w:val="00C13FC0"/>
    <w:rsid w:val="00C154A3"/>
    <w:rsid w:val="00C155D2"/>
    <w:rsid w:val="00C20009"/>
    <w:rsid w:val="00C20260"/>
    <w:rsid w:val="00C203DD"/>
    <w:rsid w:val="00C2051B"/>
    <w:rsid w:val="00C211CE"/>
    <w:rsid w:val="00C2273A"/>
    <w:rsid w:val="00C22CFD"/>
    <w:rsid w:val="00C22D34"/>
    <w:rsid w:val="00C24371"/>
    <w:rsid w:val="00C2472D"/>
    <w:rsid w:val="00C24891"/>
    <w:rsid w:val="00C27450"/>
    <w:rsid w:val="00C277E1"/>
    <w:rsid w:val="00C30911"/>
    <w:rsid w:val="00C30AB3"/>
    <w:rsid w:val="00C31176"/>
    <w:rsid w:val="00C31756"/>
    <w:rsid w:val="00C3262B"/>
    <w:rsid w:val="00C34124"/>
    <w:rsid w:val="00C34A15"/>
    <w:rsid w:val="00C34C6C"/>
    <w:rsid w:val="00C35529"/>
    <w:rsid w:val="00C359EF"/>
    <w:rsid w:val="00C35FAC"/>
    <w:rsid w:val="00C35FF0"/>
    <w:rsid w:val="00C37073"/>
    <w:rsid w:val="00C37133"/>
    <w:rsid w:val="00C378FE"/>
    <w:rsid w:val="00C4010C"/>
    <w:rsid w:val="00C4016B"/>
    <w:rsid w:val="00C41E05"/>
    <w:rsid w:val="00C41FDB"/>
    <w:rsid w:val="00C43A70"/>
    <w:rsid w:val="00C44119"/>
    <w:rsid w:val="00C457A6"/>
    <w:rsid w:val="00C471F0"/>
    <w:rsid w:val="00C5023C"/>
    <w:rsid w:val="00C51080"/>
    <w:rsid w:val="00C515C7"/>
    <w:rsid w:val="00C532A0"/>
    <w:rsid w:val="00C53A6A"/>
    <w:rsid w:val="00C54BE7"/>
    <w:rsid w:val="00C55604"/>
    <w:rsid w:val="00C57D27"/>
    <w:rsid w:val="00C61946"/>
    <w:rsid w:val="00C61A66"/>
    <w:rsid w:val="00C6270E"/>
    <w:rsid w:val="00C62C63"/>
    <w:rsid w:val="00C62FEB"/>
    <w:rsid w:val="00C63343"/>
    <w:rsid w:val="00C635CD"/>
    <w:rsid w:val="00C636B7"/>
    <w:rsid w:val="00C6431F"/>
    <w:rsid w:val="00C6456A"/>
    <w:rsid w:val="00C656C8"/>
    <w:rsid w:val="00C65C6D"/>
    <w:rsid w:val="00C66390"/>
    <w:rsid w:val="00C67971"/>
    <w:rsid w:val="00C67CBC"/>
    <w:rsid w:val="00C67EF3"/>
    <w:rsid w:val="00C70B1F"/>
    <w:rsid w:val="00C71202"/>
    <w:rsid w:val="00C713B1"/>
    <w:rsid w:val="00C71E3F"/>
    <w:rsid w:val="00C7274F"/>
    <w:rsid w:val="00C72D40"/>
    <w:rsid w:val="00C73763"/>
    <w:rsid w:val="00C7620E"/>
    <w:rsid w:val="00C7638E"/>
    <w:rsid w:val="00C7672B"/>
    <w:rsid w:val="00C80B79"/>
    <w:rsid w:val="00C80C62"/>
    <w:rsid w:val="00C85CB8"/>
    <w:rsid w:val="00C870C8"/>
    <w:rsid w:val="00C87D45"/>
    <w:rsid w:val="00C87F6D"/>
    <w:rsid w:val="00C91D90"/>
    <w:rsid w:val="00C91DA5"/>
    <w:rsid w:val="00C931B8"/>
    <w:rsid w:val="00C939EB"/>
    <w:rsid w:val="00C94D3B"/>
    <w:rsid w:val="00C955C1"/>
    <w:rsid w:val="00C95F36"/>
    <w:rsid w:val="00C97964"/>
    <w:rsid w:val="00CA02FB"/>
    <w:rsid w:val="00CA1C91"/>
    <w:rsid w:val="00CA1FCA"/>
    <w:rsid w:val="00CA2C01"/>
    <w:rsid w:val="00CA2C7B"/>
    <w:rsid w:val="00CA3388"/>
    <w:rsid w:val="00CA3DC0"/>
    <w:rsid w:val="00CA45AA"/>
    <w:rsid w:val="00CA4A4F"/>
    <w:rsid w:val="00CA5158"/>
    <w:rsid w:val="00CA6617"/>
    <w:rsid w:val="00CA6821"/>
    <w:rsid w:val="00CA721A"/>
    <w:rsid w:val="00CB08C1"/>
    <w:rsid w:val="00CB105F"/>
    <w:rsid w:val="00CB17F8"/>
    <w:rsid w:val="00CB2D53"/>
    <w:rsid w:val="00CB32FE"/>
    <w:rsid w:val="00CB3E98"/>
    <w:rsid w:val="00CB3FD5"/>
    <w:rsid w:val="00CB437C"/>
    <w:rsid w:val="00CB4A1E"/>
    <w:rsid w:val="00CB58B3"/>
    <w:rsid w:val="00CC0D92"/>
    <w:rsid w:val="00CC0F5B"/>
    <w:rsid w:val="00CC1969"/>
    <w:rsid w:val="00CC1D64"/>
    <w:rsid w:val="00CC2070"/>
    <w:rsid w:val="00CC2F90"/>
    <w:rsid w:val="00CC2FB7"/>
    <w:rsid w:val="00CC305C"/>
    <w:rsid w:val="00CC3081"/>
    <w:rsid w:val="00CC34F7"/>
    <w:rsid w:val="00CC3894"/>
    <w:rsid w:val="00CC423B"/>
    <w:rsid w:val="00CC50BE"/>
    <w:rsid w:val="00CC51F9"/>
    <w:rsid w:val="00CC55A4"/>
    <w:rsid w:val="00CC712C"/>
    <w:rsid w:val="00CC7484"/>
    <w:rsid w:val="00CC7602"/>
    <w:rsid w:val="00CD2B1B"/>
    <w:rsid w:val="00CD45C2"/>
    <w:rsid w:val="00CD471D"/>
    <w:rsid w:val="00CD5FB0"/>
    <w:rsid w:val="00CD6220"/>
    <w:rsid w:val="00CD6C98"/>
    <w:rsid w:val="00CD7B43"/>
    <w:rsid w:val="00CE03AF"/>
    <w:rsid w:val="00CE04F4"/>
    <w:rsid w:val="00CE1339"/>
    <w:rsid w:val="00CE17EF"/>
    <w:rsid w:val="00CE1EE0"/>
    <w:rsid w:val="00CE1EF1"/>
    <w:rsid w:val="00CE240C"/>
    <w:rsid w:val="00CE2C8E"/>
    <w:rsid w:val="00CE3661"/>
    <w:rsid w:val="00CE38C4"/>
    <w:rsid w:val="00CE5163"/>
    <w:rsid w:val="00CE537D"/>
    <w:rsid w:val="00CE68D7"/>
    <w:rsid w:val="00CE7674"/>
    <w:rsid w:val="00CE79F3"/>
    <w:rsid w:val="00CF11B4"/>
    <w:rsid w:val="00CF1584"/>
    <w:rsid w:val="00CF250C"/>
    <w:rsid w:val="00CF41EB"/>
    <w:rsid w:val="00CF63AA"/>
    <w:rsid w:val="00CF654B"/>
    <w:rsid w:val="00CF6634"/>
    <w:rsid w:val="00D0031B"/>
    <w:rsid w:val="00D01B56"/>
    <w:rsid w:val="00D02196"/>
    <w:rsid w:val="00D030A6"/>
    <w:rsid w:val="00D03EB4"/>
    <w:rsid w:val="00D05348"/>
    <w:rsid w:val="00D05515"/>
    <w:rsid w:val="00D07F40"/>
    <w:rsid w:val="00D105BB"/>
    <w:rsid w:val="00D11722"/>
    <w:rsid w:val="00D117D0"/>
    <w:rsid w:val="00D1254A"/>
    <w:rsid w:val="00D13E8A"/>
    <w:rsid w:val="00D14E60"/>
    <w:rsid w:val="00D15AC0"/>
    <w:rsid w:val="00D16260"/>
    <w:rsid w:val="00D165CC"/>
    <w:rsid w:val="00D17882"/>
    <w:rsid w:val="00D22356"/>
    <w:rsid w:val="00D2286D"/>
    <w:rsid w:val="00D22DA9"/>
    <w:rsid w:val="00D2471F"/>
    <w:rsid w:val="00D250E8"/>
    <w:rsid w:val="00D25472"/>
    <w:rsid w:val="00D26DF4"/>
    <w:rsid w:val="00D276A2"/>
    <w:rsid w:val="00D304C4"/>
    <w:rsid w:val="00D3075B"/>
    <w:rsid w:val="00D31780"/>
    <w:rsid w:val="00D32CF5"/>
    <w:rsid w:val="00D33498"/>
    <w:rsid w:val="00D34131"/>
    <w:rsid w:val="00D3448E"/>
    <w:rsid w:val="00D3449E"/>
    <w:rsid w:val="00D34DAF"/>
    <w:rsid w:val="00D351BC"/>
    <w:rsid w:val="00D354E3"/>
    <w:rsid w:val="00D3760F"/>
    <w:rsid w:val="00D402B0"/>
    <w:rsid w:val="00D40755"/>
    <w:rsid w:val="00D408B6"/>
    <w:rsid w:val="00D40B6D"/>
    <w:rsid w:val="00D411D5"/>
    <w:rsid w:val="00D43890"/>
    <w:rsid w:val="00D44090"/>
    <w:rsid w:val="00D44378"/>
    <w:rsid w:val="00D45EFD"/>
    <w:rsid w:val="00D46C71"/>
    <w:rsid w:val="00D5077B"/>
    <w:rsid w:val="00D570FA"/>
    <w:rsid w:val="00D6178B"/>
    <w:rsid w:val="00D62D23"/>
    <w:rsid w:val="00D63EC6"/>
    <w:rsid w:val="00D64D25"/>
    <w:rsid w:val="00D6714A"/>
    <w:rsid w:val="00D67ED7"/>
    <w:rsid w:val="00D70A00"/>
    <w:rsid w:val="00D70F7E"/>
    <w:rsid w:val="00D71654"/>
    <w:rsid w:val="00D718D2"/>
    <w:rsid w:val="00D71A18"/>
    <w:rsid w:val="00D71B16"/>
    <w:rsid w:val="00D724FB"/>
    <w:rsid w:val="00D72793"/>
    <w:rsid w:val="00D75051"/>
    <w:rsid w:val="00D763D2"/>
    <w:rsid w:val="00D76D63"/>
    <w:rsid w:val="00D773CB"/>
    <w:rsid w:val="00D8046F"/>
    <w:rsid w:val="00D80E06"/>
    <w:rsid w:val="00D81C77"/>
    <w:rsid w:val="00D82F42"/>
    <w:rsid w:val="00D83548"/>
    <w:rsid w:val="00D83630"/>
    <w:rsid w:val="00D848F4"/>
    <w:rsid w:val="00D853E2"/>
    <w:rsid w:val="00D8728E"/>
    <w:rsid w:val="00D872C8"/>
    <w:rsid w:val="00D87B25"/>
    <w:rsid w:val="00D87C83"/>
    <w:rsid w:val="00D90C5A"/>
    <w:rsid w:val="00D92227"/>
    <w:rsid w:val="00D924B1"/>
    <w:rsid w:val="00D925F8"/>
    <w:rsid w:val="00D92819"/>
    <w:rsid w:val="00D936D8"/>
    <w:rsid w:val="00D93DC5"/>
    <w:rsid w:val="00D93E68"/>
    <w:rsid w:val="00D94236"/>
    <w:rsid w:val="00D9482A"/>
    <w:rsid w:val="00D94965"/>
    <w:rsid w:val="00D957F2"/>
    <w:rsid w:val="00D96209"/>
    <w:rsid w:val="00D963D4"/>
    <w:rsid w:val="00D97D6F"/>
    <w:rsid w:val="00DA1796"/>
    <w:rsid w:val="00DA24B9"/>
    <w:rsid w:val="00DA2D93"/>
    <w:rsid w:val="00DA39AA"/>
    <w:rsid w:val="00DA405F"/>
    <w:rsid w:val="00DA434B"/>
    <w:rsid w:val="00DA4B63"/>
    <w:rsid w:val="00DA5DC1"/>
    <w:rsid w:val="00DA6097"/>
    <w:rsid w:val="00DA62C5"/>
    <w:rsid w:val="00DA7D2C"/>
    <w:rsid w:val="00DB03AE"/>
    <w:rsid w:val="00DB1720"/>
    <w:rsid w:val="00DB1F77"/>
    <w:rsid w:val="00DB2086"/>
    <w:rsid w:val="00DB22FD"/>
    <w:rsid w:val="00DB3503"/>
    <w:rsid w:val="00DB3CAA"/>
    <w:rsid w:val="00DB4936"/>
    <w:rsid w:val="00DB5293"/>
    <w:rsid w:val="00DB54C8"/>
    <w:rsid w:val="00DB58ED"/>
    <w:rsid w:val="00DB6C06"/>
    <w:rsid w:val="00DC044A"/>
    <w:rsid w:val="00DC2723"/>
    <w:rsid w:val="00DC2BFF"/>
    <w:rsid w:val="00DC2C16"/>
    <w:rsid w:val="00DC36EF"/>
    <w:rsid w:val="00DC390D"/>
    <w:rsid w:val="00DC6E15"/>
    <w:rsid w:val="00DC78DC"/>
    <w:rsid w:val="00DC7B2D"/>
    <w:rsid w:val="00DD0930"/>
    <w:rsid w:val="00DD198B"/>
    <w:rsid w:val="00DD335A"/>
    <w:rsid w:val="00DD37AA"/>
    <w:rsid w:val="00DD3AF8"/>
    <w:rsid w:val="00DD4098"/>
    <w:rsid w:val="00DD46D1"/>
    <w:rsid w:val="00DD47DF"/>
    <w:rsid w:val="00DD4B5D"/>
    <w:rsid w:val="00DD51E7"/>
    <w:rsid w:val="00DD57DF"/>
    <w:rsid w:val="00DD5F95"/>
    <w:rsid w:val="00DE153C"/>
    <w:rsid w:val="00DE270A"/>
    <w:rsid w:val="00DE39A0"/>
    <w:rsid w:val="00DE4D3C"/>
    <w:rsid w:val="00DE53D8"/>
    <w:rsid w:val="00DE5D10"/>
    <w:rsid w:val="00DE7AE3"/>
    <w:rsid w:val="00DE7B0C"/>
    <w:rsid w:val="00DF0CDA"/>
    <w:rsid w:val="00DF2BA5"/>
    <w:rsid w:val="00DF2CBB"/>
    <w:rsid w:val="00DF41C7"/>
    <w:rsid w:val="00DF6200"/>
    <w:rsid w:val="00DF653E"/>
    <w:rsid w:val="00DF6EDB"/>
    <w:rsid w:val="00DF705E"/>
    <w:rsid w:val="00DF752D"/>
    <w:rsid w:val="00DF7EDE"/>
    <w:rsid w:val="00E000C9"/>
    <w:rsid w:val="00E00B49"/>
    <w:rsid w:val="00E0146F"/>
    <w:rsid w:val="00E01792"/>
    <w:rsid w:val="00E04BBE"/>
    <w:rsid w:val="00E06CB4"/>
    <w:rsid w:val="00E070A9"/>
    <w:rsid w:val="00E10065"/>
    <w:rsid w:val="00E1025A"/>
    <w:rsid w:val="00E10321"/>
    <w:rsid w:val="00E11416"/>
    <w:rsid w:val="00E128F5"/>
    <w:rsid w:val="00E12B0C"/>
    <w:rsid w:val="00E12EB6"/>
    <w:rsid w:val="00E1324F"/>
    <w:rsid w:val="00E140A3"/>
    <w:rsid w:val="00E14598"/>
    <w:rsid w:val="00E1475B"/>
    <w:rsid w:val="00E14D48"/>
    <w:rsid w:val="00E151A6"/>
    <w:rsid w:val="00E15EAE"/>
    <w:rsid w:val="00E15FA5"/>
    <w:rsid w:val="00E1785C"/>
    <w:rsid w:val="00E17E61"/>
    <w:rsid w:val="00E21CCB"/>
    <w:rsid w:val="00E26C47"/>
    <w:rsid w:val="00E270DA"/>
    <w:rsid w:val="00E27EF2"/>
    <w:rsid w:val="00E31BFA"/>
    <w:rsid w:val="00E31E6B"/>
    <w:rsid w:val="00E33068"/>
    <w:rsid w:val="00E35086"/>
    <w:rsid w:val="00E35EB6"/>
    <w:rsid w:val="00E36045"/>
    <w:rsid w:val="00E3631E"/>
    <w:rsid w:val="00E378EB"/>
    <w:rsid w:val="00E37FDE"/>
    <w:rsid w:val="00E40051"/>
    <w:rsid w:val="00E405DE"/>
    <w:rsid w:val="00E40DC3"/>
    <w:rsid w:val="00E425B4"/>
    <w:rsid w:val="00E4287E"/>
    <w:rsid w:val="00E42E52"/>
    <w:rsid w:val="00E44471"/>
    <w:rsid w:val="00E455FA"/>
    <w:rsid w:val="00E45776"/>
    <w:rsid w:val="00E4619F"/>
    <w:rsid w:val="00E465B9"/>
    <w:rsid w:val="00E46A53"/>
    <w:rsid w:val="00E46B36"/>
    <w:rsid w:val="00E47128"/>
    <w:rsid w:val="00E47BAF"/>
    <w:rsid w:val="00E51B87"/>
    <w:rsid w:val="00E6056F"/>
    <w:rsid w:val="00E60C45"/>
    <w:rsid w:val="00E61D24"/>
    <w:rsid w:val="00E61F6F"/>
    <w:rsid w:val="00E62816"/>
    <w:rsid w:val="00E6343E"/>
    <w:rsid w:val="00E64507"/>
    <w:rsid w:val="00E654F7"/>
    <w:rsid w:val="00E657FA"/>
    <w:rsid w:val="00E666C7"/>
    <w:rsid w:val="00E67070"/>
    <w:rsid w:val="00E670FB"/>
    <w:rsid w:val="00E675F2"/>
    <w:rsid w:val="00E676CD"/>
    <w:rsid w:val="00E70BD6"/>
    <w:rsid w:val="00E71E89"/>
    <w:rsid w:val="00E71FE8"/>
    <w:rsid w:val="00E72C09"/>
    <w:rsid w:val="00E73172"/>
    <w:rsid w:val="00E73AF8"/>
    <w:rsid w:val="00E73CE1"/>
    <w:rsid w:val="00E73FDA"/>
    <w:rsid w:val="00E76A8F"/>
    <w:rsid w:val="00E771D3"/>
    <w:rsid w:val="00E81254"/>
    <w:rsid w:val="00E81368"/>
    <w:rsid w:val="00E8193A"/>
    <w:rsid w:val="00E82A6E"/>
    <w:rsid w:val="00E85444"/>
    <w:rsid w:val="00E85669"/>
    <w:rsid w:val="00E85B0E"/>
    <w:rsid w:val="00E86866"/>
    <w:rsid w:val="00E87CA0"/>
    <w:rsid w:val="00E908E7"/>
    <w:rsid w:val="00E91247"/>
    <w:rsid w:val="00E9142C"/>
    <w:rsid w:val="00E927B1"/>
    <w:rsid w:val="00E9412A"/>
    <w:rsid w:val="00E94DF7"/>
    <w:rsid w:val="00E95DAA"/>
    <w:rsid w:val="00E95E07"/>
    <w:rsid w:val="00E9612B"/>
    <w:rsid w:val="00EA0D71"/>
    <w:rsid w:val="00EA1CDD"/>
    <w:rsid w:val="00EA1DB5"/>
    <w:rsid w:val="00EA3172"/>
    <w:rsid w:val="00EA68EE"/>
    <w:rsid w:val="00EA69C9"/>
    <w:rsid w:val="00EA6C61"/>
    <w:rsid w:val="00EA7A6E"/>
    <w:rsid w:val="00EB1E13"/>
    <w:rsid w:val="00EB20BB"/>
    <w:rsid w:val="00EB4093"/>
    <w:rsid w:val="00EB411F"/>
    <w:rsid w:val="00EB4D45"/>
    <w:rsid w:val="00EB5585"/>
    <w:rsid w:val="00EB716C"/>
    <w:rsid w:val="00EB7721"/>
    <w:rsid w:val="00EC00E8"/>
    <w:rsid w:val="00EC04C2"/>
    <w:rsid w:val="00EC04CF"/>
    <w:rsid w:val="00EC13F5"/>
    <w:rsid w:val="00EC20A5"/>
    <w:rsid w:val="00EC355F"/>
    <w:rsid w:val="00EC4813"/>
    <w:rsid w:val="00EC5AA0"/>
    <w:rsid w:val="00EC6D19"/>
    <w:rsid w:val="00EC7F0C"/>
    <w:rsid w:val="00ED0520"/>
    <w:rsid w:val="00ED0E91"/>
    <w:rsid w:val="00ED1D92"/>
    <w:rsid w:val="00ED229B"/>
    <w:rsid w:val="00ED245A"/>
    <w:rsid w:val="00ED49A2"/>
    <w:rsid w:val="00EE12A5"/>
    <w:rsid w:val="00EE1576"/>
    <w:rsid w:val="00EE2AE8"/>
    <w:rsid w:val="00EE2B8E"/>
    <w:rsid w:val="00EE3BA2"/>
    <w:rsid w:val="00EE4656"/>
    <w:rsid w:val="00EE4A37"/>
    <w:rsid w:val="00EE533D"/>
    <w:rsid w:val="00EE5A6C"/>
    <w:rsid w:val="00EE6276"/>
    <w:rsid w:val="00EE62A4"/>
    <w:rsid w:val="00EE697A"/>
    <w:rsid w:val="00EE70BD"/>
    <w:rsid w:val="00EF01CC"/>
    <w:rsid w:val="00EF0FF5"/>
    <w:rsid w:val="00EF13C8"/>
    <w:rsid w:val="00EF22CA"/>
    <w:rsid w:val="00EF4D26"/>
    <w:rsid w:val="00EF5763"/>
    <w:rsid w:val="00EF6851"/>
    <w:rsid w:val="00EF6D26"/>
    <w:rsid w:val="00EF7210"/>
    <w:rsid w:val="00F03111"/>
    <w:rsid w:val="00F0755D"/>
    <w:rsid w:val="00F078D9"/>
    <w:rsid w:val="00F07E14"/>
    <w:rsid w:val="00F101CC"/>
    <w:rsid w:val="00F113D4"/>
    <w:rsid w:val="00F12517"/>
    <w:rsid w:val="00F1328C"/>
    <w:rsid w:val="00F134CA"/>
    <w:rsid w:val="00F139A5"/>
    <w:rsid w:val="00F17219"/>
    <w:rsid w:val="00F175A1"/>
    <w:rsid w:val="00F17B12"/>
    <w:rsid w:val="00F2016C"/>
    <w:rsid w:val="00F20A7A"/>
    <w:rsid w:val="00F20BED"/>
    <w:rsid w:val="00F218D8"/>
    <w:rsid w:val="00F23DBF"/>
    <w:rsid w:val="00F240E7"/>
    <w:rsid w:val="00F249DA"/>
    <w:rsid w:val="00F2775F"/>
    <w:rsid w:val="00F307F7"/>
    <w:rsid w:val="00F31036"/>
    <w:rsid w:val="00F32AFA"/>
    <w:rsid w:val="00F340CD"/>
    <w:rsid w:val="00F35925"/>
    <w:rsid w:val="00F35DE9"/>
    <w:rsid w:val="00F362E4"/>
    <w:rsid w:val="00F369A6"/>
    <w:rsid w:val="00F40021"/>
    <w:rsid w:val="00F4025A"/>
    <w:rsid w:val="00F4087F"/>
    <w:rsid w:val="00F44493"/>
    <w:rsid w:val="00F44515"/>
    <w:rsid w:val="00F44BAE"/>
    <w:rsid w:val="00F44D53"/>
    <w:rsid w:val="00F44DE2"/>
    <w:rsid w:val="00F4554D"/>
    <w:rsid w:val="00F458BF"/>
    <w:rsid w:val="00F46767"/>
    <w:rsid w:val="00F46E28"/>
    <w:rsid w:val="00F4731B"/>
    <w:rsid w:val="00F47CB7"/>
    <w:rsid w:val="00F51ADF"/>
    <w:rsid w:val="00F51BED"/>
    <w:rsid w:val="00F51C13"/>
    <w:rsid w:val="00F521C4"/>
    <w:rsid w:val="00F521FC"/>
    <w:rsid w:val="00F5336B"/>
    <w:rsid w:val="00F555D5"/>
    <w:rsid w:val="00F5587E"/>
    <w:rsid w:val="00F55A6F"/>
    <w:rsid w:val="00F56D98"/>
    <w:rsid w:val="00F57D15"/>
    <w:rsid w:val="00F60396"/>
    <w:rsid w:val="00F6222D"/>
    <w:rsid w:val="00F6228C"/>
    <w:rsid w:val="00F6342B"/>
    <w:rsid w:val="00F63509"/>
    <w:rsid w:val="00F6437E"/>
    <w:rsid w:val="00F65312"/>
    <w:rsid w:val="00F65983"/>
    <w:rsid w:val="00F65ED7"/>
    <w:rsid w:val="00F66D28"/>
    <w:rsid w:val="00F7126E"/>
    <w:rsid w:val="00F715BF"/>
    <w:rsid w:val="00F72B22"/>
    <w:rsid w:val="00F74A02"/>
    <w:rsid w:val="00F758C6"/>
    <w:rsid w:val="00F75AC1"/>
    <w:rsid w:val="00F76064"/>
    <w:rsid w:val="00F76153"/>
    <w:rsid w:val="00F76C2C"/>
    <w:rsid w:val="00F76EF8"/>
    <w:rsid w:val="00F778D5"/>
    <w:rsid w:val="00F80564"/>
    <w:rsid w:val="00F81756"/>
    <w:rsid w:val="00F84649"/>
    <w:rsid w:val="00F84A66"/>
    <w:rsid w:val="00F85189"/>
    <w:rsid w:val="00F85286"/>
    <w:rsid w:val="00F85567"/>
    <w:rsid w:val="00F86EAA"/>
    <w:rsid w:val="00F872EF"/>
    <w:rsid w:val="00F87D15"/>
    <w:rsid w:val="00F910CC"/>
    <w:rsid w:val="00F92E4B"/>
    <w:rsid w:val="00F932E9"/>
    <w:rsid w:val="00F9534B"/>
    <w:rsid w:val="00F9573F"/>
    <w:rsid w:val="00F95971"/>
    <w:rsid w:val="00F95AD7"/>
    <w:rsid w:val="00F97D9B"/>
    <w:rsid w:val="00FA0365"/>
    <w:rsid w:val="00FA05D0"/>
    <w:rsid w:val="00FA1E31"/>
    <w:rsid w:val="00FA29C7"/>
    <w:rsid w:val="00FA40E0"/>
    <w:rsid w:val="00FA5C00"/>
    <w:rsid w:val="00FA5EC6"/>
    <w:rsid w:val="00FA694F"/>
    <w:rsid w:val="00FB06C9"/>
    <w:rsid w:val="00FB086D"/>
    <w:rsid w:val="00FB0BCC"/>
    <w:rsid w:val="00FB121A"/>
    <w:rsid w:val="00FB1D8D"/>
    <w:rsid w:val="00FB3475"/>
    <w:rsid w:val="00FB3A05"/>
    <w:rsid w:val="00FB45F9"/>
    <w:rsid w:val="00FB4801"/>
    <w:rsid w:val="00FB4B88"/>
    <w:rsid w:val="00FB5696"/>
    <w:rsid w:val="00FB6B81"/>
    <w:rsid w:val="00FB6CB6"/>
    <w:rsid w:val="00FB7056"/>
    <w:rsid w:val="00FB769D"/>
    <w:rsid w:val="00FB7BA6"/>
    <w:rsid w:val="00FC0754"/>
    <w:rsid w:val="00FC116F"/>
    <w:rsid w:val="00FC1F35"/>
    <w:rsid w:val="00FC2B23"/>
    <w:rsid w:val="00FC3304"/>
    <w:rsid w:val="00FC4491"/>
    <w:rsid w:val="00FC4597"/>
    <w:rsid w:val="00FC5338"/>
    <w:rsid w:val="00FC6DED"/>
    <w:rsid w:val="00FD02FC"/>
    <w:rsid w:val="00FD29C7"/>
    <w:rsid w:val="00FD418B"/>
    <w:rsid w:val="00FD49F6"/>
    <w:rsid w:val="00FD7EDE"/>
    <w:rsid w:val="00FE0E1C"/>
    <w:rsid w:val="00FE1022"/>
    <w:rsid w:val="00FE2430"/>
    <w:rsid w:val="00FE2A10"/>
    <w:rsid w:val="00FE2F5C"/>
    <w:rsid w:val="00FE3BA8"/>
    <w:rsid w:val="00FE3CA0"/>
    <w:rsid w:val="00FE4C08"/>
    <w:rsid w:val="00FE557B"/>
    <w:rsid w:val="00FE55F7"/>
    <w:rsid w:val="00FE70E7"/>
    <w:rsid w:val="00FE7966"/>
    <w:rsid w:val="00FF1082"/>
    <w:rsid w:val="00FF136A"/>
    <w:rsid w:val="00FF1975"/>
    <w:rsid w:val="00FF2C97"/>
    <w:rsid w:val="00FF3DB3"/>
    <w:rsid w:val="00FF4824"/>
    <w:rsid w:val="00FF5079"/>
    <w:rsid w:val="00FF679D"/>
    <w:rsid w:val="00FF6F5F"/>
    <w:rsid w:val="00FF7A0C"/>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8945D"/>
  <w15:docId w15:val="{A2B2D15D-4180-4EE3-951C-DC58B02D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668"/>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AC4668"/>
    <w:pPr>
      <w:keepNext/>
      <w:outlineLvl w:val="1"/>
    </w:pPr>
    <w:rPr>
      <w:b/>
      <w:bCs/>
    </w:rPr>
  </w:style>
  <w:style w:type="paragraph" w:styleId="Heading3">
    <w:name w:val="heading 3"/>
    <w:basedOn w:val="Normal"/>
    <w:next w:val="Normal"/>
    <w:link w:val="Heading3Char"/>
    <w:uiPriority w:val="9"/>
    <w:unhideWhenUsed/>
    <w:qFormat/>
    <w:rsid w:val="00AC466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3C6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4668"/>
    <w:rPr>
      <w:rFonts w:ascii="Times New Roman" w:eastAsia="Times New Roman" w:hAnsi="Times New Roman" w:cs="Times New Roman"/>
      <w:b/>
      <w:bCs/>
      <w:sz w:val="24"/>
      <w:szCs w:val="24"/>
      <w:lang w:val="en-GB"/>
    </w:rPr>
  </w:style>
  <w:style w:type="character" w:styleId="Hyperlink">
    <w:name w:val="Hyperlink"/>
    <w:basedOn w:val="DefaultParagraphFont"/>
    <w:uiPriority w:val="99"/>
    <w:rsid w:val="00AC4668"/>
    <w:rPr>
      <w:color w:val="0000FF"/>
      <w:u w:val="single"/>
    </w:rPr>
  </w:style>
  <w:style w:type="paragraph" w:styleId="ListParagraph">
    <w:name w:val="List Paragraph"/>
    <w:basedOn w:val="Normal"/>
    <w:uiPriority w:val="34"/>
    <w:qFormat/>
    <w:rsid w:val="00AC4668"/>
    <w:pPr>
      <w:spacing w:after="200" w:line="276" w:lineRule="auto"/>
      <w:ind w:left="720"/>
      <w:contextualSpacing/>
    </w:pPr>
    <w:rPr>
      <w:rFonts w:ascii="Calibri" w:eastAsia="Calibri" w:hAnsi="Calibri"/>
      <w:sz w:val="22"/>
      <w:szCs w:val="22"/>
      <w:lang w:val="en-US"/>
    </w:rPr>
  </w:style>
  <w:style w:type="paragraph" w:styleId="FootnoteText">
    <w:name w:val="footnote text"/>
    <w:basedOn w:val="Normal"/>
    <w:link w:val="FootnoteTextChar"/>
    <w:uiPriority w:val="99"/>
    <w:unhideWhenUsed/>
    <w:rsid w:val="00AC4668"/>
    <w:rPr>
      <w:sz w:val="20"/>
      <w:szCs w:val="20"/>
    </w:rPr>
  </w:style>
  <w:style w:type="character" w:customStyle="1" w:styleId="FootnoteTextChar">
    <w:name w:val="Footnote Text Char"/>
    <w:basedOn w:val="DefaultParagraphFont"/>
    <w:link w:val="FootnoteText"/>
    <w:uiPriority w:val="99"/>
    <w:rsid w:val="00AC4668"/>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AC4668"/>
    <w:rPr>
      <w:vertAlign w:val="superscript"/>
    </w:rPr>
  </w:style>
  <w:style w:type="character" w:customStyle="1" w:styleId="Heading3Char">
    <w:name w:val="Heading 3 Char"/>
    <w:basedOn w:val="DefaultParagraphFont"/>
    <w:link w:val="Heading3"/>
    <w:uiPriority w:val="9"/>
    <w:rsid w:val="00AC4668"/>
    <w:rPr>
      <w:rFonts w:asciiTheme="majorHAnsi" w:eastAsiaTheme="majorEastAsia" w:hAnsiTheme="majorHAnsi" w:cstheme="majorBidi"/>
      <w:b/>
      <w:bCs/>
      <w:color w:val="4F81BD" w:themeColor="accent1"/>
      <w:sz w:val="24"/>
      <w:szCs w:val="24"/>
      <w:lang w:val="en-GB"/>
    </w:rPr>
  </w:style>
  <w:style w:type="character" w:styleId="Emphasis">
    <w:name w:val="Emphasis"/>
    <w:basedOn w:val="DefaultParagraphFont"/>
    <w:uiPriority w:val="20"/>
    <w:qFormat/>
    <w:rsid w:val="00AC4668"/>
    <w:rPr>
      <w:i/>
      <w:iCs/>
    </w:rPr>
  </w:style>
  <w:style w:type="paragraph" w:customStyle="1" w:styleId="BodyText2">
    <w:name w:val="Body Text2"/>
    <w:basedOn w:val="Normal"/>
    <w:rsid w:val="00AC4668"/>
    <w:pPr>
      <w:spacing w:after="120"/>
    </w:pPr>
    <w:rPr>
      <w:rFonts w:ascii="Trebuchet MS" w:eastAsia="MS Mincho" w:hAnsi="Trebuchet MS"/>
      <w:sz w:val="20"/>
      <w:lang w:eastAsia="ja-JP"/>
    </w:rPr>
  </w:style>
  <w:style w:type="character" w:customStyle="1" w:styleId="mini">
    <w:name w:val="mini"/>
    <w:basedOn w:val="DefaultParagraphFont"/>
    <w:rsid w:val="00AC4668"/>
  </w:style>
  <w:style w:type="paragraph" w:styleId="BalloonText">
    <w:name w:val="Balloon Text"/>
    <w:basedOn w:val="Normal"/>
    <w:link w:val="BalloonTextChar"/>
    <w:uiPriority w:val="99"/>
    <w:semiHidden/>
    <w:unhideWhenUsed/>
    <w:rsid w:val="00F1328C"/>
    <w:rPr>
      <w:rFonts w:ascii="Tahoma" w:hAnsi="Tahoma" w:cs="Tahoma"/>
      <w:sz w:val="16"/>
      <w:szCs w:val="16"/>
    </w:rPr>
  </w:style>
  <w:style w:type="character" w:customStyle="1" w:styleId="BalloonTextChar">
    <w:name w:val="Balloon Text Char"/>
    <w:basedOn w:val="DefaultParagraphFont"/>
    <w:link w:val="BalloonText"/>
    <w:uiPriority w:val="99"/>
    <w:semiHidden/>
    <w:rsid w:val="00F1328C"/>
    <w:rPr>
      <w:rFonts w:ascii="Tahoma" w:eastAsia="Times New Roman" w:hAnsi="Tahoma" w:cs="Tahoma"/>
      <w:sz w:val="16"/>
      <w:szCs w:val="16"/>
      <w:lang w:val="en-GB"/>
    </w:rPr>
  </w:style>
  <w:style w:type="character" w:customStyle="1" w:styleId="Heading4Char">
    <w:name w:val="Heading 4 Char"/>
    <w:basedOn w:val="DefaultParagraphFont"/>
    <w:link w:val="Heading4"/>
    <w:uiPriority w:val="9"/>
    <w:rsid w:val="00043C64"/>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C277E1"/>
    <w:pPr>
      <w:tabs>
        <w:tab w:val="center" w:pos="4680"/>
        <w:tab w:val="right" w:pos="9360"/>
      </w:tabs>
    </w:pPr>
  </w:style>
  <w:style w:type="character" w:customStyle="1" w:styleId="HeaderChar">
    <w:name w:val="Header Char"/>
    <w:basedOn w:val="DefaultParagraphFont"/>
    <w:link w:val="Header"/>
    <w:uiPriority w:val="99"/>
    <w:rsid w:val="00C277E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277E1"/>
    <w:pPr>
      <w:tabs>
        <w:tab w:val="center" w:pos="4680"/>
        <w:tab w:val="right" w:pos="9360"/>
      </w:tabs>
    </w:pPr>
  </w:style>
  <w:style w:type="character" w:customStyle="1" w:styleId="FooterChar">
    <w:name w:val="Footer Char"/>
    <w:basedOn w:val="DefaultParagraphFont"/>
    <w:link w:val="Footer"/>
    <w:uiPriority w:val="99"/>
    <w:rsid w:val="00C277E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907047"/>
    <w:rPr>
      <w:sz w:val="16"/>
      <w:szCs w:val="16"/>
    </w:rPr>
  </w:style>
  <w:style w:type="paragraph" w:styleId="CommentText">
    <w:name w:val="annotation text"/>
    <w:basedOn w:val="Normal"/>
    <w:link w:val="CommentTextChar"/>
    <w:uiPriority w:val="99"/>
    <w:semiHidden/>
    <w:unhideWhenUsed/>
    <w:rsid w:val="00907047"/>
    <w:rPr>
      <w:sz w:val="20"/>
      <w:szCs w:val="20"/>
    </w:rPr>
  </w:style>
  <w:style w:type="character" w:customStyle="1" w:styleId="CommentTextChar">
    <w:name w:val="Comment Text Char"/>
    <w:basedOn w:val="DefaultParagraphFont"/>
    <w:link w:val="CommentText"/>
    <w:uiPriority w:val="99"/>
    <w:semiHidden/>
    <w:rsid w:val="0090704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07047"/>
    <w:rPr>
      <w:b/>
      <w:bCs/>
    </w:rPr>
  </w:style>
  <w:style w:type="character" w:customStyle="1" w:styleId="CommentSubjectChar">
    <w:name w:val="Comment Subject Char"/>
    <w:basedOn w:val="CommentTextChar"/>
    <w:link w:val="CommentSubject"/>
    <w:uiPriority w:val="99"/>
    <w:semiHidden/>
    <w:rsid w:val="00907047"/>
    <w:rPr>
      <w:rFonts w:ascii="Times New Roman" w:eastAsia="Times New Roman" w:hAnsi="Times New Roman" w:cs="Times New Roman"/>
      <w:b/>
      <w:bCs/>
      <w:sz w:val="20"/>
      <w:szCs w:val="20"/>
      <w:lang w:val="en-GB"/>
    </w:rPr>
  </w:style>
  <w:style w:type="paragraph" w:customStyle="1" w:styleId="Default">
    <w:name w:val="Default"/>
    <w:rsid w:val="00472234"/>
    <w:pPr>
      <w:autoSpaceDE w:val="0"/>
      <w:autoSpaceDN w:val="0"/>
      <w:adjustRightInd w:val="0"/>
      <w:spacing w:after="0" w:line="240" w:lineRule="auto"/>
    </w:pPr>
    <w:rPr>
      <w:rFonts w:ascii="Myriad Pro Light SemiCond" w:hAnsi="Myriad Pro Light SemiCond" w:cs="Myriad Pro Light SemiCond"/>
      <w:color w:val="000000"/>
      <w:sz w:val="24"/>
      <w:szCs w:val="24"/>
      <w:lang w:val="en-GB"/>
    </w:rPr>
  </w:style>
  <w:style w:type="character" w:customStyle="1" w:styleId="A4">
    <w:name w:val="A4"/>
    <w:uiPriority w:val="99"/>
    <w:rsid w:val="00AB5E44"/>
    <w:rPr>
      <w:rFonts w:cs="Myriad Pro Light SemiCond"/>
      <w:color w:val="000000"/>
      <w:sz w:val="14"/>
      <w:szCs w:val="14"/>
    </w:rPr>
  </w:style>
  <w:style w:type="paragraph" w:customStyle="1" w:styleId="Pa3">
    <w:name w:val="Pa3"/>
    <w:basedOn w:val="Default"/>
    <w:next w:val="Default"/>
    <w:uiPriority w:val="99"/>
    <w:rsid w:val="00B76BE3"/>
    <w:pPr>
      <w:spacing w:line="281" w:lineRule="atLeast"/>
    </w:pPr>
    <w:rPr>
      <w:rFonts w:ascii="Adobe Garamond Pro" w:hAnsi="Adobe Garamond Pro" w:cs="Times New Roman"/>
      <w:color w:val="auto"/>
    </w:rPr>
  </w:style>
  <w:style w:type="paragraph" w:customStyle="1" w:styleId="Pa4">
    <w:name w:val="Pa4"/>
    <w:basedOn w:val="Default"/>
    <w:next w:val="Default"/>
    <w:uiPriority w:val="99"/>
    <w:rsid w:val="00B76BE3"/>
    <w:pPr>
      <w:spacing w:line="281" w:lineRule="atLeast"/>
    </w:pPr>
    <w:rPr>
      <w:rFonts w:ascii="Adobe Garamond Pro" w:hAnsi="Adobe Garamond Pro" w:cs="Times New Roman"/>
      <w:color w:val="auto"/>
    </w:rPr>
  </w:style>
  <w:style w:type="paragraph" w:customStyle="1" w:styleId="h3">
    <w:name w:val="h3"/>
    <w:basedOn w:val="Normal"/>
    <w:rsid w:val="00D90C5A"/>
    <w:pPr>
      <w:keepNext/>
      <w:spacing w:before="100" w:beforeAutospacing="1" w:after="100" w:afterAutospacing="1"/>
    </w:pPr>
    <w:rPr>
      <w:rFonts w:eastAsiaTheme="minorEastAsia"/>
      <w:b/>
      <w:bCs/>
      <w:i/>
      <w:iCs/>
      <w:sz w:val="27"/>
      <w:szCs w:val="27"/>
      <w:lang w:val="en-US"/>
    </w:rPr>
  </w:style>
  <w:style w:type="paragraph" w:styleId="NormalWeb">
    <w:name w:val="Normal (Web)"/>
    <w:basedOn w:val="Normal"/>
    <w:uiPriority w:val="99"/>
    <w:unhideWhenUsed/>
    <w:rsid w:val="00A579BD"/>
    <w:pPr>
      <w:spacing w:before="100" w:beforeAutospacing="1" w:after="100" w:afterAutospacing="1"/>
    </w:pPr>
    <w:rPr>
      <w:rFonts w:eastAsiaTheme="minorEastAsia"/>
      <w:lang w:eastAsia="en-GB"/>
    </w:rPr>
  </w:style>
  <w:style w:type="character" w:styleId="FollowedHyperlink">
    <w:name w:val="FollowedHyperlink"/>
    <w:basedOn w:val="DefaultParagraphFont"/>
    <w:uiPriority w:val="99"/>
    <w:semiHidden/>
    <w:unhideWhenUsed/>
    <w:rsid w:val="003165A8"/>
    <w:rPr>
      <w:color w:val="800080" w:themeColor="followedHyperlink"/>
      <w:u w:val="single"/>
    </w:rPr>
  </w:style>
  <w:style w:type="paragraph" w:styleId="PlainText">
    <w:name w:val="Plain Text"/>
    <w:basedOn w:val="Normal"/>
    <w:link w:val="PlainTextChar"/>
    <w:uiPriority w:val="99"/>
    <w:unhideWhenUsed/>
    <w:rsid w:val="00B93C24"/>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B93C24"/>
    <w:rPr>
      <w:rFonts w:ascii="Consolas" w:hAnsi="Consolas"/>
      <w:sz w:val="21"/>
      <w:szCs w:val="21"/>
    </w:rPr>
  </w:style>
  <w:style w:type="paragraph" w:styleId="Revision">
    <w:name w:val="Revision"/>
    <w:hidden/>
    <w:uiPriority w:val="99"/>
    <w:semiHidden/>
    <w:rsid w:val="007E4346"/>
    <w:pPr>
      <w:spacing w:after="0" w:line="240" w:lineRule="auto"/>
    </w:pPr>
    <w:rPr>
      <w:rFonts w:ascii="Times New Roman" w:eastAsia="Times New Roman" w:hAnsi="Times New Roman" w:cs="Times New Roman"/>
      <w:sz w:val="24"/>
      <w:szCs w:val="24"/>
      <w:lang w:val="en-GB"/>
    </w:rPr>
  </w:style>
  <w:style w:type="character" w:customStyle="1" w:styleId="Hyperlink0">
    <w:name w:val="Hyperlink.0"/>
    <w:basedOn w:val="DefaultParagraphFont"/>
    <w:rsid w:val="00AB184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531">
      <w:bodyDiv w:val="1"/>
      <w:marLeft w:val="0"/>
      <w:marRight w:val="0"/>
      <w:marTop w:val="0"/>
      <w:marBottom w:val="0"/>
      <w:divBdr>
        <w:top w:val="none" w:sz="0" w:space="0" w:color="auto"/>
        <w:left w:val="none" w:sz="0" w:space="0" w:color="auto"/>
        <w:bottom w:val="none" w:sz="0" w:space="0" w:color="auto"/>
        <w:right w:val="none" w:sz="0" w:space="0" w:color="auto"/>
      </w:divBdr>
      <w:divsChild>
        <w:div w:id="531263609">
          <w:marLeft w:val="0"/>
          <w:marRight w:val="0"/>
          <w:marTop w:val="0"/>
          <w:marBottom w:val="0"/>
          <w:divBdr>
            <w:top w:val="none" w:sz="0" w:space="0" w:color="auto"/>
            <w:left w:val="none" w:sz="0" w:space="0" w:color="auto"/>
            <w:bottom w:val="none" w:sz="0" w:space="0" w:color="auto"/>
            <w:right w:val="none" w:sz="0" w:space="0" w:color="auto"/>
          </w:divBdr>
          <w:divsChild>
            <w:div w:id="151222147">
              <w:marLeft w:val="0"/>
              <w:marRight w:val="0"/>
              <w:marTop w:val="0"/>
              <w:marBottom w:val="0"/>
              <w:divBdr>
                <w:top w:val="none" w:sz="0" w:space="0" w:color="auto"/>
                <w:left w:val="none" w:sz="0" w:space="0" w:color="auto"/>
                <w:bottom w:val="none" w:sz="0" w:space="0" w:color="auto"/>
                <w:right w:val="none" w:sz="0" w:space="0" w:color="auto"/>
              </w:divBdr>
              <w:divsChild>
                <w:div w:id="1620452865">
                  <w:marLeft w:val="0"/>
                  <w:marRight w:val="0"/>
                  <w:marTop w:val="0"/>
                  <w:marBottom w:val="0"/>
                  <w:divBdr>
                    <w:top w:val="none" w:sz="0" w:space="0" w:color="auto"/>
                    <w:left w:val="none" w:sz="0" w:space="0" w:color="auto"/>
                    <w:bottom w:val="none" w:sz="0" w:space="0" w:color="auto"/>
                    <w:right w:val="none" w:sz="0" w:space="0" w:color="auto"/>
                  </w:divBdr>
                  <w:divsChild>
                    <w:div w:id="432819271">
                      <w:marLeft w:val="0"/>
                      <w:marRight w:val="0"/>
                      <w:marTop w:val="0"/>
                      <w:marBottom w:val="0"/>
                      <w:divBdr>
                        <w:top w:val="none" w:sz="0" w:space="0" w:color="auto"/>
                        <w:left w:val="none" w:sz="0" w:space="0" w:color="auto"/>
                        <w:bottom w:val="none" w:sz="0" w:space="0" w:color="auto"/>
                        <w:right w:val="none" w:sz="0" w:space="0" w:color="auto"/>
                      </w:divBdr>
                      <w:divsChild>
                        <w:div w:id="902176686">
                          <w:marLeft w:val="0"/>
                          <w:marRight w:val="0"/>
                          <w:marTop w:val="0"/>
                          <w:marBottom w:val="0"/>
                          <w:divBdr>
                            <w:top w:val="none" w:sz="0" w:space="0" w:color="auto"/>
                            <w:left w:val="none" w:sz="0" w:space="0" w:color="auto"/>
                            <w:bottom w:val="none" w:sz="0" w:space="0" w:color="auto"/>
                            <w:right w:val="none" w:sz="0" w:space="0" w:color="auto"/>
                          </w:divBdr>
                          <w:divsChild>
                            <w:div w:id="1095708441">
                              <w:marLeft w:val="0"/>
                              <w:marRight w:val="0"/>
                              <w:marTop w:val="0"/>
                              <w:marBottom w:val="0"/>
                              <w:divBdr>
                                <w:top w:val="none" w:sz="0" w:space="0" w:color="auto"/>
                                <w:left w:val="none" w:sz="0" w:space="0" w:color="auto"/>
                                <w:bottom w:val="none" w:sz="0" w:space="0" w:color="auto"/>
                                <w:right w:val="none" w:sz="0" w:space="0" w:color="auto"/>
                              </w:divBdr>
                              <w:divsChild>
                                <w:div w:id="1068303964">
                                  <w:marLeft w:val="0"/>
                                  <w:marRight w:val="0"/>
                                  <w:marTop w:val="0"/>
                                  <w:marBottom w:val="0"/>
                                  <w:divBdr>
                                    <w:top w:val="none" w:sz="0" w:space="0" w:color="auto"/>
                                    <w:left w:val="none" w:sz="0" w:space="0" w:color="auto"/>
                                    <w:bottom w:val="none" w:sz="0" w:space="0" w:color="auto"/>
                                    <w:right w:val="none" w:sz="0" w:space="0" w:color="auto"/>
                                  </w:divBdr>
                                  <w:divsChild>
                                    <w:div w:id="1048191283">
                                      <w:marLeft w:val="0"/>
                                      <w:marRight w:val="0"/>
                                      <w:marTop w:val="0"/>
                                      <w:marBottom w:val="0"/>
                                      <w:divBdr>
                                        <w:top w:val="none" w:sz="0" w:space="0" w:color="auto"/>
                                        <w:left w:val="none" w:sz="0" w:space="0" w:color="auto"/>
                                        <w:bottom w:val="none" w:sz="0" w:space="0" w:color="auto"/>
                                        <w:right w:val="none" w:sz="0" w:space="0" w:color="auto"/>
                                      </w:divBdr>
                                      <w:divsChild>
                                        <w:div w:id="352614067">
                                          <w:marLeft w:val="0"/>
                                          <w:marRight w:val="0"/>
                                          <w:marTop w:val="0"/>
                                          <w:marBottom w:val="0"/>
                                          <w:divBdr>
                                            <w:top w:val="none" w:sz="0" w:space="0" w:color="auto"/>
                                            <w:left w:val="none" w:sz="0" w:space="0" w:color="auto"/>
                                            <w:bottom w:val="none" w:sz="0" w:space="0" w:color="auto"/>
                                            <w:right w:val="none" w:sz="0" w:space="0" w:color="auto"/>
                                          </w:divBdr>
                                          <w:divsChild>
                                            <w:div w:id="2062555802">
                                              <w:marLeft w:val="0"/>
                                              <w:marRight w:val="0"/>
                                              <w:marTop w:val="0"/>
                                              <w:marBottom w:val="0"/>
                                              <w:divBdr>
                                                <w:top w:val="none" w:sz="0" w:space="0" w:color="auto"/>
                                                <w:left w:val="none" w:sz="0" w:space="0" w:color="auto"/>
                                                <w:bottom w:val="none" w:sz="0" w:space="0" w:color="auto"/>
                                                <w:right w:val="none" w:sz="0" w:space="0" w:color="auto"/>
                                              </w:divBdr>
                                              <w:divsChild>
                                                <w:div w:id="986737929">
                                                  <w:marLeft w:val="0"/>
                                                  <w:marRight w:val="0"/>
                                                  <w:marTop w:val="0"/>
                                                  <w:marBottom w:val="0"/>
                                                  <w:divBdr>
                                                    <w:top w:val="none" w:sz="0" w:space="0" w:color="auto"/>
                                                    <w:left w:val="none" w:sz="0" w:space="0" w:color="auto"/>
                                                    <w:bottom w:val="none" w:sz="0" w:space="0" w:color="auto"/>
                                                    <w:right w:val="none" w:sz="0" w:space="0" w:color="auto"/>
                                                  </w:divBdr>
                                                  <w:divsChild>
                                                    <w:div w:id="1553733521">
                                                      <w:marLeft w:val="0"/>
                                                      <w:marRight w:val="0"/>
                                                      <w:marTop w:val="0"/>
                                                      <w:marBottom w:val="0"/>
                                                      <w:divBdr>
                                                        <w:top w:val="none" w:sz="0" w:space="0" w:color="auto"/>
                                                        <w:left w:val="none" w:sz="0" w:space="0" w:color="auto"/>
                                                        <w:bottom w:val="none" w:sz="0" w:space="0" w:color="auto"/>
                                                        <w:right w:val="none" w:sz="0" w:space="0" w:color="auto"/>
                                                      </w:divBdr>
                                                      <w:divsChild>
                                                        <w:div w:id="1097480932">
                                                          <w:marLeft w:val="0"/>
                                                          <w:marRight w:val="0"/>
                                                          <w:marTop w:val="0"/>
                                                          <w:marBottom w:val="0"/>
                                                          <w:divBdr>
                                                            <w:top w:val="none" w:sz="0" w:space="0" w:color="auto"/>
                                                            <w:left w:val="none" w:sz="0" w:space="0" w:color="auto"/>
                                                            <w:bottom w:val="none" w:sz="0" w:space="0" w:color="auto"/>
                                                            <w:right w:val="none" w:sz="0" w:space="0" w:color="auto"/>
                                                          </w:divBdr>
                                                          <w:divsChild>
                                                            <w:div w:id="1609433203">
                                                              <w:marLeft w:val="0"/>
                                                              <w:marRight w:val="0"/>
                                                              <w:marTop w:val="0"/>
                                                              <w:marBottom w:val="0"/>
                                                              <w:divBdr>
                                                                <w:top w:val="none" w:sz="0" w:space="0" w:color="auto"/>
                                                                <w:left w:val="none" w:sz="0" w:space="0" w:color="auto"/>
                                                                <w:bottom w:val="none" w:sz="0" w:space="0" w:color="auto"/>
                                                                <w:right w:val="none" w:sz="0" w:space="0" w:color="auto"/>
                                                              </w:divBdr>
                                                              <w:divsChild>
                                                                <w:div w:id="531502933">
                                                                  <w:marLeft w:val="0"/>
                                                                  <w:marRight w:val="0"/>
                                                                  <w:marTop w:val="0"/>
                                                                  <w:marBottom w:val="0"/>
                                                                  <w:divBdr>
                                                                    <w:top w:val="none" w:sz="0" w:space="0" w:color="auto"/>
                                                                    <w:left w:val="none" w:sz="0" w:space="0" w:color="auto"/>
                                                                    <w:bottom w:val="none" w:sz="0" w:space="0" w:color="auto"/>
                                                                    <w:right w:val="none" w:sz="0" w:space="0" w:color="auto"/>
                                                                  </w:divBdr>
                                                                  <w:divsChild>
                                                                    <w:div w:id="17126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399982">
      <w:bodyDiv w:val="1"/>
      <w:marLeft w:val="0"/>
      <w:marRight w:val="0"/>
      <w:marTop w:val="0"/>
      <w:marBottom w:val="0"/>
      <w:divBdr>
        <w:top w:val="none" w:sz="0" w:space="0" w:color="auto"/>
        <w:left w:val="none" w:sz="0" w:space="0" w:color="auto"/>
        <w:bottom w:val="none" w:sz="0" w:space="0" w:color="auto"/>
        <w:right w:val="none" w:sz="0" w:space="0" w:color="auto"/>
      </w:divBdr>
    </w:div>
    <w:div w:id="128255670">
      <w:bodyDiv w:val="1"/>
      <w:marLeft w:val="0"/>
      <w:marRight w:val="0"/>
      <w:marTop w:val="0"/>
      <w:marBottom w:val="0"/>
      <w:divBdr>
        <w:top w:val="none" w:sz="0" w:space="0" w:color="auto"/>
        <w:left w:val="none" w:sz="0" w:space="0" w:color="auto"/>
        <w:bottom w:val="none" w:sz="0" w:space="0" w:color="auto"/>
        <w:right w:val="none" w:sz="0" w:space="0" w:color="auto"/>
      </w:divBdr>
    </w:div>
    <w:div w:id="146678416">
      <w:bodyDiv w:val="1"/>
      <w:marLeft w:val="0"/>
      <w:marRight w:val="0"/>
      <w:marTop w:val="0"/>
      <w:marBottom w:val="0"/>
      <w:divBdr>
        <w:top w:val="none" w:sz="0" w:space="0" w:color="auto"/>
        <w:left w:val="none" w:sz="0" w:space="0" w:color="auto"/>
        <w:bottom w:val="none" w:sz="0" w:space="0" w:color="auto"/>
        <w:right w:val="none" w:sz="0" w:space="0" w:color="auto"/>
      </w:divBdr>
    </w:div>
    <w:div w:id="191118522">
      <w:bodyDiv w:val="1"/>
      <w:marLeft w:val="0"/>
      <w:marRight w:val="0"/>
      <w:marTop w:val="0"/>
      <w:marBottom w:val="0"/>
      <w:divBdr>
        <w:top w:val="none" w:sz="0" w:space="0" w:color="auto"/>
        <w:left w:val="none" w:sz="0" w:space="0" w:color="auto"/>
        <w:bottom w:val="none" w:sz="0" w:space="0" w:color="auto"/>
        <w:right w:val="none" w:sz="0" w:space="0" w:color="auto"/>
      </w:divBdr>
      <w:divsChild>
        <w:div w:id="1251545907">
          <w:marLeft w:val="0"/>
          <w:marRight w:val="0"/>
          <w:marTop w:val="0"/>
          <w:marBottom w:val="0"/>
          <w:divBdr>
            <w:top w:val="none" w:sz="0" w:space="0" w:color="auto"/>
            <w:left w:val="none" w:sz="0" w:space="0" w:color="auto"/>
            <w:bottom w:val="none" w:sz="0" w:space="0" w:color="auto"/>
            <w:right w:val="none" w:sz="0" w:space="0" w:color="auto"/>
          </w:divBdr>
          <w:divsChild>
            <w:div w:id="1435907338">
              <w:marLeft w:val="0"/>
              <w:marRight w:val="0"/>
              <w:marTop w:val="0"/>
              <w:marBottom w:val="0"/>
              <w:divBdr>
                <w:top w:val="none" w:sz="0" w:space="0" w:color="auto"/>
                <w:left w:val="none" w:sz="0" w:space="0" w:color="auto"/>
                <w:bottom w:val="none" w:sz="0" w:space="0" w:color="auto"/>
                <w:right w:val="none" w:sz="0" w:space="0" w:color="auto"/>
              </w:divBdr>
              <w:divsChild>
                <w:div w:id="1830754057">
                  <w:marLeft w:val="0"/>
                  <w:marRight w:val="0"/>
                  <w:marTop w:val="0"/>
                  <w:marBottom w:val="0"/>
                  <w:divBdr>
                    <w:top w:val="none" w:sz="0" w:space="0" w:color="auto"/>
                    <w:left w:val="none" w:sz="0" w:space="0" w:color="auto"/>
                    <w:bottom w:val="none" w:sz="0" w:space="0" w:color="auto"/>
                    <w:right w:val="none" w:sz="0" w:space="0" w:color="auto"/>
                  </w:divBdr>
                  <w:divsChild>
                    <w:div w:id="158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002438">
      <w:bodyDiv w:val="1"/>
      <w:marLeft w:val="0"/>
      <w:marRight w:val="0"/>
      <w:marTop w:val="0"/>
      <w:marBottom w:val="0"/>
      <w:divBdr>
        <w:top w:val="none" w:sz="0" w:space="0" w:color="auto"/>
        <w:left w:val="none" w:sz="0" w:space="0" w:color="auto"/>
        <w:bottom w:val="none" w:sz="0" w:space="0" w:color="auto"/>
        <w:right w:val="none" w:sz="0" w:space="0" w:color="auto"/>
      </w:divBdr>
    </w:div>
    <w:div w:id="275333756">
      <w:bodyDiv w:val="1"/>
      <w:marLeft w:val="0"/>
      <w:marRight w:val="0"/>
      <w:marTop w:val="0"/>
      <w:marBottom w:val="0"/>
      <w:divBdr>
        <w:top w:val="none" w:sz="0" w:space="0" w:color="auto"/>
        <w:left w:val="none" w:sz="0" w:space="0" w:color="auto"/>
        <w:bottom w:val="none" w:sz="0" w:space="0" w:color="auto"/>
        <w:right w:val="none" w:sz="0" w:space="0" w:color="auto"/>
      </w:divBdr>
    </w:div>
    <w:div w:id="554780250">
      <w:bodyDiv w:val="1"/>
      <w:marLeft w:val="0"/>
      <w:marRight w:val="0"/>
      <w:marTop w:val="0"/>
      <w:marBottom w:val="0"/>
      <w:divBdr>
        <w:top w:val="none" w:sz="0" w:space="0" w:color="auto"/>
        <w:left w:val="none" w:sz="0" w:space="0" w:color="auto"/>
        <w:bottom w:val="none" w:sz="0" w:space="0" w:color="auto"/>
        <w:right w:val="none" w:sz="0" w:space="0" w:color="auto"/>
      </w:divBdr>
      <w:divsChild>
        <w:div w:id="90248598">
          <w:marLeft w:val="274"/>
          <w:marRight w:val="0"/>
          <w:marTop w:val="0"/>
          <w:marBottom w:val="0"/>
          <w:divBdr>
            <w:top w:val="none" w:sz="0" w:space="0" w:color="auto"/>
            <w:left w:val="none" w:sz="0" w:space="0" w:color="auto"/>
            <w:bottom w:val="none" w:sz="0" w:space="0" w:color="auto"/>
            <w:right w:val="none" w:sz="0" w:space="0" w:color="auto"/>
          </w:divBdr>
        </w:div>
        <w:div w:id="313948747">
          <w:marLeft w:val="274"/>
          <w:marRight w:val="0"/>
          <w:marTop w:val="0"/>
          <w:marBottom w:val="0"/>
          <w:divBdr>
            <w:top w:val="none" w:sz="0" w:space="0" w:color="auto"/>
            <w:left w:val="none" w:sz="0" w:space="0" w:color="auto"/>
            <w:bottom w:val="none" w:sz="0" w:space="0" w:color="auto"/>
            <w:right w:val="none" w:sz="0" w:space="0" w:color="auto"/>
          </w:divBdr>
        </w:div>
        <w:div w:id="529298029">
          <w:marLeft w:val="274"/>
          <w:marRight w:val="0"/>
          <w:marTop w:val="0"/>
          <w:marBottom w:val="0"/>
          <w:divBdr>
            <w:top w:val="none" w:sz="0" w:space="0" w:color="auto"/>
            <w:left w:val="none" w:sz="0" w:space="0" w:color="auto"/>
            <w:bottom w:val="none" w:sz="0" w:space="0" w:color="auto"/>
            <w:right w:val="none" w:sz="0" w:space="0" w:color="auto"/>
          </w:divBdr>
        </w:div>
        <w:div w:id="603684683">
          <w:marLeft w:val="274"/>
          <w:marRight w:val="0"/>
          <w:marTop w:val="0"/>
          <w:marBottom w:val="0"/>
          <w:divBdr>
            <w:top w:val="none" w:sz="0" w:space="0" w:color="auto"/>
            <w:left w:val="none" w:sz="0" w:space="0" w:color="auto"/>
            <w:bottom w:val="none" w:sz="0" w:space="0" w:color="auto"/>
            <w:right w:val="none" w:sz="0" w:space="0" w:color="auto"/>
          </w:divBdr>
        </w:div>
        <w:div w:id="701323369">
          <w:marLeft w:val="274"/>
          <w:marRight w:val="0"/>
          <w:marTop w:val="0"/>
          <w:marBottom w:val="0"/>
          <w:divBdr>
            <w:top w:val="none" w:sz="0" w:space="0" w:color="auto"/>
            <w:left w:val="none" w:sz="0" w:space="0" w:color="auto"/>
            <w:bottom w:val="none" w:sz="0" w:space="0" w:color="auto"/>
            <w:right w:val="none" w:sz="0" w:space="0" w:color="auto"/>
          </w:divBdr>
        </w:div>
        <w:div w:id="1315841644">
          <w:marLeft w:val="274"/>
          <w:marRight w:val="0"/>
          <w:marTop w:val="0"/>
          <w:marBottom w:val="0"/>
          <w:divBdr>
            <w:top w:val="none" w:sz="0" w:space="0" w:color="auto"/>
            <w:left w:val="none" w:sz="0" w:space="0" w:color="auto"/>
            <w:bottom w:val="none" w:sz="0" w:space="0" w:color="auto"/>
            <w:right w:val="none" w:sz="0" w:space="0" w:color="auto"/>
          </w:divBdr>
        </w:div>
        <w:div w:id="1587302663">
          <w:marLeft w:val="274"/>
          <w:marRight w:val="0"/>
          <w:marTop w:val="0"/>
          <w:marBottom w:val="0"/>
          <w:divBdr>
            <w:top w:val="none" w:sz="0" w:space="0" w:color="auto"/>
            <w:left w:val="none" w:sz="0" w:space="0" w:color="auto"/>
            <w:bottom w:val="none" w:sz="0" w:space="0" w:color="auto"/>
            <w:right w:val="none" w:sz="0" w:space="0" w:color="auto"/>
          </w:divBdr>
        </w:div>
      </w:divsChild>
    </w:div>
    <w:div w:id="632177739">
      <w:bodyDiv w:val="1"/>
      <w:marLeft w:val="0"/>
      <w:marRight w:val="0"/>
      <w:marTop w:val="0"/>
      <w:marBottom w:val="0"/>
      <w:divBdr>
        <w:top w:val="none" w:sz="0" w:space="0" w:color="auto"/>
        <w:left w:val="none" w:sz="0" w:space="0" w:color="auto"/>
        <w:bottom w:val="none" w:sz="0" w:space="0" w:color="auto"/>
        <w:right w:val="none" w:sz="0" w:space="0" w:color="auto"/>
      </w:divBdr>
    </w:div>
    <w:div w:id="681007404">
      <w:bodyDiv w:val="1"/>
      <w:marLeft w:val="0"/>
      <w:marRight w:val="0"/>
      <w:marTop w:val="0"/>
      <w:marBottom w:val="0"/>
      <w:divBdr>
        <w:top w:val="none" w:sz="0" w:space="0" w:color="auto"/>
        <w:left w:val="none" w:sz="0" w:space="0" w:color="auto"/>
        <w:bottom w:val="none" w:sz="0" w:space="0" w:color="auto"/>
        <w:right w:val="none" w:sz="0" w:space="0" w:color="auto"/>
      </w:divBdr>
    </w:div>
    <w:div w:id="773550442">
      <w:bodyDiv w:val="1"/>
      <w:marLeft w:val="0"/>
      <w:marRight w:val="0"/>
      <w:marTop w:val="0"/>
      <w:marBottom w:val="0"/>
      <w:divBdr>
        <w:top w:val="none" w:sz="0" w:space="0" w:color="auto"/>
        <w:left w:val="none" w:sz="0" w:space="0" w:color="auto"/>
        <w:bottom w:val="none" w:sz="0" w:space="0" w:color="auto"/>
        <w:right w:val="none" w:sz="0" w:space="0" w:color="auto"/>
      </w:divBdr>
      <w:divsChild>
        <w:div w:id="299308125">
          <w:marLeft w:val="0"/>
          <w:marRight w:val="0"/>
          <w:marTop w:val="0"/>
          <w:marBottom w:val="0"/>
          <w:divBdr>
            <w:top w:val="none" w:sz="0" w:space="0" w:color="auto"/>
            <w:left w:val="none" w:sz="0" w:space="0" w:color="auto"/>
            <w:bottom w:val="none" w:sz="0" w:space="0" w:color="auto"/>
            <w:right w:val="none" w:sz="0" w:space="0" w:color="auto"/>
          </w:divBdr>
          <w:divsChild>
            <w:div w:id="1509442648">
              <w:marLeft w:val="0"/>
              <w:marRight w:val="0"/>
              <w:marTop w:val="0"/>
              <w:marBottom w:val="0"/>
              <w:divBdr>
                <w:top w:val="none" w:sz="0" w:space="0" w:color="auto"/>
                <w:left w:val="none" w:sz="0" w:space="0" w:color="auto"/>
                <w:bottom w:val="none" w:sz="0" w:space="0" w:color="auto"/>
                <w:right w:val="none" w:sz="0" w:space="0" w:color="auto"/>
              </w:divBdr>
              <w:divsChild>
                <w:div w:id="2078821676">
                  <w:marLeft w:val="0"/>
                  <w:marRight w:val="0"/>
                  <w:marTop w:val="0"/>
                  <w:marBottom w:val="0"/>
                  <w:divBdr>
                    <w:top w:val="none" w:sz="0" w:space="0" w:color="auto"/>
                    <w:left w:val="none" w:sz="0" w:space="0" w:color="auto"/>
                    <w:bottom w:val="none" w:sz="0" w:space="0" w:color="auto"/>
                    <w:right w:val="none" w:sz="0" w:space="0" w:color="auto"/>
                  </w:divBdr>
                  <w:divsChild>
                    <w:div w:id="47655911">
                      <w:marLeft w:val="0"/>
                      <w:marRight w:val="0"/>
                      <w:marTop w:val="0"/>
                      <w:marBottom w:val="0"/>
                      <w:divBdr>
                        <w:top w:val="none" w:sz="0" w:space="0" w:color="auto"/>
                        <w:left w:val="none" w:sz="0" w:space="0" w:color="auto"/>
                        <w:bottom w:val="none" w:sz="0" w:space="0" w:color="auto"/>
                        <w:right w:val="none" w:sz="0" w:space="0" w:color="auto"/>
                      </w:divBdr>
                      <w:divsChild>
                        <w:div w:id="86711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639600">
      <w:bodyDiv w:val="1"/>
      <w:marLeft w:val="0"/>
      <w:marRight w:val="0"/>
      <w:marTop w:val="0"/>
      <w:marBottom w:val="0"/>
      <w:divBdr>
        <w:top w:val="none" w:sz="0" w:space="0" w:color="auto"/>
        <w:left w:val="none" w:sz="0" w:space="0" w:color="auto"/>
        <w:bottom w:val="none" w:sz="0" w:space="0" w:color="auto"/>
        <w:right w:val="none" w:sz="0" w:space="0" w:color="auto"/>
      </w:divBdr>
    </w:div>
    <w:div w:id="973025231">
      <w:bodyDiv w:val="1"/>
      <w:marLeft w:val="0"/>
      <w:marRight w:val="0"/>
      <w:marTop w:val="0"/>
      <w:marBottom w:val="0"/>
      <w:divBdr>
        <w:top w:val="none" w:sz="0" w:space="0" w:color="auto"/>
        <w:left w:val="none" w:sz="0" w:space="0" w:color="auto"/>
        <w:bottom w:val="none" w:sz="0" w:space="0" w:color="auto"/>
        <w:right w:val="none" w:sz="0" w:space="0" w:color="auto"/>
      </w:divBdr>
    </w:div>
    <w:div w:id="1122923246">
      <w:bodyDiv w:val="1"/>
      <w:marLeft w:val="0"/>
      <w:marRight w:val="0"/>
      <w:marTop w:val="0"/>
      <w:marBottom w:val="0"/>
      <w:divBdr>
        <w:top w:val="none" w:sz="0" w:space="0" w:color="auto"/>
        <w:left w:val="none" w:sz="0" w:space="0" w:color="auto"/>
        <w:bottom w:val="none" w:sz="0" w:space="0" w:color="auto"/>
        <w:right w:val="none" w:sz="0" w:space="0" w:color="auto"/>
      </w:divBdr>
    </w:div>
    <w:div w:id="1215388726">
      <w:bodyDiv w:val="1"/>
      <w:marLeft w:val="0"/>
      <w:marRight w:val="0"/>
      <w:marTop w:val="0"/>
      <w:marBottom w:val="0"/>
      <w:divBdr>
        <w:top w:val="none" w:sz="0" w:space="0" w:color="auto"/>
        <w:left w:val="none" w:sz="0" w:space="0" w:color="auto"/>
        <w:bottom w:val="none" w:sz="0" w:space="0" w:color="auto"/>
        <w:right w:val="none" w:sz="0" w:space="0" w:color="auto"/>
      </w:divBdr>
    </w:div>
    <w:div w:id="1336107229">
      <w:bodyDiv w:val="1"/>
      <w:marLeft w:val="0"/>
      <w:marRight w:val="0"/>
      <w:marTop w:val="0"/>
      <w:marBottom w:val="0"/>
      <w:divBdr>
        <w:top w:val="none" w:sz="0" w:space="0" w:color="auto"/>
        <w:left w:val="none" w:sz="0" w:space="0" w:color="auto"/>
        <w:bottom w:val="none" w:sz="0" w:space="0" w:color="auto"/>
        <w:right w:val="none" w:sz="0" w:space="0" w:color="auto"/>
      </w:divBdr>
      <w:divsChild>
        <w:div w:id="1663313038">
          <w:marLeft w:val="0"/>
          <w:marRight w:val="0"/>
          <w:marTop w:val="0"/>
          <w:marBottom w:val="0"/>
          <w:divBdr>
            <w:top w:val="none" w:sz="0" w:space="0" w:color="auto"/>
            <w:left w:val="none" w:sz="0" w:space="0" w:color="auto"/>
            <w:bottom w:val="none" w:sz="0" w:space="0" w:color="auto"/>
            <w:right w:val="none" w:sz="0" w:space="0" w:color="auto"/>
          </w:divBdr>
          <w:divsChild>
            <w:div w:id="6632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4187">
      <w:bodyDiv w:val="1"/>
      <w:marLeft w:val="0"/>
      <w:marRight w:val="0"/>
      <w:marTop w:val="0"/>
      <w:marBottom w:val="0"/>
      <w:divBdr>
        <w:top w:val="none" w:sz="0" w:space="0" w:color="auto"/>
        <w:left w:val="none" w:sz="0" w:space="0" w:color="auto"/>
        <w:bottom w:val="none" w:sz="0" w:space="0" w:color="auto"/>
        <w:right w:val="none" w:sz="0" w:space="0" w:color="auto"/>
      </w:divBdr>
    </w:div>
    <w:div w:id="1554267150">
      <w:bodyDiv w:val="1"/>
      <w:marLeft w:val="0"/>
      <w:marRight w:val="0"/>
      <w:marTop w:val="0"/>
      <w:marBottom w:val="0"/>
      <w:divBdr>
        <w:top w:val="none" w:sz="0" w:space="0" w:color="auto"/>
        <w:left w:val="none" w:sz="0" w:space="0" w:color="auto"/>
        <w:bottom w:val="none" w:sz="0" w:space="0" w:color="auto"/>
        <w:right w:val="none" w:sz="0" w:space="0" w:color="auto"/>
      </w:divBdr>
    </w:div>
    <w:div w:id="1555309376">
      <w:bodyDiv w:val="1"/>
      <w:marLeft w:val="0"/>
      <w:marRight w:val="0"/>
      <w:marTop w:val="0"/>
      <w:marBottom w:val="0"/>
      <w:divBdr>
        <w:top w:val="none" w:sz="0" w:space="0" w:color="auto"/>
        <w:left w:val="none" w:sz="0" w:space="0" w:color="auto"/>
        <w:bottom w:val="none" w:sz="0" w:space="0" w:color="auto"/>
        <w:right w:val="none" w:sz="0" w:space="0" w:color="auto"/>
      </w:divBdr>
    </w:div>
    <w:div w:id="1815020956">
      <w:bodyDiv w:val="1"/>
      <w:marLeft w:val="0"/>
      <w:marRight w:val="0"/>
      <w:marTop w:val="0"/>
      <w:marBottom w:val="0"/>
      <w:divBdr>
        <w:top w:val="none" w:sz="0" w:space="0" w:color="auto"/>
        <w:left w:val="none" w:sz="0" w:space="0" w:color="auto"/>
        <w:bottom w:val="none" w:sz="0" w:space="0" w:color="auto"/>
        <w:right w:val="none" w:sz="0" w:space="0" w:color="auto"/>
      </w:divBdr>
    </w:div>
    <w:div w:id="1838228394">
      <w:bodyDiv w:val="1"/>
      <w:marLeft w:val="0"/>
      <w:marRight w:val="0"/>
      <w:marTop w:val="0"/>
      <w:marBottom w:val="0"/>
      <w:divBdr>
        <w:top w:val="none" w:sz="0" w:space="0" w:color="auto"/>
        <w:left w:val="none" w:sz="0" w:space="0" w:color="auto"/>
        <w:bottom w:val="none" w:sz="0" w:space="0" w:color="auto"/>
        <w:right w:val="none" w:sz="0" w:space="0" w:color="auto"/>
      </w:divBdr>
    </w:div>
    <w:div w:id="1867870822">
      <w:bodyDiv w:val="1"/>
      <w:marLeft w:val="0"/>
      <w:marRight w:val="0"/>
      <w:marTop w:val="0"/>
      <w:marBottom w:val="0"/>
      <w:divBdr>
        <w:top w:val="none" w:sz="0" w:space="0" w:color="auto"/>
        <w:left w:val="none" w:sz="0" w:space="0" w:color="auto"/>
        <w:bottom w:val="none" w:sz="0" w:space="0" w:color="auto"/>
        <w:right w:val="none" w:sz="0" w:space="0" w:color="auto"/>
      </w:divBdr>
    </w:div>
    <w:div w:id="1934362683">
      <w:bodyDiv w:val="1"/>
      <w:marLeft w:val="0"/>
      <w:marRight w:val="0"/>
      <w:marTop w:val="0"/>
      <w:marBottom w:val="0"/>
      <w:divBdr>
        <w:top w:val="none" w:sz="0" w:space="0" w:color="auto"/>
        <w:left w:val="none" w:sz="0" w:space="0" w:color="auto"/>
        <w:bottom w:val="none" w:sz="0" w:space="0" w:color="auto"/>
        <w:right w:val="none" w:sz="0" w:space="0" w:color="auto"/>
      </w:divBdr>
    </w:div>
    <w:div w:id="209246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hangir.khan@lstmed.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BFC4D-99B1-4908-9FAA-0E82E1930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36522</Words>
  <Characters>208177</Characters>
  <Application>Microsoft Office Word</Application>
  <DocSecurity>0</DocSecurity>
  <Lines>1734</Lines>
  <Paragraphs>488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Jahangir</dc:creator>
  <cp:keywords/>
  <dc:description/>
  <cp:lastModifiedBy>Stacy Murtagh</cp:lastModifiedBy>
  <cp:revision>2</cp:revision>
  <cp:lastPrinted>2018-04-15T04:48:00Z</cp:lastPrinted>
  <dcterms:created xsi:type="dcterms:W3CDTF">2019-12-04T12:03:00Z</dcterms:created>
  <dcterms:modified xsi:type="dcterms:W3CDTF">2019-12-04T12:03:00Z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https://csl.mendeley.com/styles/456535731/american-medical-association</vt:lpwstr>
  </property>
  <property fmtid="{D5CDD505-2E9C-101B-9397-08002B2CF9AE}" pid="3" name="Mendeley Recent Style Name 0_1">
    <vt:lpwstr>American Medical Association - Sayem Ahmed</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a5a6d70a-390b-3f2b-8954-965d026c7a48</vt:lpwstr>
  </property>
  <property fmtid="{D5CDD505-2E9C-101B-9397-08002B2CF9AE}" pid="24" name="Mendeley Citation Style_1">
    <vt:lpwstr>https://csl.mendeley.com/styles/456535731/american-medical-association</vt:lpwstr>
  </property>
</Properties>
</file>