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F958" w14:textId="229308FA" w:rsidR="00F1530B" w:rsidRPr="00902C77" w:rsidRDefault="00F1530B" w:rsidP="006C25B6">
      <w:pPr>
        <w:pStyle w:val="Title"/>
      </w:pPr>
      <w:bookmarkStart w:id="0" w:name="_GoBack"/>
      <w:bookmarkEnd w:id="0"/>
      <w:r w:rsidRPr="006C25B6">
        <w:t xml:space="preserve">Treatment responses to Azithromycin and Ciprofloxacin in uncomplicated </w:t>
      </w:r>
      <w:r w:rsidRPr="0026490E">
        <w:t>Salmonella</w:t>
      </w:r>
      <w:r w:rsidRPr="006C25B6">
        <w:t xml:space="preserve"> Typhi infection</w:t>
      </w:r>
      <w:r w:rsidR="00FB66A9">
        <w:t>:</w:t>
      </w:r>
      <w:r w:rsidRPr="006C25B6">
        <w:t xml:space="preserve"> A comparison of </w:t>
      </w:r>
      <w:r w:rsidR="006065AC" w:rsidRPr="00ED5AD4">
        <w:t>C</w:t>
      </w:r>
      <w:r w:rsidRPr="00ED5AD4">
        <w:t xml:space="preserve">linical and </w:t>
      </w:r>
      <w:r w:rsidR="006065AC" w:rsidRPr="00ED5AD4">
        <w:t>M</w:t>
      </w:r>
      <w:r w:rsidRPr="00ED5AD4">
        <w:t xml:space="preserve">icrobiological </w:t>
      </w:r>
      <w:r w:rsidR="006065AC" w:rsidRPr="00ED5AD4">
        <w:t>D</w:t>
      </w:r>
      <w:r w:rsidR="00451971" w:rsidRPr="00ED5AD4">
        <w:t>ata from</w:t>
      </w:r>
      <w:r w:rsidRPr="00ED5AD4">
        <w:t xml:space="preserve"> a </w:t>
      </w:r>
      <w:r w:rsidR="006065AC" w:rsidRPr="00ED5AD4">
        <w:t>C</w:t>
      </w:r>
      <w:r w:rsidRPr="00902C77">
        <w:t xml:space="preserve">ontrolled </w:t>
      </w:r>
      <w:r w:rsidR="006065AC" w:rsidRPr="00902C77">
        <w:t>H</w:t>
      </w:r>
      <w:r w:rsidRPr="00902C77">
        <w:t xml:space="preserve">uman </w:t>
      </w:r>
      <w:r w:rsidR="006065AC" w:rsidRPr="00902C77">
        <w:t>I</w:t>
      </w:r>
      <w:r w:rsidRPr="00902C77">
        <w:t xml:space="preserve">nfection </w:t>
      </w:r>
      <w:r w:rsidR="006065AC" w:rsidRPr="00902C77">
        <w:t>M</w:t>
      </w:r>
      <w:r w:rsidRPr="00902C77">
        <w:t>odel</w:t>
      </w:r>
    </w:p>
    <w:p w14:paraId="105A3ADB" w14:textId="674B8681" w:rsidR="00F1530B" w:rsidRDefault="00F1530B" w:rsidP="006C25B6">
      <w:pPr>
        <w:rPr>
          <w:lang w:eastAsia="en-GB"/>
        </w:rPr>
      </w:pPr>
    </w:p>
    <w:p w14:paraId="5773F8E0" w14:textId="171F8670" w:rsidR="00451971" w:rsidRDefault="00451971" w:rsidP="006C25B6">
      <w:pPr>
        <w:rPr>
          <w:lang w:eastAsia="en-GB"/>
        </w:rPr>
      </w:pPr>
    </w:p>
    <w:p w14:paraId="2F754118" w14:textId="77777777" w:rsidR="00451971" w:rsidRPr="00451971" w:rsidRDefault="00451971" w:rsidP="006C25B6">
      <w:pPr>
        <w:rPr>
          <w:lang w:eastAsia="en-GB"/>
        </w:rPr>
      </w:pPr>
    </w:p>
    <w:p w14:paraId="68F0C996" w14:textId="30104653" w:rsidR="00F1530B" w:rsidRPr="00D40F04" w:rsidRDefault="00F1530B" w:rsidP="00D40F04">
      <w:pPr>
        <w:spacing w:line="240" w:lineRule="auto"/>
        <w:jc w:val="left"/>
        <w:rPr>
          <w:rFonts w:ascii="Arial" w:hAnsi="Arial" w:cs="Arial"/>
          <w:color w:val="222222"/>
          <w:sz w:val="21"/>
          <w:szCs w:val="21"/>
          <w:shd w:val="clear" w:color="auto" w:fill="FFFFFF"/>
        </w:rPr>
      </w:pPr>
      <w:r w:rsidRPr="000D1609">
        <w:rPr>
          <w:lang w:eastAsia="en-GB"/>
        </w:rPr>
        <w:t xml:space="preserve">Celina </w:t>
      </w:r>
      <w:proofErr w:type="spellStart"/>
      <w:r w:rsidRPr="000D1609">
        <w:rPr>
          <w:lang w:eastAsia="en-GB"/>
        </w:rPr>
        <w:t>Jin</w:t>
      </w:r>
      <w:proofErr w:type="spellEnd"/>
      <w:r w:rsidRPr="000D1609">
        <w:rPr>
          <w:lang w:eastAsia="en-GB"/>
        </w:rPr>
        <w:t>*</w:t>
      </w:r>
      <w:r w:rsidRPr="000D1609">
        <w:rPr>
          <w:vertAlign w:val="superscript"/>
          <w:lang w:eastAsia="en-GB"/>
        </w:rPr>
        <w:t>1</w:t>
      </w:r>
      <w:r w:rsidRPr="000D1609">
        <w:rPr>
          <w:lang w:eastAsia="en-GB"/>
        </w:rPr>
        <w:t xml:space="preserve">, </w:t>
      </w:r>
      <w:proofErr w:type="spellStart"/>
      <w:r w:rsidRPr="000D1609">
        <w:rPr>
          <w:lang w:eastAsia="en-GB"/>
        </w:rPr>
        <w:t>Malick</w:t>
      </w:r>
      <w:proofErr w:type="spellEnd"/>
      <w:r w:rsidRPr="000D1609">
        <w:rPr>
          <w:lang w:eastAsia="en-GB"/>
        </w:rPr>
        <w:t xml:space="preserve"> M </w:t>
      </w:r>
      <w:proofErr w:type="spellStart"/>
      <w:r w:rsidRPr="000D1609">
        <w:rPr>
          <w:lang w:eastAsia="en-GB"/>
        </w:rPr>
        <w:t>Gibani</w:t>
      </w:r>
      <w:proofErr w:type="spellEnd"/>
      <w:r w:rsidRPr="000D1609">
        <w:rPr>
          <w:lang w:eastAsia="en-GB"/>
        </w:rPr>
        <w:t>*</w:t>
      </w:r>
      <w:r w:rsidRPr="000D1609">
        <w:rPr>
          <w:vertAlign w:val="superscript"/>
          <w:lang w:eastAsia="en-GB"/>
        </w:rPr>
        <w:t>1</w:t>
      </w:r>
      <w:r w:rsidR="00451971" w:rsidRPr="000D1609">
        <w:rPr>
          <w:vertAlign w:val="superscript"/>
          <w:lang w:eastAsia="en-GB"/>
        </w:rPr>
        <w:t>,2</w:t>
      </w:r>
      <w:r w:rsidRPr="000D1609">
        <w:rPr>
          <w:lang w:eastAsia="en-GB"/>
        </w:rPr>
        <w:t xml:space="preserve">, Shaun </w:t>
      </w:r>
      <w:r w:rsidR="00E46BE5">
        <w:rPr>
          <w:lang w:eastAsia="en-GB"/>
        </w:rPr>
        <w:t xml:space="preserve">H </w:t>
      </w:r>
      <w:r w:rsidRPr="000D1609">
        <w:rPr>
          <w:lang w:eastAsia="en-GB"/>
        </w:rPr>
        <w:t>Pennington</w:t>
      </w:r>
      <w:r w:rsidR="00451971" w:rsidRPr="000D1609">
        <w:rPr>
          <w:vertAlign w:val="superscript"/>
          <w:lang w:eastAsia="en-GB"/>
        </w:rPr>
        <w:t>3</w:t>
      </w:r>
      <w:r w:rsidRPr="000D1609">
        <w:rPr>
          <w:lang w:eastAsia="en-GB"/>
        </w:rPr>
        <w:t xml:space="preserve">, </w:t>
      </w:r>
      <w:proofErr w:type="spellStart"/>
      <w:r w:rsidRPr="000D1609">
        <w:rPr>
          <w:lang w:eastAsia="en-GB"/>
        </w:rPr>
        <w:t>Xinxue</w:t>
      </w:r>
      <w:proofErr w:type="spellEnd"/>
      <w:r w:rsidRPr="000D1609">
        <w:rPr>
          <w:lang w:eastAsia="en-GB"/>
        </w:rPr>
        <w:t xml:space="preserve"> Liu</w:t>
      </w:r>
      <w:r w:rsidR="009135AB" w:rsidRPr="000D1609">
        <w:rPr>
          <w:vertAlign w:val="superscript"/>
          <w:lang w:eastAsia="en-GB"/>
        </w:rPr>
        <w:t>1</w:t>
      </w:r>
      <w:r w:rsidRPr="000D1609">
        <w:rPr>
          <w:lang w:eastAsia="en-GB"/>
        </w:rPr>
        <w:t>, Alison Ardrey</w:t>
      </w:r>
      <w:r w:rsidR="00451971" w:rsidRPr="000D1609">
        <w:rPr>
          <w:vertAlign w:val="superscript"/>
          <w:lang w:eastAsia="en-GB"/>
        </w:rPr>
        <w:t>3</w:t>
      </w:r>
      <w:r w:rsidRPr="000D1609">
        <w:rPr>
          <w:lang w:eastAsia="en-GB"/>
        </w:rPr>
        <w:t xml:space="preserve">, </w:t>
      </w:r>
      <w:r w:rsidR="00E46BE5" w:rsidRPr="008D19F6">
        <w:rPr>
          <w:lang w:eastAsia="en-GB"/>
        </w:rPr>
        <w:t>Ghaith Aljayyoussi</w:t>
      </w:r>
      <w:r w:rsidR="00E46BE5" w:rsidRPr="008D19F6">
        <w:rPr>
          <w:vertAlign w:val="superscript"/>
          <w:lang w:eastAsia="en-GB"/>
        </w:rPr>
        <w:t>3</w:t>
      </w:r>
      <w:r w:rsidR="00E46BE5" w:rsidRPr="008D19F6">
        <w:rPr>
          <w:lang w:eastAsia="en-GB"/>
        </w:rPr>
        <w:t>,</w:t>
      </w:r>
      <w:r w:rsidR="00E46BE5">
        <w:rPr>
          <w:lang w:eastAsia="en-GB"/>
        </w:rPr>
        <w:t xml:space="preserve"> </w:t>
      </w:r>
      <w:r w:rsidRPr="000D1609">
        <w:rPr>
          <w:lang w:eastAsia="en-GB"/>
        </w:rPr>
        <w:t>Maria Moore</w:t>
      </w:r>
      <w:r w:rsidR="009135AB" w:rsidRPr="000D1609">
        <w:rPr>
          <w:vertAlign w:val="superscript"/>
          <w:lang w:eastAsia="en-GB"/>
        </w:rPr>
        <w:t>1</w:t>
      </w:r>
      <w:r w:rsidRPr="000D1609">
        <w:rPr>
          <w:lang w:eastAsia="en-GB"/>
        </w:rPr>
        <w:t>, Brian Angus</w:t>
      </w:r>
      <w:r w:rsidR="00451971" w:rsidRPr="000D1609">
        <w:rPr>
          <w:vertAlign w:val="superscript"/>
          <w:lang w:eastAsia="en-GB"/>
        </w:rPr>
        <w:t>5</w:t>
      </w:r>
      <w:r w:rsidRPr="000D1609">
        <w:rPr>
          <w:lang w:eastAsia="en-GB"/>
        </w:rPr>
        <w:t>,</w:t>
      </w:r>
      <w:r w:rsidR="009135AB" w:rsidRPr="000D1609">
        <w:rPr>
          <w:lang w:eastAsia="en-GB"/>
        </w:rPr>
        <w:t xml:space="preserve"> Christopher Parry</w:t>
      </w:r>
      <w:r w:rsidR="00451971" w:rsidRPr="000D1609">
        <w:rPr>
          <w:vertAlign w:val="superscript"/>
          <w:lang w:eastAsia="en-GB"/>
        </w:rPr>
        <w:t>3</w:t>
      </w:r>
      <w:r w:rsidR="00C068BA">
        <w:rPr>
          <w:vertAlign w:val="superscript"/>
          <w:lang w:eastAsia="en-GB"/>
        </w:rPr>
        <w:t>,6,7,8</w:t>
      </w:r>
      <w:r w:rsidR="009135AB" w:rsidRPr="000D1609">
        <w:rPr>
          <w:lang w:eastAsia="en-GB"/>
        </w:rPr>
        <w:t>,</w:t>
      </w:r>
      <w:r w:rsidRPr="000D1609">
        <w:rPr>
          <w:lang w:eastAsia="en-GB"/>
        </w:rPr>
        <w:t xml:space="preserve"> Giancarlo</w:t>
      </w:r>
      <w:r w:rsidR="00E46BE5">
        <w:rPr>
          <w:lang w:eastAsia="en-GB"/>
        </w:rPr>
        <w:t xml:space="preserve"> A</w:t>
      </w:r>
      <w:r w:rsidRPr="000D1609">
        <w:rPr>
          <w:lang w:eastAsia="en-GB"/>
        </w:rPr>
        <w:t xml:space="preserve"> Biagini</w:t>
      </w:r>
      <w:r w:rsidR="00451971" w:rsidRPr="000D1609">
        <w:rPr>
          <w:vertAlign w:val="superscript"/>
          <w:lang w:eastAsia="en-GB"/>
        </w:rPr>
        <w:t>3</w:t>
      </w:r>
      <w:r w:rsidRPr="000D1609">
        <w:rPr>
          <w:lang w:eastAsia="en-GB"/>
        </w:rPr>
        <w:t>, Nicholas Feasey</w:t>
      </w:r>
      <w:r w:rsidR="008F6A0C" w:rsidRPr="00D40F04">
        <w:rPr>
          <w:rFonts w:cs="Arial"/>
          <w:color w:val="222222"/>
          <w:sz w:val="21"/>
          <w:szCs w:val="21"/>
          <w:shd w:val="clear" w:color="auto" w:fill="FFFFFF"/>
          <w:vertAlign w:val="superscript"/>
        </w:rPr>
        <w:t>†</w:t>
      </w:r>
      <w:r w:rsidR="009834E2">
        <w:rPr>
          <w:vertAlign w:val="superscript"/>
          <w:lang w:eastAsia="en-GB"/>
        </w:rPr>
        <w:t>6,</w:t>
      </w:r>
      <w:r w:rsidR="00C068BA">
        <w:rPr>
          <w:vertAlign w:val="superscript"/>
          <w:lang w:eastAsia="en-GB"/>
        </w:rPr>
        <w:t>9</w:t>
      </w:r>
      <w:r w:rsidRPr="000D1609">
        <w:rPr>
          <w:lang w:eastAsia="en-GB"/>
        </w:rPr>
        <w:t>, Andrew J Pollard</w:t>
      </w:r>
      <w:r w:rsidR="008F6A0C" w:rsidRPr="00D40F04">
        <w:rPr>
          <w:rFonts w:cs="Arial"/>
          <w:color w:val="222222"/>
          <w:sz w:val="21"/>
          <w:szCs w:val="21"/>
          <w:shd w:val="clear" w:color="auto" w:fill="FFFFFF"/>
          <w:vertAlign w:val="superscript"/>
        </w:rPr>
        <w:t>†</w:t>
      </w:r>
      <w:r w:rsidRPr="000D1609">
        <w:rPr>
          <w:vertAlign w:val="superscript"/>
          <w:lang w:eastAsia="en-GB"/>
        </w:rPr>
        <w:t>1</w:t>
      </w:r>
    </w:p>
    <w:p w14:paraId="78727580" w14:textId="77777777" w:rsidR="00F1530B" w:rsidRPr="001A6CE3" w:rsidRDefault="00F1530B" w:rsidP="0026490E">
      <w:pPr>
        <w:spacing w:line="240" w:lineRule="auto"/>
      </w:pPr>
    </w:p>
    <w:p w14:paraId="5A12B2EC" w14:textId="45A83EA8" w:rsidR="00F1530B" w:rsidRPr="0026490E" w:rsidRDefault="00F1530B" w:rsidP="006C25B6">
      <w:pPr>
        <w:pStyle w:val="ListParagraph"/>
        <w:numPr>
          <w:ilvl w:val="0"/>
          <w:numId w:val="2"/>
        </w:numPr>
        <w:spacing w:line="240" w:lineRule="auto"/>
        <w:rPr>
          <w:sz w:val="16"/>
          <w:szCs w:val="16"/>
          <w:lang w:eastAsia="en-GB"/>
        </w:rPr>
      </w:pPr>
      <w:r w:rsidRPr="0026490E">
        <w:rPr>
          <w:sz w:val="16"/>
          <w:szCs w:val="16"/>
          <w:lang w:eastAsia="en-GB"/>
        </w:rPr>
        <w:t>Oxford Vaccine Group, Department of Paediatrics, University of Oxford, and NIHR Oxford Biomedical Research Centre, Oxford, U</w:t>
      </w:r>
      <w:r w:rsidR="009135AB" w:rsidRPr="0026490E">
        <w:rPr>
          <w:sz w:val="16"/>
          <w:szCs w:val="16"/>
          <w:lang w:eastAsia="en-GB"/>
        </w:rPr>
        <w:t xml:space="preserve">nited </w:t>
      </w:r>
      <w:r w:rsidRPr="0026490E">
        <w:rPr>
          <w:sz w:val="16"/>
          <w:szCs w:val="16"/>
          <w:lang w:eastAsia="en-GB"/>
        </w:rPr>
        <w:t>K</w:t>
      </w:r>
      <w:r w:rsidR="009135AB" w:rsidRPr="0026490E">
        <w:rPr>
          <w:sz w:val="16"/>
          <w:szCs w:val="16"/>
          <w:lang w:eastAsia="en-GB"/>
        </w:rPr>
        <w:t>ingdom</w:t>
      </w:r>
    </w:p>
    <w:p w14:paraId="49CFD842" w14:textId="5054CC06"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D</w:t>
      </w:r>
      <w:r w:rsidR="008F6A0C">
        <w:rPr>
          <w:sz w:val="16"/>
          <w:szCs w:val="16"/>
          <w:lang w:eastAsia="en-GB"/>
        </w:rPr>
        <w:t xml:space="preserve">epartment </w:t>
      </w:r>
      <w:r w:rsidRPr="0026490E" w:rsidDel="0000014D">
        <w:rPr>
          <w:sz w:val="16"/>
          <w:szCs w:val="16"/>
          <w:lang w:eastAsia="en-GB"/>
        </w:rPr>
        <w:t>of</w:t>
      </w:r>
      <w:r w:rsidRPr="0026490E">
        <w:rPr>
          <w:sz w:val="16"/>
          <w:szCs w:val="16"/>
          <w:lang w:eastAsia="en-GB"/>
        </w:rPr>
        <w:t xml:space="preserve"> </w:t>
      </w:r>
      <w:r w:rsidRPr="0026490E" w:rsidDel="0000014D">
        <w:rPr>
          <w:sz w:val="16"/>
          <w:szCs w:val="16"/>
          <w:lang w:eastAsia="en-GB"/>
        </w:rPr>
        <w:t>Infectiou</w:t>
      </w:r>
      <w:r w:rsidRPr="0026490E">
        <w:rPr>
          <w:sz w:val="16"/>
          <w:szCs w:val="16"/>
          <w:lang w:eastAsia="en-GB"/>
        </w:rPr>
        <w:t>s</w:t>
      </w:r>
      <w:r w:rsidRPr="0026490E" w:rsidDel="0000014D">
        <w:rPr>
          <w:sz w:val="16"/>
          <w:szCs w:val="16"/>
          <w:lang w:eastAsia="en-GB"/>
        </w:rPr>
        <w:t xml:space="preserve"> Diseases,</w:t>
      </w:r>
      <w:r w:rsidRPr="0026490E">
        <w:rPr>
          <w:sz w:val="16"/>
          <w:szCs w:val="16"/>
          <w:lang w:eastAsia="en-GB"/>
        </w:rPr>
        <w:t xml:space="preserve"> </w:t>
      </w:r>
      <w:r w:rsidRPr="0026490E" w:rsidDel="0000014D">
        <w:rPr>
          <w:sz w:val="16"/>
          <w:szCs w:val="16"/>
          <w:lang w:eastAsia="en-GB"/>
        </w:rPr>
        <w:t>Imperial C</w:t>
      </w:r>
      <w:r w:rsidRPr="0026490E">
        <w:rPr>
          <w:sz w:val="16"/>
          <w:szCs w:val="16"/>
          <w:lang w:eastAsia="en-GB"/>
        </w:rPr>
        <w:t>o</w:t>
      </w:r>
      <w:r w:rsidRPr="0026490E" w:rsidDel="0000014D">
        <w:rPr>
          <w:sz w:val="16"/>
          <w:szCs w:val="16"/>
          <w:lang w:eastAsia="en-GB"/>
        </w:rPr>
        <w:t>llege Lon</w:t>
      </w:r>
      <w:r w:rsidRPr="0026490E">
        <w:rPr>
          <w:sz w:val="16"/>
          <w:szCs w:val="16"/>
          <w:lang w:eastAsia="en-GB"/>
        </w:rPr>
        <w:t>d</w:t>
      </w:r>
      <w:r w:rsidRPr="0026490E" w:rsidDel="0000014D">
        <w:rPr>
          <w:sz w:val="16"/>
          <w:szCs w:val="16"/>
          <w:lang w:eastAsia="en-GB"/>
        </w:rPr>
        <w:t>on</w:t>
      </w:r>
      <w:r w:rsidRPr="0026490E">
        <w:rPr>
          <w:sz w:val="16"/>
          <w:szCs w:val="16"/>
          <w:lang w:eastAsia="en-GB"/>
        </w:rPr>
        <w:t>,</w:t>
      </w:r>
      <w:r w:rsidRPr="0026490E" w:rsidDel="0000014D">
        <w:rPr>
          <w:sz w:val="16"/>
          <w:szCs w:val="16"/>
          <w:lang w:eastAsia="en-GB"/>
        </w:rPr>
        <w:t xml:space="preserve"> United King</w:t>
      </w:r>
      <w:r w:rsidRPr="0026490E">
        <w:rPr>
          <w:sz w:val="16"/>
          <w:szCs w:val="16"/>
          <w:lang w:eastAsia="en-GB"/>
        </w:rPr>
        <w:t>d</w:t>
      </w:r>
      <w:r w:rsidRPr="0026490E" w:rsidDel="0000014D">
        <w:rPr>
          <w:sz w:val="16"/>
          <w:szCs w:val="16"/>
          <w:lang w:eastAsia="en-GB"/>
        </w:rPr>
        <w:t>om</w:t>
      </w:r>
    </w:p>
    <w:p w14:paraId="2E46396A" w14:textId="39B72FEE"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Research Centre for Drugs and Diagnostics, Liverpool School of Tropical Medicine, Liverpool, United Kingdom</w:t>
      </w:r>
    </w:p>
    <w:p w14:paraId="43B6810C" w14:textId="4F8470F7" w:rsidR="00451971" w:rsidRPr="0026490E" w:rsidRDefault="00451971" w:rsidP="00ED5AD4">
      <w:pPr>
        <w:pStyle w:val="ListParagraph"/>
        <w:numPr>
          <w:ilvl w:val="0"/>
          <w:numId w:val="2"/>
        </w:numPr>
        <w:spacing w:line="240" w:lineRule="auto"/>
        <w:rPr>
          <w:sz w:val="16"/>
          <w:szCs w:val="16"/>
          <w:lang w:eastAsia="en-GB"/>
        </w:rPr>
      </w:pPr>
      <w:r w:rsidRPr="0026490E">
        <w:rPr>
          <w:sz w:val="16"/>
          <w:szCs w:val="16"/>
          <w:lang w:eastAsia="en-GB"/>
        </w:rPr>
        <w:t>Medical Research Council Human Immunology Unit, Radcliffe Department of Medicine, University of Oxford, Oxford, United Kingdom</w:t>
      </w:r>
    </w:p>
    <w:p w14:paraId="26EE9B6F" w14:textId="7C91533F" w:rsidR="00451971" w:rsidRDefault="00451971" w:rsidP="00ED5AD4">
      <w:pPr>
        <w:pStyle w:val="ListParagraph"/>
        <w:numPr>
          <w:ilvl w:val="0"/>
          <w:numId w:val="2"/>
        </w:numPr>
        <w:spacing w:line="240" w:lineRule="auto"/>
        <w:rPr>
          <w:sz w:val="16"/>
          <w:szCs w:val="16"/>
          <w:lang w:eastAsia="en-GB"/>
        </w:rPr>
      </w:pPr>
      <w:r w:rsidRPr="0026490E">
        <w:rPr>
          <w:sz w:val="16"/>
          <w:szCs w:val="16"/>
          <w:lang w:eastAsia="en-GB"/>
        </w:rPr>
        <w:t>Nuffield Department of Medicine, University of Oxford, Oxford, United Kingdom</w:t>
      </w:r>
    </w:p>
    <w:p w14:paraId="6E3387E7" w14:textId="48A7DFDD" w:rsidR="009834E2" w:rsidRDefault="009834E2" w:rsidP="00ED5AD4">
      <w:pPr>
        <w:pStyle w:val="ListParagraph"/>
        <w:numPr>
          <w:ilvl w:val="0"/>
          <w:numId w:val="2"/>
        </w:numPr>
        <w:spacing w:line="240" w:lineRule="auto"/>
        <w:rPr>
          <w:sz w:val="16"/>
          <w:szCs w:val="16"/>
          <w:lang w:eastAsia="en-GB"/>
        </w:rPr>
      </w:pPr>
      <w:r>
        <w:rPr>
          <w:sz w:val="16"/>
          <w:szCs w:val="16"/>
          <w:lang w:eastAsia="en-GB"/>
        </w:rPr>
        <w:t>Department of Clinical Sciences, Liverpool School of Tropical Medicine, Liverpool, UK</w:t>
      </w:r>
    </w:p>
    <w:p w14:paraId="21B6C22D" w14:textId="3ABF141D" w:rsidR="00C068BA" w:rsidRDefault="00C068BA" w:rsidP="00C068BA">
      <w:pPr>
        <w:pStyle w:val="ListParagraph"/>
        <w:numPr>
          <w:ilvl w:val="0"/>
          <w:numId w:val="2"/>
        </w:numPr>
        <w:spacing w:line="240" w:lineRule="auto"/>
        <w:rPr>
          <w:sz w:val="16"/>
          <w:szCs w:val="16"/>
          <w:lang w:eastAsia="en-GB"/>
        </w:rPr>
      </w:pPr>
      <w:r>
        <w:rPr>
          <w:sz w:val="16"/>
          <w:szCs w:val="16"/>
          <w:lang w:eastAsia="en-GB"/>
        </w:rPr>
        <w:t>Institute of Infection and Global Health, University of Liverpool, Liverpool, UK</w:t>
      </w:r>
    </w:p>
    <w:p w14:paraId="7FDD7FD2" w14:textId="1294014B" w:rsidR="00C068BA" w:rsidRPr="00C068BA" w:rsidRDefault="00C068BA" w:rsidP="00C068BA">
      <w:pPr>
        <w:pStyle w:val="ListParagraph"/>
        <w:numPr>
          <w:ilvl w:val="0"/>
          <w:numId w:val="2"/>
        </w:numPr>
        <w:spacing w:line="240" w:lineRule="auto"/>
        <w:rPr>
          <w:sz w:val="16"/>
          <w:szCs w:val="16"/>
          <w:lang w:eastAsia="en-GB"/>
        </w:rPr>
      </w:pPr>
      <w:r>
        <w:rPr>
          <w:sz w:val="16"/>
          <w:szCs w:val="16"/>
          <w:lang w:eastAsia="en-GB"/>
        </w:rPr>
        <w:t xml:space="preserve">School of Tropical Medicine and Global Health, </w:t>
      </w:r>
      <w:proofErr w:type="spellStart"/>
      <w:r>
        <w:rPr>
          <w:sz w:val="16"/>
          <w:szCs w:val="16"/>
          <w:lang w:eastAsia="en-GB"/>
        </w:rPr>
        <w:t>Nagsaki</w:t>
      </w:r>
      <w:proofErr w:type="spellEnd"/>
      <w:r>
        <w:rPr>
          <w:sz w:val="16"/>
          <w:szCs w:val="16"/>
          <w:lang w:eastAsia="en-GB"/>
        </w:rPr>
        <w:t xml:space="preserve"> University, Nagasaki, Japan</w:t>
      </w:r>
    </w:p>
    <w:p w14:paraId="6B43F1D5" w14:textId="59F3FA7D" w:rsidR="009834E2" w:rsidRPr="0026490E" w:rsidRDefault="009834E2" w:rsidP="00ED5AD4">
      <w:pPr>
        <w:pStyle w:val="ListParagraph"/>
        <w:numPr>
          <w:ilvl w:val="0"/>
          <w:numId w:val="2"/>
        </w:numPr>
        <w:spacing w:line="240" w:lineRule="auto"/>
        <w:rPr>
          <w:sz w:val="16"/>
          <w:szCs w:val="16"/>
          <w:lang w:eastAsia="en-GB"/>
        </w:rPr>
      </w:pPr>
      <w:r>
        <w:rPr>
          <w:sz w:val="16"/>
          <w:szCs w:val="16"/>
          <w:lang w:eastAsia="en-GB"/>
        </w:rPr>
        <w:t>Malawi Liverpool Wellcome Trust Clinical research Programme, Blantyre, Malawi</w:t>
      </w:r>
    </w:p>
    <w:p w14:paraId="46718C00" w14:textId="30770448" w:rsidR="00F1530B" w:rsidRDefault="00F1530B" w:rsidP="0026490E">
      <w:pPr>
        <w:spacing w:line="240" w:lineRule="auto"/>
      </w:pPr>
    </w:p>
    <w:p w14:paraId="60EC04F6" w14:textId="77777777" w:rsidR="00451971" w:rsidRDefault="00451971" w:rsidP="0026490E">
      <w:pPr>
        <w:spacing w:line="240" w:lineRule="auto"/>
      </w:pPr>
    </w:p>
    <w:p w14:paraId="6D784B4A" w14:textId="55F2A841" w:rsidR="00451971" w:rsidRPr="00451971" w:rsidRDefault="00451971" w:rsidP="0026490E">
      <w:pPr>
        <w:pStyle w:val="Heading3"/>
        <w:spacing w:line="240" w:lineRule="auto"/>
        <w:rPr>
          <w:lang w:eastAsia="en-GB"/>
        </w:rPr>
      </w:pPr>
      <w:r w:rsidRPr="00451971">
        <w:rPr>
          <w:lang w:eastAsia="en-GB"/>
        </w:rPr>
        <w:t xml:space="preserve">Corresponding Author </w:t>
      </w:r>
    </w:p>
    <w:p w14:paraId="3AED5184" w14:textId="60084AE7" w:rsidR="00451971" w:rsidRPr="006065AC" w:rsidRDefault="0041393D" w:rsidP="006C25B6">
      <w:pPr>
        <w:spacing w:line="240" w:lineRule="auto"/>
        <w:rPr>
          <w:lang w:eastAsia="en-GB"/>
        </w:rPr>
      </w:pPr>
      <w:r>
        <w:rPr>
          <w:lang w:eastAsia="en-GB"/>
        </w:rPr>
        <w:t xml:space="preserve">Malick M Gibani, </w:t>
      </w:r>
      <w:r w:rsidR="00451971" w:rsidRPr="006065AC">
        <w:rPr>
          <w:lang w:eastAsia="en-GB"/>
        </w:rPr>
        <w:t>Oxford Vaccine Group, Centre for Clinical Vaccinology &amp; Tropical Medicine, The Churchill Hospital, Old Road, Oxford, OX3 7LE</w:t>
      </w:r>
    </w:p>
    <w:p w14:paraId="3D5D03B4" w14:textId="6023F26C" w:rsidR="00451971" w:rsidRDefault="00337261" w:rsidP="00ED5AD4">
      <w:pPr>
        <w:spacing w:line="240" w:lineRule="auto"/>
        <w:rPr>
          <w:rFonts w:eastAsia="Times New Roman"/>
          <w:sz w:val="20"/>
          <w:szCs w:val="20"/>
          <w:lang w:eastAsia="en-GB"/>
        </w:rPr>
      </w:pPr>
      <w:hyperlink r:id="rId8" w:history="1">
        <w:r w:rsidR="008F6A0C" w:rsidRPr="002C5703">
          <w:rPr>
            <w:rStyle w:val="Hyperlink"/>
            <w:rFonts w:eastAsia="Times New Roman"/>
            <w:sz w:val="20"/>
            <w:szCs w:val="20"/>
            <w:lang w:eastAsia="en-GB"/>
          </w:rPr>
          <w:t>Malick.Gibani@paediatrics.ox.ac.uk</w:t>
        </w:r>
      </w:hyperlink>
    </w:p>
    <w:p w14:paraId="7EF5F697" w14:textId="1079CF3A" w:rsidR="008F6A0C" w:rsidRDefault="008F6A0C" w:rsidP="00ED5AD4">
      <w:pPr>
        <w:spacing w:line="240" w:lineRule="auto"/>
        <w:rPr>
          <w:rFonts w:eastAsia="Times New Roman"/>
          <w:sz w:val="20"/>
          <w:szCs w:val="20"/>
          <w:lang w:eastAsia="en-GB"/>
        </w:rPr>
      </w:pPr>
    </w:p>
    <w:p w14:paraId="2C0F9C45" w14:textId="3D7E5260" w:rsidR="008F6A0C" w:rsidRPr="00D40F04" w:rsidRDefault="008F6A0C" w:rsidP="00ED5AD4">
      <w:pPr>
        <w:spacing w:line="240" w:lineRule="auto"/>
        <w:rPr>
          <w:rFonts w:eastAsia="Times New Roman"/>
          <w:sz w:val="20"/>
          <w:szCs w:val="20"/>
          <w:lang w:eastAsia="en-GB"/>
        </w:rPr>
      </w:pPr>
      <w:r>
        <w:rPr>
          <w:rFonts w:eastAsia="Times New Roman"/>
          <w:sz w:val="20"/>
          <w:szCs w:val="20"/>
          <w:lang w:eastAsia="en-GB"/>
        </w:rPr>
        <w:t xml:space="preserve">*These authors contributed equally to this paper; </w:t>
      </w:r>
      <w:r w:rsidRPr="00D40F04">
        <w:rPr>
          <w:rFonts w:cs="Arial"/>
          <w:color w:val="222222"/>
          <w:sz w:val="21"/>
          <w:szCs w:val="21"/>
          <w:shd w:val="clear" w:color="auto" w:fill="FFFFFF"/>
          <w:vertAlign w:val="superscript"/>
        </w:rPr>
        <w:t>†</w:t>
      </w:r>
      <w:r>
        <w:rPr>
          <w:rFonts w:ascii="Arial" w:hAnsi="Arial" w:cs="Arial"/>
          <w:color w:val="222222"/>
          <w:sz w:val="21"/>
          <w:szCs w:val="21"/>
          <w:shd w:val="clear" w:color="auto" w:fill="FFFFFF"/>
        </w:rPr>
        <w:t xml:space="preserve"> </w:t>
      </w:r>
      <w:r w:rsidRPr="00D40F04">
        <w:rPr>
          <w:rFonts w:eastAsia="Times New Roman"/>
          <w:sz w:val="20"/>
          <w:szCs w:val="20"/>
          <w:lang w:eastAsia="en-GB"/>
        </w:rPr>
        <w:t>Joint senior authors.</w:t>
      </w:r>
    </w:p>
    <w:p w14:paraId="2C8B7251" w14:textId="77777777" w:rsidR="00451971" w:rsidRPr="00451971" w:rsidRDefault="00451971" w:rsidP="006C25B6">
      <w:pPr>
        <w:rPr>
          <w:lang w:eastAsia="en-GB"/>
        </w:rPr>
      </w:pPr>
    </w:p>
    <w:p w14:paraId="0C95E4D4" w14:textId="77777777" w:rsidR="00451971" w:rsidRPr="00F1530B" w:rsidRDefault="00451971" w:rsidP="006C25B6"/>
    <w:p w14:paraId="04F8F639" w14:textId="77777777" w:rsidR="009135AB" w:rsidRDefault="009135AB" w:rsidP="0026490E">
      <w:r>
        <w:br w:type="page"/>
      </w:r>
    </w:p>
    <w:p w14:paraId="0E41C9CA" w14:textId="77777777" w:rsidR="00451971" w:rsidRPr="00225655" w:rsidRDefault="00451971" w:rsidP="0026490E">
      <w:pPr>
        <w:pStyle w:val="Heading2"/>
      </w:pPr>
      <w:r w:rsidRPr="00225655">
        <w:lastRenderedPageBreak/>
        <w:t>Abstract</w:t>
      </w:r>
    </w:p>
    <w:p w14:paraId="0CE70F18" w14:textId="0875ADA2" w:rsidR="00451971" w:rsidRPr="00451971" w:rsidRDefault="00451971" w:rsidP="0026490E">
      <w:pPr>
        <w:spacing w:line="240" w:lineRule="auto"/>
      </w:pPr>
      <w:r w:rsidRPr="0026490E">
        <w:rPr>
          <w:rStyle w:val="SubtitleChar"/>
          <w:rFonts w:ascii="Garamond" w:hAnsi="Garamond"/>
        </w:rPr>
        <w:t>Background</w:t>
      </w:r>
      <w:r w:rsidRPr="006C25B6">
        <w:rPr>
          <w:b/>
        </w:rPr>
        <w:t>:</w:t>
      </w:r>
      <w:r w:rsidRPr="00451971">
        <w:t xml:space="preserve"> The treatment of enteric fever is complicated by the </w:t>
      </w:r>
      <w:r w:rsidR="00592C3D">
        <w:t>emergence</w:t>
      </w:r>
      <w:r w:rsidR="00592C3D" w:rsidRPr="00451971">
        <w:t xml:space="preserve"> </w:t>
      </w:r>
      <w:r w:rsidRPr="00451971">
        <w:t>of antimicrobial resistan</w:t>
      </w:r>
      <w:r w:rsidR="00592C3D">
        <w:t xml:space="preserve">t </w:t>
      </w:r>
      <w:r w:rsidRPr="00451971">
        <w:rPr>
          <w:i/>
        </w:rPr>
        <w:t xml:space="preserve">Salmonella </w:t>
      </w:r>
      <w:r w:rsidRPr="00451971">
        <w:t xml:space="preserve">Typhi. Azithromycin is commonly used for first-line treatment of uncomplicated enteric fever, but the response to treatment may be sub-optimal in some patient groups when compared with fluoroquinolones. </w:t>
      </w:r>
    </w:p>
    <w:p w14:paraId="173AD4DA" w14:textId="77777777" w:rsidR="00451971" w:rsidRPr="00451971" w:rsidRDefault="00451971" w:rsidP="0026490E">
      <w:pPr>
        <w:spacing w:line="240" w:lineRule="auto"/>
      </w:pPr>
    </w:p>
    <w:p w14:paraId="47046D76" w14:textId="19DBEA3F" w:rsidR="00451971" w:rsidRPr="00451971" w:rsidRDefault="00451971" w:rsidP="0026490E">
      <w:pPr>
        <w:spacing w:line="240" w:lineRule="auto"/>
      </w:pPr>
      <w:r w:rsidRPr="0026490E">
        <w:rPr>
          <w:rStyle w:val="SubtitleChar"/>
          <w:rFonts w:ascii="Garamond" w:hAnsi="Garamond"/>
        </w:rPr>
        <w:t>Methods</w:t>
      </w:r>
      <w:r w:rsidRPr="006C25B6">
        <w:rPr>
          <w:b/>
        </w:rPr>
        <w:t>:</w:t>
      </w:r>
      <w:r w:rsidRPr="00451971">
        <w:t xml:space="preserve"> We performed an analysis of responses to treatment with azithromycin (500mg once-daily, 14 days) or ciprofloxacin (500mg twice-daily, 14 days) in healthy UK volunteers (18-60 years) enrolled into two </w:t>
      </w:r>
      <w:r w:rsidRPr="00451971">
        <w:rPr>
          <w:i/>
        </w:rPr>
        <w:t>Salmonella</w:t>
      </w:r>
      <w:r w:rsidRPr="00451971">
        <w:t xml:space="preserve"> controlled human infection studies. Study A was a single-centre, open-label, randomised trial. Participants were randomised 1:1 to receive open-label oral ciprofloxacin or azithromycin, stratified by vaccine group (Vi-polysaccharide, Vi-conjugate or control</w:t>
      </w:r>
      <w:r w:rsidR="004D17AA">
        <w:t xml:space="preserve"> Men-ACWY</w:t>
      </w:r>
      <w:r w:rsidRPr="00451971">
        <w:t xml:space="preserve"> vaccine). Study B was an observational challenge/re-challenge study, where participants were randomised to challenge with </w:t>
      </w:r>
      <w:r w:rsidRPr="00A82477">
        <w:rPr>
          <w:i/>
        </w:rPr>
        <w:t>Salmonella</w:t>
      </w:r>
      <w:r w:rsidRPr="00451971">
        <w:t xml:space="preserve"> Typhi or </w:t>
      </w:r>
      <w:r w:rsidRPr="00A82477">
        <w:rPr>
          <w:i/>
        </w:rPr>
        <w:t>Salmonella</w:t>
      </w:r>
      <w:r w:rsidRPr="00451971">
        <w:t xml:space="preserve"> Paratyphi</w:t>
      </w:r>
      <w:r w:rsidR="003416D2">
        <w:t xml:space="preserve"> A</w:t>
      </w:r>
      <w:r w:rsidRPr="00451971">
        <w:t xml:space="preserve">. Outcome measures included fever clearance time, blood-culture clearance time and a composite measure of prolonged treatment response (persistent fever ≥38.0°C for ≥72 hours, persistently positive </w:t>
      </w:r>
      <w:r w:rsidRPr="0026490E">
        <w:rPr>
          <w:i/>
        </w:rPr>
        <w:t>S</w:t>
      </w:r>
      <w:r w:rsidRPr="00451971">
        <w:t xml:space="preserve">. Typhi blood cultures for ≥72 hours, or change in antibiotic treatment). Both trials are registered with ClinicalTrials.gov (NCT02324751 and NCT02192008). </w:t>
      </w:r>
    </w:p>
    <w:p w14:paraId="0FE81F89" w14:textId="77777777" w:rsidR="00451971" w:rsidRPr="00451971" w:rsidRDefault="00451971" w:rsidP="0026490E">
      <w:pPr>
        <w:spacing w:line="240" w:lineRule="auto"/>
      </w:pPr>
    </w:p>
    <w:p w14:paraId="5A9FCA40" w14:textId="430DA2DD" w:rsidR="00ED4B8E" w:rsidRPr="00A82477" w:rsidRDefault="00451971" w:rsidP="0026490E">
      <w:pPr>
        <w:spacing w:line="240" w:lineRule="auto"/>
        <w:rPr>
          <w:strike/>
        </w:rPr>
      </w:pPr>
      <w:r w:rsidRPr="0026490E">
        <w:rPr>
          <w:rStyle w:val="SubtitleChar"/>
          <w:rFonts w:ascii="Garamond" w:hAnsi="Garamond"/>
        </w:rPr>
        <w:t>Findings</w:t>
      </w:r>
      <w:r w:rsidRPr="006C25B6">
        <w:rPr>
          <w:b/>
        </w:rPr>
        <w:t>:</w:t>
      </w:r>
      <w:r w:rsidRPr="00451971">
        <w:t xml:space="preserve">  </w:t>
      </w:r>
      <w:r>
        <w:t xml:space="preserve">In </w:t>
      </w:r>
      <w:r w:rsidR="008D4773">
        <w:t xml:space="preserve">81 </w:t>
      </w:r>
      <w:r>
        <w:t xml:space="preserve">participants </w:t>
      </w:r>
      <w:r w:rsidR="008D4773">
        <w:t xml:space="preserve">diagnosed </w:t>
      </w:r>
      <w:r>
        <w:t>with</w:t>
      </w:r>
      <w:r w:rsidRPr="00451971">
        <w:rPr>
          <w:i/>
        </w:rPr>
        <w:t xml:space="preserve"> S</w:t>
      </w:r>
      <w:r w:rsidRPr="00451971">
        <w:t>.</w:t>
      </w:r>
      <w:r>
        <w:t xml:space="preserve"> Typhi</w:t>
      </w:r>
      <w:r w:rsidR="008D4773">
        <w:t xml:space="preserve"> in two studies</w:t>
      </w:r>
      <w:r>
        <w:t>, treatment with azithromycin was associated with prolonged bacteraemia (</w:t>
      </w:r>
      <w:r w:rsidR="00592C3D" w:rsidRPr="00834D39">
        <w:t>median 90.8 hours [95%</w:t>
      </w:r>
      <w:r w:rsidR="00EE4973">
        <w:t xml:space="preserve"> </w:t>
      </w:r>
      <w:r w:rsidR="00592C3D" w:rsidRPr="00834D39">
        <w:t>CI: 65.9-93.8]</w:t>
      </w:r>
      <w:r w:rsidR="00592C3D">
        <w:t xml:space="preserve"> vs. </w:t>
      </w:r>
      <w:r w:rsidR="00592C3D" w:rsidRPr="00834D39">
        <w:t>20.1 hours [95%</w:t>
      </w:r>
      <w:r w:rsidR="00EE4973">
        <w:t xml:space="preserve"> </w:t>
      </w:r>
      <w:r w:rsidR="00592C3D" w:rsidRPr="00834D39">
        <w:t>CI: 7.8-24.3]</w:t>
      </w:r>
      <w:r w:rsidR="00592C3D" w:rsidRPr="00EF2253">
        <w:t>,</w:t>
      </w:r>
      <w:r w:rsidR="00592C3D" w:rsidRPr="00324178">
        <w:t xml:space="preserve"> p&lt;0.001</w:t>
      </w:r>
      <w:r>
        <w:t xml:space="preserve">) and prolonged fever clearance times </w:t>
      </w:r>
      <w:r w:rsidR="00592C3D">
        <w:t>&lt;37.5</w:t>
      </w:r>
      <w:r w:rsidR="00592C3D" w:rsidRPr="009157AB">
        <w:rPr>
          <w:vertAlign w:val="superscript"/>
        </w:rPr>
        <w:t>o</w:t>
      </w:r>
      <w:r w:rsidR="00592C3D">
        <w:t xml:space="preserve">C </w:t>
      </w:r>
      <w:r>
        <w:t>(</w:t>
      </w:r>
      <w:r w:rsidR="00592C3D">
        <w:rPr>
          <w:rFonts w:cstheme="minorHAnsi"/>
        </w:rPr>
        <w:t xml:space="preserve">hazard ratio </w:t>
      </w:r>
      <w:r w:rsidR="00A2569D">
        <w:t>2.4 [</w:t>
      </w:r>
      <w:r w:rsidR="00A2569D" w:rsidRPr="00834D39">
        <w:t xml:space="preserve">95%CI: </w:t>
      </w:r>
      <w:r w:rsidR="00A2569D">
        <w:t>1.2-5.0]</w:t>
      </w:r>
      <w:r w:rsidR="00592C3D">
        <w:rPr>
          <w:rFonts w:cstheme="minorHAnsi"/>
        </w:rPr>
        <w:t>; p=0.02</w:t>
      </w:r>
      <w:r>
        <w:t xml:space="preserve">). Results were consistent when studies were analysed independently and in a sub-group of participants with no history of vaccination or previous challenge. </w:t>
      </w:r>
      <w:r w:rsidRPr="00451971">
        <w:rPr>
          <w:lang w:val="en-GB"/>
        </w:rPr>
        <w:t>A prolonged treatment response was observed significantly more frequently in the azithromycin group (2</w:t>
      </w:r>
      <w:r w:rsidR="0023538A">
        <w:rPr>
          <w:lang w:val="en-GB"/>
        </w:rPr>
        <w:t>8</w:t>
      </w:r>
      <w:r w:rsidRPr="00451971">
        <w:rPr>
          <w:lang w:val="en-GB"/>
        </w:rPr>
        <w:t>/52</w:t>
      </w:r>
      <w:r w:rsidR="00721009">
        <w:rPr>
          <w:lang w:val="en-GB"/>
        </w:rPr>
        <w:t xml:space="preserve"> [</w:t>
      </w:r>
      <w:r w:rsidR="0023538A">
        <w:rPr>
          <w:lang w:val="en-GB"/>
        </w:rPr>
        <w:t>54.9</w:t>
      </w:r>
      <w:r w:rsidRPr="00451971">
        <w:rPr>
          <w:lang w:val="en-GB"/>
        </w:rPr>
        <w:t>%</w:t>
      </w:r>
      <w:r w:rsidR="00721009">
        <w:rPr>
          <w:lang w:val="en-GB"/>
        </w:rPr>
        <w:t>]</w:t>
      </w:r>
      <w:r w:rsidRPr="00451971">
        <w:rPr>
          <w:lang w:val="en-GB"/>
        </w:rPr>
        <w:t>) compared with the ciprofloxacin group (</w:t>
      </w:r>
      <w:r w:rsidR="0023538A">
        <w:rPr>
          <w:lang w:val="en-GB"/>
        </w:rPr>
        <w:t>1</w:t>
      </w:r>
      <w:r w:rsidRPr="00451971">
        <w:rPr>
          <w:lang w:val="en-GB"/>
        </w:rPr>
        <w:t xml:space="preserve">/29 </w:t>
      </w:r>
      <w:r w:rsidR="00721009">
        <w:rPr>
          <w:lang w:val="en-GB"/>
        </w:rPr>
        <w:t>[</w:t>
      </w:r>
      <w:r w:rsidR="0023538A">
        <w:rPr>
          <w:lang w:val="en-GB"/>
        </w:rPr>
        <w:t>3.5</w:t>
      </w:r>
      <w:r w:rsidRPr="00451971">
        <w:rPr>
          <w:lang w:val="en-GB"/>
        </w:rPr>
        <w:t>%</w:t>
      </w:r>
      <w:r w:rsidR="00721009">
        <w:rPr>
          <w:lang w:val="en-GB"/>
        </w:rPr>
        <w:t>]</w:t>
      </w:r>
      <w:r w:rsidRPr="00451971">
        <w:rPr>
          <w:lang w:val="en-GB"/>
        </w:rPr>
        <w:t>; p</w:t>
      </w:r>
      <w:r w:rsidR="0023538A">
        <w:rPr>
          <w:lang w:val="en-GB"/>
        </w:rPr>
        <w:t>&lt;0.001)</w:t>
      </w:r>
      <w:r w:rsidR="00ED4B8E" w:rsidRPr="0026490E">
        <w:t xml:space="preserve">. </w:t>
      </w:r>
      <w:r w:rsidR="00ED4B8E">
        <w:t xml:space="preserve">In participants treated with azithromycin, </w:t>
      </w:r>
      <w:r w:rsidR="00ED4B8E">
        <w:rPr>
          <w:lang w:val="en-GB"/>
        </w:rPr>
        <w:t xml:space="preserve">observed systemic plasma concentrations of azithromycin did not exceed the </w:t>
      </w:r>
      <w:r w:rsidR="00ED4B8E">
        <w:t>minimum inhibitory concentration (MIC)</w:t>
      </w:r>
      <w:r w:rsidR="00ED4B8E">
        <w:rPr>
          <w:lang w:val="en-GB"/>
        </w:rPr>
        <w:t>, whilst predicted intracellular concentrations did exceed the MIC. In participants treated with ciprofloxa</w:t>
      </w:r>
      <w:r w:rsidR="009834E2">
        <w:rPr>
          <w:lang w:val="en-GB"/>
        </w:rPr>
        <w:t>c</w:t>
      </w:r>
      <w:r w:rsidR="00ED4B8E">
        <w:rPr>
          <w:lang w:val="en-GB"/>
        </w:rPr>
        <w:t xml:space="preserve">in, </w:t>
      </w:r>
      <w:r w:rsidR="00ED4B8E">
        <w:t xml:space="preserve">the observed </w:t>
      </w:r>
      <w:r w:rsidR="00ED4B8E">
        <w:rPr>
          <w:lang w:val="en-GB"/>
        </w:rPr>
        <w:t xml:space="preserve">systemic plasma </w:t>
      </w:r>
      <w:r w:rsidR="00ED4B8E">
        <w:t>concentrations and predicted intracellular concentrations of ciprofloxacin exceeded the MIC.</w:t>
      </w:r>
    </w:p>
    <w:p w14:paraId="650AA628" w14:textId="7D2DD199" w:rsidR="00451971" w:rsidRPr="00451971" w:rsidRDefault="00451971" w:rsidP="0026490E">
      <w:pPr>
        <w:spacing w:line="240" w:lineRule="auto"/>
      </w:pPr>
      <w:r w:rsidRPr="00451971">
        <w:rPr>
          <w:lang w:val="en-GB"/>
        </w:rPr>
        <w:t xml:space="preserve"> </w:t>
      </w:r>
    </w:p>
    <w:p w14:paraId="4B4F40C4" w14:textId="2D8804AE" w:rsidR="00451971" w:rsidRPr="00157141" w:rsidRDefault="00451971" w:rsidP="0026490E">
      <w:pPr>
        <w:spacing w:line="240" w:lineRule="auto"/>
      </w:pPr>
      <w:r w:rsidRPr="0026490E">
        <w:rPr>
          <w:rStyle w:val="SubtitleChar"/>
          <w:rFonts w:ascii="Garamond" w:hAnsi="Garamond"/>
        </w:rPr>
        <w:t>Interpretation</w:t>
      </w:r>
      <w:r w:rsidRPr="006C25B6">
        <w:rPr>
          <w:b/>
        </w:rPr>
        <w:t>:</w:t>
      </w:r>
      <w:r w:rsidRPr="00451971">
        <w:t xml:space="preserve"> </w:t>
      </w:r>
      <w:r w:rsidR="00ED4B8E" w:rsidRPr="00451971">
        <w:t xml:space="preserve">Azithromycin at a dose of 500mg daily is an effective treatment for fully sensitive strains of </w:t>
      </w:r>
      <w:r w:rsidR="00ED4B8E" w:rsidRPr="005E34DF">
        <w:rPr>
          <w:i/>
        </w:rPr>
        <w:t>S</w:t>
      </w:r>
      <w:r w:rsidR="00ED4B8E" w:rsidRPr="00451971">
        <w:t>. Typhi</w:t>
      </w:r>
      <w:r w:rsidR="00ED4B8E">
        <w:t xml:space="preserve"> but</w:t>
      </w:r>
      <w:r w:rsidR="00ED4B8E" w:rsidRPr="00451971">
        <w:t xml:space="preserve"> is associated with </w:t>
      </w:r>
      <w:r w:rsidR="007E1773">
        <w:t>delayed treatment response</w:t>
      </w:r>
      <w:r w:rsidR="00ED4B8E" w:rsidRPr="00451971">
        <w:t xml:space="preserve"> and prolonged bacteraemia when compared with ciprofloxacin</w:t>
      </w:r>
      <w:r w:rsidR="002E6C7A">
        <w:t xml:space="preserve"> within the context of a human challenge model</w:t>
      </w:r>
      <w:r w:rsidR="00ED4B8E" w:rsidRPr="00451971">
        <w:t xml:space="preserve">. </w:t>
      </w:r>
      <w:r w:rsidR="00ED4B8E">
        <w:t xml:space="preserve">Whilst the cellular accumulation of azithromycin is predicted to be sufficient to treat intracellular </w:t>
      </w:r>
      <w:r w:rsidR="00ED4B8E" w:rsidRPr="005D3DB3">
        <w:rPr>
          <w:i/>
        </w:rPr>
        <w:t xml:space="preserve">S. </w:t>
      </w:r>
      <w:r w:rsidR="00ED4B8E" w:rsidRPr="003E3717">
        <w:t>Typhi</w:t>
      </w:r>
      <w:r w:rsidR="00ED4B8E">
        <w:t xml:space="preserve">, systemic exposure </w:t>
      </w:r>
      <w:r w:rsidR="00296C2F">
        <w:t>may be</w:t>
      </w:r>
      <w:r w:rsidR="00ED4B8E">
        <w:t xml:space="preserve"> sub-optimal for the elimination of extracellular circulating </w:t>
      </w:r>
      <w:r w:rsidR="00ED4B8E" w:rsidRPr="005D3DB3">
        <w:rPr>
          <w:i/>
        </w:rPr>
        <w:t xml:space="preserve">S. </w:t>
      </w:r>
      <w:r w:rsidR="00ED4B8E" w:rsidRPr="003E3717">
        <w:t>Typhi</w:t>
      </w:r>
      <w:r w:rsidR="00ED4B8E">
        <w:t xml:space="preserve">. </w:t>
      </w:r>
      <w:r w:rsidR="00ED4B8E" w:rsidRPr="00451971">
        <w:t xml:space="preserve">In an era of increasing antimicrobial resistance, further studies are required </w:t>
      </w:r>
      <w:r w:rsidR="00ED4B8E">
        <w:t xml:space="preserve">to </w:t>
      </w:r>
      <w:r w:rsidR="00ED4B8E" w:rsidRPr="00451971">
        <w:t xml:space="preserve">define appropriate azithromycin dosing regimens for enteric fever and to assess novel treatment strategies, including combination therapies. </w:t>
      </w:r>
    </w:p>
    <w:p w14:paraId="3A748149" w14:textId="77777777" w:rsidR="00451971" w:rsidRPr="00157141" w:rsidRDefault="00451971" w:rsidP="0026490E">
      <w:pPr>
        <w:spacing w:line="240" w:lineRule="auto"/>
      </w:pPr>
    </w:p>
    <w:p w14:paraId="22909E72" w14:textId="2B790FC1" w:rsidR="00451971" w:rsidRPr="00157141" w:rsidRDefault="00451971" w:rsidP="0026490E">
      <w:pPr>
        <w:spacing w:line="240" w:lineRule="auto"/>
        <w:rPr>
          <w:strike/>
        </w:rPr>
      </w:pPr>
      <w:r w:rsidRPr="0026490E">
        <w:rPr>
          <w:b/>
          <w:bCs/>
        </w:rPr>
        <w:t>Funding</w:t>
      </w:r>
      <w:r w:rsidRPr="004D17AA">
        <w:rPr>
          <w:b/>
          <w:bCs/>
        </w:rPr>
        <w:t>:</w:t>
      </w:r>
      <w:r w:rsidRPr="00157141">
        <w:t xml:space="preserve"> The Bill &amp; Melinda Gates Foundation; Medical Research Council UK (MRC)</w:t>
      </w:r>
    </w:p>
    <w:p w14:paraId="211B357C" w14:textId="77777777" w:rsidR="00451971" w:rsidRDefault="00451971" w:rsidP="0026490E">
      <w:pPr>
        <w:spacing w:line="240" w:lineRule="auto"/>
      </w:pPr>
    </w:p>
    <w:p w14:paraId="2BDFA71F" w14:textId="77777777" w:rsidR="00451971" w:rsidRDefault="00451971" w:rsidP="0026490E">
      <w:pPr>
        <w:spacing w:line="240" w:lineRule="auto"/>
      </w:pPr>
    </w:p>
    <w:p w14:paraId="7BB35877" w14:textId="1EE4999D" w:rsidR="00451971" w:rsidRDefault="00451971" w:rsidP="0026490E">
      <w:pPr>
        <w:spacing w:line="240" w:lineRule="auto"/>
      </w:pPr>
      <w:r w:rsidRPr="0026490E">
        <w:rPr>
          <w:b/>
        </w:rPr>
        <w:t>Key Words</w:t>
      </w:r>
      <w:r w:rsidRPr="004D17AA">
        <w:rPr>
          <w:b/>
        </w:rPr>
        <w:t>:</w:t>
      </w:r>
      <w:r w:rsidRPr="00D504FB">
        <w:t xml:space="preserve"> Ty</w:t>
      </w:r>
      <w:r>
        <w:t xml:space="preserve">phoid fever, </w:t>
      </w:r>
      <w:r w:rsidR="004D17AA">
        <w:t xml:space="preserve">Enteric </w:t>
      </w:r>
      <w:r>
        <w:t>Fever,</w:t>
      </w:r>
      <w:r w:rsidRPr="00D504FB">
        <w:t xml:space="preserve"> Antimicrobial resistance</w:t>
      </w:r>
      <w:r>
        <w:t xml:space="preserve">, </w:t>
      </w:r>
      <w:r w:rsidRPr="00D504FB">
        <w:t>Typhoid conjugate vaccine</w:t>
      </w:r>
      <w:r w:rsidR="004D17AA">
        <w:t>s.</w:t>
      </w:r>
    </w:p>
    <w:p w14:paraId="7A8B49AE" w14:textId="77777777" w:rsidR="00605378" w:rsidRDefault="00605378" w:rsidP="0026490E"/>
    <w:p w14:paraId="5BC4B123" w14:textId="77777777" w:rsidR="00F60777" w:rsidRDefault="00F60777" w:rsidP="0026490E">
      <w:pPr>
        <w:rPr>
          <w:lang w:val="en-GB"/>
        </w:rPr>
        <w:sectPr w:rsidR="00F60777" w:rsidSect="00C30207">
          <w:footerReference w:type="even" r:id="rId9"/>
          <w:footerReference w:type="default" r:id="rId10"/>
          <w:pgSz w:w="11900" w:h="16840"/>
          <w:pgMar w:top="1440" w:right="1440" w:bottom="1440" w:left="1440" w:header="708" w:footer="708" w:gutter="0"/>
          <w:cols w:space="708"/>
          <w:titlePg/>
          <w:docGrid w:linePitch="360"/>
        </w:sectPr>
      </w:pPr>
    </w:p>
    <w:p w14:paraId="4858E3FC" w14:textId="59FB2E34" w:rsidR="00F60777" w:rsidRDefault="003B540C" w:rsidP="003B540C">
      <w:pPr>
        <w:pStyle w:val="Heading2"/>
        <w:rPr>
          <w:lang w:val="en-GB"/>
        </w:rPr>
      </w:pPr>
      <w:r>
        <w:rPr>
          <w:lang w:val="en-GB"/>
        </w:rPr>
        <w:lastRenderedPageBreak/>
        <w:t>Author</w:t>
      </w:r>
      <w:r w:rsidR="00F60777">
        <w:rPr>
          <w:lang w:val="en-GB"/>
        </w:rPr>
        <w:t xml:space="preserve"> Summary </w:t>
      </w:r>
    </w:p>
    <w:p w14:paraId="5929EA1A" w14:textId="77CF5D31" w:rsidR="00F60777" w:rsidRPr="00A82477" w:rsidRDefault="00F60777" w:rsidP="0026490E">
      <w:pPr>
        <w:rPr>
          <w:lang w:val="en-GB"/>
        </w:rPr>
        <w:sectPr w:rsidR="00F60777" w:rsidRPr="00A82477" w:rsidSect="00376AC2">
          <w:pgSz w:w="11900" w:h="16840"/>
          <w:pgMar w:top="1440" w:right="1440" w:bottom="1440" w:left="1440" w:header="708" w:footer="708" w:gutter="0"/>
          <w:cols w:space="708"/>
          <w:docGrid w:linePitch="360"/>
        </w:sectPr>
      </w:pPr>
      <w:r>
        <w:rPr>
          <w:lang w:val="en-GB"/>
        </w:rPr>
        <w:t xml:space="preserve">Typhoid fever remains a major global health problem in low-and middle-income countries. The treatment of typhoid fever is complicated by the emergence of widespread antibiotic resistance. Azithromycin is presently one of the few oral antibiotic options that can be reliably used for typhoid treatment, although concerns persist regarding variations in response to treatment and emerging resistance. We used a </w:t>
      </w:r>
      <w:r w:rsidR="008777A9" w:rsidRPr="00D40F04">
        <w:rPr>
          <w:i/>
          <w:iCs/>
          <w:lang w:val="en-GB"/>
        </w:rPr>
        <w:t>Salmonella</w:t>
      </w:r>
      <w:r w:rsidR="008777A9">
        <w:rPr>
          <w:lang w:val="en-GB"/>
        </w:rPr>
        <w:t xml:space="preserve"> </w:t>
      </w:r>
      <w:r>
        <w:rPr>
          <w:lang w:val="en-GB"/>
        </w:rPr>
        <w:t>human challenge model to better understand response to treatment with azithromycin</w:t>
      </w:r>
      <w:r w:rsidR="00D319E4">
        <w:rPr>
          <w:lang w:val="en-GB"/>
        </w:rPr>
        <w:t>, as compared with</w:t>
      </w:r>
      <w:r>
        <w:rPr>
          <w:lang w:val="en-GB"/>
        </w:rPr>
        <w:t xml:space="preserve"> ciprofloxacin.</w:t>
      </w:r>
      <w:r w:rsidR="00D319E4">
        <w:rPr>
          <w:lang w:val="en-GB"/>
        </w:rPr>
        <w:t xml:space="preserve"> We demonstrate that azithromycin</w:t>
      </w:r>
      <w:r w:rsidR="008777A9">
        <w:rPr>
          <w:lang w:val="en-GB"/>
        </w:rPr>
        <w:t xml:space="preserve"> effectively treated </w:t>
      </w:r>
      <w:r w:rsidR="00D319E4">
        <w:rPr>
          <w:lang w:val="en-GB"/>
        </w:rPr>
        <w:t>typhoid fever</w:t>
      </w:r>
      <w:r w:rsidR="008777A9">
        <w:rPr>
          <w:lang w:val="en-GB"/>
        </w:rPr>
        <w:t>,</w:t>
      </w:r>
      <w:r w:rsidR="00D319E4">
        <w:rPr>
          <w:lang w:val="en-GB"/>
        </w:rPr>
        <w:t xml:space="preserve"> within the context of the model, </w:t>
      </w:r>
      <w:r w:rsidR="008777A9">
        <w:rPr>
          <w:lang w:val="en-GB"/>
        </w:rPr>
        <w:t xml:space="preserve">however </w:t>
      </w:r>
      <w:r w:rsidR="00D319E4">
        <w:rPr>
          <w:lang w:val="en-GB"/>
        </w:rPr>
        <w:t>longer duration</w:t>
      </w:r>
      <w:r w:rsidR="008777A9">
        <w:rPr>
          <w:lang w:val="en-GB"/>
        </w:rPr>
        <w:t>s</w:t>
      </w:r>
      <w:r w:rsidR="00D319E4">
        <w:rPr>
          <w:lang w:val="en-GB"/>
        </w:rPr>
        <w:t xml:space="preserve"> of bacteraemia and fever clearance time</w:t>
      </w:r>
      <w:r w:rsidR="008777A9">
        <w:rPr>
          <w:lang w:val="en-GB"/>
        </w:rPr>
        <w:t xml:space="preserve">s </w:t>
      </w:r>
      <w:r w:rsidR="00AA648C">
        <w:rPr>
          <w:lang w:val="en-GB"/>
        </w:rPr>
        <w:t xml:space="preserve">(defined as &gt;37.5°C) </w:t>
      </w:r>
      <w:r w:rsidR="008777A9">
        <w:rPr>
          <w:lang w:val="en-GB"/>
        </w:rPr>
        <w:t>were observed when</w:t>
      </w:r>
      <w:r w:rsidR="00D319E4">
        <w:rPr>
          <w:lang w:val="en-GB"/>
        </w:rPr>
        <w:t xml:space="preserve"> compared with ciprofloxacin</w:t>
      </w:r>
      <w:r w:rsidR="008777A9">
        <w:rPr>
          <w:lang w:val="en-GB"/>
        </w:rPr>
        <w:t xml:space="preserve"> treatment</w:t>
      </w:r>
      <w:r w:rsidR="00D319E4">
        <w:rPr>
          <w:lang w:val="en-GB"/>
        </w:rPr>
        <w:t xml:space="preserve">. </w:t>
      </w:r>
      <w:r w:rsidR="000952A6">
        <w:rPr>
          <w:lang w:val="en-GB"/>
        </w:rPr>
        <w:t xml:space="preserve">We studied the pharmacokinetic properties of azithromycin and ciprofloxacin within the model to better characterise </w:t>
      </w:r>
      <w:r w:rsidR="00C2161E">
        <w:rPr>
          <w:lang w:val="en-GB"/>
        </w:rPr>
        <w:t xml:space="preserve">appropriate dosing strategies. </w:t>
      </w:r>
      <w:r w:rsidR="00132780">
        <w:rPr>
          <w:lang w:val="en-GB"/>
        </w:rPr>
        <w:t xml:space="preserve"> </w:t>
      </w:r>
      <w:r w:rsidR="00F1382F">
        <w:rPr>
          <w:lang w:val="en-GB"/>
        </w:rPr>
        <w:t xml:space="preserve">We conclude that </w:t>
      </w:r>
      <w:r w:rsidR="00F1382F">
        <w:t>o</w:t>
      </w:r>
      <w:r w:rsidR="00F1382F" w:rsidRPr="00157141">
        <w:t>ral azithromycin is an effective treatment option for uncomplicated enteric fever in the outpatient setting</w:t>
      </w:r>
      <w:r w:rsidR="00F1382F">
        <w:t xml:space="preserve"> </w:t>
      </w:r>
      <w:r w:rsidR="00F1382F" w:rsidRPr="00157141">
        <w:t xml:space="preserve">and should be used in high-burden </w:t>
      </w:r>
      <w:r w:rsidR="00F1382F">
        <w:t>countries</w:t>
      </w:r>
      <w:r w:rsidR="00F1382F" w:rsidRPr="00157141">
        <w:t xml:space="preserve"> where fluoroquinolone-resistance is common</w:t>
      </w:r>
      <w:r w:rsidR="00F1382F">
        <w:t xml:space="preserve">. </w:t>
      </w:r>
      <w:r w:rsidR="00132780">
        <w:rPr>
          <w:lang w:val="en-GB"/>
        </w:rPr>
        <w:t>This study illustrates the application of human challenge models to</w:t>
      </w:r>
      <w:r w:rsidR="00F1382F">
        <w:rPr>
          <w:lang w:val="en-GB"/>
        </w:rPr>
        <w:t xml:space="preserve"> study antibiotic treatments for typhoid fever</w:t>
      </w:r>
      <w:r w:rsidR="008777A9">
        <w:rPr>
          <w:lang w:val="en-GB"/>
        </w:rPr>
        <w:t xml:space="preserve">.  </w:t>
      </w:r>
      <w:r w:rsidR="008777A9">
        <w:t>F</w:t>
      </w:r>
      <w:r w:rsidR="00F1382F" w:rsidRPr="00075EFF">
        <w:t>urther studies are required to assess novel treatment strategies, including</w:t>
      </w:r>
      <w:r w:rsidR="00F1382F">
        <w:t xml:space="preserve"> appropriate azithromycin dosing regimens</w:t>
      </w:r>
      <w:r w:rsidR="00F1382F" w:rsidRPr="00075EFF">
        <w:t xml:space="preserve"> and combination therapies.</w:t>
      </w:r>
    </w:p>
    <w:p w14:paraId="0046E1DB" w14:textId="4212894E" w:rsidR="009135AB" w:rsidRPr="003A62D7" w:rsidRDefault="009135AB" w:rsidP="0026490E">
      <w:pPr>
        <w:pStyle w:val="Heading2"/>
      </w:pPr>
      <w:r w:rsidRPr="003A62D7">
        <w:lastRenderedPageBreak/>
        <w:t>INTRODUCTION</w:t>
      </w:r>
    </w:p>
    <w:p w14:paraId="7F220209" w14:textId="7F95DC2A" w:rsidR="003416D2" w:rsidRPr="00D40F04" w:rsidRDefault="004051F0" w:rsidP="00D40F04">
      <w:pPr>
        <w:ind w:right="-64"/>
      </w:pPr>
      <w:r>
        <w:t xml:space="preserve">Typhoid fever </w:t>
      </w:r>
      <w:r w:rsidR="00605378" w:rsidRPr="00157141">
        <w:t>remains a major global-health concern</w:t>
      </w:r>
      <w:r w:rsidR="00AA648C">
        <w:t xml:space="preserve"> and is </w:t>
      </w:r>
      <w:r w:rsidR="00605378" w:rsidRPr="00157141">
        <w:t>estimated to be responsible for between 1</w:t>
      </w:r>
      <w:r>
        <w:t>0.</w:t>
      </w:r>
      <w:r w:rsidR="00605378" w:rsidRPr="00157141">
        <w:t xml:space="preserve">9 cases, and </w:t>
      </w:r>
      <w:r w:rsidR="00721009">
        <w:t>approximately 117,000</w:t>
      </w:r>
      <w:r w:rsidR="00605378" w:rsidRPr="00157141">
        <w:t xml:space="preserve"> deaths, annually</w:t>
      </w:r>
      <w:r w:rsidR="0027543E">
        <w:t xml:space="preserve"> </w:t>
      </w:r>
      <w:r>
        <w:fldChar w:fldCharType="begin" w:fldLock="1"/>
      </w:r>
      <w:r w:rsidR="00CC6A0A">
        <w:instrText>ADDIN CSL_CITATION {"citationItems":[{"id":"ITEM-1","itemData":{"DOI":"10.1016/S1473-3099(18)30685-6","ISSN":"14733099","PMID":"30792131","author":[{"dropping-particle":"","family":"Stanaway","given":"Jeffrey D","non-dropping-particle":"","parse-names":false,"suffix":""},{"dropping-particle":"","family":"Reiner","given":"Robert C","non-dropping-particle":"","parse-names":false,"suffix":""},{"dropping-particle":"","family":"Blacker","given":"Brigette F.","non-dropping-particle":"","parse-names":false,"suffix":""},{"dropping-particle":"","family":"Goldberg","given":"Ellen M","non-dropping-particle":"","parse-names":false,"suffix":""},{"dropping-particle":"","family":"Khalil","given":"Ibrahim A.","non-dropping-particle":"","parse-names":false,"suffix":""},{"dropping-particle":"","family":"Troeger","given":"Christopher E","non-dropping-particle":"","parse-names":false,"suffix":""},{"dropping-particle":"","family":"Andrews","given":"Jason R","non-dropping-particle":"","parse-names":false,"suffix":""},{"dropping-particle":"","family":"Bhutta","given":"Zulfiqar A","non-dropping-particle":"","parse-names":false,"suffix":""},{"dropping-particle":"","family":"Crump","given":"John A","non-dropping-particle":"","parse-names":false,"suffix":""},{"dropping-particle":"","family":"Im","given":"Justin","non-dropping-particle":"","parse-names":false,"suffix":""},{"dropping-particle":"","family":"Marks","given":"Florian","non-dropping-particle":"","parse-names":false,"suffix":""},{"dropping-particle":"","family":"Mintz","given":"Eric","non-dropping-particle":"","parse-names":false,"suffix":""},{"dropping-particle":"","family":"Park","given":"Se Eun","non-dropping-particle":"","parse-names":false,"suffix":""},{"dropping-particle":"","family":"Zaidi","given":"Anita K M","non-dropping-particle":"","parse-names":false,"suffix":""},{"dropping-particle":"","family":"Abebe","given":"Zegeye","non-dropping-particle":"","parse-names":false,"suffix":""},{"dropping-particle":"","family":"Abejie","given":"Ayenew Negesse","non-dropping-particle":"","parse-names":false,"suffix":""},{"dropping-particle":"","family":"Adedeji","given":"Isaac Akinkunmi","non-dropping-particle":"","parse-names":false,"suffix":""},{"dropping-particle":"","family":"Ali","given":"Beriwan Abdulqadir","non-dropping-particle":"","parse-names":false,"suffix":""},{"dropping-particle":"","family":"Amare","given":"Azmeraw T.","non-dropping-particle":"","parse-names":false,"suffix":""},{"dropping-particle":"","family":"Atalay","given":"Hagos Tasew","non-dropping-particle":"","parse-names":false,"suffix":""},{"dropping-particle":"","family":"Avokpaho","given":"Euripide F G A","non-dropping-particle":"","parse-names":false,"suffix":""},{"dropping-particle":"","family":"Bacha","given":"Umar","non-dropping-particle":"","parse-names":false,"suffix":""},{"dropping-particle":"","family":"Barac","given":"Aleksandra","non-dropping-particle":"","parse-names":false,"suffix":""},{"dropping-particle":"","family":"Bedi","given":"Neeraj","non-dropping-particle":"","parse-names":false,"suffix":""},{"dropping-particle":"","family":"Berhane","given":"Adugnaw","non-dropping-particle":"","parse-names":false,"suffix":""},{"dropping-particle":"","family":"Browne","given":"Annie J","non-dropping-particle":"","parse-names":false,"suffix":""},{"dropping-particle":"","family":"Chirinos","given":"Jesus L.","non-dropping-particle":"","parse-names":false,"suffix":""},{"dropping-particle":"","family":"Chitheer","given":"Abdulaal","non-dropping-particle":"","parse-names":false,"suffix":""},{"dropping-particle":"","family":"Dolecek","given":"Christiane","non-dropping-particle":"","parse-names":false,"suffix":""},{"dropping-particle":"","family":"Sayed Zaki","given":"Maysaa","non-dropping-particle":"El","parse-names":false,"suffix":""},{"dropping-particle":"","family":"Eshrati","given":"Babak","non-dropping-particle":"","parse-names":false,"suffix":""},{"dropping-particle":"","family":"Foreman","given":"Kyle J.","non-dropping-particle":"","parse-names":false,"suffix":""},{"dropping-particle":"","family":"Gemechu","given":"Abdella","non-dropping-particle":"","parse-names":false,"suffix":""},{"dropping-particle":"","family":"Gupta","given":"Rahul","non-dropping-particle":"","parse-names":false,"suffix":""},{"dropping-particle":"","family":"Hailu","given":"Gessessew Bugssa","non-dropping-particle":"","parse-names":false,"suffix":""},{"dropping-particle":"","family":"Henok","given":"Andualem","non-dropping-particle":"","parse-names":false,"suffix":""},{"dropping-particle":"","family":"Hibstu","given":"Desalegn Tsegaw","non-dropping-particle":"","parse-names":false,"suffix":""},{"dropping-particle":"","family":"Hoang","given":"Chi Linh","non-dropping-particle":"","parse-names":false,"suffix":""},{"dropping-particle":"","family":"Ilesanmi","given":"Olayinka Stephen","non-dropping-particle":"","parse-names":false,"suffix":""},{"dropping-particle":"","family":"Iyer","given":"Veena J","non-dropping-particle":"","parse-names":false,"suffix":""},{"dropping-particle":"","family":"Kahsay","given":"Amaha","non-dropping-particle":"","parse-names":false,"suffix":""},{"dropping-particle":"","family":"Kasaeian","given":"Amir","non-dropping-particle":"","parse-names":false,"suffix":""},{"dropping-particle":"","family":"Kassa","given":"Tesfaye Dessale","non-dropping-particle":"","parse-names":false,"suffix":""},{"dropping-particle":"","family":"Khan","given":"Ejaz Ahmad","non-dropping-particle":"","parse-names":false,"suffix":""},{"dropping-particle":"","family":"Khang","given":"Young-Ho","non-dropping-particle":"","parse-names":false,"suffix":""},{"dropping-particle":"","family":"Magdy Abd El Razek","given":"Hassan","non-dropping-particle":"","parse-names":false,"suffix":""},{"dropping-particle":"","family":"Melku","given":"Mulugeta","non-dropping-particle":"","parse-names":false,"suffix":""},{"dropping-particle":"","family":"Mengistu","given":"Desalegn Tadese","non-dropping-particle":"","parse-names":false,"suffix":""},{"dropping-particle":"","family":"Mohammad","given":"Karzan Abdulmuhsin","non-dropping-particle":"","parse-names":false,"suffix":""},{"dropping-particle":"","family":"Mohammed","given":"Shafiu","non-dropping-particle":"","parse-names":false,"suffix":""},{"dropping-particle":"","family":"Mokdad","given":"Ali H","non-dropping-particle":"","parse-names":false,"suffix":""},{"dropping-particle":"","family":"Nachega","given":"Jean B","non-dropping-particle":"","parse-names":false,"suffix":""},{"dropping-particle":"","family":"Naheed","given":"Aliya","non-dropping-particle":"","parse-names":false,"suffix":""},{"dropping-particle":"","family":"Nguyen","given":"Cuong Tat","non-dropping-particle":"","parse-names":false,"suffix":""},{"dropping-particle":"","family":"Nguyen","given":"Huong Lan Thi","non-dropping-particle":"","parse-names":false,"suffix":""},{"dropping-particle":"","family":"Nguyen","given":"Long Hoang","non-dropping-particle":"","parse-names":false,"suffix":""},{"dropping-particle":"","family":"Nguyen","given":"Nam Ba","non-dropping-particle":"","parse-names":false,"suffix":""},{"dropping-particle":"","family":"Nguyen","given":"Trang Huyen","non-dropping-particle":"","parse-names":false,"suffix":""},{"dropping-particle":"","family":"Nirayo","given":"Yirga Legesse","non-dropping-particle":"","parse-names":false,"suffix":""},{"dropping-particle":"","family":"Pangestu","given":"Tikki","non-dropping-particle":"","parse-names":false,"suffix":""},{"dropping-particle":"","family":"Patton","given":"George C","non-dropping-particle":"","parse-names":false,"suffix":""},{"dropping-particle":"","family":"Qorbani","given":"Mostafa","non-dropping-particle":"","parse-names":false,"suffix":""},{"dropping-particle":"","family":"Rai","given":"Rajesh Kumar","non-dropping-particle":"","parse-names":false,"suffix":""},{"dropping-particle":"","family":"Rana","given":"Saleem M","non-dropping-particle":"","parse-names":false,"suffix":""},{"dropping-particle":"","family":"Ranabhat","given":"Chhabi Lal","non-dropping-particle":"","parse-names":false,"suffix":""},{"dropping-particle":"","family":"Roba","given":"Kedir Teji","non-dropping-particle":"","parse-names":false,"suffix":""},{"dropping-particle":"","family":"Roberts","given":"Nicholas L S","non-dropping-particle":"","parse-names":false,"suffix":""},{"dropping-particle":"","family":"Rubino","given":"Salvatore","non-dropping-particle":"","parse-names":false,"suffix":""},{"dropping-particle":"","family":"Safiri","given":"Saeid","non-dropping-particle":"","parse-names":false,"suffix":""},{"dropping-particle":"","family":"Sartorius","given":"Benn","non-dropping-particle":"","parse-names":false,"suffix":""},{"dropping-particle":"","family":"Sawhney","given":"Monika","non-dropping-particle":"","parse-names":false,"suffix":""},{"dropping-particle":"","family":"Shiferaw","given":"Mekonnen Sisay","non-dropping-particle":"","parse-names":false,"suffix":""},{"dropping-particle":"","family":"Smith","given":"David L","non-dropping-particle":"","parse-names":false,"suffix":""},{"dropping-particle":"","family":"Sykes","given":"Bryan L.","non-dropping-particle":"","parse-names":false,"suffix":""},{"dropping-particle":"","family":"Tran","given":"Bach Xuan","non-dropping-particle":"","parse-names":false,"suffix":""},{"dropping-particle":"","family":"Tran","given":"Tung Thanh","non-dropping-particle":"","parse-names":false,"suffix":""},{"dropping-particle":"","family":"Ukwaja","given":"Kingsley Nnanna","non-dropping-particle":"","parse-names":false,"suffix":""},{"dropping-particle":"","family":"Vu","given":"Giang Thu","non-dropping-particle":"","parse-names":false,"suffix":""},{"dropping-particle":"","family":"Vu","given":"Linh Gia","non-dropping-particle":"","parse-names":false,"suffix":""},{"dropping-particle":"","family":"Weldegebreal","given":"Fitsum","non-dropping-particle":"","parse-names":false,"suffix":""},{"dropping-particle":"","family":"Yenit","given":"Melaku Kindie","non-dropping-particle":"","parse-names":false,"suffix":""},{"dropping-particle":"","family":"Murray","given":"Christopher J L","non-dropping-particle":"","parse-names":false,"suffix":""},{"dropping-particle":"","family":"Hay","given":"Simon I.","non-dropping-particle":"","parse-names":false,"suffix":""}],"container-title":"The Lancet Infectious Diseases","id":"ITEM-1","issue":"18","issued":{"date-parts":[["2019"]]},"title":"The global burden of typhoid and paratyphoid fevers: a systematic analysis for the Global Burden of Disease Study 2017","type":"article-journal","volume":"3099"},"uris":["http://www.mendeley.com/documents/?uuid=78ac7ef5-cdac-4843-87c4-5b3cefe8fe48"]}],"mendeley":{"formattedCitation":"[1]","plainTextFormattedCitation":"[1]","previouslyFormattedCitation":"[1]"},"properties":{"noteIndex":0},"schema":"https://github.com/citation-style-language/schema/raw/master/csl-citation.json"}</w:instrText>
      </w:r>
      <w:r>
        <w:fldChar w:fldCharType="separate"/>
      </w:r>
      <w:r w:rsidR="00E26C4A" w:rsidRPr="00E26C4A">
        <w:rPr>
          <w:noProof/>
        </w:rPr>
        <w:t>[1]</w:t>
      </w:r>
      <w:r>
        <w:fldChar w:fldCharType="end"/>
      </w:r>
      <w:r w:rsidR="004D17AA">
        <w:t>.</w:t>
      </w:r>
      <w:r w:rsidRPr="00157141">
        <w:t xml:space="preserve"> </w:t>
      </w:r>
      <w:r w:rsidR="00605378" w:rsidRPr="00157141">
        <w:t xml:space="preserve">The mortality rate of enteric fever in the pre-antibiotic era was estimated </w:t>
      </w:r>
      <w:r w:rsidR="00721009">
        <w:t>to be 10</w:t>
      </w:r>
      <w:r w:rsidR="009039B8">
        <w:t>-30</w:t>
      </w:r>
      <w:r w:rsidR="00721009">
        <w:t>%</w:t>
      </w:r>
      <w:r w:rsidR="0027543E">
        <w:t xml:space="preserve"> </w:t>
      </w:r>
      <w:r w:rsidR="00721009">
        <w:fldChar w:fldCharType="begin" w:fldLock="1"/>
      </w:r>
      <w:r w:rsidR="00CC6A0A">
        <w:instrText>ADDIN CSL_CITATION {"citationItems":[{"id":"ITEM-1","itemData":{"PMID":"6729897","author":[{"dropping-particle":"","family":"Gay","given":"Frederick P","non-dropping-particle":"","parse-names":false,"suffix":""}],"id":"ITEM-1","issued":{"date-parts":[["1918"]]},"number-of-pages":"xi p., 1 l., 286 p.","title":"Typhoid fever considered as a problem of scientific medicine","type":"book"},"uris":["http://www.mendeley.com/documents/?uuid=46e8dc98-60a5-4caa-9fb4-3651a32f42ab"]}],"mendeley":{"formattedCitation":"[2]","plainTextFormattedCitation":"[2]","previouslyFormattedCitation":"[2]"},"properties":{"noteIndex":0},"schema":"https://github.com/citation-style-language/schema/raw/master/csl-citation.json"}</w:instrText>
      </w:r>
      <w:r w:rsidR="00721009">
        <w:fldChar w:fldCharType="separate"/>
      </w:r>
      <w:r w:rsidR="00E26C4A" w:rsidRPr="00E26C4A">
        <w:rPr>
          <w:noProof/>
        </w:rPr>
        <w:t>[2]</w:t>
      </w:r>
      <w:r w:rsidR="00721009">
        <w:fldChar w:fldCharType="end"/>
      </w:r>
      <w:r w:rsidR="004D17AA">
        <w:t>.</w:t>
      </w:r>
      <w:r w:rsidR="00605378" w:rsidRPr="00157141">
        <w:t xml:space="preserve"> </w:t>
      </w:r>
      <w:r w:rsidR="003416D2">
        <w:t>However, t</w:t>
      </w:r>
      <w:r w:rsidR="00605378" w:rsidRPr="00157141">
        <w:t>he availability of effective antimicrobial therapy over the past 70 years has reduced the overall mortality rate to &lt;1%</w:t>
      </w:r>
      <w:r w:rsidR="0027543E">
        <w:t xml:space="preserve"> </w:t>
      </w:r>
      <w:r w:rsidR="00905892">
        <w:fldChar w:fldCharType="begin" w:fldLock="1"/>
      </w:r>
      <w:r w:rsidR="00CC6A0A">
        <w:instrText>ADDIN CSL_CITATION {"citationItems":[{"id":"ITEM-1","itemData":{"DOI":"10.1056/NEJMra020201","ISBN":"0028-4793","ISSN":"01251562","PMID":"25010338","abstract":"TYPHOID fever is a systemic infection with the bacterium Salmonella enterica serotype typhi. This highly adapted, human-specific pathogen has evolved remarkable mechanisms for persistence in its host that help to ensure its survival and transmission. Typhoid fever was an important cause of illness and death in the overcrowded and unsanitary urban conditions of the United States and Europe in the 19th century. 1 The provision of clean water and good sewage systems led to a dramatic decrease in the incidence of typhoid in these regions. Today most of the burden of the disease occurs in the developing world, where sanitary conditions remain poor. Reliable data from which to estimate the burden of disease in these areas are difficult to obtain, since many hospitals lack facilities for blood culture and up to 90 percent of patients with typhoid are treated as outpatients. Communitybased studies have consistently shown higher levels of typhoid than public health figures suggest. Annual incidence rates of 198 per 100,000 in the Mekong Delta region of Vietnam 2 and 980 per 100,000 in Delhi, India, 3 have recently been reported. According to the best global estimates, there are at least 16 million new cases of typhoid fever each year, with 600,000 deaths. 4 The introduction of chloramphenicol for the treatment of typhoid fever in 1948 transformed a severe, debilitating, and often fatal disease into a readily treatable condition. 5 The emergence of resistance to chlor-","author":[{"dropping-particle":"","family":"Parry","given":"Christopher M","non-dropping-particle":"","parse-names":false,"suffix":""},{"dropping-particle":"","family":"Hien","given":"Tran Tinh","non-dropping-particle":"","parse-names":false,"suffix":""},{"dropping-particle":"","family":"Dougan","given":"Gordon","non-dropping-particle":"","parse-names":false,"suffix":""},{"dropping-particle":"","family":"White","given":"Nicholas J","non-dropping-particle":"","parse-names":false,"suffix":""},{"dropping-particle":"","family":"Farrar","given":"Jeremy J","non-dropping-particle":"","parse-names":false,"suffix":""}],"container-title":"New England Journal of Medicine","id":"ITEM-1","issue":"22","issued":{"date-parts":[["2002"]]},"language":"eng","page":"1770-1782","title":"Typhoid fever","type":"article-journal","volume":"347"},"uris":["http://www.mendeley.com/documents/?uuid=0c8d1d8d-dfb4-426b-9f95-13ced4ed54e7"]}],"mendeley":{"formattedCitation":"[3]","plainTextFormattedCitation":"[3]","previouslyFormattedCitation":"[3]"},"properties":{"noteIndex":0},"schema":"https://github.com/citation-style-language/schema/raw/master/csl-citation.json"}</w:instrText>
      </w:r>
      <w:r w:rsidR="00905892">
        <w:fldChar w:fldCharType="separate"/>
      </w:r>
      <w:r w:rsidR="00E26C4A" w:rsidRPr="00E26C4A">
        <w:rPr>
          <w:noProof/>
        </w:rPr>
        <w:t>[3]</w:t>
      </w:r>
      <w:r w:rsidR="00905892">
        <w:fldChar w:fldCharType="end"/>
      </w:r>
      <w:r w:rsidR="004D17AA">
        <w:t>.</w:t>
      </w:r>
      <w:r w:rsidR="00605378" w:rsidRPr="00157141">
        <w:t xml:space="preserve"> The recent emergence and global dissem</w:t>
      </w:r>
      <w:r w:rsidR="00605378">
        <w:t xml:space="preserve">ination of multi-drug resistant and </w:t>
      </w:r>
      <w:r w:rsidR="00605378" w:rsidRPr="00157141">
        <w:t xml:space="preserve">fluoroquinolone resistant strains of </w:t>
      </w:r>
      <w:r w:rsidR="00605378" w:rsidRPr="00BE5F72">
        <w:rPr>
          <w:i/>
        </w:rPr>
        <w:t>S</w:t>
      </w:r>
      <w:r w:rsidR="00605378" w:rsidRPr="00157141">
        <w:t>. Typhi and Paratyphi has limited effective treatment options for enteric fever</w:t>
      </w:r>
      <w:r w:rsidR="0027543E">
        <w:t xml:space="preserve"> </w:t>
      </w:r>
      <w:r w:rsidR="00605378" w:rsidRPr="00157141">
        <w:rPr>
          <w:vertAlign w:val="superscript"/>
        </w:rPr>
        <w:fldChar w:fldCharType="begin" w:fldLock="1"/>
      </w:r>
      <w:r w:rsidR="00CC6A0A">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00605378" w:rsidRPr="00157141">
        <w:rPr>
          <w:vertAlign w:val="superscript"/>
        </w:rPr>
        <w:fldChar w:fldCharType="separate"/>
      </w:r>
      <w:r w:rsidR="00E26C4A" w:rsidRPr="00E26C4A">
        <w:rPr>
          <w:noProof/>
        </w:rPr>
        <w:t>[4]</w:t>
      </w:r>
      <w:r w:rsidR="00605378" w:rsidRPr="00157141">
        <w:rPr>
          <w:vertAlign w:val="superscript"/>
        </w:rPr>
        <w:fldChar w:fldCharType="end"/>
      </w:r>
      <w:r w:rsidR="00854256">
        <w:t>.</w:t>
      </w:r>
      <w:r w:rsidR="00605378" w:rsidRPr="00157141">
        <w:t xml:space="preserve"> The W</w:t>
      </w:r>
      <w:r w:rsidR="003416D2">
        <w:t xml:space="preserve">orld </w:t>
      </w:r>
      <w:r w:rsidR="00605378" w:rsidRPr="00157141">
        <w:t>H</w:t>
      </w:r>
      <w:r w:rsidR="003416D2">
        <w:t xml:space="preserve">ealth </w:t>
      </w:r>
      <w:r w:rsidR="00605378" w:rsidRPr="00157141">
        <w:t>O</w:t>
      </w:r>
      <w:r w:rsidR="003416D2">
        <w:t>rganisation (WHO)</w:t>
      </w:r>
      <w:r w:rsidR="00605378" w:rsidRPr="00157141">
        <w:t xml:space="preserve"> has recently listed fluoroquinolone-resistant </w:t>
      </w:r>
      <w:r w:rsidR="00605378" w:rsidRPr="008C1190">
        <w:rPr>
          <w:i/>
        </w:rPr>
        <w:t>Salmonella</w:t>
      </w:r>
      <w:r w:rsidR="00605378" w:rsidRPr="00157141">
        <w:t xml:space="preserve"> as a “priority pathogen”, identified as one of 12 families of bacteria thought to pose the greatest risk to human health through rising antimicrobial resistance</w:t>
      </w:r>
      <w:r w:rsidR="0027543E">
        <w:t xml:space="preserve"> </w:t>
      </w:r>
      <w:r w:rsidR="00605378">
        <w:rPr>
          <w:vertAlign w:val="superscript"/>
        </w:rPr>
        <w:fldChar w:fldCharType="begin" w:fldLock="1"/>
      </w:r>
      <w:r w:rsidR="00CC6A0A">
        <w:rPr>
          <w:vertAlign w:val="superscript"/>
        </w:rPr>
        <w:instrText>ADDIN CSL_CITATION {"citationItems":[{"id":"ITEM-1","itemData":{"DOI":"10.1016/S1473-3099(17)30753-3","ISSN":"14744457","PMID":"29276051","abstract":"Background: The spread of antibiotic-resistant bacteria poses a substantial threat to morbidity and mortality worldwide. Due to its large public health and societal implications, multidrug-resistant tuberculosis has been long regarded by WHO as a global priority for investment in new drugs. In 2016, WHO was requested by member states to create a priority list of other antibiotic-resistant bacteria to support research and development of effective drugs. Methods: We used a multicriteria decision analysis method to prioritise antibiotic-resistant bacteria; this method involved the identification of relevant criteria to assess priority against which each antibiotic-resistant bacterium was rated. The final priority ranking of the antibiotic-resistant bacteria was established after a preference-based survey was used to obtain expert weighting of criteria. Findings: We selected 20 bacterial species with 25 patterns of acquired resistance and ten criteria to assess priority: mortality, health-care burden, community burden, prevalence of resistance, 10-year trend of resistance, transmissibility, preventability in the community setting, preventability in the health-care setting, treatability, and pipeline. We stratified the priority list into three tiers (critical, high, and medium priority), using the 33rd percentile of the bacterium's total scores as the cutoff. Critical-priority bacteria included carbapenem-resistant Acinetobacter baumannii and Pseudomonas aeruginosa, and carbapenem-resistant and third-generation cephalosporin-resistant Enterobacteriaceae. The highest ranked Gram-positive bacteria (high priority) were vancomycin-resistant Enterococcus faecium and meticillin-resistant Staphylococcus aureus. Of the bacteria typically responsible for community-acquired infections, clarithromycin-resistant Helicobacter pylori, and fluoroquinolone-resistant Campylobacter spp, Neisseria gonorrhoeae, and Salmonella typhi were included in the high-priority tier. Interpretation: Future development strategies should focus on antibiotics that are active against multidrug-resistant tuberculosis and Gram-negative bacteria. The global strategy should include antibiotic-resistant bacteria responsible for community-acquired infections such as Salmonella spp, Campylobacter spp, N gonorrhoeae, and H pylori. Funding: World Health Organization.","author":[{"dropping-particle":"","family":"Tacconelli","given":"Evelina","non-dropping-particle":"","parse-names":false,"suffix":""},{"dropping-particle":"","family":"Carrara","given":"Elena","non-dropping-particle":"","parse-names":false,"suffix":""},{"dropping-particle":"","family":"Savoldi","given":"Alessia","non-dropping-particle":"","parse-names":false,"suffix":""},{"dropping-particle":"","family":"Harbarth","given":"Stephan","non-dropping-particle":"","parse-names":false,"suffix":""},{"dropping-particle":"","family":"Mendelson","given":"Marc","non-dropping-particle":"","parse-names":false,"suffix":""},{"dropping-particle":"","family":"Monnet","given":"Dominique L.","non-dropping-particle":"","parse-names":false,"suffix":""},{"dropping-particle":"","family":"Pulcini","given":"Céline","non-dropping-particle":"","parse-names":false,"suffix":""},{"dropping-particle":"","family":"Kahlmeter","given":"Gunnar","non-dropping-particle":"","parse-names":false,"suffix":""},{"dropping-particle":"","family":"Kluytmans","given":"Jan","non-dropping-particle":"","parse-names":false,"suffix":""},{"dropping-particle":"","family":"Carmeli","given":"Yehuda","non-dropping-particle":"","parse-names":false,"suffix":""},{"dropping-particle":"","family":"Ouellette","given":"Marc","non-dropping-particle":"","parse-names":false,"suffix":""},{"dropping-particle":"","family":"Outterson","given":"Kevin","non-dropping-particle":"","parse-names":false,"suffix":""},{"dropping-particle":"","family":"Patel","given":"Jean","non-dropping-particle":"","parse-names":false,"suffix":""},{"dropping-particle":"","family":"Cavaleri","given":"Marco","non-dropping-particle":"","parse-names":false,"suffix":""},{"dropping-particle":"","family":"Cox","given":"Edward M.","non-dropping-particle":"","parse-names":false,"suffix":""},{"dropping-particle":"","family":"Houchens","given":"Chris R.","non-dropping-particle":"","parse-names":false,"suffix":""},{"dropping-particle":"","family":"Grayson","given":"M. Lindsay","non-dropping-particle":"","parse-names":false,"suffix":""},{"dropping-particle":"","family":"Hansen","given":"Paul","non-dropping-particle":"","parse-names":false,"suffix":""},{"dropping-particle":"","family":"Singh","given":"Nalini","non-dropping-particle":"","parse-names":false,"suffix":""},{"dropping-particle":"","family":"Theuretzbacher","given":"Ursula","non-dropping-particle":"","parse-names":false,"suffix":""},{"dropping-particle":"","family":"Magrini","given":"Nicola","non-dropping-particle":"","parse-names":false,"suffix":""}],"container-title":"The Lancet Infectious Diseases","id":"ITEM-1","issue":"March","issued":{"date-parts":[["2017"]]},"page":"318-327","title":"Discovery, research, and development of new antibiotics: The WHO priority list of antibiotic-resistant bacteria and tuberculosis","type":"article-journal","volume":"18"},"uris":["http://www.mendeley.com/documents/?uuid=f98a14cb-6e95-4177-ac59-0c5949c5c8b5"]}],"mendeley":{"formattedCitation":"[5]","plainTextFormattedCitation":"[5]","previouslyFormattedCitation":"[5]"},"properties":{"noteIndex":0},"schema":"https://github.com/citation-style-language/schema/raw/master/csl-citation.json"}</w:instrText>
      </w:r>
      <w:r w:rsidR="00605378">
        <w:rPr>
          <w:vertAlign w:val="superscript"/>
        </w:rPr>
        <w:fldChar w:fldCharType="separate"/>
      </w:r>
      <w:r w:rsidR="00E26C4A" w:rsidRPr="00E26C4A">
        <w:rPr>
          <w:noProof/>
        </w:rPr>
        <w:t>[5]</w:t>
      </w:r>
      <w:r w:rsidR="00605378">
        <w:rPr>
          <w:vertAlign w:val="superscript"/>
        </w:rPr>
        <w:fldChar w:fldCharType="end"/>
      </w:r>
      <w:r w:rsidR="004D17AA" w:rsidRPr="0026490E">
        <w:t>.</w:t>
      </w:r>
      <w:r w:rsidR="004D17AA">
        <w:rPr>
          <w:vertAlign w:val="superscript"/>
        </w:rPr>
        <w:t xml:space="preserve"> </w:t>
      </w:r>
    </w:p>
    <w:p w14:paraId="0FF68F77" w14:textId="77777777" w:rsidR="003416D2" w:rsidRDefault="003416D2" w:rsidP="006C25B6"/>
    <w:p w14:paraId="72EBDCEB" w14:textId="1ECBE648" w:rsidR="00605378" w:rsidRDefault="00605378" w:rsidP="006C25B6">
      <w:r>
        <w:t xml:space="preserve">Treatment options for enteric fever, particularly in the outpatient setting, are now severely limited. </w:t>
      </w:r>
      <w:r w:rsidR="009C6165" w:rsidRPr="001F4C68">
        <w:t>Third generation cephalosporins are commonly used in the empirical treatment of enteric fever and are a valuable treatment option in the setting of MDR and fluoroquinolone resistant isolates</w:t>
      </w:r>
      <w:r w:rsidR="0027543E">
        <w:t xml:space="preserve"> </w:t>
      </w:r>
      <w:r w:rsidR="009C6165" w:rsidRPr="001F4C68">
        <w:fldChar w:fldCharType="begin" w:fldLock="1"/>
      </w:r>
      <w:r w:rsidR="00CC6A0A">
        <w:instrText>ADDIN CSL_CITATION {"citationItems":[{"id":"ITEM-1","itemData":{"DOI":"10.1016/S1473-3099(15)00530-7","ISBN":"1474-4457","ISSN":"14744457","PMID":"20160067752","abstract":"Background: Because treatment with third-generation cephalosporins is associated with slow clinical improvement and high relapse burden for enteric fever, whereas the fluoroquinolone gatifloxacin is associated with rapid fever clearance and low relapse burden, we postulated that gatifloxacin would be superior to the cephalosporin ceftriaxone in treating enteric fever. Methods: We did an open-label, randomised, controlled, superiority trial at two hospitals in the Kathmandu valley, Nepal. Eligible participants were children (aged 2-13 years) and adult (aged 14-45 years) with criteria for</w:instrText>
      </w:r>
      <w:r w:rsidR="00CC6A0A">
        <w:rPr>
          <w:rFonts w:hint="eastAsia"/>
        </w:rPr>
        <w:instrText xml:space="preserve"> suspected enteric fever (body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0</w:instrText>
      </w:r>
      <w:r w:rsidR="00CC6A0A">
        <w:rPr>
          <w:rFonts w:hint="eastAsia"/>
        </w:rPr>
        <w:instrText>°</w:instrText>
      </w:r>
      <w:r w:rsidR="00CC6A0A">
        <w:rPr>
          <w:rFonts w:hint="eastAsia"/>
        </w:rPr>
        <w:instrText xml:space="preserve">C for </w:instrText>
      </w:r>
      <w:r w:rsidR="00CC6A0A">
        <w:rPr>
          <w:rFonts w:hint="eastAsia"/>
        </w:rPr>
        <w:instrText>≥</w:instrText>
      </w:r>
      <w:r w:rsidR="00CC6A0A">
        <w:rPr>
          <w:rFonts w:hint="eastAsia"/>
        </w:rPr>
        <w:instrText xml:space="preserve">4 days without a focus of infection). We randomly assigned eligible patients (1:1) without stratification to 7 days of either oral gatifloxacin (10 mg/kg per day) or intravenous ceftriaxone (60 mg/kg up to 2 g per day for patients aged 2-13 years, or 2 g per day for patients aged </w:instrText>
      </w:r>
      <w:r w:rsidR="00CC6A0A">
        <w:rPr>
          <w:rFonts w:hint="eastAsia"/>
        </w:rPr>
        <w:instrText>≥</w:instrText>
      </w:r>
      <w:r w:rsidR="00CC6A0A">
        <w:rPr>
          <w:rFonts w:hint="eastAsia"/>
        </w:rPr>
        <w:instrText>14 years). The randomisation list was computer-generated using blocks of four and six. The primary outcome was a composite of treatment failure, defined as the occurrence o</w:instrText>
      </w:r>
      <w:r w:rsidR="00CC6A0A">
        <w:instrText>f at least one of the following: fever clearance time of more than 7 days after treatment initiation; the need for rescue treatment on day 8; microbiological failure (ie, blood cultures positive for Salmonella enterica serotype Typhi, or Paratyphi A, B, or C) on day 8; or relapse or disease-related complications within 28 days of treatment initiation. We did the analyses in the modified intention-to-treat population, and subpopulations with either confirmed blood-culture positivity, or blood-culture negativity. The trial was powered to detect an increase of 20% in the risk of failure. This trial was registered at ClinicalTrials.gov, number NCT01421693, and is now closed. Findings: Between Sept 18, 2011, and July 14, 2014, we screened 725 patients for eligibility. On July 14, 2014, the trial was stopped early by the data safety and monitoring board because S Typhi strains with high-level resistance to ciprofloxacin and gatifloxacin had emerged. At this point, 239 were in the modified intention-to-treat population (120 assigned to gatifloxacin, 119 to ceftriaxone). 18 (15%) patients who received gatifloxacin had treatment failure, compared with 19 (16%) who received ceftriaxone (hazard ratio [HR] 1·04 [95% CI 0·55-1·98]; p=0·91). In the culture-confirmed population, 16 (26%) of 62 patients who received gatifloxacin failed treatment, compared with four (7%) of 54 who receive…","author":[{"dropping-particle":"","family":"Arjyal","given":"Amit","non-dropping-particle":"","parse-names":false,"suffix":""},{"dropping-particle":"","family":"Basnyat","given":"Buddha","non-dropping-particle":"","parse-names":false,"suffix":""},{"dropping-particle":"","family":"Nhan","given":"Ho Thi","non-dropping-particle":"","parse-names":false,"suffix":""},{"dropping-particle":"","family":"Koirala","given":"Samir","non-dropping-particle":"","parse-names":false,"suffix":""},{"dropping-particle":"","family":"Giri","given":"Abhishek","non-dropping-particle":"","parse-names":false,"suffix":""},{"dropping-particle":"","family":"Joshi","given":"Niva","non-dropping-particle":"","parse-names":false,"suffix":""},{"dropping-particle":"","family":"Shakya","given":"Mila","non-dropping-particle":"","parse-names":false,"suffix":""},{"dropping-particle":"","family":"Pathak","given":"Kamal Raj","non-dropping-particle":"","parse-names":false,"suffix":""},{"dropping-particle":"","family":"Mahat","given":"Saruna Pathak","non-dropping-particle":"","parse-names":false,"suffix":""},{"dropping-particle":"","family":"Prajapati","given":"Shanti Pradhan","non-dropping-particle":"","parse-names":false,"suffix":""},{"dropping-particle":"","family":"Adhikari","given":"Nabin","non-dropping-particle":"","parse-names":false,"suffix":""},{"dropping-particle":"","family":"Thapa","given":"Rajkumar","non-dropping-particle":"","parse-names":false,"suffix":""},{"dropping-particle":"","family":"Merson","given":"Laura","non-dropping-particle":"","parse-names":false,"suffix":""},{"dropping-particle":"","family":"Gajurel","given":"Damodar","non-dropping-particle":"","parse-names":false,"suffix":""},{"dropping-particle":"","family":"Lamsal","given":"Kamal","non-dropping-particle":"","parse-names":false,"suffix":""},{"dropping-particle":"","family":"Lamsal","given":"Dinesh","non-dropping-particle":"","parse-names":false,"suffix":""},{"dropping-particle":"","family":"Yadav","given":"Bharat Kumar","non-dropping-particle":"","parse-names":false,"suffix":""},{"dropping-particle":"","family":"Shah","given":"Ganesh","non-dropping-particle":"","parse-names":false,"suffix":""},{"dropping-particle":"","family":"Shrestha","given":"Poojan","non-dropping-particle":"","parse-names":false,"suffix":""},{"dropping-particle":"","family":"Dongol","given":"Sabina","non-dropping-particle":"","parse-names":false,"suffix":""},{"dropping-particle":"","family":"Karkey","given":"Abhilasha","non-dropping-particle":"","parse-names":false,"suffix":""},{"dropping-particle":"","family":"Thompson","given":"Corinne N.","non-dropping-particle":"","parse-names":false,"suffix":""},{"dropping-particle":"","family":"Thieu","given":"Nga Tran Vu","non-dropping-particle":"","parse-names":false,"suffix":""},{"dropping-particle":"","family":"Thanh","given":"Duy Pham","non-dropping-particle":"","parse-names":false,"suffix":""},{"dropping-particle":"","family":"Baker","given":"Stephen","non-dropping-particle":"","parse-names":false,"suffix":""},{"dropping-particle":"","family":"Thwaites","given":"Guy E.","non-dropping-particle":"","parse-names":false,"suffix":""},{"dropping-particle":"","family":"Wolbers","given":"Marcel","non-dropping-particle":"","parse-names":false,"suffix":""},{"dropping-particle":"","family":"Dolecek","given":"Christiane","non-dropping-particle":"","parse-names":false,"suffix":""}],"container-title":"The Lancet Infectious Diseases","id":"ITEM-1","issue":"5","issued":{"date-parts":[["2016","1"]]},"language":"English","page":"535-545","publisher":"Arjyal et al. Open Access article distributed under the terms of CC BY","title":"Gatifloxacin versus ceftriaxone for uncomplicated enteric fever in Nepal: An open-label, two-centre, randomised controlled trial","type":"article-journal","volume":"16"},"uris":["http://www.mendeley.com/documents/?uuid=b857e042-01ec-4f0d-82dc-5428ef6b0dd0"]}],"mendeley":{"formattedCitation":"[6]","plainTextFormattedCitation":"[6]","previouslyFormattedCitation":"[6]"},"properties":{"noteIndex":0},"schema":"https://github.com/citation-style-language/schema/raw/master/csl-citation.json"}</w:instrText>
      </w:r>
      <w:r w:rsidR="009C6165" w:rsidRPr="001F4C68">
        <w:fldChar w:fldCharType="separate"/>
      </w:r>
      <w:r w:rsidR="00E26C4A" w:rsidRPr="00E26C4A">
        <w:rPr>
          <w:noProof/>
        </w:rPr>
        <w:t>[6]</w:t>
      </w:r>
      <w:r w:rsidR="009C6165" w:rsidRPr="001F4C68">
        <w:fldChar w:fldCharType="end"/>
      </w:r>
      <w:r w:rsidR="004D17AA">
        <w:t>.</w:t>
      </w:r>
      <w:r w:rsidR="009C6165">
        <w:t xml:space="preserve"> </w:t>
      </w:r>
      <w:r w:rsidR="00600779">
        <w:t>Seve</w:t>
      </w:r>
      <w:r w:rsidR="00600779" w:rsidRPr="006C25B6">
        <w:t>ra</w:t>
      </w:r>
      <w:r w:rsidR="00600779">
        <w:t>l r</w:t>
      </w:r>
      <w:r w:rsidR="009C6165" w:rsidRPr="001F4C68">
        <w:t xml:space="preserve">ecent </w:t>
      </w:r>
      <w:r w:rsidR="009C6165">
        <w:t>report</w:t>
      </w:r>
      <w:r w:rsidR="00600779">
        <w:t>s have described the emergence</w:t>
      </w:r>
      <w:r w:rsidR="009C6165">
        <w:t xml:space="preserve"> of extended spectrum beta-lactamase producing </w:t>
      </w:r>
      <w:r w:rsidR="009C6165" w:rsidRPr="00600779">
        <w:rPr>
          <w:i/>
        </w:rPr>
        <w:t>S</w:t>
      </w:r>
      <w:r w:rsidR="009C6165">
        <w:t>. Typhi</w:t>
      </w:r>
      <w:r w:rsidR="0027543E">
        <w:t xml:space="preserve"> </w:t>
      </w:r>
      <w:r w:rsidR="004D17AA">
        <w:fldChar w:fldCharType="begin" w:fldLock="1"/>
      </w:r>
      <w:r w:rsidR="00CC6A0A">
        <w:instrText>ADDIN CSL_CITATION {"citationItems":[{"id":"ITEM-1","itemData":{"DOI":"10.1093/cid/cix342","ISSN":"15376591","abstract":"We report a typhoid fever case with a Salmonella enterica serovar Typhi isolate showing extended spectrum β-lactamase (ESBL) production in the Democratic Republic of the Congo. Whole genome sequencing revealed that the strain carried a plasmid-mediated CTX-M-15 ESBL gene and did not belong to the dominant H58 Salmonella Typhi clade.","author":[{"dropping-particle":"","family":"Phoba","given":"Marie France","non-dropping-particle":"","parse-names":false,"suffix":""},{"dropping-particle":"","family":"Barbé","given":"Barbara","non-dropping-particle":"","parse-names":false,"suffix":""},{"dropping-particle":"","family":"Lunguya","given":"Octavie","non-dropping-particle":"","parse-names":false,"suffix":""},{"dropping-particle":"","family":"Masendu","given":"Lysette","non-dropping-particle":"","parse-names":false,"suffix":""},{"dropping-particle":"","family":"Lulengwa","given":"Deo","non-dropping-particle":"","parse-names":false,"suffix":""},{"dropping-particle":"","family":"Dougan","given":"Gordon","non-dropping-particle":"","parse-names":false,"suffix":""},{"dropping-particle":"","family":"Wong","given":"Vanessa K.","non-dropping-particle":"","parse-names":false,"suffix":""},{"dropping-particle":"","family":"Bertrand","given":"Sophie","non-dropping-particle":"","parse-names":false,"suffix":""},{"dropping-particle":"","family":"Ceyssens","given":"Pieter Jan","non-dropping-particle":"","parse-names":false,"suffix":""},{"dropping-particle":"","family":"Jacobs","given":"Jan","non-dropping-particle":"","parse-names":false,"suffix":""},{"dropping-particle":"","family":"Puyvelde","given":"Sandra","non-dropping-particle":"Van","parse-names":false,"suffix":""},{"dropping-particle":"","family":"Deborggraeve","given":"Stijn","non-dropping-particle":"","parse-names":false,"suffix":""}],"container-title":"Clinical Infectious Diseases","id":"ITEM-1","issued":{"date-parts":[["2017"]]},"title":"Salmonella enterica serovar Typhi Producing CTX-M-15 Extended Spectrum β-Lactamase in the Democratic Republic of the Congo","type":"article-journal"},"uris":["http://www.mendeley.com/documents/?uuid=cb74ef29-3017-48ea-b091-94fedfe6cc6a"]},{"id":"ITEM-2","itemData":{"DOI":"10.1016/S1473-3099(19)30176-8","ISSN":"14744457","author":[{"dropping-particle":"","family":"Godbole","given":"Gauri","non-dropping-particle":"","parse-names":false,"suffix":""},{"dropping-particle":"","family":"McCann","given":"Naina","non-dropping-particle":"","parse-names":false,"suffix":""},{"dropping-particle":"","family":"Jones","given":"Stephen Morris","non-dropping-particle":"","parse-names":false,"suffix":""},{"dropping-particle":"","family":"Dallman","given":"Timothy J.","non-dropping-particle":"","parse-names":false,"suffix":""},{"dropping-particle":"","family":"Brown","given":"Michael","non-dropping-particle":"","parse-names":false,"suffix":""}],"container-title":"The Lancet Infectious Diseases","id":"ITEM-2","issue":"5","issued":{"date-parts":[["2019"]]},"page":"467","publisher":"Elsevier Ltd","title":"Ceftriaxone-resistant Salmonella Typhi in a traveller returning from a mass gathering in Iraq","type":"article-journal","volume":"19"},"uris":["http://www.mendeley.com/documents/?uuid=840234a6-9fbc-43d5-a563-e991a6247368"]}],"mendeley":{"formattedCitation":"[7,8]","plainTextFormattedCitation":"[7,8]","previouslyFormattedCitation":"[7,8]"},"properties":{"noteIndex":0},"schema":"https://github.com/citation-style-language/schema/raw/master/csl-citation.json"}</w:instrText>
      </w:r>
      <w:r w:rsidR="004D17AA">
        <w:fldChar w:fldCharType="separate"/>
      </w:r>
      <w:r w:rsidR="00E26C4A" w:rsidRPr="00E26C4A">
        <w:rPr>
          <w:noProof/>
        </w:rPr>
        <w:t>[7,8]</w:t>
      </w:r>
      <w:r w:rsidR="004D17AA">
        <w:fldChar w:fldCharType="end"/>
      </w:r>
      <w:r w:rsidR="009C6165">
        <w:t xml:space="preserve"> - including </w:t>
      </w:r>
      <w:r w:rsidR="00600779">
        <w:t xml:space="preserve">a strain of </w:t>
      </w:r>
      <w:r w:rsidR="009C6165" w:rsidRPr="001F4C68">
        <w:t xml:space="preserve">extensively drug resistant (XDR) </w:t>
      </w:r>
      <w:r w:rsidR="009C6165" w:rsidRPr="001F4C68">
        <w:rPr>
          <w:i/>
        </w:rPr>
        <w:t>S.</w:t>
      </w:r>
      <w:r w:rsidR="009C6165" w:rsidRPr="001F4C68">
        <w:t xml:space="preserve"> Typhi</w:t>
      </w:r>
      <w:r w:rsidR="00721009">
        <w:t xml:space="preserve"> genotype 4.3.1 (</w:t>
      </w:r>
      <w:r w:rsidR="009C6165" w:rsidRPr="001F4C68">
        <w:t>H58</w:t>
      </w:r>
      <w:r w:rsidR="00721009">
        <w:t>)</w:t>
      </w:r>
      <w:r w:rsidR="00600779">
        <w:t xml:space="preserve"> responsible for a large</w:t>
      </w:r>
      <w:r w:rsidR="008777A9">
        <w:t xml:space="preserve"> typhoid</w:t>
      </w:r>
      <w:r w:rsidR="00600779">
        <w:t xml:space="preserve"> outbreak in Pakistan</w:t>
      </w:r>
      <w:r w:rsidR="0027543E">
        <w:t xml:space="preserve"> </w:t>
      </w:r>
      <w:r w:rsidR="00721009">
        <w:fldChar w:fldCharType="begin" w:fldLock="1"/>
      </w:r>
      <w:r w:rsidR="00CC6A0A">
        <w:instrText>ADDIN CSL_CITATION {"citationItems":[{"id":"ITEM-1","itemData":{"DOI":"10.1128/mBio.00105-18","ISSN":"2150-7511","PMID":"29463654","abstract":"Antibiotic resistance is a major problem inSalmonella entericaserovar Typhi, the causative agent of typhoid. Multidrug-resistant (MDR) isolates are prevalent in parts of Asia and Africa and are often associated with the dominant H58 haplotype. Reduced susceptibility to fluoroquinolones is also widespread, and sporadic cases of resistance to third-generation cephalosporins or azithromycin have also been reported. Here, we report the first large-scale emergence and spread of a novelS Typhi clone harboring resistance to three first-line drugs (chloramphenicol, ampicillin, and trimethoprim-sulfamethoxazole) as well as fluoroquinolones and third-generation cephalosporins in Sindh, Pakistan, which we classify as extensively drug resistant (XDR). Over 300 XDR typhoid cases have emerged in Sindh, Pakistan, since November 2016. Additionally, a single case of travel-associated XDR typhoid has recently been identified in the United Kingdom. Whole-genome sequencing of over 80 of the XDR isolates revealed remarkable genetic clonality and sequence conservation, identified a large number of resistance determinants, and showed that these isolates were of haplotype H58. The XDRS Typhi clone encodes a chromosomally located resistance region and harbors a plasmid encoding additional resistance elements, including theblaCTX-M-15extended-spectrum β-lactamase, and carrying theqnrSfluoroquinolone resistance gene. This antibiotic resistance-associated IncY plasmid exhibited high sequence identity to plasmids found in other enteric bacteria isolated from widely distributed geographic locations. This study highlights three concerning problems: the receding antibiotic arsenal for typhoid treatment, the ability ofS Typhi to transform from MDR to XDR in a single step by acquisition of a plasmid, and the ability of XDR clones to spread globally.IMPORTANCETyphoid fever is a severe disease caused by the Gram-negative bacteriumSalmonella entericaserovar Typhi. Antibiotic-resistantS Typhi strains have become increasingly common. Here, we report the first large-scale emergence and spread of a novel extensively drug-resistant (XDR)S Typhi clone in Sindh, Pakistan. The XDRS Typhi is resistant to the majority of drugs available for the treatment of typhoid fever. This study highlights the evolving threat of antibiotic resistance inS Typhi and the value of antibiotic susceptibility testing and whole-genome sequencing in understanding emerging infectious diseases. We genetically characterized…","author":[{"dropping-particle":"","family":"Klemm","given":"Elizabeth J","non-dropping-particle":"","parse-names":false,"suffix":""},{"dropping-particle":"","family":"Shakoor","given":"Sadia","non-dropping-particle":"","parse-names":false,"suffix":""},{"dropping-particle":"","family":"Page","given":"Andrew J","non-dropping-particle":"","parse-names":false,"suffix":""},{"dropping-particle":"","family":"Qamar","given":"Farah Naz","non-dropping-particle":"","parse-names":false,"suffix":""},{"dropping-particle":"","family":"Judge","given":"Kim","non-dropping-particle":"","parse-names":false,"suffix":""},{"dropping-particle":"","family":"Saeed","given":"Dania K","non-dropping-particle":"","parse-names":false,"suffix":""},{"dropping-particle":"","family":"Wong","given":"Vanessa K","non-dropping-particle":"","parse-names":false,"suffix":""},{"dropping-particle":"","family":"Dallman","given":"Timothy J","non-dropping-particle":"","parse-names":false,"suffix":""},{"dropping-particle":"","family":"Nair","given":"Satheesh","non-dropping-particle":"","parse-names":false,"suffix":""},{"dropping-particle":"","family":"Baker","given":"Stephen","non-dropping-particle":"","parse-names":false,"suffix":""},{"dropping-particle":"","family":"Shaheen","given":"Ghazala","non-dropping-particle":"","parse-names":false,"suffix":""},{"dropping-particle":"","family":"Qureshi","given":"Shahida","non-dropping-particle":"","parse-names":false,"suffix":""},{"dropping-particle":"","family":"Yousafzai","given":"Mohammad Tahir","non-dropping-particle":"","parse-names":false,"suffix":""},{"dropping-particle":"","family":"Saleem","given":"Muhammad Khalid","non-dropping-particle":"","parse-names":false,"suffix":""},{"dropping-particle":"","family":"Hasan","given":"Zahra","non-dropping-particle":"","parse-names":false,"suffix":""},{"dropping-particle":"","family":"Dougan","given":"Gordon","non-dropping-particle":"","parse-names":false,"suffix":""},{"dropping-particle":"","family":"Hasan","given":"Rumina","non-dropping-particle":"","parse-names":false,"suffix":""}],"container-title":"mBio","id":"ITEM-1","issue":"1","issued":{"date-parts":[["2018"]]},"page":"e00105-18","title":"Emergence of an Extensively Drug-Resistant Salmonella enterica Serovar Typhi Clone Harboring a Promiscuous Plasmid Encoding Resistance to Fluoroquinolones and Third-Generation Cephalosporins.","type":"article-journal","volume":"9"},"uris":["http://www.mendeley.com/documents/?uuid=bbb34468-3515-3aa2-928e-6dbb6df22ea6"]},{"id":"ITEM-2","itemData":{"DOI":"10.1016/S1473-3099(18)30483-3","ISSN":"14744457","abstract":"Background: Pakistan is currently facing the largest outbreak of ceftriaxone-resistant Salmonella enterica serotype Typhi described to date. Here we aimed to report the outbreak investigation done in Hyderabad, Pakistan, and identify disease risk factors. Methods: We did an age-matched case-control (1:4) study, in which cases of ceftriaxone-resistant S Typhi were identified from active sentinal sites (three hospitals in Hyderabad, Pakistan), community, and laboratory-based surveillance. Ceftriaxone-resistant S Typhi infection (ie, resistance to ampicillin, chloramphenicol, co-trimoxazole, fluoroquinole, and ceftriaxone) was confirmed using blood culture. Healthy participants (controls) were enrolled for the first 200 people (cases) with ceftriaxone-resistant S Typhi. A structured questionnaire was administered to identify exposures 4 weeks before the illness (cases) or enrolment (controls). Cases were included if written informed consent was provided. Four controls were selected from the same community as the corresponding case, matched on age, being healthy at the time of enrolment, and with no febrile illness in the 4 weeks before enrolment. Samples of drinking water from households and community water sources (ie, hand pumps or taps in common areas outside households) were collected for testing. Conditional logistic regression analysis was used to assess the risk factors for ceftriaxone-resistant S Typhi outbreak in Hyderabad. Findings: Between Nov 30, 2016, and Dec 30, 2017, 486 people with ceftriaxone-resistant S Typhi were identified from Hyderabad. Of the 486 cases, 296 (61%) were male and 447 (92%) were aged 15 years or younger. Several factors were significantly associated with acquisition of ceftriaxone-resistant S Typhi, including male sex (adjusted odds ratio [aOR] 1·53, 95% CI 1·06–2·21), eating outside of the house (aOR 1·48, 1·01–2·19), exposure to a patient with S Typhi infection (aOR 3·81, 2·21–6·83), and a history of antimicrobial use (aOR 4·25, 2·53–7·13). Nine (69%) of 13 water samples taken from the households of people with ceftriaxone-resistant S Typhi infection were positive for Escherichia coli, indicating faecal contamination. S Typhi DNA was detected in 12 (22%) of 55 water samples from community water sources. Geospatial mapping showed clustering of cases around sewerage lines. Interpretation: Hyderabad faces the largest reported outbreak of ceftriaxone-resistant S Typhi. The outbreak is suspected to be attributed to the cont…","author":[{"dropping-particle":"","family":"Qamar","given":"Farah Naz","non-dropping-particle":"","parse-names":false,"suffix":""},{"dropping-particle":"","family":"Yousafzai","given":"Mohammad Tahir","non-dropping-particle":"","parse-names":false,"suffix":""},{"dropping-particle":"","family":"Khalid","given":"Muhammad","non-dropping-particle":"","parse-names":false,"suffix":""},{"dropping-particle":"","family":"Kazi","given":"Abdul Momin","non-dropping-particle":"","parse-names":false,"suffix":""},{"dropping-particle":"","family":"Lohana","given":"Heeramani","non-dropping-particle":"","parse-names":false,"suffix":""},{"dropping-particle":"","family":"Karim","given":"Sultan","non-dropping-particle":"","parse-names":false,"suffix":""},{"dropping-particle":"","family":"Khan","given":"Ayub","non-dropping-particle":"","parse-names":false,"suffix":""},{"dropping-particle":"","family":"Hotwani","given":"Aneeta","non-dropping-particle":"","parse-names":false,"suffix":""},{"dropping-particle":"","family":"Qureshi","given":"Shahida","non-dropping-particle":"","parse-names":false,"suffix":""},{"dropping-particle":"","family":"Kabir","given":"Furqan","non-dropping-particle":"","parse-names":false,"suffix":""},{"dropping-particle":"","family":"Aziz","given":"Fatima","non-dropping-particle":"","parse-names":false,"suffix":""},{"dropping-particle":"","family":"Memon","given":"Naveed Masood","non-dropping-particle":"","parse-names":false,"suffix":""},{"dropping-particle":"","family":"Domki","given":"Mudassar Hussain","non-dropping-particle":"","parse-names":false,"suffix":""},{"dropping-particle":"","family":"Hasan","given":"Rumina","non-dropping-particle":"","parse-names":false,"suffix":""}],"container-title":"The Lancet Infectious Diseases","id":"ITEM-2","issued":{"date-parts":[["2018"]]},"title":"Outbreak investigation of ceftriaxone-resistant Salmonella enterica serotype Typhi and its risk factors among the general population in Hyderabad, Pakistan: a matched case-control study","type":"article-journal"},"uris":["http://www.mendeley.com/documents/?uuid=2b872b30-8158-4d1c-adb6-0b47064b153a"]}],"mendeley":{"formattedCitation":"[9,10]","plainTextFormattedCitation":"[9,10]","previouslyFormattedCitation":"[9,10]"},"properties":{"noteIndex":0},"schema":"https://github.com/citation-style-language/schema/raw/master/csl-citation.json"}</w:instrText>
      </w:r>
      <w:r w:rsidR="00721009">
        <w:fldChar w:fldCharType="separate"/>
      </w:r>
      <w:r w:rsidR="00E26C4A" w:rsidRPr="00E26C4A">
        <w:rPr>
          <w:noProof/>
        </w:rPr>
        <w:t>[9,10]</w:t>
      </w:r>
      <w:r w:rsidR="00721009">
        <w:fldChar w:fldCharType="end"/>
      </w:r>
      <w:r w:rsidR="004D17AA">
        <w:t>.</w:t>
      </w:r>
      <w:r w:rsidR="00600779">
        <w:t xml:space="preserve"> Strains resistant to third-generation cephalosporins ma</w:t>
      </w:r>
      <w:r w:rsidR="00721009">
        <w:t>y</w:t>
      </w:r>
      <w:r w:rsidR="00600779">
        <w:t xml:space="preserve"> require treatment with carbapenems, which are either unavailable or prohibitively expensive in resource limited settings</w:t>
      </w:r>
      <w:r w:rsidR="0027543E">
        <w:t xml:space="preserve"> </w:t>
      </w:r>
      <w:r w:rsidR="00600779">
        <w:fldChar w:fldCharType="begin" w:fldLock="1"/>
      </w:r>
      <w:r w:rsidR="00CC6A0A">
        <w:instrText>ADDIN CSL_CITATION {"citationItems":[{"id":"ITEM-1","itemData":{"DOI":"10.1136/bmj.k5322","ISSN":"17561833","author":[{"dropping-particle":"","family":"Parry","given":"Christopher M.","non-dropping-particle":"","parse-names":false,"suffix":""},{"dropping-particle":"","family":"Ribeiro","given":"Isabela","non-dropping-particle":"","parse-names":false,"suffix":""},{"dropping-particle":"","family":"Walia","given":"Kamini","non-dropping-particle":"","parse-names":false,"suffix":""},{"dropping-particle":"","family":"Rupali","given":"Priscilla","non-dropping-particle":"","parse-names":false,"suffix":""},{"dropping-particle":"","family":"Baker","given":"Stephen","non-dropping-particle":"","parse-names":false,"suffix":""},{"dropping-particle":"","family":"Basnyat","given":"Buddha","non-dropping-particle":"","parse-names":false,"suffix":""}],"container-title":"BMJ (Online)","id":"ITEM-1","issued":{"date-parts":[["2019"]]},"page":"1-4","title":"Multidrug resistant enteric fever in South Asia: Unmet medical needs and opportunities","type":"article-journal","volume":"364"},"uris":["http://www.mendeley.com/documents/?uuid=b88ee4ea-8ac8-4086-b791-ffa7a6f159a1"]}],"mendeley":{"formattedCitation":"[11]","plainTextFormattedCitation":"[11]","previouslyFormattedCitation":"[11]"},"properties":{"noteIndex":0},"schema":"https://github.com/citation-style-language/schema/raw/master/csl-citation.json"}</w:instrText>
      </w:r>
      <w:r w:rsidR="00600779">
        <w:fldChar w:fldCharType="separate"/>
      </w:r>
      <w:r w:rsidR="00E26C4A" w:rsidRPr="00E26C4A">
        <w:rPr>
          <w:noProof/>
        </w:rPr>
        <w:t>[11]</w:t>
      </w:r>
      <w:r w:rsidR="00600779">
        <w:fldChar w:fldCharType="end"/>
      </w:r>
      <w:r w:rsidR="004D17AA">
        <w:t>.</w:t>
      </w:r>
      <w:r w:rsidR="00600779">
        <w:t xml:space="preserve"> </w:t>
      </w:r>
    </w:p>
    <w:p w14:paraId="5D87231F" w14:textId="77777777" w:rsidR="00605378" w:rsidRPr="00157141" w:rsidRDefault="00605378" w:rsidP="006C25B6"/>
    <w:p w14:paraId="245B50ED" w14:textId="0FB6D85D" w:rsidR="00605378" w:rsidRPr="00157141" w:rsidRDefault="00581A92" w:rsidP="00ED5AD4">
      <w:r w:rsidRPr="00157141">
        <w:t>Azithromycin is</w:t>
      </w:r>
      <w:r>
        <w:t xml:space="preserve"> an azalide </w:t>
      </w:r>
      <w:r w:rsidR="000E655B">
        <w:t>antimicrobial</w:t>
      </w:r>
      <w:r w:rsidRPr="00157141">
        <w:t xml:space="preserve"> </w:t>
      </w:r>
      <w:r>
        <w:t>widely</w:t>
      </w:r>
      <w:r w:rsidRPr="00157141">
        <w:t xml:space="preserve"> used for the empirical treatment of uncomplicated enteric fever, benefitting from once daily oral dosing and good tissue penetration. </w:t>
      </w:r>
      <w:r w:rsidRPr="008C1190">
        <w:t xml:space="preserve">It has </w:t>
      </w:r>
      <w:r w:rsidR="00E60623">
        <w:t xml:space="preserve">excellent </w:t>
      </w:r>
      <w:r w:rsidRPr="005D3DB3">
        <w:rPr>
          <w:i/>
        </w:rPr>
        <w:t>in vitro</w:t>
      </w:r>
      <w:r w:rsidRPr="008C1190">
        <w:t xml:space="preserve"> activity, being concentrated within phagocytic cells and achieving intracellular concentrations of up to </w:t>
      </w:r>
      <w:r>
        <w:t>200</w:t>
      </w:r>
      <w:r w:rsidRPr="008C1190">
        <w:t xml:space="preserve"> times greater than serum</w:t>
      </w:r>
      <w:r w:rsidR="0027543E">
        <w:t xml:space="preserve"> </w:t>
      </w:r>
      <w:r w:rsidR="006C25B6">
        <w:fldChar w:fldCharType="begin" w:fldLock="1"/>
      </w:r>
      <w:r w:rsidR="00CC6A0A">
        <w:instrText xml:space="preserve">ADDIN CSL_CITATION {"citationItems":[{"id":"ITEM-1","itemData":{"DOI":"10.1016/S0924-8579(02)00187-5","ISSN":"0924-8579","abstract":"Uptake of [14C]-azithromycin into THP-1 human monocytes was determined at pH 7.4, 6.8 or 5.5 over 4-log antibiotic concentrations for 24 h under a number of conditions. Stimulation of cells was with bacteria, latex beads, lipopolysaccharide (LPS), or zymogen A. Subcellular organelle disposition was determined after isolation by ultracentrifugation or sucrose gradients. Hydrolytic enzyme activities and mediators of intracellular inflammation (IL-1, IL-6, IL-8, and TNFα) were assessed. Azithromycin uptake into human THP-1 monocytes was initially linear achieving </w:instrText>
      </w:r>
      <w:r w:rsidR="00CC6A0A">
        <w:rPr>
          <w:rFonts w:ascii="Cambria Math" w:hAnsi="Cambria Math" w:cs="Cambria Math"/>
        </w:rPr>
        <w:instrText>∼</w:instrText>
      </w:r>
      <w:r w:rsidR="00CC6A0A">
        <w:instrText>2% of the extracellular concentration. At pH 7.4, uptake was both passive- and carrier-mediated, but as the pH became more acidic, the uptake was exclusively passive. The intracellular concentration was not pH-dependent over 24 h. Uptake was dependent upon temperature but not the presence of foetal calf serum. Intracellular disposition in zymogen A-stimulated and unstimulated cells was throughout all compartments of the cell, but was higher in the nucleus and cell sap. Phagosomes of stimulated cells contained higher level of the antibiotic. Efflux from THP-1 monocytes was complete between 3 and 4 h. After 1 h treatment with zymogen A, THP-1 monocytes demonstrated an increase in intracellular acidity, protein kinase C, SOD and NAG activities, and NO, H2O2, TNFα and IL-1 release over the 1st h. After 2–4 h the pH became alkaline, activities of NADPH reductase, NAG and cathepsin were reduced, and the release of NO, H2O2, TNFα and IL-6 were suppressed. Protein synthesis and killing of the bacteria was evident in bacteria kept in monocyte-free medium and those phagocytized by the THP-1 monocytes moderately at 2 h, but more significantly at 24 h. The early killing of the bacteria appears to be a cidal mechanism whereas later, a standard bacteriostatic mechanism was evident. Nevertheless, suppression of these chemical mediators and hydrolytic enzyme activities would reduce the infection and the spread to adjacent areas.","author":[{"dropping-particle":"","family":"Hall","given":"Iris H","non-dropping-particle":"","parse-names":false,"suffix":""},{"dropping-particle":"","family":"Schwab","given":"Ute E","non-dropping-particle":"","parse-names":false,"suffix":""},{"dropping-particle":"","family":"Stacy Ward","given":"E","non-dropping-particle":"","parse-names":false,"suffix":""},{"dropping-particle":"","family":"Butts","given":"John D","non-dropping-particle":"","parse-names":false,"suffix":""},{"dropping-particle":"","family":"Wolford","given":"Eric T","non-dropping-particle":"","parse-names":false,"suffix":""},{"dropping-particle":"","family":"Ives","given":"Timothy J","non-dropping-particle":"","parse-names":false,"suffix":""}],"container-title":"International Journal of Antimicrobial Agents","id":"ITEM-1","issue":"5","issued":{"date-parts":[["2002","11","1"]]},"page":"348-360","publisher":"Elsevier","title":"Disposition and intracellular activity of azithromycin in human THP-1 acute monocytes","type":"article-journal","volume":"20"},"uris":["http://www.mendeley.com/documents/?uuid=b247ffe5-c2e7-3136-9971-e9758351b6b7"]}],"mendeley":{"formattedCitation":"[12]","plainTextFormattedCitation":"[12]","previouslyFormattedCitation":"[12]"},"properties":{"noteIndex":0},"schema":"https://github.com/citation-style-language/schema/raw/master/csl-citation.json"}</w:instrText>
      </w:r>
      <w:r w:rsidR="006C25B6">
        <w:fldChar w:fldCharType="separate"/>
      </w:r>
      <w:r w:rsidR="00E26C4A" w:rsidRPr="00E26C4A">
        <w:rPr>
          <w:noProof/>
        </w:rPr>
        <w:t>[12]</w:t>
      </w:r>
      <w:r w:rsidR="006C25B6">
        <w:fldChar w:fldCharType="end"/>
      </w:r>
      <w:r w:rsidR="00A60299">
        <w:t>.</w:t>
      </w:r>
      <w:r w:rsidR="006C25B6">
        <w:t xml:space="preserve"> </w:t>
      </w:r>
      <w:r w:rsidR="00605378" w:rsidRPr="00157141">
        <w:t>Several randomised controlled trials have demonstrated the efficacy of azithromycin in adults and children when compared with fluoroquinolones, cephalosporins and chloramphenicol</w:t>
      </w:r>
      <w:r w:rsidR="009E757F">
        <w:t xml:space="preserve"> -</w:t>
      </w:r>
      <w:r w:rsidR="00605378">
        <w:t xml:space="preserve"> </w:t>
      </w:r>
      <w:r w:rsidR="00605378" w:rsidRPr="00157141">
        <w:t>including in the treatment of fluoroquinolone intermediate or resistant strains</w:t>
      </w:r>
      <w:r w:rsidR="0027543E">
        <w:t xml:space="preserve"> </w:t>
      </w:r>
      <w:r w:rsidR="00605378" w:rsidRPr="00157141">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fever","type":"article-journal","volume":"51"},"uris":["http://www.mendeley.com/documents/?uuid=7900ac60-566d-48ad-8f6b-bdeeadbf4274"]},{"id":"ITEM-2","itemData":{"DOI":"http://dx.doi.org/10.7860/JCDR/2012/4702.2631","ISBN":"2249-782X 0973-709X","PMID":"2013013947","abstract":"Objective: To compare the efficacy and safety of azithromycin with ofloxacin in patients with uncomplicated typhoid fever. Material and Methods: Forty adult patients with bacteriologically or serologically diagnosed, uncomplicated typhoid fever were included from Medicine out-patient department at Government medical college, Amritsar, India. They were randomized into 2 groups of 20 patients each. Group I: patients received ofloxacin 200mg orally twice daily for 7 days. Group II: Patients received Azithromycin orally 1 gm on day 1 and then 500 mg daily from day 2 to day 6. The following parameters were noted a) fever clearance time b) cure rate c) adverse drug reaction d) recurrence of symptoms, if any, during 4 weeks follow up. Results: Nineteen out of 20 patients from group I were cured with mean fever clearance time of 3.68 days while all 20 patients from group II were cured with mean fever clearance time of 3.65 days. No significant side effects were noted in any of the patients. No relapse was recorded in the present study in a follow up period of 4 weeks in both study groups. Conclusion: Both ofloxacin and Azithromycin are almost equally efficacious and safe in treatment of typhoid fever with no major adverse effect. Azithromycin is an effective alternative in conditions where ofloxacin is contraindicated i.e., children, pregnant women and quinolone resistant cases of typhoid fever.","author":[{"dropping-particle":"","family":"Chandey","given":"M","non-dropping-particle":"","parse-names":false,"suffix":""},{"dropping-particle":"","family":"Multani","given":"A S","non-dropping-particle":"","parse-names":false,"suffix":""}],"container-title":"Journal of Clinical and Diagnostic Research","id":"ITEM-2","issue":"10","issued":{"date-parts":[["2012"]]},"language":"English","page":"1736-1739","title":"A comparative study of efficacy and safety of azithromycin and ofloxacin in uncomplicated typhoid fever: A randomised, open labelled study","type":"article-journal","volume":"6"},"uris":["http://www.mendeley.com/documents/?uuid=bc35c050-8204-43eb-b09a-073946705a63"]},{"id":"ITEM-3","itemData":{"DOI":"10.1097/00006454-200001000-00025","ISBN":"0066-4804","ISSN":"00664804","PMID":"10348767","abstract":"To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Chemotherapy","id":"ITEM-3","issue":"6","issued":{"date-parts":[["1999"]]},"page":"1441-1444","title":"Azithromycin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resistance","type":"article-journal","volume":"43"},"uris":["http://www.mendeley.com/documents/?uuid=d95770d4-6c12-455b-b4c6-c47a0f3d8794"]},{"id":"ITEM-4","itemData":{"DOI":"10.1371/journal.pone.0002188","abstract":"Background: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One","id":"ITEM-4","issue":"5","issued":{"date-parts":[["2008"]]},"title":"A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Vietnam","type":"article-journal","volume":"3"},"uris":["http://www.mendeley.com/documents/?uuid=5a6b3091-0095-440d-bb76-3726786afafd"]},{"id":"ITEM-5","itemData":{"ISSN":"0066-4804","PMID":"10858343","abstract":"To examine the efficacy and safety of short courses of azithromycin and ofloxacin for treating multidrug-resistant (MDR, i.e., resistant to chloramphenicol, ampicillin, and cotrimoxazole) and nalidixic acid-resistant enteric fever, azithromycin (1 g once daily for 5 days at 20 mg/kg/day) and ofloxacin (200 mg orally twice a day for 5 days at 8 mg/kg/day) were compared in an open randomized study in adults admitted to a hospital with uncomplicated enteric fever. A total of 88 blood culture-confirmed patients were enrolled in the study (86 with Salmonella enterica serovar Typhi and 2 with S. enterica serovar Paratyphi A). Of these, 44 received azithromycin and 44 ofloxacin. A total of 68 of 87 (78%) isolates were MDR serovar Typhi, and 46 of 87 (53%) were nalidixic acid resistant. The MIC(90) (range) of azithromycin was 8 (4 to 16) microgram/ml for the isolates. The MIC(90) (range) of ofloxacin for the nalidixic acid-sensitive isolates was 0.03 (0.015 to 0.06) microgram/ml and for the nalidixic acid-resistant isolates it was 0.5 (0.25 to 1.0) microgram/ml. There was no significant difference in the overall clinical cure rate with ofloxacin and azithromycin (38 of 44 [86.4%] versus 42 of 44 [95.5%]; P = 0.27) or in the patients infected with nalidixic acid-resistant typhoid (17 of 21 [81.0%] versus 24 of 25 [96.0%]; P = 0.16). However, patients with nalidixic acid-resistant typhoid treated with ofloxacin had a longer fever clearance time compared with those treated with azithromycin (174 [60 to 264] versus 135 [72 to 186] h; P = 0.004) and had positive fecal cultures after the end of treatment (7 of 17 [41%] versus 0 of 19 [0%]; P = 0.002). Both antibiotics were well tolerated. A 5-day course of azithromycin was effective for the treatment of enteric fever due to MDR and nalidixic-acid-resistant serovar Typhi, whereas the ofloxacin regimen chosen was less satisfactory for these strains.","author":[{"dropping-particle":"","family":"Chinh","given":"N T","non-dropping-particle":"","parse-names":false,"suffix":""},{"dropping-particle":"","family":"Parry","given":"C M","non-dropping-particle":"","parse-names":false,"suffix":""},{"dropping-particle":"","family":"Ly","given":"N T","non-dropping-particle":"","parse-names":false,"suffix":""},{"dropping-particle":"","family":"Ha","given":"H D","non-dropping-particle":"","parse-names":false,"suffix":""},{"dropping-particle":"","family":"Thong","given":"M X","non-dropping-particle":"","parse-names":false,"suffix":""},{"dropping-particle":"","family":"Diep","given":"T S","non-dropping-particle":"","parse-names":false,"suffix":""},{"dropping-particle":"","family":"Wain","given":"J","non-dropping-particle":"","parse-names":false,"suffix":""},{"dropping-particle":"","family":"White","given":"N J","non-dropping-particle":"","parse-names":false,"suffix":""},{"dropping-particle":"","family":"Farrar","given":"J J","non-dropping-particle":"","parse-names":false,"suffix":""}],"container-title":"Antimicrobial agents and chemotherapy","id":"ITEM-5","issue":"7","issued":{"date-parts":[["2000","7"]]},"page":"1855-9","title":"A randomized controlled comparison of azithromycin and ofloxacin for treatment of multidrug-resistant or nalidixic acid-resistant enteric fever.","type":"article-journal","volume":"44"},"uris":["http://www.mendeley.com/documents/?uuid=72d88773-edce-43f7-90d4-e2f6b17c7788"]},{"id":"ITEM-6","itemData":{"DOI":"10.1093/jac/44.2.243","ISBN":"0305-7453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Chemotherapy","id":"ITEM-6","issue":"2","issued":{"date-parts":[["1999"]]},"page":"243-250","title":"Treatment of typhoid fever with azithromycin versus chloramphenicol in a randomized multicentre trial in India","type":"article-journal","volume":"44"},"uris":["http://www.mendeley.com/documents/?uuid=06e3f9b4-cb77-45aa-b171-0898c5f44ed8"]},{"id":"ITEM-7","itemData":{"ISBN":"1058-4838","abstract":"We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Diseases","id":"ITEM-7","issue":"7","issued":{"date-parts":[["2004"]]},"page":"951-957","title":"Short-course azithromycin for the treatment of uncomplicated typhoid fever in children and adolescents","type":"article-journal","volume":"38"},"uris":["http://www.mendeley.com/documents/?uuid=dc6987d6-50e5-4b37-8f58-c0ddc5dd08f0"]},{"id":"ITEM-8","itemData":{"DOI":"10.1086/317450","ISBN":"1058-4838 (Print)\\r1058-4838 (Linking)","ISSN":"1058-4838","PMID":"11073741","abstract":"A total of 108 children aged 4-17 years were randomized to receive 7 days of azithromycin (10 mg/kg/day; maximum, 500 mg/day) or ceftriaxone (75 mg/kg/day; maximum, 2.5 g/day), to assess the efficacy of the agents for the treatment of uncomplicated typhoid fever. Salmonella typhi was isolated from the initial cultures of blood samples from 64 patients. A total of 31 (91%) of the 34 patients treated with azithromycin and 29 (97%) of the 30 patients treated with ceftriaxone were cured (P&gt;.05). All 64 isolates were susceptible to azithromycin and ceftriaxone. Of the patients treated with ceftriaxone, 4 subsequently had relapse of their infection. No serious side effects occurred in any study subject. Oral azithromycin administered once daily appears to be effective for the treatment of uncomplicated typhoid fever in children. If these results are confirmed, the agent could be a convenient alternative for the treatment of typhoid fever, especially in individuals in developing countries where medical resources are scarce.","author":[{"dropping-particle":"","family":"Frenck","given":"R W","non-dropping-particle":"","parse-names":false,"suffix":""},{"dropping-particle":"","family":"Nakhla","given":"I","non-dropping-particle":"","parse-names":false,"suffix":""},{"dropping-particle":"","family":"Sultan","given":"Y","non-dropping-particle":"","parse-names":false,"suffix":""},{"dropping-particle":"","family":"Bassily","given":"S B","non-dropping-particle":"","parse-names":false,"suffix":""},{"dropping-particle":"","family":"Girgis","given":"Y F","non-dropping-particle":"","parse-names":false,"suffix":""},{"dropping-particle":"","family":"David","given":"J","non-dropping-particle":"","parse-names":false,"suffix":""},{"dropping-particle":"","family":"Butler","given":"T C","non-dropping-particle":"","parse-names":false,"suffix":""},{"dropping-particle":"","family":"Girgis","given":"N I","non-dropping-particle":"","parse-names":false,"suffix":""},{"dropping-particle":"","family":"Morsy","given":"M","non-dropping-particle":"","parse-names":false,"suffix":""}],"container-title":"Clinical infectious diseases : an official publication of the Infectious Diseases Society of America","id":"ITEM-8","issue":"5","issued":{"date-parts":[["2000"]]},"page":"1134-1138","title":"Azithromycin versus ceftriaxone for the treatment of uncomplicated typhoid fever in children.","type":"article-journal","volume":"31"},"uris":["http://www.mendeley.com/documents/?uuid=ac126875-496f-47a6-8609-2b6260c05cef"]}],"mendeley":{"formattedCitation":"[13–20]","plainTextFormattedCitation":"[13–20]","previouslyFormattedCitation":"[13–20]"},"properties":{"noteIndex":0},"schema":"https://github.com/citation-style-language/schema/raw/master/csl-citation.json"}</w:instrText>
      </w:r>
      <w:r w:rsidR="00605378" w:rsidRPr="00157141">
        <w:fldChar w:fldCharType="separate"/>
      </w:r>
      <w:r w:rsidR="00E26C4A" w:rsidRPr="00E26C4A">
        <w:rPr>
          <w:noProof/>
        </w:rPr>
        <w:t>[13–20]</w:t>
      </w:r>
      <w:r w:rsidR="00605378" w:rsidRPr="00157141">
        <w:fldChar w:fldCharType="end"/>
      </w:r>
      <w:r w:rsidR="004D17AA">
        <w:t>.</w:t>
      </w:r>
      <w:r w:rsidR="00605378" w:rsidRPr="00157141">
        <w:t xml:space="preserve"> </w:t>
      </w:r>
      <w:r w:rsidR="004D17AA">
        <w:t>R</w:t>
      </w:r>
      <w:r w:rsidR="00605378" w:rsidRPr="00157141">
        <w:t xml:space="preserve">esistance to azithromycin amongst circulating </w:t>
      </w:r>
      <w:r w:rsidR="003416D2" w:rsidRPr="0026490E">
        <w:rPr>
          <w:i/>
        </w:rPr>
        <w:t>S</w:t>
      </w:r>
      <w:r w:rsidR="003416D2">
        <w:t xml:space="preserve">. Typhi </w:t>
      </w:r>
      <w:r w:rsidR="00605378" w:rsidRPr="00157141">
        <w:t xml:space="preserve">strains is </w:t>
      </w:r>
      <w:r w:rsidR="003416D2">
        <w:t>uncommon</w:t>
      </w:r>
      <w:r w:rsidR="004D17AA">
        <w:t xml:space="preserve"> but appears to be an emerging problem</w:t>
      </w:r>
      <w:r w:rsidR="00C22298">
        <w:t>. A</w:t>
      </w:r>
      <w:r w:rsidR="003416D2">
        <w:t xml:space="preserve"> recent study </w:t>
      </w:r>
      <w:r w:rsidR="00C22298">
        <w:t>of &gt;1000 isolates collected between 2013 to 2016 in Dhaka</w:t>
      </w:r>
      <w:r w:rsidR="008777A9">
        <w:t>,</w:t>
      </w:r>
      <w:r w:rsidR="00C22298">
        <w:t xml:space="preserve"> Bangladesh identified 12 azithromycin-resistant </w:t>
      </w:r>
      <w:r w:rsidR="00C22298" w:rsidRPr="0026490E">
        <w:rPr>
          <w:i/>
        </w:rPr>
        <w:t>S.</w:t>
      </w:r>
      <w:r w:rsidR="00C22298">
        <w:t xml:space="preserve"> Typhi strains and one </w:t>
      </w:r>
      <w:r w:rsidR="00C22298" w:rsidRPr="0026490E">
        <w:rPr>
          <w:i/>
        </w:rPr>
        <w:t>S</w:t>
      </w:r>
      <w:r w:rsidR="00C22298">
        <w:t>. Paratyphi strain</w:t>
      </w:r>
      <w:r w:rsidR="0027543E">
        <w:t xml:space="preserve"> </w:t>
      </w:r>
      <w:r w:rsidR="003D0978">
        <w:fldChar w:fldCharType="begin" w:fldLock="1"/>
      </w:r>
      <w:r w:rsidR="00CC6A0A">
        <w:instrText>ADDIN CSL_CITATION {"citationItems":[{"id":"ITEM-1","itemData":{"DOI":"10.1101/594531","abstract":"With rising fluoroquinolone and ceftriaxone-resistant Salmonella Typhi, azithromycin, a macrolide, has become the last oral drug available against typhoid. Between 2009-2016, we isolated 1,082 Salmonella Typhi and Paratyphi A strains in Bangladesh, 13 (12 Typhi and 1 Paratyphi A) of which were azithromycin-resistant. When compared to 462 previously sequenced Typhi strains, the genomes of the 12 azithromycin-resistant Typhi strains (4.3.1 sub-clade, H58) harbored an exclusive non-synonymous single-point mutation R717Q in AcrB, an RND-efflux pump. Expression of AcrB-R717Q in E. coli and Typhi strains increased its minimum inhibitory concentration (MIC) for azithromycin by 11- and 3-fold respectively. The azithromycin-resistant Paratyphi A strain also contained a mutation at R717 (R717L), whose introduction in E. coli and Paratyphi A strains increased MIC by 7- and 3-fold respectively, confirming the role of R717 mutations in conferring azithromycin resistance. With increasing azithromycin use, strains with R717 mutations may spread leading to treatment failures, making antibiotic stewardship and vaccine introduction imperative.","author":[{"dropping-particle":"","family":"Hooda","given":"Yogesh","non-dropping-particle":"","parse-names":false,"suffix":""},{"dropping-particle":"","family":"Saha","given":"Senjuti","non-dropping-particle":"","parse-names":false,"suffix":""},{"dropping-particle":"","family":"Sajib","given":"Mohammad S. I.","non-dropping-particle":"","parse-names":false,"suffix":""},{"dropping-particle":"","family":"Rahman","given":"Hafizur","non-dropping-particle":"","parse-names":false,"suffix":""},{"dropping-particle":"","family":"Luby","given":"Stephen P.","non-dropping-particle":"","parse-names":false,"suffix":""},{"dropping-particle":"","family":"Bondy-Denomy","given":"Joseph","non-dropping-particle":"","parse-names":false,"suffix":""},{"dropping-particle":"","family":"Santosham","given":"Mathuram","non-dropping-particle":"","parse-names":false,"suffix":""},{"dropping-particle":"","family":"Andrews","given":"Jason R.","non-dropping-particle":"","parse-names":false,"suffix":""},{"dropping-particle":"","family":"Saha","given":"Samir K.","non-dropping-particle":"","parse-names":false,"suffix":""}],"container-title":"bioRxiv","id":"ITEM-1","issued":{"date-parts":[["2019","4","5"]]},"page":"594531","publisher":"Cold Spring Harbor Laboratory","title":"Emergence and molecular basis of azithromycin resistance in typhoidal Salmonella in Dhaka, Bangladesh","type":"article-journal"},"uris":["http://www.mendeley.com/documents/?uuid=701a1a41-10c7-3464-812e-9d83688f39eb"]}],"mendeley":{"formattedCitation":"[21]","plainTextFormattedCitation":"[21]","previouslyFormattedCitation":"[21]"},"properties":{"noteIndex":0},"schema":"https://github.com/citation-style-language/schema/raw/master/csl-citation.json"}</w:instrText>
      </w:r>
      <w:r w:rsidR="003D0978">
        <w:fldChar w:fldCharType="separate"/>
      </w:r>
      <w:r w:rsidR="00E26C4A" w:rsidRPr="00E26C4A">
        <w:rPr>
          <w:noProof/>
        </w:rPr>
        <w:t>[21]</w:t>
      </w:r>
      <w:r w:rsidR="003D0978">
        <w:fldChar w:fldCharType="end"/>
      </w:r>
      <w:r w:rsidR="004D17AA">
        <w:t>.</w:t>
      </w:r>
      <w:r w:rsidR="00C22298">
        <w:t xml:space="preserve"> A</w:t>
      </w:r>
      <w:r w:rsidR="00605378" w:rsidRPr="00157141">
        <w:t xml:space="preserve">zithromycin can be </w:t>
      </w:r>
      <w:r w:rsidR="00605378" w:rsidRPr="00157141">
        <w:lastRenderedPageBreak/>
        <w:t>associated with fever-clearance times averaging 4-5 days</w:t>
      </w:r>
      <w:r w:rsidR="008777A9">
        <w:t xml:space="preserve"> </w:t>
      </w:r>
      <w:r w:rsidR="00905892">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fever","type":"article-journal","volume":"51"},"uris":["http://www.mendeley.com/documents/?uuid=7900ac60-566d-48ad-8f6b-bdeeadbf4274"]},{"id":"ITEM-2","itemData":{"ISSN":"0066-4804","PMID":"10858343","abstract":"To examine the efficacy and safety of short courses of azithromycin and ofloxacin for treating multidrug-resistant (MDR, i.e., resistant to chloramphenicol, ampicillin, and cotrimoxazole) and nalidixic acid-resistant enteric fever, azithromycin (1 g once daily for 5 days at 20 mg/kg/day) and ofloxacin (200 mg orally twice a day for 5 days at 8 mg/kg/day) were compared in an open randomized study in adults admitted to a hospital with uncomplicated enteric fever. A total of 88 blood culture-confirmed patients were enrolled in the study (86 with Salmonella enterica serovar Typhi and 2 with S. enterica serovar Paratyphi A). Of these, 44 received azithromycin and 44 ofloxacin. A total of 68 of 87 (78%) isolates were MDR serovar Typhi, and 46 of 87 (53%) were nalidixic acid resistant. The MIC(90) (range) of azithromycin was 8 (4 to 16) microgram/ml for the isolates. The MIC(90) (range) of ofloxacin for the nalidixic acid-sensitive isolates was 0.03 (0.015 to 0.06) microgram/ml and for the nalidixic acid-resistant isolates it was 0.5 (0.25 to 1.0) microgram/ml. There was no significant difference in the overall clinical cure rate with ofloxacin and azithromycin (38 of 44 [86.4%] versus 42 of 44 [95.5%]; P = 0.27) or in the patients infected with nalidixic acid-resistant typhoid (17 of 21 [81.0%] versus 24 of 25 [96.0%]; P = 0.16). However, patients with nalidixic acid-resistant typhoid treated with ofloxacin had a longer fever clearance time compared with those treated with azithromycin (174 [60 to 264] versus 135 [72 to 186] h; P = 0.004) and had positive fecal cultures after the end of treatment (7 of 17 [41%] versus 0 of 19 [0%]; P = 0.002). Both antibiotics were well tolerated. A 5-day course of azithromycin was effective for the treatment of enteric fever due to MDR and nalidixic-acid-resistant serovar Typhi, whereas the ofloxacin regimen chosen was less satisfactory for these strains.","author":[{"dropping-particle":"","family":"Chinh","given":"N T","non-dropping-particle":"","parse-names":false,"suffix":""},{"dropping-particle":"","family":"Parry","given":"C M","non-dropping-particle":"","parse-names":false,"suffix":""},{"dropping-particle":"","family":"Ly","given":"N T","non-dropping-particle":"","parse-names":false,"suffix":""},{"dropping-particle":"","family":"Ha","given":"H D","non-dropping-particle":"","parse-names":false,"suffix":""},{"dropping-particle":"","family":"Thong","given":"M X","non-dropping-particle":"","parse-names":false,"suffix":""},{"dropping-particle":"","family":"Diep","given":"T S","non-dropping-particle":"","parse-names":false,"suffix":""},{"dropping-particle":"","family":"Wain","given":"J","non-dropping-particle":"","parse-names":false,"suffix":""},{"dropping-particle":"","family":"White","given":"N J","non-dropping-particle":"","parse-names":false,"suffix":""},{"dropping-particle":"","family":"Farrar","given":"J J","non-dropping-particle":"","parse-names":false,"suffix":""}],"container-title":"Antimicrobial agents and chemotherapy","id":"ITEM-2","issue":"7","issued":{"date-parts":[["2000","7"]]},"page":"1855-9","title":"A randomized controlled comparison of azithromycin and ofloxacin for treatment of multidrug-resistant or nalidixic acid-resistant enteric fever.","type":"article-journal","volume":"44"},"uris":["http://www.mendeley.com/documents/?uuid=72d88773-edce-43f7-90d4-e2f6b17c7788"]},{"id":"ITEM-3","itemData":{"DOI":"10.1371/journal.pone.0002188","abstract":"Background: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One","id":"ITEM-3","issue":"5","issued":{"date-parts":[["2008"]]},"title":"A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Vietnam","type":"article-journal","volume":"3"},"uris":["http://www.mendeley.com/documents/?uuid=5a6b3091-0095-440d-bb76-3726786afafd"]},{"id":"ITEM-4","itemData":{"DOI":"10.1093/jac/44.2.243","ISBN":"0305-7453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Chemotherapy","id":"ITEM-4","issue":"2","issued":{"date-parts":[["1999"]]},"page":"243-250","title":"Treatment of typhoid fever with azithromycin versus chloramphenicol in a randomized multicentre trial in India","type":"article-journal","volume":"44"},"uris":["http://www.mendeley.com/documents/?uuid=06e3f9b4-cb77-45aa-b171-0898c5f44ed8"]}],"mendeley":{"formattedCitation":"[13,16–18]","plainTextFormattedCitation":"[13,16–18]","previouslyFormattedCitation":"[13,16–18]"},"properties":{"noteIndex":0},"schema":"https://github.com/citation-style-language/schema/raw/master/csl-citation.json"}</w:instrText>
      </w:r>
      <w:r w:rsidR="00905892">
        <w:fldChar w:fldCharType="separate"/>
      </w:r>
      <w:r w:rsidR="00E26C4A" w:rsidRPr="00E26C4A">
        <w:rPr>
          <w:noProof/>
        </w:rPr>
        <w:t>[13,16–18]</w:t>
      </w:r>
      <w:r w:rsidR="00905892">
        <w:fldChar w:fldCharType="end"/>
      </w:r>
      <w:r w:rsidR="008777A9">
        <w:t>;</w:t>
      </w:r>
      <w:r w:rsidR="00605378" w:rsidRPr="00157141">
        <w:t xml:space="preserve"> prolonged bacteraemia of up to 72-96 hours post treatment</w:t>
      </w:r>
      <w:r w:rsidR="0027543E">
        <w:t xml:space="preserve"> </w:t>
      </w:r>
      <w:r w:rsidR="00905892">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Diseases","id":"ITEM-2","issue":"7","issued":{"date-parts":[["2004"]]},"page":"951-957","title":"Short-course azithromycin for the treatment of uncomplicated typhoid fever in children and adolescents","type":"article-journal","volume":"38"},"uris":["http://www.mendeley.com/documents/?uuid=dc6987d6-50e5-4b37-8f58-c0ddc5dd08f0"]}],"mendeley":{"formattedCitation":"[13,19]","plainTextFormattedCitation":"[13,19]","previouslyFormattedCitation":"[13,19]"},"properties":{"noteIndex":0},"schema":"https://github.com/citation-style-language/schema/raw/master/csl-citation.json"}</w:instrText>
      </w:r>
      <w:r w:rsidR="00905892">
        <w:fldChar w:fldCharType="separate"/>
      </w:r>
      <w:r w:rsidR="00E26C4A" w:rsidRPr="00E26C4A">
        <w:rPr>
          <w:noProof/>
        </w:rPr>
        <w:t>[13,19]</w:t>
      </w:r>
      <w:r w:rsidR="00905892">
        <w:fldChar w:fldCharType="end"/>
      </w:r>
      <w:r w:rsidR="00605378" w:rsidRPr="00157141">
        <w:t xml:space="preserve"> and treatment failures</w:t>
      </w:r>
      <w:r w:rsidR="0027543E">
        <w:t xml:space="preserve"> </w:t>
      </w:r>
      <w:r w:rsidR="00905892">
        <w:fldChar w:fldCharType="begin" w:fldLock="1"/>
      </w:r>
      <w:r w:rsidR="00CC6A0A">
        <w:instrText>ADDIN CSL_CITATION {"citationItems":[{"id":"ITEM-1","itemData":{"DOI":"10.1093/jac/44.2.243","ISBN":"0305-7453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Chemotherapy","id":"ITEM-1","issue":"2","issued":{"date-parts":[["1999"]]},"page":"243-250","title":"Treatment of typhoid fever with azithromycin versus chloramphenicol in a randomized multicentre trial in India","type":"article-journal","volume":"44"},"uris":["http://www.mendeley.com/documents/?uuid=06e3f9b4-cb77-45aa-b171-0898c5f44ed8"]},{"id":"ITEM-2","itemData":{"author":[{"dropping-particle":"","family":"Wallace","given":"M","non-dropping-particle":"","parse-names":false,"suffix":""},{"dropping-particle":"","family":"Yousif","given":"A","non-dropping-particle":"","parse-names":false,"suffix":""},{"dropping-particle":"","family":"Habib","given":"N","non-dropping-particle":"","parse-names":false,"suffix":""},{"dropping-particle":"","family":"Tribble","given":"D","non-dropping-particle":"","parse-names":false,"suffix":""}],"container-title":"The Lancet","id":"ITEM-2","issued":{"date-parts":[["1994"]]},"page":"1497-1498","title":"Azithromycin and typhoid","type":"article-journal","volume":"343"},"uris":["http://www.mendeley.com/documents/?uuid=1a4d4854-361d-445d-8df7-69f9cd444cec"]}],"mendeley":{"formattedCitation":"[18,22]","plainTextFormattedCitation":"[18,22]","previouslyFormattedCitation":"[18,22]"},"properties":{"noteIndex":0},"schema":"https://github.com/citation-style-language/schema/raw/master/csl-citation.json"}</w:instrText>
      </w:r>
      <w:r w:rsidR="00905892">
        <w:fldChar w:fldCharType="separate"/>
      </w:r>
      <w:r w:rsidR="00E26C4A" w:rsidRPr="00E26C4A">
        <w:rPr>
          <w:noProof/>
        </w:rPr>
        <w:t>[18,22]</w:t>
      </w:r>
      <w:r w:rsidR="00905892">
        <w:fldChar w:fldCharType="end"/>
      </w:r>
      <w:r w:rsidR="00B36EB5">
        <w:t>.</w:t>
      </w:r>
      <w:r w:rsidR="00605378" w:rsidRPr="00157141">
        <w:t xml:space="preserve"> </w:t>
      </w:r>
      <w:r w:rsidR="009E757F">
        <w:t xml:space="preserve"> </w:t>
      </w:r>
      <w:r w:rsidR="00605378" w:rsidRPr="00157141">
        <w:t>Sub-optimal treatment responses are associated with increased morbidity, as well as having potentially harmful effects through prolong</w:t>
      </w:r>
      <w:r w:rsidR="00605378">
        <w:t>ed</w:t>
      </w:r>
      <w:r w:rsidR="00605378" w:rsidRPr="00157141">
        <w:t xml:space="preserve"> treatment courses, interrupt</w:t>
      </w:r>
      <w:r w:rsidR="00605378">
        <w:t>ed</w:t>
      </w:r>
      <w:r w:rsidR="00605378" w:rsidRPr="00157141">
        <w:t xml:space="preserve"> treatment regimens (prompted by escalation or switching antibiotics) and increased healthcare burden. </w:t>
      </w:r>
    </w:p>
    <w:p w14:paraId="5E3C66D1" w14:textId="77777777" w:rsidR="00605378" w:rsidRPr="00157141" w:rsidRDefault="00605378" w:rsidP="00ED5AD4"/>
    <w:p w14:paraId="65E9A033" w14:textId="4360F408" w:rsidR="00F1530B" w:rsidRDefault="00605378" w:rsidP="00ED5AD4">
      <w:r w:rsidRPr="00157141">
        <w:t xml:space="preserve">Controlled human infection (CHI) models have previously been applied to study antibiotic therapy </w:t>
      </w:r>
      <w:r w:rsidR="008777A9">
        <w:t>following</w:t>
      </w:r>
      <w:r w:rsidR="008777A9" w:rsidRPr="00157141">
        <w:t xml:space="preserve"> </w:t>
      </w:r>
      <w:r w:rsidRPr="00BE5F72">
        <w:rPr>
          <w:i/>
        </w:rPr>
        <w:t>S</w:t>
      </w:r>
      <w:r w:rsidRPr="00157141">
        <w:t>. Typhi challenge</w:t>
      </w:r>
      <w:r w:rsidR="0027543E">
        <w:t xml:space="preserve"> </w:t>
      </w:r>
      <w:r w:rsidRPr="00157141">
        <w:fldChar w:fldCharType="begin" w:fldLock="1"/>
      </w:r>
      <w:r w:rsidR="00CC6A0A">
        <w:instrText>ADDIN CSL_CITATION {"citationItems":[{"id":"ITEM-1","itemData":{"author":[{"dropping-particle":"","family":"DuPont","given":"HL","non-dropping-particle":"","parse-names":false,"suffix":""},{"dropping-particle":"","family":"Hornick","given":"RB","non-dropping-particle":"","parse-names":false,"suffix":""},{"dropping-particle":"","family":"Weiss","given":"CF","non-dropping-particle":"","parse-names":false,"suffix":""},{"dropping-particle":"","family":"Synder","given":"MJ","non-dropping-particle":"","parse-names":false,"suffix":""},{"dropping-particle":"","family":"Woodward","given":"TE","non-dropping-particle":"","parse-names":false,"suffix":""}],"container-title":"New England Journal of Medicine","id":"ITEM-1","issue":"2","issued":{"date-parts":[["1970"]]},"page":"53-57","title":"Evaluation fo Chloramphenicol Acid Succinate Therapy of Induced Typhoid Fever and Rocky Mountain Spotted Fever","type":"article-journal","volume":"282"},"uris":["http://www.mendeley.com/documents/?uuid=99a45652-7b4a-4c29-9d86-04d6c2556ee1"]}],"mendeley":{"formattedCitation":"[23]","plainTextFormattedCitation":"[23]","previouslyFormattedCitation":"[23]"},"properties":{"noteIndex":0},"schema":"https://github.com/citation-style-language/schema/raw/master/csl-citation.json"}</w:instrText>
      </w:r>
      <w:r w:rsidRPr="00157141">
        <w:fldChar w:fldCharType="separate"/>
      </w:r>
      <w:r w:rsidR="00E26C4A" w:rsidRPr="00E26C4A">
        <w:rPr>
          <w:noProof/>
        </w:rPr>
        <w:t>[23]</w:t>
      </w:r>
      <w:r w:rsidRPr="00157141">
        <w:fldChar w:fldCharType="end"/>
      </w:r>
      <w:r w:rsidR="00B36EB5">
        <w:t>.</w:t>
      </w:r>
      <w:r w:rsidRPr="00157141">
        <w:t xml:space="preserve"> </w:t>
      </w:r>
      <w:r w:rsidR="00905892">
        <w:t>Such</w:t>
      </w:r>
      <w:r w:rsidR="00905892" w:rsidRPr="00157141">
        <w:t xml:space="preserve"> </w:t>
      </w:r>
      <w:r w:rsidRPr="00157141">
        <w:t>studies offer the advantage of accurately recording</w:t>
      </w:r>
      <w:r>
        <w:t xml:space="preserve"> clinical</w:t>
      </w:r>
      <w:r w:rsidRPr="00157141">
        <w:t xml:space="preserve"> treatment responses in a closely monitored experimental setting</w:t>
      </w:r>
      <w:r>
        <w:t xml:space="preserve"> </w:t>
      </w:r>
      <w:r w:rsidR="008777A9">
        <w:t xml:space="preserve">with </w:t>
      </w:r>
      <w:r w:rsidRPr="00157141">
        <w:t>daily</w:t>
      </w:r>
      <w:r>
        <w:t xml:space="preserve"> collection of</w:t>
      </w:r>
      <w:r w:rsidRPr="00157141">
        <w:t xml:space="preserve"> culture samples to accurately determine the dynamics of bacteraemia. In light of the increasingly limited treatment options for enteric fever, we sought to compare treatment responses to azithromycin and ciprofloxacin in healthy volunteers challenged with </w:t>
      </w:r>
      <w:r w:rsidR="008777A9">
        <w:t xml:space="preserve">a </w:t>
      </w:r>
      <w:r w:rsidRPr="00157141">
        <w:t xml:space="preserve">fully antibiotic </w:t>
      </w:r>
      <w:r w:rsidR="000E655B">
        <w:t>susceptible</w:t>
      </w:r>
      <w:r w:rsidRPr="00157141">
        <w:t xml:space="preserve"> strain of </w:t>
      </w:r>
      <w:r w:rsidRPr="008C1190">
        <w:rPr>
          <w:i/>
        </w:rPr>
        <w:t>S.</w:t>
      </w:r>
      <w:r w:rsidRPr="00157141">
        <w:t xml:space="preserve"> Typhi as part of a programme of controlled human infection studies. </w:t>
      </w:r>
    </w:p>
    <w:p w14:paraId="64ADF610" w14:textId="007B1493" w:rsidR="003A62D7" w:rsidRPr="00B41829" w:rsidRDefault="003A62D7" w:rsidP="0026490E">
      <w:pPr>
        <w:pStyle w:val="Heading2"/>
      </w:pPr>
      <w:r w:rsidRPr="00B41829">
        <w:t>METHODS</w:t>
      </w:r>
    </w:p>
    <w:p w14:paraId="00C59F87" w14:textId="77777777" w:rsidR="003A62D7" w:rsidRPr="003A62D7" w:rsidRDefault="003A62D7" w:rsidP="0026490E">
      <w:pPr>
        <w:pStyle w:val="Heading3"/>
      </w:pPr>
      <w:r w:rsidRPr="003A62D7">
        <w:t xml:space="preserve">Study Design </w:t>
      </w:r>
    </w:p>
    <w:p w14:paraId="3885BE1C" w14:textId="6A9E25FE" w:rsidR="003A62D7" w:rsidRPr="00B41829" w:rsidRDefault="00905892" w:rsidP="0026490E">
      <w:r>
        <w:t>We performed a</w:t>
      </w:r>
      <w:r w:rsidR="002D67B6">
        <w:t xml:space="preserve"> secondary</w:t>
      </w:r>
      <w:r w:rsidR="003A62D7" w:rsidRPr="00B41829">
        <w:t xml:space="preserve"> analysis</w:t>
      </w:r>
      <w:r w:rsidR="003A62D7">
        <w:t xml:space="preserve"> of two </w:t>
      </w:r>
      <w:r w:rsidR="003A62D7" w:rsidRPr="00B41829">
        <w:rPr>
          <w:i/>
        </w:rPr>
        <w:t>S.</w:t>
      </w:r>
      <w:r w:rsidR="003A62D7" w:rsidRPr="00B41829">
        <w:t xml:space="preserve"> Typhi controlled human infection studies (Stud</w:t>
      </w:r>
      <w:r w:rsidR="009E757F">
        <w:t>ies</w:t>
      </w:r>
      <w:r w:rsidR="003A62D7" w:rsidRPr="00B41829">
        <w:t xml:space="preserve"> A and B)</w:t>
      </w:r>
      <w:r>
        <w:t xml:space="preserve"> </w:t>
      </w:r>
      <w:r w:rsidR="003A62D7" w:rsidRPr="00B41829">
        <w:t>compar</w:t>
      </w:r>
      <w:r>
        <w:t xml:space="preserve">ing </w:t>
      </w:r>
      <w:r w:rsidR="003A62D7" w:rsidRPr="00B41829">
        <w:t xml:space="preserve">treatment responses </w:t>
      </w:r>
      <w:r w:rsidR="003A62D7">
        <w:t xml:space="preserve">to </w:t>
      </w:r>
      <w:r w:rsidR="003A62D7" w:rsidRPr="00B41829">
        <w:t xml:space="preserve">oral azithromycin </w:t>
      </w:r>
      <w:r w:rsidR="003A62D7">
        <w:t>and</w:t>
      </w:r>
      <w:r w:rsidR="003A62D7" w:rsidRPr="00B41829">
        <w:t xml:space="preserve"> ciprofloxacin in participants diagnosed with uncomplicated typhoid fever. </w:t>
      </w:r>
      <w:r w:rsidR="003A62D7">
        <w:t xml:space="preserve">Both studies were </w:t>
      </w:r>
      <w:r w:rsidR="003A62D7" w:rsidRPr="00B41829">
        <w:t xml:space="preserve">conducted at the Centre for Clinical Vaccinology and Tropical Medicine, Oxford, United Kingdom from March 2015 to August 2017. </w:t>
      </w:r>
      <w:r w:rsidR="003A62D7" w:rsidRPr="00B41829">
        <w:rPr>
          <w:color w:val="000000"/>
        </w:rPr>
        <w:t xml:space="preserve">Study protocols were approved by the sponsor (University of Oxford), the </w:t>
      </w:r>
      <w:r w:rsidR="009E757F" w:rsidRPr="00B41829">
        <w:rPr>
          <w:color w:val="000000"/>
        </w:rPr>
        <w:t>South-Central</w:t>
      </w:r>
      <w:r w:rsidR="003A62D7" w:rsidRPr="00B41829">
        <w:rPr>
          <w:color w:val="000000"/>
        </w:rPr>
        <w:t xml:space="preserve"> Oxford </w:t>
      </w:r>
      <w:proofErr w:type="gramStart"/>
      <w:r w:rsidR="003A62D7" w:rsidRPr="00B41829">
        <w:rPr>
          <w:color w:val="000000"/>
        </w:rPr>
        <w:t>A</w:t>
      </w:r>
      <w:proofErr w:type="gramEnd"/>
      <w:r w:rsidR="003A62D7" w:rsidRPr="00B41829">
        <w:rPr>
          <w:color w:val="000000"/>
        </w:rPr>
        <w:t xml:space="preserve"> Ethics Committee (14/SC/1427, 14/SC/1204), and the Medicines and Healthcare Products Regulatory Agency (</w:t>
      </w:r>
      <w:proofErr w:type="spellStart"/>
      <w:r w:rsidR="003A62D7" w:rsidRPr="00B41829">
        <w:rPr>
          <w:color w:val="000000"/>
        </w:rPr>
        <w:t>Eudract</w:t>
      </w:r>
      <w:proofErr w:type="spellEnd"/>
      <w:r w:rsidR="003A62D7" w:rsidRPr="00B41829">
        <w:rPr>
          <w:color w:val="000000"/>
        </w:rPr>
        <w:t xml:space="preserve"> 2014-002978-36).</w:t>
      </w:r>
      <w:r w:rsidR="003A62D7" w:rsidRPr="00B41829">
        <w:t xml:space="preserve"> Both studies are registered with ClinicalTrials.gov </w:t>
      </w:r>
      <w:r w:rsidR="003A62D7">
        <w:t>(</w:t>
      </w:r>
      <w:hyperlink r:id="rId11" w:history="1">
        <w:r w:rsidR="009E757F" w:rsidRPr="006065AC">
          <w:rPr>
            <w:rStyle w:val="Hyperlink"/>
          </w:rPr>
          <w:t>NCT02324751</w:t>
        </w:r>
      </w:hyperlink>
      <w:r w:rsidR="003A62D7" w:rsidRPr="00B41829">
        <w:t xml:space="preserve">, </w:t>
      </w:r>
      <w:hyperlink r:id="rId12" w:history="1">
        <w:r w:rsidR="009E757F" w:rsidRPr="006065AC">
          <w:rPr>
            <w:rStyle w:val="Hyperlink"/>
          </w:rPr>
          <w:t>NCT02192008</w:t>
        </w:r>
      </w:hyperlink>
      <w:r w:rsidR="003A62D7">
        <w:t>)</w:t>
      </w:r>
      <w:r w:rsidR="003A62D7" w:rsidRPr="00B41829">
        <w:t xml:space="preserve">. </w:t>
      </w:r>
    </w:p>
    <w:p w14:paraId="1C5F4737" w14:textId="77777777" w:rsidR="009E757F" w:rsidRDefault="009E757F" w:rsidP="0026490E">
      <w:pPr>
        <w:pStyle w:val="Heading3"/>
      </w:pPr>
    </w:p>
    <w:p w14:paraId="544CA865" w14:textId="23D42369" w:rsidR="003A62D7" w:rsidRPr="00B41829" w:rsidRDefault="003A62D7" w:rsidP="0026490E">
      <w:pPr>
        <w:pStyle w:val="Heading3"/>
      </w:pPr>
      <w:r w:rsidRPr="00B41829">
        <w:t xml:space="preserve">Study Participants </w:t>
      </w:r>
    </w:p>
    <w:p w14:paraId="1BE509A1" w14:textId="5B028249" w:rsidR="003A62D7" w:rsidRPr="00B41829" w:rsidRDefault="003A62D7" w:rsidP="0026490E">
      <w:r w:rsidRPr="00B41829">
        <w:t>Participants from Study A were blinded, randomised and vaccinated with a single dose of Vi-tetanus toxoid conjugate (Vi-TT</w:t>
      </w:r>
      <w:r w:rsidR="00AB64A0">
        <w:t xml:space="preserve">; </w:t>
      </w:r>
      <w:proofErr w:type="spellStart"/>
      <w:r w:rsidR="00AB64A0" w:rsidRPr="00AB64A0">
        <w:t>Typbar</w:t>
      </w:r>
      <w:proofErr w:type="spellEnd"/>
      <w:r w:rsidR="00AB64A0" w:rsidRPr="00AB64A0">
        <w:t>-TCV, Bharat Biotech, Hyderabad, India</w:t>
      </w:r>
      <w:r w:rsidRPr="00B41829">
        <w:t>), Vi-polysaccharide (Vi-PS</w:t>
      </w:r>
      <w:r w:rsidR="00AB64A0">
        <w:t xml:space="preserve">; </w:t>
      </w:r>
      <w:r w:rsidR="00AB64A0" w:rsidRPr="00AB64A0">
        <w:t xml:space="preserve">TYPHIM </w:t>
      </w:r>
      <w:r w:rsidR="00AB64A0" w:rsidRPr="00AB64A0">
        <w:lastRenderedPageBreak/>
        <w:t>Vi, Sanofi Pasteur, Lyon, France</w:t>
      </w:r>
      <w:r w:rsidRPr="00B41829">
        <w:t>) or control meningococcal ACWY-CRM conjugate vaccine</w:t>
      </w:r>
      <w:r w:rsidR="00AB64A0">
        <w:t xml:space="preserve"> (</w:t>
      </w:r>
      <w:r w:rsidR="00AB64A0" w:rsidRPr="00AB64A0">
        <w:t>MENVEO, GlaxoSmithKline</w:t>
      </w:r>
      <w:r w:rsidR="00AB64A0">
        <w:t>)</w:t>
      </w:r>
      <w:r>
        <w:t>,</w:t>
      </w:r>
      <w:r w:rsidRPr="00B41829">
        <w:t xml:space="preserve"> one month prior to </w:t>
      </w:r>
      <w:r w:rsidRPr="00B41829">
        <w:rPr>
          <w:i/>
        </w:rPr>
        <w:t>S</w:t>
      </w:r>
      <w:r w:rsidRPr="00B41829">
        <w:t>. Typhi oral challenge</w:t>
      </w:r>
      <w:r w:rsidR="009A7D61">
        <w:t xml:space="preserve"> (</w:t>
      </w:r>
      <w:r w:rsidR="009A7D61" w:rsidRPr="00B41829">
        <w:t>10</w:t>
      </w:r>
      <w:r w:rsidR="009A7D61" w:rsidRPr="00B41829">
        <w:rPr>
          <w:vertAlign w:val="superscript"/>
        </w:rPr>
        <w:t>4</w:t>
      </w:r>
      <w:r w:rsidR="009A7D61" w:rsidRPr="00B41829">
        <w:t xml:space="preserve"> CFUs of </w:t>
      </w:r>
      <w:r w:rsidR="009A7D61" w:rsidRPr="00B41829">
        <w:rPr>
          <w:i/>
        </w:rPr>
        <w:t>S</w:t>
      </w:r>
      <w:r w:rsidR="009A7D61" w:rsidRPr="00B41829">
        <w:t>. Typhi Quailes strain</w:t>
      </w:r>
      <w:r w:rsidR="009A7D61">
        <w:t xml:space="preserve"> administered with sodium bicarbonate</w:t>
      </w:r>
      <w:r w:rsidR="009A7D61" w:rsidRPr="00B41829">
        <w:t>)</w:t>
      </w:r>
      <w:r w:rsidR="0027543E">
        <w:t xml:space="preserve"> </w:t>
      </w:r>
      <w:r w:rsidR="009A7D61">
        <w:fldChar w:fldCharType="begin" w:fldLock="1"/>
      </w:r>
      <w:r w:rsidR="00CC6A0A">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9A7D61">
        <w:fldChar w:fldCharType="separate"/>
      </w:r>
      <w:r w:rsidR="00E26C4A" w:rsidRPr="00E26C4A">
        <w:rPr>
          <w:noProof/>
        </w:rPr>
        <w:t>[24]</w:t>
      </w:r>
      <w:r w:rsidR="009A7D61">
        <w:fldChar w:fldCharType="end"/>
      </w:r>
      <w:r w:rsidR="00B36EB5">
        <w:t>.</w:t>
      </w:r>
      <w:r w:rsidRPr="00B41829">
        <w:t xml:space="preserve"> </w:t>
      </w:r>
      <w:r w:rsidR="00D33F5F">
        <w:t xml:space="preserve">Pre-treatment with sodium bicarbonate </w:t>
      </w:r>
      <w:r w:rsidR="00CC6A0A">
        <w:t>allow</w:t>
      </w:r>
      <w:r w:rsidR="0027543E">
        <w:t>ed</w:t>
      </w:r>
      <w:r w:rsidR="00CC6A0A">
        <w:t xml:space="preserve"> increased</w:t>
      </w:r>
      <w:r w:rsidR="00D33F5F">
        <w:t xml:space="preserve"> passage of </w:t>
      </w:r>
      <w:r w:rsidR="00D33F5F" w:rsidRPr="00CC6A0A">
        <w:rPr>
          <w:i/>
          <w:iCs/>
        </w:rPr>
        <w:t>S</w:t>
      </w:r>
      <w:r w:rsidR="00D33F5F">
        <w:t xml:space="preserve">. Typhi through the gastric acid </w:t>
      </w:r>
      <w:r w:rsidR="00CC6A0A">
        <w:t xml:space="preserve">barrier </w:t>
      </w:r>
      <w:r w:rsidR="0027543E">
        <w:t xml:space="preserve">to </w:t>
      </w:r>
      <w:r w:rsidR="00D33F5F">
        <w:t>achieve an attack rate of 60-75%</w:t>
      </w:r>
      <w:r w:rsidR="0027543E">
        <w:t xml:space="preserve"> in control vaccinated participants</w:t>
      </w:r>
      <w:r w:rsidR="00CC6A0A">
        <w:t xml:space="preserve"> </w:t>
      </w:r>
      <w:r w:rsidR="00CC6A0A">
        <w:fldChar w:fldCharType="begin" w:fldLock="1"/>
      </w:r>
      <w:r w:rsidR="00014E3B">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trial","type":"article-journal","volume":"390"},"uris":["http://www.mendeley.com/documents/?uuid=efe55db9-ece0-387b-a224-3abb908a3e15"]},{"id":"ITEM-2","itemData":{"DOI":"10.1056/NEJM197010012831406","ISBN":"0028-4793 (Print)","ISSN":"0028-4793","PMID":"4916913","abstract":"TYPHOID fever is a disease unique to man. No other animal species acquires an illness simulating typhoid fever after oral ingestion of the organism. This lack of a suitable experimental animal has hindered the acquisition of knowledge on pathogenesis and control. This presentation will summarize the experience gained in the study of healthy volunteers infected with typhoid bacilli. The purpose of these ongoing investigations has been to develop better methods of prevention and control of disease. The primary objective has been the quantitative evaluation of experimental and conventional vaccines. Such studies have permitted a careful analysis of pathogenesis.","author":[{"dropping-particle":"","family":"Hornick","given":"R B","non-dropping-particle":"","parse-names":false,"suffix":""},{"dropping-particle":"","family":"Greisman","given":"S E","non-dropping-particle":"","parse-names":false,"suffix":""},{"dropping-particle":"","family":"Woodward","given":"T E","non-dropping-particle":"","parse-names":false,"suffix":""},{"dropping-particle":"","family":"DuPont","given":"H L","non-dropping-particle":"","parse-names":false,"suffix":""},{"dropping-particle":"","family":"Dawkins","given":"A T","non-dropping-particle":"","parse-names":false,"suffix":""},{"dropping-particle":"","family":"Snyder","given":"M J","non-dropping-particle":"","parse-names":false,"suffix":""}],"container-title":"The New England Journal of Medicine","id":"ITEM-2","issue":"13","issued":{"date-parts":[["1970"]]},"page":"686-91","title":"Typhoid fever: pathogenesis and immunologic control.","type":"article-journal","volume":"283"},"uris":["http://www.mendeley.com/documents/?uuid=17245e36-8063-4850-9736-32036b093658"]}],"mendeley":{"formattedCitation":"[24,25]","plainTextFormattedCitation":"[24,25]","previouslyFormattedCitation":"[24,25]"},"properties":{"noteIndex":0},"schema":"https://github.com/citation-style-language/schema/raw/master/csl-citation.json"}</w:instrText>
      </w:r>
      <w:r w:rsidR="00CC6A0A">
        <w:fldChar w:fldCharType="separate"/>
      </w:r>
      <w:r w:rsidR="00CC6A0A" w:rsidRPr="00CC6A0A">
        <w:rPr>
          <w:noProof/>
        </w:rPr>
        <w:t>[24,25]</w:t>
      </w:r>
      <w:r w:rsidR="00CC6A0A">
        <w:fldChar w:fldCharType="end"/>
      </w:r>
      <w:r w:rsidR="00D33F5F">
        <w:t xml:space="preserve">. </w:t>
      </w:r>
      <w:r w:rsidRPr="00B41829">
        <w:t>At the time of enrolment, participants were also randomised to receive 14 days of open-label treatment with either azithromycin 500mg daily or ciprofloxacin 500mg twice daily. Antibiotic randomisation was stratified according to vaccine group.</w:t>
      </w:r>
      <w:r w:rsidR="009E757F">
        <w:t xml:space="preserve"> </w:t>
      </w:r>
      <w:r w:rsidR="002D67B6">
        <w:t xml:space="preserve">Randomisation to </w:t>
      </w:r>
      <w:r w:rsidR="0027543E">
        <w:t xml:space="preserve">vaccine group </w:t>
      </w:r>
      <w:r w:rsidR="002D67B6">
        <w:t>and antibiotic</w:t>
      </w:r>
      <w:r w:rsidR="0027543E">
        <w:t xml:space="preserve"> treatment </w:t>
      </w:r>
      <w:r w:rsidR="002D67B6">
        <w:t xml:space="preserve">was implemented </w:t>
      </w:r>
      <w:r w:rsidR="0027543E">
        <w:t xml:space="preserve">using </w:t>
      </w:r>
      <w:r w:rsidR="002D67B6">
        <w:t xml:space="preserve">the </w:t>
      </w:r>
      <w:r w:rsidR="002D67B6" w:rsidRPr="00146837">
        <w:t>computerised randomisation software Sortition (</w:t>
      </w:r>
      <w:r w:rsidR="002D67B6">
        <w:t xml:space="preserve">Nuffield </w:t>
      </w:r>
      <w:r w:rsidR="002D67B6" w:rsidRPr="00146837">
        <w:t>Department of Primary Care</w:t>
      </w:r>
      <w:r w:rsidR="002D67B6">
        <w:t>, Clinical Trials Unit</w:t>
      </w:r>
      <w:r w:rsidR="002D67B6" w:rsidRPr="00146837">
        <w:t>, University of Oxford)</w:t>
      </w:r>
    </w:p>
    <w:p w14:paraId="0EDE920C" w14:textId="77777777" w:rsidR="00AB64A0" w:rsidRPr="00B41829" w:rsidRDefault="00AB64A0" w:rsidP="0026490E"/>
    <w:p w14:paraId="498DE00B" w14:textId="207615DA" w:rsidR="003A62D7" w:rsidRDefault="003A62D7" w:rsidP="0026490E">
      <w:r w:rsidRPr="00B41829">
        <w:t xml:space="preserve">Study B was an observational challenge-re-challenge study. </w:t>
      </w:r>
      <w:r w:rsidR="00E60623">
        <w:t>Naïve p</w:t>
      </w:r>
      <w:r w:rsidRPr="00B41829">
        <w:t>articipants</w:t>
      </w:r>
      <w:r w:rsidR="00E60623">
        <w:t xml:space="preserve"> and those with previous exposure to </w:t>
      </w:r>
      <w:r w:rsidR="00E60623" w:rsidRPr="00E60623">
        <w:rPr>
          <w:i/>
          <w:iCs/>
        </w:rPr>
        <w:t>S</w:t>
      </w:r>
      <w:r w:rsidR="00E60623">
        <w:t xml:space="preserve">. Typhi or </w:t>
      </w:r>
      <w:r w:rsidR="00E60623" w:rsidRPr="00E60623">
        <w:rPr>
          <w:i/>
          <w:iCs/>
        </w:rPr>
        <w:t>S</w:t>
      </w:r>
      <w:r w:rsidR="00E60623">
        <w:t>. Paratyphi in earlier challenge studies</w:t>
      </w:r>
      <w:r w:rsidR="00E60623">
        <w:fldChar w:fldCharType="begin" w:fldLock="1"/>
      </w:r>
      <w:r w:rsidR="009A77A0">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9A77A0">
        <w:rPr>
          <w:rFonts w:hint="eastAsia"/>
        </w:rPr>
        <w:instrText xml:space="preserve">tpatient setting for 2 weeks. Antibiotic treatment was initiated if typhoid diagnosis occurred (temperature </w:instrText>
      </w:r>
      <w:r w:rsidR="009A77A0">
        <w:rPr>
          <w:rFonts w:hint="eastAsia"/>
        </w:rPr>
        <w:instrText>≥</w:instrText>
      </w:r>
      <w:r w:rsidR="009A77A0">
        <w:rPr>
          <w:rFonts w:hint="eastAsia"/>
        </w:rPr>
        <w:instrText>38</w:instrText>
      </w:r>
      <w:r w:rsidR="009A77A0">
        <w:rPr>
          <w:rFonts w:hint="eastAsia"/>
        </w:rPr>
        <w:instrText>°</w:instrText>
      </w:r>
      <w:r w:rsidR="009A77A0">
        <w:rPr>
          <w:rFonts w:hint="eastAsia"/>
        </w:rPr>
        <w:instrText xml:space="preserve">C sustained </w:instrText>
      </w:r>
      <w:r w:rsidR="009A77A0">
        <w:rPr>
          <w:rFonts w:hint="eastAsia"/>
        </w:rPr>
        <w:instrText>≥</w:instrText>
      </w:r>
      <w:r w:rsidR="009A77A0">
        <w:rPr>
          <w:rFonts w:hint="eastAsia"/>
        </w:rPr>
        <w:instrText xml:space="preserve">12 hours or bacteremia) or at day 14 in those remaining untreated. RESULTS: Two dose levels (10(3) or 10(4) colony-forming units) </w:instrText>
      </w:r>
      <w:r w:rsidR="009A77A0">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trial","type":"article-journal","volume":"390"},"uris":["http://www.mendeley.com/documents/?uuid=efe55db9-ece0-387b-a224-3abb908a3e15"]},{"id":"ITEM-4","itemData":{"DOI":"10.1093/cid/cix042","ISSN":"15376591","abstract":"© The Author 2017. Published by Oxford University Press for the Infectious Diseases Society of America. Background. To expedite the evaluation of vaccines against paratyphoid fever, we aimed to develop the first human challenge model of Salmonella enterica serovar Paratyphi A infection. Methods. Two groups of 20 participants underwent oral challenge with S. Paratyphi A following sodium bicarbonate pretreatment at 1 of 2 dose levels (group 1: 1-5 × 103 colony-forming units [CFU] and group 2:</w:instrText>
      </w:r>
      <w:r w:rsidR="009A77A0">
        <w:rPr>
          <w:rFonts w:hint="eastAsia"/>
        </w:rPr>
        <w:instrText xml:space="preserve"> 0.5-1 </w:instrText>
      </w:r>
      <w:r w:rsidR="009A77A0">
        <w:rPr>
          <w:rFonts w:hint="eastAsia"/>
        </w:rPr>
        <w:instrText>×</w:instrText>
      </w:r>
      <w:r w:rsidR="009A77A0">
        <w:rPr>
          <w:rFonts w:hint="eastAsia"/>
        </w:rPr>
        <w:instrText xml:space="preserve"> 103 CFU). Participants were monitored in an outpatient setting with daily clinical review and collection of blood and stool cultures. Antibiotic treatment was started when prespecified diagnostic criteria were met (temperature </w:instrText>
      </w:r>
      <w:r w:rsidR="009A77A0">
        <w:rPr>
          <w:rFonts w:hint="eastAsia"/>
        </w:rPr>
        <w:instrText>≥</w:instrText>
      </w:r>
      <w:r w:rsidR="009A77A0">
        <w:rPr>
          <w:rFonts w:hint="eastAsia"/>
        </w:rPr>
        <w:instrText>38</w:instrText>
      </w:r>
      <w:r w:rsidR="009A77A0">
        <w:rPr>
          <w:rFonts w:hint="eastAsia"/>
        </w:rPr>
        <w:instrText>°</w:instrText>
      </w:r>
      <w:r w:rsidR="009A77A0">
        <w:rPr>
          <w:rFonts w:hint="eastAsia"/>
        </w:rPr>
        <w:instrText xml:space="preserve">C for </w:instrText>
      </w:r>
      <w:r w:rsidR="009A77A0">
        <w:rPr>
          <w:rFonts w:hint="eastAsia"/>
        </w:rPr>
        <w:instrText>≥</w:instrText>
      </w:r>
      <w:r w:rsidR="009A77A0">
        <w:rPr>
          <w:rFonts w:hint="eastAsia"/>
        </w:rPr>
        <w:instrText>12 hours</w:instrText>
      </w:r>
      <w:r w:rsidR="009A77A0">
        <w:instrText xml:space="preserve"> and/or bacteremia) or at day 14 postchallenge. Results. The primary study objective was achieved following challenge with 1-5 × 103 CFU (group 1), which resulted in an attack rate of 12 of 20 (60%). Compared with typhoid challenge, paratyphoid was notable for high rates of subclinical bacteremia (at this dose, 11/20 [55%] ). Despite limited symptoms, bacteremia persisted for up to 96 hours after antibiotic treatment (median duration of bacteremia, 53 hours [interquartile range, 24-85 hours]). Shedding of S. Paratyphi A in stool typically preceded onset of bacteremia. Conclusions. Challenge with S. Paratyphi A at a dose of 1-5 × 103 CFU was well tolerated and associated with an acceptable safety profile. The frequency and persistence of bacteremia in the absence of clinical symptoms was notable, and markedly different from that seen in previous typhoid challenge studies. We conclude that the paratyphoid challenge model is suitable for the assessment of vaccine efficacy using endpoints that include bacteremia and/or symptomatology.","author":[{"dropping-particle":"","family":"Dobinson","given":"H.C.","non-dropping-particle":"","parse-names":false,"suffix":""},{"dropping-particle":"","family":"Gibani","given":"M.M.","non-dropping-particle":"","parse-names":false,"suffix":""},{"dropping-particle":"","family":"Jones","given":"C.","non-dropping-particle":"","parse-names":false,"suffix":""},{"dropping-particle":"","family":"Thomaides-Brears","given":"H.B.","non-dropping-particle":"","parse-names":false,"suffix":""},{"dropping-particle":"","family":"Voysey","given":"M.","non-dropping-particle":"","parse-names":false,"suffix":""},{"dropping-particle":"","family":"Darton","given":"T.C.","non-dropping-particle":"","parse-names":false,"suffix":""},{"dropping-particle":"","family":"Waddington","given":"C.S.","non-dropping-particle":"","parse-names":false,"suffix":""},{"dropping-particle":"","family":"Campbell","given":"D.","non-dropping-particle":"","parse-names":false,"suffix":""},{"dropping-particle":"","family":"Milligan","given":"I.","non-dropping-particle":"","parse-names":false,"suffix":""},{"dropping-particle":"","family":"Zhou","given":"L.","non-dropping-particle":"","parse-names":false,"suffix":""},{"dropping-particle":"","family":"Shrestha","given":"S.","non-dropping-particle":"","parse-names":false,"suffix":""},{"dropping-particle":"","family":"Kerridge","given":"S.A.","non-dropping-particle":"","parse-names":false,"suffix":""},{"dropping-particle":"","family":"Peters","given":"A.","non-dropping-particle":"","parse-names":false,"suffix":""},{"dropping-particle":"","family":"Stevens","given":"Z.","non-dropping-particle":"","parse-names":false,"suffix":""},{"dropping-particle":"","family":"Podda","given":"A.","non-dropping-particle":"","parse-names":false,"suffix":""},{"dropping-particle":"","family":"Martin","given":"L.B.","non-dropping-particle":"","parse-names":false,"suffix":""},{"dropping-particle":"","family":"D'Alessio","given":"F.","non-dropping-particle":"","parse-names":false,"suffix":""},{"dropping-particle":"","family":"Thanh","given":"D.P.","non-dropping-particle":"","parse-names":false,"suffix":""},{"dropping-particle":"","family":"Basnyat","given":"B.","non-dropping-particle":"","parse-names":false,"suffix":""},{"dropping-particle":"","family":"Baker","given":"S.","non-dropping-particle":"","parse-names":false,"suffix":""},{"dropping-particle":"","family":"Angus","given":"B.","non-dropping-particle":"","parse-names":false,"suffix":""},{"dropping-particle":"","family":"Levine","given":"M.M.","non-dropping-particle":"","parse-names":false,"suffix":""},{"dropping-particle":"","family":"Blohmke","given":"C.J.","non-dropping-particle":"","parse-names":false,"suffix":""},{"dropping-particle":"","family":"Pollard","given":"A.J.","non-dropping-particle":"","parse-names":false,"suffix":""}],"container-title":"Clinical Infectious Diseases","id":"ITEM-4","issue":"8","issued":{"date-parts":[["2017"]]},"title":"Evaluation of the clinical and microbiological response to salmonella paratyphi a infection in the first paratyphoid human challenge model","type":"article-journal","volume":"64"},"uris":["http://www.mendeley.com/documents/?uuid=923d23a4-5f0c-3295-a7cc-ce4bd671483e"]}],"mendeley":{"formattedCitation":"[24,26–28]","plainTextFormattedCitation":"[24,26–28]","previouslyFormattedCitation":"&lt;sup&gt;28–31&lt;/sup&gt;"},"properties":{"noteIndex":0},"schema":"https://github.com/citation-style-language/schema/raw/master/csl-citation.json"}</w:instrText>
      </w:r>
      <w:r w:rsidR="00E60623">
        <w:fldChar w:fldCharType="separate"/>
      </w:r>
      <w:r w:rsidR="009A77A0" w:rsidRPr="009A77A0">
        <w:rPr>
          <w:noProof/>
        </w:rPr>
        <w:t>[24,26–28]</w:t>
      </w:r>
      <w:r w:rsidR="00E60623">
        <w:fldChar w:fldCharType="end"/>
      </w:r>
      <w:r w:rsidR="00E60623">
        <w:t>,</w:t>
      </w:r>
      <w:r w:rsidRPr="00B41829">
        <w:t xml:space="preserve"> were randomised to challenge</w:t>
      </w:r>
      <w:r w:rsidR="00E60623">
        <w:t>/re-challenge</w:t>
      </w:r>
      <w:r w:rsidRPr="00B41829">
        <w:t xml:space="preserve"> with either 10</w:t>
      </w:r>
      <w:r w:rsidRPr="00B41829">
        <w:rPr>
          <w:vertAlign w:val="superscript"/>
        </w:rPr>
        <w:t>4</w:t>
      </w:r>
      <w:r w:rsidRPr="00B41829">
        <w:t xml:space="preserve"> CFUs of </w:t>
      </w:r>
      <w:r w:rsidRPr="00B41829">
        <w:rPr>
          <w:i/>
        </w:rPr>
        <w:t>S</w:t>
      </w:r>
      <w:r w:rsidRPr="00B41829">
        <w:t>. Typhi (Quailes strain) or 10</w:t>
      </w:r>
      <w:r w:rsidRPr="00B41829">
        <w:rPr>
          <w:vertAlign w:val="superscript"/>
        </w:rPr>
        <w:t>3</w:t>
      </w:r>
      <w:r w:rsidRPr="00B41829">
        <w:t xml:space="preserve"> CFUs of </w:t>
      </w:r>
      <w:r w:rsidRPr="00B41829">
        <w:rPr>
          <w:i/>
        </w:rPr>
        <w:t>S</w:t>
      </w:r>
      <w:r w:rsidRPr="00B41829">
        <w:t xml:space="preserve">. Paratyphi A (NVGH308). </w:t>
      </w:r>
      <w:r w:rsidR="00864774">
        <w:t xml:space="preserve">Antibiotic allocation in </w:t>
      </w:r>
      <w:r w:rsidR="00AA648C">
        <w:t>S</w:t>
      </w:r>
      <w:r w:rsidR="00864774">
        <w:t xml:space="preserve">tudy B was not randomised. </w:t>
      </w:r>
      <w:r w:rsidRPr="00B41829">
        <w:t>Between March 2015 to October 2016</w:t>
      </w:r>
      <w:r w:rsidR="00864774">
        <w:t>, the protocol specified that</w:t>
      </w:r>
      <w:r w:rsidRPr="00B41829">
        <w:t xml:space="preserve"> </w:t>
      </w:r>
      <w:r w:rsidR="007D35DB" w:rsidRPr="00B41829">
        <w:t>azithromycin 500mg daily</w:t>
      </w:r>
      <w:r w:rsidR="007D35DB">
        <w:t xml:space="preserve"> was to be used as first-line treatment for all </w:t>
      </w:r>
      <w:r w:rsidRPr="00B41829">
        <w:t>participants. Following</w:t>
      </w:r>
      <w:r w:rsidR="00864774">
        <w:t xml:space="preserve"> the availability of</w:t>
      </w:r>
      <w:r w:rsidRPr="00B41829">
        <w:t xml:space="preserve"> preliminary results from Study A </w:t>
      </w:r>
      <w:r>
        <w:t>–</w:t>
      </w:r>
      <w:r w:rsidRPr="00B41829">
        <w:t xml:space="preserve"> and under the guidance of the Data Safety Monitoring </w:t>
      </w:r>
      <w:r>
        <w:t>Committee –</w:t>
      </w:r>
      <w:r w:rsidR="0027543E">
        <w:t xml:space="preserve"> </w:t>
      </w:r>
      <w:r w:rsidR="00864774">
        <w:t>the protocol</w:t>
      </w:r>
      <w:r w:rsidR="007D35DB">
        <w:t xml:space="preserve"> was amended</w:t>
      </w:r>
      <w:r w:rsidR="00864774">
        <w:t xml:space="preserve"> such that</w:t>
      </w:r>
      <w:r>
        <w:t xml:space="preserve"> </w:t>
      </w:r>
      <w:r w:rsidRPr="00B41829">
        <w:t xml:space="preserve">first-line treatment was changed to ciprofloxacin 500mg twice daily. </w:t>
      </w:r>
    </w:p>
    <w:p w14:paraId="7BD192B0" w14:textId="3F857E1C" w:rsidR="009E757F" w:rsidRPr="00B41829" w:rsidRDefault="009E757F" w:rsidP="0026490E"/>
    <w:p w14:paraId="62D8EED2" w14:textId="0C3C8CCE" w:rsidR="003A62D7" w:rsidRPr="00B41829" w:rsidRDefault="003A62D7" w:rsidP="0026490E">
      <w:r w:rsidRPr="00B41829">
        <w:t xml:space="preserve">Written informed consent was obtained from all volunteers before enrolment. Inclusion and exclusion criteria have </w:t>
      </w:r>
      <w:r w:rsidR="009E757F">
        <w:t xml:space="preserve">previously </w:t>
      </w:r>
      <w:r w:rsidR="0027543E">
        <w:t xml:space="preserve">been </w:t>
      </w:r>
      <w:r w:rsidR="009E757F">
        <w:t>described</w:t>
      </w:r>
      <w:r w:rsidR="0027543E">
        <w:t xml:space="preserve"> </w:t>
      </w:r>
      <w:r w:rsidR="009E75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9E757F">
        <w:fldChar w:fldCharType="separate"/>
      </w:r>
      <w:r w:rsidR="00CC6A0A" w:rsidRPr="00CC6A0A">
        <w:rPr>
          <w:noProof/>
        </w:rPr>
        <w:t>[24,26,27]</w:t>
      </w:r>
      <w:r w:rsidR="009E757F">
        <w:fldChar w:fldCharType="end"/>
      </w:r>
      <w:r w:rsidR="00B36EB5">
        <w:t>.</w:t>
      </w:r>
      <w:r w:rsidRPr="00B41829">
        <w:t xml:space="preserve"> </w:t>
      </w:r>
    </w:p>
    <w:p w14:paraId="374ECC8D" w14:textId="77777777" w:rsidR="003A62D7" w:rsidRPr="00B41829" w:rsidRDefault="003A62D7" w:rsidP="0026490E"/>
    <w:p w14:paraId="650A0407" w14:textId="77777777" w:rsidR="003A62D7" w:rsidRPr="00B41829" w:rsidRDefault="003A62D7" w:rsidP="0026490E">
      <w:pPr>
        <w:pStyle w:val="Heading3"/>
      </w:pPr>
      <w:r w:rsidRPr="00B41829">
        <w:t>Study Procedures</w:t>
      </w:r>
    </w:p>
    <w:p w14:paraId="4C497355" w14:textId="33E9AD0C" w:rsidR="003A62D7" w:rsidRPr="009E757F" w:rsidRDefault="003A62D7" w:rsidP="0026490E">
      <w:pPr>
        <w:rPr>
          <w:rFonts w:ascii="Times New Roman" w:eastAsia="Times New Roman" w:hAnsi="Times New Roman" w:cs="Times New Roman"/>
          <w:sz w:val="24"/>
          <w:szCs w:val="24"/>
          <w:lang w:val="en-GB"/>
        </w:rPr>
      </w:pPr>
      <w:r w:rsidRPr="00B41829">
        <w:t>Study procedures, including preparation and administration of the challenge agent (10</w:t>
      </w:r>
      <w:r w:rsidRPr="00B41829">
        <w:rPr>
          <w:vertAlign w:val="superscript"/>
        </w:rPr>
        <w:t>4</w:t>
      </w:r>
      <w:r w:rsidRPr="00B41829">
        <w:t xml:space="preserve"> CFUs of </w:t>
      </w:r>
      <w:r w:rsidRPr="00B41829">
        <w:rPr>
          <w:i/>
        </w:rPr>
        <w:t>S.</w:t>
      </w:r>
      <w:r w:rsidRPr="00B41829">
        <w:t xml:space="preserve"> Typhi Quailes strain), diagnostic criteria for typhoid fever, and clinical assessment were </w:t>
      </w:r>
      <w:r w:rsidR="009E757F">
        <w:t>identical between</w:t>
      </w:r>
      <w:r w:rsidRPr="00B41829">
        <w:t xml:space="preserve"> studies, and were carried out as previously described</w:t>
      </w:r>
      <w:r w:rsidR="0027543E">
        <w:t xml:space="preserve"> </w:t>
      </w:r>
      <w:r w:rsidR="00DD74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DD747F">
        <w:fldChar w:fldCharType="separate"/>
      </w:r>
      <w:r w:rsidR="00CC6A0A" w:rsidRPr="00CC6A0A">
        <w:rPr>
          <w:noProof/>
        </w:rPr>
        <w:t>[24,26,27]</w:t>
      </w:r>
      <w:r w:rsidR="00DD747F">
        <w:fldChar w:fldCharType="end"/>
      </w:r>
      <w:r w:rsidR="00B36EB5">
        <w:t>.</w:t>
      </w:r>
      <w:r w:rsidRPr="00B41829">
        <w:t xml:space="preserve"> Briefly, participants were reviewed daily in an outpatient setting for two-weeks following oral challenge. Blood cultures (</w:t>
      </w:r>
      <w:r w:rsidR="009E757F" w:rsidRPr="009E757F">
        <w:t>BD BACTEC™ Automated Blood Culture System</w:t>
      </w:r>
      <w:r w:rsidR="009E757F">
        <w:t xml:space="preserve">, </w:t>
      </w:r>
      <w:r w:rsidRPr="00B41829">
        <w:t xml:space="preserve">10ml) and oral temperatures were collected during clinical visits. </w:t>
      </w:r>
      <w:r w:rsidRPr="00B41829">
        <w:lastRenderedPageBreak/>
        <w:t xml:space="preserve">Solicited symptoms of typhoid fever and twice-daily self-measured oral temperatures were recorded by participants on an electronic diary for 21 days (inclusive of the two-week challenge period). </w:t>
      </w:r>
      <w:r w:rsidRPr="00B41829">
        <w:rPr>
          <w:color w:val="000000"/>
        </w:rPr>
        <w:t>Antibiotic treatment was commenced if participants were diagnosed with typhoid fever, based on pre-specified composite criteria (</w:t>
      </w:r>
      <w:r w:rsidRPr="00B41829">
        <w:rPr>
          <w:i/>
          <w:color w:val="000000"/>
        </w:rPr>
        <w:t>S</w:t>
      </w:r>
      <w:r w:rsidRPr="00B41829">
        <w:rPr>
          <w:color w:val="000000"/>
        </w:rPr>
        <w:t xml:space="preserve">. Typhi bacteraemia </w:t>
      </w:r>
      <w:r>
        <w:rPr>
          <w:color w:val="000000"/>
        </w:rPr>
        <w:t>and/</w:t>
      </w:r>
      <w:r w:rsidRPr="00B41829">
        <w:rPr>
          <w:color w:val="000000"/>
        </w:rPr>
        <w:t xml:space="preserve">or persistent fever ≥38°C for ≥12 hours) or at the end of the two-week challenge period if </w:t>
      </w:r>
      <w:r w:rsidR="00AA648C">
        <w:rPr>
          <w:color w:val="000000"/>
        </w:rPr>
        <w:t>participants</w:t>
      </w:r>
      <w:r w:rsidR="00AA648C" w:rsidRPr="00B41829">
        <w:rPr>
          <w:color w:val="000000"/>
        </w:rPr>
        <w:t xml:space="preserve"> </w:t>
      </w:r>
      <w:r w:rsidRPr="00B41829">
        <w:rPr>
          <w:color w:val="000000"/>
        </w:rPr>
        <w:t>remained undiagnosed. Diagnosed participants attended between four to seven additional daily visits after commencing antibiotics to assess treatment response. Antibiotic allocation was unblinded</w:t>
      </w:r>
      <w:r w:rsidR="005E045D">
        <w:rPr>
          <w:color w:val="000000"/>
        </w:rPr>
        <w:t>. In instances where t</w:t>
      </w:r>
      <w:r w:rsidRPr="00B41829">
        <w:rPr>
          <w:color w:val="000000"/>
        </w:rPr>
        <w:t>reatment was changed</w:t>
      </w:r>
      <w:r w:rsidR="005E045D">
        <w:rPr>
          <w:color w:val="000000"/>
        </w:rPr>
        <w:t>, t</w:t>
      </w:r>
      <w:r w:rsidR="00BE0F3D">
        <w:rPr>
          <w:color w:val="000000"/>
        </w:rPr>
        <w:t xml:space="preserve">he antibiotic </w:t>
      </w:r>
      <w:r w:rsidR="00732CED">
        <w:rPr>
          <w:color w:val="000000"/>
        </w:rPr>
        <w:t>switch</w:t>
      </w:r>
      <w:r w:rsidR="005E045D">
        <w:rPr>
          <w:color w:val="000000"/>
        </w:rPr>
        <w:t xml:space="preserve"> was performed </w:t>
      </w:r>
      <w:r w:rsidRPr="00B41829">
        <w:rPr>
          <w:color w:val="000000"/>
        </w:rPr>
        <w:t>at the discretion of the treating clinician</w:t>
      </w:r>
      <w:r w:rsidR="007D35DB">
        <w:rPr>
          <w:color w:val="000000"/>
        </w:rPr>
        <w:t xml:space="preserve"> and Chief Investigators</w:t>
      </w:r>
      <w:r w:rsidR="00BE0F3D">
        <w:rPr>
          <w:color w:val="000000"/>
        </w:rPr>
        <w:t xml:space="preserve"> </w:t>
      </w:r>
      <w:r w:rsidR="00732CED">
        <w:rPr>
          <w:color w:val="000000"/>
        </w:rPr>
        <w:t>either</w:t>
      </w:r>
      <w:r w:rsidRPr="00B41829">
        <w:rPr>
          <w:color w:val="000000"/>
        </w:rPr>
        <w:t xml:space="preserve"> for adverse reactions</w:t>
      </w:r>
      <w:r w:rsidR="0027543E">
        <w:rPr>
          <w:color w:val="000000"/>
        </w:rPr>
        <w:t>,</w:t>
      </w:r>
      <w:r w:rsidR="00732CED">
        <w:rPr>
          <w:color w:val="000000"/>
        </w:rPr>
        <w:t xml:space="preserve"> possibly related to antibiotic</w:t>
      </w:r>
      <w:r w:rsidR="00560918">
        <w:rPr>
          <w:color w:val="000000"/>
        </w:rPr>
        <w:t xml:space="preserve"> allocation</w:t>
      </w:r>
      <w:r w:rsidR="00105EDB">
        <w:rPr>
          <w:color w:val="000000"/>
        </w:rPr>
        <w:t xml:space="preserve"> (e.g. suspected </w:t>
      </w:r>
      <w:r w:rsidR="00105EDB" w:rsidRPr="00D40F04">
        <w:rPr>
          <w:color w:val="000000"/>
        </w:rPr>
        <w:t>drug-induced liver injury</w:t>
      </w:r>
      <w:r w:rsidR="0027543E">
        <w:rPr>
          <w:color w:val="000000"/>
        </w:rPr>
        <w:t>)</w:t>
      </w:r>
      <w:r w:rsidR="00105EDB" w:rsidRPr="00D40F04">
        <w:rPr>
          <w:color w:val="000000"/>
        </w:rPr>
        <w:t xml:space="preserve"> </w:t>
      </w:r>
      <w:r w:rsidR="00560918">
        <w:rPr>
          <w:color w:val="000000"/>
        </w:rPr>
        <w:t>or for suspected treatment failure</w:t>
      </w:r>
      <w:r w:rsidR="0027543E">
        <w:rPr>
          <w:color w:val="000000"/>
        </w:rPr>
        <w:t xml:space="preserve">s or delayed treatment response (e.g. </w:t>
      </w:r>
      <w:r w:rsidRPr="00B41829">
        <w:rPr>
          <w:color w:val="000000"/>
        </w:rPr>
        <w:t>persistent fever or</w:t>
      </w:r>
      <w:r w:rsidR="00BE0F3D">
        <w:rPr>
          <w:color w:val="000000"/>
        </w:rPr>
        <w:t xml:space="preserve"> unanticipated</w:t>
      </w:r>
      <w:r w:rsidR="005E045D">
        <w:rPr>
          <w:color w:val="000000"/>
        </w:rPr>
        <w:t xml:space="preserve"> </w:t>
      </w:r>
      <w:r w:rsidRPr="00B41829">
        <w:rPr>
          <w:color w:val="000000"/>
        </w:rPr>
        <w:t>symptom</w:t>
      </w:r>
      <w:r w:rsidR="00BE0F3D">
        <w:rPr>
          <w:color w:val="000000"/>
        </w:rPr>
        <w:t xml:space="preserve"> severity</w:t>
      </w:r>
      <w:r w:rsidR="00560918">
        <w:rPr>
          <w:color w:val="000000"/>
        </w:rPr>
        <w:t xml:space="preserve"> for the stage of treatment</w:t>
      </w:r>
      <w:r w:rsidRPr="00B41829">
        <w:rPr>
          <w:color w:val="000000"/>
        </w:rPr>
        <w:t xml:space="preserve">). </w:t>
      </w:r>
    </w:p>
    <w:p w14:paraId="38DA6835" w14:textId="77777777" w:rsidR="003A62D7" w:rsidRPr="00B41829" w:rsidRDefault="003A62D7" w:rsidP="0026490E"/>
    <w:p w14:paraId="2DDC9B69" w14:textId="77777777" w:rsidR="003A62D7" w:rsidRPr="00B41829" w:rsidRDefault="003A62D7" w:rsidP="0026490E">
      <w:pPr>
        <w:pStyle w:val="Heading3"/>
      </w:pPr>
      <w:r w:rsidRPr="00B41829">
        <w:t>Challenge Strain</w:t>
      </w:r>
    </w:p>
    <w:p w14:paraId="380CAC95" w14:textId="23E458E9" w:rsidR="003A62D7" w:rsidRDefault="003A62D7" w:rsidP="006C25B6">
      <w:pPr>
        <w:rPr>
          <w:rFonts w:ascii="Calibri Light" w:hAnsi="Calibri Light"/>
        </w:rPr>
      </w:pPr>
      <w:r w:rsidRPr="00B41829">
        <w:t xml:space="preserve">Typhoid challenge was performed using </w:t>
      </w:r>
      <w:r w:rsidRPr="00B41829">
        <w:rPr>
          <w:i/>
        </w:rPr>
        <w:t>S.</w:t>
      </w:r>
      <w:r w:rsidRPr="00B41829">
        <w:t xml:space="preserve"> Typhi Quailes strain</w:t>
      </w:r>
      <w:r>
        <w:t xml:space="preserve"> (</w:t>
      </w:r>
      <w:r w:rsidRPr="00B41829">
        <w:t>genotype 3.1.0</w:t>
      </w:r>
      <w:r>
        <w:t>)</w:t>
      </w:r>
      <w:r w:rsidR="00B36EB5" w:rsidRPr="006C1D58">
        <w:rPr>
          <w:lang w:val="en-US"/>
        </w:rPr>
        <w:fldChar w:fldCharType="begin" w:fldLock="1"/>
      </w:r>
      <w:r w:rsidR="009A77A0">
        <w:rPr>
          <w:lang w:val="en-US"/>
        </w:rPr>
        <w:instrText>ADDIN CSL_CITATION {"citationItems":[{"id":"ITEM-1","itemData":{"DOI":"10.1038/ncomms12827","ISBN":"2041-1723 (Electronic)\r2041-1723 (Linking)","ISSN":"2041-1723","PMID":"27703135","abstract":"The population of Salmonella enterica serovar Typhi (S. Typhi), the causative agent of typhoid fever, exhibits limited DNA sequence variation, which complicates efforts to rationally discriminate individual isolates. Here we utilize data from whole-genome sequences (WGS) of nearly 2,000 isolates sourced from over 60 countries to generate a robust genotyping scheme that is phylogenetically informative and compatible with a range of assays. These data show that, with the exception of the rapidly disseminating H58 subclade (now designated genotype 4.3.1), the global S. Typhi population is highly structured and includes dozens of subclades that display geographical restriction. The genotyping approach presented here can be used to interrogate local S. Typhi populations and help identify recent introductions of S. Typhi into new or previously endemic locations, providing information on their likely geographical source. This approach can be used to classify clinical isolates and provides a universal framework for further experimental investigations.","author":[{"dropping-particle":"","family":"Wong","given":"Vanessa K","non-dropping-particle":"","parse-names":false,"suffix":""},{"dropping-particle":"","family":"Baker","given":"Stephen","non-dropping-particle":"","parse-names":false,"suffix":""},{"dropping-particle":"","family":"Connor","given":"Thomas R","non-dropping-particle":"","parse-names":false,"suffix":""},{"dropping-particle":"","family":"Pickard","given":"Derek","non-dropping-particle":"","parse-names":false,"suffix":""},{"dropping-particle":"","family":"Page","given":"Andrew J","non-dropping-particle":"","parse-names":false,"suffix":""},{"dropping-particle":"","family":"Dave","given":"Jayshree","non-dropping-particle":"","parse-names":false,"suffix":""},{"dropping-particle":"","family":"Murphy","given":"Niamh","non-dropping-particle":"","parse-names":false,"suffix":""},{"dropping-particle":"","family":"Holliman","given":"Richard","non-dropping-particle":"","parse-names":false,"suffix":""},{"dropping-particle":"","family":"Sefton","given":"Armine","non-dropping-particle":"","parse-names":false,"suffix":""},{"dropping-particle":"","family":"Millar","given":"Michael","non-dropping-particle":"","parse-names":false,"suffix":""},{"dropping-particle":"","family":"Dyson","given":"Zoe A","non-dropping-particle":"","parse-names":false,"suffix":""},{"dropping-particle":"","family":"Dougan","given":"Gordon","non-dropping-particle":"","parse-names":false,"suffix":""},{"dropping-particle":"","family":"Holt","given":"Kathryn E","non-dropping-particle":"","parse-names":false,"suffix":""},{"dropping-particle":"","family":"International Typhoid Consortium","given":"International Typhoid","non-dropping-particle":"","parse-names":false,"suffix":""}],"container-title":"Nature communications","id":"ITEM-1","issued":{"date-parts":[["2016"]]},"page":"12827","title":"An extended genotyping framework for Salmonella enterica serovar Typhi, the cause of human typhoid.","type":"article-journal","volume":"7"},"uris":["http://www.mendeley.com/documents/?uuid=3bd8bac2-7bd7-4e99-a723-8425c7443d51"]}],"mendeley":{"formattedCitation":"[29]","plainTextFormattedCitation":"[29]","previouslyFormattedCitation":"[28]"},"properties":{"noteIndex":0},"schema":"https://github.com/citation-style-language/schema/raw/master/csl-citation.json"}</w:instrText>
      </w:r>
      <w:r w:rsidR="00B36EB5" w:rsidRPr="006C1D58">
        <w:rPr>
          <w:lang w:val="en-US"/>
        </w:rPr>
        <w:fldChar w:fldCharType="separate"/>
      </w:r>
      <w:r w:rsidR="009A77A0" w:rsidRPr="009A77A0">
        <w:rPr>
          <w:noProof/>
          <w:lang w:val="en-US"/>
        </w:rPr>
        <w:t>[29]</w:t>
      </w:r>
      <w:r w:rsidR="00B36EB5" w:rsidRPr="006C1D58">
        <w:rPr>
          <w:lang w:val="en-US"/>
        </w:rPr>
        <w:fldChar w:fldCharType="end"/>
      </w:r>
      <w:r>
        <w:t>,</w:t>
      </w:r>
      <w:r w:rsidRPr="00B41829">
        <w:t xml:space="preserve"> which was isolated from the gallbladder of a typhoid carrier in 1958. Challenge was performed using frozen cell banks manufactured to Good Manufacturing Practices (GMP) guidelines and stored at -80</w:t>
      </w:r>
      <w:r w:rsidRPr="00B41829">
        <w:rPr>
          <w:color w:val="000000"/>
        </w:rPr>
        <w:t>°</w:t>
      </w:r>
      <w:r w:rsidRPr="00B41829">
        <w:t>C as previously described</w:t>
      </w:r>
      <w:r w:rsidR="003376CB">
        <w:t xml:space="preserve"> </w:t>
      </w:r>
      <w:r w:rsidR="009E757F">
        <w:fldChar w:fldCharType="begin" w:fldLock="1"/>
      </w:r>
      <w:r w:rsidR="00CC6A0A">
        <w:instrText>ADDIN CSL_CITATION {"citationItems":[{"id":"ITEM-1","itemData":{"DOI":"10.1093/cid/ciu078","ISSN":"1537-6591","PMID":"24519873","abstract":"BACKGROUND: Typhoid fever is a major global health problem, the control of which is hindered by lack of a suitable animal model in which to study Salmonella Typhi infection. Until 1974, a human challenge model advanced understanding of typhoid and was used in vaccine development. We set out to establish a new human challenge model and ascertain the S. Typhi (Quailes strain) inoculum required for an attack rate of 60%-75% in typhoid-naive volunteers when ingested with sodium bicarbonate solution. METHODS: Groups of healthy consenting adults ingested escalating dose levels of S. Typhi and were closely monitored in an ou</w:instrText>
      </w:r>
      <w:r w:rsidR="00CC6A0A">
        <w:rPr>
          <w:rFonts w:hint="eastAsia"/>
        </w:rPr>
        <w:instrText xml:space="preserve">tpatient setting for 2 weeks. Antibiotic treatment was initiated if typhoid diagnosis occurred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 xml:space="preserve">C sustained </w:instrText>
      </w:r>
      <w:r w:rsidR="00CC6A0A">
        <w:rPr>
          <w:rFonts w:hint="eastAsia"/>
        </w:rPr>
        <w:instrText>≥</w:instrText>
      </w:r>
      <w:r w:rsidR="00CC6A0A">
        <w:rPr>
          <w:rFonts w:hint="eastAsia"/>
        </w:rPr>
        <w:instrText xml:space="preserve">12 hours or bacteremia) or at day 14 in those remaining untreated. RESULTS: Two dose levels (10(3) or 10(4) colony-forming units) </w:instrText>
      </w:r>
      <w:r w:rsidR="00CC6A0A">
        <w:instrText>were required to achieve the primary objective, resulting in attack rates of 55% (11/20) or 65% (13/20), respectively. Challenge was well tolerated; 4 of 40 participants fulfilled prespecified criteria for severe infection. Most diagnoses (87.5%) were confirmed by blood culture, and asymptomatic bacteremia and stool shedding of S. Typhi was also observed. Participants who developed typhoid infection demonstrated serological responses to flagellin and lipopolysaccharide antigens by day 14; however, no anti-Vi antibody responses were detected. CONCLUSIONS: Human challenge with a small inoculum of virulent S. Typhi administered in bicarbonate solution can be performed safely using an ambulant-model design to advance understanding of host-pathogen interactions and immunity. This model should expedite development of diagnostics, vaccines, and therapeutics for typhoid control.","author":[{"dropping-particle":"","family":"Waddington","given":"Claire S","non-dropping-particle":"","parse-names":false,"suffix":""},{"dropping-particle":"","family":"Darton","given":"Thomas C","non-dropping-particle":"","parse-names":false,"suffix":""},{"dropping-particle":"","family":"Jones","given":"Claire","non-dropping-particle":"","parse-names":false,"suffix":""},{"dropping-particle":"","family":"Haworth","given":"Kathryn","non-dropping-particle":"","parse-names":false,"suffix":""},{"dropping-particle":"","family":"Peters","given":"Anna","non-dropping-particle":"","parse-names":false,"suffix":""},{"dropping-particle":"","family":"John","given":"Tessa","non-dropping-particle":"","parse-names":false,"suffix":""},{"dropping-particle":"V","family":"Thompson","given":"Ben A","non-dropping-particle":"","parse-names":false,"suffix":""},{"dropping-particle":"","family":"Kerridge","given":"Simon A","non-dropping-particle":"","parse-names":false,"suffix":""},{"dropping-particle":"","family":"Kingsley","given":"Robert A","non-dropping-particle":"","parse-names":false,"suffix":""},{"dropping-particle":"","family":"Zhou","given":"Liqing","non-dropping-particle":"","parse-names":false,"suffix":""},{"dropping-particle":"","family":"Holt","given":"Kathryn E","non-dropping-particle":"","parse-names":false,"suffix":""},{"dropping-particle":"","family":"Yu","given":"Ly-Mee","non-dropping-particle":"","parse-names":false,"suffix":""},{"dropping-particle":"","family":"Lockhart","given":"Stephen","non-dropping-particle":"","parse-names":false,"suffix":""},{"dropping-particle":"","family":"Farrar","given":"Jeremy J","non-dropping-particle":"","parse-names":false,"suffix":""},{"dropping-particle":"","family":"Sztein","given":"Marcelo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J","non-dropping-particle":"","parse-names":false,"suffix":""}],"container-title":"Clinical infectious diseases : an official publication of the Infectious Diseases Society of America","id":"ITEM-1","issue":"9","issued":{"date-parts":[["2014","5"]]},"page":"1230-40","title":"An outpatient, ambulant-design, controlled human infection model using escalating doses of Salmonella Typhi challenge delivered in sodium bicarbonate solution.","type":"article-journal","volume":"58"},"uris":["http://www.mendeley.com/documents/?uuid=0719aaf2-5a4a-4d10-bbac-6cba192b53cb"]},{"id":"ITEM-2","itemData":{"DOI":"10.1371/journal.pntd.0004926","ISSN":"1935-2735","PMID":"27533046","author":[{"dropping-particle":"","family":"Darton","given":"Thomas C.","non-dropping-particle":"","parse-names":false,"suffix":""},{"dropping-particle":"","family":"Jones","given":"Claire","non-dropping-particle":"","parse-names":false,"suffix":""},{"dropping-particle":"","family":"Blohmke","given":"Christoph J.","non-dropping-particle":"","parse-names":false,"suffix":""},{"dropping-particle":"","family":"Waddington","given":"Claire S.","non-dropping-particle":"","parse-names":false,"suffix":""},{"dropping-particle":"","family":"Zhou","given":"Liqing","non-dropping-particle":"","parse-names":false,"suffix":""},{"dropping-particle":"","family":"Peters","given":"Anna","non-dropping-particle":"","parse-names":false,"suffix":""},{"dropping-particle":"","family":"Haworth","given":"Kathryn","non-dropping-particle":"","parse-names":false,"suffix":""},{"dropping-particle":"","family":"Sie","given":"Rebecca","non-dropping-particle":"","parse-names":false,"suffix":""},{"dropping-particle":"","family":"Green","given":"Christopher A.","non-dropping-particle":"","parse-names":false,"suffix":""},{"dropping-particle":"","family":"Jeppesen","given":"Catherine A.","non-dropping-particle":"","parse-names":false,"suffix":""},{"dropping-particle":"","family":"Moore","given":"Maria","non-dropping-particle":"","parse-names":false,"suffix":""},{"dropping-particle":"V.","family":"Thompson","given":"Ben A.","non-dropping-particle":"","parse-names":false,"suffix":""},{"dropping-particle":"","family":"John","given":"Tessa","non-dropping-particle":"","parse-names":false,"suffix":""},{"dropping-particle":"","family":"Kingsley","given":"Robert A.","non-dropping-particle":"","parse-names":false,"suffix":""},{"dropping-particle":"","family":"Yu","given":"Ly-Mee","non-dropping-particle":"","parse-names":false,"suffix":""},{"dropping-particle":"","family":"Voysey","given":"Merryn","non-dropping-particle":"","parse-names":false,"suffix":""},{"dropping-particle":"","family":"Hindle","given":"Zoe","non-dropping-particle":"","parse-names":false,"suffix":""},{"dropping-particle":"","family":"Lockhart","given":"Stephen","non-dropping-particle":"","parse-names":false,"suffix":""},{"dropping-particle":"","family":"Sztein","given":"Marcelo B.","non-dropping-particle":"","parse-names":false,"suffix":""},{"dropping-particle":"","family":"Dougan","given":"Gordon","non-dropping-particle":"","parse-names":false,"suffix":""},{"dropping-particle":"","family":"Angus","given":"Brian","non-dropping-particle":"","parse-names":false,"suffix":""},{"dropping-particle":"","family":"Levine","given":"Myron M.","non-dropping-particle":"","parse-names":false,"suffix":""},{"dropping-particle":"","family":"Pollard","given":"Andrew J.","non-dropping-particle":"","parse-names":false,"suffix":""}],"container-title":"PLOS Neglected Tropical Diseases","id":"ITEM-2","issue":"8","issued":{"date-parts":[["2016"]]},"page":"e0004926","title":"Using a Human Challenge Model of Infection to Measure Vaccine Efficacy: A Randomised, Controlled Trial Comparing the Typhoid Vaccines M01ZH09 with Placebo and Ty21a","type":"article-journal","volume":"10"},"uris":["http://www.mendeley.com/documents/?uuid=23a8f8d0-76bd-43cc-949e-c5a567ff2936"]},{"id":"ITEM-3","itemData":{"abstract":"Summary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Lancet","id":"ITEM-3","issued":{"date-parts":[["2017"]]},"page":"2472-2480","title":"Efficacy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[24,26,27]","plainTextFormattedCitation":"[24,26,27]","previouslyFormattedCitation":"[24,26,27]"},"properties":{"noteIndex":0},"schema":"https://github.com/citation-style-language/schema/raw/master/csl-citation.json"}</w:instrText>
      </w:r>
      <w:r w:rsidR="009E757F">
        <w:fldChar w:fldCharType="separate"/>
      </w:r>
      <w:r w:rsidR="00CC6A0A" w:rsidRPr="00CC6A0A">
        <w:rPr>
          <w:noProof/>
        </w:rPr>
        <w:t>[24,26,27]</w:t>
      </w:r>
      <w:r w:rsidR="009E757F">
        <w:fldChar w:fldCharType="end"/>
      </w:r>
      <w:r w:rsidR="00B36EB5">
        <w:t>.</w:t>
      </w:r>
      <w:r w:rsidR="009E757F" w:rsidRPr="00B41829">
        <w:t xml:space="preserve"> </w:t>
      </w:r>
      <w:r w:rsidRPr="00B41829">
        <w:t xml:space="preserve">Challenge strain stocks were fully sensitive to ciprofloxacin and azithromycin as assessed using disc diffusion (zone of inhibition to ciprofloxacin 37mm, azithromycin 24mm). </w:t>
      </w:r>
      <w:r w:rsidR="00360B1D" w:rsidRPr="00E07A7F">
        <w:t xml:space="preserve">The MIC of </w:t>
      </w:r>
      <w:r w:rsidR="00360B1D" w:rsidRPr="00D40F04">
        <w:rPr>
          <w:i/>
          <w:iCs/>
        </w:rPr>
        <w:t>S.</w:t>
      </w:r>
      <w:r w:rsidR="00360B1D" w:rsidRPr="00E07A7F">
        <w:t xml:space="preserve"> Typhi Quailes strain to ciprofloxacin was 0.016μg/ml</w:t>
      </w:r>
      <w:r w:rsidR="005F7F89" w:rsidRPr="0026490E">
        <w:t xml:space="preserve"> (sensitive)</w:t>
      </w:r>
      <w:r w:rsidR="000E655B">
        <w:t xml:space="preserve"> and t</w:t>
      </w:r>
      <w:r w:rsidR="005F7F89" w:rsidRPr="0026490E">
        <w:t xml:space="preserve">he </w:t>
      </w:r>
      <w:r w:rsidR="005F7F89" w:rsidRPr="00E07A7F">
        <w:t>a</w:t>
      </w:r>
      <w:r w:rsidR="005F7F89" w:rsidRPr="0026490E">
        <w:t xml:space="preserve">zithromycin MIC </w:t>
      </w:r>
      <w:r w:rsidR="005F7F89" w:rsidRPr="00E07A7F">
        <w:t xml:space="preserve">was </w:t>
      </w:r>
      <w:r w:rsidR="005F7F89" w:rsidRPr="0026490E">
        <w:t>6</w:t>
      </w:r>
      <w:r w:rsidR="00AA648C" w:rsidRPr="00E07A7F">
        <w:t>μ</w:t>
      </w:r>
      <w:r w:rsidR="005F7F89" w:rsidRPr="0026490E">
        <w:t>g</w:t>
      </w:r>
      <w:r w:rsidR="00AA648C">
        <w:t>/</w:t>
      </w:r>
      <w:r w:rsidR="005F7F89" w:rsidRPr="0026490E">
        <w:t xml:space="preserve">ml </w:t>
      </w:r>
      <w:r w:rsidR="005F7F89" w:rsidRPr="00E07A7F">
        <w:t>(s</w:t>
      </w:r>
      <w:r w:rsidR="005F7F89" w:rsidRPr="0026490E">
        <w:t>ensitive</w:t>
      </w:r>
      <w:r w:rsidR="005F7F89" w:rsidRPr="00E07A7F">
        <w:t>)</w:t>
      </w:r>
      <w:r w:rsidR="000E655B">
        <w:t>, as determined by ETEST® (</w:t>
      </w:r>
      <w:proofErr w:type="spellStart"/>
      <w:r w:rsidR="000E655B">
        <w:t>BioMeriux</w:t>
      </w:r>
      <w:proofErr w:type="spellEnd"/>
      <w:r w:rsidR="000E655B">
        <w:t>)</w:t>
      </w:r>
      <w:r w:rsidR="005F7F89" w:rsidRPr="0026490E">
        <w:t>.</w:t>
      </w:r>
    </w:p>
    <w:p w14:paraId="398B8F6B" w14:textId="77777777" w:rsidR="000E655B" w:rsidRPr="000E655B" w:rsidRDefault="000E655B" w:rsidP="006C25B6">
      <w:pPr>
        <w:rPr>
          <w:rFonts w:ascii="Calibri Light" w:hAnsi="Calibri Light"/>
        </w:rPr>
      </w:pPr>
    </w:p>
    <w:p w14:paraId="5945A194" w14:textId="77777777" w:rsidR="003A62D7" w:rsidRPr="00B41829" w:rsidRDefault="003A62D7" w:rsidP="006C25B6">
      <w:pPr>
        <w:pStyle w:val="Heading3"/>
      </w:pPr>
      <w:r w:rsidRPr="00B41829">
        <w:t>Outcome Measures</w:t>
      </w:r>
    </w:p>
    <w:p w14:paraId="5F548640" w14:textId="4E8E6996" w:rsidR="003A62D7" w:rsidRPr="00B41829" w:rsidRDefault="003A62D7" w:rsidP="006C25B6">
      <w:r w:rsidRPr="00B41829">
        <w:t xml:space="preserve">The primary objective of the study was to compare the effect of ciprofloxacin with azithromycin on the </w:t>
      </w:r>
      <w:r>
        <w:t>time to</w:t>
      </w:r>
      <w:r w:rsidRPr="00B41829">
        <w:t xml:space="preserve"> bacteraemia </w:t>
      </w:r>
      <w:r>
        <w:t xml:space="preserve">clearance </w:t>
      </w:r>
      <w:r w:rsidRPr="00B41829">
        <w:t xml:space="preserve">and fever clearance in individuals diagnosed with typhoid fever. </w:t>
      </w:r>
      <w:r>
        <w:t>Time to</w:t>
      </w:r>
      <w:r w:rsidRPr="00B41829">
        <w:t xml:space="preserve"> bacteraemia </w:t>
      </w:r>
      <w:r>
        <w:t xml:space="preserve">clearance </w:t>
      </w:r>
      <w:r w:rsidRPr="00B41829">
        <w:t xml:space="preserve">was defined as time from initiation of antibiotics to time of collection of first persistently negative blood culture for </w:t>
      </w:r>
      <w:r w:rsidRPr="00B41829">
        <w:rPr>
          <w:i/>
        </w:rPr>
        <w:t>S</w:t>
      </w:r>
      <w:r w:rsidRPr="00B41829">
        <w:t>. Typhi. Only individuals who were bacteraemic at the time of initiation of antibiotics were included in the analysis of blood culture duration. Fever clearance time (FCT</w:t>
      </w:r>
      <w:r w:rsidR="000E655B">
        <w:t>38</w:t>
      </w:r>
      <w:r w:rsidRPr="00B41829">
        <w:t xml:space="preserve">) was </w:t>
      </w:r>
      <w:r>
        <w:t>defined</w:t>
      </w:r>
      <w:r w:rsidRPr="00B41829">
        <w:t xml:space="preserve"> as time from antibiotic commencement (or time of fever ≥38.0°C onset if occurring </w:t>
      </w:r>
      <w:r w:rsidRPr="00B41829">
        <w:lastRenderedPageBreak/>
        <w:t>after commencing antibiotics</w:t>
      </w:r>
      <w:r>
        <w:t>)</w:t>
      </w:r>
      <w:r w:rsidRPr="00B41829">
        <w:t xml:space="preserve"> to time of first persistent temperature &lt;38.0°C after starting of antibiotic treatment. </w:t>
      </w:r>
      <w:r>
        <w:t xml:space="preserve">Individuals </w:t>
      </w:r>
      <w:r w:rsidR="003376CB">
        <w:t xml:space="preserve">who cleared their fever </w:t>
      </w:r>
      <w:r>
        <w:t>before antibiotic</w:t>
      </w:r>
      <w:r w:rsidR="003376CB">
        <w:t xml:space="preserve"> initiation</w:t>
      </w:r>
      <w:r>
        <w:t xml:space="preserve"> were excluded from the fever clearance analysis.  </w:t>
      </w:r>
    </w:p>
    <w:p w14:paraId="48AF3D23" w14:textId="77777777" w:rsidR="003A62D7" w:rsidRPr="00B41829" w:rsidRDefault="003A62D7" w:rsidP="006C25B6"/>
    <w:p w14:paraId="05C9332C" w14:textId="4875901C" w:rsidR="003A62D7" w:rsidRPr="00B41829" w:rsidRDefault="003A62D7" w:rsidP="00ED5AD4">
      <w:r w:rsidRPr="00B41829">
        <w:t>Secondary outcomes included comparison of the effect of antibiotic treatment on FCT &lt;37.5°C</w:t>
      </w:r>
      <w:r w:rsidR="009E757F">
        <w:t>;</w:t>
      </w:r>
      <w:r w:rsidRPr="00B41829">
        <w:t xml:space="preserve"> time to symptom resolution (defined as reporting no solicited symptoms of typhoid fever)</w:t>
      </w:r>
      <w:r w:rsidR="009E757F">
        <w:t>;</w:t>
      </w:r>
      <w:r w:rsidRPr="00B41829">
        <w:t xml:space="preserve"> time to cessation of stool shedding (measured as time from commencement of antibiotics to time of first negative </w:t>
      </w:r>
      <w:r w:rsidRPr="00B41829">
        <w:rPr>
          <w:i/>
        </w:rPr>
        <w:t>S</w:t>
      </w:r>
      <w:r w:rsidRPr="00B41829">
        <w:t xml:space="preserve">. Typhi stool culture if this </w:t>
      </w:r>
      <w:r w:rsidR="003376CB">
        <w:t>occurred</w:t>
      </w:r>
      <w:r w:rsidR="003376CB" w:rsidRPr="00B41829">
        <w:t xml:space="preserve"> </w:t>
      </w:r>
      <w:r w:rsidRPr="00B41829">
        <w:t>after starting antibiotics), and prolonged treatment response</w:t>
      </w:r>
      <w:r w:rsidR="009E757F">
        <w:t xml:space="preserve"> (</w:t>
      </w:r>
      <w:r w:rsidRPr="00B41829">
        <w:t xml:space="preserve">defined as persistent </w:t>
      </w:r>
      <w:r w:rsidRPr="00B41829">
        <w:rPr>
          <w:i/>
        </w:rPr>
        <w:t>S</w:t>
      </w:r>
      <w:r w:rsidRPr="00B41829">
        <w:t>. Typhi bacteraemia and/or persistent fever ≥38°C for ≥72 hours after commencing antibiotics and/or change in antibiotic treatment due to adverse reactions or clinical concerns</w:t>
      </w:r>
      <w:r w:rsidR="009E757F">
        <w:t>)</w:t>
      </w:r>
      <w:r w:rsidRPr="00B41829">
        <w:t xml:space="preserve">. </w:t>
      </w:r>
    </w:p>
    <w:p w14:paraId="12BCCF17" w14:textId="77777777" w:rsidR="003A62D7" w:rsidRPr="00B41829" w:rsidRDefault="003A62D7" w:rsidP="00ED5AD4"/>
    <w:p w14:paraId="23216EC8" w14:textId="5115B512" w:rsidR="003A62D7" w:rsidRPr="00B41829" w:rsidRDefault="003A62D7" w:rsidP="00ED5AD4">
      <w:pPr>
        <w:pStyle w:val="Heading3"/>
      </w:pPr>
      <w:r w:rsidRPr="00B41829">
        <w:t xml:space="preserve">Laboratory </w:t>
      </w:r>
      <w:r>
        <w:t>A</w:t>
      </w:r>
      <w:r w:rsidRPr="00B41829">
        <w:t xml:space="preserve">ssays </w:t>
      </w:r>
    </w:p>
    <w:p w14:paraId="15BE980D" w14:textId="7CFBA9FD" w:rsidR="000E655B" w:rsidRPr="000E655B" w:rsidRDefault="003A62D7" w:rsidP="00D40F04">
      <w:r w:rsidRPr="00B41829">
        <w:t>Blood and stool culture samples were</w:t>
      </w:r>
      <w:r w:rsidR="005C4F8A">
        <w:t xml:space="preserve"> collected </w:t>
      </w:r>
      <w:r w:rsidR="00F50054">
        <w:t xml:space="preserve">at 12 hours after challenge and </w:t>
      </w:r>
      <w:r w:rsidR="005C4F8A">
        <w:t>daily</w:t>
      </w:r>
      <w:r w:rsidR="00F50054">
        <w:t xml:space="preserve"> thereafter until 96 hours post initiation of treatment</w:t>
      </w:r>
      <w:r w:rsidR="00DD5FD0">
        <w:t xml:space="preserve"> </w:t>
      </w:r>
      <w:r w:rsidR="00DD5FD0">
        <w:fldChar w:fldCharType="begin" w:fldLock="1"/>
      </w:r>
      <w:r w:rsidR="00DD5FD0">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DD5FD0">
        <w:fldChar w:fldCharType="separate"/>
      </w:r>
      <w:r w:rsidR="00DD5FD0" w:rsidRPr="00DD5FD0">
        <w:rPr>
          <w:noProof/>
        </w:rPr>
        <w:t>[24]</w:t>
      </w:r>
      <w:r w:rsidR="00DD5FD0">
        <w:fldChar w:fldCharType="end"/>
      </w:r>
      <w:r w:rsidR="00F50054">
        <w:t>. Samples</w:t>
      </w:r>
      <w:r w:rsidR="007D35DB">
        <w:t xml:space="preserve"> were</w:t>
      </w:r>
      <w:r w:rsidRPr="00B41829">
        <w:t xml:space="preserve"> processed by the local hospital’s accredited laboratories as previously described</w:t>
      </w:r>
      <w:r w:rsidR="007D35DB">
        <w:t xml:space="preserve"> </w:t>
      </w:r>
      <w:r w:rsidR="00DD5FD0">
        <w:fldChar w:fldCharType="begin" w:fldLock="1"/>
      </w:r>
      <w:r w:rsidR="009A77A0">
        <w:instrText>ADDIN CSL_CITATION {"citationItems":[{"id":"ITEM-1","itemData":{"DOI":"10.1093/cid/ciy670","ISSN":"1058-4838","PMID":"30252031","abstract":"Background Shedding of Salmonella Typhi or Paratyphi in the stool or urine leads to contamination of food or water, which is a prerequisite for transmission of enteric fever. Currently, there are limited data on the effect of vaccination or prior exposure on stool shedding. Methods Six Salmonella Typhi or Paratyphi human challenge studies were conducted between 2011 and 2017. Participants were either unvaccinated or vaccinated with 1 of 4 vaccines: Vi-polysaccharide (Vi-PS), Vi-tetanus-toxoid conjugate vaccine (Vi-TT), live oral Ty21a vaccine, or an experimental vaccine (M01ZH09). Daily stool cultures were collected for 14 days after challenge. Results There were 4934 stool samples collected from 430 volunteers. Participants who received Vi-PS or Vi-TT shed less than unvaccinated participants (odds ratio [OR], 0.34; 95% confidence interval [CI], 0.15-0.77; P = .010 and OR, 0.41; 95% CI, 0.19-0.91, P = .029 for Vi-PS and Vi-TT, respectively). Higher anti-Vi immunoglobulin G titers were associated with less shedding of S. Typhi (P &lt; .0001). A nonsignificant reduction in shedding was associated with Ty21a vaccine (OR, 0.57; 95% CI, 0.27-1.20; P = .140). Individuals previously exposed to S. Typhi shed less than previously unexposed individuals (OR, 0.30; 95% CI, 0.1-0.8; P = .016). Shedding of S. Typhi was more common than S. Paratyphi. Conclusions Prior vaccination with Vi vaccines, or natural infection, reduces onward transmission of S. Typhi. Field trials of Vi-TT should be designed to detect indirect protection, reflecting the consequence of reduced stool shedding observed in the human challenge model.","author":[{"dropping-particle":"","family":"Gibani","given":"Malick M","non-dropping-particle":"","parse-names":false,"suffix":""},{"dropping-particle":"","family":"Voysey","given":"Merryn","non-dropping-particle":"","parse-names":false,"suffix":""},{"dropping-particle":"","family":"Jin","given":"Celina","non-dropping-particle":"","parse-names":false,"suffix":""},{"dropping-particle":"","family":"Jones","given":"Claire","non-dropping-particle":"","parse-names":false,"suffix":""},{"dropping-particle":"","family":"Thomaides-Brears","given":"Helena","non-dropping-particle":"","parse-names":false,"suffix":""},{"dropping-particle":"","family":"Jones","given":"Elizabeth","non-dropping-particle":"","parse-names":false,"suffix":""},{"dropping-particle":"","family":"Baker","given":"Philip","non-dropping-particle":"","parse-names":false,"suffix":""},{"dropping-particle":"","family":"Morgan","given":"Marcus","non-dropping-particle":"","parse-names":false,"suffix":""},{"dropping-particle":"","family":"Simmons","given":"Alison","non-dropping-particle":"","parse-names":false,"suffix":""},{"dropping-particle":"","family":"Gordon","given":"Melita A","non-dropping-particle":"","parse-names":false,"suffix":""},{"dropping-particle":"","family":"Cerundolo","given":"Vincenzo","non-dropping-particle":"","parse-names":false,"suffix":""},{"dropping-particle":"","family":"Pitzer","given":"Virginia E","non-dropping-particle":"","parse-names":false,"suffix":""},{"dropping-particle":"","family":"Angus","given":"Brian","non-dropping-particle":"","parse-names":false,"suffix":""},{"dropping-particle":"","family":"Levine","given":"Myron M","non-dropping-particle":"","parse-names":false,"suffix":""},{"dropping-particle":"","family":"Darton","given":"Thomas C","non-dropping-particle":"","parse-names":false,"suffix":""},{"dropping-particle":"","family":"Pollard","given":"Andrew J","non-dropping-particle":"","parse-names":false,"suffix":""}],"container-title":"Clinical Infectious Diseases","id":"ITEM-1","issued":{"date-parts":[["2018","9","25"]]},"title":"The Impact of Vaccination and Prior Exposure on Stool Shedding of Salmonella Typhi and Salmonella Paratyphi in 6 Controlled Human Infection Studies","type":"article-journal"},"uris":["http://www.mendeley.com/documents/?uuid=2b8d69fe-5a49-355d-895a-92ec5da89ed6"]}],"mendeley":{"formattedCitation":"[30]","plainTextFormattedCitation":"[30]","previouslyFormattedCitation":"[29]"},"properties":{"noteIndex":0},"schema":"https://github.com/citation-style-language/schema/raw/master/csl-citation.json"}</w:instrText>
      </w:r>
      <w:r w:rsidR="00DD5FD0">
        <w:fldChar w:fldCharType="separate"/>
      </w:r>
      <w:r w:rsidR="009A77A0" w:rsidRPr="009A77A0">
        <w:rPr>
          <w:noProof/>
        </w:rPr>
        <w:t>[30]</w:t>
      </w:r>
      <w:r w:rsidR="00DD5FD0">
        <w:fldChar w:fldCharType="end"/>
      </w:r>
      <w:r w:rsidRPr="00B41829">
        <w:t xml:space="preserve">. </w:t>
      </w:r>
      <w:r w:rsidR="00B36EB5" w:rsidRPr="00B41829">
        <w:t>Additional pharmacokinetic studies (measurement of ciprofloxacin or azithromycin drug levels in plasma) and comparison of liver enzyme derangement were carried out in Study A participants</w:t>
      </w:r>
      <w:r w:rsidR="00B36EB5">
        <w:t xml:space="preserve">. </w:t>
      </w:r>
      <w:r w:rsidRPr="00B41829">
        <w:t xml:space="preserve">Plasma samples from Study A participants were collected at the time of diagnosis (prior to commencing antibiotics) and 12, 24, 48, </w:t>
      </w:r>
      <w:r w:rsidR="009E757F" w:rsidRPr="00B41829">
        <w:t>72- and 96-hours</w:t>
      </w:r>
      <w:r w:rsidRPr="00B41829">
        <w:t xml:space="preserve"> post-diagnosis for pharmacokinetic studies. </w:t>
      </w:r>
      <w:r w:rsidR="000E655B">
        <w:t xml:space="preserve">Quantitative blood culture was performed using 10ml </w:t>
      </w:r>
      <w:r w:rsidR="000E655B" w:rsidRPr="000E655B">
        <w:t>ISOLATOR™</w:t>
      </w:r>
      <w:r w:rsidR="000E655B">
        <w:t xml:space="preserve"> tubes (Abbot, UK) as previously described</w:t>
      </w:r>
      <w:r w:rsidR="003376CB">
        <w:t xml:space="preserve"> </w:t>
      </w:r>
      <w:r w:rsidR="00CD1CE9">
        <w:fldChar w:fldCharType="begin" w:fldLock="1"/>
      </w:r>
      <w:r w:rsidR="00CD1CE9">
        <w:instrText>ADDIN CSL_CITATION {"citationItems":[{"id":"ITEM-1","itemData":{"abstract":"Summary Background Salmonella enterica serovar Typhi (S Typhi) is responsible for an estimated 20 million infections and 200 000 deaths each year in resource poor regions of the world. Capsular Vi-polysaccharide-protein conjugate vaccines (Vi-conjugate vaccines) are immunogenic and can be used from infancy but there are no efficacy data for the leading candidate vaccine being considered for widespread use. To address this knowledge gap, we assessed the efficacy of a Vi-tetanus toxoid conjugate vaccine using an established human infection model of S Typhi. Methods In this single-centre, randomised controlled, phase 2b study, using an established outpatient-based human typhoid infection model, we recruited healthy adult volunteers aged between 18 and 60 years, with no previous history of typhoid vaccination, infection, or prolonged residency in a typhoid-endemic region. Participants were randomly assigned (1:1:1) to receive a single dose of Vi-conjugate (Vi-TT), Vi-polysaccharide (Vi-PS), or control meningococcal vaccine with a computer-generated randomisation schedule (block size 6). Investigators and participants were masked to treatment allocation, and an unmasked team of nurses administered the vaccines. Following oral ingestion of S Typhi, participants were assessed with daily blood culture over a 2-week period and diagnosed with typhoid infection when meeting pre-defined criteria. The primary endpoint was the proportion of participants diagnosed with typhoid infection (ie, attack rate), defined as persistent fever of 38°C or higher for 12 h or longer or S Typhi bacteraemia, following oral challenge administered 1 month after Vi-vaccination (Vi-TT or Vi-PS) compared with control vaccination. Analysis was per protocol. This trial is registered with ClinicalTrials.gov, number NCT02324751, and is ongoing. Findings Between Aug 18, 2015, and Nov 4, 2016, 112 participants were enrolled and randomly assigned; 34 to the control group, 37 to the Vi-PS group, and 41 to the Vi-TT group. 103 participants completed challenge (31 in the control group, 35 in the Vi-PS group, and 37 in the Vi-TT group) and were included in the per-protocol population. The composite criteria for typhoid diagnosis was met in 24 (77%) of 31 participants in the control group, 13 (35%) of 37 participants in the Vi-TT group, and 13 (35%) of 35 participants in the Vi-PS group to give vaccine efficacies of 54·6% (95% CI 26·8–71·8) for Vi-TT and 52·0% (23·2–70·0) for Vi-PS. Seroconversion wa…","author":[{"dropping-particle":"","family":"Jin","given":"Celina","non-dropping-particle":"","parse-names":false,"suffix":""},{"dropping-particle":"","family":"Gibani","given":"Malick M","non-dropping-particle":"","parse-names":false,"suffix":""},{"dropping-particle":"","family":"Moore","given":"Maria","non-dropping-particle":"","parse-names":false,"suffix":""},{"dropping-particle":"","family":"Juel","given":"Helene B","non-dropping-particle":"","parse-names":false,"suffix":""},{"dropping-particle":"","family":"Jones","given":"Elizabeth","non-dropping-particle":"","parse-names":false,"suffix":""},{"dropping-particle":"","family":"Meiring","given":"James","non-dropping-particle":"","parse-names":false,"suffix":""},{"dropping-particle":"","family":"Harris","given":"Victoria","non-dropping-particle":"","parse-names":false,"suffix":""},{"dropping-particle":"","family":"Gardner","given":"Jonathan","non-dropping-particle":"","parse-names":false,"suffix":""},{"dropping-particle":"","family":"Nebykova","given":"Anna","non-dropping-particle":"","parse-names":false,"suffix":""},{"dropping-particle":"","family":"Kerridge","given":"Simon A","non-dropping-particle":"","parse-names":false,"suffix":""},{"dropping-particle":"","family":"Hill","given":"Jennifer","non-dropping-particle":"","parse-names":false,"suffix":""},{"dropping-particle":"","family":"Thomaides-Brears","given":"Helena","non-dropping-particle":"","parse-names":false,"suffix":""},{"dropping-particle":"","family":"Blohmke","given":"Christoph J","non-dropping-particle":"","parse-names":false,"suffix":""},{"dropping-particle":"","family":"Yu","given":"Ly-Mee","non-dropping-particle":"","parse-names":false,"suffix":""},{"dropping-particle":"","family":"Angus","given":"Brian","non-dropping-particle":"","parse-names":false,"suffix":""},{"dropping-particle":"","family":"Pollard","given":"Andrew J","non-dropping-particle":"","parse-names":false,"suffix":""}],"container-title":"The Lancet","id":"ITEM-1","issued":{"date-parts":[["2017"]]},"page":"2472-2480","title":"Efficacy and immunogenicity of a Vi-tetanus toxoid conjugate vaccine in the prevention of typhoid fever using a controlled human infection model of Salmonella Typhi: a randomised controlled, phase 2b trial","type":"article-journal","volume":"390"},"uris":["http://www.mendeley.com/documents/?uuid=efe55db9-ece0-387b-a224-3abb908a3e15"]}],"mendeley":{"formattedCitation":"[24]","plainTextFormattedCitation":"[24]","previouslyFormattedCitation":"[24]"},"properties":{"noteIndex":0},"schema":"https://github.com/citation-style-language/schema/raw/master/csl-citation.json"}</w:instrText>
      </w:r>
      <w:r w:rsidR="00CD1CE9">
        <w:fldChar w:fldCharType="separate"/>
      </w:r>
      <w:r w:rsidR="00CD1CE9" w:rsidRPr="00E26C4A">
        <w:rPr>
          <w:noProof/>
        </w:rPr>
        <w:t>[24]</w:t>
      </w:r>
      <w:r w:rsidR="00CD1CE9">
        <w:fldChar w:fldCharType="end"/>
      </w:r>
      <w:r w:rsidR="000E655B">
        <w:t xml:space="preserve">. </w:t>
      </w:r>
    </w:p>
    <w:p w14:paraId="3D276B9B" w14:textId="77777777" w:rsidR="00DD747F" w:rsidRDefault="00DD747F" w:rsidP="00902C77"/>
    <w:p w14:paraId="40E7152F" w14:textId="77777777" w:rsidR="00ED4B8E" w:rsidRDefault="00ED4B8E" w:rsidP="0026490E">
      <w:pPr>
        <w:pStyle w:val="Heading3"/>
      </w:pPr>
      <w:r w:rsidRPr="005D3DB3">
        <w:t xml:space="preserve">Quantification of azithromycin and ciprofloxacin from plasma </w:t>
      </w:r>
    </w:p>
    <w:p w14:paraId="7C247BB8" w14:textId="0E8FB314" w:rsidR="00ED4B8E" w:rsidRDefault="00ED4B8E" w:rsidP="0026490E">
      <w:r w:rsidRPr="000D5585">
        <w:t xml:space="preserve">Plasma samples (100µL for azithromycin and 50µL for ciprofloxacin) were prepared in 300μL of acetonitrile containing </w:t>
      </w:r>
      <w:r>
        <w:t xml:space="preserve">either </w:t>
      </w:r>
      <w:r w:rsidRPr="000D5585">
        <w:t xml:space="preserve">20ng/mL azithromycin-D3 </w:t>
      </w:r>
      <w:r>
        <w:t xml:space="preserve">(azithromycin) </w:t>
      </w:r>
      <w:r w:rsidRPr="000D5585">
        <w:t>or ciprofloxacin-D8</w:t>
      </w:r>
      <w:r>
        <w:t xml:space="preserve"> (ciprofloxacin</w:t>
      </w:r>
      <w:r w:rsidRPr="000D5585">
        <w:t>).</w:t>
      </w:r>
      <w:r>
        <w:t xml:space="preserve"> </w:t>
      </w:r>
      <w:r w:rsidRPr="00741BE8">
        <w:t xml:space="preserve">25µL of each sample was loaded onto a </w:t>
      </w:r>
      <w:proofErr w:type="spellStart"/>
      <w:r w:rsidRPr="00741BE8">
        <w:t>Hypersil</w:t>
      </w:r>
      <w:proofErr w:type="spellEnd"/>
      <w:r w:rsidRPr="00741BE8">
        <w:t xml:space="preserve"> C8 GOLD high-performance liquid chromatography (HPLC) column (1.9 µm</w:t>
      </w:r>
      <w:r>
        <w:t>,</w:t>
      </w:r>
      <w:r w:rsidRPr="00741BE8">
        <w:t xml:space="preserve"> 100 mm </w:t>
      </w:r>
      <w:r w:rsidRPr="00BF3EA1">
        <w:rPr>
          <w:lang w:val="en-US"/>
        </w:rPr>
        <w:sym w:font="Symbol" w:char="F0B4"/>
      </w:r>
      <w:r>
        <w:rPr>
          <w:lang w:val="en-US"/>
        </w:rPr>
        <w:t xml:space="preserve"> </w:t>
      </w:r>
      <w:r w:rsidRPr="00741BE8">
        <w:t>2.1 mm</w:t>
      </w:r>
      <w:r>
        <w:t xml:space="preserve">; </w:t>
      </w:r>
      <w:r w:rsidRPr="00741BE8">
        <w:t xml:space="preserve">Thermo Scientific). Separation was achieved using a rapid stepwise gradient. Mobile phase A consisted of 0.5% formic acid </w:t>
      </w:r>
      <w:r>
        <w:t xml:space="preserve">in water and mobile phase </w:t>
      </w:r>
      <w:r w:rsidRPr="00741BE8">
        <w:t>B</w:t>
      </w:r>
      <w:r>
        <w:t xml:space="preserve"> </w:t>
      </w:r>
      <w:r w:rsidRPr="00741BE8">
        <w:t>consisted of acetonitrile (ACN)</w:t>
      </w:r>
      <w:r>
        <w:t>. Initial conditions consisted of 90% mobile phase A,</w:t>
      </w:r>
      <w:r w:rsidRPr="00741BE8">
        <w:t xml:space="preserve"> from 0 to 0.2 mins </w:t>
      </w:r>
      <w:r w:rsidRPr="00741BE8">
        <w:lastRenderedPageBreak/>
        <w:t xml:space="preserve">increasing in organic content </w:t>
      </w:r>
      <w:r>
        <w:t>to 90% mobile phase B</w:t>
      </w:r>
      <w:r w:rsidRPr="00741BE8">
        <w:t xml:space="preserve"> </w:t>
      </w:r>
      <w:r>
        <w:t xml:space="preserve">from 0.2 to 0.26 </w:t>
      </w:r>
      <w:r w:rsidRPr="00741BE8">
        <w:t>and held over 3.74 minutes (azithromycin)</w:t>
      </w:r>
      <w:r>
        <w:t xml:space="preserve"> or </w:t>
      </w:r>
      <w:r w:rsidRPr="00741BE8">
        <w:t>1.74 minutes (ciprofloxacin).</w:t>
      </w:r>
      <w:r w:rsidRPr="00C00807">
        <w:t xml:space="preserve"> The column was then equilibrated to the initial conditions over 6 minutes </w:t>
      </w:r>
      <w:r>
        <w:t>(</w:t>
      </w:r>
      <w:r w:rsidRPr="00C00807">
        <w:t>azithromycin</w:t>
      </w:r>
      <w:r>
        <w:t xml:space="preserve">) or </w:t>
      </w:r>
      <w:r w:rsidRPr="00C00807">
        <w:t xml:space="preserve">4 minutes </w:t>
      </w:r>
      <w:r>
        <w:t>(</w:t>
      </w:r>
      <w:r w:rsidRPr="00C00807">
        <w:t>ciprofloxacin</w:t>
      </w:r>
      <w:r>
        <w:t>)</w:t>
      </w:r>
      <w:r w:rsidRPr="00C00807">
        <w:t>. The triple quadrupole mass spectrometer (TSQ Quantum Access; Thermo Electron Corporation) was operated in positive ionization mode, and detection and quantification performed using selective reaction monitoring.</w:t>
      </w:r>
      <w:r>
        <w:t xml:space="preserve"> </w:t>
      </w:r>
      <w:r w:rsidRPr="005F7CEF">
        <w:t xml:space="preserve">Assays were validated over calibration ranges of 10-2,560ng/mL (azithromycin) </w:t>
      </w:r>
      <w:r>
        <w:t>or</w:t>
      </w:r>
      <w:r w:rsidRPr="005F7CEF">
        <w:t xml:space="preserve"> 10-2,000ng/mL (ciprofloxacin)</w:t>
      </w:r>
      <w:r>
        <w:t>.</w:t>
      </w:r>
      <w:r w:rsidRPr="005F7CEF">
        <w:t xml:space="preserve"> The lower limit of quantification (10ng/ml) </w:t>
      </w:r>
      <w:r>
        <w:t>was set</w:t>
      </w:r>
      <w:r w:rsidRPr="005F7CEF">
        <w:t xml:space="preserve"> as the lowest point on the standard curve with a coefficient of variation </w:t>
      </w:r>
      <w:r>
        <w:t>(</w:t>
      </w:r>
      <w:r w:rsidRPr="005F7CEF">
        <w:t>CV</w:t>
      </w:r>
      <w:r>
        <w:t xml:space="preserve">) </w:t>
      </w:r>
      <w:r w:rsidRPr="005F7CEF">
        <w:t xml:space="preserve">less than </w:t>
      </w:r>
      <w:r>
        <w:t>10</w:t>
      </w:r>
      <w:r w:rsidRPr="005F7CEF">
        <w:t xml:space="preserve">%. </w:t>
      </w:r>
      <w:r>
        <w:t>I</w:t>
      </w:r>
      <w:r w:rsidRPr="005F7CEF">
        <w:t xml:space="preserve">nter-day </w:t>
      </w:r>
      <w:r>
        <w:t>precision</w:t>
      </w:r>
      <w:r w:rsidR="003376CB">
        <w:t>,</w:t>
      </w:r>
      <w:r w:rsidRPr="005F7CEF">
        <w:t xml:space="preserve"> based on </w:t>
      </w:r>
      <w:r>
        <w:t xml:space="preserve">CV of </w:t>
      </w:r>
      <w:r w:rsidRPr="005F7CEF">
        <w:t>quality controls</w:t>
      </w:r>
      <w:r w:rsidR="003376CB">
        <w:t>,</w:t>
      </w:r>
      <w:r w:rsidRPr="005F7CEF">
        <w:t xml:space="preserve"> </w:t>
      </w:r>
      <w:r>
        <w:t>was</w:t>
      </w:r>
      <w:r w:rsidRPr="005F7CEF">
        <w:t xml:space="preserve"> between </w:t>
      </w:r>
      <w:r>
        <w:t>1.8</w:t>
      </w:r>
      <w:r w:rsidRPr="005F7CEF">
        <w:t>%-</w:t>
      </w:r>
      <w:r>
        <w:t>7.5</w:t>
      </w:r>
      <w:r w:rsidRPr="005F7CEF">
        <w:t xml:space="preserve">% (azithromycin) and </w:t>
      </w:r>
      <w:r>
        <w:t>1.7</w:t>
      </w:r>
      <w:r w:rsidRPr="005F7CEF">
        <w:t>%-</w:t>
      </w:r>
      <w:r>
        <w:t>7.3</w:t>
      </w:r>
      <w:r w:rsidRPr="005F7CEF">
        <w:t>% (ciprofloxacin</w:t>
      </w:r>
      <w:r>
        <w:t>).</w:t>
      </w:r>
      <w:r w:rsidRPr="00377AEA">
        <w:t xml:space="preserve"> </w:t>
      </w:r>
      <w:r w:rsidR="00D474B3">
        <w:t>A</w:t>
      </w:r>
      <w:r>
        <w:t xml:space="preserve">ll </w:t>
      </w:r>
      <w:r w:rsidRPr="005F7CEF">
        <w:t xml:space="preserve">quality controls </w:t>
      </w:r>
      <w:r w:rsidR="00D474B3">
        <w:t xml:space="preserve">readings </w:t>
      </w:r>
      <w:r w:rsidRPr="005F7CEF">
        <w:t>at low</w:t>
      </w:r>
      <w:r>
        <w:t>,</w:t>
      </w:r>
      <w:r w:rsidRPr="005F7CEF">
        <w:t xml:space="preserve"> medium and high levels were consistent</w:t>
      </w:r>
      <w:r w:rsidR="002213ED">
        <w:t xml:space="preserve"> and</w:t>
      </w:r>
      <w:r w:rsidRPr="005F7CEF">
        <w:t xml:space="preserve"> reproducible.</w:t>
      </w:r>
    </w:p>
    <w:p w14:paraId="1EAB4545" w14:textId="77777777" w:rsidR="00ED4B8E" w:rsidRDefault="00ED4B8E" w:rsidP="0026490E"/>
    <w:p w14:paraId="2B8D329F" w14:textId="77777777" w:rsidR="00ED4B8E" w:rsidRDefault="00ED4B8E" w:rsidP="0026490E">
      <w:pPr>
        <w:pStyle w:val="Heading3"/>
      </w:pPr>
      <w:r>
        <w:t>Pharmacokinetic (PK) Monte-Carlo Simulations</w:t>
      </w:r>
    </w:p>
    <w:p w14:paraId="62DBCD55" w14:textId="695D359B" w:rsidR="00ED4B8E" w:rsidRPr="005D3DB3" w:rsidRDefault="00ED4B8E" w:rsidP="0026490E">
      <w:pPr>
        <w:rPr>
          <w:lang w:val="en-GB"/>
        </w:rPr>
      </w:pPr>
      <w:r w:rsidRPr="00325110">
        <w:t>To simulate predicted</w:t>
      </w:r>
      <w:r w:rsidR="007644FE">
        <w:t xml:space="preserve"> azithromycin</w:t>
      </w:r>
      <w:r w:rsidRPr="00325110">
        <w:t xml:space="preserve"> </w:t>
      </w:r>
      <w:r w:rsidR="007644FE">
        <w:t xml:space="preserve">plasma and intracellular </w:t>
      </w:r>
      <w:r w:rsidRPr="00325110">
        <w:t>pharmacokinetic profiles,</w:t>
      </w:r>
      <w:r w:rsidR="007644FE">
        <w:t xml:space="preserve"> we applied a model previously described by</w:t>
      </w:r>
      <w:r w:rsidRPr="00325110">
        <w:t xml:space="preserve"> </w:t>
      </w:r>
      <w:r w:rsidR="007644FE">
        <w:t>Sampson and colleagues</w:t>
      </w:r>
      <w:r w:rsidR="003376CB">
        <w:t xml:space="preserve"> </w:t>
      </w:r>
      <w:r w:rsidR="00ED5AD4">
        <w:rPr>
          <w:lang w:val="en-GB"/>
        </w:rPr>
        <w:fldChar w:fldCharType="begin" w:fldLock="1"/>
      </w:r>
      <w:r w:rsidR="009A77A0">
        <w:rPr>
          <w:lang w:val="en-GB"/>
        </w:rPr>
        <w:instrText>ADDIN CSL_CITATION {"citationItems":[{"id":"ITEM-1","itemData":{"DOI":"10.1038/psp.2013.80","ISSN":"2163-8306","PMID":"24599342","abstract":"Azithromycin's extensive distribution to proinflammatory cells, including peripheral blood mononuclear cells (PBMCs) and polymorphonuclear cells (PMNs), may be important to its antimicrobial and anti-inflammatory properties. The need to simultaneously predict azithromycin concentrations in whole blood (\"blood\"), PBMCs, and PMNs motivated this investigation. A single-dose study in 20 healthy adults was conducted, and nonlinear mixed effects modeling was used to simultaneously describe azithromycin concentrations in blood, PBMCs, and PMNs (simultaneous PK model). Data were well described by a four-compartment mamillary model. Apparent central clearance and volume of distribution estimates were 67.3 l/hour and 336 l (interindividual variability of 114 and 122%, respectively). Bootstrapping and visual predictive checks showed adequate model performance. Azithromycin concentrations in blood, PBMCs, and PMNs from external studies of healthy adults and cystic fibrosis patients were within the 5th and 95th percentiles of model simulations. This novel empirical model can be used to predict azithromycin concentrations in blood, PBMCs, and PMNs with different dosing regimens.","author":[{"dropping-particle":"","family":"Sampson","given":"M R","non-dropping-particle":"","parse-names":false,"suffix":""},{"dropping-particle":"","family":"Dumitrescu","given":"T P","non-dropping-particle":"","parse-names":false,"suffix":""},{"dropping-particle":"","family":"Brouwer","given":"K L R","non-dropping-particle":"","parse-names":false,"suffix":""},{"dropping-particle":"","family":"Schmith","given":"V D","non-dropping-particle":"","parse-names":false,"suffix":""}],"container-title":"CPT: pharmacometrics &amp; systems pharmacology","id":"ITEM-1","issue":"3","issued":{"date-parts":[["2014","3","5"]]},"page":"e103","publisher":"Wiley-Blackwell","title":"Population pharmacokinetics of azithromycin in whole blood, peripheral blood mononuclear cells, and polymorphonuclear cells in healthy adults.","type":"article-journal","volume":"3"},"uris":["http://www.mendeley.com/documents/?uuid=3fa7bacc-31a2-3449-9849-48152962e783"]}],"mendeley":{"formattedCitation":"[31]","plainTextFormattedCitation":"[31]","previouslyFormattedCitation":"[30]"},"properties":{"noteIndex":0},"schema":"https://github.com/citation-style-language/schema/raw/master/csl-citation.json"}</w:instrText>
      </w:r>
      <w:r w:rsidR="00ED5AD4">
        <w:rPr>
          <w:lang w:val="en-GB"/>
        </w:rPr>
        <w:fldChar w:fldCharType="separate"/>
      </w:r>
      <w:r w:rsidR="009A77A0" w:rsidRPr="009A77A0">
        <w:rPr>
          <w:noProof/>
          <w:lang w:val="en-GB"/>
        </w:rPr>
        <w:t>[31]</w:t>
      </w:r>
      <w:r w:rsidR="00ED5AD4">
        <w:rPr>
          <w:lang w:val="en-GB"/>
        </w:rPr>
        <w:fldChar w:fldCharType="end"/>
      </w:r>
      <w:r w:rsidRPr="00325110">
        <w:t xml:space="preserve"> </w:t>
      </w:r>
      <w:r w:rsidR="007644FE">
        <w:t>and</w:t>
      </w:r>
      <w:r>
        <w:t xml:space="preserve"> replicated using the simulator tool in </w:t>
      </w:r>
      <w:proofErr w:type="spellStart"/>
      <w:r>
        <w:t>Pmetrics</w:t>
      </w:r>
      <w:proofErr w:type="spellEnd"/>
      <w:r w:rsidRPr="00D40F04">
        <w:t>™</w:t>
      </w:r>
      <w:r w:rsidR="003376CB" w:rsidRPr="00D40F04">
        <w:t xml:space="preserve"> </w:t>
      </w:r>
      <w:r w:rsidR="00ED5AD4">
        <w:fldChar w:fldCharType="begin" w:fldLock="1"/>
      </w:r>
      <w:r w:rsidR="009A77A0">
        <w:instrText>ADDIN CSL_CITATION {"citationItems":[{"id":"ITEM-1","itemData":{"DOI":"10.1097/FTD.0b013e31825c4ba6","ISSN":"0163-4356","PMID":"22722776","abstract":"INTRODUCTION Nonparametric population modeling algorithms have a theoretical superiority over parametric methods to detect pharmacokinetic and pharmacodynamic subgroups and outliers within a study population. METHODS The authors created \"Pmetrics,\" a new Windows and Unix R software package that updates the older MM-USCPACK software for nonparametric and parametric population modeling and simulation of pharmacokinetic and pharmacodynamic systems. The parametric iterative 2-stage Bayesian and the nonparametric adaptive grid (NPAG) approaches in Pmetrics were used to fit a simulated population with bimodal elimination (Kel) and unimodal volume of distribution (Vd), plus an extreme outlier, for a 1-compartment model of an intravenous drug. RESULTS The true means (SD) for Kel and Vd in the population sample were 0.19 (0.17) and 102 (22.3), respectively. Those found by NPAG were 0.19 (0.16) and 104 (22.6). The iterative 2-stage Bayesian estimated them to be 0.18 (0.16) and 104 (24.4). However, given the bimodality of Kel, no subject had a value near the mean for the population. Only NPAG was able to accurately detect the bimodal distribution for Kel and to find the outlier in both the population model and in the Bayesian posterior parameter estimates. CONCLUSIONS Built on over 3 decades of work, Pmetrics adopts a robust, reliable, and mature nonparametric approach to population modeling, which was better than the parametric method at discovering true pharmacokinetic subgroups and an outlier.","author":[{"dropping-particle":"","family":"Neely","given":"Michael N.","non-dropping-particle":"","parse-names":false,"suffix":""},{"dropping-particle":"","family":"Guilder","given":"Michael G.","non-dropping-particle":"van","parse-names":false,"suffix":""},{"dropping-particle":"","family":"Yamada","given":"Walter M.","non-dropping-particle":"","parse-names":false,"suffix":""},{"dropping-particle":"","family":"Schumitzky","given":"Alan","non-dropping-particle":"","parse-names":false,"suffix":""},{"dropping-particle":"","family":"Jelliffe","given":"Roger W.","non-dropping-particle":"","parse-names":false,"suffix":""}],"container-title":"Therapeutic Drug Monitoring","id":"ITEM-1","issue":"4","issued":{"date-parts":[["2012","8"]]},"page":"467-476","title":"Accurate Detection of Outliers and Subpopulations With Pmetrics, a Nonparametric and Parametric Pharmacometric Modeling and Simulation Package for R","type":"article-journal","volume":"34"},"uris":["http://www.mendeley.com/documents/?uuid=46aa9892-96a6-3ece-849a-0b09d03b83ba"]}],"mendeley":{"formattedCitation":"[32]","plainTextFormattedCitation":"[32]","previouslyFormattedCitation":"[31]"},"properties":{"noteIndex":0},"schema":"https://github.com/citation-style-language/schema/raw/master/csl-citation.json"}</w:instrText>
      </w:r>
      <w:r w:rsidR="00ED5AD4">
        <w:fldChar w:fldCharType="separate"/>
      </w:r>
      <w:r w:rsidR="009A77A0" w:rsidRPr="009A77A0">
        <w:rPr>
          <w:noProof/>
        </w:rPr>
        <w:t>[32]</w:t>
      </w:r>
      <w:r w:rsidR="00ED5AD4">
        <w:fldChar w:fldCharType="end"/>
      </w:r>
      <w:r>
        <w:t xml:space="preserve">. </w:t>
      </w:r>
      <w:r w:rsidR="007644FE">
        <w:t>For each dosing scenario, we simulated t</w:t>
      </w:r>
      <w:r>
        <w:t>he PK profile of azithromycin in plasma and intracellularly (mononuclear cells) in 1,000 patients. The</w:t>
      </w:r>
      <w:r w:rsidRPr="00325110">
        <w:t xml:space="preserve"> </w:t>
      </w:r>
      <w:r>
        <w:t xml:space="preserve">PK profile of ciprofloxacin in systemic plasma was simulated in 1,000 patients for each dosing scenario using the model reported </w:t>
      </w:r>
      <w:r w:rsidR="007644FE">
        <w:t>by Sanchez Navarro and colleagues</w:t>
      </w:r>
      <w:r w:rsidR="003376CB">
        <w:t xml:space="preserve"> </w:t>
      </w:r>
      <w:r w:rsidR="00ED5AD4">
        <w:fldChar w:fldCharType="begin" w:fldLock="1"/>
      </w:r>
      <w:r w:rsidR="009A77A0">
        <w:instrText>ADDIN CSL_CITATION {"citationItems":[{"id":"ITEM-1","itemData":{"DOI":"10.1093/jac/dkf079","ISSN":"14602091","PMID":"12096008","abstract":"A simulation study was performed to evaluate and compare the standard dosage regimen of 250 mg/12 h versus 500 mg/24 h of ciprofloxacin for the treatment of urinary tract infections (UTIs). Pharmacokinetic parameters reported for healthy young and old individuals were used for the simulation of drug levels in urine, at different mean urine flow rates (1-2.5 L/day). Pharmacokinetic/pharmacodynamic analysis of the results revealed that 500 mg ciprofloxacin once a day produced a more favourable profile in urine than 250 mg/12 h, particularly in the elderly, due to the slower elimination of the drug in this group of patients. Circadian rhythms were also considered for the simulation of drug levels in urine. According to the results, 500 mg once a day administered in the morning would be a better choice than 250 mg/12 h at least for uncomplicated UTI; nevertheless, clinical assays are needed to prove this hypothesis.","author":[{"dropping-particle":"","family":"Sanchez Navarro","given":"M. D.","non-dropping-particle":"","parse-names":false,"suffix":""},{"dropping-particle":"","family":"Sayalero Marinero","given":"M Luisa","non-dropping-particle":"","parse-names":false,"suffix":""},{"dropping-particle":"","family":"Sánchez Navarro","given":"Amparo","non-dropping-particle":"","parse-names":false,"suffix":""}],"container-title":"Journal of Antimicrobial Chemotherapy","id":"ITEM-1","issue":"1","issued":{"date-parts":[["2002","7","1"]]},"page":"67-72","title":"Pharmacokinetic/pharmacodynamic modelling of ciprofloxacin 250 mg/12 h versus 500 mg/24 h for urinary infections","type":"article-journal","volume":"50"},"uris":["http://www.mendeley.com/documents/?uuid=407dc190-6217-3dfa-9524-8774e72eafbe"]}],"mendeley":{"formattedCitation":"[33]","plainTextFormattedCitation":"[33]","previouslyFormattedCitation":"[32]"},"properties":{"noteIndex":0},"schema":"https://github.com/citation-style-language/schema/raw/master/csl-citation.json"}</w:instrText>
      </w:r>
      <w:r w:rsidR="00ED5AD4">
        <w:fldChar w:fldCharType="separate"/>
      </w:r>
      <w:r w:rsidR="009A77A0" w:rsidRPr="009A77A0">
        <w:rPr>
          <w:noProof/>
        </w:rPr>
        <w:t>[33]</w:t>
      </w:r>
      <w:r w:rsidR="00ED5AD4">
        <w:fldChar w:fldCharType="end"/>
      </w:r>
      <w:r>
        <w:t xml:space="preserve"> </w:t>
      </w:r>
      <w:r w:rsidR="007644FE">
        <w:t xml:space="preserve">and </w:t>
      </w:r>
      <w:r>
        <w:t>was</w:t>
      </w:r>
      <w:r w:rsidR="007644FE">
        <w:t xml:space="preserve"> again</w:t>
      </w:r>
      <w:r>
        <w:t xml:space="preserve"> replicated using the simulator tool of </w:t>
      </w:r>
      <w:proofErr w:type="spellStart"/>
      <w:r>
        <w:t>Pmetrics</w:t>
      </w:r>
      <w:proofErr w:type="spellEnd"/>
      <w:r>
        <w:t>™.</w:t>
      </w:r>
    </w:p>
    <w:p w14:paraId="28F3B175" w14:textId="77777777" w:rsidR="003A62D7" w:rsidRDefault="003A62D7" w:rsidP="0026490E"/>
    <w:p w14:paraId="27EBAED2" w14:textId="77777777" w:rsidR="003A62D7" w:rsidRDefault="003A62D7" w:rsidP="0026490E">
      <w:pPr>
        <w:pStyle w:val="Heading3"/>
      </w:pPr>
      <w:r w:rsidRPr="00D90B41">
        <w:t>Statistical Analysis</w:t>
      </w:r>
    </w:p>
    <w:p w14:paraId="179E758C" w14:textId="4FD8B5CC" w:rsidR="003A62D7" w:rsidRPr="006065AC" w:rsidRDefault="003A62D7" w:rsidP="0026490E">
      <w:r>
        <w:t>I</w:t>
      </w:r>
      <w:r w:rsidRPr="00B41829">
        <w:t>ntention-to-treat analys</w:t>
      </w:r>
      <w:r>
        <w:t xml:space="preserve">es were used to assess outcome </w:t>
      </w:r>
      <w:r w:rsidR="003376CB">
        <w:t>measures for S</w:t>
      </w:r>
      <w:r>
        <w:t>tudy A</w:t>
      </w:r>
      <w:r w:rsidR="003376CB">
        <w:t xml:space="preserve"> (antibiotic allocated based on randomisation) and S</w:t>
      </w:r>
      <w:r>
        <w:t>tudy B</w:t>
      </w:r>
      <w:r w:rsidR="003376CB">
        <w:t xml:space="preserve"> (</w:t>
      </w:r>
      <w:r>
        <w:t xml:space="preserve">first antibiotic treatment </w:t>
      </w:r>
      <w:r w:rsidR="003376CB">
        <w:t>used)</w:t>
      </w:r>
      <w:r>
        <w:t xml:space="preserve">. </w:t>
      </w:r>
      <w:r w:rsidRPr="006065AC">
        <w:t xml:space="preserve">Primary and secondary outcomes were summarised using the Kaplan-Meier method and antibiotic group comparisons were performed using log-rank tests. </w:t>
      </w:r>
      <w:r w:rsidR="003376CB">
        <w:t xml:space="preserve">As </w:t>
      </w:r>
      <w:r w:rsidRPr="006065AC">
        <w:t xml:space="preserve">no further </w:t>
      </w:r>
      <w:r w:rsidR="003376CB">
        <w:t xml:space="preserve">blood cultures were </w:t>
      </w:r>
      <w:r w:rsidRPr="006065AC">
        <w:t>scheduled</w:t>
      </w:r>
      <w:r w:rsidR="003376CB">
        <w:t xml:space="preserve"> for collection after</w:t>
      </w:r>
      <w:r w:rsidRPr="006065AC">
        <w:t xml:space="preserve"> 96 hours </w:t>
      </w:r>
      <w:r w:rsidR="003376CB">
        <w:t>post-</w:t>
      </w:r>
      <w:r w:rsidRPr="006065AC">
        <w:t xml:space="preserve">typhoid diagnosis, the analysis for duration of bacteraemia were censored at 96 hours </w:t>
      </w:r>
      <w:r w:rsidR="00C33846">
        <w:t>after treatment initiation</w:t>
      </w:r>
      <w:r w:rsidRPr="006065AC">
        <w:t>. Symptom and temperature data were censored 21 days after challenge, or at the time of last symptom reporting if participants were lost to follow-up.</w:t>
      </w:r>
    </w:p>
    <w:p w14:paraId="35104BBC" w14:textId="77777777" w:rsidR="003A62D7" w:rsidRDefault="003A62D7" w:rsidP="0026490E"/>
    <w:p w14:paraId="4D3636E6" w14:textId="6EABA05C" w:rsidR="003A62D7" w:rsidRPr="00D428A5" w:rsidRDefault="003A62D7" w:rsidP="0026490E">
      <w:pPr>
        <w:rPr>
          <w:b/>
        </w:rPr>
      </w:pPr>
      <w:r w:rsidRPr="00B41829">
        <w:lastRenderedPageBreak/>
        <w:t>Adjusted analys</w:t>
      </w:r>
      <w:r>
        <w:t>e</w:t>
      </w:r>
      <w:r w:rsidRPr="00B41829">
        <w:t xml:space="preserve">s of time to event variables </w:t>
      </w:r>
      <w:r>
        <w:t>were</w:t>
      </w:r>
      <w:r w:rsidRPr="00B41829">
        <w:t xml:space="preserve"> conducted using the Cox proportional hazards model. </w:t>
      </w:r>
      <w:r>
        <w:t xml:space="preserve">The following covariates were included in the model: </w:t>
      </w:r>
      <w:r w:rsidRPr="00B41829">
        <w:t>antibiotic allocation, vaccine assignment</w:t>
      </w:r>
      <w:r>
        <w:t xml:space="preserve">, naïve versus previous </w:t>
      </w:r>
      <w:r w:rsidRPr="00D428A5">
        <w:rPr>
          <w:i/>
        </w:rPr>
        <w:t>S</w:t>
      </w:r>
      <w:r>
        <w:t>. Typhi or</w:t>
      </w:r>
      <w:r w:rsidRPr="00D428A5">
        <w:rPr>
          <w:i/>
        </w:rPr>
        <w:t xml:space="preserve"> S</w:t>
      </w:r>
      <w:r>
        <w:t xml:space="preserve">. Paratyphi challenge, </w:t>
      </w:r>
      <w:r w:rsidRPr="00B41829">
        <w:t>time to antibiotic commencement from</w:t>
      </w:r>
      <w:r>
        <w:t xml:space="preserve"> time of</w:t>
      </w:r>
      <w:r w:rsidRPr="00B41829">
        <w:t xml:space="preserve"> challenge</w:t>
      </w:r>
      <w:r>
        <w:t xml:space="preserve">, and </w:t>
      </w:r>
      <w:r w:rsidR="00A84EBC">
        <w:t>s</w:t>
      </w:r>
      <w:r>
        <w:t xml:space="preserve">tudy enrolment (i.e. Study A versus Study B). </w:t>
      </w:r>
      <w:r w:rsidRPr="00B41829">
        <w:t xml:space="preserve">In addition, </w:t>
      </w:r>
      <w:r>
        <w:t>sensitivity analyses were carried out with further</w:t>
      </w:r>
      <w:r w:rsidRPr="00B41829">
        <w:t xml:space="preserve"> adjustment </w:t>
      </w:r>
      <w:r w:rsidR="00EA639D">
        <w:t>for</w:t>
      </w:r>
      <w:r w:rsidR="00EA639D" w:rsidRPr="00B41829">
        <w:t xml:space="preserve"> </w:t>
      </w:r>
      <w:r w:rsidRPr="00B41829">
        <w:t>blood quantification results (</w:t>
      </w:r>
      <w:r>
        <w:t xml:space="preserve">i.e. </w:t>
      </w:r>
      <w:r w:rsidRPr="00B41829">
        <w:t xml:space="preserve">number of </w:t>
      </w:r>
      <w:r w:rsidRPr="00B41829">
        <w:rPr>
          <w:i/>
        </w:rPr>
        <w:t>S</w:t>
      </w:r>
      <w:r w:rsidRPr="00B41829">
        <w:t xml:space="preserve">. Typhi bacteria CFUs isolated from blood at the time of diagnosis) to assess the effect of </w:t>
      </w:r>
      <w:r w:rsidRPr="00B41829">
        <w:rPr>
          <w:i/>
        </w:rPr>
        <w:t>S</w:t>
      </w:r>
      <w:r w:rsidRPr="00B41829">
        <w:t>. Typhi bacteria</w:t>
      </w:r>
      <w:r>
        <w:t xml:space="preserve">l </w:t>
      </w:r>
      <w:r w:rsidRPr="00B41829">
        <w:t>burden on infection resolution.</w:t>
      </w:r>
      <w:r>
        <w:t xml:space="preserve"> </w:t>
      </w:r>
      <w:r w:rsidR="004B7835">
        <w:t xml:space="preserve">Subgroup analysis was carried out in participants with no history of vaccination and those with no previous challenge. </w:t>
      </w:r>
    </w:p>
    <w:p w14:paraId="33E4F9F6" w14:textId="77777777" w:rsidR="003A62D7" w:rsidRPr="00B41829" w:rsidRDefault="003A62D7" w:rsidP="0026490E"/>
    <w:p w14:paraId="72561520" w14:textId="2B675F36" w:rsidR="003A62D7" w:rsidRPr="00B41829" w:rsidRDefault="003A62D7" w:rsidP="0026490E">
      <w:r w:rsidRPr="00B41829">
        <w:t xml:space="preserve">P values less than 0.05 </w:t>
      </w:r>
      <w:r>
        <w:t>were</w:t>
      </w:r>
      <w:r w:rsidRPr="00B41829">
        <w:t xml:space="preserve"> considered significant</w:t>
      </w:r>
      <w:r>
        <w:t xml:space="preserve"> for the </w:t>
      </w:r>
      <w:r w:rsidRPr="00B41829">
        <w:t>main comparisons</w:t>
      </w:r>
      <w:r>
        <w:t xml:space="preserve"> (FCT</w:t>
      </w:r>
      <w:r w:rsidRPr="00B41829">
        <w:t xml:space="preserve"> and bacteraemia clearance</w:t>
      </w:r>
      <w:r>
        <w:t>)</w:t>
      </w:r>
      <w:r w:rsidRPr="00B41829">
        <w:t xml:space="preserve">. </w:t>
      </w:r>
      <w:r>
        <w:t>As a</w:t>
      </w:r>
      <w:r w:rsidRPr="00B41829">
        <w:t xml:space="preserve"> large number of subsidiary analyses </w:t>
      </w:r>
      <w:r>
        <w:t>were</w:t>
      </w:r>
      <w:r w:rsidRPr="00B41829">
        <w:t xml:space="preserve"> undertaken, a more stringent criteria of p&lt;0.001 </w:t>
      </w:r>
      <w:r>
        <w:t xml:space="preserve">was used to judge the significance of secondary outcomes. </w:t>
      </w:r>
      <w:r w:rsidR="004B7835">
        <w:t>All analyses were performed using Stata® v1</w:t>
      </w:r>
      <w:r w:rsidR="004B7835">
        <w:rPr>
          <w:rFonts w:hint="eastAsia"/>
          <w:lang w:eastAsia="zh-CN"/>
        </w:rPr>
        <w:t>5</w:t>
      </w:r>
      <w:r w:rsidR="004B7835">
        <w:t>.</w:t>
      </w:r>
      <w:r w:rsidR="004B7835">
        <w:rPr>
          <w:rFonts w:hint="eastAsia"/>
          <w:lang w:eastAsia="zh-CN"/>
        </w:rPr>
        <w:t>1</w:t>
      </w:r>
      <w:r w:rsidR="004B7835">
        <w:t xml:space="preserve"> (</w:t>
      </w:r>
      <w:proofErr w:type="spellStart"/>
      <w:r w:rsidR="004B7835">
        <w:t>StataCorp</w:t>
      </w:r>
      <w:proofErr w:type="spellEnd"/>
      <w:r w:rsidR="004B7835">
        <w:t xml:space="preserve"> LP, College Station, TX, USA)</w:t>
      </w:r>
      <w:r w:rsidR="004B7835">
        <w:rPr>
          <w:rFonts w:hint="eastAsia"/>
          <w:lang w:eastAsia="zh-CN"/>
        </w:rPr>
        <w:t>.</w:t>
      </w:r>
      <w:r w:rsidR="004B7835">
        <w:t xml:space="preserve"> </w:t>
      </w:r>
    </w:p>
    <w:p w14:paraId="5849C200" w14:textId="77777777" w:rsidR="003A62D7" w:rsidRPr="00B41829" w:rsidRDefault="003A62D7" w:rsidP="0026490E"/>
    <w:p w14:paraId="5A76592F" w14:textId="747F8707" w:rsidR="003A62D7" w:rsidRPr="007451B7" w:rsidRDefault="003A62D7" w:rsidP="0026490E">
      <w:pPr>
        <w:pStyle w:val="Heading2"/>
      </w:pPr>
      <w:r w:rsidRPr="007451B7">
        <w:t>RESULTS</w:t>
      </w:r>
    </w:p>
    <w:p w14:paraId="094838CB" w14:textId="1AB04A25" w:rsidR="003A62D7" w:rsidRPr="005E34DF" w:rsidRDefault="00492914" w:rsidP="0026490E">
      <w:pPr>
        <w:rPr>
          <w:lang w:val="en-GB"/>
        </w:rPr>
      </w:pPr>
      <w:r w:rsidRPr="0042304C">
        <w:t>We enrolled 235 participants b</w:t>
      </w:r>
      <w:r w:rsidR="003A62D7" w:rsidRPr="0042304C">
        <w:t>etween the 17</w:t>
      </w:r>
      <w:r w:rsidR="003A62D7" w:rsidRPr="0026490E">
        <w:t xml:space="preserve">th </w:t>
      </w:r>
      <w:r w:rsidR="003A62D7" w:rsidRPr="0042304C">
        <w:t>March 2015 and the 24</w:t>
      </w:r>
      <w:r w:rsidR="003A62D7" w:rsidRPr="0026490E">
        <w:t>th</w:t>
      </w:r>
      <w:r w:rsidR="003A62D7" w:rsidRPr="0042304C">
        <w:t xml:space="preserve"> August 2017,</w:t>
      </w:r>
      <w:r w:rsidRPr="0042304C" w:rsidDel="00492914">
        <w:t xml:space="preserve"> </w:t>
      </w:r>
      <w:r w:rsidR="003A62D7" w:rsidRPr="0042304C">
        <w:t>of w</w:t>
      </w:r>
      <w:r w:rsidRPr="0042304C">
        <w:t>hom</w:t>
      </w:r>
      <w:r w:rsidR="003A62D7" w:rsidRPr="0042304C">
        <w:t xml:space="preserve"> 160 were challenged with </w:t>
      </w:r>
      <w:r w:rsidR="003A62D7" w:rsidRPr="00E07A7F">
        <w:rPr>
          <w:i/>
          <w:iCs/>
        </w:rPr>
        <w:t>S</w:t>
      </w:r>
      <w:r w:rsidR="003A62D7" w:rsidRPr="0042304C">
        <w:t>. Typhi.</w:t>
      </w:r>
      <w:r w:rsidR="0042304C">
        <w:t xml:space="preserve"> Across both studies</w:t>
      </w:r>
      <w:r w:rsidR="00F0762D">
        <w:t>,</w:t>
      </w:r>
      <w:r w:rsidR="009A77A0">
        <w:t xml:space="preserve"> 81/160 challenged participants were diagnosed with typhoid fever</w:t>
      </w:r>
      <w:r w:rsidR="007E5D2E">
        <w:t xml:space="preserve"> --</w:t>
      </w:r>
      <w:r w:rsidR="009A77A0">
        <w:t xml:space="preserve"> of</w:t>
      </w:r>
      <w:r w:rsidR="007E5D2E">
        <w:t xml:space="preserve"> </w:t>
      </w:r>
      <w:r w:rsidR="009A77A0">
        <w:t>whom</w:t>
      </w:r>
      <w:r w:rsidR="0042304C" w:rsidRPr="0042304C">
        <w:t xml:space="preserve"> </w:t>
      </w:r>
      <w:r w:rsidR="0042304C">
        <w:t>52</w:t>
      </w:r>
      <w:r w:rsidR="0042304C" w:rsidRPr="0042304C">
        <w:t xml:space="preserve"> were treated with azithromycin and 29 were treated with ciprofloxacin</w:t>
      </w:r>
      <w:r w:rsidR="0042304C">
        <w:t xml:space="preserve"> </w:t>
      </w:r>
      <w:r w:rsidR="003A62D7" w:rsidRPr="0042304C">
        <w:t>(</w:t>
      </w:r>
      <w:r w:rsidR="001F65F2" w:rsidRPr="00E07A7F">
        <w:fldChar w:fldCharType="begin"/>
      </w:r>
      <w:r w:rsidR="001F65F2" w:rsidRPr="0042304C">
        <w:instrText xml:space="preserve"> REF _Ref7960793 \h  \* MERGEFORMAT </w:instrText>
      </w:r>
      <w:r w:rsidR="001F65F2" w:rsidRPr="00E07A7F">
        <w:fldChar w:fldCharType="separate"/>
      </w:r>
      <w:r w:rsidR="00C21CFF">
        <w:t>Figure 1</w:t>
      </w:r>
      <w:r w:rsidR="001F65F2" w:rsidRPr="00E07A7F">
        <w:fldChar w:fldCharType="end"/>
      </w:r>
      <w:r w:rsidR="003A62D7" w:rsidRPr="0042304C">
        <w:t xml:space="preserve">). </w:t>
      </w:r>
      <w:r w:rsidR="001F65F2" w:rsidRPr="0042304C">
        <w:t>Overall, t</w:t>
      </w:r>
      <w:r w:rsidR="003A62D7" w:rsidRPr="0042304C">
        <w:t>he analysis comprised 62.1% of participants from Study A and 37.9% of participants from Study B</w:t>
      </w:r>
      <w:r w:rsidR="00EF39AF" w:rsidRPr="0042304C">
        <w:t xml:space="preserve"> (</w:t>
      </w:r>
      <w:r w:rsidR="00EF39AF" w:rsidRPr="00E07A7F">
        <w:fldChar w:fldCharType="begin"/>
      </w:r>
      <w:r w:rsidR="00EF39AF" w:rsidRPr="0042304C">
        <w:instrText xml:space="preserve"> REF _Ref7961202 \h </w:instrText>
      </w:r>
      <w:r w:rsidR="0042304C">
        <w:instrText xml:space="preserve"> \* MERGEFORMAT </w:instrText>
      </w:r>
      <w:r w:rsidR="00EF39AF" w:rsidRPr="00E07A7F">
        <w:fldChar w:fldCharType="separate"/>
      </w:r>
      <w:r w:rsidR="00C21CFF">
        <w:t>Table 1</w:t>
      </w:r>
      <w:r w:rsidR="00EF39AF" w:rsidRPr="00E07A7F">
        <w:fldChar w:fldCharType="end"/>
      </w:r>
      <w:r w:rsidR="00EF39AF" w:rsidRPr="0042304C">
        <w:t>).</w:t>
      </w:r>
      <w:r w:rsidR="00721009" w:rsidRPr="0042304C">
        <w:t xml:space="preserve"> </w:t>
      </w:r>
      <w:r w:rsidR="003A62D7" w:rsidRPr="0042304C">
        <w:t xml:space="preserve">Participant baseline characteristics were similar between the azithromycin and ciprofloxacin groups. </w:t>
      </w:r>
      <w:r w:rsidR="007E5D2E">
        <w:t>O</w:t>
      </w:r>
      <w:r w:rsidR="003A62D7" w:rsidRPr="0042304C">
        <w:t xml:space="preserve">f those vaccinated from Study A, </w:t>
      </w:r>
      <w:r w:rsidR="0070390C" w:rsidRPr="0042304C">
        <w:t xml:space="preserve">24/50 (48%) </w:t>
      </w:r>
      <w:r w:rsidR="003A62D7" w:rsidRPr="0042304C">
        <w:t>had received the control</w:t>
      </w:r>
      <w:r w:rsidR="008F4B50" w:rsidRPr="0042304C">
        <w:t xml:space="preserve"> </w:t>
      </w:r>
      <w:r w:rsidR="003A62D7" w:rsidRPr="0042304C">
        <w:t>vaccine</w:t>
      </w:r>
      <w:r w:rsidR="007E5D2E">
        <w:t>. In Study B, m</w:t>
      </w:r>
      <w:r w:rsidR="007E5D2E" w:rsidRPr="0042304C">
        <w:t xml:space="preserve">ost participants (19/31; 61%) had no prior exposure to </w:t>
      </w:r>
      <w:r w:rsidR="007E5D2E" w:rsidRPr="00E07A7F">
        <w:rPr>
          <w:i/>
          <w:iCs/>
        </w:rPr>
        <w:t>S</w:t>
      </w:r>
      <w:r w:rsidR="007E5D2E" w:rsidRPr="0042304C">
        <w:t xml:space="preserve">. Typhi </w:t>
      </w:r>
      <w:r w:rsidR="0070390C" w:rsidRPr="0042304C">
        <w:t>(</w:t>
      </w:r>
      <w:r w:rsidR="0070390C" w:rsidRPr="00E07A7F">
        <w:fldChar w:fldCharType="begin"/>
      </w:r>
      <w:r w:rsidR="0070390C" w:rsidRPr="0042304C">
        <w:instrText xml:space="preserve"> REF _Ref7961202 \h </w:instrText>
      </w:r>
      <w:r w:rsidR="0042304C">
        <w:instrText xml:space="preserve"> \* MERGEFORMAT </w:instrText>
      </w:r>
      <w:r w:rsidR="0070390C" w:rsidRPr="00E07A7F">
        <w:fldChar w:fldCharType="separate"/>
      </w:r>
      <w:r w:rsidR="00C21CFF">
        <w:t>Table 1</w:t>
      </w:r>
      <w:r w:rsidR="0070390C" w:rsidRPr="00E07A7F">
        <w:fldChar w:fldCharType="end"/>
      </w:r>
      <w:r w:rsidR="0070390C" w:rsidRPr="0042304C">
        <w:t>).</w:t>
      </w:r>
    </w:p>
    <w:p w14:paraId="32B7799F" w14:textId="77777777" w:rsidR="003A62D7" w:rsidRPr="00324178" w:rsidRDefault="003A62D7" w:rsidP="0026490E"/>
    <w:p w14:paraId="43C1933E" w14:textId="318E50C2" w:rsidR="003A62D7" w:rsidRPr="005D28F1" w:rsidRDefault="003A62D7" w:rsidP="00706922">
      <w:pPr>
        <w:rPr>
          <w:rFonts w:cs="Calibri"/>
        </w:rPr>
      </w:pPr>
      <w:r w:rsidRPr="00324178">
        <w:t xml:space="preserve">The duration of </w:t>
      </w:r>
      <w:r w:rsidRPr="00324178">
        <w:rPr>
          <w:i/>
        </w:rPr>
        <w:t>S.</w:t>
      </w:r>
      <w:r w:rsidRPr="00324178">
        <w:t xml:space="preserve"> Typhi bacteraemia was significantly prolonged in the azithromycin treated group</w:t>
      </w:r>
      <w:r>
        <w:t xml:space="preserve"> compared with the ciprofloxacin group (</w:t>
      </w:r>
      <w:r w:rsidRPr="00834D39">
        <w:t>median 90.8 hours [95%</w:t>
      </w:r>
      <w:r w:rsidR="004A35C5">
        <w:t xml:space="preserve"> </w:t>
      </w:r>
      <w:r w:rsidRPr="00834D39">
        <w:t>CI: 65.9-93.8]</w:t>
      </w:r>
      <w:r>
        <w:t xml:space="preserve"> vs. </w:t>
      </w:r>
      <w:r w:rsidRPr="00834D39">
        <w:t>20.1 hours [95%</w:t>
      </w:r>
      <w:r w:rsidR="004A35C5">
        <w:t xml:space="preserve"> </w:t>
      </w:r>
      <w:r w:rsidRPr="00834D39">
        <w:t>CI: 7.8-24.3]</w:t>
      </w:r>
      <w:r w:rsidRPr="00EF2253">
        <w:t>,</w:t>
      </w:r>
      <w:r w:rsidRPr="00324178">
        <w:t xml:space="preserve"> p&lt;0.001</w:t>
      </w:r>
      <w:r>
        <w:t xml:space="preserve"> -</w:t>
      </w:r>
      <w:r w:rsidR="0070390C">
        <w:t xml:space="preserve"> </w:t>
      </w:r>
      <w:r w:rsidR="0070390C">
        <w:fldChar w:fldCharType="begin"/>
      </w:r>
      <w:r w:rsidR="0070390C">
        <w:instrText xml:space="preserve"> REF _Ref7961523 \h </w:instrText>
      </w:r>
      <w:r w:rsidR="0070390C">
        <w:fldChar w:fldCharType="separate"/>
      </w:r>
      <w:r w:rsidR="00C21CFF">
        <w:t xml:space="preserve">Figure </w:t>
      </w:r>
      <w:r w:rsidR="00C21CFF">
        <w:rPr>
          <w:noProof/>
        </w:rPr>
        <w:t>2</w:t>
      </w:r>
      <w:r w:rsidR="0070390C">
        <w:fldChar w:fldCharType="end"/>
      </w:r>
      <w:r w:rsidRPr="00527426">
        <w:t>)</w:t>
      </w:r>
      <w:r w:rsidRPr="00324178">
        <w:t xml:space="preserve">. </w:t>
      </w:r>
      <w:r>
        <w:t xml:space="preserve">In the unadjusted Cox proportional hazard model, the hazard ratio (HR) for </w:t>
      </w:r>
      <w:r w:rsidRPr="00324178">
        <w:t>bacteraemia</w:t>
      </w:r>
      <w:r>
        <w:t xml:space="preserve"> clearance was </w:t>
      </w:r>
      <w:r w:rsidRPr="00834D39">
        <w:t xml:space="preserve">9.0 </w:t>
      </w:r>
      <w:r w:rsidR="002B04A9">
        <w:t>[</w:t>
      </w:r>
      <w:r>
        <w:t xml:space="preserve">95% CI: </w:t>
      </w:r>
      <w:r w:rsidRPr="00834D39">
        <w:t>4.2-19.3</w:t>
      </w:r>
      <w:r w:rsidR="002B04A9">
        <w:t>]</w:t>
      </w:r>
      <w:r>
        <w:t xml:space="preserve"> in participants </w:t>
      </w:r>
      <w:r w:rsidR="008F4B50">
        <w:t xml:space="preserve">treated with </w:t>
      </w:r>
      <w:r w:rsidR="0070390C">
        <w:t>c</w:t>
      </w:r>
      <w:r w:rsidRPr="00834D39">
        <w:t xml:space="preserve">iprofloxacin compared with those </w:t>
      </w:r>
      <w:r w:rsidR="008F4B50">
        <w:t>treated with</w:t>
      </w:r>
      <w:r w:rsidRPr="00834D39">
        <w:t xml:space="preserve"> </w:t>
      </w:r>
      <w:r w:rsidR="0070390C">
        <w:t>a</w:t>
      </w:r>
      <w:r w:rsidRPr="00834D39">
        <w:t>zithromycin.</w:t>
      </w:r>
      <w:r>
        <w:rPr>
          <w:b/>
          <w:sz w:val="20"/>
          <w:szCs w:val="20"/>
        </w:rPr>
        <w:t xml:space="preserve"> </w:t>
      </w:r>
      <w:r>
        <w:t xml:space="preserve">After adjusting for vaccination status, time to antibiotic </w:t>
      </w:r>
      <w:r w:rsidR="008F4B50">
        <w:t>initiation</w:t>
      </w:r>
      <w:r>
        <w:t xml:space="preserve"> and prior </w:t>
      </w:r>
      <w:r>
        <w:lastRenderedPageBreak/>
        <w:t xml:space="preserve">challenge status, the HR increased to </w:t>
      </w:r>
      <w:r w:rsidR="00485A21">
        <w:t>18.9</w:t>
      </w:r>
      <w:r w:rsidR="002B04A9">
        <w:t xml:space="preserve"> [</w:t>
      </w:r>
      <w:r w:rsidR="00485A21">
        <w:t>95% CI: 6.6-54.0</w:t>
      </w:r>
      <w:r w:rsidR="002B04A9">
        <w:t>.3]</w:t>
      </w:r>
      <w:r w:rsidR="00485A21">
        <w:t xml:space="preserve"> (</w:t>
      </w:r>
      <w:r w:rsidR="0070390C">
        <w:fldChar w:fldCharType="begin"/>
      </w:r>
      <w:r w:rsidR="0070390C">
        <w:instrText xml:space="preserve"> REF _Ref7961516 \h </w:instrText>
      </w:r>
      <w:r w:rsidR="0070390C">
        <w:fldChar w:fldCharType="separate"/>
      </w:r>
      <w:r w:rsidR="00C21CFF">
        <w:t xml:space="preserve">Table </w:t>
      </w:r>
      <w:r w:rsidR="00C21CFF">
        <w:rPr>
          <w:noProof/>
        </w:rPr>
        <w:t>2</w:t>
      </w:r>
      <w:r w:rsidR="0070390C">
        <w:fldChar w:fldCharType="end"/>
      </w:r>
      <w:r w:rsidR="0070390C">
        <w:t>)</w:t>
      </w:r>
      <w:r>
        <w:t xml:space="preserve">. </w:t>
      </w:r>
      <w:r>
        <w:rPr>
          <w:rFonts w:cstheme="minorHAnsi"/>
        </w:rPr>
        <w:t xml:space="preserve">Of note, adjustment of burden of </w:t>
      </w:r>
      <w:r w:rsidRPr="00540DA7">
        <w:rPr>
          <w:rFonts w:cstheme="minorHAnsi"/>
          <w:i/>
        </w:rPr>
        <w:t>S</w:t>
      </w:r>
      <w:r>
        <w:rPr>
          <w:rFonts w:cstheme="minorHAnsi"/>
        </w:rPr>
        <w:t>. Typhi, based on blood quantification results obtained at the time of typhoid diagnosis</w:t>
      </w:r>
      <w:r w:rsidR="00C45343">
        <w:rPr>
          <w:rFonts w:cstheme="minorHAnsi"/>
        </w:rPr>
        <w:t xml:space="preserve"> in </w:t>
      </w:r>
      <w:r w:rsidR="00EA639D">
        <w:rPr>
          <w:rFonts w:cstheme="minorHAnsi"/>
        </w:rPr>
        <w:t>S</w:t>
      </w:r>
      <w:r w:rsidR="00C45343">
        <w:rPr>
          <w:rFonts w:cstheme="minorHAnsi"/>
        </w:rPr>
        <w:t>tudy A</w:t>
      </w:r>
      <w:r>
        <w:rPr>
          <w:rFonts w:cstheme="minorHAnsi"/>
        </w:rPr>
        <w:t>, did not affect the association between antibiotic</w:t>
      </w:r>
      <w:r w:rsidR="00EA639D">
        <w:rPr>
          <w:rFonts w:cstheme="minorHAnsi"/>
        </w:rPr>
        <w:t xml:space="preserve"> treatment</w:t>
      </w:r>
      <w:r>
        <w:rPr>
          <w:rFonts w:cstheme="minorHAnsi"/>
        </w:rPr>
        <w:t xml:space="preserve"> and bacteraemia clearance (</w:t>
      </w:r>
      <w:r w:rsidR="0070390C" w:rsidRPr="009822A2">
        <w:rPr>
          <w:rFonts w:cstheme="minorHAnsi"/>
        </w:rPr>
        <w:fldChar w:fldCharType="begin"/>
      </w:r>
      <w:r w:rsidR="0070390C" w:rsidRPr="009822A2">
        <w:rPr>
          <w:rFonts w:cstheme="minorHAnsi"/>
        </w:rPr>
        <w:instrText xml:space="preserve"> REF _Ref7961609 \h </w:instrText>
      </w:r>
      <w:r w:rsidR="009822A2">
        <w:rPr>
          <w:rFonts w:cstheme="minorHAnsi"/>
        </w:rPr>
        <w:instrText xml:space="preserve"> \* MERGEFORMAT </w:instrText>
      </w:r>
      <w:r w:rsidR="0070390C" w:rsidRPr="009822A2">
        <w:rPr>
          <w:rFonts w:cstheme="minorHAnsi"/>
        </w:rPr>
      </w:r>
      <w:r w:rsidR="0070390C" w:rsidRPr="009822A2">
        <w:rPr>
          <w:rFonts w:cstheme="minorHAnsi"/>
        </w:rPr>
        <w:fldChar w:fldCharType="separate"/>
      </w:r>
      <w:r w:rsidR="00C21CFF">
        <w:t>Supplementary Table 1</w:t>
      </w:r>
      <w:r w:rsidR="0070390C" w:rsidRPr="009822A2">
        <w:rPr>
          <w:rFonts w:cstheme="minorHAnsi"/>
        </w:rPr>
        <w:fldChar w:fldCharType="end"/>
      </w:r>
      <w:r w:rsidRPr="009822A2">
        <w:rPr>
          <w:rFonts w:cstheme="minorHAnsi"/>
        </w:rPr>
        <w:t xml:space="preserve">). </w:t>
      </w:r>
      <w:r w:rsidR="00706922" w:rsidRPr="009822A2">
        <w:t>Results were consistent when studies were analysed independently and in a sub-group of participants with no history of vaccination or previous challenge</w:t>
      </w:r>
      <w:r w:rsidR="00C45343" w:rsidRPr="009822A2">
        <w:t xml:space="preserve"> (</w:t>
      </w:r>
      <w:r w:rsidR="009822A2" w:rsidRPr="0050733E">
        <w:fldChar w:fldCharType="begin"/>
      </w:r>
      <w:r w:rsidR="009822A2" w:rsidRPr="0050733E">
        <w:instrText xml:space="preserve"> REF _Ref11788353 \h </w:instrText>
      </w:r>
      <w:r w:rsidR="009822A2">
        <w:instrText xml:space="preserve"> \* MERGEFORMAT </w:instrText>
      </w:r>
      <w:r w:rsidR="009822A2" w:rsidRPr="0050733E">
        <w:fldChar w:fldCharType="separate"/>
      </w:r>
      <w:r w:rsidR="00C21CFF">
        <w:t xml:space="preserve">Supplementary </w:t>
      </w:r>
      <w:proofErr w:type="gramStart"/>
      <w:r w:rsidR="00C21CFF">
        <w:t xml:space="preserve">Figure  </w:t>
      </w:r>
      <w:r w:rsidR="00C21CFF">
        <w:rPr>
          <w:noProof/>
        </w:rPr>
        <w:t>2</w:t>
      </w:r>
      <w:proofErr w:type="gramEnd"/>
      <w:r w:rsidR="009822A2" w:rsidRPr="0050733E">
        <w:fldChar w:fldCharType="end"/>
      </w:r>
      <w:r w:rsidR="00C45343" w:rsidRPr="009822A2">
        <w:t>)</w:t>
      </w:r>
      <w:r w:rsidR="00706922" w:rsidRPr="009822A2">
        <w:t>.</w:t>
      </w:r>
    </w:p>
    <w:p w14:paraId="743A7A20" w14:textId="77777777" w:rsidR="003A62D7" w:rsidRDefault="003A62D7" w:rsidP="0026490E"/>
    <w:p w14:paraId="026C1E35" w14:textId="4CCE7C88" w:rsidR="003A62D7" w:rsidRPr="009B5216" w:rsidRDefault="003A62D7" w:rsidP="0026490E">
      <w:r>
        <w:t>F</w:t>
      </w:r>
      <w:r w:rsidR="00605378">
        <w:t xml:space="preserve">ever clearance time </w:t>
      </w:r>
      <w:r>
        <w:t>&lt;</w:t>
      </w:r>
      <w:r w:rsidRPr="006B2405">
        <w:rPr>
          <w:rFonts w:cstheme="minorHAnsi"/>
          <w:sz w:val="20"/>
          <w:szCs w:val="20"/>
        </w:rPr>
        <w:t>38°C</w:t>
      </w:r>
      <w:r>
        <w:t xml:space="preserve"> </w:t>
      </w:r>
      <w:r w:rsidRPr="00324178">
        <w:t xml:space="preserve">was significantly </w:t>
      </w:r>
      <w:r w:rsidR="00605378">
        <w:t>prolonged</w:t>
      </w:r>
      <w:r w:rsidRPr="00324178">
        <w:t xml:space="preserve"> in azithromycin treated participants (</w:t>
      </w:r>
      <w:r w:rsidRPr="00D04636">
        <w:t>median 65 hours [95%</w:t>
      </w:r>
      <w:r w:rsidR="004A35C5">
        <w:t xml:space="preserve"> </w:t>
      </w:r>
      <w:r w:rsidRPr="00D04636">
        <w:t>CI: 40-111]</w:t>
      </w:r>
      <w:r w:rsidRPr="003B0B7B">
        <w:t xml:space="preserve"> vs </w:t>
      </w:r>
      <w:r w:rsidRPr="00D04636">
        <w:t>45 hours [95%</w:t>
      </w:r>
      <w:r w:rsidR="004A35C5">
        <w:t xml:space="preserve"> </w:t>
      </w:r>
      <w:r w:rsidRPr="00D04636">
        <w:t>CI: 36-48]</w:t>
      </w:r>
      <w:r w:rsidRPr="00324178">
        <w:t xml:space="preserve">; </w:t>
      </w:r>
      <w:r w:rsidRPr="009B5216">
        <w:t>p=0.02</w:t>
      </w:r>
      <w:r w:rsidR="00605378">
        <w:t xml:space="preserve"> -</w:t>
      </w:r>
      <w:r w:rsidR="0070390C">
        <w:t xml:space="preserve"> </w:t>
      </w:r>
      <w:r w:rsidR="0070390C">
        <w:fldChar w:fldCharType="begin"/>
      </w:r>
      <w:r w:rsidR="0070390C">
        <w:instrText xml:space="preserve"> REF _Ref7961624 \h </w:instrText>
      </w:r>
      <w:r w:rsidR="0070390C">
        <w:fldChar w:fldCharType="separate"/>
      </w:r>
      <w:r w:rsidR="00C21CFF" w:rsidRPr="001F65F2">
        <w:t xml:space="preserve">Figure </w:t>
      </w:r>
      <w:r w:rsidR="00C21CFF">
        <w:rPr>
          <w:noProof/>
        </w:rPr>
        <w:t>3</w:t>
      </w:r>
      <w:r w:rsidR="0070390C">
        <w:fldChar w:fldCharType="end"/>
      </w:r>
      <w:r w:rsidR="00605378" w:rsidRPr="00D04636">
        <w:t>)</w:t>
      </w:r>
      <w:r w:rsidRPr="009B5216">
        <w:t xml:space="preserve">. </w:t>
      </w:r>
      <w:r>
        <w:t>A</w:t>
      </w:r>
      <w:r w:rsidRPr="009B5216">
        <w:t>fter adjusting</w:t>
      </w:r>
      <w:r>
        <w:t xml:space="preserve"> for the pre-specified variables,</w:t>
      </w:r>
      <w:r w:rsidRPr="009B5216">
        <w:t xml:space="preserve"> </w:t>
      </w:r>
      <w:r>
        <w:t>this association</w:t>
      </w:r>
      <w:r w:rsidRPr="009B5216">
        <w:t xml:space="preserve"> was no longer </w:t>
      </w:r>
      <w:r>
        <w:t xml:space="preserve">statistically </w:t>
      </w:r>
      <w:r w:rsidRPr="009B5216">
        <w:t xml:space="preserve">significant </w:t>
      </w:r>
      <w:r w:rsidR="002B04A9">
        <w:t>(</w:t>
      </w:r>
      <w:r w:rsidRPr="009B5216">
        <w:t>HR 1.</w:t>
      </w:r>
      <w:r w:rsidR="002B04A9">
        <w:t>3</w:t>
      </w:r>
      <w:r w:rsidRPr="009B5216">
        <w:t xml:space="preserve"> [</w:t>
      </w:r>
      <w:r>
        <w:t>95%</w:t>
      </w:r>
      <w:r w:rsidR="004A35C5">
        <w:t xml:space="preserve"> </w:t>
      </w:r>
      <w:r>
        <w:t xml:space="preserve">CI: </w:t>
      </w:r>
      <w:r w:rsidRPr="009B5216">
        <w:t>0.6</w:t>
      </w:r>
      <w:r>
        <w:t>-</w:t>
      </w:r>
      <w:r w:rsidRPr="009B5216">
        <w:t>2.</w:t>
      </w:r>
      <w:r w:rsidR="002B04A9">
        <w:t>8]</w:t>
      </w:r>
      <w:r w:rsidRPr="009B5216">
        <w:t>; p=0.51</w:t>
      </w:r>
      <w:r w:rsidR="002B04A9">
        <w:t>)</w:t>
      </w:r>
      <w:r w:rsidRPr="009B5216">
        <w:t>.</w:t>
      </w:r>
      <w:r>
        <w:t xml:space="preserve"> W</w:t>
      </w:r>
      <w:r w:rsidRPr="009B5216">
        <w:t xml:space="preserve">hen using a lower threshold of </w:t>
      </w:r>
      <w:r w:rsidRPr="009B5216">
        <w:rPr>
          <w:rFonts w:cstheme="minorHAnsi"/>
        </w:rPr>
        <w:t>37.5°C</w:t>
      </w:r>
      <w:r>
        <w:rPr>
          <w:rFonts w:cstheme="minorHAnsi"/>
        </w:rPr>
        <w:t xml:space="preserve"> to define fever, we observed </w:t>
      </w:r>
      <w:r w:rsidR="00EA639D">
        <w:rPr>
          <w:rFonts w:cstheme="minorHAnsi"/>
        </w:rPr>
        <w:t xml:space="preserve">a </w:t>
      </w:r>
      <w:r>
        <w:rPr>
          <w:rFonts w:cstheme="minorHAnsi"/>
        </w:rPr>
        <w:t xml:space="preserve">similar association between FCT and antibiotics in the univariate analysis (log-rank p&lt;0.001, </w:t>
      </w:r>
      <w:r w:rsidR="0070390C">
        <w:fldChar w:fldCharType="begin"/>
      </w:r>
      <w:r w:rsidR="0070390C">
        <w:instrText xml:space="preserve"> REF _Ref7961624 \h </w:instrText>
      </w:r>
      <w:r w:rsidR="0070390C">
        <w:fldChar w:fldCharType="separate"/>
      </w:r>
      <w:r w:rsidR="00C21CFF" w:rsidRPr="001F65F2">
        <w:t xml:space="preserve">Figure </w:t>
      </w:r>
      <w:r w:rsidR="00C21CFF">
        <w:rPr>
          <w:noProof/>
        </w:rPr>
        <w:t>3</w:t>
      </w:r>
      <w:r w:rsidR="0070390C">
        <w:fldChar w:fldCharType="end"/>
      </w:r>
      <w:r>
        <w:rPr>
          <w:rFonts w:cstheme="minorHAnsi"/>
        </w:rPr>
        <w:t>).</w:t>
      </w:r>
      <w:r w:rsidR="00EA639D">
        <w:rPr>
          <w:rFonts w:cstheme="minorHAnsi"/>
        </w:rPr>
        <w:t xml:space="preserve"> T</w:t>
      </w:r>
      <w:r>
        <w:rPr>
          <w:rFonts w:cstheme="minorHAnsi"/>
        </w:rPr>
        <w:t xml:space="preserve">his association remained statistically significant in the multivariable adjusted Cox </w:t>
      </w:r>
      <w:r w:rsidR="00605378">
        <w:rPr>
          <w:rFonts w:cstheme="minorHAnsi"/>
        </w:rPr>
        <w:t>regression</w:t>
      </w:r>
      <w:r w:rsidR="002B04A9">
        <w:rPr>
          <w:rFonts w:cstheme="minorHAnsi"/>
        </w:rPr>
        <w:t xml:space="preserve"> (</w:t>
      </w:r>
      <w:r>
        <w:rPr>
          <w:rFonts w:cstheme="minorHAnsi"/>
        </w:rPr>
        <w:t>HR 2.</w:t>
      </w:r>
      <w:r w:rsidR="002B04A9">
        <w:rPr>
          <w:rFonts w:cstheme="minorHAnsi"/>
        </w:rPr>
        <w:t xml:space="preserve">4 </w:t>
      </w:r>
      <w:r>
        <w:rPr>
          <w:rFonts w:cstheme="minorHAnsi"/>
        </w:rPr>
        <w:t>[</w:t>
      </w:r>
      <w:r w:rsidR="002B04A9">
        <w:t>95%</w:t>
      </w:r>
      <w:r w:rsidR="004A35C5">
        <w:t xml:space="preserve"> </w:t>
      </w:r>
      <w:r w:rsidR="002B04A9">
        <w:t xml:space="preserve">CI: </w:t>
      </w:r>
      <w:r>
        <w:rPr>
          <w:rFonts w:cstheme="minorHAnsi"/>
        </w:rPr>
        <w:t>1</w:t>
      </w:r>
      <w:r w:rsidR="002B04A9">
        <w:rPr>
          <w:rFonts w:cstheme="minorHAnsi"/>
        </w:rPr>
        <w:t>.2-5.0]</w:t>
      </w:r>
      <w:r>
        <w:rPr>
          <w:rFonts w:cstheme="minorHAnsi"/>
        </w:rPr>
        <w:t>; p=0.02</w:t>
      </w:r>
      <w:r w:rsidR="002B04A9">
        <w:rPr>
          <w:rFonts w:cstheme="minorHAnsi"/>
        </w:rPr>
        <w:t>,</w:t>
      </w:r>
      <w:r w:rsidR="003B0B7B">
        <w:rPr>
          <w:rFonts w:cstheme="minorHAnsi"/>
        </w:rPr>
        <w:t xml:space="preserve"> </w:t>
      </w:r>
      <w:r w:rsidR="003B0B7B">
        <w:fldChar w:fldCharType="begin"/>
      </w:r>
      <w:r w:rsidR="003B0B7B">
        <w:instrText xml:space="preserve"> REF _Ref7961516 \h </w:instrText>
      </w:r>
      <w:r w:rsidR="003B0B7B">
        <w:fldChar w:fldCharType="separate"/>
      </w:r>
      <w:r w:rsidR="00C21CFF">
        <w:t xml:space="preserve">Table </w:t>
      </w:r>
      <w:r w:rsidR="00C21CFF">
        <w:rPr>
          <w:noProof/>
        </w:rPr>
        <w:t>2</w:t>
      </w:r>
      <w:r w:rsidR="003B0B7B">
        <w:fldChar w:fldCharType="end"/>
      </w:r>
      <w:r w:rsidR="002B04A9">
        <w:rPr>
          <w:rFonts w:cstheme="minorHAnsi"/>
        </w:rPr>
        <w:t>)</w:t>
      </w:r>
      <w:r>
        <w:rPr>
          <w:rFonts w:cstheme="minorHAnsi"/>
        </w:rPr>
        <w:t>. Furthermore, there was a trend towards more rapid symptom resolution, for all solicited symptoms of typhoid fever, in the ciprofloxacin group than the azithromycin treated group, log-rank p=0.006</w:t>
      </w:r>
      <w:r w:rsidR="00B469C0">
        <w:rPr>
          <w:rFonts w:cstheme="minorHAnsi"/>
        </w:rPr>
        <w:t xml:space="preserve"> (</w:t>
      </w:r>
      <w:r w:rsidR="009039B8">
        <w:rPr>
          <w:rFonts w:cstheme="minorHAnsi"/>
        </w:rPr>
        <w:fldChar w:fldCharType="begin"/>
      </w:r>
      <w:r w:rsidR="009039B8">
        <w:rPr>
          <w:rFonts w:cstheme="minorHAnsi"/>
        </w:rPr>
        <w:instrText xml:space="preserve"> REF _Ref8144905 \h </w:instrText>
      </w:r>
      <w:r w:rsidR="009039B8">
        <w:rPr>
          <w:rFonts w:cstheme="minorHAnsi"/>
        </w:rPr>
      </w:r>
      <w:r w:rsidR="009039B8">
        <w:rPr>
          <w:rFonts w:cstheme="minorHAnsi"/>
        </w:rPr>
        <w:fldChar w:fldCharType="separate"/>
      </w:r>
      <w:r w:rsidR="00C21CFF" w:rsidRPr="009A7D61">
        <w:t xml:space="preserve">Supplementary </w:t>
      </w:r>
      <w:proofErr w:type="gramStart"/>
      <w:r w:rsidR="00C21CFF" w:rsidRPr="009A7D61">
        <w:t xml:space="preserve">Figure  </w:t>
      </w:r>
      <w:r w:rsidR="00C21CFF">
        <w:rPr>
          <w:noProof/>
        </w:rPr>
        <w:t>1</w:t>
      </w:r>
      <w:proofErr w:type="gramEnd"/>
      <w:r w:rsidR="009039B8">
        <w:rPr>
          <w:rFonts w:cstheme="minorHAnsi"/>
        </w:rPr>
        <w:fldChar w:fldCharType="end"/>
      </w:r>
      <w:r w:rsidR="00B469C0">
        <w:rPr>
          <w:rFonts w:cstheme="minorHAnsi"/>
        </w:rPr>
        <w:t>)</w:t>
      </w:r>
      <w:r>
        <w:rPr>
          <w:rFonts w:cstheme="minorHAnsi"/>
        </w:rPr>
        <w:t xml:space="preserve">. </w:t>
      </w:r>
    </w:p>
    <w:p w14:paraId="08CF7F0B" w14:textId="77777777" w:rsidR="003A62D7" w:rsidRDefault="003A62D7" w:rsidP="0026490E"/>
    <w:p w14:paraId="1B498DC9" w14:textId="742D1C3D" w:rsidR="003A62D7" w:rsidRDefault="003A62D7" w:rsidP="0026490E">
      <w:r>
        <w:t xml:space="preserve">More participants in the azithromycin treated group (28/52, 53.8%) had prolonged treatment responses than the ciprofloxacin group (1/29, 3.4%). </w:t>
      </w:r>
      <w:r w:rsidR="001A7405">
        <w:t>Twelve azithromycin-treated participants (23.1%)</w:t>
      </w:r>
      <w:r>
        <w:t xml:space="preserve"> had bacteraemia </w:t>
      </w:r>
      <w:r w:rsidRPr="00540DA7">
        <w:t xml:space="preserve">detected </w:t>
      </w:r>
      <w:r w:rsidRPr="00540DA7">
        <w:rPr>
          <w:rFonts w:cs="Calibri"/>
        </w:rPr>
        <w:t>≥</w:t>
      </w:r>
      <w:r w:rsidRPr="00540DA7">
        <w:t xml:space="preserve">72 hours after commencing azithromycin and fever </w:t>
      </w:r>
      <w:r w:rsidRPr="00540DA7">
        <w:rPr>
          <w:rFonts w:cs="Calibri"/>
        </w:rPr>
        <w:t>≥</w:t>
      </w:r>
      <w:r w:rsidRPr="00540DA7">
        <w:t>38</w:t>
      </w:r>
      <w:r w:rsidRPr="00540DA7">
        <w:rPr>
          <w:rFonts w:cstheme="minorHAnsi"/>
        </w:rPr>
        <w:t>°C</w:t>
      </w:r>
      <w:r w:rsidR="00F00335">
        <w:rPr>
          <w:rFonts w:cstheme="minorHAnsi"/>
        </w:rPr>
        <w:t xml:space="preserve"> (</w:t>
      </w:r>
      <w:r w:rsidR="00F00335">
        <w:fldChar w:fldCharType="begin"/>
      </w:r>
      <w:r w:rsidR="00F00335">
        <w:instrText xml:space="preserve"> REF _Ref7962140 \h </w:instrText>
      </w:r>
      <w:r w:rsidR="00F00335">
        <w:fldChar w:fldCharType="separate"/>
      </w:r>
      <w:r w:rsidR="00C21CFF">
        <w:t xml:space="preserve">Table </w:t>
      </w:r>
      <w:r w:rsidR="00C21CFF">
        <w:rPr>
          <w:noProof/>
        </w:rPr>
        <w:t>3</w:t>
      </w:r>
      <w:r w:rsidR="00F00335">
        <w:fldChar w:fldCharType="end"/>
      </w:r>
      <w:r w:rsidR="00F00335">
        <w:rPr>
          <w:rFonts w:cstheme="minorHAnsi"/>
        </w:rPr>
        <w:t>)</w:t>
      </w:r>
      <w:r>
        <w:rPr>
          <w:rFonts w:cstheme="minorHAnsi"/>
        </w:rPr>
        <w:t>. Consequently, more azithromycin treated participants had their antibiotic treatment changed to ciprofloxacin (14/52, 26.9%). Rates of liver enzyme elevation in Study A participants were similar between the two treatment groups. Of note, a small proportion of participants met the definition for drug-induced liver injury based on raised ALT levels (azithromycin 6.3%, ciprofloxacin 5.6%</w:t>
      </w:r>
      <w:r w:rsidR="00F00335">
        <w:rPr>
          <w:rFonts w:cstheme="minorHAnsi"/>
        </w:rPr>
        <w:t xml:space="preserve">; </w:t>
      </w:r>
      <w:r w:rsidR="00F00335">
        <w:fldChar w:fldCharType="begin"/>
      </w:r>
      <w:r w:rsidR="00F00335">
        <w:instrText xml:space="preserve"> REF _Ref7962140 \h </w:instrText>
      </w:r>
      <w:r w:rsidR="00F00335">
        <w:fldChar w:fldCharType="separate"/>
      </w:r>
      <w:r w:rsidR="00C21CFF">
        <w:t xml:space="preserve">Table </w:t>
      </w:r>
      <w:r w:rsidR="00C21CFF">
        <w:rPr>
          <w:noProof/>
        </w:rPr>
        <w:t>3</w:t>
      </w:r>
      <w:r w:rsidR="00F00335">
        <w:fldChar w:fldCharType="end"/>
      </w:r>
      <w:r w:rsidR="00F00335">
        <w:t>)</w:t>
      </w:r>
      <w:r>
        <w:rPr>
          <w:rFonts w:cstheme="minorHAnsi"/>
        </w:rPr>
        <w:t xml:space="preserve">. </w:t>
      </w:r>
    </w:p>
    <w:p w14:paraId="361B1C06" w14:textId="77777777" w:rsidR="003A62D7" w:rsidRDefault="003A62D7" w:rsidP="0026490E"/>
    <w:p w14:paraId="34766467" w14:textId="0B6BCDFB" w:rsidR="00ED4B8E" w:rsidRDefault="00ED4B8E" w:rsidP="0026490E">
      <w:r>
        <w:t>For both azithromycin and ciprofloxacin, serum concentrations in samples collected each day during treatment were consistent with published PK data</w:t>
      </w:r>
      <w:r w:rsidR="00EA639D">
        <w:t xml:space="preserve"> </w:t>
      </w:r>
      <w:r w:rsidR="00E07A7F">
        <w:fldChar w:fldCharType="begin" w:fldLock="1"/>
      </w:r>
      <w:r w:rsidR="009A77A0">
        <w:instrText xml:space="preserve">ADDIN CSL_CITATION {"citationItems":[{"id":"ITEM-1","itemData":{"DOI":"10.1093/jac/dkf079","ISSN":"14602091","PMID":"12096008","abstract":"A simulation study was performed to evaluate and compare the standard dosage regimen of 250 mg/12 h versus 500 mg/24 h of ciprofloxacin for the treatment of urinary tract infections (UTIs). Pharmacokinetic parameters reported for healthy young and old individuals were used for the simulation of drug levels in urine, at different mean urine flow rates (1-2.5 L/day). Pharmacokinetic/pharmacodynamic analysis of the results revealed that 500 mg ciprofloxacin once a day produced a more favourable profile in urine than 250 mg/12 h, particularly in the elderly, due to the slower elimination of the drug in this group of patients. Circadian rhythms were also considered for the simulation of drug levels in urine. According to the results, 500 mg once a day administered in the morning would be a better choice than 250 mg/12 h at least for uncomplicated UTI; nevertheless, clinical assays are needed to prove this hypothesis.","author":[{"dropping-particle":"","family":"Sanchez Navarro","given":"M. D.","non-dropping-particle":"","parse-names":false,"suffix":""},{"dropping-particle":"","family":"Sayalero Marinero","given":"M Luisa","non-dropping-particle":"","parse-names":false,"suffix":""},{"dropping-particle":"","family":"Sánchez Navarro","given":"Amparo","non-dropping-particle":"","parse-names":false,"suffix":""}],"container-title":"Journal of Antimicrobial Chemotherapy","id":"ITEM-1","issue":"1","issued":{"date-parts":[["2002","7","1"]]},"page":"67-72","title":"Pharmacokinetic/pharmacodynamic modelling of ciprofloxacin 250 mg/12 h versus 500 mg/24 h for urinary infections","type":"article-journal","volume":"50"},"uris":["http://www.mendeley.com/documents/?uuid=407dc190-6217-3dfa-9524-8774e72eafbe"]},{"id":"ITEM-2","itemData":{"DOI":"10.1186/1475-2875-13-36","ISSN":"1475-2875","PMID":"24472224","abstract":"BACKGROUND Population pharmacokinetics (PK) of azithromycin (AZ) and chloroquine (CQ) following administration of fixed-dose combination tablet formulations of AZ and CQ (AZCQ) was evaluated using data from two studies: 1) in children with symptomatic uncomplicated falciparum malaria in sub-Saharan Africa; and 2) in healthy adults in the United States. METHODS Study 1 included paediatric subjects randomized to either AZCQ or artemether-lumefantrine treatment in Cohort 1 (age 5-12 years) and Cohort 2 (age 6-59 months). Dosing of AZCQ was approximately 30 mg/kg AZ and 10 mg/kg CQ </w:instrText>
      </w:r>
      <w:r w:rsidR="009A77A0">
        <w:rPr>
          <w:rFonts w:hint="eastAsia"/>
        </w:rPr>
        <w:instrText xml:space="preserve">once daily for 3 days (for </w:instrText>
      </w:r>
      <w:r w:rsidR="009A77A0">
        <w:rPr>
          <w:rFonts w:hint="eastAsia"/>
        </w:rPr>
        <w:instrText>≥</w:instrText>
      </w:r>
      <w:r w:rsidR="009A77A0">
        <w:rPr>
          <w:rFonts w:hint="eastAsia"/>
        </w:rPr>
        <w:instrText>20 kg weight: AZ/CQ 300/100 mg per tablet; 5 to &lt;20 kg weight: AZ/CQ 150/50 mg per tablet). Study 2 included adults randomized to receive either two AZCQ tablets (AZ/CQ 250/155 mg per tablet) or individual commercial tablets of</w:instrText>
      </w:r>
      <w:r w:rsidR="009A77A0">
        <w:instrText xml:space="preserve"> AZ 500 mg and CQ 300 mg. Serum AZ and plasma CQ concentrations from both studies were pooled. Population PK models were constructed using standard approaches to evaluate the concentration-time data for AZ and CQ and to identify any covariates predictive of PK behaviour. RESULTS A three-compartment PK model with linear clearance and absorption adequately described AZ data, while a two-compartment model with linear clearance and absorption and an absorption lag adequately described CQ data. No overall bias or substantial model misspecification was evident using diagnostic plots and visual predictive checks. Body weight as an allometric function was the only covariate in the final AZ and CQ PK models. There were significantly lower AZ (0.488 vs 0.745 [mg•h/L]/[mg/kg], p</w:instrText>
      </w:r>
      <w:r w:rsidR="009A77A0">
        <w:rPr>
          <w:rFonts w:ascii="Times New Roman" w:hAnsi="Times New Roman" w:cs="Times New Roman"/>
        </w:rPr>
        <w:instrText> </w:instrText>
      </w:r>
      <w:r w:rsidR="009A77A0">
        <w:instrText>&lt;</w:instrText>
      </w:r>
      <w:r w:rsidR="009A77A0">
        <w:rPr>
          <w:rFonts w:ascii="Times New Roman" w:hAnsi="Times New Roman" w:cs="Times New Roman"/>
        </w:rPr>
        <w:instrText> </w:instrText>
      </w:r>
      <w:r w:rsidR="009A77A0">
        <w:instrText>0.00001) and CQ (0.836 vs 1.27 [mg•h/L]/[mg/kg], p</w:instrText>
      </w:r>
      <w:r w:rsidR="009A77A0">
        <w:rPr>
          <w:rFonts w:ascii="Times New Roman" w:hAnsi="Times New Roman" w:cs="Times New Roman"/>
        </w:rPr>
        <w:instrText> </w:instrText>
      </w:r>
      <w:r w:rsidR="009A77A0">
        <w:instrText>&lt;</w:instrText>
      </w:r>
      <w:r w:rsidR="009A77A0">
        <w:rPr>
          <w:rFonts w:ascii="Times New Roman" w:hAnsi="Times New Roman" w:cs="Times New Roman"/>
        </w:rPr>
        <w:instrText> </w:instrText>
      </w:r>
      <w:r w:rsidR="009A77A0">
        <w:instrText>0.00001) exposures (AUCinf) normalized by dose (mg/kg) in children compared with the adults. CONCLUSIONS The PK of AZ and CQ following administration of AZCQ was well described using a three- and two-compartment model, respectively. AZ and CQ exhibited linear absorption and clearance; the model for CQ included an absorption lag. Weight was predictive of exposure for both AZ and CQ. Assuming equivalent dosing (mg/kg), AZ and CQ exposure in children would be expected to be lower than that in adults, suggesting that children may require a higher dose (mg/kg) than adults to achieve the same AZ and CQ exposure.","author":[{"dropping-particle":"","family":"Zhao","given":"Qinying","non-dropping-particle":"","parse-names":false,"suffix":""},{"dropping-particle":"","family":"Tensfeldt","given":"Thomas G","non-dropping-particle":"","parse-names":false,"suffix":""},{"dropping-particle":"","family":"Chandra","given":"Richa","non-dropping-particle":"","parse-names":false,"suffix":""},{"dropping-particle":"","family":"Mould","given":"Diane R","non-dropping-particle":"","parse-names":false,"suffix":""}],"container-title":"Malaria journal","id":"ITEM-2","issued":{"date-parts":[["2014","1","29"]]},"page":"36","publisher":"BioMed Central","title":"Population pharmacokinetics of azithromycin and chloroquine in healthy adults and paediatric malaria subjects following oral administration of fixed-dose azithromycin and chloroquine combination tablets.","type":"article-journal","volume":"13"},"uris":["http://www.mendeley.com/documents/?uuid=e0424744-f055-3ff4-8aec-613b6dd5cbf7"]}],"mendeley":{"formattedCitation":"[33,34]","plainTextFormattedCitation":"[33,34]","previouslyFormattedCitation":"[32,33]"},"properties":{"noteIndex":0},"schema":"https://github.com/citation-style-language/schema/raw/master/csl-citation.json"}</w:instrText>
      </w:r>
      <w:r w:rsidR="00E07A7F">
        <w:fldChar w:fldCharType="separate"/>
      </w:r>
      <w:r w:rsidR="009A77A0" w:rsidRPr="009A77A0">
        <w:rPr>
          <w:noProof/>
        </w:rPr>
        <w:t>[33,34]</w:t>
      </w:r>
      <w:r w:rsidR="00E07A7F">
        <w:fldChar w:fldCharType="end"/>
      </w:r>
      <w:r>
        <w:t xml:space="preserve">. </w:t>
      </w:r>
      <w:r w:rsidR="00E07A7F">
        <w:t>Of note, plasma c</w:t>
      </w:r>
      <w:r>
        <w:t xml:space="preserve">oncentrations of azithromycin did not exceed </w:t>
      </w:r>
      <w:r w:rsidR="00EA639D">
        <w:t xml:space="preserve">the </w:t>
      </w:r>
      <w:r>
        <w:t>MIC at any time point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B).</w:t>
      </w:r>
      <w:r w:rsidR="00E07A7F">
        <w:t xml:space="preserve"> </w:t>
      </w:r>
      <w:r>
        <w:t>PK simulations</w:t>
      </w:r>
      <w:r w:rsidR="00EA639D">
        <w:t xml:space="preserve"> however,</w:t>
      </w:r>
      <w:r>
        <w:t xml:space="preserve"> demonstrate</w:t>
      </w:r>
      <w:r w:rsidR="00EA639D">
        <w:t>d</w:t>
      </w:r>
      <w:r>
        <w:t xml:space="preserve"> </w:t>
      </w:r>
      <w:r w:rsidR="00E07A7F">
        <w:t xml:space="preserve">intracellular </w:t>
      </w:r>
      <w:r>
        <w:t xml:space="preserve">accumulation of azithromycin </w:t>
      </w:r>
      <w:r w:rsidR="00EA639D">
        <w:t xml:space="preserve">exceeding </w:t>
      </w:r>
      <w:r>
        <w:t>the MIC over the treatment period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 xml:space="preserve">A). Further PK </w:t>
      </w:r>
      <w:r>
        <w:lastRenderedPageBreak/>
        <w:t>simulations demonstrated that administration of a 1,000mg loading dose followed by 500mg daily</w:t>
      </w:r>
      <w:r w:rsidR="00EA639D">
        <w:t xml:space="preserve"> dosing of</w:t>
      </w:r>
      <w:r>
        <w:t xml:space="preserve"> azithromycin would not increase extracellular levels beyond the MIC but would likely result in more patients achieving intracellular concentrations in excess of the MIC within the first 24 hours of treatment (</w:t>
      </w:r>
      <w:r w:rsidR="00902C77">
        <w:fldChar w:fldCharType="begin"/>
      </w:r>
      <w:r w:rsidR="00902C77">
        <w:instrText xml:space="preserve"> REF _Ref11414883 \h </w:instrText>
      </w:r>
      <w:r w:rsidR="00902C77">
        <w:fldChar w:fldCharType="separate"/>
      </w:r>
      <w:r w:rsidR="00EA639D" w:rsidRPr="00902C77">
        <w:t xml:space="preserve">Supplementary Figure </w:t>
      </w:r>
      <w:r w:rsidR="00EA639D">
        <w:rPr>
          <w:noProof/>
        </w:rPr>
        <w:t>3</w:t>
      </w:r>
      <w:r w:rsidR="00902C77">
        <w:fldChar w:fldCharType="end"/>
      </w:r>
      <w:r>
        <w:t>).</w:t>
      </w:r>
      <w:r w:rsidRPr="0020069F">
        <w:t xml:space="preserve"> </w:t>
      </w:r>
      <w:r w:rsidR="00EA639D">
        <w:t xml:space="preserve">Additional PK simulations of alternative dosing regimens, including 1,000mg daily dosing of azithromycin and 500mg twice daily dosing of azithromycin, demonstrated similar findings </w:t>
      </w:r>
      <w:r w:rsidR="00B30CC2">
        <w:t>(rapid accumulation of intracellular azithromycin with extracellular concentrations below the MIC</w:t>
      </w:r>
      <w:r w:rsidR="00C33846">
        <w:t>,</w:t>
      </w:r>
      <w:r w:rsidR="00B30CC2">
        <w:t xml:space="preserve"> </w:t>
      </w:r>
      <w:r w:rsidR="003213E4">
        <w:t>Supplementary Figures 4A and 4B)</w:t>
      </w:r>
      <w:r w:rsidR="00B30CC2">
        <w:t>.</w:t>
      </w:r>
      <w:r w:rsidR="00EA639D">
        <w:t xml:space="preserve"> </w:t>
      </w:r>
      <w:r>
        <w:t xml:space="preserve">Concentrations of ciprofloxacin in serum exceeded </w:t>
      </w:r>
      <w:r w:rsidR="00EA639D">
        <w:t xml:space="preserve">the </w:t>
      </w:r>
      <w:r>
        <w:t>MIC at all time points (</w:t>
      </w:r>
      <w:r w:rsidR="00902C77">
        <w:fldChar w:fldCharType="begin"/>
      </w:r>
      <w:r w:rsidR="00902C77">
        <w:instrText xml:space="preserve"> REF _Ref11414740 \h </w:instrText>
      </w:r>
      <w:r w:rsidR="00902C77">
        <w:fldChar w:fldCharType="separate"/>
      </w:r>
      <w:r w:rsidR="00C21CFF">
        <w:t xml:space="preserve">Figure </w:t>
      </w:r>
      <w:r w:rsidR="00C21CFF">
        <w:rPr>
          <w:noProof/>
        </w:rPr>
        <w:t>4</w:t>
      </w:r>
      <w:r w:rsidR="00902C77">
        <w:fldChar w:fldCharType="end"/>
      </w:r>
      <w:r>
        <w:t>D).</w:t>
      </w:r>
    </w:p>
    <w:p w14:paraId="58EC56BE" w14:textId="77777777" w:rsidR="003A62D7" w:rsidRDefault="003A62D7" w:rsidP="0026490E"/>
    <w:p w14:paraId="7DC89AAD" w14:textId="479BF458" w:rsidR="003A62D7" w:rsidRPr="006C25B6" w:rsidRDefault="003A62D7" w:rsidP="0026490E">
      <w:pPr>
        <w:pStyle w:val="Heading2"/>
      </w:pPr>
      <w:r w:rsidRPr="006C25B6">
        <w:t>DISCUSSION</w:t>
      </w:r>
    </w:p>
    <w:p w14:paraId="57749A8C" w14:textId="3CCB756B" w:rsidR="00EC78B1" w:rsidRDefault="00EC78B1" w:rsidP="0026490E">
      <w:r w:rsidRPr="00BE783F">
        <w:t>The emergence and dissemination of multidrug resistant, fluoroquinolone resistant and ext</w:t>
      </w:r>
      <w:r w:rsidR="009834E2">
        <w:t>ensively</w:t>
      </w:r>
      <w:r w:rsidRPr="00BE783F">
        <w:t xml:space="preserve"> drug resistant (XDR) strains of </w:t>
      </w:r>
      <w:r w:rsidRPr="00BE783F">
        <w:rPr>
          <w:i/>
        </w:rPr>
        <w:t>S</w:t>
      </w:r>
      <w:r w:rsidRPr="00BE783F">
        <w:t>. Typhi represents a threat to the global control of enteric fever</w:t>
      </w:r>
      <w:r w:rsidR="00902C77">
        <w:fldChar w:fldCharType="begin" w:fldLock="1"/>
      </w:r>
      <w:r w:rsidR="00CC6A0A">
        <w:instrText>ADDIN CSL_CITATION {"citationItems":[{"id":"ITEM-1","itemData":{"DOI":"10.1128/mBio.00105-18","ISSN":"2150-7511","PMID":"29463654","abstract":"Antibiotic resistance is a major problem inSalmonella entericaserovar Typhi, the causative agent of typhoid. Multidrug-resistant (MDR) isolates are prevalent in parts of Asia and Africa and are often associated with the dominant H58 haplotype. Reduced susceptibility to fluoroquinolones is also widespread, and sporadic cases of resistance to third-generation cephalosporins or azithromycin have also been reported. Here, we report the first large-scale emergence and spread of a novelS Typhi clone harboring resistance to three first-line drugs (chloramphenicol, ampicillin, and trimethoprim-sulfamethoxazole) as well as fluoroquinolones and third-generation cephalosporins in Sindh, Pakistan, which we classify as extensively drug resistant (XDR). Over 300 XDR typhoid cases have emerged in Sindh, Pakistan, since November 2016. Additionally, a single case of travel-associated XDR typhoid has recently been identified in the United Kingdom. Whole-genome sequencing of over 80 of the XDR isolates revealed remarkable genetic clonality and sequence conservation, identified a large number of resistance determinants, and showed that these isolates were of haplotype H58. The XDRS Typhi clone encodes a chromosomally located resistance region and harbors a plasmid encoding additional resistance elements, including theblaCTX-M-15extended-spectrum β-lactamase, and carrying theqnrSfluoroquinolone resistance gene. This antibiotic resistance-associated IncY plasmid exhibited high sequence identity to plasmids found in other enteric bacteria isolated from widely distributed geographic locations. This study highlights three concerning problems: the receding antibiotic arsenal for typhoid treatment, the ability ofS Typhi to transform from MDR to XDR in a single step by acquisition of a plasmid, and the ability of XDR clones to spread globally.IMPORTANCETyphoid fever is a severe disease caused by the Gram-negative bacteriumSalmonella entericaserovar Typhi. Antibiotic-resistantS Typhi strains have become increasingly common. Here, we report the first large-scale emergence and spread of a novel extensively drug-resistant (XDR)S Typhi clone in Sindh, Pakistan. The XDRS Typhi is resistant to the majority of drugs available for the treatment of typhoid fever. This study highlights the evolving threat of antibiotic resistance inS Typhi and the value of antibiotic susceptibility testing and whole-genome sequencing in understanding emerging infectious diseases. We genetically characterized…","author":[{"dropping-particle":"","family":"Klemm","given":"Elizabeth J","non-dropping-particle":"","parse-names":false,"suffix":""},{"dropping-particle":"","family":"Shakoor","given":"Sadia","non-dropping-particle":"","parse-names":false,"suffix":""},{"dropping-particle":"","family":"Page","given":"Andrew J","non-dropping-particle":"","parse-names":false,"suffix":""},{"dropping-particle":"","family":"Qamar","given":"Farah Naz","non-dropping-particle":"","parse-names":false,"suffix":""},{"dropping-particle":"","family":"Judge","given":"Kim","non-dropping-particle":"","parse-names":false,"suffix":""},{"dropping-particle":"","family":"Saeed","given":"Dania K","non-dropping-particle":"","parse-names":false,"suffix":""},{"dropping-particle":"","family":"Wong","given":"Vanessa K","non-dropping-particle":"","parse-names":false,"suffix":""},{"dropping-particle":"","family":"Dallman","given":"Timothy J","non-dropping-particle":"","parse-names":false,"suffix":""},{"dropping-particle":"","family":"Nair","given":"Satheesh","non-dropping-particle":"","parse-names":false,"suffix":""},{"dropping-particle":"","family":"Baker","given":"Stephen","non-dropping-particle":"","parse-names":false,"suffix":""},{"dropping-particle":"","family":"Shaheen","given":"Ghazala","non-dropping-particle":"","parse-names":false,"suffix":""},{"dropping-particle":"","family":"Qureshi","given":"Shahida","non-dropping-particle":"","parse-names":false,"suffix":""},{"dropping-particle":"","family":"Yousafzai","given":"Mohammad Tahir","non-dropping-particle":"","parse-names":false,"suffix":""},{"dropping-particle":"","family":"Saleem","given":"Muhammad Khalid","non-dropping-particle":"","parse-names":false,"suffix":""},{"dropping-particle":"","family":"Hasan","given":"Zahra","non-dropping-particle":"","parse-names":false,"suffix":""},{"dropping-particle":"","family":"Dougan","given":"Gordon","non-dropping-particle":"","parse-names":false,"suffix":""},{"dropping-particle":"","family":"Hasan","given":"Rumina","non-dropping-particle":"","parse-names":false,"suffix":""}],"container-title":"mBio","id":"ITEM-1","issue":"1","issued":{"date-parts":[["2018"]]},"page":"e00105-18","title":"Emergence of an Extensively Drug-Resistant Salmonella enterica Serovar Typhi Clone Harboring a Promiscuous Plasmid Encoding Resistance to Fluoroquinolones and Third-Generation Cephalosporins.","type":"article-journal","volume":"9"},"uris":["http://www.mendeley.com/documents/?uuid=bbb34468-3515-3aa2-928e-6dbb6df22ea6"]}],"mendeley":{"formattedCitation":"[9]","plainTextFormattedCitation":"[9]","previouslyFormattedCitation":"[9]"},"properties":{"noteIndex":0},"schema":"https://github.com/citation-style-language/schema/raw/master/csl-citation.json"}</w:instrText>
      </w:r>
      <w:r w:rsidR="00902C77">
        <w:fldChar w:fldCharType="separate"/>
      </w:r>
      <w:r w:rsidR="00E26C4A" w:rsidRPr="00E26C4A">
        <w:rPr>
          <w:noProof/>
        </w:rPr>
        <w:t>[9]</w:t>
      </w:r>
      <w:r w:rsidR="00902C77">
        <w:fldChar w:fldCharType="end"/>
      </w:r>
      <w:r w:rsidRPr="00BE783F">
        <w:t xml:space="preserve">. </w:t>
      </w:r>
      <w:r w:rsidR="003213E4">
        <w:t>A</w:t>
      </w:r>
      <w:r w:rsidRPr="00BE783F">
        <w:t xml:space="preserve">zithromycin is one of the few oral treatment options to which the majority of global </w:t>
      </w:r>
      <w:r w:rsidRPr="00BE783F">
        <w:rPr>
          <w:i/>
        </w:rPr>
        <w:t>S</w:t>
      </w:r>
      <w:r w:rsidRPr="00BE783F">
        <w:t xml:space="preserve">. Typhi isolates remain sensitive. In this study, we performed an analysis of treatment responses to ciprofloxacin and azithromycin following </w:t>
      </w:r>
      <w:r w:rsidR="00CD0CF6">
        <w:t>challenge with a</w:t>
      </w:r>
      <w:r w:rsidR="00CD0CF6" w:rsidRPr="00BE783F">
        <w:t xml:space="preserve"> fully sensitive strain of </w:t>
      </w:r>
      <w:r w:rsidR="00CD0CF6" w:rsidRPr="00BE783F">
        <w:rPr>
          <w:i/>
        </w:rPr>
        <w:t>S</w:t>
      </w:r>
      <w:r w:rsidR="00CD0CF6" w:rsidRPr="00BE783F">
        <w:t xml:space="preserve">. Typhi </w:t>
      </w:r>
      <w:r w:rsidR="00CD0CF6">
        <w:t>in</w:t>
      </w:r>
      <w:r w:rsidRPr="00BE783F">
        <w:t xml:space="preserve"> over 100 healthy volunteers. </w:t>
      </w:r>
      <w:r>
        <w:t>All patients were successfully treated. However, w</w:t>
      </w:r>
      <w:r w:rsidRPr="00BE783F">
        <w:t>hen a diverse range of objective clinical and microbiological endpoints</w:t>
      </w:r>
      <w:r w:rsidR="00DD6C72">
        <w:t xml:space="preserve"> were used to assess treatment responses</w:t>
      </w:r>
      <w:r w:rsidRPr="00BE783F">
        <w:t xml:space="preserve">, we observed a </w:t>
      </w:r>
      <w:r>
        <w:t>delayed</w:t>
      </w:r>
      <w:r w:rsidRPr="00BE783F">
        <w:t xml:space="preserve"> response to treatment of </w:t>
      </w:r>
      <w:r w:rsidRPr="00BE783F">
        <w:rPr>
          <w:i/>
        </w:rPr>
        <w:t>S</w:t>
      </w:r>
      <w:r w:rsidRPr="00BE783F">
        <w:t xml:space="preserve">. Typhi infection in those receiving azithromycin compared with </w:t>
      </w:r>
      <w:r>
        <w:t xml:space="preserve">those </w:t>
      </w:r>
      <w:r w:rsidRPr="00BE783F">
        <w:t>receiving</w:t>
      </w:r>
      <w:r>
        <w:t xml:space="preserve"> </w:t>
      </w:r>
      <w:r w:rsidRPr="00BE783F">
        <w:t xml:space="preserve">ciprofloxacin. </w:t>
      </w:r>
    </w:p>
    <w:p w14:paraId="029AD049" w14:textId="77777777" w:rsidR="00905892" w:rsidRDefault="00905892" w:rsidP="0026490E"/>
    <w:p w14:paraId="06FDFD88" w14:textId="4F0EF6CE" w:rsidR="00E07A7F" w:rsidRDefault="00EC78B1" w:rsidP="006C25B6">
      <w:r>
        <w:t xml:space="preserve">The median </w:t>
      </w:r>
      <w:r w:rsidRPr="00822065">
        <w:rPr>
          <w:i/>
        </w:rPr>
        <w:t>S.</w:t>
      </w:r>
      <w:r>
        <w:t xml:space="preserve"> Typhi fever clearance time and duration of bacteraemia reported in our study is comparable to that reported in field studies. Azithromycin has been associated with fever clearance times of </w:t>
      </w:r>
      <w:r>
        <w:sym w:font="Symbol" w:char="F0B3"/>
      </w:r>
      <w:r>
        <w:t>96</w:t>
      </w:r>
      <w:r w:rsidR="00CD0CF6">
        <w:t xml:space="preserve"> hours </w:t>
      </w:r>
      <w:r w:rsidR="002A5B09">
        <w:fldChar w:fldCharType="begin" w:fldLock="1"/>
      </w:r>
      <w:r w:rsidR="00CC6A0A">
        <w:instrText>ADDIN CSL_CITATION {"citationItems":[{"id":"ITEM-1","itemData":{"ISSN":"00664804","author":[{"dropping-particle":"","family":"Parry","given":"Christopher M.","non-dropping-particle":"","parse-names":false,"suffix":""},{"dropping-particle":"","family":"Ho","given":"Vo Anh","non-dropping-particle":"","parse-names":false,"suffix":""},{"dropping-particle":"","family":"Phuong","given":"Le Thi","non-dropping-particle":"","parse-names":false,"suffix":""},{"dropping-particle":"","family":"Be Bay","given":"Phan","non-dropping-particle":"Van","parse-names":false,"suffix":""},{"dropping-particle":"","family":"Lanh","given":"Mai Ngoc","non-dropping-particle":"","parse-names":false,"suffix":""},{"dropping-particle":"","family":"Tung","given":"Le Thanh","non-dropping-particle":"","parse-names":false,"suffix":""},{"dropping-particle":"","family":"Tham","given":"N.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J.","non-dropping-particle":"","parse-names":false,"suffix":""},{"dropping-particle":"","family":"Vo Anh","given":"Ho","non-dropping-particle":"","parse-names":false,"suffix":""},{"dropping-particle":"","family":"Thi","given":"Phuong","non-dropping-particle":"Le","parse-names":false,"suffix":""},{"dropping-particle":"","family":"Phan Van Be","given":"Bay","non-dropping-particle":"","parse-names":false,"suffix":""},{"dropping-particle":"","family":"Mai Ngoc","given":"Lanh","non-dropping-particle":"","parse-names":false,"suffix":""},{"dropping-particle":"","family":"Thanh","given":"Tung","non-dropping-particle":"Le","parse-names":false,"suffix":""},{"dropping-particle":"","family":"Nguyen Thi Hong","given":"Tham","non-dropping-particle":"","parse-names":false,"suffix":""},{"dropping-particle":"","family":"Wain","given":"John","non-dropping-particle":"","parse-names":false,"suffix":""},{"dropping-particle":"","family":"Tran Tinh","given":"Hien","non-dropping-particle":"","parse-names":false,"suffix":""},{"dropping-particle":"","family":"Farrar","given":"Jeremy J.","non-dropping-particle":"","parse-names":false,"suffix":""},{"dropping-particle":"","family":"Ho","given":"Vo Anh","non-dropping-particle":"","parse-names":false,"suffix":""},{"dropping-particle":"","family":"Phuong le","given":"T","non-dropping-particle":"","parse-names":false,"suffix":""},{"dropping-particle":"V","family":"Bay","given":"P","non-dropping-particle":"","parse-names":false,"suffix":""},{"dropping-particle":"","family":"Lanh","given":"Mai Ngoc","non-dropping-particle":"","parse-names":false,"suffix":""},{"dropping-particle":"","family":"Tung le","given":"T","non-dropping-particle":"","parse-names":false,"suffix":""},{"dropping-particle":"","family":"Tham","given":"N. T H","non-dropping-particle":"","parse-names":false,"suffix":""},{"dropping-particle":"","family":"Wain","given":"John","non-dropping-particle":"","parse-names":false,"suffix":""},{"dropping-particle":"","family":"Hien","given":"Tran Tinh","non-dropping-particle":"","parse-names":false,"suffix":""},{"dropping-particle":"","family":"Farrar","given":"Jeremy J.","non-dropping-particle":"","parse-names":false,"suffix":""}],"container-title":"Antimicrobial Agents and Chemotherapy","edition":"2006/12/06","id":"ITEM-1","issue":"3","issued":{"date-parts":[["2007"]]},"page":"819-825","title":"Randomized controlled comparison of ofloxacin, azithromycin, and an ofloxacin-azithromycin combination for treatment of multidrug-resistant and nalidixic acid-resistant typhoid fever","type":"article-journal","volume":"51"},"uris":["http://www.mendeley.com/documents/?uuid=7900ac60-566d-48ad-8f6b-bdeeadbf4274"]},{"id":"ITEM-2","itemData":{"DOI":"10.1097/00006454-200001000-00025","ISBN":"0066-4804","ISSN":"00664804","PMID":"10348767","abstract":"To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Chemotherapy","id":"ITEM-2","issue":"6","issued":{"date-parts":[["1999"]]},"page":"1441-1444","title":"Azithromycin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resistance","type":"article-journal","volume":"43"},"uris":["http://www.mendeley.com/documents/?uuid=d95770d4-6c12-455b-b4c6-c47a0f3d8794"]},{"id":"ITEM-3","itemData":{"DOI":"10.1371/journal.pone.0002188","abstract":"Background: Drug resistant typhoid fever is a major clinical problem globally. Many of the first line antibiotics, including the older generation fluoroquinolones, ciprofloxacin and ofloxacin, are failing. Objectives: We performed a randomised controlled trial to compare the efficacy and safety of gatifloxacin (10 mg/kg/day) versus azithromycin (20 mg/kg/day) as a once daily oral dose for 7 days for the treatment of uncomplicated typhoid fever in children and adults in Vietnam. Methods: An open-label multi-centre randomised trial with pre-specified per protocol analysis and intention to treat analysis was conducted. The primary outcome was fever clearance time, the secondary outcome was overall treatment failure (clinical or microbiological failure, development of typhoid fever-related complications, relapse or faecal carriage of S. typhi). Principal Findings: We enrolled 358 children and adults with suspected typhoid fever. There was no death in the study 287 patients had blood culture confirmed typhoid fever, 145 patients received gatifloxacin and 142 patients received azithromycin. The median FCT was 106 hours in both treatment arms (95% Confidence Interval [Cl]; 94-118 hours for gatifloxacin versus 88-112 hours for azithromycin), (logrank test p = 0.984, HR [95% Cl] = 1.0 [0.80-1.26]). Overall treatment failure occurred in 13/145 (9%) patients in the gatifloxacin group and 13/140 (9.3%) patients in the azithromycin group, (logrank test p = 0.854, HR [95% Cl] = 0.93 [0.43-2.0]). 96% (254/263) of the Salmonella enterica serovar Typhi isolates were resistant to nalidixic acid and 58% (153/ 263) were multidrug resistant. Conclusions: Both antibiotics showed an excellent efficacy and safety profile. Both gatifloxacin and azithromycin can be recommended for the treatment of typhoid fever particularly in regions with high rates of multidrug and nalidixic acid resistance. The cost of a 7-day treatment course of gatifloxacin is approximately one third of the cost of azithromycin in Vietnam. © 2008 Dolecek et al.","author":[{"dropping-particle":"","family":"Dolecek","given":"C","non-dropping-particle":"","parse-names":false,"suffix":""},{"dropping-particle":"","family":"La","given":"T T P","non-dropping-particle":"","parse-names":false,"suffix":""},{"dropping-particle":"","family":"Rang","given":"N N","non-dropping-particle":"","parse-names":false,"suffix":""},{"dropping-particle":"","family":"Phuong","given":"L T","non-dropping-particle":"","parse-names":false,"suffix":""},{"dropping-particle":"","family":"Vinh","given":"H","non-dropping-particle":"","parse-names":false,"suffix":""},{"dropping-particle":"","family":"Tuan","given":"P Q","non-dropping-particle":"","parse-names":false,"suffix":""},{"dropping-particle":"","family":"Du","given":"D C","non-dropping-particle":"","parse-names":false,"suffix":""},{"dropping-particle":"","family":"Bay","given":"N T B","non-dropping-particle":"","parse-names":false,"suffix":""},{"dropping-particle":"","family":"Long","given":"D T","non-dropping-particle":"","parse-names":false,"suffix":""},{"dropping-particle":"","family":"Ha","given":"L B","non-dropping-particle":"","parse-names":false,"suffix":""},{"dropping-particle":"","family":"Binh","given":"N T","non-dropping-particle":"","parse-names":false,"suffix":""},{"dropping-particle":"","family":"Hong","given":"N T A","non-dropping-particle":"","parse-names":false,"suffix":""},{"dropping-particle":"","family":"Dung","given":"P N","non-dropping-particle":"","parse-names":false,"suffix":""},{"dropping-particle":"","family":"Lanh","given":"M N","non-dropping-particle":"","parse-names":false,"suffix":""},{"dropping-particle":"","family":"Be Bay","given":"P","non-dropping-particle":"Van","parse-names":false,"suffix":""},{"dropping-particle":"","family":"Ho","given":"V A","non-dropping-particle":"","parse-names":false,"suffix":""},{"dropping-particle":"","family":"Minh Hoang","given":"N","non-dropping-particle":"Van","parse-names":false,"suffix":""},{"dropping-particle":"","family":"Nga","given":"T T T","non-dropping-particle":"","parse-names":false,"suffix":""},{"dropping-particle":"","family":"Chau","given":"T T","non-dropping-particle":"","parse-names":false,"suffix":""},{"dropping-particle":"","family":"Schultsz","given":"C","non-dropping-particle":"","parse-names":false,"suffix":""},{"dropping-particle":"","family":"Dunstan","given":"S J","non-dropping-particle":"","parse-names":false,"suffix":""},{"dropping-particle":"","family":"Stepniewska","given":"K","non-dropping-particle":"","parse-names":false,"suffix":""},{"dropping-particle":"","family":"Campbell","given":"J I","non-dropping-particle":"","parse-names":false,"suffix":""},{"dropping-particle":"","family":"Diep","given":"T S","non-dropping-particle":"","parse-names":false,"suffix":""},{"dropping-particle":"","family":"Basnyat","given":"B","non-dropping-particle":"","parse-names":false,"suffix":""},{"dropping-particle":"","family":"Vinh Chau","given":"N","non-dropping-particle":"Van","parse-names":false,"suffix":""},{"dropping-particle":"","family":"Sach","given":"N","non-dropping-particle":"Van","parse-names":false,"suffix":""},{"dropping-particle":"","family":"Chinh","given":"N T","non-dropping-particle":"","parse-names":false,"suffix":""},{"dropping-particle":"","family":"Hien","given":"T T","non-dropping-particle":"","parse-names":false,"suffix":""},{"dropping-particle":"","family":"Farrar","given":"J","non-dropping-particle":"","parse-names":false,"suffix":""}],"container-title":"PLoS One","id":"ITEM-3","issue":"5","issued":{"date-parts":[["2008"]]},"title":"A multi-center randomised controlled trial of gatifloxacin versus azithromycin for the treatment of uncomplicated typhoid fever in children and adults in Vietnam","type":"article-journal","volume":"3"},"uris":["http://www.mendeley.com/documents/?uuid=5a6b3091-0095-440d-bb76-3726786afafd"]},{"id":"ITEM-4","itemData":{"ISBN":"1058-4838","abstract":"We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Diseases","id":"ITEM-4","issue":"7","issued":{"date-parts":[["2004"]]},"page":"951-957","title":"Short-course azithromycin for the treatment of uncomplicated typhoid fever in children and adolescents","type":"article-journal","volume":"38"},"uris":["http://www.mendeley.com/documents/?uuid=dc6987d6-50e5-4b37-8f58-c0ddc5dd08f0"]},{"id":"ITEM-5","itemData":{"DOI":"10.1093/jac/44.2.243","ISBN":"0305-7453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Chemotherapy","id":"ITEM-5","issue":"2","issued":{"date-parts":[["1999"]]},"page":"243-250","title":"Treatment of typhoid fever with azithromycin versus chloramphenicol in a randomized multicentre trial in India","type":"article-journal","volume":"44"},"uris":["http://www.mendeley.com/documents/?uuid=06e3f9b4-cb77-45aa-b171-0898c5f44ed8"]}],"mendeley":{"formattedCitation":"[13,15,16,18,19]","plainTextFormattedCitation":"[13,15,16,18,19]","previouslyFormattedCitation":"[13,15,16,18,19]"},"properties":{"noteIndex":0},"schema":"https://github.com/citation-style-language/schema/raw/master/csl-citation.json"}</w:instrText>
      </w:r>
      <w:r w:rsidR="002A5B09">
        <w:fldChar w:fldCharType="separate"/>
      </w:r>
      <w:r w:rsidR="00E26C4A" w:rsidRPr="00E26C4A">
        <w:rPr>
          <w:noProof/>
        </w:rPr>
        <w:t>[13,15,16,18,19]</w:t>
      </w:r>
      <w:r w:rsidR="002A5B09">
        <w:fldChar w:fldCharType="end"/>
      </w:r>
      <w:r>
        <w:t xml:space="preserve"> and prolonged bacteraemia</w:t>
      </w:r>
      <w:r w:rsidR="00CD0CF6">
        <w:t xml:space="preserve"> </w:t>
      </w:r>
      <w:r w:rsidR="002A5B09">
        <w:fldChar w:fldCharType="begin" w:fldLock="1"/>
      </w:r>
      <w:r w:rsidR="00CC6A0A">
        <w:instrText>ADDIN CSL_CITATION {"citationItems":[{"id":"ITEM-1","itemData":{"DOI":"10.1093/jac/44.2.243","ISBN":"0305-7453 (Print)","ISSN":"03057453","PMID":"10473232","abstract":"To compare the clinical and bacteriological efficacies of azithromycin and chloramphenicol for treatment of typhoid fever, 77 bacteriologically evaluable adults, with blood cultures positive for Salmonella typhi or Salmonella paratyphi A susceptible to their assigned drugs, were entered into a randomized open trial at four hospitals in India. Forty-two patients were randomized to receive azithromycin 500 mg p.o. od for 7 days and 35 to receive chloramphenicol 2-3 g p.o. od in four divided doses for 14 days. Thirty-seven patients (88%) in the azithromycin group responded with clinical cure or improvement within 8 days and 30 patients (86%) in the chloramphenicol group responded with cure or improvement. By day 14 after the start of treatment, all patients treated with azithromycin and all except two of the patients treated with chloramphenicol (94%) were cured or improved. Blood cultures repeated on day 8 after start of therapy showed eradication of organisms in 100% of patients in the azithromycin group and 94% of patients in the chloramphenicol group. By day 14 the eradication rate in the chloramphenicol group had increased to 97%. Stool cultures on days 21 and 35 after start of treatment showed no prolonged faecal carriage of Salmonella spp. in either group. These results indicate that azithromycin given once daily for 7 days was effective therapy for typhoid fever in a region endemic with chloramphenicol-resistant S. typhi infection and was equivalent in effectiveness to chloramphenicol given to patients with chloramphenicol-susceptible infections.","author":[{"dropping-particle":"","family":"Butler","given":"Thomas","non-dropping-particle":"","parse-names":false,"suffix":""},{"dropping-particle":"","family":"Sridhar","given":"C. B.","non-dropping-particle":"","parse-names":false,"suffix":""},{"dropping-particle":"","family":"Daga","given":"M. K.","non-dropping-particle":"","parse-names":false,"suffix":""},{"dropping-particle":"","family":"Pathak","given":"Kamal","non-dropping-particle":"","parse-names":false,"suffix":""},{"dropping-particle":"","family":"Pandit","given":"R. B.","non-dropping-particle":"","parse-names":false,"suffix":""},{"dropping-particle":"","family":"Khakhria","given":"Rasik","non-dropping-particle":"","parse-names":false,"suffix":""},{"dropping-particle":"","family":"Potkar","given":"Chandrashekhar N.","non-dropping-particle":"","parse-names":false,"suffix":""},{"dropping-particle":"","family":"Zelasky","given":"Michael T.","non-dropping-particle":"","parse-names":false,"suffix":""},{"dropping-particle":"","family":"Johnson","given":"Raymond B.","non-dropping-particle":"","parse-names":false,"suffix":""}],"container-title":"Journal of Antimicrobial Chemotherapy","id":"ITEM-1","issue":"2","issued":{"date-parts":[["1999"]]},"page":"243-250","title":"Treatment of typhoid fever with azithromycin versus chloramphenicol in a randomized multicentre trial in India","type":"article-journal","volume":"44"},"uris":["http://www.mendeley.com/documents/?uuid=06e3f9b4-cb77-45aa-b171-0898c5f44ed8"]},{"id":"ITEM-2","itemData":{"ISBN":"1058-4838","abstract":"We studied 149 children and adolescents 3-17 years of age with clinical typhoid fever who were treated with either oral azithromycin (20 mg/kg per day; maximum dose, 1000 mg/day) or intravenous ceftriaxone (75 mg/day; maximum dose, 2.5 g/day) daily for 5 days. Blood and stool specimens were obtained for culture before the initiation of therapy and were repeated on days 4 and 8 of treatment. Isolation of Salmonella enterica serovar Typhi or S. enterica serovar Paratyphi from the initial culture was required for inclusion in the final analysis. S. Typhi was isolated from 68 patients, 32 of whom were receiving azithromycin. Cure was achieved in 30 (94%) of 32 patients in the azithromycin group and in 35 (97%) of 36 patients in the ceftriaxone group (P=NS). Mean time to clearance of bacteremia was longer in the azithromycin group than in the ceftriaxone group. No patient who received azithromycin had a relapse, compared with 6 patients who received ceftriaxone. A 5-day course of azithromycin was found to be an effective treatment for uncomplicated typhoid fever in children and adolescents.","author":[{"dropping-particle":"","family":"Frenck","given":"R W","non-dropping-particle":"","parse-names":false,"suffix":""},{"dropping-particle":"","family":"Mansour","given":"A","non-dropping-particle":"","parse-names":false,"suffix":""},{"dropping-particle":"","family":"Nakhla","given":"I","non-dropping-particle":"","parse-names":false,"suffix":""},{"dropping-particle":"","family":"Sultan","given":"Y","non-dropping-particle":"","parse-names":false,"suffix":""},{"dropping-particle":"","family":"Putnam","given":"S","non-dropping-particle":"","parse-names":false,"suffix":""},{"dropping-particle":"","family":"Wierzba","given":"T","non-dropping-particle":"","parse-names":false,"suffix":""},{"dropping-particle":"","family":"Morsy","given":"M","non-dropping-particle":"","parse-names":false,"suffix":""},{"dropping-particle":"","family":"Knirsch","given":"C","non-dropping-particle":"","parse-names":false,"suffix":""}],"container-title":"Clinical Infectious Diseases","id":"ITEM-2","issue":"7","issued":{"date-parts":[["2004"]]},"page":"951-957","title":"Short-course azithromycin for the treatment of uncomplicated typhoid fever in children and adolescents","type":"article-journal","volume":"38"},"uris":["http://www.mendeley.com/documents/?uuid=dc6987d6-50e5-4b37-8f58-c0ddc5dd08f0"]}],"mendeley":{"formattedCitation":"[18,19]","plainTextFormattedCitation":"[18,19]","previouslyFormattedCitation":"[18,19]"},"properties":{"noteIndex":0},"schema":"https://github.com/citation-style-language/schema/raw/master/csl-citation.json"}</w:instrText>
      </w:r>
      <w:r w:rsidR="002A5B09">
        <w:fldChar w:fldCharType="separate"/>
      </w:r>
      <w:r w:rsidR="00E26C4A" w:rsidRPr="00E26C4A">
        <w:rPr>
          <w:noProof/>
        </w:rPr>
        <w:t>[18,19]</w:t>
      </w:r>
      <w:r w:rsidR="002A5B09">
        <w:fldChar w:fldCharType="end"/>
      </w:r>
      <w:r>
        <w:t xml:space="preserve"> in several field trials</w:t>
      </w:r>
      <w:r w:rsidR="00902C77">
        <w:t xml:space="preserve"> – </w:t>
      </w:r>
      <w:r w:rsidR="00902C77" w:rsidRPr="0026490E">
        <w:t xml:space="preserve">however not to the extent to which </w:t>
      </w:r>
      <w:r w:rsidR="00CD0CF6">
        <w:t>was</w:t>
      </w:r>
      <w:r w:rsidR="00CD0CF6" w:rsidRPr="0026490E">
        <w:t xml:space="preserve"> </w:t>
      </w:r>
      <w:r w:rsidR="00902C77" w:rsidRPr="0026490E">
        <w:t xml:space="preserve">observed </w:t>
      </w:r>
      <w:r w:rsidR="00CD0CF6">
        <w:t>in this study</w:t>
      </w:r>
      <w:r w:rsidR="00902C77" w:rsidRPr="0026490E">
        <w:t xml:space="preserve">. It is possible that this discrepancy </w:t>
      </w:r>
      <w:r w:rsidR="00CD0CF6">
        <w:t>is</w:t>
      </w:r>
      <w:r w:rsidR="00902C77" w:rsidRPr="0026490E">
        <w:t xml:space="preserve"> a result of </w:t>
      </w:r>
      <w:r w:rsidR="00C32338">
        <w:t>the</w:t>
      </w:r>
      <w:r w:rsidR="00902C77" w:rsidRPr="0026490E">
        <w:t xml:space="preserve"> high inoculum</w:t>
      </w:r>
      <w:r w:rsidR="00C32338">
        <w:t xml:space="preserve"> dose</w:t>
      </w:r>
      <w:r w:rsidR="00902C77" w:rsidRPr="0026490E">
        <w:t xml:space="preserve"> </w:t>
      </w:r>
      <w:r w:rsidR="00C32338">
        <w:t xml:space="preserve">used in our CHI model </w:t>
      </w:r>
      <w:r w:rsidR="00902C77" w:rsidRPr="0026490E">
        <w:t>in a</w:t>
      </w:r>
      <w:r w:rsidR="00E07A7F">
        <w:t xml:space="preserve"> relatively-</w:t>
      </w:r>
      <w:r w:rsidR="00902C77" w:rsidRPr="0026490E">
        <w:t>immunologically naïve cohort</w:t>
      </w:r>
      <w:r w:rsidR="00E07A7F">
        <w:t xml:space="preserve"> compared with endemic settings</w:t>
      </w:r>
      <w:r w:rsidR="00902C77" w:rsidRPr="0026490E">
        <w:t xml:space="preserve">. Therefore, while comparisons made directly to ciprofloxacin are valid, data concerning the limited efficacy of azithromycin </w:t>
      </w:r>
      <w:r w:rsidR="00C32338">
        <w:t>are not entirely</w:t>
      </w:r>
      <w:r w:rsidR="00902C77" w:rsidRPr="0026490E">
        <w:t xml:space="preserve"> reflective of clinical observations in the field</w:t>
      </w:r>
      <w:r w:rsidR="007644FE">
        <w:t>.</w:t>
      </w:r>
      <w:r w:rsidR="00902C77" w:rsidRPr="0026490E">
        <w:t xml:space="preserve"> </w:t>
      </w:r>
    </w:p>
    <w:p w14:paraId="545D4315" w14:textId="072F467A" w:rsidR="002A5B09" w:rsidRDefault="002A5B09" w:rsidP="00E07A7F"/>
    <w:p w14:paraId="3BAF6B38" w14:textId="564C3140" w:rsidR="002E093C" w:rsidRDefault="002E093C" w:rsidP="00E07A7F">
      <w:r w:rsidRPr="00E60ADD">
        <w:lastRenderedPageBreak/>
        <w:t>In some studies, prolonged bacteraemia has been associated with clinical deterioration and treatment failure</w:t>
      </w:r>
      <w:r w:rsidR="00C32338">
        <w:t xml:space="preserve"> </w:t>
      </w:r>
      <w:r w:rsidRPr="00E60ADD">
        <w:fldChar w:fldCharType="begin" w:fldLock="1"/>
      </w:r>
      <w:r w:rsidR="00DD5FD0">
        <w:instrText>ADDIN CSL_CITATION {"citationItems":[{"id":"ITEM-1","itemData":{"author":[{"dropping-particle":"","family":"Wallace","given":"M","non-dropping-particle":"","parse-names":false,"suffix":""},{"dropping-particle":"","family":"Yousif","given":"A","non-dropping-particle":"","parse-names":false,"suffix":""},{"dropping-particle":"","family":"Habib","given":"N","non-dropping-particle":"","parse-names":false,"suffix":""},{"dropping-particle":"","family":"Tribble","given":"D","non-dropping-particle":"","parse-names":false,"suffix":""}],"container-title":"The Lancet","id":"ITEM-1","issued":{"date-parts":[["1994"]]},"page":"1497-1498","title":"Azithromycin and typhoid","type":"article-journal","volume":"343"},"uris":["http://www.mendeley.com/documents/?uuid=1a4d4854-361d-445d-8df7-69f9cd444cec"]}],"mendeley":{"formattedCitation":"[22]","plainTextFormattedCitation":"[22]","previouslyFormattedCitation":"[22]"},"properties":{"noteIndex":0},"schema":"https://github.com/citation-style-language/schema/raw/master/csl-citation.json"}</w:instrText>
      </w:r>
      <w:r w:rsidRPr="00E60ADD">
        <w:fldChar w:fldCharType="separate"/>
      </w:r>
      <w:r w:rsidR="00676A8F" w:rsidRPr="00676A8F">
        <w:rPr>
          <w:noProof/>
        </w:rPr>
        <w:t>[22]</w:t>
      </w:r>
      <w:r w:rsidRPr="00E60ADD">
        <w:fldChar w:fldCharType="end"/>
      </w:r>
      <w:r w:rsidRPr="00E60ADD">
        <w:t xml:space="preserve"> supporting the argument for rapid bacterial clearance to reduce fever clearance time and </w:t>
      </w:r>
      <w:r w:rsidR="00C32338">
        <w:t xml:space="preserve">improve </w:t>
      </w:r>
      <w:r w:rsidRPr="00E60ADD">
        <w:t xml:space="preserve">clinical recovery. </w:t>
      </w:r>
      <w:r>
        <w:t>Conversely, prolonged fever clearance and bacteraemia may sit on the spectrum of normal responses to azithromycin treatment. An apparent failure to improve may prompt clinicians to escalate or switch</w:t>
      </w:r>
      <w:r w:rsidRPr="00157141">
        <w:t xml:space="preserve"> </w:t>
      </w:r>
      <w:r>
        <w:t>therapy, interrupting and ultimately prolonging treatment courses. P</w:t>
      </w:r>
      <w:r w:rsidRPr="00157141">
        <w:t>atients should be adequately counselled regarding likely recovery time to prevent potential non-compliance with treatment.</w:t>
      </w:r>
    </w:p>
    <w:p w14:paraId="73D1FE03" w14:textId="77777777" w:rsidR="00197797" w:rsidRDefault="00197797" w:rsidP="00E07A7F"/>
    <w:p w14:paraId="35B59036" w14:textId="02969C7A" w:rsidR="00ED4B8E" w:rsidRDefault="00EC78B1" w:rsidP="0026490E">
      <w:r w:rsidRPr="00157141">
        <w:t xml:space="preserve">The optimal </w:t>
      </w:r>
      <w:r w:rsidR="00C32338">
        <w:t>dosing</w:t>
      </w:r>
      <w:r w:rsidRPr="00157141">
        <w:t xml:space="preserve"> regimen of azithromycin for the treatment of </w:t>
      </w:r>
      <w:r>
        <w:t>enteric</w:t>
      </w:r>
      <w:r w:rsidRPr="00157141">
        <w:t xml:space="preserve"> fever</w:t>
      </w:r>
      <w:r>
        <w:t xml:space="preserve"> </w:t>
      </w:r>
      <w:r w:rsidR="00C32338">
        <w:t xml:space="preserve">is </w:t>
      </w:r>
      <w:r>
        <w:t>yet to be determined</w:t>
      </w:r>
      <w:r w:rsidR="00C32338">
        <w:t>.</w:t>
      </w:r>
      <w:r>
        <w:t xml:space="preserve"> </w:t>
      </w:r>
      <w:r w:rsidR="00C32338">
        <w:t>M</w:t>
      </w:r>
      <w:r>
        <w:t>ost studies</w:t>
      </w:r>
      <w:r w:rsidRPr="00157141">
        <w:t xml:space="preserve"> </w:t>
      </w:r>
      <w:r>
        <w:t>use a regimen of</w:t>
      </w:r>
      <w:r w:rsidRPr="00157141">
        <w:t xml:space="preserve"> 10-20mg/kg/day for 5 to 7 days</w:t>
      </w:r>
      <w:r w:rsidR="004A35C5">
        <w:t xml:space="preserve"> </w:t>
      </w:r>
      <w:r>
        <w:fldChar w:fldCharType="begin" w:fldLock="1"/>
      </w:r>
      <w:r w:rsidR="009A77A0">
        <w:instrText>ADDIN CSL_CITATION {"citationItems":[{"id":"ITEM-1","itemData":{"DOI":"10.1128/CMR.00002-15","ISBN":"0893-8512","ISSN":"10986618","PMID":"26180063","abstract":"Salmonella enterica infections are common causes of bloodstream infection in low-resource areas, where they may be difficult to distinguish from other febrile illnesses and may be associated with a high case fatality ratio. Microbiologic culture of blood or bone marrow remains the mainstay of laboratory diagnosis. Antimicrobial resistance has emerged in Salmonella enterica, initially to the traditional first-line drugs chloramphenicol, ampicillin, and trimethoprim-sulfamethoxazole. Decreased fluoroquinolone susceptibility and then fluoroquinolone resistance have developed in association with chromosomal mutations in the quinolone resistance-determining region of genes encoding DNA gyrase and topoisomerase IV and also by plasmid-mediated resistance mechanisms. Resistance to extended-spectrum cephalosporins has occurred more often in nontyphoidal than in typhoidal Salmonella strains. Azithromycin is effective for the management of uncomplicated typhoid fever and may serve as an alternative oral drug in areas where fluoroquinolone resistance is common. In 2013, CLSI lowered the ciprofloxacin susceptibility breakpoints to account for accumulating clinical, microbiologic, and pharmacokinetic-pharmacodynamic data suggesting that revision was needed for contemporary invasive Salmonella infections. Newly established CLSI guidelines for azithromycin and Salmonella enterica serovar Typhi were published in CLSI document M100 in 2015.","author":[{"dropping-particle":"","family":"Crump","given":"John A.","non-dropping-particle":"","parse-names":false,"suffix":""},{"dropping-particle":"","family":"Sjölund-Karlsson","given":"Maria","non-dropping-particle":"","parse-names":false,"suffix":""},{"dropping-particle":"","family":"Gordon","given":"Melita A.","non-dropping-particle":"","parse-names":false,"suffix":""},{"dropping-particle":"","family":"Parry","given":"Christopher M.","non-dropping-particle":"","parse-names":false,"suffix":""}],"container-title":"Clinical Microbiology Reviews","id":"ITEM-1","issue":"4","issued":{"date-parts":[["2015"]]},"page":"901-937","title":"Epidemiology, clinical presentation, laboratory diagnosis, antimicrobial resistance, and antimicrobial management of invasive Salmonella infections","type":"article-journal","volume":"28"},"uris":["http://www.mendeley.com/documents/?uuid=335c5112-c2cf-410f-87fd-6d3827def87a"]}],"mendeley":{"formattedCitation":"[35]","plainTextFormattedCitation":"[35]","previouslyFormattedCitation":"[34]"},"properties":{"noteIndex":0},"schema":"https://github.com/citation-style-language/schema/raw/master/csl-citation.json"}</w:instrText>
      </w:r>
      <w:r>
        <w:fldChar w:fldCharType="separate"/>
      </w:r>
      <w:r w:rsidR="009A77A0" w:rsidRPr="009A77A0">
        <w:rPr>
          <w:noProof/>
        </w:rPr>
        <w:t>[35]</w:t>
      </w:r>
      <w:r>
        <w:fldChar w:fldCharType="end"/>
      </w:r>
      <w:r w:rsidR="004A35C5">
        <w:t>.</w:t>
      </w:r>
      <w:r w:rsidRPr="00157141">
        <w:t xml:space="preserve"> </w:t>
      </w:r>
      <w:r>
        <w:t xml:space="preserve">Some trials </w:t>
      </w:r>
      <w:r w:rsidR="00C32338">
        <w:t xml:space="preserve">have </w:t>
      </w:r>
      <w:r>
        <w:t>use</w:t>
      </w:r>
      <w:r w:rsidR="00C32338">
        <w:t>d</w:t>
      </w:r>
      <w:r>
        <w:t xml:space="preserve"> a loading dose of 1</w:t>
      </w:r>
      <w:r w:rsidR="00C32338">
        <w:t>,000m</w:t>
      </w:r>
      <w:r>
        <w:t>g azithromycin at day 1 followed by 6 days</w:t>
      </w:r>
      <w:r w:rsidR="00C32338">
        <w:t xml:space="preserve"> of</w:t>
      </w:r>
      <w:r>
        <w:t xml:space="preserve"> treatment </w:t>
      </w:r>
      <w:r w:rsidR="00C32338">
        <w:t xml:space="preserve">with </w:t>
      </w:r>
      <w:r>
        <w:t>500mg/day</w:t>
      </w:r>
      <w:r w:rsidR="00C32338">
        <w:t>. T</w:t>
      </w:r>
      <w:r>
        <w:t xml:space="preserve">his regimen </w:t>
      </w:r>
      <w:r w:rsidR="00DD6C72">
        <w:t xml:space="preserve">has </w:t>
      </w:r>
      <w:r>
        <w:t>not</w:t>
      </w:r>
      <w:r w:rsidR="00DD6C72">
        <w:t xml:space="preserve"> been</w:t>
      </w:r>
      <w:r>
        <w:t xml:space="preserve"> associated with </w:t>
      </w:r>
      <w:r w:rsidRPr="00157141">
        <w:t>significant differences in fever clearance time</w:t>
      </w:r>
      <w:r>
        <w:t xml:space="preserve"> </w:t>
      </w:r>
      <w:r w:rsidR="00C32338">
        <w:t xml:space="preserve">when </w:t>
      </w:r>
      <w:r>
        <w:t>compared with fluoroquinolone treatment</w:t>
      </w:r>
      <w:r w:rsidR="00C32338">
        <w:t xml:space="preserve"> </w:t>
      </w:r>
      <w:r w:rsidR="002A5B09">
        <w:rPr>
          <w:vertAlign w:val="superscript"/>
        </w:rPr>
        <w:fldChar w:fldCharType="begin" w:fldLock="1"/>
      </w:r>
      <w:r w:rsidR="00CC6A0A">
        <w:rPr>
          <w:vertAlign w:val="superscript"/>
        </w:rPr>
        <w:instrText>ADDIN CSL_CITATION {"citationItems":[{"id":"ITEM-1","itemData":{"DOI":"http://dx.doi.org/10.7860/JCDR/2012/4702.2631","ISBN":"2249-782X 0973-709X","PMID":"2013013947","abstract":"Objective: To compare the efficacy and safety of azithromycin with ofloxacin in patients with uncomplicated typhoid fever. Material and Methods: Forty adult patients with bacteriologically or serologically diagnosed, uncomplicated typhoid fever were included from Medicine out-patient department at Government medical college, Amritsar, India. They were randomized into 2 groups of 20 patients each. Group I: patients received ofloxacin 200mg orally twice daily for 7 days. Group II: Patients received Azithromycin orally 1 gm on day 1 and then 500 mg daily from day 2 to day 6. The following parameters were noted a) fever clearance time b) cure rate c) adverse drug reaction d) recurrence of symptoms, if any, during 4 weeks follow up. Results: Nineteen out of 20 patients from group I were cured with mean fever clearance time of 3.68 days while all 20 patients from group II were cured with mean fever clearance time of 3.65 days. No significant side effects were noted in any of the patients. No relapse was recorded in the present study in a follow up period of 4 weeks in both study groups. Conclusion: Both ofloxacin and Azithromycin are almost equally efficacious and safe in treatment of typhoid fever with no major adverse effect. Azithromycin is an effective alternative in conditions where ofloxacin is contraindicated i.e., children, pregnant women and quinolone resistant cases of typhoid fever.","author":[{"dropping-particle":"","family":"Chandey","given":"M","non-dropping-particle":"","parse-names":false,"suffix":""},{"dropping-particle":"","family":"Multani","given":"A S","non-dropping-particle":"","parse-names":false,"suffix":""}],"container-title":"Journal of Clinical and Diagnostic Research","id":"ITEM-1","issue":"10","issued":{"date-parts":[["2012"]]},"language":"English","page":"1736-1739","title":"A comparative study of efficacy and safety of azithromycin and ofloxacin in uncomplicated typhoid fever: A randomised, open labelled study","type":"article-journal","volume":"6"},"uris":["http://www.mendeley.com/documents/?uuid=bc35c050-8204-43eb-b09a-073946705a63"]},{"id":"ITEM-2","itemData":{"DOI":"10.1097/00006454-200001000-00025","ISBN":"0066-4804","ISSN":"00664804","PMID":"10348767","abstract":"To compare clinical and bacteriological efficacies of azithromycin and ciprofloxacin for typhoid fever, 123 adults with fever and signs of uncomplicated typhoid fever were entered into a randomized trial. Cultures of blood were positive for Salmonella typhi in 59 patients and for S. paratyphi A in 3 cases; stool cultures were positive for S. typhi in 11 cases and for S. paratyphi A in 1 case. Multiple-drug resistance (MDR; resistance to ampicillin, chloramphenicol, and trimethoprim-sulfamethoxazole) was present in isolates of 21 of 64 patients with positive cultures. Of these 64 patients, 36 received 1 g of azithromycin orally once on the first day, followed by 500 mg given orally once daily on the next 6 days; 28 patients received 500 mg of ciprofloxacin orally twice daily for 7 days. Blood cultures were repeated on days 4 and 10 after the start of therapy, and stool cultures were done on days 4, 10, and 28 after the start of therapy. All patients in both groups improved during therapy and were cured. Defervescence (maximum daily temperatures of &lt;/=38 degrees C) occurred at the following times [mean +/- standard deviation (range)] after the start of therapy: 3.8 +/- 1.1 (2 to 7) days with azithromycin and 3.3 +/- 1.0 (1 to 5) days with ciprofloxacin. No relapses were detected. Cultures of blood and stool during and after therapy were negative in all cases, except for one patient treated with azithromycin who had a positive blood culture on day 4. These results indicated that azithromycin and ciprofloxacin were similarly effective, both clinically and bacteriologically, against typhoid fever caused by both sensitive organisms and MDR S. typhi.","author":[{"dropping-particle":"","family":"Girgis","given":"Nabil I.","non-dropping-particle":"","parse-names":false,"suffix":""},{"dropping-particle":"","family":"Butler","given":"Thomas","non-dropping-particle":"","parse-names":false,"suffix":""},{"dropping-particle":"","family":"Frenck","given":"Robert W.","non-dropping-particle":"","parse-names":false,"suffix":""},{"dropping-particle":"","family":"Sultan","given":"Yehia","non-dropping-particle":"","parse-names":false,"suffix":""},{"dropping-particle":"","family":"Brown","given":"Forrest M.","non-dropping-particle":"","parse-names":false,"suffix":""},{"dropping-particle":"","family":"Tribble","given":"David","non-dropping-particle":"","parse-names":false,"suffix":""},{"dropping-particle":"","family":"Khakhria","given":"Rasik","non-dropping-particle":"","parse-names":false,"suffix":""}],"container-title":"Antimicrobial Agents and Chemotherapy","id":"ITEM-2","issue":"6","issued":{"date-parts":[["1999"]]},"page":"1441-1444","title":"Azithromycin versus ciprofloxacin for treatment of uncomplicated typhoid fever in a randomized trial in Egypt that included patients with multidrug resistance","type":"article-journal","volume":"43"},"uris":["http://www.mendeley.com/documents/?uuid=d95770d4-6c12-455b-b4c6-c47a0f3d8794"]}],"mendeley":{"formattedCitation":"[14,15]","plainTextFormattedCitation":"[14,15]","previouslyFormattedCitation":"[14,15]"},"properties":{"noteIndex":0},"schema":"https://github.com/citation-style-language/schema/raw/master/csl-citation.json"}</w:instrText>
      </w:r>
      <w:r w:rsidR="002A5B09">
        <w:rPr>
          <w:vertAlign w:val="superscript"/>
        </w:rPr>
        <w:fldChar w:fldCharType="separate"/>
      </w:r>
      <w:r w:rsidR="00E26C4A" w:rsidRPr="00E26C4A">
        <w:rPr>
          <w:noProof/>
        </w:rPr>
        <w:t>[14,15]</w:t>
      </w:r>
      <w:r w:rsidR="002A5B09">
        <w:rPr>
          <w:vertAlign w:val="superscript"/>
        </w:rPr>
        <w:fldChar w:fldCharType="end"/>
      </w:r>
      <w:r w:rsidR="00E07A7F">
        <w:t>.</w:t>
      </w:r>
      <w:r w:rsidRPr="00DC5C3B">
        <w:t xml:space="preserve"> </w:t>
      </w:r>
      <w:r w:rsidRPr="00157141">
        <w:t xml:space="preserve">Azithromycin has excellent tissue penetration, particularly of white blood cells, which often harbour intracellular </w:t>
      </w:r>
      <w:r w:rsidRPr="0026490E">
        <w:rPr>
          <w:i/>
        </w:rPr>
        <w:t>S</w:t>
      </w:r>
      <w:r w:rsidRPr="00157141">
        <w:t>. Typhi bacteria</w:t>
      </w:r>
      <w:r w:rsidR="00C32338">
        <w:t xml:space="preserve"> </w:t>
      </w:r>
      <w:r w:rsidR="00676A8F">
        <w:fldChar w:fldCharType="begin" w:fldLock="1"/>
      </w:r>
      <w:r w:rsidR="009A77A0">
        <w:instrText>ADDIN CSL_CITATION {"citationItems":[{"id":"ITEM-1","itemData":{"ISBN":"0095-1137 (Print)\\n0095-1137 (Linking)","ISSN":"00951137","PMID":"9620400","abstract":"Salmonella typhi was isolated from 369 and Salmonella paratyphi A was isolated from 6 of 515 Vietnamese patients with suspected enteric fever. Compared with conventional broth culture of blood, direct plating of the buffy coat had a diagnostic sensitivity of 99.5% (95% confidence interval [CI], 97.1 to 100%). Blood bacterial counts were estimated by the pour plate method. The median S. typhi count in blood was 1 CFU/ml (range, &lt;0.3 to 387 CFU/ml), of which a mean of 63% (95% CI, 58 to 67%) were intracellular. The mean number of bacteria per infected leukocyte was 1.3 (interquartile range [IQR], 0.7 to 2.4) CFU/cell (n = 81). Children (&lt; 15 years old; n = 115) had higher median blood bacterial counts than adults (n = 262): 1.5 (range, &lt;0.3 to 387) versus 0.6 (range, &lt;0.3 to 17.7) CFU/ml (P = 0.008), and patients who excreted S. typhi in feces had higher bacteremias than those who did not: a median of 3 (range, &lt;0.3 to 32) versus 1 (range, &lt;0.3 to 68) CFU/ml (P = 0.02). Blood bacterial counts declined with increasing duration of illness (P = 0.002) and were higher in infections caused by multidrug-resistant S. typhi (1.3 [range, &lt;0.3 to 387] CFU/ml; n = 313) than in infections caused by antibiotic-sensitive S. typhi (0.5 [range, &lt;0.3 to 32] CFU/ml; n = 62) (P = 0.006). In a multivariate analysis this proved to be an independent association, suggesting a relationship between antibiotic resistance and virulence in S. typhi.","author":[{"dropping-particle":"","family":"Wain","given":"John","non-dropping-particle":"","parse-names":false,"suffix":""},{"dropping-particle":"","family":"Diep","given":"To Song","non-dropping-particle":"","parse-names":false,"suffix":""},{"dropping-particle":"","family":"Ho","given":"Vo Anh","non-dropping-particle":"","parse-names":false,"suffix":""},{"dropping-particle":"","family":"Walsh","given":"Amanda M.","non-dropping-particle":"","parse-names":false,"suffix":""},{"dropping-particle":"","family":"Hoa","given":"Nguyen Thi Tuyet","non-dropping-particle":"","parse-names":false,"suffix":""},{"dropping-particle":"","family":"Parry","given":"Christopher M.","non-dropping-particle":"","parse-names":false,"suffix":""},{"dropping-particle":"","family":"White","given":"Nicholas J.","non-dropping-particle":"","parse-names":false,"suffix":""}],"container-title":"Journal of Clinical Microbiology","id":"ITEM-1","issue":"6","issued":{"date-parts":[["1998"]]},"page":"1683-1687","title":"Quantitation of bacteria in blood of typhoid fever patients and relationship between counts and clinical features, transmissibility, and antibiotic resistance","type":"article-journal","volume":"36"},"uris":["http://www.mendeley.com/documents/?uuid=71cbeede-14e8-4452-90b2-aa80258467fd"]}],"mendeley":{"formattedCitation":"[36]","plainTextFormattedCitation":"[36]","previouslyFormattedCitation":"[35]"},"properties":{"noteIndex":0},"schema":"https://github.com/citation-style-language/schema/raw/master/csl-citation.json"}</w:instrText>
      </w:r>
      <w:r w:rsidR="00676A8F">
        <w:fldChar w:fldCharType="separate"/>
      </w:r>
      <w:r w:rsidR="009A77A0" w:rsidRPr="009A77A0">
        <w:rPr>
          <w:noProof/>
        </w:rPr>
        <w:t>[36]</w:t>
      </w:r>
      <w:r w:rsidR="00676A8F">
        <w:fldChar w:fldCharType="end"/>
      </w:r>
      <w:r w:rsidRPr="00157141">
        <w:t>. However, it is possible that extracellular bacteria are not adequately controlled due to the low peak serum concentration achieved relative to the MICs of susceptible strains (0.4mg/L after a single 500mg dose)</w:t>
      </w:r>
      <w:r w:rsidR="00C32338">
        <w:t xml:space="preserve"> </w:t>
      </w:r>
      <w:r w:rsidR="00D660C8">
        <w:fldChar w:fldCharType="begin" w:fldLock="1"/>
      </w:r>
      <w:r w:rsidR="009A77A0">
        <w:instrText>ADDIN CSL_CITATION {"citationItems":[{"id":"ITEM-1","itemData":{"author":[{"dropping-particle":"","family":"Foulds","given":"G","non-dropping-particle":"","parse-names":false,"suffix":""},{"dropping-particle":"","family":"Shepard","given":"RM","non-dropping-particle":"","parse-names":false,"suffix":""},{"dropping-particle":"","family":"Johnson","given":"RB","non-dropping-particle":"","parse-names":false,"suffix":""}],"container-title":"Journal of Antimicrobial Chemotherapy","id":"ITEM-1","issue":"Suppl A","issued":{"date-parts":[["1990"]]},"page":"73-82","title":"The pharmacokinetics of azithromycin in human serum and tissues","type":"article-journal","volume":"25"},"uris":["http://www.mendeley.com/documents/?uuid=2f82032f-f9ac-430c-af51-c3cfb5c32a86"]},{"id":"ITEM-2","itemData":{"author":[{"dropping-particle":"","family":"Lode","given":"H","non-dropping-particle":"","parse-names":false,"suffix":""}],"container-title":"European Journal of Clinical Microbiology &amp; Infectious Diseases","id":"ITEM-2","issue":"10","issued":{"date-parts":[["1991"]]},"page":"807-812","title":"The Pharmacokinetics of Azithromycin and Their Clinical Significance","type":"article-journal","volume":"10"},"uris":["http://www.mendeley.com/documents/?uuid=ce551758-4c8e-4997-b862-4cad89defd72"]},{"id":"ITEM-3","itemData":{"author":[{"dropping-particle":"","family":"Amsden","given":"G U Y W","non-dropping-particle":"","parse-names":false,"suffix":""},{"dropping-particle":"","family":"Nafziger","given":"Anne N","non-dropping-particle":"","parse-names":false,"suffix":""},{"dropping-particle":"","family":"Foulds","given":"George","non-dropping-particle":"","parse-names":false,"suffix":""}],"container-title":"Antimicrobial Agents and Chemotherapy","id":"ITEM-3","issue":"1","issued":{"date-parts":[["1999"]]},"page":"163-165","title":"Pharmacokinetics in Serum and Leukocyte Exposures of Oral Azithromycin , 1500 Milligrams , Given over a 3- or 5-Day Period in Healthy Subjects","type":"article-journal","volume":"43"},"uris":["http://www.mendeley.com/documents/?uuid=147a1e87-1fd5-43b5-9018-b4e2eca56758"]}],"mendeley":{"formattedCitation":"[37–39]","plainTextFormattedCitation":"[37–39]","previouslyFormattedCitation":"[36–38]"},"properties":{"noteIndex":0},"schema":"https://github.com/citation-style-language/schema/raw/master/csl-citation.json"}</w:instrText>
      </w:r>
      <w:r w:rsidR="00D660C8">
        <w:fldChar w:fldCharType="separate"/>
      </w:r>
      <w:r w:rsidR="009A77A0" w:rsidRPr="009A77A0">
        <w:rPr>
          <w:noProof/>
        </w:rPr>
        <w:t>[37–39]</w:t>
      </w:r>
      <w:r w:rsidR="00D660C8">
        <w:fldChar w:fldCharType="end"/>
      </w:r>
      <w:r w:rsidR="00E07A7F">
        <w:t>.</w:t>
      </w:r>
      <w:r>
        <w:t xml:space="preserve"> </w:t>
      </w:r>
      <w:r w:rsidR="00C32338">
        <w:t xml:space="preserve">In this study, we observed that </w:t>
      </w:r>
      <w:r w:rsidR="00ED4B8E">
        <w:t>extracellular concentrations</w:t>
      </w:r>
      <w:r w:rsidR="00C32338">
        <w:t xml:space="preserve"> of azithromycin did </w:t>
      </w:r>
      <w:r w:rsidR="00ED4B8E">
        <w:t>not exceed the MIC. Given that azithromycin accumulates approximately 200-fold within the intracellular space of macrophages</w:t>
      </w:r>
      <w:r w:rsidR="004A35C5">
        <w:t xml:space="preserve"> </w:t>
      </w:r>
      <w:r w:rsidR="00A60299">
        <w:fldChar w:fldCharType="begin" w:fldLock="1"/>
      </w:r>
      <w:r w:rsidR="00CC6A0A">
        <w:instrText xml:space="preserve">ADDIN CSL_CITATION {"citationItems":[{"id":"ITEM-1","itemData":{"DOI":"10.1016/S0924-8579(02)00187-5","ISSN":"0924-8579","abstract":"Uptake of [14C]-azithromycin into THP-1 human monocytes was determined at pH 7.4, 6.8 or 5.5 over 4-log antibiotic concentrations for 24 h under a number of conditions. Stimulation of cells was with bacteria, latex beads, lipopolysaccharide (LPS), or zymogen A. Subcellular organelle disposition was determined after isolation by ultracentrifugation or sucrose gradients. Hydrolytic enzyme activities and mediators of intracellular inflammation (IL-1, IL-6, IL-8, and TNFα) were assessed. Azithromycin uptake into human THP-1 monocytes was initially linear achieving </w:instrText>
      </w:r>
      <w:r w:rsidR="00CC6A0A">
        <w:rPr>
          <w:rFonts w:ascii="Cambria Math" w:hAnsi="Cambria Math" w:cs="Cambria Math"/>
        </w:rPr>
        <w:instrText>∼</w:instrText>
      </w:r>
      <w:r w:rsidR="00CC6A0A">
        <w:instrText>2% of the extracellular concentration. At pH 7.4, uptake was both passive- and carrier-mediated, but as the pH became more acidic, the uptake was exclusively passive. The intracellular concentration was not pH-dependent over 24 h. Uptake was dependent upon temperature but not the presence of foetal calf serum. Intracellular disposition in zymogen A-stimulated and unstimulated cells was throughout all compartments of the cell, but was higher in the nucleus and cell sap. Phagosomes of stimulated cells contained higher level of the antibiotic. Efflux from THP-1 monocytes was complete between 3 and 4 h. After 1 h treatment with zymogen A, THP-1 monocytes demonstrated an increase in intracellular acidity, protein kinase C, SOD and NAG activities, and NO, H2O2, TNFα and IL-1 release over the 1st h. After 2–4 h the pH became alkaline, activities of NADPH reductase, NAG and cathepsin were reduced, and the release of NO, H2O2, TNFα and IL-6 were suppressed. Protein synthesis and killing of the bacteria was evident in bacteria kept in monocyte-free medium and those phagocytized by the THP-1 monocytes moderately at 2 h, but more significantly at 24 h. The early killing of the bacteria appears to be a cidal mechanism whereas later, a standard bacteriostatic mechanism was evident. Nevertheless, suppression of these chemical mediators and hydrolytic enzyme activities would reduce the infection and the spread to adjacent areas.","author":[{"dropping-particle":"","family":"Hall","given":"Iris H","non-dropping-particle":"","parse-names":false,"suffix":""},{"dropping-particle":"","family":"Schwab","given":"Ute E","non-dropping-particle":"","parse-names":false,"suffix":""},{"dropping-particle":"","family":"Stacy Ward","given":"E","non-dropping-particle":"","parse-names":false,"suffix":""},{"dropping-particle":"","family":"Butts","given":"John D","non-dropping-particle":"","parse-names":false,"suffix":""},{"dropping-particle":"","family":"Wolford","given":"Eric T","non-dropping-particle":"","parse-names":false,"suffix":""},{"dropping-particle":"","family":"Ives","given":"Timothy J","non-dropping-particle":"","parse-names":false,"suffix":""}],"container-title":"International Journal of Antimicrobial Agents","id":"ITEM-1","issue":"5","issued":{"date-parts":[["2002","11","1"]]},"page":"348-360","publisher":"Elsevier","title":"Disposition and intracellular activity of azithromycin in human THP-1 acute monocytes","type":"article-journal","volume":"20"},"uris":["http://www.mendeley.com/documents/?uuid=b247ffe5-c2e7-3136-9971-e9758351b6b7"]}],"mendeley":{"formattedCitation":"[12]","plainTextFormattedCitation":"[12]","previouslyFormattedCitation":"[12]"},"properties":{"noteIndex":0},"schema":"https://github.com/citation-style-language/schema/raw/master/csl-citation.json"}</w:instrText>
      </w:r>
      <w:r w:rsidR="00A60299">
        <w:fldChar w:fldCharType="separate"/>
      </w:r>
      <w:r w:rsidR="00E26C4A" w:rsidRPr="00E26C4A">
        <w:rPr>
          <w:noProof/>
        </w:rPr>
        <w:t>[12]</w:t>
      </w:r>
      <w:r w:rsidR="00A60299">
        <w:fldChar w:fldCharType="end"/>
      </w:r>
      <w:r w:rsidR="00ED4B8E">
        <w:t>, concentrations within the intracellular space are likely to be in excess of the MIC. PK simulations carried out here, suggest that a 1,000mg</w:t>
      </w:r>
      <w:r w:rsidR="00ED4B8E" w:rsidRPr="00157141">
        <w:t xml:space="preserve"> loading dose of azithromycin </w:t>
      </w:r>
      <w:r w:rsidR="00ED4B8E">
        <w:t xml:space="preserve">would not sufficiently increase </w:t>
      </w:r>
      <w:r w:rsidR="00ED4B8E" w:rsidRPr="00157141">
        <w:t xml:space="preserve">extracellular </w:t>
      </w:r>
      <w:r w:rsidR="00ED4B8E">
        <w:t xml:space="preserve">concentrations beyond the MIC and would, therefore, not result in a significant increase in the </w:t>
      </w:r>
      <w:r w:rsidR="00ED4B8E" w:rsidRPr="006B05DD">
        <w:t>elimination</w:t>
      </w:r>
      <w:r w:rsidR="00ED4B8E">
        <w:t xml:space="preserve"> rate</w:t>
      </w:r>
      <w:r w:rsidR="00ED4B8E" w:rsidRPr="006B05DD">
        <w:t xml:space="preserve"> of extracellular </w:t>
      </w:r>
      <w:r w:rsidR="00ED4B8E" w:rsidRPr="00D40F04">
        <w:rPr>
          <w:i/>
          <w:iCs/>
        </w:rPr>
        <w:t>S</w:t>
      </w:r>
      <w:r w:rsidR="00ED4B8E" w:rsidRPr="006B05DD">
        <w:t>. Typhi</w:t>
      </w:r>
      <w:r w:rsidR="00ED4B8E" w:rsidRPr="00157141">
        <w:t xml:space="preserve">. </w:t>
      </w:r>
      <w:r w:rsidR="00ED4B8E">
        <w:t xml:space="preserve">However, on account of the </w:t>
      </w:r>
      <w:r w:rsidR="00C32338">
        <w:t>intra</w:t>
      </w:r>
      <w:r w:rsidR="00ED4B8E">
        <w:t>cellular accumulation of azithromycin, a 1,000mg loading dose is predicted to result in more patients achieving intracellular concentrations in excess of the MIC within the first 24 hours of treatment</w:t>
      </w:r>
      <w:r w:rsidR="00E07A7F">
        <w:t>.</w:t>
      </w:r>
      <w:r w:rsidR="00C32338" w:rsidRPr="00C32338">
        <w:t xml:space="preserve"> </w:t>
      </w:r>
      <w:r w:rsidR="00C32338" w:rsidRPr="00157141">
        <w:t>A</w:t>
      </w:r>
      <w:r w:rsidR="00C32338">
        <w:t>s such, a</w:t>
      </w:r>
      <w:r w:rsidR="00C32338" w:rsidRPr="00157141">
        <w:t xml:space="preserve"> loading dose of azithromycin may help to control </w:t>
      </w:r>
      <w:r w:rsidR="00C32338">
        <w:t>the overall burden of</w:t>
      </w:r>
      <w:r w:rsidR="00C32338" w:rsidRPr="00157141">
        <w:t xml:space="preserve"> bacteria, improving bacterial clearance and treatment response.</w:t>
      </w:r>
    </w:p>
    <w:p w14:paraId="116A35FF" w14:textId="77777777" w:rsidR="00ED4B8E" w:rsidRDefault="00ED4B8E" w:rsidP="0026490E"/>
    <w:p w14:paraId="32A62AF7" w14:textId="05C7DF1C" w:rsidR="00ED4B8E" w:rsidRPr="00157141" w:rsidRDefault="003929F7" w:rsidP="0026490E">
      <w:r>
        <w:t>The response to ciprofloxacin treatment was comparable to that observed in field trials with fully susceptible strains</w:t>
      </w:r>
      <w:r w:rsidR="000309E2">
        <w:t xml:space="preserve"> </w:t>
      </w:r>
      <w:r w:rsidR="000309E2">
        <w:fldChar w:fldCharType="begin" w:fldLock="1"/>
      </w:r>
      <w:r w:rsidR="009A77A0">
        <w:instrText>ADDIN CSL_CITATION {"citationItems":[{"id":"ITEM-1","itemData":{"DOI":"10.1136/bmj.b1865","abstract":"Objectives: To review evidence supporting use of fluoroquinolones as first line agents over other antibiotics for treating typhoid and paratyphoid fever (enteric fever). Design: Meta-analysis of randomised controlled trials. Data sources: Cochrane Infectious Diseases Group specialised register, CENTRAL (issue 4, 2007), Medline (1966-2007), Embase (1974-2007), LILACS (1982-2007), selected conferences, reference lists, and ongoing trial register (November 2007). Review methods: Trials comparing fluoroquinolones with chloramphenicol, cephalosporins, or azithromycin in culture-proven enteric fever were included. Two reviewers extracted data and assessed methodological quality. Odds ratios with 95% confidence intervals were estimated. Trials recruiting over 60% children were analysed separately from trials on adults. Primary outcomes studied were clinical failure, microbiological failure, and relapse. Results: Twenty trials were included. Trials were small and often of limited methodological quality. Only 10 trials concealed allocation and only three were blinded. In trials on adults, fluoroquinolones were not significantly different from chloramphenicol for clinical failure (594 participants) or microbiological failure (n=378), but reduced clinical relapse (odds ratio 0.14 (95% confidence interval 0.04 to 0.50), n=467, 6 trials). Azithromycin and fluoroquinolones were comparable (n=152, 2 trials). Compared with ceftriaxone, fluoroquinolones reduced clinical failure (0.08 (0.01 to 0.45), n=120, 3 trials) but not microbiological failure or relapse. Compared with cefixime, fluoroquinolones reduced clinical failure (0.05 (0.01 to 0.24), n=238, 2 trials) and relapse (0.18 (0.03 to 0.91), n=218, 2 trials). In trials on children infected with nalidixic acid resistant strains, older fluoroquinolones (ofloxacin) produced more clinical failures than azithromycin (2.67 (1.16 to 6.11), n=125, 1 trial), but there were no differences with newer fluoroquinolones (gatifloxacin, n=285, 1 trial). Fluoroquinolones and cefixime were not significantly different (n=82, 1 trial). Conclusions: In adults, fluoroquinolones may be better than chloramphenicol for preventing clinical relapse. Data were limited for other comparisons, particularly for children.","author":[{"dropping-particle":"","family":"Thaver","given":"D","non-dropping-particle":"","parse-names":false,"suffix":""},{"dropping-particle":"","family":"Zaidi","given":"A K M","non-dropping-particle":"","parse-names":false,"suffix":""},{"dropping-particle":"","family":"Critchley","given":"J","non-dropping-particle":"","parse-names":false,"suffix":""},{"dropping-particle":"","family":"Azmatullah","given":"A","non-dropping-particle":"","parse-names":false,"suffix":""},{"dropping-particle":"","family":"Madni","given":"S A","non-dropping-particle":"","parse-names":false,"suffix":""},{"dropping-particle":"","family":"Bhutta","given":"Z A","non-dropping-particle":"","parse-names":false,"suffix":""}],"container-title":"BMJ (Online)","id":"ITEM-1","issue":"7707","issued":{"date-parts":[["2009"]]},"page":"1371","title":"A comparison of fluoroquinolones versus other antibiotics for treating enteric fever: Meta-analysis","type":"article-journal","volume":"338"},"uris":["http://www.mendeley.com/documents/?uuid=839ce1a8-a0b3-4f64-a236-b24ce93166f9"]}],"mendeley":{"formattedCitation":"[40]","plainTextFormattedCitation":"[40]","previouslyFormattedCitation":"[39]"},"properties":{"noteIndex":0},"schema":"https://github.com/citation-style-language/schema/raw/master/csl-citation.json"}</w:instrText>
      </w:r>
      <w:r w:rsidR="000309E2">
        <w:fldChar w:fldCharType="separate"/>
      </w:r>
      <w:r w:rsidR="009A77A0" w:rsidRPr="009A77A0">
        <w:rPr>
          <w:noProof/>
        </w:rPr>
        <w:t>[40]</w:t>
      </w:r>
      <w:r w:rsidR="000309E2">
        <w:fldChar w:fldCharType="end"/>
      </w:r>
      <w:r>
        <w:t xml:space="preserve">. Strains of </w:t>
      </w:r>
      <w:r w:rsidRPr="003929F7">
        <w:rPr>
          <w:i/>
          <w:iCs/>
        </w:rPr>
        <w:t>S</w:t>
      </w:r>
      <w:r>
        <w:t>. Typhi with an MIC ≤0.03 – such as</w:t>
      </w:r>
      <w:r w:rsidR="00C32338">
        <w:t xml:space="preserve"> the strain</w:t>
      </w:r>
      <w:r>
        <w:t xml:space="preserve"> used in this study - display an excellent response to </w:t>
      </w:r>
      <w:r w:rsidR="00C32338">
        <w:t>fluoro</w:t>
      </w:r>
      <w:r>
        <w:t>quinolones</w:t>
      </w:r>
      <w:r w:rsidR="000309E2">
        <w:t xml:space="preserve"> </w:t>
      </w:r>
      <w:r>
        <w:t>allowing for short-course therapy</w:t>
      </w:r>
      <w:r w:rsidR="000309E2">
        <w:t xml:space="preserve"> </w:t>
      </w:r>
      <w:r w:rsidR="000309E2">
        <w:fldChar w:fldCharType="begin" w:fldLock="1"/>
      </w:r>
      <w:r w:rsidR="009A77A0">
        <w:instrText>ADDIN CSL_CITATION {"citationItems":[{"id":"ITEM-1","itemData":{"DOI":"10.1016/j.trstmh.2004.08.007","ISBN":"0035-9203 (Print)","ISSN":"00359203","PMID":"15837357","abstract":"We conducted a randomized open trial of oral chloramphenicol (50 mg/kg/ day in four divided doses for 14 days) versus ofloxacin (15 mg/kg/day in two divided doses for 3 days) in 50 adults with culture-confirmed uncomplicated typhoid fever in Vientiane, Laos. Patients had been ill for a median (range) of 8 (2-30) days. All Salmonella enterica serotype typhi isolates were nalidixic acid-sensitive, four (8%) were chloramphenicol-resistant and three (6%) were multidrug-resistant. Median (range) fever clearance times were 90 (24-224) hours in the chloramphenicol group and 54 (6-93) hours in the ofloxacin group (P &lt; 0.001). One patient in the chloramphenicol group developed an ileal perforation. Three days ofloxacin was more effective than 14 days chloramphenicol for the in-patient treatment of typhoid fever, irrespective of antibiotic susceptibility, and was of similar cost. © 2004 Royal Society of Tropical Medicine and Hygiene. Published by Elsevier Ltd. All rights reserved.","author":[{"dropping-particle":"","family":"Phongmany","given":"Simmaly","non-dropping-particle":"","parse-names":false,"suffix":""},{"dropping-particle":"","family":"Phetsouvanh","given":"Rattanaphone","non-dropping-particle":"","parse-names":false,"suffix":""},{"dropping-particle":"","family":"Sisouphone","given":"Siho","non-dropping-particle":"","parse-names":false,"suffix":""},{"dropping-particle":"","family":"Darasavath","given":"Chirapha","non-dropping-particle":"","parse-names":false,"suffix":""},{"dropping-particle":"","family":"Vongphachane","given":"Pankham","non-dropping-particle":"","parse-names":false,"suffix":""},{"dropping-particle":"","family":"Rattanavong","given":"Oudayvone","non-dropping-particle":"","parse-names":false,"suffix":""},{"dropping-particle":"","family":"Mayxay","given":"Mayfong","non-dropping-particle":"","parse-names":false,"suffix":""},{"dropping-particle":"","family":"Ramsay","given":"Andrew C.","non-dropping-particle":"","parse-names":false,"suffix":""},{"dropping-particle":"","family":"Blacksell","given":"Stuart D.","non-dropping-particle":"","parse-names":false,"suffix":""},{"dropping-particle":"","family":"Thammavong","given":"Chanpheng","non-dropping-particle":"","parse-names":false,"suffix":""},{"dropping-particle":"","family":"Syhavong","given":"Bounkong","non-dropping-particle":"","parse-names":false,"suffix":""},{"dropping-particle":"","family":"White","given":"Nicholas J.","non-dropping-particle":"","parse-names":false,"suffix":""},{"dropping-particle":"","family":"Newton","given":"Paul N.","non-dropping-particle":"","parse-names":false,"suffix":""}],"container-title":"Transactions of the Royal Society of Tropical Medicine and Hygiene","id":"ITEM-1","issue":"6","issued":{"date-parts":[["2005"]]},"page":"451-458","title":"A randomized comparison of oral chloramphenicol versus ofloxacin in the treatment of uncomplicated typhoid fever in Laos","type":"article-journal","volume":"99"},"uris":["http://www.mendeley.com/documents/?uuid=65643f54-eaf4-45d0-9c0c-77009eb28ddc"]}],"mendeley":{"formattedCitation":"[41]","plainTextFormattedCitation":"[41]","previouslyFormattedCitation":"[40]"},"properties":{"noteIndex":0},"schema":"https://github.com/citation-style-language/schema/raw/master/csl-citation.json"}</w:instrText>
      </w:r>
      <w:r w:rsidR="000309E2">
        <w:fldChar w:fldCharType="separate"/>
      </w:r>
      <w:r w:rsidR="009A77A0" w:rsidRPr="009A77A0">
        <w:rPr>
          <w:noProof/>
        </w:rPr>
        <w:t>[41]</w:t>
      </w:r>
      <w:r w:rsidR="000309E2">
        <w:fldChar w:fldCharType="end"/>
      </w:r>
      <w:r>
        <w:t xml:space="preserve"> </w:t>
      </w:r>
      <w:r>
        <w:fldChar w:fldCharType="begin" w:fldLock="1"/>
      </w:r>
      <w:r w:rsidR="009A77A0">
        <w:instrText>ADDIN CSL_CITATION {"citationItems":[{"id":"ITEM-1","itemData":{"DOI":"10.1371/journal.pntd.0001163","ISSN":"1935-2735","PMID":"21713025","abstract":"BACKGROUND: Infection with Salmonella enterica serovar Typhi (S. Typhi) with reduced susceptibility to fluoroquinolones has been associated with fluoroquinolone treatment failure. We studied the relationship between ofloxacin treatment response and the ofloxacin minimum inhibitory concentration (MIC) of the infecting isolate. Individual patient data from seven randomised controlled trials of antimicrobial treatment in enteric fever conducted in Vietnam in which ofloxacin was used in at least one of the treatment arms was studied. Data from 540 patients randomised to ofloxacin treatment was analysed to identi</w:instrText>
      </w:r>
      <w:r w:rsidR="009A77A0">
        <w:rPr>
          <w:rFonts w:hint="eastAsia"/>
        </w:rPr>
        <w:instrText>fy an MIC of the infecting organism associated with treatment failure.\n\nPRINCIPAL FINDINGS: The proportion of patients failing ofloxacin treatment was significantly higher in patients infected with S. Typhi isolates with an MIC</w:instrText>
      </w:r>
      <w:r w:rsidR="009A77A0">
        <w:rPr>
          <w:rFonts w:hint="eastAsia"/>
        </w:rPr>
        <w:instrText>≥</w:instrText>
      </w:r>
      <w:r w:rsidR="009A77A0">
        <w:rPr>
          <w:rFonts w:hint="eastAsia"/>
        </w:rPr>
        <w:instrText xml:space="preserve">0.25 µg/mL compared with those infections with an MIC of </w:instrText>
      </w:r>
      <w:r w:rsidR="009A77A0">
        <w:rPr>
          <w:rFonts w:hint="eastAsia"/>
        </w:rPr>
        <w:instrText>≤</w:instrText>
      </w:r>
      <w:r w:rsidR="009A77A0">
        <w:rPr>
          <w:rFonts w:hint="eastAsia"/>
        </w:rPr>
        <w:instrText xml:space="preserve">0.125 µg/mL (p&lt;0.001). Treatment success was 96% when the ofloxacin MIC was </w:instrText>
      </w:r>
      <w:r w:rsidR="009A77A0">
        <w:rPr>
          <w:rFonts w:hint="eastAsia"/>
        </w:rPr>
        <w:instrText>≤</w:instrText>
      </w:r>
      <w:r w:rsidR="009A77A0">
        <w:rPr>
          <w:rFonts w:hint="eastAsia"/>
        </w:rPr>
        <w:instrText>0.125 µg/mL, 73% when the MIC was between 0.25 and 0.50 µg/mL and 53% when the MIC was 1.00 µg/mL. This was despite a longer duration of treatment at a higher dosage in patients infected with isolates with an MIC</w:instrText>
      </w:r>
      <w:r w:rsidR="009A77A0">
        <w:rPr>
          <w:rFonts w:hint="eastAsia"/>
        </w:rPr>
        <w:instrText>≥</w:instrText>
      </w:r>
      <w:r w:rsidR="009A77A0">
        <w:rPr>
          <w:rFonts w:hint="eastAsia"/>
        </w:rPr>
        <w:instrText xml:space="preserve">0.25 µg/mL compared with those infections with an MIC of </w:instrText>
      </w:r>
      <w:r w:rsidR="009A77A0">
        <w:rPr>
          <w:rFonts w:hint="eastAsia"/>
        </w:rPr>
        <w:instrText>≤</w:instrText>
      </w:r>
      <w:r w:rsidR="009A77A0">
        <w:rPr>
          <w:rFonts w:hint="eastAsia"/>
        </w:rPr>
        <w:instrText xml:space="preserve">0.125 µg/mL.\n\nSIGNIFICANCE: There is a clear relationship between ofloxacin susceptibility and clinical outcome in ofloxacin treated patients with enteric fever. An ofloxacin MIC of </w:instrText>
      </w:r>
      <w:r w:rsidR="009A77A0">
        <w:rPr>
          <w:rFonts w:hint="eastAsia"/>
        </w:rPr>
        <w:instrText>≥</w:instrText>
      </w:r>
      <w:r w:rsidR="009A77A0">
        <w:rPr>
          <w:rFonts w:hint="eastAsia"/>
        </w:rPr>
        <w:instrText>0.25 µg/mL, or the presence of nalidixic acid resistance, can be used to define S. Typhi infections in which the response to ofloxacin may be impaired.","author":[{"dropping-particle":"","family":"Pa</w:instrText>
      </w:r>
      <w:r w:rsidR="009A77A0">
        <w:instrText>rry","given":"Christopher M","non-dropping-particle":"","parse-names":false,"suffix":""},{"dropping-particle":"","family":"Vinh","given":"Ha","non-dropping-particle":"","parse-names":false,"suffix":""},{"dropping-particle":"","family":"Chinh","given":"Nguyen Tran","non-dropping-particle":"","parse-names":false,"suffix":""},{"dropping-particle":"","family":"Wain","given":"John","non-dropping-particle":"","parse-names":false,"suffix":""},{"dropping-particle":"","family":"Campbell","given":"James I","non-dropping-particle":"","parse-names":false,"suffix":""},{"dropping-particle":"","family":"Hien","given":"Tran Tinh","non-dropping-particle":"","parse-names":false,"suffix":""},{"dropping-particle":"","family":"Farrar","given":"Jeremy J","non-dropping-particle":"","parse-names":false,"suffix":""},{"dropping-particle":"","family":"Baker","given":"Stephen","non-dropping-particle":"","parse-names":false,"suffix":""}],"container-title":"PLoS neglected tropical diseases","id":"ITEM-1","issue":"6","issued":{"date-parts":[["2011","6"]]},"page":"e1163","title":"The influence of reduced susceptibility to fluoroquinolones in Salmonella enterica serovar Typhi on the clinical response to ofloxacin therapy.","type":"article-journal","volume":"5"},"uris":["http://www.mendeley.com/documents/?uuid=a9eb5c77-f93c-4b00-95ff-320a38c3b30c"]}],"mendeley":{"formattedCitation":"[42]","plainTextFormattedCitation":"[42]","previouslyFormattedCitation":"[41]"},"properties":{"noteIndex":0},"schema":"https://github.com/citation-style-language/schema/raw/master/csl-citation.json"}</w:instrText>
      </w:r>
      <w:r>
        <w:fldChar w:fldCharType="separate"/>
      </w:r>
      <w:r w:rsidR="009A77A0" w:rsidRPr="009A77A0">
        <w:rPr>
          <w:noProof/>
        </w:rPr>
        <w:t>[42]</w:t>
      </w:r>
      <w:r>
        <w:fldChar w:fldCharType="end"/>
      </w:r>
      <w:r>
        <w:t xml:space="preserve">. </w:t>
      </w:r>
      <w:r w:rsidR="000309E2">
        <w:t>The PK</w:t>
      </w:r>
      <w:r w:rsidR="00C32338">
        <w:t>/</w:t>
      </w:r>
      <w:r w:rsidR="000309E2">
        <w:t xml:space="preserve">PD </w:t>
      </w:r>
      <w:r w:rsidR="000309E2">
        <w:lastRenderedPageBreak/>
        <w:t xml:space="preserve">parameter that predicts efficacy is peak MIC or AUC/MIC. </w:t>
      </w:r>
      <w:r w:rsidR="00ED4B8E">
        <w:t>We have demonstrated that during treatment with ciprofloxacin at 500mg twice daily,</w:t>
      </w:r>
      <w:r w:rsidR="000309E2">
        <w:t xml:space="preserve"> intra- and</w:t>
      </w:r>
      <w:r w:rsidR="00ED4B8E">
        <w:t xml:space="preserve"> extracellular concentrations are consistently above the MIC.</w:t>
      </w:r>
      <w:r>
        <w:t xml:space="preserve"> </w:t>
      </w:r>
      <w:r w:rsidR="00ED4B8E">
        <w:t>Given that ciprofloxacin is also known to accumulate approximately 5-fold within the intracellular space</w:t>
      </w:r>
      <w:r w:rsidR="00ED4B8E" w:rsidRPr="00726B22">
        <w:t xml:space="preserve"> </w:t>
      </w:r>
      <w:r w:rsidR="00ED4B8E">
        <w:t>of macrophages</w:t>
      </w:r>
      <w:r w:rsidR="00C32338">
        <w:t xml:space="preserve"> </w:t>
      </w:r>
      <w:r w:rsidR="00A60299">
        <w:fldChar w:fldCharType="begin" w:fldLock="1"/>
      </w:r>
      <w:r w:rsidR="009A77A0">
        <w:instrText>ADDIN CSL_CITATION {"citationItems":[{"id":"ITEM-1","itemData":{"DOI":"10.1007/s101560000006","ISSN":"1341-321X","PMID":"11810558","abstract":"The present study was designed to compare the uptake of grepafloxacin by a human monocytic cell line, THP-1, with that of ciprofloxacin. THP-1 cells were incubated with 20 microg/ml of either drug, and the entry of the drugs into the cells was determined using a velocity gradient centrifugation technique and HPLC assay. Antibiotic uptake by the cells was expressed as the ratio of the intracellular to the extracellular drug concentration (IC/EC). Grepafloxacin entered THP-1 cells readily within 5 min, and at steady-state (37 degrees C; 60 min), the IC/EC ratio of grepafloxacin (11.9 +/- 1.7; n = 13) was about 2.4-fold higher than that of ciprofloxacin (5.0 +/- 1.3; n = 13). The ratios decreased at low incubation temperature (4 degrees C), in paraformaldehyde-treated dead cells, and at low extracellular pH (pH 6.0), but were not influenced by high extracellular pH (pH, 9.0). Characterization of fluoroquinolone uptake suggests that these drugs penetrate the THP-1 membrane by passive diffusion, and also, in part, via an active transport system. We also examined the uptake of the two fluoroquinolones in phorbol 12 myristate 13-acetate (PMA)-stimulated adherent THP-1 cells (THP-1 macrophages). The IC/EC ratios for both fluoroquinolones in the THP-1 macrophages were significantly higher than those in the THP-1 monocytes. Further the uptake of three other fluoroquinolones, levofloxacin, tosufloxacin, and sparfloxacin, by THP-1 monocytes was examined in comparative studies. The IC/EC ratio of grepafloxacin was comparable to that of sparfloxacin and significantly higher than that of the other fluoroquinolones. Our results indicate that grepafloxacin exhibits better intracellular accumulation than ciprofloxacin and other fluoroquinolones in human monocytic and macrophage-like cells.","author":[{"dropping-particle":"","family":"Hara","given":"T","non-dropping-particle":"","parse-names":false,"suffix":""},{"dropping-particle":"","family":"Takemura","given":"H","non-dropping-particle":"","parse-names":false,"suffix":""},{"dropping-particle":"","family":"Kanemitsu","given":"K","non-dropping-particle":"","parse-names":false,"suffix":""},{"dropping-particle":"","family":"Yamamoto","given":"H","non-dropping-particle":"","parse-names":false,"suffix":""},{"dropping-particle":"","family":"Shimada","given":"J","non-dropping-particle":"","parse-names":false,"suffix":""}],"container-title":"Journal of infection and chemotherapy : official journal of the Japan Society of Chemotherapy","id":"ITEM-1","issue":"3","issued":{"date-parts":[["2000","9"]]},"page":"162-7","title":"Comparative uptake of grepafloxacin and ciprofloxacin by a human monocytic cell line, THP-1.","type":"article-journal","volume":"6"},"uris":["http://www.mendeley.com/documents/?uuid=c50066c7-c306-31ef-bb89-500d51ee97af"]}],"mendeley":{"formattedCitation":"[43]","plainTextFormattedCitation":"[43]","previouslyFormattedCitation":"[42]"},"properties":{"noteIndex":0},"schema":"https://github.com/citation-style-language/schema/raw/master/csl-citation.json"}</w:instrText>
      </w:r>
      <w:r w:rsidR="00A60299">
        <w:fldChar w:fldCharType="separate"/>
      </w:r>
      <w:r w:rsidR="009A77A0" w:rsidRPr="009A77A0">
        <w:rPr>
          <w:noProof/>
        </w:rPr>
        <w:t>[43]</w:t>
      </w:r>
      <w:r w:rsidR="00A60299">
        <w:fldChar w:fldCharType="end"/>
      </w:r>
      <w:r w:rsidR="00ED4B8E">
        <w:t xml:space="preserve">, </w:t>
      </w:r>
      <w:r w:rsidR="00C32338">
        <w:t>500mg twice daily dosing of ciprofloxacin will result in</w:t>
      </w:r>
      <w:r w:rsidR="001937E5">
        <w:t xml:space="preserve"> intracellular concentrations</w:t>
      </w:r>
      <w:r w:rsidR="00C32338">
        <w:t xml:space="preserve"> </w:t>
      </w:r>
      <w:r w:rsidR="00ED4B8E">
        <w:t xml:space="preserve">in excess of the MIC. Therefore, while azithromycin would appear to only target intracellular populations when used at standard clinical doses, ciprofloxacin may simultaneously target both intracellular and extracellular populations. </w:t>
      </w:r>
      <w:r w:rsidR="00B93D04">
        <w:t xml:space="preserve">In acute typhoid fever, approximately 40% of circulating </w:t>
      </w:r>
      <w:r w:rsidR="00B93D04" w:rsidRPr="00D40F04">
        <w:rPr>
          <w:i/>
          <w:iCs/>
        </w:rPr>
        <w:t>S</w:t>
      </w:r>
      <w:r w:rsidR="00B93D04">
        <w:t>. Typhi bacilli are thought to reside in the extracellular compartment</w:t>
      </w:r>
      <w:r w:rsidR="007202B6">
        <w:t xml:space="preserve"> </w:t>
      </w:r>
      <w:r w:rsidR="007202B6">
        <w:fldChar w:fldCharType="begin" w:fldLock="1"/>
      </w:r>
      <w:r w:rsidR="009A77A0">
        <w:instrText>ADDIN CSL_CITATION {"citationItems":[{"id":"ITEM-1","itemData":{"ISBN":"0095-1137 (Print)\\n0095-1137 (Linking)","ISSN":"00951137","PMID":"9620400","abstract":"Salmonella typhi was isolated from 369 and Salmonella paratyphi A was isolated from 6 of 515 Vietnamese patients with suspected enteric fever. Compared with conventional broth culture of blood, direct plating of the buffy coat had a diagnostic sensitivity of 99.5% (95% confidence interval [CI], 97.1 to 100%). Blood bacterial counts were estimated by the pour plate method. The median S. typhi count in blood was 1 CFU/ml (range, &lt;0.3 to 387 CFU/ml), of which a mean of 63% (95% CI, 58 to 67%) were intracellular. The mean number of bacteria per infected leukocyte was 1.3 (interquartile range [IQR], 0.7 to 2.4) CFU/cell (n = 81). Children (&lt; 15 years old; n = 115) had higher median blood bacterial counts than adults (n = 262): 1.5 (range, &lt;0.3 to 387) versus 0.6 (range, &lt;0.3 to 17.7) CFU/ml (P = 0.008), and patients who excreted S. typhi in feces had higher bacteremias than those who did not: a median of 3 (range, &lt;0.3 to 32) versus 1 (range, &lt;0.3 to 68) CFU/ml (P = 0.02). Blood bacterial counts declined with increasing duration of illness (P = 0.002) and were higher in infections caused by multidrug-resistant S. typhi (1.3 [range, &lt;0.3 to 387] CFU/ml; n = 313) than in infections caused by antibiotic-sensitive S. typhi (0.5 [range, &lt;0.3 to 32] CFU/ml; n = 62) (P = 0.006). In a multivariate analysis this proved to be an independent association, suggesting a relationship between antibiotic resistance and virulence in S. typhi.","author":[{"dropping-particle":"","family":"Wain","given":"John","non-dropping-particle":"","parse-names":false,"suffix":""},{"dropping-particle":"","family":"Diep","given":"To Song","non-dropping-particle":"","parse-names":false,"suffix":""},{"dropping-particle":"","family":"Ho","given":"Vo Anh","non-dropping-particle":"","parse-names":false,"suffix":""},{"dropping-particle":"","family":"Walsh","given":"Amanda M.","non-dropping-particle":"","parse-names":false,"suffix":""},{"dropping-particle":"","family":"Hoa","given":"Nguyen Thi Tuyet","non-dropping-particle":"","parse-names":false,"suffix":""},{"dropping-particle":"","family":"Parry","given":"Christopher M.","non-dropping-particle":"","parse-names":false,"suffix":""},{"dropping-particle":"","family":"White","given":"Nicholas J.","non-dropping-particle":"","parse-names":false,"suffix":""}],"container-title":"Journal of Clinical Microbiology","id":"ITEM-1","issue":"6","issued":{"date-parts":[["1998"]]},"page":"1683-1687","title":"Quantitation of bacteria in blood of typhoid fever patients and relationship between counts and clinical features, transmissibility, and antibiotic resistance","type":"article-journal","volume":"36"},"uris":["http://www.mendeley.com/documents/?uuid=71cbeede-14e8-4452-90b2-aa80258467fd"]}],"mendeley":{"formattedCitation":"[36]","plainTextFormattedCitation":"[36]","previouslyFormattedCitation":"[35]"},"properties":{"noteIndex":0},"schema":"https://github.com/citation-style-language/schema/raw/master/csl-citation.json"}</w:instrText>
      </w:r>
      <w:r w:rsidR="007202B6">
        <w:fldChar w:fldCharType="separate"/>
      </w:r>
      <w:r w:rsidR="009A77A0" w:rsidRPr="009A77A0">
        <w:rPr>
          <w:noProof/>
        </w:rPr>
        <w:t>[36]</w:t>
      </w:r>
      <w:r w:rsidR="007202B6">
        <w:fldChar w:fldCharType="end"/>
      </w:r>
      <w:r w:rsidR="00B93D04">
        <w:t xml:space="preserve">. </w:t>
      </w:r>
      <w:r w:rsidR="00ED4B8E">
        <w:t xml:space="preserve">These observations lead us to hypothesise that the low systemic plasma concentrations of azithromycin result in little to no elimination of extracellular bacteria resulting in an extended </w:t>
      </w:r>
      <w:r w:rsidR="00ED4B8E" w:rsidRPr="003E4214">
        <w:t>duration of bacteraemia</w:t>
      </w:r>
      <w:r w:rsidR="00ED4B8E">
        <w:t xml:space="preserve"> and fever clearance time relative to ciprofloxacin.</w:t>
      </w:r>
    </w:p>
    <w:p w14:paraId="03C1675B" w14:textId="77777777" w:rsidR="00314F36" w:rsidRDefault="00314F36" w:rsidP="0026490E"/>
    <w:p w14:paraId="51A4F3ED" w14:textId="1DA788B0" w:rsidR="00ED4B8E" w:rsidRDefault="00ED4B8E" w:rsidP="0026490E">
      <w:r w:rsidRPr="00157141">
        <w:t>Resistance to azithromycin amongst circul</w:t>
      </w:r>
      <w:r>
        <w:t>ating strains is currently thought to be uncommon, although the requirement to confirm by MIC makes reliable data scarce</w:t>
      </w:r>
      <w:r w:rsidR="005E34DF">
        <w:t>.</w:t>
      </w:r>
      <w:r>
        <w:t xml:space="preserve"> </w:t>
      </w:r>
      <w:r w:rsidR="001937E5" w:rsidRPr="00075EFF">
        <w:t xml:space="preserve">Azithromycin resistance is known to be mediated via mutations in the </w:t>
      </w:r>
      <w:proofErr w:type="spellStart"/>
      <w:r w:rsidR="001937E5" w:rsidRPr="00D04636">
        <w:rPr>
          <w:i/>
        </w:rPr>
        <w:t>ereA</w:t>
      </w:r>
      <w:proofErr w:type="spellEnd"/>
      <w:r w:rsidR="001937E5" w:rsidRPr="00075EFF">
        <w:t xml:space="preserve">, </w:t>
      </w:r>
      <w:proofErr w:type="spellStart"/>
      <w:r w:rsidR="001937E5" w:rsidRPr="00D04636">
        <w:rPr>
          <w:i/>
        </w:rPr>
        <w:t>msrD</w:t>
      </w:r>
      <w:proofErr w:type="spellEnd"/>
      <w:r w:rsidR="001937E5" w:rsidRPr="00075EFF">
        <w:t xml:space="preserve"> and </w:t>
      </w:r>
      <w:proofErr w:type="spellStart"/>
      <w:r w:rsidR="001937E5" w:rsidRPr="00D04636">
        <w:rPr>
          <w:i/>
        </w:rPr>
        <w:t>msrA</w:t>
      </w:r>
      <w:proofErr w:type="spellEnd"/>
      <w:r w:rsidR="001937E5" w:rsidRPr="00075EFF">
        <w:t xml:space="preserve"> genes</w:t>
      </w:r>
      <w:r w:rsidR="001937E5">
        <w:t xml:space="preserve"> </w:t>
      </w:r>
      <w:r w:rsidR="001937E5" w:rsidRPr="008C1190">
        <w:rPr>
          <w:vertAlign w:val="superscript"/>
        </w:rPr>
        <w:fldChar w:fldCharType="begin" w:fldLock="1"/>
      </w:r>
      <w:r w:rsidR="001937E5">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001937E5" w:rsidRPr="008C1190">
        <w:rPr>
          <w:vertAlign w:val="superscript"/>
        </w:rPr>
        <w:fldChar w:fldCharType="separate"/>
      </w:r>
      <w:r w:rsidR="001937E5" w:rsidRPr="00E26C4A">
        <w:rPr>
          <w:noProof/>
        </w:rPr>
        <w:t>[4]</w:t>
      </w:r>
      <w:r w:rsidR="001937E5" w:rsidRPr="008C1190">
        <w:rPr>
          <w:vertAlign w:val="superscript"/>
        </w:rPr>
        <w:fldChar w:fldCharType="end"/>
      </w:r>
      <w:r w:rsidR="001937E5">
        <w:t xml:space="preserve">, which are not present in the </w:t>
      </w:r>
      <w:r w:rsidR="001937E5" w:rsidRPr="00942044">
        <w:rPr>
          <w:i/>
          <w:iCs/>
        </w:rPr>
        <w:t xml:space="preserve">S. </w:t>
      </w:r>
      <w:r w:rsidR="001937E5">
        <w:t xml:space="preserve">Typhi strain used in the CHI model </w:t>
      </w:r>
      <w:r w:rsidR="001937E5">
        <w:fldChar w:fldCharType="begin" w:fldLock="1"/>
      </w:r>
      <w:r w:rsidR="009A77A0">
        <w:instrText>ADDIN CSL_CITATION {"citationItems":[{"id":"ITEM-1","itemData":{"URL":"https://www.ebi.ac.uk/biosamples/samples/SAMEA5577691","accessed":{"date-parts":[["2019","6","15"]]},"id":"ITEM-1","issued":{"date-parts":[["0"]]},"title":"BioSamples: EMBL-EBI","type":"webpage"},"uris":["http://www.mendeley.com/documents/?uuid=5dbcce55-c7d9-37a5-8260-0ebf3fba163b"]}],"mendeley":{"formattedCitation":"[44]","plainTextFormattedCitation":"[44]","previouslyFormattedCitation":"[45]"},"properties":{"noteIndex":0},"schema":"https://github.com/citation-style-language/schema/raw/master/csl-citation.json"}</w:instrText>
      </w:r>
      <w:r w:rsidR="001937E5">
        <w:fldChar w:fldCharType="separate"/>
      </w:r>
      <w:r w:rsidR="009A77A0" w:rsidRPr="009A77A0">
        <w:rPr>
          <w:noProof/>
        </w:rPr>
        <w:t>[44]</w:t>
      </w:r>
      <w:r w:rsidR="001937E5">
        <w:fldChar w:fldCharType="end"/>
      </w:r>
      <w:r w:rsidR="001937E5">
        <w:t xml:space="preserve">. </w:t>
      </w:r>
      <w:r w:rsidR="005E34DF">
        <w:t>R</w:t>
      </w:r>
      <w:r w:rsidRPr="003B403D">
        <w:t>esistance rates are likely to rise with increasing use of these drugs</w:t>
      </w:r>
      <w:r w:rsidR="00E07A7F">
        <w:t xml:space="preserve"> – including in mass-drug administration campaigns</w:t>
      </w:r>
      <w:r w:rsidR="001937E5">
        <w:t xml:space="preserve"> </w:t>
      </w:r>
      <w:r w:rsidR="00E07A7F">
        <w:fldChar w:fldCharType="begin" w:fldLock="1"/>
      </w:r>
      <w:r w:rsidR="009A77A0">
        <w:instrText>ADDIN CSL_CITATION {"citationItems":[{"id":"ITEM-1","itemData":{"DOI":"10.1056/NEJMoa1715474","ISSN":"0028-4793","abstract":"Abstract Background We hypothesized that mass distribution of a broad-spectrum antibiotic agent to preschool children would reduce mortality in areas of sub-Saharan Africa that are currently far from meeting the Sustainable Development Goals of the United Nations. Methods In this cluster-randomized trial, we assigned communities in Malawi, Niger, and Tanzania to four twice-yearly mass distributions of either oral azithromycin (approximately 20 mg per kilogram of body weight) or placebo. Children 1 to 59 months of age were identified in twice-yearly censuses and were offered participation in the trial. Vital status was determined at subsequent censuses. The primary outcome was aggregate all-cause mortality; country-specific rates were assessed in prespecified subgroup analyses. Results A total of 1533 communities underwent randomization, 190,238 children were identified in the census at baseline, and 323,302 person-years were monitored. The mean (±SD) azithromycin and placebo coverage over the four twice-y...","author":[{"dropping-particle":"","family":"Keenan","given":"Jeremy D.","non-dropping-particle":"","parse-names":false,"suffix":""},{"dropping-particle":"","family":"Bailey","given":"Robin L.","non-dropping-particle":"","parse-names":false,"suffix":""},{"dropping-particle":"","family":"West","given":"Sheila K.","non-dropping-particle":"","parse-names":false,"suffix":""},{"dropping-particle":"","family":"Arzika","given":"Ahmed M.","non-dropping-particle":"","parse-names":false,"suffix":""},{"dropping-particle":"","family":"Hart","given":"John","non-dropping-particle":"","parse-names":false,"suffix":""},{"dropping-particle":"","family":"Weaver","given":"Jerusha","non-dropping-particle":"","parse-names":false,"suffix":""},{"dropping-particle":"","family":"Kalua","given":"Khumbo","non-dropping-particle":"","parse-names":false,"suffix":""},{"dropping-particle":"","family":"Mrango","given":"Zakayo","non-dropping-particle":"","parse-names":false,"suffix":""},{"dropping-particle":"","family":"Ray","given":"Kathryn J.","non-dropping-particle":"","parse-names":false,"suffix":""},{"dropping-particle":"","family":"Cook","given":"Catherine","non-dropping-particle":"","parse-names":false,"suffix":""},{"dropping-particle":"","family":"Lebas","given":"Elodie","non-dropping-particle":"","parse-names":false,"suffix":""},{"dropping-particle":"","family":"O’Brien","given":"Kieran S.","non-dropping-particle":"","parse-names":false,"suffix":""},{"dropping-particle":"","family":"Emerson","given":"Paul M.","non-dropping-particle":"","parse-names":false,"suffix":""},{"dropping-particle":"","family":"Porco","given":"Travis C.","non-dropping-particle":"","parse-names":false,"suffix":""},{"dropping-particle":"","family":"Lietman","given":"Thomas M.","non-dropping-particle":"","parse-names":false,"suffix":""}],"container-title":"New England Journal of Medicine","id":"ITEM-1","issue":"17","issued":{"date-parts":[["2018","4","26"]]},"page":"1583-1592","publisher":"Massachusetts Medical Society","title":"Azithromycin to Reduce Childhood Mortality in Sub-Saharan Africa","type":"article-journal","volume":"378"},"uris":["http://www.mendeley.com/documents/?uuid=7d028a65-f21b-3342-afa1-eb236bdf8b54"]},{"id":"ITEM-2","itemData":{"DOI":"10.1056/NEJMoa1817213","ISSN":"0028-4793","PMID":"31167050","abstract":"BACKGROUND The MORDOR I trial (Macrolides Oraux pour Réduire les Décès avec un Oeil sur la Résistance) showed that in Niger, mass administration of azithromycin twice a year for 2 years resulted in 18% lower postneonatal childhood mortality than administration of placebo. Whether this benefit could increase with each administration or wane owing to antibiotic resistance was unknown. METHODS In the Niger component of the MORDOR I trial, we randomly assigned 594 communities to four twice-yearly distributions of either azithromycin or placebo to children 1 to 59 months of age. In MORDOR II, all these communities received two additional open-label azithromycin distributions. All-cause mortality was assessed twice yearly by census workers who were unaware of participants' original assignments. RESULTS In the MORDOR II trial, the mean (±SD) azithromycin coverage was 91.3±7.2% in the communities that received twice-yearly azithromycin for the first time (i.e., had received placebo for 2 years in MORDOR I) and 92.0±6.6% in communities that received azithromycin for the third year (i.e., had received azithromycin for 2 years in MORDOR I). In MORDOR II, mortality was 24.0 per 1000 person-years (95% confidence interval [CI], 22.1 to 26.3) in communities that had originally received placebo in the first year and 23.3 per 1000 person-years (95% CI, 21.4 to 25.5) in those that had originally received azithromycin in the first year, with no significant difference between groups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0.55). In communities that had originally received placebo, mortality decreased by 13.3% (95% CI, 5.8 to 20.2) when the communities received azithromycin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0.007). In communities that had originally received azithromycin and continued receiving it for an additional year, the difference in mortality between the third year and the first 2 years was not significant (-3.6%; 95% CI, -12.3 to 4.5; P</w:instrText>
      </w:r>
      <w:r w:rsidR="009A77A0">
        <w:rPr>
          <w:rFonts w:ascii="Times New Roman" w:hAnsi="Times New Roman" w:cs="Times New Roman"/>
        </w:rPr>
        <w:instrText> </w:instrText>
      </w:r>
      <w:r w:rsidR="009A77A0">
        <w:instrText>=</w:instrText>
      </w:r>
      <w:r w:rsidR="009A77A0">
        <w:rPr>
          <w:rFonts w:ascii="Times New Roman" w:hAnsi="Times New Roman" w:cs="Times New Roman"/>
        </w:rPr>
        <w:instrText> </w:instrText>
      </w:r>
      <w:r w:rsidR="009A77A0">
        <w:instrText>0.50). CONCLUSIONS We found no evidence that the effect of mass administration of azithromycin on childhood mortality in Niger waned in the third year of treatment. Childhood mortality decreased when communities that had originally received placebo received azithromycin. (Funded by the Bill and Melinda Gates Foundation; ClinicalTrials.gov number, NCT02047981.).","author":[{"dropping-particle":"","family":"Keenan","given":"Jeremy D.","non-dropping-particle":"","parse-names":false,"suffix":""},{"dropping-particle":"","family":"Arzika","given":"Ahmed M.","non-dropping-particle":"","parse-names":false,"suffix":""},{"dropping-particle":"","family":"Maliki","given":"Ramatou","non-dropping-particle":"","parse-names":false,"suffix":""},{"dropping-particle":"","family":"Boubacar","given":"Nameywa","non-dropping-particle":"","parse-names":false,"suffix":""},{"dropping-particle":"","family":"Elh Adamou","given":"Sanoussi","non-dropping-particle":"","parse-names":false,"suffix":""},{"dropping-particle":"","family":"Moussa Ali","given":"Maria","non-dropping-particle":"","parse-names":false,"suffix":""},{"dropping-particle":"","family":"Cook","given":"Catherine","non-dropping-particle":"","parse-names":false,"suffix":""},{"dropping-particle":"","family":"Lebas","given":"Elodie","non-dropping-particle":"","parse-names":false,"suffix":""},{"dropping-particle":"","family":"Lin","given":"Ying","non-dropping-particle":"","parse-names":false,"suffix":""},{"dropping-particle":"","family":"Ray","given":"Kathryn J.","non-dropping-particle":"","parse-names":false,"suffix":""},{"dropping-particle":"","family":"O’Brien","given":"Kieran S.","non-dropping-particle":"","parse-names":false,"suffix":""},{"dropping-particle":"","family":"Doan","given":"Thuy","non-dropping-particle":"","parse-names":false,"suffix":""},{"dropping-particle":"","family":"Oldenburg","given":"Catherine E.","non-dropping-particle":"","parse-names":false,"suffix":""},{"dropping-particle":"","family":"Callahan","given":"E. Kelly","non-dropping-particle":"","parse-names":false,"suffix":""},{"dropping-particle":"","family":"Emerson","given":"Paul M.","non-dropping-particle":"","parse-names":false,"suffix":""},{"dropping-particle":"","family":"Porco","given":"Travis C.","non-dropping-particle":"","parse-names":false,"suffix":""},{"dropping-particle":"","family":"Lietman","given":"Thomas M.","non-dropping-particle":"","parse-names":false,"suffix":""}],"container-title":"New England Journal of Medicine","id":"ITEM-2","issue":"23","issued":{"date-parts":[["2019","6","6"]]},"page":"2207-2214","title":"Longer-Term Assessment of Azithromycin for Reducing Childhood Mortality in Africa","type":"article-journal","volume":"380"},"uris":["http://www.mendeley.com/documents/?uuid=c20ab93b-4127-3a2e-8488-e5e12b32da15"]}],"mendeley":{"formattedCitation":"[45,46]","plainTextFormattedCitation":"[45,46]","previouslyFormattedCitation":"[43,44]"},"properties":{"noteIndex":0},"schema":"https://github.com/citation-style-language/schema/raw/master/csl-citation.json"}</w:instrText>
      </w:r>
      <w:r w:rsidR="00E07A7F">
        <w:fldChar w:fldCharType="separate"/>
      </w:r>
      <w:r w:rsidR="009A77A0" w:rsidRPr="009A77A0">
        <w:rPr>
          <w:noProof/>
        </w:rPr>
        <w:t>[45,46]</w:t>
      </w:r>
      <w:r w:rsidR="00E07A7F">
        <w:fldChar w:fldCharType="end"/>
      </w:r>
      <w:r w:rsidRPr="003B403D">
        <w:t xml:space="preserve">. </w:t>
      </w:r>
      <w:r w:rsidRPr="00075EFF">
        <w:t xml:space="preserve">Robust national and regional surveillance systems to monitor trends in antibiotic resistance </w:t>
      </w:r>
      <w:r>
        <w:t>are</w:t>
      </w:r>
      <w:r w:rsidRPr="00075EFF">
        <w:t xml:space="preserve"> required to ensure that treatment guidelines provide relevant recommendations</w:t>
      </w:r>
      <w:r>
        <w:t>, however quality assured diagnostic microbiology facilities to inform surveillance remain scar</w:t>
      </w:r>
      <w:r w:rsidR="00522A33">
        <w:t>c</w:t>
      </w:r>
      <w:r>
        <w:t xml:space="preserve">e in many </w:t>
      </w:r>
      <w:r w:rsidR="00E07A7F">
        <w:t>low-income</w:t>
      </w:r>
      <w:r>
        <w:t xml:space="preserve"> countries</w:t>
      </w:r>
      <w:r w:rsidRPr="00075EFF">
        <w:t xml:space="preserve">.  </w:t>
      </w:r>
    </w:p>
    <w:p w14:paraId="570C433A" w14:textId="77777777" w:rsidR="00EC78B1" w:rsidRDefault="00EC78B1" w:rsidP="0026490E"/>
    <w:p w14:paraId="0C7BE1B0" w14:textId="56C4A1AA" w:rsidR="00EC78B1" w:rsidRDefault="00A84EBC" w:rsidP="0026490E">
      <w:r>
        <w:t xml:space="preserve">Combined interventions including vaccination; provision and access to safe </w:t>
      </w:r>
      <w:r w:rsidRPr="009656D4">
        <w:t>water</w:t>
      </w:r>
      <w:r>
        <w:t xml:space="preserve">; hygiene interventions </w:t>
      </w:r>
      <w:r w:rsidRPr="009656D4">
        <w:t xml:space="preserve">and </w:t>
      </w:r>
      <w:r>
        <w:t xml:space="preserve">improvements to </w:t>
      </w:r>
      <w:r w:rsidRPr="009656D4">
        <w:t>sanitation infrastructure</w:t>
      </w:r>
      <w:r>
        <w:t xml:space="preserve"> are required if global control of enteric fever is to be achieved. </w:t>
      </w:r>
      <w:r w:rsidR="00EC78B1">
        <w:t>In</w:t>
      </w:r>
      <w:r w:rsidR="00EC78B1" w:rsidRPr="00D504FB">
        <w:t xml:space="preserve"> October 2017, the WHO </w:t>
      </w:r>
      <w:r w:rsidR="00EC78B1" w:rsidRPr="00C8596A">
        <w:t>Strategic Advisory Group of Experts</w:t>
      </w:r>
      <w:r w:rsidR="00EC78B1">
        <w:t xml:space="preserve"> (SAGE)</w:t>
      </w:r>
      <w:r w:rsidR="00EC78B1" w:rsidRPr="00C8596A">
        <w:t xml:space="preserve"> </w:t>
      </w:r>
      <w:r w:rsidR="00EC78B1">
        <w:t>on immunisation</w:t>
      </w:r>
      <w:r w:rsidR="00EC78B1" w:rsidRPr="00D504FB">
        <w:t xml:space="preserve"> recommended programmatic use of TCVs in children over six months of age in typhoid endemic countries</w:t>
      </w:r>
      <w:r w:rsidR="001937E5">
        <w:t xml:space="preserve"> </w:t>
      </w:r>
      <w:r w:rsidR="00EC78B1">
        <w:fldChar w:fldCharType="begin" w:fldLock="1"/>
      </w:r>
      <w:r w:rsidR="009A77A0">
        <w:instrText>ADDIN CSL_CITATION {"citationItems":[{"id":"ITEM-1","itemData":{"DOI":"10.1371/jour","ISBN":"0049-8114 (Print)\\r0049-8114 (Linking)","ISSN":"0049-8114","PMID":"22919737","author":[{"dropping-particle":"","family":"WHO","given":"","non-dropping-particle":"","parse-names":false,"suffix":""}],"container-title":"Weekly epidemiological record","id":"ITEM-1","issue":"34","issued":{"date-parts":[["2018"]]},"page":"477-500","title":"Typhoid vaccines: WHO position paper – March 2018","type":"article-journal","volume":"93"},"uris":["http://www.mendeley.com/documents/?uuid=cdf6303a-0bd4-405f-a4c7-b84f07708c19"]}],"mendeley":{"formattedCitation":"[47]","plainTextFormattedCitation":"[47]","previouslyFormattedCitation":"[46]"},"properties":{"noteIndex":0},"schema":"https://github.com/citation-style-language/schema/raw/master/csl-citation.json"}</w:instrText>
      </w:r>
      <w:r w:rsidR="00EC78B1">
        <w:fldChar w:fldCharType="separate"/>
      </w:r>
      <w:r w:rsidR="009A77A0" w:rsidRPr="009A77A0">
        <w:rPr>
          <w:noProof/>
        </w:rPr>
        <w:t>[47]</w:t>
      </w:r>
      <w:r w:rsidR="00EC78B1">
        <w:fldChar w:fldCharType="end"/>
      </w:r>
      <w:r w:rsidR="001937E5">
        <w:t>.</w:t>
      </w:r>
      <w:r w:rsidR="00EC78B1">
        <w:t xml:space="preserve"> Programmatic use </w:t>
      </w:r>
      <w:r w:rsidR="004A35C5">
        <w:t xml:space="preserve">of </w:t>
      </w:r>
      <w:r w:rsidR="00EC78B1">
        <w:t>TCV</w:t>
      </w:r>
      <w:r w:rsidR="001937E5">
        <w:t>s</w:t>
      </w:r>
      <w:r w:rsidR="00EC78B1">
        <w:t xml:space="preserve"> is anticipated to reduce overall antibiotic consumption in highly endemic areas, by preventing both confirmed typhoid cases requiring antibiotic treatment, and by reducing the incidence of undifferentiated fever treated with undirected therapy. Immunisation </w:t>
      </w:r>
      <w:r w:rsidR="00EC78B1" w:rsidRPr="00BE648A">
        <w:t xml:space="preserve">forms a central pillar of the global </w:t>
      </w:r>
      <w:r w:rsidR="00EC78B1">
        <w:t>action plan on</w:t>
      </w:r>
      <w:r w:rsidR="00EC78B1" w:rsidRPr="00BE648A">
        <w:t xml:space="preserve"> </w:t>
      </w:r>
      <w:r w:rsidR="00EC78B1">
        <w:t>antimicrobial resistance and t</w:t>
      </w:r>
      <w:r w:rsidR="00EC78B1" w:rsidRPr="008C1190">
        <w:t>he deployment of TCVs</w:t>
      </w:r>
      <w:r w:rsidR="001937E5">
        <w:t>,</w:t>
      </w:r>
      <w:r w:rsidR="00EC78B1" w:rsidRPr="008C1190">
        <w:t xml:space="preserve"> in line with WHO </w:t>
      </w:r>
      <w:r w:rsidR="00EC78B1" w:rsidRPr="008C1190">
        <w:lastRenderedPageBreak/>
        <w:t>recommendations</w:t>
      </w:r>
      <w:r w:rsidR="001937E5">
        <w:t>,</w:t>
      </w:r>
      <w:r w:rsidR="00EC78B1">
        <w:t xml:space="preserve"> could have a major </w:t>
      </w:r>
      <w:r w:rsidR="00DD6C72">
        <w:t xml:space="preserve">impact </w:t>
      </w:r>
      <w:r w:rsidR="00EC78B1">
        <w:t>on the burden of typhoid fever and on</w:t>
      </w:r>
      <w:r w:rsidR="00EC78B1" w:rsidRPr="008C1190">
        <w:t xml:space="preserve"> the spread of </w:t>
      </w:r>
      <w:r w:rsidR="00EC78B1" w:rsidRPr="00C3422B">
        <w:t>antibiotic resistan</w:t>
      </w:r>
      <w:r w:rsidR="00EC78B1">
        <w:t xml:space="preserve">ce in typhoidal </w:t>
      </w:r>
      <w:r w:rsidR="00EC78B1" w:rsidRPr="008C1190">
        <w:rPr>
          <w:i/>
        </w:rPr>
        <w:t>Salmonella</w:t>
      </w:r>
      <w:r w:rsidR="001937E5">
        <w:rPr>
          <w:i/>
        </w:rPr>
        <w:t xml:space="preserve"> </w:t>
      </w:r>
      <w:r w:rsidR="00EC78B1" w:rsidRPr="00BE648A">
        <w:fldChar w:fldCharType="begin" w:fldLock="1"/>
      </w:r>
      <w:r w:rsidR="009A77A0">
        <w:instrText>ADDIN CSL_CITATION {"citationItems":[{"id":"ITEM-1","itemData":{"DOI":"ISBN 978 92 4 150976 3","ISBN":"978-92-4-150976-3","ISSN":"978 92 4 150976 3","PMID":"25801559","abstract":"At the Sixty-eight World Health Assembly in May 2015, the World Health Assembly endorsed a global action plan to tackle antimicrobial resistance - including antibiotic resistance, the most urgent drug resistance trend. Antimicrobial resistance is occurring everywhere in the world, compromising our ability to treat infectious diseases, as well as undermining many other advances in health and medicine. The goal of the draft global action plan is to ensure, for as long as possible, continuity of successful treatment and prevention of infectious diseases with effective and safe medicines that are quality-assured, used in a responsible way, and accessible to all who need them. The global action plan is available at the link below. Global action plan on antimicrobial resistance Draft resolution - A68/A/CONF./1 Rev. 1 To achieve this goal, the global action plan sets out five strategic objectives: to improve awareness and understanding of antimicrobial resistance; to strengthen knowledge through surveillance and research; to reduce the incidence of infection; to optimize the use of antimicrobial agents; and develop the economic case for sustainable investment that takes account of the needs of all countries, and increase investment in new medicines, diagnostic tools, vaccines and other interventions. Development of this plan was guided by the advice of countries and key stakeholders, based on several multistakeholder consultations at different global and regional forums. More information on the development of the global action plan In the course of the development of the global action plan, the WHO Secretariat considered many existing plans, initiatives and activities. Information on these plans and activities has been summarized and is made available at the link below. Related initiatives and activities","author":[{"dropping-particle":"","family":"World Health Organization","given":"","non-dropping-particle":"","parse-names":false,"suffix":""}],"container-title":"WHO Press","id":"ITEM-1","issued":{"date-parts":[["2015"]]},"page":"1-28","title":"Global action plan on antimicrobial resistance.","type":"article-journal"},"uris":["http://www.mendeley.com/documents/?uuid=978e1853-be99-45f5-9aa9-697dc2e1d136"]}],"mendeley":{"formattedCitation":"[48]","plainTextFormattedCitation":"[48]","previouslyFormattedCitation":"[47]"},"properties":{"noteIndex":0},"schema":"https://github.com/citation-style-language/schema/raw/master/csl-citation.json"}</w:instrText>
      </w:r>
      <w:r w:rsidR="00EC78B1" w:rsidRPr="00BE648A">
        <w:fldChar w:fldCharType="separate"/>
      </w:r>
      <w:r w:rsidR="009A77A0" w:rsidRPr="009A77A0">
        <w:rPr>
          <w:noProof/>
        </w:rPr>
        <w:t>[48]</w:t>
      </w:r>
      <w:r w:rsidR="00EC78B1" w:rsidRPr="00BE648A">
        <w:fldChar w:fldCharType="end"/>
      </w:r>
      <w:r w:rsidR="00E07A7F">
        <w:t>.</w:t>
      </w:r>
    </w:p>
    <w:p w14:paraId="078DD9B5" w14:textId="77777777" w:rsidR="00EC78B1" w:rsidRDefault="00EC78B1" w:rsidP="0026490E"/>
    <w:p w14:paraId="52BDA40B" w14:textId="45423F45" w:rsidR="00620466" w:rsidRDefault="00EC78B1" w:rsidP="00620466">
      <w:r>
        <w:t xml:space="preserve">We acknowledge the limitations of </w:t>
      </w:r>
      <w:r w:rsidR="002A5B09">
        <w:t>our</w:t>
      </w:r>
      <w:r>
        <w:t xml:space="preserve"> experimental approach. Human challenge studies are </w:t>
      </w:r>
      <w:r w:rsidR="001937E5">
        <w:t xml:space="preserve">usually </w:t>
      </w:r>
      <w:r>
        <w:t xml:space="preserve">performed with well characterised, fully antibiotic-sensitive challenge strains to ensure </w:t>
      </w:r>
      <w:r w:rsidR="001937E5">
        <w:t xml:space="preserve">that </w:t>
      </w:r>
      <w:r>
        <w:t xml:space="preserve">a broad range of </w:t>
      </w:r>
      <w:r w:rsidR="001937E5">
        <w:t xml:space="preserve">therapeutic </w:t>
      </w:r>
      <w:r>
        <w:t>options</w:t>
      </w:r>
      <w:r w:rsidR="001937E5">
        <w:t xml:space="preserve"> are available to treat participants</w:t>
      </w:r>
      <w:r>
        <w:t xml:space="preserve">. Such strains may not be representative of contemporary circulating strains of </w:t>
      </w:r>
      <w:r w:rsidRPr="0026490E">
        <w:rPr>
          <w:i/>
        </w:rPr>
        <w:t>S.</w:t>
      </w:r>
      <w:r>
        <w:t xml:space="preserve"> Typhi, </w:t>
      </w:r>
      <w:r w:rsidRPr="00822065">
        <w:t xml:space="preserve">such as the MDR-associated H58 (genotype 4.3.1) strain of </w:t>
      </w:r>
      <w:r w:rsidRPr="0026490E">
        <w:rPr>
          <w:i/>
        </w:rPr>
        <w:t>S</w:t>
      </w:r>
      <w:r w:rsidRPr="00822065">
        <w:t>. Typhi</w:t>
      </w:r>
      <w:r w:rsidR="001937E5">
        <w:t xml:space="preserve"> </w:t>
      </w:r>
      <w:r w:rsidRPr="00822065">
        <w:rPr>
          <w:vertAlign w:val="superscript"/>
        </w:rPr>
        <w:fldChar w:fldCharType="begin" w:fldLock="1"/>
      </w:r>
      <w:r w:rsidR="00CC6A0A">
        <w:rPr>
          <w:vertAlign w:val="superscript"/>
        </w:rPr>
        <w:instrText>ADDIN CSL_CITATION {"citationItems":[{"id":"ITEM-1","itemData":{"DOI":"10.1038/ng.3281","ISBN":"1546-1718 (Electronic)\\r1061-4036 (Linking)","ISSN":"1546-1718","PMID":"25961941","abstract":"The emergence of multidrug-resistant (MDR) typhoid is a major global health threat affecting many countries where the disease is endemic. Here whole-genome sequence analysis of 1,832 Salmonella enterica serovar Typhi (S. Typhi) identifies a single dominant MDR lineage, H58, that has emerged and spread throughout Asia and Africa over the last 30 years. Our analysis identifies numerous transmissions of H58, including multiple transfers from Asia to Africa and an ongoing, unrecognized MDR epidemic within Africa itself. Notably, our analysis indicates that H58 lineages are displacing antibiotic-sensitive isolates, transforming the global population structure of this pathogen. H58 isolates can harbor a complex MDR element residing either on transmissible IncHI1 plasmids or within multiple chromosomal integration sites. We also identify new mutations that define the H58 lineage. This phylogeographical analysis provides a framework to facilitate global management of MDR typhoid and is applicable to similar MDR lineages emerging in other bacterial species.","author":[{"dropping-particle":"","family":"Wong","given":"Vanessa K","non-dropping-particle":"","parse-names":false,"suffix":""},{"dropping-particle":"","family":"Baker","given":"Stephen","non-dropping-particle":"","parse-names":false,"suffix":""},{"dropping-particle":"","family":"Pickard","given":"Derek J","non-dropping-particle":"","parse-names":false,"suffix":""},{"dropping-particle":"","family":"Parkhill","given":"Julian","non-dropping-particle":"","parse-names":false,"suffix":""},{"dropping-particle":"","family":"Page","given":"Andrew J","non-dropping-particle":"","parse-names":false,"suffix":""},{"dropping-particle":"","family":"Feasey","given":"Nicholas A","non-dropping-particle":"","parse-names":false,"suffix":""},{"dropping-particle":"","family":"Kingsley","given":"Robert A","non-dropping-particle":"","parse-names":false,"suffix":""},{"dropping-particle":"","family":"Thomson","given":"Nicholas R","non-dropping-particle":"","parse-names":false,"suffix":""},{"dropping-particle":"","family":"Keane","given":"Jacqueline A","non-dropping-particle":"","parse-names":false,"suffix":""},{"dropping-particle":"","family":"Weill","given":"François-Xavier X","non-dropping-particle":"","parse-names":false,"suffix":""},{"dropping-particle":"","family":"Edwards","given":"David J","non-dropping-particle":"","parse-names":false,"suffix":""},{"dropping-particle":"","family":"Hawkey","given":"Jane","non-dropping-particle":"","parse-names":false,"suffix":""},{"dropping-particle":"","family":"Harris","given":"Simon R","non-dropping-particle":"","parse-names":false,"suffix":""},{"dropping-particle":"","family":"Mather","given":"Alison E","non-dropping-particle":"","parse-names":false,"suffix":""},{"dropping-particle":"","family":"Cain","given":"Amy K","non-dropping-particle":"","parse-names":false,"suffix":""},{"dropping-particle":"","family":"Hadfield","given":"James","non-dropping-particle":"","parse-names":false,"suffix":""},{"dropping-particle":"","family":"Hart","given":"Peter J","non-dropping-particle":"","parse-names":false,"suffix":""},{"dropping-particle":"","family":"Thieu","given":"Nga Tran Vu","non-dropping-particle":"","parse-names":false,"suffix":""},{"dropping-particle":"","family":"Klemm","given":"Elizabeth J","non-dropping-particle":"","parse-names":false,"suffix":""},{"dropping-particle":"","family":"Glinos","given":"Dafni A","non-dropping-particle":"","parse-names":false,"suffix":""},{"dropping-particle":"","family":"Breiman","given":"Robert F","non-dropping-particle":"","parse-names":false,"suffix":""},{"dropping-particle":"","family":"Watson","given":"Conall H","non-dropping-particle":"","parse-names":false,"suffix":""},{"dropping-particle":"","family":"Kariuki","given":"Samuel","non-dropping-particle":"","parse-names":false,"suffix":""},{"dropping-particle":"","family":"Gordon","given":"Melita A","non-dropping-particle":"","parse-names":false,"suffix":""},{"dropping-particle":"","family":"Heyderman","given":"Robert S","non-dropping-particle":"","parse-names":false,"suffix":""},{"dropping-particle":"","family":"Okoro","given":"Chinyere","non-dropping-particle":"","parse-names":false,"suffix":""},{"dropping-particle":"","family":"Jacobs","given":"Jan","non-dropping-particle":"","parse-names":false,"suffix":""},{"dropping-particle":"","family":"Lunguya","given":"Octavie","non-dropping-particle":"","parse-names":false,"suffix":""},{"dropping-particle":"","family":"Edmunds","given":"W John","non-dropping-particle":"","parse-names":false,"suffix":""},{"dropping-particle":"","family":"Msefula","given":"Chisomo","non-dropping-particle":"","parse-names":false,"suffix":""},{"dropping-particle":"","family":"Chabalgoity","given":"Jose A","non-dropping-particle":"","parse-names":false,"suffix":""},{"dropping-particle":"","family":"Kama","given":"Mike","non-dropping-particle":"","parse-names":false,"suffix":""},{"dropping-particle":"","family":"Jenkins","given":"Kylie","non-dropping-particle":"","parse-names":false,"suffix":""},{"dropping-particle":"","family":"Dutta","given":"Shanta","non-dropping-particle":"","parse-names":false,"suffix":""},{"dropping-particle":"","family":"Marks","given":"Florian","non-dropping-particle":"","parse-names":false,"suffix":""},{"dropping-particle":"","family":"Campos","given":"Josefina","non-dropping-particle":"","parse-names":false,"suffix":""},{"dropping-particle":"","family":"Thompson","given":"Corinne","non-dropping-particle":"","parse-names":false,"suffix":""},{"dropping-particle":"","family":"Obaro","given":"Stephen","non-dropping-particle":"","parse-names":false,"suffix":""},{"dropping-particle":"","family":"MacLennan","given":"Calman A","non-dropping-particle":"","parse-names":false,"suffix":""},{"dropping-particle":"","family":"Dolecek","given":"Christiane","non-dropping-particle":"","parse-names":false,"suffix":""},{"dropping-particle":"","family":"Keddy","given":"Karen H","non-dropping-particle":"","parse-names":false,"suffix":""},{"dropping-particle":"","family":"Smith","given":"Anthony M","non-dropping-particle":"","parse-names":false,"suffix":""},{"dropping-particle":"","family":"Parry","given":"Christopher M","non-dropping-particle":"","parse-names":false,"suffix":""},{"dropping-particle":"","family":"Karkey","given":"Abhilasha","non-dropping-particle":"","parse-names":false,"suffix":""},{"dropping-particle":"","family":"Mulholland","given":"E Kim","non-dropping-particle":"","parse-names":false,"suffix":""},{"dropping-particle":"","family":"Campbell","given":"James I","non-dropping-particle":"","parse-names":false,"suffix":""},{"dropping-particle":"","family":"Dongol","given":"Sabina","non-dropping-particle":"","parse-names":false,"suffix":""},{"dropping-particle":"","family":"Basnyat","given":"Buddha","non-dropping-particle":"","parse-names":false,"suffix":""},{"dropping-particle":"","family":"Dufour","given":"Muriel","non-dropping-particle":"","parse-names":false,"suffix":""},{"dropping-particle":"","family":"Bandaranayake","given":"Don","non-dropping-particle":"","parse-names":false,"suffix":""},{"dropping-particle":"","family":"Naseri","given":"Take Toleafoa","non-dropping-particle":"","parse-names":false,"suffix":""},{"dropping-particle":"","family":"Singh","given":"Shalini Pravin","non-dropping-particle":"","parse-names":false,"suffix":""},{"dropping-particle":"","family":"Hatta","given":"Mochammad","non-dropping-particle":"","parse-names":false,"suffix":""},{"dropping-particle":"","family":"Newton","given":"Paul","non-dropping-particle":"","parse-names":false,"suffix":""},{"dropping-particle":"","family":"Onsare","given":"Robert S","non-dropping-particle":"","parse-names":false,"suffix":""},{"dropping-particle":"","family":"Isaia","given":"Lupeoletalalei","non-dropping-particle":"","parse-names":false,"suffix":""},{"dropping-particle":"","family":"Dance","given":"David","non-dropping-particle":"","parse-names":false,"suffix":""},{"dropping-particle":"","family":"Davong","given":"Viengmon","non-dropping-particle":"","parse-names":false,"suffix":""},{"dropping-particle":"","family":"Thwaites","given":"Guy","non-dropping-particle":"","parse-names":false,"suffix":""},{"dropping-particle":"","family":"Wijedoru","given":"Lalith","non-dropping-particle":"","parse-names":false,"suffix":""},{"dropping-particle":"","family":"Crump","given":"John A","non-dropping-particle":"","parse-names":false,"suffix":""},{"dropping-particle":"","family":"Pinna","given":"Elizabeth","non-dropping-particle":"De","parse-names":false,"suffix":""},{"dropping-particle":"","family":"Nair","given":"Satheesh","non-dropping-particle":"","parse-names":false,"suffix":""},{"dropping-particle":"","family":"Nilles","given":"Eric J","non-dropping-particle":"","parse-names":false,"suffix":""},{"dropping-particle":"","family":"Thanh","given":"Duy Pham","non-dropping-particle":"","parse-names":false,"suffix":""},{"dropping-particle":"","family":"Turner","given":"Paul","non-dropping-particle":"","parse-names":false,"suffix":""},{"dropping-particle":"","family":"Soeng","given":"Sona","non-dropping-particle":"","parse-names":false,"suffix":""},{"dropping-particle":"","family":"Valcanis","given":"Mary","non-dropping-particle":"","parse-names":false,"suffix":""},{"dropping-particle":"","family":"Powling","given":"Joan","non-dropping-particle":"","parse-names":false,"suffix":""},{"dropping-particle":"","family":"Dimovski","given":"Karolina","non-dropping-particle":"","parse-names":false,"suffix":""},{"dropping-particle":"","family":"Hogg","given":"Geoff","non-dropping-particle":"","parse-names":false,"suffix":""},{"dropping-particle":"","family":"Farrar","given":"Jeremy","non-dropping-particle":"","parse-names":false,"suffix":""},{"dropping-particle":"","family":"Holt","given":"Kathryn E","non-dropping-particle":"","parse-names":false,"suffix":""},{"dropping-particle":"","family":"Dougan","given":"Gordon","non-dropping-particle":"","parse-names":false,"suffix":""}],"container-title":"Nature genetics","id":"ITEM-1","issue":"6","issued":{"date-parts":[["2015"]]},"page":"632-639","title":"Phylogeographical analysis of the dominant multidrug-resistant H58 clade of Salmonella Typhi identifies inter- and intracontinental transmission events.","type":"article-journal","volume":"47"},"uris":["http://www.mendeley.com/documents/?uuid=6fddb2fc-e3ff-4c01-9edb-ccfe1fc8b5c2"]}],"mendeley":{"formattedCitation":"[4]","plainTextFormattedCitation":"[4]","previouslyFormattedCitation":"[4]"},"properties":{"noteIndex":0},"schema":"https://github.com/citation-style-language/schema/raw/master/csl-citation.json"}</w:instrText>
      </w:r>
      <w:r w:rsidRPr="00822065">
        <w:rPr>
          <w:vertAlign w:val="superscript"/>
        </w:rPr>
        <w:fldChar w:fldCharType="separate"/>
      </w:r>
      <w:r w:rsidR="00E26C4A" w:rsidRPr="00E26C4A">
        <w:rPr>
          <w:noProof/>
        </w:rPr>
        <w:t>[4]</w:t>
      </w:r>
      <w:r w:rsidRPr="00822065">
        <w:rPr>
          <w:vertAlign w:val="superscript"/>
        </w:rPr>
        <w:fldChar w:fldCharType="end"/>
      </w:r>
      <w:r w:rsidR="00E07A7F" w:rsidRPr="0026490E">
        <w:t>.</w:t>
      </w:r>
      <w:r>
        <w:rPr>
          <w:vertAlign w:val="superscript"/>
        </w:rPr>
        <w:t xml:space="preserve">  </w:t>
      </w:r>
      <w:r>
        <w:t xml:space="preserve">Strain-specific differences in treatment response could be studied by developing </w:t>
      </w:r>
      <w:r w:rsidR="001937E5">
        <w:t xml:space="preserve">CHI </w:t>
      </w:r>
      <w:r>
        <w:t xml:space="preserve">studies with </w:t>
      </w:r>
      <w:r w:rsidR="001937E5">
        <w:t xml:space="preserve">a </w:t>
      </w:r>
      <w:r>
        <w:t xml:space="preserve">diverse </w:t>
      </w:r>
      <w:r w:rsidR="001937E5">
        <w:t xml:space="preserve">range of </w:t>
      </w:r>
      <w:r w:rsidR="001937E5" w:rsidRPr="00D40F04">
        <w:rPr>
          <w:i/>
          <w:iCs/>
        </w:rPr>
        <w:t>S</w:t>
      </w:r>
      <w:r w:rsidR="001937E5">
        <w:t xml:space="preserve">. Typhi </w:t>
      </w:r>
      <w:r>
        <w:t xml:space="preserve">challenge stocks, including antibiotic sensitive </w:t>
      </w:r>
      <w:r w:rsidRPr="00C01E9D">
        <w:t>H58 (4.3.1) strain</w:t>
      </w:r>
      <w:r>
        <w:t xml:space="preserve">s. </w:t>
      </w:r>
      <w:r w:rsidR="004B23C1">
        <w:t>S</w:t>
      </w:r>
      <w:r w:rsidR="00DD6C72">
        <w:t xml:space="preserve">everal recent studies suggest that fluoroquinolones should not be </w:t>
      </w:r>
      <w:r w:rsidR="001937E5">
        <w:t xml:space="preserve">used </w:t>
      </w:r>
      <w:r w:rsidR="00DD6C72" w:rsidRPr="00D504FB">
        <w:t>for</w:t>
      </w:r>
      <w:r w:rsidR="001937E5">
        <w:t xml:space="preserve"> the</w:t>
      </w:r>
      <w:r w:rsidR="00DD6C72" w:rsidRPr="00D504FB">
        <w:t xml:space="preserve"> empirical treatment of enteric fever in South</w:t>
      </w:r>
      <w:r w:rsidR="00DD6C72">
        <w:t>/South East</w:t>
      </w:r>
      <w:r w:rsidR="00DD6C72" w:rsidRPr="00D504FB">
        <w:t xml:space="preserve"> Asia, due </w:t>
      </w:r>
      <w:r w:rsidR="001937E5">
        <w:t xml:space="preserve">to fluoroquinolone-resistance resulting in </w:t>
      </w:r>
      <w:r w:rsidR="00DD6C72" w:rsidRPr="00D504FB">
        <w:t>treatment failure</w:t>
      </w:r>
      <w:r w:rsidR="001937E5">
        <w:t xml:space="preserve">s </w:t>
      </w:r>
      <w:r w:rsidR="00DD6C72">
        <w:fldChar w:fldCharType="begin" w:fldLock="1"/>
      </w:r>
      <w:r w:rsidR="00CC6A0A">
        <w:instrText>ADDIN CSL_CITATION {"citationItems":[{"id":"ITEM-1","itemData":{"DOI":"10.1016/S1473-3099(15)00530-7","ISBN":"1474-4457","ISSN":"14744457","PMID":"20160067752","abstract":"Background: Because treatment with third-generation cephalosporins is associated with slow clinical improvement and high relapse burden for enteric fever, whereas the fluoroquinolone gatifloxacin is associated with rapid fever clearance and low relapse burden, we postulated that gatifloxacin would be superior to the cephalosporin ceftriaxone in treating enteric fever. Methods: We did an open-label, randomised, controlled, superiority trial at two hospitals in the Kathmandu valley, Nepal. Eligible participants were children (aged 2-13 years) and adult (aged 14-45 years) with criteria for</w:instrText>
      </w:r>
      <w:r w:rsidR="00CC6A0A">
        <w:rPr>
          <w:rFonts w:hint="eastAsia"/>
        </w:rPr>
        <w:instrText xml:space="preserve"> suspected enteric fever (body temperature </w:instrText>
      </w:r>
      <w:r w:rsidR="00CC6A0A">
        <w:rPr>
          <w:rFonts w:hint="eastAsia"/>
        </w:rPr>
        <w:instrText>≥</w:instrText>
      </w:r>
      <w:r w:rsidR="00CC6A0A">
        <w:rPr>
          <w:rFonts w:hint="eastAsia"/>
        </w:rPr>
        <w:instrText>38</w:instrText>
      </w:r>
      <w:r w:rsidR="00CC6A0A">
        <w:rPr>
          <w:rFonts w:hint="eastAsia"/>
        </w:rPr>
        <w:instrText>·</w:instrText>
      </w:r>
      <w:r w:rsidR="00CC6A0A">
        <w:rPr>
          <w:rFonts w:hint="eastAsia"/>
        </w:rPr>
        <w:instrText>0</w:instrText>
      </w:r>
      <w:r w:rsidR="00CC6A0A">
        <w:rPr>
          <w:rFonts w:hint="eastAsia"/>
        </w:rPr>
        <w:instrText>°</w:instrText>
      </w:r>
      <w:r w:rsidR="00CC6A0A">
        <w:rPr>
          <w:rFonts w:hint="eastAsia"/>
        </w:rPr>
        <w:instrText xml:space="preserve">C for </w:instrText>
      </w:r>
      <w:r w:rsidR="00CC6A0A">
        <w:rPr>
          <w:rFonts w:hint="eastAsia"/>
        </w:rPr>
        <w:instrText>≥</w:instrText>
      </w:r>
      <w:r w:rsidR="00CC6A0A">
        <w:rPr>
          <w:rFonts w:hint="eastAsia"/>
        </w:rPr>
        <w:instrText xml:space="preserve">4 days without a focus of infection). We randomly assigned eligible patients (1:1) without stratification to 7 days of either oral gatifloxacin (10 mg/kg per day) or intravenous ceftriaxone (60 mg/kg up to 2 g per day for patients aged 2-13 years, or 2 g per day for patients aged </w:instrText>
      </w:r>
      <w:r w:rsidR="00CC6A0A">
        <w:rPr>
          <w:rFonts w:hint="eastAsia"/>
        </w:rPr>
        <w:instrText>≥</w:instrText>
      </w:r>
      <w:r w:rsidR="00CC6A0A">
        <w:rPr>
          <w:rFonts w:hint="eastAsia"/>
        </w:rPr>
        <w:instrText>14 years). The randomisation list was computer-generated using blocks of four and six. The primary outcome was a composite of treatment failure, defined as the occurrence o</w:instrText>
      </w:r>
      <w:r w:rsidR="00CC6A0A">
        <w:instrText>f at least one of the following: fever clearance time of more than 7 days after treatment initiation; the need for rescue treatment on day 8; microbiological failure (ie, blood cultures positive for Salmonella enterica serotype Typhi, or Paratyphi A, B, or C) on day 8; or relapse or disease-related complications within 28 days of treatment initiation. We did the analyses in the modified intention-to-treat population, and subpopulations with either confirmed blood-culture positivity, or blood-culture negativity. The trial was powered to detect an increase of 20% in the risk of failure. This trial was registered at ClinicalTrials.gov, number NCT01421693, and is now closed. Findings: Between Sept 18, 2011, and July 14, 2014, we screened 725 patients for eligibility. On July 14, 2014, the trial was stopped early by the data safety and monitoring board because S Typhi strains with high-level resistance to ciprofloxacin and gatifloxacin had emerged. At this point, 239 were in the modified intention-to-treat population (120 assigned to gatifloxacin, 119 to ceftriaxone). 18 (15%) patients who received gatifloxacin had treatment failure, compared with 19 (16%) who received ceftriaxone (hazard ratio [HR] 1·04 [95% CI 0·55-1·98]; p=0·91). In the culture-confirmed population, 16 (26%) of 62 patients who received gatifloxacin failed treatment, compared with four (7%) of 54 who receive…","author":[{"dropping-particle":"","family":"Arjyal","given":"Amit","non-dropping-particle":"","parse-names":false,"suffix":""},{"dropping-particle":"","family":"Basnyat","given":"Buddha","non-dropping-particle":"","parse-names":false,"suffix":""},{"dropping-particle":"","family":"Nhan","given":"Ho Thi","non-dropping-particle":"","parse-names":false,"suffix":""},{"dropping-particle":"","family":"Koirala","given":"Samir","non-dropping-particle":"","parse-names":false,"suffix":""},{"dropping-particle":"","family":"Giri","given":"Abhishek","non-dropping-particle":"","parse-names":false,"suffix":""},{"dropping-particle":"","family":"Joshi","given":"Niva","non-dropping-particle":"","parse-names":false,"suffix":""},{"dropping-particle":"","family":"Shakya","given":"Mila","non-dropping-particle":"","parse-names":false,"suffix":""},{"dropping-particle":"","family":"Pathak","given":"Kamal Raj","non-dropping-particle":"","parse-names":false,"suffix":""},{"dropping-particle":"","family":"Mahat","given":"Saruna Pathak","non-dropping-particle":"","parse-names":false,"suffix":""},{"dropping-particle":"","family":"Prajapati","given":"Shanti Pradhan","non-dropping-particle":"","parse-names":false,"suffix":""},{"dropping-particle":"","family":"Adhikari","given":"Nabin","non-dropping-particle":"","parse-names":false,"suffix":""},{"dropping-particle":"","family":"Thapa","given":"Rajkumar","non-dropping-particle":"","parse-names":false,"suffix":""},{"dropping-particle":"","family":"Merson","given":"Laura","non-dropping-particle":"","parse-names":false,"suffix":""},{"dropping-particle":"","family":"Gajurel","given":"Damodar","non-dropping-particle":"","parse-names":false,"suffix":""},{"dropping-particle":"","family":"Lamsal","given":"Kamal","non-dropping-particle":"","parse-names":false,"suffix":""},{"dropping-particle":"","family":"Lamsal","given":"Dinesh","non-dropping-particle":"","parse-names":false,"suffix":""},{"dropping-particle":"","family":"Yadav","given":"Bharat Kumar","non-dropping-particle":"","parse-names":false,"suffix":""},{"dropping-particle":"","family":"Shah","given":"Ganesh","non-dropping-particle":"","parse-names":false,"suffix":""},{"dropping-particle":"","family":"Shrestha","given":"Poojan","non-dropping-particle":"","parse-names":false,"suffix":""},{"dropping-particle":"","family":"Dongol","given":"Sabina","non-dropping-particle":"","parse-names":false,"suffix":""},{"dropping-particle":"","family":"Karkey","given":"Abhilasha","non-dropping-particle":"","parse-names":false,"suffix":""},{"dropping-particle":"","family":"Thompson","given":"Corinne N.","non-dropping-particle":"","parse-names":false,"suffix":""},{"dropping-particle":"","family":"Thieu","given":"Nga Tran Vu","non-dropping-particle":"","parse-names":false,"suffix":""},{"dropping-particle":"","family":"Thanh","given":"Duy Pham","non-dropping-particle":"","parse-names":false,"suffix":""},{"dropping-particle":"","family":"Baker","given":"Stephen","non-dropping-particle":"","parse-names":false,"suffix":""},{"dropping-particle":"","family":"Thwaites","given":"Guy E.","non-dropping-particle":"","parse-names":false,"suffix":""},{"dropping-particle":"","family":"Wolbers","given":"Marcel","non-dropping-particle":"","parse-names":false,"suffix":""},{"dropping-particle":"","family":"Dolecek","given":"Christiane","non-dropping-particle":"","parse-names":false,"suffix":""}],"container-title":"The Lancet Infectious Diseases","id":"ITEM-1","issue":"5","issued":{"date-parts":[["2016","1"]]},"language":"English","page":"535-545","publisher":"Arjyal et al. Open Access article distributed under the terms of CC BY","title":"Gatifloxacin versus ceftriaxone for uncomplicated enteric fever in Nepal: An open-label, two-centre, randomised controlled trial","type":"article-journal","volume":"16"},"uris":["http://www.mendeley.com/documents/?uuid=b857e042-01ec-4f0d-82dc-5428ef6b0dd0"]}],"mendeley":{"formattedCitation":"[6]","plainTextFormattedCitation":"[6]","previouslyFormattedCitation":"[6]"},"properties":{"noteIndex":0},"schema":"https://github.com/citation-style-language/schema/raw/master/csl-citation.json"}</w:instrText>
      </w:r>
      <w:r w:rsidR="00DD6C72">
        <w:fldChar w:fldCharType="separate"/>
      </w:r>
      <w:r w:rsidR="00E26C4A" w:rsidRPr="00E26C4A">
        <w:rPr>
          <w:noProof/>
        </w:rPr>
        <w:t>[6]</w:t>
      </w:r>
      <w:r w:rsidR="00DD6C72">
        <w:fldChar w:fldCharType="end"/>
      </w:r>
      <w:r w:rsidR="00E07A7F">
        <w:t>.</w:t>
      </w:r>
      <w:r w:rsidR="00DD6C72" w:rsidRPr="00F359A5">
        <w:t xml:space="preserve"> </w:t>
      </w:r>
      <w:r w:rsidR="00DD6C72">
        <w:t>In addition, the European Medicines Agency has raised several safety concerns related to fluoroquinolone use, with specific reference to disabling and potentially permanent adverse events</w:t>
      </w:r>
      <w:r w:rsidR="00620466">
        <w:t xml:space="preserve"> </w:t>
      </w:r>
      <w:r w:rsidR="00DD6C72">
        <w:fldChar w:fldCharType="begin" w:fldLock="1"/>
      </w:r>
      <w:r w:rsidR="009A77A0">
        <w:instrText xml:space="preserve">ADDIN CSL_CITATION {"citationItems":[{"id":"ITEM-1","itemData":{"abstract":"On 15 November 2018, EMA finalised a review of serious, disabling and potentially permanent side effects with quinolone and fluoroquinolone antibiotics given by mouth, injection or inhalation. The review incorporated the views of patients, healthcare professionals and academics presented at EMA's public hearing on fluoroquinolone and quinolone antibiotics in June 2018. EMA's human medicines committee (CHMP) endorsed the recommendations of EMA's safety committee (PRAC) and concluded that the marketing authorisation of medicines containing cinoxacin, flumequine, nalidixic acid, and pipemidic acid should be suspended. The CHMP confirmed that the use of the remaining fluoroquinolone antibiotics should be restricted. In addition, the prescribing information for healthcare professionals and information for patients will describe the disabling and potentially permanent side effects and advise patients to stop treatment with a fluoroquinolone antibiotic at the first sign of a side effect involving muscles, tendons or joints and the nervous system. Restrictions on the use of fluoroquinolone antibiotics will mean that they should not be used: </w:instrText>
      </w:r>
      <w:r w:rsidR="009A77A0">
        <w:instrText xml:space="preserve"> to treat infections that might get better without treatment or are not severe (such as throat infections); </w:instrText>
      </w:r>
      <w:r w:rsidR="009A77A0">
        <w:instrText xml:space="preserve"> to treat non-bacterial infections, e.g. non-bacterial (chronic) prostatitis; </w:instrText>
      </w:r>
      <w:r w:rsidR="009A77A0">
        <w:instrText xml:space="preserve"> for preventing traveller's diarrhoea or recurring lower urinary tract infections (urine infections that do not extend beyond the bladder); </w:instrText>
      </w:r>
      <w:r w:rsidR="009A77A0">
        <w:instrText> to treat mild or moderate bacterial infections unless other antibacterial medicines commonly recommended for these infections cannot be used. Importantly, fluoroquinolones should generally be avoided in patients who have previously had serious side effects with a fluoroquinolone or quinolone antibiotic. They should be used with special caution in the elderly, patients with kidney disease and those who have had an organ transplantation because these patients are at a higher risk of tendon injury. Since the use of a corticosteroid with a fluoroquinolone also increases this risk, combined use of these medicines should be avoided.","author":[{"dropping-particle":"","family":"European Medicines Agency","given":"","non-dropping-particle":"","parse-names":false,"suffix":""}],"id":"ITEM-1","issued":{"date-parts":[["2019"]]},"title":"Disabling and potentially permanent side effects lead to suspension or restrictions of quinolone and fluoroquinolone antibiotics","type":"report"},"uris":["http://www.mendeley.com/documents/?uuid=cb0a9c4a-df73-37b2-b1d5-dc886bd599e0"]}],"mendeley":{"formattedCitation":"[49]","plainTextFormattedCitation":"[49]","previouslyFormattedCitation":"[48]"},"properties":{"noteIndex":0},"schema":"https://github.com/citation-style-language/schema/raw/master/csl-citation.json"}</w:instrText>
      </w:r>
      <w:r w:rsidR="00DD6C72">
        <w:fldChar w:fldCharType="separate"/>
      </w:r>
      <w:r w:rsidR="009A77A0" w:rsidRPr="009A77A0">
        <w:rPr>
          <w:noProof/>
        </w:rPr>
        <w:t>[49]</w:t>
      </w:r>
      <w:r w:rsidR="00DD6C72">
        <w:fldChar w:fldCharType="end"/>
      </w:r>
      <w:r w:rsidR="00E07A7F">
        <w:t>.</w:t>
      </w:r>
      <w:r w:rsidR="00DD6C72">
        <w:t xml:space="preserve"> </w:t>
      </w:r>
      <w:r w:rsidR="00620466" w:rsidRPr="00822065">
        <w:t xml:space="preserve">While our results may not be directly applicable to treatment options in </w:t>
      </w:r>
      <w:r w:rsidR="00620466">
        <w:t xml:space="preserve">endemic </w:t>
      </w:r>
      <w:r w:rsidR="00620466" w:rsidRPr="00822065">
        <w:t>settings</w:t>
      </w:r>
      <w:r w:rsidR="00620466">
        <w:t xml:space="preserve"> where fluoroquinolone-resistance is prevalent</w:t>
      </w:r>
      <w:r w:rsidR="00620466" w:rsidRPr="00822065">
        <w:t xml:space="preserve">, </w:t>
      </w:r>
      <w:r w:rsidR="00620466">
        <w:t xml:space="preserve">we believe </w:t>
      </w:r>
      <w:r w:rsidR="00620466" w:rsidRPr="00822065">
        <w:t>there are several relevant observations</w:t>
      </w:r>
      <w:r w:rsidR="00620466" w:rsidRPr="00620466">
        <w:t xml:space="preserve"> </w:t>
      </w:r>
      <w:r w:rsidR="00620466" w:rsidRPr="00822065">
        <w:t>from this study that should be considered when managing uncomplicated enteric fever</w:t>
      </w:r>
      <w:r w:rsidR="00620466">
        <w:t xml:space="preserve"> in adults</w:t>
      </w:r>
      <w:r w:rsidR="00620466" w:rsidRPr="00822065">
        <w:t>.</w:t>
      </w:r>
      <w:r w:rsidR="00620466">
        <w:t xml:space="preserve"> </w:t>
      </w:r>
    </w:p>
    <w:p w14:paraId="4299A49D" w14:textId="77777777" w:rsidR="001937E5" w:rsidRDefault="001937E5" w:rsidP="001937E5"/>
    <w:p w14:paraId="0539684D" w14:textId="72828572" w:rsidR="001937E5" w:rsidRDefault="005E34DF" w:rsidP="001937E5">
      <w:r>
        <w:t xml:space="preserve">Another limitation of the study </w:t>
      </w:r>
      <w:r w:rsidR="00F04BB6">
        <w:t>was the absence of randomisation of antibiotic allocation for S</w:t>
      </w:r>
      <w:r>
        <w:t xml:space="preserve">tudy B. In </w:t>
      </w:r>
      <w:r w:rsidR="00F04BB6">
        <w:t>S</w:t>
      </w:r>
      <w:r>
        <w:t>tudy A, randomisation took place at the time of enrolment, but not after typhoid diagnosis. Th</w:t>
      </w:r>
      <w:r w:rsidR="00620466">
        <w:t>is</w:t>
      </w:r>
      <w:r>
        <w:t xml:space="preserve"> </w:t>
      </w:r>
      <w:r w:rsidR="00620466">
        <w:t xml:space="preserve">may have resulted in an </w:t>
      </w:r>
      <w:r>
        <w:t>imbalance of sample size and potentially covariates. However, after adjusting for the key covariates</w:t>
      </w:r>
      <w:r w:rsidR="00620466">
        <w:t>,</w:t>
      </w:r>
      <w:r>
        <w:t xml:space="preserve"> pre-specified in the statistical analysis plan, most of the results </w:t>
      </w:r>
      <w:r w:rsidR="00F04BB6">
        <w:t xml:space="preserve">were </w:t>
      </w:r>
      <w:r>
        <w:t xml:space="preserve">consistent with the </w:t>
      </w:r>
      <w:r w:rsidR="00620466">
        <w:t xml:space="preserve">unadjusted </w:t>
      </w:r>
      <w:r>
        <w:t xml:space="preserve">analysis.  </w:t>
      </w:r>
    </w:p>
    <w:p w14:paraId="723CBC8A" w14:textId="77777777" w:rsidR="00EC78B1" w:rsidRPr="00157141" w:rsidRDefault="00EC78B1" w:rsidP="0026490E"/>
    <w:p w14:paraId="1F19F6D1" w14:textId="6ED25125" w:rsidR="00EC78B1" w:rsidRPr="00157141" w:rsidRDefault="00EC78B1" w:rsidP="0026490E">
      <w:r>
        <w:t>In summary, o</w:t>
      </w:r>
      <w:r w:rsidRPr="00157141">
        <w:t xml:space="preserve">ral azithromycin is an effective </w:t>
      </w:r>
      <w:r w:rsidR="00620466">
        <w:t xml:space="preserve">outpatient </w:t>
      </w:r>
      <w:r w:rsidR="00620466" w:rsidRPr="00157141">
        <w:t>treatment</w:t>
      </w:r>
      <w:r w:rsidR="00620466">
        <w:t xml:space="preserve"> </w:t>
      </w:r>
      <w:r w:rsidRPr="00157141">
        <w:t xml:space="preserve">option for </w:t>
      </w:r>
      <w:r w:rsidR="00620466">
        <w:t xml:space="preserve">adults with </w:t>
      </w:r>
      <w:r w:rsidRPr="00157141">
        <w:t xml:space="preserve">uncomplicated enteric fever and should be used in high-burden </w:t>
      </w:r>
      <w:r w:rsidR="002A5B09">
        <w:t>countries</w:t>
      </w:r>
      <w:r w:rsidRPr="00157141">
        <w:t xml:space="preserve"> where fluoroquinolone-resistance is common. </w:t>
      </w:r>
      <w:r w:rsidR="00ED4B8E" w:rsidRPr="00157141">
        <w:t xml:space="preserve">Administration of a loading dose </w:t>
      </w:r>
      <w:r w:rsidR="00620466">
        <w:t xml:space="preserve">of azithromycin </w:t>
      </w:r>
      <w:r w:rsidR="00ED4B8E" w:rsidRPr="00157141">
        <w:t>should be considered</w:t>
      </w:r>
      <w:r w:rsidR="00620466">
        <w:t xml:space="preserve">, as it will assist with increasing </w:t>
      </w:r>
      <w:r w:rsidR="00ED4B8E">
        <w:t xml:space="preserve">intracellular concentrations beyond the MIC </w:t>
      </w:r>
      <w:r w:rsidR="00ED4B8E" w:rsidRPr="00860844">
        <w:t xml:space="preserve">in more patients </w:t>
      </w:r>
      <w:r w:rsidR="00ED4B8E">
        <w:t xml:space="preserve">during the </w:t>
      </w:r>
      <w:r w:rsidR="00ED4B8E" w:rsidRPr="00860844">
        <w:t>first 24 hours of treatment</w:t>
      </w:r>
      <w:r w:rsidR="00ED4B8E" w:rsidRPr="00157141">
        <w:t>.</w:t>
      </w:r>
      <w:r w:rsidRPr="00157141">
        <w:t xml:space="preserve"> </w:t>
      </w:r>
      <w:r w:rsidR="00E26C4A">
        <w:t>In the era of increasing fluoroquinolone</w:t>
      </w:r>
      <w:r w:rsidR="00620466">
        <w:t>-</w:t>
      </w:r>
      <w:r w:rsidR="00E26C4A">
        <w:t xml:space="preserve">resistance and apparent re-emergence of sensitivity to traditional first line </w:t>
      </w:r>
      <w:r w:rsidR="00E26C4A">
        <w:lastRenderedPageBreak/>
        <w:t>agents</w:t>
      </w:r>
      <w:r w:rsidR="00620466">
        <w:t xml:space="preserve"> </w:t>
      </w:r>
      <w:r w:rsidR="00E26C4A" w:rsidRPr="00D504FB">
        <w:fldChar w:fldCharType="begin" w:fldLock="1"/>
      </w:r>
      <w:r w:rsidR="009A77A0">
        <w:instrText>ADDIN CSL_CITATION {"citationItems":[{"id":"ITEM-1","itemData":{"DOI":"10.1101/250142","abstract":"Background: Children are substantially affected by enteric fever in most settings with a high burden of the disease, which could be due to immune naivety, or enhanced risk of exposure to the pathogen. Although Nepal is a high burden setting for enteric fever, the bacterial population structure and transmission dynamics are poorly delineated in young children, the proposed target group for immunization programs. Methods: Blood culture surveillance amongst children aged 2 months to 15 years of age was conducted at Patan Hospital between 2008 and 2016. A total of 198 S. Typhi and 66 S. Paratyphi A isolated from children treated in both inpatient and outpatient settings were subjected to whole genome sequencing and antimicrobial susceptibility testing. Demographic and clinical data were also collected from the inpatients. The resulting data were used to place these paediatric Nepali isolates into a worldwide con</w:instrText>
      </w:r>
      <w:r w:rsidR="009A77A0">
        <w:rPr>
          <w:rFonts w:hint="eastAsia"/>
        </w:rPr>
        <w:instrText xml:space="preserve">text, based on their phylogeny and carriage of molecular determinants of antimicrobial resistance (AMR). Results: Children aged </w:instrText>
      </w:r>
      <w:r w:rsidR="009A77A0">
        <w:rPr>
          <w:rFonts w:hint="eastAsia"/>
        </w:rPr>
        <w:instrText>≤</w:instrText>
      </w:r>
      <w:r w:rsidR="009A77A0">
        <w:rPr>
          <w:rFonts w:hint="eastAsia"/>
        </w:rPr>
        <w:instrText>4 years made up &gt;40% of the inpatient population. The majority of isolates (78 %) were S. Typhi, comprising several distinct g</w:instrText>
      </w:r>
      <w:r w:rsidR="009A77A0">
        <w:instrText>enotypes but dominated by 4.3.1 (H58). Several distinct S. Typhi genotypes were identified, but the globally disseminated S. Typhi clade 4.3.1 (H58) dominated. The majority of isolates (86%) were insusceptible to fluoroquinolones. This was mainly associated with S. Typhi H58 Lineage II and S. Paratyphi A; non-susceptible strains from these two genotypes accounted for 50% and 25% of all enteric fever cases. Multi-drug resistance (MDR) was rare (3.5% of S. Typhi, 0 S. Paratyphi A) and restricted to chromosomal insertions of AMR genes in H58 lineage I strains. Comparison to global data sets showed the local S. Typhi and S. Paratyphi A strains had close genetic relatives in other South Asian countries, indicating regional strain circulation. Conclusions: These data indicate that enteric fever in Nepal continues to be a major public health issue with ongoing inter- and intra-country transmission, and highlights the need for regional coordination of intervention strategies. The absence of a S. Paratyphi A vaccine is cause for concern, given its prevalence as an enteric fever agent in this setting, and the large proportion of isolates displaying fluoroquinolone resistance. This study also highlights an urgent need for routine laboratory and molecular surveillance to monitor the epidemiology of enteric fever…","author":[{"dropping-particle":"","family":"Britto","given":"Carl","non-dropping-particle":"","parse-names":false,"suffix":""},{"dropping-particle":"","family":"Dyson","given":"Zoe Anne","non-dropping-particle":"","parse-names":false,"suffix":""},{"dropping-particle":"","family":"Duchene","given":"Sebastian","non-dropping-particle":"","parse-names":false,"suffix":""},{"dropping-particle":"","family":"Carter","given":"Michael","non-dropping-particle":"","parse-names":false,"suffix":""},{"dropping-particle":"","family":"Gurung","given":"Meeru","non-dropping-particle":"","parse-names":false,"suffix":""},{"dropping-particle":"","family":"Kelly","given":"Dominic","non-dropping-particle":"","parse-names":false,"suffix":""},{"dropping-particle":"","family":"Murdoch","given":"David","non-dropping-particle":"","parse-names":false,"suffix":""},{"dropping-particle":"","family":"Ansari","given":"Imran","non-dropping-particle":"","parse-names":false,"suffix":""},{"dropping-particle":"","family":"Thorson","given":"Stephen","non-dropping-particle":"","parse-names":false,"suffix":""},{"dropping-particle":"","family":"Shrestha","given":"Shrijana","non-dropping-particle":"","parse-names":false,"suffix":""},{"dropping-particle":"","family":"Adhikari","given":"Neelam","non-dropping-particle":"","parse-names":false,"suffix":""},{"dropping-particle":"","family":"Dougan","given":"Gordon","non-dropping-particle":"","parse-names":false,"suffix":""},{"dropping-particle":"","family":"Holt","given":"Kathryn","non-dropping-particle":"","parse-names":false,"suffix":""},{"dropping-particle":"","family":"Pollard","given":"Andrew","non-dropping-particle":"","parse-names":false,"suffix":""}],"container-title":"PLoS Neglected Tropical Diseases","id":"ITEM-1","issued":{"date-parts":[["2018","1"]]},"page":"250142","title":"Laboratory and Molecular Surveillance of Paediatric Typhoidal Salmonella in Nepal: Antimicrobial Resistance and Implications for Vaccine Policy","type":"article-journal"},"uris":["http://www.mendeley.com/documents/?uuid=8fe0e370-9d44-32ae-97ff-348bc8be5fdc","http://www.mendeley.com/documents/?uuid=8c9a4d2d-5a6e-4da1-9711-6a8958af9654"]}],"mendeley":{"formattedCitation":"[50]","plainTextFormattedCitation":"[50]","previouslyFormattedCitation":"[49]"},"properties":{"noteIndex":0},"schema":"https://github.com/citation-style-language/schema/raw/master/csl-citation.json"}</w:instrText>
      </w:r>
      <w:r w:rsidR="00E26C4A" w:rsidRPr="00D504FB">
        <w:fldChar w:fldCharType="separate"/>
      </w:r>
      <w:r w:rsidR="009A77A0" w:rsidRPr="009A77A0">
        <w:rPr>
          <w:noProof/>
        </w:rPr>
        <w:t>[50]</w:t>
      </w:r>
      <w:r w:rsidR="00E26C4A" w:rsidRPr="00D504FB">
        <w:fldChar w:fldCharType="end"/>
      </w:r>
      <w:r w:rsidR="00E26C4A">
        <w:t>, f</w:t>
      </w:r>
      <w:r w:rsidRPr="00075EFF">
        <w:t>urther studies are required to assess novel treatment strategies, including</w:t>
      </w:r>
      <w:r>
        <w:t xml:space="preserve"> appropriate azithromycin dosing </w:t>
      </w:r>
      <w:r w:rsidR="004B23C1">
        <w:t xml:space="preserve">regimens; </w:t>
      </w:r>
      <w:r w:rsidR="004B23C1" w:rsidRPr="00075EFF">
        <w:t>novel</w:t>
      </w:r>
      <w:r>
        <w:t xml:space="preserve"> antimicrobials;</w:t>
      </w:r>
      <w:r w:rsidRPr="00075EFF">
        <w:t xml:space="preserve"> antibiotic cycling</w:t>
      </w:r>
      <w:r w:rsidR="00620466">
        <w:t xml:space="preserve">; </w:t>
      </w:r>
      <w:r w:rsidRPr="00075EFF">
        <w:t>combination therapies</w:t>
      </w:r>
      <w:r w:rsidR="00620466">
        <w:t xml:space="preserve"> and treatment options in children</w:t>
      </w:r>
      <w:r w:rsidRPr="00075EFF">
        <w:t>.</w:t>
      </w:r>
      <w:r w:rsidR="00620466">
        <w:t xml:space="preserve"> </w:t>
      </w:r>
      <w:r w:rsidRPr="00075EFF">
        <w:t xml:space="preserve">Pending the assessment of new treatment strategies, </w:t>
      </w:r>
      <w:r w:rsidRPr="008C1190">
        <w:t xml:space="preserve">we advocate for the deployment of TCVs in line with WHO recommendations, to improve child health and limit the spread of antibiotic resistant </w:t>
      </w:r>
      <w:r w:rsidRPr="00D04636">
        <w:rPr>
          <w:i/>
        </w:rPr>
        <w:t>S</w:t>
      </w:r>
      <w:r w:rsidRPr="008C1190">
        <w:t xml:space="preserve">. Typhi. </w:t>
      </w:r>
    </w:p>
    <w:p w14:paraId="44F9B214" w14:textId="77777777" w:rsidR="00EC78B1" w:rsidRPr="00EC78B1" w:rsidRDefault="00EC78B1" w:rsidP="00837E94">
      <w:pPr>
        <w:suppressLineNumbers/>
      </w:pPr>
    </w:p>
    <w:p w14:paraId="2BABD68E" w14:textId="77777777" w:rsidR="00CD2686" w:rsidRPr="00CD2686" w:rsidRDefault="00CD2686" w:rsidP="00837E94">
      <w:pPr>
        <w:suppressLineNumbers/>
      </w:pPr>
    </w:p>
    <w:p w14:paraId="2803FCBD" w14:textId="77777777" w:rsidR="006065AC" w:rsidRDefault="006065AC" w:rsidP="00837E94">
      <w:pPr>
        <w:suppressLineNumbers/>
      </w:pPr>
    </w:p>
    <w:p w14:paraId="4F69AB37" w14:textId="3927EA9C" w:rsidR="00CD2686" w:rsidRDefault="00CD2686" w:rsidP="00837E94">
      <w:pPr>
        <w:sectPr w:rsidR="00CD2686" w:rsidSect="00A82477">
          <w:pgSz w:w="11900" w:h="16840"/>
          <w:pgMar w:top="1440" w:right="1440" w:bottom="1440" w:left="1440" w:header="708" w:footer="708" w:gutter="0"/>
          <w:lnNumType w:countBy="1" w:restart="continuous"/>
          <w:cols w:space="708"/>
          <w:docGrid w:linePitch="360"/>
        </w:sectPr>
      </w:pPr>
    </w:p>
    <w:p w14:paraId="660E3CF0" w14:textId="0B2E8D56" w:rsidR="006065AC" w:rsidRDefault="006065AC" w:rsidP="009E41DD">
      <w:pPr>
        <w:pStyle w:val="Heading2"/>
      </w:pPr>
      <w:r w:rsidRPr="00C77BF0">
        <w:lastRenderedPageBreak/>
        <w:t xml:space="preserve">Acknowledgements </w:t>
      </w:r>
    </w:p>
    <w:p w14:paraId="4B44A6D7" w14:textId="77777777" w:rsidR="006065AC" w:rsidRDefault="006065AC" w:rsidP="0026490E">
      <w:pPr>
        <w:pStyle w:val="Heading3"/>
        <w:spacing w:line="240" w:lineRule="auto"/>
      </w:pPr>
      <w:r>
        <w:t xml:space="preserve">Acknowledgements </w:t>
      </w:r>
    </w:p>
    <w:p w14:paraId="23C17646" w14:textId="019B702C" w:rsidR="006065AC" w:rsidRDefault="006065AC" w:rsidP="006C25B6">
      <w:pPr>
        <w:spacing w:line="240" w:lineRule="auto"/>
      </w:pPr>
      <w:r w:rsidRPr="00402EE0">
        <w:t>The authors wish to acknowledge the contribution of all participants who have taken part in th</w:t>
      </w:r>
      <w:r w:rsidR="001E1DBF">
        <w:t>e</w:t>
      </w:r>
      <w:r w:rsidRPr="00402EE0">
        <w:t xml:space="preserve"> stud</w:t>
      </w:r>
      <w:r w:rsidR="001E1DBF">
        <w:t>ies</w:t>
      </w:r>
      <w:r>
        <w:t>.</w:t>
      </w:r>
    </w:p>
    <w:p w14:paraId="4FE3320C" w14:textId="7E9B19ED" w:rsidR="006065AC" w:rsidRPr="00DE4D1A" w:rsidRDefault="006065AC" w:rsidP="00ED5AD4">
      <w:pPr>
        <w:spacing w:line="240" w:lineRule="auto"/>
        <w:rPr>
          <w:rFonts w:ascii="Times New Roman" w:hAnsi="Times New Roman" w:cs="Times New Roman"/>
          <w:sz w:val="24"/>
          <w:szCs w:val="24"/>
          <w:lang w:val="en-GB"/>
        </w:rPr>
      </w:pPr>
      <w:r w:rsidRPr="00DE4D1A">
        <w:t xml:space="preserve">The authors </w:t>
      </w:r>
      <w:r>
        <w:t xml:space="preserve">also </w:t>
      </w:r>
      <w:r w:rsidRPr="00DE4D1A">
        <w:t>acknowledge the support of the Wellcome Trust in development of the typhoid human challenge model which was used for this study, and the support of the NIHR Oxford Biomedical Research Centre.</w:t>
      </w:r>
      <w:r>
        <w:rPr>
          <w:rFonts w:ascii="Times New Roman" w:hAnsi="Times New Roman" w:cs="Times New Roman"/>
          <w:sz w:val="24"/>
          <w:szCs w:val="24"/>
          <w:lang w:val="en-GB"/>
        </w:rPr>
        <w:t xml:space="preserve"> </w:t>
      </w:r>
      <w:r w:rsidRPr="00402EE0">
        <w:t>In addition, the authors wish to thank the following persons: members of the Data Safety Monitoring Committee (Professor David Lalloo, Professor David Hill, Dr Philip Monk) for providing safety oversight of the study; Marcus Morgan and the microbiology laboratory at the Oxford University Hospital NHS foundation Trust; Marianne McClure</w:t>
      </w:r>
      <w:r>
        <w:t xml:space="preserve">; </w:t>
      </w:r>
      <w:r w:rsidRPr="00402EE0">
        <w:t xml:space="preserve">Professor Myron M Levine and the University of Maryland for provision of the original </w:t>
      </w:r>
      <w:r w:rsidRPr="00402EE0">
        <w:rPr>
          <w:i/>
        </w:rPr>
        <w:t>S.</w:t>
      </w:r>
      <w:r w:rsidRPr="00402EE0">
        <w:t xml:space="preserve"> Typhi Quailes challenge strain</w:t>
      </w:r>
      <w:r w:rsidR="0029190F">
        <w:t>;</w:t>
      </w:r>
      <w:r w:rsidR="0029190F" w:rsidRPr="0029190F">
        <w:t xml:space="preserve"> </w:t>
      </w:r>
      <w:r w:rsidR="0029190F">
        <w:t>Yama F</w:t>
      </w:r>
      <w:r w:rsidR="00820F27">
        <w:t xml:space="preserve"> Mujadidi</w:t>
      </w:r>
      <w:r w:rsidR="0029190F">
        <w:t xml:space="preserve"> for ICT support and database management</w:t>
      </w:r>
      <w:r w:rsidRPr="00402EE0">
        <w:t>.</w:t>
      </w:r>
    </w:p>
    <w:p w14:paraId="5A03CF4C" w14:textId="77777777" w:rsidR="006065AC" w:rsidRPr="00402EE0" w:rsidRDefault="006065AC" w:rsidP="00ED5AD4">
      <w:pPr>
        <w:spacing w:line="240" w:lineRule="auto"/>
      </w:pPr>
    </w:p>
    <w:p w14:paraId="10A80558" w14:textId="559B146C" w:rsidR="004E3D53" w:rsidRDefault="004E3D53" w:rsidP="006C25B6">
      <w:pPr>
        <w:spacing w:line="240" w:lineRule="auto"/>
        <w:sectPr w:rsidR="004E3D53" w:rsidSect="009C6165">
          <w:pgSz w:w="11900" w:h="16840"/>
          <w:pgMar w:top="1440" w:right="1440" w:bottom="1440" w:left="1440" w:header="720" w:footer="720" w:gutter="0"/>
          <w:cols w:space="720"/>
          <w:docGrid w:linePitch="360"/>
        </w:sectPr>
      </w:pPr>
    </w:p>
    <w:p w14:paraId="257B9A57" w14:textId="4C9802D9" w:rsidR="00540DA7" w:rsidRDefault="00605378" w:rsidP="007E5D2E">
      <w:pPr>
        <w:pStyle w:val="Heading2"/>
      </w:pPr>
      <w:r>
        <w:lastRenderedPageBreak/>
        <w:t>References</w:t>
      </w:r>
    </w:p>
    <w:p w14:paraId="44BEABEC" w14:textId="445BC4D7" w:rsidR="009A77A0" w:rsidRPr="009A77A0" w:rsidRDefault="009C6165" w:rsidP="007E5D2E">
      <w:pPr>
        <w:widowControl w:val="0"/>
        <w:autoSpaceDE w:val="0"/>
        <w:autoSpaceDN w:val="0"/>
        <w:adjustRightInd w:val="0"/>
        <w:spacing w:line="240" w:lineRule="auto"/>
        <w:ind w:left="640" w:hanging="640"/>
        <w:rPr>
          <w:rFonts w:cs="Times New Roman"/>
          <w:noProof/>
        </w:rPr>
      </w:pPr>
      <w:r>
        <w:fldChar w:fldCharType="begin" w:fldLock="1"/>
      </w:r>
      <w:r>
        <w:instrText xml:space="preserve">ADDIN Mendeley Bibliography CSL_BIBLIOGRAPHY </w:instrText>
      </w:r>
      <w:r>
        <w:fldChar w:fldCharType="separate"/>
      </w:r>
      <w:r w:rsidR="009A77A0" w:rsidRPr="009A77A0">
        <w:rPr>
          <w:rFonts w:cs="Times New Roman"/>
          <w:noProof/>
        </w:rPr>
        <w:t xml:space="preserve">1. </w:t>
      </w:r>
      <w:r w:rsidR="009A77A0" w:rsidRPr="009A77A0">
        <w:rPr>
          <w:rFonts w:cs="Times New Roman"/>
          <w:noProof/>
        </w:rPr>
        <w:tab/>
        <w:t>Stanaway JD, Reiner RC, Blacker BF, Goldberg EM, Khalil IA, Troeger CE, et al. The global burden of typhoid and paratyphoid fevers: a systematic analysis for the Global Burden of Disease Study 2017. Lancet Infect Dis. 2019;3099. doi:10.1016/S1473-3099(18)30685-6</w:t>
      </w:r>
    </w:p>
    <w:p w14:paraId="61D65AC5"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 </w:t>
      </w:r>
      <w:r w:rsidRPr="009A77A0">
        <w:rPr>
          <w:rFonts w:cs="Times New Roman"/>
          <w:noProof/>
        </w:rPr>
        <w:tab/>
        <w:t>Gay FP. Typhoid fever considered as a problem of scientific medicine [Internet]. 1918. Available: http://www.archive.org/details/cu31924000230502</w:t>
      </w:r>
    </w:p>
    <w:p w14:paraId="77650FD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 </w:t>
      </w:r>
      <w:r w:rsidRPr="009A77A0">
        <w:rPr>
          <w:rFonts w:cs="Times New Roman"/>
          <w:noProof/>
        </w:rPr>
        <w:tab/>
        <w:t>Parry CM, Hien TT, Dougan G, White NJ, Farrar JJ. Typhoid fever. N Engl J Med. 2002;347: 1770–1782. doi:10.1056/NEJMra020201</w:t>
      </w:r>
    </w:p>
    <w:p w14:paraId="7B1D372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 </w:t>
      </w:r>
      <w:r w:rsidRPr="009A77A0">
        <w:rPr>
          <w:rFonts w:cs="Times New Roman"/>
          <w:noProof/>
        </w:rPr>
        <w:tab/>
        <w:t>Wong VK, Baker S, Pickard DJ, Parkhill J, Page AJ, Feasey NA, et al. Phylogeographical analysis of the dominant multidrug-resistant H58 clade of Salmonella Typhi identifies inter- and intracontinental transmission events. Nat Genet. 2015;47: 632–639. doi:10.1038/ng.3281</w:t>
      </w:r>
    </w:p>
    <w:p w14:paraId="2ADA4FE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5. </w:t>
      </w:r>
      <w:r w:rsidRPr="009A77A0">
        <w:rPr>
          <w:rFonts w:cs="Times New Roman"/>
          <w:noProof/>
        </w:rPr>
        <w:tab/>
        <w:t>Tacconelli E, Carrara E, Savoldi A, Harbarth S, Mendelson M, Monnet DL, et al. Discovery, research, and development of new antibiotics: The WHO priority list of antibiotic-resistant bacteria and tuberculosis. Lancet Infect Dis. 2017;18: 318–327. doi:10.1016/S1473-3099(17)30753-3</w:t>
      </w:r>
    </w:p>
    <w:p w14:paraId="14381E52"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6. </w:t>
      </w:r>
      <w:r w:rsidRPr="009A77A0">
        <w:rPr>
          <w:rFonts w:cs="Times New Roman"/>
          <w:noProof/>
        </w:rPr>
        <w:tab/>
        <w:t>Arjyal A, Basnyat B, Nhan HT, Koirala S, Giri A, Joshi N, et al. Gatifloxacin versus ceftriaxone for uncomplicated enteric fever in Nepal: An open-label, two-centre, randomised controlled trial. Lancet Infect Dis. Arjyal et al. Open Access article distributed under the terms of CC BY; 2016;16: 535–545. doi:10.1016/S1473-3099(15)00530-7</w:t>
      </w:r>
    </w:p>
    <w:p w14:paraId="47EFFB9E"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7. </w:t>
      </w:r>
      <w:r w:rsidRPr="009A77A0">
        <w:rPr>
          <w:rFonts w:cs="Times New Roman"/>
          <w:noProof/>
        </w:rPr>
        <w:tab/>
        <w:t>Phoba MF, Barbé B, Lunguya O, Masendu L, Lulengwa D, Dougan G, et al. Salmonella enterica serovar Typhi Producing CTX-M-15 Extended Spectrum β-Lactamase in the Democratic Republic of the Congo. Clin Infect Dis. 2017; doi:10.1093/cid/cix342</w:t>
      </w:r>
    </w:p>
    <w:p w14:paraId="5C94AF58"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8. </w:t>
      </w:r>
      <w:r w:rsidRPr="009A77A0">
        <w:rPr>
          <w:rFonts w:cs="Times New Roman"/>
          <w:noProof/>
        </w:rPr>
        <w:tab/>
        <w:t>Godbole G, McCann N, Jones SM, Dallman TJ, Brown M. Ceftriaxone-resistant Salmonella Typhi in a traveller returning from a mass gathering in Iraq. Lancet Infect Dis. Elsevier Ltd; 2019;19: 467. doi:10.1016/S1473-3099(19)30176-8</w:t>
      </w:r>
    </w:p>
    <w:p w14:paraId="4F179FB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9. </w:t>
      </w:r>
      <w:r w:rsidRPr="009A77A0">
        <w:rPr>
          <w:rFonts w:cs="Times New Roman"/>
          <w:noProof/>
        </w:rPr>
        <w:tab/>
        <w:t>Klemm EJ, Shakoor S, Page AJ, Qamar FN, Judge K, Saeed DK, et al. Emergence of an Extensively Drug-Resistant Salmonella enterica Serovar Typhi Clone Harboring a Promiscuous Plasmid Encoding Resistance to Fluoroquinolones and Third-Generation Cephalosporins. MBio. 2018;9: e00105-18. doi:10.1128/mBio.00105-18</w:t>
      </w:r>
    </w:p>
    <w:p w14:paraId="58579DD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10. </w:t>
      </w:r>
      <w:r w:rsidRPr="009A77A0">
        <w:rPr>
          <w:rFonts w:cs="Times New Roman"/>
          <w:noProof/>
        </w:rPr>
        <w:tab/>
        <w:t>Qamar FN, Yousafzai MT, Khalid M, Kazi AM, Lohana H, Karim S, et al. Outbreak investigation of ceftriaxone-resistant Salmonella enterica serotype Typhi and its risk factors among the general population in Hyderabad, Pakistan: a matched case-control study. Lancet Infect Dis. 2018; doi:10.1016/S1473-3099(18)30483-3</w:t>
      </w:r>
    </w:p>
    <w:p w14:paraId="344EA02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11. </w:t>
      </w:r>
      <w:r w:rsidRPr="009A77A0">
        <w:rPr>
          <w:rFonts w:cs="Times New Roman"/>
          <w:noProof/>
        </w:rPr>
        <w:tab/>
        <w:t>Parry CM, Ribeiro I, Walia K, Rupali P, Baker S, Basnyat B. Multidrug resistant enteric fever in South Asia: Unmet medical needs and opportunities. BMJ. 2019;364: 1–4. doi:10.1136/bmj.k5322</w:t>
      </w:r>
    </w:p>
    <w:p w14:paraId="47623B8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12. </w:t>
      </w:r>
      <w:r w:rsidRPr="009A77A0">
        <w:rPr>
          <w:rFonts w:cs="Times New Roman"/>
          <w:noProof/>
        </w:rPr>
        <w:tab/>
        <w:t>Hall IH, Schwab UE, Stacy Ward E, Butts JD, Wolford ET, Ives TJ. Disposition and intracellular activity of azithromycin in human THP-1 acute monocytes. Int J Antimicrob Agents. Elsevier; 2002;20: 348–360. doi:10.1016/S0924-8579(02)00187-5</w:t>
      </w:r>
    </w:p>
    <w:p w14:paraId="1E936C1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13. </w:t>
      </w:r>
      <w:r w:rsidRPr="009A77A0">
        <w:rPr>
          <w:rFonts w:cs="Times New Roman"/>
          <w:noProof/>
        </w:rPr>
        <w:tab/>
        <w:t xml:space="preserve">Parry CM, Ho VA, Phuong LT, Van Be Bay P, Lanh MN, Tung LT, et al. Randomized controlled comparison of ofloxacin, azithromycin, and an ofloxacin-azithromycin combination for treatment of multidrug-resistant and nalidixic acid-resistant typhoid fever. Antimicrob Agents Chemother. 2006/12/06. 2007;51: 819–825. </w:t>
      </w:r>
    </w:p>
    <w:p w14:paraId="18A655FF"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14. </w:t>
      </w:r>
      <w:r w:rsidRPr="009A77A0">
        <w:rPr>
          <w:rFonts w:cs="Times New Roman"/>
          <w:noProof/>
        </w:rPr>
        <w:tab/>
        <w:t>Chandey M, Multani AS. A comparative study of efficacy and safety of azithromycin and ofloxacin in uncomplicated typhoid fever: A randomised, open labelled study. J Clin Diagnostic Res. 2012;6: 1736–1739. doi:http://dx.doi.org/10.7860/JCDR/2012/4702.2631</w:t>
      </w:r>
    </w:p>
    <w:p w14:paraId="403DCE7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15. </w:t>
      </w:r>
      <w:r w:rsidRPr="009A77A0">
        <w:rPr>
          <w:rFonts w:cs="Times New Roman"/>
          <w:noProof/>
        </w:rPr>
        <w:tab/>
        <w:t>Girgis NI, Butler T, Frenck RW, Sultan Y, Brown FM, Tribble D, et al. Azithromycin versus ciprofloxacin for treatment of uncomplicated typhoid fever in a randomized trial in Egypt that included patients with multidrug resistance. Antimicrob Agents Chemother. 1999;43: 1441–1444. doi:10.1097/00006454-200001000-00025</w:t>
      </w:r>
    </w:p>
    <w:p w14:paraId="1E27436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16. </w:t>
      </w:r>
      <w:r w:rsidRPr="009A77A0">
        <w:rPr>
          <w:rFonts w:cs="Times New Roman"/>
          <w:noProof/>
        </w:rPr>
        <w:tab/>
        <w:t>Dolecek C, La TTP, Rang NN, Phuong LT, Vinh H, Tuan PQ, et al. A multi-center randomised controlled trial of gatifloxacin versus azithromycin for the treatment of uncomplicated typhoid fever in children and adults in Vietnam. PLoS One. 2008;3. doi:10.1371/journal.pone.0002188</w:t>
      </w:r>
    </w:p>
    <w:p w14:paraId="63510CB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17. </w:t>
      </w:r>
      <w:r w:rsidRPr="009A77A0">
        <w:rPr>
          <w:rFonts w:cs="Times New Roman"/>
          <w:noProof/>
        </w:rPr>
        <w:tab/>
        <w:t xml:space="preserve">Chinh NT, Parry CM, Ly NT, Ha HD, Thong MX, Diep TS, et al. A randomized controlled </w:t>
      </w:r>
      <w:r w:rsidRPr="009A77A0">
        <w:rPr>
          <w:rFonts w:cs="Times New Roman"/>
          <w:noProof/>
        </w:rPr>
        <w:lastRenderedPageBreak/>
        <w:t xml:space="preserve">comparison of azithromycin and ofloxacin for treatment of multidrug-resistant or nalidixic acid-resistant enteric fever. Antimicrob Agents Chemother. 2000;44: 1855–9. </w:t>
      </w:r>
    </w:p>
    <w:p w14:paraId="3761F44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18. </w:t>
      </w:r>
      <w:r w:rsidRPr="009A77A0">
        <w:rPr>
          <w:rFonts w:cs="Times New Roman"/>
          <w:noProof/>
        </w:rPr>
        <w:tab/>
        <w:t>Butler T, Sridhar CB, Daga MK, Pathak K, Pandit RB, Khakhria R, et al. Treatment of typhoid fever with azithromycin versus chloramphenicol in a randomized multicentre trial in India. J Antimicrob Chemother. 1999;44: 243–250. doi:10.1093/jac/44.2.243</w:t>
      </w:r>
    </w:p>
    <w:p w14:paraId="43E5A7F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19. </w:t>
      </w:r>
      <w:r w:rsidRPr="009A77A0">
        <w:rPr>
          <w:rFonts w:cs="Times New Roman"/>
          <w:noProof/>
        </w:rPr>
        <w:tab/>
        <w:t xml:space="preserve">Frenck RW, Mansour A, Nakhla I, Sultan Y, Putnam S, Wierzba T, et al. Short-course azithromycin for the treatment of uncomplicated typhoid fever in children and adolescents. Clin Infect Dis. 2004;38: 951–957. </w:t>
      </w:r>
    </w:p>
    <w:p w14:paraId="5C6A0DA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20. </w:t>
      </w:r>
      <w:r w:rsidRPr="009A77A0">
        <w:rPr>
          <w:rFonts w:cs="Times New Roman"/>
          <w:noProof/>
        </w:rPr>
        <w:tab/>
        <w:t>Frenck RW, Nakhla I, Sultan Y, Bassily SB, Girgis YF, David J, et al. Azithromycin versus ceftriaxone for the treatment of uncomplicated typhoid fever in children. Clin Infect Dis. 2000;31: 1134–1138. doi:10.1086/317450</w:t>
      </w:r>
    </w:p>
    <w:p w14:paraId="6B9A350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21. </w:t>
      </w:r>
      <w:r w:rsidRPr="009A77A0">
        <w:rPr>
          <w:rFonts w:cs="Times New Roman"/>
          <w:noProof/>
        </w:rPr>
        <w:tab/>
        <w:t>Hooda Y, Saha S, Sajib MSI, Rahman H, Luby SP, Bondy-Denomy J, et al. Emergence and molecular basis of azithromycin resistance in typhoidal Salmonella in Dhaka, Bangladesh. bioRxiv. Cold Spring Harbor Laboratory; 2019; 594531. doi:10.1101/594531</w:t>
      </w:r>
    </w:p>
    <w:p w14:paraId="15F12F5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22. </w:t>
      </w:r>
      <w:r w:rsidRPr="009A77A0">
        <w:rPr>
          <w:rFonts w:cs="Times New Roman"/>
          <w:noProof/>
        </w:rPr>
        <w:tab/>
        <w:t xml:space="preserve">Wallace M, Yousif A, Habib N, Tribble D. Azithromycin and typhoid. Lancet. 1994;343: 1497–1498. </w:t>
      </w:r>
    </w:p>
    <w:p w14:paraId="60B15EA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23. </w:t>
      </w:r>
      <w:r w:rsidRPr="009A77A0">
        <w:rPr>
          <w:rFonts w:cs="Times New Roman"/>
          <w:noProof/>
        </w:rPr>
        <w:tab/>
        <w:t xml:space="preserve">DuPont H, Hornick R, Weiss C, Synder M, Woodward T. Evaluation fo Chloramphenicol Acid Succinate Therapy of Induced Typhoid Fever and Rocky Mountain Spotted Fever. N Engl J Med. 1970;282: 53–57. </w:t>
      </w:r>
    </w:p>
    <w:p w14:paraId="0F888B1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24. </w:t>
      </w:r>
      <w:r w:rsidRPr="009A77A0">
        <w:rPr>
          <w:rFonts w:cs="Times New Roman"/>
          <w:noProof/>
        </w:rPr>
        <w:tab/>
        <w:t xml:space="preserve">Jin C, Gibani MM, Moore M, Juel HB, Jones E, Meiring J, et al. Efficacy and immunogenicity of a Vi-tetanus toxoid conjugate vaccine in the prevention of typhoid fever using a controlled human infection model of Salmonella Typhi: a randomised controlled, phase 2b trial. Lancet. 2017;390: 2472–2480. </w:t>
      </w:r>
    </w:p>
    <w:p w14:paraId="044D2FE7"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25. </w:t>
      </w:r>
      <w:r w:rsidRPr="009A77A0">
        <w:rPr>
          <w:rFonts w:cs="Times New Roman"/>
          <w:noProof/>
        </w:rPr>
        <w:tab/>
        <w:t>Hornick RB, Greisman SE, Woodward TE, DuPont HL, Dawkins AT, Snyder MJ. Typhoid fever: pathogenesis and immunologic control. N Engl J Med. 1970;283: 686–91. doi:10.1056/NEJM197010012831406</w:t>
      </w:r>
    </w:p>
    <w:p w14:paraId="2033610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26. </w:t>
      </w:r>
      <w:r w:rsidRPr="009A77A0">
        <w:rPr>
          <w:rFonts w:cs="Times New Roman"/>
          <w:noProof/>
        </w:rPr>
        <w:tab/>
        <w:t>Waddington CS, Darton TC, Jones C, Haworth K, Peters A, John T, et al. An outpatient, ambulant-design, controlled human infection model using escalating doses of Salmonella Typhi challenge delivered in sodium bicarbonate solution. Clin Infect Dis. 2014;58: 1230–40. doi:10.1093/cid/ciu078</w:t>
      </w:r>
    </w:p>
    <w:p w14:paraId="6E1DEE2E"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27. </w:t>
      </w:r>
      <w:r w:rsidRPr="009A77A0">
        <w:rPr>
          <w:rFonts w:cs="Times New Roman"/>
          <w:noProof/>
        </w:rPr>
        <w:tab/>
        <w:t>Darton TC, Jones C, Blohmke CJ, Waddington CS, Zhou L, Peters A, et al. Using a Human Challenge Model of Infection to Measure Vaccine Efficacy: A Randomised, Controlled Trial Comparing the Typhoid Vaccines M01ZH09 with Placebo and Ty21a. PLoS Negl Trop Dis. 2016;10: e0004926. doi:10.1371/journal.pntd.0004926</w:t>
      </w:r>
    </w:p>
    <w:p w14:paraId="0D47541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28. </w:t>
      </w:r>
      <w:r w:rsidRPr="009A77A0">
        <w:rPr>
          <w:rFonts w:cs="Times New Roman"/>
          <w:noProof/>
        </w:rPr>
        <w:tab/>
        <w:t>Dobinson HC, Gibani MM, Jones C, Thomaides-Brears HB, Voysey M, Darton TC, et al. Evaluation of the clinical and microbiological response to salmonella paratyphi a infection in the first paratyphoid human challenge model. Clin Infect Dis. 2017;64. doi:10.1093/cid/cix042</w:t>
      </w:r>
    </w:p>
    <w:p w14:paraId="0472007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29. </w:t>
      </w:r>
      <w:r w:rsidRPr="009A77A0">
        <w:rPr>
          <w:rFonts w:cs="Times New Roman"/>
          <w:noProof/>
        </w:rPr>
        <w:tab/>
        <w:t>Wong VK, Baker S, Connor TR, Pickard D, Page AJ, Dave J, et al. An extended genotyping framework for Salmonella enterica serovar Typhi, the cause of human typhoid. Nat Commun. 2016;7: 12827. doi:10.1038/ncomms12827</w:t>
      </w:r>
    </w:p>
    <w:p w14:paraId="24880C8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30. </w:t>
      </w:r>
      <w:r w:rsidRPr="009A77A0">
        <w:rPr>
          <w:rFonts w:cs="Times New Roman"/>
          <w:noProof/>
        </w:rPr>
        <w:tab/>
        <w:t>Gibani MM, Voysey M, Jin C, Jones C, Thomaides-Brears H, Jones E, et al. The Impact of Vaccination and Prior Exposure on Stool Shedding of Salmonella Typhi and Salmonella Paratyphi in 6 Controlled Human Infection Studies. Clin Infect Dis. 2018; doi:10.1093/cid/ciy670</w:t>
      </w:r>
    </w:p>
    <w:p w14:paraId="12564FB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31. </w:t>
      </w:r>
      <w:r w:rsidRPr="009A77A0">
        <w:rPr>
          <w:rFonts w:cs="Times New Roman"/>
          <w:noProof/>
        </w:rPr>
        <w:tab/>
        <w:t>Sampson MR, Dumitrescu TP, Brouwer KLR, Schmith VD. Population pharmacokinetics of azithromycin in whole blood, peripheral blood mononuclear cells, and polymorphonuclear cells in healthy adults. CPT pharmacometrics Syst Pharmacol. Wiley-Blackwell; 2014;3: e103. doi:10.1038/psp.2013.80</w:t>
      </w:r>
    </w:p>
    <w:p w14:paraId="143D1F2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32. </w:t>
      </w:r>
      <w:r w:rsidRPr="009A77A0">
        <w:rPr>
          <w:rFonts w:cs="Times New Roman"/>
          <w:noProof/>
        </w:rPr>
        <w:tab/>
        <w:t>Neely MN, van Guilder MG, Yamada WM, Schumitzky A, Jelliffe RW. Accurate Detection of Outliers and Subpopulations With Pmetrics, a Nonparametric and Parametric Pharmacometric Modeling and Simulation Package for R. Ther Drug Monit. 2012;34: 467–476. doi:10.1097/FTD.0b013e31825c4ba6</w:t>
      </w:r>
    </w:p>
    <w:p w14:paraId="07E12F28"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33. </w:t>
      </w:r>
      <w:r w:rsidRPr="009A77A0">
        <w:rPr>
          <w:rFonts w:cs="Times New Roman"/>
          <w:noProof/>
        </w:rPr>
        <w:tab/>
        <w:t>Sanchez Navarro MD, Sayalero Marinero ML, Sánchez Navarro A. Pharmacokinetic/pharmacodynamic modelling of ciprofloxacin 250 mg/12 h versus 500 mg/24 h for urinary infections. J Antimicrob Chemother. 2002;50: 67–72. doi:10.1093/jac/dkf079</w:t>
      </w:r>
    </w:p>
    <w:p w14:paraId="64DABB0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34. </w:t>
      </w:r>
      <w:r w:rsidRPr="009A77A0">
        <w:rPr>
          <w:rFonts w:cs="Times New Roman"/>
          <w:noProof/>
        </w:rPr>
        <w:tab/>
        <w:t>Zhao Q, Tensfeldt TG, Chandra R, Mould DR. Population pharmacokinetics of azithromycin and chloroquine in healthy adults and paediatric malaria subjects following oral administration of fixed-</w:t>
      </w:r>
      <w:r w:rsidRPr="009A77A0">
        <w:rPr>
          <w:rFonts w:cs="Times New Roman"/>
          <w:noProof/>
        </w:rPr>
        <w:lastRenderedPageBreak/>
        <w:t>dose azithromycin and chloroquine combination tablets. Malar J. BioMed Central; 2014;13: 36. doi:10.1186/1475-2875-13-36</w:t>
      </w:r>
    </w:p>
    <w:p w14:paraId="3646609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35. </w:t>
      </w:r>
      <w:r w:rsidRPr="009A77A0">
        <w:rPr>
          <w:rFonts w:cs="Times New Roman"/>
          <w:noProof/>
        </w:rPr>
        <w:tab/>
        <w:t>Crump JA, Sjölund-Karlsson M, Gordon MA, Parry CM. Epidemiology, clinical presentation, laboratory diagnosis, antimicrobial resistance, and antimicrobial management of invasive Salmonella infections. Clin Microbiol Rev. 2015;28: 901–937. doi:10.1128/CMR.00002-15</w:t>
      </w:r>
    </w:p>
    <w:p w14:paraId="44F4B1F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36. </w:t>
      </w:r>
      <w:r w:rsidRPr="009A77A0">
        <w:rPr>
          <w:rFonts w:cs="Times New Roman"/>
          <w:noProof/>
        </w:rPr>
        <w:tab/>
        <w:t xml:space="preserve">Wain J, Diep TS, Ho VA, Walsh AM, Hoa NTT, Parry CM, et al. Quantitation of bacteria in blood of typhoid fever patients and relationship between counts and clinical features, transmissibility, and antibiotic resistance. J Clin Microbiol. 1998;36: 1683–1687. </w:t>
      </w:r>
    </w:p>
    <w:p w14:paraId="7A5CF9A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37. </w:t>
      </w:r>
      <w:r w:rsidRPr="009A77A0">
        <w:rPr>
          <w:rFonts w:cs="Times New Roman"/>
          <w:noProof/>
        </w:rPr>
        <w:tab/>
        <w:t xml:space="preserve">Foulds G, Shepard R, Johnson R. The pharmacokinetics of azithromycin in human serum and tissues. J Antimicrob Chemother. 1990;25: 73–82. </w:t>
      </w:r>
    </w:p>
    <w:p w14:paraId="5BE30F41"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38. </w:t>
      </w:r>
      <w:r w:rsidRPr="009A77A0">
        <w:rPr>
          <w:rFonts w:cs="Times New Roman"/>
          <w:noProof/>
        </w:rPr>
        <w:tab/>
        <w:t xml:space="preserve">Lode H. The Pharmacokinetics of Azithromycin and Their Clinical Significance. Eur J Clin Microbiol Infect Dis. 1991;10: 807–812. </w:t>
      </w:r>
    </w:p>
    <w:p w14:paraId="30CD0D73"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39. </w:t>
      </w:r>
      <w:r w:rsidRPr="009A77A0">
        <w:rPr>
          <w:rFonts w:cs="Times New Roman"/>
          <w:noProof/>
        </w:rPr>
        <w:tab/>
        <w:t xml:space="preserve">Amsden GUYW, Nafziger AN, Foulds G. Pharmacokinetics in Serum and Leukocyte Exposures of Oral Azithromycin , 1500 Milligrams , Given over a 3- or 5-Day Period in Healthy Subjects. Antimicrob Agents Chemother. 1999;43: 163–165. </w:t>
      </w:r>
    </w:p>
    <w:p w14:paraId="4589D0A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40. </w:t>
      </w:r>
      <w:r w:rsidRPr="009A77A0">
        <w:rPr>
          <w:rFonts w:cs="Times New Roman"/>
          <w:noProof/>
        </w:rPr>
        <w:tab/>
        <w:t>Thaver D, Zaidi AKM, Critchley J, Azmatullah A, Madni SA, Bhutta ZA. A comparison of fluoroquinolones versus other antibiotics for treating enteric fever: Meta-analysis. BMJ. 2009;338: 1371. doi:10.1136/bmj.b1865</w:t>
      </w:r>
    </w:p>
    <w:p w14:paraId="5315F194"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41. </w:t>
      </w:r>
      <w:r w:rsidRPr="009A77A0">
        <w:rPr>
          <w:rFonts w:cs="Times New Roman"/>
          <w:noProof/>
        </w:rPr>
        <w:tab/>
        <w:t>Phongmany S, Phetsouvanh R, Sisouphone S, Darasavath C, Vongphachane P, Rattanavong O, et al. A randomized comparison of oral chloramphenicol versus ofloxacin in the treatment of uncomplicated typhoid fever in Laos. Trans R Soc Trop Med Hyg. 2005;99: 451–458. doi:10.1016/j.trstmh.2004.08.007</w:t>
      </w:r>
    </w:p>
    <w:p w14:paraId="0BE197FB"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42. </w:t>
      </w:r>
      <w:r w:rsidRPr="009A77A0">
        <w:rPr>
          <w:rFonts w:cs="Times New Roman"/>
          <w:noProof/>
        </w:rPr>
        <w:tab/>
        <w:t>Parry CM, Vinh H, Chinh NT, Wain J, Campbell JI, Hien TT, et al. The influence of reduced susceptibility to fluoroquinolones in Salmonella enterica serovar Typhi on the clinical response to ofloxacin therapy. PLoS Negl Trop Dis. 2011;5: e1163. doi:10.1371/journal.pntd.0001163</w:t>
      </w:r>
    </w:p>
    <w:p w14:paraId="68902A2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43. </w:t>
      </w:r>
      <w:r w:rsidRPr="009A77A0">
        <w:rPr>
          <w:rFonts w:cs="Times New Roman"/>
          <w:noProof/>
        </w:rPr>
        <w:tab/>
        <w:t>Hara T, Takemura H, Kanemitsu K, Yamamoto H, Shimada J. Comparative uptake of grepafloxacin and ciprofloxacin by a human monocytic cell line, THP-1. J Infect Chemother. 2000;6: 162–7. doi:10.1007/s101560000006</w:t>
      </w:r>
    </w:p>
    <w:p w14:paraId="7DAE46A6"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44. </w:t>
      </w:r>
      <w:r w:rsidRPr="009A77A0">
        <w:rPr>
          <w:rFonts w:cs="Times New Roman"/>
          <w:noProof/>
        </w:rPr>
        <w:tab/>
        <w:t>BioSamples: EMBL-EBI [Internet]. [cited 15 Jun 2019]. Available: https://www.ebi.ac.uk/biosamples/samples/SAMEA5577691</w:t>
      </w:r>
    </w:p>
    <w:p w14:paraId="21D953C1"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45. </w:t>
      </w:r>
      <w:r w:rsidRPr="009A77A0">
        <w:rPr>
          <w:rFonts w:cs="Times New Roman"/>
          <w:noProof/>
        </w:rPr>
        <w:tab/>
        <w:t>Keenan JD, Bailey RL, West SK, Arzika AM, Hart J, Weaver J, et al. Azithromycin to Reduce Childhood Mortality in Sub-Saharan Africa. N Engl J Med. Massachusetts Medical Society; 2018;378: 1583–1592. doi:10.1056/NEJMoa1715474</w:t>
      </w:r>
    </w:p>
    <w:p w14:paraId="296ED9EC"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46. </w:t>
      </w:r>
      <w:r w:rsidRPr="009A77A0">
        <w:rPr>
          <w:rFonts w:cs="Times New Roman"/>
          <w:noProof/>
        </w:rPr>
        <w:tab/>
        <w:t>Keenan JD, Arzika AM, Maliki R, Boubacar N, Elh Adamou S, Moussa Ali M, et al. Longer-Term Assessment of Azithromycin for Reducing Childhood Mortality in Africa. N Engl J Med. 2019;380: 2207–2214. doi:10.1056/NEJMoa1817213</w:t>
      </w:r>
    </w:p>
    <w:p w14:paraId="1CAAFF2A"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47. </w:t>
      </w:r>
      <w:r w:rsidRPr="009A77A0">
        <w:rPr>
          <w:rFonts w:cs="Times New Roman"/>
          <w:noProof/>
        </w:rPr>
        <w:tab/>
        <w:t>WHO. Typhoid vaccines: WHO position paper – March 2018. Wkly Epidemiol Rec. 2018;93: 477–500. doi:10.1371/jour</w:t>
      </w:r>
    </w:p>
    <w:p w14:paraId="670BAC39"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48. </w:t>
      </w:r>
      <w:r w:rsidRPr="009A77A0">
        <w:rPr>
          <w:rFonts w:cs="Times New Roman"/>
          <w:noProof/>
        </w:rPr>
        <w:tab/>
        <w:t>World Health Organization. Global action plan on antimicrobial resistance. WHO Press. 2015; 1–28. doi:ISBN 978 92 4 150976 3</w:t>
      </w:r>
    </w:p>
    <w:p w14:paraId="45DAE8DD" w14:textId="77777777" w:rsidR="009A77A0" w:rsidRPr="009A77A0" w:rsidRDefault="009A77A0" w:rsidP="007E5D2E">
      <w:pPr>
        <w:widowControl w:val="0"/>
        <w:autoSpaceDE w:val="0"/>
        <w:autoSpaceDN w:val="0"/>
        <w:adjustRightInd w:val="0"/>
        <w:spacing w:line="240" w:lineRule="auto"/>
        <w:ind w:left="640" w:hanging="640"/>
        <w:rPr>
          <w:rFonts w:cs="Times New Roman"/>
          <w:noProof/>
        </w:rPr>
      </w:pPr>
      <w:r w:rsidRPr="009A77A0">
        <w:rPr>
          <w:rFonts w:cs="Times New Roman"/>
          <w:noProof/>
        </w:rPr>
        <w:t xml:space="preserve">49. </w:t>
      </w:r>
      <w:r w:rsidRPr="009A77A0">
        <w:rPr>
          <w:rFonts w:cs="Times New Roman"/>
          <w:noProof/>
        </w:rPr>
        <w:tab/>
        <w:t>European Medicines Agency. Disabling and potentially permanent side effects lead to suspension or restrictions of quinolone and fluoroquinolone antibiotics [Internet]. 2019. Available: https://www.ema.europa.eu/en/documents/referral/quinolone-fluoroquinolone-article-31-referral-disabling-potentially-permanent-side-effects-lead_en.pdf</w:t>
      </w:r>
    </w:p>
    <w:p w14:paraId="7A243E2C" w14:textId="77777777" w:rsidR="009A77A0" w:rsidRPr="009A77A0" w:rsidRDefault="009A77A0" w:rsidP="007E5D2E">
      <w:pPr>
        <w:widowControl w:val="0"/>
        <w:autoSpaceDE w:val="0"/>
        <w:autoSpaceDN w:val="0"/>
        <w:adjustRightInd w:val="0"/>
        <w:spacing w:line="240" w:lineRule="auto"/>
        <w:ind w:left="640" w:hanging="640"/>
        <w:rPr>
          <w:noProof/>
        </w:rPr>
      </w:pPr>
      <w:r w:rsidRPr="009A77A0">
        <w:rPr>
          <w:rFonts w:cs="Times New Roman"/>
          <w:noProof/>
        </w:rPr>
        <w:t xml:space="preserve">50. </w:t>
      </w:r>
      <w:r w:rsidRPr="009A77A0">
        <w:rPr>
          <w:rFonts w:cs="Times New Roman"/>
          <w:noProof/>
        </w:rPr>
        <w:tab/>
        <w:t>Britto C, Dyson ZA, Duchene S, Carter M, Gurung M, Kelly D, et al. Laboratory and Molecular Surveillance of Paediatric Typhoidal Salmonella in Nepal: Antimicrobial Resistance and Implications for Vaccine Policy. PLoS Negl Trop Dis. 2018; 250142. doi:10.1101/250142</w:t>
      </w:r>
    </w:p>
    <w:p w14:paraId="7EB21BAA" w14:textId="5B7220A8" w:rsidR="00605378" w:rsidRDefault="009C6165" w:rsidP="007E5D2E">
      <w:pPr>
        <w:widowControl w:val="0"/>
        <w:autoSpaceDE w:val="0"/>
        <w:autoSpaceDN w:val="0"/>
        <w:adjustRightInd w:val="0"/>
        <w:spacing w:line="240" w:lineRule="auto"/>
        <w:ind w:left="640" w:hanging="640"/>
      </w:pPr>
      <w:r>
        <w:fldChar w:fldCharType="end"/>
      </w:r>
    </w:p>
    <w:p w14:paraId="52FFD5D9" w14:textId="77777777" w:rsidR="006A389E" w:rsidRDefault="006A389E" w:rsidP="0026490E">
      <w:pPr>
        <w:sectPr w:rsidR="006A389E" w:rsidSect="00990748">
          <w:pgSz w:w="11900" w:h="16840"/>
          <w:pgMar w:top="1440" w:right="1440" w:bottom="1440" w:left="1440" w:header="708" w:footer="708" w:gutter="0"/>
          <w:lnNumType w:countBy="1" w:restart="continuous"/>
          <w:cols w:space="708"/>
          <w:docGrid w:linePitch="360"/>
        </w:sectPr>
      </w:pPr>
    </w:p>
    <w:p w14:paraId="56928B46" w14:textId="77777777" w:rsidR="006A389E" w:rsidRPr="006A389E" w:rsidRDefault="006A389E" w:rsidP="00403D1E">
      <w:pPr>
        <w:pStyle w:val="Heading2"/>
        <w:suppressLineNumbers/>
        <w:rPr>
          <w:rFonts w:ascii="Times New Roman" w:hAnsi="Times New Roman"/>
          <w:sz w:val="24"/>
          <w:szCs w:val="24"/>
          <w:lang w:val="en-GB"/>
        </w:rPr>
      </w:pPr>
      <w:r w:rsidRPr="006A389E">
        <w:rPr>
          <w:lang w:val="en-GB"/>
        </w:rPr>
        <w:lastRenderedPageBreak/>
        <w:t>Supporting Information Legends</w:t>
      </w:r>
    </w:p>
    <w:p w14:paraId="22824EE9" w14:textId="77777777" w:rsidR="00E25157" w:rsidRDefault="00E25157" w:rsidP="00403D1E">
      <w:pPr>
        <w:suppressLineNumbers/>
      </w:pPr>
    </w:p>
    <w:p w14:paraId="4864BC54" w14:textId="77777777" w:rsidR="00403D1E" w:rsidRPr="00403D1E" w:rsidRDefault="00403D1E" w:rsidP="00403D1E">
      <w:pPr>
        <w:pStyle w:val="ListParagraph"/>
        <w:numPr>
          <w:ilvl w:val="0"/>
          <w:numId w:val="4"/>
        </w:numPr>
        <w:suppressLineNumbers/>
        <w:rPr>
          <w:rFonts w:ascii="Times New Roman" w:hAnsi="Times New Roman"/>
          <w:sz w:val="24"/>
          <w:szCs w:val="24"/>
          <w:lang w:val="en-GB"/>
        </w:rPr>
      </w:pPr>
      <w:r w:rsidRPr="00403D1E">
        <w:rPr>
          <w:lang w:val="en-GB"/>
        </w:rPr>
        <w:t>S1 Checklist: STROBE Checklist</w:t>
      </w:r>
    </w:p>
    <w:p w14:paraId="6EE394ED" w14:textId="77777777" w:rsidR="00403D1E" w:rsidRDefault="00403D1E" w:rsidP="00403D1E">
      <w:pPr>
        <w:suppressLineNumbers/>
      </w:pPr>
    </w:p>
    <w:p w14:paraId="56BBDE48" w14:textId="77777777" w:rsidR="00403D1E" w:rsidRDefault="00403D1E" w:rsidP="00403D1E">
      <w:pPr>
        <w:pStyle w:val="ListParagraph"/>
        <w:numPr>
          <w:ilvl w:val="0"/>
          <w:numId w:val="4"/>
        </w:numPr>
        <w:suppressLineNumbers/>
      </w:pPr>
      <w:r>
        <w:t xml:space="preserve">S2  Checklist:  </w:t>
      </w:r>
      <w:proofErr w:type="spellStart"/>
      <w:r w:rsidRPr="00403D1E">
        <w:t>TREND_Statement</w:t>
      </w:r>
      <w:proofErr w:type="spellEnd"/>
    </w:p>
    <w:p w14:paraId="67858CC8" w14:textId="77777777" w:rsidR="00403D1E" w:rsidRDefault="00403D1E" w:rsidP="00403D1E">
      <w:pPr>
        <w:suppressLineNumbers/>
      </w:pPr>
    </w:p>
    <w:p w14:paraId="358D8752" w14:textId="20924DC0" w:rsidR="00403D1E" w:rsidRDefault="00403D1E" w:rsidP="00403D1E">
      <w:pPr>
        <w:pStyle w:val="ListParagraph"/>
        <w:numPr>
          <w:ilvl w:val="0"/>
          <w:numId w:val="4"/>
        </w:numPr>
        <w:suppressLineNumbers/>
      </w:pPr>
      <w:r>
        <w:t xml:space="preserve">S3 Checklist:    </w:t>
      </w:r>
      <w:proofErr w:type="spellStart"/>
      <w:r w:rsidRPr="00403D1E">
        <w:t>Study_A_Protocol</w:t>
      </w:r>
      <w:proofErr w:type="spellEnd"/>
    </w:p>
    <w:p w14:paraId="5D4B1BAA" w14:textId="77777777" w:rsidR="00403D1E" w:rsidRDefault="00403D1E" w:rsidP="00403D1E">
      <w:pPr>
        <w:suppressLineNumbers/>
      </w:pPr>
    </w:p>
    <w:p w14:paraId="6B57AB2F" w14:textId="3BD70AF5" w:rsidR="00403D1E" w:rsidRDefault="00403D1E" w:rsidP="00403D1E">
      <w:pPr>
        <w:pStyle w:val="ListParagraph"/>
        <w:numPr>
          <w:ilvl w:val="0"/>
          <w:numId w:val="4"/>
        </w:numPr>
        <w:suppressLineNumbers/>
      </w:pPr>
      <w:r>
        <w:t xml:space="preserve">S4 Checklist:   </w:t>
      </w:r>
      <w:proofErr w:type="spellStart"/>
      <w:r w:rsidRPr="00403D1E">
        <w:t>Study_</w:t>
      </w:r>
      <w:r>
        <w:t>B</w:t>
      </w:r>
      <w:r w:rsidRPr="00403D1E">
        <w:t>_Protocol</w:t>
      </w:r>
      <w:proofErr w:type="spellEnd"/>
    </w:p>
    <w:p w14:paraId="0AB6466E" w14:textId="77777777" w:rsidR="00333295" w:rsidRDefault="00333295" w:rsidP="00333295">
      <w:pPr>
        <w:pStyle w:val="ListParagraph"/>
        <w:suppressLineNumbers/>
      </w:pPr>
    </w:p>
    <w:p w14:paraId="43CC2BBA" w14:textId="529737AF" w:rsidR="00333295" w:rsidRDefault="00333295" w:rsidP="00403D1E">
      <w:pPr>
        <w:pStyle w:val="ListParagraph"/>
        <w:numPr>
          <w:ilvl w:val="0"/>
          <w:numId w:val="4"/>
        </w:numPr>
        <w:suppressLineNumbers/>
      </w:pPr>
      <w:r>
        <w:t>S5 Checklist: Data_files_1</w:t>
      </w:r>
    </w:p>
    <w:p w14:paraId="200948E4" w14:textId="77777777" w:rsidR="00333295" w:rsidRDefault="00333295" w:rsidP="00333295">
      <w:pPr>
        <w:suppressLineNumbers/>
      </w:pPr>
    </w:p>
    <w:p w14:paraId="705545A4" w14:textId="62CAFAED" w:rsidR="00333295" w:rsidRDefault="00333295" w:rsidP="00333295">
      <w:pPr>
        <w:pStyle w:val="ListParagraph"/>
        <w:numPr>
          <w:ilvl w:val="0"/>
          <w:numId w:val="4"/>
        </w:numPr>
        <w:suppressLineNumbers/>
        <w:sectPr w:rsidR="00333295" w:rsidSect="00990748">
          <w:pgSz w:w="11900" w:h="16840"/>
          <w:pgMar w:top="1440" w:right="1440" w:bottom="1440" w:left="1440" w:header="708" w:footer="708" w:gutter="0"/>
          <w:lnNumType w:countBy="1" w:restart="continuous"/>
          <w:cols w:space="708"/>
          <w:docGrid w:linePitch="360"/>
        </w:sectPr>
      </w:pPr>
    </w:p>
    <w:p w14:paraId="5BC95F7C" w14:textId="679CB034" w:rsidR="00B55130" w:rsidRDefault="00B55130" w:rsidP="00837E94">
      <w:pPr>
        <w:pStyle w:val="Heading2"/>
        <w:suppressLineNumbers/>
      </w:pPr>
      <w:r w:rsidRPr="00B55130">
        <w:lastRenderedPageBreak/>
        <w:t>Figures</w:t>
      </w:r>
    </w:p>
    <w:p w14:paraId="65DF1BE6" w14:textId="77777777" w:rsidR="00ED1BC8" w:rsidRDefault="00B55130" w:rsidP="00837E94">
      <w:pPr>
        <w:suppressLineNumbers/>
      </w:pPr>
      <w:r>
        <w:rPr>
          <w:noProof/>
          <w:lang w:val="en-GB" w:eastAsia="zh-CN"/>
        </w:rPr>
        <w:drawing>
          <wp:inline distT="0" distB="0" distL="0" distR="0" wp14:anchorId="35996F90" wp14:editId="6BFC7DEF">
            <wp:extent cx="7991890" cy="4095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24 at 18.03.31.png"/>
                    <pic:cNvPicPr/>
                  </pic:nvPicPr>
                  <pic:blipFill rotWithShape="1">
                    <a:blip r:embed="rId13">
                      <a:extLst>
                        <a:ext uri="{28A0092B-C50C-407E-A947-70E740481C1C}">
                          <a14:useLocalDpi xmlns:a14="http://schemas.microsoft.com/office/drawing/2010/main" val="0"/>
                        </a:ext>
                      </a:extLst>
                    </a:blip>
                    <a:srcRect l="1992" t="6198" r="2019" b="9379"/>
                    <a:stretch/>
                  </pic:blipFill>
                  <pic:spPr bwMode="auto">
                    <a:xfrm>
                      <a:off x="0" y="0"/>
                      <a:ext cx="8078584" cy="4139444"/>
                    </a:xfrm>
                    <a:prstGeom prst="rect">
                      <a:avLst/>
                    </a:prstGeom>
                    <a:ln>
                      <a:noFill/>
                    </a:ln>
                    <a:extLst>
                      <a:ext uri="{53640926-AAD7-44D8-BBD7-CCE9431645EC}">
                        <a14:shadowObscured xmlns:a14="http://schemas.microsoft.com/office/drawing/2010/main"/>
                      </a:ext>
                    </a:extLst>
                  </pic:spPr>
                </pic:pic>
              </a:graphicData>
            </a:graphic>
          </wp:inline>
        </w:drawing>
      </w:r>
    </w:p>
    <w:p w14:paraId="57611002" w14:textId="3A178434" w:rsidR="00B55130" w:rsidRDefault="00ED1BC8" w:rsidP="00837E94">
      <w:pPr>
        <w:pStyle w:val="Caption"/>
        <w:suppressLineNumbers/>
      </w:pPr>
      <w:bookmarkStart w:id="1" w:name="_Ref7960793"/>
      <w:r>
        <w:t xml:space="preserve">Figure </w:t>
      </w:r>
      <w:r w:rsidR="00296C2F">
        <w:fldChar w:fldCharType="begin"/>
      </w:r>
      <w:r w:rsidR="00296C2F">
        <w:instrText xml:space="preserve"> SEQ Figure \* ARABIC </w:instrText>
      </w:r>
      <w:r w:rsidR="00296C2F">
        <w:fldChar w:fldCharType="separate"/>
      </w:r>
      <w:r w:rsidR="00C21CFF">
        <w:rPr>
          <w:noProof/>
        </w:rPr>
        <w:t>1</w:t>
      </w:r>
      <w:r w:rsidR="00296C2F">
        <w:rPr>
          <w:noProof/>
        </w:rPr>
        <w:fldChar w:fldCharType="end"/>
      </w:r>
      <w:bookmarkEnd w:id="1"/>
      <w:r>
        <w:t xml:space="preserve"> – Trial profile</w:t>
      </w:r>
    </w:p>
    <w:p w14:paraId="41AFEF26" w14:textId="3E881905" w:rsidR="00B55130" w:rsidRDefault="00B55130" w:rsidP="00837E94">
      <w:pPr>
        <w:suppressLineNumbers/>
      </w:pPr>
    </w:p>
    <w:p w14:paraId="0634BBEC" w14:textId="77777777" w:rsidR="00B55130" w:rsidRDefault="00B55130" w:rsidP="00837E94">
      <w:pPr>
        <w:suppressLineNumbers/>
      </w:pPr>
    </w:p>
    <w:p w14:paraId="77FA3E8B" w14:textId="77777777" w:rsidR="00B55130" w:rsidRDefault="00B55130" w:rsidP="00837E94">
      <w:pPr>
        <w:suppressLineNumbers/>
      </w:pPr>
    </w:p>
    <w:p w14:paraId="2DD9084C" w14:textId="784A0DC5" w:rsidR="00ED1BC8" w:rsidRDefault="006A2704" w:rsidP="00837E94">
      <w:pPr>
        <w:suppressLineNumbers/>
      </w:pPr>
      <w:r w:rsidRPr="006A2704">
        <w:t xml:space="preserve"> </w:t>
      </w:r>
      <w:r w:rsidRPr="006A2704">
        <w:rPr>
          <w:noProof/>
          <w:lang w:val="en-GB" w:eastAsia="zh-CN"/>
        </w:rPr>
        <w:drawing>
          <wp:inline distT="0" distB="0" distL="0" distR="0" wp14:anchorId="71A2FE56" wp14:editId="08749E95">
            <wp:extent cx="5025390" cy="3363402"/>
            <wp:effectExtent l="0" t="0" r="381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hqprint">
                      <a:extLst>
                        <a:ext uri="{28A0092B-C50C-407E-A947-70E740481C1C}">
                          <a14:useLocalDpi xmlns:a14="http://schemas.microsoft.com/office/drawing/2010/main" val="0"/>
                        </a:ext>
                      </a:extLst>
                    </a:blip>
                    <a:srcRect t="8044"/>
                    <a:stretch/>
                  </pic:blipFill>
                  <pic:spPr bwMode="auto">
                    <a:xfrm>
                      <a:off x="0" y="0"/>
                      <a:ext cx="5025390" cy="3363402"/>
                    </a:xfrm>
                    <a:prstGeom prst="rect">
                      <a:avLst/>
                    </a:prstGeom>
                    <a:noFill/>
                    <a:ln>
                      <a:noFill/>
                    </a:ln>
                    <a:extLst>
                      <a:ext uri="{53640926-AAD7-44D8-BBD7-CCE9431645EC}">
                        <a14:shadowObscured xmlns:a14="http://schemas.microsoft.com/office/drawing/2010/main"/>
                      </a:ext>
                    </a:extLst>
                  </pic:spPr>
                </pic:pic>
              </a:graphicData>
            </a:graphic>
          </wp:inline>
        </w:drawing>
      </w:r>
    </w:p>
    <w:p w14:paraId="7A200D51" w14:textId="66B30752" w:rsidR="00ED1BC8" w:rsidRDefault="00ED1BC8" w:rsidP="00837E94">
      <w:pPr>
        <w:pStyle w:val="Caption"/>
        <w:suppressLineNumbers/>
      </w:pPr>
      <w:bookmarkStart w:id="2" w:name="_Ref7961523"/>
      <w:r>
        <w:t xml:space="preserve">Figure </w:t>
      </w:r>
      <w:r w:rsidR="00296C2F">
        <w:fldChar w:fldCharType="begin"/>
      </w:r>
      <w:r w:rsidR="00296C2F">
        <w:instrText xml:space="preserve"> SEQ Figure \* ARABIC </w:instrText>
      </w:r>
      <w:r w:rsidR="00296C2F">
        <w:fldChar w:fldCharType="separate"/>
      </w:r>
      <w:r w:rsidR="00C21CFF">
        <w:rPr>
          <w:noProof/>
        </w:rPr>
        <w:t>2</w:t>
      </w:r>
      <w:r w:rsidR="00296C2F">
        <w:rPr>
          <w:noProof/>
        </w:rPr>
        <w:fldChar w:fldCharType="end"/>
      </w:r>
      <w:bookmarkEnd w:id="2"/>
      <w:r>
        <w:t xml:space="preserve"> -Time to bacteraemia </w:t>
      </w:r>
      <w:r w:rsidR="001F65F2">
        <w:t>clearance</w:t>
      </w:r>
      <w:r>
        <w:t>. Log rank test p&lt;0.001.</w:t>
      </w:r>
    </w:p>
    <w:p w14:paraId="563E505B" w14:textId="7F861E65" w:rsidR="00B55130" w:rsidRDefault="00B55130" w:rsidP="00837E94">
      <w:pPr>
        <w:suppressLineNumbers/>
        <w:rPr>
          <w:rFonts w:cstheme="minorHAnsi"/>
        </w:rPr>
      </w:pPr>
    </w:p>
    <w:p w14:paraId="2F9DA89F" w14:textId="77777777" w:rsidR="00B55130" w:rsidRDefault="00B55130" w:rsidP="00837E94">
      <w:pPr>
        <w:suppressLineNumbers/>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4"/>
      </w:tblGrid>
      <w:tr w:rsidR="001F65F2" w14:paraId="17DC2701" w14:textId="77777777" w:rsidTr="00D40F04">
        <w:trPr>
          <w:trHeight w:val="235"/>
        </w:trPr>
        <w:tc>
          <w:tcPr>
            <w:tcW w:w="13624" w:type="dxa"/>
          </w:tcPr>
          <w:p w14:paraId="4E5AB560" w14:textId="5ECB16BA" w:rsidR="001F65F2" w:rsidRPr="009D56DF" w:rsidRDefault="00254794" w:rsidP="00B55209">
            <w:r>
              <w:rPr>
                <w:noProof/>
                <w:lang w:val="en-GB" w:eastAsia="zh-CN"/>
              </w:rPr>
              <w:lastRenderedPageBreak/>
              <mc:AlternateContent>
                <mc:Choice Requires="wps">
                  <w:drawing>
                    <wp:anchor distT="0" distB="0" distL="114300" distR="114300" simplePos="0" relativeHeight="251663360" behindDoc="0" locked="0" layoutInCell="1" allowOverlap="1" wp14:anchorId="49E9D493" wp14:editId="6410046F">
                      <wp:simplePos x="0" y="0"/>
                      <wp:positionH relativeFrom="column">
                        <wp:posOffset>68617</wp:posOffset>
                      </wp:positionH>
                      <wp:positionV relativeFrom="paragraph">
                        <wp:posOffset>3016256</wp:posOffset>
                      </wp:positionV>
                      <wp:extent cx="8514080" cy="269875"/>
                      <wp:effectExtent l="0" t="0" r="0" b="12065"/>
                      <wp:wrapSquare wrapText="bothSides"/>
                      <wp:docPr id="5" name="Text Box 5"/>
                      <wp:cNvGraphicFramePr/>
                      <a:graphic xmlns:a="http://schemas.openxmlformats.org/drawingml/2006/main">
                        <a:graphicData uri="http://schemas.microsoft.com/office/word/2010/wordprocessingShape">
                          <wps:wsp>
                            <wps:cNvSpPr txBox="1"/>
                            <wps:spPr>
                              <a:xfrm>
                                <a:off x="0" y="0"/>
                                <a:ext cx="8514080" cy="269875"/>
                              </a:xfrm>
                              <a:prstGeom prst="rect">
                                <a:avLst/>
                              </a:prstGeom>
                              <a:solidFill>
                                <a:prstClr val="white"/>
                              </a:solidFill>
                              <a:ln>
                                <a:noFill/>
                              </a:ln>
                            </wps:spPr>
                            <wps:txbx>
                              <w:txbxContent>
                                <w:p w14:paraId="3B54873D" w14:textId="0D35EC4B" w:rsidR="0029190F" w:rsidRPr="00D04636" w:rsidRDefault="0029190F" w:rsidP="006C25B6">
                                  <w:pPr>
                                    <w:pStyle w:val="Caption"/>
                                  </w:pPr>
                                  <w:bookmarkStart w:id="3" w:name="_Ref7961624"/>
                                  <w:r w:rsidRPr="001F65F2">
                                    <w:t xml:space="preserve">Figure </w:t>
                                  </w:r>
                                  <w:r>
                                    <w:fldChar w:fldCharType="begin"/>
                                  </w:r>
                                  <w:r>
                                    <w:instrText xml:space="preserve"> SEQ Figure \* ARABIC </w:instrText>
                                  </w:r>
                                  <w:r>
                                    <w:fldChar w:fldCharType="separate"/>
                                  </w:r>
                                  <w:r>
                                    <w:rPr>
                                      <w:noProof/>
                                    </w:rPr>
                                    <w:t>3</w:t>
                                  </w:r>
                                  <w:r>
                                    <w:rPr>
                                      <w:noProof/>
                                    </w:rPr>
                                    <w:fldChar w:fldCharType="end"/>
                                  </w:r>
                                  <w:bookmarkEnd w:id="3"/>
                                  <w:r w:rsidRPr="003B0B7B">
                                    <w:t xml:space="preserve"> – Fever clearance time (A) &lt;</w:t>
                                  </w:r>
                                  <w:r>
                                    <w:t>37.5</w:t>
                                  </w:r>
                                  <w:r w:rsidRPr="00D04636">
                                    <w:rPr>
                                      <w:vertAlign w:val="superscript"/>
                                    </w:rPr>
                                    <w:t>o</w:t>
                                  </w:r>
                                  <w:r w:rsidRPr="003B0B7B">
                                    <w:t>C; (B) &lt;3</w:t>
                                  </w:r>
                                  <w:r>
                                    <w:t>8</w:t>
                                  </w:r>
                                  <w:r w:rsidRPr="00D04636">
                                    <w:rPr>
                                      <w:vertAlign w:val="superscript"/>
                                    </w:rPr>
                                    <w:t>o</w:t>
                                  </w:r>
                                  <w:r w:rsidRPr="003B0B7B">
                                    <w: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E9D493" id="_x0000_t202" coordsize="21600,21600" o:spt="202" path="m,l,21600r21600,l21600,xe">
                      <v:stroke joinstyle="miter"/>
                      <v:path gradientshapeok="t" o:connecttype="rect"/>
                    </v:shapetype>
                    <v:shape id="Text Box 5" o:spid="_x0000_s1026" type="#_x0000_t202" style="position:absolute;left:0;text-align:left;margin-left:5.4pt;margin-top:237.5pt;width:670.4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" stroked="f">
                      <v:textbox style="mso-fit-shape-to-text:t" inset="0,0,0,0">
                        <w:txbxContent>
                          <w:p w14:paraId="3B54873D" w14:textId="0D35EC4B" w:rsidR="0029190F" w:rsidRPr="00D04636" w:rsidRDefault="0029190F" w:rsidP="006C25B6">
                            <w:pPr>
                              <w:pStyle w:val="Caption"/>
                            </w:pPr>
                            <w:bookmarkStart w:id="4" w:name="_Ref7961624"/>
                            <w:r w:rsidRPr="001F65F2">
                              <w:t xml:space="preserve">Figure </w:t>
                            </w:r>
                            <w:r>
                              <w:fldChar w:fldCharType="begin"/>
                            </w:r>
                            <w:r>
                              <w:instrText xml:space="preserve"> SEQ Figure \* ARABIC </w:instrText>
                            </w:r>
                            <w:r>
                              <w:fldChar w:fldCharType="separate"/>
                            </w:r>
                            <w:r>
                              <w:rPr>
                                <w:noProof/>
                              </w:rPr>
                              <w:t>3</w:t>
                            </w:r>
                            <w:r>
                              <w:rPr>
                                <w:noProof/>
                              </w:rPr>
                              <w:fldChar w:fldCharType="end"/>
                            </w:r>
                            <w:bookmarkEnd w:id="4"/>
                            <w:r w:rsidRPr="003B0B7B">
                              <w:t xml:space="preserve"> – Fever clearance time (A) &lt;</w:t>
                            </w:r>
                            <w:r>
                              <w:t>37.5</w:t>
                            </w:r>
                            <w:r w:rsidRPr="00D04636">
                              <w:rPr>
                                <w:vertAlign w:val="superscript"/>
                              </w:rPr>
                              <w:t>o</w:t>
                            </w:r>
                            <w:r w:rsidRPr="003B0B7B">
                              <w:t>C; (B) &lt;3</w:t>
                            </w:r>
                            <w:r>
                              <w:t>8</w:t>
                            </w:r>
                            <w:r w:rsidRPr="00D04636">
                              <w:rPr>
                                <w:vertAlign w:val="superscript"/>
                              </w:rPr>
                              <w:t>o</w:t>
                            </w:r>
                            <w:r w:rsidRPr="003B0B7B">
                              <w:t>C</w:t>
                            </w:r>
                          </w:p>
                        </w:txbxContent>
                      </v:textbox>
                      <w10:wrap type="square"/>
                    </v:shape>
                  </w:pict>
                </mc:Fallback>
              </mc:AlternateContent>
            </w:r>
            <w:r w:rsidRPr="00254794">
              <w:rPr>
                <w:noProof/>
                <w:lang w:val="en-GB" w:eastAsia="zh-CN"/>
              </w:rPr>
              <w:drawing>
                <wp:inline distT="0" distB="0" distL="0" distR="0" wp14:anchorId="7582D392" wp14:editId="13E048F9">
                  <wp:extent cx="3960000" cy="288000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r w:rsidRPr="00D40F04">
              <w:rPr>
                <w:b/>
                <w:noProof/>
                <w:sz w:val="32"/>
                <w:szCs w:val="32"/>
                <w:lang w:val="en-GB" w:eastAsia="zh-CN"/>
              </w:rPr>
              <w:t>a</w:t>
            </w:r>
            <w:r w:rsidRPr="00254794">
              <w:rPr>
                <w:noProof/>
                <w:lang w:val="en-GB" w:eastAsia="zh-CN"/>
              </w:rPr>
              <w:drawing>
                <wp:inline distT="0" distB="0" distL="0" distR="0" wp14:anchorId="37A5111F" wp14:editId="07ADF22B">
                  <wp:extent cx="3960000" cy="28800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r w:rsidRPr="00D40F04">
              <w:rPr>
                <w:b/>
                <w:noProof/>
                <w:sz w:val="32"/>
                <w:lang w:val="en-GB" w:eastAsia="zh-CN"/>
              </w:rPr>
              <w:t>b</w:t>
            </w:r>
          </w:p>
        </w:tc>
      </w:tr>
    </w:tbl>
    <w:p w14:paraId="6968BEDB" w14:textId="642CBD58" w:rsidR="00B30CC2" w:rsidRDefault="00B30CC2" w:rsidP="0083799E">
      <w:pPr>
        <w:keepNext/>
      </w:pPr>
    </w:p>
    <w:p w14:paraId="23EC3F64" w14:textId="77777777" w:rsidR="00B30CC2" w:rsidRDefault="00B30CC2">
      <w:pPr>
        <w:spacing w:line="240" w:lineRule="auto"/>
        <w:jc w:val="left"/>
        <w:sectPr w:rsidR="00B30CC2" w:rsidSect="00D04636">
          <w:pgSz w:w="16840" w:h="11900" w:orient="landscape"/>
          <w:pgMar w:top="1440" w:right="1440" w:bottom="1440" w:left="1440" w:header="708" w:footer="708" w:gutter="0"/>
          <w:lnNumType w:countBy="1" w:restart="continuous"/>
          <w:cols w:space="708"/>
          <w:docGrid w:linePitch="360"/>
        </w:sectPr>
      </w:pPr>
    </w:p>
    <w:p w14:paraId="0B145B14" w14:textId="1EFD5F23" w:rsidR="00902C77" w:rsidRDefault="002C7074" w:rsidP="00B30CC2">
      <w:pPr>
        <w:keepNext/>
        <w:suppressLineNumbers/>
        <w:jc w:val="center"/>
      </w:pPr>
      <w:r>
        <w:rPr>
          <w:noProof/>
          <w:lang w:val="en-GB" w:eastAsia="zh-CN"/>
        </w:rPr>
        <w:lastRenderedPageBreak/>
        <w:drawing>
          <wp:inline distT="0" distB="0" distL="0" distR="0" wp14:anchorId="7227AB78" wp14:editId="0A94DE01">
            <wp:extent cx="4851400" cy="4889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_4.png"/>
                    <pic:cNvPicPr/>
                  </pic:nvPicPr>
                  <pic:blipFill>
                    <a:blip r:embed="rId17">
                      <a:extLst>
                        <a:ext uri="{28A0092B-C50C-407E-A947-70E740481C1C}">
                          <a14:useLocalDpi xmlns:a14="http://schemas.microsoft.com/office/drawing/2010/main" val="0"/>
                        </a:ext>
                      </a:extLst>
                    </a:blip>
                    <a:stretch>
                      <a:fillRect/>
                    </a:stretch>
                  </pic:blipFill>
                  <pic:spPr>
                    <a:xfrm>
                      <a:off x="0" y="0"/>
                      <a:ext cx="4851400" cy="4889500"/>
                    </a:xfrm>
                    <a:prstGeom prst="rect">
                      <a:avLst/>
                    </a:prstGeom>
                  </pic:spPr>
                </pic:pic>
              </a:graphicData>
            </a:graphic>
          </wp:inline>
        </w:drawing>
      </w:r>
    </w:p>
    <w:p w14:paraId="1CB1833A" w14:textId="234D78BA" w:rsidR="003213E4" w:rsidRPr="00D40F04" w:rsidRDefault="00902C77" w:rsidP="00D40F04">
      <w:pPr>
        <w:pStyle w:val="Heading2"/>
        <w:suppressLineNumbers/>
        <w:spacing w:line="276" w:lineRule="auto"/>
        <w:ind w:left="0" w:firstLine="0"/>
        <w:rPr>
          <w:i/>
          <w:iCs/>
        </w:rPr>
      </w:pPr>
      <w:bookmarkStart w:id="5" w:name="_Ref11414740"/>
      <w:r w:rsidRPr="00D40F04">
        <w:rPr>
          <w:i/>
          <w:iCs/>
        </w:rPr>
        <w:t xml:space="preserve">Figure </w:t>
      </w:r>
      <w:r w:rsidR="00296C2F" w:rsidRPr="00D40F04">
        <w:rPr>
          <w:i/>
          <w:iCs/>
        </w:rPr>
        <w:fldChar w:fldCharType="begin"/>
      </w:r>
      <w:r w:rsidR="00296C2F" w:rsidRPr="00D40F04">
        <w:rPr>
          <w:i/>
          <w:iCs/>
        </w:rPr>
        <w:instrText xml:space="preserve"> SEQ Figure \* ARABIC </w:instrText>
      </w:r>
      <w:r w:rsidR="00296C2F" w:rsidRPr="00D40F04">
        <w:rPr>
          <w:i/>
          <w:iCs/>
        </w:rPr>
        <w:fldChar w:fldCharType="separate"/>
      </w:r>
      <w:r w:rsidR="00C21CFF" w:rsidRPr="00D40F04">
        <w:rPr>
          <w:i/>
          <w:iCs/>
          <w:noProof/>
        </w:rPr>
        <w:t>4</w:t>
      </w:r>
      <w:r w:rsidR="00296C2F" w:rsidRPr="00D40F04">
        <w:rPr>
          <w:i/>
          <w:iCs/>
          <w:noProof/>
        </w:rPr>
        <w:fldChar w:fldCharType="end"/>
      </w:r>
      <w:bookmarkEnd w:id="5"/>
      <w:r w:rsidRPr="00D40F04">
        <w:rPr>
          <w:i/>
          <w:iCs/>
        </w:rPr>
        <w:t xml:space="preserve"> - PK simulations and observed plasma concentrations. (A and C) PK simulations showing (A) azithromycin 500 mg daily and (</w:t>
      </w:r>
      <w:r w:rsidR="003213E4">
        <w:rPr>
          <w:i/>
          <w:iCs/>
        </w:rPr>
        <w:t>C</w:t>
      </w:r>
      <w:r w:rsidRPr="00D40F04">
        <w:rPr>
          <w:i/>
          <w:iCs/>
        </w:rPr>
        <w:t>) ciprofloxacin 500 mg twice daily. The solid black line represents the median predicted plasma concentration. The dotted black line represents the median predicted intracellular concentration. The grey area represents the 5</w:t>
      </w:r>
      <w:r w:rsidRPr="00D40F04">
        <w:rPr>
          <w:i/>
          <w:iCs/>
          <w:vertAlign w:val="superscript"/>
        </w:rPr>
        <w:t>th</w:t>
      </w:r>
      <w:r w:rsidRPr="00D40F04">
        <w:rPr>
          <w:i/>
          <w:iCs/>
        </w:rPr>
        <w:t>-95</w:t>
      </w:r>
      <w:r w:rsidRPr="00D40F04">
        <w:rPr>
          <w:i/>
          <w:iCs/>
          <w:vertAlign w:val="superscript"/>
        </w:rPr>
        <w:t>th</w:t>
      </w:r>
      <w:r w:rsidRPr="00D40F04">
        <w:rPr>
          <w:i/>
          <w:iCs/>
        </w:rPr>
        <w:t xml:space="preserve"> percentile. The horizontal dotted line represents the minimum inhibitory concentration (MIC) (B and D) Open circles represent observed plasma concentrations. The grey area represents the minimum 5</w:t>
      </w:r>
      <w:r w:rsidRPr="00D40F04">
        <w:rPr>
          <w:i/>
          <w:iCs/>
          <w:vertAlign w:val="superscript"/>
        </w:rPr>
        <w:t>th</w:t>
      </w:r>
      <w:r w:rsidRPr="00D40F04">
        <w:rPr>
          <w:i/>
          <w:iCs/>
        </w:rPr>
        <w:t xml:space="preserve"> and maximum 95</w:t>
      </w:r>
      <w:r w:rsidRPr="00D40F04">
        <w:rPr>
          <w:i/>
          <w:iCs/>
          <w:vertAlign w:val="superscript"/>
        </w:rPr>
        <w:t>th</w:t>
      </w:r>
      <w:r w:rsidRPr="00D40F04">
        <w:rPr>
          <w:i/>
          <w:iCs/>
        </w:rPr>
        <w:t xml:space="preserve"> percentile for each day as predicted in A and C. The horizontal dotted line represents the MIC</w:t>
      </w:r>
    </w:p>
    <w:p w14:paraId="2AD20337" w14:textId="77777777" w:rsidR="003213E4" w:rsidRDefault="003213E4">
      <w:pPr>
        <w:spacing w:line="240" w:lineRule="auto"/>
        <w:jc w:val="left"/>
        <w:sectPr w:rsidR="003213E4" w:rsidSect="00B30CC2">
          <w:pgSz w:w="11900" w:h="16840"/>
          <w:pgMar w:top="1440" w:right="1440" w:bottom="1440" w:left="1440" w:header="708" w:footer="708" w:gutter="0"/>
          <w:lnNumType w:countBy="1" w:restart="continuous"/>
          <w:cols w:space="708"/>
          <w:docGrid w:linePitch="360"/>
        </w:sectPr>
      </w:pPr>
    </w:p>
    <w:p w14:paraId="2F750A08" w14:textId="67A5CB39" w:rsidR="00B55130" w:rsidRPr="00D40F04" w:rsidRDefault="00B55130" w:rsidP="00D40F04">
      <w:pPr>
        <w:rPr>
          <w:sz w:val="24"/>
          <w:szCs w:val="24"/>
        </w:rPr>
      </w:pPr>
      <w:r w:rsidRPr="00D40F04">
        <w:rPr>
          <w:b/>
          <w:bCs/>
          <w:sz w:val="24"/>
          <w:szCs w:val="24"/>
        </w:rPr>
        <w:lastRenderedPageBreak/>
        <w:t>Tables</w:t>
      </w:r>
    </w:p>
    <w:p w14:paraId="008D9499" w14:textId="52B3C86D" w:rsidR="00B9655D" w:rsidRPr="003B0B7B" w:rsidRDefault="00B9655D" w:rsidP="00837E94">
      <w:pPr>
        <w:pStyle w:val="Caption"/>
        <w:suppressLineNumbers/>
      </w:pPr>
      <w:bookmarkStart w:id="6" w:name="_Ref7961202"/>
      <w:r>
        <w:t xml:space="preserve">Table </w:t>
      </w:r>
      <w:r w:rsidR="00296C2F">
        <w:fldChar w:fldCharType="begin"/>
      </w:r>
      <w:r w:rsidR="00296C2F">
        <w:instrText xml:space="preserve"> SEQ Table \* ARABIC </w:instrText>
      </w:r>
      <w:r w:rsidR="00296C2F">
        <w:fldChar w:fldCharType="separate"/>
      </w:r>
      <w:r w:rsidR="00C21CFF">
        <w:rPr>
          <w:noProof/>
        </w:rPr>
        <w:t>1</w:t>
      </w:r>
      <w:r w:rsidR="00296C2F">
        <w:rPr>
          <w:noProof/>
        </w:rPr>
        <w:fldChar w:fldCharType="end"/>
      </w:r>
      <w:bookmarkEnd w:id="6"/>
      <w:r>
        <w:t xml:space="preserve"> –</w:t>
      </w:r>
      <w:r w:rsidRPr="00B9655D">
        <w:rPr>
          <w:sz w:val="22"/>
          <w:szCs w:val="22"/>
        </w:rPr>
        <w:t xml:space="preserve"> </w:t>
      </w:r>
      <w:r w:rsidRPr="003B0B7B">
        <w:t>Baseline participant characteristics. Data are n/N, Control = meningococcal ACWY-CRM conjugate vaccine, Vi-TT = Vi-tetanus toxoid conjugate vaccine, Vi-PS = Vi-polysaccharide vaccine</w:t>
      </w:r>
    </w:p>
    <w:tbl>
      <w:tblPr>
        <w:tblStyle w:val="TableGrid"/>
        <w:tblW w:w="5000" w:type="pct"/>
        <w:tblLook w:val="04A0" w:firstRow="1" w:lastRow="0" w:firstColumn="1" w:lastColumn="0" w:noHBand="0" w:noVBand="1"/>
      </w:tblPr>
      <w:tblGrid>
        <w:gridCol w:w="3900"/>
        <w:gridCol w:w="1769"/>
        <w:gridCol w:w="1674"/>
        <w:gridCol w:w="1677"/>
        <w:gridCol w:w="1674"/>
        <w:gridCol w:w="1674"/>
        <w:gridCol w:w="1582"/>
      </w:tblGrid>
      <w:tr w:rsidR="00B9655D" w:rsidRPr="000406C1" w14:paraId="478383B0" w14:textId="77777777" w:rsidTr="00D04636">
        <w:trPr>
          <w:trHeight w:val="413"/>
        </w:trPr>
        <w:tc>
          <w:tcPr>
            <w:tcW w:w="1398" w:type="pct"/>
            <w:vMerge w:val="restart"/>
            <w:vAlign w:val="center"/>
          </w:tcPr>
          <w:p w14:paraId="528A74CB" w14:textId="77777777" w:rsidR="00B9655D" w:rsidRPr="000406C1" w:rsidRDefault="00B9655D" w:rsidP="0083799E">
            <w:pPr>
              <w:spacing w:line="240" w:lineRule="auto"/>
            </w:pPr>
          </w:p>
        </w:tc>
        <w:tc>
          <w:tcPr>
            <w:tcW w:w="1835" w:type="pct"/>
            <w:gridSpan w:val="3"/>
            <w:vAlign w:val="center"/>
          </w:tcPr>
          <w:p w14:paraId="24AF66F7" w14:textId="77777777" w:rsidR="00B9655D" w:rsidRPr="00D40F04" w:rsidRDefault="00B9655D" w:rsidP="00D40F04">
            <w:pPr>
              <w:spacing w:line="240" w:lineRule="auto"/>
              <w:jc w:val="center"/>
              <w:rPr>
                <w:b/>
                <w:bCs/>
              </w:rPr>
            </w:pPr>
            <w:r w:rsidRPr="00D40F04">
              <w:rPr>
                <w:b/>
                <w:bCs/>
              </w:rPr>
              <w:t>Azithromycin</w:t>
            </w:r>
          </w:p>
        </w:tc>
        <w:tc>
          <w:tcPr>
            <w:tcW w:w="1767" w:type="pct"/>
            <w:gridSpan w:val="3"/>
            <w:vAlign w:val="center"/>
          </w:tcPr>
          <w:p w14:paraId="780DE127" w14:textId="77777777" w:rsidR="00B9655D" w:rsidRPr="00D40F04" w:rsidRDefault="00B9655D" w:rsidP="00D40F04">
            <w:pPr>
              <w:spacing w:line="240" w:lineRule="auto"/>
              <w:jc w:val="center"/>
              <w:rPr>
                <w:b/>
                <w:bCs/>
              </w:rPr>
            </w:pPr>
            <w:r w:rsidRPr="00D40F04">
              <w:rPr>
                <w:b/>
                <w:bCs/>
              </w:rPr>
              <w:t>Ciprofloxacin</w:t>
            </w:r>
          </w:p>
        </w:tc>
      </w:tr>
      <w:tr w:rsidR="00B9655D" w:rsidRPr="000406C1" w14:paraId="3246B1CF" w14:textId="77777777" w:rsidTr="00D04636">
        <w:trPr>
          <w:trHeight w:val="256"/>
        </w:trPr>
        <w:tc>
          <w:tcPr>
            <w:tcW w:w="1398" w:type="pct"/>
            <w:vMerge/>
            <w:vAlign w:val="center"/>
          </w:tcPr>
          <w:p w14:paraId="1B5FCDC8" w14:textId="77777777" w:rsidR="00B9655D" w:rsidRPr="000406C1" w:rsidRDefault="00B9655D" w:rsidP="0083799E">
            <w:pPr>
              <w:spacing w:line="240" w:lineRule="auto"/>
            </w:pPr>
          </w:p>
        </w:tc>
        <w:tc>
          <w:tcPr>
            <w:tcW w:w="634" w:type="pct"/>
            <w:vAlign w:val="center"/>
          </w:tcPr>
          <w:p w14:paraId="1AB38E1C" w14:textId="77777777" w:rsidR="00192445" w:rsidRDefault="00B9655D" w:rsidP="00192445">
            <w:pPr>
              <w:spacing w:line="240" w:lineRule="auto"/>
              <w:jc w:val="center"/>
            </w:pPr>
            <w:r w:rsidRPr="00E2719C">
              <w:t>All</w:t>
            </w:r>
            <w:r>
              <w:t xml:space="preserve"> </w:t>
            </w:r>
          </w:p>
          <w:p w14:paraId="45663923" w14:textId="73A1A13D" w:rsidR="00B9655D" w:rsidRPr="00E2719C" w:rsidRDefault="00B9655D" w:rsidP="00D40F04">
            <w:pPr>
              <w:spacing w:line="240" w:lineRule="auto"/>
              <w:jc w:val="center"/>
            </w:pPr>
            <w:r>
              <w:t>(N=52)</w:t>
            </w:r>
          </w:p>
        </w:tc>
        <w:tc>
          <w:tcPr>
            <w:tcW w:w="600" w:type="pct"/>
            <w:vAlign w:val="center"/>
          </w:tcPr>
          <w:p w14:paraId="75AB175D" w14:textId="77777777" w:rsidR="00192445" w:rsidRDefault="00B9655D" w:rsidP="00192445">
            <w:pPr>
              <w:spacing w:line="240" w:lineRule="auto"/>
              <w:jc w:val="center"/>
            </w:pPr>
            <w:r w:rsidRPr="00E2719C">
              <w:t>Study A</w:t>
            </w:r>
            <w:r>
              <w:t xml:space="preserve"> </w:t>
            </w:r>
          </w:p>
          <w:p w14:paraId="7DAAD87D" w14:textId="4684F4AB" w:rsidR="00B9655D" w:rsidRPr="00E2719C" w:rsidRDefault="00B9655D" w:rsidP="00D40F04">
            <w:pPr>
              <w:spacing w:line="240" w:lineRule="auto"/>
              <w:jc w:val="center"/>
            </w:pPr>
            <w:r>
              <w:t>(N=32)</w:t>
            </w:r>
          </w:p>
        </w:tc>
        <w:tc>
          <w:tcPr>
            <w:tcW w:w="600" w:type="pct"/>
            <w:vAlign w:val="center"/>
          </w:tcPr>
          <w:p w14:paraId="4EA34ACB" w14:textId="77777777" w:rsidR="00192445" w:rsidRDefault="00B9655D" w:rsidP="00192445">
            <w:pPr>
              <w:spacing w:line="240" w:lineRule="auto"/>
              <w:jc w:val="center"/>
            </w:pPr>
            <w:r w:rsidRPr="00E2719C">
              <w:t>Study B</w:t>
            </w:r>
            <w:r>
              <w:t xml:space="preserve"> </w:t>
            </w:r>
          </w:p>
          <w:p w14:paraId="1E403F61" w14:textId="3FAC436C" w:rsidR="00B9655D" w:rsidRPr="00E2719C" w:rsidRDefault="00B9655D" w:rsidP="00D40F04">
            <w:pPr>
              <w:spacing w:line="240" w:lineRule="auto"/>
              <w:jc w:val="center"/>
            </w:pPr>
            <w:r>
              <w:t>(N=20)</w:t>
            </w:r>
          </w:p>
        </w:tc>
        <w:tc>
          <w:tcPr>
            <w:tcW w:w="600" w:type="pct"/>
            <w:vAlign w:val="center"/>
          </w:tcPr>
          <w:p w14:paraId="691889D7" w14:textId="77777777" w:rsidR="00192445" w:rsidRDefault="00B9655D" w:rsidP="00192445">
            <w:pPr>
              <w:spacing w:line="240" w:lineRule="auto"/>
              <w:jc w:val="center"/>
            </w:pPr>
            <w:r w:rsidRPr="00E2719C">
              <w:t>All</w:t>
            </w:r>
            <w:r>
              <w:t xml:space="preserve"> </w:t>
            </w:r>
          </w:p>
          <w:p w14:paraId="21CC2B68" w14:textId="69792F4D" w:rsidR="00B9655D" w:rsidRPr="00E2719C" w:rsidRDefault="00B9655D" w:rsidP="00D40F04">
            <w:pPr>
              <w:spacing w:line="240" w:lineRule="auto"/>
              <w:jc w:val="center"/>
            </w:pPr>
            <w:r>
              <w:t>(N=29)</w:t>
            </w:r>
          </w:p>
        </w:tc>
        <w:tc>
          <w:tcPr>
            <w:tcW w:w="600" w:type="pct"/>
            <w:vAlign w:val="center"/>
          </w:tcPr>
          <w:p w14:paraId="08CE766B" w14:textId="77777777" w:rsidR="00192445" w:rsidRDefault="00B9655D" w:rsidP="00192445">
            <w:pPr>
              <w:spacing w:line="240" w:lineRule="auto"/>
              <w:jc w:val="center"/>
            </w:pPr>
            <w:r w:rsidRPr="00E2719C">
              <w:t>Study A</w:t>
            </w:r>
            <w:r>
              <w:t xml:space="preserve"> </w:t>
            </w:r>
          </w:p>
          <w:p w14:paraId="30A9ECFB" w14:textId="6D6CFA62" w:rsidR="00B9655D" w:rsidRPr="00E2719C" w:rsidRDefault="00B9655D" w:rsidP="00D40F04">
            <w:pPr>
              <w:spacing w:line="240" w:lineRule="auto"/>
              <w:jc w:val="center"/>
            </w:pPr>
            <w:r>
              <w:t>(N=18)</w:t>
            </w:r>
          </w:p>
        </w:tc>
        <w:tc>
          <w:tcPr>
            <w:tcW w:w="567" w:type="pct"/>
            <w:vAlign w:val="center"/>
          </w:tcPr>
          <w:p w14:paraId="01F51581" w14:textId="77777777" w:rsidR="00B9655D" w:rsidRPr="00E2719C" w:rsidRDefault="00B9655D" w:rsidP="00D40F04">
            <w:pPr>
              <w:spacing w:line="240" w:lineRule="auto"/>
              <w:jc w:val="center"/>
            </w:pPr>
            <w:r w:rsidRPr="00E2719C">
              <w:t>Study B</w:t>
            </w:r>
            <w:r>
              <w:t xml:space="preserve"> (N=11)</w:t>
            </w:r>
          </w:p>
        </w:tc>
      </w:tr>
      <w:tr w:rsidR="00B9655D" w:rsidRPr="000406C1" w14:paraId="6E7F8AB6" w14:textId="77777777" w:rsidTr="00D04636">
        <w:trPr>
          <w:trHeight w:val="530"/>
        </w:trPr>
        <w:tc>
          <w:tcPr>
            <w:tcW w:w="1398" w:type="pct"/>
            <w:vAlign w:val="center"/>
          </w:tcPr>
          <w:p w14:paraId="5D2011AA" w14:textId="77777777" w:rsidR="00B9655D" w:rsidRPr="00815046" w:rsidRDefault="00B9655D" w:rsidP="0083799E">
            <w:pPr>
              <w:spacing w:line="240" w:lineRule="auto"/>
            </w:pPr>
            <w:r>
              <w:t>Gender</w:t>
            </w:r>
          </w:p>
        </w:tc>
        <w:tc>
          <w:tcPr>
            <w:tcW w:w="634" w:type="pct"/>
            <w:vAlign w:val="center"/>
          </w:tcPr>
          <w:p w14:paraId="325291D5" w14:textId="77777777" w:rsidR="00B9655D" w:rsidRPr="00E2719C" w:rsidDel="009A561B" w:rsidRDefault="00B9655D" w:rsidP="00D40F04">
            <w:pPr>
              <w:spacing w:line="240" w:lineRule="auto"/>
              <w:jc w:val="center"/>
            </w:pPr>
          </w:p>
        </w:tc>
        <w:tc>
          <w:tcPr>
            <w:tcW w:w="600" w:type="pct"/>
            <w:vAlign w:val="center"/>
          </w:tcPr>
          <w:p w14:paraId="24B16183" w14:textId="77777777" w:rsidR="00B9655D" w:rsidRPr="00E2719C" w:rsidDel="009A561B" w:rsidRDefault="00B9655D" w:rsidP="00D40F04">
            <w:pPr>
              <w:spacing w:line="240" w:lineRule="auto"/>
              <w:jc w:val="center"/>
            </w:pPr>
          </w:p>
        </w:tc>
        <w:tc>
          <w:tcPr>
            <w:tcW w:w="600" w:type="pct"/>
            <w:vAlign w:val="center"/>
          </w:tcPr>
          <w:p w14:paraId="43F69CDB" w14:textId="77777777" w:rsidR="00B9655D" w:rsidRPr="00E2719C" w:rsidRDefault="00B9655D" w:rsidP="00D40F04">
            <w:pPr>
              <w:spacing w:line="240" w:lineRule="auto"/>
              <w:jc w:val="center"/>
            </w:pPr>
          </w:p>
        </w:tc>
        <w:tc>
          <w:tcPr>
            <w:tcW w:w="600" w:type="pct"/>
            <w:vAlign w:val="center"/>
          </w:tcPr>
          <w:p w14:paraId="66EC5539" w14:textId="77777777" w:rsidR="00B9655D" w:rsidRPr="00E2719C" w:rsidDel="009A561B" w:rsidRDefault="00B9655D" w:rsidP="00D40F04">
            <w:pPr>
              <w:spacing w:line="240" w:lineRule="auto"/>
              <w:jc w:val="center"/>
            </w:pPr>
          </w:p>
        </w:tc>
        <w:tc>
          <w:tcPr>
            <w:tcW w:w="600" w:type="pct"/>
            <w:vAlign w:val="center"/>
          </w:tcPr>
          <w:p w14:paraId="138E597B" w14:textId="77777777" w:rsidR="00B9655D" w:rsidRPr="00E2719C" w:rsidDel="009A561B" w:rsidRDefault="00B9655D" w:rsidP="00D40F04">
            <w:pPr>
              <w:spacing w:line="240" w:lineRule="auto"/>
              <w:jc w:val="center"/>
            </w:pPr>
          </w:p>
        </w:tc>
        <w:tc>
          <w:tcPr>
            <w:tcW w:w="567" w:type="pct"/>
            <w:vAlign w:val="center"/>
          </w:tcPr>
          <w:p w14:paraId="570B7B21" w14:textId="77777777" w:rsidR="00B9655D" w:rsidRPr="00E2719C" w:rsidRDefault="00B9655D" w:rsidP="00D40F04">
            <w:pPr>
              <w:spacing w:line="240" w:lineRule="auto"/>
              <w:jc w:val="center"/>
            </w:pPr>
          </w:p>
        </w:tc>
      </w:tr>
      <w:tr w:rsidR="00B9655D" w:rsidRPr="000406C1" w14:paraId="01F20168" w14:textId="77777777" w:rsidTr="00D04636">
        <w:trPr>
          <w:trHeight w:val="530"/>
        </w:trPr>
        <w:tc>
          <w:tcPr>
            <w:tcW w:w="1398" w:type="pct"/>
            <w:vAlign w:val="center"/>
          </w:tcPr>
          <w:p w14:paraId="2DF94D46" w14:textId="77777777" w:rsidR="00B9655D" w:rsidRPr="00E53EC8" w:rsidRDefault="00B9655D" w:rsidP="0083799E">
            <w:pPr>
              <w:spacing w:line="240" w:lineRule="auto"/>
            </w:pPr>
            <w:r w:rsidRPr="00E53EC8">
              <w:t>Male</w:t>
            </w:r>
          </w:p>
        </w:tc>
        <w:tc>
          <w:tcPr>
            <w:tcW w:w="634" w:type="pct"/>
            <w:vAlign w:val="center"/>
          </w:tcPr>
          <w:p w14:paraId="5016324C" w14:textId="77777777" w:rsidR="00B9655D" w:rsidRPr="00E2719C" w:rsidRDefault="00B9655D" w:rsidP="00D40F04">
            <w:pPr>
              <w:spacing w:line="240" w:lineRule="auto"/>
              <w:jc w:val="center"/>
            </w:pPr>
            <w:r>
              <w:t>34</w:t>
            </w:r>
            <w:r w:rsidRPr="00E2719C">
              <w:t xml:space="preserve"> (</w:t>
            </w:r>
            <w:r>
              <w:t>65.4</w:t>
            </w:r>
            <w:r w:rsidRPr="00E2719C">
              <w:t>%)</w:t>
            </w:r>
          </w:p>
        </w:tc>
        <w:tc>
          <w:tcPr>
            <w:tcW w:w="600" w:type="pct"/>
            <w:vAlign w:val="center"/>
          </w:tcPr>
          <w:p w14:paraId="7E946C77" w14:textId="77777777" w:rsidR="00B9655D" w:rsidRPr="00E2719C" w:rsidRDefault="00B9655D" w:rsidP="00D40F04">
            <w:pPr>
              <w:spacing w:line="240" w:lineRule="auto"/>
              <w:jc w:val="center"/>
            </w:pPr>
            <w:r>
              <w:t>20</w:t>
            </w:r>
            <w:r w:rsidRPr="00E2719C">
              <w:t xml:space="preserve"> (</w:t>
            </w:r>
            <w:r>
              <w:t>62.5</w:t>
            </w:r>
            <w:r w:rsidRPr="00E2719C">
              <w:t>%)</w:t>
            </w:r>
          </w:p>
        </w:tc>
        <w:tc>
          <w:tcPr>
            <w:tcW w:w="600" w:type="pct"/>
            <w:vAlign w:val="center"/>
          </w:tcPr>
          <w:p w14:paraId="1F120FC9" w14:textId="77777777" w:rsidR="00B9655D" w:rsidRPr="00E2719C" w:rsidRDefault="00B9655D" w:rsidP="00D40F04">
            <w:pPr>
              <w:spacing w:line="240" w:lineRule="auto"/>
              <w:jc w:val="center"/>
            </w:pPr>
            <w:r w:rsidRPr="00E2719C">
              <w:t>14 (</w:t>
            </w:r>
            <w:r>
              <w:t>70.0</w:t>
            </w:r>
            <w:r w:rsidRPr="00E2719C">
              <w:t>%)</w:t>
            </w:r>
          </w:p>
        </w:tc>
        <w:tc>
          <w:tcPr>
            <w:tcW w:w="600" w:type="pct"/>
            <w:vAlign w:val="center"/>
          </w:tcPr>
          <w:p w14:paraId="12F463EB" w14:textId="5DA235B8" w:rsidR="00B9655D" w:rsidRPr="00E2719C" w:rsidRDefault="00B9655D" w:rsidP="00D40F04">
            <w:pPr>
              <w:spacing w:line="240" w:lineRule="auto"/>
              <w:jc w:val="center"/>
            </w:pPr>
            <w:r>
              <w:t>2</w:t>
            </w:r>
            <w:r w:rsidR="004F561D">
              <w:t>3</w:t>
            </w:r>
            <w:r>
              <w:t xml:space="preserve"> </w:t>
            </w:r>
            <w:r w:rsidRPr="00E2719C">
              <w:t>(</w:t>
            </w:r>
            <w:r>
              <w:t>7</w:t>
            </w:r>
            <w:r w:rsidR="004F561D">
              <w:t>9</w:t>
            </w:r>
            <w:r>
              <w:t>.</w:t>
            </w:r>
            <w:r w:rsidR="004F561D">
              <w:t>3</w:t>
            </w:r>
            <w:r w:rsidRPr="00E2719C">
              <w:t>%)</w:t>
            </w:r>
          </w:p>
        </w:tc>
        <w:tc>
          <w:tcPr>
            <w:tcW w:w="600" w:type="pct"/>
            <w:vAlign w:val="center"/>
          </w:tcPr>
          <w:p w14:paraId="44A9F64D" w14:textId="77777777" w:rsidR="00B9655D" w:rsidRPr="00E2719C" w:rsidRDefault="00B9655D" w:rsidP="00D40F04">
            <w:pPr>
              <w:spacing w:line="240" w:lineRule="auto"/>
              <w:jc w:val="center"/>
            </w:pPr>
            <w:r>
              <w:t>14</w:t>
            </w:r>
            <w:r w:rsidRPr="00E2719C">
              <w:t xml:space="preserve"> (</w:t>
            </w:r>
            <w:r>
              <w:t>77.8</w:t>
            </w:r>
            <w:r w:rsidRPr="00E2719C">
              <w:t>%)</w:t>
            </w:r>
          </w:p>
        </w:tc>
        <w:tc>
          <w:tcPr>
            <w:tcW w:w="567" w:type="pct"/>
            <w:vAlign w:val="center"/>
          </w:tcPr>
          <w:p w14:paraId="475AD033" w14:textId="4E430BBB" w:rsidR="00B9655D" w:rsidRPr="00E2719C" w:rsidRDefault="004F561D" w:rsidP="00D40F04">
            <w:pPr>
              <w:spacing w:line="240" w:lineRule="auto"/>
              <w:jc w:val="center"/>
            </w:pPr>
            <w:r>
              <w:t>9</w:t>
            </w:r>
            <w:r w:rsidR="00B9655D" w:rsidRPr="00E2719C">
              <w:t xml:space="preserve"> (</w:t>
            </w:r>
            <w:r>
              <w:t>81.8</w:t>
            </w:r>
            <w:r w:rsidR="00B9655D">
              <w:t>%</w:t>
            </w:r>
            <w:r w:rsidR="00B9655D" w:rsidRPr="00E2719C">
              <w:t>)</w:t>
            </w:r>
          </w:p>
        </w:tc>
      </w:tr>
      <w:tr w:rsidR="00B9655D" w:rsidRPr="000406C1" w14:paraId="628A2AAD" w14:textId="77777777" w:rsidTr="00D04636">
        <w:trPr>
          <w:trHeight w:val="273"/>
        </w:trPr>
        <w:tc>
          <w:tcPr>
            <w:tcW w:w="1398" w:type="pct"/>
            <w:vAlign w:val="center"/>
          </w:tcPr>
          <w:p w14:paraId="3C2CB432" w14:textId="77777777" w:rsidR="00B9655D" w:rsidRPr="009157AB" w:rsidRDefault="00B9655D" w:rsidP="0083799E">
            <w:pPr>
              <w:spacing w:line="240" w:lineRule="auto"/>
            </w:pPr>
            <w:r w:rsidRPr="009157AB">
              <w:t>Age (Median, IQR)</w:t>
            </w:r>
          </w:p>
        </w:tc>
        <w:tc>
          <w:tcPr>
            <w:tcW w:w="634" w:type="pct"/>
            <w:vAlign w:val="center"/>
          </w:tcPr>
          <w:p w14:paraId="1A09AB99" w14:textId="0F055A01" w:rsidR="00B9655D" w:rsidRPr="00E2719C" w:rsidRDefault="00B9655D" w:rsidP="00D40F04">
            <w:pPr>
              <w:spacing w:line="240" w:lineRule="auto"/>
              <w:jc w:val="center"/>
            </w:pPr>
            <w:r>
              <w:t>26.</w:t>
            </w:r>
            <w:r w:rsidR="004F561D">
              <w:t>2</w:t>
            </w:r>
            <w:r>
              <w:t xml:space="preserve"> [23.</w:t>
            </w:r>
            <w:r w:rsidR="004F561D">
              <w:t>3</w:t>
            </w:r>
            <w:r>
              <w:t>-3</w:t>
            </w:r>
            <w:r w:rsidR="003551C8">
              <w:t>5</w:t>
            </w:r>
            <w:r>
              <w:t>.</w:t>
            </w:r>
            <w:r w:rsidR="004F561D">
              <w:t>4</w:t>
            </w:r>
            <w:r>
              <w:t>]</w:t>
            </w:r>
          </w:p>
        </w:tc>
        <w:tc>
          <w:tcPr>
            <w:tcW w:w="600" w:type="pct"/>
            <w:vAlign w:val="center"/>
          </w:tcPr>
          <w:p w14:paraId="0008D75D" w14:textId="77777777" w:rsidR="00B9655D" w:rsidRPr="00E2719C" w:rsidRDefault="00B9655D" w:rsidP="00D40F04">
            <w:pPr>
              <w:spacing w:line="240" w:lineRule="auto"/>
              <w:jc w:val="center"/>
            </w:pPr>
            <w:r>
              <w:t>24.4</w:t>
            </w:r>
            <w:r w:rsidRPr="00E2719C">
              <w:t xml:space="preserve"> [2</w:t>
            </w:r>
            <w:r>
              <w:t>2</w:t>
            </w:r>
            <w:r w:rsidRPr="00E2719C">
              <w:t>.</w:t>
            </w:r>
            <w:r>
              <w:t>9</w:t>
            </w:r>
            <w:r w:rsidRPr="00E2719C">
              <w:t>-3</w:t>
            </w:r>
            <w:r>
              <w:t>0</w:t>
            </w:r>
            <w:r w:rsidRPr="00E2719C">
              <w:t>.</w:t>
            </w:r>
            <w:r>
              <w:t>7</w:t>
            </w:r>
            <w:r w:rsidRPr="00E2719C">
              <w:t>]</w:t>
            </w:r>
          </w:p>
        </w:tc>
        <w:tc>
          <w:tcPr>
            <w:tcW w:w="600" w:type="pct"/>
            <w:vAlign w:val="center"/>
          </w:tcPr>
          <w:p w14:paraId="6E3AC8E6" w14:textId="2F165474" w:rsidR="00B9655D" w:rsidRPr="00E2719C" w:rsidRDefault="00B9655D" w:rsidP="00D40F04">
            <w:pPr>
              <w:spacing w:line="240" w:lineRule="auto"/>
              <w:jc w:val="center"/>
            </w:pPr>
            <w:r>
              <w:t>2</w:t>
            </w:r>
            <w:r w:rsidR="004F561D">
              <w:t>7</w:t>
            </w:r>
            <w:r>
              <w:t>.</w:t>
            </w:r>
            <w:r w:rsidR="004F561D">
              <w:t>5</w:t>
            </w:r>
            <w:r w:rsidRPr="00E2719C">
              <w:t xml:space="preserve"> [24.</w:t>
            </w:r>
            <w:r w:rsidR="004F561D">
              <w:t>1</w:t>
            </w:r>
            <w:r w:rsidRPr="00E2719C">
              <w:t>-4</w:t>
            </w:r>
            <w:r w:rsidR="004F561D">
              <w:t>4</w:t>
            </w:r>
            <w:r w:rsidRPr="00E2719C">
              <w:t>.</w:t>
            </w:r>
            <w:r w:rsidR="004F561D">
              <w:t>7</w:t>
            </w:r>
            <w:r w:rsidRPr="00E2719C">
              <w:t>]</w:t>
            </w:r>
          </w:p>
        </w:tc>
        <w:tc>
          <w:tcPr>
            <w:tcW w:w="600" w:type="pct"/>
            <w:vAlign w:val="center"/>
          </w:tcPr>
          <w:p w14:paraId="603A0FA6" w14:textId="077F70D1" w:rsidR="00B9655D" w:rsidRPr="00E2719C" w:rsidRDefault="00B9655D" w:rsidP="00D40F04">
            <w:pPr>
              <w:spacing w:line="240" w:lineRule="auto"/>
              <w:jc w:val="center"/>
            </w:pPr>
            <w:r>
              <w:t>2</w:t>
            </w:r>
            <w:r w:rsidR="004F561D">
              <w:t>7</w:t>
            </w:r>
            <w:r>
              <w:t>.</w:t>
            </w:r>
            <w:r w:rsidR="004F561D">
              <w:t>9</w:t>
            </w:r>
            <w:r>
              <w:t xml:space="preserve"> [2</w:t>
            </w:r>
            <w:r w:rsidR="004F561D">
              <w:t>1</w:t>
            </w:r>
            <w:r>
              <w:t>.</w:t>
            </w:r>
            <w:r w:rsidR="004F561D">
              <w:t>6</w:t>
            </w:r>
            <w:r>
              <w:t>-32.</w:t>
            </w:r>
            <w:r w:rsidR="004F561D">
              <w:t>0</w:t>
            </w:r>
            <w:r>
              <w:t>]</w:t>
            </w:r>
          </w:p>
        </w:tc>
        <w:tc>
          <w:tcPr>
            <w:tcW w:w="600" w:type="pct"/>
            <w:vAlign w:val="center"/>
          </w:tcPr>
          <w:p w14:paraId="2E7730BE" w14:textId="77777777" w:rsidR="00B9655D" w:rsidRPr="00E2719C" w:rsidRDefault="00B9655D" w:rsidP="00D40F04">
            <w:pPr>
              <w:spacing w:line="240" w:lineRule="auto"/>
              <w:jc w:val="center"/>
            </w:pPr>
            <w:r w:rsidRPr="00E2719C">
              <w:t>2</w:t>
            </w:r>
            <w:r>
              <w:t>6.6</w:t>
            </w:r>
            <w:r w:rsidRPr="00E2719C">
              <w:t xml:space="preserve"> [2</w:t>
            </w:r>
            <w:r>
              <w:t>1</w:t>
            </w:r>
            <w:r w:rsidRPr="00E2719C">
              <w:t>.</w:t>
            </w:r>
            <w:r>
              <w:t>6</w:t>
            </w:r>
            <w:r w:rsidRPr="00E2719C">
              <w:t>-2</w:t>
            </w:r>
            <w:r>
              <w:t>9</w:t>
            </w:r>
            <w:r w:rsidRPr="00E2719C">
              <w:t>.</w:t>
            </w:r>
            <w:r>
              <w:t>6</w:t>
            </w:r>
            <w:r w:rsidRPr="00E2719C">
              <w:t>]</w:t>
            </w:r>
          </w:p>
        </w:tc>
        <w:tc>
          <w:tcPr>
            <w:tcW w:w="567" w:type="pct"/>
            <w:vAlign w:val="center"/>
          </w:tcPr>
          <w:p w14:paraId="2D95AFE8" w14:textId="0F9C28BC" w:rsidR="00B9655D" w:rsidRPr="00E2719C" w:rsidRDefault="00B9655D" w:rsidP="00D40F04">
            <w:pPr>
              <w:spacing w:line="240" w:lineRule="auto"/>
              <w:jc w:val="center"/>
            </w:pPr>
            <w:r w:rsidRPr="00E2719C">
              <w:t>2</w:t>
            </w:r>
            <w:r w:rsidR="004F561D">
              <w:t>7</w:t>
            </w:r>
            <w:r w:rsidRPr="00E2719C">
              <w:t>.</w:t>
            </w:r>
            <w:r w:rsidR="004F561D">
              <w:t>9</w:t>
            </w:r>
            <w:r w:rsidRPr="00E2719C">
              <w:t xml:space="preserve"> [2</w:t>
            </w:r>
            <w:r w:rsidR="004F561D">
              <w:t>1</w:t>
            </w:r>
            <w:r w:rsidRPr="00E2719C">
              <w:t>.</w:t>
            </w:r>
            <w:r w:rsidR="004F561D">
              <w:t>6</w:t>
            </w:r>
            <w:r w:rsidRPr="00E2719C">
              <w:t>-</w:t>
            </w:r>
            <w:r>
              <w:t>40.3</w:t>
            </w:r>
            <w:r w:rsidRPr="00E2719C">
              <w:t>]</w:t>
            </w:r>
          </w:p>
        </w:tc>
      </w:tr>
      <w:tr w:rsidR="00B9655D" w:rsidRPr="000406C1" w14:paraId="0E41886D" w14:textId="77777777" w:rsidTr="00D04636">
        <w:trPr>
          <w:trHeight w:val="273"/>
        </w:trPr>
        <w:tc>
          <w:tcPr>
            <w:tcW w:w="1398" w:type="pct"/>
            <w:vAlign w:val="center"/>
          </w:tcPr>
          <w:p w14:paraId="69940F0E" w14:textId="77777777" w:rsidR="00B9655D" w:rsidRPr="00D40F04" w:rsidRDefault="00B9655D" w:rsidP="0083799E">
            <w:pPr>
              <w:spacing w:line="240" w:lineRule="auto"/>
              <w:rPr>
                <w:b/>
                <w:bCs/>
              </w:rPr>
            </w:pPr>
            <w:r w:rsidRPr="00D40F04">
              <w:rPr>
                <w:b/>
                <w:bCs/>
              </w:rPr>
              <w:t>Subgroups</w:t>
            </w:r>
          </w:p>
        </w:tc>
        <w:tc>
          <w:tcPr>
            <w:tcW w:w="1835" w:type="pct"/>
            <w:gridSpan w:val="3"/>
            <w:vAlign w:val="center"/>
          </w:tcPr>
          <w:p w14:paraId="70126E9D" w14:textId="77777777" w:rsidR="00B9655D" w:rsidRPr="00E2719C" w:rsidRDefault="00B9655D" w:rsidP="00D40F04">
            <w:pPr>
              <w:spacing w:line="240" w:lineRule="auto"/>
              <w:jc w:val="center"/>
            </w:pPr>
          </w:p>
        </w:tc>
        <w:tc>
          <w:tcPr>
            <w:tcW w:w="1767" w:type="pct"/>
            <w:gridSpan w:val="3"/>
            <w:vAlign w:val="center"/>
          </w:tcPr>
          <w:p w14:paraId="0E2A77C5" w14:textId="77777777" w:rsidR="00B9655D" w:rsidRPr="00E2719C" w:rsidRDefault="00B9655D" w:rsidP="00D40F04">
            <w:pPr>
              <w:spacing w:line="240" w:lineRule="auto"/>
              <w:jc w:val="center"/>
            </w:pPr>
          </w:p>
        </w:tc>
      </w:tr>
      <w:tr w:rsidR="00B9655D" w:rsidRPr="000406C1" w14:paraId="3339640D" w14:textId="77777777" w:rsidTr="00D04636">
        <w:trPr>
          <w:trHeight w:val="273"/>
        </w:trPr>
        <w:tc>
          <w:tcPr>
            <w:tcW w:w="1398" w:type="pct"/>
            <w:vAlign w:val="center"/>
          </w:tcPr>
          <w:p w14:paraId="031B787F" w14:textId="77777777" w:rsidR="00B9655D" w:rsidRPr="00E2719C" w:rsidRDefault="00B9655D" w:rsidP="0083799E">
            <w:pPr>
              <w:spacing w:line="240" w:lineRule="auto"/>
            </w:pPr>
            <w:r w:rsidRPr="00E2719C">
              <w:t>Vaccine (Study A only)</w:t>
            </w:r>
          </w:p>
        </w:tc>
        <w:tc>
          <w:tcPr>
            <w:tcW w:w="1835" w:type="pct"/>
            <w:gridSpan w:val="3"/>
            <w:vAlign w:val="center"/>
          </w:tcPr>
          <w:p w14:paraId="4FEA4AC5" w14:textId="77777777" w:rsidR="00B9655D" w:rsidRPr="00E2719C" w:rsidRDefault="00B9655D" w:rsidP="00D40F04">
            <w:pPr>
              <w:spacing w:line="240" w:lineRule="auto"/>
              <w:jc w:val="center"/>
            </w:pPr>
          </w:p>
        </w:tc>
        <w:tc>
          <w:tcPr>
            <w:tcW w:w="1767" w:type="pct"/>
            <w:gridSpan w:val="3"/>
            <w:vAlign w:val="center"/>
          </w:tcPr>
          <w:p w14:paraId="6A434EF8" w14:textId="77777777" w:rsidR="00B9655D" w:rsidRPr="00E2719C" w:rsidRDefault="00B9655D" w:rsidP="00D40F04">
            <w:pPr>
              <w:spacing w:line="240" w:lineRule="auto"/>
              <w:jc w:val="center"/>
            </w:pPr>
          </w:p>
        </w:tc>
      </w:tr>
      <w:tr w:rsidR="00B9655D" w:rsidRPr="000406C1" w14:paraId="17122A71" w14:textId="77777777" w:rsidTr="00D04636">
        <w:trPr>
          <w:trHeight w:val="256"/>
        </w:trPr>
        <w:tc>
          <w:tcPr>
            <w:tcW w:w="1398" w:type="pct"/>
            <w:vAlign w:val="center"/>
          </w:tcPr>
          <w:p w14:paraId="3BC0060A" w14:textId="77777777" w:rsidR="00B9655D" w:rsidRPr="00E2719C" w:rsidRDefault="00B9655D" w:rsidP="0083799E">
            <w:pPr>
              <w:spacing w:line="240" w:lineRule="auto"/>
            </w:pPr>
            <w:r w:rsidRPr="00E2719C">
              <w:t>Control</w:t>
            </w:r>
          </w:p>
        </w:tc>
        <w:tc>
          <w:tcPr>
            <w:tcW w:w="634" w:type="pct"/>
            <w:vAlign w:val="center"/>
          </w:tcPr>
          <w:p w14:paraId="50B473C4" w14:textId="77777777" w:rsidR="00B9655D" w:rsidRPr="00E2719C" w:rsidRDefault="00B9655D" w:rsidP="00D40F04">
            <w:pPr>
              <w:spacing w:line="240" w:lineRule="auto"/>
              <w:jc w:val="center"/>
            </w:pPr>
            <w:r w:rsidRPr="00E2719C">
              <w:t>16 (30.8%)</w:t>
            </w:r>
          </w:p>
        </w:tc>
        <w:tc>
          <w:tcPr>
            <w:tcW w:w="600" w:type="pct"/>
            <w:vAlign w:val="center"/>
          </w:tcPr>
          <w:p w14:paraId="35CA00A4" w14:textId="77777777" w:rsidR="00B9655D" w:rsidRPr="00E2719C" w:rsidRDefault="00B9655D" w:rsidP="00D40F04">
            <w:pPr>
              <w:spacing w:line="240" w:lineRule="auto"/>
              <w:jc w:val="center"/>
            </w:pPr>
            <w:r w:rsidRPr="00E2719C">
              <w:t>16 (50%)</w:t>
            </w:r>
          </w:p>
        </w:tc>
        <w:tc>
          <w:tcPr>
            <w:tcW w:w="600" w:type="pct"/>
            <w:vAlign w:val="center"/>
          </w:tcPr>
          <w:p w14:paraId="218776A3" w14:textId="77777777" w:rsidR="00B9655D" w:rsidRPr="00E2719C" w:rsidRDefault="00B9655D" w:rsidP="00D40F04">
            <w:pPr>
              <w:spacing w:line="240" w:lineRule="auto"/>
              <w:jc w:val="center"/>
            </w:pPr>
            <w:r w:rsidRPr="00E2719C">
              <w:t>-</w:t>
            </w:r>
          </w:p>
        </w:tc>
        <w:tc>
          <w:tcPr>
            <w:tcW w:w="600" w:type="pct"/>
            <w:vAlign w:val="center"/>
          </w:tcPr>
          <w:p w14:paraId="64DF03A2" w14:textId="77777777" w:rsidR="00B9655D" w:rsidRPr="00E2719C" w:rsidRDefault="00B9655D" w:rsidP="00D40F04">
            <w:pPr>
              <w:spacing w:line="240" w:lineRule="auto"/>
              <w:jc w:val="center"/>
            </w:pPr>
            <w:r w:rsidRPr="00E2719C">
              <w:t>8 (27.6%)</w:t>
            </w:r>
          </w:p>
        </w:tc>
        <w:tc>
          <w:tcPr>
            <w:tcW w:w="600" w:type="pct"/>
            <w:vAlign w:val="center"/>
          </w:tcPr>
          <w:p w14:paraId="5A9B5570" w14:textId="77777777" w:rsidR="00B9655D" w:rsidRPr="00E2719C" w:rsidRDefault="00B9655D" w:rsidP="00D40F04">
            <w:pPr>
              <w:spacing w:line="240" w:lineRule="auto"/>
              <w:jc w:val="center"/>
            </w:pPr>
            <w:r w:rsidRPr="00E2719C">
              <w:t>8</w:t>
            </w:r>
            <w:r>
              <w:t xml:space="preserve"> </w:t>
            </w:r>
            <w:r w:rsidRPr="00E2719C">
              <w:t>(44.4%)</w:t>
            </w:r>
          </w:p>
        </w:tc>
        <w:tc>
          <w:tcPr>
            <w:tcW w:w="567" w:type="pct"/>
            <w:vAlign w:val="center"/>
          </w:tcPr>
          <w:p w14:paraId="14297FA2" w14:textId="77777777" w:rsidR="00B9655D" w:rsidRPr="00E2719C" w:rsidRDefault="00B9655D" w:rsidP="00D40F04">
            <w:pPr>
              <w:spacing w:line="240" w:lineRule="auto"/>
              <w:jc w:val="center"/>
            </w:pPr>
            <w:r w:rsidRPr="00E2719C">
              <w:t>-</w:t>
            </w:r>
          </w:p>
        </w:tc>
      </w:tr>
      <w:tr w:rsidR="00B9655D" w:rsidRPr="000406C1" w14:paraId="2D2996C4" w14:textId="77777777" w:rsidTr="00D04636">
        <w:trPr>
          <w:trHeight w:val="256"/>
        </w:trPr>
        <w:tc>
          <w:tcPr>
            <w:tcW w:w="1398" w:type="pct"/>
            <w:vAlign w:val="center"/>
          </w:tcPr>
          <w:p w14:paraId="2EF2FA8F" w14:textId="77777777" w:rsidR="00B9655D" w:rsidRPr="00E2719C" w:rsidRDefault="00B9655D" w:rsidP="0083799E">
            <w:pPr>
              <w:spacing w:line="240" w:lineRule="auto"/>
            </w:pPr>
            <w:r w:rsidRPr="00E2719C">
              <w:t>Vi-TT</w:t>
            </w:r>
          </w:p>
        </w:tc>
        <w:tc>
          <w:tcPr>
            <w:tcW w:w="634" w:type="pct"/>
            <w:vAlign w:val="center"/>
          </w:tcPr>
          <w:p w14:paraId="3A82FAB2" w14:textId="77777777" w:rsidR="00B9655D" w:rsidRPr="00E2719C" w:rsidRDefault="00B9655D" w:rsidP="00D40F04">
            <w:pPr>
              <w:spacing w:line="240" w:lineRule="auto"/>
              <w:jc w:val="center"/>
            </w:pPr>
            <w:r>
              <w:t>7</w:t>
            </w:r>
            <w:r w:rsidRPr="00E2719C">
              <w:t xml:space="preserve"> (13.5%)</w:t>
            </w:r>
          </w:p>
        </w:tc>
        <w:tc>
          <w:tcPr>
            <w:tcW w:w="600" w:type="pct"/>
            <w:vAlign w:val="center"/>
          </w:tcPr>
          <w:p w14:paraId="4DD841B9" w14:textId="77777777" w:rsidR="00B9655D" w:rsidRPr="00E2719C" w:rsidRDefault="00B9655D" w:rsidP="00D40F04">
            <w:pPr>
              <w:spacing w:line="240" w:lineRule="auto"/>
              <w:jc w:val="center"/>
            </w:pPr>
            <w:r w:rsidRPr="00E2719C">
              <w:t>7 (21.9%)</w:t>
            </w:r>
          </w:p>
        </w:tc>
        <w:tc>
          <w:tcPr>
            <w:tcW w:w="600" w:type="pct"/>
            <w:vAlign w:val="center"/>
          </w:tcPr>
          <w:p w14:paraId="7C5E45D9" w14:textId="77777777" w:rsidR="00B9655D" w:rsidRPr="00E2719C" w:rsidRDefault="00B9655D" w:rsidP="00D40F04">
            <w:pPr>
              <w:spacing w:line="240" w:lineRule="auto"/>
              <w:jc w:val="center"/>
            </w:pPr>
            <w:r w:rsidRPr="00E2719C">
              <w:t>-</w:t>
            </w:r>
          </w:p>
        </w:tc>
        <w:tc>
          <w:tcPr>
            <w:tcW w:w="600" w:type="pct"/>
            <w:vAlign w:val="center"/>
          </w:tcPr>
          <w:p w14:paraId="47AA8866" w14:textId="77777777" w:rsidR="00B9655D" w:rsidRPr="00E2719C" w:rsidRDefault="00B9655D" w:rsidP="00D40F04">
            <w:pPr>
              <w:spacing w:line="240" w:lineRule="auto"/>
              <w:jc w:val="center"/>
            </w:pPr>
            <w:r w:rsidRPr="00E2719C">
              <w:t>6 (20.7%)</w:t>
            </w:r>
          </w:p>
        </w:tc>
        <w:tc>
          <w:tcPr>
            <w:tcW w:w="600" w:type="pct"/>
            <w:vAlign w:val="center"/>
          </w:tcPr>
          <w:p w14:paraId="743F808D" w14:textId="77777777" w:rsidR="00B9655D" w:rsidRPr="00E2719C" w:rsidRDefault="00B9655D" w:rsidP="00D40F04">
            <w:pPr>
              <w:spacing w:line="240" w:lineRule="auto"/>
              <w:jc w:val="center"/>
            </w:pPr>
            <w:r w:rsidRPr="00E2719C">
              <w:t>6 (33.3%)</w:t>
            </w:r>
          </w:p>
        </w:tc>
        <w:tc>
          <w:tcPr>
            <w:tcW w:w="567" w:type="pct"/>
            <w:vAlign w:val="center"/>
          </w:tcPr>
          <w:p w14:paraId="433396B6" w14:textId="77777777" w:rsidR="00B9655D" w:rsidRPr="00E2719C" w:rsidRDefault="00B9655D" w:rsidP="00D40F04">
            <w:pPr>
              <w:spacing w:line="240" w:lineRule="auto"/>
              <w:jc w:val="center"/>
            </w:pPr>
            <w:r w:rsidRPr="00E2719C">
              <w:t>-</w:t>
            </w:r>
          </w:p>
        </w:tc>
      </w:tr>
      <w:tr w:rsidR="00B9655D" w:rsidRPr="000406C1" w14:paraId="41617AB2" w14:textId="77777777" w:rsidTr="00D04636">
        <w:trPr>
          <w:trHeight w:val="256"/>
        </w:trPr>
        <w:tc>
          <w:tcPr>
            <w:tcW w:w="1398" w:type="pct"/>
            <w:vAlign w:val="center"/>
          </w:tcPr>
          <w:p w14:paraId="2F899E18" w14:textId="77777777" w:rsidR="00B9655D" w:rsidRPr="00E2719C" w:rsidRDefault="00B9655D" w:rsidP="0083799E">
            <w:pPr>
              <w:spacing w:line="240" w:lineRule="auto"/>
            </w:pPr>
            <w:r w:rsidRPr="00E2719C">
              <w:t>Vi-PS</w:t>
            </w:r>
          </w:p>
        </w:tc>
        <w:tc>
          <w:tcPr>
            <w:tcW w:w="634" w:type="pct"/>
            <w:vAlign w:val="center"/>
          </w:tcPr>
          <w:p w14:paraId="4D82BDBC" w14:textId="77777777" w:rsidR="00B9655D" w:rsidRPr="00E2719C" w:rsidRDefault="00B9655D" w:rsidP="00D40F04">
            <w:pPr>
              <w:spacing w:line="240" w:lineRule="auto"/>
              <w:jc w:val="center"/>
            </w:pPr>
            <w:r>
              <w:t>9</w:t>
            </w:r>
            <w:r w:rsidRPr="00E2719C">
              <w:t xml:space="preserve"> (17.3%)</w:t>
            </w:r>
          </w:p>
        </w:tc>
        <w:tc>
          <w:tcPr>
            <w:tcW w:w="600" w:type="pct"/>
            <w:vAlign w:val="center"/>
          </w:tcPr>
          <w:p w14:paraId="2BB5A5EC" w14:textId="77777777" w:rsidR="00B9655D" w:rsidRPr="00E2719C" w:rsidRDefault="00B9655D" w:rsidP="00D40F04">
            <w:pPr>
              <w:spacing w:line="240" w:lineRule="auto"/>
              <w:jc w:val="center"/>
            </w:pPr>
            <w:r w:rsidRPr="00E2719C">
              <w:t>9 (28.1%)</w:t>
            </w:r>
          </w:p>
        </w:tc>
        <w:tc>
          <w:tcPr>
            <w:tcW w:w="600" w:type="pct"/>
            <w:vAlign w:val="center"/>
          </w:tcPr>
          <w:p w14:paraId="72AB134A" w14:textId="77777777" w:rsidR="00B9655D" w:rsidRPr="00E2719C" w:rsidRDefault="00B9655D" w:rsidP="00D40F04">
            <w:pPr>
              <w:spacing w:line="240" w:lineRule="auto"/>
              <w:jc w:val="center"/>
            </w:pPr>
            <w:r w:rsidRPr="00E2719C">
              <w:t>-</w:t>
            </w:r>
          </w:p>
        </w:tc>
        <w:tc>
          <w:tcPr>
            <w:tcW w:w="600" w:type="pct"/>
            <w:vAlign w:val="center"/>
          </w:tcPr>
          <w:p w14:paraId="281005CE" w14:textId="77777777" w:rsidR="00B9655D" w:rsidRPr="00E2719C" w:rsidRDefault="00B9655D" w:rsidP="00D40F04">
            <w:pPr>
              <w:spacing w:line="240" w:lineRule="auto"/>
              <w:jc w:val="center"/>
            </w:pPr>
            <w:r w:rsidRPr="00E2719C">
              <w:t>4 (13.8%)</w:t>
            </w:r>
          </w:p>
        </w:tc>
        <w:tc>
          <w:tcPr>
            <w:tcW w:w="600" w:type="pct"/>
            <w:vAlign w:val="center"/>
          </w:tcPr>
          <w:p w14:paraId="09BB767F" w14:textId="77777777" w:rsidR="00B9655D" w:rsidRPr="00E2719C" w:rsidRDefault="00B9655D" w:rsidP="00D40F04">
            <w:pPr>
              <w:spacing w:line="240" w:lineRule="auto"/>
              <w:jc w:val="center"/>
            </w:pPr>
            <w:r w:rsidRPr="00E2719C">
              <w:t>4 (22.2%)</w:t>
            </w:r>
          </w:p>
        </w:tc>
        <w:tc>
          <w:tcPr>
            <w:tcW w:w="567" w:type="pct"/>
            <w:vAlign w:val="center"/>
          </w:tcPr>
          <w:p w14:paraId="77BDA4A0" w14:textId="77777777" w:rsidR="00B9655D" w:rsidRPr="00E2719C" w:rsidRDefault="00B9655D" w:rsidP="00D40F04">
            <w:pPr>
              <w:spacing w:line="240" w:lineRule="auto"/>
              <w:jc w:val="center"/>
            </w:pPr>
            <w:r w:rsidRPr="00E2719C">
              <w:t>-</w:t>
            </w:r>
          </w:p>
        </w:tc>
      </w:tr>
      <w:tr w:rsidR="00B9655D" w:rsidRPr="000406C1" w14:paraId="5FACA525" w14:textId="77777777" w:rsidTr="00D04636">
        <w:trPr>
          <w:trHeight w:val="256"/>
        </w:trPr>
        <w:tc>
          <w:tcPr>
            <w:tcW w:w="1398" w:type="pct"/>
            <w:vAlign w:val="center"/>
          </w:tcPr>
          <w:p w14:paraId="53ACE025" w14:textId="77777777" w:rsidR="00B9655D" w:rsidRPr="00E2719C" w:rsidRDefault="00B9655D" w:rsidP="0083799E">
            <w:pPr>
              <w:spacing w:line="240" w:lineRule="auto"/>
            </w:pPr>
            <w:r>
              <w:t>None</w:t>
            </w:r>
          </w:p>
        </w:tc>
        <w:tc>
          <w:tcPr>
            <w:tcW w:w="634" w:type="pct"/>
            <w:vAlign w:val="center"/>
          </w:tcPr>
          <w:p w14:paraId="2A1FD158" w14:textId="77777777" w:rsidR="00B9655D" w:rsidRPr="00E2719C" w:rsidRDefault="00B9655D" w:rsidP="00D40F04">
            <w:pPr>
              <w:spacing w:line="240" w:lineRule="auto"/>
              <w:jc w:val="center"/>
            </w:pPr>
            <w:r>
              <w:t>20 (38.5%)</w:t>
            </w:r>
          </w:p>
        </w:tc>
        <w:tc>
          <w:tcPr>
            <w:tcW w:w="600" w:type="pct"/>
            <w:vAlign w:val="center"/>
          </w:tcPr>
          <w:p w14:paraId="21AEF802" w14:textId="77777777" w:rsidR="00B9655D" w:rsidRPr="00E2719C" w:rsidRDefault="00B9655D" w:rsidP="00D40F04">
            <w:pPr>
              <w:spacing w:line="240" w:lineRule="auto"/>
              <w:jc w:val="center"/>
            </w:pPr>
            <w:r w:rsidRPr="00E2719C">
              <w:t>-</w:t>
            </w:r>
          </w:p>
        </w:tc>
        <w:tc>
          <w:tcPr>
            <w:tcW w:w="600" w:type="pct"/>
            <w:vAlign w:val="center"/>
          </w:tcPr>
          <w:p w14:paraId="506D32CD" w14:textId="77777777" w:rsidR="00B9655D" w:rsidRPr="00E2719C" w:rsidRDefault="00B9655D" w:rsidP="00D40F04">
            <w:pPr>
              <w:spacing w:line="240" w:lineRule="auto"/>
              <w:jc w:val="center"/>
            </w:pPr>
            <w:r>
              <w:t>20 (100%)</w:t>
            </w:r>
          </w:p>
        </w:tc>
        <w:tc>
          <w:tcPr>
            <w:tcW w:w="600" w:type="pct"/>
            <w:vAlign w:val="center"/>
          </w:tcPr>
          <w:p w14:paraId="0842C6A8" w14:textId="77777777" w:rsidR="00B9655D" w:rsidRPr="00E2719C" w:rsidRDefault="00B9655D" w:rsidP="00D40F04">
            <w:pPr>
              <w:spacing w:line="240" w:lineRule="auto"/>
              <w:jc w:val="center"/>
            </w:pPr>
            <w:r>
              <w:t>11 (37.9%)</w:t>
            </w:r>
          </w:p>
        </w:tc>
        <w:tc>
          <w:tcPr>
            <w:tcW w:w="600" w:type="pct"/>
            <w:vAlign w:val="center"/>
          </w:tcPr>
          <w:p w14:paraId="04CBC8E4" w14:textId="77777777" w:rsidR="00B9655D" w:rsidRPr="00E2719C" w:rsidRDefault="00B9655D" w:rsidP="00D40F04">
            <w:pPr>
              <w:spacing w:line="240" w:lineRule="auto"/>
              <w:jc w:val="center"/>
            </w:pPr>
            <w:r w:rsidRPr="00E2719C">
              <w:t>-</w:t>
            </w:r>
          </w:p>
        </w:tc>
        <w:tc>
          <w:tcPr>
            <w:tcW w:w="567" w:type="pct"/>
            <w:vAlign w:val="center"/>
          </w:tcPr>
          <w:p w14:paraId="18E68C9A" w14:textId="77777777" w:rsidR="00B9655D" w:rsidRPr="00E2719C" w:rsidRDefault="00B9655D" w:rsidP="00D40F04">
            <w:pPr>
              <w:spacing w:line="240" w:lineRule="auto"/>
              <w:jc w:val="center"/>
            </w:pPr>
            <w:r>
              <w:t>11 (100%)</w:t>
            </w:r>
          </w:p>
        </w:tc>
      </w:tr>
      <w:tr w:rsidR="00B9655D" w:rsidRPr="000406C1" w14:paraId="586550B2" w14:textId="77777777" w:rsidTr="00D04636">
        <w:trPr>
          <w:trHeight w:val="256"/>
        </w:trPr>
        <w:tc>
          <w:tcPr>
            <w:tcW w:w="1398" w:type="pct"/>
            <w:vAlign w:val="center"/>
          </w:tcPr>
          <w:p w14:paraId="7D4854EE" w14:textId="77777777" w:rsidR="00B9655D" w:rsidRPr="00D40F04" w:rsidRDefault="00B9655D" w:rsidP="0083799E">
            <w:pPr>
              <w:spacing w:line="240" w:lineRule="auto"/>
              <w:rPr>
                <w:b/>
                <w:bCs/>
              </w:rPr>
            </w:pPr>
            <w:r w:rsidRPr="00D40F04">
              <w:rPr>
                <w:b/>
                <w:bCs/>
              </w:rPr>
              <w:t>Challenge exposure</w:t>
            </w:r>
          </w:p>
        </w:tc>
        <w:tc>
          <w:tcPr>
            <w:tcW w:w="634" w:type="pct"/>
            <w:vAlign w:val="center"/>
          </w:tcPr>
          <w:p w14:paraId="5AEF1C28" w14:textId="77777777" w:rsidR="00B9655D" w:rsidRPr="00E2719C" w:rsidRDefault="00B9655D" w:rsidP="00D40F04">
            <w:pPr>
              <w:spacing w:line="240" w:lineRule="auto"/>
              <w:jc w:val="center"/>
            </w:pPr>
          </w:p>
        </w:tc>
        <w:tc>
          <w:tcPr>
            <w:tcW w:w="600" w:type="pct"/>
            <w:vAlign w:val="center"/>
          </w:tcPr>
          <w:p w14:paraId="22180160" w14:textId="77777777" w:rsidR="00B9655D" w:rsidRPr="00E2719C" w:rsidRDefault="00B9655D" w:rsidP="00D40F04">
            <w:pPr>
              <w:spacing w:line="240" w:lineRule="auto"/>
              <w:jc w:val="center"/>
            </w:pPr>
          </w:p>
        </w:tc>
        <w:tc>
          <w:tcPr>
            <w:tcW w:w="600" w:type="pct"/>
            <w:vAlign w:val="center"/>
          </w:tcPr>
          <w:p w14:paraId="0DF9875C" w14:textId="77777777" w:rsidR="00B9655D" w:rsidRPr="00E2719C" w:rsidRDefault="00B9655D" w:rsidP="00D40F04">
            <w:pPr>
              <w:spacing w:line="240" w:lineRule="auto"/>
              <w:jc w:val="center"/>
            </w:pPr>
          </w:p>
        </w:tc>
        <w:tc>
          <w:tcPr>
            <w:tcW w:w="600" w:type="pct"/>
            <w:vAlign w:val="center"/>
          </w:tcPr>
          <w:p w14:paraId="38CA92D7" w14:textId="77777777" w:rsidR="00B9655D" w:rsidRPr="00E2719C" w:rsidRDefault="00B9655D" w:rsidP="00D40F04">
            <w:pPr>
              <w:spacing w:line="240" w:lineRule="auto"/>
              <w:jc w:val="center"/>
            </w:pPr>
          </w:p>
        </w:tc>
        <w:tc>
          <w:tcPr>
            <w:tcW w:w="600" w:type="pct"/>
            <w:vAlign w:val="center"/>
          </w:tcPr>
          <w:p w14:paraId="4E700158" w14:textId="77777777" w:rsidR="00B9655D" w:rsidRPr="00E2719C" w:rsidRDefault="00B9655D" w:rsidP="00D40F04">
            <w:pPr>
              <w:spacing w:line="240" w:lineRule="auto"/>
              <w:jc w:val="center"/>
            </w:pPr>
          </w:p>
        </w:tc>
        <w:tc>
          <w:tcPr>
            <w:tcW w:w="567" w:type="pct"/>
            <w:vAlign w:val="center"/>
          </w:tcPr>
          <w:p w14:paraId="39F0727F" w14:textId="77777777" w:rsidR="00B9655D" w:rsidRPr="00E2719C" w:rsidRDefault="00B9655D" w:rsidP="00D40F04">
            <w:pPr>
              <w:spacing w:line="240" w:lineRule="auto"/>
              <w:jc w:val="center"/>
            </w:pPr>
          </w:p>
        </w:tc>
      </w:tr>
      <w:tr w:rsidR="00B9655D" w:rsidRPr="000406C1" w14:paraId="2CA109EA" w14:textId="77777777" w:rsidTr="00D04636">
        <w:trPr>
          <w:trHeight w:val="256"/>
        </w:trPr>
        <w:tc>
          <w:tcPr>
            <w:tcW w:w="1398" w:type="pct"/>
            <w:vAlign w:val="center"/>
          </w:tcPr>
          <w:p w14:paraId="41D59F58" w14:textId="77777777" w:rsidR="00B9655D" w:rsidRPr="00E2719C" w:rsidRDefault="00B9655D" w:rsidP="0083799E">
            <w:pPr>
              <w:spacing w:line="240" w:lineRule="auto"/>
            </w:pPr>
            <w:r w:rsidRPr="00E2719C">
              <w:rPr>
                <w:i/>
              </w:rPr>
              <w:t>S</w:t>
            </w:r>
            <w:r w:rsidRPr="00E2719C">
              <w:t>. Typhi naive</w:t>
            </w:r>
          </w:p>
        </w:tc>
        <w:tc>
          <w:tcPr>
            <w:tcW w:w="634" w:type="pct"/>
            <w:vAlign w:val="center"/>
          </w:tcPr>
          <w:p w14:paraId="3B4ED546" w14:textId="79B0AAE6" w:rsidR="00B9655D" w:rsidRPr="00E2719C" w:rsidRDefault="00B9655D" w:rsidP="00D40F04">
            <w:pPr>
              <w:spacing w:line="240" w:lineRule="auto"/>
              <w:jc w:val="center"/>
            </w:pPr>
            <w:r w:rsidRPr="00E2719C">
              <w:t>3</w:t>
            </w:r>
            <w:r w:rsidR="00167A73">
              <w:t>7</w:t>
            </w:r>
            <w:r>
              <w:t xml:space="preserve"> </w:t>
            </w:r>
            <w:r w:rsidRPr="00E2719C">
              <w:t>(7</w:t>
            </w:r>
            <w:r w:rsidR="00167A73">
              <w:t>1</w:t>
            </w:r>
            <w:r w:rsidRPr="00E2719C">
              <w:t>.</w:t>
            </w:r>
            <w:r w:rsidR="00167A73">
              <w:t>2</w:t>
            </w:r>
            <w:r w:rsidRPr="00E2719C">
              <w:t>%)</w:t>
            </w:r>
          </w:p>
        </w:tc>
        <w:tc>
          <w:tcPr>
            <w:tcW w:w="600" w:type="pct"/>
            <w:vAlign w:val="center"/>
          </w:tcPr>
          <w:p w14:paraId="5A58C442" w14:textId="77777777" w:rsidR="00B9655D" w:rsidRPr="00E2719C" w:rsidRDefault="00B9655D" w:rsidP="00D40F04">
            <w:pPr>
              <w:spacing w:line="240" w:lineRule="auto"/>
              <w:jc w:val="center"/>
            </w:pPr>
            <w:r w:rsidRPr="00E2719C">
              <w:t>32 (100%)</w:t>
            </w:r>
          </w:p>
        </w:tc>
        <w:tc>
          <w:tcPr>
            <w:tcW w:w="600" w:type="pct"/>
            <w:vAlign w:val="center"/>
          </w:tcPr>
          <w:p w14:paraId="1A6DEC0C" w14:textId="529503E6" w:rsidR="00B9655D" w:rsidRPr="00E2719C" w:rsidRDefault="00167A73" w:rsidP="00D40F04">
            <w:pPr>
              <w:spacing w:line="240" w:lineRule="auto"/>
              <w:jc w:val="center"/>
            </w:pPr>
            <w:r>
              <w:t>5</w:t>
            </w:r>
            <w:r w:rsidR="00B9655D" w:rsidRPr="00E2719C">
              <w:t xml:space="preserve"> (</w:t>
            </w:r>
            <w:r>
              <w:t>25.0</w:t>
            </w:r>
            <w:r w:rsidR="00B9655D" w:rsidRPr="00E2719C">
              <w:t>%)</w:t>
            </w:r>
          </w:p>
        </w:tc>
        <w:tc>
          <w:tcPr>
            <w:tcW w:w="600" w:type="pct"/>
            <w:vAlign w:val="center"/>
          </w:tcPr>
          <w:p w14:paraId="06055A8F" w14:textId="77777777" w:rsidR="00B9655D" w:rsidRPr="00E2719C" w:rsidRDefault="00B9655D" w:rsidP="00D40F04">
            <w:pPr>
              <w:spacing w:line="240" w:lineRule="auto"/>
              <w:jc w:val="center"/>
            </w:pPr>
            <w:r w:rsidRPr="00E2719C">
              <w:t>2</w:t>
            </w:r>
            <w:r>
              <w:t>5</w:t>
            </w:r>
            <w:r w:rsidRPr="00E2719C">
              <w:t xml:space="preserve"> (</w:t>
            </w:r>
            <w:r>
              <w:t>86.2</w:t>
            </w:r>
            <w:r w:rsidRPr="00E2719C">
              <w:t>%)</w:t>
            </w:r>
          </w:p>
        </w:tc>
        <w:tc>
          <w:tcPr>
            <w:tcW w:w="600" w:type="pct"/>
            <w:vAlign w:val="center"/>
          </w:tcPr>
          <w:p w14:paraId="166FDD65" w14:textId="77777777" w:rsidR="00B9655D" w:rsidRPr="00E2719C" w:rsidRDefault="00B9655D" w:rsidP="00D40F04">
            <w:pPr>
              <w:spacing w:line="240" w:lineRule="auto"/>
              <w:jc w:val="center"/>
            </w:pPr>
            <w:r w:rsidRPr="00E2719C">
              <w:t>18 (100%)</w:t>
            </w:r>
          </w:p>
        </w:tc>
        <w:tc>
          <w:tcPr>
            <w:tcW w:w="567" w:type="pct"/>
            <w:vAlign w:val="center"/>
          </w:tcPr>
          <w:p w14:paraId="5C8D1D11" w14:textId="77777777" w:rsidR="00B9655D" w:rsidRPr="00E2719C" w:rsidRDefault="00B9655D" w:rsidP="00D40F04">
            <w:pPr>
              <w:spacing w:line="240" w:lineRule="auto"/>
              <w:jc w:val="center"/>
            </w:pPr>
            <w:r>
              <w:t>7</w:t>
            </w:r>
            <w:r w:rsidRPr="00E2719C">
              <w:t xml:space="preserve"> (</w:t>
            </w:r>
            <w:r>
              <w:t>63.6%</w:t>
            </w:r>
            <w:r w:rsidRPr="00E2719C">
              <w:t>)</w:t>
            </w:r>
          </w:p>
        </w:tc>
      </w:tr>
      <w:tr w:rsidR="00B9655D" w:rsidRPr="000406C1" w14:paraId="0796B75D" w14:textId="77777777" w:rsidTr="00D04636">
        <w:trPr>
          <w:trHeight w:val="256"/>
        </w:trPr>
        <w:tc>
          <w:tcPr>
            <w:tcW w:w="1398" w:type="pct"/>
            <w:vAlign w:val="center"/>
          </w:tcPr>
          <w:p w14:paraId="39062FB3" w14:textId="77777777" w:rsidR="00B9655D" w:rsidRPr="00E2719C" w:rsidRDefault="00B9655D" w:rsidP="0083799E">
            <w:pPr>
              <w:spacing w:line="240" w:lineRule="auto"/>
            </w:pPr>
            <w:r w:rsidRPr="00E2719C">
              <w:t xml:space="preserve">Previous </w:t>
            </w:r>
            <w:r w:rsidRPr="00E2719C">
              <w:rPr>
                <w:i/>
              </w:rPr>
              <w:t>S</w:t>
            </w:r>
            <w:r w:rsidRPr="00E2719C">
              <w:t>. Typhi challenge (Study B only)</w:t>
            </w:r>
          </w:p>
        </w:tc>
        <w:tc>
          <w:tcPr>
            <w:tcW w:w="634" w:type="pct"/>
            <w:vAlign w:val="center"/>
          </w:tcPr>
          <w:p w14:paraId="3D60A9C3" w14:textId="77777777" w:rsidR="00B9655D" w:rsidRPr="00E2719C" w:rsidRDefault="00B9655D" w:rsidP="00D40F04">
            <w:pPr>
              <w:spacing w:line="240" w:lineRule="auto"/>
              <w:jc w:val="center"/>
            </w:pPr>
            <w:r w:rsidRPr="00E2719C">
              <w:t>8 (15.4%)</w:t>
            </w:r>
          </w:p>
        </w:tc>
        <w:tc>
          <w:tcPr>
            <w:tcW w:w="600" w:type="pct"/>
            <w:vAlign w:val="center"/>
          </w:tcPr>
          <w:p w14:paraId="405D7F79" w14:textId="77777777" w:rsidR="00B9655D" w:rsidRPr="00E2719C" w:rsidRDefault="00B9655D" w:rsidP="00D40F04">
            <w:pPr>
              <w:spacing w:line="240" w:lineRule="auto"/>
              <w:jc w:val="center"/>
            </w:pPr>
            <w:r w:rsidRPr="00E2719C">
              <w:t>-</w:t>
            </w:r>
          </w:p>
        </w:tc>
        <w:tc>
          <w:tcPr>
            <w:tcW w:w="600" w:type="pct"/>
            <w:vAlign w:val="center"/>
          </w:tcPr>
          <w:p w14:paraId="5DF0126E" w14:textId="675A627A" w:rsidR="00B9655D" w:rsidRPr="00E2719C" w:rsidRDefault="00B9655D" w:rsidP="00D40F04">
            <w:pPr>
              <w:spacing w:line="240" w:lineRule="auto"/>
              <w:jc w:val="center"/>
            </w:pPr>
            <w:r w:rsidRPr="00E2719C">
              <w:t>8 (40</w:t>
            </w:r>
            <w:r w:rsidR="00167A73">
              <w:t>.0</w:t>
            </w:r>
            <w:r w:rsidRPr="00E2719C">
              <w:t>%)</w:t>
            </w:r>
          </w:p>
        </w:tc>
        <w:tc>
          <w:tcPr>
            <w:tcW w:w="600" w:type="pct"/>
            <w:vAlign w:val="center"/>
          </w:tcPr>
          <w:p w14:paraId="5DFFFF1E" w14:textId="77777777" w:rsidR="00B9655D" w:rsidRPr="00E2719C" w:rsidRDefault="00B9655D" w:rsidP="00D40F04">
            <w:pPr>
              <w:spacing w:line="240" w:lineRule="auto"/>
              <w:jc w:val="center"/>
            </w:pPr>
            <w:r w:rsidRPr="00E2719C">
              <w:t>4 (13.8%)</w:t>
            </w:r>
          </w:p>
        </w:tc>
        <w:tc>
          <w:tcPr>
            <w:tcW w:w="600" w:type="pct"/>
            <w:vAlign w:val="center"/>
          </w:tcPr>
          <w:p w14:paraId="40EB1716" w14:textId="77777777" w:rsidR="00B9655D" w:rsidRPr="00E2719C" w:rsidRDefault="00B9655D" w:rsidP="00D40F04">
            <w:pPr>
              <w:spacing w:line="240" w:lineRule="auto"/>
              <w:jc w:val="center"/>
            </w:pPr>
            <w:r w:rsidRPr="00E2719C">
              <w:t>-</w:t>
            </w:r>
          </w:p>
        </w:tc>
        <w:tc>
          <w:tcPr>
            <w:tcW w:w="567" w:type="pct"/>
            <w:vAlign w:val="center"/>
          </w:tcPr>
          <w:p w14:paraId="15E18422" w14:textId="77777777" w:rsidR="00B9655D" w:rsidRPr="00E2719C" w:rsidRDefault="00B9655D" w:rsidP="00D40F04">
            <w:pPr>
              <w:spacing w:line="240" w:lineRule="auto"/>
              <w:jc w:val="center"/>
            </w:pPr>
            <w:r w:rsidRPr="00E2719C">
              <w:t>4 (36.4%)</w:t>
            </w:r>
          </w:p>
        </w:tc>
      </w:tr>
      <w:tr w:rsidR="00B9655D" w:rsidRPr="000406C1" w14:paraId="0166D99A" w14:textId="77777777" w:rsidTr="00D04636">
        <w:trPr>
          <w:trHeight w:val="256"/>
        </w:trPr>
        <w:tc>
          <w:tcPr>
            <w:tcW w:w="1398" w:type="pct"/>
            <w:vAlign w:val="center"/>
          </w:tcPr>
          <w:p w14:paraId="3C05284D" w14:textId="77777777" w:rsidR="00B9655D" w:rsidRPr="00E2719C" w:rsidRDefault="00B9655D" w:rsidP="0083799E">
            <w:pPr>
              <w:spacing w:line="240" w:lineRule="auto"/>
            </w:pPr>
            <w:r w:rsidRPr="00E2719C">
              <w:t xml:space="preserve">Previous </w:t>
            </w:r>
            <w:r w:rsidRPr="00E2719C">
              <w:rPr>
                <w:i/>
              </w:rPr>
              <w:t>S</w:t>
            </w:r>
            <w:r w:rsidRPr="00E2719C">
              <w:t>. Paratyphi challenge (Study B only)</w:t>
            </w:r>
          </w:p>
        </w:tc>
        <w:tc>
          <w:tcPr>
            <w:tcW w:w="634" w:type="pct"/>
            <w:vAlign w:val="center"/>
          </w:tcPr>
          <w:p w14:paraId="2CE7F0AF" w14:textId="1C17F35F" w:rsidR="00B9655D" w:rsidRPr="00E2719C" w:rsidRDefault="00167A73" w:rsidP="00D40F04">
            <w:pPr>
              <w:spacing w:line="240" w:lineRule="auto"/>
              <w:jc w:val="center"/>
            </w:pPr>
            <w:r>
              <w:t>7</w:t>
            </w:r>
            <w:r w:rsidR="00B9655D" w:rsidRPr="00E2719C">
              <w:t xml:space="preserve"> (1</w:t>
            </w:r>
            <w:r>
              <w:t>3</w:t>
            </w:r>
            <w:r w:rsidR="00B9655D" w:rsidRPr="00E2719C">
              <w:t>.5%)</w:t>
            </w:r>
          </w:p>
        </w:tc>
        <w:tc>
          <w:tcPr>
            <w:tcW w:w="600" w:type="pct"/>
            <w:vAlign w:val="center"/>
          </w:tcPr>
          <w:p w14:paraId="590933D4" w14:textId="77777777" w:rsidR="00B9655D" w:rsidRPr="00E2719C" w:rsidRDefault="00B9655D" w:rsidP="00D40F04">
            <w:pPr>
              <w:spacing w:line="240" w:lineRule="auto"/>
              <w:jc w:val="center"/>
            </w:pPr>
            <w:r w:rsidRPr="00E2719C">
              <w:t>-</w:t>
            </w:r>
          </w:p>
        </w:tc>
        <w:tc>
          <w:tcPr>
            <w:tcW w:w="600" w:type="pct"/>
            <w:vAlign w:val="center"/>
          </w:tcPr>
          <w:p w14:paraId="51162614" w14:textId="7D4B7DD9" w:rsidR="00B9655D" w:rsidRPr="00E2719C" w:rsidRDefault="00167A73" w:rsidP="00D40F04">
            <w:pPr>
              <w:spacing w:line="240" w:lineRule="auto"/>
              <w:jc w:val="center"/>
            </w:pPr>
            <w:r>
              <w:t>7</w:t>
            </w:r>
            <w:r w:rsidR="00B9655D" w:rsidRPr="00E2719C">
              <w:t xml:space="preserve"> (3</w:t>
            </w:r>
            <w:r>
              <w:t>5.0</w:t>
            </w:r>
            <w:r w:rsidR="00B9655D" w:rsidRPr="00E2719C">
              <w:t>%)</w:t>
            </w:r>
          </w:p>
        </w:tc>
        <w:tc>
          <w:tcPr>
            <w:tcW w:w="600" w:type="pct"/>
            <w:vAlign w:val="center"/>
          </w:tcPr>
          <w:p w14:paraId="59BFB3D7" w14:textId="77777777" w:rsidR="00B9655D" w:rsidRPr="00E2719C" w:rsidRDefault="00B9655D" w:rsidP="00D40F04">
            <w:pPr>
              <w:spacing w:line="240" w:lineRule="auto"/>
              <w:jc w:val="center"/>
            </w:pPr>
            <w:r>
              <w:t>0</w:t>
            </w:r>
            <w:r w:rsidRPr="00E2719C">
              <w:t xml:space="preserve"> (</w:t>
            </w:r>
            <w:r>
              <w:t>0</w:t>
            </w:r>
            <w:r w:rsidRPr="00E2719C">
              <w:t>%)</w:t>
            </w:r>
          </w:p>
        </w:tc>
        <w:tc>
          <w:tcPr>
            <w:tcW w:w="600" w:type="pct"/>
            <w:vAlign w:val="center"/>
          </w:tcPr>
          <w:p w14:paraId="2A63327F" w14:textId="77777777" w:rsidR="00B9655D" w:rsidRPr="00E2719C" w:rsidRDefault="00B9655D" w:rsidP="00D40F04">
            <w:pPr>
              <w:spacing w:line="240" w:lineRule="auto"/>
              <w:jc w:val="center"/>
            </w:pPr>
            <w:r w:rsidRPr="00E2719C">
              <w:t>-</w:t>
            </w:r>
          </w:p>
        </w:tc>
        <w:tc>
          <w:tcPr>
            <w:tcW w:w="567" w:type="pct"/>
            <w:vAlign w:val="center"/>
          </w:tcPr>
          <w:p w14:paraId="3A95017D" w14:textId="77777777" w:rsidR="00B9655D" w:rsidRPr="00E2719C" w:rsidRDefault="00B9655D" w:rsidP="00D40F04">
            <w:pPr>
              <w:spacing w:line="240" w:lineRule="auto"/>
              <w:jc w:val="center"/>
            </w:pPr>
            <w:r>
              <w:t>0</w:t>
            </w:r>
            <w:r w:rsidRPr="00E2719C">
              <w:t xml:space="preserve"> (</w:t>
            </w:r>
            <w:r>
              <w:t>0%)</w:t>
            </w:r>
          </w:p>
        </w:tc>
      </w:tr>
      <w:tr w:rsidR="00B9655D" w:rsidRPr="000406C1" w14:paraId="1A29C7E0" w14:textId="77777777" w:rsidTr="00D04636">
        <w:trPr>
          <w:trHeight w:val="256"/>
        </w:trPr>
        <w:tc>
          <w:tcPr>
            <w:tcW w:w="1398" w:type="pct"/>
            <w:vAlign w:val="center"/>
          </w:tcPr>
          <w:p w14:paraId="61B69D78" w14:textId="77777777" w:rsidR="00B9655D" w:rsidRPr="00D40F04" w:rsidRDefault="00B9655D" w:rsidP="0083799E">
            <w:pPr>
              <w:spacing w:line="240" w:lineRule="auto"/>
              <w:rPr>
                <w:b/>
                <w:bCs/>
              </w:rPr>
            </w:pPr>
            <w:r w:rsidRPr="00D40F04">
              <w:rPr>
                <w:b/>
                <w:bCs/>
              </w:rPr>
              <w:t>Microbiological Outcomes</w:t>
            </w:r>
          </w:p>
        </w:tc>
        <w:tc>
          <w:tcPr>
            <w:tcW w:w="634" w:type="pct"/>
            <w:vAlign w:val="center"/>
          </w:tcPr>
          <w:p w14:paraId="35C3EB19" w14:textId="77777777" w:rsidR="00B9655D" w:rsidRPr="00E2719C" w:rsidRDefault="00B9655D" w:rsidP="00D40F04">
            <w:pPr>
              <w:spacing w:line="240" w:lineRule="auto"/>
              <w:jc w:val="center"/>
            </w:pPr>
          </w:p>
        </w:tc>
        <w:tc>
          <w:tcPr>
            <w:tcW w:w="600" w:type="pct"/>
            <w:vAlign w:val="center"/>
          </w:tcPr>
          <w:p w14:paraId="381EEF9B" w14:textId="77777777" w:rsidR="00B9655D" w:rsidRPr="00E2719C" w:rsidRDefault="00B9655D" w:rsidP="00D40F04">
            <w:pPr>
              <w:spacing w:line="240" w:lineRule="auto"/>
              <w:jc w:val="center"/>
            </w:pPr>
          </w:p>
        </w:tc>
        <w:tc>
          <w:tcPr>
            <w:tcW w:w="600" w:type="pct"/>
            <w:vAlign w:val="center"/>
          </w:tcPr>
          <w:p w14:paraId="15DAD8C4" w14:textId="77777777" w:rsidR="00B9655D" w:rsidRPr="00E2719C" w:rsidRDefault="00B9655D" w:rsidP="00D40F04">
            <w:pPr>
              <w:spacing w:line="240" w:lineRule="auto"/>
              <w:jc w:val="center"/>
            </w:pPr>
          </w:p>
        </w:tc>
        <w:tc>
          <w:tcPr>
            <w:tcW w:w="600" w:type="pct"/>
            <w:vAlign w:val="center"/>
          </w:tcPr>
          <w:p w14:paraId="07BA8750" w14:textId="77777777" w:rsidR="00B9655D" w:rsidRPr="00E2719C" w:rsidRDefault="00B9655D" w:rsidP="00D40F04">
            <w:pPr>
              <w:spacing w:line="240" w:lineRule="auto"/>
              <w:jc w:val="center"/>
            </w:pPr>
          </w:p>
        </w:tc>
        <w:tc>
          <w:tcPr>
            <w:tcW w:w="600" w:type="pct"/>
            <w:vAlign w:val="center"/>
          </w:tcPr>
          <w:p w14:paraId="19E5ACB5" w14:textId="77777777" w:rsidR="00B9655D" w:rsidRPr="00E2719C" w:rsidRDefault="00B9655D" w:rsidP="00D40F04">
            <w:pPr>
              <w:spacing w:line="240" w:lineRule="auto"/>
              <w:jc w:val="center"/>
            </w:pPr>
          </w:p>
        </w:tc>
        <w:tc>
          <w:tcPr>
            <w:tcW w:w="567" w:type="pct"/>
            <w:vAlign w:val="center"/>
          </w:tcPr>
          <w:p w14:paraId="1B1F486A" w14:textId="77777777" w:rsidR="00B9655D" w:rsidRPr="00E2719C" w:rsidRDefault="00B9655D" w:rsidP="00D40F04">
            <w:pPr>
              <w:spacing w:line="240" w:lineRule="auto"/>
              <w:jc w:val="center"/>
            </w:pPr>
          </w:p>
        </w:tc>
      </w:tr>
      <w:tr w:rsidR="00B9655D" w:rsidRPr="000406C1" w14:paraId="3B1A5D39" w14:textId="77777777" w:rsidTr="00D04636">
        <w:trPr>
          <w:trHeight w:val="256"/>
        </w:trPr>
        <w:tc>
          <w:tcPr>
            <w:tcW w:w="1398" w:type="pct"/>
            <w:vAlign w:val="center"/>
          </w:tcPr>
          <w:p w14:paraId="4FE5AD26" w14:textId="77777777" w:rsidR="00B9655D" w:rsidRPr="00E2719C" w:rsidRDefault="00B9655D" w:rsidP="0083799E">
            <w:pPr>
              <w:spacing w:line="240" w:lineRule="auto"/>
            </w:pPr>
            <w:r w:rsidRPr="006B2405">
              <w:t xml:space="preserve">Any </w:t>
            </w:r>
            <w:r w:rsidRPr="006B2405">
              <w:rPr>
                <w:i/>
              </w:rPr>
              <w:t>S.</w:t>
            </w:r>
            <w:r w:rsidRPr="006B2405">
              <w:t xml:space="preserve"> Typhi bacteraemia</w:t>
            </w:r>
          </w:p>
        </w:tc>
        <w:tc>
          <w:tcPr>
            <w:tcW w:w="634" w:type="pct"/>
            <w:vAlign w:val="center"/>
          </w:tcPr>
          <w:p w14:paraId="39305D4D" w14:textId="77777777" w:rsidR="00B9655D" w:rsidRPr="00E2719C" w:rsidRDefault="00B9655D" w:rsidP="00D40F04">
            <w:pPr>
              <w:spacing w:line="240" w:lineRule="auto"/>
              <w:jc w:val="center"/>
            </w:pPr>
            <w:r>
              <w:t>52 (100%)</w:t>
            </w:r>
          </w:p>
        </w:tc>
        <w:tc>
          <w:tcPr>
            <w:tcW w:w="600" w:type="pct"/>
            <w:vAlign w:val="center"/>
          </w:tcPr>
          <w:p w14:paraId="0F782C4A" w14:textId="77777777" w:rsidR="00B9655D" w:rsidRPr="00E2719C" w:rsidRDefault="00B9655D" w:rsidP="00D40F04">
            <w:pPr>
              <w:spacing w:line="240" w:lineRule="auto"/>
              <w:jc w:val="center"/>
            </w:pPr>
            <w:r>
              <w:t>32 (100%)</w:t>
            </w:r>
          </w:p>
        </w:tc>
        <w:tc>
          <w:tcPr>
            <w:tcW w:w="600" w:type="pct"/>
            <w:vAlign w:val="center"/>
          </w:tcPr>
          <w:p w14:paraId="1047DA25" w14:textId="77777777" w:rsidR="00B9655D" w:rsidRPr="00E2719C" w:rsidRDefault="00B9655D" w:rsidP="00D40F04">
            <w:pPr>
              <w:spacing w:line="240" w:lineRule="auto"/>
              <w:jc w:val="center"/>
            </w:pPr>
            <w:r>
              <w:t>20 (100%)</w:t>
            </w:r>
          </w:p>
        </w:tc>
        <w:tc>
          <w:tcPr>
            <w:tcW w:w="600" w:type="pct"/>
            <w:vAlign w:val="center"/>
          </w:tcPr>
          <w:p w14:paraId="2F8866F4" w14:textId="77777777" w:rsidR="00B9655D" w:rsidRPr="00E2719C" w:rsidRDefault="00B9655D" w:rsidP="00D40F04">
            <w:pPr>
              <w:spacing w:line="240" w:lineRule="auto"/>
              <w:jc w:val="center"/>
            </w:pPr>
            <w:r>
              <w:t>26 (89.7%)</w:t>
            </w:r>
          </w:p>
        </w:tc>
        <w:tc>
          <w:tcPr>
            <w:tcW w:w="600" w:type="pct"/>
            <w:vAlign w:val="center"/>
          </w:tcPr>
          <w:p w14:paraId="1EE26A3F" w14:textId="77777777" w:rsidR="00B9655D" w:rsidRPr="00E2719C" w:rsidRDefault="00B9655D" w:rsidP="00D40F04">
            <w:pPr>
              <w:spacing w:line="240" w:lineRule="auto"/>
              <w:jc w:val="center"/>
            </w:pPr>
            <w:r>
              <w:t>16 (88.9%)</w:t>
            </w:r>
          </w:p>
        </w:tc>
        <w:tc>
          <w:tcPr>
            <w:tcW w:w="567" w:type="pct"/>
            <w:vAlign w:val="center"/>
          </w:tcPr>
          <w:p w14:paraId="6F12B0ED" w14:textId="77777777" w:rsidR="00B9655D" w:rsidRPr="00E2719C" w:rsidRDefault="00B9655D" w:rsidP="00D40F04">
            <w:pPr>
              <w:spacing w:line="240" w:lineRule="auto"/>
              <w:jc w:val="center"/>
            </w:pPr>
            <w:r>
              <w:t>10 (90.9%)</w:t>
            </w:r>
          </w:p>
        </w:tc>
      </w:tr>
      <w:tr w:rsidR="00B9655D" w:rsidRPr="000406C1" w14:paraId="27F203BF" w14:textId="77777777" w:rsidTr="00D04636">
        <w:trPr>
          <w:trHeight w:val="256"/>
        </w:trPr>
        <w:tc>
          <w:tcPr>
            <w:tcW w:w="1398" w:type="pct"/>
            <w:vAlign w:val="center"/>
          </w:tcPr>
          <w:p w14:paraId="7D77278C" w14:textId="77777777" w:rsidR="00B9655D" w:rsidRPr="00D40F04" w:rsidRDefault="00B9655D" w:rsidP="00D40F04">
            <w:pPr>
              <w:spacing w:line="240" w:lineRule="auto"/>
              <w:ind w:left="315"/>
              <w:rPr>
                <w:i/>
              </w:rPr>
            </w:pPr>
            <w:r w:rsidRPr="00D40F04">
              <w:rPr>
                <w:i/>
              </w:rPr>
              <w:t>Bacteraemia clearance before commencing antibiotics</w:t>
            </w:r>
          </w:p>
        </w:tc>
        <w:tc>
          <w:tcPr>
            <w:tcW w:w="634" w:type="pct"/>
            <w:vAlign w:val="center"/>
          </w:tcPr>
          <w:p w14:paraId="5F352FE0" w14:textId="77777777" w:rsidR="00B9655D" w:rsidRPr="009157AB" w:rsidRDefault="00B9655D" w:rsidP="00D40F04">
            <w:pPr>
              <w:spacing w:line="240" w:lineRule="auto"/>
              <w:jc w:val="center"/>
            </w:pPr>
            <w:r w:rsidRPr="009157AB">
              <w:t>8 (15.4%)</w:t>
            </w:r>
          </w:p>
        </w:tc>
        <w:tc>
          <w:tcPr>
            <w:tcW w:w="600" w:type="pct"/>
            <w:vAlign w:val="center"/>
          </w:tcPr>
          <w:p w14:paraId="167A94B2" w14:textId="77777777" w:rsidR="00B9655D" w:rsidRPr="009157AB" w:rsidRDefault="00B9655D" w:rsidP="00D40F04">
            <w:pPr>
              <w:spacing w:line="240" w:lineRule="auto"/>
              <w:jc w:val="center"/>
            </w:pPr>
            <w:r w:rsidRPr="009157AB">
              <w:t>5 (15.6%)</w:t>
            </w:r>
          </w:p>
        </w:tc>
        <w:tc>
          <w:tcPr>
            <w:tcW w:w="600" w:type="pct"/>
            <w:vAlign w:val="center"/>
          </w:tcPr>
          <w:p w14:paraId="77A72EDA" w14:textId="77777777" w:rsidR="00B9655D" w:rsidRPr="009157AB" w:rsidRDefault="00B9655D" w:rsidP="00D40F04">
            <w:pPr>
              <w:spacing w:line="240" w:lineRule="auto"/>
              <w:jc w:val="center"/>
            </w:pPr>
            <w:r w:rsidRPr="009157AB">
              <w:t>3 (15.0%)</w:t>
            </w:r>
          </w:p>
        </w:tc>
        <w:tc>
          <w:tcPr>
            <w:tcW w:w="600" w:type="pct"/>
            <w:vAlign w:val="center"/>
          </w:tcPr>
          <w:p w14:paraId="63BD5841" w14:textId="77777777" w:rsidR="00B9655D" w:rsidRPr="009157AB" w:rsidRDefault="00B9655D" w:rsidP="00D40F04">
            <w:pPr>
              <w:spacing w:line="240" w:lineRule="auto"/>
              <w:jc w:val="center"/>
            </w:pPr>
            <w:r w:rsidRPr="009157AB">
              <w:t>11 (42.3%)</w:t>
            </w:r>
          </w:p>
        </w:tc>
        <w:tc>
          <w:tcPr>
            <w:tcW w:w="600" w:type="pct"/>
            <w:vAlign w:val="center"/>
          </w:tcPr>
          <w:p w14:paraId="71EFA794" w14:textId="77777777" w:rsidR="00B9655D" w:rsidRPr="009157AB" w:rsidRDefault="00B9655D" w:rsidP="00D40F04">
            <w:pPr>
              <w:spacing w:line="240" w:lineRule="auto"/>
              <w:jc w:val="center"/>
            </w:pPr>
            <w:r w:rsidRPr="009157AB">
              <w:t>9 (56.3%)</w:t>
            </w:r>
          </w:p>
        </w:tc>
        <w:tc>
          <w:tcPr>
            <w:tcW w:w="567" w:type="pct"/>
            <w:vAlign w:val="center"/>
          </w:tcPr>
          <w:p w14:paraId="11FCBD2C" w14:textId="77777777" w:rsidR="00B9655D" w:rsidRPr="009157AB" w:rsidRDefault="00B9655D" w:rsidP="00D40F04">
            <w:pPr>
              <w:spacing w:line="240" w:lineRule="auto"/>
              <w:jc w:val="center"/>
            </w:pPr>
            <w:r w:rsidRPr="009157AB">
              <w:t>2 (40.0%)</w:t>
            </w:r>
          </w:p>
        </w:tc>
      </w:tr>
      <w:tr w:rsidR="00B9655D" w14:paraId="64863164" w14:textId="77777777" w:rsidTr="00D04636">
        <w:trPr>
          <w:trHeight w:val="415"/>
        </w:trPr>
        <w:tc>
          <w:tcPr>
            <w:tcW w:w="1398" w:type="pct"/>
          </w:tcPr>
          <w:p w14:paraId="0A868A29" w14:textId="77777777" w:rsidR="00B9655D" w:rsidRPr="00D40F04" w:rsidRDefault="00B9655D" w:rsidP="0083799E">
            <w:pPr>
              <w:spacing w:line="240" w:lineRule="auto"/>
              <w:rPr>
                <w:b/>
                <w:bCs/>
              </w:rPr>
            </w:pPr>
            <w:r w:rsidRPr="00D40F04">
              <w:rPr>
                <w:b/>
                <w:bCs/>
              </w:rPr>
              <w:t>Clinical Outcomes</w:t>
            </w:r>
          </w:p>
        </w:tc>
        <w:tc>
          <w:tcPr>
            <w:tcW w:w="634" w:type="pct"/>
          </w:tcPr>
          <w:p w14:paraId="666EFD37" w14:textId="77777777" w:rsidR="00B9655D" w:rsidRDefault="00B9655D" w:rsidP="00D40F04">
            <w:pPr>
              <w:spacing w:line="240" w:lineRule="auto"/>
              <w:jc w:val="center"/>
            </w:pPr>
          </w:p>
        </w:tc>
        <w:tc>
          <w:tcPr>
            <w:tcW w:w="600" w:type="pct"/>
          </w:tcPr>
          <w:p w14:paraId="4AF51B45" w14:textId="77777777" w:rsidR="00B9655D" w:rsidRDefault="00B9655D" w:rsidP="00D40F04">
            <w:pPr>
              <w:spacing w:line="240" w:lineRule="auto"/>
              <w:jc w:val="center"/>
            </w:pPr>
          </w:p>
        </w:tc>
        <w:tc>
          <w:tcPr>
            <w:tcW w:w="600" w:type="pct"/>
          </w:tcPr>
          <w:p w14:paraId="3823FC4F" w14:textId="77777777" w:rsidR="00B9655D" w:rsidRDefault="00B9655D" w:rsidP="00D40F04">
            <w:pPr>
              <w:spacing w:line="240" w:lineRule="auto"/>
              <w:jc w:val="center"/>
            </w:pPr>
          </w:p>
        </w:tc>
        <w:tc>
          <w:tcPr>
            <w:tcW w:w="600" w:type="pct"/>
          </w:tcPr>
          <w:p w14:paraId="57933F29" w14:textId="77777777" w:rsidR="00B9655D" w:rsidRDefault="00B9655D" w:rsidP="00D40F04">
            <w:pPr>
              <w:spacing w:line="240" w:lineRule="auto"/>
              <w:jc w:val="center"/>
            </w:pPr>
          </w:p>
        </w:tc>
        <w:tc>
          <w:tcPr>
            <w:tcW w:w="600" w:type="pct"/>
          </w:tcPr>
          <w:p w14:paraId="46EAE747" w14:textId="77777777" w:rsidR="00B9655D" w:rsidRDefault="00B9655D" w:rsidP="00D40F04">
            <w:pPr>
              <w:spacing w:line="240" w:lineRule="auto"/>
              <w:jc w:val="center"/>
            </w:pPr>
          </w:p>
        </w:tc>
        <w:tc>
          <w:tcPr>
            <w:tcW w:w="567" w:type="pct"/>
          </w:tcPr>
          <w:p w14:paraId="3CB77166" w14:textId="77777777" w:rsidR="00B9655D" w:rsidRDefault="00B9655D" w:rsidP="00D40F04">
            <w:pPr>
              <w:spacing w:line="240" w:lineRule="auto"/>
              <w:jc w:val="center"/>
            </w:pPr>
          </w:p>
        </w:tc>
      </w:tr>
      <w:tr w:rsidR="00B9655D" w:rsidRPr="00E2719C" w14:paraId="27B70F67" w14:textId="77777777" w:rsidTr="00D04636">
        <w:trPr>
          <w:trHeight w:val="403"/>
        </w:trPr>
        <w:tc>
          <w:tcPr>
            <w:tcW w:w="1398" w:type="pct"/>
          </w:tcPr>
          <w:p w14:paraId="0B21B348" w14:textId="77777777" w:rsidR="00B9655D" w:rsidRPr="006B2405" w:rsidRDefault="00B9655D" w:rsidP="0083799E">
            <w:pPr>
              <w:spacing w:line="240" w:lineRule="auto"/>
            </w:pPr>
            <w:r w:rsidRPr="006B2405">
              <w:t xml:space="preserve">Any fever </w:t>
            </w:r>
            <w:r w:rsidRPr="00BC4F3A">
              <w:rPr>
                <w:rFonts w:cstheme="minorHAnsi"/>
              </w:rPr>
              <w:t>≥38°C</w:t>
            </w:r>
          </w:p>
        </w:tc>
        <w:tc>
          <w:tcPr>
            <w:tcW w:w="634" w:type="pct"/>
          </w:tcPr>
          <w:p w14:paraId="26E77E7D" w14:textId="77777777" w:rsidR="00B9655D" w:rsidRPr="00E2719C" w:rsidRDefault="00B9655D" w:rsidP="00D40F04">
            <w:pPr>
              <w:spacing w:line="240" w:lineRule="auto"/>
              <w:jc w:val="center"/>
            </w:pPr>
            <w:r>
              <w:t>29 (55.8%)</w:t>
            </w:r>
          </w:p>
        </w:tc>
        <w:tc>
          <w:tcPr>
            <w:tcW w:w="600" w:type="pct"/>
          </w:tcPr>
          <w:p w14:paraId="19EC5721" w14:textId="77777777" w:rsidR="00B9655D" w:rsidRPr="00E2719C" w:rsidRDefault="00B9655D" w:rsidP="00D40F04">
            <w:pPr>
              <w:spacing w:line="240" w:lineRule="auto"/>
              <w:jc w:val="center"/>
            </w:pPr>
            <w:r>
              <w:t>19 (59.4%)</w:t>
            </w:r>
          </w:p>
        </w:tc>
        <w:tc>
          <w:tcPr>
            <w:tcW w:w="600" w:type="pct"/>
          </w:tcPr>
          <w:p w14:paraId="1AD75F0A" w14:textId="77777777" w:rsidR="00B9655D" w:rsidRPr="00E2719C" w:rsidRDefault="00B9655D" w:rsidP="00D40F04">
            <w:pPr>
              <w:spacing w:line="240" w:lineRule="auto"/>
              <w:jc w:val="center"/>
            </w:pPr>
            <w:r>
              <w:t>10 (50.0%)</w:t>
            </w:r>
          </w:p>
        </w:tc>
        <w:tc>
          <w:tcPr>
            <w:tcW w:w="600" w:type="pct"/>
          </w:tcPr>
          <w:p w14:paraId="5365B223" w14:textId="77777777" w:rsidR="00B9655D" w:rsidRPr="00E2719C" w:rsidRDefault="00B9655D" w:rsidP="00D40F04">
            <w:pPr>
              <w:spacing w:line="240" w:lineRule="auto"/>
              <w:jc w:val="center"/>
            </w:pPr>
            <w:r>
              <w:t>21 (72.4%)</w:t>
            </w:r>
          </w:p>
        </w:tc>
        <w:tc>
          <w:tcPr>
            <w:tcW w:w="600" w:type="pct"/>
          </w:tcPr>
          <w:p w14:paraId="7F6FC8B2" w14:textId="77777777" w:rsidR="00B9655D" w:rsidRPr="00E2719C" w:rsidRDefault="00B9655D" w:rsidP="00D40F04">
            <w:pPr>
              <w:spacing w:line="240" w:lineRule="auto"/>
              <w:jc w:val="center"/>
            </w:pPr>
            <w:r>
              <w:t>11 (61.1%)</w:t>
            </w:r>
          </w:p>
        </w:tc>
        <w:tc>
          <w:tcPr>
            <w:tcW w:w="567" w:type="pct"/>
          </w:tcPr>
          <w:p w14:paraId="7E7348A6" w14:textId="77777777" w:rsidR="00B9655D" w:rsidRPr="00E2719C" w:rsidRDefault="00B9655D" w:rsidP="00D40F04">
            <w:pPr>
              <w:spacing w:line="240" w:lineRule="auto"/>
              <w:jc w:val="center"/>
            </w:pPr>
            <w:r>
              <w:t>10 (90.9%)</w:t>
            </w:r>
          </w:p>
        </w:tc>
      </w:tr>
      <w:tr w:rsidR="00B9655D" w:rsidRPr="00E2719C" w14:paraId="16F91082" w14:textId="77777777" w:rsidTr="00D04636">
        <w:trPr>
          <w:trHeight w:val="437"/>
        </w:trPr>
        <w:tc>
          <w:tcPr>
            <w:tcW w:w="1398" w:type="pct"/>
          </w:tcPr>
          <w:p w14:paraId="34D6A914" w14:textId="77777777" w:rsidR="00B9655D" w:rsidRPr="00D40F04" w:rsidRDefault="00B9655D" w:rsidP="00D40F04">
            <w:pPr>
              <w:spacing w:line="240" w:lineRule="auto"/>
              <w:ind w:left="315"/>
              <w:jc w:val="left"/>
              <w:rPr>
                <w:i/>
              </w:rPr>
            </w:pPr>
            <w:r w:rsidRPr="00D40F04">
              <w:rPr>
                <w:i/>
              </w:rPr>
              <w:t xml:space="preserve">Fever </w:t>
            </w:r>
            <w:r w:rsidRPr="00D40F04">
              <w:rPr>
                <w:rFonts w:cstheme="minorHAnsi" w:hint="eastAsia"/>
                <w:i/>
              </w:rPr>
              <w:t>≥</w:t>
            </w:r>
            <w:r w:rsidRPr="00D40F04">
              <w:rPr>
                <w:rFonts w:cstheme="minorHAnsi"/>
                <w:i/>
              </w:rPr>
              <w:t>38</w:t>
            </w:r>
            <w:r w:rsidRPr="00D40F04">
              <w:rPr>
                <w:rFonts w:cstheme="minorHAnsi" w:hint="eastAsia"/>
                <w:i/>
              </w:rPr>
              <w:t>°</w:t>
            </w:r>
            <w:r w:rsidRPr="00D40F04">
              <w:rPr>
                <w:rFonts w:cstheme="minorHAnsi"/>
                <w:i/>
              </w:rPr>
              <w:t xml:space="preserve">C clearance before </w:t>
            </w:r>
            <w:r w:rsidRPr="00D40F04">
              <w:rPr>
                <w:i/>
              </w:rPr>
              <w:t>commencing antibiotics</w:t>
            </w:r>
          </w:p>
        </w:tc>
        <w:tc>
          <w:tcPr>
            <w:tcW w:w="634" w:type="pct"/>
          </w:tcPr>
          <w:p w14:paraId="2A2122C2" w14:textId="77777777" w:rsidR="00B9655D" w:rsidRPr="000522BF" w:rsidRDefault="00B9655D" w:rsidP="00D40F04">
            <w:pPr>
              <w:spacing w:line="240" w:lineRule="auto"/>
              <w:jc w:val="center"/>
            </w:pPr>
            <w:r w:rsidRPr="000522BF">
              <w:t>1 (3.4%)</w:t>
            </w:r>
          </w:p>
        </w:tc>
        <w:tc>
          <w:tcPr>
            <w:tcW w:w="600" w:type="pct"/>
          </w:tcPr>
          <w:p w14:paraId="543F32AF" w14:textId="77777777" w:rsidR="00B9655D" w:rsidRPr="000522BF" w:rsidRDefault="00B9655D" w:rsidP="00D40F04">
            <w:pPr>
              <w:spacing w:line="240" w:lineRule="auto"/>
              <w:jc w:val="center"/>
            </w:pPr>
            <w:r w:rsidRPr="000522BF">
              <w:t>1 (5.3%)</w:t>
            </w:r>
          </w:p>
        </w:tc>
        <w:tc>
          <w:tcPr>
            <w:tcW w:w="600" w:type="pct"/>
          </w:tcPr>
          <w:p w14:paraId="178844FC" w14:textId="77777777" w:rsidR="00B9655D" w:rsidRPr="000522BF" w:rsidRDefault="00B9655D" w:rsidP="00D40F04">
            <w:pPr>
              <w:spacing w:line="240" w:lineRule="auto"/>
              <w:jc w:val="center"/>
            </w:pPr>
            <w:r w:rsidRPr="000522BF">
              <w:t>0 (0%)</w:t>
            </w:r>
          </w:p>
        </w:tc>
        <w:tc>
          <w:tcPr>
            <w:tcW w:w="600" w:type="pct"/>
          </w:tcPr>
          <w:p w14:paraId="61CB301E" w14:textId="77777777" w:rsidR="00B9655D" w:rsidRPr="000522BF" w:rsidRDefault="00B9655D" w:rsidP="00D40F04">
            <w:pPr>
              <w:spacing w:line="240" w:lineRule="auto"/>
              <w:jc w:val="center"/>
            </w:pPr>
            <w:r w:rsidRPr="000522BF">
              <w:t>1 (4.8%)</w:t>
            </w:r>
          </w:p>
        </w:tc>
        <w:tc>
          <w:tcPr>
            <w:tcW w:w="600" w:type="pct"/>
          </w:tcPr>
          <w:p w14:paraId="4B01CE0F" w14:textId="77777777" w:rsidR="00B9655D" w:rsidRPr="000522BF" w:rsidRDefault="00B9655D" w:rsidP="00D40F04">
            <w:pPr>
              <w:spacing w:line="240" w:lineRule="auto"/>
              <w:jc w:val="center"/>
            </w:pPr>
            <w:r w:rsidRPr="000522BF">
              <w:t>1 (9.1%)</w:t>
            </w:r>
          </w:p>
        </w:tc>
        <w:tc>
          <w:tcPr>
            <w:tcW w:w="567" w:type="pct"/>
          </w:tcPr>
          <w:p w14:paraId="1F4AE327" w14:textId="77777777" w:rsidR="00B9655D" w:rsidRPr="000522BF" w:rsidRDefault="00B9655D" w:rsidP="00D40F04">
            <w:pPr>
              <w:spacing w:line="240" w:lineRule="auto"/>
              <w:jc w:val="center"/>
            </w:pPr>
            <w:r w:rsidRPr="000522BF">
              <w:t>0 (0%)</w:t>
            </w:r>
          </w:p>
        </w:tc>
      </w:tr>
    </w:tbl>
    <w:p w14:paraId="14E69CC0" w14:textId="77777777" w:rsidR="00B9655D" w:rsidRDefault="00B9655D" w:rsidP="0083799E">
      <w:pPr>
        <w:sectPr w:rsidR="00B9655D" w:rsidSect="003213E4">
          <w:pgSz w:w="16840" w:h="11900" w:orient="landscape"/>
          <w:pgMar w:top="1440" w:right="1440" w:bottom="1440" w:left="1440" w:header="708" w:footer="708" w:gutter="0"/>
          <w:lnNumType w:countBy="1" w:restart="continuous"/>
          <w:cols w:space="708"/>
          <w:docGrid w:linePitch="360"/>
        </w:sectPr>
      </w:pPr>
    </w:p>
    <w:p w14:paraId="65279B3A" w14:textId="4B76E85F" w:rsidR="00B9655D" w:rsidRDefault="00B9655D" w:rsidP="00072300">
      <w:pPr>
        <w:pStyle w:val="Caption"/>
        <w:suppressLineNumbers/>
      </w:pPr>
      <w:bookmarkStart w:id="7" w:name="_Ref7961516"/>
      <w:r>
        <w:lastRenderedPageBreak/>
        <w:t xml:space="preserve">Table </w:t>
      </w:r>
      <w:r w:rsidR="00296C2F">
        <w:fldChar w:fldCharType="begin"/>
      </w:r>
      <w:r w:rsidR="00296C2F">
        <w:instrText xml:space="preserve"> SEQ Table \* ARABIC </w:instrText>
      </w:r>
      <w:r w:rsidR="00296C2F">
        <w:fldChar w:fldCharType="separate"/>
      </w:r>
      <w:r w:rsidR="00C21CFF">
        <w:rPr>
          <w:noProof/>
        </w:rPr>
        <w:t>2</w:t>
      </w:r>
      <w:r w:rsidR="00296C2F">
        <w:rPr>
          <w:noProof/>
        </w:rPr>
        <w:fldChar w:fldCharType="end"/>
      </w:r>
      <w:bookmarkEnd w:id="7"/>
      <w:r>
        <w:t xml:space="preserve"> - Cox regression analysis for primary and secondary </w:t>
      </w:r>
      <w:r w:rsidRPr="003B0B7B">
        <w:t xml:space="preserve">outcomes. * adjusted for study, </w:t>
      </w:r>
      <w:r w:rsidRPr="00D04636">
        <w:t>time to antibiotic commencement, prior challenge status, vaccine status</w:t>
      </w:r>
    </w:p>
    <w:p w14:paraId="1F40267D" w14:textId="49BC1A81" w:rsidR="00B9655D" w:rsidRDefault="00B9655D" w:rsidP="00072300">
      <w:pPr>
        <w:pStyle w:val="Caption"/>
        <w:suppressLineNumbers/>
      </w:pPr>
    </w:p>
    <w:tbl>
      <w:tblPr>
        <w:tblStyle w:val="TableGrid"/>
        <w:tblW w:w="8190" w:type="dxa"/>
        <w:tblLayout w:type="fixed"/>
        <w:tblLook w:val="04A0" w:firstRow="1" w:lastRow="0" w:firstColumn="1" w:lastColumn="0" w:noHBand="0" w:noVBand="1"/>
      </w:tblPr>
      <w:tblGrid>
        <w:gridCol w:w="2887"/>
        <w:gridCol w:w="1767"/>
        <w:gridCol w:w="1768"/>
        <w:gridCol w:w="1768"/>
      </w:tblGrid>
      <w:tr w:rsidR="00B9655D" w:rsidRPr="000406C1" w14:paraId="7B72A67E" w14:textId="77777777" w:rsidTr="00D04636">
        <w:trPr>
          <w:trHeight w:val="417"/>
        </w:trPr>
        <w:tc>
          <w:tcPr>
            <w:tcW w:w="2887" w:type="dxa"/>
            <w:tcBorders>
              <w:top w:val="single" w:sz="4" w:space="0" w:color="auto"/>
              <w:left w:val="nil"/>
              <w:bottom w:val="single" w:sz="4" w:space="0" w:color="auto"/>
              <w:right w:val="nil"/>
            </w:tcBorders>
            <w:vAlign w:val="center"/>
          </w:tcPr>
          <w:p w14:paraId="7B113D68" w14:textId="77777777" w:rsidR="00B9655D" w:rsidRPr="000406C1" w:rsidRDefault="00B9655D" w:rsidP="0083799E">
            <w:pPr>
              <w:spacing w:line="240" w:lineRule="auto"/>
            </w:pPr>
          </w:p>
        </w:tc>
        <w:tc>
          <w:tcPr>
            <w:tcW w:w="1767" w:type="dxa"/>
            <w:tcBorders>
              <w:top w:val="single" w:sz="4" w:space="0" w:color="auto"/>
              <w:left w:val="nil"/>
              <w:bottom w:val="single" w:sz="4" w:space="0" w:color="auto"/>
              <w:right w:val="nil"/>
            </w:tcBorders>
            <w:vAlign w:val="center"/>
          </w:tcPr>
          <w:p w14:paraId="5F6DC13B" w14:textId="77777777" w:rsidR="00B9655D" w:rsidRPr="00E2719C" w:rsidRDefault="00B9655D" w:rsidP="0083799E">
            <w:pPr>
              <w:spacing w:line="240" w:lineRule="auto"/>
            </w:pPr>
            <w:r w:rsidRPr="001B3582">
              <w:t>Azithromycin</w:t>
            </w:r>
          </w:p>
        </w:tc>
        <w:tc>
          <w:tcPr>
            <w:tcW w:w="1768" w:type="dxa"/>
            <w:tcBorders>
              <w:top w:val="single" w:sz="4" w:space="0" w:color="auto"/>
              <w:left w:val="nil"/>
              <w:bottom w:val="single" w:sz="4" w:space="0" w:color="auto"/>
              <w:right w:val="nil"/>
            </w:tcBorders>
            <w:vAlign w:val="center"/>
          </w:tcPr>
          <w:p w14:paraId="109AD76B" w14:textId="77777777" w:rsidR="00B9655D" w:rsidRPr="00E2719C" w:rsidRDefault="00B9655D" w:rsidP="0083799E">
            <w:pPr>
              <w:spacing w:line="240" w:lineRule="auto"/>
            </w:pPr>
            <w:r w:rsidRPr="001B3582">
              <w:t>Ciprofloxacin</w:t>
            </w:r>
          </w:p>
        </w:tc>
        <w:tc>
          <w:tcPr>
            <w:tcW w:w="1768" w:type="dxa"/>
            <w:tcBorders>
              <w:top w:val="single" w:sz="4" w:space="0" w:color="auto"/>
              <w:left w:val="nil"/>
              <w:bottom w:val="single" w:sz="4" w:space="0" w:color="auto"/>
              <w:right w:val="nil"/>
            </w:tcBorders>
            <w:vAlign w:val="center"/>
          </w:tcPr>
          <w:p w14:paraId="1F46D553" w14:textId="77777777" w:rsidR="00B9655D" w:rsidRPr="00E2719C" w:rsidRDefault="00B9655D" w:rsidP="0083799E">
            <w:pPr>
              <w:spacing w:line="240" w:lineRule="auto"/>
            </w:pPr>
            <w:r>
              <w:t>p</w:t>
            </w:r>
          </w:p>
        </w:tc>
      </w:tr>
      <w:tr w:rsidR="00B9655D" w:rsidRPr="000406C1" w14:paraId="0FA22611" w14:textId="77777777" w:rsidTr="00EF39AF">
        <w:trPr>
          <w:trHeight w:val="417"/>
        </w:trPr>
        <w:tc>
          <w:tcPr>
            <w:tcW w:w="2887" w:type="dxa"/>
            <w:tcBorders>
              <w:top w:val="single" w:sz="4" w:space="0" w:color="auto"/>
              <w:left w:val="nil"/>
              <w:bottom w:val="single" w:sz="4" w:space="0" w:color="auto"/>
              <w:right w:val="nil"/>
            </w:tcBorders>
            <w:vAlign w:val="center"/>
          </w:tcPr>
          <w:p w14:paraId="786A2BB4" w14:textId="77777777" w:rsidR="00B9655D" w:rsidRPr="00854F9B" w:rsidRDefault="00B9655D" w:rsidP="0083799E">
            <w:pPr>
              <w:spacing w:line="240" w:lineRule="auto"/>
              <w:rPr>
                <w:lang w:eastAsia="zh-CN"/>
              </w:rPr>
            </w:pPr>
            <w:r>
              <w:t>Primary outcome</w:t>
            </w:r>
          </w:p>
        </w:tc>
        <w:tc>
          <w:tcPr>
            <w:tcW w:w="1767" w:type="dxa"/>
            <w:tcBorders>
              <w:top w:val="single" w:sz="4" w:space="0" w:color="auto"/>
              <w:left w:val="nil"/>
              <w:bottom w:val="single" w:sz="4" w:space="0" w:color="auto"/>
              <w:right w:val="nil"/>
            </w:tcBorders>
            <w:vAlign w:val="center"/>
          </w:tcPr>
          <w:p w14:paraId="1C1B8304"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vAlign w:val="center"/>
          </w:tcPr>
          <w:p w14:paraId="667DF636"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vAlign w:val="center"/>
          </w:tcPr>
          <w:p w14:paraId="095B5395" w14:textId="77777777" w:rsidR="00B9655D" w:rsidRDefault="00B9655D" w:rsidP="0083799E">
            <w:pPr>
              <w:spacing w:line="240" w:lineRule="auto"/>
            </w:pPr>
          </w:p>
        </w:tc>
      </w:tr>
      <w:tr w:rsidR="00B9655D" w:rsidRPr="000406C1" w14:paraId="3B8B232B" w14:textId="77777777" w:rsidTr="00EF39AF">
        <w:trPr>
          <w:trHeight w:val="417"/>
        </w:trPr>
        <w:tc>
          <w:tcPr>
            <w:tcW w:w="2887" w:type="dxa"/>
            <w:tcBorders>
              <w:top w:val="single" w:sz="4" w:space="0" w:color="auto"/>
              <w:left w:val="nil"/>
              <w:bottom w:val="nil"/>
              <w:right w:val="nil"/>
            </w:tcBorders>
            <w:vAlign w:val="center"/>
          </w:tcPr>
          <w:p w14:paraId="5A9B10B9" w14:textId="77777777" w:rsidR="00B9655D" w:rsidRPr="00E167F8" w:rsidRDefault="00B9655D" w:rsidP="0083799E">
            <w:pPr>
              <w:spacing w:line="240" w:lineRule="auto"/>
            </w:pPr>
            <w:r>
              <w:t>B</w:t>
            </w:r>
            <w:r w:rsidRPr="000467C2">
              <w:t>acteraemia</w:t>
            </w:r>
            <w:r>
              <w:t xml:space="preserve"> clearance</w:t>
            </w:r>
          </w:p>
        </w:tc>
        <w:tc>
          <w:tcPr>
            <w:tcW w:w="1767" w:type="dxa"/>
            <w:tcBorders>
              <w:top w:val="single" w:sz="4" w:space="0" w:color="auto"/>
              <w:left w:val="nil"/>
              <w:bottom w:val="nil"/>
              <w:right w:val="nil"/>
            </w:tcBorders>
            <w:vAlign w:val="center"/>
          </w:tcPr>
          <w:p w14:paraId="09DD6C0B" w14:textId="77777777" w:rsidR="00B9655D" w:rsidRPr="00854F9B" w:rsidRDefault="00B9655D" w:rsidP="0083799E">
            <w:pPr>
              <w:spacing w:line="240" w:lineRule="auto"/>
            </w:pPr>
            <w:r>
              <w:t>N=43</w:t>
            </w:r>
          </w:p>
        </w:tc>
        <w:tc>
          <w:tcPr>
            <w:tcW w:w="1768" w:type="dxa"/>
            <w:tcBorders>
              <w:top w:val="single" w:sz="4" w:space="0" w:color="auto"/>
              <w:left w:val="nil"/>
              <w:bottom w:val="nil"/>
              <w:right w:val="nil"/>
            </w:tcBorders>
            <w:vAlign w:val="center"/>
          </w:tcPr>
          <w:p w14:paraId="0E868584" w14:textId="77777777" w:rsidR="00B9655D" w:rsidRDefault="00B9655D" w:rsidP="0083799E">
            <w:pPr>
              <w:spacing w:line="240" w:lineRule="auto"/>
            </w:pPr>
            <w:r>
              <w:t>N=15</w:t>
            </w:r>
          </w:p>
        </w:tc>
        <w:tc>
          <w:tcPr>
            <w:tcW w:w="1768" w:type="dxa"/>
            <w:tcBorders>
              <w:top w:val="single" w:sz="4" w:space="0" w:color="auto"/>
              <w:left w:val="nil"/>
              <w:bottom w:val="nil"/>
              <w:right w:val="nil"/>
            </w:tcBorders>
            <w:vAlign w:val="center"/>
          </w:tcPr>
          <w:p w14:paraId="59BCD02D" w14:textId="77777777" w:rsidR="00B9655D" w:rsidRDefault="00B9655D" w:rsidP="0083799E">
            <w:pPr>
              <w:spacing w:line="240" w:lineRule="auto"/>
            </w:pPr>
          </w:p>
        </w:tc>
      </w:tr>
      <w:tr w:rsidR="00B9655D" w:rsidRPr="000406C1" w14:paraId="3C8FE6B6" w14:textId="77777777" w:rsidTr="00EF39AF">
        <w:trPr>
          <w:trHeight w:val="417"/>
        </w:trPr>
        <w:tc>
          <w:tcPr>
            <w:tcW w:w="2887" w:type="dxa"/>
            <w:tcBorders>
              <w:top w:val="nil"/>
              <w:left w:val="nil"/>
              <w:bottom w:val="nil"/>
              <w:right w:val="nil"/>
            </w:tcBorders>
            <w:vAlign w:val="center"/>
          </w:tcPr>
          <w:p w14:paraId="63D0F3C6" w14:textId="77777777" w:rsidR="00B9655D" w:rsidRPr="006B2405" w:rsidRDefault="00B9655D" w:rsidP="0083799E">
            <w:pPr>
              <w:spacing w:line="240" w:lineRule="auto"/>
            </w:pPr>
            <w:r>
              <w:t>Crude model</w:t>
            </w:r>
          </w:p>
        </w:tc>
        <w:tc>
          <w:tcPr>
            <w:tcW w:w="1767" w:type="dxa"/>
            <w:tcBorders>
              <w:top w:val="nil"/>
              <w:left w:val="nil"/>
              <w:bottom w:val="nil"/>
              <w:right w:val="nil"/>
            </w:tcBorders>
            <w:vAlign w:val="center"/>
          </w:tcPr>
          <w:p w14:paraId="6224D3E3" w14:textId="77777777" w:rsidR="00B9655D" w:rsidRPr="00E2719C" w:rsidRDefault="00B9655D" w:rsidP="0083799E">
            <w:pPr>
              <w:spacing w:line="240" w:lineRule="auto"/>
            </w:pPr>
            <w:r>
              <w:t>Ref</w:t>
            </w:r>
          </w:p>
        </w:tc>
        <w:tc>
          <w:tcPr>
            <w:tcW w:w="1768" w:type="dxa"/>
            <w:tcBorders>
              <w:top w:val="nil"/>
              <w:left w:val="nil"/>
              <w:bottom w:val="nil"/>
              <w:right w:val="nil"/>
            </w:tcBorders>
            <w:vAlign w:val="center"/>
          </w:tcPr>
          <w:p w14:paraId="39E186F4" w14:textId="77777777" w:rsidR="00B9655D" w:rsidRPr="00E2719C" w:rsidRDefault="00B9655D" w:rsidP="0083799E">
            <w:pPr>
              <w:spacing w:line="240" w:lineRule="auto"/>
            </w:pPr>
            <w:r>
              <w:t>9.0 (4.2-19.3)</w:t>
            </w:r>
          </w:p>
        </w:tc>
        <w:tc>
          <w:tcPr>
            <w:tcW w:w="1768" w:type="dxa"/>
            <w:tcBorders>
              <w:top w:val="nil"/>
              <w:left w:val="nil"/>
              <w:bottom w:val="nil"/>
              <w:right w:val="nil"/>
            </w:tcBorders>
            <w:vAlign w:val="center"/>
          </w:tcPr>
          <w:p w14:paraId="1C03102A" w14:textId="77777777" w:rsidR="00B9655D" w:rsidRPr="00E2719C" w:rsidRDefault="00B9655D" w:rsidP="0083799E">
            <w:pPr>
              <w:spacing w:line="240" w:lineRule="auto"/>
            </w:pPr>
            <w:r>
              <w:t>&lt;0.001</w:t>
            </w:r>
          </w:p>
        </w:tc>
      </w:tr>
      <w:tr w:rsidR="00B9655D" w:rsidRPr="000406C1" w14:paraId="38327501" w14:textId="77777777" w:rsidTr="00EF39AF">
        <w:trPr>
          <w:trHeight w:val="417"/>
        </w:trPr>
        <w:tc>
          <w:tcPr>
            <w:tcW w:w="2887" w:type="dxa"/>
            <w:tcBorders>
              <w:top w:val="nil"/>
              <w:left w:val="nil"/>
              <w:bottom w:val="single" w:sz="4" w:space="0" w:color="auto"/>
              <w:right w:val="nil"/>
            </w:tcBorders>
            <w:vAlign w:val="center"/>
          </w:tcPr>
          <w:p w14:paraId="7792AA95"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vAlign w:val="center"/>
          </w:tcPr>
          <w:p w14:paraId="50A7077F" w14:textId="77777777" w:rsidR="00B9655D" w:rsidRPr="00E2719C" w:rsidRDefault="00B9655D" w:rsidP="0083799E">
            <w:pPr>
              <w:spacing w:line="240" w:lineRule="auto"/>
            </w:pPr>
            <w:r>
              <w:t>Ref</w:t>
            </w:r>
          </w:p>
        </w:tc>
        <w:tc>
          <w:tcPr>
            <w:tcW w:w="1768" w:type="dxa"/>
            <w:tcBorders>
              <w:top w:val="nil"/>
              <w:left w:val="nil"/>
              <w:bottom w:val="single" w:sz="4" w:space="0" w:color="auto"/>
              <w:right w:val="nil"/>
            </w:tcBorders>
            <w:vAlign w:val="center"/>
          </w:tcPr>
          <w:p w14:paraId="32D7663C" w14:textId="532A31DB" w:rsidR="00B9655D" w:rsidRPr="00E2719C" w:rsidRDefault="00B9655D">
            <w:pPr>
              <w:spacing w:line="240" w:lineRule="auto"/>
            </w:pPr>
            <w:r>
              <w:t>1</w:t>
            </w:r>
            <w:r w:rsidR="00485A21">
              <w:t>8</w:t>
            </w:r>
            <w:r>
              <w:t>.</w:t>
            </w:r>
            <w:r w:rsidR="00485A21">
              <w:t>9</w:t>
            </w:r>
            <w:r>
              <w:t xml:space="preserve"> (6.</w:t>
            </w:r>
            <w:r w:rsidR="00485A21">
              <w:t>6</w:t>
            </w:r>
            <w:r>
              <w:t>-</w:t>
            </w:r>
            <w:r w:rsidR="00485A21">
              <w:t>54.0</w:t>
            </w:r>
            <w:r>
              <w:t>)</w:t>
            </w:r>
          </w:p>
        </w:tc>
        <w:tc>
          <w:tcPr>
            <w:tcW w:w="1768" w:type="dxa"/>
            <w:tcBorders>
              <w:top w:val="nil"/>
              <w:left w:val="nil"/>
              <w:bottom w:val="single" w:sz="4" w:space="0" w:color="auto"/>
              <w:right w:val="nil"/>
            </w:tcBorders>
            <w:vAlign w:val="center"/>
          </w:tcPr>
          <w:p w14:paraId="0C79D023" w14:textId="77777777" w:rsidR="00B9655D" w:rsidRPr="00E2719C" w:rsidRDefault="00B9655D" w:rsidP="0083799E">
            <w:pPr>
              <w:spacing w:line="240" w:lineRule="auto"/>
            </w:pPr>
            <w:r>
              <w:t>&lt;0.001</w:t>
            </w:r>
          </w:p>
        </w:tc>
      </w:tr>
      <w:tr w:rsidR="00B9655D" w:rsidRPr="000406C1" w14:paraId="272C951F" w14:textId="77777777" w:rsidTr="00EF39AF">
        <w:trPr>
          <w:trHeight w:val="417"/>
        </w:trPr>
        <w:tc>
          <w:tcPr>
            <w:tcW w:w="2887" w:type="dxa"/>
            <w:tcBorders>
              <w:top w:val="single" w:sz="4" w:space="0" w:color="auto"/>
              <w:left w:val="nil"/>
              <w:bottom w:val="nil"/>
              <w:right w:val="nil"/>
            </w:tcBorders>
            <w:vAlign w:val="center"/>
          </w:tcPr>
          <w:p w14:paraId="02BF7A3D" w14:textId="77777777" w:rsidR="00B9655D" w:rsidRPr="00E167F8" w:rsidRDefault="00B9655D" w:rsidP="0083799E">
            <w:pPr>
              <w:spacing w:line="240" w:lineRule="auto"/>
            </w:pPr>
            <w:r>
              <w:t xml:space="preserve">Fever Clearance (Fever </w:t>
            </w:r>
            <w:r w:rsidRPr="00BC4F3A">
              <w:rPr>
                <w:rFonts w:cstheme="minorHAnsi"/>
              </w:rPr>
              <w:t>≥38</w:t>
            </w:r>
            <w:r>
              <w:t>)</w:t>
            </w:r>
          </w:p>
        </w:tc>
        <w:tc>
          <w:tcPr>
            <w:tcW w:w="1767" w:type="dxa"/>
            <w:tcBorders>
              <w:top w:val="single" w:sz="4" w:space="0" w:color="auto"/>
              <w:left w:val="nil"/>
              <w:bottom w:val="nil"/>
              <w:right w:val="nil"/>
            </w:tcBorders>
            <w:vAlign w:val="center"/>
          </w:tcPr>
          <w:p w14:paraId="06C12598" w14:textId="77777777" w:rsidR="00B9655D" w:rsidRDefault="00B9655D" w:rsidP="0083799E">
            <w:pPr>
              <w:spacing w:line="240" w:lineRule="auto"/>
            </w:pPr>
            <w:r>
              <w:t>N=27</w:t>
            </w:r>
          </w:p>
        </w:tc>
        <w:tc>
          <w:tcPr>
            <w:tcW w:w="1768" w:type="dxa"/>
            <w:tcBorders>
              <w:top w:val="single" w:sz="4" w:space="0" w:color="auto"/>
              <w:left w:val="nil"/>
              <w:bottom w:val="nil"/>
              <w:right w:val="nil"/>
            </w:tcBorders>
            <w:vAlign w:val="center"/>
          </w:tcPr>
          <w:p w14:paraId="3ACBEAE0" w14:textId="77777777" w:rsidR="00B9655D" w:rsidRDefault="00B9655D" w:rsidP="0083799E">
            <w:pPr>
              <w:spacing w:line="240" w:lineRule="auto"/>
            </w:pPr>
            <w:r>
              <w:t>N=19</w:t>
            </w:r>
          </w:p>
        </w:tc>
        <w:tc>
          <w:tcPr>
            <w:tcW w:w="1768" w:type="dxa"/>
            <w:tcBorders>
              <w:top w:val="single" w:sz="4" w:space="0" w:color="auto"/>
              <w:left w:val="nil"/>
              <w:bottom w:val="nil"/>
              <w:right w:val="nil"/>
            </w:tcBorders>
            <w:vAlign w:val="center"/>
          </w:tcPr>
          <w:p w14:paraId="3BFE55C1" w14:textId="77777777" w:rsidR="00B9655D" w:rsidRDefault="00B9655D" w:rsidP="0083799E">
            <w:pPr>
              <w:spacing w:line="240" w:lineRule="auto"/>
            </w:pPr>
          </w:p>
        </w:tc>
      </w:tr>
      <w:tr w:rsidR="00B9655D" w:rsidRPr="000406C1" w14:paraId="7959EB33" w14:textId="77777777" w:rsidTr="00EF39AF">
        <w:trPr>
          <w:trHeight w:val="417"/>
        </w:trPr>
        <w:tc>
          <w:tcPr>
            <w:tcW w:w="2887" w:type="dxa"/>
            <w:tcBorders>
              <w:top w:val="nil"/>
              <w:left w:val="nil"/>
              <w:bottom w:val="nil"/>
              <w:right w:val="nil"/>
            </w:tcBorders>
            <w:vAlign w:val="center"/>
          </w:tcPr>
          <w:p w14:paraId="74618F17" w14:textId="77777777" w:rsidR="00B9655D" w:rsidRPr="006B2405" w:rsidRDefault="00B9655D" w:rsidP="0083799E">
            <w:pPr>
              <w:spacing w:line="240" w:lineRule="auto"/>
            </w:pPr>
            <w:r>
              <w:t>Crude model</w:t>
            </w:r>
          </w:p>
        </w:tc>
        <w:tc>
          <w:tcPr>
            <w:tcW w:w="1767" w:type="dxa"/>
            <w:tcBorders>
              <w:top w:val="nil"/>
              <w:left w:val="nil"/>
              <w:bottom w:val="nil"/>
              <w:right w:val="nil"/>
            </w:tcBorders>
            <w:vAlign w:val="center"/>
          </w:tcPr>
          <w:p w14:paraId="5DBB5479" w14:textId="77777777" w:rsidR="00B9655D" w:rsidRPr="00E2719C" w:rsidRDefault="00B9655D" w:rsidP="0083799E">
            <w:pPr>
              <w:spacing w:line="240" w:lineRule="auto"/>
            </w:pPr>
            <w:r w:rsidRPr="006129D7">
              <w:t>Ref</w:t>
            </w:r>
          </w:p>
        </w:tc>
        <w:tc>
          <w:tcPr>
            <w:tcW w:w="1768" w:type="dxa"/>
            <w:tcBorders>
              <w:top w:val="nil"/>
              <w:left w:val="nil"/>
              <w:bottom w:val="nil"/>
              <w:right w:val="nil"/>
            </w:tcBorders>
            <w:vAlign w:val="center"/>
          </w:tcPr>
          <w:p w14:paraId="76A48E2E" w14:textId="77777777" w:rsidR="00B9655D" w:rsidRPr="00E2719C" w:rsidRDefault="00B9655D" w:rsidP="0083799E">
            <w:pPr>
              <w:spacing w:line="240" w:lineRule="auto"/>
            </w:pPr>
            <w:r>
              <w:t>2.1 (1.1-4.0)</w:t>
            </w:r>
          </w:p>
        </w:tc>
        <w:tc>
          <w:tcPr>
            <w:tcW w:w="1768" w:type="dxa"/>
            <w:tcBorders>
              <w:top w:val="nil"/>
              <w:left w:val="nil"/>
              <w:bottom w:val="nil"/>
              <w:right w:val="nil"/>
            </w:tcBorders>
            <w:vAlign w:val="center"/>
          </w:tcPr>
          <w:p w14:paraId="21EF6DF4" w14:textId="77777777" w:rsidR="00B9655D" w:rsidRPr="00E2719C" w:rsidRDefault="00B9655D" w:rsidP="0083799E">
            <w:pPr>
              <w:spacing w:line="240" w:lineRule="auto"/>
            </w:pPr>
            <w:r>
              <w:t>0.03</w:t>
            </w:r>
          </w:p>
        </w:tc>
      </w:tr>
      <w:tr w:rsidR="00B9655D" w:rsidRPr="000406C1" w14:paraId="4E058035" w14:textId="77777777" w:rsidTr="00EF39AF">
        <w:trPr>
          <w:trHeight w:val="417"/>
        </w:trPr>
        <w:tc>
          <w:tcPr>
            <w:tcW w:w="2887" w:type="dxa"/>
            <w:tcBorders>
              <w:top w:val="nil"/>
              <w:left w:val="nil"/>
              <w:bottom w:val="single" w:sz="4" w:space="0" w:color="auto"/>
              <w:right w:val="nil"/>
            </w:tcBorders>
            <w:vAlign w:val="center"/>
          </w:tcPr>
          <w:p w14:paraId="09A10143"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vAlign w:val="center"/>
          </w:tcPr>
          <w:p w14:paraId="00BA1307" w14:textId="77777777" w:rsidR="00B9655D" w:rsidRPr="00E2719C" w:rsidRDefault="00B9655D" w:rsidP="0083799E">
            <w:pPr>
              <w:spacing w:line="240" w:lineRule="auto"/>
            </w:pPr>
            <w:r w:rsidRPr="006129D7">
              <w:t>Ref</w:t>
            </w:r>
          </w:p>
        </w:tc>
        <w:tc>
          <w:tcPr>
            <w:tcW w:w="1768" w:type="dxa"/>
            <w:tcBorders>
              <w:top w:val="nil"/>
              <w:left w:val="nil"/>
              <w:bottom w:val="single" w:sz="4" w:space="0" w:color="auto"/>
              <w:right w:val="nil"/>
            </w:tcBorders>
            <w:vAlign w:val="center"/>
          </w:tcPr>
          <w:p w14:paraId="7D78A30B" w14:textId="77777777" w:rsidR="00B9655D" w:rsidRPr="00E2719C" w:rsidRDefault="00B9655D" w:rsidP="0083799E">
            <w:pPr>
              <w:spacing w:line="240" w:lineRule="auto"/>
            </w:pPr>
            <w:r>
              <w:t>1.3 (0.6-2.8)</w:t>
            </w:r>
          </w:p>
        </w:tc>
        <w:tc>
          <w:tcPr>
            <w:tcW w:w="1768" w:type="dxa"/>
            <w:tcBorders>
              <w:top w:val="nil"/>
              <w:left w:val="nil"/>
              <w:bottom w:val="single" w:sz="4" w:space="0" w:color="auto"/>
              <w:right w:val="nil"/>
            </w:tcBorders>
            <w:vAlign w:val="center"/>
          </w:tcPr>
          <w:p w14:paraId="1813E359" w14:textId="77777777" w:rsidR="00B9655D" w:rsidRPr="00E2719C" w:rsidRDefault="00B9655D" w:rsidP="0083799E">
            <w:pPr>
              <w:spacing w:line="240" w:lineRule="auto"/>
            </w:pPr>
            <w:r>
              <w:t>0.51</w:t>
            </w:r>
          </w:p>
        </w:tc>
      </w:tr>
      <w:tr w:rsidR="00B9655D" w14:paraId="7B8C2176" w14:textId="77777777" w:rsidTr="00EF39AF">
        <w:trPr>
          <w:trHeight w:val="417"/>
        </w:trPr>
        <w:tc>
          <w:tcPr>
            <w:tcW w:w="2887" w:type="dxa"/>
            <w:tcBorders>
              <w:top w:val="single" w:sz="4" w:space="0" w:color="auto"/>
              <w:left w:val="nil"/>
              <w:bottom w:val="single" w:sz="4" w:space="0" w:color="auto"/>
              <w:right w:val="nil"/>
            </w:tcBorders>
          </w:tcPr>
          <w:p w14:paraId="441457E8" w14:textId="77777777" w:rsidR="00B9655D" w:rsidRPr="00854F9B" w:rsidRDefault="00B9655D" w:rsidP="0083799E">
            <w:pPr>
              <w:spacing w:line="240" w:lineRule="auto"/>
              <w:rPr>
                <w:lang w:eastAsia="zh-CN"/>
              </w:rPr>
            </w:pPr>
            <w:r>
              <w:t>Secondary outcome</w:t>
            </w:r>
          </w:p>
        </w:tc>
        <w:tc>
          <w:tcPr>
            <w:tcW w:w="1767" w:type="dxa"/>
            <w:tcBorders>
              <w:top w:val="single" w:sz="4" w:space="0" w:color="auto"/>
              <w:left w:val="nil"/>
              <w:bottom w:val="single" w:sz="4" w:space="0" w:color="auto"/>
              <w:right w:val="nil"/>
            </w:tcBorders>
          </w:tcPr>
          <w:p w14:paraId="5B7D3346"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tcPr>
          <w:p w14:paraId="6D24F605" w14:textId="77777777" w:rsidR="00B9655D" w:rsidRDefault="00B9655D" w:rsidP="0083799E">
            <w:pPr>
              <w:spacing w:line="240" w:lineRule="auto"/>
            </w:pPr>
          </w:p>
        </w:tc>
        <w:tc>
          <w:tcPr>
            <w:tcW w:w="1768" w:type="dxa"/>
            <w:tcBorders>
              <w:top w:val="single" w:sz="4" w:space="0" w:color="auto"/>
              <w:left w:val="nil"/>
              <w:bottom w:val="single" w:sz="4" w:space="0" w:color="auto"/>
              <w:right w:val="nil"/>
            </w:tcBorders>
          </w:tcPr>
          <w:p w14:paraId="3DFF05BE" w14:textId="77777777" w:rsidR="00B9655D" w:rsidRDefault="00B9655D" w:rsidP="0083799E">
            <w:pPr>
              <w:spacing w:line="240" w:lineRule="auto"/>
            </w:pPr>
          </w:p>
        </w:tc>
      </w:tr>
      <w:tr w:rsidR="00B9655D" w14:paraId="1F75B801" w14:textId="77777777" w:rsidTr="00EF39AF">
        <w:trPr>
          <w:trHeight w:val="417"/>
        </w:trPr>
        <w:tc>
          <w:tcPr>
            <w:tcW w:w="2887" w:type="dxa"/>
            <w:tcBorders>
              <w:top w:val="single" w:sz="4" w:space="0" w:color="auto"/>
              <w:left w:val="nil"/>
              <w:bottom w:val="nil"/>
              <w:right w:val="nil"/>
            </w:tcBorders>
          </w:tcPr>
          <w:p w14:paraId="49ECAB18" w14:textId="77777777" w:rsidR="00B9655D" w:rsidRPr="00E167F8" w:rsidRDefault="00B9655D" w:rsidP="0083799E">
            <w:pPr>
              <w:spacing w:line="240" w:lineRule="auto"/>
            </w:pPr>
            <w:r>
              <w:t>Stool shedding clearance</w:t>
            </w:r>
          </w:p>
        </w:tc>
        <w:tc>
          <w:tcPr>
            <w:tcW w:w="1767" w:type="dxa"/>
            <w:tcBorders>
              <w:top w:val="single" w:sz="4" w:space="0" w:color="auto"/>
              <w:left w:val="nil"/>
              <w:bottom w:val="nil"/>
              <w:right w:val="nil"/>
            </w:tcBorders>
          </w:tcPr>
          <w:p w14:paraId="176CA20B" w14:textId="77777777" w:rsidR="00B9655D" w:rsidRPr="00854F9B" w:rsidRDefault="00B9655D" w:rsidP="0083799E">
            <w:pPr>
              <w:spacing w:line="240" w:lineRule="auto"/>
            </w:pPr>
            <w:r>
              <w:t>N=19</w:t>
            </w:r>
          </w:p>
        </w:tc>
        <w:tc>
          <w:tcPr>
            <w:tcW w:w="1768" w:type="dxa"/>
            <w:tcBorders>
              <w:top w:val="single" w:sz="4" w:space="0" w:color="auto"/>
              <w:left w:val="nil"/>
              <w:bottom w:val="nil"/>
              <w:right w:val="nil"/>
            </w:tcBorders>
          </w:tcPr>
          <w:p w14:paraId="3D91502B" w14:textId="77777777" w:rsidR="00B9655D" w:rsidRDefault="00B9655D" w:rsidP="0083799E">
            <w:pPr>
              <w:spacing w:line="240" w:lineRule="auto"/>
            </w:pPr>
            <w:r>
              <w:t>N=8</w:t>
            </w:r>
          </w:p>
        </w:tc>
        <w:tc>
          <w:tcPr>
            <w:tcW w:w="1768" w:type="dxa"/>
            <w:tcBorders>
              <w:top w:val="single" w:sz="4" w:space="0" w:color="auto"/>
              <w:left w:val="nil"/>
              <w:bottom w:val="nil"/>
              <w:right w:val="nil"/>
            </w:tcBorders>
          </w:tcPr>
          <w:p w14:paraId="0ABD691A" w14:textId="77777777" w:rsidR="00B9655D" w:rsidRDefault="00B9655D" w:rsidP="0083799E">
            <w:pPr>
              <w:spacing w:line="240" w:lineRule="auto"/>
            </w:pPr>
          </w:p>
        </w:tc>
      </w:tr>
      <w:tr w:rsidR="00B9655D" w:rsidRPr="00E2719C" w14:paraId="2321EB2E" w14:textId="77777777" w:rsidTr="00EF39AF">
        <w:trPr>
          <w:trHeight w:val="417"/>
        </w:trPr>
        <w:tc>
          <w:tcPr>
            <w:tcW w:w="2887" w:type="dxa"/>
            <w:tcBorders>
              <w:top w:val="nil"/>
              <w:left w:val="nil"/>
              <w:bottom w:val="nil"/>
              <w:right w:val="nil"/>
            </w:tcBorders>
          </w:tcPr>
          <w:p w14:paraId="0220C2A1" w14:textId="77777777" w:rsidR="00B9655D" w:rsidRPr="006B2405" w:rsidRDefault="00B9655D" w:rsidP="0083799E">
            <w:pPr>
              <w:spacing w:line="240" w:lineRule="auto"/>
            </w:pPr>
            <w:r>
              <w:t>Crude model</w:t>
            </w:r>
          </w:p>
        </w:tc>
        <w:tc>
          <w:tcPr>
            <w:tcW w:w="1767" w:type="dxa"/>
            <w:tcBorders>
              <w:top w:val="nil"/>
              <w:left w:val="nil"/>
              <w:bottom w:val="nil"/>
              <w:right w:val="nil"/>
            </w:tcBorders>
          </w:tcPr>
          <w:p w14:paraId="3DD739CF" w14:textId="77777777" w:rsidR="00B9655D" w:rsidRPr="00E2719C" w:rsidRDefault="00B9655D" w:rsidP="0083799E">
            <w:pPr>
              <w:spacing w:line="240" w:lineRule="auto"/>
            </w:pPr>
            <w:r>
              <w:t>Ref</w:t>
            </w:r>
          </w:p>
        </w:tc>
        <w:tc>
          <w:tcPr>
            <w:tcW w:w="1768" w:type="dxa"/>
            <w:tcBorders>
              <w:top w:val="nil"/>
              <w:left w:val="nil"/>
              <w:bottom w:val="nil"/>
              <w:right w:val="nil"/>
            </w:tcBorders>
          </w:tcPr>
          <w:p w14:paraId="04D19132" w14:textId="77777777" w:rsidR="00B9655D" w:rsidRPr="00E2719C" w:rsidRDefault="00B9655D" w:rsidP="0083799E">
            <w:pPr>
              <w:spacing w:line="240" w:lineRule="auto"/>
            </w:pPr>
            <w:r>
              <w:t>1.4 (0.6-3.2)</w:t>
            </w:r>
          </w:p>
        </w:tc>
        <w:tc>
          <w:tcPr>
            <w:tcW w:w="1768" w:type="dxa"/>
            <w:tcBorders>
              <w:top w:val="nil"/>
              <w:left w:val="nil"/>
              <w:bottom w:val="nil"/>
              <w:right w:val="nil"/>
            </w:tcBorders>
          </w:tcPr>
          <w:p w14:paraId="76BBF138" w14:textId="77777777" w:rsidR="00B9655D" w:rsidRPr="00E2719C" w:rsidRDefault="00B9655D" w:rsidP="0083799E">
            <w:pPr>
              <w:spacing w:line="240" w:lineRule="auto"/>
            </w:pPr>
            <w:r>
              <w:t>0.48</w:t>
            </w:r>
          </w:p>
        </w:tc>
      </w:tr>
      <w:tr w:rsidR="00B9655D" w:rsidRPr="00E2719C" w14:paraId="0DA0DB4F" w14:textId="77777777" w:rsidTr="00EF39AF">
        <w:trPr>
          <w:trHeight w:val="417"/>
        </w:trPr>
        <w:tc>
          <w:tcPr>
            <w:tcW w:w="2887" w:type="dxa"/>
            <w:tcBorders>
              <w:top w:val="nil"/>
              <w:left w:val="nil"/>
              <w:bottom w:val="single" w:sz="4" w:space="0" w:color="auto"/>
              <w:right w:val="nil"/>
            </w:tcBorders>
          </w:tcPr>
          <w:p w14:paraId="674804AC"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tcPr>
          <w:p w14:paraId="50E826D4" w14:textId="77777777" w:rsidR="00B9655D" w:rsidRPr="00E2719C" w:rsidRDefault="00B9655D" w:rsidP="0083799E">
            <w:pPr>
              <w:spacing w:line="240" w:lineRule="auto"/>
            </w:pPr>
            <w:r>
              <w:t>Ref</w:t>
            </w:r>
          </w:p>
        </w:tc>
        <w:tc>
          <w:tcPr>
            <w:tcW w:w="1768" w:type="dxa"/>
            <w:tcBorders>
              <w:top w:val="nil"/>
              <w:left w:val="nil"/>
              <w:bottom w:val="single" w:sz="4" w:space="0" w:color="auto"/>
              <w:right w:val="nil"/>
            </w:tcBorders>
          </w:tcPr>
          <w:p w14:paraId="752685E1" w14:textId="14C778B3" w:rsidR="00B9655D" w:rsidRPr="00E2719C" w:rsidRDefault="00B9655D" w:rsidP="00A2569D">
            <w:pPr>
              <w:spacing w:line="240" w:lineRule="auto"/>
            </w:pPr>
            <w:r>
              <w:t>1.3 (0.4-4.</w:t>
            </w:r>
            <w:r w:rsidR="00FC3BC3">
              <w:t>2</w:t>
            </w:r>
            <w:r>
              <w:t>)</w:t>
            </w:r>
          </w:p>
        </w:tc>
        <w:tc>
          <w:tcPr>
            <w:tcW w:w="1768" w:type="dxa"/>
            <w:tcBorders>
              <w:top w:val="nil"/>
              <w:left w:val="nil"/>
              <w:bottom w:val="single" w:sz="4" w:space="0" w:color="auto"/>
              <w:right w:val="nil"/>
            </w:tcBorders>
          </w:tcPr>
          <w:p w14:paraId="61EAF409" w14:textId="436E3236" w:rsidR="00B9655D" w:rsidRPr="00E2719C" w:rsidRDefault="00B9655D" w:rsidP="0083799E">
            <w:pPr>
              <w:spacing w:line="240" w:lineRule="auto"/>
            </w:pPr>
            <w:r>
              <w:t>0.6</w:t>
            </w:r>
            <w:r w:rsidR="00FC3BC3">
              <w:t>8</w:t>
            </w:r>
          </w:p>
        </w:tc>
      </w:tr>
      <w:tr w:rsidR="00B9655D" w14:paraId="2EEB9673" w14:textId="77777777" w:rsidTr="00EF39AF">
        <w:trPr>
          <w:trHeight w:val="417"/>
        </w:trPr>
        <w:tc>
          <w:tcPr>
            <w:tcW w:w="2887" w:type="dxa"/>
            <w:tcBorders>
              <w:top w:val="single" w:sz="4" w:space="0" w:color="auto"/>
              <w:left w:val="nil"/>
              <w:bottom w:val="nil"/>
              <w:right w:val="nil"/>
            </w:tcBorders>
          </w:tcPr>
          <w:p w14:paraId="6F0A1799" w14:textId="77777777" w:rsidR="00B9655D" w:rsidRPr="00E167F8" w:rsidRDefault="00B9655D" w:rsidP="0083799E">
            <w:pPr>
              <w:spacing w:line="240" w:lineRule="auto"/>
            </w:pPr>
            <w:r>
              <w:t xml:space="preserve">Fever Clearance (Fever </w:t>
            </w:r>
            <w:r w:rsidRPr="00BC4F3A">
              <w:rPr>
                <w:rFonts w:cstheme="minorHAnsi"/>
              </w:rPr>
              <w:t>≥3</w:t>
            </w:r>
            <w:r>
              <w:rPr>
                <w:rFonts w:cstheme="minorHAnsi"/>
              </w:rPr>
              <w:t>7.5</w:t>
            </w:r>
            <w:r>
              <w:t>)</w:t>
            </w:r>
          </w:p>
        </w:tc>
        <w:tc>
          <w:tcPr>
            <w:tcW w:w="1767" w:type="dxa"/>
            <w:tcBorders>
              <w:top w:val="single" w:sz="4" w:space="0" w:color="auto"/>
              <w:left w:val="nil"/>
              <w:bottom w:val="nil"/>
              <w:right w:val="nil"/>
            </w:tcBorders>
          </w:tcPr>
          <w:p w14:paraId="713847BC" w14:textId="77777777" w:rsidR="00B9655D" w:rsidRDefault="00B9655D" w:rsidP="0083799E">
            <w:pPr>
              <w:spacing w:line="240" w:lineRule="auto"/>
            </w:pPr>
            <w:r>
              <w:t>N=33</w:t>
            </w:r>
          </w:p>
        </w:tc>
        <w:tc>
          <w:tcPr>
            <w:tcW w:w="1768" w:type="dxa"/>
            <w:tcBorders>
              <w:top w:val="single" w:sz="4" w:space="0" w:color="auto"/>
              <w:left w:val="nil"/>
              <w:bottom w:val="nil"/>
              <w:right w:val="nil"/>
            </w:tcBorders>
          </w:tcPr>
          <w:p w14:paraId="1724DA94" w14:textId="77777777" w:rsidR="00B9655D" w:rsidRDefault="00B9655D" w:rsidP="0083799E">
            <w:pPr>
              <w:spacing w:line="240" w:lineRule="auto"/>
            </w:pPr>
            <w:r>
              <w:t>N=23</w:t>
            </w:r>
          </w:p>
        </w:tc>
        <w:tc>
          <w:tcPr>
            <w:tcW w:w="1768" w:type="dxa"/>
            <w:tcBorders>
              <w:top w:val="single" w:sz="4" w:space="0" w:color="auto"/>
              <w:left w:val="nil"/>
              <w:bottom w:val="nil"/>
              <w:right w:val="nil"/>
            </w:tcBorders>
          </w:tcPr>
          <w:p w14:paraId="7BE22D2A" w14:textId="77777777" w:rsidR="00B9655D" w:rsidRDefault="00B9655D" w:rsidP="0083799E">
            <w:pPr>
              <w:spacing w:line="240" w:lineRule="auto"/>
            </w:pPr>
          </w:p>
        </w:tc>
      </w:tr>
      <w:tr w:rsidR="00B9655D" w:rsidRPr="00E2719C" w14:paraId="35CAFEBE" w14:textId="77777777" w:rsidTr="00EF39AF">
        <w:trPr>
          <w:trHeight w:val="417"/>
        </w:trPr>
        <w:tc>
          <w:tcPr>
            <w:tcW w:w="2887" w:type="dxa"/>
            <w:tcBorders>
              <w:top w:val="nil"/>
              <w:left w:val="nil"/>
              <w:bottom w:val="nil"/>
              <w:right w:val="nil"/>
            </w:tcBorders>
          </w:tcPr>
          <w:p w14:paraId="1EF78CBA" w14:textId="77777777" w:rsidR="00B9655D" w:rsidRPr="006B2405" w:rsidRDefault="00B9655D" w:rsidP="0083799E">
            <w:pPr>
              <w:spacing w:line="240" w:lineRule="auto"/>
            </w:pPr>
            <w:r>
              <w:t>Crude model</w:t>
            </w:r>
          </w:p>
        </w:tc>
        <w:tc>
          <w:tcPr>
            <w:tcW w:w="1767" w:type="dxa"/>
            <w:tcBorders>
              <w:top w:val="nil"/>
              <w:left w:val="nil"/>
              <w:bottom w:val="nil"/>
              <w:right w:val="nil"/>
            </w:tcBorders>
          </w:tcPr>
          <w:p w14:paraId="19DE71F9" w14:textId="77777777" w:rsidR="00B9655D" w:rsidRPr="00E2719C" w:rsidRDefault="00B9655D" w:rsidP="0083799E">
            <w:pPr>
              <w:spacing w:line="240" w:lineRule="auto"/>
            </w:pPr>
            <w:r w:rsidRPr="006129D7">
              <w:t>Ref</w:t>
            </w:r>
          </w:p>
        </w:tc>
        <w:tc>
          <w:tcPr>
            <w:tcW w:w="1768" w:type="dxa"/>
            <w:tcBorders>
              <w:top w:val="nil"/>
              <w:left w:val="nil"/>
              <w:bottom w:val="nil"/>
              <w:right w:val="nil"/>
            </w:tcBorders>
          </w:tcPr>
          <w:p w14:paraId="05C70BFE" w14:textId="77777777" w:rsidR="00B9655D" w:rsidRPr="00E2719C" w:rsidRDefault="00B9655D" w:rsidP="0083799E">
            <w:pPr>
              <w:spacing w:line="240" w:lineRule="auto"/>
            </w:pPr>
            <w:r>
              <w:t>3.0 (1.6-5.5)</w:t>
            </w:r>
          </w:p>
        </w:tc>
        <w:tc>
          <w:tcPr>
            <w:tcW w:w="1768" w:type="dxa"/>
            <w:tcBorders>
              <w:top w:val="nil"/>
              <w:left w:val="nil"/>
              <w:bottom w:val="nil"/>
              <w:right w:val="nil"/>
            </w:tcBorders>
          </w:tcPr>
          <w:p w14:paraId="4023BB08" w14:textId="77777777" w:rsidR="00B9655D" w:rsidRPr="00E2719C" w:rsidRDefault="00B9655D" w:rsidP="0083799E">
            <w:pPr>
              <w:spacing w:line="240" w:lineRule="auto"/>
            </w:pPr>
            <w:r>
              <w:t>0.001</w:t>
            </w:r>
          </w:p>
        </w:tc>
      </w:tr>
      <w:tr w:rsidR="00B9655D" w:rsidRPr="00E2719C" w14:paraId="25F3BD2A" w14:textId="77777777" w:rsidTr="00EF39AF">
        <w:trPr>
          <w:trHeight w:val="417"/>
        </w:trPr>
        <w:tc>
          <w:tcPr>
            <w:tcW w:w="2887" w:type="dxa"/>
            <w:tcBorders>
              <w:top w:val="nil"/>
              <w:left w:val="nil"/>
              <w:bottom w:val="single" w:sz="4" w:space="0" w:color="auto"/>
              <w:right w:val="nil"/>
            </w:tcBorders>
          </w:tcPr>
          <w:p w14:paraId="479B9AE3" w14:textId="77777777" w:rsidR="00B9655D" w:rsidRPr="001B3582" w:rsidRDefault="00B9655D" w:rsidP="0083799E">
            <w:pPr>
              <w:spacing w:line="240" w:lineRule="auto"/>
              <w:rPr>
                <w:vertAlign w:val="superscript"/>
              </w:rPr>
            </w:pPr>
            <w:r>
              <w:t>Multivariable adjusted</w:t>
            </w:r>
            <w:r>
              <w:rPr>
                <w:vertAlign w:val="superscript"/>
              </w:rPr>
              <w:t>*</w:t>
            </w:r>
          </w:p>
        </w:tc>
        <w:tc>
          <w:tcPr>
            <w:tcW w:w="1767" w:type="dxa"/>
            <w:tcBorders>
              <w:top w:val="nil"/>
              <w:left w:val="nil"/>
              <w:bottom w:val="single" w:sz="4" w:space="0" w:color="auto"/>
              <w:right w:val="nil"/>
            </w:tcBorders>
          </w:tcPr>
          <w:p w14:paraId="3791C477" w14:textId="77777777" w:rsidR="00B9655D" w:rsidRPr="00E2719C" w:rsidRDefault="00B9655D" w:rsidP="0083799E">
            <w:pPr>
              <w:spacing w:line="240" w:lineRule="auto"/>
            </w:pPr>
            <w:r w:rsidRPr="006129D7">
              <w:t>Ref</w:t>
            </w:r>
          </w:p>
        </w:tc>
        <w:tc>
          <w:tcPr>
            <w:tcW w:w="1768" w:type="dxa"/>
            <w:tcBorders>
              <w:top w:val="nil"/>
              <w:left w:val="nil"/>
              <w:bottom w:val="single" w:sz="4" w:space="0" w:color="auto"/>
              <w:right w:val="nil"/>
            </w:tcBorders>
          </w:tcPr>
          <w:p w14:paraId="6E2AE670" w14:textId="42E20173" w:rsidR="00B9655D" w:rsidRPr="00E2719C" w:rsidRDefault="00B9655D" w:rsidP="0083799E">
            <w:pPr>
              <w:spacing w:line="240" w:lineRule="auto"/>
            </w:pPr>
            <w:r>
              <w:t>2.</w:t>
            </w:r>
            <w:r w:rsidR="00C2280B">
              <w:t>4</w:t>
            </w:r>
            <w:r>
              <w:t xml:space="preserve"> (1.</w:t>
            </w:r>
            <w:r w:rsidR="00C2280B">
              <w:t>2</w:t>
            </w:r>
            <w:r>
              <w:t>-</w:t>
            </w:r>
            <w:r w:rsidR="00C2280B">
              <w:t>5.0</w:t>
            </w:r>
            <w:r>
              <w:t>)</w:t>
            </w:r>
          </w:p>
        </w:tc>
        <w:tc>
          <w:tcPr>
            <w:tcW w:w="1768" w:type="dxa"/>
            <w:tcBorders>
              <w:top w:val="nil"/>
              <w:left w:val="nil"/>
              <w:bottom w:val="single" w:sz="4" w:space="0" w:color="auto"/>
              <w:right w:val="nil"/>
            </w:tcBorders>
          </w:tcPr>
          <w:p w14:paraId="7ED75563" w14:textId="77777777" w:rsidR="00B9655D" w:rsidRPr="00E2719C" w:rsidRDefault="00B9655D" w:rsidP="0083799E">
            <w:pPr>
              <w:spacing w:line="240" w:lineRule="auto"/>
            </w:pPr>
            <w:r>
              <w:t>0.02</w:t>
            </w:r>
          </w:p>
        </w:tc>
      </w:tr>
      <w:tr w:rsidR="00B9655D" w:rsidRPr="00E2719C" w14:paraId="0B4FDBB3" w14:textId="77777777" w:rsidTr="00EF39AF">
        <w:trPr>
          <w:trHeight w:val="417"/>
        </w:trPr>
        <w:tc>
          <w:tcPr>
            <w:tcW w:w="2887" w:type="dxa"/>
            <w:tcBorders>
              <w:top w:val="single" w:sz="4" w:space="0" w:color="auto"/>
              <w:left w:val="nil"/>
              <w:bottom w:val="nil"/>
              <w:right w:val="nil"/>
            </w:tcBorders>
          </w:tcPr>
          <w:p w14:paraId="12ACB406" w14:textId="77777777" w:rsidR="00B9655D" w:rsidRDefault="00B9655D" w:rsidP="0083799E">
            <w:pPr>
              <w:spacing w:line="240" w:lineRule="auto"/>
            </w:pPr>
            <w:r>
              <w:t>Any symptoms</w:t>
            </w:r>
          </w:p>
        </w:tc>
        <w:tc>
          <w:tcPr>
            <w:tcW w:w="1767" w:type="dxa"/>
            <w:tcBorders>
              <w:top w:val="single" w:sz="4" w:space="0" w:color="auto"/>
              <w:left w:val="nil"/>
              <w:bottom w:val="nil"/>
              <w:right w:val="nil"/>
            </w:tcBorders>
          </w:tcPr>
          <w:p w14:paraId="068313C3" w14:textId="77777777" w:rsidR="00B9655D" w:rsidRPr="006129D7" w:rsidRDefault="00B9655D" w:rsidP="0083799E">
            <w:pPr>
              <w:spacing w:line="240" w:lineRule="auto"/>
            </w:pPr>
            <w:r>
              <w:t>N=50</w:t>
            </w:r>
          </w:p>
        </w:tc>
        <w:tc>
          <w:tcPr>
            <w:tcW w:w="1768" w:type="dxa"/>
            <w:tcBorders>
              <w:top w:val="single" w:sz="4" w:space="0" w:color="auto"/>
              <w:left w:val="nil"/>
              <w:bottom w:val="nil"/>
              <w:right w:val="nil"/>
            </w:tcBorders>
          </w:tcPr>
          <w:p w14:paraId="6D99E18D" w14:textId="77777777" w:rsidR="00B9655D" w:rsidRDefault="00B9655D" w:rsidP="0083799E">
            <w:pPr>
              <w:spacing w:line="240" w:lineRule="auto"/>
            </w:pPr>
            <w:r>
              <w:t>N=27</w:t>
            </w:r>
          </w:p>
        </w:tc>
        <w:tc>
          <w:tcPr>
            <w:tcW w:w="1768" w:type="dxa"/>
            <w:tcBorders>
              <w:top w:val="single" w:sz="4" w:space="0" w:color="auto"/>
              <w:left w:val="nil"/>
              <w:bottom w:val="nil"/>
              <w:right w:val="nil"/>
            </w:tcBorders>
          </w:tcPr>
          <w:p w14:paraId="436EC387" w14:textId="77777777" w:rsidR="00B9655D" w:rsidRDefault="00B9655D" w:rsidP="0083799E">
            <w:pPr>
              <w:spacing w:line="240" w:lineRule="auto"/>
            </w:pPr>
          </w:p>
        </w:tc>
      </w:tr>
      <w:tr w:rsidR="00B9655D" w:rsidRPr="00E2719C" w14:paraId="26E6D971" w14:textId="77777777" w:rsidTr="00EF39AF">
        <w:trPr>
          <w:trHeight w:val="417"/>
        </w:trPr>
        <w:tc>
          <w:tcPr>
            <w:tcW w:w="2887" w:type="dxa"/>
            <w:tcBorders>
              <w:top w:val="nil"/>
              <w:left w:val="nil"/>
              <w:bottom w:val="nil"/>
              <w:right w:val="nil"/>
            </w:tcBorders>
          </w:tcPr>
          <w:p w14:paraId="11AC2AB6" w14:textId="77777777" w:rsidR="00B9655D" w:rsidRDefault="00B9655D" w:rsidP="0083799E">
            <w:pPr>
              <w:spacing w:line="240" w:lineRule="auto"/>
            </w:pPr>
            <w:r>
              <w:t>Crude model</w:t>
            </w:r>
          </w:p>
        </w:tc>
        <w:tc>
          <w:tcPr>
            <w:tcW w:w="1767" w:type="dxa"/>
            <w:tcBorders>
              <w:top w:val="nil"/>
              <w:left w:val="nil"/>
              <w:bottom w:val="nil"/>
              <w:right w:val="nil"/>
            </w:tcBorders>
          </w:tcPr>
          <w:p w14:paraId="14EF42F0" w14:textId="77777777" w:rsidR="00B9655D" w:rsidRPr="006129D7" w:rsidRDefault="00B9655D" w:rsidP="0083799E">
            <w:pPr>
              <w:spacing w:line="240" w:lineRule="auto"/>
            </w:pPr>
            <w:r w:rsidRPr="006129D7">
              <w:t>Ref</w:t>
            </w:r>
          </w:p>
        </w:tc>
        <w:tc>
          <w:tcPr>
            <w:tcW w:w="1768" w:type="dxa"/>
            <w:tcBorders>
              <w:top w:val="nil"/>
              <w:left w:val="nil"/>
              <w:bottom w:val="nil"/>
              <w:right w:val="nil"/>
            </w:tcBorders>
          </w:tcPr>
          <w:p w14:paraId="39E7BB38" w14:textId="77777777" w:rsidR="00B9655D" w:rsidRDefault="00B9655D" w:rsidP="0083799E">
            <w:pPr>
              <w:spacing w:line="240" w:lineRule="auto"/>
            </w:pPr>
            <w:r>
              <w:t>1.9 (1.2-3.2)</w:t>
            </w:r>
          </w:p>
        </w:tc>
        <w:tc>
          <w:tcPr>
            <w:tcW w:w="1768" w:type="dxa"/>
            <w:tcBorders>
              <w:top w:val="nil"/>
              <w:left w:val="nil"/>
              <w:bottom w:val="nil"/>
              <w:right w:val="nil"/>
            </w:tcBorders>
          </w:tcPr>
          <w:p w14:paraId="0A061882" w14:textId="77777777" w:rsidR="00B9655D" w:rsidRDefault="00B9655D" w:rsidP="0083799E">
            <w:pPr>
              <w:spacing w:line="240" w:lineRule="auto"/>
            </w:pPr>
            <w:r>
              <w:t>0.01</w:t>
            </w:r>
          </w:p>
        </w:tc>
      </w:tr>
      <w:tr w:rsidR="00B9655D" w:rsidRPr="00E2719C" w14:paraId="67E7436B" w14:textId="77777777" w:rsidTr="00EF39AF">
        <w:trPr>
          <w:trHeight w:val="417"/>
        </w:trPr>
        <w:tc>
          <w:tcPr>
            <w:tcW w:w="2887" w:type="dxa"/>
            <w:tcBorders>
              <w:top w:val="nil"/>
              <w:left w:val="nil"/>
              <w:bottom w:val="single" w:sz="4" w:space="0" w:color="auto"/>
              <w:right w:val="nil"/>
            </w:tcBorders>
          </w:tcPr>
          <w:p w14:paraId="01308FF5" w14:textId="77777777" w:rsidR="00B9655D" w:rsidRDefault="00B9655D" w:rsidP="0083799E">
            <w:pPr>
              <w:spacing w:line="240" w:lineRule="auto"/>
            </w:pPr>
            <w:r>
              <w:t>Multivariable adjusted</w:t>
            </w:r>
            <w:r>
              <w:rPr>
                <w:vertAlign w:val="superscript"/>
              </w:rPr>
              <w:t>*</w:t>
            </w:r>
          </w:p>
        </w:tc>
        <w:tc>
          <w:tcPr>
            <w:tcW w:w="1767" w:type="dxa"/>
            <w:tcBorders>
              <w:top w:val="nil"/>
              <w:left w:val="nil"/>
              <w:bottom w:val="single" w:sz="4" w:space="0" w:color="auto"/>
              <w:right w:val="nil"/>
            </w:tcBorders>
          </w:tcPr>
          <w:p w14:paraId="3F0F5D8E" w14:textId="77777777" w:rsidR="00B9655D" w:rsidRPr="006129D7" w:rsidRDefault="00B9655D" w:rsidP="0083799E">
            <w:pPr>
              <w:spacing w:line="240" w:lineRule="auto"/>
            </w:pPr>
            <w:r w:rsidRPr="006129D7">
              <w:t>Ref</w:t>
            </w:r>
          </w:p>
        </w:tc>
        <w:tc>
          <w:tcPr>
            <w:tcW w:w="1768" w:type="dxa"/>
            <w:tcBorders>
              <w:top w:val="nil"/>
              <w:left w:val="nil"/>
              <w:bottom w:val="single" w:sz="4" w:space="0" w:color="auto"/>
              <w:right w:val="nil"/>
            </w:tcBorders>
          </w:tcPr>
          <w:p w14:paraId="4B84E93A" w14:textId="735E5F0F" w:rsidR="00B9655D" w:rsidRDefault="00B9655D" w:rsidP="00A2569D">
            <w:pPr>
              <w:spacing w:line="240" w:lineRule="auto"/>
            </w:pPr>
            <w:r>
              <w:t>1.9 (1.1-3.</w:t>
            </w:r>
            <w:r w:rsidR="00FC3BC3">
              <w:t>2</w:t>
            </w:r>
            <w:r>
              <w:t>)</w:t>
            </w:r>
          </w:p>
        </w:tc>
        <w:tc>
          <w:tcPr>
            <w:tcW w:w="1768" w:type="dxa"/>
            <w:tcBorders>
              <w:top w:val="nil"/>
              <w:left w:val="nil"/>
              <w:bottom w:val="single" w:sz="4" w:space="0" w:color="auto"/>
              <w:right w:val="nil"/>
            </w:tcBorders>
          </w:tcPr>
          <w:p w14:paraId="44F436CE" w14:textId="0671AAD4" w:rsidR="00B9655D" w:rsidRDefault="00B9655D" w:rsidP="0083799E">
            <w:pPr>
              <w:spacing w:line="240" w:lineRule="auto"/>
            </w:pPr>
            <w:r>
              <w:t>0.0</w:t>
            </w:r>
            <w:r w:rsidR="00FC3BC3">
              <w:t>3</w:t>
            </w:r>
          </w:p>
        </w:tc>
      </w:tr>
    </w:tbl>
    <w:p w14:paraId="3C843348" w14:textId="2D60E955" w:rsidR="00CD2686" w:rsidRDefault="00CD2686" w:rsidP="0083799E"/>
    <w:p w14:paraId="79E41D38" w14:textId="7BCE8AD5" w:rsidR="00CD2686" w:rsidRDefault="00CD2686" w:rsidP="00837E94">
      <w:pPr>
        <w:pStyle w:val="Caption"/>
        <w:suppressLineNumbers/>
      </w:pPr>
      <w:bookmarkStart w:id="8" w:name="_Ref7962140"/>
      <w:r>
        <w:lastRenderedPageBreak/>
        <w:t xml:space="preserve">Table </w:t>
      </w:r>
      <w:r w:rsidR="00296C2F">
        <w:fldChar w:fldCharType="begin"/>
      </w:r>
      <w:r w:rsidR="00296C2F">
        <w:instrText xml:space="preserve"> SEQ Table \* ARABIC </w:instrText>
      </w:r>
      <w:r w:rsidR="00296C2F">
        <w:fldChar w:fldCharType="separate"/>
      </w:r>
      <w:r w:rsidR="00C21CFF">
        <w:rPr>
          <w:noProof/>
        </w:rPr>
        <w:t>3</w:t>
      </w:r>
      <w:r w:rsidR="00296C2F">
        <w:rPr>
          <w:noProof/>
        </w:rPr>
        <w:fldChar w:fldCharType="end"/>
      </w:r>
      <w:bookmarkEnd w:id="8"/>
      <w:r>
        <w:t xml:space="preserve"> - Secondary outcomes</w:t>
      </w:r>
    </w:p>
    <w:tbl>
      <w:tblPr>
        <w:tblStyle w:val="TableGrid"/>
        <w:tblW w:w="5000" w:type="pct"/>
        <w:tblLook w:val="04A0" w:firstRow="1" w:lastRow="0" w:firstColumn="1" w:lastColumn="0" w:noHBand="0" w:noVBand="1"/>
      </w:tblPr>
      <w:tblGrid>
        <w:gridCol w:w="4554"/>
        <w:gridCol w:w="1356"/>
        <w:gridCol w:w="1392"/>
        <w:gridCol w:w="1392"/>
        <w:gridCol w:w="1387"/>
        <w:gridCol w:w="1392"/>
        <w:gridCol w:w="1392"/>
        <w:gridCol w:w="1085"/>
      </w:tblGrid>
      <w:tr w:rsidR="00CD2686" w:rsidRPr="0069789C" w14:paraId="2FCA095E" w14:textId="77777777" w:rsidTr="00D04636">
        <w:trPr>
          <w:trHeight w:val="413"/>
        </w:trPr>
        <w:tc>
          <w:tcPr>
            <w:tcW w:w="1632" w:type="pct"/>
            <w:vMerge w:val="restart"/>
            <w:vAlign w:val="center"/>
          </w:tcPr>
          <w:p w14:paraId="36B01EB5" w14:textId="77777777" w:rsidR="00CD2686" w:rsidRPr="000406C1" w:rsidRDefault="00CD2686" w:rsidP="0083799E">
            <w:pPr>
              <w:spacing w:line="240" w:lineRule="auto"/>
            </w:pPr>
          </w:p>
        </w:tc>
        <w:tc>
          <w:tcPr>
            <w:tcW w:w="1484" w:type="pct"/>
            <w:gridSpan w:val="3"/>
            <w:vAlign w:val="center"/>
          </w:tcPr>
          <w:p w14:paraId="1D96DF85" w14:textId="77777777" w:rsidR="00CD2686" w:rsidRPr="00D40F04" w:rsidRDefault="00CD2686" w:rsidP="00D40F04">
            <w:pPr>
              <w:spacing w:line="240" w:lineRule="auto"/>
              <w:jc w:val="center"/>
              <w:rPr>
                <w:b/>
                <w:bCs/>
              </w:rPr>
            </w:pPr>
            <w:r w:rsidRPr="00D40F04">
              <w:rPr>
                <w:b/>
                <w:bCs/>
              </w:rPr>
              <w:t>Azithromycin</w:t>
            </w:r>
          </w:p>
        </w:tc>
        <w:tc>
          <w:tcPr>
            <w:tcW w:w="1495" w:type="pct"/>
            <w:gridSpan w:val="3"/>
            <w:vAlign w:val="center"/>
          </w:tcPr>
          <w:p w14:paraId="4009BC05" w14:textId="77777777" w:rsidR="00CD2686" w:rsidRPr="00D40F04" w:rsidRDefault="00CD2686" w:rsidP="00D40F04">
            <w:pPr>
              <w:spacing w:line="240" w:lineRule="auto"/>
              <w:jc w:val="center"/>
              <w:rPr>
                <w:b/>
                <w:bCs/>
              </w:rPr>
            </w:pPr>
            <w:r w:rsidRPr="00D40F04">
              <w:rPr>
                <w:b/>
                <w:bCs/>
              </w:rPr>
              <w:t>Ciprofloxacin</w:t>
            </w:r>
          </w:p>
        </w:tc>
        <w:tc>
          <w:tcPr>
            <w:tcW w:w="389" w:type="pct"/>
            <w:vAlign w:val="center"/>
          </w:tcPr>
          <w:p w14:paraId="507EE954" w14:textId="77777777" w:rsidR="00CD2686" w:rsidRPr="0069789C" w:rsidRDefault="00CD2686" w:rsidP="0083799E">
            <w:pPr>
              <w:spacing w:line="240" w:lineRule="auto"/>
            </w:pPr>
          </w:p>
        </w:tc>
      </w:tr>
      <w:tr w:rsidR="00CD2686" w:rsidRPr="00E2719C" w14:paraId="4456BE33" w14:textId="77777777" w:rsidTr="00D40F04">
        <w:trPr>
          <w:trHeight w:val="256"/>
        </w:trPr>
        <w:tc>
          <w:tcPr>
            <w:tcW w:w="1632" w:type="pct"/>
            <w:vMerge/>
            <w:vAlign w:val="center"/>
          </w:tcPr>
          <w:p w14:paraId="74D62A6B" w14:textId="77777777" w:rsidR="00CD2686" w:rsidRPr="000406C1" w:rsidRDefault="00CD2686" w:rsidP="0083799E">
            <w:pPr>
              <w:spacing w:line="240" w:lineRule="auto"/>
            </w:pPr>
          </w:p>
        </w:tc>
        <w:tc>
          <w:tcPr>
            <w:tcW w:w="486" w:type="pct"/>
            <w:vAlign w:val="center"/>
          </w:tcPr>
          <w:p w14:paraId="6BB859BB" w14:textId="77777777" w:rsidR="00192445" w:rsidRDefault="00CD2686" w:rsidP="00192445">
            <w:pPr>
              <w:spacing w:line="240" w:lineRule="auto"/>
              <w:jc w:val="center"/>
            </w:pPr>
            <w:r w:rsidRPr="00E2719C">
              <w:t>All</w:t>
            </w:r>
            <w:r>
              <w:t xml:space="preserve"> </w:t>
            </w:r>
          </w:p>
          <w:p w14:paraId="572651D1" w14:textId="755F7FD7" w:rsidR="00CD2686" w:rsidRPr="00E2719C" w:rsidRDefault="00CD2686" w:rsidP="00D40F04">
            <w:pPr>
              <w:spacing w:line="240" w:lineRule="auto"/>
              <w:jc w:val="center"/>
            </w:pPr>
            <w:r>
              <w:t>(N=52)</w:t>
            </w:r>
          </w:p>
        </w:tc>
        <w:tc>
          <w:tcPr>
            <w:tcW w:w="499" w:type="pct"/>
            <w:vAlign w:val="center"/>
          </w:tcPr>
          <w:p w14:paraId="741D9E02" w14:textId="77777777" w:rsidR="00CD2686" w:rsidRPr="00E2719C" w:rsidRDefault="00CD2686" w:rsidP="00D40F04">
            <w:pPr>
              <w:spacing w:line="240" w:lineRule="auto"/>
              <w:jc w:val="center"/>
            </w:pPr>
            <w:r w:rsidRPr="00E2719C">
              <w:t>Study A</w:t>
            </w:r>
            <w:r>
              <w:t xml:space="preserve"> (N=32)</w:t>
            </w:r>
          </w:p>
        </w:tc>
        <w:tc>
          <w:tcPr>
            <w:tcW w:w="499" w:type="pct"/>
            <w:vAlign w:val="center"/>
          </w:tcPr>
          <w:p w14:paraId="2F439FD3" w14:textId="77777777" w:rsidR="00CD2686" w:rsidRPr="00E2719C" w:rsidRDefault="00CD2686" w:rsidP="00D40F04">
            <w:pPr>
              <w:spacing w:line="240" w:lineRule="auto"/>
              <w:jc w:val="center"/>
            </w:pPr>
            <w:r w:rsidRPr="00E2719C">
              <w:t>Study B</w:t>
            </w:r>
            <w:r>
              <w:t xml:space="preserve"> (N=20)</w:t>
            </w:r>
          </w:p>
        </w:tc>
        <w:tc>
          <w:tcPr>
            <w:tcW w:w="497" w:type="pct"/>
            <w:vAlign w:val="center"/>
          </w:tcPr>
          <w:p w14:paraId="242DA104" w14:textId="77777777" w:rsidR="00192445" w:rsidRDefault="00CD2686" w:rsidP="00192445">
            <w:pPr>
              <w:spacing w:line="240" w:lineRule="auto"/>
              <w:jc w:val="center"/>
            </w:pPr>
            <w:r w:rsidRPr="00E2719C">
              <w:t>All</w:t>
            </w:r>
            <w:r>
              <w:t xml:space="preserve"> </w:t>
            </w:r>
          </w:p>
          <w:p w14:paraId="5057271C" w14:textId="1A575A3D" w:rsidR="00CD2686" w:rsidRPr="00E2719C" w:rsidRDefault="00CD2686" w:rsidP="00D40F04">
            <w:pPr>
              <w:spacing w:line="240" w:lineRule="auto"/>
              <w:jc w:val="center"/>
            </w:pPr>
            <w:r>
              <w:t>(N=29)</w:t>
            </w:r>
          </w:p>
        </w:tc>
        <w:tc>
          <w:tcPr>
            <w:tcW w:w="499" w:type="pct"/>
            <w:vAlign w:val="center"/>
          </w:tcPr>
          <w:p w14:paraId="3A84459F" w14:textId="77777777" w:rsidR="00CD2686" w:rsidRPr="00E2719C" w:rsidRDefault="00CD2686" w:rsidP="00D40F04">
            <w:pPr>
              <w:spacing w:line="240" w:lineRule="auto"/>
              <w:jc w:val="center"/>
            </w:pPr>
            <w:r w:rsidRPr="00E2719C">
              <w:t>Study A</w:t>
            </w:r>
            <w:r>
              <w:t xml:space="preserve"> (N=18)</w:t>
            </w:r>
          </w:p>
        </w:tc>
        <w:tc>
          <w:tcPr>
            <w:tcW w:w="499" w:type="pct"/>
            <w:vAlign w:val="center"/>
          </w:tcPr>
          <w:p w14:paraId="7F6FC68A" w14:textId="77777777" w:rsidR="00CD2686" w:rsidRPr="00E2719C" w:rsidRDefault="00CD2686" w:rsidP="00D40F04">
            <w:pPr>
              <w:spacing w:line="240" w:lineRule="auto"/>
              <w:jc w:val="center"/>
            </w:pPr>
            <w:r w:rsidRPr="00E2719C">
              <w:t>Study B</w:t>
            </w:r>
            <w:r>
              <w:t xml:space="preserve"> (N=11)</w:t>
            </w:r>
          </w:p>
        </w:tc>
        <w:tc>
          <w:tcPr>
            <w:tcW w:w="389" w:type="pct"/>
            <w:vAlign w:val="center"/>
          </w:tcPr>
          <w:p w14:paraId="7E209DE8" w14:textId="11D831CB" w:rsidR="00CD2686" w:rsidRPr="00D40F04" w:rsidRDefault="00CD2686" w:rsidP="00D40F04">
            <w:pPr>
              <w:spacing w:line="240" w:lineRule="auto"/>
              <w:jc w:val="center"/>
              <w:rPr>
                <w:vertAlign w:val="superscript"/>
              </w:rPr>
            </w:pPr>
            <w:r>
              <w:t>P value</w:t>
            </w:r>
            <w:r w:rsidR="00F17126">
              <w:rPr>
                <w:vertAlign w:val="superscript"/>
              </w:rPr>
              <w:t>*</w:t>
            </w:r>
          </w:p>
        </w:tc>
      </w:tr>
      <w:tr w:rsidR="00CD2686" w:rsidRPr="00E2719C" w14:paraId="78135975" w14:textId="77777777" w:rsidTr="00D40F04">
        <w:trPr>
          <w:trHeight w:val="416"/>
        </w:trPr>
        <w:tc>
          <w:tcPr>
            <w:tcW w:w="1632" w:type="pct"/>
            <w:vAlign w:val="center"/>
          </w:tcPr>
          <w:p w14:paraId="4ECB7A2D" w14:textId="77777777" w:rsidR="00CD2686" w:rsidRPr="00D40F04" w:rsidRDefault="00CD2686" w:rsidP="0083799E">
            <w:pPr>
              <w:spacing w:line="240" w:lineRule="auto"/>
              <w:rPr>
                <w:b/>
                <w:bCs/>
              </w:rPr>
            </w:pPr>
            <w:r w:rsidRPr="00D40F04">
              <w:rPr>
                <w:b/>
                <w:bCs/>
              </w:rPr>
              <w:t>Prolonged Treatment Response</w:t>
            </w:r>
          </w:p>
        </w:tc>
        <w:tc>
          <w:tcPr>
            <w:tcW w:w="486" w:type="pct"/>
            <w:vAlign w:val="center"/>
          </w:tcPr>
          <w:p w14:paraId="6F1AED68" w14:textId="77777777" w:rsidR="00CD2686" w:rsidRPr="00C361EC" w:rsidRDefault="00CD2686" w:rsidP="00D40F04">
            <w:pPr>
              <w:spacing w:line="240" w:lineRule="auto"/>
              <w:jc w:val="center"/>
            </w:pPr>
          </w:p>
        </w:tc>
        <w:tc>
          <w:tcPr>
            <w:tcW w:w="499" w:type="pct"/>
            <w:vAlign w:val="center"/>
          </w:tcPr>
          <w:p w14:paraId="77129F8C" w14:textId="77777777" w:rsidR="00CD2686" w:rsidRPr="00C361EC" w:rsidRDefault="00CD2686" w:rsidP="00D40F04">
            <w:pPr>
              <w:spacing w:line="240" w:lineRule="auto"/>
              <w:jc w:val="center"/>
            </w:pPr>
          </w:p>
        </w:tc>
        <w:tc>
          <w:tcPr>
            <w:tcW w:w="499" w:type="pct"/>
            <w:vAlign w:val="center"/>
          </w:tcPr>
          <w:p w14:paraId="207FA5F0" w14:textId="77777777" w:rsidR="00CD2686" w:rsidRPr="00C361EC" w:rsidRDefault="00CD2686" w:rsidP="00D40F04">
            <w:pPr>
              <w:spacing w:line="240" w:lineRule="auto"/>
              <w:jc w:val="center"/>
            </w:pPr>
          </w:p>
        </w:tc>
        <w:tc>
          <w:tcPr>
            <w:tcW w:w="497" w:type="pct"/>
            <w:vAlign w:val="center"/>
          </w:tcPr>
          <w:p w14:paraId="5C0DA733" w14:textId="77777777" w:rsidR="00CD2686" w:rsidRPr="00C361EC" w:rsidRDefault="00CD2686" w:rsidP="00D40F04">
            <w:pPr>
              <w:spacing w:line="240" w:lineRule="auto"/>
              <w:jc w:val="center"/>
            </w:pPr>
          </w:p>
        </w:tc>
        <w:tc>
          <w:tcPr>
            <w:tcW w:w="499" w:type="pct"/>
            <w:vAlign w:val="center"/>
          </w:tcPr>
          <w:p w14:paraId="12D44684" w14:textId="77777777" w:rsidR="00CD2686" w:rsidRPr="00C361EC" w:rsidRDefault="00CD2686" w:rsidP="00D40F04">
            <w:pPr>
              <w:spacing w:line="240" w:lineRule="auto"/>
              <w:jc w:val="center"/>
            </w:pPr>
          </w:p>
        </w:tc>
        <w:tc>
          <w:tcPr>
            <w:tcW w:w="499" w:type="pct"/>
            <w:vAlign w:val="center"/>
          </w:tcPr>
          <w:p w14:paraId="74A1FA82" w14:textId="77777777" w:rsidR="00CD2686" w:rsidRPr="00C361EC" w:rsidRDefault="00CD2686" w:rsidP="00D40F04">
            <w:pPr>
              <w:spacing w:line="240" w:lineRule="auto"/>
              <w:jc w:val="center"/>
            </w:pPr>
          </w:p>
        </w:tc>
        <w:tc>
          <w:tcPr>
            <w:tcW w:w="389" w:type="pct"/>
            <w:vAlign w:val="center"/>
          </w:tcPr>
          <w:p w14:paraId="05145527" w14:textId="77777777" w:rsidR="00CD2686" w:rsidRPr="00C361EC" w:rsidRDefault="00CD2686" w:rsidP="00D40F04">
            <w:pPr>
              <w:spacing w:line="240" w:lineRule="auto"/>
              <w:jc w:val="center"/>
            </w:pPr>
          </w:p>
        </w:tc>
      </w:tr>
      <w:tr w:rsidR="00CD2686" w:rsidRPr="00E2719C" w14:paraId="0712BF46" w14:textId="77777777" w:rsidTr="00D40F04">
        <w:trPr>
          <w:trHeight w:val="547"/>
        </w:trPr>
        <w:tc>
          <w:tcPr>
            <w:tcW w:w="1632" w:type="pct"/>
            <w:vAlign w:val="center"/>
          </w:tcPr>
          <w:p w14:paraId="195BE8B9" w14:textId="77777777" w:rsidR="00CD2686" w:rsidRPr="00C361EC" w:rsidRDefault="00CD2686" w:rsidP="0083799E">
            <w:pPr>
              <w:spacing w:line="240" w:lineRule="auto"/>
            </w:pPr>
            <w:r w:rsidRPr="00C361EC">
              <w:t xml:space="preserve">Total number of participants with prolonged treatment responses </w:t>
            </w:r>
          </w:p>
        </w:tc>
        <w:tc>
          <w:tcPr>
            <w:tcW w:w="486" w:type="pct"/>
            <w:vAlign w:val="center"/>
          </w:tcPr>
          <w:p w14:paraId="75FBC790" w14:textId="51B33B8A" w:rsidR="00CD2686" w:rsidRPr="00C361EC" w:rsidRDefault="00CD2686" w:rsidP="00D40F04">
            <w:pPr>
              <w:spacing w:line="240" w:lineRule="auto"/>
              <w:jc w:val="center"/>
            </w:pPr>
            <w:r>
              <w:t>28 (53.</w:t>
            </w:r>
            <w:r w:rsidR="007A00A3">
              <w:t>8</w:t>
            </w:r>
            <w:r>
              <w:t>%)</w:t>
            </w:r>
          </w:p>
        </w:tc>
        <w:tc>
          <w:tcPr>
            <w:tcW w:w="499" w:type="pct"/>
            <w:vAlign w:val="center"/>
          </w:tcPr>
          <w:p w14:paraId="5723CEA8" w14:textId="77777777" w:rsidR="00CD2686" w:rsidRPr="00C361EC" w:rsidRDefault="00CD2686" w:rsidP="00D40F04">
            <w:pPr>
              <w:spacing w:line="240" w:lineRule="auto"/>
              <w:jc w:val="center"/>
            </w:pPr>
            <w:r>
              <w:t>18 (56.3%)</w:t>
            </w:r>
          </w:p>
        </w:tc>
        <w:tc>
          <w:tcPr>
            <w:tcW w:w="499" w:type="pct"/>
            <w:vAlign w:val="center"/>
          </w:tcPr>
          <w:p w14:paraId="13BBD9E0" w14:textId="77777777" w:rsidR="00CD2686" w:rsidRPr="00C361EC" w:rsidRDefault="00CD2686" w:rsidP="00D40F04">
            <w:pPr>
              <w:spacing w:line="240" w:lineRule="auto"/>
              <w:jc w:val="center"/>
            </w:pPr>
            <w:r>
              <w:t>10 (50.0%)</w:t>
            </w:r>
          </w:p>
        </w:tc>
        <w:tc>
          <w:tcPr>
            <w:tcW w:w="497" w:type="pct"/>
            <w:vAlign w:val="center"/>
          </w:tcPr>
          <w:p w14:paraId="28A22DDC" w14:textId="640003A2" w:rsidR="00CD2686" w:rsidRPr="00C361EC" w:rsidRDefault="00CD2686" w:rsidP="00D40F04">
            <w:pPr>
              <w:spacing w:line="240" w:lineRule="auto"/>
              <w:jc w:val="center"/>
            </w:pPr>
            <w:r w:rsidRPr="00C361EC">
              <w:t>1 (3.</w:t>
            </w:r>
            <w:r w:rsidR="007A00A3">
              <w:t>4</w:t>
            </w:r>
            <w:r w:rsidRPr="00C361EC">
              <w:t>%)</w:t>
            </w:r>
          </w:p>
        </w:tc>
        <w:tc>
          <w:tcPr>
            <w:tcW w:w="499" w:type="pct"/>
            <w:vAlign w:val="center"/>
          </w:tcPr>
          <w:p w14:paraId="70C60F56" w14:textId="77777777" w:rsidR="00CD2686" w:rsidRPr="00C361EC" w:rsidRDefault="00CD2686" w:rsidP="00D40F04">
            <w:pPr>
              <w:spacing w:line="240" w:lineRule="auto"/>
              <w:jc w:val="center"/>
            </w:pPr>
            <w:r>
              <w:t>0 (0%)</w:t>
            </w:r>
          </w:p>
        </w:tc>
        <w:tc>
          <w:tcPr>
            <w:tcW w:w="499" w:type="pct"/>
            <w:vAlign w:val="center"/>
          </w:tcPr>
          <w:p w14:paraId="79473BD7" w14:textId="77777777" w:rsidR="00CD2686" w:rsidRPr="00C361EC" w:rsidRDefault="00CD2686" w:rsidP="00D40F04">
            <w:pPr>
              <w:spacing w:line="240" w:lineRule="auto"/>
              <w:jc w:val="center"/>
            </w:pPr>
            <w:r>
              <w:t>1 (9.1%)</w:t>
            </w:r>
          </w:p>
        </w:tc>
        <w:tc>
          <w:tcPr>
            <w:tcW w:w="389" w:type="pct"/>
            <w:vAlign w:val="center"/>
          </w:tcPr>
          <w:p w14:paraId="3CCFB2FF" w14:textId="77777777" w:rsidR="00CD2686" w:rsidRPr="00C361EC" w:rsidRDefault="00CD2686" w:rsidP="00D40F04">
            <w:pPr>
              <w:spacing w:line="240" w:lineRule="auto"/>
              <w:jc w:val="center"/>
            </w:pPr>
            <w:r>
              <w:t>&lt;0.001</w:t>
            </w:r>
          </w:p>
        </w:tc>
      </w:tr>
      <w:tr w:rsidR="00CD2686" w:rsidRPr="00E2719C" w14:paraId="1851647B" w14:textId="77777777" w:rsidTr="00D40F04">
        <w:trPr>
          <w:trHeight w:val="547"/>
        </w:trPr>
        <w:tc>
          <w:tcPr>
            <w:tcW w:w="1632" w:type="pct"/>
            <w:vAlign w:val="center"/>
          </w:tcPr>
          <w:p w14:paraId="7540A3B6" w14:textId="77777777" w:rsidR="00CD2686" w:rsidRPr="00C361EC" w:rsidRDefault="00CD2686" w:rsidP="0083799E">
            <w:pPr>
              <w:spacing w:line="240" w:lineRule="auto"/>
            </w:pPr>
            <w:r w:rsidRPr="00C361EC">
              <w:t xml:space="preserve">Positive blood culture with </w:t>
            </w:r>
            <w:r w:rsidRPr="00C361EC">
              <w:rPr>
                <w:i/>
              </w:rPr>
              <w:t>S</w:t>
            </w:r>
            <w:r w:rsidRPr="00C361EC">
              <w:t>. Typhi for ≥72 hours after commencing antibiotics</w:t>
            </w:r>
          </w:p>
        </w:tc>
        <w:tc>
          <w:tcPr>
            <w:tcW w:w="486" w:type="pct"/>
            <w:vAlign w:val="center"/>
          </w:tcPr>
          <w:p w14:paraId="4BD581AA" w14:textId="77777777" w:rsidR="00CD2686" w:rsidRPr="00C361EC" w:rsidRDefault="00CD2686" w:rsidP="00D40F04">
            <w:pPr>
              <w:spacing w:line="240" w:lineRule="auto"/>
              <w:jc w:val="center"/>
            </w:pPr>
            <w:r>
              <w:t>27</w:t>
            </w:r>
            <w:r w:rsidRPr="00C361EC">
              <w:t xml:space="preserve"> (</w:t>
            </w:r>
            <w:r>
              <w:t>51.9</w:t>
            </w:r>
            <w:r w:rsidRPr="00C361EC">
              <w:t>%)</w:t>
            </w:r>
          </w:p>
        </w:tc>
        <w:tc>
          <w:tcPr>
            <w:tcW w:w="499" w:type="pct"/>
            <w:vAlign w:val="center"/>
          </w:tcPr>
          <w:p w14:paraId="58DC3D09" w14:textId="77777777" w:rsidR="00CD2686" w:rsidRPr="00C361EC" w:rsidRDefault="00CD2686" w:rsidP="00D40F04">
            <w:pPr>
              <w:spacing w:line="240" w:lineRule="auto"/>
              <w:jc w:val="center"/>
            </w:pPr>
            <w:r>
              <w:t>18 (56.3%)</w:t>
            </w:r>
          </w:p>
        </w:tc>
        <w:tc>
          <w:tcPr>
            <w:tcW w:w="499" w:type="pct"/>
            <w:vAlign w:val="center"/>
          </w:tcPr>
          <w:p w14:paraId="141E59CA" w14:textId="77777777" w:rsidR="00CD2686" w:rsidRPr="00C361EC" w:rsidRDefault="00CD2686" w:rsidP="00D40F04">
            <w:pPr>
              <w:spacing w:line="240" w:lineRule="auto"/>
              <w:jc w:val="center"/>
            </w:pPr>
            <w:r>
              <w:t>9 (45.0%)</w:t>
            </w:r>
          </w:p>
        </w:tc>
        <w:tc>
          <w:tcPr>
            <w:tcW w:w="497" w:type="pct"/>
            <w:vAlign w:val="center"/>
          </w:tcPr>
          <w:p w14:paraId="6B6753DA" w14:textId="77777777" w:rsidR="00CD2686" w:rsidRPr="00C361EC" w:rsidRDefault="00CD2686" w:rsidP="00D40F04">
            <w:pPr>
              <w:spacing w:line="240" w:lineRule="auto"/>
              <w:jc w:val="center"/>
            </w:pPr>
            <w:r w:rsidRPr="00C361EC">
              <w:t>1 (3.4%)</w:t>
            </w:r>
          </w:p>
        </w:tc>
        <w:tc>
          <w:tcPr>
            <w:tcW w:w="499" w:type="pct"/>
            <w:vAlign w:val="center"/>
          </w:tcPr>
          <w:p w14:paraId="7608B83F" w14:textId="77777777" w:rsidR="00CD2686" w:rsidRPr="00C361EC" w:rsidRDefault="00CD2686" w:rsidP="00D40F04">
            <w:pPr>
              <w:spacing w:line="240" w:lineRule="auto"/>
              <w:jc w:val="center"/>
            </w:pPr>
            <w:r>
              <w:t>0 (0%)</w:t>
            </w:r>
          </w:p>
        </w:tc>
        <w:tc>
          <w:tcPr>
            <w:tcW w:w="499" w:type="pct"/>
            <w:vAlign w:val="center"/>
          </w:tcPr>
          <w:p w14:paraId="47913203" w14:textId="77777777" w:rsidR="00CD2686" w:rsidRPr="00C361EC" w:rsidRDefault="00CD2686" w:rsidP="00D40F04">
            <w:pPr>
              <w:spacing w:line="240" w:lineRule="auto"/>
              <w:jc w:val="center"/>
            </w:pPr>
            <w:r>
              <w:t>1 (9.1%)</w:t>
            </w:r>
          </w:p>
        </w:tc>
        <w:tc>
          <w:tcPr>
            <w:tcW w:w="389" w:type="pct"/>
            <w:vAlign w:val="center"/>
          </w:tcPr>
          <w:p w14:paraId="283870F0" w14:textId="77777777" w:rsidR="00CD2686" w:rsidRPr="00C361EC" w:rsidRDefault="00CD2686" w:rsidP="00D40F04">
            <w:pPr>
              <w:spacing w:line="240" w:lineRule="auto"/>
              <w:jc w:val="center"/>
            </w:pPr>
            <w:r>
              <w:t>&lt;0.001</w:t>
            </w:r>
          </w:p>
        </w:tc>
      </w:tr>
      <w:tr w:rsidR="00CD2686" w:rsidRPr="00E2719C" w14:paraId="73F42C1C" w14:textId="77777777" w:rsidTr="00D40F04">
        <w:trPr>
          <w:trHeight w:val="416"/>
        </w:trPr>
        <w:tc>
          <w:tcPr>
            <w:tcW w:w="1632" w:type="pct"/>
            <w:vAlign w:val="center"/>
          </w:tcPr>
          <w:p w14:paraId="05888C7E" w14:textId="77777777" w:rsidR="00CD2686" w:rsidRPr="00C361EC" w:rsidRDefault="00CD2686" w:rsidP="0083799E">
            <w:pPr>
              <w:spacing w:line="240" w:lineRule="auto"/>
            </w:pPr>
            <w:r w:rsidRPr="00C361EC">
              <w:t>Persistent fever ≥38°C for ≥72 hours</w:t>
            </w:r>
          </w:p>
        </w:tc>
        <w:tc>
          <w:tcPr>
            <w:tcW w:w="486" w:type="pct"/>
            <w:vAlign w:val="center"/>
          </w:tcPr>
          <w:p w14:paraId="62826E07" w14:textId="77777777" w:rsidR="00CD2686" w:rsidRPr="00C361EC" w:rsidRDefault="00CD2686" w:rsidP="00D40F04">
            <w:pPr>
              <w:spacing w:line="240" w:lineRule="auto"/>
              <w:jc w:val="center"/>
            </w:pPr>
            <w:r>
              <w:t>13</w:t>
            </w:r>
            <w:r w:rsidRPr="00C361EC">
              <w:t xml:space="preserve"> (</w:t>
            </w:r>
            <w:r>
              <w:t>25.0</w:t>
            </w:r>
            <w:r w:rsidRPr="00C361EC">
              <w:t>%)</w:t>
            </w:r>
          </w:p>
        </w:tc>
        <w:tc>
          <w:tcPr>
            <w:tcW w:w="499" w:type="pct"/>
            <w:vAlign w:val="center"/>
          </w:tcPr>
          <w:p w14:paraId="40C3DB7C" w14:textId="77777777" w:rsidR="00CD2686" w:rsidRPr="00C361EC" w:rsidRDefault="00CD2686" w:rsidP="00D40F04">
            <w:pPr>
              <w:spacing w:line="240" w:lineRule="auto"/>
              <w:jc w:val="center"/>
            </w:pPr>
            <w:r>
              <w:t>8 (25.0%)</w:t>
            </w:r>
          </w:p>
        </w:tc>
        <w:tc>
          <w:tcPr>
            <w:tcW w:w="499" w:type="pct"/>
            <w:vAlign w:val="center"/>
          </w:tcPr>
          <w:p w14:paraId="34C7EED4" w14:textId="77777777" w:rsidR="00CD2686" w:rsidRPr="00C361EC" w:rsidRDefault="00CD2686" w:rsidP="00D40F04">
            <w:pPr>
              <w:spacing w:line="240" w:lineRule="auto"/>
              <w:jc w:val="center"/>
            </w:pPr>
            <w:r>
              <w:t>5 (25.0%)</w:t>
            </w:r>
          </w:p>
        </w:tc>
        <w:tc>
          <w:tcPr>
            <w:tcW w:w="497" w:type="pct"/>
            <w:vAlign w:val="center"/>
          </w:tcPr>
          <w:p w14:paraId="7521F921" w14:textId="77777777" w:rsidR="00CD2686" w:rsidRPr="00C361EC" w:rsidRDefault="00CD2686" w:rsidP="00D40F04">
            <w:pPr>
              <w:spacing w:line="240" w:lineRule="auto"/>
              <w:jc w:val="center"/>
            </w:pPr>
            <w:r w:rsidRPr="00C361EC">
              <w:t>1 (3.4%)</w:t>
            </w:r>
          </w:p>
        </w:tc>
        <w:tc>
          <w:tcPr>
            <w:tcW w:w="499" w:type="pct"/>
            <w:vAlign w:val="center"/>
          </w:tcPr>
          <w:p w14:paraId="335F5715" w14:textId="77777777" w:rsidR="00CD2686" w:rsidRPr="00C361EC" w:rsidRDefault="00CD2686" w:rsidP="00D40F04">
            <w:pPr>
              <w:spacing w:line="240" w:lineRule="auto"/>
              <w:jc w:val="center"/>
            </w:pPr>
            <w:r>
              <w:t>0 (0%)</w:t>
            </w:r>
          </w:p>
        </w:tc>
        <w:tc>
          <w:tcPr>
            <w:tcW w:w="499" w:type="pct"/>
            <w:vAlign w:val="center"/>
          </w:tcPr>
          <w:p w14:paraId="6B9C9046" w14:textId="77777777" w:rsidR="00CD2686" w:rsidRPr="00C361EC" w:rsidRDefault="00CD2686" w:rsidP="00D40F04">
            <w:pPr>
              <w:spacing w:line="240" w:lineRule="auto"/>
              <w:jc w:val="center"/>
            </w:pPr>
            <w:r>
              <w:t>1 (9.1%)</w:t>
            </w:r>
          </w:p>
        </w:tc>
        <w:tc>
          <w:tcPr>
            <w:tcW w:w="389" w:type="pct"/>
            <w:vAlign w:val="center"/>
          </w:tcPr>
          <w:p w14:paraId="7057D0DA" w14:textId="77777777" w:rsidR="00CD2686" w:rsidRPr="00C361EC" w:rsidRDefault="00CD2686" w:rsidP="00D40F04">
            <w:pPr>
              <w:spacing w:line="240" w:lineRule="auto"/>
              <w:jc w:val="center"/>
            </w:pPr>
            <w:r>
              <w:t>0.02</w:t>
            </w:r>
          </w:p>
        </w:tc>
      </w:tr>
      <w:tr w:rsidR="00CD2686" w:rsidRPr="00E2719C" w14:paraId="7821F61B" w14:textId="77777777" w:rsidTr="00D40F04">
        <w:trPr>
          <w:trHeight w:val="547"/>
        </w:trPr>
        <w:tc>
          <w:tcPr>
            <w:tcW w:w="1632" w:type="pct"/>
            <w:vAlign w:val="center"/>
          </w:tcPr>
          <w:p w14:paraId="794D242E" w14:textId="77777777" w:rsidR="00CD2686" w:rsidRPr="00C361EC" w:rsidRDefault="00CD2686" w:rsidP="0083799E">
            <w:pPr>
              <w:spacing w:line="240" w:lineRule="auto"/>
            </w:pPr>
            <w:r w:rsidRPr="00C361EC">
              <w:t>Both positive blood culture and persistent fever ≥38°C for ≥72 hours</w:t>
            </w:r>
          </w:p>
        </w:tc>
        <w:tc>
          <w:tcPr>
            <w:tcW w:w="486" w:type="pct"/>
            <w:vAlign w:val="center"/>
          </w:tcPr>
          <w:p w14:paraId="1F71FC36" w14:textId="77777777" w:rsidR="00CD2686" w:rsidRPr="00C361EC" w:rsidRDefault="00CD2686" w:rsidP="00D40F04">
            <w:pPr>
              <w:spacing w:line="240" w:lineRule="auto"/>
              <w:jc w:val="center"/>
            </w:pPr>
            <w:r>
              <w:t>12 (23.1%)</w:t>
            </w:r>
          </w:p>
        </w:tc>
        <w:tc>
          <w:tcPr>
            <w:tcW w:w="499" w:type="pct"/>
            <w:vAlign w:val="center"/>
          </w:tcPr>
          <w:p w14:paraId="72E57510" w14:textId="77777777" w:rsidR="00CD2686" w:rsidRPr="00C361EC" w:rsidRDefault="00CD2686" w:rsidP="00D40F04">
            <w:pPr>
              <w:spacing w:line="240" w:lineRule="auto"/>
              <w:jc w:val="center"/>
            </w:pPr>
            <w:r>
              <w:t>8 (25.0%)</w:t>
            </w:r>
          </w:p>
        </w:tc>
        <w:tc>
          <w:tcPr>
            <w:tcW w:w="499" w:type="pct"/>
            <w:vAlign w:val="center"/>
          </w:tcPr>
          <w:p w14:paraId="67C8D1A8" w14:textId="77777777" w:rsidR="00CD2686" w:rsidRPr="00C361EC" w:rsidRDefault="00CD2686" w:rsidP="00D40F04">
            <w:pPr>
              <w:spacing w:line="240" w:lineRule="auto"/>
              <w:jc w:val="center"/>
            </w:pPr>
            <w:r>
              <w:t>4 (20.0%)</w:t>
            </w:r>
          </w:p>
        </w:tc>
        <w:tc>
          <w:tcPr>
            <w:tcW w:w="497" w:type="pct"/>
            <w:vAlign w:val="center"/>
          </w:tcPr>
          <w:p w14:paraId="1E201B23" w14:textId="77777777" w:rsidR="00CD2686" w:rsidRPr="00C361EC" w:rsidRDefault="00CD2686" w:rsidP="00D40F04">
            <w:pPr>
              <w:spacing w:line="240" w:lineRule="auto"/>
              <w:jc w:val="center"/>
            </w:pPr>
            <w:r w:rsidRPr="00C361EC">
              <w:t>1 (3.4%)</w:t>
            </w:r>
          </w:p>
        </w:tc>
        <w:tc>
          <w:tcPr>
            <w:tcW w:w="499" w:type="pct"/>
            <w:vAlign w:val="center"/>
          </w:tcPr>
          <w:p w14:paraId="50BDBFEB" w14:textId="77777777" w:rsidR="00CD2686" w:rsidRPr="00C361EC" w:rsidRDefault="00CD2686" w:rsidP="00D40F04">
            <w:pPr>
              <w:spacing w:line="240" w:lineRule="auto"/>
              <w:jc w:val="center"/>
            </w:pPr>
            <w:r>
              <w:t>0 (0%)</w:t>
            </w:r>
          </w:p>
        </w:tc>
        <w:tc>
          <w:tcPr>
            <w:tcW w:w="499" w:type="pct"/>
            <w:vAlign w:val="center"/>
          </w:tcPr>
          <w:p w14:paraId="1A7868AC" w14:textId="77777777" w:rsidR="00CD2686" w:rsidRPr="00C361EC" w:rsidRDefault="00CD2686" w:rsidP="00D40F04">
            <w:pPr>
              <w:spacing w:line="240" w:lineRule="auto"/>
              <w:jc w:val="center"/>
            </w:pPr>
            <w:r>
              <w:t>1 (9.1%)</w:t>
            </w:r>
          </w:p>
        </w:tc>
        <w:tc>
          <w:tcPr>
            <w:tcW w:w="389" w:type="pct"/>
            <w:vAlign w:val="center"/>
          </w:tcPr>
          <w:p w14:paraId="18546135" w14:textId="77777777" w:rsidR="00CD2686" w:rsidRPr="00C361EC" w:rsidRDefault="00CD2686" w:rsidP="00D40F04">
            <w:pPr>
              <w:spacing w:line="240" w:lineRule="auto"/>
              <w:jc w:val="center"/>
            </w:pPr>
            <w:r>
              <w:t>0.03</w:t>
            </w:r>
          </w:p>
        </w:tc>
      </w:tr>
      <w:tr w:rsidR="00CD2686" w:rsidRPr="00E2719C" w14:paraId="34E6D215" w14:textId="77777777" w:rsidTr="00D40F04">
        <w:trPr>
          <w:trHeight w:val="437"/>
        </w:trPr>
        <w:tc>
          <w:tcPr>
            <w:tcW w:w="1632" w:type="pct"/>
            <w:vAlign w:val="center"/>
          </w:tcPr>
          <w:p w14:paraId="1F8401B6" w14:textId="77777777" w:rsidR="00CD2686" w:rsidRPr="00D40F04" w:rsidRDefault="00CD2686" w:rsidP="00D40F04">
            <w:pPr>
              <w:spacing w:line="240" w:lineRule="auto"/>
              <w:jc w:val="left"/>
              <w:rPr>
                <w:b/>
                <w:bCs/>
              </w:rPr>
            </w:pPr>
            <w:r w:rsidRPr="00D40F04">
              <w:rPr>
                <w:b/>
                <w:bCs/>
              </w:rPr>
              <w:t>Treatment Change</w:t>
            </w:r>
          </w:p>
        </w:tc>
        <w:tc>
          <w:tcPr>
            <w:tcW w:w="486" w:type="pct"/>
            <w:vAlign w:val="center"/>
          </w:tcPr>
          <w:p w14:paraId="264263C8" w14:textId="77777777" w:rsidR="00CD2686" w:rsidRPr="00C361EC" w:rsidRDefault="00CD2686" w:rsidP="00D40F04">
            <w:pPr>
              <w:spacing w:line="240" w:lineRule="auto"/>
              <w:jc w:val="center"/>
            </w:pPr>
          </w:p>
        </w:tc>
        <w:tc>
          <w:tcPr>
            <w:tcW w:w="499" w:type="pct"/>
            <w:vAlign w:val="center"/>
          </w:tcPr>
          <w:p w14:paraId="5BFAC021" w14:textId="77777777" w:rsidR="00CD2686" w:rsidRPr="00C361EC" w:rsidRDefault="00CD2686" w:rsidP="00D40F04">
            <w:pPr>
              <w:spacing w:line="240" w:lineRule="auto"/>
              <w:jc w:val="center"/>
            </w:pPr>
          </w:p>
        </w:tc>
        <w:tc>
          <w:tcPr>
            <w:tcW w:w="499" w:type="pct"/>
            <w:vAlign w:val="center"/>
          </w:tcPr>
          <w:p w14:paraId="3DA98EFA" w14:textId="77777777" w:rsidR="00CD2686" w:rsidRPr="00C361EC" w:rsidRDefault="00CD2686" w:rsidP="00D40F04">
            <w:pPr>
              <w:spacing w:line="240" w:lineRule="auto"/>
              <w:jc w:val="center"/>
            </w:pPr>
          </w:p>
        </w:tc>
        <w:tc>
          <w:tcPr>
            <w:tcW w:w="497" w:type="pct"/>
            <w:vAlign w:val="center"/>
          </w:tcPr>
          <w:p w14:paraId="2CDED042" w14:textId="77777777" w:rsidR="00CD2686" w:rsidRPr="00C361EC" w:rsidRDefault="00CD2686" w:rsidP="00D40F04">
            <w:pPr>
              <w:spacing w:line="240" w:lineRule="auto"/>
              <w:jc w:val="center"/>
            </w:pPr>
          </w:p>
        </w:tc>
        <w:tc>
          <w:tcPr>
            <w:tcW w:w="499" w:type="pct"/>
            <w:vAlign w:val="center"/>
          </w:tcPr>
          <w:p w14:paraId="7AE839BB" w14:textId="77777777" w:rsidR="00CD2686" w:rsidRPr="00C361EC" w:rsidRDefault="00CD2686" w:rsidP="00D40F04">
            <w:pPr>
              <w:spacing w:line="240" w:lineRule="auto"/>
              <w:jc w:val="center"/>
            </w:pPr>
          </w:p>
        </w:tc>
        <w:tc>
          <w:tcPr>
            <w:tcW w:w="499" w:type="pct"/>
            <w:vAlign w:val="center"/>
          </w:tcPr>
          <w:p w14:paraId="39FBBF42" w14:textId="77777777" w:rsidR="00CD2686" w:rsidRPr="00C361EC" w:rsidRDefault="00CD2686" w:rsidP="00D40F04">
            <w:pPr>
              <w:spacing w:line="240" w:lineRule="auto"/>
              <w:jc w:val="center"/>
            </w:pPr>
          </w:p>
        </w:tc>
        <w:tc>
          <w:tcPr>
            <w:tcW w:w="389" w:type="pct"/>
            <w:vAlign w:val="center"/>
          </w:tcPr>
          <w:p w14:paraId="09E5186D" w14:textId="77777777" w:rsidR="00CD2686" w:rsidRPr="00C361EC" w:rsidRDefault="00CD2686" w:rsidP="00D40F04">
            <w:pPr>
              <w:spacing w:line="240" w:lineRule="auto"/>
              <w:jc w:val="center"/>
            </w:pPr>
          </w:p>
        </w:tc>
      </w:tr>
      <w:tr w:rsidR="00056D23" w:rsidRPr="00E2719C" w14:paraId="578D6E6A" w14:textId="77777777" w:rsidTr="00D40F04">
        <w:trPr>
          <w:trHeight w:val="547"/>
        </w:trPr>
        <w:tc>
          <w:tcPr>
            <w:tcW w:w="1632" w:type="pct"/>
            <w:vAlign w:val="center"/>
          </w:tcPr>
          <w:p w14:paraId="1BB3DFEB" w14:textId="77777777" w:rsidR="00056D23" w:rsidRPr="00C361EC" w:rsidRDefault="00056D23" w:rsidP="00D40F04">
            <w:pPr>
              <w:spacing w:line="240" w:lineRule="auto"/>
              <w:jc w:val="left"/>
            </w:pPr>
            <w:r w:rsidRPr="00C361EC">
              <w:t>Antibiotic treatment change in diagnosed participants</w:t>
            </w:r>
          </w:p>
        </w:tc>
        <w:tc>
          <w:tcPr>
            <w:tcW w:w="486" w:type="pct"/>
            <w:vAlign w:val="center"/>
          </w:tcPr>
          <w:p w14:paraId="5EA201ED" w14:textId="77777777" w:rsidR="00056D23" w:rsidRPr="00C361EC" w:rsidRDefault="00056D23" w:rsidP="00D40F04">
            <w:pPr>
              <w:spacing w:line="240" w:lineRule="auto"/>
              <w:jc w:val="center"/>
            </w:pPr>
            <w:r>
              <w:t>14 (26.9%)</w:t>
            </w:r>
          </w:p>
        </w:tc>
        <w:tc>
          <w:tcPr>
            <w:tcW w:w="499" w:type="pct"/>
            <w:vAlign w:val="center"/>
          </w:tcPr>
          <w:p w14:paraId="0830CCD9" w14:textId="77777777" w:rsidR="00056D23" w:rsidRPr="00C361EC" w:rsidRDefault="00056D23" w:rsidP="00D40F04">
            <w:pPr>
              <w:spacing w:line="240" w:lineRule="auto"/>
              <w:jc w:val="center"/>
            </w:pPr>
            <w:r>
              <w:t>11 (34.4%)</w:t>
            </w:r>
          </w:p>
        </w:tc>
        <w:tc>
          <w:tcPr>
            <w:tcW w:w="499" w:type="pct"/>
            <w:vAlign w:val="center"/>
          </w:tcPr>
          <w:p w14:paraId="532F5BF3" w14:textId="77777777" w:rsidR="00056D23" w:rsidRPr="00C361EC" w:rsidRDefault="00056D23" w:rsidP="00D40F04">
            <w:pPr>
              <w:spacing w:line="240" w:lineRule="auto"/>
              <w:jc w:val="center"/>
            </w:pPr>
            <w:r w:rsidRPr="00C361EC">
              <w:t xml:space="preserve">3 </w:t>
            </w:r>
            <w:r>
              <w:t>(15.0%)</w:t>
            </w:r>
          </w:p>
        </w:tc>
        <w:tc>
          <w:tcPr>
            <w:tcW w:w="497" w:type="pct"/>
            <w:vAlign w:val="center"/>
          </w:tcPr>
          <w:p w14:paraId="5AE75F2E" w14:textId="406632E6" w:rsidR="00056D23" w:rsidRPr="00C361EC" w:rsidRDefault="00056D23" w:rsidP="00D40F04">
            <w:pPr>
              <w:spacing w:line="240" w:lineRule="auto"/>
              <w:jc w:val="center"/>
            </w:pPr>
            <w:r>
              <w:t xml:space="preserve">2 </w:t>
            </w:r>
            <w:r w:rsidRPr="00C361EC">
              <w:t>(</w:t>
            </w:r>
            <w:r>
              <w:t>6</w:t>
            </w:r>
            <w:r w:rsidRPr="00C361EC">
              <w:t>.</w:t>
            </w:r>
            <w:r>
              <w:t>9</w:t>
            </w:r>
            <w:r w:rsidRPr="00C361EC">
              <w:t>%)</w:t>
            </w:r>
          </w:p>
        </w:tc>
        <w:tc>
          <w:tcPr>
            <w:tcW w:w="499" w:type="pct"/>
            <w:vAlign w:val="center"/>
          </w:tcPr>
          <w:p w14:paraId="793B42BF" w14:textId="77777777" w:rsidR="00056D23" w:rsidRPr="00C361EC" w:rsidRDefault="00056D23" w:rsidP="00D40F04">
            <w:pPr>
              <w:spacing w:line="240" w:lineRule="auto"/>
              <w:jc w:val="center"/>
            </w:pPr>
            <w:r w:rsidRPr="00C361EC">
              <w:t>1 (</w:t>
            </w:r>
            <w:r>
              <w:t>5.6%</w:t>
            </w:r>
            <w:r w:rsidRPr="00C361EC">
              <w:t>)</w:t>
            </w:r>
          </w:p>
        </w:tc>
        <w:tc>
          <w:tcPr>
            <w:tcW w:w="499" w:type="pct"/>
            <w:vAlign w:val="center"/>
          </w:tcPr>
          <w:p w14:paraId="717C8DD3" w14:textId="547F0C15" w:rsidR="00056D23" w:rsidRPr="00C361EC" w:rsidRDefault="00056D23" w:rsidP="00D40F04">
            <w:pPr>
              <w:spacing w:line="240" w:lineRule="auto"/>
              <w:jc w:val="center"/>
            </w:pPr>
            <w:r>
              <w:t>1 (9.1%)</w:t>
            </w:r>
          </w:p>
        </w:tc>
        <w:tc>
          <w:tcPr>
            <w:tcW w:w="389" w:type="pct"/>
            <w:vAlign w:val="center"/>
          </w:tcPr>
          <w:p w14:paraId="5259BBFB" w14:textId="28FF747F" w:rsidR="00056D23" w:rsidRPr="00C361EC" w:rsidRDefault="00056D23" w:rsidP="00D40F04">
            <w:pPr>
              <w:spacing w:line="240" w:lineRule="auto"/>
              <w:jc w:val="center"/>
            </w:pPr>
            <w:r>
              <w:t>0.04</w:t>
            </w:r>
          </w:p>
        </w:tc>
      </w:tr>
      <w:tr w:rsidR="001B776D" w:rsidRPr="00E2719C" w14:paraId="4118A488" w14:textId="77777777" w:rsidTr="00D40F04">
        <w:trPr>
          <w:trHeight w:val="430"/>
        </w:trPr>
        <w:tc>
          <w:tcPr>
            <w:tcW w:w="1632" w:type="pct"/>
            <w:vAlign w:val="center"/>
          </w:tcPr>
          <w:p w14:paraId="5C6BD2D1" w14:textId="03411D94" w:rsidR="001B776D" w:rsidRPr="00C361EC" w:rsidRDefault="001B776D" w:rsidP="001B776D">
            <w:pPr>
              <w:spacing w:line="240" w:lineRule="auto"/>
            </w:pPr>
            <w:r>
              <w:t>Median time to treatment change (diagnosed participants) in days (Median, IQR)</w:t>
            </w:r>
          </w:p>
        </w:tc>
        <w:tc>
          <w:tcPr>
            <w:tcW w:w="486" w:type="pct"/>
            <w:vAlign w:val="center"/>
          </w:tcPr>
          <w:p w14:paraId="2F8372FE" w14:textId="6D5C0CFE" w:rsidR="001B776D" w:rsidRPr="00C361EC" w:rsidRDefault="001B776D" w:rsidP="00D40F04">
            <w:pPr>
              <w:spacing w:line="240" w:lineRule="auto"/>
              <w:jc w:val="center"/>
            </w:pPr>
            <w:r>
              <w:t>4 [3-4]</w:t>
            </w:r>
          </w:p>
        </w:tc>
        <w:tc>
          <w:tcPr>
            <w:tcW w:w="499" w:type="pct"/>
            <w:vAlign w:val="center"/>
          </w:tcPr>
          <w:p w14:paraId="60DF56A9" w14:textId="60318ED1" w:rsidR="001B776D" w:rsidRPr="00C361EC" w:rsidRDefault="001B776D" w:rsidP="00D40F04">
            <w:pPr>
              <w:spacing w:line="240" w:lineRule="auto"/>
              <w:jc w:val="center"/>
            </w:pPr>
            <w:r>
              <w:t>4 [3-4]</w:t>
            </w:r>
          </w:p>
        </w:tc>
        <w:tc>
          <w:tcPr>
            <w:tcW w:w="499" w:type="pct"/>
            <w:vAlign w:val="center"/>
          </w:tcPr>
          <w:p w14:paraId="730C69CF" w14:textId="79E4718D" w:rsidR="001B776D" w:rsidRPr="00C361EC" w:rsidRDefault="001B776D" w:rsidP="00D40F04">
            <w:pPr>
              <w:spacing w:line="240" w:lineRule="auto"/>
              <w:jc w:val="center"/>
            </w:pPr>
            <w:r>
              <w:t>4 [3-6]</w:t>
            </w:r>
          </w:p>
        </w:tc>
        <w:tc>
          <w:tcPr>
            <w:tcW w:w="497" w:type="pct"/>
            <w:vAlign w:val="center"/>
          </w:tcPr>
          <w:p w14:paraId="3E4410ED" w14:textId="23BE4B5A" w:rsidR="001B776D" w:rsidRPr="00C361EC" w:rsidRDefault="001B776D" w:rsidP="00D40F04">
            <w:pPr>
              <w:spacing w:line="240" w:lineRule="auto"/>
              <w:jc w:val="center"/>
            </w:pPr>
            <w:r>
              <w:t>11.5 [9-14]</w:t>
            </w:r>
          </w:p>
        </w:tc>
        <w:tc>
          <w:tcPr>
            <w:tcW w:w="499" w:type="pct"/>
            <w:vAlign w:val="center"/>
          </w:tcPr>
          <w:p w14:paraId="544A2F22" w14:textId="6840D2EC" w:rsidR="001B776D" w:rsidRPr="00C361EC" w:rsidRDefault="001B776D" w:rsidP="00D40F04">
            <w:pPr>
              <w:spacing w:line="240" w:lineRule="auto"/>
              <w:jc w:val="center"/>
            </w:pPr>
            <w:r>
              <w:t>9 [9-9]</w:t>
            </w:r>
          </w:p>
        </w:tc>
        <w:tc>
          <w:tcPr>
            <w:tcW w:w="499" w:type="pct"/>
            <w:vAlign w:val="center"/>
          </w:tcPr>
          <w:p w14:paraId="3CFF1FCA" w14:textId="42930F7A" w:rsidR="001B776D" w:rsidRPr="00C361EC" w:rsidRDefault="001B776D" w:rsidP="00D40F04">
            <w:pPr>
              <w:spacing w:line="240" w:lineRule="auto"/>
              <w:jc w:val="center"/>
            </w:pPr>
            <w:r>
              <w:t>14 [14-14]</w:t>
            </w:r>
          </w:p>
        </w:tc>
        <w:tc>
          <w:tcPr>
            <w:tcW w:w="389" w:type="pct"/>
            <w:vAlign w:val="center"/>
          </w:tcPr>
          <w:p w14:paraId="22736C90" w14:textId="409000D5" w:rsidR="001B776D" w:rsidRPr="00C361EC" w:rsidRDefault="005F5EFD" w:rsidP="00D40F04">
            <w:pPr>
              <w:spacing w:line="240" w:lineRule="auto"/>
              <w:jc w:val="center"/>
            </w:pPr>
            <w:r>
              <w:t>&lt;0.01</w:t>
            </w:r>
          </w:p>
        </w:tc>
      </w:tr>
      <w:tr w:rsidR="001B776D" w:rsidRPr="00E2719C" w14:paraId="4B5D4A2D" w14:textId="77777777" w:rsidTr="00F17126">
        <w:trPr>
          <w:trHeight w:val="547"/>
        </w:trPr>
        <w:tc>
          <w:tcPr>
            <w:tcW w:w="1632" w:type="pct"/>
            <w:vAlign w:val="center"/>
          </w:tcPr>
          <w:p w14:paraId="176C126A" w14:textId="77777777" w:rsidR="001B776D" w:rsidRPr="00C361EC" w:rsidRDefault="001B776D" w:rsidP="001B776D">
            <w:pPr>
              <w:spacing w:line="240" w:lineRule="auto"/>
            </w:pPr>
            <w:r w:rsidRPr="00C361EC">
              <w:t>Antibiotic change due to adverse reaction or clinical concern (not meeting above definitions)</w:t>
            </w:r>
          </w:p>
        </w:tc>
        <w:tc>
          <w:tcPr>
            <w:tcW w:w="486" w:type="pct"/>
            <w:vAlign w:val="center"/>
          </w:tcPr>
          <w:p w14:paraId="280B1BDD" w14:textId="77777777" w:rsidR="001B776D" w:rsidRPr="00C361EC" w:rsidRDefault="001B776D" w:rsidP="00D40F04">
            <w:pPr>
              <w:spacing w:line="240" w:lineRule="auto"/>
              <w:jc w:val="center"/>
            </w:pPr>
            <w:r w:rsidRPr="00C361EC">
              <w:t>6 (11.5%)</w:t>
            </w:r>
          </w:p>
        </w:tc>
        <w:tc>
          <w:tcPr>
            <w:tcW w:w="499" w:type="pct"/>
            <w:vAlign w:val="center"/>
          </w:tcPr>
          <w:p w14:paraId="4D38BF55" w14:textId="77777777" w:rsidR="001B776D" w:rsidRPr="00C361EC" w:rsidRDefault="001B776D" w:rsidP="00D40F04">
            <w:pPr>
              <w:spacing w:line="240" w:lineRule="auto"/>
              <w:jc w:val="center"/>
            </w:pPr>
            <w:r w:rsidRPr="00C361EC">
              <w:t>3 (</w:t>
            </w:r>
            <w:r>
              <w:t>9.4</w:t>
            </w:r>
            <w:r w:rsidRPr="00C361EC">
              <w:t>%)</w:t>
            </w:r>
          </w:p>
        </w:tc>
        <w:tc>
          <w:tcPr>
            <w:tcW w:w="499" w:type="pct"/>
            <w:vAlign w:val="center"/>
          </w:tcPr>
          <w:p w14:paraId="1510F5C0" w14:textId="77777777" w:rsidR="001B776D" w:rsidRPr="00C361EC" w:rsidRDefault="001B776D" w:rsidP="00D40F04">
            <w:pPr>
              <w:spacing w:line="240" w:lineRule="auto"/>
              <w:jc w:val="center"/>
            </w:pPr>
            <w:r w:rsidRPr="00C361EC">
              <w:t xml:space="preserve">3 </w:t>
            </w:r>
            <w:r>
              <w:t>(15.0%)</w:t>
            </w:r>
          </w:p>
        </w:tc>
        <w:tc>
          <w:tcPr>
            <w:tcW w:w="497" w:type="pct"/>
            <w:vAlign w:val="center"/>
          </w:tcPr>
          <w:p w14:paraId="46B0805F" w14:textId="77777777" w:rsidR="001B776D" w:rsidRPr="00C361EC" w:rsidRDefault="001B776D" w:rsidP="00D40F04">
            <w:pPr>
              <w:spacing w:line="240" w:lineRule="auto"/>
              <w:jc w:val="center"/>
            </w:pPr>
            <w:r w:rsidRPr="00C361EC">
              <w:t>1 (3.4%)</w:t>
            </w:r>
          </w:p>
        </w:tc>
        <w:tc>
          <w:tcPr>
            <w:tcW w:w="499" w:type="pct"/>
            <w:vAlign w:val="center"/>
          </w:tcPr>
          <w:p w14:paraId="7C398A22" w14:textId="77777777" w:rsidR="001B776D" w:rsidRPr="00C361EC" w:rsidRDefault="001B776D" w:rsidP="00D40F04">
            <w:pPr>
              <w:spacing w:line="240" w:lineRule="auto"/>
              <w:jc w:val="center"/>
            </w:pPr>
            <w:r w:rsidRPr="00C361EC">
              <w:t>1 (</w:t>
            </w:r>
            <w:r>
              <w:t>5.6%</w:t>
            </w:r>
            <w:r w:rsidRPr="00C361EC">
              <w:t>)</w:t>
            </w:r>
          </w:p>
        </w:tc>
        <w:tc>
          <w:tcPr>
            <w:tcW w:w="499" w:type="pct"/>
            <w:vAlign w:val="center"/>
          </w:tcPr>
          <w:p w14:paraId="46754172" w14:textId="77777777" w:rsidR="001B776D" w:rsidRPr="00C361EC" w:rsidRDefault="001B776D" w:rsidP="00D40F04">
            <w:pPr>
              <w:spacing w:line="240" w:lineRule="auto"/>
              <w:jc w:val="center"/>
            </w:pPr>
            <w:r w:rsidRPr="00C361EC">
              <w:t>0 (0%)</w:t>
            </w:r>
          </w:p>
        </w:tc>
        <w:tc>
          <w:tcPr>
            <w:tcW w:w="389" w:type="pct"/>
            <w:vAlign w:val="center"/>
          </w:tcPr>
          <w:p w14:paraId="1B5C9F70" w14:textId="77777777" w:rsidR="001B776D" w:rsidRPr="00C361EC" w:rsidRDefault="001B776D" w:rsidP="00D40F04">
            <w:pPr>
              <w:spacing w:line="240" w:lineRule="auto"/>
              <w:jc w:val="center"/>
            </w:pPr>
            <w:r>
              <w:t>0.41</w:t>
            </w:r>
          </w:p>
        </w:tc>
      </w:tr>
      <w:tr w:rsidR="001B776D" w:rsidRPr="00E2719C" w14:paraId="4FA82AED" w14:textId="77777777" w:rsidTr="00D40F04">
        <w:trPr>
          <w:trHeight w:val="430"/>
        </w:trPr>
        <w:tc>
          <w:tcPr>
            <w:tcW w:w="1632" w:type="pct"/>
            <w:vAlign w:val="center"/>
          </w:tcPr>
          <w:p w14:paraId="67D1B75D" w14:textId="77777777" w:rsidR="001B776D" w:rsidRPr="00D40F04" w:rsidRDefault="001B776D" w:rsidP="001B776D">
            <w:pPr>
              <w:spacing w:line="240" w:lineRule="auto"/>
              <w:rPr>
                <w:b/>
                <w:bCs/>
              </w:rPr>
            </w:pPr>
            <w:r w:rsidRPr="00D40F04">
              <w:rPr>
                <w:b/>
                <w:bCs/>
              </w:rPr>
              <w:t>Liver Enzyme Derangement (Study A only)</w:t>
            </w:r>
          </w:p>
        </w:tc>
        <w:tc>
          <w:tcPr>
            <w:tcW w:w="486" w:type="pct"/>
            <w:vAlign w:val="center"/>
          </w:tcPr>
          <w:p w14:paraId="73746956" w14:textId="77777777" w:rsidR="001B776D" w:rsidRPr="00C361EC" w:rsidRDefault="001B776D" w:rsidP="00D40F04">
            <w:pPr>
              <w:spacing w:line="240" w:lineRule="auto"/>
              <w:jc w:val="center"/>
            </w:pPr>
          </w:p>
        </w:tc>
        <w:tc>
          <w:tcPr>
            <w:tcW w:w="499" w:type="pct"/>
            <w:vAlign w:val="center"/>
          </w:tcPr>
          <w:p w14:paraId="53FA006D" w14:textId="77777777" w:rsidR="001B776D" w:rsidRPr="00C361EC" w:rsidRDefault="001B776D" w:rsidP="00D40F04">
            <w:pPr>
              <w:spacing w:line="240" w:lineRule="auto"/>
              <w:jc w:val="center"/>
            </w:pPr>
          </w:p>
        </w:tc>
        <w:tc>
          <w:tcPr>
            <w:tcW w:w="499" w:type="pct"/>
            <w:vAlign w:val="center"/>
          </w:tcPr>
          <w:p w14:paraId="38EF3CED" w14:textId="77777777" w:rsidR="001B776D" w:rsidRPr="00C361EC" w:rsidRDefault="001B776D" w:rsidP="00D40F04">
            <w:pPr>
              <w:spacing w:line="240" w:lineRule="auto"/>
              <w:jc w:val="center"/>
            </w:pPr>
          </w:p>
        </w:tc>
        <w:tc>
          <w:tcPr>
            <w:tcW w:w="497" w:type="pct"/>
            <w:vAlign w:val="center"/>
          </w:tcPr>
          <w:p w14:paraId="4D011615" w14:textId="77777777" w:rsidR="001B776D" w:rsidRPr="00C361EC" w:rsidRDefault="001B776D" w:rsidP="00D40F04">
            <w:pPr>
              <w:spacing w:line="240" w:lineRule="auto"/>
              <w:jc w:val="center"/>
            </w:pPr>
          </w:p>
        </w:tc>
        <w:tc>
          <w:tcPr>
            <w:tcW w:w="499" w:type="pct"/>
            <w:vAlign w:val="center"/>
          </w:tcPr>
          <w:p w14:paraId="3DB8F022" w14:textId="77777777" w:rsidR="001B776D" w:rsidRPr="00C361EC" w:rsidRDefault="001B776D" w:rsidP="00D40F04">
            <w:pPr>
              <w:spacing w:line="240" w:lineRule="auto"/>
              <w:jc w:val="center"/>
            </w:pPr>
          </w:p>
        </w:tc>
        <w:tc>
          <w:tcPr>
            <w:tcW w:w="499" w:type="pct"/>
            <w:vAlign w:val="center"/>
          </w:tcPr>
          <w:p w14:paraId="7AE10D48" w14:textId="77777777" w:rsidR="001B776D" w:rsidRPr="00C361EC" w:rsidRDefault="001B776D" w:rsidP="00D40F04">
            <w:pPr>
              <w:spacing w:line="240" w:lineRule="auto"/>
              <w:jc w:val="center"/>
            </w:pPr>
          </w:p>
        </w:tc>
        <w:tc>
          <w:tcPr>
            <w:tcW w:w="389" w:type="pct"/>
            <w:vAlign w:val="center"/>
          </w:tcPr>
          <w:p w14:paraId="26C7878E" w14:textId="77777777" w:rsidR="001B776D" w:rsidRPr="00C361EC" w:rsidRDefault="001B776D" w:rsidP="00D40F04">
            <w:pPr>
              <w:spacing w:line="240" w:lineRule="auto"/>
              <w:jc w:val="center"/>
            </w:pPr>
          </w:p>
        </w:tc>
      </w:tr>
      <w:tr w:rsidR="001B776D" w:rsidRPr="00E2719C" w14:paraId="0C814E38" w14:textId="77777777" w:rsidTr="00D40F04">
        <w:trPr>
          <w:trHeight w:val="547"/>
        </w:trPr>
        <w:tc>
          <w:tcPr>
            <w:tcW w:w="1632" w:type="pct"/>
            <w:vAlign w:val="center"/>
          </w:tcPr>
          <w:p w14:paraId="0183A5DC" w14:textId="77777777" w:rsidR="001B776D" w:rsidRPr="00C361EC" w:rsidRDefault="001B776D" w:rsidP="001B776D">
            <w:pPr>
              <w:spacing w:line="240" w:lineRule="auto"/>
            </w:pPr>
            <w:r>
              <w:t>Any increase in Liver Enzymes</w:t>
            </w:r>
          </w:p>
        </w:tc>
        <w:tc>
          <w:tcPr>
            <w:tcW w:w="486" w:type="pct"/>
            <w:vAlign w:val="center"/>
          </w:tcPr>
          <w:p w14:paraId="327EA1A5" w14:textId="77777777" w:rsidR="001B776D" w:rsidRPr="00C361EC" w:rsidRDefault="001B776D" w:rsidP="00D40F04">
            <w:pPr>
              <w:spacing w:line="240" w:lineRule="auto"/>
              <w:jc w:val="center"/>
            </w:pPr>
            <w:r>
              <w:t>-</w:t>
            </w:r>
          </w:p>
        </w:tc>
        <w:tc>
          <w:tcPr>
            <w:tcW w:w="499" w:type="pct"/>
            <w:vAlign w:val="center"/>
          </w:tcPr>
          <w:p w14:paraId="3F0BFDAD" w14:textId="77777777" w:rsidR="001B776D" w:rsidRPr="00C361EC" w:rsidRDefault="001B776D" w:rsidP="00D40F04">
            <w:pPr>
              <w:spacing w:line="240" w:lineRule="auto"/>
              <w:jc w:val="center"/>
            </w:pPr>
            <w:r>
              <w:t>8 (25.0%)</w:t>
            </w:r>
          </w:p>
        </w:tc>
        <w:tc>
          <w:tcPr>
            <w:tcW w:w="499" w:type="pct"/>
            <w:vAlign w:val="center"/>
          </w:tcPr>
          <w:p w14:paraId="4A0FA6CF" w14:textId="77777777" w:rsidR="001B776D" w:rsidRPr="00C361EC" w:rsidRDefault="001B776D" w:rsidP="00D40F04">
            <w:pPr>
              <w:spacing w:line="240" w:lineRule="auto"/>
              <w:jc w:val="center"/>
            </w:pPr>
            <w:r>
              <w:t>-</w:t>
            </w:r>
          </w:p>
        </w:tc>
        <w:tc>
          <w:tcPr>
            <w:tcW w:w="497" w:type="pct"/>
            <w:vAlign w:val="center"/>
          </w:tcPr>
          <w:p w14:paraId="557F23F9" w14:textId="77777777" w:rsidR="001B776D" w:rsidRPr="00C361EC" w:rsidRDefault="001B776D" w:rsidP="00D40F04">
            <w:pPr>
              <w:spacing w:line="240" w:lineRule="auto"/>
              <w:jc w:val="center"/>
            </w:pPr>
            <w:r>
              <w:t>-</w:t>
            </w:r>
          </w:p>
        </w:tc>
        <w:tc>
          <w:tcPr>
            <w:tcW w:w="499" w:type="pct"/>
            <w:vAlign w:val="center"/>
          </w:tcPr>
          <w:p w14:paraId="0993D9F5" w14:textId="77777777" w:rsidR="001B776D" w:rsidRPr="006B2405" w:rsidRDefault="001B776D" w:rsidP="00D40F04">
            <w:pPr>
              <w:spacing w:line="240" w:lineRule="auto"/>
              <w:jc w:val="center"/>
            </w:pPr>
            <w:r>
              <w:t>4 (22.2%)</w:t>
            </w:r>
          </w:p>
        </w:tc>
        <w:tc>
          <w:tcPr>
            <w:tcW w:w="499" w:type="pct"/>
            <w:vAlign w:val="center"/>
          </w:tcPr>
          <w:p w14:paraId="081D3EF5" w14:textId="77777777" w:rsidR="001B776D" w:rsidRPr="006B2405" w:rsidRDefault="001B776D" w:rsidP="00D40F04">
            <w:pPr>
              <w:spacing w:line="240" w:lineRule="auto"/>
              <w:jc w:val="center"/>
            </w:pPr>
            <w:r>
              <w:t>-</w:t>
            </w:r>
          </w:p>
        </w:tc>
        <w:tc>
          <w:tcPr>
            <w:tcW w:w="389" w:type="pct"/>
            <w:vAlign w:val="center"/>
          </w:tcPr>
          <w:p w14:paraId="65050442" w14:textId="77777777" w:rsidR="001B776D" w:rsidRPr="006B2405" w:rsidRDefault="001B776D" w:rsidP="00D40F04">
            <w:pPr>
              <w:spacing w:line="240" w:lineRule="auto"/>
              <w:jc w:val="center"/>
            </w:pPr>
            <w:r>
              <w:t>1.0</w:t>
            </w:r>
          </w:p>
        </w:tc>
      </w:tr>
      <w:tr w:rsidR="001B776D" w:rsidRPr="00E2719C" w14:paraId="1EEA8EEA" w14:textId="77777777" w:rsidTr="00D40F04">
        <w:trPr>
          <w:trHeight w:val="547"/>
        </w:trPr>
        <w:tc>
          <w:tcPr>
            <w:tcW w:w="1632" w:type="pct"/>
            <w:vAlign w:val="center"/>
          </w:tcPr>
          <w:p w14:paraId="57A25F95" w14:textId="77777777" w:rsidR="001B776D" w:rsidRPr="00C361EC" w:rsidRDefault="001B776D" w:rsidP="001B776D">
            <w:pPr>
              <w:spacing w:line="240" w:lineRule="auto"/>
            </w:pPr>
            <w:r w:rsidRPr="00C361EC">
              <w:t>ALT ≥1.1x ULN</w:t>
            </w:r>
          </w:p>
        </w:tc>
        <w:tc>
          <w:tcPr>
            <w:tcW w:w="486" w:type="pct"/>
            <w:vAlign w:val="center"/>
          </w:tcPr>
          <w:p w14:paraId="0B39BB89" w14:textId="77777777" w:rsidR="001B776D" w:rsidRPr="00C361EC" w:rsidRDefault="001B776D" w:rsidP="00D40F04">
            <w:pPr>
              <w:spacing w:line="240" w:lineRule="auto"/>
              <w:jc w:val="center"/>
            </w:pPr>
            <w:r>
              <w:t>-</w:t>
            </w:r>
          </w:p>
        </w:tc>
        <w:tc>
          <w:tcPr>
            <w:tcW w:w="499" w:type="pct"/>
            <w:vAlign w:val="center"/>
          </w:tcPr>
          <w:p w14:paraId="40DC3988" w14:textId="77777777" w:rsidR="001B776D" w:rsidRPr="00C361EC" w:rsidRDefault="001B776D" w:rsidP="00D40F04">
            <w:pPr>
              <w:spacing w:line="240" w:lineRule="auto"/>
              <w:jc w:val="center"/>
            </w:pPr>
            <w:r>
              <w:t>5 (15.6%)</w:t>
            </w:r>
          </w:p>
        </w:tc>
        <w:tc>
          <w:tcPr>
            <w:tcW w:w="499" w:type="pct"/>
            <w:vAlign w:val="center"/>
          </w:tcPr>
          <w:p w14:paraId="5B97EA2D" w14:textId="77777777" w:rsidR="001B776D" w:rsidRPr="00C361EC" w:rsidRDefault="001B776D" w:rsidP="00D40F04">
            <w:pPr>
              <w:spacing w:line="240" w:lineRule="auto"/>
              <w:jc w:val="center"/>
            </w:pPr>
            <w:r>
              <w:t>-</w:t>
            </w:r>
          </w:p>
        </w:tc>
        <w:tc>
          <w:tcPr>
            <w:tcW w:w="497" w:type="pct"/>
            <w:vAlign w:val="center"/>
          </w:tcPr>
          <w:p w14:paraId="6DFF9D08" w14:textId="77777777" w:rsidR="001B776D" w:rsidRPr="006B2405" w:rsidRDefault="001B776D" w:rsidP="00D40F04">
            <w:pPr>
              <w:spacing w:line="240" w:lineRule="auto"/>
              <w:jc w:val="center"/>
            </w:pPr>
            <w:r>
              <w:t>-</w:t>
            </w:r>
          </w:p>
        </w:tc>
        <w:tc>
          <w:tcPr>
            <w:tcW w:w="499" w:type="pct"/>
            <w:vAlign w:val="center"/>
          </w:tcPr>
          <w:p w14:paraId="02383033" w14:textId="77777777" w:rsidR="001B776D" w:rsidRPr="006B2405" w:rsidRDefault="001B776D" w:rsidP="00D40F04">
            <w:pPr>
              <w:spacing w:line="240" w:lineRule="auto"/>
              <w:jc w:val="center"/>
            </w:pPr>
            <w:r>
              <w:t>2 (11.1%)</w:t>
            </w:r>
          </w:p>
        </w:tc>
        <w:tc>
          <w:tcPr>
            <w:tcW w:w="499" w:type="pct"/>
            <w:vAlign w:val="center"/>
          </w:tcPr>
          <w:p w14:paraId="409DC468" w14:textId="77777777" w:rsidR="001B776D" w:rsidRPr="006B2405" w:rsidRDefault="001B776D" w:rsidP="00D40F04">
            <w:pPr>
              <w:spacing w:line="240" w:lineRule="auto"/>
              <w:jc w:val="center"/>
            </w:pPr>
            <w:r>
              <w:t>-</w:t>
            </w:r>
          </w:p>
        </w:tc>
        <w:tc>
          <w:tcPr>
            <w:tcW w:w="389" w:type="pct"/>
            <w:vAlign w:val="center"/>
          </w:tcPr>
          <w:p w14:paraId="7F84A63E" w14:textId="77777777" w:rsidR="001B776D" w:rsidRPr="006B2405" w:rsidRDefault="001B776D" w:rsidP="00D40F04">
            <w:pPr>
              <w:spacing w:line="240" w:lineRule="auto"/>
              <w:jc w:val="center"/>
            </w:pPr>
            <w:r>
              <w:t>1.0</w:t>
            </w:r>
          </w:p>
        </w:tc>
      </w:tr>
      <w:tr w:rsidR="001B776D" w:rsidRPr="00E2719C" w14:paraId="05C3F821" w14:textId="77777777" w:rsidTr="00D40F04">
        <w:trPr>
          <w:trHeight w:val="547"/>
        </w:trPr>
        <w:tc>
          <w:tcPr>
            <w:tcW w:w="1632" w:type="pct"/>
            <w:vAlign w:val="center"/>
          </w:tcPr>
          <w:p w14:paraId="27795A30" w14:textId="77777777" w:rsidR="001B776D" w:rsidRPr="00C361EC" w:rsidRDefault="001B776D" w:rsidP="001B776D">
            <w:pPr>
              <w:spacing w:line="240" w:lineRule="auto"/>
            </w:pPr>
            <w:r w:rsidRPr="00C361EC">
              <w:t>ALP ≥1.1x ULN</w:t>
            </w:r>
          </w:p>
        </w:tc>
        <w:tc>
          <w:tcPr>
            <w:tcW w:w="486" w:type="pct"/>
            <w:vAlign w:val="center"/>
          </w:tcPr>
          <w:p w14:paraId="7585993C" w14:textId="77777777" w:rsidR="001B776D" w:rsidRPr="00C361EC" w:rsidRDefault="001B776D" w:rsidP="00D40F04">
            <w:pPr>
              <w:spacing w:line="240" w:lineRule="auto"/>
              <w:jc w:val="center"/>
            </w:pPr>
            <w:r>
              <w:t>-</w:t>
            </w:r>
          </w:p>
        </w:tc>
        <w:tc>
          <w:tcPr>
            <w:tcW w:w="499" w:type="pct"/>
            <w:vAlign w:val="center"/>
          </w:tcPr>
          <w:p w14:paraId="21547CAC" w14:textId="77777777" w:rsidR="001B776D" w:rsidRPr="00C361EC" w:rsidRDefault="001B776D" w:rsidP="00D40F04">
            <w:pPr>
              <w:spacing w:line="240" w:lineRule="auto"/>
              <w:jc w:val="center"/>
            </w:pPr>
            <w:r>
              <w:t>1 (3.1%)</w:t>
            </w:r>
          </w:p>
        </w:tc>
        <w:tc>
          <w:tcPr>
            <w:tcW w:w="499" w:type="pct"/>
            <w:vAlign w:val="center"/>
          </w:tcPr>
          <w:p w14:paraId="413F9F49" w14:textId="77777777" w:rsidR="001B776D" w:rsidRPr="00C361EC" w:rsidRDefault="001B776D" w:rsidP="00D40F04">
            <w:pPr>
              <w:spacing w:line="240" w:lineRule="auto"/>
              <w:jc w:val="center"/>
              <w:rPr>
                <w:rFonts w:asciiTheme="majorHAnsi" w:hAnsiTheme="majorHAnsi" w:cstheme="majorHAnsi"/>
              </w:rPr>
            </w:pPr>
            <w:r>
              <w:t>-</w:t>
            </w:r>
          </w:p>
        </w:tc>
        <w:tc>
          <w:tcPr>
            <w:tcW w:w="497" w:type="pct"/>
            <w:vAlign w:val="center"/>
          </w:tcPr>
          <w:p w14:paraId="40CE9454" w14:textId="77777777" w:rsidR="001B776D" w:rsidRPr="006B2405" w:rsidRDefault="001B776D" w:rsidP="00D40F04">
            <w:pPr>
              <w:spacing w:line="240" w:lineRule="auto"/>
              <w:jc w:val="center"/>
            </w:pPr>
            <w:r>
              <w:t>-</w:t>
            </w:r>
          </w:p>
        </w:tc>
        <w:tc>
          <w:tcPr>
            <w:tcW w:w="499" w:type="pct"/>
            <w:vAlign w:val="center"/>
          </w:tcPr>
          <w:p w14:paraId="501D2811" w14:textId="77777777" w:rsidR="001B776D" w:rsidRPr="006B2405" w:rsidRDefault="001B776D" w:rsidP="00D40F04">
            <w:pPr>
              <w:spacing w:line="240" w:lineRule="auto"/>
              <w:jc w:val="center"/>
            </w:pPr>
            <w:r>
              <w:t>1 (5.6%)</w:t>
            </w:r>
          </w:p>
        </w:tc>
        <w:tc>
          <w:tcPr>
            <w:tcW w:w="499" w:type="pct"/>
            <w:vAlign w:val="center"/>
          </w:tcPr>
          <w:p w14:paraId="0996EDF2"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E330140" w14:textId="77777777" w:rsidR="001B776D" w:rsidRPr="006B2405" w:rsidRDefault="001B776D" w:rsidP="00D40F04">
            <w:pPr>
              <w:spacing w:line="240" w:lineRule="auto"/>
              <w:jc w:val="center"/>
            </w:pPr>
            <w:r>
              <w:t>1.0</w:t>
            </w:r>
          </w:p>
        </w:tc>
      </w:tr>
      <w:tr w:rsidR="001B776D" w:rsidRPr="00E2719C" w14:paraId="6102948E" w14:textId="77777777" w:rsidTr="00D40F04">
        <w:trPr>
          <w:trHeight w:val="547"/>
        </w:trPr>
        <w:tc>
          <w:tcPr>
            <w:tcW w:w="1632" w:type="pct"/>
            <w:vAlign w:val="center"/>
          </w:tcPr>
          <w:p w14:paraId="4A12B17A" w14:textId="77777777" w:rsidR="001B776D" w:rsidRPr="00C60AA7" w:rsidRDefault="001B776D" w:rsidP="001B776D">
            <w:pPr>
              <w:spacing w:line="240" w:lineRule="auto"/>
            </w:pPr>
            <w:r w:rsidRPr="00C361EC">
              <w:t>Bilirubin ≥1.1x ULN</w:t>
            </w:r>
          </w:p>
        </w:tc>
        <w:tc>
          <w:tcPr>
            <w:tcW w:w="486" w:type="pct"/>
            <w:vAlign w:val="center"/>
          </w:tcPr>
          <w:p w14:paraId="4A2F6498" w14:textId="77777777" w:rsidR="001B776D" w:rsidRPr="006B2405" w:rsidRDefault="001B776D" w:rsidP="00D40F04">
            <w:pPr>
              <w:spacing w:line="240" w:lineRule="auto"/>
              <w:jc w:val="center"/>
            </w:pPr>
            <w:r>
              <w:t>-</w:t>
            </w:r>
          </w:p>
        </w:tc>
        <w:tc>
          <w:tcPr>
            <w:tcW w:w="499" w:type="pct"/>
            <w:vAlign w:val="center"/>
          </w:tcPr>
          <w:p w14:paraId="1732FBCE" w14:textId="77777777" w:rsidR="001B776D" w:rsidRPr="006B2405" w:rsidRDefault="001B776D" w:rsidP="00D40F04">
            <w:pPr>
              <w:spacing w:line="240" w:lineRule="auto"/>
              <w:jc w:val="center"/>
            </w:pPr>
            <w:r>
              <w:t>2 (6.3%)</w:t>
            </w:r>
          </w:p>
        </w:tc>
        <w:tc>
          <w:tcPr>
            <w:tcW w:w="499" w:type="pct"/>
            <w:vAlign w:val="center"/>
          </w:tcPr>
          <w:p w14:paraId="19F2C67C"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11B542D0" w14:textId="77777777" w:rsidR="001B776D" w:rsidRPr="006B2405" w:rsidRDefault="001B776D" w:rsidP="00D40F04">
            <w:pPr>
              <w:spacing w:line="240" w:lineRule="auto"/>
              <w:jc w:val="center"/>
            </w:pPr>
            <w:r>
              <w:t>-</w:t>
            </w:r>
          </w:p>
        </w:tc>
        <w:tc>
          <w:tcPr>
            <w:tcW w:w="499" w:type="pct"/>
            <w:vAlign w:val="center"/>
          </w:tcPr>
          <w:p w14:paraId="71D0EF24" w14:textId="77777777" w:rsidR="001B776D" w:rsidRPr="006B2405" w:rsidRDefault="001B776D" w:rsidP="00D40F04">
            <w:pPr>
              <w:spacing w:line="240" w:lineRule="auto"/>
              <w:jc w:val="center"/>
            </w:pPr>
            <w:r>
              <w:t>1 (5.6%)</w:t>
            </w:r>
          </w:p>
        </w:tc>
        <w:tc>
          <w:tcPr>
            <w:tcW w:w="499" w:type="pct"/>
            <w:vAlign w:val="center"/>
          </w:tcPr>
          <w:p w14:paraId="77732027"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16A55D8C" w14:textId="77777777" w:rsidR="001B776D" w:rsidRPr="006B2405" w:rsidRDefault="001B776D" w:rsidP="00D40F04">
            <w:pPr>
              <w:spacing w:line="240" w:lineRule="auto"/>
              <w:jc w:val="center"/>
            </w:pPr>
            <w:r>
              <w:t>1.0</w:t>
            </w:r>
          </w:p>
        </w:tc>
      </w:tr>
      <w:tr w:rsidR="001B776D" w:rsidRPr="00E2719C" w14:paraId="0B367782" w14:textId="77777777" w:rsidTr="00D40F04">
        <w:trPr>
          <w:trHeight w:val="547"/>
        </w:trPr>
        <w:tc>
          <w:tcPr>
            <w:tcW w:w="1632" w:type="pct"/>
            <w:vAlign w:val="center"/>
          </w:tcPr>
          <w:p w14:paraId="3B09FD7A" w14:textId="77777777" w:rsidR="001B776D" w:rsidRDefault="001B776D" w:rsidP="001B776D">
            <w:pPr>
              <w:spacing w:line="240" w:lineRule="auto"/>
            </w:pPr>
            <w:r w:rsidRPr="00C361EC">
              <w:lastRenderedPageBreak/>
              <w:t>Drug-induced liver injury</w:t>
            </w:r>
            <w:r>
              <w:t xml:space="preserve"> </w:t>
            </w:r>
          </w:p>
          <w:p w14:paraId="094E0EC2" w14:textId="77777777" w:rsidR="001B776D" w:rsidRPr="00C60AA7" w:rsidRDefault="001B776D" w:rsidP="001B776D">
            <w:pPr>
              <w:spacing w:line="240" w:lineRule="auto"/>
            </w:pPr>
            <w:r>
              <w:t>(enzyme derangement meeting DILI criteria)</w:t>
            </w:r>
          </w:p>
        </w:tc>
        <w:tc>
          <w:tcPr>
            <w:tcW w:w="486" w:type="pct"/>
            <w:vAlign w:val="center"/>
          </w:tcPr>
          <w:p w14:paraId="1298EF5D" w14:textId="77777777" w:rsidR="001B776D" w:rsidRPr="006B2405" w:rsidRDefault="001B776D" w:rsidP="00D40F04">
            <w:pPr>
              <w:spacing w:line="240" w:lineRule="auto"/>
              <w:jc w:val="center"/>
            </w:pPr>
            <w:r>
              <w:t>-</w:t>
            </w:r>
          </w:p>
        </w:tc>
        <w:tc>
          <w:tcPr>
            <w:tcW w:w="499" w:type="pct"/>
            <w:vAlign w:val="center"/>
          </w:tcPr>
          <w:p w14:paraId="10236FD2" w14:textId="77777777" w:rsidR="001B776D" w:rsidRPr="006B2405" w:rsidRDefault="001B776D" w:rsidP="00D40F04">
            <w:pPr>
              <w:spacing w:line="240" w:lineRule="auto"/>
              <w:jc w:val="center"/>
            </w:pPr>
            <w:r>
              <w:t>2 (6.3%)</w:t>
            </w:r>
          </w:p>
        </w:tc>
        <w:tc>
          <w:tcPr>
            <w:tcW w:w="499" w:type="pct"/>
            <w:vAlign w:val="center"/>
          </w:tcPr>
          <w:p w14:paraId="3A858522"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F514BE2" w14:textId="77777777" w:rsidR="001B776D" w:rsidRPr="006B2405" w:rsidRDefault="001B776D" w:rsidP="00D40F04">
            <w:pPr>
              <w:spacing w:line="240" w:lineRule="auto"/>
              <w:jc w:val="center"/>
            </w:pPr>
            <w:r>
              <w:t>-</w:t>
            </w:r>
          </w:p>
        </w:tc>
        <w:tc>
          <w:tcPr>
            <w:tcW w:w="499" w:type="pct"/>
            <w:vAlign w:val="center"/>
          </w:tcPr>
          <w:p w14:paraId="5CD8F178" w14:textId="77777777" w:rsidR="001B776D" w:rsidRPr="006B2405" w:rsidRDefault="001B776D" w:rsidP="00D40F04">
            <w:pPr>
              <w:spacing w:line="240" w:lineRule="auto"/>
              <w:jc w:val="center"/>
            </w:pPr>
            <w:r>
              <w:t>1 (5.6%)</w:t>
            </w:r>
          </w:p>
        </w:tc>
        <w:tc>
          <w:tcPr>
            <w:tcW w:w="499" w:type="pct"/>
            <w:vAlign w:val="center"/>
          </w:tcPr>
          <w:p w14:paraId="09B476AB"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6B392B13" w14:textId="77777777" w:rsidR="001B776D" w:rsidRPr="006B2405" w:rsidRDefault="001B776D" w:rsidP="00D40F04">
            <w:pPr>
              <w:spacing w:line="240" w:lineRule="auto"/>
              <w:jc w:val="center"/>
            </w:pPr>
            <w:r>
              <w:t>1.0</w:t>
            </w:r>
          </w:p>
        </w:tc>
      </w:tr>
      <w:tr w:rsidR="001B776D" w:rsidRPr="00E2719C" w14:paraId="157B57A3" w14:textId="77777777" w:rsidTr="00D40F04">
        <w:trPr>
          <w:trHeight w:val="547"/>
        </w:trPr>
        <w:tc>
          <w:tcPr>
            <w:tcW w:w="1632" w:type="pct"/>
            <w:vAlign w:val="center"/>
          </w:tcPr>
          <w:p w14:paraId="43937697" w14:textId="77777777" w:rsidR="001B776D" w:rsidRPr="00C60AA7" w:rsidRDefault="001B776D" w:rsidP="001B776D">
            <w:pPr>
              <w:spacing w:line="240" w:lineRule="auto"/>
            </w:pPr>
            <w:r w:rsidRPr="00C361EC">
              <w:t>ALT ≥5x ULN</w:t>
            </w:r>
          </w:p>
        </w:tc>
        <w:tc>
          <w:tcPr>
            <w:tcW w:w="486" w:type="pct"/>
            <w:vAlign w:val="center"/>
          </w:tcPr>
          <w:p w14:paraId="0B3959D2" w14:textId="77777777" w:rsidR="001B776D" w:rsidRPr="006B2405" w:rsidRDefault="001B776D" w:rsidP="00D40F04">
            <w:pPr>
              <w:spacing w:line="240" w:lineRule="auto"/>
              <w:jc w:val="center"/>
            </w:pPr>
            <w:r>
              <w:t>-</w:t>
            </w:r>
          </w:p>
        </w:tc>
        <w:tc>
          <w:tcPr>
            <w:tcW w:w="499" w:type="pct"/>
            <w:vAlign w:val="center"/>
          </w:tcPr>
          <w:p w14:paraId="32379466" w14:textId="77777777" w:rsidR="001B776D" w:rsidRPr="006B2405" w:rsidRDefault="001B776D" w:rsidP="00D40F04">
            <w:pPr>
              <w:spacing w:line="240" w:lineRule="auto"/>
              <w:jc w:val="center"/>
            </w:pPr>
            <w:r>
              <w:t>2 (6.3%)</w:t>
            </w:r>
          </w:p>
        </w:tc>
        <w:tc>
          <w:tcPr>
            <w:tcW w:w="499" w:type="pct"/>
            <w:vAlign w:val="center"/>
          </w:tcPr>
          <w:p w14:paraId="1944CEFF"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7FC5BA1D" w14:textId="77777777" w:rsidR="001B776D" w:rsidRPr="006B2405" w:rsidRDefault="001B776D" w:rsidP="00D40F04">
            <w:pPr>
              <w:spacing w:line="240" w:lineRule="auto"/>
              <w:jc w:val="center"/>
            </w:pPr>
            <w:r>
              <w:t>-</w:t>
            </w:r>
          </w:p>
        </w:tc>
        <w:tc>
          <w:tcPr>
            <w:tcW w:w="499" w:type="pct"/>
            <w:vAlign w:val="center"/>
          </w:tcPr>
          <w:p w14:paraId="5F81F48D" w14:textId="77777777" w:rsidR="001B776D" w:rsidRPr="006B2405" w:rsidRDefault="001B776D" w:rsidP="00D40F04">
            <w:pPr>
              <w:spacing w:line="240" w:lineRule="auto"/>
              <w:jc w:val="center"/>
            </w:pPr>
            <w:r>
              <w:t>1 (5.6%)</w:t>
            </w:r>
          </w:p>
        </w:tc>
        <w:tc>
          <w:tcPr>
            <w:tcW w:w="499" w:type="pct"/>
            <w:vAlign w:val="center"/>
          </w:tcPr>
          <w:p w14:paraId="178FB58B"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F3453AF" w14:textId="77777777" w:rsidR="001B776D" w:rsidRPr="006B2405" w:rsidRDefault="001B776D" w:rsidP="00D40F04">
            <w:pPr>
              <w:spacing w:line="240" w:lineRule="auto"/>
              <w:jc w:val="center"/>
            </w:pPr>
            <w:r>
              <w:t>1.0</w:t>
            </w:r>
          </w:p>
        </w:tc>
      </w:tr>
      <w:tr w:rsidR="001B776D" w:rsidRPr="00E2719C" w14:paraId="7B401182" w14:textId="77777777" w:rsidTr="00D40F04">
        <w:trPr>
          <w:trHeight w:val="547"/>
        </w:trPr>
        <w:tc>
          <w:tcPr>
            <w:tcW w:w="1632" w:type="pct"/>
            <w:vAlign w:val="center"/>
          </w:tcPr>
          <w:p w14:paraId="37DDD3D1" w14:textId="77777777" w:rsidR="001B776D" w:rsidRPr="00C60AA7" w:rsidRDefault="001B776D" w:rsidP="001B776D">
            <w:pPr>
              <w:spacing w:line="240" w:lineRule="auto"/>
            </w:pPr>
            <w:r w:rsidRPr="00C361EC">
              <w:t>ALP ≥2x ULN</w:t>
            </w:r>
          </w:p>
        </w:tc>
        <w:tc>
          <w:tcPr>
            <w:tcW w:w="486" w:type="pct"/>
            <w:vAlign w:val="center"/>
          </w:tcPr>
          <w:p w14:paraId="5413DD54" w14:textId="77777777" w:rsidR="001B776D" w:rsidRPr="006B2405" w:rsidRDefault="001B776D" w:rsidP="00D40F04">
            <w:pPr>
              <w:spacing w:line="240" w:lineRule="auto"/>
              <w:jc w:val="center"/>
            </w:pPr>
            <w:r>
              <w:t>-</w:t>
            </w:r>
          </w:p>
        </w:tc>
        <w:tc>
          <w:tcPr>
            <w:tcW w:w="499" w:type="pct"/>
            <w:vAlign w:val="center"/>
          </w:tcPr>
          <w:p w14:paraId="191EC8A5" w14:textId="77777777" w:rsidR="001B776D" w:rsidRPr="006B2405" w:rsidRDefault="001B776D" w:rsidP="00D40F04">
            <w:pPr>
              <w:spacing w:line="240" w:lineRule="auto"/>
              <w:jc w:val="center"/>
            </w:pPr>
            <w:r>
              <w:t>0 (0%)</w:t>
            </w:r>
          </w:p>
        </w:tc>
        <w:tc>
          <w:tcPr>
            <w:tcW w:w="499" w:type="pct"/>
            <w:vAlign w:val="center"/>
          </w:tcPr>
          <w:p w14:paraId="4D040F59"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FCDA605" w14:textId="77777777" w:rsidR="001B776D" w:rsidRPr="006B2405" w:rsidRDefault="001B776D" w:rsidP="00D40F04">
            <w:pPr>
              <w:spacing w:line="240" w:lineRule="auto"/>
              <w:jc w:val="center"/>
            </w:pPr>
            <w:r>
              <w:t>-</w:t>
            </w:r>
          </w:p>
        </w:tc>
        <w:tc>
          <w:tcPr>
            <w:tcW w:w="499" w:type="pct"/>
            <w:vAlign w:val="center"/>
          </w:tcPr>
          <w:p w14:paraId="7F66DBBD" w14:textId="77777777" w:rsidR="001B776D" w:rsidRPr="006B2405" w:rsidRDefault="001B776D" w:rsidP="00D40F04">
            <w:pPr>
              <w:spacing w:line="240" w:lineRule="auto"/>
              <w:jc w:val="center"/>
            </w:pPr>
            <w:r>
              <w:t>0 (0%)</w:t>
            </w:r>
          </w:p>
        </w:tc>
        <w:tc>
          <w:tcPr>
            <w:tcW w:w="499" w:type="pct"/>
            <w:vAlign w:val="center"/>
          </w:tcPr>
          <w:p w14:paraId="2808DE45"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7743B33D" w14:textId="77777777" w:rsidR="001B776D" w:rsidRPr="006B2405" w:rsidRDefault="001B776D" w:rsidP="00D40F04">
            <w:pPr>
              <w:spacing w:line="240" w:lineRule="auto"/>
              <w:jc w:val="center"/>
            </w:pPr>
            <w:r>
              <w:t>1.0</w:t>
            </w:r>
          </w:p>
        </w:tc>
      </w:tr>
      <w:tr w:rsidR="001B776D" w:rsidRPr="00E2719C" w14:paraId="3684A1AA" w14:textId="77777777" w:rsidTr="00D40F04">
        <w:trPr>
          <w:trHeight w:val="547"/>
        </w:trPr>
        <w:tc>
          <w:tcPr>
            <w:tcW w:w="1632" w:type="pct"/>
            <w:vAlign w:val="center"/>
          </w:tcPr>
          <w:p w14:paraId="63ECAD39" w14:textId="77777777" w:rsidR="001B776D" w:rsidRPr="00C60AA7" w:rsidRDefault="001B776D" w:rsidP="001B776D">
            <w:pPr>
              <w:spacing w:line="240" w:lineRule="auto"/>
            </w:pPr>
            <w:r w:rsidRPr="00C361EC">
              <w:t>ALT ≥3x ULN and Bilirubin ≥2x ULN</w:t>
            </w:r>
          </w:p>
        </w:tc>
        <w:tc>
          <w:tcPr>
            <w:tcW w:w="486" w:type="pct"/>
            <w:vAlign w:val="center"/>
          </w:tcPr>
          <w:p w14:paraId="09BE4D6F" w14:textId="77777777" w:rsidR="001B776D" w:rsidRPr="006B2405" w:rsidRDefault="001B776D" w:rsidP="00D40F04">
            <w:pPr>
              <w:spacing w:line="240" w:lineRule="auto"/>
              <w:jc w:val="center"/>
            </w:pPr>
            <w:r>
              <w:t>-</w:t>
            </w:r>
          </w:p>
        </w:tc>
        <w:tc>
          <w:tcPr>
            <w:tcW w:w="499" w:type="pct"/>
            <w:vAlign w:val="center"/>
          </w:tcPr>
          <w:p w14:paraId="64AD5A1D" w14:textId="77777777" w:rsidR="001B776D" w:rsidRPr="006B2405" w:rsidRDefault="001B776D" w:rsidP="00D40F04">
            <w:pPr>
              <w:spacing w:line="240" w:lineRule="auto"/>
              <w:jc w:val="center"/>
            </w:pPr>
            <w:r>
              <w:t>0 (0%)</w:t>
            </w:r>
          </w:p>
        </w:tc>
        <w:tc>
          <w:tcPr>
            <w:tcW w:w="499" w:type="pct"/>
            <w:vAlign w:val="center"/>
          </w:tcPr>
          <w:p w14:paraId="6966EC9D" w14:textId="77777777" w:rsidR="001B776D" w:rsidRPr="006B2405" w:rsidRDefault="001B776D" w:rsidP="00D40F04">
            <w:pPr>
              <w:spacing w:line="240" w:lineRule="auto"/>
              <w:jc w:val="center"/>
              <w:rPr>
                <w:rFonts w:asciiTheme="majorHAnsi" w:hAnsiTheme="majorHAnsi" w:cstheme="majorHAnsi"/>
              </w:rPr>
            </w:pPr>
            <w:r>
              <w:t>-</w:t>
            </w:r>
          </w:p>
        </w:tc>
        <w:tc>
          <w:tcPr>
            <w:tcW w:w="497" w:type="pct"/>
            <w:vAlign w:val="center"/>
          </w:tcPr>
          <w:p w14:paraId="2C903A53" w14:textId="77777777" w:rsidR="001B776D" w:rsidRPr="006B2405" w:rsidRDefault="001B776D" w:rsidP="00D40F04">
            <w:pPr>
              <w:spacing w:line="240" w:lineRule="auto"/>
              <w:jc w:val="center"/>
            </w:pPr>
            <w:r>
              <w:t>-</w:t>
            </w:r>
          </w:p>
        </w:tc>
        <w:tc>
          <w:tcPr>
            <w:tcW w:w="499" w:type="pct"/>
            <w:vAlign w:val="center"/>
          </w:tcPr>
          <w:p w14:paraId="341A3C39" w14:textId="77777777" w:rsidR="001B776D" w:rsidRPr="006B2405" w:rsidRDefault="001B776D" w:rsidP="00D40F04">
            <w:pPr>
              <w:spacing w:line="240" w:lineRule="auto"/>
              <w:jc w:val="center"/>
            </w:pPr>
            <w:r>
              <w:t>0 (0%)</w:t>
            </w:r>
          </w:p>
        </w:tc>
        <w:tc>
          <w:tcPr>
            <w:tcW w:w="499" w:type="pct"/>
            <w:vAlign w:val="center"/>
          </w:tcPr>
          <w:p w14:paraId="6D8527C7" w14:textId="77777777" w:rsidR="001B776D" w:rsidRPr="006B2405" w:rsidRDefault="001B776D" w:rsidP="00D40F04">
            <w:pPr>
              <w:spacing w:line="240" w:lineRule="auto"/>
              <w:jc w:val="center"/>
              <w:rPr>
                <w:rFonts w:asciiTheme="majorHAnsi" w:hAnsiTheme="majorHAnsi" w:cstheme="majorHAnsi"/>
              </w:rPr>
            </w:pPr>
            <w:r>
              <w:t>-</w:t>
            </w:r>
          </w:p>
        </w:tc>
        <w:tc>
          <w:tcPr>
            <w:tcW w:w="389" w:type="pct"/>
            <w:vAlign w:val="center"/>
          </w:tcPr>
          <w:p w14:paraId="2853EBAA" w14:textId="77777777" w:rsidR="001B776D" w:rsidRPr="006B2405" w:rsidRDefault="001B776D" w:rsidP="00D40F04">
            <w:pPr>
              <w:spacing w:line="240" w:lineRule="auto"/>
              <w:jc w:val="center"/>
            </w:pPr>
            <w:r>
              <w:t>1.0</w:t>
            </w:r>
          </w:p>
        </w:tc>
      </w:tr>
    </w:tbl>
    <w:p w14:paraId="444EE939" w14:textId="2951AFCA" w:rsidR="00B55130" w:rsidRPr="003B0B7B" w:rsidRDefault="005B6B76" w:rsidP="0083799E">
      <w:pPr>
        <w:sectPr w:rsidR="00B55130" w:rsidRPr="003B0B7B" w:rsidSect="00D04636">
          <w:pgSz w:w="16840" w:h="11900" w:orient="landscape"/>
          <w:pgMar w:top="1440" w:right="1440" w:bottom="1440" w:left="1440" w:header="708" w:footer="708" w:gutter="0"/>
          <w:lnNumType w:countBy="1" w:restart="continuous"/>
          <w:cols w:space="708"/>
          <w:docGrid w:linePitch="360"/>
        </w:sectPr>
      </w:pPr>
      <w:r>
        <w:t xml:space="preserve">* p-value for the overall comparison. </w:t>
      </w:r>
    </w:p>
    <w:p w14:paraId="3B164161" w14:textId="170D22AD" w:rsidR="00E25157" w:rsidRPr="00D40F04" w:rsidRDefault="00E25157" w:rsidP="00072300">
      <w:pPr>
        <w:pStyle w:val="Heading2"/>
        <w:suppressLineNumbers/>
        <w:rPr>
          <w:sz w:val="24"/>
          <w:szCs w:val="24"/>
        </w:rPr>
      </w:pPr>
      <w:r w:rsidRPr="00D40F04">
        <w:rPr>
          <w:sz w:val="24"/>
          <w:szCs w:val="24"/>
        </w:rPr>
        <w:lastRenderedPageBreak/>
        <w:t xml:space="preserve">Supplementary </w:t>
      </w:r>
      <w:r w:rsidR="00B55130" w:rsidRPr="00D40F04">
        <w:rPr>
          <w:sz w:val="24"/>
          <w:szCs w:val="24"/>
        </w:rPr>
        <w:t>Tables</w:t>
      </w:r>
    </w:p>
    <w:p w14:paraId="25572E8C" w14:textId="029488C4" w:rsidR="00B9655D" w:rsidRPr="00A2569D" w:rsidRDefault="00B9655D" w:rsidP="00072300">
      <w:pPr>
        <w:pStyle w:val="Caption"/>
        <w:suppressLineNumbers/>
      </w:pPr>
      <w:bookmarkStart w:id="9" w:name="_Ref7961609"/>
      <w:r>
        <w:t xml:space="preserve">Supplementary Table </w:t>
      </w:r>
      <w:r w:rsidR="00296C2F">
        <w:fldChar w:fldCharType="begin"/>
      </w:r>
      <w:r w:rsidR="00296C2F">
        <w:instrText xml:space="preserve"> SEQ Supplementary_Table \* ARABIC </w:instrText>
      </w:r>
      <w:r w:rsidR="00296C2F">
        <w:fldChar w:fldCharType="separate"/>
      </w:r>
      <w:r w:rsidR="00C21CFF">
        <w:rPr>
          <w:noProof/>
        </w:rPr>
        <w:t>1</w:t>
      </w:r>
      <w:r w:rsidR="00296C2F">
        <w:rPr>
          <w:noProof/>
        </w:rPr>
        <w:fldChar w:fldCharType="end"/>
      </w:r>
      <w:bookmarkEnd w:id="9"/>
      <w:r w:rsidR="00C45343">
        <w:rPr>
          <w:noProof/>
        </w:rPr>
        <w:t xml:space="preserve"> </w:t>
      </w:r>
      <w:r w:rsidR="00C45343" w:rsidRPr="003B0B7B">
        <w:t xml:space="preserve">* adjusted for </w:t>
      </w:r>
      <w:r w:rsidR="00C45343" w:rsidRPr="00D04636">
        <w:t>time to antibiotic commencement, prior challenge status, vaccine status</w:t>
      </w:r>
      <w:r w:rsidR="00485A21">
        <w:t xml:space="preserve">; </w:t>
      </w:r>
      <w:r w:rsidR="00485A21">
        <w:rPr>
          <w:vertAlign w:val="superscript"/>
        </w:rPr>
        <w:t>§</w:t>
      </w:r>
      <w:r w:rsidR="00485A21">
        <w:t xml:space="preserve"> further adjusted for </w:t>
      </w:r>
      <w:r w:rsidR="00485A21">
        <w:rPr>
          <w:rFonts w:cstheme="minorHAnsi"/>
        </w:rPr>
        <w:t xml:space="preserve">burden of </w:t>
      </w:r>
      <w:r w:rsidR="00192445" w:rsidRPr="00931C80">
        <w:rPr>
          <w:rFonts w:cstheme="minorHAnsi"/>
          <w:iCs w:val="0"/>
        </w:rPr>
        <w:t xml:space="preserve"> </w:t>
      </w:r>
      <w:r w:rsidR="00485A21" w:rsidRPr="00D40F04">
        <w:rPr>
          <w:rFonts w:cstheme="minorHAnsi"/>
          <w:iCs w:val="0"/>
        </w:rPr>
        <w:t>S</w:t>
      </w:r>
      <w:r w:rsidR="00485A21">
        <w:rPr>
          <w:rFonts w:cstheme="minorHAnsi"/>
        </w:rPr>
        <w:t>. Typhi</w:t>
      </w:r>
      <w:r w:rsidR="00192445">
        <w:rPr>
          <w:rFonts w:cstheme="minorHAnsi"/>
        </w:rPr>
        <w:t xml:space="preserve"> </w:t>
      </w:r>
      <w:r w:rsidR="00485A21">
        <w:rPr>
          <w:rFonts w:cstheme="minorHAnsi"/>
        </w:rPr>
        <w:t>in Study A</w:t>
      </w:r>
      <w:r w:rsidR="00192445">
        <w:rPr>
          <w:rFonts w:cstheme="minorHAnsi"/>
        </w:rPr>
        <w:t xml:space="preserve"> as measured using quantitative culture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387"/>
        <w:gridCol w:w="1383"/>
        <w:gridCol w:w="824"/>
        <w:gridCol w:w="1387"/>
        <w:gridCol w:w="1383"/>
        <w:gridCol w:w="677"/>
      </w:tblGrid>
      <w:tr w:rsidR="00B9655D" w:rsidRPr="000406C1" w14:paraId="05C0E63A" w14:textId="77777777" w:rsidTr="00D04636">
        <w:trPr>
          <w:trHeight w:val="428"/>
        </w:trPr>
        <w:tc>
          <w:tcPr>
            <w:tcW w:w="1374" w:type="pct"/>
            <w:vMerge w:val="restart"/>
            <w:tcBorders>
              <w:top w:val="single" w:sz="4" w:space="0" w:color="auto"/>
              <w:bottom w:val="nil"/>
            </w:tcBorders>
            <w:vAlign w:val="center"/>
          </w:tcPr>
          <w:p w14:paraId="1CA16623" w14:textId="77777777" w:rsidR="00B9655D" w:rsidRPr="000406C1" w:rsidRDefault="00B9655D" w:rsidP="0083799E">
            <w:pPr>
              <w:spacing w:line="240" w:lineRule="auto"/>
            </w:pPr>
          </w:p>
        </w:tc>
        <w:tc>
          <w:tcPr>
            <w:tcW w:w="1813" w:type="pct"/>
            <w:gridSpan w:val="3"/>
            <w:tcBorders>
              <w:top w:val="single" w:sz="4" w:space="0" w:color="auto"/>
              <w:bottom w:val="single" w:sz="4" w:space="0" w:color="auto"/>
            </w:tcBorders>
            <w:vAlign w:val="center"/>
          </w:tcPr>
          <w:p w14:paraId="76D805CF" w14:textId="77777777" w:rsidR="00B9655D" w:rsidRPr="0069789C" w:rsidRDefault="00B9655D" w:rsidP="0083799E">
            <w:pPr>
              <w:spacing w:line="240" w:lineRule="auto"/>
            </w:pPr>
            <w:r>
              <w:t>Study A</w:t>
            </w:r>
          </w:p>
        </w:tc>
        <w:tc>
          <w:tcPr>
            <w:tcW w:w="1813" w:type="pct"/>
            <w:gridSpan w:val="3"/>
            <w:tcBorders>
              <w:top w:val="single" w:sz="4" w:space="0" w:color="auto"/>
              <w:bottom w:val="single" w:sz="4" w:space="0" w:color="auto"/>
            </w:tcBorders>
            <w:vAlign w:val="center"/>
          </w:tcPr>
          <w:p w14:paraId="5863BFC6" w14:textId="77777777" w:rsidR="00B9655D" w:rsidRPr="0069789C" w:rsidRDefault="00B9655D" w:rsidP="0083799E">
            <w:pPr>
              <w:spacing w:line="240" w:lineRule="auto"/>
            </w:pPr>
            <w:r>
              <w:t>Study B</w:t>
            </w:r>
          </w:p>
        </w:tc>
      </w:tr>
      <w:tr w:rsidR="00B9655D" w:rsidRPr="000406C1" w14:paraId="5F5C537D" w14:textId="77777777" w:rsidTr="00D04636">
        <w:trPr>
          <w:trHeight w:val="265"/>
        </w:trPr>
        <w:tc>
          <w:tcPr>
            <w:tcW w:w="1374" w:type="pct"/>
            <w:vMerge/>
            <w:tcBorders>
              <w:top w:val="nil"/>
              <w:bottom w:val="single" w:sz="4" w:space="0" w:color="auto"/>
            </w:tcBorders>
            <w:vAlign w:val="center"/>
          </w:tcPr>
          <w:p w14:paraId="544CE3A2" w14:textId="77777777" w:rsidR="00B9655D" w:rsidRPr="000406C1" w:rsidRDefault="00B9655D" w:rsidP="0083799E">
            <w:pPr>
              <w:spacing w:line="240" w:lineRule="auto"/>
            </w:pPr>
          </w:p>
        </w:tc>
        <w:tc>
          <w:tcPr>
            <w:tcW w:w="701" w:type="pct"/>
            <w:tcBorders>
              <w:top w:val="single" w:sz="4" w:space="0" w:color="auto"/>
              <w:bottom w:val="single" w:sz="4" w:space="0" w:color="auto"/>
            </w:tcBorders>
            <w:vAlign w:val="center"/>
          </w:tcPr>
          <w:p w14:paraId="24C5B045" w14:textId="77777777" w:rsidR="00B9655D" w:rsidRPr="00E2719C" w:rsidRDefault="00B9655D" w:rsidP="0083799E">
            <w:pPr>
              <w:spacing w:line="240" w:lineRule="auto"/>
            </w:pPr>
            <w:r w:rsidRPr="001B3582">
              <w:t>Azithromycin</w:t>
            </w:r>
          </w:p>
        </w:tc>
        <w:tc>
          <w:tcPr>
            <w:tcW w:w="716" w:type="pct"/>
            <w:tcBorders>
              <w:top w:val="single" w:sz="4" w:space="0" w:color="auto"/>
              <w:bottom w:val="single" w:sz="4" w:space="0" w:color="auto"/>
            </w:tcBorders>
            <w:vAlign w:val="center"/>
          </w:tcPr>
          <w:p w14:paraId="4F08088E" w14:textId="77777777" w:rsidR="00B9655D" w:rsidRPr="00E2719C" w:rsidRDefault="00B9655D" w:rsidP="0083799E">
            <w:pPr>
              <w:spacing w:line="240" w:lineRule="auto"/>
            </w:pPr>
            <w:r w:rsidRPr="001B3582">
              <w:t>Ciprofloxacin</w:t>
            </w:r>
          </w:p>
        </w:tc>
        <w:tc>
          <w:tcPr>
            <w:tcW w:w="396" w:type="pct"/>
            <w:tcBorders>
              <w:top w:val="single" w:sz="4" w:space="0" w:color="auto"/>
              <w:bottom w:val="single" w:sz="4" w:space="0" w:color="auto"/>
            </w:tcBorders>
            <w:vAlign w:val="center"/>
          </w:tcPr>
          <w:p w14:paraId="023CFFFD" w14:textId="77777777" w:rsidR="00B9655D" w:rsidRPr="00E2719C" w:rsidRDefault="00B9655D" w:rsidP="0083799E">
            <w:pPr>
              <w:spacing w:line="240" w:lineRule="auto"/>
            </w:pPr>
            <w:r>
              <w:t>p</w:t>
            </w:r>
          </w:p>
        </w:tc>
        <w:tc>
          <w:tcPr>
            <w:tcW w:w="677" w:type="pct"/>
            <w:tcBorders>
              <w:top w:val="single" w:sz="4" w:space="0" w:color="auto"/>
              <w:bottom w:val="single" w:sz="4" w:space="0" w:color="auto"/>
            </w:tcBorders>
            <w:vAlign w:val="center"/>
          </w:tcPr>
          <w:p w14:paraId="79353C90" w14:textId="77777777" w:rsidR="00B9655D" w:rsidRPr="00E2719C" w:rsidRDefault="00B9655D" w:rsidP="0083799E">
            <w:pPr>
              <w:spacing w:line="240" w:lineRule="auto"/>
            </w:pPr>
            <w:r w:rsidRPr="001B3582">
              <w:t>Azithromycin</w:t>
            </w:r>
          </w:p>
        </w:tc>
        <w:tc>
          <w:tcPr>
            <w:tcW w:w="716" w:type="pct"/>
            <w:tcBorders>
              <w:top w:val="single" w:sz="4" w:space="0" w:color="auto"/>
              <w:bottom w:val="single" w:sz="4" w:space="0" w:color="auto"/>
            </w:tcBorders>
            <w:vAlign w:val="center"/>
          </w:tcPr>
          <w:p w14:paraId="0A614E3D" w14:textId="77777777" w:rsidR="00B9655D" w:rsidRPr="00E2719C" w:rsidRDefault="00B9655D" w:rsidP="0083799E">
            <w:pPr>
              <w:spacing w:line="240" w:lineRule="auto"/>
            </w:pPr>
            <w:r w:rsidRPr="001B3582">
              <w:t>Ciprofloxacin</w:t>
            </w:r>
          </w:p>
        </w:tc>
        <w:tc>
          <w:tcPr>
            <w:tcW w:w="420" w:type="pct"/>
            <w:tcBorders>
              <w:top w:val="single" w:sz="4" w:space="0" w:color="auto"/>
              <w:bottom w:val="single" w:sz="4" w:space="0" w:color="auto"/>
            </w:tcBorders>
            <w:vAlign w:val="center"/>
          </w:tcPr>
          <w:p w14:paraId="5203302F" w14:textId="77777777" w:rsidR="00B9655D" w:rsidRPr="00E2719C" w:rsidRDefault="00B9655D" w:rsidP="0083799E">
            <w:pPr>
              <w:spacing w:line="240" w:lineRule="auto"/>
            </w:pPr>
            <w:r>
              <w:t>p</w:t>
            </w:r>
          </w:p>
        </w:tc>
      </w:tr>
      <w:tr w:rsidR="00B9655D" w:rsidRPr="000406C1" w14:paraId="6C031351" w14:textId="77777777" w:rsidTr="00D04636">
        <w:trPr>
          <w:trHeight w:val="438"/>
        </w:trPr>
        <w:tc>
          <w:tcPr>
            <w:tcW w:w="1374" w:type="pct"/>
            <w:tcBorders>
              <w:top w:val="single" w:sz="4" w:space="0" w:color="auto"/>
              <w:bottom w:val="single" w:sz="4" w:space="0" w:color="auto"/>
            </w:tcBorders>
            <w:vAlign w:val="center"/>
          </w:tcPr>
          <w:p w14:paraId="73FBC922" w14:textId="77777777" w:rsidR="00B9655D" w:rsidRDefault="00B9655D" w:rsidP="0083799E">
            <w:pPr>
              <w:spacing w:line="240" w:lineRule="auto"/>
            </w:pPr>
            <w:r>
              <w:t>Primary outcome</w:t>
            </w:r>
          </w:p>
        </w:tc>
        <w:tc>
          <w:tcPr>
            <w:tcW w:w="701" w:type="pct"/>
            <w:tcBorders>
              <w:top w:val="single" w:sz="4" w:space="0" w:color="auto"/>
              <w:bottom w:val="single" w:sz="4" w:space="0" w:color="auto"/>
            </w:tcBorders>
            <w:vAlign w:val="center"/>
          </w:tcPr>
          <w:p w14:paraId="1D601EAE" w14:textId="77777777" w:rsidR="00B9655D" w:rsidRDefault="00B9655D" w:rsidP="0083799E">
            <w:pPr>
              <w:spacing w:line="240" w:lineRule="auto"/>
            </w:pPr>
          </w:p>
        </w:tc>
        <w:tc>
          <w:tcPr>
            <w:tcW w:w="716" w:type="pct"/>
            <w:tcBorders>
              <w:top w:val="single" w:sz="4" w:space="0" w:color="auto"/>
              <w:bottom w:val="single" w:sz="4" w:space="0" w:color="auto"/>
            </w:tcBorders>
            <w:vAlign w:val="center"/>
          </w:tcPr>
          <w:p w14:paraId="0B85C079" w14:textId="77777777" w:rsidR="00B9655D" w:rsidRDefault="00B9655D" w:rsidP="0083799E">
            <w:pPr>
              <w:spacing w:line="240" w:lineRule="auto"/>
            </w:pPr>
          </w:p>
        </w:tc>
        <w:tc>
          <w:tcPr>
            <w:tcW w:w="396" w:type="pct"/>
            <w:tcBorders>
              <w:top w:val="single" w:sz="4" w:space="0" w:color="auto"/>
              <w:bottom w:val="single" w:sz="4" w:space="0" w:color="auto"/>
            </w:tcBorders>
            <w:vAlign w:val="center"/>
          </w:tcPr>
          <w:p w14:paraId="25358B78" w14:textId="77777777" w:rsidR="00B9655D" w:rsidRDefault="00B9655D" w:rsidP="0083799E">
            <w:pPr>
              <w:spacing w:line="240" w:lineRule="auto"/>
            </w:pPr>
          </w:p>
        </w:tc>
        <w:tc>
          <w:tcPr>
            <w:tcW w:w="677" w:type="pct"/>
            <w:tcBorders>
              <w:top w:val="single" w:sz="4" w:space="0" w:color="auto"/>
              <w:bottom w:val="single" w:sz="4" w:space="0" w:color="auto"/>
            </w:tcBorders>
            <w:vAlign w:val="center"/>
          </w:tcPr>
          <w:p w14:paraId="12344633" w14:textId="77777777" w:rsidR="00B9655D" w:rsidRDefault="00B9655D" w:rsidP="0083799E">
            <w:pPr>
              <w:spacing w:line="240" w:lineRule="auto"/>
            </w:pPr>
          </w:p>
        </w:tc>
        <w:tc>
          <w:tcPr>
            <w:tcW w:w="716" w:type="pct"/>
            <w:tcBorders>
              <w:top w:val="single" w:sz="4" w:space="0" w:color="auto"/>
              <w:bottom w:val="single" w:sz="4" w:space="0" w:color="auto"/>
            </w:tcBorders>
            <w:vAlign w:val="center"/>
          </w:tcPr>
          <w:p w14:paraId="7A75D091" w14:textId="77777777" w:rsidR="00B9655D" w:rsidRDefault="00B9655D" w:rsidP="0083799E">
            <w:pPr>
              <w:spacing w:line="240" w:lineRule="auto"/>
            </w:pPr>
          </w:p>
        </w:tc>
        <w:tc>
          <w:tcPr>
            <w:tcW w:w="420" w:type="pct"/>
            <w:tcBorders>
              <w:top w:val="single" w:sz="4" w:space="0" w:color="auto"/>
              <w:bottom w:val="single" w:sz="4" w:space="0" w:color="auto"/>
            </w:tcBorders>
            <w:vAlign w:val="center"/>
          </w:tcPr>
          <w:p w14:paraId="14CF33CE" w14:textId="77777777" w:rsidR="00B9655D" w:rsidRDefault="00B9655D" w:rsidP="0083799E">
            <w:pPr>
              <w:spacing w:line="240" w:lineRule="auto"/>
            </w:pPr>
          </w:p>
        </w:tc>
      </w:tr>
      <w:tr w:rsidR="00B9655D" w:rsidRPr="000406C1" w14:paraId="5297306C" w14:textId="77777777" w:rsidTr="00D04636">
        <w:trPr>
          <w:trHeight w:val="438"/>
        </w:trPr>
        <w:tc>
          <w:tcPr>
            <w:tcW w:w="1374" w:type="pct"/>
            <w:tcBorders>
              <w:top w:val="single" w:sz="4" w:space="0" w:color="auto"/>
              <w:bottom w:val="nil"/>
            </w:tcBorders>
            <w:vAlign w:val="center"/>
          </w:tcPr>
          <w:p w14:paraId="4D08EE14" w14:textId="77777777" w:rsidR="00B9655D" w:rsidRPr="00E167F8" w:rsidRDefault="00B9655D" w:rsidP="0083799E">
            <w:pPr>
              <w:spacing w:line="240" w:lineRule="auto"/>
            </w:pPr>
            <w:r>
              <w:t>B</w:t>
            </w:r>
            <w:r w:rsidRPr="000467C2">
              <w:t>acteraemia</w:t>
            </w:r>
            <w:r>
              <w:t xml:space="preserve"> clearance</w:t>
            </w:r>
          </w:p>
        </w:tc>
        <w:tc>
          <w:tcPr>
            <w:tcW w:w="701" w:type="pct"/>
            <w:tcBorders>
              <w:top w:val="single" w:sz="4" w:space="0" w:color="auto"/>
              <w:bottom w:val="nil"/>
            </w:tcBorders>
            <w:vAlign w:val="center"/>
          </w:tcPr>
          <w:p w14:paraId="6AA26595" w14:textId="77777777" w:rsidR="00B9655D" w:rsidRDefault="00B9655D" w:rsidP="0083799E">
            <w:pPr>
              <w:spacing w:line="240" w:lineRule="auto"/>
            </w:pPr>
            <w:r>
              <w:t>N=26</w:t>
            </w:r>
          </w:p>
        </w:tc>
        <w:tc>
          <w:tcPr>
            <w:tcW w:w="716" w:type="pct"/>
            <w:tcBorders>
              <w:top w:val="single" w:sz="4" w:space="0" w:color="auto"/>
              <w:bottom w:val="nil"/>
            </w:tcBorders>
            <w:vAlign w:val="center"/>
          </w:tcPr>
          <w:p w14:paraId="731FE9AE" w14:textId="77777777" w:rsidR="00B9655D" w:rsidRDefault="00B9655D" w:rsidP="0083799E">
            <w:pPr>
              <w:spacing w:line="240" w:lineRule="auto"/>
            </w:pPr>
            <w:r>
              <w:t>N=7</w:t>
            </w:r>
          </w:p>
        </w:tc>
        <w:tc>
          <w:tcPr>
            <w:tcW w:w="396" w:type="pct"/>
            <w:tcBorders>
              <w:top w:val="single" w:sz="4" w:space="0" w:color="auto"/>
              <w:bottom w:val="nil"/>
            </w:tcBorders>
            <w:vAlign w:val="center"/>
          </w:tcPr>
          <w:p w14:paraId="2A54AF46" w14:textId="77777777" w:rsidR="00B9655D" w:rsidRDefault="00B9655D" w:rsidP="0083799E">
            <w:pPr>
              <w:spacing w:line="240" w:lineRule="auto"/>
            </w:pPr>
          </w:p>
        </w:tc>
        <w:tc>
          <w:tcPr>
            <w:tcW w:w="677" w:type="pct"/>
            <w:tcBorders>
              <w:top w:val="single" w:sz="4" w:space="0" w:color="auto"/>
              <w:bottom w:val="nil"/>
            </w:tcBorders>
            <w:vAlign w:val="center"/>
          </w:tcPr>
          <w:p w14:paraId="0DD4DC09" w14:textId="77777777" w:rsidR="00B9655D" w:rsidRDefault="00B9655D" w:rsidP="0083799E">
            <w:pPr>
              <w:spacing w:line="240" w:lineRule="auto"/>
            </w:pPr>
            <w:r>
              <w:t>N=17</w:t>
            </w:r>
          </w:p>
        </w:tc>
        <w:tc>
          <w:tcPr>
            <w:tcW w:w="716" w:type="pct"/>
            <w:tcBorders>
              <w:top w:val="single" w:sz="4" w:space="0" w:color="auto"/>
              <w:bottom w:val="nil"/>
            </w:tcBorders>
            <w:vAlign w:val="center"/>
          </w:tcPr>
          <w:p w14:paraId="3A0A0350" w14:textId="77777777" w:rsidR="00B9655D" w:rsidRDefault="00B9655D" w:rsidP="0083799E">
            <w:pPr>
              <w:spacing w:line="240" w:lineRule="auto"/>
            </w:pPr>
            <w:r>
              <w:t>N=8</w:t>
            </w:r>
          </w:p>
        </w:tc>
        <w:tc>
          <w:tcPr>
            <w:tcW w:w="420" w:type="pct"/>
            <w:tcBorders>
              <w:top w:val="single" w:sz="4" w:space="0" w:color="auto"/>
              <w:bottom w:val="nil"/>
            </w:tcBorders>
            <w:vAlign w:val="center"/>
          </w:tcPr>
          <w:p w14:paraId="2D2DD6D3" w14:textId="77777777" w:rsidR="00B9655D" w:rsidRDefault="00B9655D" w:rsidP="0083799E">
            <w:pPr>
              <w:spacing w:line="240" w:lineRule="auto"/>
            </w:pPr>
          </w:p>
        </w:tc>
      </w:tr>
      <w:tr w:rsidR="00B9655D" w:rsidRPr="000406C1" w14:paraId="7387A40A" w14:textId="77777777" w:rsidTr="00D40F04">
        <w:trPr>
          <w:trHeight w:val="415"/>
        </w:trPr>
        <w:tc>
          <w:tcPr>
            <w:tcW w:w="1374" w:type="pct"/>
            <w:tcBorders>
              <w:top w:val="nil"/>
              <w:bottom w:val="nil"/>
            </w:tcBorders>
            <w:vAlign w:val="center"/>
          </w:tcPr>
          <w:p w14:paraId="0D297BED" w14:textId="77777777" w:rsidR="00B9655D" w:rsidRPr="006B2405" w:rsidRDefault="00B9655D" w:rsidP="0083799E">
            <w:pPr>
              <w:spacing w:line="240" w:lineRule="auto"/>
            </w:pPr>
            <w:r>
              <w:t>Crude model</w:t>
            </w:r>
          </w:p>
        </w:tc>
        <w:tc>
          <w:tcPr>
            <w:tcW w:w="701" w:type="pct"/>
            <w:tcBorders>
              <w:top w:val="nil"/>
              <w:bottom w:val="nil"/>
            </w:tcBorders>
            <w:vAlign w:val="center"/>
          </w:tcPr>
          <w:p w14:paraId="0B83DAAA" w14:textId="77777777" w:rsidR="00B9655D" w:rsidRPr="00E2719C" w:rsidRDefault="00B9655D" w:rsidP="0083799E">
            <w:pPr>
              <w:spacing w:line="240" w:lineRule="auto"/>
            </w:pPr>
            <w:r>
              <w:t>Ref</w:t>
            </w:r>
          </w:p>
        </w:tc>
        <w:tc>
          <w:tcPr>
            <w:tcW w:w="716" w:type="pct"/>
            <w:tcBorders>
              <w:top w:val="nil"/>
              <w:bottom w:val="nil"/>
            </w:tcBorders>
            <w:vAlign w:val="center"/>
          </w:tcPr>
          <w:p w14:paraId="5DD2969F" w14:textId="77777777" w:rsidR="00192445" w:rsidRDefault="00B9655D" w:rsidP="0083799E">
            <w:pPr>
              <w:spacing w:line="240" w:lineRule="auto"/>
            </w:pPr>
            <w:r>
              <w:t xml:space="preserve">61.3 </w:t>
            </w:r>
          </w:p>
          <w:p w14:paraId="5C685BA3" w14:textId="3F9F5026" w:rsidR="00B9655D" w:rsidRPr="00E2719C" w:rsidRDefault="00B9655D" w:rsidP="0083799E">
            <w:pPr>
              <w:spacing w:line="240" w:lineRule="auto"/>
            </w:pPr>
            <w:r>
              <w:t>(7.2-523.6)</w:t>
            </w:r>
          </w:p>
        </w:tc>
        <w:tc>
          <w:tcPr>
            <w:tcW w:w="396" w:type="pct"/>
            <w:tcBorders>
              <w:top w:val="nil"/>
              <w:bottom w:val="nil"/>
            </w:tcBorders>
            <w:vAlign w:val="center"/>
          </w:tcPr>
          <w:p w14:paraId="2A9058AE" w14:textId="77777777" w:rsidR="00B9655D" w:rsidRPr="00E2719C" w:rsidRDefault="00B9655D" w:rsidP="0083799E">
            <w:pPr>
              <w:spacing w:line="240" w:lineRule="auto"/>
            </w:pPr>
            <w:r>
              <w:t>&lt;0.001</w:t>
            </w:r>
          </w:p>
        </w:tc>
        <w:tc>
          <w:tcPr>
            <w:tcW w:w="677" w:type="pct"/>
            <w:tcBorders>
              <w:top w:val="nil"/>
              <w:bottom w:val="nil"/>
            </w:tcBorders>
            <w:vAlign w:val="center"/>
          </w:tcPr>
          <w:p w14:paraId="7EA6C43A" w14:textId="77777777" w:rsidR="00B9655D" w:rsidRPr="00E2719C" w:rsidRDefault="00B9655D" w:rsidP="0083799E">
            <w:pPr>
              <w:spacing w:line="240" w:lineRule="auto"/>
            </w:pPr>
            <w:r>
              <w:t>Ref</w:t>
            </w:r>
          </w:p>
        </w:tc>
        <w:tc>
          <w:tcPr>
            <w:tcW w:w="716" w:type="pct"/>
            <w:tcBorders>
              <w:top w:val="nil"/>
              <w:bottom w:val="nil"/>
            </w:tcBorders>
            <w:vAlign w:val="center"/>
          </w:tcPr>
          <w:p w14:paraId="4DDBCB93" w14:textId="77777777" w:rsidR="00192445" w:rsidRDefault="00B9655D" w:rsidP="0083799E">
            <w:pPr>
              <w:spacing w:line="240" w:lineRule="auto"/>
            </w:pPr>
            <w:r>
              <w:t xml:space="preserve">4.6 </w:t>
            </w:r>
          </w:p>
          <w:p w14:paraId="5EC2EE0A" w14:textId="353859DA" w:rsidR="00B9655D" w:rsidRPr="00E2719C" w:rsidRDefault="00B9655D" w:rsidP="0083799E">
            <w:pPr>
              <w:spacing w:line="240" w:lineRule="auto"/>
            </w:pPr>
            <w:r>
              <w:t>(1.7-13.0)</w:t>
            </w:r>
          </w:p>
        </w:tc>
        <w:tc>
          <w:tcPr>
            <w:tcW w:w="420" w:type="pct"/>
            <w:tcBorders>
              <w:top w:val="nil"/>
              <w:bottom w:val="nil"/>
            </w:tcBorders>
            <w:vAlign w:val="center"/>
          </w:tcPr>
          <w:p w14:paraId="7732D0F8" w14:textId="77777777" w:rsidR="00B9655D" w:rsidRPr="00E2719C" w:rsidRDefault="00B9655D" w:rsidP="0083799E">
            <w:pPr>
              <w:spacing w:line="240" w:lineRule="auto"/>
            </w:pPr>
            <w:r>
              <w:t>0.003</w:t>
            </w:r>
          </w:p>
        </w:tc>
      </w:tr>
      <w:tr w:rsidR="00B9655D" w:rsidRPr="000406C1" w14:paraId="61736E23" w14:textId="77777777" w:rsidTr="00D40F04">
        <w:trPr>
          <w:trHeight w:val="583"/>
        </w:trPr>
        <w:tc>
          <w:tcPr>
            <w:tcW w:w="1374" w:type="pct"/>
            <w:tcBorders>
              <w:top w:val="nil"/>
              <w:bottom w:val="nil"/>
            </w:tcBorders>
            <w:vAlign w:val="center"/>
          </w:tcPr>
          <w:p w14:paraId="35AD0DD8"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nil"/>
            </w:tcBorders>
            <w:vAlign w:val="center"/>
          </w:tcPr>
          <w:p w14:paraId="4AF8D4D6" w14:textId="77777777" w:rsidR="00B9655D" w:rsidRPr="00E2719C" w:rsidRDefault="00B9655D" w:rsidP="0083799E">
            <w:pPr>
              <w:spacing w:line="240" w:lineRule="auto"/>
            </w:pPr>
            <w:r>
              <w:t>Ref</w:t>
            </w:r>
          </w:p>
        </w:tc>
        <w:tc>
          <w:tcPr>
            <w:tcW w:w="716" w:type="pct"/>
            <w:tcBorders>
              <w:top w:val="nil"/>
              <w:bottom w:val="nil"/>
            </w:tcBorders>
            <w:vAlign w:val="center"/>
          </w:tcPr>
          <w:p w14:paraId="79C6DBBF" w14:textId="77777777" w:rsidR="00192445" w:rsidRDefault="00B9655D" w:rsidP="0083799E">
            <w:pPr>
              <w:spacing w:line="240" w:lineRule="auto"/>
            </w:pPr>
            <w:r>
              <w:t xml:space="preserve">81.3 </w:t>
            </w:r>
          </w:p>
          <w:p w14:paraId="4709E684" w14:textId="72E94346" w:rsidR="00B9655D" w:rsidRPr="00E2719C" w:rsidRDefault="00B9655D" w:rsidP="0083799E">
            <w:pPr>
              <w:spacing w:line="240" w:lineRule="auto"/>
            </w:pPr>
            <w:r>
              <w:t>(8.2-805.0)</w:t>
            </w:r>
          </w:p>
        </w:tc>
        <w:tc>
          <w:tcPr>
            <w:tcW w:w="396" w:type="pct"/>
            <w:tcBorders>
              <w:top w:val="nil"/>
              <w:bottom w:val="nil"/>
            </w:tcBorders>
            <w:vAlign w:val="center"/>
          </w:tcPr>
          <w:p w14:paraId="61DD2873" w14:textId="77777777" w:rsidR="00B9655D" w:rsidRPr="00E2719C" w:rsidRDefault="00B9655D" w:rsidP="0083799E">
            <w:pPr>
              <w:spacing w:line="240" w:lineRule="auto"/>
            </w:pPr>
            <w:r>
              <w:t>&lt;0.001</w:t>
            </w:r>
          </w:p>
        </w:tc>
        <w:tc>
          <w:tcPr>
            <w:tcW w:w="677" w:type="pct"/>
            <w:tcBorders>
              <w:top w:val="nil"/>
              <w:bottom w:val="nil"/>
            </w:tcBorders>
            <w:vAlign w:val="center"/>
          </w:tcPr>
          <w:p w14:paraId="7C659D17" w14:textId="77777777" w:rsidR="00B9655D" w:rsidRPr="00E2719C" w:rsidRDefault="00B9655D" w:rsidP="0083799E">
            <w:pPr>
              <w:spacing w:line="240" w:lineRule="auto"/>
            </w:pPr>
            <w:r>
              <w:t>Ref</w:t>
            </w:r>
          </w:p>
        </w:tc>
        <w:tc>
          <w:tcPr>
            <w:tcW w:w="716" w:type="pct"/>
            <w:tcBorders>
              <w:top w:val="nil"/>
              <w:bottom w:val="nil"/>
            </w:tcBorders>
            <w:vAlign w:val="center"/>
          </w:tcPr>
          <w:p w14:paraId="0B040B76" w14:textId="60196BC3" w:rsidR="00192445" w:rsidRDefault="00B9655D" w:rsidP="0083799E">
            <w:pPr>
              <w:spacing w:line="240" w:lineRule="auto"/>
            </w:pPr>
            <w:r>
              <w:t>1</w:t>
            </w:r>
            <w:r w:rsidR="00485A21">
              <w:t>2</w:t>
            </w:r>
            <w:r>
              <w:t>.</w:t>
            </w:r>
            <w:r w:rsidR="00485A21">
              <w:t xml:space="preserve">1 </w:t>
            </w:r>
          </w:p>
          <w:p w14:paraId="614868F9" w14:textId="272AF84C" w:rsidR="00B9655D" w:rsidRPr="00E2719C" w:rsidRDefault="00B9655D" w:rsidP="0083799E">
            <w:pPr>
              <w:spacing w:line="240" w:lineRule="auto"/>
            </w:pPr>
            <w:r>
              <w:t>(2.</w:t>
            </w:r>
            <w:r w:rsidR="00485A21">
              <w:t>4</w:t>
            </w:r>
            <w:r>
              <w:t>-6</w:t>
            </w:r>
            <w:r w:rsidR="00485A21">
              <w:t>1</w:t>
            </w:r>
            <w:r>
              <w:t>.</w:t>
            </w:r>
            <w:r w:rsidR="00485A21">
              <w:t>4</w:t>
            </w:r>
            <w:r>
              <w:t>)</w:t>
            </w:r>
          </w:p>
        </w:tc>
        <w:tc>
          <w:tcPr>
            <w:tcW w:w="420" w:type="pct"/>
            <w:tcBorders>
              <w:top w:val="nil"/>
              <w:bottom w:val="nil"/>
            </w:tcBorders>
            <w:vAlign w:val="center"/>
          </w:tcPr>
          <w:p w14:paraId="31F00EC5" w14:textId="368436CE" w:rsidR="00B9655D" w:rsidRPr="00E2719C" w:rsidRDefault="00B9655D" w:rsidP="0083799E">
            <w:pPr>
              <w:spacing w:line="240" w:lineRule="auto"/>
            </w:pPr>
            <w:r>
              <w:t>0.00</w:t>
            </w:r>
            <w:r w:rsidR="00485A21">
              <w:t>3</w:t>
            </w:r>
          </w:p>
        </w:tc>
      </w:tr>
      <w:tr w:rsidR="00485A21" w:rsidRPr="000406C1" w14:paraId="669B7E4F" w14:textId="77777777" w:rsidTr="00D40F04">
        <w:trPr>
          <w:trHeight w:val="583"/>
        </w:trPr>
        <w:tc>
          <w:tcPr>
            <w:tcW w:w="1374" w:type="pct"/>
            <w:tcBorders>
              <w:top w:val="nil"/>
              <w:bottom w:val="single" w:sz="4" w:space="0" w:color="auto"/>
            </w:tcBorders>
            <w:vAlign w:val="center"/>
          </w:tcPr>
          <w:p w14:paraId="61C47699" w14:textId="2CD99929" w:rsidR="00485A21" w:rsidRDefault="00485A21" w:rsidP="00A2569D">
            <w:pPr>
              <w:spacing w:line="240" w:lineRule="auto"/>
            </w:pPr>
            <w:r>
              <w:t>Multivariable adjusted</w:t>
            </w:r>
            <w:r>
              <w:rPr>
                <w:vertAlign w:val="superscript"/>
              </w:rPr>
              <w:t>§</w:t>
            </w:r>
          </w:p>
        </w:tc>
        <w:tc>
          <w:tcPr>
            <w:tcW w:w="701" w:type="pct"/>
            <w:tcBorders>
              <w:top w:val="nil"/>
              <w:bottom w:val="single" w:sz="4" w:space="0" w:color="auto"/>
            </w:tcBorders>
            <w:vAlign w:val="center"/>
          </w:tcPr>
          <w:p w14:paraId="4906AC77" w14:textId="3AA79FFE" w:rsidR="00485A21" w:rsidRDefault="00485A21" w:rsidP="0083799E">
            <w:pPr>
              <w:spacing w:line="240" w:lineRule="auto"/>
            </w:pPr>
            <w:r>
              <w:t>Ref</w:t>
            </w:r>
          </w:p>
        </w:tc>
        <w:tc>
          <w:tcPr>
            <w:tcW w:w="716" w:type="pct"/>
            <w:tcBorders>
              <w:top w:val="nil"/>
              <w:bottom w:val="single" w:sz="4" w:space="0" w:color="auto"/>
            </w:tcBorders>
            <w:vAlign w:val="center"/>
          </w:tcPr>
          <w:p w14:paraId="78F2257F" w14:textId="77777777" w:rsidR="00192445" w:rsidRDefault="00D94425" w:rsidP="0083799E">
            <w:pPr>
              <w:spacing w:line="240" w:lineRule="auto"/>
            </w:pPr>
            <w:r>
              <w:t xml:space="preserve">49.0 </w:t>
            </w:r>
          </w:p>
          <w:p w14:paraId="201325C0" w14:textId="5CE93063" w:rsidR="00485A21" w:rsidRDefault="00D94425" w:rsidP="0083799E">
            <w:pPr>
              <w:spacing w:line="240" w:lineRule="auto"/>
            </w:pPr>
            <w:r>
              <w:t>(5.2-459.1)</w:t>
            </w:r>
          </w:p>
        </w:tc>
        <w:tc>
          <w:tcPr>
            <w:tcW w:w="396" w:type="pct"/>
            <w:tcBorders>
              <w:top w:val="nil"/>
              <w:bottom w:val="single" w:sz="4" w:space="0" w:color="auto"/>
            </w:tcBorders>
            <w:vAlign w:val="center"/>
          </w:tcPr>
          <w:p w14:paraId="199C0C65" w14:textId="696BF772" w:rsidR="00485A21" w:rsidRDefault="00D94425" w:rsidP="0083799E">
            <w:pPr>
              <w:spacing w:line="240" w:lineRule="auto"/>
            </w:pPr>
            <w:r>
              <w:t>0.001</w:t>
            </w:r>
          </w:p>
        </w:tc>
        <w:tc>
          <w:tcPr>
            <w:tcW w:w="677" w:type="pct"/>
            <w:tcBorders>
              <w:top w:val="nil"/>
              <w:bottom w:val="single" w:sz="4" w:space="0" w:color="auto"/>
            </w:tcBorders>
            <w:vAlign w:val="center"/>
          </w:tcPr>
          <w:p w14:paraId="129449C6" w14:textId="77777777" w:rsidR="00485A21" w:rsidRDefault="00485A21" w:rsidP="0083799E">
            <w:pPr>
              <w:spacing w:line="240" w:lineRule="auto"/>
            </w:pPr>
          </w:p>
        </w:tc>
        <w:tc>
          <w:tcPr>
            <w:tcW w:w="716" w:type="pct"/>
            <w:tcBorders>
              <w:top w:val="nil"/>
              <w:bottom w:val="single" w:sz="4" w:space="0" w:color="auto"/>
            </w:tcBorders>
            <w:vAlign w:val="center"/>
          </w:tcPr>
          <w:p w14:paraId="5DDEE48E" w14:textId="77777777" w:rsidR="00485A21" w:rsidRDefault="00485A21" w:rsidP="0083799E">
            <w:pPr>
              <w:spacing w:line="240" w:lineRule="auto"/>
            </w:pPr>
          </w:p>
        </w:tc>
        <w:tc>
          <w:tcPr>
            <w:tcW w:w="420" w:type="pct"/>
            <w:tcBorders>
              <w:top w:val="nil"/>
              <w:bottom w:val="single" w:sz="4" w:space="0" w:color="auto"/>
            </w:tcBorders>
            <w:vAlign w:val="center"/>
          </w:tcPr>
          <w:p w14:paraId="4AF2FB32" w14:textId="77777777" w:rsidR="00485A21" w:rsidRDefault="00485A21" w:rsidP="0083799E">
            <w:pPr>
              <w:spacing w:line="240" w:lineRule="auto"/>
            </w:pPr>
          </w:p>
        </w:tc>
      </w:tr>
      <w:tr w:rsidR="00B9655D" w14:paraId="574D1FCF" w14:textId="77777777" w:rsidTr="00D04636">
        <w:trPr>
          <w:trHeight w:val="438"/>
        </w:trPr>
        <w:tc>
          <w:tcPr>
            <w:tcW w:w="1374" w:type="pct"/>
            <w:tcBorders>
              <w:top w:val="single" w:sz="4" w:space="0" w:color="auto"/>
              <w:bottom w:val="nil"/>
            </w:tcBorders>
            <w:vAlign w:val="center"/>
          </w:tcPr>
          <w:p w14:paraId="24551500" w14:textId="77777777" w:rsidR="00B9655D" w:rsidRPr="00E167F8" w:rsidRDefault="00B9655D" w:rsidP="0083799E">
            <w:pPr>
              <w:spacing w:line="240" w:lineRule="auto"/>
            </w:pPr>
            <w:r>
              <w:t xml:space="preserve">Fever Clearance (Fever </w:t>
            </w:r>
            <w:r w:rsidRPr="00BC4F3A">
              <w:rPr>
                <w:rFonts w:cstheme="minorHAnsi"/>
              </w:rPr>
              <w:t>≥38</w:t>
            </w:r>
            <w:r>
              <w:t>)</w:t>
            </w:r>
          </w:p>
        </w:tc>
        <w:tc>
          <w:tcPr>
            <w:tcW w:w="701" w:type="pct"/>
            <w:tcBorders>
              <w:top w:val="single" w:sz="4" w:space="0" w:color="auto"/>
              <w:bottom w:val="nil"/>
            </w:tcBorders>
          </w:tcPr>
          <w:p w14:paraId="6F136422" w14:textId="77777777" w:rsidR="00B9655D" w:rsidRDefault="00B9655D" w:rsidP="0083799E">
            <w:pPr>
              <w:spacing w:line="240" w:lineRule="auto"/>
            </w:pPr>
            <w:r>
              <w:t>N=18</w:t>
            </w:r>
          </w:p>
        </w:tc>
        <w:tc>
          <w:tcPr>
            <w:tcW w:w="716" w:type="pct"/>
            <w:tcBorders>
              <w:top w:val="single" w:sz="4" w:space="0" w:color="auto"/>
              <w:bottom w:val="nil"/>
            </w:tcBorders>
          </w:tcPr>
          <w:p w14:paraId="55F562F6" w14:textId="77777777" w:rsidR="00B9655D" w:rsidRDefault="00B9655D" w:rsidP="0083799E">
            <w:pPr>
              <w:spacing w:line="240" w:lineRule="auto"/>
            </w:pPr>
            <w:r>
              <w:t>N=10</w:t>
            </w:r>
          </w:p>
        </w:tc>
        <w:tc>
          <w:tcPr>
            <w:tcW w:w="396" w:type="pct"/>
            <w:tcBorders>
              <w:top w:val="single" w:sz="4" w:space="0" w:color="auto"/>
              <w:bottom w:val="nil"/>
            </w:tcBorders>
          </w:tcPr>
          <w:p w14:paraId="41E265E3" w14:textId="77777777" w:rsidR="00B9655D" w:rsidRDefault="00B9655D" w:rsidP="0083799E">
            <w:pPr>
              <w:spacing w:line="240" w:lineRule="auto"/>
            </w:pPr>
          </w:p>
        </w:tc>
        <w:tc>
          <w:tcPr>
            <w:tcW w:w="677" w:type="pct"/>
            <w:tcBorders>
              <w:top w:val="single" w:sz="4" w:space="0" w:color="auto"/>
              <w:bottom w:val="nil"/>
            </w:tcBorders>
          </w:tcPr>
          <w:p w14:paraId="256B8C3C" w14:textId="77777777" w:rsidR="00B9655D" w:rsidRDefault="00B9655D" w:rsidP="0083799E">
            <w:pPr>
              <w:spacing w:line="240" w:lineRule="auto"/>
            </w:pPr>
            <w:r>
              <w:t>N=9</w:t>
            </w:r>
          </w:p>
        </w:tc>
        <w:tc>
          <w:tcPr>
            <w:tcW w:w="716" w:type="pct"/>
            <w:tcBorders>
              <w:top w:val="single" w:sz="4" w:space="0" w:color="auto"/>
              <w:bottom w:val="nil"/>
            </w:tcBorders>
          </w:tcPr>
          <w:p w14:paraId="29EF9A50" w14:textId="77777777" w:rsidR="00B9655D" w:rsidRDefault="00B9655D" w:rsidP="0083799E">
            <w:pPr>
              <w:spacing w:line="240" w:lineRule="auto"/>
            </w:pPr>
            <w:r>
              <w:t>N=9</w:t>
            </w:r>
          </w:p>
        </w:tc>
        <w:tc>
          <w:tcPr>
            <w:tcW w:w="420" w:type="pct"/>
            <w:tcBorders>
              <w:top w:val="single" w:sz="4" w:space="0" w:color="auto"/>
              <w:bottom w:val="nil"/>
            </w:tcBorders>
          </w:tcPr>
          <w:p w14:paraId="67FFB199" w14:textId="77777777" w:rsidR="00B9655D" w:rsidRDefault="00B9655D" w:rsidP="0083799E">
            <w:pPr>
              <w:spacing w:line="240" w:lineRule="auto"/>
            </w:pPr>
          </w:p>
        </w:tc>
      </w:tr>
      <w:tr w:rsidR="00B9655D" w:rsidRPr="00E2719C" w14:paraId="03742D9F" w14:textId="77777777" w:rsidTr="00D04636">
        <w:trPr>
          <w:trHeight w:val="415"/>
        </w:trPr>
        <w:tc>
          <w:tcPr>
            <w:tcW w:w="1374" w:type="pct"/>
            <w:tcBorders>
              <w:top w:val="nil"/>
              <w:bottom w:val="nil"/>
            </w:tcBorders>
            <w:vAlign w:val="center"/>
          </w:tcPr>
          <w:p w14:paraId="44CA3140" w14:textId="77777777" w:rsidR="00B9655D" w:rsidRPr="006B2405" w:rsidRDefault="00B9655D" w:rsidP="0083799E">
            <w:pPr>
              <w:spacing w:line="240" w:lineRule="auto"/>
            </w:pPr>
            <w:r>
              <w:t>Crude model</w:t>
            </w:r>
          </w:p>
        </w:tc>
        <w:tc>
          <w:tcPr>
            <w:tcW w:w="701" w:type="pct"/>
            <w:tcBorders>
              <w:top w:val="nil"/>
              <w:bottom w:val="nil"/>
            </w:tcBorders>
          </w:tcPr>
          <w:p w14:paraId="1BD0310E" w14:textId="77777777" w:rsidR="00B9655D" w:rsidRPr="00E2719C" w:rsidRDefault="00B9655D" w:rsidP="0083799E">
            <w:pPr>
              <w:spacing w:line="240" w:lineRule="auto"/>
            </w:pPr>
            <w:r>
              <w:t>Ref</w:t>
            </w:r>
          </w:p>
        </w:tc>
        <w:tc>
          <w:tcPr>
            <w:tcW w:w="716" w:type="pct"/>
            <w:tcBorders>
              <w:top w:val="nil"/>
              <w:bottom w:val="nil"/>
            </w:tcBorders>
          </w:tcPr>
          <w:p w14:paraId="1CF6A088" w14:textId="77777777" w:rsidR="00B9655D" w:rsidRPr="00E2719C" w:rsidRDefault="00B9655D" w:rsidP="0083799E">
            <w:pPr>
              <w:spacing w:line="240" w:lineRule="auto"/>
            </w:pPr>
            <w:r>
              <w:t>2.4 (1.0-5.9)</w:t>
            </w:r>
          </w:p>
        </w:tc>
        <w:tc>
          <w:tcPr>
            <w:tcW w:w="396" w:type="pct"/>
            <w:tcBorders>
              <w:top w:val="nil"/>
              <w:bottom w:val="nil"/>
            </w:tcBorders>
          </w:tcPr>
          <w:p w14:paraId="3C794EF5" w14:textId="77777777" w:rsidR="00B9655D" w:rsidRPr="00E2719C" w:rsidRDefault="00B9655D" w:rsidP="0083799E">
            <w:pPr>
              <w:spacing w:line="240" w:lineRule="auto"/>
            </w:pPr>
            <w:r>
              <w:t>0.06</w:t>
            </w:r>
          </w:p>
        </w:tc>
        <w:tc>
          <w:tcPr>
            <w:tcW w:w="677" w:type="pct"/>
            <w:tcBorders>
              <w:top w:val="nil"/>
              <w:bottom w:val="nil"/>
            </w:tcBorders>
          </w:tcPr>
          <w:p w14:paraId="14D6E6C5" w14:textId="77777777" w:rsidR="00B9655D" w:rsidRPr="00E2719C" w:rsidRDefault="00B9655D" w:rsidP="0083799E">
            <w:pPr>
              <w:spacing w:line="240" w:lineRule="auto"/>
            </w:pPr>
            <w:r>
              <w:t>Ref</w:t>
            </w:r>
          </w:p>
        </w:tc>
        <w:tc>
          <w:tcPr>
            <w:tcW w:w="716" w:type="pct"/>
            <w:tcBorders>
              <w:top w:val="nil"/>
              <w:bottom w:val="nil"/>
            </w:tcBorders>
          </w:tcPr>
          <w:p w14:paraId="135FDE46" w14:textId="77777777" w:rsidR="00B9655D" w:rsidRPr="00E2719C" w:rsidRDefault="00B9655D" w:rsidP="0083799E">
            <w:pPr>
              <w:spacing w:line="240" w:lineRule="auto"/>
            </w:pPr>
            <w:r>
              <w:t>1.8 (0.7-4.7)</w:t>
            </w:r>
          </w:p>
        </w:tc>
        <w:tc>
          <w:tcPr>
            <w:tcW w:w="420" w:type="pct"/>
            <w:tcBorders>
              <w:top w:val="nil"/>
              <w:bottom w:val="nil"/>
            </w:tcBorders>
          </w:tcPr>
          <w:p w14:paraId="5FDEDA93" w14:textId="77777777" w:rsidR="00B9655D" w:rsidRPr="00E2719C" w:rsidRDefault="00B9655D" w:rsidP="0083799E">
            <w:pPr>
              <w:spacing w:line="240" w:lineRule="auto"/>
            </w:pPr>
            <w:r>
              <w:t>0.26</w:t>
            </w:r>
          </w:p>
        </w:tc>
      </w:tr>
      <w:tr w:rsidR="00B9655D" w:rsidRPr="00E2719C" w14:paraId="3C912741" w14:textId="77777777" w:rsidTr="00D04636">
        <w:trPr>
          <w:trHeight w:val="583"/>
        </w:trPr>
        <w:tc>
          <w:tcPr>
            <w:tcW w:w="1374" w:type="pct"/>
            <w:tcBorders>
              <w:top w:val="nil"/>
              <w:bottom w:val="single" w:sz="4" w:space="0" w:color="auto"/>
            </w:tcBorders>
            <w:vAlign w:val="center"/>
          </w:tcPr>
          <w:p w14:paraId="1B06D5AD"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70400810" w14:textId="77777777" w:rsidR="00B9655D" w:rsidRPr="00E2719C" w:rsidRDefault="00B9655D" w:rsidP="0083799E">
            <w:pPr>
              <w:spacing w:line="240" w:lineRule="auto"/>
            </w:pPr>
            <w:r>
              <w:t>Ref</w:t>
            </w:r>
          </w:p>
        </w:tc>
        <w:tc>
          <w:tcPr>
            <w:tcW w:w="716" w:type="pct"/>
            <w:tcBorders>
              <w:top w:val="nil"/>
              <w:bottom w:val="single" w:sz="4" w:space="0" w:color="auto"/>
            </w:tcBorders>
          </w:tcPr>
          <w:p w14:paraId="6382532F" w14:textId="77777777" w:rsidR="00B9655D" w:rsidRPr="00E2719C" w:rsidRDefault="00B9655D" w:rsidP="0083799E">
            <w:pPr>
              <w:spacing w:line="240" w:lineRule="auto"/>
            </w:pPr>
            <w:r>
              <w:t>1.2 (0.5-3.2)</w:t>
            </w:r>
          </w:p>
        </w:tc>
        <w:tc>
          <w:tcPr>
            <w:tcW w:w="396" w:type="pct"/>
            <w:tcBorders>
              <w:top w:val="nil"/>
              <w:bottom w:val="single" w:sz="4" w:space="0" w:color="auto"/>
            </w:tcBorders>
          </w:tcPr>
          <w:p w14:paraId="19BE1834" w14:textId="77777777" w:rsidR="00B9655D" w:rsidRPr="00E2719C" w:rsidRDefault="00B9655D" w:rsidP="0083799E">
            <w:pPr>
              <w:spacing w:line="240" w:lineRule="auto"/>
            </w:pPr>
            <w:r>
              <w:t>0.68</w:t>
            </w:r>
          </w:p>
        </w:tc>
        <w:tc>
          <w:tcPr>
            <w:tcW w:w="677" w:type="pct"/>
            <w:tcBorders>
              <w:top w:val="nil"/>
              <w:bottom w:val="single" w:sz="4" w:space="0" w:color="auto"/>
            </w:tcBorders>
          </w:tcPr>
          <w:p w14:paraId="2CB34C79" w14:textId="77777777" w:rsidR="00B9655D" w:rsidRPr="00E2719C" w:rsidRDefault="00B9655D" w:rsidP="0083799E">
            <w:pPr>
              <w:spacing w:line="240" w:lineRule="auto"/>
            </w:pPr>
            <w:r>
              <w:t>Ref</w:t>
            </w:r>
          </w:p>
        </w:tc>
        <w:tc>
          <w:tcPr>
            <w:tcW w:w="716" w:type="pct"/>
            <w:tcBorders>
              <w:top w:val="nil"/>
              <w:bottom w:val="single" w:sz="4" w:space="0" w:color="auto"/>
            </w:tcBorders>
          </w:tcPr>
          <w:p w14:paraId="75897FAB" w14:textId="77777777" w:rsidR="00B9655D" w:rsidRPr="00E2719C" w:rsidRDefault="00B9655D" w:rsidP="0083799E">
            <w:pPr>
              <w:spacing w:line="240" w:lineRule="auto"/>
            </w:pPr>
            <w:r>
              <w:t>1.6 (0.4-5.8)</w:t>
            </w:r>
          </w:p>
        </w:tc>
        <w:tc>
          <w:tcPr>
            <w:tcW w:w="420" w:type="pct"/>
            <w:tcBorders>
              <w:top w:val="nil"/>
              <w:bottom w:val="single" w:sz="4" w:space="0" w:color="auto"/>
            </w:tcBorders>
          </w:tcPr>
          <w:p w14:paraId="36F3A86D" w14:textId="77777777" w:rsidR="00B9655D" w:rsidRPr="00E2719C" w:rsidRDefault="00B9655D" w:rsidP="0083799E">
            <w:pPr>
              <w:spacing w:line="240" w:lineRule="auto"/>
            </w:pPr>
            <w:r>
              <w:t>0.49</w:t>
            </w:r>
          </w:p>
        </w:tc>
      </w:tr>
      <w:tr w:rsidR="00B9655D" w14:paraId="53B33D88" w14:textId="77777777" w:rsidTr="00D04636">
        <w:trPr>
          <w:trHeight w:val="438"/>
        </w:trPr>
        <w:tc>
          <w:tcPr>
            <w:tcW w:w="1374" w:type="pct"/>
            <w:tcBorders>
              <w:top w:val="single" w:sz="4" w:space="0" w:color="auto"/>
              <w:bottom w:val="single" w:sz="4" w:space="0" w:color="auto"/>
            </w:tcBorders>
          </w:tcPr>
          <w:p w14:paraId="279BB14C" w14:textId="77777777" w:rsidR="00B9655D" w:rsidRDefault="00B9655D" w:rsidP="0083799E">
            <w:pPr>
              <w:spacing w:line="240" w:lineRule="auto"/>
            </w:pPr>
            <w:r>
              <w:t>Secondary outcome</w:t>
            </w:r>
          </w:p>
        </w:tc>
        <w:tc>
          <w:tcPr>
            <w:tcW w:w="701" w:type="pct"/>
            <w:tcBorders>
              <w:top w:val="single" w:sz="4" w:space="0" w:color="auto"/>
              <w:bottom w:val="single" w:sz="4" w:space="0" w:color="auto"/>
            </w:tcBorders>
          </w:tcPr>
          <w:p w14:paraId="1AED6B6E" w14:textId="77777777" w:rsidR="00B9655D" w:rsidRDefault="00B9655D" w:rsidP="0083799E">
            <w:pPr>
              <w:spacing w:line="240" w:lineRule="auto"/>
            </w:pPr>
          </w:p>
        </w:tc>
        <w:tc>
          <w:tcPr>
            <w:tcW w:w="716" w:type="pct"/>
            <w:tcBorders>
              <w:top w:val="single" w:sz="4" w:space="0" w:color="auto"/>
              <w:bottom w:val="single" w:sz="4" w:space="0" w:color="auto"/>
            </w:tcBorders>
          </w:tcPr>
          <w:p w14:paraId="213F24FE" w14:textId="77777777" w:rsidR="00B9655D" w:rsidRDefault="00B9655D" w:rsidP="0083799E">
            <w:pPr>
              <w:spacing w:line="240" w:lineRule="auto"/>
            </w:pPr>
          </w:p>
        </w:tc>
        <w:tc>
          <w:tcPr>
            <w:tcW w:w="396" w:type="pct"/>
            <w:tcBorders>
              <w:top w:val="single" w:sz="4" w:space="0" w:color="auto"/>
              <w:bottom w:val="single" w:sz="4" w:space="0" w:color="auto"/>
            </w:tcBorders>
          </w:tcPr>
          <w:p w14:paraId="0E7AE970" w14:textId="77777777" w:rsidR="00B9655D" w:rsidRDefault="00B9655D" w:rsidP="0083799E">
            <w:pPr>
              <w:spacing w:line="240" w:lineRule="auto"/>
            </w:pPr>
          </w:p>
        </w:tc>
        <w:tc>
          <w:tcPr>
            <w:tcW w:w="677" w:type="pct"/>
            <w:tcBorders>
              <w:top w:val="single" w:sz="4" w:space="0" w:color="auto"/>
              <w:bottom w:val="single" w:sz="4" w:space="0" w:color="auto"/>
            </w:tcBorders>
          </w:tcPr>
          <w:p w14:paraId="1C5A13E7" w14:textId="77777777" w:rsidR="00B9655D" w:rsidRDefault="00B9655D" w:rsidP="0083799E">
            <w:pPr>
              <w:spacing w:line="240" w:lineRule="auto"/>
            </w:pPr>
          </w:p>
        </w:tc>
        <w:tc>
          <w:tcPr>
            <w:tcW w:w="716" w:type="pct"/>
            <w:tcBorders>
              <w:top w:val="single" w:sz="4" w:space="0" w:color="auto"/>
              <w:bottom w:val="single" w:sz="4" w:space="0" w:color="auto"/>
            </w:tcBorders>
          </w:tcPr>
          <w:p w14:paraId="46BA50D2" w14:textId="77777777" w:rsidR="00B9655D" w:rsidRDefault="00B9655D" w:rsidP="0083799E">
            <w:pPr>
              <w:spacing w:line="240" w:lineRule="auto"/>
            </w:pPr>
          </w:p>
        </w:tc>
        <w:tc>
          <w:tcPr>
            <w:tcW w:w="420" w:type="pct"/>
            <w:tcBorders>
              <w:top w:val="single" w:sz="4" w:space="0" w:color="auto"/>
              <w:bottom w:val="single" w:sz="4" w:space="0" w:color="auto"/>
            </w:tcBorders>
          </w:tcPr>
          <w:p w14:paraId="74BB6233" w14:textId="77777777" w:rsidR="00B9655D" w:rsidRDefault="00B9655D" w:rsidP="0083799E">
            <w:pPr>
              <w:spacing w:line="240" w:lineRule="auto"/>
            </w:pPr>
          </w:p>
        </w:tc>
      </w:tr>
      <w:tr w:rsidR="00B9655D" w14:paraId="0E98278F" w14:textId="77777777" w:rsidTr="00D04636">
        <w:trPr>
          <w:trHeight w:val="438"/>
        </w:trPr>
        <w:tc>
          <w:tcPr>
            <w:tcW w:w="1374" w:type="pct"/>
            <w:tcBorders>
              <w:top w:val="single" w:sz="4" w:space="0" w:color="auto"/>
              <w:bottom w:val="nil"/>
            </w:tcBorders>
          </w:tcPr>
          <w:p w14:paraId="1E4C5FC1" w14:textId="77777777" w:rsidR="00B9655D" w:rsidRPr="00E167F8" w:rsidRDefault="00B9655D" w:rsidP="0083799E">
            <w:pPr>
              <w:spacing w:line="240" w:lineRule="auto"/>
            </w:pPr>
            <w:r>
              <w:t>Stool shedding clearance</w:t>
            </w:r>
          </w:p>
        </w:tc>
        <w:tc>
          <w:tcPr>
            <w:tcW w:w="701" w:type="pct"/>
            <w:tcBorders>
              <w:top w:val="single" w:sz="4" w:space="0" w:color="auto"/>
              <w:bottom w:val="nil"/>
            </w:tcBorders>
          </w:tcPr>
          <w:p w14:paraId="73021E51" w14:textId="77777777" w:rsidR="00B9655D" w:rsidRDefault="00B9655D" w:rsidP="0083799E">
            <w:pPr>
              <w:spacing w:line="240" w:lineRule="auto"/>
            </w:pPr>
            <w:r>
              <w:t>N=10</w:t>
            </w:r>
          </w:p>
        </w:tc>
        <w:tc>
          <w:tcPr>
            <w:tcW w:w="716" w:type="pct"/>
            <w:tcBorders>
              <w:top w:val="single" w:sz="4" w:space="0" w:color="auto"/>
              <w:bottom w:val="nil"/>
            </w:tcBorders>
          </w:tcPr>
          <w:p w14:paraId="3351F3E6" w14:textId="77777777" w:rsidR="00B9655D" w:rsidRDefault="00B9655D" w:rsidP="0083799E">
            <w:pPr>
              <w:spacing w:line="240" w:lineRule="auto"/>
            </w:pPr>
            <w:r>
              <w:t>N=6</w:t>
            </w:r>
          </w:p>
        </w:tc>
        <w:tc>
          <w:tcPr>
            <w:tcW w:w="396" w:type="pct"/>
            <w:tcBorders>
              <w:top w:val="single" w:sz="4" w:space="0" w:color="auto"/>
              <w:bottom w:val="nil"/>
            </w:tcBorders>
          </w:tcPr>
          <w:p w14:paraId="6A069CBD" w14:textId="77777777" w:rsidR="00B9655D" w:rsidRDefault="00B9655D" w:rsidP="0083799E">
            <w:pPr>
              <w:spacing w:line="240" w:lineRule="auto"/>
            </w:pPr>
          </w:p>
        </w:tc>
        <w:tc>
          <w:tcPr>
            <w:tcW w:w="677" w:type="pct"/>
            <w:tcBorders>
              <w:top w:val="single" w:sz="4" w:space="0" w:color="auto"/>
              <w:bottom w:val="nil"/>
            </w:tcBorders>
          </w:tcPr>
          <w:p w14:paraId="1AB7E4DD" w14:textId="77777777" w:rsidR="00B9655D" w:rsidRDefault="00B9655D" w:rsidP="0083799E">
            <w:pPr>
              <w:spacing w:line="240" w:lineRule="auto"/>
              <w:rPr>
                <w:rFonts w:ascii="Calibri" w:hAnsi="Calibri" w:cs="Calibri"/>
              </w:rPr>
            </w:pPr>
            <w:r>
              <w:t>N=9</w:t>
            </w:r>
          </w:p>
        </w:tc>
        <w:tc>
          <w:tcPr>
            <w:tcW w:w="716" w:type="pct"/>
            <w:tcBorders>
              <w:top w:val="single" w:sz="4" w:space="0" w:color="auto"/>
              <w:bottom w:val="nil"/>
            </w:tcBorders>
          </w:tcPr>
          <w:p w14:paraId="1BD3C2D6" w14:textId="77777777" w:rsidR="00B9655D" w:rsidRDefault="00B9655D" w:rsidP="0083799E">
            <w:pPr>
              <w:spacing w:line="240" w:lineRule="auto"/>
            </w:pPr>
            <w:r>
              <w:t>N=2</w:t>
            </w:r>
          </w:p>
        </w:tc>
        <w:tc>
          <w:tcPr>
            <w:tcW w:w="420" w:type="pct"/>
            <w:tcBorders>
              <w:top w:val="single" w:sz="4" w:space="0" w:color="auto"/>
              <w:bottom w:val="nil"/>
            </w:tcBorders>
          </w:tcPr>
          <w:p w14:paraId="25E64956" w14:textId="77777777" w:rsidR="00B9655D" w:rsidRDefault="00B9655D" w:rsidP="0083799E">
            <w:pPr>
              <w:spacing w:line="240" w:lineRule="auto"/>
            </w:pPr>
          </w:p>
        </w:tc>
      </w:tr>
      <w:tr w:rsidR="00B9655D" w:rsidRPr="00E2719C" w14:paraId="39B8B1AE" w14:textId="77777777" w:rsidTr="00D04636">
        <w:trPr>
          <w:trHeight w:val="415"/>
        </w:trPr>
        <w:tc>
          <w:tcPr>
            <w:tcW w:w="1374" w:type="pct"/>
            <w:tcBorders>
              <w:top w:val="nil"/>
              <w:bottom w:val="nil"/>
            </w:tcBorders>
          </w:tcPr>
          <w:p w14:paraId="7E325F14" w14:textId="77777777" w:rsidR="00B9655D" w:rsidRPr="006B2405" w:rsidRDefault="00B9655D" w:rsidP="0083799E">
            <w:pPr>
              <w:spacing w:line="240" w:lineRule="auto"/>
            </w:pPr>
            <w:r>
              <w:t>Crude model</w:t>
            </w:r>
          </w:p>
        </w:tc>
        <w:tc>
          <w:tcPr>
            <w:tcW w:w="701" w:type="pct"/>
            <w:tcBorders>
              <w:top w:val="nil"/>
              <w:bottom w:val="nil"/>
            </w:tcBorders>
          </w:tcPr>
          <w:p w14:paraId="6D768311" w14:textId="77777777" w:rsidR="00B9655D" w:rsidRPr="00E2719C" w:rsidRDefault="00B9655D" w:rsidP="0083799E">
            <w:pPr>
              <w:spacing w:line="240" w:lineRule="auto"/>
            </w:pPr>
            <w:r>
              <w:t>Ref</w:t>
            </w:r>
          </w:p>
        </w:tc>
        <w:tc>
          <w:tcPr>
            <w:tcW w:w="716" w:type="pct"/>
            <w:tcBorders>
              <w:top w:val="nil"/>
              <w:bottom w:val="nil"/>
            </w:tcBorders>
          </w:tcPr>
          <w:p w14:paraId="768F064E" w14:textId="77777777" w:rsidR="00B9655D" w:rsidRPr="00E2719C" w:rsidRDefault="00B9655D" w:rsidP="0083799E">
            <w:pPr>
              <w:spacing w:line="240" w:lineRule="auto"/>
            </w:pPr>
            <w:r>
              <w:t>1.1 (0.4-3.2)</w:t>
            </w:r>
          </w:p>
        </w:tc>
        <w:tc>
          <w:tcPr>
            <w:tcW w:w="396" w:type="pct"/>
            <w:tcBorders>
              <w:top w:val="nil"/>
              <w:bottom w:val="nil"/>
            </w:tcBorders>
          </w:tcPr>
          <w:p w14:paraId="67F1C429" w14:textId="77777777" w:rsidR="00B9655D" w:rsidRPr="00E2719C" w:rsidRDefault="00B9655D" w:rsidP="0083799E">
            <w:pPr>
              <w:spacing w:line="240" w:lineRule="auto"/>
            </w:pPr>
            <w:r>
              <w:t>0.82</w:t>
            </w:r>
          </w:p>
        </w:tc>
        <w:tc>
          <w:tcPr>
            <w:tcW w:w="677" w:type="pct"/>
            <w:tcBorders>
              <w:top w:val="nil"/>
              <w:bottom w:val="nil"/>
            </w:tcBorders>
          </w:tcPr>
          <w:p w14:paraId="40FF5367" w14:textId="77777777" w:rsidR="00B9655D" w:rsidRPr="00E2719C" w:rsidRDefault="00B9655D" w:rsidP="0083799E">
            <w:pPr>
              <w:spacing w:line="240" w:lineRule="auto"/>
            </w:pPr>
            <w:r>
              <w:t>Ref</w:t>
            </w:r>
          </w:p>
        </w:tc>
        <w:tc>
          <w:tcPr>
            <w:tcW w:w="716" w:type="pct"/>
            <w:tcBorders>
              <w:top w:val="nil"/>
              <w:bottom w:val="nil"/>
            </w:tcBorders>
          </w:tcPr>
          <w:p w14:paraId="1E2F6F96" w14:textId="77777777" w:rsidR="00B9655D" w:rsidRPr="00E2719C" w:rsidRDefault="00B9655D" w:rsidP="0083799E">
            <w:pPr>
              <w:spacing w:line="240" w:lineRule="auto"/>
            </w:pPr>
            <w:r>
              <w:t>4.6 (0.6-33.0)</w:t>
            </w:r>
          </w:p>
        </w:tc>
        <w:tc>
          <w:tcPr>
            <w:tcW w:w="420" w:type="pct"/>
            <w:tcBorders>
              <w:top w:val="nil"/>
              <w:bottom w:val="nil"/>
            </w:tcBorders>
          </w:tcPr>
          <w:p w14:paraId="1CD886D1" w14:textId="77777777" w:rsidR="00B9655D" w:rsidRPr="00E2719C" w:rsidRDefault="00B9655D" w:rsidP="0083799E">
            <w:pPr>
              <w:spacing w:line="240" w:lineRule="auto"/>
            </w:pPr>
            <w:r>
              <w:t>0.13</w:t>
            </w:r>
          </w:p>
        </w:tc>
      </w:tr>
      <w:tr w:rsidR="00B9655D" w:rsidRPr="00E2719C" w14:paraId="51763808" w14:textId="77777777" w:rsidTr="00D04636">
        <w:trPr>
          <w:trHeight w:val="583"/>
        </w:trPr>
        <w:tc>
          <w:tcPr>
            <w:tcW w:w="1374" w:type="pct"/>
            <w:tcBorders>
              <w:top w:val="nil"/>
              <w:bottom w:val="single" w:sz="4" w:space="0" w:color="auto"/>
            </w:tcBorders>
          </w:tcPr>
          <w:p w14:paraId="7D852B10"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78D1F042" w14:textId="77777777" w:rsidR="00B9655D" w:rsidRPr="00E2719C" w:rsidRDefault="00B9655D" w:rsidP="0083799E">
            <w:pPr>
              <w:spacing w:line="240" w:lineRule="auto"/>
            </w:pPr>
            <w:r>
              <w:t>Ref</w:t>
            </w:r>
          </w:p>
        </w:tc>
        <w:tc>
          <w:tcPr>
            <w:tcW w:w="716" w:type="pct"/>
            <w:tcBorders>
              <w:top w:val="nil"/>
              <w:bottom w:val="single" w:sz="4" w:space="0" w:color="auto"/>
            </w:tcBorders>
          </w:tcPr>
          <w:p w14:paraId="28FB001A" w14:textId="77777777" w:rsidR="00B9655D" w:rsidRPr="00E2719C" w:rsidRDefault="00B9655D" w:rsidP="0083799E">
            <w:pPr>
              <w:spacing w:line="240" w:lineRule="auto"/>
            </w:pPr>
            <w:r>
              <w:t>1.0 (0.3-3.5)</w:t>
            </w:r>
          </w:p>
        </w:tc>
        <w:tc>
          <w:tcPr>
            <w:tcW w:w="396" w:type="pct"/>
            <w:tcBorders>
              <w:top w:val="nil"/>
              <w:bottom w:val="single" w:sz="4" w:space="0" w:color="auto"/>
            </w:tcBorders>
          </w:tcPr>
          <w:p w14:paraId="403F9D1E" w14:textId="77777777" w:rsidR="00B9655D" w:rsidRPr="00E2719C" w:rsidRDefault="00B9655D" w:rsidP="0083799E">
            <w:pPr>
              <w:spacing w:line="240" w:lineRule="auto"/>
            </w:pPr>
            <w:r>
              <w:t>0.98</w:t>
            </w:r>
          </w:p>
        </w:tc>
        <w:tc>
          <w:tcPr>
            <w:tcW w:w="677" w:type="pct"/>
            <w:tcBorders>
              <w:top w:val="nil"/>
              <w:bottom w:val="single" w:sz="4" w:space="0" w:color="auto"/>
            </w:tcBorders>
          </w:tcPr>
          <w:p w14:paraId="637B602A" w14:textId="77777777" w:rsidR="00B9655D" w:rsidRPr="00E2719C" w:rsidRDefault="00B9655D" w:rsidP="0083799E">
            <w:pPr>
              <w:spacing w:line="240" w:lineRule="auto"/>
            </w:pPr>
            <w:r>
              <w:t>Ref</w:t>
            </w:r>
          </w:p>
        </w:tc>
        <w:tc>
          <w:tcPr>
            <w:tcW w:w="716" w:type="pct"/>
            <w:tcBorders>
              <w:top w:val="nil"/>
              <w:bottom w:val="single" w:sz="4" w:space="0" w:color="auto"/>
            </w:tcBorders>
          </w:tcPr>
          <w:p w14:paraId="0F25040D" w14:textId="20689FBD" w:rsidR="00B9655D" w:rsidRPr="00E2719C" w:rsidRDefault="00FC3BC3" w:rsidP="0083799E">
            <w:pPr>
              <w:spacing w:line="240" w:lineRule="auto"/>
            </w:pPr>
            <w:r>
              <w:t>5</w:t>
            </w:r>
            <w:r w:rsidR="00B9655D">
              <w:t>.</w:t>
            </w:r>
            <w:r>
              <w:t>4</w:t>
            </w:r>
            <w:r w:rsidR="00B9655D">
              <w:t xml:space="preserve"> (0.</w:t>
            </w:r>
            <w:r>
              <w:t>3</w:t>
            </w:r>
            <w:r w:rsidR="00B9655D">
              <w:t>-1</w:t>
            </w:r>
            <w:r>
              <w:t>01</w:t>
            </w:r>
            <w:r w:rsidR="00B9655D">
              <w:t>.</w:t>
            </w:r>
            <w:r>
              <w:t>0</w:t>
            </w:r>
            <w:r w:rsidR="00B9655D">
              <w:t>)</w:t>
            </w:r>
          </w:p>
        </w:tc>
        <w:tc>
          <w:tcPr>
            <w:tcW w:w="420" w:type="pct"/>
            <w:tcBorders>
              <w:top w:val="nil"/>
              <w:bottom w:val="single" w:sz="4" w:space="0" w:color="auto"/>
            </w:tcBorders>
          </w:tcPr>
          <w:p w14:paraId="1A192391" w14:textId="68C4D160" w:rsidR="00B9655D" w:rsidRPr="00E2719C" w:rsidRDefault="00B9655D" w:rsidP="0083799E">
            <w:pPr>
              <w:spacing w:line="240" w:lineRule="auto"/>
            </w:pPr>
            <w:r>
              <w:t>0.</w:t>
            </w:r>
            <w:r w:rsidR="00FC3BC3">
              <w:t>25</w:t>
            </w:r>
          </w:p>
        </w:tc>
      </w:tr>
      <w:tr w:rsidR="00B9655D" w14:paraId="7B044EF2" w14:textId="77777777" w:rsidTr="00D04636">
        <w:trPr>
          <w:trHeight w:val="438"/>
        </w:trPr>
        <w:tc>
          <w:tcPr>
            <w:tcW w:w="1374" w:type="pct"/>
            <w:tcBorders>
              <w:top w:val="single" w:sz="4" w:space="0" w:color="auto"/>
            </w:tcBorders>
          </w:tcPr>
          <w:p w14:paraId="3F507A40" w14:textId="77777777" w:rsidR="00B9655D" w:rsidRPr="00E167F8" w:rsidRDefault="00B9655D" w:rsidP="0083799E">
            <w:pPr>
              <w:spacing w:line="240" w:lineRule="auto"/>
            </w:pPr>
            <w:r>
              <w:t xml:space="preserve">Fever Clearance (Fever </w:t>
            </w:r>
            <w:r>
              <w:rPr>
                <w:rFonts w:cstheme="minorHAnsi"/>
              </w:rPr>
              <w:t>≥37.5</w:t>
            </w:r>
            <w:r>
              <w:t>)</w:t>
            </w:r>
          </w:p>
        </w:tc>
        <w:tc>
          <w:tcPr>
            <w:tcW w:w="701" w:type="pct"/>
            <w:tcBorders>
              <w:top w:val="single" w:sz="4" w:space="0" w:color="auto"/>
            </w:tcBorders>
          </w:tcPr>
          <w:p w14:paraId="0D6EBFF2" w14:textId="77777777" w:rsidR="00B9655D" w:rsidRDefault="00B9655D" w:rsidP="0083799E">
            <w:pPr>
              <w:spacing w:line="240" w:lineRule="auto"/>
            </w:pPr>
            <w:r>
              <w:t>N=20</w:t>
            </w:r>
          </w:p>
        </w:tc>
        <w:tc>
          <w:tcPr>
            <w:tcW w:w="716" w:type="pct"/>
            <w:tcBorders>
              <w:top w:val="single" w:sz="4" w:space="0" w:color="auto"/>
            </w:tcBorders>
          </w:tcPr>
          <w:p w14:paraId="6CC66075" w14:textId="77777777" w:rsidR="00B9655D" w:rsidRDefault="00B9655D" w:rsidP="0083799E">
            <w:pPr>
              <w:spacing w:line="240" w:lineRule="auto"/>
            </w:pPr>
            <w:r>
              <w:t>N=13</w:t>
            </w:r>
          </w:p>
        </w:tc>
        <w:tc>
          <w:tcPr>
            <w:tcW w:w="396" w:type="pct"/>
            <w:tcBorders>
              <w:top w:val="single" w:sz="4" w:space="0" w:color="auto"/>
            </w:tcBorders>
          </w:tcPr>
          <w:p w14:paraId="116F5587" w14:textId="77777777" w:rsidR="00B9655D" w:rsidRDefault="00B9655D" w:rsidP="0083799E">
            <w:pPr>
              <w:spacing w:line="240" w:lineRule="auto"/>
            </w:pPr>
          </w:p>
        </w:tc>
        <w:tc>
          <w:tcPr>
            <w:tcW w:w="677" w:type="pct"/>
            <w:tcBorders>
              <w:top w:val="single" w:sz="4" w:space="0" w:color="auto"/>
            </w:tcBorders>
          </w:tcPr>
          <w:p w14:paraId="7730DA9B" w14:textId="77777777" w:rsidR="00B9655D" w:rsidRDefault="00B9655D" w:rsidP="0083799E">
            <w:pPr>
              <w:spacing w:line="240" w:lineRule="auto"/>
            </w:pPr>
            <w:r>
              <w:t>N=13</w:t>
            </w:r>
          </w:p>
        </w:tc>
        <w:tc>
          <w:tcPr>
            <w:tcW w:w="716" w:type="pct"/>
            <w:tcBorders>
              <w:top w:val="single" w:sz="4" w:space="0" w:color="auto"/>
            </w:tcBorders>
          </w:tcPr>
          <w:p w14:paraId="283F5FDA" w14:textId="77777777" w:rsidR="00B9655D" w:rsidRDefault="00B9655D" w:rsidP="0083799E">
            <w:pPr>
              <w:spacing w:line="240" w:lineRule="auto"/>
            </w:pPr>
            <w:r>
              <w:t>N=10</w:t>
            </w:r>
          </w:p>
        </w:tc>
        <w:tc>
          <w:tcPr>
            <w:tcW w:w="420" w:type="pct"/>
            <w:tcBorders>
              <w:top w:val="single" w:sz="4" w:space="0" w:color="auto"/>
            </w:tcBorders>
          </w:tcPr>
          <w:p w14:paraId="224CE545" w14:textId="77777777" w:rsidR="00B9655D" w:rsidRDefault="00B9655D" w:rsidP="0083799E">
            <w:pPr>
              <w:spacing w:line="240" w:lineRule="auto"/>
            </w:pPr>
          </w:p>
        </w:tc>
      </w:tr>
      <w:tr w:rsidR="00B9655D" w:rsidRPr="00E2719C" w14:paraId="4FBBFF8A" w14:textId="77777777" w:rsidTr="00D40F04">
        <w:trPr>
          <w:trHeight w:val="415"/>
        </w:trPr>
        <w:tc>
          <w:tcPr>
            <w:tcW w:w="1374" w:type="pct"/>
            <w:tcBorders>
              <w:bottom w:val="nil"/>
            </w:tcBorders>
          </w:tcPr>
          <w:p w14:paraId="6F5593AC" w14:textId="77777777" w:rsidR="00B9655D" w:rsidRPr="006B2405" w:rsidRDefault="00B9655D" w:rsidP="0083799E">
            <w:pPr>
              <w:spacing w:line="240" w:lineRule="auto"/>
            </w:pPr>
            <w:r>
              <w:t>Crude model</w:t>
            </w:r>
          </w:p>
        </w:tc>
        <w:tc>
          <w:tcPr>
            <w:tcW w:w="701" w:type="pct"/>
            <w:tcBorders>
              <w:bottom w:val="nil"/>
            </w:tcBorders>
          </w:tcPr>
          <w:p w14:paraId="410F0DC4" w14:textId="77777777" w:rsidR="00B9655D" w:rsidRPr="00E2719C" w:rsidRDefault="00B9655D" w:rsidP="0083799E">
            <w:pPr>
              <w:spacing w:line="240" w:lineRule="auto"/>
            </w:pPr>
            <w:r>
              <w:t>Ref</w:t>
            </w:r>
          </w:p>
        </w:tc>
        <w:tc>
          <w:tcPr>
            <w:tcW w:w="716" w:type="pct"/>
            <w:tcBorders>
              <w:bottom w:val="nil"/>
            </w:tcBorders>
          </w:tcPr>
          <w:p w14:paraId="799001C6" w14:textId="77777777" w:rsidR="00B9655D" w:rsidRPr="00E2719C" w:rsidRDefault="00B9655D" w:rsidP="0083799E">
            <w:pPr>
              <w:spacing w:line="240" w:lineRule="auto"/>
            </w:pPr>
            <w:r>
              <w:t>4.1 (1.7-10.2)</w:t>
            </w:r>
          </w:p>
        </w:tc>
        <w:tc>
          <w:tcPr>
            <w:tcW w:w="396" w:type="pct"/>
            <w:tcBorders>
              <w:bottom w:val="nil"/>
            </w:tcBorders>
          </w:tcPr>
          <w:p w14:paraId="24A10683" w14:textId="77777777" w:rsidR="00B9655D" w:rsidRPr="00E2719C" w:rsidRDefault="00B9655D" w:rsidP="0083799E">
            <w:pPr>
              <w:spacing w:line="240" w:lineRule="auto"/>
            </w:pPr>
            <w:r>
              <w:t>0.002</w:t>
            </w:r>
          </w:p>
        </w:tc>
        <w:tc>
          <w:tcPr>
            <w:tcW w:w="677" w:type="pct"/>
            <w:tcBorders>
              <w:bottom w:val="nil"/>
            </w:tcBorders>
          </w:tcPr>
          <w:p w14:paraId="5083938D" w14:textId="77777777" w:rsidR="00B9655D" w:rsidRPr="00E2719C" w:rsidRDefault="00B9655D" w:rsidP="0083799E">
            <w:pPr>
              <w:spacing w:line="240" w:lineRule="auto"/>
            </w:pPr>
            <w:r>
              <w:t>Ref</w:t>
            </w:r>
          </w:p>
        </w:tc>
        <w:tc>
          <w:tcPr>
            <w:tcW w:w="716" w:type="pct"/>
            <w:tcBorders>
              <w:bottom w:val="nil"/>
            </w:tcBorders>
          </w:tcPr>
          <w:p w14:paraId="62C05865" w14:textId="77777777" w:rsidR="00B9655D" w:rsidRPr="00E2719C" w:rsidRDefault="00B9655D" w:rsidP="0083799E">
            <w:pPr>
              <w:spacing w:line="240" w:lineRule="auto"/>
            </w:pPr>
            <w:r>
              <w:t>2.2 (0.9-5.7)</w:t>
            </w:r>
          </w:p>
        </w:tc>
        <w:tc>
          <w:tcPr>
            <w:tcW w:w="420" w:type="pct"/>
            <w:tcBorders>
              <w:bottom w:val="nil"/>
            </w:tcBorders>
          </w:tcPr>
          <w:p w14:paraId="080C022C" w14:textId="77777777" w:rsidR="00B9655D" w:rsidRPr="00E2719C" w:rsidRDefault="00B9655D" w:rsidP="0083799E">
            <w:pPr>
              <w:spacing w:line="240" w:lineRule="auto"/>
            </w:pPr>
            <w:r>
              <w:t>0.09</w:t>
            </w:r>
          </w:p>
        </w:tc>
      </w:tr>
      <w:tr w:rsidR="00B9655D" w:rsidRPr="00E2719C" w14:paraId="740D5F6B" w14:textId="77777777" w:rsidTr="00D40F04">
        <w:trPr>
          <w:trHeight w:val="583"/>
        </w:trPr>
        <w:tc>
          <w:tcPr>
            <w:tcW w:w="1374" w:type="pct"/>
            <w:tcBorders>
              <w:top w:val="nil"/>
              <w:bottom w:val="single" w:sz="4" w:space="0" w:color="auto"/>
            </w:tcBorders>
          </w:tcPr>
          <w:p w14:paraId="7A473BC1" w14:textId="77777777" w:rsidR="00B9655D" w:rsidRPr="00BC4F3A" w:rsidRDefault="00B9655D" w:rsidP="0083799E">
            <w:pPr>
              <w:spacing w:line="240" w:lineRule="auto"/>
            </w:pPr>
            <w:r>
              <w:t>Multivariable adjusted</w:t>
            </w:r>
            <w:r>
              <w:rPr>
                <w:vertAlign w:val="superscript"/>
              </w:rPr>
              <w:t>*</w:t>
            </w:r>
          </w:p>
        </w:tc>
        <w:tc>
          <w:tcPr>
            <w:tcW w:w="701" w:type="pct"/>
            <w:tcBorders>
              <w:top w:val="nil"/>
              <w:bottom w:val="single" w:sz="4" w:space="0" w:color="auto"/>
            </w:tcBorders>
          </w:tcPr>
          <w:p w14:paraId="19CC472A" w14:textId="77777777" w:rsidR="00B9655D" w:rsidRPr="00E2719C" w:rsidRDefault="00B9655D" w:rsidP="0083799E">
            <w:pPr>
              <w:spacing w:line="240" w:lineRule="auto"/>
            </w:pPr>
            <w:r>
              <w:t>Ref</w:t>
            </w:r>
          </w:p>
        </w:tc>
        <w:tc>
          <w:tcPr>
            <w:tcW w:w="716" w:type="pct"/>
            <w:tcBorders>
              <w:top w:val="nil"/>
              <w:bottom w:val="single" w:sz="4" w:space="0" w:color="auto"/>
            </w:tcBorders>
          </w:tcPr>
          <w:p w14:paraId="4CD2C709" w14:textId="77777777" w:rsidR="00B9655D" w:rsidRPr="00E2719C" w:rsidRDefault="00B9655D" w:rsidP="0083799E">
            <w:pPr>
              <w:spacing w:line="240" w:lineRule="auto"/>
            </w:pPr>
            <w:r>
              <w:t>2.5 (0.9-7.0)</w:t>
            </w:r>
          </w:p>
        </w:tc>
        <w:tc>
          <w:tcPr>
            <w:tcW w:w="396" w:type="pct"/>
            <w:tcBorders>
              <w:top w:val="nil"/>
              <w:bottom w:val="single" w:sz="4" w:space="0" w:color="auto"/>
            </w:tcBorders>
          </w:tcPr>
          <w:p w14:paraId="4D2A87A0" w14:textId="77777777" w:rsidR="00B9655D" w:rsidRPr="00E2719C" w:rsidRDefault="00B9655D" w:rsidP="0083799E">
            <w:pPr>
              <w:spacing w:line="240" w:lineRule="auto"/>
            </w:pPr>
            <w:r>
              <w:t>0.07</w:t>
            </w:r>
          </w:p>
        </w:tc>
        <w:tc>
          <w:tcPr>
            <w:tcW w:w="677" w:type="pct"/>
            <w:tcBorders>
              <w:top w:val="nil"/>
              <w:bottom w:val="single" w:sz="4" w:space="0" w:color="auto"/>
            </w:tcBorders>
          </w:tcPr>
          <w:p w14:paraId="73A1D96B" w14:textId="77777777" w:rsidR="00B9655D" w:rsidRPr="00E2719C" w:rsidRDefault="00B9655D" w:rsidP="0083799E">
            <w:pPr>
              <w:spacing w:line="240" w:lineRule="auto"/>
            </w:pPr>
            <w:r>
              <w:t>Ref</w:t>
            </w:r>
          </w:p>
        </w:tc>
        <w:tc>
          <w:tcPr>
            <w:tcW w:w="716" w:type="pct"/>
            <w:tcBorders>
              <w:top w:val="nil"/>
              <w:bottom w:val="single" w:sz="4" w:space="0" w:color="auto"/>
            </w:tcBorders>
          </w:tcPr>
          <w:p w14:paraId="231EC4F9" w14:textId="2CE623DE" w:rsidR="00B9655D" w:rsidRPr="00E2719C" w:rsidRDefault="00F831D7" w:rsidP="0083799E">
            <w:pPr>
              <w:spacing w:line="240" w:lineRule="auto"/>
            </w:pPr>
            <w:r>
              <w:t>2.3</w:t>
            </w:r>
            <w:r w:rsidR="00B9655D">
              <w:t xml:space="preserve"> (0.</w:t>
            </w:r>
            <w:r>
              <w:t>7</w:t>
            </w:r>
            <w:r w:rsidR="00B9655D">
              <w:t>-</w:t>
            </w:r>
            <w:r>
              <w:t>7</w:t>
            </w:r>
            <w:r w:rsidR="00B9655D">
              <w:t>.</w:t>
            </w:r>
            <w:r>
              <w:t>5</w:t>
            </w:r>
            <w:r w:rsidR="00B9655D">
              <w:t>)</w:t>
            </w:r>
          </w:p>
        </w:tc>
        <w:tc>
          <w:tcPr>
            <w:tcW w:w="420" w:type="pct"/>
            <w:tcBorders>
              <w:top w:val="nil"/>
              <w:bottom w:val="single" w:sz="4" w:space="0" w:color="auto"/>
            </w:tcBorders>
          </w:tcPr>
          <w:p w14:paraId="6E775BE5" w14:textId="13FAB51F" w:rsidR="00B9655D" w:rsidRPr="00E2719C" w:rsidRDefault="00B9655D" w:rsidP="0083799E">
            <w:pPr>
              <w:spacing w:line="240" w:lineRule="auto"/>
            </w:pPr>
            <w:r>
              <w:t>0.</w:t>
            </w:r>
            <w:r w:rsidR="00F831D7">
              <w:t>1</w:t>
            </w:r>
            <w:r>
              <w:t>6</w:t>
            </w:r>
          </w:p>
        </w:tc>
      </w:tr>
      <w:tr w:rsidR="00B9655D" w:rsidRPr="00E2719C" w14:paraId="49AF5AC6" w14:textId="77777777" w:rsidTr="00D40F04">
        <w:trPr>
          <w:trHeight w:val="583"/>
        </w:trPr>
        <w:tc>
          <w:tcPr>
            <w:tcW w:w="1374" w:type="pct"/>
            <w:tcBorders>
              <w:top w:val="single" w:sz="4" w:space="0" w:color="auto"/>
            </w:tcBorders>
          </w:tcPr>
          <w:p w14:paraId="40127632" w14:textId="77777777" w:rsidR="00B9655D" w:rsidRDefault="00B9655D" w:rsidP="0083799E">
            <w:pPr>
              <w:spacing w:line="240" w:lineRule="auto"/>
            </w:pPr>
            <w:r>
              <w:t>Any symptoms</w:t>
            </w:r>
          </w:p>
        </w:tc>
        <w:tc>
          <w:tcPr>
            <w:tcW w:w="701" w:type="pct"/>
            <w:tcBorders>
              <w:top w:val="single" w:sz="4" w:space="0" w:color="auto"/>
            </w:tcBorders>
          </w:tcPr>
          <w:p w14:paraId="1F4D2C6A" w14:textId="77777777" w:rsidR="00B9655D" w:rsidRDefault="00B9655D" w:rsidP="0083799E">
            <w:pPr>
              <w:spacing w:line="240" w:lineRule="auto"/>
            </w:pPr>
            <w:r>
              <w:t>N=31</w:t>
            </w:r>
          </w:p>
        </w:tc>
        <w:tc>
          <w:tcPr>
            <w:tcW w:w="716" w:type="pct"/>
            <w:tcBorders>
              <w:top w:val="single" w:sz="4" w:space="0" w:color="auto"/>
            </w:tcBorders>
          </w:tcPr>
          <w:p w14:paraId="6EADA696" w14:textId="77777777" w:rsidR="00B9655D" w:rsidRDefault="00B9655D" w:rsidP="0083799E">
            <w:pPr>
              <w:spacing w:line="240" w:lineRule="auto"/>
            </w:pPr>
            <w:r>
              <w:t>N=17</w:t>
            </w:r>
          </w:p>
        </w:tc>
        <w:tc>
          <w:tcPr>
            <w:tcW w:w="396" w:type="pct"/>
            <w:tcBorders>
              <w:top w:val="single" w:sz="4" w:space="0" w:color="auto"/>
            </w:tcBorders>
          </w:tcPr>
          <w:p w14:paraId="16DCBEA8" w14:textId="77777777" w:rsidR="00B9655D" w:rsidRDefault="00B9655D" w:rsidP="0083799E">
            <w:pPr>
              <w:spacing w:line="240" w:lineRule="auto"/>
            </w:pPr>
          </w:p>
        </w:tc>
        <w:tc>
          <w:tcPr>
            <w:tcW w:w="677" w:type="pct"/>
            <w:tcBorders>
              <w:top w:val="single" w:sz="4" w:space="0" w:color="auto"/>
            </w:tcBorders>
          </w:tcPr>
          <w:p w14:paraId="2D8AF7BE" w14:textId="77777777" w:rsidR="00B9655D" w:rsidRDefault="00B9655D" w:rsidP="0083799E">
            <w:pPr>
              <w:spacing w:line="240" w:lineRule="auto"/>
            </w:pPr>
            <w:r>
              <w:t>N=19</w:t>
            </w:r>
          </w:p>
        </w:tc>
        <w:tc>
          <w:tcPr>
            <w:tcW w:w="716" w:type="pct"/>
            <w:tcBorders>
              <w:top w:val="single" w:sz="4" w:space="0" w:color="auto"/>
            </w:tcBorders>
          </w:tcPr>
          <w:p w14:paraId="474EFD27" w14:textId="77777777" w:rsidR="00B9655D" w:rsidRDefault="00B9655D" w:rsidP="0083799E">
            <w:pPr>
              <w:spacing w:line="240" w:lineRule="auto"/>
            </w:pPr>
            <w:r>
              <w:t>N=10</w:t>
            </w:r>
          </w:p>
        </w:tc>
        <w:tc>
          <w:tcPr>
            <w:tcW w:w="420" w:type="pct"/>
            <w:tcBorders>
              <w:top w:val="single" w:sz="4" w:space="0" w:color="auto"/>
            </w:tcBorders>
          </w:tcPr>
          <w:p w14:paraId="3C52A5CC" w14:textId="77777777" w:rsidR="00B9655D" w:rsidRDefault="00B9655D" w:rsidP="0083799E">
            <w:pPr>
              <w:spacing w:line="240" w:lineRule="auto"/>
            </w:pPr>
          </w:p>
        </w:tc>
      </w:tr>
      <w:tr w:rsidR="00B9655D" w:rsidRPr="00E2719C" w14:paraId="24FCA301" w14:textId="77777777" w:rsidTr="00D04636">
        <w:trPr>
          <w:trHeight w:val="583"/>
        </w:trPr>
        <w:tc>
          <w:tcPr>
            <w:tcW w:w="1374" w:type="pct"/>
          </w:tcPr>
          <w:p w14:paraId="673A4BB3" w14:textId="77777777" w:rsidR="00B9655D" w:rsidRDefault="00B9655D" w:rsidP="0083799E">
            <w:pPr>
              <w:spacing w:line="240" w:lineRule="auto"/>
            </w:pPr>
            <w:r>
              <w:t>Crude model</w:t>
            </w:r>
          </w:p>
        </w:tc>
        <w:tc>
          <w:tcPr>
            <w:tcW w:w="701" w:type="pct"/>
          </w:tcPr>
          <w:p w14:paraId="4276EFD6" w14:textId="77777777" w:rsidR="00B9655D" w:rsidRDefault="00B9655D" w:rsidP="0083799E">
            <w:pPr>
              <w:spacing w:line="240" w:lineRule="auto"/>
            </w:pPr>
            <w:r>
              <w:t>Ref</w:t>
            </w:r>
          </w:p>
        </w:tc>
        <w:tc>
          <w:tcPr>
            <w:tcW w:w="716" w:type="pct"/>
          </w:tcPr>
          <w:p w14:paraId="67DBCE77" w14:textId="77777777" w:rsidR="00B9655D" w:rsidRDefault="00B9655D" w:rsidP="0083799E">
            <w:pPr>
              <w:spacing w:line="240" w:lineRule="auto"/>
            </w:pPr>
            <w:r>
              <w:t>1. 5 (0.8-2.9)</w:t>
            </w:r>
          </w:p>
        </w:tc>
        <w:tc>
          <w:tcPr>
            <w:tcW w:w="396" w:type="pct"/>
          </w:tcPr>
          <w:p w14:paraId="768C9061" w14:textId="77777777" w:rsidR="00B9655D" w:rsidRDefault="00B9655D" w:rsidP="0083799E">
            <w:pPr>
              <w:spacing w:line="240" w:lineRule="auto"/>
            </w:pPr>
            <w:r>
              <w:t>0.21</w:t>
            </w:r>
          </w:p>
        </w:tc>
        <w:tc>
          <w:tcPr>
            <w:tcW w:w="677" w:type="pct"/>
          </w:tcPr>
          <w:p w14:paraId="098BE1B0" w14:textId="77777777" w:rsidR="00B9655D" w:rsidRDefault="00B9655D" w:rsidP="0083799E">
            <w:pPr>
              <w:spacing w:line="240" w:lineRule="auto"/>
            </w:pPr>
            <w:r>
              <w:t>Ref</w:t>
            </w:r>
          </w:p>
        </w:tc>
        <w:tc>
          <w:tcPr>
            <w:tcW w:w="716" w:type="pct"/>
          </w:tcPr>
          <w:p w14:paraId="565DC792" w14:textId="77777777" w:rsidR="00B9655D" w:rsidRDefault="00B9655D" w:rsidP="0083799E">
            <w:pPr>
              <w:spacing w:line="240" w:lineRule="auto"/>
            </w:pPr>
            <w:r>
              <w:t>2.9 (1.2-6.7)</w:t>
            </w:r>
          </w:p>
        </w:tc>
        <w:tc>
          <w:tcPr>
            <w:tcW w:w="420" w:type="pct"/>
          </w:tcPr>
          <w:p w14:paraId="66BE1370" w14:textId="77777777" w:rsidR="00B9655D" w:rsidRDefault="00B9655D" w:rsidP="0083799E">
            <w:pPr>
              <w:spacing w:line="240" w:lineRule="auto"/>
            </w:pPr>
            <w:r>
              <w:t>0.02</w:t>
            </w:r>
          </w:p>
        </w:tc>
      </w:tr>
      <w:tr w:rsidR="00B9655D" w:rsidRPr="00E2719C" w14:paraId="493A3D89" w14:textId="77777777" w:rsidTr="00D04636">
        <w:trPr>
          <w:trHeight w:val="583"/>
        </w:trPr>
        <w:tc>
          <w:tcPr>
            <w:tcW w:w="1374" w:type="pct"/>
          </w:tcPr>
          <w:p w14:paraId="0B0625BF" w14:textId="77777777" w:rsidR="00B9655D" w:rsidRDefault="00B9655D" w:rsidP="0083799E">
            <w:pPr>
              <w:spacing w:line="240" w:lineRule="auto"/>
            </w:pPr>
            <w:r>
              <w:t>Multivariable adjusted</w:t>
            </w:r>
            <w:r>
              <w:rPr>
                <w:vertAlign w:val="superscript"/>
              </w:rPr>
              <w:t>*</w:t>
            </w:r>
          </w:p>
        </w:tc>
        <w:tc>
          <w:tcPr>
            <w:tcW w:w="701" w:type="pct"/>
          </w:tcPr>
          <w:p w14:paraId="05E2D5B3" w14:textId="77777777" w:rsidR="00B9655D" w:rsidRDefault="00B9655D" w:rsidP="0083799E">
            <w:pPr>
              <w:spacing w:line="240" w:lineRule="auto"/>
            </w:pPr>
            <w:r>
              <w:t>Ref</w:t>
            </w:r>
          </w:p>
        </w:tc>
        <w:tc>
          <w:tcPr>
            <w:tcW w:w="716" w:type="pct"/>
          </w:tcPr>
          <w:p w14:paraId="6A2CE82D" w14:textId="77777777" w:rsidR="00B9655D" w:rsidRDefault="00B9655D" w:rsidP="0083799E">
            <w:pPr>
              <w:spacing w:line="240" w:lineRule="auto"/>
            </w:pPr>
            <w:r>
              <w:t>1.4 (0.7-2.8)</w:t>
            </w:r>
          </w:p>
        </w:tc>
        <w:tc>
          <w:tcPr>
            <w:tcW w:w="396" w:type="pct"/>
          </w:tcPr>
          <w:p w14:paraId="57D3F05F" w14:textId="77777777" w:rsidR="00B9655D" w:rsidRDefault="00B9655D" w:rsidP="0083799E">
            <w:pPr>
              <w:spacing w:line="240" w:lineRule="auto"/>
            </w:pPr>
            <w:r>
              <w:t>0.28</w:t>
            </w:r>
          </w:p>
        </w:tc>
        <w:tc>
          <w:tcPr>
            <w:tcW w:w="677" w:type="pct"/>
          </w:tcPr>
          <w:p w14:paraId="78B9472C" w14:textId="77777777" w:rsidR="00B9655D" w:rsidRDefault="00B9655D" w:rsidP="0083799E">
            <w:pPr>
              <w:spacing w:line="240" w:lineRule="auto"/>
            </w:pPr>
            <w:r>
              <w:t>Ref</w:t>
            </w:r>
          </w:p>
        </w:tc>
        <w:tc>
          <w:tcPr>
            <w:tcW w:w="716" w:type="pct"/>
          </w:tcPr>
          <w:p w14:paraId="76EC5AF1" w14:textId="3CC07E38" w:rsidR="00B9655D" w:rsidRDefault="00FC3BC3" w:rsidP="0083799E">
            <w:pPr>
              <w:spacing w:line="240" w:lineRule="auto"/>
            </w:pPr>
            <w:r>
              <w:t>3</w:t>
            </w:r>
            <w:r w:rsidR="00B9655D">
              <w:t>.</w:t>
            </w:r>
            <w:r>
              <w:t>7</w:t>
            </w:r>
            <w:r w:rsidR="00B9655D">
              <w:t xml:space="preserve"> (1.</w:t>
            </w:r>
            <w:r>
              <w:t>2</w:t>
            </w:r>
            <w:r w:rsidR="00B9655D">
              <w:t>-1</w:t>
            </w:r>
            <w:r>
              <w:t>1</w:t>
            </w:r>
            <w:r w:rsidR="00B9655D">
              <w:t>.</w:t>
            </w:r>
            <w:r>
              <w:t>1</w:t>
            </w:r>
            <w:r w:rsidR="00B9655D">
              <w:t>)</w:t>
            </w:r>
          </w:p>
        </w:tc>
        <w:tc>
          <w:tcPr>
            <w:tcW w:w="420" w:type="pct"/>
          </w:tcPr>
          <w:p w14:paraId="6469C869" w14:textId="3FB70E99" w:rsidR="00B9655D" w:rsidRDefault="00B9655D" w:rsidP="0083799E">
            <w:pPr>
              <w:spacing w:line="240" w:lineRule="auto"/>
            </w:pPr>
            <w:r>
              <w:t>0.0</w:t>
            </w:r>
            <w:r w:rsidR="00FC3BC3">
              <w:t>2</w:t>
            </w:r>
          </w:p>
        </w:tc>
      </w:tr>
    </w:tbl>
    <w:p w14:paraId="5A577EFE" w14:textId="77777777" w:rsidR="00B9655D" w:rsidRPr="00E25157" w:rsidRDefault="00B9655D" w:rsidP="00072300">
      <w:pPr>
        <w:suppressLineNumbers/>
      </w:pPr>
    </w:p>
    <w:p w14:paraId="526E7D86" w14:textId="77777777" w:rsidR="00B9655D" w:rsidRPr="003B0B7B" w:rsidRDefault="00B9655D" w:rsidP="00072300">
      <w:pPr>
        <w:suppressLineNumbers/>
      </w:pPr>
    </w:p>
    <w:p w14:paraId="0F295104" w14:textId="4AA723FA" w:rsidR="00E25157" w:rsidRDefault="00E25157" w:rsidP="00072300">
      <w:pPr>
        <w:suppressLineNumbers/>
      </w:pPr>
    </w:p>
    <w:p w14:paraId="14F7F4C8" w14:textId="63E00940" w:rsidR="00072300" w:rsidRDefault="00072300" w:rsidP="0083799E">
      <w:pPr>
        <w:sectPr w:rsidR="00072300" w:rsidSect="00A82477">
          <w:pgSz w:w="11900" w:h="16840"/>
          <w:pgMar w:top="1440" w:right="1440" w:bottom="1440" w:left="1440" w:header="708" w:footer="708" w:gutter="0"/>
          <w:lnNumType w:countBy="1" w:restart="continuous"/>
          <w:cols w:space="708"/>
          <w:docGrid w:linePitch="360"/>
        </w:sectPr>
      </w:pPr>
    </w:p>
    <w:p w14:paraId="05544375" w14:textId="72D5472D" w:rsidR="001A7405" w:rsidRPr="00D40F04" w:rsidRDefault="001A7405" w:rsidP="00072300">
      <w:pPr>
        <w:pStyle w:val="Heading2"/>
        <w:suppressLineNumbers/>
        <w:rPr>
          <w:sz w:val="24"/>
          <w:szCs w:val="24"/>
        </w:rPr>
      </w:pPr>
      <w:r w:rsidRPr="00D40F04">
        <w:rPr>
          <w:sz w:val="24"/>
          <w:szCs w:val="24"/>
        </w:rPr>
        <w:lastRenderedPageBreak/>
        <w:t>Supplementary Figures</w:t>
      </w:r>
    </w:p>
    <w:p w14:paraId="373D0D1C" w14:textId="33891D27" w:rsidR="00B469C0" w:rsidRDefault="00254794" w:rsidP="00072300">
      <w:pPr>
        <w:suppressLineNumbers/>
        <w:jc w:val="center"/>
      </w:pPr>
      <w:r w:rsidRPr="00254794">
        <w:rPr>
          <w:noProof/>
          <w:lang w:val="en-GB" w:eastAsia="zh-CN"/>
        </w:rPr>
        <w:drawing>
          <wp:inline distT="0" distB="0" distL="0" distR="0" wp14:anchorId="014C5708" wp14:editId="7AE8FBBB">
            <wp:extent cx="50292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E23B099" w14:textId="2E43109E" w:rsidR="004225A2" w:rsidRDefault="00B469C0" w:rsidP="004225A2">
      <w:pPr>
        <w:pStyle w:val="Caption"/>
        <w:suppressLineNumbers/>
        <w:sectPr w:rsidR="004225A2" w:rsidSect="00A82477">
          <w:pgSz w:w="11900" w:h="16840"/>
          <w:pgMar w:top="1440" w:right="1440" w:bottom="1440" w:left="1440" w:header="708" w:footer="708" w:gutter="0"/>
          <w:lnNumType w:countBy="1" w:restart="continuous"/>
          <w:cols w:space="708"/>
          <w:docGrid w:linePitch="360"/>
        </w:sectPr>
      </w:pPr>
      <w:bookmarkStart w:id="10" w:name="_Ref8144905"/>
      <w:r w:rsidRPr="009A7D61">
        <w:t xml:space="preserve">Supplementary Figure  </w:t>
      </w:r>
      <w:r w:rsidRPr="00902C77">
        <w:fldChar w:fldCharType="begin"/>
      </w:r>
      <w:r w:rsidRPr="0026490E">
        <w:instrText xml:space="preserve"> SEQ Supplementary_Figure_ \* ARABIC </w:instrText>
      </w:r>
      <w:r w:rsidRPr="00902C77">
        <w:fldChar w:fldCharType="separate"/>
      </w:r>
      <w:r w:rsidR="00C21CFF">
        <w:rPr>
          <w:noProof/>
        </w:rPr>
        <w:t>1</w:t>
      </w:r>
      <w:r w:rsidRPr="00902C77">
        <w:fldChar w:fldCharType="end"/>
      </w:r>
      <w:bookmarkEnd w:id="10"/>
      <w:r w:rsidRPr="00902C77">
        <w:t xml:space="preserve"> – Time to symptom resolution. </w:t>
      </w:r>
      <w:r w:rsidR="001A7405" w:rsidRPr="00E07A7F">
        <w:t>L</w:t>
      </w:r>
      <w:r w:rsidR="001A7405" w:rsidRPr="0026490E">
        <w:t>og rank test: p=0.006</w:t>
      </w:r>
    </w:p>
    <w:p w14:paraId="2CB47F64" w14:textId="50DC228F" w:rsidR="001B29E9" w:rsidRDefault="00B07364" w:rsidP="00B07364">
      <w:pPr>
        <w:pStyle w:val="Caption"/>
        <w:keepNext/>
        <w:suppressLineNumbers/>
        <w:rPr>
          <w:noProof/>
          <w:lang w:val="en-GB" w:eastAsia="zh-CN"/>
        </w:rPr>
      </w:pPr>
      <w:r w:rsidRPr="00B07364">
        <w:rPr>
          <w:b w:val="0"/>
          <w:i w:val="0"/>
          <w:iCs w:val="0"/>
        </w:rPr>
        <w:lastRenderedPageBreak/>
        <w:t xml:space="preserve"> </w:t>
      </w:r>
    </w:p>
    <w:p w14:paraId="3BD288E2" w14:textId="77777777" w:rsidR="001B29E9" w:rsidRDefault="001B29E9" w:rsidP="00B07364">
      <w:pPr>
        <w:pStyle w:val="Caption"/>
        <w:keepNext/>
        <w:suppressLineNumbers/>
        <w:rPr>
          <w:noProof/>
          <w:lang w:val="en-GB" w:eastAsia="zh-CN"/>
        </w:rPr>
      </w:pPr>
    </w:p>
    <w:p w14:paraId="53988DF2" w14:textId="10309A2F" w:rsidR="001B29E9" w:rsidRPr="00D40F04" w:rsidRDefault="00B07364" w:rsidP="00B07364">
      <w:pPr>
        <w:pStyle w:val="Caption"/>
        <w:keepNext/>
        <w:suppressLineNumbers/>
        <w:rPr>
          <w:i w:val="0"/>
          <w:iCs w:val="0"/>
          <w:sz w:val="28"/>
        </w:rPr>
      </w:pPr>
      <w:r w:rsidRPr="00D40F04">
        <w:rPr>
          <w:noProof/>
          <w:sz w:val="28"/>
          <w:lang w:val="en-GB" w:eastAsia="zh-CN"/>
        </w:rPr>
        <w:drawing>
          <wp:inline distT="0" distB="0" distL="0" distR="0" wp14:anchorId="4DC0E131" wp14:editId="6D7ED0AE">
            <wp:extent cx="2700000" cy="1965126"/>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2700000" cy="1965126"/>
                    </a:xfrm>
                    <a:prstGeom prst="rect">
                      <a:avLst/>
                    </a:prstGeom>
                    <a:noFill/>
                    <a:ln>
                      <a:noFill/>
                    </a:ln>
                  </pic:spPr>
                </pic:pic>
              </a:graphicData>
            </a:graphic>
          </wp:inline>
        </w:drawing>
      </w:r>
      <w:r w:rsidR="001B29E9" w:rsidRPr="00D40F04">
        <w:rPr>
          <w:i w:val="0"/>
          <w:iCs w:val="0"/>
          <w:noProof/>
          <w:sz w:val="28"/>
          <w:lang w:val="en-GB" w:eastAsia="zh-CN"/>
        </w:rPr>
        <w:t>a</w:t>
      </w:r>
      <w:r w:rsidRPr="00D40F04">
        <w:rPr>
          <w:i w:val="0"/>
          <w:iCs w:val="0"/>
          <w:noProof/>
          <w:sz w:val="28"/>
          <w:lang w:val="en-GB" w:eastAsia="zh-CN"/>
        </w:rPr>
        <w:drawing>
          <wp:inline distT="0" distB="0" distL="0" distR="0" wp14:anchorId="3D874930" wp14:editId="2CC40E87">
            <wp:extent cx="2700000" cy="19651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hqprint">
                      <a:extLst>
                        <a:ext uri="{28A0092B-C50C-407E-A947-70E740481C1C}">
                          <a14:useLocalDpi xmlns:a14="http://schemas.microsoft.com/office/drawing/2010/main" val="0"/>
                        </a:ext>
                      </a:extLst>
                    </a:blip>
                    <a:srcRect/>
                    <a:stretch>
                      <a:fillRect/>
                    </a:stretch>
                  </pic:blipFill>
                  <pic:spPr bwMode="auto">
                    <a:xfrm>
                      <a:off x="0" y="0"/>
                      <a:ext cx="2700000" cy="1965125"/>
                    </a:xfrm>
                    <a:prstGeom prst="rect">
                      <a:avLst/>
                    </a:prstGeom>
                    <a:noFill/>
                    <a:ln>
                      <a:noFill/>
                    </a:ln>
                  </pic:spPr>
                </pic:pic>
              </a:graphicData>
            </a:graphic>
          </wp:inline>
        </w:drawing>
      </w:r>
      <w:r w:rsidRPr="00D40F04">
        <w:rPr>
          <w:i w:val="0"/>
          <w:iCs w:val="0"/>
          <w:sz w:val="28"/>
        </w:rPr>
        <w:t xml:space="preserve"> </w:t>
      </w:r>
      <w:r w:rsidR="001B29E9" w:rsidRPr="00D40F04">
        <w:rPr>
          <w:i w:val="0"/>
          <w:iCs w:val="0"/>
          <w:sz w:val="28"/>
        </w:rPr>
        <w:t>b</w:t>
      </w:r>
    </w:p>
    <w:p w14:paraId="286AD748" w14:textId="278B723F" w:rsidR="00B07364" w:rsidRPr="00D40F04" w:rsidRDefault="00B07364" w:rsidP="00B07364">
      <w:pPr>
        <w:pStyle w:val="Caption"/>
        <w:keepNext/>
        <w:suppressLineNumbers/>
        <w:rPr>
          <w:sz w:val="28"/>
        </w:rPr>
      </w:pPr>
      <w:r w:rsidRPr="00D40F04">
        <w:rPr>
          <w:noProof/>
          <w:sz w:val="28"/>
          <w:lang w:val="en-GB" w:eastAsia="zh-CN"/>
        </w:rPr>
        <w:drawing>
          <wp:inline distT="0" distB="0" distL="0" distR="0" wp14:anchorId="49E6A760" wp14:editId="233ED8B4">
            <wp:extent cx="2700000" cy="19651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hqprint">
                      <a:extLst>
                        <a:ext uri="{28A0092B-C50C-407E-A947-70E740481C1C}">
                          <a14:useLocalDpi xmlns:a14="http://schemas.microsoft.com/office/drawing/2010/main" val="0"/>
                        </a:ext>
                      </a:extLst>
                    </a:blip>
                    <a:srcRect/>
                    <a:stretch>
                      <a:fillRect/>
                    </a:stretch>
                  </pic:blipFill>
                  <pic:spPr bwMode="auto">
                    <a:xfrm>
                      <a:off x="0" y="0"/>
                      <a:ext cx="2700000" cy="1965125"/>
                    </a:xfrm>
                    <a:prstGeom prst="rect">
                      <a:avLst/>
                    </a:prstGeom>
                    <a:noFill/>
                    <a:ln>
                      <a:noFill/>
                    </a:ln>
                  </pic:spPr>
                </pic:pic>
              </a:graphicData>
            </a:graphic>
          </wp:inline>
        </w:drawing>
      </w:r>
      <w:r w:rsidR="001B29E9" w:rsidRPr="00D40F04">
        <w:rPr>
          <w:i w:val="0"/>
          <w:iCs w:val="0"/>
          <w:noProof/>
          <w:sz w:val="28"/>
          <w:lang w:val="en-GB" w:eastAsia="zh-CN"/>
        </w:rPr>
        <w:t>c</w:t>
      </w:r>
      <w:r w:rsidR="000E663F" w:rsidRPr="000E663F">
        <w:rPr>
          <w:i w:val="0"/>
          <w:iCs w:val="0"/>
          <w:noProof/>
          <w:sz w:val="28"/>
          <w:lang w:val="en-GB" w:eastAsia="zh-CN"/>
        </w:rPr>
        <w:drawing>
          <wp:inline distT="0" distB="0" distL="0" distR="0" wp14:anchorId="39B34B17" wp14:editId="4044D151">
            <wp:extent cx="2811759" cy="19033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hqprint">
                      <a:extLst>
                        <a:ext uri="{28A0092B-C50C-407E-A947-70E740481C1C}">
                          <a14:useLocalDpi xmlns:a14="http://schemas.microsoft.com/office/drawing/2010/main" val="0"/>
                        </a:ext>
                      </a:extLst>
                    </a:blip>
                    <a:srcRect l="-1" t="8626" r="1828"/>
                    <a:stretch/>
                  </pic:blipFill>
                  <pic:spPr bwMode="auto">
                    <a:xfrm>
                      <a:off x="0" y="0"/>
                      <a:ext cx="2813980" cy="1904811"/>
                    </a:xfrm>
                    <a:prstGeom prst="rect">
                      <a:avLst/>
                    </a:prstGeom>
                    <a:noFill/>
                    <a:ln>
                      <a:noFill/>
                    </a:ln>
                    <a:extLst>
                      <a:ext uri="{53640926-AAD7-44D8-BBD7-CCE9431645EC}">
                        <a14:shadowObscured xmlns:a14="http://schemas.microsoft.com/office/drawing/2010/main"/>
                      </a:ext>
                    </a:extLst>
                  </pic:spPr>
                </pic:pic>
              </a:graphicData>
            </a:graphic>
          </wp:inline>
        </w:drawing>
      </w:r>
      <w:r w:rsidR="001B29E9" w:rsidRPr="00D40F04">
        <w:rPr>
          <w:i w:val="0"/>
          <w:iCs w:val="0"/>
          <w:noProof/>
          <w:sz w:val="28"/>
          <w:lang w:val="en-GB" w:eastAsia="zh-CN"/>
        </w:rPr>
        <w:t>d</w:t>
      </w:r>
    </w:p>
    <w:p w14:paraId="287ED65B" w14:textId="410197E1" w:rsidR="004225A2" w:rsidRDefault="004225A2" w:rsidP="004225A2">
      <w:pPr>
        <w:pStyle w:val="Caption"/>
        <w:suppressLineNumbers/>
      </w:pPr>
      <w:bookmarkStart w:id="11" w:name="_Ref11788353"/>
      <w:r>
        <w:t xml:space="preserve">Supplementary Figure  </w:t>
      </w:r>
      <w:r>
        <w:fldChar w:fldCharType="begin"/>
      </w:r>
      <w:r>
        <w:instrText xml:space="preserve"> SEQ Supplementary_Figure_ \* ARABIC </w:instrText>
      </w:r>
      <w:r>
        <w:fldChar w:fldCharType="separate"/>
      </w:r>
      <w:r w:rsidR="00C21CFF">
        <w:rPr>
          <w:noProof/>
        </w:rPr>
        <w:t>2</w:t>
      </w:r>
      <w:r>
        <w:fldChar w:fldCharType="end"/>
      </w:r>
      <w:bookmarkEnd w:id="11"/>
      <w:r>
        <w:t xml:space="preserve"> –  Kaplan-Meir curves illustrating time to blood culture clearance in study sub-groups, (a) Study A; (b) Study B; (c) Participants with no prior vaccine history</w:t>
      </w:r>
      <w:r w:rsidR="00B02AB1">
        <w:t xml:space="preserve"> (Study A only)</w:t>
      </w:r>
      <w:r>
        <w:t xml:space="preserve">; (d) Participants with no history of previous typhoid challenge. </w:t>
      </w:r>
    </w:p>
    <w:p w14:paraId="3A497C02" w14:textId="77777777" w:rsidR="004225A2" w:rsidRPr="004225A2" w:rsidRDefault="004225A2" w:rsidP="004225A2">
      <w:pPr>
        <w:pStyle w:val="Caption"/>
        <w:suppressLineNumbers/>
      </w:pPr>
    </w:p>
    <w:p w14:paraId="36F772A5" w14:textId="77777777" w:rsidR="00902C77" w:rsidRDefault="00902C77" w:rsidP="00072300">
      <w:pPr>
        <w:suppressLineNumbers/>
      </w:pPr>
    </w:p>
    <w:p w14:paraId="77A6C22E" w14:textId="76625F85" w:rsidR="00072300" w:rsidRDefault="00072300" w:rsidP="00072300">
      <w:pPr>
        <w:suppressLineNumbers/>
        <w:sectPr w:rsidR="00072300" w:rsidSect="00A82477">
          <w:pgSz w:w="11900" w:h="16840"/>
          <w:pgMar w:top="1440" w:right="1440" w:bottom="1440" w:left="1440" w:header="708" w:footer="708" w:gutter="0"/>
          <w:lnNumType w:countBy="1" w:restart="continuous"/>
          <w:cols w:space="708"/>
          <w:docGrid w:linePitch="360"/>
        </w:sectPr>
      </w:pPr>
    </w:p>
    <w:p w14:paraId="4C7B231B" w14:textId="77777777" w:rsidR="00902C77" w:rsidRDefault="00902C77" w:rsidP="00072300">
      <w:pPr>
        <w:keepNext/>
        <w:suppressLineNumbers/>
        <w:jc w:val="center"/>
      </w:pPr>
      <w:r w:rsidRPr="00061ABC">
        <w:rPr>
          <w:noProof/>
          <w:lang w:val="en-GB" w:eastAsia="zh-CN"/>
        </w:rPr>
        <w:lastRenderedPageBreak/>
        <w:drawing>
          <wp:inline distT="0" distB="0" distL="0" distR="0" wp14:anchorId="3789625D" wp14:editId="2C8F5D08">
            <wp:extent cx="3393635" cy="351749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00197" cy="3524291"/>
                    </a:xfrm>
                    <a:prstGeom prst="rect">
                      <a:avLst/>
                    </a:prstGeom>
                  </pic:spPr>
                </pic:pic>
              </a:graphicData>
            </a:graphic>
          </wp:inline>
        </w:drawing>
      </w:r>
    </w:p>
    <w:p w14:paraId="09555373" w14:textId="332CBA15" w:rsidR="00B30CC2" w:rsidRDefault="00902C77" w:rsidP="00B30CC2">
      <w:pPr>
        <w:pStyle w:val="Caption"/>
        <w:suppressLineNumbers/>
      </w:pPr>
      <w:bookmarkStart w:id="12" w:name="_Ref11414883"/>
      <w:r w:rsidRPr="00902C77">
        <w:t xml:space="preserve">Supplementary Figure </w:t>
      </w:r>
      <w:r w:rsidRPr="0026490E">
        <w:fldChar w:fldCharType="begin"/>
      </w:r>
      <w:r w:rsidRPr="0026490E">
        <w:instrText xml:space="preserve"> SEQ Supplementary_Figure_ \* ARABIC </w:instrText>
      </w:r>
      <w:r w:rsidRPr="0026490E">
        <w:fldChar w:fldCharType="separate"/>
      </w:r>
      <w:r w:rsidR="00C21CFF">
        <w:rPr>
          <w:noProof/>
        </w:rPr>
        <w:t>3</w:t>
      </w:r>
      <w:r w:rsidRPr="0026490E">
        <w:fldChar w:fldCharType="end"/>
      </w:r>
      <w:bookmarkEnd w:id="12"/>
      <w:r w:rsidRPr="0026490E">
        <w:t xml:space="preserve"> - PK simulation showing 1,000 mg loading dose followed by 500 mg daily azithromycin. The solid black line represents the median predicted plasma concentration. The dotted black line represents the median predicted intracellular concentration. The grey area represents the 5th</w:t>
      </w:r>
      <w:r w:rsidRPr="00902C77">
        <w:t>-95</w:t>
      </w:r>
      <w:r w:rsidRPr="0026490E">
        <w:t>th</w:t>
      </w:r>
      <w:r w:rsidRPr="00902C77">
        <w:t xml:space="preserve"> percentile. The horizontal dotted line represents the minimum inhibitory concentration (MIC).</w:t>
      </w:r>
    </w:p>
    <w:p w14:paraId="05D2F22C" w14:textId="77777777" w:rsidR="00B30CC2" w:rsidRDefault="00B30CC2">
      <w:pPr>
        <w:spacing w:line="240" w:lineRule="auto"/>
        <w:jc w:val="left"/>
        <w:rPr>
          <w:b/>
          <w:i/>
          <w:iCs/>
          <w:color w:val="000000" w:themeColor="text1"/>
          <w:sz w:val="20"/>
          <w:szCs w:val="20"/>
        </w:rPr>
      </w:pPr>
      <w:r>
        <w:br w:type="page"/>
      </w:r>
    </w:p>
    <w:p w14:paraId="79CB6768" w14:textId="77777777" w:rsidR="00B30CC2" w:rsidRDefault="00B30CC2" w:rsidP="00B30CC2">
      <w:pPr>
        <w:pStyle w:val="Caption"/>
        <w:suppressLineNumbers/>
        <w:sectPr w:rsidR="00B30CC2" w:rsidSect="00A82477">
          <w:pgSz w:w="11900" w:h="16840"/>
          <w:pgMar w:top="1440" w:right="1440" w:bottom="1440" w:left="1440" w:header="708" w:footer="708" w:gutter="0"/>
          <w:lnNumType w:countBy="1" w:restart="continuous"/>
          <w:cols w:space="708"/>
          <w:docGrid w:linePitch="360"/>
        </w:sectPr>
      </w:pPr>
    </w:p>
    <w:tbl>
      <w:tblPr>
        <w:tblStyle w:val="TableGrid"/>
        <w:tblW w:w="0" w:type="auto"/>
        <w:jc w:val="center"/>
        <w:tblLook w:val="04A0" w:firstRow="1" w:lastRow="0" w:firstColumn="1" w:lastColumn="0" w:noHBand="0" w:noVBand="1"/>
      </w:tblPr>
      <w:tblGrid>
        <w:gridCol w:w="512"/>
        <w:gridCol w:w="5980"/>
        <w:gridCol w:w="516"/>
        <w:gridCol w:w="5745"/>
      </w:tblGrid>
      <w:tr w:rsidR="00B30CC2" w14:paraId="6EF7A840" w14:textId="77777777" w:rsidTr="00D40F04">
        <w:trPr>
          <w:jc w:val="center"/>
        </w:trPr>
        <w:tc>
          <w:tcPr>
            <w:tcW w:w="512" w:type="dxa"/>
          </w:tcPr>
          <w:p w14:paraId="16FD40C0" w14:textId="1E4F82F8" w:rsidR="00B30CC2" w:rsidRDefault="00B30CC2" w:rsidP="00B30CC2">
            <w:pPr>
              <w:pStyle w:val="Caption"/>
              <w:suppressLineNumbers/>
              <w:rPr>
                <w:noProof/>
              </w:rPr>
            </w:pPr>
            <w:r>
              <w:rPr>
                <w:noProof/>
              </w:rPr>
              <w:lastRenderedPageBreak/>
              <w:t>4A)</w:t>
            </w:r>
          </w:p>
        </w:tc>
        <w:tc>
          <w:tcPr>
            <w:tcW w:w="5980" w:type="dxa"/>
          </w:tcPr>
          <w:p w14:paraId="4D13B79B" w14:textId="56806706" w:rsidR="00B30CC2" w:rsidRDefault="00B30CC2" w:rsidP="00B30CC2">
            <w:pPr>
              <w:pStyle w:val="Caption"/>
              <w:suppressLineNumbers/>
            </w:pPr>
            <w:r>
              <w:rPr>
                <w:noProof/>
                <w:lang w:val="en-GB" w:eastAsia="zh-CN"/>
              </w:rPr>
              <w:drawing>
                <wp:inline distT="0" distB="0" distL="0" distR="0" wp14:anchorId="7D368CC8" wp14:editId="6EBD724F">
                  <wp:extent cx="3329073" cy="352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9-29 at 12.56.15.png"/>
                          <pic:cNvPicPr/>
                        </pic:nvPicPr>
                        <pic:blipFill>
                          <a:blip r:embed="rId24">
                            <a:extLst>
                              <a:ext uri="{28A0092B-C50C-407E-A947-70E740481C1C}">
                                <a14:useLocalDpi xmlns:a14="http://schemas.microsoft.com/office/drawing/2010/main" val="0"/>
                              </a:ext>
                            </a:extLst>
                          </a:blip>
                          <a:stretch>
                            <a:fillRect/>
                          </a:stretch>
                        </pic:blipFill>
                        <pic:spPr>
                          <a:xfrm>
                            <a:off x="0" y="0"/>
                            <a:ext cx="3329073" cy="3520800"/>
                          </a:xfrm>
                          <a:prstGeom prst="rect">
                            <a:avLst/>
                          </a:prstGeom>
                        </pic:spPr>
                      </pic:pic>
                    </a:graphicData>
                  </a:graphic>
                </wp:inline>
              </w:drawing>
            </w:r>
          </w:p>
        </w:tc>
        <w:tc>
          <w:tcPr>
            <w:tcW w:w="516" w:type="dxa"/>
          </w:tcPr>
          <w:p w14:paraId="49709F79" w14:textId="2442A603" w:rsidR="00B30CC2" w:rsidRDefault="00B30CC2" w:rsidP="00B30CC2">
            <w:pPr>
              <w:pStyle w:val="Caption"/>
              <w:suppressLineNumbers/>
              <w:rPr>
                <w:noProof/>
              </w:rPr>
            </w:pPr>
            <w:r>
              <w:rPr>
                <w:noProof/>
              </w:rPr>
              <w:t>4B)</w:t>
            </w:r>
          </w:p>
        </w:tc>
        <w:tc>
          <w:tcPr>
            <w:tcW w:w="5745" w:type="dxa"/>
          </w:tcPr>
          <w:p w14:paraId="08779765" w14:textId="5F3683F1" w:rsidR="00B30CC2" w:rsidRDefault="00B30CC2" w:rsidP="00B30CC2">
            <w:pPr>
              <w:pStyle w:val="Caption"/>
              <w:suppressLineNumbers/>
            </w:pPr>
            <w:r>
              <w:rPr>
                <w:noProof/>
                <w:lang w:val="en-GB" w:eastAsia="zh-CN"/>
              </w:rPr>
              <w:drawing>
                <wp:inline distT="0" distB="0" distL="0" distR="0" wp14:anchorId="1E3DFF06" wp14:editId="3A340FE6">
                  <wp:extent cx="3364320" cy="35208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9-29 at 12.56.19.png"/>
                          <pic:cNvPicPr/>
                        </pic:nvPicPr>
                        <pic:blipFill>
                          <a:blip r:embed="rId25">
                            <a:extLst>
                              <a:ext uri="{28A0092B-C50C-407E-A947-70E740481C1C}">
                                <a14:useLocalDpi xmlns:a14="http://schemas.microsoft.com/office/drawing/2010/main" val="0"/>
                              </a:ext>
                            </a:extLst>
                          </a:blip>
                          <a:stretch>
                            <a:fillRect/>
                          </a:stretch>
                        </pic:blipFill>
                        <pic:spPr>
                          <a:xfrm>
                            <a:off x="0" y="0"/>
                            <a:ext cx="3364320" cy="3520800"/>
                          </a:xfrm>
                          <a:prstGeom prst="rect">
                            <a:avLst/>
                          </a:prstGeom>
                        </pic:spPr>
                      </pic:pic>
                    </a:graphicData>
                  </a:graphic>
                </wp:inline>
              </w:drawing>
            </w:r>
          </w:p>
        </w:tc>
      </w:tr>
    </w:tbl>
    <w:p w14:paraId="283C6DE6" w14:textId="58716E94" w:rsidR="00B30CC2" w:rsidRDefault="00B30CC2" w:rsidP="00B30CC2">
      <w:pPr>
        <w:pStyle w:val="Caption"/>
        <w:suppressLineNumbers/>
      </w:pPr>
    </w:p>
    <w:p w14:paraId="63439012" w14:textId="67A7EC5D" w:rsidR="00B30CC2" w:rsidRDefault="00B30CC2" w:rsidP="00B30CC2">
      <w:pPr>
        <w:pStyle w:val="Caption"/>
        <w:suppressLineNumbers/>
      </w:pPr>
      <w:r w:rsidRPr="00902C77">
        <w:t xml:space="preserve">Supplementary Figure </w:t>
      </w:r>
      <w:r>
        <w:t>4A</w:t>
      </w:r>
      <w:r w:rsidRPr="0026490E">
        <w:t xml:space="preserve"> - PK simulation showing 1,000mg daily </w:t>
      </w:r>
      <w:r>
        <w:t xml:space="preserve">dosing of </w:t>
      </w:r>
      <w:r w:rsidRPr="0026490E">
        <w:t xml:space="preserve">azithromycin. </w:t>
      </w:r>
      <w:r>
        <w:t xml:space="preserve">4B - </w:t>
      </w:r>
      <w:r w:rsidRPr="0026490E">
        <w:t xml:space="preserve">PK simulation showing </w:t>
      </w:r>
      <w:r>
        <w:t>500</w:t>
      </w:r>
      <w:r w:rsidRPr="0026490E">
        <w:t xml:space="preserve">mg </w:t>
      </w:r>
      <w:r>
        <w:t xml:space="preserve">twice </w:t>
      </w:r>
      <w:r w:rsidRPr="0026490E">
        <w:t xml:space="preserve">daily </w:t>
      </w:r>
      <w:r>
        <w:t xml:space="preserve">dosing of </w:t>
      </w:r>
      <w:r w:rsidRPr="0026490E">
        <w:t>azithromycin.</w:t>
      </w:r>
      <w:r>
        <w:t xml:space="preserve"> </w:t>
      </w:r>
      <w:r w:rsidRPr="0026490E">
        <w:t>The solid black line represents the median predicted plasma concentration. The dotted black line represents the median predicted intracellular concentration. The grey area represents the 5th</w:t>
      </w:r>
      <w:r w:rsidRPr="00902C77">
        <w:t>-95</w:t>
      </w:r>
      <w:r w:rsidRPr="0026490E">
        <w:t>th</w:t>
      </w:r>
      <w:r w:rsidRPr="00902C77">
        <w:t xml:space="preserve"> percentile. The horizontal dotted line represents the minimum inhibitory concentration (MIC).</w:t>
      </w:r>
    </w:p>
    <w:p w14:paraId="12AC1A3B" w14:textId="77777777" w:rsidR="00B30CC2" w:rsidRPr="00B30CC2" w:rsidRDefault="00B30CC2" w:rsidP="00D40F04"/>
    <w:sectPr w:rsidR="00B30CC2" w:rsidRPr="00B30CC2" w:rsidSect="00D40F04">
      <w:pgSz w:w="16840" w:h="11900"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567B9" w14:textId="77777777" w:rsidR="00593563" w:rsidRDefault="00593563" w:rsidP="0026490E">
      <w:r>
        <w:separator/>
      </w:r>
    </w:p>
  </w:endnote>
  <w:endnote w:type="continuationSeparator" w:id="0">
    <w:p w14:paraId="67139855" w14:textId="77777777" w:rsidR="00593563" w:rsidRDefault="00593563" w:rsidP="002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6947235"/>
      <w:docPartObj>
        <w:docPartGallery w:val="Page Numbers (Bottom of Page)"/>
        <w:docPartUnique/>
      </w:docPartObj>
    </w:sdtPr>
    <w:sdtEndPr>
      <w:rPr>
        <w:rStyle w:val="PageNumber"/>
      </w:rPr>
    </w:sdtEndPr>
    <w:sdtContent>
      <w:p w14:paraId="32B8CA5F" w14:textId="6D180144" w:rsidR="0029190F" w:rsidRDefault="0029190F" w:rsidP="00C30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26DBC" w14:textId="77777777" w:rsidR="0029190F" w:rsidRDefault="0029190F" w:rsidP="00C302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718824"/>
      <w:docPartObj>
        <w:docPartGallery w:val="Page Numbers (Bottom of Page)"/>
        <w:docPartUnique/>
      </w:docPartObj>
    </w:sdtPr>
    <w:sdtEndPr>
      <w:rPr>
        <w:rStyle w:val="PageNumber"/>
      </w:rPr>
    </w:sdtEndPr>
    <w:sdtContent>
      <w:p w14:paraId="52C76B7E" w14:textId="66C94898" w:rsidR="0029190F" w:rsidRDefault="0029190F" w:rsidP="00C302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74C2085A" w14:textId="77777777" w:rsidR="0029190F" w:rsidRDefault="0029190F" w:rsidP="00C302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0DE96" w14:textId="77777777" w:rsidR="00593563" w:rsidRDefault="00593563" w:rsidP="0026490E">
      <w:r>
        <w:separator/>
      </w:r>
    </w:p>
  </w:footnote>
  <w:footnote w:type="continuationSeparator" w:id="0">
    <w:p w14:paraId="300A61A5" w14:textId="77777777" w:rsidR="00593563" w:rsidRDefault="00593563" w:rsidP="00264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0C36"/>
    <w:multiLevelType w:val="hybridMultilevel"/>
    <w:tmpl w:val="C95C8A0E"/>
    <w:lvl w:ilvl="0" w:tplc="F5BA798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5773"/>
    <w:multiLevelType w:val="hybridMultilevel"/>
    <w:tmpl w:val="3E7A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C5752"/>
    <w:multiLevelType w:val="hybridMultilevel"/>
    <w:tmpl w:val="A088EB7C"/>
    <w:lvl w:ilvl="0" w:tplc="5A303CC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74705"/>
    <w:multiLevelType w:val="hybridMultilevel"/>
    <w:tmpl w:val="CB96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42"/>
    <w:rsid w:val="00007476"/>
    <w:rsid w:val="00014E3B"/>
    <w:rsid w:val="00027C4B"/>
    <w:rsid w:val="000309E2"/>
    <w:rsid w:val="00043414"/>
    <w:rsid w:val="00053EA1"/>
    <w:rsid w:val="00056D23"/>
    <w:rsid w:val="000606E9"/>
    <w:rsid w:val="00063365"/>
    <w:rsid w:val="0006720F"/>
    <w:rsid w:val="000707E7"/>
    <w:rsid w:val="00072300"/>
    <w:rsid w:val="000952A6"/>
    <w:rsid w:val="000A52B4"/>
    <w:rsid w:val="000A7B10"/>
    <w:rsid w:val="000A7BDE"/>
    <w:rsid w:val="000D020D"/>
    <w:rsid w:val="000D1609"/>
    <w:rsid w:val="000E13FD"/>
    <w:rsid w:val="000E655B"/>
    <w:rsid w:val="000E663F"/>
    <w:rsid w:val="00105EDB"/>
    <w:rsid w:val="001164A7"/>
    <w:rsid w:val="001177C2"/>
    <w:rsid w:val="00122B06"/>
    <w:rsid w:val="00127AEB"/>
    <w:rsid w:val="00130A84"/>
    <w:rsid w:val="00132780"/>
    <w:rsid w:val="001368AD"/>
    <w:rsid w:val="00136FC5"/>
    <w:rsid w:val="001443CA"/>
    <w:rsid w:val="00167A73"/>
    <w:rsid w:val="001738D9"/>
    <w:rsid w:val="0018115B"/>
    <w:rsid w:val="00192445"/>
    <w:rsid w:val="001937E5"/>
    <w:rsid w:val="00197797"/>
    <w:rsid w:val="001A0D5B"/>
    <w:rsid w:val="001A28BE"/>
    <w:rsid w:val="001A7405"/>
    <w:rsid w:val="001B24E3"/>
    <w:rsid w:val="001B29E9"/>
    <w:rsid w:val="001B3B52"/>
    <w:rsid w:val="001B776D"/>
    <w:rsid w:val="001C411D"/>
    <w:rsid w:val="001D6F75"/>
    <w:rsid w:val="001D7CA9"/>
    <w:rsid w:val="001D7DFC"/>
    <w:rsid w:val="001E1DBF"/>
    <w:rsid w:val="001E5280"/>
    <w:rsid w:val="001F65F2"/>
    <w:rsid w:val="002133B1"/>
    <w:rsid w:val="002213ED"/>
    <w:rsid w:val="0023538A"/>
    <w:rsid w:val="002418C1"/>
    <w:rsid w:val="0025051C"/>
    <w:rsid w:val="00254794"/>
    <w:rsid w:val="00257404"/>
    <w:rsid w:val="0026490E"/>
    <w:rsid w:val="00270723"/>
    <w:rsid w:val="00271DCF"/>
    <w:rsid w:val="0027543E"/>
    <w:rsid w:val="0029190F"/>
    <w:rsid w:val="00296C2F"/>
    <w:rsid w:val="002A5B09"/>
    <w:rsid w:val="002B04A9"/>
    <w:rsid w:val="002B6A7F"/>
    <w:rsid w:val="002C108F"/>
    <w:rsid w:val="002C7074"/>
    <w:rsid w:val="002D67B6"/>
    <w:rsid w:val="002E093C"/>
    <w:rsid w:val="002E3C58"/>
    <w:rsid w:val="002E6C7A"/>
    <w:rsid w:val="00303D9A"/>
    <w:rsid w:val="0030702F"/>
    <w:rsid w:val="00314F36"/>
    <w:rsid w:val="003168F2"/>
    <w:rsid w:val="003176FC"/>
    <w:rsid w:val="003213E4"/>
    <w:rsid w:val="00324178"/>
    <w:rsid w:val="00333295"/>
    <w:rsid w:val="003332A4"/>
    <w:rsid w:val="00337261"/>
    <w:rsid w:val="003376CB"/>
    <w:rsid w:val="0034142C"/>
    <w:rsid w:val="003416D2"/>
    <w:rsid w:val="0034713B"/>
    <w:rsid w:val="003551C8"/>
    <w:rsid w:val="00360B1D"/>
    <w:rsid w:val="00362CBF"/>
    <w:rsid w:val="00373AF0"/>
    <w:rsid w:val="00376AC2"/>
    <w:rsid w:val="003929F7"/>
    <w:rsid w:val="00392BFC"/>
    <w:rsid w:val="003A62D7"/>
    <w:rsid w:val="003B0B7B"/>
    <w:rsid w:val="003B540C"/>
    <w:rsid w:val="003C177F"/>
    <w:rsid w:val="003D0978"/>
    <w:rsid w:val="003F44B2"/>
    <w:rsid w:val="003F5B4D"/>
    <w:rsid w:val="00403D1E"/>
    <w:rsid w:val="004051F0"/>
    <w:rsid w:val="0041393D"/>
    <w:rsid w:val="004225A2"/>
    <w:rsid w:val="0042304C"/>
    <w:rsid w:val="004274B6"/>
    <w:rsid w:val="00451971"/>
    <w:rsid w:val="0047155F"/>
    <w:rsid w:val="004761F4"/>
    <w:rsid w:val="00485A21"/>
    <w:rsid w:val="00492069"/>
    <w:rsid w:val="00492914"/>
    <w:rsid w:val="00492F33"/>
    <w:rsid w:val="004A35C5"/>
    <w:rsid w:val="004B23C1"/>
    <w:rsid w:val="004B3572"/>
    <w:rsid w:val="004B7835"/>
    <w:rsid w:val="004D176E"/>
    <w:rsid w:val="004D17AA"/>
    <w:rsid w:val="004E3D53"/>
    <w:rsid w:val="004F15DE"/>
    <w:rsid w:val="004F561D"/>
    <w:rsid w:val="0050733E"/>
    <w:rsid w:val="00522A33"/>
    <w:rsid w:val="00540DA7"/>
    <w:rsid w:val="00553D53"/>
    <w:rsid w:val="0056048F"/>
    <w:rsid w:val="00560918"/>
    <w:rsid w:val="00581A92"/>
    <w:rsid w:val="00582088"/>
    <w:rsid w:val="00592C3D"/>
    <w:rsid w:val="00593563"/>
    <w:rsid w:val="00597218"/>
    <w:rsid w:val="005A3C6A"/>
    <w:rsid w:val="005A5297"/>
    <w:rsid w:val="005B270C"/>
    <w:rsid w:val="005B6B76"/>
    <w:rsid w:val="005C05B3"/>
    <w:rsid w:val="005C4F8A"/>
    <w:rsid w:val="005D28F1"/>
    <w:rsid w:val="005D3E8F"/>
    <w:rsid w:val="005E045D"/>
    <w:rsid w:val="005E34DF"/>
    <w:rsid w:val="005F5EFD"/>
    <w:rsid w:val="005F7F89"/>
    <w:rsid w:val="00600779"/>
    <w:rsid w:val="00605378"/>
    <w:rsid w:val="006065AC"/>
    <w:rsid w:val="006077DE"/>
    <w:rsid w:val="00610541"/>
    <w:rsid w:val="006141AC"/>
    <w:rsid w:val="00614A13"/>
    <w:rsid w:val="00620466"/>
    <w:rsid w:val="00633A46"/>
    <w:rsid w:val="00662601"/>
    <w:rsid w:val="00666632"/>
    <w:rsid w:val="00676A8F"/>
    <w:rsid w:val="00676B9B"/>
    <w:rsid w:val="00676D2E"/>
    <w:rsid w:val="006A2704"/>
    <w:rsid w:val="006A389E"/>
    <w:rsid w:val="006A64D4"/>
    <w:rsid w:val="006A6F2B"/>
    <w:rsid w:val="006C25B6"/>
    <w:rsid w:val="006E6962"/>
    <w:rsid w:val="006F7381"/>
    <w:rsid w:val="0070390C"/>
    <w:rsid w:val="00705E41"/>
    <w:rsid w:val="00706922"/>
    <w:rsid w:val="00717060"/>
    <w:rsid w:val="007202B6"/>
    <w:rsid w:val="00721009"/>
    <w:rsid w:val="00732CED"/>
    <w:rsid w:val="007451B7"/>
    <w:rsid w:val="00761145"/>
    <w:rsid w:val="007644FE"/>
    <w:rsid w:val="0078074C"/>
    <w:rsid w:val="007A00A3"/>
    <w:rsid w:val="007C7103"/>
    <w:rsid w:val="007D2F0F"/>
    <w:rsid w:val="007D35DB"/>
    <w:rsid w:val="007E1773"/>
    <w:rsid w:val="007E5D2E"/>
    <w:rsid w:val="00820F27"/>
    <w:rsid w:val="00836F33"/>
    <w:rsid w:val="0083799E"/>
    <w:rsid w:val="00837E94"/>
    <w:rsid w:val="00841EEE"/>
    <w:rsid w:val="00845CEA"/>
    <w:rsid w:val="00854256"/>
    <w:rsid w:val="00855E58"/>
    <w:rsid w:val="00856BA0"/>
    <w:rsid w:val="00864774"/>
    <w:rsid w:val="008777A9"/>
    <w:rsid w:val="008B0E5B"/>
    <w:rsid w:val="008B788F"/>
    <w:rsid w:val="008C746E"/>
    <w:rsid w:val="008D4773"/>
    <w:rsid w:val="008E0DB0"/>
    <w:rsid w:val="008E45D0"/>
    <w:rsid w:val="008F4B50"/>
    <w:rsid w:val="008F6A0C"/>
    <w:rsid w:val="008F6F4B"/>
    <w:rsid w:val="00900692"/>
    <w:rsid w:val="00902C77"/>
    <w:rsid w:val="009039B8"/>
    <w:rsid w:val="00904175"/>
    <w:rsid w:val="009042AD"/>
    <w:rsid w:val="00905892"/>
    <w:rsid w:val="009135AB"/>
    <w:rsid w:val="00931C80"/>
    <w:rsid w:val="00941699"/>
    <w:rsid w:val="00951590"/>
    <w:rsid w:val="0096540C"/>
    <w:rsid w:val="009822A2"/>
    <w:rsid w:val="009834E2"/>
    <w:rsid w:val="00990748"/>
    <w:rsid w:val="009A77A0"/>
    <w:rsid w:val="009A7D61"/>
    <w:rsid w:val="009B5216"/>
    <w:rsid w:val="009C6165"/>
    <w:rsid w:val="009D62AB"/>
    <w:rsid w:val="009E41DD"/>
    <w:rsid w:val="009E757F"/>
    <w:rsid w:val="009F1EBE"/>
    <w:rsid w:val="009F5B86"/>
    <w:rsid w:val="00A04657"/>
    <w:rsid w:val="00A10B53"/>
    <w:rsid w:val="00A10E2A"/>
    <w:rsid w:val="00A1177B"/>
    <w:rsid w:val="00A15681"/>
    <w:rsid w:val="00A2569D"/>
    <w:rsid w:val="00A25B6C"/>
    <w:rsid w:val="00A400BF"/>
    <w:rsid w:val="00A60299"/>
    <w:rsid w:val="00A722D4"/>
    <w:rsid w:val="00A82477"/>
    <w:rsid w:val="00A84EBC"/>
    <w:rsid w:val="00A85D2C"/>
    <w:rsid w:val="00A87E32"/>
    <w:rsid w:val="00AA648C"/>
    <w:rsid w:val="00AB64A0"/>
    <w:rsid w:val="00AB79E1"/>
    <w:rsid w:val="00AB7A17"/>
    <w:rsid w:val="00AC0044"/>
    <w:rsid w:val="00AC4841"/>
    <w:rsid w:val="00AE6182"/>
    <w:rsid w:val="00AF0F87"/>
    <w:rsid w:val="00B02AB1"/>
    <w:rsid w:val="00B07364"/>
    <w:rsid w:val="00B07FBB"/>
    <w:rsid w:val="00B15012"/>
    <w:rsid w:val="00B1716B"/>
    <w:rsid w:val="00B204B9"/>
    <w:rsid w:val="00B20766"/>
    <w:rsid w:val="00B30CC2"/>
    <w:rsid w:val="00B36EB5"/>
    <w:rsid w:val="00B41495"/>
    <w:rsid w:val="00B41829"/>
    <w:rsid w:val="00B469C0"/>
    <w:rsid w:val="00B47A3E"/>
    <w:rsid w:val="00B55130"/>
    <w:rsid w:val="00B55209"/>
    <w:rsid w:val="00B55C09"/>
    <w:rsid w:val="00B657F6"/>
    <w:rsid w:val="00B7095B"/>
    <w:rsid w:val="00B82089"/>
    <w:rsid w:val="00B93D04"/>
    <w:rsid w:val="00B9655D"/>
    <w:rsid w:val="00BB5C37"/>
    <w:rsid w:val="00BC188E"/>
    <w:rsid w:val="00BC55ED"/>
    <w:rsid w:val="00BD434A"/>
    <w:rsid w:val="00BE0F3D"/>
    <w:rsid w:val="00C060B9"/>
    <w:rsid w:val="00C068BA"/>
    <w:rsid w:val="00C2161E"/>
    <w:rsid w:val="00C21CFF"/>
    <w:rsid w:val="00C22298"/>
    <w:rsid w:val="00C2280B"/>
    <w:rsid w:val="00C30207"/>
    <w:rsid w:val="00C311FC"/>
    <w:rsid w:val="00C313D7"/>
    <w:rsid w:val="00C32338"/>
    <w:rsid w:val="00C33846"/>
    <w:rsid w:val="00C373A8"/>
    <w:rsid w:val="00C45343"/>
    <w:rsid w:val="00C54FA5"/>
    <w:rsid w:val="00C65842"/>
    <w:rsid w:val="00C671AE"/>
    <w:rsid w:val="00C80164"/>
    <w:rsid w:val="00C80F60"/>
    <w:rsid w:val="00CA704F"/>
    <w:rsid w:val="00CC6A0A"/>
    <w:rsid w:val="00CD045C"/>
    <w:rsid w:val="00CD0CF6"/>
    <w:rsid w:val="00CD1CE9"/>
    <w:rsid w:val="00CD2686"/>
    <w:rsid w:val="00CF22E0"/>
    <w:rsid w:val="00D04636"/>
    <w:rsid w:val="00D06440"/>
    <w:rsid w:val="00D1638B"/>
    <w:rsid w:val="00D26AB3"/>
    <w:rsid w:val="00D319E4"/>
    <w:rsid w:val="00D33F5F"/>
    <w:rsid w:val="00D40F04"/>
    <w:rsid w:val="00D428A5"/>
    <w:rsid w:val="00D43382"/>
    <w:rsid w:val="00D474B3"/>
    <w:rsid w:val="00D660C8"/>
    <w:rsid w:val="00D72191"/>
    <w:rsid w:val="00D746BF"/>
    <w:rsid w:val="00D90B41"/>
    <w:rsid w:val="00D94425"/>
    <w:rsid w:val="00DC237A"/>
    <w:rsid w:val="00DD0F89"/>
    <w:rsid w:val="00DD5FD0"/>
    <w:rsid w:val="00DD6C72"/>
    <w:rsid w:val="00DD747F"/>
    <w:rsid w:val="00E037D0"/>
    <w:rsid w:val="00E07A7F"/>
    <w:rsid w:val="00E16064"/>
    <w:rsid w:val="00E21742"/>
    <w:rsid w:val="00E25157"/>
    <w:rsid w:val="00E26C4A"/>
    <w:rsid w:val="00E31A96"/>
    <w:rsid w:val="00E443C6"/>
    <w:rsid w:val="00E46BE5"/>
    <w:rsid w:val="00E60623"/>
    <w:rsid w:val="00E86493"/>
    <w:rsid w:val="00EA639D"/>
    <w:rsid w:val="00EB4A03"/>
    <w:rsid w:val="00EB7ABB"/>
    <w:rsid w:val="00EC78B1"/>
    <w:rsid w:val="00ED1BC8"/>
    <w:rsid w:val="00ED42A5"/>
    <w:rsid w:val="00ED4B8E"/>
    <w:rsid w:val="00ED5AD4"/>
    <w:rsid w:val="00EE4973"/>
    <w:rsid w:val="00EF39AF"/>
    <w:rsid w:val="00F00335"/>
    <w:rsid w:val="00F04BB6"/>
    <w:rsid w:val="00F0762D"/>
    <w:rsid w:val="00F125AB"/>
    <w:rsid w:val="00F1382F"/>
    <w:rsid w:val="00F1530B"/>
    <w:rsid w:val="00F17126"/>
    <w:rsid w:val="00F344AC"/>
    <w:rsid w:val="00F45651"/>
    <w:rsid w:val="00F50054"/>
    <w:rsid w:val="00F524BB"/>
    <w:rsid w:val="00F60777"/>
    <w:rsid w:val="00F740EE"/>
    <w:rsid w:val="00F831D7"/>
    <w:rsid w:val="00FA57AE"/>
    <w:rsid w:val="00FB2AD0"/>
    <w:rsid w:val="00FB66A9"/>
    <w:rsid w:val="00FC3B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552BA"/>
  <w14:defaultImageDpi w14:val="32767"/>
  <w15:chartTrackingRefBased/>
  <w15:docId w15:val="{69F2E393-7CE1-8A44-8D2B-553FA88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B6"/>
    <w:pPr>
      <w:spacing w:line="480" w:lineRule="auto"/>
      <w:jc w:val="both"/>
    </w:pPr>
    <w:rPr>
      <w:rFonts w:ascii="Garamond" w:hAnsi="Garamond" w:cs="Calibri Light"/>
      <w:sz w:val="22"/>
      <w:szCs w:val="22"/>
      <w:lang w:val="en-AU"/>
    </w:rPr>
  </w:style>
  <w:style w:type="paragraph" w:styleId="Heading1">
    <w:name w:val="heading 1"/>
    <w:basedOn w:val="Normal"/>
    <w:next w:val="Normal"/>
    <w:link w:val="Heading1Char"/>
    <w:uiPriority w:val="9"/>
    <w:qFormat/>
    <w:rsid w:val="004519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25B6"/>
    <w:pPr>
      <w:keepNext/>
      <w:keepLines/>
      <w:spacing w:before="360" w:after="360"/>
      <w:ind w:left="576" w:hanging="576"/>
      <w:outlineLvl w:val="1"/>
    </w:pPr>
    <w:rPr>
      <w:rFonts w:eastAsiaTheme="majorEastAsia" w:cstheme="majorBidi"/>
      <w:b/>
      <w:bCs/>
      <w:szCs w:val="28"/>
      <w14:numForm w14:val="lining"/>
    </w:rPr>
  </w:style>
  <w:style w:type="paragraph" w:styleId="Heading3">
    <w:name w:val="heading 3"/>
    <w:basedOn w:val="Normal"/>
    <w:next w:val="Normal"/>
    <w:link w:val="Heading3Char"/>
    <w:uiPriority w:val="9"/>
    <w:unhideWhenUsed/>
    <w:qFormat/>
    <w:rsid w:val="003A62D7"/>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5B6"/>
    <w:rPr>
      <w:rFonts w:ascii="Garamond" w:eastAsiaTheme="majorEastAsia" w:hAnsi="Garamond" w:cstheme="majorBidi"/>
      <w:b/>
      <w:bCs/>
      <w:sz w:val="22"/>
      <w:szCs w:val="28"/>
      <w:lang w:val="en-AU"/>
      <w14:numForm w14:val="lining"/>
    </w:rPr>
  </w:style>
  <w:style w:type="character" w:styleId="CommentReference">
    <w:name w:val="annotation reference"/>
    <w:basedOn w:val="DefaultParagraphFont"/>
    <w:uiPriority w:val="99"/>
    <w:semiHidden/>
    <w:unhideWhenUsed/>
    <w:rsid w:val="00C060B9"/>
    <w:rPr>
      <w:sz w:val="16"/>
      <w:szCs w:val="16"/>
    </w:rPr>
  </w:style>
  <w:style w:type="paragraph" w:styleId="CommentText">
    <w:name w:val="annotation text"/>
    <w:basedOn w:val="Normal"/>
    <w:link w:val="CommentTextChar"/>
    <w:uiPriority w:val="99"/>
    <w:unhideWhenUsed/>
    <w:rsid w:val="00C060B9"/>
    <w:pPr>
      <w:spacing w:after="160"/>
    </w:pPr>
    <w:rPr>
      <w:rFonts w:asciiTheme="majorHAnsi" w:eastAsiaTheme="minorEastAsia" w:hAnsiTheme="majorHAnsi"/>
      <w:sz w:val="20"/>
      <w:szCs w:val="20"/>
      <w14:numForm w14:val="lining"/>
    </w:rPr>
  </w:style>
  <w:style w:type="character" w:customStyle="1" w:styleId="CommentTextChar">
    <w:name w:val="Comment Text Char"/>
    <w:basedOn w:val="DefaultParagraphFont"/>
    <w:link w:val="CommentText"/>
    <w:uiPriority w:val="99"/>
    <w:rsid w:val="00C060B9"/>
    <w:rPr>
      <w:rFonts w:asciiTheme="majorHAnsi" w:eastAsiaTheme="minorEastAsia" w:hAnsiTheme="majorHAnsi"/>
      <w:sz w:val="20"/>
      <w:szCs w:val="20"/>
      <w14:numForm w14:val="lining"/>
    </w:rPr>
  </w:style>
  <w:style w:type="paragraph" w:styleId="BalloonText">
    <w:name w:val="Balloon Text"/>
    <w:basedOn w:val="Normal"/>
    <w:link w:val="BalloonTextChar"/>
    <w:uiPriority w:val="99"/>
    <w:semiHidden/>
    <w:unhideWhenUsed/>
    <w:rsid w:val="00C060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0B9"/>
    <w:rPr>
      <w:rFonts w:ascii="Times New Roman" w:hAnsi="Times New Roman" w:cs="Times New Roman"/>
      <w:sz w:val="18"/>
      <w:szCs w:val="18"/>
    </w:rPr>
  </w:style>
  <w:style w:type="paragraph" w:styleId="Title">
    <w:name w:val="Title"/>
    <w:aliases w:val="title"/>
    <w:basedOn w:val="Normal"/>
    <w:next w:val="Normal"/>
    <w:link w:val="TitleChar"/>
    <w:uiPriority w:val="10"/>
    <w:qFormat/>
    <w:rsid w:val="006C25B6"/>
    <w:pPr>
      <w:spacing w:line="240" w:lineRule="auto"/>
      <w:contextualSpacing/>
    </w:pPr>
    <w:rPr>
      <w:rFonts w:eastAsiaTheme="majorEastAsia" w:cstheme="majorBidi"/>
      <w:spacing w:val="-10"/>
      <w:kern w:val="28"/>
      <w:sz w:val="56"/>
      <w:szCs w:val="56"/>
      <w:lang w:eastAsia="en-GB"/>
    </w:rPr>
  </w:style>
  <w:style w:type="character" w:customStyle="1" w:styleId="TitleChar">
    <w:name w:val="Title Char"/>
    <w:aliases w:val="title Char"/>
    <w:basedOn w:val="DefaultParagraphFont"/>
    <w:link w:val="Title"/>
    <w:uiPriority w:val="10"/>
    <w:rsid w:val="006C25B6"/>
    <w:rPr>
      <w:rFonts w:ascii="Garamond" w:eastAsiaTheme="majorEastAsia" w:hAnsi="Garamond" w:cstheme="majorBidi"/>
      <w:spacing w:val="-10"/>
      <w:kern w:val="28"/>
      <w:sz w:val="56"/>
      <w:szCs w:val="56"/>
      <w:lang w:val="en-AU" w:eastAsia="en-GB"/>
    </w:rPr>
  </w:style>
  <w:style w:type="paragraph" w:styleId="ListParagraph">
    <w:name w:val="List Paragraph"/>
    <w:basedOn w:val="Normal"/>
    <w:uiPriority w:val="34"/>
    <w:qFormat/>
    <w:rsid w:val="00F1530B"/>
    <w:pPr>
      <w:ind w:left="720"/>
      <w:contextualSpacing/>
    </w:pPr>
  </w:style>
  <w:style w:type="character" w:styleId="Hyperlink">
    <w:name w:val="Hyperlink"/>
    <w:basedOn w:val="DefaultParagraphFont"/>
    <w:uiPriority w:val="99"/>
    <w:unhideWhenUsed/>
    <w:rsid w:val="00451971"/>
    <w:rPr>
      <w:color w:val="0563C1" w:themeColor="hyperlink"/>
      <w:u w:val="single"/>
    </w:rPr>
  </w:style>
  <w:style w:type="character" w:customStyle="1" w:styleId="UnresolvedMention1">
    <w:name w:val="Unresolved Mention1"/>
    <w:basedOn w:val="DefaultParagraphFont"/>
    <w:uiPriority w:val="99"/>
    <w:rsid w:val="00451971"/>
    <w:rPr>
      <w:color w:val="605E5C"/>
      <w:shd w:val="clear" w:color="auto" w:fill="E1DFDD"/>
    </w:rPr>
  </w:style>
  <w:style w:type="character" w:customStyle="1" w:styleId="Heading1Char">
    <w:name w:val="Heading 1 Char"/>
    <w:basedOn w:val="DefaultParagraphFont"/>
    <w:link w:val="Heading1"/>
    <w:uiPriority w:val="9"/>
    <w:rsid w:val="00451971"/>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A82477"/>
  </w:style>
  <w:style w:type="character" w:customStyle="1" w:styleId="Heading3Char">
    <w:name w:val="Heading 3 Char"/>
    <w:basedOn w:val="DefaultParagraphFont"/>
    <w:link w:val="Heading3"/>
    <w:uiPriority w:val="9"/>
    <w:rsid w:val="003A62D7"/>
    <w:rPr>
      <w:rFonts w:ascii="Calibri Light" w:hAnsi="Calibri Light" w:cs="Calibri Light"/>
      <w:i/>
      <w:lang w:val="en-AU"/>
    </w:rPr>
  </w:style>
  <w:style w:type="paragraph" w:styleId="Subtitle">
    <w:name w:val="Subtitle"/>
    <w:basedOn w:val="Normal"/>
    <w:next w:val="Normal"/>
    <w:link w:val="SubtitleChar"/>
    <w:uiPriority w:val="11"/>
    <w:qFormat/>
    <w:rsid w:val="006065AC"/>
    <w:pPr>
      <w:spacing w:line="240" w:lineRule="auto"/>
    </w:pPr>
    <w:rPr>
      <w:b/>
    </w:rPr>
  </w:style>
  <w:style w:type="character" w:customStyle="1" w:styleId="SubtitleChar">
    <w:name w:val="Subtitle Char"/>
    <w:basedOn w:val="DefaultParagraphFont"/>
    <w:link w:val="Subtitle"/>
    <w:uiPriority w:val="11"/>
    <w:rsid w:val="006065AC"/>
    <w:rPr>
      <w:rFonts w:ascii="Calibri Light" w:hAnsi="Calibri Light" w:cs="Calibri Light"/>
      <w:b/>
      <w:sz w:val="22"/>
      <w:szCs w:val="22"/>
      <w:lang w:val="en-AU"/>
    </w:rPr>
  </w:style>
  <w:style w:type="table" w:styleId="TableGrid">
    <w:name w:val="Table Grid"/>
    <w:basedOn w:val="TableNormal"/>
    <w:uiPriority w:val="39"/>
    <w:rsid w:val="00E2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65F2"/>
    <w:pPr>
      <w:spacing w:after="200" w:line="240" w:lineRule="auto"/>
    </w:pPr>
    <w:rPr>
      <w:b/>
      <w:i/>
      <w:iCs/>
      <w:color w:val="000000" w:themeColor="text1"/>
      <w:sz w:val="20"/>
      <w:szCs w:val="20"/>
    </w:rPr>
  </w:style>
  <w:style w:type="paragraph" w:styleId="Revision">
    <w:name w:val="Revision"/>
    <w:hidden/>
    <w:uiPriority w:val="99"/>
    <w:semiHidden/>
    <w:rsid w:val="003B0B7B"/>
    <w:rPr>
      <w:rFonts w:ascii="Calibri Light" w:hAnsi="Calibri Light" w:cs="Calibri Light"/>
      <w:sz w:val="22"/>
      <w:szCs w:val="22"/>
      <w:lang w:val="en-AU"/>
    </w:rPr>
  </w:style>
  <w:style w:type="paragraph" w:styleId="CommentSubject">
    <w:name w:val="annotation subject"/>
    <w:basedOn w:val="CommentText"/>
    <w:next w:val="CommentText"/>
    <w:link w:val="CommentSubjectChar"/>
    <w:uiPriority w:val="99"/>
    <w:semiHidden/>
    <w:unhideWhenUsed/>
    <w:rsid w:val="003B0B7B"/>
    <w:pPr>
      <w:spacing w:after="0" w:line="240" w:lineRule="auto"/>
    </w:pPr>
    <w:rPr>
      <w:rFonts w:ascii="Calibri Light" w:eastAsiaTheme="minorHAnsi" w:hAnsi="Calibri Light"/>
      <w:b/>
      <w:bCs/>
      <w14:numForm w14:val="default"/>
    </w:rPr>
  </w:style>
  <w:style w:type="character" w:customStyle="1" w:styleId="CommentSubjectChar">
    <w:name w:val="Comment Subject Char"/>
    <w:basedOn w:val="CommentTextChar"/>
    <w:link w:val="CommentSubject"/>
    <w:uiPriority w:val="99"/>
    <w:semiHidden/>
    <w:rsid w:val="003B0B7B"/>
    <w:rPr>
      <w:rFonts w:ascii="Calibri Light" w:eastAsiaTheme="minorEastAsia" w:hAnsi="Calibri Light" w:cs="Calibri Light"/>
      <w:b/>
      <w:bCs/>
      <w:sz w:val="20"/>
      <w:szCs w:val="20"/>
      <w:lang w:val="en-AU"/>
      <w14:numForm w14:val="lining"/>
    </w:rPr>
  </w:style>
  <w:style w:type="paragraph" w:styleId="NormalWeb">
    <w:name w:val="Normal (Web)"/>
    <w:basedOn w:val="Normal"/>
    <w:uiPriority w:val="99"/>
    <w:unhideWhenUsed/>
    <w:rsid w:val="00C2229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207"/>
    <w:pPr>
      <w:tabs>
        <w:tab w:val="center" w:pos="4680"/>
        <w:tab w:val="right" w:pos="9360"/>
      </w:tabs>
      <w:spacing w:line="240" w:lineRule="auto"/>
    </w:pPr>
  </w:style>
  <w:style w:type="character" w:customStyle="1" w:styleId="FooterChar">
    <w:name w:val="Footer Char"/>
    <w:basedOn w:val="DefaultParagraphFont"/>
    <w:link w:val="Footer"/>
    <w:uiPriority w:val="99"/>
    <w:rsid w:val="00C30207"/>
    <w:rPr>
      <w:rFonts w:ascii="Garamond" w:hAnsi="Garamond" w:cs="Calibri Light"/>
      <w:sz w:val="22"/>
      <w:szCs w:val="22"/>
      <w:lang w:val="en-AU"/>
    </w:rPr>
  </w:style>
  <w:style w:type="character" w:styleId="PageNumber">
    <w:name w:val="page number"/>
    <w:basedOn w:val="DefaultParagraphFont"/>
    <w:uiPriority w:val="99"/>
    <w:semiHidden/>
    <w:unhideWhenUsed/>
    <w:rsid w:val="00C30207"/>
  </w:style>
  <w:style w:type="character" w:styleId="UnresolvedMention">
    <w:name w:val="Unresolved Mention"/>
    <w:basedOn w:val="DefaultParagraphFont"/>
    <w:uiPriority w:val="99"/>
    <w:semiHidden/>
    <w:unhideWhenUsed/>
    <w:rsid w:val="008F6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2162">
      <w:bodyDiv w:val="1"/>
      <w:marLeft w:val="0"/>
      <w:marRight w:val="0"/>
      <w:marTop w:val="0"/>
      <w:marBottom w:val="0"/>
      <w:divBdr>
        <w:top w:val="none" w:sz="0" w:space="0" w:color="auto"/>
        <w:left w:val="none" w:sz="0" w:space="0" w:color="auto"/>
        <w:bottom w:val="none" w:sz="0" w:space="0" w:color="auto"/>
        <w:right w:val="none" w:sz="0" w:space="0" w:color="auto"/>
      </w:divBdr>
    </w:div>
    <w:div w:id="201552428">
      <w:bodyDiv w:val="1"/>
      <w:marLeft w:val="0"/>
      <w:marRight w:val="0"/>
      <w:marTop w:val="0"/>
      <w:marBottom w:val="0"/>
      <w:divBdr>
        <w:top w:val="none" w:sz="0" w:space="0" w:color="auto"/>
        <w:left w:val="none" w:sz="0" w:space="0" w:color="auto"/>
        <w:bottom w:val="none" w:sz="0" w:space="0" w:color="auto"/>
        <w:right w:val="none" w:sz="0" w:space="0" w:color="auto"/>
      </w:divBdr>
    </w:div>
    <w:div w:id="1052341307">
      <w:bodyDiv w:val="1"/>
      <w:marLeft w:val="0"/>
      <w:marRight w:val="0"/>
      <w:marTop w:val="0"/>
      <w:marBottom w:val="0"/>
      <w:divBdr>
        <w:top w:val="none" w:sz="0" w:space="0" w:color="auto"/>
        <w:left w:val="none" w:sz="0" w:space="0" w:color="auto"/>
        <w:bottom w:val="none" w:sz="0" w:space="0" w:color="auto"/>
        <w:right w:val="none" w:sz="0" w:space="0" w:color="auto"/>
      </w:divBdr>
      <w:divsChild>
        <w:div w:id="929856032">
          <w:marLeft w:val="0"/>
          <w:marRight w:val="0"/>
          <w:marTop w:val="0"/>
          <w:marBottom w:val="0"/>
          <w:divBdr>
            <w:top w:val="none" w:sz="0" w:space="0" w:color="auto"/>
            <w:left w:val="none" w:sz="0" w:space="0" w:color="auto"/>
            <w:bottom w:val="none" w:sz="0" w:space="0" w:color="auto"/>
            <w:right w:val="none" w:sz="0" w:space="0" w:color="auto"/>
          </w:divBdr>
          <w:divsChild>
            <w:div w:id="230502665">
              <w:marLeft w:val="0"/>
              <w:marRight w:val="0"/>
              <w:marTop w:val="0"/>
              <w:marBottom w:val="0"/>
              <w:divBdr>
                <w:top w:val="none" w:sz="0" w:space="0" w:color="auto"/>
                <w:left w:val="none" w:sz="0" w:space="0" w:color="auto"/>
                <w:bottom w:val="none" w:sz="0" w:space="0" w:color="auto"/>
                <w:right w:val="none" w:sz="0" w:space="0" w:color="auto"/>
              </w:divBdr>
              <w:divsChild>
                <w:div w:id="1256986155">
                  <w:marLeft w:val="0"/>
                  <w:marRight w:val="0"/>
                  <w:marTop w:val="0"/>
                  <w:marBottom w:val="0"/>
                  <w:divBdr>
                    <w:top w:val="none" w:sz="0" w:space="0" w:color="auto"/>
                    <w:left w:val="none" w:sz="0" w:space="0" w:color="auto"/>
                    <w:bottom w:val="none" w:sz="0" w:space="0" w:color="auto"/>
                    <w:right w:val="none" w:sz="0" w:space="0" w:color="auto"/>
                  </w:divBdr>
                  <w:divsChild>
                    <w:div w:id="9909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3308">
      <w:bodyDiv w:val="1"/>
      <w:marLeft w:val="0"/>
      <w:marRight w:val="0"/>
      <w:marTop w:val="0"/>
      <w:marBottom w:val="0"/>
      <w:divBdr>
        <w:top w:val="none" w:sz="0" w:space="0" w:color="auto"/>
        <w:left w:val="none" w:sz="0" w:space="0" w:color="auto"/>
        <w:bottom w:val="none" w:sz="0" w:space="0" w:color="auto"/>
        <w:right w:val="none" w:sz="0" w:space="0" w:color="auto"/>
      </w:divBdr>
    </w:div>
    <w:div w:id="1555316558">
      <w:bodyDiv w:val="1"/>
      <w:marLeft w:val="0"/>
      <w:marRight w:val="0"/>
      <w:marTop w:val="0"/>
      <w:marBottom w:val="0"/>
      <w:divBdr>
        <w:top w:val="none" w:sz="0" w:space="0" w:color="auto"/>
        <w:left w:val="none" w:sz="0" w:space="0" w:color="auto"/>
        <w:bottom w:val="none" w:sz="0" w:space="0" w:color="auto"/>
        <w:right w:val="none" w:sz="0" w:space="0" w:color="auto"/>
      </w:divBdr>
    </w:div>
    <w:div w:id="1643536651">
      <w:bodyDiv w:val="1"/>
      <w:marLeft w:val="0"/>
      <w:marRight w:val="0"/>
      <w:marTop w:val="0"/>
      <w:marBottom w:val="0"/>
      <w:divBdr>
        <w:top w:val="none" w:sz="0" w:space="0" w:color="auto"/>
        <w:left w:val="none" w:sz="0" w:space="0" w:color="auto"/>
        <w:bottom w:val="none" w:sz="0" w:space="0" w:color="auto"/>
        <w:right w:val="none" w:sz="0" w:space="0" w:color="auto"/>
      </w:divBdr>
    </w:div>
    <w:div w:id="1670909214">
      <w:bodyDiv w:val="1"/>
      <w:marLeft w:val="0"/>
      <w:marRight w:val="0"/>
      <w:marTop w:val="0"/>
      <w:marBottom w:val="0"/>
      <w:divBdr>
        <w:top w:val="none" w:sz="0" w:space="0" w:color="auto"/>
        <w:left w:val="none" w:sz="0" w:space="0" w:color="auto"/>
        <w:bottom w:val="none" w:sz="0" w:space="0" w:color="auto"/>
        <w:right w:val="none" w:sz="0" w:space="0" w:color="auto"/>
      </w:divBdr>
    </w:div>
    <w:div w:id="1881088832">
      <w:bodyDiv w:val="1"/>
      <w:marLeft w:val="0"/>
      <w:marRight w:val="0"/>
      <w:marTop w:val="0"/>
      <w:marBottom w:val="0"/>
      <w:divBdr>
        <w:top w:val="none" w:sz="0" w:space="0" w:color="auto"/>
        <w:left w:val="none" w:sz="0" w:space="0" w:color="auto"/>
        <w:bottom w:val="none" w:sz="0" w:space="0" w:color="auto"/>
        <w:right w:val="none" w:sz="0" w:space="0" w:color="auto"/>
      </w:divBdr>
      <w:divsChild>
        <w:div w:id="107354567">
          <w:marLeft w:val="0"/>
          <w:marRight w:val="0"/>
          <w:marTop w:val="0"/>
          <w:marBottom w:val="0"/>
          <w:divBdr>
            <w:top w:val="none" w:sz="0" w:space="0" w:color="auto"/>
            <w:left w:val="none" w:sz="0" w:space="0" w:color="auto"/>
            <w:bottom w:val="none" w:sz="0" w:space="0" w:color="auto"/>
            <w:right w:val="none" w:sz="0" w:space="0" w:color="auto"/>
          </w:divBdr>
          <w:divsChild>
            <w:div w:id="85853655">
              <w:marLeft w:val="0"/>
              <w:marRight w:val="0"/>
              <w:marTop w:val="0"/>
              <w:marBottom w:val="0"/>
              <w:divBdr>
                <w:top w:val="none" w:sz="0" w:space="0" w:color="auto"/>
                <w:left w:val="none" w:sz="0" w:space="0" w:color="auto"/>
                <w:bottom w:val="none" w:sz="0" w:space="0" w:color="auto"/>
                <w:right w:val="none" w:sz="0" w:space="0" w:color="auto"/>
              </w:divBdr>
              <w:divsChild>
                <w:div w:id="1615938091">
                  <w:marLeft w:val="0"/>
                  <w:marRight w:val="0"/>
                  <w:marTop w:val="0"/>
                  <w:marBottom w:val="0"/>
                  <w:divBdr>
                    <w:top w:val="none" w:sz="0" w:space="0" w:color="auto"/>
                    <w:left w:val="none" w:sz="0" w:space="0" w:color="auto"/>
                    <w:bottom w:val="none" w:sz="0" w:space="0" w:color="auto"/>
                    <w:right w:val="none" w:sz="0" w:space="0" w:color="auto"/>
                  </w:divBdr>
                  <w:divsChild>
                    <w:div w:id="4143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ck.Gibani@paediatrics.ox.ac.uk" TargetMode="External"/><Relationship Id="rId13" Type="http://schemas.openxmlformats.org/officeDocument/2006/relationships/image" Target="media/image1.png"/><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s://clinicaltrials.gov/ct2/show/NCT02192008"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2324751"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CBA8-EBC5-4714-989F-906B0923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57886</Words>
  <Characters>329955</Characters>
  <Application>Microsoft Office Word</Application>
  <DocSecurity>4</DocSecurity>
  <Lines>2749</Lines>
  <Paragraphs>774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Jin</dc:creator>
  <cp:keywords/>
  <dc:description/>
  <cp:lastModifiedBy>Cathy Waldron</cp:lastModifiedBy>
  <cp:revision>2</cp:revision>
  <cp:lastPrinted>2019-06-20T14:45:00Z</cp:lastPrinted>
  <dcterms:created xsi:type="dcterms:W3CDTF">2019-12-02T10:18:00Z</dcterms:created>
  <dcterms:modified xsi:type="dcterms:W3CDTF">2019-12-02T10:18:00Z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c6f5cd92-e179-3308-8a50-336eaa109fb2</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http://www.zotero.org/styles/harvard1</vt:lpwstr>
  </property>
  <property fmtid="{D5CDD505-2E9C-101B-9397-08002B2CF9AE}" pid="11" name="Mendeley Recent Style Name 3_1">
    <vt:lpwstr>Harvard reference format 1 (deprecated)</vt:lpwstr>
  </property>
  <property fmtid="{D5CDD505-2E9C-101B-9397-08002B2CF9AE}" pid="12" name="Mendeley Recent Style Id 4_1">
    <vt:lpwstr>http://www.zotero.org/styles/nature</vt:lpwstr>
  </property>
  <property fmtid="{D5CDD505-2E9C-101B-9397-08002B2CF9AE}" pid="13" name="Mendeley Recent Style Name 4_1">
    <vt:lpwstr>Nature</vt:lpwstr>
  </property>
  <property fmtid="{D5CDD505-2E9C-101B-9397-08002B2CF9AE}" pid="14" name="Mendeley Recent Style Id 5_1">
    <vt:lpwstr>http://www.zotero.org/styles/plos-medicine</vt:lpwstr>
  </property>
  <property fmtid="{D5CDD505-2E9C-101B-9397-08002B2CF9AE}" pid="15" name="Mendeley Recent Style Name 5_1">
    <vt:lpwstr>PLOS Medicine</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http://www.zotero.org/styles/the-lancet-infectious-diseases</vt:lpwstr>
  </property>
  <property fmtid="{D5CDD505-2E9C-101B-9397-08002B2CF9AE}" pid="19" name="Mendeley Recent Style Name 7_1">
    <vt:lpwstr>The Lancet Infectious Diseases</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http://csl.mendeley.com/styles/453266871/vancouver</vt:lpwstr>
  </property>
  <property fmtid="{D5CDD505-2E9C-101B-9397-08002B2CF9AE}" pid="23" name="Mendeley Recent Style Name 9_1">
    <vt:lpwstr>Vancouver - Malick Gibani</vt:lpwstr>
  </property>
  <property fmtid="{D5CDD505-2E9C-101B-9397-08002B2CF9AE}" pid="24" name="Mendeley Citation Style_1">
    <vt:lpwstr>http://www.zotero.org/styles/plos-medicine</vt:lpwstr>
  </property>
</Properties>
</file>