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36F" w:rsidRPr="0021384F" w:rsidRDefault="0031436F" w:rsidP="0031436F">
      <w:pPr>
        <w:spacing w:line="480" w:lineRule="auto"/>
        <w:contextualSpacing/>
        <w:jc w:val="center"/>
        <w:rPr>
          <w:rFonts w:asciiTheme="minorHAnsi" w:hAnsiTheme="minorHAnsi" w:cs="Arial"/>
          <w:b/>
          <w:sz w:val="52"/>
          <w:szCs w:val="52"/>
        </w:rPr>
      </w:pPr>
      <w:r w:rsidRPr="0021384F">
        <w:rPr>
          <w:rFonts w:asciiTheme="minorHAnsi" w:hAnsiTheme="minorHAnsi" w:cs="Arial"/>
          <w:b/>
          <w:sz w:val="52"/>
          <w:szCs w:val="52"/>
        </w:rPr>
        <w:t>Validating a novel index (SWAT-Bp) to predict mortality risk of community-acquired pneumonia in Malawi</w:t>
      </w:r>
    </w:p>
    <w:p w:rsidR="0031436F" w:rsidRPr="0063487A" w:rsidRDefault="0031436F" w:rsidP="0031436F">
      <w:pPr>
        <w:spacing w:line="480" w:lineRule="auto"/>
        <w:contextualSpacing/>
        <w:jc w:val="both"/>
        <w:rPr>
          <w:rFonts w:asciiTheme="minorHAnsi" w:hAnsiTheme="minorHAnsi" w:cs="Arial"/>
          <w:sz w:val="24"/>
          <w:szCs w:val="24"/>
        </w:rPr>
      </w:pPr>
    </w:p>
    <w:p w:rsidR="0031436F" w:rsidRPr="0063487A" w:rsidRDefault="0031436F" w:rsidP="0031436F">
      <w:pPr>
        <w:spacing w:line="480" w:lineRule="auto"/>
        <w:contextualSpacing/>
        <w:jc w:val="both"/>
        <w:rPr>
          <w:rFonts w:asciiTheme="minorHAnsi" w:hAnsiTheme="minorHAnsi" w:cs="Arial"/>
          <w:sz w:val="24"/>
          <w:szCs w:val="24"/>
          <w:u w:val="single"/>
        </w:rPr>
      </w:pPr>
      <w:r w:rsidRPr="0063487A">
        <w:rPr>
          <w:rFonts w:asciiTheme="minorHAnsi" w:hAnsiTheme="minorHAnsi" w:cs="Arial"/>
          <w:sz w:val="24"/>
          <w:szCs w:val="24"/>
          <w:u w:val="single"/>
        </w:rPr>
        <w:t>Authors:</w:t>
      </w:r>
    </w:p>
    <w:p w:rsidR="0031436F" w:rsidRPr="0063487A" w:rsidRDefault="0031436F" w:rsidP="0031436F">
      <w:pPr>
        <w:spacing w:line="480" w:lineRule="auto"/>
        <w:contextualSpacing/>
        <w:jc w:val="both"/>
        <w:rPr>
          <w:rFonts w:asciiTheme="minorHAnsi" w:hAnsiTheme="minorHAnsi" w:cs="Arial"/>
          <w:color w:val="FF0000"/>
          <w:sz w:val="24"/>
          <w:szCs w:val="24"/>
        </w:rPr>
      </w:pPr>
      <w:r w:rsidRPr="0063487A">
        <w:rPr>
          <w:rFonts w:asciiTheme="minorHAnsi" w:hAnsiTheme="minorHAnsi" w:cs="Arial"/>
          <w:sz w:val="24"/>
          <w:szCs w:val="24"/>
        </w:rPr>
        <w:t>Buss, IM</w:t>
      </w:r>
      <w:r w:rsidRPr="0063487A">
        <w:rPr>
          <w:rFonts w:asciiTheme="minorHAnsi" w:hAnsiTheme="minorHAnsi" w:cs="Arial"/>
          <w:sz w:val="24"/>
          <w:szCs w:val="24"/>
          <w:vertAlign w:val="superscript"/>
        </w:rPr>
        <w:t>1</w:t>
      </w:r>
      <w:r w:rsidRPr="0063487A">
        <w:rPr>
          <w:rFonts w:asciiTheme="minorHAnsi" w:hAnsiTheme="minorHAnsi" w:cs="Arial"/>
          <w:sz w:val="24"/>
          <w:szCs w:val="24"/>
        </w:rPr>
        <w:t>; Birkhamshaw, E</w:t>
      </w:r>
      <w:r w:rsidRPr="0063487A">
        <w:rPr>
          <w:rFonts w:asciiTheme="minorHAnsi" w:hAnsiTheme="minorHAnsi" w:cs="Arial"/>
          <w:sz w:val="24"/>
          <w:szCs w:val="24"/>
          <w:vertAlign w:val="superscript"/>
        </w:rPr>
        <w:t>2</w:t>
      </w:r>
      <w:r w:rsidRPr="0063487A">
        <w:rPr>
          <w:rFonts w:asciiTheme="minorHAnsi" w:hAnsiTheme="minorHAnsi" w:cs="Arial"/>
          <w:sz w:val="24"/>
          <w:szCs w:val="24"/>
        </w:rPr>
        <w:t>; Innes, MA</w:t>
      </w:r>
      <w:r w:rsidRPr="0063487A">
        <w:rPr>
          <w:rFonts w:asciiTheme="minorHAnsi" w:hAnsiTheme="minorHAnsi" w:cs="Arial"/>
          <w:sz w:val="24"/>
          <w:szCs w:val="24"/>
          <w:vertAlign w:val="superscript"/>
        </w:rPr>
        <w:t>3</w:t>
      </w:r>
      <w:r w:rsidRPr="0063487A">
        <w:rPr>
          <w:rFonts w:asciiTheme="minorHAnsi" w:hAnsiTheme="minorHAnsi" w:cs="Arial"/>
          <w:sz w:val="24"/>
          <w:szCs w:val="24"/>
        </w:rPr>
        <w:t>;</w:t>
      </w:r>
      <w:r w:rsidRPr="0063487A">
        <w:rPr>
          <w:rFonts w:asciiTheme="minorHAnsi" w:hAnsiTheme="minorHAnsi" w:cs="Arial"/>
          <w:color w:val="FF0000"/>
          <w:sz w:val="24"/>
          <w:szCs w:val="24"/>
        </w:rPr>
        <w:t xml:space="preserve"> </w:t>
      </w:r>
      <w:r w:rsidRPr="0063487A">
        <w:rPr>
          <w:rFonts w:asciiTheme="minorHAnsi" w:hAnsiTheme="minorHAnsi" w:cs="Arial"/>
          <w:sz w:val="24"/>
          <w:szCs w:val="24"/>
        </w:rPr>
        <w:t>Magadoro, I</w:t>
      </w:r>
      <w:r w:rsidRPr="0063487A">
        <w:rPr>
          <w:rFonts w:asciiTheme="minorHAnsi" w:hAnsiTheme="minorHAnsi" w:cs="Arial"/>
          <w:sz w:val="24"/>
          <w:szCs w:val="24"/>
          <w:vertAlign w:val="superscript"/>
        </w:rPr>
        <w:t>4</w:t>
      </w:r>
      <w:r w:rsidRPr="0063487A">
        <w:rPr>
          <w:rFonts w:asciiTheme="minorHAnsi" w:hAnsiTheme="minorHAnsi" w:cs="Arial"/>
          <w:sz w:val="24"/>
          <w:szCs w:val="24"/>
        </w:rPr>
        <w:t>;</w:t>
      </w:r>
      <w:r w:rsidRPr="0063487A">
        <w:rPr>
          <w:rFonts w:asciiTheme="minorHAnsi" w:hAnsiTheme="minorHAnsi" w:cs="Arial"/>
          <w:color w:val="FF0000"/>
          <w:sz w:val="24"/>
          <w:szCs w:val="24"/>
        </w:rPr>
        <w:t xml:space="preserve"> </w:t>
      </w:r>
      <w:r w:rsidRPr="0063487A">
        <w:rPr>
          <w:rFonts w:asciiTheme="minorHAnsi" w:hAnsiTheme="minorHAnsi" w:cs="Arial"/>
          <w:sz w:val="24"/>
          <w:szCs w:val="24"/>
        </w:rPr>
        <w:t>Waitt, PI</w:t>
      </w:r>
      <w:r w:rsidRPr="0063487A">
        <w:rPr>
          <w:rFonts w:asciiTheme="minorHAnsi" w:hAnsiTheme="minorHAnsi" w:cs="Arial"/>
          <w:sz w:val="24"/>
          <w:szCs w:val="24"/>
          <w:vertAlign w:val="superscript"/>
        </w:rPr>
        <w:t>5</w:t>
      </w:r>
      <w:r w:rsidRPr="0063487A">
        <w:rPr>
          <w:rFonts w:asciiTheme="minorHAnsi" w:hAnsiTheme="minorHAnsi" w:cs="Arial"/>
          <w:sz w:val="24"/>
          <w:szCs w:val="24"/>
        </w:rPr>
        <w:t>; Rylance, J</w:t>
      </w:r>
      <w:r w:rsidRPr="0063487A">
        <w:rPr>
          <w:rFonts w:asciiTheme="minorHAnsi" w:hAnsiTheme="minorHAnsi" w:cs="Arial"/>
          <w:sz w:val="24"/>
          <w:szCs w:val="24"/>
          <w:vertAlign w:val="superscript"/>
        </w:rPr>
        <w:t>6</w:t>
      </w:r>
      <w:r>
        <w:rPr>
          <w:rFonts w:asciiTheme="minorHAnsi" w:hAnsiTheme="minorHAnsi" w:cs="Arial"/>
          <w:sz w:val="24"/>
          <w:szCs w:val="24"/>
          <w:vertAlign w:val="superscript"/>
        </w:rPr>
        <w:t>,7</w:t>
      </w:r>
    </w:p>
    <w:p w:rsidR="0031436F" w:rsidRPr="0063487A" w:rsidRDefault="0031436F" w:rsidP="0031436F">
      <w:pPr>
        <w:spacing w:line="480" w:lineRule="auto"/>
        <w:contextualSpacing/>
        <w:rPr>
          <w:rFonts w:asciiTheme="minorHAnsi" w:hAnsiTheme="minorHAnsi" w:cs="Arial"/>
          <w:sz w:val="18"/>
          <w:szCs w:val="18"/>
        </w:rPr>
      </w:pPr>
      <w:r w:rsidRPr="0063487A">
        <w:rPr>
          <w:rFonts w:asciiTheme="minorHAnsi" w:hAnsiTheme="minorHAnsi" w:cs="Arial"/>
          <w:sz w:val="18"/>
          <w:szCs w:val="18"/>
          <w:vertAlign w:val="superscript"/>
        </w:rPr>
        <w:t>1</w:t>
      </w:r>
      <w:r>
        <w:rPr>
          <w:rFonts w:asciiTheme="minorHAnsi" w:hAnsiTheme="minorHAnsi" w:cs="Arial"/>
          <w:sz w:val="18"/>
          <w:szCs w:val="18"/>
        </w:rPr>
        <w:t>Department of Medicine, North Bristol NHS Trust</w:t>
      </w:r>
      <w:r w:rsidRPr="0063487A">
        <w:rPr>
          <w:rFonts w:asciiTheme="minorHAnsi" w:hAnsiTheme="minorHAnsi" w:cs="Arial"/>
          <w:sz w:val="18"/>
          <w:szCs w:val="18"/>
        </w:rPr>
        <w:t>,</w:t>
      </w:r>
      <w:r>
        <w:rPr>
          <w:rFonts w:asciiTheme="minorHAnsi" w:hAnsiTheme="minorHAnsi" w:cs="Arial"/>
          <w:sz w:val="18"/>
          <w:szCs w:val="18"/>
        </w:rPr>
        <w:t xml:space="preserve"> Bristol,</w:t>
      </w:r>
      <w:r w:rsidRPr="0063487A">
        <w:rPr>
          <w:rFonts w:asciiTheme="minorHAnsi" w:hAnsiTheme="minorHAnsi" w:cs="Arial"/>
          <w:sz w:val="18"/>
          <w:szCs w:val="18"/>
        </w:rPr>
        <w:t xml:space="preserve"> United Kingdom; </w:t>
      </w:r>
      <w:r w:rsidRPr="0063487A">
        <w:rPr>
          <w:rFonts w:asciiTheme="minorHAnsi" w:hAnsiTheme="minorHAnsi" w:cs="Arial"/>
          <w:sz w:val="18"/>
          <w:szCs w:val="18"/>
          <w:vertAlign w:val="superscript"/>
        </w:rPr>
        <w:t>2</w:t>
      </w:r>
      <w:r>
        <w:rPr>
          <w:rFonts w:asciiTheme="minorHAnsi" w:hAnsiTheme="minorHAnsi" w:cs="Arial"/>
          <w:sz w:val="18"/>
          <w:szCs w:val="18"/>
        </w:rPr>
        <w:t>Department of Infectious Diseases, Heartlands Hospital, Heart of England Foundation Trust, Birmingham</w:t>
      </w:r>
      <w:r w:rsidRPr="0063487A">
        <w:rPr>
          <w:rFonts w:asciiTheme="minorHAnsi" w:hAnsiTheme="minorHAnsi" w:cs="Arial"/>
          <w:sz w:val="18"/>
          <w:szCs w:val="18"/>
        </w:rPr>
        <w:t xml:space="preserve">, United Kingdom; </w:t>
      </w:r>
      <w:r w:rsidRPr="0063487A">
        <w:rPr>
          <w:rFonts w:asciiTheme="minorHAnsi" w:hAnsiTheme="minorHAnsi" w:cs="Arial"/>
          <w:sz w:val="18"/>
          <w:szCs w:val="18"/>
          <w:vertAlign w:val="superscript"/>
        </w:rPr>
        <w:t>3</w:t>
      </w:r>
      <w:r w:rsidRPr="0063487A">
        <w:rPr>
          <w:rFonts w:asciiTheme="minorHAnsi" w:hAnsiTheme="minorHAnsi" w:cs="Arial"/>
          <w:sz w:val="18"/>
          <w:szCs w:val="18"/>
        </w:rPr>
        <w:t xml:space="preserve">General Practitioner, Stirchley Medical Practice, </w:t>
      </w:r>
      <w:r>
        <w:rPr>
          <w:rFonts w:asciiTheme="minorHAnsi" w:hAnsiTheme="minorHAnsi" w:cs="Arial"/>
          <w:sz w:val="18"/>
          <w:szCs w:val="18"/>
        </w:rPr>
        <w:t>Telford</w:t>
      </w:r>
      <w:r w:rsidRPr="0063487A">
        <w:rPr>
          <w:rFonts w:asciiTheme="minorHAnsi" w:hAnsiTheme="minorHAnsi" w:cs="Arial"/>
          <w:sz w:val="18"/>
          <w:szCs w:val="18"/>
        </w:rPr>
        <w:t xml:space="preserve">, United Kingdom; </w:t>
      </w:r>
      <w:r w:rsidRPr="0063487A">
        <w:rPr>
          <w:rFonts w:asciiTheme="minorHAnsi" w:hAnsiTheme="minorHAnsi" w:cs="Arial"/>
          <w:sz w:val="18"/>
          <w:szCs w:val="18"/>
          <w:vertAlign w:val="superscript"/>
        </w:rPr>
        <w:t>4</w:t>
      </w:r>
      <w:r w:rsidRPr="0063487A">
        <w:rPr>
          <w:rFonts w:asciiTheme="minorHAnsi" w:hAnsiTheme="minorHAnsi" w:cs="Arial"/>
          <w:sz w:val="18"/>
          <w:szCs w:val="18"/>
        </w:rPr>
        <w:t xml:space="preserve">Department of Medicine, Queen Elizabeth Central Hospital, Blantyre, Malawi; </w:t>
      </w:r>
      <w:r w:rsidRPr="0063487A">
        <w:rPr>
          <w:rFonts w:asciiTheme="minorHAnsi" w:hAnsiTheme="minorHAnsi" w:cs="Arial"/>
          <w:sz w:val="18"/>
          <w:szCs w:val="18"/>
          <w:vertAlign w:val="superscript"/>
        </w:rPr>
        <w:t>5</w:t>
      </w:r>
      <w:r w:rsidR="007A5158">
        <w:rPr>
          <w:rFonts w:asciiTheme="minorHAnsi" w:hAnsiTheme="minorHAnsi" w:cs="Arial"/>
          <w:sz w:val="18"/>
          <w:szCs w:val="18"/>
        </w:rPr>
        <w:t xml:space="preserve">Acute Medical Unit, </w:t>
      </w:r>
      <w:proofErr w:type="spellStart"/>
      <w:r w:rsidR="007A5158">
        <w:rPr>
          <w:rFonts w:asciiTheme="minorHAnsi" w:hAnsiTheme="minorHAnsi" w:cs="Arial"/>
          <w:sz w:val="18"/>
          <w:szCs w:val="18"/>
        </w:rPr>
        <w:t>Wirrall</w:t>
      </w:r>
      <w:proofErr w:type="spellEnd"/>
      <w:r w:rsidR="007A5158">
        <w:rPr>
          <w:rFonts w:asciiTheme="minorHAnsi" w:hAnsiTheme="minorHAnsi" w:cs="Arial"/>
          <w:sz w:val="18"/>
          <w:szCs w:val="18"/>
        </w:rPr>
        <w:t xml:space="preserve"> University Hospital Foundation Trust, </w:t>
      </w:r>
      <w:r w:rsidRPr="0063487A">
        <w:rPr>
          <w:rFonts w:asciiTheme="minorHAnsi" w:hAnsiTheme="minorHAnsi" w:cs="Arial"/>
          <w:sz w:val="18"/>
          <w:szCs w:val="18"/>
        </w:rPr>
        <w:t xml:space="preserve">United Kingdom; </w:t>
      </w:r>
      <w:r w:rsidRPr="0063487A">
        <w:rPr>
          <w:rFonts w:asciiTheme="minorHAnsi" w:hAnsiTheme="minorHAnsi" w:cs="Arial"/>
          <w:sz w:val="18"/>
          <w:szCs w:val="18"/>
          <w:vertAlign w:val="superscript"/>
        </w:rPr>
        <w:t>6</w:t>
      </w:r>
      <w:r>
        <w:rPr>
          <w:rFonts w:asciiTheme="minorHAnsi" w:hAnsiTheme="minorHAnsi" w:cs="Arial"/>
          <w:sz w:val="18"/>
          <w:szCs w:val="18"/>
        </w:rPr>
        <w:t>Senior C</w:t>
      </w:r>
      <w:r w:rsidRPr="0063487A">
        <w:rPr>
          <w:rFonts w:asciiTheme="minorHAnsi" w:hAnsiTheme="minorHAnsi" w:cs="Arial"/>
          <w:sz w:val="18"/>
          <w:szCs w:val="18"/>
        </w:rPr>
        <w:t xml:space="preserve">linical Lecturer in respiratory medicine, </w:t>
      </w:r>
      <w:r>
        <w:rPr>
          <w:rFonts w:asciiTheme="minorHAnsi" w:hAnsiTheme="minorHAnsi" w:cs="Arial"/>
          <w:sz w:val="18"/>
          <w:szCs w:val="18"/>
        </w:rPr>
        <w:t>Liverpool School of Tropical Medicine</w:t>
      </w:r>
      <w:r w:rsidRPr="0063487A">
        <w:rPr>
          <w:rFonts w:asciiTheme="minorHAnsi" w:hAnsiTheme="minorHAnsi" w:cs="Arial"/>
          <w:sz w:val="18"/>
          <w:szCs w:val="18"/>
        </w:rPr>
        <w:t>, United Kingdom</w:t>
      </w:r>
      <w:r>
        <w:rPr>
          <w:rFonts w:asciiTheme="minorHAnsi" w:hAnsiTheme="minorHAnsi" w:cs="Arial"/>
          <w:sz w:val="18"/>
          <w:szCs w:val="18"/>
        </w:rPr>
        <w:t xml:space="preserve">; </w:t>
      </w:r>
      <w:r w:rsidRPr="00956118">
        <w:rPr>
          <w:rFonts w:asciiTheme="minorHAnsi" w:hAnsiTheme="minorHAnsi" w:cs="Arial"/>
          <w:sz w:val="18"/>
          <w:szCs w:val="18"/>
          <w:vertAlign w:val="superscript"/>
        </w:rPr>
        <w:t>7</w:t>
      </w:r>
      <w:r>
        <w:rPr>
          <w:rFonts w:asciiTheme="minorHAnsi" w:hAnsiTheme="minorHAnsi" w:cs="Arial"/>
          <w:sz w:val="18"/>
          <w:szCs w:val="18"/>
        </w:rPr>
        <w:t>Lung Health Group Lead, Malawi-Liverpool-</w:t>
      </w:r>
      <w:proofErr w:type="spellStart"/>
      <w:r>
        <w:rPr>
          <w:rFonts w:asciiTheme="minorHAnsi" w:hAnsiTheme="minorHAnsi" w:cs="Arial"/>
          <w:sz w:val="18"/>
          <w:szCs w:val="18"/>
        </w:rPr>
        <w:t>Wellcome</w:t>
      </w:r>
      <w:proofErr w:type="spellEnd"/>
      <w:r>
        <w:rPr>
          <w:rFonts w:asciiTheme="minorHAnsi" w:hAnsiTheme="minorHAnsi" w:cs="Arial"/>
          <w:sz w:val="18"/>
          <w:szCs w:val="18"/>
        </w:rPr>
        <w:t xml:space="preserve"> Program, Blantyre, Malawi</w:t>
      </w:r>
    </w:p>
    <w:p w:rsidR="0031436F" w:rsidRPr="0063487A" w:rsidRDefault="0031436F" w:rsidP="0031436F">
      <w:pPr>
        <w:spacing w:line="480" w:lineRule="auto"/>
        <w:contextualSpacing/>
        <w:rPr>
          <w:rFonts w:asciiTheme="minorHAnsi" w:hAnsiTheme="minorHAnsi" w:cs="Arial"/>
          <w:sz w:val="18"/>
          <w:szCs w:val="18"/>
        </w:rPr>
      </w:pPr>
    </w:p>
    <w:p w:rsidR="0031436F" w:rsidRPr="0063487A" w:rsidRDefault="0031436F" w:rsidP="0031436F">
      <w:pPr>
        <w:spacing w:line="480" w:lineRule="auto"/>
        <w:contextualSpacing/>
        <w:rPr>
          <w:rFonts w:asciiTheme="minorHAnsi" w:hAnsiTheme="minorHAnsi" w:cs="Arial"/>
          <w:sz w:val="18"/>
          <w:szCs w:val="18"/>
        </w:rPr>
      </w:pPr>
      <w:r w:rsidRPr="0063487A">
        <w:rPr>
          <w:rFonts w:asciiTheme="minorHAnsi" w:hAnsiTheme="minorHAnsi" w:cs="Arial"/>
          <w:sz w:val="18"/>
          <w:szCs w:val="18"/>
        </w:rPr>
        <w:t xml:space="preserve">Correspondence: </w:t>
      </w:r>
      <w:hyperlink r:id="rId8" w:history="1">
        <w:r w:rsidRPr="00B9100C">
          <w:rPr>
            <w:rStyle w:val="Hyperlink"/>
            <w:rFonts w:asciiTheme="minorHAnsi" w:hAnsiTheme="minorHAnsi" w:cs="Arial"/>
            <w:sz w:val="18"/>
            <w:szCs w:val="18"/>
          </w:rPr>
          <w:t>imogenbuss@gmail.com</w:t>
        </w:r>
      </w:hyperlink>
    </w:p>
    <w:p w:rsidR="0031436F" w:rsidRDefault="0031436F" w:rsidP="0031436F">
      <w:pPr>
        <w:spacing w:line="480" w:lineRule="auto"/>
        <w:contextualSpacing/>
        <w:jc w:val="both"/>
        <w:rPr>
          <w:rFonts w:asciiTheme="minorHAnsi" w:hAnsiTheme="minorHAnsi" w:cs="Arial"/>
          <w:sz w:val="24"/>
          <w:szCs w:val="24"/>
          <w:u w:val="single"/>
        </w:rPr>
      </w:pPr>
    </w:p>
    <w:p w:rsidR="0031436F" w:rsidRPr="0063487A" w:rsidRDefault="0031436F" w:rsidP="0031436F">
      <w:pPr>
        <w:spacing w:line="480" w:lineRule="auto"/>
        <w:contextualSpacing/>
        <w:jc w:val="both"/>
        <w:rPr>
          <w:rFonts w:asciiTheme="minorHAnsi" w:hAnsiTheme="minorHAnsi" w:cs="Arial"/>
          <w:b/>
          <w:sz w:val="28"/>
          <w:szCs w:val="28"/>
          <w:u w:val="single"/>
        </w:rPr>
      </w:pPr>
      <w:r>
        <w:rPr>
          <w:rFonts w:asciiTheme="minorHAnsi" w:hAnsiTheme="minorHAnsi" w:cs="Arial"/>
          <w:sz w:val="24"/>
          <w:szCs w:val="24"/>
          <w:u w:val="single"/>
        </w:rPr>
        <w:t>Word count:</w:t>
      </w:r>
      <w:r>
        <w:rPr>
          <w:rFonts w:asciiTheme="minorHAnsi" w:hAnsiTheme="minorHAnsi" w:cs="Arial"/>
          <w:sz w:val="24"/>
          <w:szCs w:val="24"/>
        </w:rPr>
        <w:t xml:space="preserve"> 2,272</w:t>
      </w:r>
      <w:r w:rsidRPr="0063487A">
        <w:rPr>
          <w:rFonts w:asciiTheme="minorHAnsi" w:hAnsiTheme="minorHAnsi" w:cs="Arial"/>
          <w:b/>
          <w:sz w:val="28"/>
          <w:szCs w:val="28"/>
          <w:u w:val="single"/>
        </w:rPr>
        <w:br w:type="page"/>
      </w:r>
    </w:p>
    <w:p w:rsidR="00FF4656" w:rsidRPr="0063487A" w:rsidRDefault="00D25368" w:rsidP="00730728">
      <w:pPr>
        <w:spacing w:line="480" w:lineRule="auto"/>
        <w:contextualSpacing/>
        <w:rPr>
          <w:rFonts w:asciiTheme="minorHAnsi" w:hAnsiTheme="minorHAnsi" w:cs="Arial"/>
          <w:b/>
          <w:sz w:val="28"/>
          <w:szCs w:val="28"/>
          <w:u w:val="single"/>
        </w:rPr>
      </w:pPr>
      <w:r>
        <w:rPr>
          <w:rFonts w:asciiTheme="minorHAnsi" w:hAnsiTheme="minorHAnsi" w:cs="Arial"/>
          <w:b/>
          <w:sz w:val="28"/>
          <w:szCs w:val="28"/>
          <w:u w:val="single"/>
        </w:rPr>
        <w:lastRenderedPageBreak/>
        <w:t>ABSTRACT</w:t>
      </w:r>
    </w:p>
    <w:p w:rsidR="00D25368" w:rsidRDefault="00D25368" w:rsidP="00730728">
      <w:pPr>
        <w:spacing w:line="480" w:lineRule="auto"/>
        <w:rPr>
          <w:rFonts w:asciiTheme="minorHAnsi" w:hAnsiTheme="minorHAnsi" w:cs="Arial"/>
          <w:b/>
          <w:sz w:val="24"/>
          <w:szCs w:val="24"/>
          <w:u w:val="single"/>
        </w:rPr>
      </w:pPr>
    </w:p>
    <w:p w:rsidR="00354BB5" w:rsidRDefault="000D27B1" w:rsidP="00730728">
      <w:pPr>
        <w:spacing w:line="480" w:lineRule="auto"/>
        <w:rPr>
          <w:rFonts w:asciiTheme="minorHAnsi" w:hAnsiTheme="minorHAnsi" w:cs="Arial"/>
          <w:sz w:val="24"/>
          <w:szCs w:val="24"/>
        </w:rPr>
      </w:pPr>
      <w:r w:rsidRPr="0021384F">
        <w:rPr>
          <w:rFonts w:asciiTheme="minorHAnsi" w:hAnsiTheme="minorHAnsi" w:cs="Arial"/>
          <w:b/>
          <w:sz w:val="24"/>
          <w:szCs w:val="24"/>
        </w:rPr>
        <w:t>Background:</w:t>
      </w:r>
      <w:r w:rsidRPr="00730728">
        <w:rPr>
          <w:rFonts w:asciiTheme="minorHAnsi" w:hAnsiTheme="minorHAnsi" w:cs="Arial"/>
          <w:sz w:val="24"/>
          <w:szCs w:val="24"/>
        </w:rPr>
        <w:t xml:space="preserve"> </w:t>
      </w:r>
      <w:r w:rsidR="00B83588" w:rsidRPr="00730728">
        <w:rPr>
          <w:rFonts w:asciiTheme="minorHAnsi" w:hAnsiTheme="minorHAnsi" w:cs="Arial"/>
          <w:sz w:val="24"/>
          <w:szCs w:val="24"/>
        </w:rPr>
        <w:t>C</w:t>
      </w:r>
      <w:r w:rsidR="00813C92" w:rsidRPr="00730728">
        <w:rPr>
          <w:rFonts w:asciiTheme="minorHAnsi" w:hAnsiTheme="minorHAnsi" w:cs="Arial"/>
          <w:sz w:val="24"/>
          <w:szCs w:val="24"/>
        </w:rPr>
        <w:t>ommunity-acquired pneumonia is</w:t>
      </w:r>
      <w:r w:rsidR="00C37C87" w:rsidRPr="00730728">
        <w:rPr>
          <w:rFonts w:asciiTheme="minorHAnsi" w:hAnsiTheme="minorHAnsi" w:cs="Arial"/>
          <w:sz w:val="24"/>
          <w:szCs w:val="24"/>
        </w:rPr>
        <w:t xml:space="preserve"> a major cause of mortality worldwide. Early assessment and initiation of management improves outcomes. In h</w:t>
      </w:r>
      <w:r w:rsidR="003F4D4A" w:rsidRPr="00730728">
        <w:rPr>
          <w:rFonts w:asciiTheme="minorHAnsi" w:hAnsiTheme="minorHAnsi" w:cs="Arial"/>
          <w:sz w:val="24"/>
          <w:szCs w:val="24"/>
        </w:rPr>
        <w:t>igher-income countries</w:t>
      </w:r>
      <w:r w:rsidR="00C37C87" w:rsidRPr="00730728">
        <w:rPr>
          <w:rFonts w:asciiTheme="minorHAnsi" w:hAnsiTheme="minorHAnsi" w:cs="Arial"/>
          <w:sz w:val="24"/>
          <w:szCs w:val="24"/>
        </w:rPr>
        <w:t xml:space="preserve"> scores assist in predicting mortality from pneumonia</w:t>
      </w:r>
      <w:r w:rsidR="00432210">
        <w:rPr>
          <w:rFonts w:asciiTheme="minorHAnsi" w:hAnsiTheme="minorHAnsi" w:cs="Arial"/>
          <w:sz w:val="24"/>
          <w:szCs w:val="24"/>
        </w:rPr>
        <w:t>. T</w:t>
      </w:r>
      <w:r w:rsidR="0043287E">
        <w:rPr>
          <w:rFonts w:asciiTheme="minorHAnsi" w:hAnsiTheme="minorHAnsi" w:cs="Arial"/>
          <w:sz w:val="24"/>
          <w:szCs w:val="24"/>
        </w:rPr>
        <w:t>hese</w:t>
      </w:r>
      <w:r w:rsidR="00C37C87" w:rsidRPr="00730728">
        <w:rPr>
          <w:rFonts w:asciiTheme="minorHAnsi" w:hAnsiTheme="minorHAnsi" w:cs="Arial"/>
          <w:sz w:val="24"/>
          <w:szCs w:val="24"/>
        </w:rPr>
        <w:t xml:space="preserve"> have not been validated for use in </w:t>
      </w:r>
      <w:proofErr w:type="gramStart"/>
      <w:r w:rsidR="00C37C87" w:rsidRPr="00730728">
        <w:rPr>
          <w:rFonts w:asciiTheme="minorHAnsi" w:hAnsiTheme="minorHAnsi" w:cs="Arial"/>
          <w:sz w:val="24"/>
          <w:szCs w:val="24"/>
        </w:rPr>
        <w:t>most low</w:t>
      </w:r>
      <w:r w:rsidR="003F4D4A" w:rsidRPr="00730728">
        <w:rPr>
          <w:rFonts w:asciiTheme="minorHAnsi" w:hAnsiTheme="minorHAnsi" w:cs="Arial"/>
          <w:sz w:val="24"/>
          <w:szCs w:val="24"/>
        </w:rPr>
        <w:t>er</w:t>
      </w:r>
      <w:proofErr w:type="gramEnd"/>
      <w:r w:rsidR="00C37C87" w:rsidRPr="00730728">
        <w:rPr>
          <w:rFonts w:asciiTheme="minorHAnsi" w:hAnsiTheme="minorHAnsi" w:cs="Arial"/>
          <w:sz w:val="24"/>
          <w:szCs w:val="24"/>
        </w:rPr>
        <w:t>-income countri</w:t>
      </w:r>
      <w:r w:rsidR="00B83588" w:rsidRPr="00730728">
        <w:rPr>
          <w:rFonts w:asciiTheme="minorHAnsi" w:hAnsiTheme="minorHAnsi" w:cs="Arial"/>
          <w:sz w:val="24"/>
          <w:szCs w:val="24"/>
        </w:rPr>
        <w:t xml:space="preserve">es. </w:t>
      </w:r>
    </w:p>
    <w:p w:rsidR="00486D8F" w:rsidRDefault="00354BB5" w:rsidP="00730728">
      <w:pPr>
        <w:spacing w:line="480" w:lineRule="auto"/>
        <w:rPr>
          <w:rFonts w:asciiTheme="minorHAnsi" w:hAnsiTheme="minorHAnsi" w:cs="Arial"/>
          <w:sz w:val="24"/>
          <w:szCs w:val="24"/>
        </w:rPr>
      </w:pPr>
      <w:r w:rsidRPr="0021384F">
        <w:rPr>
          <w:rFonts w:asciiTheme="minorHAnsi" w:hAnsiTheme="minorHAnsi" w:cs="Arial"/>
          <w:b/>
          <w:sz w:val="24"/>
          <w:szCs w:val="24"/>
        </w:rPr>
        <w:t>Aim:</w:t>
      </w:r>
      <w:r w:rsidRPr="0021384F">
        <w:rPr>
          <w:rFonts w:asciiTheme="minorHAnsi" w:hAnsiTheme="minorHAnsi" w:cs="Arial"/>
          <w:sz w:val="24"/>
          <w:szCs w:val="24"/>
        </w:rPr>
        <w:t xml:space="preserve"> </w:t>
      </w:r>
      <w:r>
        <w:rPr>
          <w:rFonts w:asciiTheme="minorHAnsi" w:hAnsiTheme="minorHAnsi" w:cs="Arial"/>
          <w:sz w:val="24"/>
          <w:szCs w:val="24"/>
        </w:rPr>
        <w:t>T</w:t>
      </w:r>
      <w:r w:rsidR="00486D8F" w:rsidRPr="00730728">
        <w:rPr>
          <w:rFonts w:asciiTheme="minorHAnsi" w:hAnsiTheme="minorHAnsi" w:cs="Arial"/>
          <w:sz w:val="24"/>
          <w:szCs w:val="24"/>
        </w:rPr>
        <w:t>o validate</w:t>
      </w:r>
      <w:r w:rsidR="00624BE0" w:rsidRPr="00730728">
        <w:rPr>
          <w:rFonts w:asciiTheme="minorHAnsi" w:hAnsiTheme="minorHAnsi" w:cs="Arial"/>
          <w:sz w:val="24"/>
          <w:szCs w:val="24"/>
        </w:rPr>
        <w:t xml:space="preserve"> a new score,</w:t>
      </w:r>
      <w:r w:rsidR="00486D8F" w:rsidRPr="00730728">
        <w:rPr>
          <w:rFonts w:asciiTheme="minorHAnsi" w:hAnsiTheme="minorHAnsi" w:cs="Arial"/>
          <w:sz w:val="24"/>
          <w:szCs w:val="24"/>
        </w:rPr>
        <w:t xml:space="preserve"> the SWAT-Bp score</w:t>
      </w:r>
      <w:r w:rsidR="00624BE0" w:rsidRPr="00730728">
        <w:rPr>
          <w:rFonts w:asciiTheme="minorHAnsi" w:hAnsiTheme="minorHAnsi" w:cs="Arial"/>
          <w:sz w:val="24"/>
          <w:szCs w:val="24"/>
        </w:rPr>
        <w:t>,</w:t>
      </w:r>
      <w:r w:rsidR="00486D8F" w:rsidRPr="00730728">
        <w:rPr>
          <w:rFonts w:asciiTheme="minorHAnsi" w:hAnsiTheme="minorHAnsi" w:cs="Arial"/>
          <w:sz w:val="24"/>
          <w:szCs w:val="24"/>
        </w:rPr>
        <w:t xml:space="preserve"> in predicting mortality risk of </w:t>
      </w:r>
      <w:r w:rsidR="005C7873" w:rsidRPr="00730728">
        <w:rPr>
          <w:rFonts w:asciiTheme="minorHAnsi" w:hAnsiTheme="minorHAnsi" w:cs="Arial"/>
          <w:sz w:val="24"/>
          <w:szCs w:val="24"/>
        </w:rPr>
        <w:t>clinical</w:t>
      </w:r>
      <w:r w:rsidR="00486D8F" w:rsidRPr="00730728">
        <w:rPr>
          <w:rFonts w:asciiTheme="minorHAnsi" w:hAnsiTheme="minorHAnsi" w:cs="Arial"/>
          <w:sz w:val="24"/>
          <w:szCs w:val="24"/>
        </w:rPr>
        <w:t xml:space="preserve"> community-acquired pneumonia amongst hospital admissions</w:t>
      </w:r>
      <w:r w:rsidR="005B3739">
        <w:rPr>
          <w:rFonts w:asciiTheme="minorHAnsi" w:hAnsiTheme="minorHAnsi" w:cs="Arial"/>
          <w:sz w:val="24"/>
          <w:szCs w:val="24"/>
        </w:rPr>
        <w:t xml:space="preserve"> </w:t>
      </w:r>
      <w:r w:rsidR="005B3739" w:rsidRPr="00730728">
        <w:rPr>
          <w:rFonts w:asciiTheme="minorHAnsi" w:hAnsiTheme="minorHAnsi" w:cs="Arial"/>
          <w:sz w:val="24"/>
          <w:szCs w:val="24"/>
        </w:rPr>
        <w:t>in Queen Elizabeth Central Hospital, Blantyre, Malawi</w:t>
      </w:r>
      <w:r w:rsidR="00486D8F" w:rsidRPr="00730728">
        <w:rPr>
          <w:rFonts w:asciiTheme="minorHAnsi" w:hAnsiTheme="minorHAnsi" w:cs="Arial"/>
          <w:sz w:val="24"/>
          <w:szCs w:val="24"/>
        </w:rPr>
        <w:t>.</w:t>
      </w:r>
    </w:p>
    <w:p w:rsidR="00FF4656" w:rsidRPr="00730728" w:rsidRDefault="000D27B1" w:rsidP="00730728">
      <w:pPr>
        <w:spacing w:line="480" w:lineRule="auto"/>
        <w:rPr>
          <w:rFonts w:asciiTheme="minorHAnsi" w:hAnsiTheme="minorHAnsi" w:cs="Arial"/>
          <w:b/>
          <w:sz w:val="24"/>
          <w:szCs w:val="24"/>
          <w:u w:val="single"/>
        </w:rPr>
      </w:pPr>
      <w:r w:rsidRPr="0021384F">
        <w:rPr>
          <w:rFonts w:asciiTheme="minorHAnsi" w:hAnsiTheme="minorHAnsi" w:cs="Arial"/>
          <w:b/>
          <w:sz w:val="24"/>
          <w:szCs w:val="24"/>
        </w:rPr>
        <w:t>Methods:</w:t>
      </w:r>
      <w:r w:rsidR="00486D8F" w:rsidRPr="0021384F">
        <w:rPr>
          <w:rFonts w:asciiTheme="minorHAnsi" w:hAnsiTheme="minorHAnsi" w:cs="Arial"/>
          <w:sz w:val="24"/>
          <w:szCs w:val="24"/>
        </w:rPr>
        <w:t xml:space="preserve"> </w:t>
      </w:r>
      <w:r w:rsidR="00FF4656" w:rsidRPr="00730728">
        <w:rPr>
          <w:rFonts w:asciiTheme="minorHAnsi" w:hAnsiTheme="minorHAnsi" w:cs="Arial"/>
          <w:sz w:val="24"/>
          <w:szCs w:val="24"/>
        </w:rPr>
        <w:t xml:space="preserve">The five variables constituting the SWAT-Bp score (male </w:t>
      </w:r>
      <w:r w:rsidR="00B20BD3" w:rsidRPr="00730728">
        <w:rPr>
          <w:rFonts w:asciiTheme="minorHAnsi" w:hAnsiTheme="minorHAnsi" w:cs="Arial"/>
          <w:sz w:val="24"/>
          <w:szCs w:val="24"/>
        </w:rPr>
        <w:t>[</w:t>
      </w:r>
      <w:r w:rsidR="00FF4656" w:rsidRPr="00730728">
        <w:rPr>
          <w:rFonts w:asciiTheme="minorHAnsi" w:hAnsiTheme="minorHAnsi" w:cs="Arial"/>
          <w:sz w:val="24"/>
          <w:szCs w:val="24"/>
        </w:rPr>
        <w:t>S</w:t>
      </w:r>
      <w:r w:rsidR="00B20BD3" w:rsidRPr="00730728">
        <w:rPr>
          <w:rFonts w:asciiTheme="minorHAnsi" w:hAnsiTheme="minorHAnsi" w:cs="Arial"/>
          <w:sz w:val="24"/>
          <w:szCs w:val="24"/>
        </w:rPr>
        <w:t>]</w:t>
      </w:r>
      <w:r w:rsidR="00FF4656" w:rsidRPr="00730728">
        <w:rPr>
          <w:rFonts w:asciiTheme="minorHAnsi" w:hAnsiTheme="minorHAnsi" w:cs="Arial"/>
          <w:sz w:val="24"/>
          <w:szCs w:val="24"/>
        </w:rPr>
        <w:t xml:space="preserve">ex, muscle </w:t>
      </w:r>
      <w:r w:rsidR="00B20BD3" w:rsidRPr="00730728">
        <w:rPr>
          <w:rFonts w:asciiTheme="minorHAnsi" w:hAnsiTheme="minorHAnsi" w:cs="Arial"/>
          <w:sz w:val="24"/>
          <w:szCs w:val="24"/>
        </w:rPr>
        <w:t>[</w:t>
      </w:r>
      <w:r w:rsidR="00FF4656" w:rsidRPr="00730728">
        <w:rPr>
          <w:rFonts w:asciiTheme="minorHAnsi" w:hAnsiTheme="minorHAnsi" w:cs="Arial"/>
          <w:sz w:val="24"/>
          <w:szCs w:val="24"/>
        </w:rPr>
        <w:t>W</w:t>
      </w:r>
      <w:r w:rsidR="00B20BD3" w:rsidRPr="00730728">
        <w:rPr>
          <w:rFonts w:asciiTheme="minorHAnsi" w:hAnsiTheme="minorHAnsi" w:cs="Arial"/>
          <w:sz w:val="24"/>
          <w:szCs w:val="24"/>
        </w:rPr>
        <w:t>]</w:t>
      </w:r>
      <w:proofErr w:type="spellStart"/>
      <w:r w:rsidR="00FF4656" w:rsidRPr="00730728">
        <w:rPr>
          <w:rFonts w:asciiTheme="minorHAnsi" w:hAnsiTheme="minorHAnsi" w:cs="Arial"/>
          <w:sz w:val="24"/>
          <w:szCs w:val="24"/>
        </w:rPr>
        <w:t>asting</w:t>
      </w:r>
      <w:proofErr w:type="spellEnd"/>
      <w:r w:rsidR="00FF4656" w:rsidRPr="00730728">
        <w:rPr>
          <w:rFonts w:asciiTheme="minorHAnsi" w:hAnsiTheme="minorHAnsi" w:cs="Arial"/>
          <w:sz w:val="24"/>
          <w:szCs w:val="24"/>
        </w:rPr>
        <w:t>, non-</w:t>
      </w:r>
      <w:r w:rsidR="00B20BD3" w:rsidRPr="00730728">
        <w:rPr>
          <w:rFonts w:asciiTheme="minorHAnsi" w:hAnsiTheme="minorHAnsi" w:cs="Arial"/>
          <w:sz w:val="24"/>
          <w:szCs w:val="24"/>
        </w:rPr>
        <w:t>[A]</w:t>
      </w:r>
      <w:proofErr w:type="spellStart"/>
      <w:r w:rsidR="00FF4656" w:rsidRPr="00730728">
        <w:rPr>
          <w:rFonts w:asciiTheme="minorHAnsi" w:hAnsiTheme="minorHAnsi" w:cs="Arial"/>
          <w:sz w:val="24"/>
          <w:szCs w:val="24"/>
        </w:rPr>
        <w:t>mbulatory</w:t>
      </w:r>
      <w:proofErr w:type="spellEnd"/>
      <w:r w:rsidR="00FF4656" w:rsidRPr="00730728">
        <w:rPr>
          <w:rFonts w:asciiTheme="minorHAnsi" w:hAnsiTheme="minorHAnsi" w:cs="Arial"/>
          <w:sz w:val="24"/>
          <w:szCs w:val="24"/>
        </w:rPr>
        <w:t xml:space="preserve">, </w:t>
      </w:r>
      <w:r w:rsidR="00B20BD3" w:rsidRPr="00730728">
        <w:rPr>
          <w:rFonts w:asciiTheme="minorHAnsi" w:hAnsiTheme="minorHAnsi" w:cs="Arial"/>
          <w:sz w:val="24"/>
          <w:szCs w:val="24"/>
        </w:rPr>
        <w:t>[T]</w:t>
      </w:r>
      <w:proofErr w:type="spellStart"/>
      <w:r w:rsidR="00FF4656" w:rsidRPr="00730728">
        <w:rPr>
          <w:rFonts w:asciiTheme="minorHAnsi" w:hAnsiTheme="minorHAnsi" w:cs="Arial"/>
          <w:sz w:val="24"/>
          <w:szCs w:val="24"/>
        </w:rPr>
        <w:t>emperature</w:t>
      </w:r>
      <w:proofErr w:type="spellEnd"/>
      <w:r w:rsidR="00FF4656" w:rsidRPr="00730728">
        <w:rPr>
          <w:rFonts w:asciiTheme="minorHAnsi" w:hAnsiTheme="minorHAnsi" w:cs="Arial"/>
          <w:sz w:val="24"/>
          <w:szCs w:val="24"/>
        </w:rPr>
        <w:t xml:space="preserve"> (&gt;38</w:t>
      </w:r>
      <w:r w:rsidR="00FF4656" w:rsidRPr="00730728">
        <w:rPr>
          <w:rFonts w:asciiTheme="minorHAnsi" w:hAnsiTheme="minorHAnsi" w:cs="Arial"/>
          <w:sz w:val="24"/>
          <w:szCs w:val="24"/>
          <w:vertAlign w:val="superscript"/>
        </w:rPr>
        <w:t>o</w:t>
      </w:r>
      <w:r w:rsidR="00FF4656" w:rsidRPr="00730728">
        <w:rPr>
          <w:rFonts w:asciiTheme="minorHAnsi" w:hAnsiTheme="minorHAnsi" w:cs="Arial"/>
          <w:sz w:val="24"/>
          <w:szCs w:val="24"/>
        </w:rPr>
        <w:t>C or &lt;35</w:t>
      </w:r>
      <w:r w:rsidR="00FF4656" w:rsidRPr="00730728">
        <w:rPr>
          <w:rFonts w:asciiTheme="minorHAnsi" w:hAnsiTheme="minorHAnsi" w:cs="Arial"/>
          <w:sz w:val="24"/>
          <w:szCs w:val="24"/>
          <w:vertAlign w:val="superscript"/>
        </w:rPr>
        <w:t>o</w:t>
      </w:r>
      <w:r w:rsidR="00FF4656" w:rsidRPr="00730728">
        <w:rPr>
          <w:rFonts w:asciiTheme="minorHAnsi" w:hAnsiTheme="minorHAnsi" w:cs="Arial"/>
          <w:sz w:val="24"/>
          <w:szCs w:val="24"/>
        </w:rPr>
        <w:t xml:space="preserve">C) and </w:t>
      </w:r>
      <w:r w:rsidR="00B20BD3" w:rsidRPr="00730728">
        <w:rPr>
          <w:rFonts w:asciiTheme="minorHAnsi" w:hAnsiTheme="minorHAnsi" w:cs="Arial"/>
          <w:sz w:val="24"/>
          <w:szCs w:val="24"/>
        </w:rPr>
        <w:t>[B]</w:t>
      </w:r>
      <w:proofErr w:type="spellStart"/>
      <w:r w:rsidR="00FF4656" w:rsidRPr="00730728">
        <w:rPr>
          <w:rFonts w:asciiTheme="minorHAnsi" w:hAnsiTheme="minorHAnsi" w:cs="Arial"/>
          <w:sz w:val="24"/>
          <w:szCs w:val="24"/>
        </w:rPr>
        <w:t>lood</w:t>
      </w:r>
      <w:proofErr w:type="spellEnd"/>
      <w:r w:rsidR="00FF4656" w:rsidRPr="00730728">
        <w:rPr>
          <w:rFonts w:asciiTheme="minorHAnsi" w:hAnsiTheme="minorHAnsi" w:cs="Arial"/>
          <w:sz w:val="24"/>
          <w:szCs w:val="24"/>
        </w:rPr>
        <w:t xml:space="preserve"> </w:t>
      </w:r>
      <w:r w:rsidR="00B20BD3" w:rsidRPr="00730728">
        <w:rPr>
          <w:rFonts w:asciiTheme="minorHAnsi" w:hAnsiTheme="minorHAnsi" w:cs="Arial"/>
          <w:sz w:val="24"/>
          <w:szCs w:val="24"/>
        </w:rPr>
        <w:t>[p]</w:t>
      </w:r>
      <w:proofErr w:type="spellStart"/>
      <w:r w:rsidR="00FF4656" w:rsidRPr="00730728">
        <w:rPr>
          <w:rFonts w:asciiTheme="minorHAnsi" w:hAnsiTheme="minorHAnsi" w:cs="Arial"/>
          <w:sz w:val="24"/>
          <w:szCs w:val="24"/>
        </w:rPr>
        <w:t>ressure</w:t>
      </w:r>
      <w:proofErr w:type="spellEnd"/>
      <w:r w:rsidR="00FF4656" w:rsidRPr="00730728">
        <w:rPr>
          <w:rFonts w:asciiTheme="minorHAnsi" w:hAnsiTheme="minorHAnsi" w:cs="Arial"/>
          <w:sz w:val="24"/>
          <w:szCs w:val="24"/>
        </w:rPr>
        <w:t xml:space="preserve"> (systolic&lt;100 and/or diastolic&lt;60)) were recorded for all patients with</w:t>
      </w:r>
      <w:r w:rsidR="00B83588" w:rsidRPr="00730728">
        <w:rPr>
          <w:rFonts w:asciiTheme="minorHAnsi" w:hAnsiTheme="minorHAnsi" w:cs="Arial"/>
          <w:sz w:val="24"/>
          <w:szCs w:val="24"/>
        </w:rPr>
        <w:t xml:space="preserve"> clinical presentation of a</w:t>
      </w:r>
      <w:r w:rsidR="00FF4656" w:rsidRPr="00730728">
        <w:rPr>
          <w:rFonts w:asciiTheme="minorHAnsi" w:hAnsiTheme="minorHAnsi" w:cs="Arial"/>
          <w:sz w:val="24"/>
          <w:szCs w:val="24"/>
        </w:rPr>
        <w:t xml:space="preserve"> </w:t>
      </w:r>
      <w:r w:rsidR="00B83588" w:rsidRPr="00730728">
        <w:rPr>
          <w:rFonts w:asciiTheme="minorHAnsi" w:hAnsiTheme="minorHAnsi" w:cs="Arial"/>
          <w:sz w:val="24"/>
          <w:szCs w:val="24"/>
        </w:rPr>
        <w:t>lower respiratory tract infection, presumed to be pneumonia</w:t>
      </w:r>
      <w:r w:rsidR="00BE53AA" w:rsidRPr="00730728">
        <w:rPr>
          <w:rFonts w:asciiTheme="minorHAnsi" w:hAnsiTheme="minorHAnsi" w:cs="Arial"/>
          <w:sz w:val="24"/>
          <w:szCs w:val="24"/>
        </w:rPr>
        <w:t>,</w:t>
      </w:r>
      <w:r w:rsidR="00B83588" w:rsidRPr="00730728">
        <w:rPr>
          <w:rFonts w:asciiTheme="minorHAnsi" w:hAnsiTheme="minorHAnsi" w:cs="Arial"/>
          <w:sz w:val="24"/>
          <w:szCs w:val="24"/>
        </w:rPr>
        <w:t xml:space="preserve"> </w:t>
      </w:r>
      <w:r w:rsidR="00B20BD3" w:rsidRPr="00730728">
        <w:rPr>
          <w:rFonts w:asciiTheme="minorHAnsi" w:hAnsiTheme="minorHAnsi" w:cs="Arial"/>
          <w:sz w:val="24"/>
          <w:szCs w:val="24"/>
        </w:rPr>
        <w:t>over four months</w:t>
      </w:r>
      <w:r w:rsidR="0060111F" w:rsidRPr="00730728">
        <w:rPr>
          <w:rFonts w:asciiTheme="minorHAnsi" w:hAnsiTheme="minorHAnsi" w:cs="Arial"/>
          <w:sz w:val="24"/>
          <w:szCs w:val="24"/>
        </w:rPr>
        <w:t xml:space="preserve"> (N</w:t>
      </w:r>
      <w:r w:rsidR="00FF4656" w:rsidRPr="00730728">
        <w:rPr>
          <w:rFonts w:asciiTheme="minorHAnsi" w:hAnsiTheme="minorHAnsi" w:cs="Arial"/>
          <w:sz w:val="24"/>
          <w:szCs w:val="24"/>
        </w:rPr>
        <w:t>=216). The sensitivity and specificity of the score were calculated to determine accuracy of predicting mortality risk.</w:t>
      </w:r>
      <w:r w:rsidR="00D25368">
        <w:rPr>
          <w:rFonts w:asciiTheme="minorHAnsi" w:hAnsiTheme="minorHAnsi" w:cs="Arial"/>
          <w:sz w:val="24"/>
          <w:szCs w:val="24"/>
        </w:rPr>
        <w:t xml:space="preserve"> </w:t>
      </w:r>
      <w:r w:rsidR="00AA1AF5" w:rsidRPr="00730728">
        <w:rPr>
          <w:rFonts w:asciiTheme="minorHAnsi" w:hAnsiTheme="minorHAnsi" w:cs="Arial"/>
          <w:sz w:val="24"/>
          <w:szCs w:val="24"/>
        </w:rPr>
        <w:t xml:space="preserve">Median age 35, HIV prevalence 84.2%, mortality 12.5%.  </w:t>
      </w:r>
    </w:p>
    <w:p w:rsidR="00FF4656" w:rsidRPr="00730728" w:rsidRDefault="00FF4656" w:rsidP="00730728">
      <w:pPr>
        <w:spacing w:line="480" w:lineRule="auto"/>
        <w:rPr>
          <w:rFonts w:asciiTheme="minorHAnsi" w:hAnsiTheme="minorHAnsi" w:cs="Arial"/>
          <w:sz w:val="24"/>
          <w:szCs w:val="24"/>
        </w:rPr>
      </w:pPr>
      <w:r w:rsidRPr="0021384F">
        <w:rPr>
          <w:rFonts w:asciiTheme="minorHAnsi" w:hAnsiTheme="minorHAnsi" w:cs="Arial"/>
          <w:b/>
          <w:sz w:val="24"/>
          <w:szCs w:val="24"/>
        </w:rPr>
        <w:t>Results:</w:t>
      </w:r>
      <w:r w:rsidRPr="00730728">
        <w:rPr>
          <w:rFonts w:asciiTheme="minorHAnsi" w:hAnsiTheme="minorHAnsi" w:cs="Arial"/>
          <w:b/>
          <w:sz w:val="24"/>
          <w:szCs w:val="24"/>
        </w:rPr>
        <w:t xml:space="preserve"> </w:t>
      </w:r>
      <w:r w:rsidR="00522FA3" w:rsidRPr="00730728">
        <w:rPr>
          <w:rFonts w:asciiTheme="minorHAnsi" w:hAnsiTheme="minorHAnsi" w:cs="Arial"/>
          <w:sz w:val="24"/>
          <w:szCs w:val="24"/>
        </w:rPr>
        <w:t>Mortality</w:t>
      </w:r>
      <w:r w:rsidR="00DB35D4" w:rsidRPr="00730728">
        <w:rPr>
          <w:rFonts w:asciiTheme="minorHAnsi" w:hAnsiTheme="minorHAnsi" w:cs="Arial"/>
          <w:sz w:val="24"/>
          <w:szCs w:val="24"/>
        </w:rPr>
        <w:t xml:space="preserve"> for</w:t>
      </w:r>
      <w:r w:rsidR="00522FA3" w:rsidRPr="00730728">
        <w:rPr>
          <w:rFonts w:asciiTheme="minorHAnsi" w:hAnsiTheme="minorHAnsi" w:cs="Arial"/>
          <w:sz w:val="24"/>
          <w:szCs w:val="24"/>
        </w:rPr>
        <w:t xml:space="preserve"> scores </w:t>
      </w:r>
      <w:r w:rsidR="00DB35D4" w:rsidRPr="00730728">
        <w:rPr>
          <w:rFonts w:asciiTheme="minorHAnsi" w:hAnsiTheme="minorHAnsi" w:cs="Arial"/>
          <w:sz w:val="24"/>
          <w:szCs w:val="24"/>
        </w:rPr>
        <w:t>0-5 was</w:t>
      </w:r>
      <w:r w:rsidR="00522FA3" w:rsidRPr="00730728">
        <w:rPr>
          <w:rFonts w:asciiTheme="minorHAnsi" w:hAnsiTheme="minorHAnsi" w:cs="Arial"/>
          <w:sz w:val="24"/>
          <w:szCs w:val="24"/>
        </w:rPr>
        <w:t xml:space="preserve"> 0%, 8.5%, 12.7%</w:t>
      </w:r>
      <w:r w:rsidR="00DB35D4" w:rsidRPr="00730728">
        <w:rPr>
          <w:rFonts w:asciiTheme="minorHAnsi" w:hAnsiTheme="minorHAnsi" w:cs="Arial"/>
          <w:sz w:val="24"/>
          <w:szCs w:val="24"/>
        </w:rPr>
        <w:t xml:space="preserve">, 19.0%, 28.6%, 100% respectively. Patients were </w:t>
      </w:r>
      <w:r w:rsidR="00365418" w:rsidRPr="00730728">
        <w:rPr>
          <w:rFonts w:asciiTheme="minorHAnsi" w:hAnsiTheme="minorHAnsi" w:cs="Arial"/>
          <w:sz w:val="24"/>
          <w:szCs w:val="24"/>
        </w:rPr>
        <w:t>stra</w:t>
      </w:r>
      <w:r w:rsidR="00DB35D4" w:rsidRPr="00730728">
        <w:rPr>
          <w:rFonts w:asciiTheme="minorHAnsi" w:hAnsiTheme="minorHAnsi" w:cs="Arial"/>
          <w:sz w:val="24"/>
          <w:szCs w:val="24"/>
        </w:rPr>
        <w:t>tified into three mortality risk groups dependent on their score.</w:t>
      </w:r>
      <w:r w:rsidR="004835AA" w:rsidRPr="00730728">
        <w:rPr>
          <w:rFonts w:asciiTheme="minorHAnsi" w:hAnsiTheme="minorHAnsi" w:cs="Arial"/>
          <w:sz w:val="24"/>
          <w:szCs w:val="24"/>
        </w:rPr>
        <w:t xml:space="preserve"> SWAT-Bp had moderate discriminatory power overall (AUROC 0.744). </w:t>
      </w:r>
      <w:r w:rsidR="00620244" w:rsidRPr="00730728">
        <w:rPr>
          <w:rFonts w:asciiTheme="minorHAnsi" w:hAnsiTheme="minorHAnsi" w:cs="Arial"/>
          <w:sz w:val="24"/>
          <w:szCs w:val="24"/>
        </w:rPr>
        <w:t>Identifying h</w:t>
      </w:r>
      <w:r w:rsidR="00365418" w:rsidRPr="00730728">
        <w:rPr>
          <w:rFonts w:asciiTheme="minorHAnsi" w:hAnsiTheme="minorHAnsi" w:cs="Arial"/>
          <w:sz w:val="24"/>
          <w:szCs w:val="24"/>
        </w:rPr>
        <w:t>igh</w:t>
      </w:r>
      <w:r w:rsidR="00620244" w:rsidRPr="00730728">
        <w:rPr>
          <w:rFonts w:asciiTheme="minorHAnsi" w:hAnsiTheme="minorHAnsi" w:cs="Arial"/>
          <w:sz w:val="24"/>
          <w:szCs w:val="24"/>
        </w:rPr>
        <w:t>er</w:t>
      </w:r>
      <w:r w:rsidR="00365418" w:rsidRPr="00730728">
        <w:rPr>
          <w:rFonts w:asciiTheme="minorHAnsi" w:hAnsiTheme="minorHAnsi" w:cs="Arial"/>
          <w:sz w:val="24"/>
          <w:szCs w:val="24"/>
        </w:rPr>
        <w:t xml:space="preserve"> risk</w:t>
      </w:r>
      <w:r w:rsidR="00620244" w:rsidRPr="00730728">
        <w:rPr>
          <w:rFonts w:asciiTheme="minorHAnsi" w:hAnsiTheme="minorHAnsi" w:cs="Arial"/>
          <w:sz w:val="24"/>
          <w:szCs w:val="24"/>
        </w:rPr>
        <w:t xml:space="preserve"> participants</w:t>
      </w:r>
      <w:r w:rsidR="00365418" w:rsidRPr="00730728">
        <w:rPr>
          <w:rFonts w:asciiTheme="minorHAnsi" w:hAnsiTheme="minorHAnsi" w:cs="Arial"/>
          <w:sz w:val="24"/>
          <w:szCs w:val="24"/>
        </w:rPr>
        <w:t>, defined by</w:t>
      </w:r>
      <w:r w:rsidR="00620244" w:rsidRPr="00730728">
        <w:rPr>
          <w:rFonts w:asciiTheme="minorHAnsi" w:hAnsiTheme="minorHAnsi" w:cs="Arial"/>
          <w:sz w:val="24"/>
          <w:szCs w:val="24"/>
        </w:rPr>
        <w:t xml:space="preserve"> SWAT-Bp score of ≥</w:t>
      </w:r>
      <w:r w:rsidR="0043287E">
        <w:rPr>
          <w:rFonts w:asciiTheme="minorHAnsi" w:hAnsiTheme="minorHAnsi" w:cs="Arial"/>
          <w:sz w:val="24"/>
          <w:szCs w:val="24"/>
        </w:rPr>
        <w:t>2</w:t>
      </w:r>
      <w:r w:rsidR="005C7873" w:rsidRPr="00730728">
        <w:rPr>
          <w:rFonts w:asciiTheme="minorHAnsi" w:hAnsiTheme="minorHAnsi" w:cs="Arial"/>
          <w:sz w:val="24"/>
          <w:szCs w:val="24"/>
        </w:rPr>
        <w:t>,</w:t>
      </w:r>
      <w:r w:rsidR="00620244" w:rsidRPr="00730728">
        <w:rPr>
          <w:rFonts w:asciiTheme="minorHAnsi" w:hAnsiTheme="minorHAnsi" w:cs="Arial"/>
          <w:sz w:val="24"/>
          <w:szCs w:val="24"/>
        </w:rPr>
        <w:t xml:space="preserve"> was 82</w:t>
      </w:r>
      <w:r w:rsidR="00DB35D4" w:rsidRPr="00730728">
        <w:rPr>
          <w:rFonts w:asciiTheme="minorHAnsi" w:hAnsiTheme="minorHAnsi" w:cs="Arial"/>
          <w:sz w:val="24"/>
          <w:szCs w:val="24"/>
        </w:rPr>
        <w:t>%</w:t>
      </w:r>
      <w:r w:rsidR="00620244" w:rsidRPr="00730728">
        <w:rPr>
          <w:rFonts w:asciiTheme="minorHAnsi" w:hAnsiTheme="minorHAnsi" w:cs="Arial"/>
          <w:sz w:val="24"/>
          <w:szCs w:val="24"/>
        </w:rPr>
        <w:t xml:space="preserve"> sensitive and 51</w:t>
      </w:r>
      <w:r w:rsidR="00DB35D4" w:rsidRPr="00730728">
        <w:rPr>
          <w:rFonts w:asciiTheme="minorHAnsi" w:hAnsiTheme="minorHAnsi" w:cs="Arial"/>
          <w:sz w:val="24"/>
          <w:szCs w:val="24"/>
        </w:rPr>
        <w:t>% specific for predicting mortality.</w:t>
      </w:r>
    </w:p>
    <w:p w:rsidR="00354BB5" w:rsidRDefault="00FF4656" w:rsidP="00730728">
      <w:pPr>
        <w:spacing w:line="480" w:lineRule="auto"/>
        <w:rPr>
          <w:rFonts w:asciiTheme="minorHAnsi" w:hAnsiTheme="minorHAnsi" w:cs="Arial"/>
          <w:sz w:val="24"/>
          <w:szCs w:val="24"/>
        </w:rPr>
      </w:pPr>
      <w:r w:rsidRPr="0021384F">
        <w:rPr>
          <w:rFonts w:asciiTheme="minorHAnsi" w:hAnsiTheme="minorHAnsi" w:cs="Arial"/>
          <w:b/>
          <w:sz w:val="24"/>
          <w:szCs w:val="24"/>
        </w:rPr>
        <w:t>Conclusion:</w:t>
      </w:r>
      <w:r w:rsidRPr="00730728">
        <w:rPr>
          <w:rFonts w:asciiTheme="minorHAnsi" w:hAnsiTheme="minorHAnsi" w:cs="Arial"/>
          <w:b/>
          <w:sz w:val="24"/>
          <w:szCs w:val="24"/>
        </w:rPr>
        <w:t xml:space="preserve"> </w:t>
      </w:r>
      <w:r w:rsidR="00E80D7F" w:rsidRPr="007A5158">
        <w:rPr>
          <w:rFonts w:asciiTheme="minorHAnsi" w:hAnsiTheme="minorHAnsi" w:cs="Arial"/>
          <w:sz w:val="24"/>
          <w:szCs w:val="24"/>
        </w:rPr>
        <w:t xml:space="preserve">In this </w:t>
      </w:r>
      <w:r w:rsidR="008B29F7" w:rsidRPr="0043287E">
        <w:rPr>
          <w:rFonts w:asciiTheme="minorHAnsi" w:hAnsiTheme="minorHAnsi" w:cs="Arial"/>
          <w:sz w:val="24"/>
          <w:szCs w:val="24"/>
        </w:rPr>
        <w:t>validation cohort</w:t>
      </w:r>
      <w:r w:rsidR="00E80D7F">
        <w:rPr>
          <w:rFonts w:asciiTheme="minorHAnsi" w:hAnsiTheme="minorHAnsi" w:cs="Arial"/>
          <w:sz w:val="24"/>
          <w:szCs w:val="24"/>
        </w:rPr>
        <w:t xml:space="preserve">, </w:t>
      </w:r>
      <w:r w:rsidR="008B29F7" w:rsidRPr="0043287E">
        <w:rPr>
          <w:rFonts w:asciiTheme="minorHAnsi" w:hAnsiTheme="minorHAnsi" w:cs="Arial"/>
          <w:sz w:val="24"/>
          <w:szCs w:val="24"/>
        </w:rPr>
        <w:t xml:space="preserve">the </w:t>
      </w:r>
      <w:r w:rsidRPr="0043287E">
        <w:rPr>
          <w:rFonts w:asciiTheme="minorHAnsi" w:hAnsiTheme="minorHAnsi" w:cs="Arial"/>
          <w:sz w:val="24"/>
          <w:szCs w:val="24"/>
        </w:rPr>
        <w:t>SWAT-Bp score</w:t>
      </w:r>
      <w:r w:rsidR="00E80D7F">
        <w:rPr>
          <w:rFonts w:asciiTheme="minorHAnsi" w:hAnsiTheme="minorHAnsi" w:cs="Arial"/>
          <w:sz w:val="24"/>
          <w:szCs w:val="24"/>
        </w:rPr>
        <w:t xml:space="preserve"> </w:t>
      </w:r>
      <w:r w:rsidR="00664980">
        <w:rPr>
          <w:rFonts w:asciiTheme="minorHAnsi" w:hAnsiTheme="minorHAnsi" w:cs="Arial"/>
          <w:sz w:val="24"/>
          <w:szCs w:val="24"/>
        </w:rPr>
        <w:t>has</w:t>
      </w:r>
      <w:r w:rsidR="00E80D7F">
        <w:rPr>
          <w:rFonts w:asciiTheme="minorHAnsi" w:hAnsiTheme="minorHAnsi" w:cs="Arial"/>
          <w:sz w:val="24"/>
          <w:szCs w:val="24"/>
        </w:rPr>
        <w:t xml:space="preserve"> not perform</w:t>
      </w:r>
      <w:r w:rsidR="00664980">
        <w:rPr>
          <w:rFonts w:asciiTheme="minorHAnsi" w:hAnsiTheme="minorHAnsi" w:cs="Arial"/>
          <w:sz w:val="24"/>
          <w:szCs w:val="24"/>
        </w:rPr>
        <w:t>ed</w:t>
      </w:r>
      <w:r w:rsidR="00E80D7F">
        <w:rPr>
          <w:rFonts w:asciiTheme="minorHAnsi" w:hAnsiTheme="minorHAnsi" w:cs="Arial"/>
          <w:sz w:val="24"/>
          <w:szCs w:val="24"/>
        </w:rPr>
        <w:t xml:space="preserve"> as well as in the derivation cohort</w:t>
      </w:r>
      <w:r w:rsidRPr="0043287E">
        <w:rPr>
          <w:rFonts w:asciiTheme="minorHAnsi" w:hAnsiTheme="minorHAnsi" w:cs="Arial"/>
          <w:sz w:val="24"/>
          <w:szCs w:val="24"/>
        </w:rPr>
        <w:t xml:space="preserve">. </w:t>
      </w:r>
      <w:r w:rsidR="00C74AC1">
        <w:rPr>
          <w:rFonts w:asciiTheme="minorHAnsi" w:hAnsiTheme="minorHAnsi" w:cs="Arial"/>
          <w:sz w:val="24"/>
          <w:szCs w:val="24"/>
        </w:rPr>
        <w:t>However, i</w:t>
      </w:r>
      <w:r w:rsidR="00F004E9" w:rsidRPr="0043287E">
        <w:rPr>
          <w:rFonts w:asciiTheme="minorHAnsi" w:hAnsiTheme="minorHAnsi" w:cs="Arial"/>
          <w:sz w:val="24"/>
          <w:szCs w:val="24"/>
        </w:rPr>
        <w:t xml:space="preserve">t </w:t>
      </w:r>
      <w:r w:rsidR="00D25368" w:rsidRPr="0043287E">
        <w:rPr>
          <w:rFonts w:asciiTheme="minorHAnsi" w:hAnsiTheme="minorHAnsi" w:cs="Arial"/>
          <w:sz w:val="24"/>
          <w:szCs w:val="24"/>
        </w:rPr>
        <w:t>could</w:t>
      </w:r>
      <w:r w:rsidR="00E80D7F">
        <w:rPr>
          <w:rFonts w:asciiTheme="minorHAnsi" w:hAnsiTheme="minorHAnsi" w:cs="Arial"/>
          <w:sz w:val="24"/>
          <w:szCs w:val="24"/>
        </w:rPr>
        <w:t xml:space="preserve"> potentially assist</w:t>
      </w:r>
      <w:r w:rsidR="0031436F">
        <w:rPr>
          <w:rFonts w:asciiTheme="minorHAnsi" w:hAnsiTheme="minorHAnsi" w:cs="Arial"/>
          <w:sz w:val="24"/>
          <w:szCs w:val="24"/>
        </w:rPr>
        <w:t xml:space="preserve"> </w:t>
      </w:r>
      <w:r w:rsidRPr="0043287E">
        <w:rPr>
          <w:rFonts w:asciiTheme="minorHAnsi" w:hAnsiTheme="minorHAnsi" w:cs="Arial"/>
          <w:sz w:val="24"/>
          <w:szCs w:val="24"/>
        </w:rPr>
        <w:t xml:space="preserve">clinicians </w:t>
      </w:r>
      <w:r w:rsidR="00A17DDC" w:rsidRPr="0043287E">
        <w:rPr>
          <w:rFonts w:asciiTheme="minorHAnsi" w:hAnsiTheme="minorHAnsi" w:cs="Arial"/>
          <w:sz w:val="24"/>
          <w:szCs w:val="24"/>
        </w:rPr>
        <w:t>identify</w:t>
      </w:r>
      <w:r w:rsidR="00E80D7F">
        <w:rPr>
          <w:rFonts w:asciiTheme="minorHAnsi" w:hAnsiTheme="minorHAnsi" w:cs="Arial"/>
          <w:sz w:val="24"/>
          <w:szCs w:val="24"/>
        </w:rPr>
        <w:t>ing</w:t>
      </w:r>
      <w:r w:rsidR="00A17DDC" w:rsidRPr="0043287E">
        <w:rPr>
          <w:rFonts w:asciiTheme="minorHAnsi" w:hAnsiTheme="minorHAnsi" w:cs="Arial"/>
          <w:sz w:val="24"/>
          <w:szCs w:val="24"/>
        </w:rPr>
        <w:t xml:space="preserve"> </w:t>
      </w:r>
      <w:r w:rsidR="00E80D7F">
        <w:rPr>
          <w:rFonts w:asciiTheme="minorHAnsi" w:hAnsiTheme="minorHAnsi" w:cs="Arial"/>
          <w:sz w:val="24"/>
          <w:szCs w:val="24"/>
        </w:rPr>
        <w:t>low</w:t>
      </w:r>
      <w:r w:rsidR="00A17DDC" w:rsidRPr="0043287E">
        <w:rPr>
          <w:rFonts w:asciiTheme="minorHAnsi" w:hAnsiTheme="minorHAnsi" w:cs="Arial"/>
          <w:sz w:val="24"/>
          <w:szCs w:val="24"/>
        </w:rPr>
        <w:t>-</w:t>
      </w:r>
      <w:r w:rsidR="00AB1F82" w:rsidRPr="0043287E">
        <w:rPr>
          <w:rFonts w:asciiTheme="minorHAnsi" w:hAnsiTheme="minorHAnsi" w:cs="Arial"/>
          <w:sz w:val="24"/>
          <w:szCs w:val="24"/>
        </w:rPr>
        <w:t>risk</w:t>
      </w:r>
      <w:r w:rsidRPr="0043287E">
        <w:rPr>
          <w:rFonts w:asciiTheme="minorHAnsi" w:hAnsiTheme="minorHAnsi" w:cs="Arial"/>
          <w:sz w:val="24"/>
          <w:szCs w:val="24"/>
        </w:rPr>
        <w:t xml:space="preserve"> patients, </w:t>
      </w:r>
      <w:r w:rsidRPr="0043287E">
        <w:rPr>
          <w:rFonts w:asciiTheme="minorHAnsi" w:hAnsiTheme="minorHAnsi" w:cs="Arial"/>
          <w:sz w:val="24"/>
          <w:szCs w:val="24"/>
        </w:rPr>
        <w:lastRenderedPageBreak/>
        <w:t>enabling rapid prioritisation of treat</w:t>
      </w:r>
      <w:r w:rsidR="005B3739" w:rsidRPr="0043287E">
        <w:rPr>
          <w:rFonts w:asciiTheme="minorHAnsi" w:hAnsiTheme="minorHAnsi" w:cs="Arial"/>
          <w:sz w:val="24"/>
          <w:szCs w:val="24"/>
        </w:rPr>
        <w:t>ment in a low-resource setting</w:t>
      </w:r>
      <w:r w:rsidR="00C74AC1">
        <w:rPr>
          <w:rFonts w:asciiTheme="minorHAnsi" w:hAnsiTheme="minorHAnsi" w:cs="Arial"/>
          <w:sz w:val="24"/>
          <w:szCs w:val="24"/>
        </w:rPr>
        <w:t>,</w:t>
      </w:r>
      <w:r w:rsidR="007C74BC">
        <w:rPr>
          <w:rFonts w:asciiTheme="minorHAnsi" w:hAnsiTheme="minorHAnsi" w:cs="Arial"/>
          <w:sz w:val="24"/>
          <w:szCs w:val="24"/>
        </w:rPr>
        <w:t xml:space="preserve"> as it helps contribute towards individual patient risk stratification</w:t>
      </w:r>
      <w:r w:rsidR="005438A7" w:rsidRPr="0043287E">
        <w:rPr>
          <w:rFonts w:asciiTheme="minorHAnsi" w:hAnsiTheme="minorHAnsi" w:cs="Arial"/>
          <w:sz w:val="24"/>
          <w:szCs w:val="24"/>
        </w:rPr>
        <w:t>.</w:t>
      </w:r>
    </w:p>
    <w:p w:rsidR="00D25368" w:rsidRDefault="00D25368" w:rsidP="00730728">
      <w:pPr>
        <w:spacing w:line="480" w:lineRule="auto"/>
        <w:rPr>
          <w:rFonts w:asciiTheme="minorHAnsi" w:hAnsiTheme="minorHAnsi" w:cs="Arial"/>
          <w:sz w:val="24"/>
          <w:szCs w:val="24"/>
        </w:rPr>
      </w:pPr>
    </w:p>
    <w:p w:rsidR="00D25368" w:rsidRDefault="00354BB5" w:rsidP="00730728">
      <w:pPr>
        <w:spacing w:line="480" w:lineRule="auto"/>
        <w:rPr>
          <w:rFonts w:asciiTheme="minorHAnsi" w:hAnsiTheme="minorHAnsi" w:cs="Arial"/>
          <w:b/>
          <w:sz w:val="24"/>
          <w:szCs w:val="24"/>
          <w:u w:val="single"/>
        </w:rPr>
      </w:pPr>
      <w:r w:rsidRPr="0063487A">
        <w:rPr>
          <w:rFonts w:asciiTheme="minorHAnsi" w:hAnsiTheme="minorHAnsi" w:cs="Arial"/>
          <w:sz w:val="24"/>
          <w:szCs w:val="24"/>
          <w:u w:val="single"/>
        </w:rPr>
        <w:t>Keywords</w:t>
      </w:r>
      <w:r w:rsidRPr="0063487A">
        <w:rPr>
          <w:rFonts w:asciiTheme="minorHAnsi" w:hAnsiTheme="minorHAnsi" w:cs="Arial"/>
          <w:sz w:val="24"/>
          <w:szCs w:val="24"/>
        </w:rPr>
        <w:t>: community-acquired pneumonia, severity, score, Malawi</w:t>
      </w:r>
      <w:r w:rsidRPr="00730728">
        <w:rPr>
          <w:rFonts w:asciiTheme="minorHAnsi" w:hAnsiTheme="minorHAnsi" w:cs="Arial"/>
          <w:b/>
          <w:sz w:val="24"/>
          <w:szCs w:val="24"/>
          <w:u w:val="single"/>
        </w:rPr>
        <w:t xml:space="preserve"> </w:t>
      </w:r>
    </w:p>
    <w:p w:rsidR="00D25368" w:rsidRDefault="00D25368" w:rsidP="00730728">
      <w:pPr>
        <w:spacing w:line="480" w:lineRule="auto"/>
        <w:rPr>
          <w:rFonts w:asciiTheme="minorHAnsi" w:hAnsiTheme="minorHAnsi" w:cs="Arial"/>
          <w:b/>
          <w:sz w:val="24"/>
          <w:szCs w:val="24"/>
          <w:u w:val="single"/>
        </w:rPr>
      </w:pPr>
    </w:p>
    <w:p w:rsidR="0031436F" w:rsidRDefault="0031436F" w:rsidP="00730728">
      <w:pPr>
        <w:spacing w:line="480" w:lineRule="auto"/>
        <w:rPr>
          <w:rFonts w:asciiTheme="minorHAnsi" w:hAnsiTheme="minorHAnsi" w:cs="Arial"/>
          <w:b/>
          <w:sz w:val="24"/>
          <w:szCs w:val="24"/>
          <w:u w:val="single"/>
        </w:rPr>
      </w:pPr>
      <w:r w:rsidRPr="00D25368">
        <w:rPr>
          <w:rFonts w:asciiTheme="minorHAnsi" w:hAnsiTheme="minorHAnsi" w:cs="Arial"/>
          <w:b/>
          <w:sz w:val="24"/>
          <w:szCs w:val="24"/>
          <w:u w:val="single"/>
        </w:rPr>
        <w:t>Conflicts of Interest</w:t>
      </w:r>
      <w:r>
        <w:rPr>
          <w:rFonts w:asciiTheme="minorHAnsi" w:hAnsiTheme="minorHAnsi" w:cs="Arial"/>
          <w:b/>
          <w:sz w:val="24"/>
          <w:szCs w:val="24"/>
          <w:u w:val="single"/>
        </w:rPr>
        <w:t>:</w:t>
      </w:r>
      <w:r>
        <w:rPr>
          <w:rFonts w:asciiTheme="minorHAnsi" w:hAnsiTheme="minorHAnsi" w:cs="Arial"/>
          <w:sz w:val="24"/>
          <w:szCs w:val="24"/>
        </w:rPr>
        <w:t xml:space="preserve"> </w:t>
      </w:r>
      <w:r w:rsidRPr="00D25368">
        <w:rPr>
          <w:rFonts w:asciiTheme="minorHAnsi" w:hAnsiTheme="minorHAnsi" w:cs="Arial"/>
          <w:sz w:val="24"/>
          <w:szCs w:val="24"/>
        </w:rPr>
        <w:t>The authors are aware of no conflicts of interest during this study.</w:t>
      </w:r>
    </w:p>
    <w:p w:rsidR="00FF4656" w:rsidRPr="00D25368" w:rsidRDefault="00FF4656" w:rsidP="00730728">
      <w:pPr>
        <w:spacing w:line="480" w:lineRule="auto"/>
        <w:rPr>
          <w:rFonts w:asciiTheme="minorHAnsi" w:hAnsiTheme="minorHAnsi" w:cs="Arial"/>
          <w:b/>
          <w:sz w:val="28"/>
          <w:szCs w:val="28"/>
          <w:u w:val="single"/>
        </w:rPr>
      </w:pPr>
      <w:r w:rsidRPr="00730728">
        <w:rPr>
          <w:rFonts w:asciiTheme="minorHAnsi" w:hAnsiTheme="minorHAnsi" w:cs="Arial"/>
          <w:b/>
          <w:sz w:val="24"/>
          <w:szCs w:val="24"/>
          <w:u w:val="single"/>
        </w:rPr>
        <w:br w:type="page"/>
      </w:r>
      <w:r w:rsidRPr="00730728">
        <w:rPr>
          <w:rFonts w:asciiTheme="minorHAnsi" w:hAnsiTheme="minorHAnsi" w:cs="Arial"/>
          <w:b/>
          <w:sz w:val="24"/>
          <w:szCs w:val="24"/>
          <w:u w:val="single"/>
        </w:rPr>
        <w:lastRenderedPageBreak/>
        <w:t>INTRODUCTION</w:t>
      </w:r>
    </w:p>
    <w:p w:rsidR="00FF4656" w:rsidRPr="00730728" w:rsidRDefault="00FF4656" w:rsidP="00730728">
      <w:pPr>
        <w:spacing w:line="480" w:lineRule="auto"/>
        <w:contextualSpacing/>
        <w:rPr>
          <w:rFonts w:asciiTheme="minorHAnsi" w:hAnsiTheme="minorHAnsi" w:cs="Arial"/>
          <w:sz w:val="24"/>
          <w:szCs w:val="24"/>
        </w:rPr>
      </w:pPr>
    </w:p>
    <w:p w:rsidR="00FF4656" w:rsidRPr="00730728" w:rsidRDefault="00FF4656" w:rsidP="00730728">
      <w:pPr>
        <w:spacing w:line="480" w:lineRule="auto"/>
        <w:rPr>
          <w:rFonts w:asciiTheme="minorHAnsi" w:hAnsiTheme="minorHAnsi" w:cs="Arial"/>
          <w:sz w:val="24"/>
          <w:szCs w:val="24"/>
        </w:rPr>
      </w:pPr>
      <w:r w:rsidRPr="00730728">
        <w:rPr>
          <w:rFonts w:asciiTheme="minorHAnsi" w:hAnsiTheme="minorHAnsi" w:cs="Arial"/>
          <w:sz w:val="24"/>
          <w:szCs w:val="24"/>
        </w:rPr>
        <w:t>Lower respiratory tract</w:t>
      </w:r>
      <w:r w:rsidR="00084AE4" w:rsidRPr="00730728">
        <w:rPr>
          <w:rFonts w:asciiTheme="minorHAnsi" w:hAnsiTheme="minorHAnsi" w:cs="Arial"/>
          <w:sz w:val="24"/>
          <w:szCs w:val="24"/>
        </w:rPr>
        <w:t xml:space="preserve"> infections (LRTI) are the fourth</w:t>
      </w:r>
      <w:r w:rsidRPr="00730728">
        <w:rPr>
          <w:rFonts w:asciiTheme="minorHAnsi" w:hAnsiTheme="minorHAnsi" w:cs="Arial"/>
          <w:sz w:val="24"/>
          <w:szCs w:val="24"/>
        </w:rPr>
        <w:t xml:space="preserve"> most common cause of death globally, responsible for 3.</w:t>
      </w:r>
      <w:r w:rsidR="00084AE4" w:rsidRPr="00730728">
        <w:rPr>
          <w:rFonts w:asciiTheme="minorHAnsi" w:hAnsiTheme="minorHAnsi" w:cs="Arial"/>
          <w:sz w:val="24"/>
          <w:szCs w:val="24"/>
        </w:rPr>
        <w:t>1</w:t>
      </w:r>
      <w:r w:rsidRPr="00730728">
        <w:rPr>
          <w:rFonts w:asciiTheme="minorHAnsi" w:hAnsiTheme="minorHAnsi" w:cs="Arial"/>
          <w:sz w:val="24"/>
          <w:szCs w:val="24"/>
        </w:rPr>
        <w:t xml:space="preserve"> million deaths </w:t>
      </w:r>
      <w:r w:rsidR="00D75A97">
        <w:rPr>
          <w:rFonts w:asciiTheme="minorHAnsi" w:hAnsiTheme="minorHAnsi" w:cs="Arial"/>
          <w:sz w:val="24"/>
          <w:szCs w:val="24"/>
        </w:rPr>
        <w:t>annually</w:t>
      </w:r>
      <w:r w:rsidRPr="00730728">
        <w:rPr>
          <w:rFonts w:asciiTheme="minorHAnsi" w:hAnsiTheme="minorHAnsi" w:cs="Arial"/>
          <w:sz w:val="24"/>
          <w:szCs w:val="24"/>
        </w:rPr>
        <w:t>, and remain the leading cause of death in low</w:t>
      </w:r>
      <w:r w:rsidR="003F4D4A" w:rsidRPr="00730728">
        <w:rPr>
          <w:rFonts w:asciiTheme="minorHAnsi" w:hAnsiTheme="minorHAnsi" w:cs="Arial"/>
          <w:sz w:val="24"/>
          <w:szCs w:val="24"/>
        </w:rPr>
        <w:t>-</w:t>
      </w:r>
      <w:r w:rsidRPr="00730728">
        <w:rPr>
          <w:rFonts w:asciiTheme="minorHAnsi" w:hAnsiTheme="minorHAnsi" w:cs="Arial"/>
          <w:sz w:val="24"/>
          <w:szCs w:val="24"/>
        </w:rPr>
        <w:t>income countries.</w:t>
      </w:r>
      <w:r w:rsidR="00F83933" w:rsidRPr="0088622A">
        <w:rPr>
          <w:rFonts w:asciiTheme="minorHAnsi" w:hAnsiTheme="minorHAnsi" w:cs="Arial"/>
          <w:sz w:val="24"/>
          <w:szCs w:val="24"/>
          <w:vertAlign w:val="superscript"/>
        </w:rPr>
        <w:t>1</w:t>
      </w:r>
      <w:r w:rsidRPr="00730728">
        <w:rPr>
          <w:rFonts w:asciiTheme="minorHAnsi" w:hAnsiTheme="minorHAnsi" w:cs="Arial"/>
          <w:sz w:val="24"/>
          <w:szCs w:val="24"/>
        </w:rPr>
        <w:t xml:space="preserve"> Pneumonia</w:t>
      </w:r>
      <w:r w:rsidR="0058373B" w:rsidRPr="00730728">
        <w:rPr>
          <w:rFonts w:asciiTheme="minorHAnsi" w:hAnsiTheme="minorHAnsi" w:cs="Arial"/>
          <w:sz w:val="24"/>
          <w:szCs w:val="24"/>
        </w:rPr>
        <w:t xml:space="preserve"> (LRTI with radiological evidence)</w:t>
      </w:r>
      <w:r w:rsidRPr="00730728">
        <w:rPr>
          <w:rFonts w:asciiTheme="minorHAnsi" w:hAnsiTheme="minorHAnsi" w:cs="Arial"/>
          <w:sz w:val="24"/>
          <w:szCs w:val="24"/>
        </w:rPr>
        <w:t xml:space="preserve"> </w:t>
      </w:r>
      <w:r w:rsidR="004B1585" w:rsidRPr="00730728">
        <w:rPr>
          <w:rFonts w:asciiTheme="minorHAnsi" w:hAnsiTheme="minorHAnsi" w:cs="Arial"/>
          <w:sz w:val="24"/>
          <w:szCs w:val="24"/>
        </w:rPr>
        <w:t>accounts</w:t>
      </w:r>
      <w:r w:rsidRPr="00730728">
        <w:rPr>
          <w:rFonts w:asciiTheme="minorHAnsi" w:hAnsiTheme="minorHAnsi" w:cs="Arial"/>
          <w:sz w:val="24"/>
          <w:szCs w:val="24"/>
        </w:rPr>
        <w:t xml:space="preserve"> for 14% of deaths in Malawi.</w:t>
      </w:r>
      <w:r w:rsidR="00F83933" w:rsidRPr="0088622A">
        <w:rPr>
          <w:rFonts w:asciiTheme="minorHAnsi" w:hAnsiTheme="minorHAnsi" w:cs="Arial"/>
          <w:sz w:val="24"/>
          <w:szCs w:val="24"/>
          <w:vertAlign w:val="superscript"/>
        </w:rPr>
        <w:t>2</w:t>
      </w:r>
      <w:r w:rsidRPr="00730728">
        <w:rPr>
          <w:rFonts w:asciiTheme="minorHAnsi" w:hAnsiTheme="minorHAnsi" w:cs="Arial"/>
          <w:sz w:val="24"/>
          <w:szCs w:val="24"/>
        </w:rPr>
        <w:t xml:space="preserve"> In the Queen Elizabeth Central Hospital (QECH), Malawi, </w:t>
      </w:r>
      <w:r w:rsidR="0038548D" w:rsidRPr="00730728">
        <w:rPr>
          <w:rFonts w:asciiTheme="minorHAnsi" w:hAnsiTheme="minorHAnsi" w:cs="Arial"/>
          <w:sz w:val="24"/>
          <w:szCs w:val="24"/>
        </w:rPr>
        <w:t>there are approximately 1500</w:t>
      </w:r>
      <w:r w:rsidRPr="00730728">
        <w:rPr>
          <w:rFonts w:asciiTheme="minorHAnsi" w:hAnsiTheme="minorHAnsi" w:cs="Arial"/>
          <w:sz w:val="24"/>
          <w:szCs w:val="24"/>
        </w:rPr>
        <w:t xml:space="preserve"> </w:t>
      </w:r>
      <w:r w:rsidR="005C7873" w:rsidRPr="00730728">
        <w:rPr>
          <w:rFonts w:asciiTheme="minorHAnsi" w:hAnsiTheme="minorHAnsi" w:cs="Arial"/>
          <w:sz w:val="24"/>
          <w:szCs w:val="24"/>
        </w:rPr>
        <w:t>pneumonia</w:t>
      </w:r>
      <w:r w:rsidR="0038548D" w:rsidRPr="00730728">
        <w:rPr>
          <w:rFonts w:asciiTheme="minorHAnsi" w:hAnsiTheme="minorHAnsi" w:cs="Arial"/>
          <w:sz w:val="24"/>
          <w:szCs w:val="24"/>
        </w:rPr>
        <w:t xml:space="preserve"> </w:t>
      </w:r>
      <w:r w:rsidRPr="00730728">
        <w:rPr>
          <w:rFonts w:asciiTheme="minorHAnsi" w:hAnsiTheme="minorHAnsi" w:cs="Arial"/>
          <w:sz w:val="24"/>
          <w:szCs w:val="24"/>
        </w:rPr>
        <w:t>admissions annually, with 20% in-patient mortality rate</w:t>
      </w:r>
      <w:r w:rsidR="00F83933" w:rsidRPr="0088622A">
        <w:rPr>
          <w:rFonts w:asciiTheme="minorHAnsi" w:hAnsiTheme="minorHAnsi" w:cs="Arial"/>
          <w:sz w:val="24"/>
          <w:szCs w:val="24"/>
          <w:vertAlign w:val="superscript"/>
        </w:rPr>
        <w:t>3</w:t>
      </w:r>
      <w:r w:rsidRPr="00730728">
        <w:rPr>
          <w:rFonts w:asciiTheme="minorHAnsi" w:hAnsiTheme="minorHAnsi" w:cs="Arial"/>
          <w:sz w:val="24"/>
          <w:szCs w:val="24"/>
        </w:rPr>
        <w:t xml:space="preserve">, </w:t>
      </w:r>
      <w:r w:rsidR="0038548D" w:rsidRPr="00730728">
        <w:rPr>
          <w:rFonts w:asciiTheme="minorHAnsi" w:hAnsiTheme="minorHAnsi" w:cs="Arial"/>
          <w:sz w:val="24"/>
          <w:szCs w:val="24"/>
        </w:rPr>
        <w:t>similar to</w:t>
      </w:r>
      <w:r w:rsidRPr="00730728">
        <w:rPr>
          <w:rFonts w:asciiTheme="minorHAnsi" w:hAnsiTheme="minorHAnsi" w:cs="Arial"/>
          <w:sz w:val="24"/>
          <w:szCs w:val="24"/>
        </w:rPr>
        <w:t xml:space="preserve"> other sub-Saharan countries.</w:t>
      </w:r>
      <w:r w:rsidR="00F83933" w:rsidRPr="0088622A">
        <w:rPr>
          <w:rFonts w:asciiTheme="minorHAnsi" w:hAnsiTheme="minorHAnsi" w:cs="Arial"/>
          <w:sz w:val="24"/>
          <w:szCs w:val="24"/>
          <w:vertAlign w:val="superscript"/>
        </w:rPr>
        <w:t>4</w:t>
      </w:r>
    </w:p>
    <w:p w:rsidR="00FF4656" w:rsidRPr="00730728" w:rsidRDefault="00FF4656" w:rsidP="00730728">
      <w:pPr>
        <w:spacing w:line="480" w:lineRule="auto"/>
        <w:rPr>
          <w:rFonts w:asciiTheme="minorHAnsi" w:hAnsiTheme="minorHAnsi" w:cs="Arial"/>
          <w:sz w:val="24"/>
          <w:szCs w:val="24"/>
        </w:rPr>
      </w:pPr>
      <w:r w:rsidRPr="00730728">
        <w:rPr>
          <w:rFonts w:asciiTheme="minorHAnsi" w:hAnsiTheme="minorHAnsi" w:cs="Arial"/>
          <w:sz w:val="24"/>
          <w:szCs w:val="24"/>
        </w:rPr>
        <w:t xml:space="preserve">Effective management relies upon rapid assessment, diagnosis and treatment. </w:t>
      </w:r>
      <w:r w:rsidR="00087DA2" w:rsidRPr="00730728">
        <w:rPr>
          <w:rFonts w:asciiTheme="minorHAnsi" w:hAnsiTheme="minorHAnsi" w:cs="Arial"/>
          <w:sz w:val="24"/>
          <w:szCs w:val="24"/>
        </w:rPr>
        <w:t>Accurate e</w:t>
      </w:r>
      <w:r w:rsidRPr="00730728">
        <w:rPr>
          <w:rFonts w:asciiTheme="minorHAnsi" w:hAnsiTheme="minorHAnsi" w:cs="Arial"/>
          <w:sz w:val="24"/>
          <w:szCs w:val="24"/>
        </w:rPr>
        <w:t xml:space="preserve">arly assessment of disease severity is essential to </w:t>
      </w:r>
      <w:r w:rsidR="002448DA" w:rsidRPr="00730728">
        <w:rPr>
          <w:rFonts w:asciiTheme="minorHAnsi" w:hAnsiTheme="minorHAnsi" w:cs="Arial"/>
          <w:sz w:val="24"/>
          <w:szCs w:val="24"/>
        </w:rPr>
        <w:t>patient triage</w:t>
      </w:r>
      <w:r w:rsidRPr="00730728">
        <w:rPr>
          <w:rFonts w:asciiTheme="minorHAnsi" w:hAnsiTheme="minorHAnsi" w:cs="Arial"/>
          <w:sz w:val="24"/>
          <w:szCs w:val="24"/>
        </w:rPr>
        <w:t>.</w:t>
      </w:r>
      <w:r w:rsidR="00F83933" w:rsidRPr="0088622A">
        <w:rPr>
          <w:rFonts w:asciiTheme="minorHAnsi" w:hAnsiTheme="minorHAnsi" w:cs="Arial"/>
          <w:sz w:val="24"/>
          <w:szCs w:val="24"/>
          <w:vertAlign w:val="superscript"/>
        </w:rPr>
        <w:t>5-7</w:t>
      </w:r>
      <w:r w:rsidRPr="00730728">
        <w:rPr>
          <w:rFonts w:asciiTheme="minorHAnsi" w:hAnsiTheme="minorHAnsi" w:cs="Arial"/>
          <w:sz w:val="24"/>
          <w:szCs w:val="24"/>
        </w:rPr>
        <w:t xml:space="preserve"> </w:t>
      </w:r>
      <w:r w:rsidR="002448DA" w:rsidRPr="00730728">
        <w:rPr>
          <w:rFonts w:asciiTheme="minorHAnsi" w:hAnsiTheme="minorHAnsi" w:cs="Arial"/>
          <w:sz w:val="24"/>
          <w:szCs w:val="24"/>
        </w:rPr>
        <w:t>Determining the need for hospital admission i</w:t>
      </w:r>
      <w:r w:rsidRPr="00730728">
        <w:rPr>
          <w:rFonts w:asciiTheme="minorHAnsi" w:hAnsiTheme="minorHAnsi" w:cs="Arial"/>
          <w:sz w:val="24"/>
          <w:szCs w:val="24"/>
        </w:rPr>
        <w:t>s medically and economically important, and initial assessment influences</w:t>
      </w:r>
      <w:r w:rsidR="004B1585" w:rsidRPr="00730728">
        <w:rPr>
          <w:rFonts w:asciiTheme="minorHAnsi" w:hAnsiTheme="minorHAnsi" w:cs="Arial"/>
          <w:sz w:val="24"/>
          <w:szCs w:val="24"/>
        </w:rPr>
        <w:t xml:space="preserve"> </w:t>
      </w:r>
      <w:r w:rsidR="002448DA" w:rsidRPr="00730728">
        <w:rPr>
          <w:rFonts w:asciiTheme="minorHAnsi" w:hAnsiTheme="minorHAnsi" w:cs="Arial"/>
          <w:sz w:val="24"/>
          <w:szCs w:val="24"/>
        </w:rPr>
        <w:t>subsequent</w:t>
      </w:r>
      <w:r w:rsidR="004B1585" w:rsidRPr="00730728">
        <w:rPr>
          <w:rFonts w:asciiTheme="minorHAnsi" w:hAnsiTheme="minorHAnsi" w:cs="Arial"/>
          <w:sz w:val="24"/>
          <w:szCs w:val="24"/>
        </w:rPr>
        <w:t xml:space="preserve"> management decisions</w:t>
      </w:r>
      <w:r w:rsidRPr="00730728">
        <w:rPr>
          <w:rFonts w:asciiTheme="minorHAnsi" w:hAnsiTheme="minorHAnsi" w:cs="Arial"/>
          <w:sz w:val="24"/>
          <w:szCs w:val="24"/>
        </w:rPr>
        <w:t>.</w:t>
      </w:r>
      <w:r w:rsidR="00F83933" w:rsidRPr="0088622A">
        <w:rPr>
          <w:rFonts w:asciiTheme="minorHAnsi" w:hAnsiTheme="minorHAnsi" w:cs="Arial"/>
          <w:sz w:val="24"/>
          <w:szCs w:val="24"/>
          <w:vertAlign w:val="superscript"/>
        </w:rPr>
        <w:t>8,9</w:t>
      </w:r>
      <w:r w:rsidRPr="00730728">
        <w:rPr>
          <w:rFonts w:asciiTheme="minorHAnsi" w:hAnsiTheme="minorHAnsi" w:cs="Arial"/>
          <w:sz w:val="24"/>
          <w:szCs w:val="24"/>
        </w:rPr>
        <w:t xml:space="preserve"> </w:t>
      </w:r>
      <w:r w:rsidR="002448DA" w:rsidRPr="00730728">
        <w:rPr>
          <w:rFonts w:asciiTheme="minorHAnsi" w:hAnsiTheme="minorHAnsi" w:cs="Arial"/>
          <w:sz w:val="24"/>
          <w:szCs w:val="24"/>
        </w:rPr>
        <w:t>Clinical assessment of</w:t>
      </w:r>
      <w:r w:rsidRPr="00730728">
        <w:rPr>
          <w:rFonts w:asciiTheme="minorHAnsi" w:hAnsiTheme="minorHAnsi" w:cs="Arial"/>
          <w:sz w:val="24"/>
          <w:szCs w:val="24"/>
        </w:rPr>
        <w:t xml:space="preserve"> pneumonia </w:t>
      </w:r>
      <w:r w:rsidR="002448DA" w:rsidRPr="00730728">
        <w:rPr>
          <w:rFonts w:asciiTheme="minorHAnsi" w:hAnsiTheme="minorHAnsi" w:cs="Arial"/>
          <w:sz w:val="24"/>
          <w:szCs w:val="24"/>
        </w:rPr>
        <w:t>frequently fails to accurately estimate the risk of clinical deterioration</w:t>
      </w:r>
      <w:r w:rsidRPr="00730728">
        <w:rPr>
          <w:rFonts w:asciiTheme="minorHAnsi" w:hAnsiTheme="minorHAnsi" w:cs="Arial"/>
          <w:sz w:val="24"/>
          <w:szCs w:val="24"/>
        </w:rPr>
        <w:t>.</w:t>
      </w:r>
      <w:r w:rsidR="0088622A" w:rsidRPr="0088622A">
        <w:rPr>
          <w:rFonts w:asciiTheme="minorHAnsi" w:hAnsiTheme="minorHAnsi" w:cs="Arial"/>
          <w:sz w:val="24"/>
          <w:szCs w:val="24"/>
          <w:vertAlign w:val="superscript"/>
        </w:rPr>
        <w:t>10-12</w:t>
      </w:r>
      <w:r w:rsidRPr="00730728">
        <w:rPr>
          <w:rFonts w:asciiTheme="minorHAnsi" w:hAnsiTheme="minorHAnsi" w:cs="Arial"/>
          <w:sz w:val="24"/>
          <w:szCs w:val="24"/>
        </w:rPr>
        <w:t xml:space="preserve"> Severity scores </w:t>
      </w:r>
      <w:r w:rsidR="002448DA" w:rsidRPr="00730728">
        <w:rPr>
          <w:rFonts w:asciiTheme="minorHAnsi" w:hAnsiTheme="minorHAnsi" w:cs="Arial"/>
          <w:sz w:val="24"/>
          <w:szCs w:val="24"/>
        </w:rPr>
        <w:t xml:space="preserve">provide a structured and objective severity </w:t>
      </w:r>
      <w:proofErr w:type="gramStart"/>
      <w:r w:rsidR="002448DA" w:rsidRPr="00730728">
        <w:rPr>
          <w:rFonts w:asciiTheme="minorHAnsi" w:hAnsiTheme="minorHAnsi" w:cs="Arial"/>
          <w:sz w:val="24"/>
          <w:szCs w:val="24"/>
        </w:rPr>
        <w:t>asses</w:t>
      </w:r>
      <w:r w:rsidRPr="00730728">
        <w:rPr>
          <w:rFonts w:asciiTheme="minorHAnsi" w:hAnsiTheme="minorHAnsi" w:cs="Arial"/>
          <w:sz w:val="24"/>
          <w:szCs w:val="24"/>
        </w:rPr>
        <w:t>sment,</w:t>
      </w:r>
      <w:r w:rsidR="002448DA" w:rsidRPr="00730728">
        <w:rPr>
          <w:rFonts w:asciiTheme="minorHAnsi" w:hAnsiTheme="minorHAnsi" w:cs="Arial"/>
          <w:sz w:val="24"/>
          <w:szCs w:val="24"/>
        </w:rPr>
        <w:t xml:space="preserve"> and</w:t>
      </w:r>
      <w:proofErr w:type="gramEnd"/>
      <w:r w:rsidR="002448DA" w:rsidRPr="00730728">
        <w:rPr>
          <w:rFonts w:asciiTheme="minorHAnsi" w:hAnsiTheme="minorHAnsi" w:cs="Arial"/>
          <w:sz w:val="24"/>
          <w:szCs w:val="24"/>
        </w:rPr>
        <w:t xml:space="preserve"> can improve the identification of high and low risk patients</w:t>
      </w:r>
      <w:r w:rsidRPr="00730728">
        <w:rPr>
          <w:rFonts w:asciiTheme="minorHAnsi" w:hAnsiTheme="minorHAnsi" w:cs="Arial"/>
          <w:sz w:val="24"/>
          <w:szCs w:val="24"/>
        </w:rPr>
        <w:t>.</w:t>
      </w:r>
      <w:r w:rsidR="0088622A" w:rsidRPr="0088622A">
        <w:rPr>
          <w:rFonts w:asciiTheme="minorHAnsi" w:hAnsiTheme="minorHAnsi" w:cs="Arial"/>
          <w:sz w:val="24"/>
          <w:szCs w:val="24"/>
          <w:vertAlign w:val="superscript"/>
        </w:rPr>
        <w:t>13,14</w:t>
      </w:r>
    </w:p>
    <w:p w:rsidR="00FF4656" w:rsidRPr="00730728" w:rsidRDefault="003F4D4A" w:rsidP="00730728">
      <w:pPr>
        <w:spacing w:line="480" w:lineRule="auto"/>
        <w:rPr>
          <w:rFonts w:asciiTheme="minorHAnsi" w:hAnsiTheme="minorHAnsi" w:cs="Arial"/>
          <w:sz w:val="24"/>
          <w:szCs w:val="24"/>
        </w:rPr>
      </w:pPr>
      <w:r w:rsidRPr="00730728">
        <w:rPr>
          <w:rFonts w:asciiTheme="minorHAnsi" w:hAnsiTheme="minorHAnsi" w:cs="Arial"/>
          <w:sz w:val="24"/>
          <w:szCs w:val="24"/>
        </w:rPr>
        <w:t>Widely-</w:t>
      </w:r>
      <w:r w:rsidR="00FF4656" w:rsidRPr="00730728">
        <w:rPr>
          <w:rFonts w:asciiTheme="minorHAnsi" w:hAnsiTheme="minorHAnsi" w:cs="Arial"/>
          <w:sz w:val="24"/>
          <w:szCs w:val="24"/>
        </w:rPr>
        <w:t>used severity scores include the CURB-65 and CRB-65 scores</w:t>
      </w:r>
      <w:r w:rsidR="00F83933" w:rsidRPr="0088622A">
        <w:rPr>
          <w:rFonts w:asciiTheme="minorHAnsi" w:hAnsiTheme="minorHAnsi" w:cs="Arial"/>
          <w:sz w:val="24"/>
          <w:szCs w:val="24"/>
          <w:vertAlign w:val="superscript"/>
        </w:rPr>
        <w:t xml:space="preserve">10,15,16 </w:t>
      </w:r>
      <w:r w:rsidR="00FF4656" w:rsidRPr="00730728">
        <w:rPr>
          <w:rFonts w:asciiTheme="minorHAnsi" w:hAnsiTheme="minorHAnsi" w:cs="Arial"/>
          <w:sz w:val="24"/>
          <w:szCs w:val="24"/>
        </w:rPr>
        <w:t>and the pneumonia severity index (PSI)</w:t>
      </w:r>
      <w:r w:rsidR="00F83933" w:rsidRPr="0088622A">
        <w:rPr>
          <w:rFonts w:asciiTheme="minorHAnsi" w:hAnsiTheme="minorHAnsi" w:cs="Arial"/>
          <w:sz w:val="24"/>
          <w:szCs w:val="24"/>
          <w:vertAlign w:val="superscript"/>
        </w:rPr>
        <w:t>12</w:t>
      </w:r>
      <w:r w:rsidR="00FF4656" w:rsidRPr="00730728">
        <w:rPr>
          <w:rFonts w:asciiTheme="minorHAnsi" w:hAnsiTheme="minorHAnsi" w:cs="Arial"/>
          <w:sz w:val="24"/>
          <w:szCs w:val="24"/>
        </w:rPr>
        <w:t xml:space="preserve">. </w:t>
      </w:r>
      <w:r w:rsidR="005709FA" w:rsidRPr="00730728">
        <w:rPr>
          <w:rFonts w:asciiTheme="minorHAnsi" w:hAnsiTheme="minorHAnsi" w:cs="Arial"/>
          <w:sz w:val="24"/>
          <w:szCs w:val="24"/>
        </w:rPr>
        <w:t>T</w:t>
      </w:r>
      <w:r w:rsidR="00FF4656" w:rsidRPr="00730728">
        <w:rPr>
          <w:rFonts w:asciiTheme="minorHAnsi" w:hAnsiTheme="minorHAnsi" w:cs="Arial"/>
          <w:sz w:val="24"/>
          <w:szCs w:val="24"/>
        </w:rPr>
        <w:t xml:space="preserve">hese have been validated in </w:t>
      </w:r>
      <w:r w:rsidRPr="00730728">
        <w:rPr>
          <w:rFonts w:asciiTheme="minorHAnsi" w:hAnsiTheme="minorHAnsi" w:cs="Arial"/>
          <w:sz w:val="24"/>
          <w:szCs w:val="24"/>
        </w:rPr>
        <w:t xml:space="preserve">many </w:t>
      </w:r>
      <w:r w:rsidR="00FF4656" w:rsidRPr="00730728">
        <w:rPr>
          <w:rFonts w:asciiTheme="minorHAnsi" w:hAnsiTheme="minorHAnsi" w:cs="Arial"/>
          <w:sz w:val="24"/>
          <w:szCs w:val="24"/>
        </w:rPr>
        <w:t xml:space="preserve">countries </w:t>
      </w:r>
      <w:r w:rsidRPr="00730728">
        <w:rPr>
          <w:rFonts w:asciiTheme="minorHAnsi" w:hAnsiTheme="minorHAnsi" w:cs="Arial"/>
          <w:sz w:val="24"/>
          <w:szCs w:val="24"/>
        </w:rPr>
        <w:t>including</w:t>
      </w:r>
      <w:r w:rsidR="00FF4656" w:rsidRPr="00730728">
        <w:rPr>
          <w:rFonts w:asciiTheme="minorHAnsi" w:hAnsiTheme="minorHAnsi" w:cs="Arial"/>
          <w:sz w:val="24"/>
          <w:szCs w:val="24"/>
        </w:rPr>
        <w:t xml:space="preserve"> Canada, New Zealand, Spain and Pakistan</w:t>
      </w:r>
      <w:r w:rsidR="005709FA" w:rsidRPr="00730728">
        <w:rPr>
          <w:rFonts w:asciiTheme="minorHAnsi" w:hAnsiTheme="minorHAnsi" w:cs="Arial"/>
          <w:sz w:val="24"/>
          <w:szCs w:val="24"/>
        </w:rPr>
        <w:t>.</w:t>
      </w:r>
      <w:r w:rsidR="00F83933" w:rsidRPr="0088622A">
        <w:rPr>
          <w:rFonts w:asciiTheme="minorHAnsi" w:hAnsiTheme="minorHAnsi" w:cs="Arial"/>
          <w:sz w:val="24"/>
          <w:szCs w:val="24"/>
          <w:vertAlign w:val="superscript"/>
        </w:rPr>
        <w:t>5,10,17,18</w:t>
      </w:r>
      <w:r w:rsidR="005709FA" w:rsidRPr="00730728">
        <w:rPr>
          <w:rFonts w:asciiTheme="minorHAnsi" w:hAnsiTheme="minorHAnsi" w:cs="Arial"/>
          <w:sz w:val="24"/>
          <w:szCs w:val="24"/>
        </w:rPr>
        <w:t xml:space="preserve"> However, </w:t>
      </w:r>
      <w:r w:rsidRPr="00730728">
        <w:rPr>
          <w:rFonts w:asciiTheme="minorHAnsi" w:hAnsiTheme="minorHAnsi" w:cs="Arial"/>
          <w:sz w:val="24"/>
          <w:szCs w:val="24"/>
        </w:rPr>
        <w:t>their application in areas of high HIV prevalence, and specifically sub-Saharan Africa, is not well studied. I</w:t>
      </w:r>
      <w:r w:rsidR="00087DA2" w:rsidRPr="00730728">
        <w:rPr>
          <w:rFonts w:asciiTheme="minorHAnsi" w:hAnsiTheme="minorHAnsi" w:cs="Arial"/>
          <w:sz w:val="24"/>
          <w:szCs w:val="24"/>
        </w:rPr>
        <w:t>ndeed</w:t>
      </w:r>
      <w:r w:rsidR="00432210">
        <w:rPr>
          <w:rFonts w:asciiTheme="minorHAnsi" w:hAnsiTheme="minorHAnsi" w:cs="Arial"/>
          <w:sz w:val="24"/>
          <w:szCs w:val="24"/>
        </w:rPr>
        <w:t>,</w:t>
      </w:r>
      <w:r w:rsidR="00087DA2" w:rsidRPr="00730728">
        <w:rPr>
          <w:rFonts w:asciiTheme="minorHAnsi" w:hAnsiTheme="minorHAnsi" w:cs="Arial"/>
          <w:sz w:val="24"/>
          <w:szCs w:val="24"/>
        </w:rPr>
        <w:t xml:space="preserve"> the eligibility criteria for these scores exclude patients with HIV infection</w:t>
      </w:r>
      <w:r w:rsidR="00FF4656" w:rsidRPr="00730728">
        <w:rPr>
          <w:rFonts w:asciiTheme="minorHAnsi" w:hAnsiTheme="minorHAnsi" w:cs="Arial"/>
          <w:sz w:val="24"/>
          <w:szCs w:val="24"/>
        </w:rPr>
        <w:t>.</w:t>
      </w:r>
      <w:r w:rsidR="0088622A" w:rsidRPr="0088622A">
        <w:rPr>
          <w:rFonts w:asciiTheme="minorHAnsi" w:hAnsiTheme="minorHAnsi" w:cs="Arial"/>
          <w:sz w:val="24"/>
          <w:szCs w:val="24"/>
          <w:vertAlign w:val="superscript"/>
        </w:rPr>
        <w:t xml:space="preserve"> </w:t>
      </w:r>
      <w:r w:rsidR="00F83933" w:rsidRPr="0088622A">
        <w:rPr>
          <w:rFonts w:asciiTheme="minorHAnsi" w:hAnsiTheme="minorHAnsi" w:cs="Arial"/>
          <w:sz w:val="24"/>
          <w:szCs w:val="24"/>
          <w:vertAlign w:val="superscript"/>
        </w:rPr>
        <w:t>12,16</w:t>
      </w:r>
    </w:p>
    <w:p w:rsidR="004B1183" w:rsidRPr="00730728" w:rsidRDefault="00FF4656" w:rsidP="00730728">
      <w:pPr>
        <w:spacing w:line="480" w:lineRule="auto"/>
        <w:rPr>
          <w:rFonts w:asciiTheme="minorHAnsi" w:hAnsiTheme="minorHAnsi" w:cs="Arial"/>
          <w:sz w:val="24"/>
          <w:szCs w:val="24"/>
        </w:rPr>
      </w:pPr>
      <w:r w:rsidRPr="00730728">
        <w:rPr>
          <w:rFonts w:asciiTheme="minorHAnsi" w:hAnsiTheme="minorHAnsi" w:cs="Arial"/>
          <w:sz w:val="24"/>
          <w:szCs w:val="24"/>
        </w:rPr>
        <w:lastRenderedPageBreak/>
        <w:t xml:space="preserve">Birkhamshaw </w:t>
      </w:r>
      <w:r w:rsidRPr="00730728">
        <w:rPr>
          <w:rFonts w:asciiTheme="minorHAnsi" w:hAnsiTheme="minorHAnsi" w:cs="Arial"/>
          <w:i/>
          <w:sz w:val="24"/>
          <w:szCs w:val="24"/>
        </w:rPr>
        <w:t>et al</w:t>
      </w:r>
      <w:r w:rsidR="00E57452" w:rsidRPr="00730728">
        <w:rPr>
          <w:rFonts w:asciiTheme="minorHAnsi" w:hAnsiTheme="minorHAnsi" w:cs="Arial"/>
          <w:i/>
          <w:sz w:val="24"/>
          <w:szCs w:val="24"/>
        </w:rPr>
        <w:t>.</w:t>
      </w:r>
      <w:r w:rsidRPr="00730728">
        <w:rPr>
          <w:rFonts w:asciiTheme="minorHAnsi" w:hAnsiTheme="minorHAnsi" w:cs="Arial"/>
          <w:sz w:val="24"/>
          <w:szCs w:val="24"/>
        </w:rPr>
        <w:t xml:space="preserve"> </w:t>
      </w:r>
      <w:r w:rsidR="002B1694" w:rsidRPr="00730728">
        <w:rPr>
          <w:rFonts w:asciiTheme="minorHAnsi" w:hAnsiTheme="minorHAnsi" w:cs="Arial"/>
          <w:sz w:val="24"/>
          <w:szCs w:val="24"/>
        </w:rPr>
        <w:t xml:space="preserve">showed </w:t>
      </w:r>
      <w:r w:rsidR="005709FA" w:rsidRPr="00730728">
        <w:rPr>
          <w:rFonts w:asciiTheme="minorHAnsi" w:hAnsiTheme="minorHAnsi" w:cs="Arial"/>
          <w:sz w:val="24"/>
          <w:szCs w:val="24"/>
        </w:rPr>
        <w:t xml:space="preserve">that </w:t>
      </w:r>
      <w:r w:rsidR="002B1694" w:rsidRPr="00730728">
        <w:rPr>
          <w:rFonts w:asciiTheme="minorHAnsi" w:hAnsiTheme="minorHAnsi" w:cs="Arial"/>
          <w:sz w:val="24"/>
          <w:szCs w:val="24"/>
        </w:rPr>
        <w:t>the sensitivity</w:t>
      </w:r>
      <w:r w:rsidRPr="00730728">
        <w:rPr>
          <w:rFonts w:asciiTheme="minorHAnsi" w:hAnsiTheme="minorHAnsi" w:cs="Arial"/>
          <w:sz w:val="24"/>
          <w:szCs w:val="24"/>
        </w:rPr>
        <w:t xml:space="preserve"> of the CRB-65 score </w:t>
      </w:r>
      <w:r w:rsidR="002B1694" w:rsidRPr="00730728">
        <w:rPr>
          <w:rFonts w:asciiTheme="minorHAnsi" w:hAnsiTheme="minorHAnsi" w:cs="Arial"/>
          <w:sz w:val="24"/>
          <w:szCs w:val="24"/>
        </w:rPr>
        <w:t>in a Malawian hospital</w:t>
      </w:r>
      <w:r w:rsidRPr="00730728">
        <w:rPr>
          <w:rFonts w:asciiTheme="minorHAnsi" w:hAnsiTheme="minorHAnsi" w:cs="Arial"/>
          <w:sz w:val="24"/>
          <w:szCs w:val="24"/>
        </w:rPr>
        <w:t xml:space="preserve"> </w:t>
      </w:r>
      <w:r w:rsidR="002B1694" w:rsidRPr="00730728">
        <w:rPr>
          <w:rFonts w:asciiTheme="minorHAnsi" w:hAnsiTheme="minorHAnsi" w:cs="Arial"/>
          <w:sz w:val="24"/>
          <w:szCs w:val="24"/>
        </w:rPr>
        <w:t>for</w:t>
      </w:r>
      <w:r w:rsidRPr="00730728">
        <w:rPr>
          <w:rFonts w:asciiTheme="minorHAnsi" w:hAnsiTheme="minorHAnsi" w:cs="Arial"/>
          <w:sz w:val="24"/>
          <w:szCs w:val="24"/>
        </w:rPr>
        <w:t xml:space="preserve"> a score of ≥2 was low (36.4%) compared to the UK (76.8%).</w:t>
      </w:r>
      <w:r w:rsidR="00F83933" w:rsidRPr="0088622A">
        <w:rPr>
          <w:rFonts w:asciiTheme="minorHAnsi" w:hAnsiTheme="minorHAnsi" w:cs="Arial"/>
          <w:sz w:val="24"/>
          <w:szCs w:val="24"/>
          <w:vertAlign w:val="superscript"/>
        </w:rPr>
        <w:t>16,19</w:t>
      </w:r>
      <w:r w:rsidRPr="00730728">
        <w:rPr>
          <w:rFonts w:asciiTheme="minorHAnsi" w:hAnsiTheme="minorHAnsi" w:cs="Arial"/>
          <w:sz w:val="24"/>
          <w:szCs w:val="24"/>
        </w:rPr>
        <w:t xml:space="preserve"> This renders the CRB-65 score in</w:t>
      </w:r>
      <w:r w:rsidR="005709FA" w:rsidRPr="00730728">
        <w:rPr>
          <w:rFonts w:asciiTheme="minorHAnsi" w:hAnsiTheme="minorHAnsi" w:cs="Arial"/>
          <w:sz w:val="24"/>
          <w:szCs w:val="24"/>
        </w:rPr>
        <w:t>sensitive</w:t>
      </w:r>
      <w:r w:rsidRPr="00730728">
        <w:rPr>
          <w:rFonts w:asciiTheme="minorHAnsi" w:hAnsiTheme="minorHAnsi" w:cs="Arial"/>
          <w:sz w:val="24"/>
          <w:szCs w:val="24"/>
        </w:rPr>
        <w:t xml:space="preserve"> at predicting pneumonia mortality risk in this setting</w:t>
      </w:r>
      <w:r w:rsidR="00F83933" w:rsidRPr="00730728">
        <w:rPr>
          <w:rFonts w:asciiTheme="minorHAnsi" w:hAnsiTheme="minorHAnsi" w:cs="Arial"/>
          <w:sz w:val="24"/>
          <w:szCs w:val="24"/>
        </w:rPr>
        <w:t>.</w:t>
      </w:r>
      <w:r w:rsidR="00F83933" w:rsidRPr="0088622A">
        <w:rPr>
          <w:rFonts w:asciiTheme="minorHAnsi" w:hAnsiTheme="minorHAnsi" w:cs="Arial"/>
          <w:sz w:val="24"/>
          <w:szCs w:val="24"/>
          <w:vertAlign w:val="superscript"/>
        </w:rPr>
        <w:t>20</w:t>
      </w:r>
      <w:r w:rsidRPr="00730728">
        <w:rPr>
          <w:rFonts w:asciiTheme="minorHAnsi" w:hAnsiTheme="minorHAnsi" w:cs="Arial"/>
          <w:sz w:val="24"/>
          <w:szCs w:val="24"/>
        </w:rPr>
        <w:t xml:space="preserve">  </w:t>
      </w:r>
    </w:p>
    <w:p w:rsidR="00FF4656" w:rsidRPr="00730728" w:rsidRDefault="00FF4656" w:rsidP="00730728">
      <w:pPr>
        <w:spacing w:line="480" w:lineRule="auto"/>
        <w:rPr>
          <w:rFonts w:asciiTheme="minorHAnsi" w:hAnsiTheme="minorHAnsi" w:cs="Arial"/>
          <w:sz w:val="24"/>
          <w:szCs w:val="24"/>
        </w:rPr>
      </w:pPr>
      <w:r w:rsidRPr="00730728">
        <w:rPr>
          <w:rFonts w:asciiTheme="minorHAnsi" w:hAnsiTheme="minorHAnsi" w:cs="Arial"/>
          <w:sz w:val="24"/>
          <w:szCs w:val="24"/>
        </w:rPr>
        <w:t>Birkhamshaw</w:t>
      </w:r>
      <w:r w:rsidR="002B1694" w:rsidRPr="00730728">
        <w:rPr>
          <w:rFonts w:asciiTheme="minorHAnsi" w:hAnsiTheme="minorHAnsi" w:cs="Arial"/>
          <w:sz w:val="24"/>
          <w:szCs w:val="24"/>
        </w:rPr>
        <w:t xml:space="preserve"> </w:t>
      </w:r>
      <w:r w:rsidR="002B1694" w:rsidRPr="00730728">
        <w:rPr>
          <w:rFonts w:asciiTheme="minorHAnsi" w:hAnsiTheme="minorHAnsi" w:cs="Arial"/>
          <w:i/>
          <w:sz w:val="24"/>
          <w:szCs w:val="24"/>
        </w:rPr>
        <w:t>et al.</w:t>
      </w:r>
      <w:r w:rsidRPr="00730728">
        <w:rPr>
          <w:rFonts w:asciiTheme="minorHAnsi" w:hAnsiTheme="minorHAnsi" w:cs="Arial"/>
          <w:sz w:val="24"/>
          <w:szCs w:val="24"/>
        </w:rPr>
        <w:t xml:space="preserve"> </w:t>
      </w:r>
      <w:r w:rsidR="004B1183" w:rsidRPr="00730728">
        <w:rPr>
          <w:rFonts w:asciiTheme="minorHAnsi" w:hAnsiTheme="minorHAnsi" w:cs="Arial"/>
          <w:sz w:val="24"/>
          <w:szCs w:val="24"/>
        </w:rPr>
        <w:t>propos</w:t>
      </w:r>
      <w:r w:rsidRPr="00730728">
        <w:rPr>
          <w:rFonts w:asciiTheme="minorHAnsi" w:hAnsiTheme="minorHAnsi" w:cs="Arial"/>
          <w:sz w:val="24"/>
          <w:szCs w:val="24"/>
        </w:rPr>
        <w:t xml:space="preserve">ed </w:t>
      </w:r>
      <w:r w:rsidR="002B1694" w:rsidRPr="00730728">
        <w:rPr>
          <w:rFonts w:asciiTheme="minorHAnsi" w:hAnsiTheme="minorHAnsi" w:cs="Arial"/>
          <w:sz w:val="24"/>
          <w:szCs w:val="24"/>
        </w:rPr>
        <w:t xml:space="preserve">a novel score (SWAT-Bp) incorporating </w:t>
      </w:r>
      <w:r w:rsidRPr="00730728">
        <w:rPr>
          <w:rFonts w:asciiTheme="minorHAnsi" w:hAnsiTheme="minorHAnsi" w:cs="Arial"/>
          <w:sz w:val="24"/>
          <w:szCs w:val="24"/>
        </w:rPr>
        <w:t xml:space="preserve">five variables </w:t>
      </w:r>
      <w:r w:rsidR="00E57452" w:rsidRPr="00730728">
        <w:rPr>
          <w:rFonts w:asciiTheme="minorHAnsi" w:hAnsiTheme="minorHAnsi" w:cs="Arial"/>
          <w:sz w:val="24"/>
          <w:szCs w:val="24"/>
        </w:rPr>
        <w:t>independe</w:t>
      </w:r>
      <w:r w:rsidRPr="00730728">
        <w:rPr>
          <w:rFonts w:asciiTheme="minorHAnsi" w:hAnsiTheme="minorHAnsi" w:cs="Arial"/>
          <w:sz w:val="24"/>
          <w:szCs w:val="24"/>
        </w:rPr>
        <w:t xml:space="preserve">ntly associated with </w:t>
      </w:r>
      <w:r w:rsidR="002B1694" w:rsidRPr="00730728">
        <w:rPr>
          <w:rFonts w:asciiTheme="minorHAnsi" w:hAnsiTheme="minorHAnsi" w:cs="Arial"/>
          <w:sz w:val="24"/>
          <w:szCs w:val="24"/>
        </w:rPr>
        <w:t>disease</w:t>
      </w:r>
      <w:r w:rsidRPr="00730728">
        <w:rPr>
          <w:rFonts w:asciiTheme="minorHAnsi" w:hAnsiTheme="minorHAnsi" w:cs="Arial"/>
          <w:sz w:val="24"/>
          <w:szCs w:val="24"/>
        </w:rPr>
        <w:t>.</w:t>
      </w:r>
      <w:r w:rsidR="0088622A" w:rsidRPr="0088622A">
        <w:rPr>
          <w:rFonts w:asciiTheme="minorHAnsi" w:hAnsiTheme="minorHAnsi" w:cs="Arial"/>
          <w:sz w:val="24"/>
          <w:szCs w:val="24"/>
          <w:vertAlign w:val="superscript"/>
        </w:rPr>
        <w:t>1</w:t>
      </w:r>
      <w:r w:rsidR="00F83933" w:rsidRPr="0088622A">
        <w:rPr>
          <w:rFonts w:asciiTheme="minorHAnsi" w:hAnsiTheme="minorHAnsi" w:cs="Arial"/>
          <w:sz w:val="24"/>
          <w:szCs w:val="24"/>
          <w:vertAlign w:val="superscript"/>
        </w:rPr>
        <w:t>9</w:t>
      </w:r>
      <w:r w:rsidRPr="00730728">
        <w:rPr>
          <w:rFonts w:asciiTheme="minorHAnsi" w:hAnsiTheme="minorHAnsi" w:cs="Arial"/>
          <w:sz w:val="24"/>
          <w:szCs w:val="24"/>
        </w:rPr>
        <w:t xml:space="preserve"> </w:t>
      </w:r>
      <w:r w:rsidR="002B1694" w:rsidRPr="00730728">
        <w:rPr>
          <w:rFonts w:asciiTheme="minorHAnsi" w:hAnsiTheme="minorHAnsi" w:cs="Arial"/>
          <w:sz w:val="24"/>
          <w:szCs w:val="24"/>
        </w:rPr>
        <w:t>T</w:t>
      </w:r>
      <w:r w:rsidRPr="00730728">
        <w:rPr>
          <w:rFonts w:asciiTheme="minorHAnsi" w:hAnsiTheme="minorHAnsi" w:cs="Arial"/>
          <w:sz w:val="24"/>
          <w:szCs w:val="24"/>
        </w:rPr>
        <w:t>he constituent variables</w:t>
      </w:r>
      <w:r w:rsidR="002B1694" w:rsidRPr="00730728">
        <w:rPr>
          <w:rFonts w:asciiTheme="minorHAnsi" w:hAnsiTheme="minorHAnsi" w:cs="Arial"/>
          <w:sz w:val="24"/>
          <w:szCs w:val="24"/>
        </w:rPr>
        <w:t xml:space="preserve"> are:</w:t>
      </w:r>
      <w:r w:rsidRPr="00730728">
        <w:rPr>
          <w:rFonts w:asciiTheme="minorHAnsi" w:hAnsiTheme="minorHAnsi" w:cs="Arial"/>
          <w:sz w:val="24"/>
          <w:szCs w:val="24"/>
        </w:rPr>
        <w:t xml:space="preserve"> male </w:t>
      </w:r>
      <w:r w:rsidR="004B1183" w:rsidRPr="00730728">
        <w:rPr>
          <w:rFonts w:asciiTheme="minorHAnsi" w:hAnsiTheme="minorHAnsi" w:cs="Arial"/>
          <w:sz w:val="24"/>
          <w:szCs w:val="24"/>
        </w:rPr>
        <w:t>[S]</w:t>
      </w:r>
      <w:r w:rsidR="002B1694" w:rsidRPr="00730728">
        <w:rPr>
          <w:rFonts w:asciiTheme="minorHAnsi" w:hAnsiTheme="minorHAnsi" w:cs="Arial"/>
          <w:sz w:val="24"/>
          <w:szCs w:val="24"/>
        </w:rPr>
        <w:t>ex;</w:t>
      </w:r>
      <w:r w:rsidRPr="00730728">
        <w:rPr>
          <w:rFonts w:asciiTheme="minorHAnsi" w:hAnsiTheme="minorHAnsi" w:cs="Arial"/>
          <w:sz w:val="24"/>
          <w:szCs w:val="24"/>
        </w:rPr>
        <w:t xml:space="preserve"> muscle </w:t>
      </w:r>
      <w:r w:rsidR="004B1183" w:rsidRPr="00730728">
        <w:rPr>
          <w:rFonts w:asciiTheme="minorHAnsi" w:hAnsiTheme="minorHAnsi" w:cs="Arial"/>
          <w:sz w:val="24"/>
          <w:szCs w:val="24"/>
        </w:rPr>
        <w:t>[W]</w:t>
      </w:r>
      <w:proofErr w:type="spellStart"/>
      <w:r w:rsidRPr="00730728">
        <w:rPr>
          <w:rFonts w:asciiTheme="minorHAnsi" w:hAnsiTheme="minorHAnsi" w:cs="Arial"/>
          <w:sz w:val="24"/>
          <w:szCs w:val="24"/>
        </w:rPr>
        <w:t>asting</w:t>
      </w:r>
      <w:proofErr w:type="spellEnd"/>
      <w:r w:rsidR="002B1694" w:rsidRPr="00730728">
        <w:rPr>
          <w:rFonts w:asciiTheme="minorHAnsi" w:hAnsiTheme="minorHAnsi" w:cs="Arial"/>
          <w:sz w:val="24"/>
          <w:szCs w:val="24"/>
        </w:rPr>
        <w:t>;</w:t>
      </w:r>
      <w:r w:rsidRPr="00730728">
        <w:rPr>
          <w:rFonts w:asciiTheme="minorHAnsi" w:hAnsiTheme="minorHAnsi" w:cs="Arial"/>
          <w:sz w:val="24"/>
          <w:szCs w:val="24"/>
        </w:rPr>
        <w:t xml:space="preserve"> non-</w:t>
      </w:r>
      <w:r w:rsidR="004B1183" w:rsidRPr="00730728">
        <w:rPr>
          <w:rFonts w:asciiTheme="minorHAnsi" w:hAnsiTheme="minorHAnsi" w:cs="Arial"/>
          <w:sz w:val="24"/>
          <w:szCs w:val="24"/>
        </w:rPr>
        <w:t>[A]</w:t>
      </w:r>
      <w:proofErr w:type="spellStart"/>
      <w:r w:rsidRPr="00730728">
        <w:rPr>
          <w:rFonts w:asciiTheme="minorHAnsi" w:hAnsiTheme="minorHAnsi" w:cs="Arial"/>
          <w:sz w:val="24"/>
          <w:szCs w:val="24"/>
        </w:rPr>
        <w:t>mbulatory</w:t>
      </w:r>
      <w:proofErr w:type="spellEnd"/>
      <w:r w:rsidR="002B1694" w:rsidRPr="00730728">
        <w:rPr>
          <w:rFonts w:asciiTheme="minorHAnsi" w:hAnsiTheme="minorHAnsi" w:cs="Arial"/>
          <w:sz w:val="24"/>
          <w:szCs w:val="24"/>
        </w:rPr>
        <w:t>;</w:t>
      </w:r>
      <w:r w:rsidRPr="00730728">
        <w:rPr>
          <w:rFonts w:asciiTheme="minorHAnsi" w:hAnsiTheme="minorHAnsi" w:cs="Arial"/>
          <w:sz w:val="24"/>
          <w:szCs w:val="24"/>
        </w:rPr>
        <w:t xml:space="preserve"> </w:t>
      </w:r>
      <w:r w:rsidR="004B1183" w:rsidRPr="00730728">
        <w:rPr>
          <w:rFonts w:asciiTheme="minorHAnsi" w:hAnsiTheme="minorHAnsi" w:cs="Arial"/>
          <w:sz w:val="24"/>
          <w:szCs w:val="24"/>
        </w:rPr>
        <w:t>[T]</w:t>
      </w:r>
      <w:proofErr w:type="spellStart"/>
      <w:r w:rsidRPr="00730728">
        <w:rPr>
          <w:rFonts w:asciiTheme="minorHAnsi" w:hAnsiTheme="minorHAnsi" w:cs="Arial"/>
          <w:sz w:val="24"/>
          <w:szCs w:val="24"/>
        </w:rPr>
        <w:t>emperature</w:t>
      </w:r>
      <w:proofErr w:type="spellEnd"/>
      <w:r w:rsidRPr="00730728">
        <w:rPr>
          <w:rFonts w:asciiTheme="minorHAnsi" w:hAnsiTheme="minorHAnsi" w:cs="Arial"/>
          <w:sz w:val="24"/>
          <w:szCs w:val="24"/>
        </w:rPr>
        <w:t xml:space="preserve"> (&gt;38</w:t>
      </w:r>
      <w:r w:rsidRPr="00730728">
        <w:rPr>
          <w:rFonts w:asciiTheme="minorHAnsi" w:hAnsiTheme="minorHAnsi" w:cs="Arial"/>
          <w:sz w:val="24"/>
          <w:szCs w:val="24"/>
          <w:vertAlign w:val="superscript"/>
        </w:rPr>
        <w:t>o</w:t>
      </w:r>
      <w:r w:rsidRPr="00730728">
        <w:rPr>
          <w:rFonts w:asciiTheme="minorHAnsi" w:hAnsiTheme="minorHAnsi" w:cs="Arial"/>
          <w:sz w:val="24"/>
          <w:szCs w:val="24"/>
        </w:rPr>
        <w:t>C or &lt;35</w:t>
      </w:r>
      <w:r w:rsidRPr="00730728">
        <w:rPr>
          <w:rFonts w:asciiTheme="minorHAnsi" w:hAnsiTheme="minorHAnsi" w:cs="Arial"/>
          <w:sz w:val="24"/>
          <w:szCs w:val="24"/>
          <w:vertAlign w:val="superscript"/>
        </w:rPr>
        <w:t>o</w:t>
      </w:r>
      <w:r w:rsidRPr="00730728">
        <w:rPr>
          <w:rFonts w:asciiTheme="minorHAnsi" w:hAnsiTheme="minorHAnsi" w:cs="Arial"/>
          <w:sz w:val="24"/>
          <w:szCs w:val="24"/>
        </w:rPr>
        <w:t>C)</w:t>
      </w:r>
      <w:r w:rsidR="002B1694" w:rsidRPr="00730728">
        <w:rPr>
          <w:rFonts w:asciiTheme="minorHAnsi" w:hAnsiTheme="minorHAnsi" w:cs="Arial"/>
          <w:sz w:val="24"/>
          <w:szCs w:val="24"/>
        </w:rPr>
        <w:t>;</w:t>
      </w:r>
      <w:r w:rsidRPr="00730728">
        <w:rPr>
          <w:rFonts w:asciiTheme="minorHAnsi" w:hAnsiTheme="minorHAnsi" w:cs="Arial"/>
          <w:sz w:val="24"/>
          <w:szCs w:val="24"/>
        </w:rPr>
        <w:t xml:space="preserve"> </w:t>
      </w:r>
      <w:r w:rsidR="004B1183" w:rsidRPr="00730728">
        <w:rPr>
          <w:rFonts w:asciiTheme="minorHAnsi" w:hAnsiTheme="minorHAnsi" w:cs="Arial"/>
          <w:sz w:val="24"/>
          <w:szCs w:val="24"/>
        </w:rPr>
        <w:t>[B]</w:t>
      </w:r>
      <w:proofErr w:type="spellStart"/>
      <w:r w:rsidRPr="00730728">
        <w:rPr>
          <w:rFonts w:asciiTheme="minorHAnsi" w:hAnsiTheme="minorHAnsi" w:cs="Arial"/>
          <w:sz w:val="24"/>
          <w:szCs w:val="24"/>
        </w:rPr>
        <w:t>lood</w:t>
      </w:r>
      <w:proofErr w:type="spellEnd"/>
      <w:r w:rsidRPr="00730728">
        <w:rPr>
          <w:rFonts w:asciiTheme="minorHAnsi" w:hAnsiTheme="minorHAnsi" w:cs="Arial"/>
          <w:sz w:val="24"/>
          <w:szCs w:val="24"/>
        </w:rPr>
        <w:t xml:space="preserve"> </w:t>
      </w:r>
      <w:r w:rsidR="004B1183" w:rsidRPr="00730728">
        <w:rPr>
          <w:rFonts w:asciiTheme="minorHAnsi" w:hAnsiTheme="minorHAnsi" w:cs="Arial"/>
          <w:sz w:val="24"/>
          <w:szCs w:val="24"/>
        </w:rPr>
        <w:t>[p]</w:t>
      </w:r>
      <w:proofErr w:type="spellStart"/>
      <w:r w:rsidRPr="00730728">
        <w:rPr>
          <w:rFonts w:asciiTheme="minorHAnsi" w:hAnsiTheme="minorHAnsi" w:cs="Arial"/>
          <w:sz w:val="24"/>
          <w:szCs w:val="24"/>
        </w:rPr>
        <w:t>ressure</w:t>
      </w:r>
      <w:proofErr w:type="spellEnd"/>
      <w:r w:rsidRPr="00730728">
        <w:rPr>
          <w:rFonts w:asciiTheme="minorHAnsi" w:hAnsiTheme="minorHAnsi" w:cs="Arial"/>
          <w:sz w:val="24"/>
          <w:szCs w:val="24"/>
        </w:rPr>
        <w:t xml:space="preserve"> (Systolic Pressure&lt;100 and/or Diastolic Pressure&lt;60). </w:t>
      </w:r>
      <w:r w:rsidR="004B1183" w:rsidRPr="00730728">
        <w:rPr>
          <w:rFonts w:asciiTheme="minorHAnsi" w:hAnsiTheme="minorHAnsi" w:cs="Arial"/>
          <w:sz w:val="24"/>
          <w:szCs w:val="24"/>
        </w:rPr>
        <w:t>Mortality wa</w:t>
      </w:r>
      <w:r w:rsidR="002B1694" w:rsidRPr="00730728">
        <w:rPr>
          <w:rFonts w:asciiTheme="minorHAnsi" w:hAnsiTheme="minorHAnsi" w:cs="Arial"/>
          <w:sz w:val="24"/>
          <w:szCs w:val="24"/>
        </w:rPr>
        <w:t>s positively correlated with overall score.</w:t>
      </w:r>
    </w:p>
    <w:p w:rsidR="00236F87" w:rsidRPr="00730728" w:rsidRDefault="004B1183" w:rsidP="00730728">
      <w:pPr>
        <w:spacing w:line="480" w:lineRule="auto"/>
        <w:rPr>
          <w:rFonts w:asciiTheme="minorHAnsi" w:hAnsiTheme="minorHAnsi" w:cs="Arial"/>
          <w:sz w:val="24"/>
          <w:szCs w:val="24"/>
        </w:rPr>
      </w:pPr>
      <w:r w:rsidRPr="00730728">
        <w:rPr>
          <w:rFonts w:asciiTheme="minorHAnsi" w:hAnsiTheme="minorHAnsi" w:cs="Arial"/>
          <w:sz w:val="24"/>
          <w:szCs w:val="24"/>
        </w:rPr>
        <w:t>We present prospective data from Malawi against which the</w:t>
      </w:r>
      <w:r w:rsidR="00FF4656" w:rsidRPr="00730728">
        <w:rPr>
          <w:rFonts w:asciiTheme="minorHAnsi" w:hAnsiTheme="minorHAnsi" w:cs="Arial"/>
          <w:sz w:val="24"/>
          <w:szCs w:val="24"/>
        </w:rPr>
        <w:t xml:space="preserve"> SWAT-Bp score</w:t>
      </w:r>
      <w:r w:rsidR="00D75A97">
        <w:rPr>
          <w:rFonts w:asciiTheme="minorHAnsi" w:hAnsiTheme="minorHAnsi" w:cs="Arial"/>
          <w:sz w:val="24"/>
          <w:szCs w:val="24"/>
        </w:rPr>
        <w:t xml:space="preserve"> is</w:t>
      </w:r>
      <w:r w:rsidRPr="00730728">
        <w:rPr>
          <w:rFonts w:asciiTheme="minorHAnsi" w:hAnsiTheme="minorHAnsi" w:cs="Arial"/>
          <w:sz w:val="24"/>
          <w:szCs w:val="24"/>
        </w:rPr>
        <w:t xml:space="preserve"> validated</w:t>
      </w:r>
      <w:r w:rsidR="00791BDF">
        <w:rPr>
          <w:rFonts w:asciiTheme="minorHAnsi" w:hAnsiTheme="minorHAnsi" w:cs="Arial"/>
          <w:sz w:val="24"/>
          <w:szCs w:val="24"/>
        </w:rPr>
        <w:t>.</w:t>
      </w:r>
      <w:r w:rsidR="00C74AC1">
        <w:rPr>
          <w:rFonts w:asciiTheme="minorHAnsi" w:hAnsiTheme="minorHAnsi" w:cs="Arial"/>
          <w:sz w:val="24"/>
          <w:szCs w:val="24"/>
        </w:rPr>
        <w:t xml:space="preserve"> The aim was to describe the sensitivity and specificity of the score in a validation cohort.</w:t>
      </w:r>
    </w:p>
    <w:p w:rsidR="00FF4656" w:rsidRPr="00730728" w:rsidRDefault="00FF4656" w:rsidP="00730728">
      <w:pPr>
        <w:spacing w:line="480" w:lineRule="auto"/>
        <w:contextualSpacing/>
        <w:rPr>
          <w:rFonts w:asciiTheme="minorHAnsi" w:hAnsiTheme="minorHAnsi" w:cs="Arial"/>
          <w:b/>
          <w:sz w:val="24"/>
          <w:szCs w:val="24"/>
          <w:u w:val="single"/>
        </w:rPr>
      </w:pPr>
      <w:r w:rsidRPr="00730728">
        <w:rPr>
          <w:rFonts w:asciiTheme="minorHAnsi" w:hAnsiTheme="minorHAnsi" w:cs="Arial"/>
          <w:b/>
          <w:sz w:val="24"/>
          <w:szCs w:val="24"/>
          <w:u w:val="single"/>
        </w:rPr>
        <w:br w:type="page"/>
      </w:r>
      <w:r w:rsidRPr="00730728">
        <w:rPr>
          <w:rFonts w:asciiTheme="minorHAnsi" w:hAnsiTheme="minorHAnsi" w:cs="Arial"/>
          <w:b/>
          <w:sz w:val="24"/>
          <w:szCs w:val="24"/>
          <w:u w:val="single"/>
        </w:rPr>
        <w:lastRenderedPageBreak/>
        <w:t>METHODS</w:t>
      </w:r>
    </w:p>
    <w:p w:rsidR="00FF4656" w:rsidRPr="00730728" w:rsidRDefault="00FF4656" w:rsidP="00730728">
      <w:pPr>
        <w:spacing w:line="480" w:lineRule="auto"/>
        <w:contextualSpacing/>
        <w:rPr>
          <w:rFonts w:asciiTheme="minorHAnsi" w:hAnsiTheme="minorHAnsi" w:cs="Arial"/>
          <w:b/>
          <w:sz w:val="24"/>
          <w:szCs w:val="24"/>
          <w:u w:val="single"/>
        </w:rPr>
      </w:pPr>
    </w:p>
    <w:p w:rsidR="00FF4656" w:rsidRPr="00730728" w:rsidRDefault="00FF4656" w:rsidP="00730728">
      <w:pPr>
        <w:spacing w:line="480" w:lineRule="auto"/>
        <w:rPr>
          <w:rFonts w:asciiTheme="minorHAnsi" w:hAnsiTheme="minorHAnsi" w:cs="Arial"/>
          <w:sz w:val="24"/>
          <w:szCs w:val="24"/>
        </w:rPr>
      </w:pPr>
      <w:r w:rsidRPr="00730728">
        <w:rPr>
          <w:rFonts w:asciiTheme="minorHAnsi" w:hAnsiTheme="minorHAnsi" w:cs="Arial"/>
          <w:sz w:val="24"/>
          <w:szCs w:val="24"/>
        </w:rPr>
        <w:t>The prospective</w:t>
      </w:r>
      <w:r w:rsidR="001E5FF9">
        <w:rPr>
          <w:rFonts w:asciiTheme="minorHAnsi" w:hAnsiTheme="minorHAnsi" w:cs="Arial"/>
          <w:sz w:val="24"/>
          <w:szCs w:val="24"/>
        </w:rPr>
        <w:t xml:space="preserve"> cohort</w:t>
      </w:r>
      <w:r w:rsidRPr="00730728">
        <w:rPr>
          <w:rFonts w:asciiTheme="minorHAnsi" w:hAnsiTheme="minorHAnsi" w:cs="Arial"/>
          <w:sz w:val="24"/>
          <w:szCs w:val="24"/>
        </w:rPr>
        <w:t xml:space="preserve"> study was conducted</w:t>
      </w:r>
      <w:r w:rsidR="00725046" w:rsidRPr="00730728">
        <w:rPr>
          <w:rFonts w:asciiTheme="minorHAnsi" w:hAnsiTheme="minorHAnsi" w:cs="Arial"/>
          <w:sz w:val="24"/>
          <w:szCs w:val="24"/>
        </w:rPr>
        <w:t xml:space="preserve"> on the medical wards of Queen Elizabeth Central Hospital. This </w:t>
      </w:r>
      <w:r w:rsidR="00432210" w:rsidRPr="00730728">
        <w:rPr>
          <w:rFonts w:asciiTheme="minorHAnsi" w:hAnsiTheme="minorHAnsi" w:cs="Arial"/>
          <w:sz w:val="24"/>
          <w:szCs w:val="24"/>
        </w:rPr>
        <w:t>1,000-bed</w:t>
      </w:r>
      <w:r w:rsidRPr="00730728">
        <w:rPr>
          <w:rFonts w:asciiTheme="minorHAnsi" w:hAnsiTheme="minorHAnsi" w:cs="Arial"/>
          <w:sz w:val="24"/>
          <w:szCs w:val="24"/>
        </w:rPr>
        <w:t xml:space="preserve"> government hospital in </w:t>
      </w:r>
      <w:r w:rsidR="00725046" w:rsidRPr="00730728">
        <w:rPr>
          <w:rFonts w:asciiTheme="minorHAnsi" w:hAnsiTheme="minorHAnsi" w:cs="Arial"/>
          <w:sz w:val="24"/>
          <w:szCs w:val="24"/>
        </w:rPr>
        <w:t>Blantyre, Malawi has typical staff ratios of</w:t>
      </w:r>
      <w:r w:rsidR="00E57452" w:rsidRPr="00730728">
        <w:rPr>
          <w:rFonts w:asciiTheme="minorHAnsi" w:hAnsiTheme="minorHAnsi" w:cs="Arial"/>
          <w:sz w:val="24"/>
          <w:szCs w:val="24"/>
        </w:rPr>
        <w:t xml:space="preserve"> one nurse </w:t>
      </w:r>
      <w:r w:rsidR="00725046" w:rsidRPr="00730728">
        <w:rPr>
          <w:rFonts w:asciiTheme="minorHAnsi" w:hAnsiTheme="minorHAnsi" w:cs="Arial"/>
          <w:sz w:val="24"/>
          <w:szCs w:val="24"/>
        </w:rPr>
        <w:t>to</w:t>
      </w:r>
      <w:r w:rsidR="00E57452" w:rsidRPr="00730728">
        <w:rPr>
          <w:rFonts w:asciiTheme="minorHAnsi" w:hAnsiTheme="minorHAnsi" w:cs="Arial"/>
          <w:sz w:val="24"/>
          <w:szCs w:val="24"/>
        </w:rPr>
        <w:t xml:space="preserve"> 50 patients.</w:t>
      </w:r>
      <w:r w:rsidR="0024430F">
        <w:rPr>
          <w:rFonts w:asciiTheme="minorHAnsi" w:hAnsiTheme="minorHAnsi" w:cs="Arial"/>
          <w:sz w:val="24"/>
          <w:szCs w:val="24"/>
        </w:rPr>
        <w:t xml:space="preserve"> </w:t>
      </w:r>
      <w:r w:rsidR="00725046" w:rsidRPr="00730728">
        <w:rPr>
          <w:rFonts w:asciiTheme="minorHAnsi" w:hAnsiTheme="minorHAnsi" w:cs="Arial"/>
          <w:sz w:val="24"/>
          <w:szCs w:val="24"/>
        </w:rPr>
        <w:t>We approached a</w:t>
      </w:r>
      <w:r w:rsidRPr="00730728">
        <w:rPr>
          <w:rFonts w:asciiTheme="minorHAnsi" w:hAnsiTheme="minorHAnsi" w:cs="Arial"/>
          <w:sz w:val="24"/>
          <w:szCs w:val="24"/>
        </w:rPr>
        <w:t>ll</w:t>
      </w:r>
      <w:r w:rsidR="00664980">
        <w:rPr>
          <w:rFonts w:asciiTheme="minorHAnsi" w:hAnsiTheme="minorHAnsi" w:cs="Arial"/>
          <w:sz w:val="24"/>
          <w:szCs w:val="24"/>
        </w:rPr>
        <w:t xml:space="preserve"> consecutive</w:t>
      </w:r>
      <w:r w:rsidRPr="00730728">
        <w:rPr>
          <w:rFonts w:asciiTheme="minorHAnsi" w:hAnsiTheme="minorHAnsi" w:cs="Arial"/>
          <w:sz w:val="24"/>
          <w:szCs w:val="24"/>
        </w:rPr>
        <w:t xml:space="preserve"> adults (≥16 years) admitted between 19</w:t>
      </w:r>
      <w:r w:rsidRPr="00730728">
        <w:rPr>
          <w:rFonts w:asciiTheme="minorHAnsi" w:hAnsiTheme="minorHAnsi" w:cs="Arial"/>
          <w:sz w:val="24"/>
          <w:szCs w:val="24"/>
          <w:vertAlign w:val="superscript"/>
        </w:rPr>
        <w:t>th</w:t>
      </w:r>
      <w:r w:rsidRPr="00730728">
        <w:rPr>
          <w:rFonts w:asciiTheme="minorHAnsi" w:hAnsiTheme="minorHAnsi" w:cs="Arial"/>
          <w:sz w:val="24"/>
          <w:szCs w:val="24"/>
        </w:rPr>
        <w:t xml:space="preserve"> February and 1</w:t>
      </w:r>
      <w:r w:rsidRPr="00730728">
        <w:rPr>
          <w:rFonts w:asciiTheme="minorHAnsi" w:hAnsiTheme="minorHAnsi" w:cs="Arial"/>
          <w:sz w:val="24"/>
          <w:szCs w:val="24"/>
          <w:vertAlign w:val="superscript"/>
        </w:rPr>
        <w:t>st</w:t>
      </w:r>
      <w:r w:rsidRPr="00730728">
        <w:rPr>
          <w:rFonts w:asciiTheme="minorHAnsi" w:hAnsiTheme="minorHAnsi" w:cs="Arial"/>
          <w:sz w:val="24"/>
          <w:szCs w:val="24"/>
        </w:rPr>
        <w:t xml:space="preserve"> April or 6</w:t>
      </w:r>
      <w:r w:rsidRPr="00730728">
        <w:rPr>
          <w:rFonts w:asciiTheme="minorHAnsi" w:hAnsiTheme="minorHAnsi" w:cs="Arial"/>
          <w:sz w:val="24"/>
          <w:szCs w:val="24"/>
          <w:vertAlign w:val="superscript"/>
        </w:rPr>
        <w:t>th</w:t>
      </w:r>
      <w:r w:rsidRPr="00730728">
        <w:rPr>
          <w:rFonts w:asciiTheme="minorHAnsi" w:hAnsiTheme="minorHAnsi" w:cs="Arial"/>
          <w:sz w:val="24"/>
          <w:szCs w:val="24"/>
        </w:rPr>
        <w:t xml:space="preserve"> October and 27</w:t>
      </w:r>
      <w:r w:rsidRPr="00730728">
        <w:rPr>
          <w:rFonts w:asciiTheme="minorHAnsi" w:hAnsiTheme="minorHAnsi" w:cs="Arial"/>
          <w:sz w:val="24"/>
          <w:szCs w:val="24"/>
          <w:vertAlign w:val="superscript"/>
        </w:rPr>
        <w:t>th</w:t>
      </w:r>
      <w:r w:rsidRPr="00730728">
        <w:rPr>
          <w:rFonts w:asciiTheme="minorHAnsi" w:hAnsiTheme="minorHAnsi" w:cs="Arial"/>
          <w:sz w:val="24"/>
          <w:szCs w:val="24"/>
        </w:rPr>
        <w:t xml:space="preserve"> November 2011 with a preliminary clinical diagnosis of community-ac</w:t>
      </w:r>
      <w:r w:rsidR="00725046" w:rsidRPr="00730728">
        <w:rPr>
          <w:rFonts w:asciiTheme="minorHAnsi" w:hAnsiTheme="minorHAnsi" w:cs="Arial"/>
          <w:sz w:val="24"/>
          <w:szCs w:val="24"/>
        </w:rPr>
        <w:t>quired pneumonia</w:t>
      </w:r>
      <w:r w:rsidRPr="00730728">
        <w:rPr>
          <w:rFonts w:asciiTheme="minorHAnsi" w:hAnsiTheme="minorHAnsi" w:cs="Arial"/>
          <w:sz w:val="24"/>
          <w:szCs w:val="24"/>
        </w:rPr>
        <w:t xml:space="preserve">.  </w:t>
      </w:r>
    </w:p>
    <w:p w:rsidR="00FF4656" w:rsidRPr="00730728" w:rsidRDefault="00FF4656" w:rsidP="00730728">
      <w:pPr>
        <w:spacing w:line="480" w:lineRule="auto"/>
        <w:rPr>
          <w:rFonts w:asciiTheme="minorHAnsi" w:hAnsiTheme="minorHAnsi" w:cs="Arial"/>
          <w:sz w:val="24"/>
          <w:szCs w:val="24"/>
        </w:rPr>
      </w:pPr>
      <w:r w:rsidRPr="00730728">
        <w:rPr>
          <w:rFonts w:asciiTheme="minorHAnsi" w:hAnsiTheme="minorHAnsi" w:cs="Arial"/>
          <w:sz w:val="24"/>
          <w:szCs w:val="24"/>
        </w:rPr>
        <w:t xml:space="preserve">Patients were included if they </w:t>
      </w:r>
      <w:r w:rsidR="00884ADC" w:rsidRPr="00730728">
        <w:rPr>
          <w:rFonts w:asciiTheme="minorHAnsi" w:hAnsiTheme="minorHAnsi" w:cs="Arial"/>
          <w:sz w:val="24"/>
          <w:szCs w:val="24"/>
        </w:rPr>
        <w:t>had a clinical presentation of LRTI and a presumed primary diagnosis of</w:t>
      </w:r>
      <w:r w:rsidRPr="00730728">
        <w:rPr>
          <w:rFonts w:asciiTheme="minorHAnsi" w:hAnsiTheme="minorHAnsi" w:cs="Arial"/>
          <w:sz w:val="24"/>
          <w:szCs w:val="24"/>
        </w:rPr>
        <w:t xml:space="preserve"> CAP on admission in accordance with the British Thoracic Society primary care guidelines: (1) symptoms of acute lower respiratory tract illness, (2) new focal chest signs on examination, (3) evidence of systemic illness, (4) no other explanation for the illness and (5) a clinical decision that it should be treated with antibiotics.</w:t>
      </w:r>
      <w:r w:rsidR="00F83933" w:rsidRPr="0024430F">
        <w:rPr>
          <w:rFonts w:asciiTheme="minorHAnsi" w:hAnsiTheme="minorHAnsi" w:cs="Arial"/>
          <w:sz w:val="24"/>
          <w:szCs w:val="24"/>
          <w:vertAlign w:val="superscript"/>
        </w:rPr>
        <w:t>21</w:t>
      </w:r>
    </w:p>
    <w:p w:rsidR="00FF4656" w:rsidRPr="00730728" w:rsidRDefault="00FF4656" w:rsidP="00730728">
      <w:pPr>
        <w:spacing w:line="480" w:lineRule="auto"/>
        <w:rPr>
          <w:rFonts w:asciiTheme="minorHAnsi" w:hAnsiTheme="minorHAnsi" w:cs="Arial"/>
          <w:sz w:val="24"/>
          <w:szCs w:val="24"/>
        </w:rPr>
      </w:pPr>
      <w:r w:rsidRPr="00730728">
        <w:rPr>
          <w:rFonts w:asciiTheme="minorHAnsi" w:hAnsiTheme="minorHAnsi" w:cs="Arial"/>
          <w:sz w:val="24"/>
          <w:szCs w:val="24"/>
        </w:rPr>
        <w:t xml:space="preserve">Exclusion criteria </w:t>
      </w:r>
      <w:r w:rsidR="00236F87" w:rsidRPr="00730728">
        <w:rPr>
          <w:rFonts w:asciiTheme="minorHAnsi" w:hAnsiTheme="minorHAnsi" w:cs="Arial"/>
          <w:sz w:val="24"/>
          <w:szCs w:val="24"/>
        </w:rPr>
        <w:t>were</w:t>
      </w:r>
      <w:r w:rsidRPr="00730728">
        <w:rPr>
          <w:rFonts w:asciiTheme="minorHAnsi" w:hAnsiTheme="minorHAnsi" w:cs="Arial"/>
          <w:sz w:val="24"/>
          <w:szCs w:val="24"/>
        </w:rPr>
        <w:t xml:space="preserve">: (1) </w:t>
      </w:r>
      <w:r w:rsidR="000175A8" w:rsidRPr="00730728">
        <w:rPr>
          <w:rFonts w:asciiTheme="minorHAnsi" w:hAnsiTheme="minorHAnsi" w:cs="Arial"/>
          <w:sz w:val="24"/>
          <w:szCs w:val="24"/>
        </w:rPr>
        <w:t xml:space="preserve">alternative </w:t>
      </w:r>
      <w:r w:rsidRPr="00730728">
        <w:rPr>
          <w:rFonts w:asciiTheme="minorHAnsi" w:hAnsiTheme="minorHAnsi" w:cs="Arial"/>
          <w:sz w:val="24"/>
          <w:szCs w:val="24"/>
        </w:rPr>
        <w:t>primary</w:t>
      </w:r>
      <w:r w:rsidR="000175A8" w:rsidRPr="00730728">
        <w:rPr>
          <w:rFonts w:asciiTheme="minorHAnsi" w:hAnsiTheme="minorHAnsi" w:cs="Arial"/>
          <w:sz w:val="24"/>
          <w:szCs w:val="24"/>
        </w:rPr>
        <w:t xml:space="preserve"> admission di</w:t>
      </w:r>
      <w:r w:rsidRPr="00730728">
        <w:rPr>
          <w:rFonts w:asciiTheme="minorHAnsi" w:hAnsiTheme="minorHAnsi" w:cs="Arial"/>
          <w:sz w:val="24"/>
          <w:szCs w:val="24"/>
        </w:rPr>
        <w:t xml:space="preserve">agnosis </w:t>
      </w:r>
      <w:r w:rsidR="000175A8" w:rsidRPr="00730728">
        <w:rPr>
          <w:rFonts w:asciiTheme="minorHAnsi" w:hAnsiTheme="minorHAnsi" w:cs="Arial"/>
          <w:sz w:val="24"/>
          <w:szCs w:val="24"/>
        </w:rPr>
        <w:t>[not CAP]</w:t>
      </w:r>
      <w:r w:rsidRPr="00730728">
        <w:rPr>
          <w:rFonts w:asciiTheme="minorHAnsi" w:hAnsiTheme="minorHAnsi" w:cs="Arial"/>
          <w:sz w:val="24"/>
          <w:szCs w:val="24"/>
        </w:rPr>
        <w:t>, (2) hospitalisation within the preceding 14 days (</w:t>
      </w:r>
      <w:r w:rsidR="00E57452" w:rsidRPr="00730728">
        <w:rPr>
          <w:rFonts w:asciiTheme="minorHAnsi" w:hAnsiTheme="minorHAnsi" w:cs="Arial"/>
          <w:sz w:val="24"/>
          <w:szCs w:val="24"/>
        </w:rPr>
        <w:t>excluding</w:t>
      </w:r>
      <w:r w:rsidRPr="00730728">
        <w:rPr>
          <w:rFonts w:asciiTheme="minorHAnsi" w:hAnsiTheme="minorHAnsi" w:cs="Arial"/>
          <w:sz w:val="24"/>
          <w:szCs w:val="24"/>
        </w:rPr>
        <w:t xml:space="preserve"> hospital-acquired pneumonia), (3) pneumonia as an expected terminal event in disseminated Kaposi’s sarcoma</w:t>
      </w:r>
      <w:r w:rsidR="003D78F8" w:rsidRPr="00730728">
        <w:rPr>
          <w:rFonts w:asciiTheme="minorHAnsi" w:hAnsiTheme="minorHAnsi" w:cs="Arial"/>
          <w:sz w:val="24"/>
          <w:szCs w:val="24"/>
        </w:rPr>
        <w:t>, (4) symptoms f</w:t>
      </w:r>
      <w:r w:rsidRPr="00730728">
        <w:rPr>
          <w:rFonts w:asciiTheme="minorHAnsi" w:hAnsiTheme="minorHAnsi" w:cs="Arial"/>
          <w:sz w:val="24"/>
          <w:szCs w:val="24"/>
        </w:rPr>
        <w:t>or more than 21 days.</w:t>
      </w:r>
    </w:p>
    <w:p w:rsidR="00FF4656" w:rsidRPr="00730728" w:rsidRDefault="00FF4656" w:rsidP="00730728">
      <w:pPr>
        <w:spacing w:line="480" w:lineRule="auto"/>
        <w:rPr>
          <w:rFonts w:asciiTheme="minorHAnsi" w:hAnsiTheme="minorHAnsi" w:cs="Arial"/>
          <w:sz w:val="24"/>
          <w:szCs w:val="24"/>
        </w:rPr>
      </w:pPr>
      <w:r w:rsidRPr="00730728">
        <w:rPr>
          <w:rFonts w:asciiTheme="minorHAnsi" w:hAnsiTheme="minorHAnsi" w:cs="Arial"/>
          <w:sz w:val="24"/>
          <w:szCs w:val="24"/>
        </w:rPr>
        <w:t>Ethical approval was obtained from</w:t>
      </w:r>
      <w:r w:rsidR="000175A8" w:rsidRPr="00730728">
        <w:rPr>
          <w:rFonts w:asciiTheme="minorHAnsi" w:hAnsiTheme="minorHAnsi" w:cs="Arial"/>
          <w:sz w:val="24"/>
          <w:szCs w:val="24"/>
        </w:rPr>
        <w:t xml:space="preserve"> </w:t>
      </w:r>
      <w:r w:rsidRPr="00730728">
        <w:rPr>
          <w:rFonts w:asciiTheme="minorHAnsi" w:hAnsiTheme="minorHAnsi" w:cs="Arial"/>
          <w:sz w:val="24"/>
          <w:szCs w:val="24"/>
        </w:rPr>
        <w:t xml:space="preserve">the University of Birmingham </w:t>
      </w:r>
      <w:proofErr w:type="spellStart"/>
      <w:r w:rsidRPr="00730728">
        <w:rPr>
          <w:rFonts w:asciiTheme="minorHAnsi" w:hAnsiTheme="minorHAnsi" w:cs="Arial"/>
          <w:sz w:val="24"/>
          <w:szCs w:val="24"/>
        </w:rPr>
        <w:t>BMedSc</w:t>
      </w:r>
      <w:proofErr w:type="spellEnd"/>
      <w:r w:rsidRPr="00730728">
        <w:rPr>
          <w:rFonts w:asciiTheme="minorHAnsi" w:hAnsiTheme="minorHAnsi" w:cs="Arial"/>
          <w:sz w:val="24"/>
          <w:szCs w:val="24"/>
        </w:rPr>
        <w:t xml:space="preserve"> Population Sciences and Humanities Internal Ethics Committee, UK, and the College of Medicine Research and Ethics Committee, Blantyre, Malawi.</w:t>
      </w:r>
      <w:r w:rsidR="00236F87" w:rsidRPr="00730728">
        <w:rPr>
          <w:rFonts w:asciiTheme="minorHAnsi" w:hAnsiTheme="minorHAnsi" w:cs="Arial"/>
          <w:sz w:val="24"/>
          <w:szCs w:val="24"/>
        </w:rPr>
        <w:t xml:space="preserve"> </w:t>
      </w:r>
    </w:p>
    <w:p w:rsidR="00FF4656" w:rsidRPr="00730728" w:rsidRDefault="00FF4656" w:rsidP="00730728">
      <w:pPr>
        <w:spacing w:line="480" w:lineRule="auto"/>
        <w:contextualSpacing/>
        <w:rPr>
          <w:rFonts w:asciiTheme="minorHAnsi" w:hAnsiTheme="minorHAnsi" w:cs="Arial"/>
          <w:sz w:val="24"/>
          <w:szCs w:val="24"/>
        </w:rPr>
      </w:pPr>
    </w:p>
    <w:p w:rsidR="00FF4656" w:rsidRPr="00730728" w:rsidRDefault="00FF4656" w:rsidP="00730728">
      <w:pPr>
        <w:spacing w:line="480" w:lineRule="auto"/>
        <w:contextualSpacing/>
        <w:rPr>
          <w:rFonts w:asciiTheme="minorHAnsi" w:hAnsiTheme="minorHAnsi" w:cs="Arial"/>
          <w:i/>
          <w:sz w:val="24"/>
          <w:szCs w:val="24"/>
          <w:u w:val="single"/>
        </w:rPr>
      </w:pPr>
      <w:r w:rsidRPr="00730728">
        <w:rPr>
          <w:rFonts w:asciiTheme="minorHAnsi" w:hAnsiTheme="minorHAnsi" w:cs="Arial"/>
          <w:i/>
          <w:sz w:val="24"/>
          <w:szCs w:val="24"/>
          <w:u w:val="single"/>
        </w:rPr>
        <w:t>Data collection</w:t>
      </w:r>
    </w:p>
    <w:p w:rsidR="00FF4656" w:rsidRPr="00730728" w:rsidRDefault="00FF4656" w:rsidP="00730728">
      <w:pPr>
        <w:spacing w:line="480" w:lineRule="auto"/>
        <w:contextualSpacing/>
        <w:rPr>
          <w:rFonts w:asciiTheme="minorHAnsi" w:hAnsiTheme="minorHAnsi" w:cs="Arial"/>
          <w:sz w:val="24"/>
          <w:szCs w:val="24"/>
        </w:rPr>
      </w:pPr>
    </w:p>
    <w:p w:rsidR="00FF4656" w:rsidRPr="00730728" w:rsidRDefault="00236F87" w:rsidP="00730728">
      <w:pPr>
        <w:spacing w:line="480" w:lineRule="auto"/>
        <w:rPr>
          <w:rFonts w:asciiTheme="minorHAnsi" w:hAnsiTheme="minorHAnsi" w:cs="Arial"/>
          <w:sz w:val="24"/>
          <w:szCs w:val="24"/>
        </w:rPr>
      </w:pPr>
      <w:r w:rsidRPr="00730728">
        <w:rPr>
          <w:rFonts w:asciiTheme="minorHAnsi" w:hAnsiTheme="minorHAnsi" w:cs="Arial"/>
          <w:sz w:val="24"/>
          <w:szCs w:val="24"/>
        </w:rPr>
        <w:lastRenderedPageBreak/>
        <w:t>Eligibility was confirmed from p</w:t>
      </w:r>
      <w:r w:rsidR="00FF4656" w:rsidRPr="00730728">
        <w:rPr>
          <w:rFonts w:asciiTheme="minorHAnsi" w:hAnsiTheme="minorHAnsi" w:cs="Arial"/>
          <w:sz w:val="24"/>
          <w:szCs w:val="24"/>
        </w:rPr>
        <w:t>atient notes within 48 hours of admission.</w:t>
      </w:r>
      <w:r w:rsidR="00F964DD">
        <w:rPr>
          <w:rFonts w:asciiTheme="minorHAnsi" w:hAnsiTheme="minorHAnsi" w:cs="Arial"/>
          <w:sz w:val="24"/>
          <w:szCs w:val="24"/>
        </w:rPr>
        <w:t xml:space="preserve"> The first</w:t>
      </w:r>
      <w:r w:rsidR="004B1A83">
        <w:rPr>
          <w:rFonts w:asciiTheme="minorHAnsi" w:hAnsiTheme="minorHAnsi" w:cs="Arial"/>
          <w:sz w:val="24"/>
          <w:szCs w:val="24"/>
        </w:rPr>
        <w:t xml:space="preserve"> recorded temperature and blood pressure were used to derive the score. The other variables were measured on enrolment</w:t>
      </w:r>
      <w:r w:rsidR="00664980">
        <w:rPr>
          <w:rFonts w:asciiTheme="minorHAnsi" w:hAnsiTheme="minorHAnsi" w:cs="Arial"/>
          <w:sz w:val="24"/>
          <w:szCs w:val="24"/>
        </w:rPr>
        <w:t>, within 48 hours of admission</w:t>
      </w:r>
      <w:r w:rsidR="004B1A83">
        <w:rPr>
          <w:rFonts w:asciiTheme="minorHAnsi" w:hAnsiTheme="minorHAnsi" w:cs="Arial"/>
          <w:sz w:val="24"/>
          <w:szCs w:val="24"/>
        </w:rPr>
        <w:t>.</w:t>
      </w:r>
      <w:r w:rsidR="00F964DD">
        <w:rPr>
          <w:rFonts w:asciiTheme="minorHAnsi" w:hAnsiTheme="minorHAnsi" w:cs="Arial"/>
          <w:sz w:val="24"/>
          <w:szCs w:val="24"/>
        </w:rPr>
        <w:t xml:space="preserve"> </w:t>
      </w:r>
      <w:r w:rsidR="004B1A83" w:rsidRPr="00730728">
        <w:rPr>
          <w:rFonts w:asciiTheme="minorHAnsi" w:hAnsiTheme="minorHAnsi" w:cs="Arial"/>
          <w:sz w:val="24"/>
          <w:szCs w:val="24"/>
        </w:rPr>
        <w:t>Muscle wasting was defined as mid-upper arm circumference (MUAC) ≤190mm</w:t>
      </w:r>
      <w:r w:rsidR="004B1A83" w:rsidRPr="0024430F">
        <w:rPr>
          <w:rFonts w:asciiTheme="minorHAnsi" w:hAnsiTheme="minorHAnsi" w:cs="Arial"/>
          <w:sz w:val="24"/>
          <w:szCs w:val="24"/>
          <w:vertAlign w:val="superscript"/>
        </w:rPr>
        <w:t>22</w:t>
      </w:r>
      <w:r w:rsidR="004B1A83" w:rsidRPr="00730728">
        <w:rPr>
          <w:rFonts w:asciiTheme="minorHAnsi" w:hAnsiTheme="minorHAnsi" w:cs="Arial"/>
          <w:sz w:val="24"/>
          <w:szCs w:val="24"/>
        </w:rPr>
        <w:t xml:space="preserve"> and non-ambulatory was defined as ‘unable to walk unaided’.</w:t>
      </w:r>
      <w:r w:rsidR="004B1A83">
        <w:rPr>
          <w:rFonts w:asciiTheme="minorHAnsi" w:hAnsiTheme="minorHAnsi" w:cs="Arial"/>
          <w:sz w:val="24"/>
          <w:szCs w:val="24"/>
        </w:rPr>
        <w:t xml:space="preserve"> The MUAC was measured for each patient during enrolment and the ambulatory status by verbal confirmation from the participant or relative (if not documented). </w:t>
      </w:r>
      <w:r w:rsidR="00550417" w:rsidRPr="00730728">
        <w:rPr>
          <w:rFonts w:asciiTheme="minorHAnsi" w:hAnsiTheme="minorHAnsi" w:cs="Arial"/>
          <w:sz w:val="24"/>
          <w:szCs w:val="24"/>
        </w:rPr>
        <w:t>P</w:t>
      </w:r>
      <w:r w:rsidR="003D78F8" w:rsidRPr="00730728">
        <w:rPr>
          <w:rFonts w:asciiTheme="minorHAnsi" w:hAnsiTheme="minorHAnsi" w:cs="Arial"/>
          <w:sz w:val="24"/>
          <w:szCs w:val="24"/>
        </w:rPr>
        <w:t>a</w:t>
      </w:r>
      <w:r w:rsidR="00550417" w:rsidRPr="00730728">
        <w:rPr>
          <w:rFonts w:asciiTheme="minorHAnsi" w:hAnsiTheme="minorHAnsi" w:cs="Arial"/>
          <w:sz w:val="24"/>
          <w:szCs w:val="24"/>
        </w:rPr>
        <w:t>p</w:t>
      </w:r>
      <w:r w:rsidR="00884ADC" w:rsidRPr="00730728">
        <w:rPr>
          <w:rFonts w:asciiTheme="minorHAnsi" w:hAnsiTheme="minorHAnsi" w:cs="Arial"/>
          <w:sz w:val="24"/>
          <w:szCs w:val="24"/>
        </w:rPr>
        <w:t>er</w:t>
      </w:r>
      <w:r w:rsidR="00432210">
        <w:rPr>
          <w:rFonts w:asciiTheme="minorHAnsi" w:hAnsiTheme="minorHAnsi" w:cs="Arial"/>
          <w:sz w:val="24"/>
          <w:szCs w:val="24"/>
        </w:rPr>
        <w:t xml:space="preserve"> </w:t>
      </w:r>
      <w:r w:rsidR="003D78F8" w:rsidRPr="00730728">
        <w:rPr>
          <w:rFonts w:asciiTheme="minorHAnsi" w:hAnsiTheme="minorHAnsi" w:cs="Arial"/>
          <w:sz w:val="24"/>
          <w:szCs w:val="24"/>
        </w:rPr>
        <w:t>based data r</w:t>
      </w:r>
      <w:r w:rsidRPr="00730728">
        <w:rPr>
          <w:rFonts w:asciiTheme="minorHAnsi" w:hAnsiTheme="minorHAnsi" w:cs="Arial"/>
          <w:sz w:val="24"/>
          <w:szCs w:val="24"/>
        </w:rPr>
        <w:t xml:space="preserve">ecords were </w:t>
      </w:r>
      <w:r w:rsidR="003D78F8" w:rsidRPr="00730728">
        <w:rPr>
          <w:rFonts w:asciiTheme="minorHAnsi" w:hAnsiTheme="minorHAnsi" w:cs="Arial"/>
          <w:sz w:val="24"/>
          <w:szCs w:val="24"/>
        </w:rPr>
        <w:t>pseudo-</w:t>
      </w:r>
      <w:r w:rsidRPr="00730728">
        <w:rPr>
          <w:rFonts w:asciiTheme="minorHAnsi" w:hAnsiTheme="minorHAnsi" w:cs="Arial"/>
          <w:sz w:val="24"/>
          <w:szCs w:val="24"/>
        </w:rPr>
        <w:t>anonymised</w:t>
      </w:r>
      <w:r w:rsidR="00884ADC" w:rsidRPr="00730728">
        <w:rPr>
          <w:rFonts w:asciiTheme="minorHAnsi" w:hAnsiTheme="minorHAnsi" w:cs="Arial"/>
          <w:sz w:val="24"/>
          <w:szCs w:val="24"/>
        </w:rPr>
        <w:t xml:space="preserve"> using</w:t>
      </w:r>
      <w:r w:rsidR="003D78F8" w:rsidRPr="00730728">
        <w:rPr>
          <w:rFonts w:asciiTheme="minorHAnsi" w:hAnsiTheme="minorHAnsi" w:cs="Arial"/>
          <w:sz w:val="24"/>
          <w:szCs w:val="24"/>
        </w:rPr>
        <w:t xml:space="preserve"> study number</w:t>
      </w:r>
      <w:r w:rsidR="00884ADC" w:rsidRPr="00730728">
        <w:rPr>
          <w:rFonts w:asciiTheme="minorHAnsi" w:hAnsiTheme="minorHAnsi" w:cs="Arial"/>
          <w:sz w:val="24"/>
          <w:szCs w:val="24"/>
        </w:rPr>
        <w:t>s</w:t>
      </w:r>
      <w:r w:rsidR="00387FAF" w:rsidRPr="00730728">
        <w:rPr>
          <w:rFonts w:asciiTheme="minorHAnsi" w:hAnsiTheme="minorHAnsi" w:cs="Arial"/>
          <w:sz w:val="24"/>
          <w:szCs w:val="24"/>
        </w:rPr>
        <w:t xml:space="preserve"> for confidentiality</w:t>
      </w:r>
      <w:r w:rsidR="00FF4656" w:rsidRPr="00730728">
        <w:rPr>
          <w:rFonts w:asciiTheme="minorHAnsi" w:hAnsiTheme="minorHAnsi" w:cs="Arial"/>
          <w:sz w:val="24"/>
          <w:szCs w:val="24"/>
        </w:rPr>
        <w:t xml:space="preserve">. </w:t>
      </w:r>
    </w:p>
    <w:p w:rsidR="0022229C" w:rsidRDefault="00387FAF" w:rsidP="00730728">
      <w:pPr>
        <w:spacing w:line="480" w:lineRule="auto"/>
        <w:rPr>
          <w:rFonts w:asciiTheme="minorHAnsi" w:hAnsiTheme="minorHAnsi" w:cs="Arial"/>
          <w:sz w:val="24"/>
          <w:szCs w:val="24"/>
        </w:rPr>
      </w:pPr>
      <w:r w:rsidRPr="00730728">
        <w:rPr>
          <w:rFonts w:asciiTheme="minorHAnsi" w:hAnsiTheme="minorHAnsi" w:cs="Arial"/>
          <w:sz w:val="24"/>
          <w:szCs w:val="24"/>
        </w:rPr>
        <w:t>Patient o</w:t>
      </w:r>
      <w:r w:rsidR="00FF4656" w:rsidRPr="00730728">
        <w:rPr>
          <w:rFonts w:asciiTheme="minorHAnsi" w:hAnsiTheme="minorHAnsi" w:cs="Arial"/>
          <w:sz w:val="24"/>
          <w:szCs w:val="24"/>
        </w:rPr>
        <w:t>utcome</w:t>
      </w:r>
      <w:r w:rsidRPr="00730728">
        <w:rPr>
          <w:rFonts w:asciiTheme="minorHAnsi" w:hAnsiTheme="minorHAnsi" w:cs="Arial"/>
          <w:sz w:val="24"/>
          <w:szCs w:val="24"/>
        </w:rPr>
        <w:t>s were established by daily review and a triangulation of data from ward discharge books, electronic discharge system and paper records office. For analysis, patients were classified as</w:t>
      </w:r>
      <w:r w:rsidR="00FF4656" w:rsidRPr="00730728">
        <w:rPr>
          <w:rFonts w:asciiTheme="minorHAnsi" w:hAnsiTheme="minorHAnsi" w:cs="Arial"/>
          <w:sz w:val="24"/>
          <w:szCs w:val="24"/>
        </w:rPr>
        <w:t xml:space="preserve"> ‘alive at discharge’ or ‘</w:t>
      </w:r>
      <w:r w:rsidRPr="00730728">
        <w:rPr>
          <w:rFonts w:asciiTheme="minorHAnsi" w:hAnsiTheme="minorHAnsi" w:cs="Arial"/>
          <w:sz w:val="24"/>
          <w:szCs w:val="24"/>
        </w:rPr>
        <w:t>died in-hospital</w:t>
      </w:r>
      <w:r w:rsidR="00FF4656" w:rsidRPr="00730728">
        <w:rPr>
          <w:rFonts w:asciiTheme="minorHAnsi" w:hAnsiTheme="minorHAnsi" w:cs="Arial"/>
          <w:sz w:val="24"/>
          <w:szCs w:val="24"/>
        </w:rPr>
        <w:t>’.</w:t>
      </w:r>
      <w:r w:rsidR="0024430F">
        <w:rPr>
          <w:rFonts w:asciiTheme="minorHAnsi" w:hAnsiTheme="minorHAnsi" w:cs="Arial"/>
          <w:sz w:val="24"/>
          <w:szCs w:val="24"/>
        </w:rPr>
        <w:t xml:space="preserve"> </w:t>
      </w:r>
      <w:r w:rsidRPr="00730728">
        <w:rPr>
          <w:rFonts w:asciiTheme="minorHAnsi" w:hAnsiTheme="minorHAnsi" w:cs="Arial"/>
          <w:sz w:val="24"/>
          <w:szCs w:val="24"/>
        </w:rPr>
        <w:t>Those with indeterminable outcomes were excluded from the analysis</w:t>
      </w:r>
      <w:r w:rsidR="00791BDF">
        <w:rPr>
          <w:rFonts w:asciiTheme="minorHAnsi" w:hAnsiTheme="minorHAnsi" w:cs="Arial"/>
          <w:sz w:val="24"/>
          <w:szCs w:val="24"/>
        </w:rPr>
        <w:t xml:space="preserve"> and deemed lost to follow-up</w:t>
      </w:r>
      <w:r w:rsidRPr="00730728">
        <w:rPr>
          <w:rFonts w:asciiTheme="minorHAnsi" w:hAnsiTheme="minorHAnsi" w:cs="Arial"/>
          <w:sz w:val="24"/>
          <w:szCs w:val="24"/>
        </w:rPr>
        <w:t>.</w:t>
      </w:r>
      <w:r w:rsidR="00791BDF">
        <w:rPr>
          <w:rFonts w:asciiTheme="minorHAnsi" w:hAnsiTheme="minorHAnsi" w:cs="Arial"/>
          <w:sz w:val="24"/>
          <w:szCs w:val="24"/>
        </w:rPr>
        <w:t xml:space="preserve"> Inpatients were followed up for a maximum of 30 days or discharge, whichever was sooner.</w:t>
      </w:r>
    </w:p>
    <w:p w:rsidR="00FF4656" w:rsidRPr="00730728" w:rsidRDefault="0022229C" w:rsidP="00730728">
      <w:pPr>
        <w:spacing w:line="480" w:lineRule="auto"/>
        <w:rPr>
          <w:rFonts w:asciiTheme="minorHAnsi" w:hAnsiTheme="minorHAnsi" w:cs="Arial"/>
          <w:sz w:val="24"/>
          <w:szCs w:val="24"/>
        </w:rPr>
      </w:pPr>
      <w:r>
        <w:rPr>
          <w:rFonts w:asciiTheme="minorHAnsi" w:hAnsiTheme="minorHAnsi" w:cs="Arial"/>
          <w:sz w:val="24"/>
          <w:szCs w:val="24"/>
        </w:rPr>
        <w:t xml:space="preserve">Clinicians treating the patients were not involved in this </w:t>
      </w:r>
      <w:r w:rsidR="006E1CB0">
        <w:rPr>
          <w:rFonts w:asciiTheme="minorHAnsi" w:hAnsiTheme="minorHAnsi" w:cs="Arial"/>
          <w:sz w:val="24"/>
          <w:szCs w:val="24"/>
        </w:rPr>
        <w:t xml:space="preserve">research </w:t>
      </w:r>
      <w:r>
        <w:rPr>
          <w:rFonts w:asciiTheme="minorHAnsi" w:hAnsiTheme="minorHAnsi" w:cs="Arial"/>
          <w:sz w:val="24"/>
          <w:szCs w:val="24"/>
        </w:rPr>
        <w:t xml:space="preserve">study. Hence, they were blinded to the scoring system, </w:t>
      </w:r>
      <w:r w:rsidR="00116326">
        <w:rPr>
          <w:rFonts w:asciiTheme="minorHAnsi" w:hAnsiTheme="minorHAnsi" w:cs="Arial"/>
          <w:sz w:val="24"/>
          <w:szCs w:val="24"/>
        </w:rPr>
        <w:t>and this would</w:t>
      </w:r>
      <w:r>
        <w:rPr>
          <w:rFonts w:asciiTheme="minorHAnsi" w:hAnsiTheme="minorHAnsi" w:cs="Arial"/>
          <w:sz w:val="24"/>
          <w:szCs w:val="24"/>
        </w:rPr>
        <w:t xml:space="preserve"> not</w:t>
      </w:r>
      <w:r w:rsidR="00116326">
        <w:rPr>
          <w:rFonts w:asciiTheme="minorHAnsi" w:hAnsiTheme="minorHAnsi" w:cs="Arial"/>
          <w:sz w:val="24"/>
          <w:szCs w:val="24"/>
        </w:rPr>
        <w:t xml:space="preserve"> have</w:t>
      </w:r>
      <w:r>
        <w:rPr>
          <w:rFonts w:asciiTheme="minorHAnsi" w:hAnsiTheme="minorHAnsi" w:cs="Arial"/>
          <w:sz w:val="24"/>
          <w:szCs w:val="24"/>
        </w:rPr>
        <w:t xml:space="preserve"> impact</w:t>
      </w:r>
      <w:r w:rsidR="00116326">
        <w:rPr>
          <w:rFonts w:asciiTheme="minorHAnsi" w:hAnsiTheme="minorHAnsi" w:cs="Arial"/>
          <w:sz w:val="24"/>
          <w:szCs w:val="24"/>
        </w:rPr>
        <w:t>ed</w:t>
      </w:r>
      <w:r>
        <w:rPr>
          <w:rFonts w:asciiTheme="minorHAnsi" w:hAnsiTheme="minorHAnsi" w:cs="Arial"/>
          <w:sz w:val="24"/>
          <w:szCs w:val="24"/>
        </w:rPr>
        <w:t xml:space="preserve"> patient management.</w:t>
      </w:r>
    </w:p>
    <w:p w:rsidR="00FF4656" w:rsidRPr="00730728" w:rsidRDefault="00FF4656" w:rsidP="00730728">
      <w:pPr>
        <w:spacing w:line="480" w:lineRule="auto"/>
        <w:contextualSpacing/>
        <w:rPr>
          <w:rFonts w:asciiTheme="minorHAnsi" w:hAnsiTheme="minorHAnsi" w:cs="Arial"/>
          <w:sz w:val="24"/>
          <w:szCs w:val="24"/>
        </w:rPr>
      </w:pPr>
    </w:p>
    <w:p w:rsidR="00FF4656" w:rsidRPr="00730728" w:rsidRDefault="00FF4656" w:rsidP="00730728">
      <w:pPr>
        <w:spacing w:line="480" w:lineRule="auto"/>
        <w:contextualSpacing/>
        <w:rPr>
          <w:rFonts w:asciiTheme="minorHAnsi" w:hAnsiTheme="minorHAnsi" w:cs="Arial"/>
          <w:i/>
          <w:sz w:val="24"/>
          <w:szCs w:val="24"/>
          <w:u w:val="single"/>
        </w:rPr>
      </w:pPr>
      <w:r w:rsidRPr="00730728">
        <w:rPr>
          <w:rFonts w:asciiTheme="minorHAnsi" w:hAnsiTheme="minorHAnsi" w:cs="Arial"/>
          <w:i/>
          <w:sz w:val="24"/>
          <w:szCs w:val="24"/>
          <w:u w:val="single"/>
        </w:rPr>
        <w:t>Statistical analyses</w:t>
      </w:r>
    </w:p>
    <w:p w:rsidR="00FF4656" w:rsidRPr="00730728" w:rsidRDefault="00FF4656" w:rsidP="00730728">
      <w:pPr>
        <w:spacing w:line="480" w:lineRule="auto"/>
        <w:contextualSpacing/>
        <w:rPr>
          <w:rFonts w:asciiTheme="minorHAnsi" w:hAnsiTheme="minorHAnsi" w:cs="Arial"/>
          <w:sz w:val="24"/>
          <w:szCs w:val="24"/>
        </w:rPr>
      </w:pPr>
    </w:p>
    <w:p w:rsidR="00FF4656" w:rsidRPr="00730728" w:rsidRDefault="00236F87" w:rsidP="00730728">
      <w:pPr>
        <w:spacing w:line="480" w:lineRule="auto"/>
        <w:rPr>
          <w:rFonts w:asciiTheme="minorHAnsi" w:hAnsiTheme="minorHAnsi" w:cs="Arial"/>
          <w:sz w:val="24"/>
          <w:szCs w:val="24"/>
        </w:rPr>
      </w:pPr>
      <w:r w:rsidRPr="00730728">
        <w:rPr>
          <w:rFonts w:asciiTheme="minorHAnsi" w:hAnsiTheme="minorHAnsi" w:cs="Arial"/>
          <w:sz w:val="24"/>
          <w:szCs w:val="24"/>
        </w:rPr>
        <w:t>We estimated that from a population of</w:t>
      </w:r>
      <w:r w:rsidR="00FF4656" w:rsidRPr="00730728">
        <w:rPr>
          <w:rFonts w:asciiTheme="minorHAnsi" w:hAnsiTheme="minorHAnsi" w:cs="Arial"/>
          <w:sz w:val="24"/>
          <w:szCs w:val="24"/>
        </w:rPr>
        <w:t xml:space="preserve"> 200</w:t>
      </w:r>
      <w:r w:rsidRPr="00730728">
        <w:rPr>
          <w:rFonts w:asciiTheme="minorHAnsi" w:hAnsiTheme="minorHAnsi" w:cs="Arial"/>
          <w:sz w:val="24"/>
          <w:szCs w:val="24"/>
        </w:rPr>
        <w:t xml:space="preserve"> patients</w:t>
      </w:r>
      <w:r w:rsidR="00FF4656" w:rsidRPr="00730728">
        <w:rPr>
          <w:rFonts w:asciiTheme="minorHAnsi" w:hAnsiTheme="minorHAnsi" w:cs="Arial"/>
          <w:sz w:val="24"/>
          <w:szCs w:val="24"/>
        </w:rPr>
        <w:t xml:space="preserve">, </w:t>
      </w:r>
      <w:r w:rsidRPr="00730728">
        <w:rPr>
          <w:rFonts w:asciiTheme="minorHAnsi" w:hAnsiTheme="minorHAnsi" w:cs="Arial"/>
          <w:sz w:val="24"/>
          <w:szCs w:val="24"/>
        </w:rPr>
        <w:t>validation</w:t>
      </w:r>
      <w:r w:rsidR="00FF4656" w:rsidRPr="00730728">
        <w:rPr>
          <w:rFonts w:asciiTheme="minorHAnsi" w:hAnsiTheme="minorHAnsi" w:cs="Arial"/>
          <w:sz w:val="24"/>
          <w:szCs w:val="24"/>
        </w:rPr>
        <w:t xml:space="preserve"> of sensitivity</w:t>
      </w:r>
      <w:r w:rsidRPr="00730728">
        <w:rPr>
          <w:rFonts w:asciiTheme="minorHAnsi" w:hAnsiTheme="minorHAnsi" w:cs="Arial"/>
          <w:sz w:val="24"/>
          <w:szCs w:val="24"/>
        </w:rPr>
        <w:t xml:space="preserve"> would be possible</w:t>
      </w:r>
      <w:r w:rsidR="00FF4656" w:rsidRPr="00730728">
        <w:rPr>
          <w:rFonts w:asciiTheme="minorHAnsi" w:hAnsiTheme="minorHAnsi" w:cs="Arial"/>
          <w:sz w:val="24"/>
          <w:szCs w:val="24"/>
        </w:rPr>
        <w:t xml:space="preserve"> to within 7% and specificity to within 8.3%, assum</w:t>
      </w:r>
      <w:r w:rsidRPr="00730728">
        <w:rPr>
          <w:rFonts w:asciiTheme="minorHAnsi" w:hAnsiTheme="minorHAnsi" w:cs="Arial"/>
          <w:sz w:val="24"/>
          <w:szCs w:val="24"/>
        </w:rPr>
        <w:t>ing</w:t>
      </w:r>
      <w:r w:rsidR="00FF4656" w:rsidRPr="00730728">
        <w:rPr>
          <w:rFonts w:asciiTheme="minorHAnsi" w:hAnsiTheme="minorHAnsi" w:cs="Arial"/>
          <w:sz w:val="24"/>
          <w:szCs w:val="24"/>
        </w:rPr>
        <w:t xml:space="preserve"> 80% sensitivity and 75% specifi</w:t>
      </w:r>
      <w:bookmarkStart w:id="0" w:name="_GoBack"/>
      <w:bookmarkEnd w:id="0"/>
      <w:r w:rsidR="00FF4656" w:rsidRPr="00730728">
        <w:rPr>
          <w:rFonts w:asciiTheme="minorHAnsi" w:hAnsiTheme="minorHAnsi" w:cs="Arial"/>
          <w:sz w:val="24"/>
          <w:szCs w:val="24"/>
        </w:rPr>
        <w:t>city.</w:t>
      </w:r>
      <w:r w:rsidR="0024430F" w:rsidRPr="0024430F">
        <w:rPr>
          <w:rFonts w:asciiTheme="minorHAnsi" w:hAnsiTheme="minorHAnsi" w:cs="Arial"/>
          <w:sz w:val="24"/>
          <w:szCs w:val="24"/>
          <w:vertAlign w:val="superscript"/>
        </w:rPr>
        <w:t>16,23</w:t>
      </w:r>
    </w:p>
    <w:p w:rsidR="00FF4656" w:rsidRPr="00730728" w:rsidRDefault="00236F87" w:rsidP="00730728">
      <w:pPr>
        <w:spacing w:line="480" w:lineRule="auto"/>
        <w:rPr>
          <w:rFonts w:asciiTheme="minorHAnsi" w:hAnsiTheme="minorHAnsi" w:cs="Arial"/>
          <w:b/>
          <w:sz w:val="24"/>
          <w:szCs w:val="24"/>
          <w:u w:val="single"/>
        </w:rPr>
      </w:pPr>
      <w:r w:rsidRPr="00730728">
        <w:rPr>
          <w:rFonts w:asciiTheme="minorHAnsi" w:hAnsiTheme="minorHAnsi" w:cs="Arial"/>
          <w:sz w:val="24"/>
          <w:szCs w:val="24"/>
        </w:rPr>
        <w:lastRenderedPageBreak/>
        <w:t xml:space="preserve">Odds ratios of inpatient death were calculated for each </w:t>
      </w:r>
      <w:r w:rsidR="0024430F">
        <w:rPr>
          <w:rFonts w:asciiTheme="minorHAnsi" w:hAnsiTheme="minorHAnsi" w:cs="Arial"/>
          <w:sz w:val="24"/>
          <w:szCs w:val="24"/>
        </w:rPr>
        <w:t xml:space="preserve">variable in the SWAT-Bp score. </w:t>
      </w:r>
      <w:r w:rsidR="00FF4656" w:rsidRPr="00730728">
        <w:rPr>
          <w:rFonts w:asciiTheme="minorHAnsi" w:hAnsiTheme="minorHAnsi" w:cs="Arial"/>
          <w:sz w:val="24"/>
          <w:szCs w:val="24"/>
        </w:rPr>
        <w:t>Sensitivity, specificity, p</w:t>
      </w:r>
      <w:r w:rsidRPr="00730728">
        <w:rPr>
          <w:rFonts w:asciiTheme="minorHAnsi" w:hAnsiTheme="minorHAnsi" w:cs="Arial"/>
          <w:sz w:val="24"/>
          <w:szCs w:val="24"/>
        </w:rPr>
        <w:t>ositive predictive values (PPV),</w:t>
      </w:r>
      <w:r w:rsidR="00FF4656" w:rsidRPr="00730728">
        <w:rPr>
          <w:rFonts w:asciiTheme="minorHAnsi" w:hAnsiTheme="minorHAnsi" w:cs="Arial"/>
          <w:sz w:val="24"/>
          <w:szCs w:val="24"/>
        </w:rPr>
        <w:t xml:space="preserve"> negative predictive values (NPV) </w:t>
      </w:r>
      <w:r w:rsidRPr="00730728">
        <w:rPr>
          <w:rFonts w:asciiTheme="minorHAnsi" w:hAnsiTheme="minorHAnsi" w:cs="Arial"/>
          <w:sz w:val="24"/>
          <w:szCs w:val="24"/>
        </w:rPr>
        <w:t>and</w:t>
      </w:r>
      <w:r w:rsidR="00FF4656" w:rsidRPr="00730728">
        <w:rPr>
          <w:rFonts w:asciiTheme="minorHAnsi" w:hAnsiTheme="minorHAnsi" w:cs="Arial"/>
          <w:sz w:val="24"/>
          <w:szCs w:val="24"/>
        </w:rPr>
        <w:t xml:space="preserve"> </w:t>
      </w:r>
      <w:r w:rsidR="00EC4454" w:rsidRPr="00730728">
        <w:rPr>
          <w:rFonts w:asciiTheme="minorHAnsi" w:hAnsiTheme="minorHAnsi" w:cs="Arial"/>
          <w:sz w:val="24"/>
          <w:szCs w:val="24"/>
        </w:rPr>
        <w:t xml:space="preserve">area </w:t>
      </w:r>
      <w:r w:rsidR="00FF4656" w:rsidRPr="00730728">
        <w:rPr>
          <w:rFonts w:asciiTheme="minorHAnsi" w:hAnsiTheme="minorHAnsi" w:cs="Arial"/>
          <w:sz w:val="24"/>
          <w:szCs w:val="24"/>
        </w:rPr>
        <w:t>under the receiving operating characteristic (ROC) curve</w:t>
      </w:r>
      <w:r w:rsidRPr="00730728">
        <w:rPr>
          <w:rFonts w:asciiTheme="minorHAnsi" w:hAnsiTheme="minorHAnsi" w:cs="Arial"/>
          <w:sz w:val="24"/>
          <w:szCs w:val="24"/>
        </w:rPr>
        <w:t xml:space="preserve"> were calculated</w:t>
      </w:r>
      <w:r w:rsidR="008C022C">
        <w:rPr>
          <w:rFonts w:asciiTheme="minorHAnsi" w:hAnsiTheme="minorHAnsi" w:cs="Arial"/>
          <w:sz w:val="24"/>
          <w:szCs w:val="24"/>
        </w:rPr>
        <w:t xml:space="preserve"> using PASW Statistics 17</w:t>
      </w:r>
      <w:r w:rsidR="00387FAF" w:rsidRPr="00730728">
        <w:rPr>
          <w:rFonts w:asciiTheme="minorHAnsi" w:hAnsiTheme="minorHAnsi" w:cs="Arial"/>
          <w:sz w:val="24"/>
          <w:szCs w:val="24"/>
        </w:rPr>
        <w:t xml:space="preserve"> manufactured by IBM.</w:t>
      </w:r>
      <w:r w:rsidR="00FF4656" w:rsidRPr="00730728">
        <w:rPr>
          <w:rFonts w:asciiTheme="minorHAnsi" w:hAnsiTheme="minorHAnsi" w:cs="Arial"/>
          <w:b/>
          <w:sz w:val="24"/>
          <w:szCs w:val="24"/>
          <w:u w:val="single"/>
        </w:rPr>
        <w:br w:type="page"/>
      </w:r>
      <w:r w:rsidR="00FF4656" w:rsidRPr="00730728">
        <w:rPr>
          <w:rFonts w:asciiTheme="minorHAnsi" w:hAnsiTheme="minorHAnsi" w:cs="Arial"/>
          <w:b/>
          <w:sz w:val="24"/>
          <w:szCs w:val="24"/>
          <w:u w:val="single"/>
        </w:rPr>
        <w:lastRenderedPageBreak/>
        <w:t>RESULTS</w:t>
      </w:r>
    </w:p>
    <w:p w:rsidR="00FF4656" w:rsidRPr="00730728" w:rsidRDefault="00FF4656" w:rsidP="00730728">
      <w:pPr>
        <w:spacing w:line="480" w:lineRule="auto"/>
        <w:contextualSpacing/>
        <w:rPr>
          <w:rFonts w:asciiTheme="minorHAnsi" w:hAnsiTheme="minorHAnsi" w:cs="Arial"/>
          <w:b/>
          <w:sz w:val="24"/>
          <w:szCs w:val="24"/>
          <w:u w:val="single"/>
        </w:rPr>
      </w:pPr>
    </w:p>
    <w:p w:rsidR="00FF4656" w:rsidRPr="00730728" w:rsidRDefault="00FF4656" w:rsidP="00730728">
      <w:pPr>
        <w:spacing w:before="240" w:line="480" w:lineRule="auto"/>
        <w:rPr>
          <w:rFonts w:asciiTheme="minorHAnsi" w:hAnsiTheme="minorHAnsi" w:cs="Arial"/>
          <w:sz w:val="24"/>
          <w:szCs w:val="24"/>
        </w:rPr>
      </w:pPr>
      <w:r w:rsidRPr="00730728">
        <w:rPr>
          <w:rFonts w:asciiTheme="minorHAnsi" w:hAnsiTheme="minorHAnsi" w:cs="Arial"/>
          <w:sz w:val="24"/>
          <w:szCs w:val="24"/>
        </w:rPr>
        <w:t>234 patients with a preliminary diagnosis of community-acquired pneumonia</w:t>
      </w:r>
      <w:r w:rsidR="004B1585" w:rsidRPr="00730728">
        <w:rPr>
          <w:rFonts w:asciiTheme="minorHAnsi" w:hAnsiTheme="minorHAnsi" w:cs="Arial"/>
          <w:sz w:val="24"/>
          <w:szCs w:val="24"/>
        </w:rPr>
        <w:t xml:space="preserve"> met the elig</w:t>
      </w:r>
      <w:r w:rsidR="000F060E" w:rsidRPr="00730728">
        <w:rPr>
          <w:rFonts w:asciiTheme="minorHAnsi" w:hAnsiTheme="minorHAnsi" w:cs="Arial"/>
          <w:sz w:val="24"/>
          <w:szCs w:val="24"/>
        </w:rPr>
        <w:t xml:space="preserve">ibility criteria </w:t>
      </w:r>
      <w:r w:rsidR="008F377D" w:rsidRPr="00730728">
        <w:rPr>
          <w:rFonts w:asciiTheme="minorHAnsi" w:hAnsiTheme="minorHAnsi" w:cs="Arial"/>
          <w:sz w:val="24"/>
          <w:szCs w:val="24"/>
        </w:rPr>
        <w:t>[</w:t>
      </w:r>
      <w:r w:rsidRPr="00730728">
        <w:rPr>
          <w:rFonts w:asciiTheme="minorHAnsi" w:hAnsiTheme="minorHAnsi" w:cs="Arial"/>
          <w:sz w:val="24"/>
          <w:szCs w:val="24"/>
        </w:rPr>
        <w:t>Figure 1</w:t>
      </w:r>
      <w:r w:rsidR="008F377D" w:rsidRPr="00730728">
        <w:rPr>
          <w:rFonts w:asciiTheme="minorHAnsi" w:hAnsiTheme="minorHAnsi" w:cs="Arial"/>
          <w:sz w:val="24"/>
          <w:szCs w:val="24"/>
        </w:rPr>
        <w:t>]</w:t>
      </w:r>
      <w:r w:rsidR="008C022C">
        <w:rPr>
          <w:rFonts w:asciiTheme="minorHAnsi" w:hAnsiTheme="minorHAnsi" w:cs="Arial"/>
          <w:sz w:val="24"/>
          <w:szCs w:val="24"/>
        </w:rPr>
        <w:t xml:space="preserve"> between</w:t>
      </w:r>
      <w:r w:rsidR="008C022C" w:rsidRPr="008C022C">
        <w:rPr>
          <w:rFonts w:asciiTheme="minorHAnsi" w:hAnsiTheme="minorHAnsi" w:cs="Arial"/>
          <w:sz w:val="24"/>
          <w:szCs w:val="24"/>
        </w:rPr>
        <w:t xml:space="preserve"> </w:t>
      </w:r>
      <w:r w:rsidR="008C022C" w:rsidRPr="00730728">
        <w:rPr>
          <w:rFonts w:asciiTheme="minorHAnsi" w:hAnsiTheme="minorHAnsi" w:cs="Arial"/>
          <w:sz w:val="24"/>
          <w:szCs w:val="24"/>
        </w:rPr>
        <w:t>19</w:t>
      </w:r>
      <w:r w:rsidR="008C022C" w:rsidRPr="00730728">
        <w:rPr>
          <w:rFonts w:asciiTheme="minorHAnsi" w:hAnsiTheme="minorHAnsi" w:cs="Arial"/>
          <w:sz w:val="24"/>
          <w:szCs w:val="24"/>
          <w:vertAlign w:val="superscript"/>
        </w:rPr>
        <w:t>th</w:t>
      </w:r>
      <w:r w:rsidR="008C022C">
        <w:rPr>
          <w:rFonts w:asciiTheme="minorHAnsi" w:hAnsiTheme="minorHAnsi" w:cs="Arial"/>
          <w:sz w:val="24"/>
          <w:szCs w:val="24"/>
        </w:rPr>
        <w:t xml:space="preserve"> February -</w:t>
      </w:r>
      <w:r w:rsidR="008C022C" w:rsidRPr="00730728">
        <w:rPr>
          <w:rFonts w:asciiTheme="minorHAnsi" w:hAnsiTheme="minorHAnsi" w:cs="Arial"/>
          <w:sz w:val="24"/>
          <w:szCs w:val="24"/>
        </w:rPr>
        <w:t xml:space="preserve"> 1</w:t>
      </w:r>
      <w:r w:rsidR="008C022C" w:rsidRPr="00730728">
        <w:rPr>
          <w:rFonts w:asciiTheme="minorHAnsi" w:hAnsiTheme="minorHAnsi" w:cs="Arial"/>
          <w:sz w:val="24"/>
          <w:szCs w:val="24"/>
          <w:vertAlign w:val="superscript"/>
        </w:rPr>
        <w:t>st</w:t>
      </w:r>
      <w:r w:rsidR="008C022C" w:rsidRPr="00730728">
        <w:rPr>
          <w:rFonts w:asciiTheme="minorHAnsi" w:hAnsiTheme="minorHAnsi" w:cs="Arial"/>
          <w:sz w:val="24"/>
          <w:szCs w:val="24"/>
        </w:rPr>
        <w:t xml:space="preserve"> April </w:t>
      </w:r>
      <w:r w:rsidR="008C022C">
        <w:rPr>
          <w:rFonts w:asciiTheme="minorHAnsi" w:hAnsiTheme="minorHAnsi" w:cs="Arial"/>
          <w:sz w:val="24"/>
          <w:szCs w:val="24"/>
        </w:rPr>
        <w:t>and</w:t>
      </w:r>
      <w:r w:rsidR="008C022C" w:rsidRPr="00730728">
        <w:rPr>
          <w:rFonts w:asciiTheme="minorHAnsi" w:hAnsiTheme="minorHAnsi" w:cs="Arial"/>
          <w:sz w:val="24"/>
          <w:szCs w:val="24"/>
        </w:rPr>
        <w:t xml:space="preserve"> 6</w:t>
      </w:r>
      <w:r w:rsidR="008C022C" w:rsidRPr="00730728">
        <w:rPr>
          <w:rFonts w:asciiTheme="minorHAnsi" w:hAnsiTheme="minorHAnsi" w:cs="Arial"/>
          <w:sz w:val="24"/>
          <w:szCs w:val="24"/>
          <w:vertAlign w:val="superscript"/>
        </w:rPr>
        <w:t>th</w:t>
      </w:r>
      <w:r w:rsidR="008C022C" w:rsidRPr="00730728">
        <w:rPr>
          <w:rFonts w:asciiTheme="minorHAnsi" w:hAnsiTheme="minorHAnsi" w:cs="Arial"/>
          <w:sz w:val="24"/>
          <w:szCs w:val="24"/>
        </w:rPr>
        <w:t xml:space="preserve"> October </w:t>
      </w:r>
      <w:r w:rsidR="008C022C">
        <w:rPr>
          <w:rFonts w:asciiTheme="minorHAnsi" w:hAnsiTheme="minorHAnsi" w:cs="Arial"/>
          <w:sz w:val="24"/>
          <w:szCs w:val="24"/>
        </w:rPr>
        <w:t>-</w:t>
      </w:r>
      <w:r w:rsidR="008C022C" w:rsidRPr="00730728">
        <w:rPr>
          <w:rFonts w:asciiTheme="minorHAnsi" w:hAnsiTheme="minorHAnsi" w:cs="Arial"/>
          <w:sz w:val="24"/>
          <w:szCs w:val="24"/>
        </w:rPr>
        <w:t xml:space="preserve"> 27</w:t>
      </w:r>
      <w:r w:rsidR="008C022C" w:rsidRPr="00730728">
        <w:rPr>
          <w:rFonts w:asciiTheme="minorHAnsi" w:hAnsiTheme="minorHAnsi" w:cs="Arial"/>
          <w:sz w:val="24"/>
          <w:szCs w:val="24"/>
          <w:vertAlign w:val="superscript"/>
        </w:rPr>
        <w:t>th</w:t>
      </w:r>
      <w:r w:rsidR="008C022C" w:rsidRPr="00730728">
        <w:rPr>
          <w:rFonts w:asciiTheme="minorHAnsi" w:hAnsiTheme="minorHAnsi" w:cs="Arial"/>
          <w:sz w:val="24"/>
          <w:szCs w:val="24"/>
        </w:rPr>
        <w:t xml:space="preserve"> November 2011</w:t>
      </w:r>
      <w:r w:rsidRPr="00730728">
        <w:rPr>
          <w:rFonts w:asciiTheme="minorHAnsi" w:hAnsiTheme="minorHAnsi" w:cs="Arial"/>
          <w:sz w:val="24"/>
          <w:szCs w:val="24"/>
        </w:rPr>
        <w:t>. Eighteen (7.7%)</w:t>
      </w:r>
      <w:r w:rsidR="008C022C">
        <w:rPr>
          <w:rFonts w:asciiTheme="minorHAnsi" w:hAnsiTheme="minorHAnsi" w:cs="Arial"/>
          <w:sz w:val="24"/>
          <w:szCs w:val="24"/>
        </w:rPr>
        <w:t xml:space="preserve"> of these</w:t>
      </w:r>
      <w:r w:rsidRPr="00730728">
        <w:rPr>
          <w:rFonts w:asciiTheme="minorHAnsi" w:hAnsiTheme="minorHAnsi" w:cs="Arial"/>
          <w:sz w:val="24"/>
          <w:szCs w:val="24"/>
        </w:rPr>
        <w:t xml:space="preserve"> were excluded due to loss to follow-up.  Of</w:t>
      </w:r>
      <w:r w:rsidR="000F060E" w:rsidRPr="00730728">
        <w:rPr>
          <w:rFonts w:asciiTheme="minorHAnsi" w:hAnsiTheme="minorHAnsi" w:cs="Arial"/>
          <w:sz w:val="24"/>
          <w:szCs w:val="24"/>
        </w:rPr>
        <w:t xml:space="preserve"> the </w:t>
      </w:r>
      <w:r w:rsidR="0079542D" w:rsidRPr="00730728">
        <w:rPr>
          <w:rFonts w:asciiTheme="minorHAnsi" w:hAnsiTheme="minorHAnsi" w:cs="Arial"/>
          <w:sz w:val="24"/>
          <w:szCs w:val="24"/>
        </w:rPr>
        <w:t>216 remaining</w:t>
      </w:r>
      <w:r w:rsidR="00856760">
        <w:rPr>
          <w:rFonts w:asciiTheme="minorHAnsi" w:hAnsiTheme="minorHAnsi" w:cs="Arial"/>
          <w:sz w:val="24"/>
          <w:szCs w:val="24"/>
        </w:rPr>
        <w:t xml:space="preserve"> participants included</w:t>
      </w:r>
      <w:r w:rsidRPr="00730728">
        <w:rPr>
          <w:rFonts w:asciiTheme="minorHAnsi" w:hAnsiTheme="minorHAnsi" w:cs="Arial"/>
          <w:sz w:val="24"/>
          <w:szCs w:val="24"/>
        </w:rPr>
        <w:t>, 90 (41.7%) were male.</w:t>
      </w:r>
      <w:r w:rsidRPr="00730728">
        <w:rPr>
          <w:rFonts w:asciiTheme="minorHAnsi" w:hAnsiTheme="minorHAnsi" w:cs="Arial"/>
          <w:color w:val="FF0000"/>
          <w:sz w:val="24"/>
          <w:szCs w:val="24"/>
        </w:rPr>
        <w:t xml:space="preserve"> </w:t>
      </w:r>
      <w:r w:rsidRPr="00730728">
        <w:rPr>
          <w:rFonts w:asciiTheme="minorHAnsi" w:hAnsiTheme="minorHAnsi" w:cs="Arial"/>
          <w:sz w:val="24"/>
          <w:szCs w:val="24"/>
        </w:rPr>
        <w:t>Mean age was</w:t>
      </w:r>
      <w:r w:rsidRPr="00730728">
        <w:rPr>
          <w:rFonts w:asciiTheme="minorHAnsi" w:hAnsiTheme="minorHAnsi" w:cs="Arial"/>
          <w:color w:val="FF0000"/>
          <w:sz w:val="24"/>
          <w:szCs w:val="24"/>
        </w:rPr>
        <w:t xml:space="preserve"> </w:t>
      </w:r>
      <w:r w:rsidRPr="00730728">
        <w:rPr>
          <w:rFonts w:asciiTheme="minorHAnsi" w:hAnsiTheme="minorHAnsi" w:cs="Arial"/>
          <w:sz w:val="24"/>
          <w:szCs w:val="24"/>
        </w:rPr>
        <w:t>37 years</w:t>
      </w:r>
      <w:r w:rsidRPr="00730728">
        <w:rPr>
          <w:rFonts w:asciiTheme="minorHAnsi" w:hAnsiTheme="minorHAnsi" w:cs="Arial"/>
          <w:color w:val="FF0000"/>
          <w:sz w:val="24"/>
          <w:szCs w:val="24"/>
        </w:rPr>
        <w:t xml:space="preserve"> </w:t>
      </w:r>
      <w:r w:rsidRPr="00730728">
        <w:rPr>
          <w:rFonts w:asciiTheme="minorHAnsi" w:hAnsiTheme="minorHAnsi" w:cs="Arial"/>
          <w:sz w:val="24"/>
          <w:szCs w:val="24"/>
        </w:rPr>
        <w:t xml:space="preserve">(median 35, range 16-79). </w:t>
      </w:r>
      <w:r w:rsidR="000F060E" w:rsidRPr="00730728">
        <w:rPr>
          <w:rFonts w:asciiTheme="minorHAnsi" w:hAnsiTheme="minorHAnsi" w:cs="Arial"/>
          <w:sz w:val="24"/>
          <w:szCs w:val="24"/>
        </w:rPr>
        <w:t>Forty-five patients (20.8%) had unknown HIV status; 144</w:t>
      </w:r>
      <w:r w:rsidRPr="00730728">
        <w:rPr>
          <w:rFonts w:asciiTheme="minorHAnsi" w:hAnsiTheme="minorHAnsi" w:cs="Arial"/>
          <w:sz w:val="24"/>
          <w:szCs w:val="24"/>
        </w:rPr>
        <w:t xml:space="preserve"> were HIV positive (84.2</w:t>
      </w:r>
      <w:r w:rsidR="000F060E" w:rsidRPr="00730728">
        <w:rPr>
          <w:rFonts w:asciiTheme="minorHAnsi" w:hAnsiTheme="minorHAnsi" w:cs="Arial"/>
          <w:sz w:val="24"/>
          <w:szCs w:val="24"/>
        </w:rPr>
        <w:t>% of known HIV status)</w:t>
      </w:r>
      <w:r w:rsidRPr="00730728">
        <w:rPr>
          <w:rFonts w:asciiTheme="minorHAnsi" w:hAnsiTheme="minorHAnsi" w:cs="Arial"/>
          <w:sz w:val="24"/>
          <w:szCs w:val="24"/>
        </w:rPr>
        <w:t>. Overall inpatient mortality rate was</w:t>
      </w:r>
      <w:r w:rsidRPr="00730728">
        <w:rPr>
          <w:rFonts w:asciiTheme="minorHAnsi" w:hAnsiTheme="minorHAnsi" w:cs="Arial"/>
          <w:color w:val="FF0000"/>
          <w:sz w:val="24"/>
          <w:szCs w:val="24"/>
        </w:rPr>
        <w:t xml:space="preserve"> </w:t>
      </w:r>
      <w:r w:rsidRPr="00730728">
        <w:rPr>
          <w:rFonts w:asciiTheme="minorHAnsi" w:hAnsiTheme="minorHAnsi" w:cs="Arial"/>
          <w:sz w:val="24"/>
          <w:szCs w:val="24"/>
        </w:rPr>
        <w:t>12.5%</w:t>
      </w:r>
      <w:r w:rsidR="001F433D" w:rsidRPr="00730728">
        <w:rPr>
          <w:rFonts w:asciiTheme="minorHAnsi" w:hAnsiTheme="minorHAnsi" w:cs="Arial"/>
          <w:sz w:val="24"/>
          <w:szCs w:val="24"/>
        </w:rPr>
        <w:t xml:space="preserve"> (27)</w:t>
      </w:r>
      <w:r w:rsidRPr="00730728">
        <w:rPr>
          <w:rFonts w:asciiTheme="minorHAnsi" w:hAnsiTheme="minorHAnsi" w:cs="Arial"/>
          <w:sz w:val="24"/>
          <w:szCs w:val="24"/>
        </w:rPr>
        <w:t>; 48%</w:t>
      </w:r>
      <w:r w:rsidR="001F433D" w:rsidRPr="00730728">
        <w:rPr>
          <w:rFonts w:asciiTheme="minorHAnsi" w:hAnsiTheme="minorHAnsi" w:cs="Arial"/>
          <w:sz w:val="24"/>
          <w:szCs w:val="24"/>
        </w:rPr>
        <w:t xml:space="preserve"> (13)</w:t>
      </w:r>
      <w:r w:rsidRPr="00730728">
        <w:rPr>
          <w:rFonts w:asciiTheme="minorHAnsi" w:hAnsiTheme="minorHAnsi" w:cs="Arial"/>
          <w:sz w:val="24"/>
          <w:szCs w:val="24"/>
        </w:rPr>
        <w:t xml:space="preserve"> of these deaths occurred within 48 hours and 70%</w:t>
      </w:r>
      <w:r w:rsidR="001F433D" w:rsidRPr="00730728">
        <w:rPr>
          <w:rFonts w:asciiTheme="minorHAnsi" w:hAnsiTheme="minorHAnsi" w:cs="Arial"/>
          <w:sz w:val="24"/>
          <w:szCs w:val="24"/>
        </w:rPr>
        <w:t xml:space="preserve"> (19)</w:t>
      </w:r>
      <w:r w:rsidRPr="00730728">
        <w:rPr>
          <w:rFonts w:asciiTheme="minorHAnsi" w:hAnsiTheme="minorHAnsi" w:cs="Arial"/>
          <w:sz w:val="24"/>
          <w:szCs w:val="24"/>
        </w:rPr>
        <w:t xml:space="preserve"> within one week of admission. Baseline characteristics were similar between included pa</w:t>
      </w:r>
      <w:r w:rsidR="00856760">
        <w:rPr>
          <w:rFonts w:asciiTheme="minorHAnsi" w:hAnsiTheme="minorHAnsi" w:cs="Arial"/>
          <w:sz w:val="24"/>
          <w:szCs w:val="24"/>
        </w:rPr>
        <w:t>rticipant</w:t>
      </w:r>
      <w:r w:rsidRPr="00730728">
        <w:rPr>
          <w:rFonts w:asciiTheme="minorHAnsi" w:hAnsiTheme="minorHAnsi" w:cs="Arial"/>
          <w:sz w:val="24"/>
          <w:szCs w:val="24"/>
        </w:rPr>
        <w:t xml:space="preserve">s and those lost to follow-up </w:t>
      </w:r>
      <w:r w:rsidR="008F377D" w:rsidRPr="00730728">
        <w:rPr>
          <w:rFonts w:asciiTheme="minorHAnsi" w:hAnsiTheme="minorHAnsi" w:cs="Arial"/>
          <w:sz w:val="24"/>
          <w:szCs w:val="24"/>
        </w:rPr>
        <w:t>[Table 1]</w:t>
      </w:r>
      <w:r w:rsidRPr="00730728">
        <w:rPr>
          <w:rFonts w:asciiTheme="minorHAnsi" w:hAnsiTheme="minorHAnsi" w:cs="Arial"/>
          <w:sz w:val="24"/>
          <w:szCs w:val="24"/>
        </w:rPr>
        <w:t>.</w:t>
      </w:r>
    </w:p>
    <w:p w:rsidR="00FF4656" w:rsidRPr="00730728" w:rsidRDefault="000F060E" w:rsidP="00730728">
      <w:pPr>
        <w:spacing w:line="480" w:lineRule="auto"/>
        <w:rPr>
          <w:rFonts w:asciiTheme="minorHAnsi" w:hAnsiTheme="minorHAnsi" w:cs="Arial"/>
          <w:sz w:val="24"/>
          <w:szCs w:val="24"/>
        </w:rPr>
      </w:pPr>
      <w:r w:rsidRPr="00730728">
        <w:rPr>
          <w:rFonts w:asciiTheme="minorHAnsi" w:hAnsiTheme="minorHAnsi" w:cs="Arial"/>
          <w:sz w:val="24"/>
          <w:szCs w:val="24"/>
        </w:rPr>
        <w:t>SWAT-Bp scores were skewed, with only three patients scoring 5</w:t>
      </w:r>
      <w:r w:rsidR="00FF4656" w:rsidRPr="00730728">
        <w:rPr>
          <w:rFonts w:asciiTheme="minorHAnsi" w:hAnsiTheme="minorHAnsi" w:cs="Arial"/>
          <w:sz w:val="24"/>
          <w:szCs w:val="24"/>
        </w:rPr>
        <w:t xml:space="preserve">. </w:t>
      </w:r>
      <w:r w:rsidRPr="00730728">
        <w:rPr>
          <w:rFonts w:asciiTheme="minorHAnsi" w:hAnsiTheme="minorHAnsi" w:cs="Arial"/>
          <w:sz w:val="24"/>
          <w:szCs w:val="24"/>
        </w:rPr>
        <w:t>M</w:t>
      </w:r>
      <w:r w:rsidR="00FF4656" w:rsidRPr="00730728">
        <w:rPr>
          <w:rFonts w:asciiTheme="minorHAnsi" w:hAnsiTheme="minorHAnsi" w:cs="Arial"/>
          <w:sz w:val="24"/>
          <w:szCs w:val="24"/>
        </w:rPr>
        <w:t xml:space="preserve">ortality risk </w:t>
      </w:r>
      <w:r w:rsidR="008F377D" w:rsidRPr="00730728">
        <w:rPr>
          <w:rFonts w:asciiTheme="minorHAnsi" w:hAnsiTheme="minorHAnsi" w:cs="Arial"/>
          <w:sz w:val="24"/>
          <w:szCs w:val="24"/>
        </w:rPr>
        <w:t xml:space="preserve">increased </w:t>
      </w:r>
      <w:r w:rsidR="008C022C">
        <w:rPr>
          <w:rFonts w:asciiTheme="minorHAnsi" w:hAnsiTheme="minorHAnsi" w:cs="Arial"/>
          <w:sz w:val="24"/>
          <w:szCs w:val="24"/>
        </w:rPr>
        <w:t xml:space="preserve">respectively </w:t>
      </w:r>
      <w:r w:rsidR="008F377D" w:rsidRPr="00730728">
        <w:rPr>
          <w:rFonts w:asciiTheme="minorHAnsi" w:hAnsiTheme="minorHAnsi" w:cs="Arial"/>
          <w:sz w:val="24"/>
          <w:szCs w:val="24"/>
        </w:rPr>
        <w:t>with SWAT-Bp score [</w:t>
      </w:r>
      <w:r w:rsidRPr="00730728">
        <w:rPr>
          <w:rFonts w:asciiTheme="minorHAnsi" w:hAnsiTheme="minorHAnsi" w:cs="Arial"/>
          <w:sz w:val="24"/>
          <w:szCs w:val="24"/>
        </w:rPr>
        <w:t>Table 2,</w:t>
      </w:r>
      <w:r w:rsidR="00FF4656" w:rsidRPr="00730728">
        <w:rPr>
          <w:rFonts w:asciiTheme="minorHAnsi" w:hAnsiTheme="minorHAnsi" w:cs="Arial"/>
          <w:sz w:val="24"/>
          <w:szCs w:val="24"/>
        </w:rPr>
        <w:t xml:space="preserve"> Figure 2</w:t>
      </w:r>
      <w:r w:rsidR="008F377D" w:rsidRPr="00730728">
        <w:rPr>
          <w:rFonts w:asciiTheme="minorHAnsi" w:hAnsiTheme="minorHAnsi" w:cs="Arial"/>
          <w:sz w:val="24"/>
          <w:szCs w:val="24"/>
        </w:rPr>
        <w:t>]</w:t>
      </w:r>
      <w:r w:rsidR="00FF4656" w:rsidRPr="00730728">
        <w:rPr>
          <w:rFonts w:asciiTheme="minorHAnsi" w:hAnsiTheme="minorHAnsi" w:cs="Arial"/>
          <w:sz w:val="24"/>
          <w:szCs w:val="24"/>
        </w:rPr>
        <w:t>.</w:t>
      </w:r>
    </w:p>
    <w:p w:rsidR="006F566E" w:rsidRPr="00730728" w:rsidRDefault="001F433D" w:rsidP="00730728">
      <w:pPr>
        <w:spacing w:line="480" w:lineRule="auto"/>
        <w:rPr>
          <w:rFonts w:asciiTheme="minorHAnsi" w:hAnsiTheme="minorHAnsi" w:cs="Arial"/>
          <w:sz w:val="24"/>
          <w:szCs w:val="24"/>
        </w:rPr>
      </w:pPr>
      <w:r w:rsidRPr="00730728">
        <w:rPr>
          <w:rFonts w:asciiTheme="minorHAnsi" w:hAnsiTheme="minorHAnsi" w:cs="Arial"/>
          <w:sz w:val="24"/>
          <w:szCs w:val="24"/>
        </w:rPr>
        <w:t>The SWAT-Bp score of ≥</w:t>
      </w:r>
      <w:r w:rsidR="005A5DC9" w:rsidRPr="00730728">
        <w:rPr>
          <w:rFonts w:asciiTheme="minorHAnsi" w:hAnsiTheme="minorHAnsi" w:cs="Arial"/>
          <w:sz w:val="24"/>
          <w:szCs w:val="24"/>
        </w:rPr>
        <w:t>2</w:t>
      </w:r>
      <w:r w:rsidRPr="00730728">
        <w:rPr>
          <w:rFonts w:asciiTheme="minorHAnsi" w:hAnsiTheme="minorHAnsi" w:cs="Arial"/>
          <w:sz w:val="24"/>
          <w:szCs w:val="24"/>
        </w:rPr>
        <w:t xml:space="preserve"> demonstrates a</w:t>
      </w:r>
      <w:r w:rsidR="006F566E" w:rsidRPr="00730728">
        <w:rPr>
          <w:rFonts w:asciiTheme="minorHAnsi" w:hAnsiTheme="minorHAnsi" w:cs="Arial"/>
          <w:sz w:val="24"/>
          <w:szCs w:val="24"/>
        </w:rPr>
        <w:t xml:space="preserve"> sensitivity </w:t>
      </w:r>
      <w:r w:rsidRPr="00730728">
        <w:rPr>
          <w:rFonts w:asciiTheme="minorHAnsi" w:hAnsiTheme="minorHAnsi" w:cs="Arial"/>
          <w:sz w:val="24"/>
          <w:szCs w:val="24"/>
        </w:rPr>
        <w:t xml:space="preserve">of </w:t>
      </w:r>
      <w:r w:rsidR="005A5DC9" w:rsidRPr="00730728">
        <w:rPr>
          <w:rFonts w:asciiTheme="minorHAnsi" w:hAnsiTheme="minorHAnsi" w:cs="Arial"/>
          <w:sz w:val="24"/>
          <w:szCs w:val="24"/>
        </w:rPr>
        <w:t>81</w:t>
      </w:r>
      <w:r w:rsidR="00D81871" w:rsidRPr="00730728">
        <w:rPr>
          <w:rFonts w:asciiTheme="minorHAnsi" w:hAnsiTheme="minorHAnsi" w:cs="Arial"/>
          <w:sz w:val="24"/>
          <w:szCs w:val="24"/>
        </w:rPr>
        <w:t>.</w:t>
      </w:r>
      <w:r w:rsidR="005A5DC9" w:rsidRPr="00730728">
        <w:rPr>
          <w:rFonts w:asciiTheme="minorHAnsi" w:hAnsiTheme="minorHAnsi" w:cs="Arial"/>
          <w:sz w:val="24"/>
          <w:szCs w:val="24"/>
        </w:rPr>
        <w:t>5</w:t>
      </w:r>
      <w:r w:rsidR="00D81871" w:rsidRPr="00730728">
        <w:rPr>
          <w:rFonts w:asciiTheme="minorHAnsi" w:hAnsiTheme="minorHAnsi" w:cs="Arial"/>
          <w:sz w:val="24"/>
          <w:szCs w:val="24"/>
        </w:rPr>
        <w:t>%</w:t>
      </w:r>
      <w:r w:rsidR="006F566E" w:rsidRPr="00730728">
        <w:rPr>
          <w:rFonts w:asciiTheme="minorHAnsi" w:hAnsiTheme="minorHAnsi" w:cs="Arial"/>
          <w:sz w:val="24"/>
          <w:szCs w:val="24"/>
        </w:rPr>
        <w:t xml:space="preserve"> (95% CI </w:t>
      </w:r>
      <w:r w:rsidR="005A5DC9" w:rsidRPr="00730728">
        <w:rPr>
          <w:rFonts w:asciiTheme="minorHAnsi" w:hAnsiTheme="minorHAnsi" w:cs="Arial"/>
          <w:sz w:val="24"/>
          <w:szCs w:val="24"/>
        </w:rPr>
        <w:t>61.3-93.0</w:t>
      </w:r>
      <w:r w:rsidR="006F566E" w:rsidRPr="00730728">
        <w:rPr>
          <w:rFonts w:asciiTheme="minorHAnsi" w:hAnsiTheme="minorHAnsi" w:cs="Arial"/>
          <w:sz w:val="24"/>
          <w:szCs w:val="24"/>
        </w:rPr>
        <w:t xml:space="preserve">) and specificity </w:t>
      </w:r>
      <w:r w:rsidRPr="00730728">
        <w:rPr>
          <w:rFonts w:asciiTheme="minorHAnsi" w:hAnsiTheme="minorHAnsi" w:cs="Arial"/>
          <w:sz w:val="24"/>
          <w:szCs w:val="24"/>
        </w:rPr>
        <w:t xml:space="preserve">of </w:t>
      </w:r>
      <w:r w:rsidR="005A5DC9" w:rsidRPr="00730728">
        <w:rPr>
          <w:rFonts w:asciiTheme="minorHAnsi" w:hAnsiTheme="minorHAnsi" w:cs="Arial"/>
          <w:sz w:val="24"/>
          <w:szCs w:val="24"/>
        </w:rPr>
        <w:t>51</w:t>
      </w:r>
      <w:r w:rsidR="006F566E" w:rsidRPr="00730728">
        <w:rPr>
          <w:rFonts w:asciiTheme="minorHAnsi" w:hAnsiTheme="minorHAnsi" w:cs="Arial"/>
          <w:sz w:val="24"/>
          <w:szCs w:val="24"/>
        </w:rPr>
        <w:t>.</w:t>
      </w:r>
      <w:r w:rsidR="005A5DC9" w:rsidRPr="00730728">
        <w:rPr>
          <w:rFonts w:asciiTheme="minorHAnsi" w:hAnsiTheme="minorHAnsi" w:cs="Arial"/>
          <w:sz w:val="24"/>
          <w:szCs w:val="24"/>
        </w:rPr>
        <w:t>3</w:t>
      </w:r>
      <w:r w:rsidR="006F566E" w:rsidRPr="00730728">
        <w:rPr>
          <w:rFonts w:asciiTheme="minorHAnsi" w:hAnsiTheme="minorHAnsi" w:cs="Arial"/>
          <w:sz w:val="24"/>
          <w:szCs w:val="24"/>
        </w:rPr>
        <w:t>%</w:t>
      </w:r>
      <w:r w:rsidR="00D81871" w:rsidRPr="00730728">
        <w:rPr>
          <w:rFonts w:asciiTheme="minorHAnsi" w:hAnsiTheme="minorHAnsi" w:cs="Arial"/>
          <w:sz w:val="24"/>
          <w:szCs w:val="24"/>
        </w:rPr>
        <w:t xml:space="preserve"> (95% CI </w:t>
      </w:r>
      <w:r w:rsidR="005A5DC9" w:rsidRPr="00730728">
        <w:rPr>
          <w:rFonts w:asciiTheme="minorHAnsi" w:hAnsiTheme="minorHAnsi" w:cs="Arial"/>
          <w:sz w:val="24"/>
          <w:szCs w:val="24"/>
        </w:rPr>
        <w:t>44</w:t>
      </w:r>
      <w:r w:rsidR="00D81871" w:rsidRPr="00730728">
        <w:rPr>
          <w:rFonts w:asciiTheme="minorHAnsi" w:hAnsiTheme="minorHAnsi" w:cs="Arial"/>
          <w:sz w:val="24"/>
          <w:szCs w:val="24"/>
        </w:rPr>
        <w:t>.0-</w:t>
      </w:r>
      <w:r w:rsidR="005A5DC9" w:rsidRPr="00730728">
        <w:rPr>
          <w:rFonts w:asciiTheme="minorHAnsi" w:hAnsiTheme="minorHAnsi" w:cs="Arial"/>
          <w:sz w:val="24"/>
          <w:szCs w:val="24"/>
        </w:rPr>
        <w:t>58.6</w:t>
      </w:r>
      <w:r w:rsidR="006F566E" w:rsidRPr="00730728">
        <w:rPr>
          <w:rFonts w:asciiTheme="minorHAnsi" w:hAnsiTheme="minorHAnsi" w:cs="Arial"/>
          <w:sz w:val="24"/>
          <w:szCs w:val="24"/>
        </w:rPr>
        <w:t>).</w:t>
      </w:r>
      <w:r w:rsidRPr="00730728">
        <w:rPr>
          <w:rFonts w:asciiTheme="minorHAnsi" w:hAnsiTheme="minorHAnsi" w:cs="Arial"/>
          <w:sz w:val="24"/>
          <w:szCs w:val="24"/>
        </w:rPr>
        <w:t xml:space="preserve"> </w:t>
      </w:r>
      <w:r w:rsidR="008F2AE4" w:rsidRPr="00730728">
        <w:rPr>
          <w:rFonts w:asciiTheme="minorHAnsi" w:hAnsiTheme="minorHAnsi" w:cs="Arial"/>
          <w:sz w:val="24"/>
          <w:szCs w:val="24"/>
        </w:rPr>
        <w:t>T</w:t>
      </w:r>
      <w:r w:rsidR="006F566E" w:rsidRPr="00730728">
        <w:rPr>
          <w:rFonts w:asciiTheme="minorHAnsi" w:hAnsiTheme="minorHAnsi" w:cs="Arial"/>
          <w:sz w:val="24"/>
          <w:szCs w:val="24"/>
        </w:rPr>
        <w:t>he SWAT-Bp score</w:t>
      </w:r>
      <w:r w:rsidR="008C022C">
        <w:rPr>
          <w:rFonts w:asciiTheme="minorHAnsi" w:hAnsiTheme="minorHAnsi" w:cs="Arial"/>
          <w:sz w:val="24"/>
          <w:szCs w:val="24"/>
        </w:rPr>
        <w:t xml:space="preserve"> could</w:t>
      </w:r>
      <w:r w:rsidR="006F566E" w:rsidRPr="00730728">
        <w:rPr>
          <w:rFonts w:asciiTheme="minorHAnsi" w:hAnsiTheme="minorHAnsi" w:cs="Arial"/>
          <w:sz w:val="24"/>
          <w:szCs w:val="24"/>
        </w:rPr>
        <w:t xml:space="preserve"> </w:t>
      </w:r>
      <w:r w:rsidR="008C022C">
        <w:rPr>
          <w:rFonts w:asciiTheme="minorHAnsi" w:hAnsiTheme="minorHAnsi" w:cs="Arial"/>
          <w:sz w:val="24"/>
          <w:szCs w:val="24"/>
        </w:rPr>
        <w:t xml:space="preserve">further </w:t>
      </w:r>
      <w:r w:rsidR="006F566E" w:rsidRPr="00730728">
        <w:rPr>
          <w:rFonts w:asciiTheme="minorHAnsi" w:hAnsiTheme="minorHAnsi" w:cs="Arial"/>
          <w:sz w:val="24"/>
          <w:szCs w:val="24"/>
        </w:rPr>
        <w:t xml:space="preserve">divide patients into three </w:t>
      </w:r>
      <w:r w:rsidR="008F2AE4" w:rsidRPr="00730728">
        <w:rPr>
          <w:rFonts w:asciiTheme="minorHAnsi" w:hAnsiTheme="minorHAnsi" w:cs="Arial"/>
          <w:sz w:val="24"/>
          <w:szCs w:val="24"/>
        </w:rPr>
        <w:t>groups; 47% of participants score 0 or 1 with</w:t>
      </w:r>
      <w:r w:rsidR="006F566E" w:rsidRPr="00730728">
        <w:rPr>
          <w:rFonts w:asciiTheme="minorHAnsi" w:hAnsiTheme="minorHAnsi" w:cs="Arial"/>
          <w:sz w:val="24"/>
          <w:szCs w:val="24"/>
        </w:rPr>
        <w:t xml:space="preserve"> 4.9% mortality</w:t>
      </w:r>
      <w:r w:rsidR="008F2AE4" w:rsidRPr="00730728">
        <w:rPr>
          <w:rFonts w:asciiTheme="minorHAnsi" w:hAnsiTheme="minorHAnsi" w:cs="Arial"/>
          <w:sz w:val="24"/>
          <w:szCs w:val="24"/>
        </w:rPr>
        <w:t>, 2</w:t>
      </w:r>
      <w:r w:rsidR="003B1FEE" w:rsidRPr="00730728">
        <w:rPr>
          <w:rFonts w:asciiTheme="minorHAnsi" w:hAnsiTheme="minorHAnsi" w:cs="Arial"/>
          <w:sz w:val="24"/>
          <w:szCs w:val="24"/>
        </w:rPr>
        <w:t>6</w:t>
      </w:r>
      <w:r w:rsidR="008F2AE4" w:rsidRPr="00730728">
        <w:rPr>
          <w:rFonts w:asciiTheme="minorHAnsi" w:hAnsiTheme="minorHAnsi" w:cs="Arial"/>
          <w:sz w:val="24"/>
          <w:szCs w:val="24"/>
        </w:rPr>
        <w:t xml:space="preserve">% of participants </w:t>
      </w:r>
      <w:r w:rsidR="006F566E" w:rsidRPr="00730728">
        <w:rPr>
          <w:rFonts w:asciiTheme="minorHAnsi" w:hAnsiTheme="minorHAnsi" w:cs="Arial"/>
          <w:sz w:val="24"/>
          <w:szCs w:val="24"/>
        </w:rPr>
        <w:t xml:space="preserve">score 2 with 12.7% mortality and </w:t>
      </w:r>
      <w:r w:rsidR="008F2AE4" w:rsidRPr="00730728">
        <w:rPr>
          <w:rFonts w:asciiTheme="minorHAnsi" w:hAnsiTheme="minorHAnsi" w:cs="Arial"/>
          <w:sz w:val="24"/>
          <w:szCs w:val="24"/>
        </w:rPr>
        <w:t>27</w:t>
      </w:r>
      <w:r w:rsidR="003B1FEE" w:rsidRPr="00730728">
        <w:rPr>
          <w:rFonts w:asciiTheme="minorHAnsi" w:hAnsiTheme="minorHAnsi" w:cs="Arial"/>
          <w:sz w:val="24"/>
          <w:szCs w:val="24"/>
        </w:rPr>
        <w:t>% score 3 or above</w:t>
      </w:r>
      <w:r w:rsidR="006F566E" w:rsidRPr="00730728">
        <w:rPr>
          <w:rFonts w:asciiTheme="minorHAnsi" w:hAnsiTheme="minorHAnsi" w:cs="Arial"/>
          <w:sz w:val="24"/>
          <w:szCs w:val="24"/>
        </w:rPr>
        <w:t xml:space="preserve"> with 25.4% mortality. </w:t>
      </w:r>
      <w:r w:rsidR="00B616B8" w:rsidRPr="00730728">
        <w:rPr>
          <w:rFonts w:asciiTheme="minorHAnsi" w:hAnsiTheme="minorHAnsi" w:cs="Arial"/>
          <w:sz w:val="24"/>
          <w:szCs w:val="24"/>
        </w:rPr>
        <w:t xml:space="preserve">The </w:t>
      </w:r>
      <w:r w:rsidR="008C022C">
        <w:rPr>
          <w:rFonts w:asciiTheme="minorHAnsi" w:hAnsiTheme="minorHAnsi" w:cs="Arial"/>
          <w:sz w:val="24"/>
          <w:szCs w:val="24"/>
        </w:rPr>
        <w:t xml:space="preserve">moderate </w:t>
      </w:r>
      <w:r w:rsidR="00CA210F" w:rsidRPr="00730728">
        <w:rPr>
          <w:rFonts w:asciiTheme="minorHAnsi" w:hAnsiTheme="minorHAnsi" w:cs="Arial"/>
          <w:sz w:val="24"/>
          <w:szCs w:val="24"/>
        </w:rPr>
        <w:t>performance</w:t>
      </w:r>
      <w:r w:rsidR="00B616B8" w:rsidRPr="00730728">
        <w:rPr>
          <w:rFonts w:asciiTheme="minorHAnsi" w:hAnsiTheme="minorHAnsi" w:cs="Arial"/>
          <w:sz w:val="24"/>
          <w:szCs w:val="24"/>
        </w:rPr>
        <w:t xml:space="preserve"> of the SWAT-Bp score in predicting mortality risk is demonstrated by the </w:t>
      </w:r>
      <w:r w:rsidR="00CA210F" w:rsidRPr="00730728">
        <w:rPr>
          <w:rFonts w:asciiTheme="minorHAnsi" w:hAnsiTheme="minorHAnsi" w:cs="Arial"/>
          <w:sz w:val="24"/>
          <w:szCs w:val="24"/>
        </w:rPr>
        <w:t xml:space="preserve">area under the </w:t>
      </w:r>
      <w:r w:rsidR="00B616B8" w:rsidRPr="00730728">
        <w:rPr>
          <w:rFonts w:asciiTheme="minorHAnsi" w:hAnsiTheme="minorHAnsi" w:cs="Arial"/>
          <w:sz w:val="24"/>
          <w:szCs w:val="24"/>
        </w:rPr>
        <w:t>ROC curve</w:t>
      </w:r>
      <w:r w:rsidR="00CA210F" w:rsidRPr="00730728">
        <w:rPr>
          <w:rFonts w:asciiTheme="minorHAnsi" w:hAnsiTheme="minorHAnsi" w:cs="Arial"/>
          <w:sz w:val="24"/>
          <w:szCs w:val="24"/>
        </w:rPr>
        <w:t xml:space="preserve"> of 0.744</w:t>
      </w:r>
      <w:r w:rsidR="00B616B8" w:rsidRPr="00730728">
        <w:rPr>
          <w:rFonts w:asciiTheme="minorHAnsi" w:hAnsiTheme="minorHAnsi" w:cs="Arial"/>
          <w:sz w:val="24"/>
          <w:szCs w:val="24"/>
        </w:rPr>
        <w:t>.</w:t>
      </w:r>
    </w:p>
    <w:p w:rsidR="00856760" w:rsidRDefault="00CA210F" w:rsidP="00730728">
      <w:pPr>
        <w:spacing w:line="480" w:lineRule="auto"/>
        <w:rPr>
          <w:rFonts w:asciiTheme="minorHAnsi" w:hAnsiTheme="minorHAnsi" w:cs="Arial"/>
          <w:sz w:val="24"/>
          <w:szCs w:val="24"/>
        </w:rPr>
      </w:pPr>
      <w:r w:rsidRPr="00730728">
        <w:rPr>
          <w:rFonts w:asciiTheme="minorHAnsi" w:hAnsiTheme="minorHAnsi" w:cs="Arial"/>
          <w:sz w:val="24"/>
          <w:szCs w:val="24"/>
        </w:rPr>
        <w:t>T</w:t>
      </w:r>
      <w:r w:rsidR="00FF4656" w:rsidRPr="00730728">
        <w:rPr>
          <w:rFonts w:asciiTheme="minorHAnsi" w:hAnsiTheme="minorHAnsi" w:cs="Arial"/>
          <w:sz w:val="24"/>
          <w:szCs w:val="24"/>
        </w:rPr>
        <w:t>he most signif</w:t>
      </w:r>
      <w:r w:rsidRPr="00730728">
        <w:rPr>
          <w:rFonts w:asciiTheme="minorHAnsi" w:hAnsiTheme="minorHAnsi" w:cs="Arial"/>
          <w:sz w:val="24"/>
          <w:szCs w:val="24"/>
        </w:rPr>
        <w:t>icant predictors for mortality we</w:t>
      </w:r>
      <w:r w:rsidR="00FF4656" w:rsidRPr="00730728">
        <w:rPr>
          <w:rFonts w:asciiTheme="minorHAnsi" w:hAnsiTheme="minorHAnsi" w:cs="Arial"/>
          <w:sz w:val="24"/>
          <w:szCs w:val="24"/>
        </w:rPr>
        <w:t xml:space="preserve">re male </w:t>
      </w:r>
      <w:r w:rsidRPr="00730728">
        <w:rPr>
          <w:rFonts w:asciiTheme="minorHAnsi" w:hAnsiTheme="minorHAnsi" w:cs="Arial"/>
          <w:sz w:val="24"/>
          <w:szCs w:val="24"/>
        </w:rPr>
        <w:t>sex</w:t>
      </w:r>
      <w:r w:rsidR="00112AB9" w:rsidRPr="00730728">
        <w:rPr>
          <w:rFonts w:asciiTheme="minorHAnsi" w:hAnsiTheme="minorHAnsi" w:cs="Arial"/>
          <w:sz w:val="24"/>
          <w:szCs w:val="24"/>
        </w:rPr>
        <w:t xml:space="preserve"> (Odds Ratio 4.0)</w:t>
      </w:r>
      <w:r w:rsidR="00FF4656" w:rsidRPr="00730728">
        <w:rPr>
          <w:rFonts w:asciiTheme="minorHAnsi" w:hAnsiTheme="minorHAnsi" w:cs="Arial"/>
          <w:sz w:val="24"/>
          <w:szCs w:val="24"/>
        </w:rPr>
        <w:t xml:space="preserve"> and being non-ambulatory</w:t>
      </w:r>
      <w:r w:rsidR="00112AB9" w:rsidRPr="00730728">
        <w:rPr>
          <w:rFonts w:asciiTheme="minorHAnsi" w:hAnsiTheme="minorHAnsi" w:cs="Arial"/>
          <w:sz w:val="24"/>
          <w:szCs w:val="24"/>
        </w:rPr>
        <w:t xml:space="preserve"> (Odds Ratio 4.1)</w:t>
      </w:r>
      <w:r w:rsidR="004B1585" w:rsidRPr="00730728">
        <w:rPr>
          <w:rFonts w:asciiTheme="minorHAnsi" w:hAnsiTheme="minorHAnsi" w:cs="Arial"/>
          <w:sz w:val="24"/>
          <w:szCs w:val="24"/>
        </w:rPr>
        <w:t xml:space="preserve"> </w:t>
      </w:r>
      <w:r w:rsidR="008F377D" w:rsidRPr="00730728">
        <w:rPr>
          <w:rFonts w:asciiTheme="minorHAnsi" w:hAnsiTheme="minorHAnsi" w:cs="Arial"/>
          <w:sz w:val="24"/>
          <w:szCs w:val="24"/>
        </w:rPr>
        <w:t>[Table 4]</w:t>
      </w:r>
      <w:r w:rsidR="00FF4656" w:rsidRPr="00730728">
        <w:rPr>
          <w:rFonts w:asciiTheme="minorHAnsi" w:hAnsiTheme="minorHAnsi" w:cs="Arial"/>
          <w:sz w:val="24"/>
          <w:szCs w:val="24"/>
        </w:rPr>
        <w:t xml:space="preserve">. </w:t>
      </w:r>
      <w:r w:rsidRPr="00730728">
        <w:rPr>
          <w:rFonts w:asciiTheme="minorHAnsi" w:hAnsiTheme="minorHAnsi" w:cs="Arial"/>
          <w:sz w:val="24"/>
          <w:szCs w:val="24"/>
        </w:rPr>
        <w:t>F</w:t>
      </w:r>
      <w:r w:rsidR="004B1585" w:rsidRPr="00730728">
        <w:rPr>
          <w:rFonts w:asciiTheme="minorHAnsi" w:hAnsiTheme="minorHAnsi" w:cs="Arial"/>
          <w:sz w:val="24"/>
          <w:szCs w:val="24"/>
        </w:rPr>
        <w:t>or</w:t>
      </w:r>
      <w:r w:rsidRPr="00730728">
        <w:rPr>
          <w:rFonts w:asciiTheme="minorHAnsi" w:hAnsiTheme="minorHAnsi" w:cs="Arial"/>
          <w:sz w:val="24"/>
          <w:szCs w:val="24"/>
        </w:rPr>
        <w:t xml:space="preserve"> these </w:t>
      </w:r>
      <w:r w:rsidR="00FF4656" w:rsidRPr="00730728">
        <w:rPr>
          <w:rFonts w:asciiTheme="minorHAnsi" w:hAnsiTheme="minorHAnsi" w:cs="Arial"/>
          <w:sz w:val="24"/>
          <w:szCs w:val="24"/>
        </w:rPr>
        <w:t>variable</w:t>
      </w:r>
      <w:r w:rsidR="004B1585" w:rsidRPr="00730728">
        <w:rPr>
          <w:rFonts w:asciiTheme="minorHAnsi" w:hAnsiTheme="minorHAnsi" w:cs="Arial"/>
          <w:sz w:val="24"/>
          <w:szCs w:val="24"/>
        </w:rPr>
        <w:t>s</w:t>
      </w:r>
      <w:r w:rsidRPr="00730728">
        <w:rPr>
          <w:rFonts w:asciiTheme="minorHAnsi" w:hAnsiTheme="minorHAnsi" w:cs="Arial"/>
          <w:sz w:val="24"/>
          <w:szCs w:val="24"/>
        </w:rPr>
        <w:t xml:space="preserve">, sensitivity and specificity were </w:t>
      </w:r>
      <w:r w:rsidR="00FF4656" w:rsidRPr="00730728">
        <w:rPr>
          <w:rFonts w:asciiTheme="minorHAnsi" w:hAnsiTheme="minorHAnsi" w:cs="Arial"/>
          <w:sz w:val="24"/>
          <w:szCs w:val="24"/>
        </w:rPr>
        <w:lastRenderedPageBreak/>
        <w:t xml:space="preserve">70.4% and 62.4% </w:t>
      </w:r>
      <w:r w:rsidRPr="00730728">
        <w:rPr>
          <w:rFonts w:asciiTheme="minorHAnsi" w:hAnsiTheme="minorHAnsi" w:cs="Arial"/>
          <w:sz w:val="24"/>
          <w:szCs w:val="24"/>
        </w:rPr>
        <w:t>respectively for male sex</w:t>
      </w:r>
      <w:r w:rsidR="00FF4656" w:rsidRPr="00730728">
        <w:rPr>
          <w:rFonts w:asciiTheme="minorHAnsi" w:hAnsiTheme="minorHAnsi" w:cs="Arial"/>
          <w:sz w:val="24"/>
          <w:szCs w:val="24"/>
        </w:rPr>
        <w:t xml:space="preserve"> and 66.7% and 67.2%</w:t>
      </w:r>
      <w:r w:rsidRPr="00730728">
        <w:rPr>
          <w:rFonts w:asciiTheme="minorHAnsi" w:hAnsiTheme="minorHAnsi" w:cs="Arial"/>
          <w:sz w:val="24"/>
          <w:szCs w:val="24"/>
        </w:rPr>
        <w:t xml:space="preserve"> for non-ambulatory status</w:t>
      </w:r>
      <w:r w:rsidR="00FF4656" w:rsidRPr="00730728">
        <w:rPr>
          <w:rFonts w:asciiTheme="minorHAnsi" w:hAnsiTheme="minorHAnsi" w:cs="Arial"/>
          <w:sz w:val="24"/>
          <w:szCs w:val="24"/>
        </w:rPr>
        <w:t>.</w:t>
      </w:r>
      <w:r w:rsidRPr="00730728">
        <w:rPr>
          <w:rFonts w:asciiTheme="minorHAnsi" w:hAnsiTheme="minorHAnsi" w:cs="Arial"/>
          <w:sz w:val="24"/>
          <w:szCs w:val="24"/>
        </w:rPr>
        <w:t xml:space="preserve"> N</w:t>
      </w:r>
      <w:r w:rsidR="00856760">
        <w:rPr>
          <w:rFonts w:asciiTheme="minorHAnsi" w:hAnsiTheme="minorHAnsi" w:cs="Arial"/>
          <w:sz w:val="24"/>
          <w:szCs w:val="24"/>
        </w:rPr>
        <w:t>egative predictive value</w:t>
      </w:r>
      <w:r w:rsidRPr="00730728">
        <w:rPr>
          <w:rFonts w:asciiTheme="minorHAnsi" w:hAnsiTheme="minorHAnsi" w:cs="Arial"/>
          <w:sz w:val="24"/>
          <w:szCs w:val="24"/>
        </w:rPr>
        <w:t xml:space="preserve"> wa</w:t>
      </w:r>
      <w:r w:rsidR="008F377D" w:rsidRPr="00730728">
        <w:rPr>
          <w:rFonts w:asciiTheme="minorHAnsi" w:hAnsiTheme="minorHAnsi" w:cs="Arial"/>
          <w:sz w:val="24"/>
          <w:szCs w:val="24"/>
        </w:rPr>
        <w:t>s 93.7% and 93.4% respectively [</w:t>
      </w:r>
      <w:r w:rsidR="00FF4656" w:rsidRPr="00730728">
        <w:rPr>
          <w:rFonts w:asciiTheme="minorHAnsi" w:hAnsiTheme="minorHAnsi" w:cs="Arial"/>
          <w:sz w:val="24"/>
          <w:szCs w:val="24"/>
        </w:rPr>
        <w:t>Table 3</w:t>
      </w:r>
      <w:r w:rsidR="008F377D" w:rsidRPr="00730728">
        <w:rPr>
          <w:rFonts w:asciiTheme="minorHAnsi" w:hAnsiTheme="minorHAnsi" w:cs="Arial"/>
          <w:sz w:val="24"/>
          <w:szCs w:val="24"/>
        </w:rPr>
        <w:t>]</w:t>
      </w:r>
      <w:r w:rsidR="00FF4656" w:rsidRPr="00730728">
        <w:rPr>
          <w:rFonts w:asciiTheme="minorHAnsi" w:hAnsiTheme="minorHAnsi" w:cs="Arial"/>
          <w:sz w:val="24"/>
          <w:szCs w:val="24"/>
        </w:rPr>
        <w:t>.</w:t>
      </w:r>
    </w:p>
    <w:p w:rsidR="00FF4656" w:rsidRPr="00730728" w:rsidRDefault="00FF4656" w:rsidP="00730728">
      <w:pPr>
        <w:spacing w:line="480" w:lineRule="auto"/>
        <w:rPr>
          <w:rFonts w:asciiTheme="minorHAnsi" w:hAnsiTheme="minorHAnsi" w:cs="Arial"/>
          <w:sz w:val="24"/>
          <w:szCs w:val="24"/>
        </w:rPr>
      </w:pPr>
      <w:r w:rsidRPr="00730728">
        <w:rPr>
          <w:rFonts w:asciiTheme="minorHAnsi" w:hAnsiTheme="minorHAnsi" w:cs="Arial"/>
          <w:sz w:val="24"/>
          <w:szCs w:val="24"/>
        </w:rPr>
        <w:t xml:space="preserve">Figure </w:t>
      </w:r>
      <w:r w:rsidR="004B3C27">
        <w:rPr>
          <w:rFonts w:asciiTheme="minorHAnsi" w:hAnsiTheme="minorHAnsi" w:cs="Arial"/>
          <w:sz w:val="24"/>
          <w:szCs w:val="24"/>
        </w:rPr>
        <w:t>3</w:t>
      </w:r>
      <w:r w:rsidRPr="00730728">
        <w:rPr>
          <w:rFonts w:asciiTheme="minorHAnsi" w:hAnsiTheme="minorHAnsi" w:cs="Arial"/>
          <w:sz w:val="24"/>
          <w:szCs w:val="24"/>
        </w:rPr>
        <w:t xml:space="preserve"> demonstrates how the SWAT-Bp score could</w:t>
      </w:r>
      <w:r w:rsidR="00112AB9" w:rsidRPr="00730728">
        <w:rPr>
          <w:rFonts w:asciiTheme="minorHAnsi" w:hAnsiTheme="minorHAnsi" w:cs="Arial"/>
          <w:sz w:val="24"/>
          <w:szCs w:val="24"/>
        </w:rPr>
        <w:t xml:space="preserve"> be used in clinical practice to </w:t>
      </w:r>
      <w:r w:rsidR="0043287E">
        <w:rPr>
          <w:rFonts w:asciiTheme="minorHAnsi" w:hAnsiTheme="minorHAnsi" w:cs="Arial"/>
          <w:sz w:val="24"/>
          <w:szCs w:val="24"/>
        </w:rPr>
        <w:t xml:space="preserve">help to </w:t>
      </w:r>
      <w:r w:rsidR="00112AB9" w:rsidRPr="00730728">
        <w:rPr>
          <w:rFonts w:asciiTheme="minorHAnsi" w:hAnsiTheme="minorHAnsi" w:cs="Arial"/>
          <w:sz w:val="24"/>
          <w:szCs w:val="24"/>
        </w:rPr>
        <w:t>stratify the mortality risk of patie</w:t>
      </w:r>
      <w:r w:rsidR="00A119A4" w:rsidRPr="00730728">
        <w:rPr>
          <w:rFonts w:asciiTheme="minorHAnsi" w:hAnsiTheme="minorHAnsi" w:cs="Arial"/>
          <w:sz w:val="24"/>
          <w:szCs w:val="24"/>
        </w:rPr>
        <w:t>nts attending hospital with clinical presentation of a</w:t>
      </w:r>
      <w:r w:rsidR="00112AB9" w:rsidRPr="00730728">
        <w:rPr>
          <w:rFonts w:asciiTheme="minorHAnsi" w:hAnsiTheme="minorHAnsi" w:cs="Arial"/>
          <w:sz w:val="24"/>
          <w:szCs w:val="24"/>
        </w:rPr>
        <w:t xml:space="preserve"> lower respiratory tract infection</w:t>
      </w:r>
      <w:r w:rsidR="00A119A4" w:rsidRPr="00730728">
        <w:rPr>
          <w:rFonts w:asciiTheme="minorHAnsi" w:hAnsiTheme="minorHAnsi" w:cs="Arial"/>
          <w:sz w:val="24"/>
          <w:szCs w:val="24"/>
        </w:rPr>
        <w:t xml:space="preserve"> and a presumed primary diagnosis of pneumonia</w:t>
      </w:r>
      <w:r w:rsidR="00112AB9" w:rsidRPr="00730728">
        <w:rPr>
          <w:rFonts w:asciiTheme="minorHAnsi" w:hAnsiTheme="minorHAnsi" w:cs="Arial"/>
          <w:sz w:val="24"/>
          <w:szCs w:val="24"/>
        </w:rPr>
        <w:t>.</w:t>
      </w:r>
    </w:p>
    <w:p w:rsidR="00FF4656" w:rsidRPr="00730728" w:rsidRDefault="00FF4656" w:rsidP="00730728">
      <w:pPr>
        <w:spacing w:line="480" w:lineRule="auto"/>
        <w:contextualSpacing/>
        <w:rPr>
          <w:rFonts w:asciiTheme="minorHAnsi" w:hAnsiTheme="minorHAnsi" w:cs="Arial"/>
          <w:b/>
          <w:sz w:val="24"/>
          <w:szCs w:val="24"/>
          <w:u w:val="single"/>
        </w:rPr>
      </w:pPr>
      <w:r w:rsidRPr="00730728">
        <w:rPr>
          <w:rFonts w:asciiTheme="minorHAnsi" w:hAnsiTheme="minorHAnsi" w:cs="Arial"/>
          <w:b/>
          <w:sz w:val="24"/>
          <w:szCs w:val="24"/>
          <w:u w:val="single"/>
        </w:rPr>
        <w:br w:type="page"/>
      </w:r>
      <w:r w:rsidRPr="00730728">
        <w:rPr>
          <w:rFonts w:asciiTheme="minorHAnsi" w:hAnsiTheme="minorHAnsi" w:cs="Arial"/>
          <w:b/>
          <w:sz w:val="24"/>
          <w:szCs w:val="24"/>
          <w:u w:val="single"/>
        </w:rPr>
        <w:lastRenderedPageBreak/>
        <w:t>DISCUSSION</w:t>
      </w:r>
    </w:p>
    <w:p w:rsidR="000D397B" w:rsidRPr="00730728" w:rsidRDefault="000D397B" w:rsidP="00730728">
      <w:pPr>
        <w:spacing w:line="480" w:lineRule="auto"/>
        <w:contextualSpacing/>
        <w:rPr>
          <w:rFonts w:asciiTheme="minorHAnsi" w:hAnsiTheme="minorHAnsi" w:cs="Arial"/>
          <w:sz w:val="24"/>
          <w:szCs w:val="24"/>
          <w:highlight w:val="yellow"/>
        </w:rPr>
      </w:pPr>
    </w:p>
    <w:p w:rsidR="00924D57" w:rsidRDefault="00FF4656" w:rsidP="00730728">
      <w:pPr>
        <w:spacing w:line="480" w:lineRule="auto"/>
        <w:rPr>
          <w:rFonts w:asciiTheme="minorHAnsi" w:hAnsiTheme="minorHAnsi" w:cs="Arial"/>
          <w:sz w:val="24"/>
          <w:szCs w:val="24"/>
        </w:rPr>
      </w:pPr>
      <w:r w:rsidRPr="00730728">
        <w:rPr>
          <w:rFonts w:asciiTheme="minorHAnsi" w:hAnsiTheme="minorHAnsi" w:cs="Arial"/>
          <w:sz w:val="24"/>
          <w:szCs w:val="24"/>
        </w:rPr>
        <w:t xml:space="preserve">This study validates the novel SWAT-Bp score </w:t>
      </w:r>
      <w:r w:rsidR="00DF06D7" w:rsidRPr="00730728">
        <w:rPr>
          <w:rFonts w:asciiTheme="minorHAnsi" w:hAnsiTheme="minorHAnsi" w:cs="Arial"/>
          <w:sz w:val="24"/>
          <w:szCs w:val="24"/>
        </w:rPr>
        <w:t>which</w:t>
      </w:r>
      <w:r w:rsidR="0089323E" w:rsidRPr="00730728">
        <w:rPr>
          <w:rFonts w:asciiTheme="minorHAnsi" w:hAnsiTheme="minorHAnsi" w:cs="Arial"/>
          <w:sz w:val="24"/>
          <w:szCs w:val="24"/>
        </w:rPr>
        <w:t xml:space="preserve"> could be used to stratify </w:t>
      </w:r>
      <w:r w:rsidRPr="00730728">
        <w:rPr>
          <w:rFonts w:asciiTheme="minorHAnsi" w:hAnsiTheme="minorHAnsi" w:cs="Arial"/>
          <w:sz w:val="24"/>
          <w:szCs w:val="24"/>
        </w:rPr>
        <w:t>patients into three risk groups</w:t>
      </w:r>
      <w:r w:rsidR="0089323E" w:rsidRPr="00730728">
        <w:rPr>
          <w:rFonts w:asciiTheme="minorHAnsi" w:hAnsiTheme="minorHAnsi" w:cs="Arial"/>
          <w:sz w:val="24"/>
          <w:szCs w:val="24"/>
        </w:rPr>
        <w:t>.</w:t>
      </w:r>
      <w:r w:rsidR="00851D3C" w:rsidRPr="00BE31E6">
        <w:rPr>
          <w:rFonts w:asciiTheme="minorHAnsi" w:hAnsiTheme="minorHAnsi" w:cs="Arial"/>
          <w:sz w:val="24"/>
          <w:szCs w:val="24"/>
          <w:vertAlign w:val="superscript"/>
        </w:rPr>
        <w:t>19</w:t>
      </w:r>
      <w:r w:rsidR="0089323E" w:rsidRPr="00730728">
        <w:rPr>
          <w:rFonts w:asciiTheme="minorHAnsi" w:hAnsiTheme="minorHAnsi" w:cs="Arial"/>
          <w:sz w:val="24"/>
          <w:szCs w:val="24"/>
        </w:rPr>
        <w:t xml:space="preserve"> A</w:t>
      </w:r>
      <w:r w:rsidRPr="00730728">
        <w:rPr>
          <w:rFonts w:asciiTheme="minorHAnsi" w:hAnsiTheme="minorHAnsi" w:cs="Arial"/>
          <w:sz w:val="24"/>
          <w:szCs w:val="24"/>
        </w:rPr>
        <w:t xml:space="preserve"> SWAT-Bp score of 0 or 1 indicates mild</w:t>
      </w:r>
      <w:r w:rsidR="00F16D86" w:rsidRPr="00730728">
        <w:rPr>
          <w:rFonts w:asciiTheme="minorHAnsi" w:hAnsiTheme="minorHAnsi" w:cs="Arial"/>
          <w:sz w:val="24"/>
          <w:szCs w:val="24"/>
        </w:rPr>
        <w:t>er</w:t>
      </w:r>
      <w:r w:rsidRPr="00730728">
        <w:rPr>
          <w:rFonts w:asciiTheme="minorHAnsi" w:hAnsiTheme="minorHAnsi" w:cs="Arial"/>
          <w:sz w:val="24"/>
          <w:szCs w:val="24"/>
        </w:rPr>
        <w:t xml:space="preserve"> </w:t>
      </w:r>
      <w:r w:rsidR="003959A6" w:rsidRPr="00730728">
        <w:rPr>
          <w:rFonts w:asciiTheme="minorHAnsi" w:hAnsiTheme="minorHAnsi" w:cs="Arial"/>
          <w:sz w:val="24"/>
          <w:szCs w:val="24"/>
        </w:rPr>
        <w:t xml:space="preserve">clinical </w:t>
      </w:r>
      <w:r w:rsidRPr="00730728">
        <w:rPr>
          <w:rFonts w:asciiTheme="minorHAnsi" w:hAnsiTheme="minorHAnsi" w:cs="Arial"/>
          <w:sz w:val="24"/>
          <w:szCs w:val="24"/>
        </w:rPr>
        <w:t>pneumonia w</w:t>
      </w:r>
      <w:r w:rsidR="00112AB9" w:rsidRPr="00730728">
        <w:rPr>
          <w:rFonts w:asciiTheme="minorHAnsi" w:hAnsiTheme="minorHAnsi" w:cs="Arial"/>
          <w:sz w:val="24"/>
          <w:szCs w:val="24"/>
        </w:rPr>
        <w:t>ith 4</w:t>
      </w:r>
      <w:r w:rsidR="00AE5B67" w:rsidRPr="00730728">
        <w:rPr>
          <w:rFonts w:asciiTheme="minorHAnsi" w:hAnsiTheme="minorHAnsi" w:cs="Arial"/>
          <w:sz w:val="24"/>
          <w:szCs w:val="24"/>
        </w:rPr>
        <w:t>.9% chance of mortality</w:t>
      </w:r>
      <w:r w:rsidR="0089323E" w:rsidRPr="00730728">
        <w:rPr>
          <w:rFonts w:asciiTheme="minorHAnsi" w:hAnsiTheme="minorHAnsi" w:cs="Arial"/>
          <w:sz w:val="24"/>
          <w:szCs w:val="24"/>
        </w:rPr>
        <w:t xml:space="preserve"> (2.2% in derivation cohort),</w:t>
      </w:r>
      <w:r w:rsidR="00AE5B67" w:rsidRPr="00730728">
        <w:rPr>
          <w:rFonts w:asciiTheme="minorHAnsi" w:hAnsiTheme="minorHAnsi" w:cs="Arial"/>
          <w:sz w:val="24"/>
          <w:szCs w:val="24"/>
        </w:rPr>
        <w:t xml:space="preserve"> likely </w:t>
      </w:r>
      <w:r w:rsidR="0089323E" w:rsidRPr="00730728">
        <w:rPr>
          <w:rFonts w:asciiTheme="minorHAnsi" w:hAnsiTheme="minorHAnsi" w:cs="Arial"/>
          <w:sz w:val="24"/>
          <w:szCs w:val="24"/>
        </w:rPr>
        <w:t>suitable for</w:t>
      </w:r>
      <w:r w:rsidR="007123D5" w:rsidRPr="00730728">
        <w:rPr>
          <w:rFonts w:asciiTheme="minorHAnsi" w:hAnsiTheme="minorHAnsi" w:cs="Arial"/>
          <w:sz w:val="24"/>
          <w:szCs w:val="24"/>
        </w:rPr>
        <w:t xml:space="preserve"> outpatient management or</w:t>
      </w:r>
      <w:r w:rsidR="0089323E" w:rsidRPr="00730728">
        <w:rPr>
          <w:rFonts w:asciiTheme="minorHAnsi" w:hAnsiTheme="minorHAnsi" w:cs="Arial"/>
          <w:sz w:val="24"/>
          <w:szCs w:val="24"/>
        </w:rPr>
        <w:t xml:space="preserve"> </w:t>
      </w:r>
      <w:r w:rsidR="007123D5" w:rsidRPr="00730728">
        <w:rPr>
          <w:rFonts w:asciiTheme="minorHAnsi" w:hAnsiTheme="minorHAnsi" w:cs="Arial"/>
          <w:sz w:val="24"/>
          <w:szCs w:val="24"/>
        </w:rPr>
        <w:t>early discharge</w:t>
      </w:r>
      <w:r w:rsidR="00F964DD">
        <w:rPr>
          <w:rFonts w:asciiTheme="minorHAnsi" w:hAnsiTheme="minorHAnsi" w:cs="Arial"/>
          <w:sz w:val="24"/>
          <w:szCs w:val="24"/>
        </w:rPr>
        <w:t xml:space="preserve"> from hospital</w:t>
      </w:r>
      <w:r w:rsidR="0089323E" w:rsidRPr="00730728">
        <w:rPr>
          <w:rFonts w:asciiTheme="minorHAnsi" w:hAnsiTheme="minorHAnsi" w:cs="Arial"/>
          <w:sz w:val="24"/>
          <w:szCs w:val="24"/>
        </w:rPr>
        <w:t>. A</w:t>
      </w:r>
      <w:r w:rsidRPr="00730728">
        <w:rPr>
          <w:rFonts w:asciiTheme="minorHAnsi" w:hAnsiTheme="minorHAnsi" w:cs="Arial"/>
          <w:sz w:val="24"/>
          <w:szCs w:val="24"/>
        </w:rPr>
        <w:t xml:space="preserve"> score of 2 indicates moderate pneumonia with 12.7% mortality risk</w:t>
      </w:r>
      <w:r w:rsidR="0089323E" w:rsidRPr="00730728">
        <w:rPr>
          <w:rFonts w:asciiTheme="minorHAnsi" w:hAnsiTheme="minorHAnsi" w:cs="Arial"/>
          <w:sz w:val="24"/>
          <w:szCs w:val="24"/>
        </w:rPr>
        <w:t xml:space="preserve"> (7.4% in derivation)</w:t>
      </w:r>
      <w:r w:rsidRPr="00730728">
        <w:rPr>
          <w:rFonts w:asciiTheme="minorHAnsi" w:hAnsiTheme="minorHAnsi" w:cs="Arial"/>
          <w:sz w:val="24"/>
          <w:szCs w:val="24"/>
        </w:rPr>
        <w:t>, requiring</w:t>
      </w:r>
      <w:r w:rsidR="00F964DD">
        <w:rPr>
          <w:rFonts w:asciiTheme="minorHAnsi" w:hAnsiTheme="minorHAnsi" w:cs="Arial"/>
          <w:sz w:val="24"/>
          <w:szCs w:val="24"/>
        </w:rPr>
        <w:t xml:space="preserve"> hospital</w:t>
      </w:r>
      <w:r w:rsidRPr="00730728">
        <w:rPr>
          <w:rFonts w:asciiTheme="minorHAnsi" w:hAnsiTheme="minorHAnsi" w:cs="Arial"/>
          <w:sz w:val="24"/>
          <w:szCs w:val="24"/>
        </w:rPr>
        <w:t xml:space="preserve"> admission</w:t>
      </w:r>
      <w:r w:rsidR="00F964DD">
        <w:rPr>
          <w:rFonts w:asciiTheme="minorHAnsi" w:hAnsiTheme="minorHAnsi" w:cs="Arial"/>
          <w:sz w:val="24"/>
          <w:szCs w:val="24"/>
        </w:rPr>
        <w:t xml:space="preserve"> and management</w:t>
      </w:r>
      <w:r w:rsidRPr="00730728">
        <w:rPr>
          <w:rFonts w:asciiTheme="minorHAnsi" w:hAnsiTheme="minorHAnsi" w:cs="Arial"/>
          <w:sz w:val="24"/>
          <w:szCs w:val="24"/>
        </w:rPr>
        <w:t>. Scoring ≥3 indicates severe pneumonia with one in four patients dying in-hospital</w:t>
      </w:r>
      <w:r w:rsidR="0089323E" w:rsidRPr="00730728">
        <w:rPr>
          <w:rFonts w:asciiTheme="minorHAnsi" w:hAnsiTheme="minorHAnsi" w:cs="Arial"/>
          <w:sz w:val="24"/>
          <w:szCs w:val="24"/>
        </w:rPr>
        <w:t xml:space="preserve"> (one in two in derivation)</w:t>
      </w:r>
      <w:r w:rsidRPr="00730728">
        <w:rPr>
          <w:rFonts w:asciiTheme="minorHAnsi" w:hAnsiTheme="minorHAnsi" w:cs="Arial"/>
          <w:sz w:val="24"/>
          <w:szCs w:val="24"/>
        </w:rPr>
        <w:t xml:space="preserve">, necessitating immediate hospitalisation and </w:t>
      </w:r>
      <w:r w:rsidR="00F964DD">
        <w:rPr>
          <w:rFonts w:asciiTheme="minorHAnsi" w:hAnsiTheme="minorHAnsi" w:cs="Arial"/>
          <w:sz w:val="24"/>
          <w:szCs w:val="24"/>
        </w:rPr>
        <w:t xml:space="preserve">appropriate </w:t>
      </w:r>
      <w:r w:rsidRPr="00730728">
        <w:rPr>
          <w:rFonts w:asciiTheme="minorHAnsi" w:hAnsiTheme="minorHAnsi" w:cs="Arial"/>
          <w:sz w:val="24"/>
          <w:szCs w:val="24"/>
        </w:rPr>
        <w:t>managemen</w:t>
      </w:r>
      <w:r w:rsidR="00F964DD">
        <w:rPr>
          <w:rFonts w:asciiTheme="minorHAnsi" w:hAnsiTheme="minorHAnsi" w:cs="Arial"/>
          <w:sz w:val="24"/>
          <w:szCs w:val="24"/>
        </w:rPr>
        <w:t>t</w:t>
      </w:r>
      <w:r w:rsidRPr="00730728">
        <w:rPr>
          <w:rFonts w:asciiTheme="minorHAnsi" w:hAnsiTheme="minorHAnsi" w:cs="Arial"/>
          <w:sz w:val="24"/>
          <w:szCs w:val="24"/>
        </w:rPr>
        <w:t>.</w:t>
      </w:r>
      <w:r w:rsidR="00B004BE" w:rsidRPr="00730728">
        <w:rPr>
          <w:rFonts w:asciiTheme="minorHAnsi" w:hAnsiTheme="minorHAnsi" w:cs="Arial"/>
          <w:sz w:val="24"/>
          <w:szCs w:val="24"/>
        </w:rPr>
        <w:t xml:space="preserve"> The objective variables of which the score consists are easily assessed on admission, enabling rapid triage in busy clinical settings and reducing bias, while requiring little training to administer.</w:t>
      </w:r>
    </w:p>
    <w:p w:rsidR="00826298" w:rsidRPr="00730728" w:rsidRDefault="002F3FC6" w:rsidP="00730728">
      <w:pPr>
        <w:spacing w:line="480" w:lineRule="auto"/>
        <w:rPr>
          <w:rFonts w:asciiTheme="minorHAnsi" w:hAnsiTheme="minorHAnsi" w:cs="Arial"/>
          <w:sz w:val="24"/>
          <w:szCs w:val="24"/>
        </w:rPr>
      </w:pPr>
      <w:r>
        <w:rPr>
          <w:rFonts w:asciiTheme="minorHAnsi" w:hAnsiTheme="minorHAnsi" w:cs="Arial"/>
          <w:sz w:val="24"/>
          <w:szCs w:val="24"/>
        </w:rPr>
        <w:t xml:space="preserve">Differences in mortality risks from the derivation cohorts could be due to numerous factors including seasonal variation, variation in microbiological patterns and change in resources over time. Alternatives include patients lost to follow-up differing from the patients included, but these options are all speculative and therefore no definitive conclusions can be drawn. </w:t>
      </w:r>
      <w:r w:rsidR="00711AE3" w:rsidRPr="00730728">
        <w:rPr>
          <w:rFonts w:asciiTheme="minorHAnsi" w:hAnsiTheme="minorHAnsi" w:cs="Arial"/>
          <w:sz w:val="24"/>
          <w:szCs w:val="24"/>
        </w:rPr>
        <w:t>Th</w:t>
      </w:r>
      <w:r w:rsidR="00DB2A5A" w:rsidRPr="00730728">
        <w:rPr>
          <w:rFonts w:asciiTheme="minorHAnsi" w:hAnsiTheme="minorHAnsi" w:cs="Arial"/>
          <w:sz w:val="24"/>
          <w:szCs w:val="24"/>
        </w:rPr>
        <w:t>is</w:t>
      </w:r>
      <w:r w:rsidR="00826298" w:rsidRPr="00730728">
        <w:rPr>
          <w:rFonts w:asciiTheme="minorHAnsi" w:hAnsiTheme="minorHAnsi" w:cs="Arial"/>
          <w:sz w:val="24"/>
          <w:szCs w:val="24"/>
        </w:rPr>
        <w:t xml:space="preserve"> </w:t>
      </w:r>
      <w:r w:rsidR="00DB2A5A" w:rsidRPr="00730728">
        <w:rPr>
          <w:rFonts w:asciiTheme="minorHAnsi" w:hAnsiTheme="minorHAnsi" w:cs="Arial"/>
          <w:sz w:val="24"/>
          <w:szCs w:val="24"/>
        </w:rPr>
        <w:t xml:space="preserve">study </w:t>
      </w:r>
      <w:r w:rsidR="006E548B" w:rsidRPr="00730728">
        <w:rPr>
          <w:rFonts w:asciiTheme="minorHAnsi" w:hAnsiTheme="minorHAnsi" w:cs="Arial"/>
          <w:sz w:val="24"/>
          <w:szCs w:val="24"/>
        </w:rPr>
        <w:t>is conducted on</w:t>
      </w:r>
      <w:r w:rsidR="00826298" w:rsidRPr="00730728">
        <w:rPr>
          <w:rFonts w:asciiTheme="minorHAnsi" w:hAnsiTheme="minorHAnsi" w:cs="Arial"/>
          <w:sz w:val="24"/>
          <w:szCs w:val="24"/>
        </w:rPr>
        <w:t xml:space="preserve"> in-patient</w:t>
      </w:r>
      <w:r w:rsidR="00711AE3" w:rsidRPr="00730728">
        <w:rPr>
          <w:rFonts w:asciiTheme="minorHAnsi" w:hAnsiTheme="minorHAnsi" w:cs="Arial"/>
          <w:sz w:val="24"/>
          <w:szCs w:val="24"/>
        </w:rPr>
        <w:t xml:space="preserve">s and </w:t>
      </w:r>
      <w:r w:rsidR="00A10DDC" w:rsidRPr="00730728">
        <w:rPr>
          <w:rFonts w:asciiTheme="minorHAnsi" w:hAnsiTheme="minorHAnsi" w:cs="Arial"/>
          <w:sz w:val="24"/>
          <w:szCs w:val="24"/>
        </w:rPr>
        <w:t xml:space="preserve">hence </w:t>
      </w:r>
      <w:r w:rsidR="00DB2A5A" w:rsidRPr="00730728">
        <w:rPr>
          <w:rFonts w:asciiTheme="minorHAnsi" w:hAnsiTheme="minorHAnsi" w:cs="Arial"/>
          <w:sz w:val="24"/>
          <w:szCs w:val="24"/>
        </w:rPr>
        <w:t>suggests</w:t>
      </w:r>
      <w:r w:rsidR="00826298" w:rsidRPr="00730728">
        <w:rPr>
          <w:rFonts w:asciiTheme="minorHAnsi" w:hAnsiTheme="minorHAnsi" w:cs="Arial"/>
          <w:sz w:val="24"/>
          <w:szCs w:val="24"/>
        </w:rPr>
        <w:t xml:space="preserve"> that a</w:t>
      </w:r>
      <w:r w:rsidR="007F1459" w:rsidRPr="00730728">
        <w:rPr>
          <w:rFonts w:asciiTheme="minorHAnsi" w:hAnsiTheme="minorHAnsi" w:cs="Arial"/>
          <w:sz w:val="24"/>
          <w:szCs w:val="24"/>
        </w:rPr>
        <w:t>pproximately</w:t>
      </w:r>
      <w:r w:rsidR="003A71B4" w:rsidRPr="00730728">
        <w:rPr>
          <w:rFonts w:asciiTheme="minorHAnsi" w:hAnsiTheme="minorHAnsi" w:cs="Arial"/>
          <w:sz w:val="24"/>
          <w:szCs w:val="24"/>
        </w:rPr>
        <w:t xml:space="preserve"> half this</w:t>
      </w:r>
      <w:r w:rsidR="00826298" w:rsidRPr="00730728">
        <w:rPr>
          <w:rFonts w:asciiTheme="minorHAnsi" w:hAnsiTheme="minorHAnsi" w:cs="Arial"/>
          <w:sz w:val="24"/>
          <w:szCs w:val="24"/>
        </w:rPr>
        <w:t xml:space="preserve"> population</w:t>
      </w:r>
      <w:r w:rsidR="002C14BD">
        <w:rPr>
          <w:rFonts w:asciiTheme="minorHAnsi" w:hAnsiTheme="minorHAnsi" w:cs="Arial"/>
          <w:sz w:val="24"/>
          <w:szCs w:val="24"/>
        </w:rPr>
        <w:t xml:space="preserve"> c</w:t>
      </w:r>
      <w:r w:rsidR="0099333E" w:rsidRPr="00730728">
        <w:rPr>
          <w:rFonts w:asciiTheme="minorHAnsi" w:hAnsiTheme="minorHAnsi" w:cs="Arial"/>
          <w:sz w:val="24"/>
          <w:szCs w:val="24"/>
        </w:rPr>
        <w:t>ould</w:t>
      </w:r>
      <w:r w:rsidR="0048779D" w:rsidRPr="00730728">
        <w:rPr>
          <w:rFonts w:asciiTheme="minorHAnsi" w:hAnsiTheme="minorHAnsi" w:cs="Arial"/>
          <w:sz w:val="24"/>
          <w:szCs w:val="24"/>
        </w:rPr>
        <w:t xml:space="preserve"> </w:t>
      </w:r>
      <w:r w:rsidR="0099333E" w:rsidRPr="00730728">
        <w:rPr>
          <w:rFonts w:asciiTheme="minorHAnsi" w:hAnsiTheme="minorHAnsi" w:cs="Arial"/>
          <w:sz w:val="24"/>
          <w:szCs w:val="24"/>
        </w:rPr>
        <w:t xml:space="preserve">be </w:t>
      </w:r>
      <w:r w:rsidR="0048779D" w:rsidRPr="00730728">
        <w:rPr>
          <w:rFonts w:asciiTheme="minorHAnsi" w:hAnsiTheme="minorHAnsi" w:cs="Arial"/>
          <w:sz w:val="24"/>
          <w:szCs w:val="24"/>
        </w:rPr>
        <w:t>suitable for outpatient management or</w:t>
      </w:r>
      <w:r w:rsidR="007123D5" w:rsidRPr="00730728">
        <w:rPr>
          <w:rFonts w:asciiTheme="minorHAnsi" w:hAnsiTheme="minorHAnsi" w:cs="Arial"/>
          <w:sz w:val="24"/>
          <w:szCs w:val="24"/>
        </w:rPr>
        <w:t xml:space="preserve"> early discharge</w:t>
      </w:r>
      <w:r w:rsidR="00D55F7C" w:rsidRPr="00730728">
        <w:rPr>
          <w:rFonts w:asciiTheme="minorHAnsi" w:hAnsiTheme="minorHAnsi" w:cs="Arial"/>
          <w:sz w:val="24"/>
          <w:szCs w:val="24"/>
        </w:rPr>
        <w:t xml:space="preserve"> (those scoring 0 or 1)</w:t>
      </w:r>
      <w:r w:rsidR="00826298" w:rsidRPr="00730728">
        <w:rPr>
          <w:rFonts w:asciiTheme="minorHAnsi" w:hAnsiTheme="minorHAnsi" w:cs="Arial"/>
          <w:sz w:val="24"/>
          <w:szCs w:val="24"/>
        </w:rPr>
        <w:t>.</w:t>
      </w:r>
      <w:r w:rsidR="00E05A1E" w:rsidRPr="00730728">
        <w:rPr>
          <w:rFonts w:asciiTheme="minorHAnsi" w:hAnsiTheme="minorHAnsi" w:cs="Arial"/>
          <w:sz w:val="24"/>
          <w:szCs w:val="24"/>
        </w:rPr>
        <w:t xml:space="preserve"> A reduction </w:t>
      </w:r>
      <w:r w:rsidR="0048779D" w:rsidRPr="00730728">
        <w:rPr>
          <w:rFonts w:asciiTheme="minorHAnsi" w:hAnsiTheme="minorHAnsi" w:cs="Arial"/>
          <w:sz w:val="24"/>
          <w:szCs w:val="24"/>
        </w:rPr>
        <w:t xml:space="preserve">of this magnitude </w:t>
      </w:r>
      <w:r w:rsidR="00E05A1E" w:rsidRPr="00730728">
        <w:rPr>
          <w:rFonts w:asciiTheme="minorHAnsi" w:hAnsiTheme="minorHAnsi" w:cs="Arial"/>
          <w:sz w:val="24"/>
          <w:szCs w:val="24"/>
        </w:rPr>
        <w:t>would be clinically</w:t>
      </w:r>
      <w:r w:rsidR="00E872AC" w:rsidRPr="00730728">
        <w:rPr>
          <w:rFonts w:asciiTheme="minorHAnsi" w:hAnsiTheme="minorHAnsi" w:cs="Arial"/>
          <w:sz w:val="24"/>
          <w:szCs w:val="24"/>
        </w:rPr>
        <w:t xml:space="preserve"> and economically</w:t>
      </w:r>
      <w:r w:rsidR="00E05A1E" w:rsidRPr="00730728">
        <w:rPr>
          <w:rFonts w:asciiTheme="minorHAnsi" w:hAnsiTheme="minorHAnsi" w:cs="Arial"/>
          <w:sz w:val="24"/>
          <w:szCs w:val="24"/>
        </w:rPr>
        <w:t xml:space="preserve"> useful.</w:t>
      </w:r>
      <w:r w:rsidR="006F0343" w:rsidRPr="00730728">
        <w:rPr>
          <w:rFonts w:asciiTheme="minorHAnsi" w:hAnsiTheme="minorHAnsi" w:cs="Arial"/>
          <w:sz w:val="24"/>
          <w:szCs w:val="24"/>
        </w:rPr>
        <w:t xml:space="preserve"> Although the NPV for a score of 0 or 1 indicates that approximately 95% of these patients would survive, evidently, discharging all these patients with a one in 20 mortality risk would be perilous. It is important to highlight that this score is designed for pragmatic use during assessment in combination with clinical judgement.</w:t>
      </w:r>
      <w:r w:rsidR="00A2101B" w:rsidRPr="00730728">
        <w:rPr>
          <w:rFonts w:asciiTheme="minorHAnsi" w:hAnsiTheme="minorHAnsi" w:cs="Arial"/>
          <w:sz w:val="24"/>
          <w:szCs w:val="24"/>
        </w:rPr>
        <w:t xml:space="preserve"> Reflecting on these statistics, one can </w:t>
      </w:r>
      <w:r w:rsidR="00A2101B" w:rsidRPr="00730728">
        <w:rPr>
          <w:rFonts w:asciiTheme="minorHAnsi" w:hAnsiTheme="minorHAnsi" w:cs="Arial"/>
          <w:sz w:val="24"/>
          <w:szCs w:val="24"/>
        </w:rPr>
        <w:lastRenderedPageBreak/>
        <w:t>further differentiate the management of the lower mortality risk scores.</w:t>
      </w:r>
      <w:r w:rsidR="006F0343" w:rsidRPr="00730728">
        <w:rPr>
          <w:rFonts w:asciiTheme="minorHAnsi" w:hAnsiTheme="minorHAnsi" w:cs="Arial"/>
          <w:sz w:val="24"/>
          <w:szCs w:val="24"/>
        </w:rPr>
        <w:t xml:space="preserve"> A</w:t>
      </w:r>
      <w:r w:rsidR="00826298" w:rsidRPr="00730728">
        <w:rPr>
          <w:rFonts w:asciiTheme="minorHAnsi" w:hAnsiTheme="minorHAnsi" w:cs="Arial"/>
          <w:sz w:val="24"/>
          <w:szCs w:val="24"/>
        </w:rPr>
        <w:t xml:space="preserve"> score of 0 </w:t>
      </w:r>
      <w:r w:rsidR="006E548B" w:rsidRPr="00730728">
        <w:rPr>
          <w:rFonts w:asciiTheme="minorHAnsi" w:hAnsiTheme="minorHAnsi" w:cs="Arial"/>
          <w:sz w:val="24"/>
          <w:szCs w:val="24"/>
        </w:rPr>
        <w:t>correlates to</w:t>
      </w:r>
      <w:r w:rsidR="00826298" w:rsidRPr="00730728">
        <w:rPr>
          <w:rFonts w:asciiTheme="minorHAnsi" w:hAnsiTheme="minorHAnsi" w:cs="Arial"/>
          <w:sz w:val="24"/>
          <w:szCs w:val="24"/>
        </w:rPr>
        <w:t xml:space="preserve"> 0% mortality</w:t>
      </w:r>
      <w:r w:rsidR="00E05A1E" w:rsidRPr="00730728">
        <w:rPr>
          <w:rFonts w:asciiTheme="minorHAnsi" w:hAnsiTheme="minorHAnsi" w:cs="Arial"/>
          <w:sz w:val="24"/>
          <w:szCs w:val="24"/>
        </w:rPr>
        <w:t xml:space="preserve"> risk</w:t>
      </w:r>
      <w:r w:rsidR="006E548B" w:rsidRPr="00730728">
        <w:rPr>
          <w:rFonts w:asciiTheme="minorHAnsi" w:hAnsiTheme="minorHAnsi" w:cs="Arial"/>
          <w:sz w:val="24"/>
          <w:szCs w:val="24"/>
        </w:rPr>
        <w:t xml:space="preserve"> ind</w:t>
      </w:r>
      <w:r w:rsidR="00302B5B" w:rsidRPr="00730728">
        <w:rPr>
          <w:rFonts w:asciiTheme="minorHAnsi" w:hAnsiTheme="minorHAnsi" w:cs="Arial"/>
          <w:sz w:val="24"/>
          <w:szCs w:val="24"/>
        </w:rPr>
        <w:t>icating outpatient management may be</w:t>
      </w:r>
      <w:r w:rsidR="006E548B" w:rsidRPr="00730728">
        <w:rPr>
          <w:rFonts w:asciiTheme="minorHAnsi" w:hAnsiTheme="minorHAnsi" w:cs="Arial"/>
          <w:sz w:val="24"/>
          <w:szCs w:val="24"/>
        </w:rPr>
        <w:t xml:space="preserve"> appropriate</w:t>
      </w:r>
      <w:r w:rsidR="00826298" w:rsidRPr="00730728">
        <w:rPr>
          <w:rFonts w:asciiTheme="minorHAnsi" w:hAnsiTheme="minorHAnsi" w:cs="Arial"/>
          <w:sz w:val="24"/>
          <w:szCs w:val="24"/>
        </w:rPr>
        <w:t xml:space="preserve">. A score of </w:t>
      </w:r>
      <w:r w:rsidR="006C51B7" w:rsidRPr="00730728">
        <w:rPr>
          <w:rFonts w:asciiTheme="minorHAnsi" w:hAnsiTheme="minorHAnsi" w:cs="Arial"/>
          <w:sz w:val="24"/>
          <w:szCs w:val="24"/>
        </w:rPr>
        <w:t>1 indicates</w:t>
      </w:r>
      <w:r w:rsidR="00302B5B" w:rsidRPr="00730728">
        <w:rPr>
          <w:rFonts w:asciiTheme="minorHAnsi" w:hAnsiTheme="minorHAnsi" w:cs="Arial"/>
          <w:sz w:val="24"/>
          <w:szCs w:val="24"/>
        </w:rPr>
        <w:t xml:space="preserve"> a relatively</w:t>
      </w:r>
      <w:r w:rsidR="00826298" w:rsidRPr="00730728">
        <w:rPr>
          <w:rFonts w:asciiTheme="minorHAnsi" w:hAnsiTheme="minorHAnsi" w:cs="Arial"/>
          <w:sz w:val="24"/>
          <w:szCs w:val="24"/>
        </w:rPr>
        <w:t xml:space="preserve"> low risk of mortality, </w:t>
      </w:r>
      <w:r w:rsidR="006C51B7" w:rsidRPr="00730728">
        <w:rPr>
          <w:rFonts w:asciiTheme="minorHAnsi" w:hAnsiTheme="minorHAnsi" w:cs="Arial"/>
          <w:sz w:val="24"/>
          <w:szCs w:val="24"/>
        </w:rPr>
        <w:t>where caution should be heeded with discharge counselling</w:t>
      </w:r>
      <w:r w:rsidR="00E872AC" w:rsidRPr="00730728">
        <w:rPr>
          <w:rFonts w:asciiTheme="minorHAnsi" w:hAnsiTheme="minorHAnsi" w:cs="Arial"/>
          <w:sz w:val="24"/>
          <w:szCs w:val="24"/>
        </w:rPr>
        <w:t xml:space="preserve"> used to</w:t>
      </w:r>
      <w:r w:rsidR="006C51B7" w:rsidRPr="00730728">
        <w:rPr>
          <w:rFonts w:asciiTheme="minorHAnsi" w:hAnsiTheme="minorHAnsi" w:cs="Arial"/>
          <w:sz w:val="24"/>
          <w:szCs w:val="24"/>
        </w:rPr>
        <w:t xml:space="preserve"> facilitat</w:t>
      </w:r>
      <w:r w:rsidR="00E872AC" w:rsidRPr="00730728">
        <w:rPr>
          <w:rFonts w:asciiTheme="minorHAnsi" w:hAnsiTheme="minorHAnsi" w:cs="Arial"/>
          <w:sz w:val="24"/>
          <w:szCs w:val="24"/>
        </w:rPr>
        <w:t>e</w:t>
      </w:r>
      <w:r w:rsidR="006C51B7" w:rsidRPr="00730728">
        <w:rPr>
          <w:rFonts w:asciiTheme="minorHAnsi" w:hAnsiTheme="minorHAnsi" w:cs="Arial"/>
          <w:sz w:val="24"/>
          <w:szCs w:val="24"/>
        </w:rPr>
        <w:t xml:space="preserve"> early discharge</w:t>
      </w:r>
      <w:r w:rsidR="00826298" w:rsidRPr="00730728">
        <w:rPr>
          <w:rFonts w:asciiTheme="minorHAnsi" w:hAnsiTheme="minorHAnsi" w:cs="Arial"/>
          <w:sz w:val="24"/>
          <w:szCs w:val="24"/>
        </w:rPr>
        <w:t>.</w:t>
      </w:r>
      <w:r w:rsidR="00302B5B" w:rsidRPr="00730728">
        <w:rPr>
          <w:rFonts w:asciiTheme="minorHAnsi" w:hAnsiTheme="minorHAnsi" w:cs="Arial"/>
          <w:sz w:val="24"/>
          <w:szCs w:val="24"/>
        </w:rPr>
        <w:t xml:space="preserve"> </w:t>
      </w:r>
      <w:r w:rsidR="00D55F7C" w:rsidRPr="00730728">
        <w:rPr>
          <w:rFonts w:asciiTheme="minorHAnsi" w:hAnsiTheme="minorHAnsi" w:cs="Arial"/>
          <w:sz w:val="24"/>
          <w:szCs w:val="24"/>
        </w:rPr>
        <w:t>However, this score has not be</w:t>
      </w:r>
      <w:r w:rsidR="00302B5B" w:rsidRPr="00730728">
        <w:rPr>
          <w:rFonts w:asciiTheme="minorHAnsi" w:hAnsiTheme="minorHAnsi" w:cs="Arial"/>
          <w:sz w:val="24"/>
          <w:szCs w:val="24"/>
        </w:rPr>
        <w:t>en validated for outpatient use and our data collection did</w:t>
      </w:r>
      <w:r w:rsidR="00821458" w:rsidRPr="00730728">
        <w:rPr>
          <w:rFonts w:asciiTheme="minorHAnsi" w:hAnsiTheme="minorHAnsi" w:cs="Arial"/>
          <w:sz w:val="24"/>
          <w:szCs w:val="24"/>
        </w:rPr>
        <w:t xml:space="preserve"> not focus on</w:t>
      </w:r>
      <w:r w:rsidR="00302B5B" w:rsidRPr="00730728">
        <w:rPr>
          <w:rFonts w:asciiTheme="minorHAnsi" w:hAnsiTheme="minorHAnsi" w:cs="Arial"/>
          <w:sz w:val="24"/>
          <w:szCs w:val="24"/>
        </w:rPr>
        <w:t xml:space="preserve"> individual management </w:t>
      </w:r>
      <w:r w:rsidR="00821458" w:rsidRPr="00730728">
        <w:rPr>
          <w:rFonts w:asciiTheme="minorHAnsi" w:hAnsiTheme="minorHAnsi" w:cs="Arial"/>
          <w:sz w:val="24"/>
          <w:szCs w:val="24"/>
        </w:rPr>
        <w:t>of patients whilst hospital inpatients</w:t>
      </w:r>
      <w:r w:rsidR="00302B5B" w:rsidRPr="00730728">
        <w:rPr>
          <w:rFonts w:asciiTheme="minorHAnsi" w:hAnsiTheme="minorHAnsi" w:cs="Arial"/>
          <w:sz w:val="24"/>
          <w:szCs w:val="24"/>
        </w:rPr>
        <w:t xml:space="preserve">. </w:t>
      </w:r>
      <w:r w:rsidR="002C14BD">
        <w:rPr>
          <w:rFonts w:asciiTheme="minorHAnsi" w:hAnsiTheme="minorHAnsi" w:cs="Arial"/>
          <w:sz w:val="24"/>
          <w:szCs w:val="24"/>
        </w:rPr>
        <w:t>We can therefore not</w:t>
      </w:r>
      <w:r w:rsidR="00302B5B" w:rsidRPr="00730728">
        <w:rPr>
          <w:rFonts w:asciiTheme="minorHAnsi" w:hAnsiTheme="minorHAnsi" w:cs="Arial"/>
          <w:sz w:val="24"/>
          <w:szCs w:val="24"/>
        </w:rPr>
        <w:t xml:space="preserve"> assume that these patients could all have been managed </w:t>
      </w:r>
      <w:r w:rsidR="00984156" w:rsidRPr="00730728">
        <w:rPr>
          <w:rFonts w:asciiTheme="minorHAnsi" w:hAnsiTheme="minorHAnsi" w:cs="Arial"/>
          <w:sz w:val="24"/>
          <w:szCs w:val="24"/>
        </w:rPr>
        <w:t>as outpatients</w:t>
      </w:r>
      <w:r w:rsidR="00302B5B" w:rsidRPr="00730728">
        <w:rPr>
          <w:rFonts w:asciiTheme="minorHAnsi" w:hAnsiTheme="minorHAnsi" w:cs="Arial"/>
          <w:sz w:val="24"/>
          <w:szCs w:val="24"/>
        </w:rPr>
        <w:t xml:space="preserve"> as we </w:t>
      </w:r>
      <w:r w:rsidR="00821458" w:rsidRPr="00730728">
        <w:rPr>
          <w:rFonts w:asciiTheme="minorHAnsi" w:hAnsiTheme="minorHAnsi" w:cs="Arial"/>
          <w:sz w:val="24"/>
          <w:szCs w:val="24"/>
        </w:rPr>
        <w:t>do not know</w:t>
      </w:r>
      <w:r w:rsidR="00302B5B" w:rsidRPr="00730728">
        <w:rPr>
          <w:rFonts w:asciiTheme="minorHAnsi" w:hAnsiTheme="minorHAnsi" w:cs="Arial"/>
          <w:sz w:val="24"/>
          <w:szCs w:val="24"/>
        </w:rPr>
        <w:t xml:space="preserve"> whether their survival was in part associated with provision of </w:t>
      </w:r>
      <w:r w:rsidR="00984156" w:rsidRPr="00730728">
        <w:rPr>
          <w:rFonts w:asciiTheme="minorHAnsi" w:hAnsiTheme="minorHAnsi" w:cs="Arial"/>
          <w:sz w:val="24"/>
          <w:szCs w:val="24"/>
        </w:rPr>
        <w:t xml:space="preserve">medical management that is </w:t>
      </w:r>
      <w:r w:rsidR="002C14BD">
        <w:rPr>
          <w:rFonts w:asciiTheme="minorHAnsi" w:hAnsiTheme="minorHAnsi" w:cs="Arial"/>
          <w:sz w:val="24"/>
          <w:szCs w:val="24"/>
        </w:rPr>
        <w:t>un</w:t>
      </w:r>
      <w:r w:rsidR="00984156" w:rsidRPr="00730728">
        <w:rPr>
          <w:rFonts w:asciiTheme="minorHAnsi" w:hAnsiTheme="minorHAnsi" w:cs="Arial"/>
          <w:sz w:val="24"/>
          <w:szCs w:val="24"/>
        </w:rPr>
        <w:t xml:space="preserve">available in the community, such as </w:t>
      </w:r>
      <w:r w:rsidR="00302B5B" w:rsidRPr="00730728">
        <w:rPr>
          <w:rFonts w:asciiTheme="minorHAnsi" w:hAnsiTheme="minorHAnsi" w:cs="Arial"/>
          <w:sz w:val="24"/>
          <w:szCs w:val="24"/>
        </w:rPr>
        <w:t>oxygen therapy or intravenous anti</w:t>
      </w:r>
      <w:r w:rsidR="00984156" w:rsidRPr="00730728">
        <w:rPr>
          <w:rFonts w:asciiTheme="minorHAnsi" w:hAnsiTheme="minorHAnsi" w:cs="Arial"/>
          <w:sz w:val="24"/>
          <w:szCs w:val="24"/>
        </w:rPr>
        <w:t>biotics</w:t>
      </w:r>
      <w:r w:rsidR="00302B5B" w:rsidRPr="00730728">
        <w:rPr>
          <w:rFonts w:asciiTheme="minorHAnsi" w:hAnsiTheme="minorHAnsi" w:cs="Arial"/>
          <w:sz w:val="24"/>
          <w:szCs w:val="24"/>
        </w:rPr>
        <w:t>.</w:t>
      </w:r>
    </w:p>
    <w:p w:rsidR="00BA6D84" w:rsidRPr="00730728" w:rsidRDefault="009343E0" w:rsidP="00730728">
      <w:pPr>
        <w:spacing w:line="480" w:lineRule="auto"/>
        <w:rPr>
          <w:rFonts w:asciiTheme="minorHAnsi" w:hAnsiTheme="minorHAnsi" w:cs="Arial"/>
          <w:sz w:val="24"/>
          <w:szCs w:val="24"/>
        </w:rPr>
      </w:pPr>
      <w:r w:rsidRPr="00730728">
        <w:rPr>
          <w:rFonts w:asciiTheme="minorHAnsi" w:hAnsiTheme="minorHAnsi" w:cs="Arial"/>
          <w:sz w:val="24"/>
          <w:szCs w:val="24"/>
        </w:rPr>
        <w:t xml:space="preserve">The sensitivity of a SWAT-Bp score of </w:t>
      </w:r>
      <w:r w:rsidR="002C14BD">
        <w:rPr>
          <w:rFonts w:asciiTheme="minorHAnsi" w:hAnsiTheme="minorHAnsi" w:cs="Arial"/>
          <w:sz w:val="24"/>
          <w:szCs w:val="24"/>
        </w:rPr>
        <w:t>≥</w:t>
      </w:r>
      <w:r w:rsidRPr="00730728">
        <w:rPr>
          <w:rFonts w:asciiTheme="minorHAnsi" w:hAnsiTheme="minorHAnsi" w:cs="Arial"/>
          <w:sz w:val="24"/>
          <w:szCs w:val="24"/>
        </w:rPr>
        <w:t>2</w:t>
      </w:r>
      <w:r w:rsidR="006E27A6" w:rsidRPr="00730728">
        <w:rPr>
          <w:rFonts w:asciiTheme="minorHAnsi" w:hAnsiTheme="minorHAnsi" w:cs="Arial"/>
          <w:sz w:val="24"/>
          <w:szCs w:val="24"/>
        </w:rPr>
        <w:t xml:space="preserve"> </w:t>
      </w:r>
      <w:r w:rsidRPr="00730728">
        <w:rPr>
          <w:rFonts w:asciiTheme="minorHAnsi" w:hAnsiTheme="minorHAnsi" w:cs="Arial"/>
          <w:sz w:val="24"/>
          <w:szCs w:val="24"/>
        </w:rPr>
        <w:t xml:space="preserve">(81.5%) </w:t>
      </w:r>
      <w:r w:rsidR="00D81871" w:rsidRPr="00730728">
        <w:rPr>
          <w:rFonts w:asciiTheme="minorHAnsi" w:hAnsiTheme="minorHAnsi" w:cs="Arial"/>
          <w:sz w:val="24"/>
          <w:szCs w:val="24"/>
        </w:rPr>
        <w:t>indicates that this score</w:t>
      </w:r>
      <w:r w:rsidR="002C14BD">
        <w:rPr>
          <w:rFonts w:asciiTheme="minorHAnsi" w:hAnsiTheme="minorHAnsi" w:cs="Arial"/>
          <w:sz w:val="24"/>
          <w:szCs w:val="24"/>
        </w:rPr>
        <w:t xml:space="preserve"> aids in</w:t>
      </w:r>
      <w:r w:rsidR="00D81871" w:rsidRPr="00730728">
        <w:rPr>
          <w:rFonts w:asciiTheme="minorHAnsi" w:hAnsiTheme="minorHAnsi" w:cs="Arial"/>
          <w:sz w:val="24"/>
          <w:szCs w:val="24"/>
        </w:rPr>
        <w:t xml:space="preserve"> </w:t>
      </w:r>
      <w:r w:rsidR="006C51B7" w:rsidRPr="00730728">
        <w:rPr>
          <w:rFonts w:asciiTheme="minorHAnsi" w:hAnsiTheme="minorHAnsi" w:cs="Arial"/>
          <w:sz w:val="24"/>
          <w:szCs w:val="24"/>
        </w:rPr>
        <w:t>i</w:t>
      </w:r>
      <w:r w:rsidR="00D81871" w:rsidRPr="00730728">
        <w:rPr>
          <w:rFonts w:asciiTheme="minorHAnsi" w:hAnsiTheme="minorHAnsi" w:cs="Arial"/>
          <w:sz w:val="24"/>
          <w:szCs w:val="24"/>
        </w:rPr>
        <w:t>de</w:t>
      </w:r>
      <w:r w:rsidR="006C51B7" w:rsidRPr="00730728">
        <w:rPr>
          <w:rFonts w:asciiTheme="minorHAnsi" w:hAnsiTheme="minorHAnsi" w:cs="Arial"/>
          <w:sz w:val="24"/>
          <w:szCs w:val="24"/>
        </w:rPr>
        <w:t>n</w:t>
      </w:r>
      <w:r w:rsidR="00D81871" w:rsidRPr="00730728">
        <w:rPr>
          <w:rFonts w:asciiTheme="minorHAnsi" w:hAnsiTheme="minorHAnsi" w:cs="Arial"/>
          <w:sz w:val="24"/>
          <w:szCs w:val="24"/>
        </w:rPr>
        <w:t>t</w:t>
      </w:r>
      <w:r w:rsidR="002C14BD">
        <w:rPr>
          <w:rFonts w:asciiTheme="minorHAnsi" w:hAnsiTheme="minorHAnsi" w:cs="Arial"/>
          <w:sz w:val="24"/>
          <w:szCs w:val="24"/>
        </w:rPr>
        <w:t>ification of</w:t>
      </w:r>
      <w:r w:rsidR="00D81871" w:rsidRPr="00730728">
        <w:rPr>
          <w:rFonts w:asciiTheme="minorHAnsi" w:hAnsiTheme="minorHAnsi" w:cs="Arial"/>
          <w:sz w:val="24"/>
          <w:szCs w:val="24"/>
        </w:rPr>
        <w:t xml:space="preserve"> patients at </w:t>
      </w:r>
      <w:r w:rsidR="00116326">
        <w:rPr>
          <w:rFonts w:asciiTheme="minorHAnsi" w:hAnsiTheme="minorHAnsi" w:cs="Arial"/>
          <w:sz w:val="24"/>
          <w:szCs w:val="24"/>
        </w:rPr>
        <w:t>low</w:t>
      </w:r>
      <w:r w:rsidR="00D81871" w:rsidRPr="00730728">
        <w:rPr>
          <w:rFonts w:asciiTheme="minorHAnsi" w:hAnsiTheme="minorHAnsi" w:cs="Arial"/>
          <w:sz w:val="24"/>
          <w:szCs w:val="24"/>
        </w:rPr>
        <w:t xml:space="preserve">er risk of </w:t>
      </w:r>
      <w:r w:rsidR="002C14BD">
        <w:rPr>
          <w:rFonts w:asciiTheme="minorHAnsi" w:hAnsiTheme="minorHAnsi" w:cs="Arial"/>
          <w:sz w:val="24"/>
          <w:szCs w:val="24"/>
        </w:rPr>
        <w:t>deterioration</w:t>
      </w:r>
      <w:r w:rsidRPr="00730728">
        <w:rPr>
          <w:rFonts w:asciiTheme="minorHAnsi" w:hAnsiTheme="minorHAnsi" w:cs="Arial"/>
          <w:sz w:val="24"/>
          <w:szCs w:val="24"/>
        </w:rPr>
        <w:t>.</w:t>
      </w:r>
      <w:r w:rsidR="00D81871" w:rsidRPr="00730728">
        <w:rPr>
          <w:rFonts w:asciiTheme="minorHAnsi" w:hAnsiTheme="minorHAnsi" w:cs="Arial"/>
          <w:sz w:val="24"/>
          <w:szCs w:val="24"/>
        </w:rPr>
        <w:t xml:space="preserve"> Practically speaking, if pat</w:t>
      </w:r>
      <w:r w:rsidR="0036187C" w:rsidRPr="00730728">
        <w:rPr>
          <w:rFonts w:asciiTheme="minorHAnsi" w:hAnsiTheme="minorHAnsi" w:cs="Arial"/>
          <w:sz w:val="24"/>
          <w:szCs w:val="24"/>
        </w:rPr>
        <w:t xml:space="preserve">ients with a score of </w:t>
      </w:r>
      <w:r w:rsidR="002C3209">
        <w:rPr>
          <w:rFonts w:asciiTheme="minorHAnsi" w:hAnsiTheme="minorHAnsi" w:cstheme="minorHAnsi"/>
          <w:sz w:val="24"/>
          <w:szCs w:val="24"/>
        </w:rPr>
        <w:t>≥</w:t>
      </w:r>
      <w:r w:rsidR="0036187C" w:rsidRPr="00730728">
        <w:rPr>
          <w:rFonts w:asciiTheme="minorHAnsi" w:hAnsiTheme="minorHAnsi" w:cs="Arial"/>
          <w:sz w:val="24"/>
          <w:szCs w:val="24"/>
        </w:rPr>
        <w:t xml:space="preserve">2 </w:t>
      </w:r>
      <w:r w:rsidR="00D81871" w:rsidRPr="00730728">
        <w:rPr>
          <w:rFonts w:asciiTheme="minorHAnsi" w:hAnsiTheme="minorHAnsi" w:cs="Arial"/>
          <w:sz w:val="24"/>
          <w:szCs w:val="24"/>
        </w:rPr>
        <w:t xml:space="preserve">deteriorate, they </w:t>
      </w:r>
      <w:r w:rsidR="002C14BD">
        <w:rPr>
          <w:rFonts w:asciiTheme="minorHAnsi" w:hAnsiTheme="minorHAnsi" w:cs="Arial"/>
          <w:sz w:val="24"/>
          <w:szCs w:val="24"/>
        </w:rPr>
        <w:t>would</w:t>
      </w:r>
      <w:r w:rsidR="00D81871" w:rsidRPr="00730728">
        <w:rPr>
          <w:rFonts w:asciiTheme="minorHAnsi" w:hAnsiTheme="minorHAnsi" w:cs="Arial"/>
          <w:sz w:val="24"/>
          <w:szCs w:val="24"/>
        </w:rPr>
        <w:t xml:space="preserve"> already</w:t>
      </w:r>
      <w:r w:rsidR="002C14BD">
        <w:rPr>
          <w:rFonts w:asciiTheme="minorHAnsi" w:hAnsiTheme="minorHAnsi" w:cs="Arial"/>
          <w:sz w:val="24"/>
          <w:szCs w:val="24"/>
        </w:rPr>
        <w:t xml:space="preserve"> be</w:t>
      </w:r>
      <w:r w:rsidR="00D81871" w:rsidRPr="00730728">
        <w:rPr>
          <w:rFonts w:asciiTheme="minorHAnsi" w:hAnsiTheme="minorHAnsi" w:cs="Arial"/>
          <w:sz w:val="24"/>
          <w:szCs w:val="24"/>
        </w:rPr>
        <w:t xml:space="preserve"> in an appropriate setting in which higher level treatment may be available.</w:t>
      </w:r>
      <w:r w:rsidR="00112AB9" w:rsidRPr="00730728">
        <w:rPr>
          <w:rFonts w:asciiTheme="minorHAnsi" w:hAnsiTheme="minorHAnsi" w:cs="Arial"/>
          <w:sz w:val="24"/>
          <w:szCs w:val="24"/>
        </w:rPr>
        <w:t xml:space="preserve"> </w:t>
      </w:r>
      <w:r w:rsidR="00BA6D84" w:rsidRPr="00730728">
        <w:rPr>
          <w:rFonts w:asciiTheme="minorHAnsi" w:hAnsiTheme="minorHAnsi" w:cs="Arial"/>
          <w:sz w:val="24"/>
          <w:szCs w:val="24"/>
        </w:rPr>
        <w:t>The SWAT-Bp score stratif</w:t>
      </w:r>
      <w:r w:rsidR="00B727D8" w:rsidRPr="00730728">
        <w:rPr>
          <w:rFonts w:asciiTheme="minorHAnsi" w:hAnsiTheme="minorHAnsi" w:cs="Arial"/>
          <w:sz w:val="24"/>
          <w:szCs w:val="24"/>
        </w:rPr>
        <w:t>ies</w:t>
      </w:r>
      <w:r w:rsidR="00BA6D84" w:rsidRPr="00730728">
        <w:rPr>
          <w:rFonts w:asciiTheme="minorHAnsi" w:hAnsiTheme="minorHAnsi" w:cs="Arial"/>
          <w:sz w:val="24"/>
          <w:szCs w:val="24"/>
        </w:rPr>
        <w:t xml:space="preserve"> patien</w:t>
      </w:r>
      <w:r w:rsidR="00B727D8" w:rsidRPr="00730728">
        <w:rPr>
          <w:rFonts w:asciiTheme="minorHAnsi" w:hAnsiTheme="minorHAnsi" w:cs="Arial"/>
          <w:sz w:val="24"/>
          <w:szCs w:val="24"/>
        </w:rPr>
        <w:t>ts with</w:t>
      </w:r>
      <w:r w:rsidR="00F666BB" w:rsidRPr="00730728">
        <w:rPr>
          <w:rFonts w:asciiTheme="minorHAnsi" w:hAnsiTheme="minorHAnsi" w:cs="Arial"/>
          <w:sz w:val="24"/>
          <w:szCs w:val="24"/>
        </w:rPr>
        <w:t xml:space="preserve"> clinical</w:t>
      </w:r>
      <w:r w:rsidR="00B727D8" w:rsidRPr="00730728">
        <w:rPr>
          <w:rFonts w:asciiTheme="minorHAnsi" w:hAnsiTheme="minorHAnsi" w:cs="Arial"/>
          <w:sz w:val="24"/>
          <w:szCs w:val="24"/>
        </w:rPr>
        <w:t xml:space="preserve"> pneumonia according to </w:t>
      </w:r>
      <w:r w:rsidR="00BA6D84" w:rsidRPr="00730728">
        <w:rPr>
          <w:rFonts w:asciiTheme="minorHAnsi" w:hAnsiTheme="minorHAnsi" w:cs="Arial"/>
          <w:sz w:val="24"/>
          <w:szCs w:val="24"/>
        </w:rPr>
        <w:t>mortality risk, demonstrated by an AU</w:t>
      </w:r>
      <w:r w:rsidR="002C3209">
        <w:rPr>
          <w:rFonts w:asciiTheme="minorHAnsi" w:hAnsiTheme="minorHAnsi" w:cs="Arial"/>
          <w:sz w:val="24"/>
          <w:szCs w:val="24"/>
        </w:rPr>
        <w:t>RO</w:t>
      </w:r>
      <w:r w:rsidR="00BA6D84" w:rsidRPr="00730728">
        <w:rPr>
          <w:rFonts w:asciiTheme="minorHAnsi" w:hAnsiTheme="minorHAnsi" w:cs="Arial"/>
          <w:sz w:val="24"/>
          <w:szCs w:val="24"/>
        </w:rPr>
        <w:t>C of</w:t>
      </w:r>
      <w:r w:rsidR="00BA6D84" w:rsidRPr="00730728">
        <w:rPr>
          <w:rFonts w:asciiTheme="minorHAnsi" w:hAnsiTheme="minorHAnsi" w:cs="Arial"/>
          <w:color w:val="FF0000"/>
          <w:sz w:val="24"/>
          <w:szCs w:val="24"/>
        </w:rPr>
        <w:t xml:space="preserve"> </w:t>
      </w:r>
      <w:r w:rsidR="00BA6D84" w:rsidRPr="00730728">
        <w:rPr>
          <w:rFonts w:asciiTheme="minorHAnsi" w:hAnsiTheme="minorHAnsi" w:cs="Arial"/>
          <w:sz w:val="24"/>
          <w:szCs w:val="24"/>
        </w:rPr>
        <w:t>0.744 in this study, and 0.867 in the derivation study.</w:t>
      </w:r>
      <w:r w:rsidR="00851D3C" w:rsidRPr="0024430F">
        <w:rPr>
          <w:rFonts w:asciiTheme="minorHAnsi" w:hAnsiTheme="minorHAnsi" w:cs="Arial"/>
          <w:sz w:val="24"/>
          <w:szCs w:val="24"/>
          <w:vertAlign w:val="superscript"/>
        </w:rPr>
        <w:t>19</w:t>
      </w:r>
      <w:r w:rsidR="003A3FD5" w:rsidRPr="00730728">
        <w:rPr>
          <w:rFonts w:asciiTheme="minorHAnsi" w:hAnsiTheme="minorHAnsi" w:cs="Arial"/>
          <w:sz w:val="24"/>
          <w:szCs w:val="24"/>
          <w:vertAlign w:val="superscript"/>
        </w:rPr>
        <w:t xml:space="preserve"> </w:t>
      </w:r>
      <w:r w:rsidR="003A3FD5" w:rsidRPr="00730728">
        <w:rPr>
          <w:rFonts w:asciiTheme="minorHAnsi" w:hAnsiTheme="minorHAnsi" w:cs="Arial"/>
          <w:sz w:val="24"/>
          <w:szCs w:val="24"/>
        </w:rPr>
        <w:t>In the</w:t>
      </w:r>
      <w:r w:rsidR="004057C0" w:rsidRPr="00730728">
        <w:rPr>
          <w:rFonts w:asciiTheme="minorHAnsi" w:hAnsiTheme="minorHAnsi" w:cs="Arial"/>
          <w:sz w:val="24"/>
          <w:szCs w:val="24"/>
        </w:rPr>
        <w:t xml:space="preserve"> original</w:t>
      </w:r>
      <w:r w:rsidR="003A3FD5" w:rsidRPr="00730728">
        <w:rPr>
          <w:rFonts w:asciiTheme="minorHAnsi" w:hAnsiTheme="minorHAnsi" w:cs="Arial"/>
          <w:sz w:val="24"/>
          <w:szCs w:val="24"/>
        </w:rPr>
        <w:t xml:space="preserve"> validation cohort of the CURB-65 </w:t>
      </w:r>
      <w:r w:rsidR="00FF4656" w:rsidRPr="00730728">
        <w:rPr>
          <w:rFonts w:asciiTheme="minorHAnsi" w:hAnsiTheme="minorHAnsi" w:cs="Arial"/>
          <w:sz w:val="24"/>
          <w:szCs w:val="24"/>
        </w:rPr>
        <w:t>and CRB-65 scores,</w:t>
      </w:r>
      <w:r w:rsidR="003A3FD5" w:rsidRPr="00730728">
        <w:rPr>
          <w:rFonts w:asciiTheme="minorHAnsi" w:hAnsiTheme="minorHAnsi" w:cs="Arial"/>
          <w:sz w:val="24"/>
          <w:szCs w:val="24"/>
        </w:rPr>
        <w:t xml:space="preserve"> </w:t>
      </w:r>
      <w:r w:rsidR="006258C8" w:rsidRPr="00730728">
        <w:rPr>
          <w:rFonts w:asciiTheme="minorHAnsi" w:hAnsiTheme="minorHAnsi" w:cs="Arial"/>
          <w:sz w:val="24"/>
          <w:szCs w:val="24"/>
        </w:rPr>
        <w:t xml:space="preserve">comparatively </w:t>
      </w:r>
      <w:r w:rsidR="00856760">
        <w:rPr>
          <w:rFonts w:asciiTheme="minorHAnsi" w:hAnsiTheme="minorHAnsi" w:cs="Arial"/>
          <w:sz w:val="24"/>
          <w:szCs w:val="24"/>
        </w:rPr>
        <w:t>slightly better</w:t>
      </w:r>
      <w:r w:rsidR="003A3FD5" w:rsidRPr="00730728">
        <w:rPr>
          <w:rFonts w:asciiTheme="minorHAnsi" w:hAnsiTheme="minorHAnsi" w:cs="Arial"/>
          <w:sz w:val="24"/>
          <w:szCs w:val="24"/>
        </w:rPr>
        <w:t xml:space="preserve"> values were obtained for sensitivity (75% and 80% respectively) and specificity (75% and 61%),</w:t>
      </w:r>
      <w:r w:rsidR="002F0637" w:rsidRPr="00730728">
        <w:rPr>
          <w:rFonts w:asciiTheme="minorHAnsi" w:hAnsiTheme="minorHAnsi" w:cs="Arial"/>
          <w:sz w:val="24"/>
          <w:szCs w:val="24"/>
        </w:rPr>
        <w:t xml:space="preserve"> </w:t>
      </w:r>
      <w:r w:rsidR="00BA6D84" w:rsidRPr="00730728">
        <w:rPr>
          <w:rFonts w:asciiTheme="minorHAnsi" w:hAnsiTheme="minorHAnsi" w:cs="Arial"/>
          <w:sz w:val="24"/>
          <w:szCs w:val="24"/>
        </w:rPr>
        <w:t>a</w:t>
      </w:r>
      <w:r w:rsidR="00204CEA" w:rsidRPr="00730728">
        <w:rPr>
          <w:rFonts w:asciiTheme="minorHAnsi" w:hAnsiTheme="minorHAnsi" w:cs="Arial"/>
          <w:sz w:val="24"/>
          <w:szCs w:val="24"/>
        </w:rPr>
        <w:t>s well as</w:t>
      </w:r>
      <w:r w:rsidR="00BA6D84" w:rsidRPr="00730728">
        <w:rPr>
          <w:rFonts w:asciiTheme="minorHAnsi" w:hAnsiTheme="minorHAnsi" w:cs="Arial"/>
          <w:sz w:val="24"/>
          <w:szCs w:val="24"/>
        </w:rPr>
        <w:t xml:space="preserve"> the AU</w:t>
      </w:r>
      <w:r w:rsidR="005A5DC9" w:rsidRPr="00730728">
        <w:rPr>
          <w:rFonts w:asciiTheme="minorHAnsi" w:hAnsiTheme="minorHAnsi" w:cs="Arial"/>
          <w:sz w:val="24"/>
          <w:szCs w:val="24"/>
        </w:rPr>
        <w:t>RO</w:t>
      </w:r>
      <w:r w:rsidR="00BA6D84" w:rsidRPr="00730728">
        <w:rPr>
          <w:rFonts w:asciiTheme="minorHAnsi" w:hAnsiTheme="minorHAnsi" w:cs="Arial"/>
          <w:sz w:val="24"/>
          <w:szCs w:val="24"/>
        </w:rPr>
        <w:t xml:space="preserve">C </w:t>
      </w:r>
      <w:r w:rsidR="005132EA" w:rsidRPr="00730728">
        <w:rPr>
          <w:rFonts w:asciiTheme="minorHAnsi" w:hAnsiTheme="minorHAnsi" w:cs="Arial"/>
          <w:sz w:val="24"/>
          <w:szCs w:val="24"/>
        </w:rPr>
        <w:t>for</w:t>
      </w:r>
      <w:r w:rsidR="00FF4656" w:rsidRPr="00730728">
        <w:rPr>
          <w:rFonts w:asciiTheme="minorHAnsi" w:hAnsiTheme="minorHAnsi" w:cs="Arial"/>
          <w:sz w:val="24"/>
          <w:szCs w:val="24"/>
        </w:rPr>
        <w:t xml:space="preserve"> the CURB-65 (0.79) and CRB-65 (0.76) scores</w:t>
      </w:r>
      <w:r w:rsidR="003A3FD5" w:rsidRPr="00730728">
        <w:rPr>
          <w:rFonts w:asciiTheme="minorHAnsi" w:hAnsiTheme="minorHAnsi" w:cs="Arial"/>
          <w:sz w:val="24"/>
          <w:szCs w:val="24"/>
        </w:rPr>
        <w:t>.</w:t>
      </w:r>
      <w:r w:rsidR="00851D3C" w:rsidRPr="0024430F">
        <w:rPr>
          <w:rFonts w:asciiTheme="minorHAnsi" w:hAnsiTheme="minorHAnsi" w:cs="Arial"/>
          <w:sz w:val="24"/>
          <w:szCs w:val="24"/>
          <w:vertAlign w:val="superscript"/>
        </w:rPr>
        <w:t>16</w:t>
      </w:r>
    </w:p>
    <w:p w:rsidR="00FF4656" w:rsidRPr="00730728" w:rsidRDefault="002F0637" w:rsidP="00730728">
      <w:pPr>
        <w:spacing w:line="480" w:lineRule="auto"/>
        <w:rPr>
          <w:rFonts w:asciiTheme="minorHAnsi" w:hAnsiTheme="minorHAnsi" w:cs="Arial"/>
          <w:sz w:val="24"/>
          <w:szCs w:val="24"/>
          <w:vertAlign w:val="superscript"/>
        </w:rPr>
      </w:pPr>
      <w:r w:rsidRPr="00730728">
        <w:rPr>
          <w:rFonts w:asciiTheme="minorHAnsi" w:hAnsiTheme="minorHAnsi" w:cs="Arial"/>
          <w:sz w:val="24"/>
          <w:szCs w:val="24"/>
        </w:rPr>
        <w:t>The C</w:t>
      </w:r>
      <w:r w:rsidR="006258C8" w:rsidRPr="00730728">
        <w:rPr>
          <w:rFonts w:asciiTheme="minorHAnsi" w:hAnsiTheme="minorHAnsi" w:cs="Arial"/>
          <w:sz w:val="24"/>
          <w:szCs w:val="24"/>
        </w:rPr>
        <w:t>U</w:t>
      </w:r>
      <w:r w:rsidRPr="00730728">
        <w:rPr>
          <w:rFonts w:asciiTheme="minorHAnsi" w:hAnsiTheme="minorHAnsi" w:cs="Arial"/>
          <w:sz w:val="24"/>
          <w:szCs w:val="24"/>
        </w:rPr>
        <w:t xml:space="preserve">RB-65 and CRB-65 scores are widely used in </w:t>
      </w:r>
      <w:r w:rsidR="00093439" w:rsidRPr="00730728">
        <w:rPr>
          <w:rFonts w:asciiTheme="minorHAnsi" w:hAnsiTheme="minorHAnsi" w:cs="Arial"/>
          <w:sz w:val="24"/>
          <w:szCs w:val="24"/>
        </w:rPr>
        <w:t>higher</w:t>
      </w:r>
      <w:r w:rsidR="00511EE8" w:rsidRPr="00730728">
        <w:rPr>
          <w:rFonts w:asciiTheme="minorHAnsi" w:hAnsiTheme="minorHAnsi" w:cs="Arial"/>
          <w:sz w:val="24"/>
          <w:szCs w:val="24"/>
        </w:rPr>
        <w:t>-</w:t>
      </w:r>
      <w:r w:rsidR="00093439" w:rsidRPr="00730728">
        <w:rPr>
          <w:rFonts w:asciiTheme="minorHAnsi" w:hAnsiTheme="minorHAnsi" w:cs="Arial"/>
          <w:sz w:val="24"/>
          <w:szCs w:val="24"/>
        </w:rPr>
        <w:t>income</w:t>
      </w:r>
      <w:r w:rsidRPr="00730728">
        <w:rPr>
          <w:rFonts w:asciiTheme="minorHAnsi" w:hAnsiTheme="minorHAnsi" w:cs="Arial"/>
          <w:sz w:val="24"/>
          <w:szCs w:val="24"/>
        </w:rPr>
        <w:t xml:space="preserve"> countries, where there is much</w:t>
      </w:r>
      <w:r w:rsidR="00B727D8" w:rsidRPr="00730728">
        <w:rPr>
          <w:rFonts w:asciiTheme="minorHAnsi" w:hAnsiTheme="minorHAnsi" w:cs="Arial"/>
          <w:sz w:val="24"/>
          <w:szCs w:val="24"/>
        </w:rPr>
        <w:t xml:space="preserve"> evidence supporting their accur</w:t>
      </w:r>
      <w:r w:rsidR="00CA210F" w:rsidRPr="00730728">
        <w:rPr>
          <w:rFonts w:asciiTheme="minorHAnsi" w:hAnsiTheme="minorHAnsi" w:cs="Arial"/>
          <w:sz w:val="24"/>
          <w:szCs w:val="24"/>
        </w:rPr>
        <w:t>acy.</w:t>
      </w:r>
      <w:r w:rsidR="00851D3C" w:rsidRPr="0024430F">
        <w:rPr>
          <w:rFonts w:asciiTheme="minorHAnsi" w:hAnsiTheme="minorHAnsi" w:cs="Arial"/>
          <w:sz w:val="24"/>
          <w:szCs w:val="24"/>
          <w:vertAlign w:val="superscript"/>
        </w:rPr>
        <w:t>10,12,16,17</w:t>
      </w:r>
      <w:r w:rsidR="00CA210F" w:rsidRPr="00730728">
        <w:rPr>
          <w:rFonts w:asciiTheme="minorHAnsi" w:hAnsiTheme="minorHAnsi" w:cs="Arial"/>
          <w:sz w:val="24"/>
          <w:szCs w:val="24"/>
        </w:rPr>
        <w:t xml:space="preserve"> D</w:t>
      </w:r>
      <w:r w:rsidRPr="00730728">
        <w:rPr>
          <w:rFonts w:asciiTheme="minorHAnsi" w:hAnsiTheme="minorHAnsi" w:cs="Arial"/>
          <w:sz w:val="24"/>
          <w:szCs w:val="24"/>
        </w:rPr>
        <w:t>espite recomme</w:t>
      </w:r>
      <w:r w:rsidR="00CA210F" w:rsidRPr="00730728">
        <w:rPr>
          <w:rFonts w:asciiTheme="minorHAnsi" w:hAnsiTheme="minorHAnsi" w:cs="Arial"/>
          <w:sz w:val="24"/>
          <w:szCs w:val="24"/>
        </w:rPr>
        <w:t>ndations that they should be revalid</w:t>
      </w:r>
      <w:r w:rsidRPr="00730728">
        <w:rPr>
          <w:rFonts w:asciiTheme="minorHAnsi" w:hAnsiTheme="minorHAnsi" w:cs="Arial"/>
          <w:sz w:val="24"/>
          <w:szCs w:val="24"/>
        </w:rPr>
        <w:t xml:space="preserve">ated for use in </w:t>
      </w:r>
      <w:r w:rsidR="005132EA" w:rsidRPr="00730728">
        <w:rPr>
          <w:rFonts w:asciiTheme="minorHAnsi" w:hAnsiTheme="minorHAnsi" w:cs="Arial"/>
          <w:sz w:val="24"/>
          <w:szCs w:val="24"/>
        </w:rPr>
        <w:t>novel environments</w:t>
      </w:r>
      <w:r w:rsidRPr="00730728">
        <w:rPr>
          <w:rFonts w:asciiTheme="minorHAnsi" w:hAnsiTheme="minorHAnsi" w:cs="Arial"/>
          <w:sz w:val="24"/>
          <w:szCs w:val="24"/>
        </w:rPr>
        <w:t>,</w:t>
      </w:r>
      <w:r w:rsidR="00791CC3" w:rsidRPr="00730728">
        <w:rPr>
          <w:rFonts w:asciiTheme="minorHAnsi" w:hAnsiTheme="minorHAnsi" w:cs="Arial"/>
          <w:sz w:val="24"/>
          <w:szCs w:val="24"/>
        </w:rPr>
        <w:t xml:space="preserve"> </w:t>
      </w:r>
      <w:r w:rsidRPr="00730728">
        <w:rPr>
          <w:rFonts w:asciiTheme="minorHAnsi" w:hAnsiTheme="minorHAnsi" w:cs="Arial"/>
          <w:sz w:val="24"/>
          <w:szCs w:val="24"/>
        </w:rPr>
        <w:t xml:space="preserve">few such studies </w:t>
      </w:r>
      <w:r w:rsidR="00CA210F" w:rsidRPr="00730728">
        <w:rPr>
          <w:rFonts w:asciiTheme="minorHAnsi" w:hAnsiTheme="minorHAnsi" w:cs="Arial"/>
          <w:sz w:val="24"/>
          <w:szCs w:val="24"/>
        </w:rPr>
        <w:t>have been reported</w:t>
      </w:r>
      <w:r w:rsidRPr="00730728">
        <w:rPr>
          <w:rFonts w:asciiTheme="minorHAnsi" w:hAnsiTheme="minorHAnsi" w:cs="Arial"/>
          <w:sz w:val="24"/>
          <w:szCs w:val="24"/>
        </w:rPr>
        <w:t>.</w:t>
      </w:r>
      <w:r w:rsidR="001073A7" w:rsidRPr="00730728">
        <w:rPr>
          <w:rFonts w:asciiTheme="minorHAnsi" w:hAnsiTheme="minorHAnsi" w:cs="Arial"/>
          <w:sz w:val="24"/>
          <w:szCs w:val="24"/>
        </w:rPr>
        <w:t xml:space="preserve"> </w:t>
      </w:r>
      <w:r w:rsidR="007F37E5" w:rsidRPr="00730728">
        <w:rPr>
          <w:rFonts w:asciiTheme="minorHAnsi" w:hAnsiTheme="minorHAnsi" w:cs="Arial"/>
          <w:sz w:val="24"/>
          <w:szCs w:val="24"/>
        </w:rPr>
        <w:t>One study in Nigeria</w:t>
      </w:r>
      <w:r w:rsidR="00D716E1" w:rsidRPr="00730728">
        <w:rPr>
          <w:rFonts w:asciiTheme="minorHAnsi" w:hAnsiTheme="minorHAnsi" w:cs="Arial"/>
          <w:sz w:val="24"/>
          <w:szCs w:val="24"/>
        </w:rPr>
        <w:t xml:space="preserve"> demonstrate</w:t>
      </w:r>
      <w:r w:rsidR="0042350A">
        <w:rPr>
          <w:rFonts w:asciiTheme="minorHAnsi" w:hAnsiTheme="minorHAnsi" w:cs="Arial"/>
          <w:sz w:val="24"/>
          <w:szCs w:val="24"/>
        </w:rPr>
        <w:t>d</w:t>
      </w:r>
      <w:r w:rsidR="007F37E5" w:rsidRPr="00730728">
        <w:rPr>
          <w:rFonts w:asciiTheme="minorHAnsi" w:hAnsiTheme="minorHAnsi" w:cs="Arial"/>
          <w:sz w:val="24"/>
          <w:szCs w:val="24"/>
        </w:rPr>
        <w:t xml:space="preserve"> strong sensitivity and specificity of the CURB-65 score, but the sample size was small (80) and HIV prevalence was low (14.3% amongst those with </w:t>
      </w:r>
      <w:r w:rsidR="007F37E5" w:rsidRPr="00730728">
        <w:rPr>
          <w:rFonts w:asciiTheme="minorHAnsi" w:hAnsiTheme="minorHAnsi" w:cs="Arial"/>
          <w:sz w:val="24"/>
          <w:szCs w:val="24"/>
        </w:rPr>
        <w:lastRenderedPageBreak/>
        <w:t>known status; a high proportion did not undergo HIV testing).</w:t>
      </w:r>
      <w:r w:rsidR="0024430F" w:rsidRPr="0024430F">
        <w:rPr>
          <w:rFonts w:asciiTheme="minorHAnsi" w:hAnsiTheme="minorHAnsi" w:cs="Arial"/>
          <w:sz w:val="24"/>
          <w:szCs w:val="24"/>
          <w:vertAlign w:val="superscript"/>
        </w:rPr>
        <w:t>24</w:t>
      </w:r>
      <w:r w:rsidR="007F37E5" w:rsidRPr="00730728">
        <w:rPr>
          <w:rFonts w:asciiTheme="minorHAnsi" w:hAnsiTheme="minorHAnsi" w:cs="Arial"/>
          <w:sz w:val="24"/>
          <w:szCs w:val="24"/>
        </w:rPr>
        <w:t xml:space="preserve"> Conflicting evide</w:t>
      </w:r>
      <w:r w:rsidR="00613076">
        <w:rPr>
          <w:rFonts w:asciiTheme="minorHAnsi" w:hAnsiTheme="minorHAnsi" w:cs="Arial"/>
          <w:sz w:val="24"/>
          <w:szCs w:val="24"/>
        </w:rPr>
        <w:t>nce exists regarding whether pneumonia</w:t>
      </w:r>
      <w:r w:rsidR="007F37E5" w:rsidRPr="00730728">
        <w:rPr>
          <w:rFonts w:asciiTheme="minorHAnsi" w:hAnsiTheme="minorHAnsi" w:cs="Arial"/>
          <w:sz w:val="24"/>
          <w:szCs w:val="24"/>
        </w:rPr>
        <w:t xml:space="preserve"> in HIV-infected patients differs from HIV-negative individuals, in terms of clinical presentation and outcome.</w:t>
      </w:r>
      <w:r w:rsidR="00851D3C" w:rsidRPr="0024430F">
        <w:rPr>
          <w:rFonts w:asciiTheme="minorHAnsi" w:hAnsiTheme="minorHAnsi" w:cs="Arial"/>
          <w:sz w:val="24"/>
          <w:szCs w:val="24"/>
          <w:vertAlign w:val="superscript"/>
        </w:rPr>
        <w:t>25-28</w:t>
      </w:r>
      <w:r w:rsidR="007F37E5" w:rsidRPr="00730728">
        <w:rPr>
          <w:rFonts w:asciiTheme="minorHAnsi" w:hAnsiTheme="minorHAnsi" w:cs="Arial"/>
          <w:sz w:val="24"/>
          <w:szCs w:val="24"/>
        </w:rPr>
        <w:t xml:space="preserve"> Therefore it may be inappropriate to apply these scores to assess pneumonia severity in Malawi, where approximately 11% of adults in the community</w:t>
      </w:r>
      <w:r w:rsidR="00851D3C" w:rsidRPr="0024430F">
        <w:rPr>
          <w:rFonts w:asciiTheme="minorHAnsi" w:hAnsiTheme="minorHAnsi" w:cs="Arial"/>
          <w:sz w:val="24"/>
          <w:szCs w:val="24"/>
          <w:vertAlign w:val="superscript"/>
        </w:rPr>
        <w:t>29</w:t>
      </w:r>
      <w:r w:rsidR="007F37E5" w:rsidRPr="00730728">
        <w:rPr>
          <w:rFonts w:asciiTheme="minorHAnsi" w:hAnsiTheme="minorHAnsi" w:cs="Arial"/>
          <w:sz w:val="24"/>
          <w:szCs w:val="24"/>
        </w:rPr>
        <w:t xml:space="preserve"> and 80% of those presenting to hospital with CAP</w:t>
      </w:r>
      <w:r w:rsidR="00851D3C" w:rsidRPr="0024430F">
        <w:rPr>
          <w:rFonts w:asciiTheme="minorHAnsi" w:hAnsiTheme="minorHAnsi" w:cs="Arial"/>
          <w:sz w:val="24"/>
          <w:szCs w:val="24"/>
          <w:vertAlign w:val="superscript"/>
        </w:rPr>
        <w:t>19</w:t>
      </w:r>
      <w:r w:rsidR="006B4B71" w:rsidRPr="00730728">
        <w:rPr>
          <w:rFonts w:asciiTheme="minorHAnsi" w:hAnsiTheme="minorHAnsi" w:cs="Arial"/>
          <w:sz w:val="24"/>
          <w:szCs w:val="24"/>
        </w:rPr>
        <w:t xml:space="preserve"> </w:t>
      </w:r>
      <w:r w:rsidR="007F37E5" w:rsidRPr="00730728">
        <w:rPr>
          <w:rFonts w:asciiTheme="minorHAnsi" w:hAnsiTheme="minorHAnsi" w:cs="Arial"/>
          <w:sz w:val="24"/>
          <w:szCs w:val="24"/>
        </w:rPr>
        <w:t>are infected with HIV.</w:t>
      </w:r>
      <w:r w:rsidR="00791CC3" w:rsidRPr="00730728">
        <w:rPr>
          <w:rFonts w:asciiTheme="minorHAnsi" w:hAnsiTheme="minorHAnsi" w:cs="Arial"/>
          <w:sz w:val="24"/>
          <w:szCs w:val="24"/>
        </w:rPr>
        <w:t xml:space="preserve"> The CRB-65 score was found to be less </w:t>
      </w:r>
      <w:r w:rsidR="00982D7C" w:rsidRPr="00730728">
        <w:rPr>
          <w:rFonts w:asciiTheme="minorHAnsi" w:hAnsiTheme="minorHAnsi" w:cs="Arial"/>
          <w:sz w:val="24"/>
          <w:szCs w:val="24"/>
        </w:rPr>
        <w:t>sensitive (sensitivity 36.4%, specificity 80.6%, AUC 0.649) in</w:t>
      </w:r>
      <w:r w:rsidR="00791CC3" w:rsidRPr="00730728">
        <w:rPr>
          <w:rFonts w:asciiTheme="minorHAnsi" w:hAnsiTheme="minorHAnsi" w:cs="Arial"/>
          <w:sz w:val="24"/>
          <w:szCs w:val="24"/>
        </w:rPr>
        <w:t xml:space="preserve"> stratifying patients presenting with LRTI suggestive of pneumonia</w:t>
      </w:r>
      <w:r w:rsidR="00B727D8" w:rsidRPr="00730728">
        <w:rPr>
          <w:rFonts w:asciiTheme="minorHAnsi" w:hAnsiTheme="minorHAnsi" w:cs="Arial"/>
          <w:sz w:val="24"/>
          <w:szCs w:val="24"/>
        </w:rPr>
        <w:t xml:space="preserve"> in Malawi</w:t>
      </w:r>
      <w:r w:rsidR="00791CC3" w:rsidRPr="00730728">
        <w:rPr>
          <w:rFonts w:asciiTheme="minorHAnsi" w:hAnsiTheme="minorHAnsi" w:cs="Arial"/>
          <w:sz w:val="24"/>
          <w:szCs w:val="24"/>
        </w:rPr>
        <w:t xml:space="preserve"> than the</w:t>
      </w:r>
      <w:r w:rsidR="005132EA" w:rsidRPr="00730728">
        <w:rPr>
          <w:rFonts w:asciiTheme="minorHAnsi" w:hAnsiTheme="minorHAnsi" w:cs="Arial"/>
          <w:sz w:val="24"/>
          <w:szCs w:val="24"/>
        </w:rPr>
        <w:t xml:space="preserve"> SWAT-Bp</w:t>
      </w:r>
      <w:r w:rsidR="00CA210F" w:rsidRPr="00730728">
        <w:rPr>
          <w:rFonts w:asciiTheme="minorHAnsi" w:hAnsiTheme="minorHAnsi" w:cs="Arial"/>
          <w:sz w:val="24"/>
          <w:szCs w:val="24"/>
        </w:rPr>
        <w:t xml:space="preserve"> </w:t>
      </w:r>
      <w:r w:rsidR="00791CC3" w:rsidRPr="00730728">
        <w:rPr>
          <w:rFonts w:asciiTheme="minorHAnsi" w:hAnsiTheme="minorHAnsi" w:cs="Arial"/>
          <w:sz w:val="24"/>
          <w:szCs w:val="24"/>
        </w:rPr>
        <w:t>score</w:t>
      </w:r>
      <w:r w:rsidR="00CA210F" w:rsidRPr="00730728">
        <w:rPr>
          <w:rFonts w:asciiTheme="minorHAnsi" w:hAnsiTheme="minorHAnsi" w:cs="Arial"/>
          <w:sz w:val="24"/>
          <w:szCs w:val="24"/>
        </w:rPr>
        <w:t>.</w:t>
      </w:r>
      <w:r w:rsidR="00851D3C" w:rsidRPr="0024430F">
        <w:rPr>
          <w:rFonts w:asciiTheme="minorHAnsi" w:hAnsiTheme="minorHAnsi" w:cs="Arial"/>
          <w:sz w:val="24"/>
          <w:szCs w:val="24"/>
          <w:vertAlign w:val="superscript"/>
        </w:rPr>
        <w:t>19</w:t>
      </w:r>
      <w:r w:rsidR="00A67E9F" w:rsidRPr="00730728">
        <w:rPr>
          <w:rFonts w:asciiTheme="minorHAnsi" w:hAnsiTheme="minorHAnsi" w:cs="Arial"/>
          <w:sz w:val="24"/>
          <w:szCs w:val="24"/>
          <w:vertAlign w:val="superscript"/>
        </w:rPr>
        <w:t xml:space="preserve"> </w:t>
      </w:r>
      <w:r w:rsidR="001073A7" w:rsidRPr="00730728">
        <w:rPr>
          <w:rFonts w:asciiTheme="minorHAnsi" w:hAnsiTheme="minorHAnsi" w:cs="Arial"/>
          <w:sz w:val="24"/>
          <w:szCs w:val="24"/>
        </w:rPr>
        <w:t>Patients with pneumonia in Malawi are younger; the average life expectancy is 58 years compared to 80 in the UK.</w:t>
      </w:r>
      <w:r w:rsidR="00851D3C" w:rsidRPr="0024430F">
        <w:rPr>
          <w:rFonts w:asciiTheme="minorHAnsi" w:hAnsiTheme="minorHAnsi" w:cs="Arial"/>
          <w:sz w:val="24"/>
          <w:szCs w:val="24"/>
          <w:vertAlign w:val="superscript"/>
        </w:rPr>
        <w:t>29,30</w:t>
      </w:r>
      <w:r w:rsidR="001073A7" w:rsidRPr="00730728">
        <w:rPr>
          <w:rFonts w:asciiTheme="minorHAnsi" w:hAnsiTheme="minorHAnsi" w:cs="Arial"/>
          <w:sz w:val="24"/>
          <w:szCs w:val="24"/>
        </w:rPr>
        <w:t xml:space="preserve">  Simple, rapid pneumonia severity assessment tools are needed which perform well in regions of high HIV rates and few resources.</w:t>
      </w:r>
      <w:r w:rsidR="001073A7" w:rsidRPr="00730728">
        <w:rPr>
          <w:rFonts w:asciiTheme="minorHAnsi" w:hAnsiTheme="minorHAnsi" w:cs="Arial"/>
          <w:sz w:val="24"/>
          <w:szCs w:val="24"/>
          <w:vertAlign w:val="superscript"/>
        </w:rPr>
        <w:t xml:space="preserve"> </w:t>
      </w:r>
      <w:r w:rsidR="001073A7" w:rsidRPr="00730728">
        <w:rPr>
          <w:rFonts w:asciiTheme="minorHAnsi" w:hAnsiTheme="minorHAnsi" w:cs="Arial"/>
          <w:sz w:val="24"/>
          <w:szCs w:val="24"/>
        </w:rPr>
        <w:t>A recent</w:t>
      </w:r>
      <w:r w:rsidR="00A67E9F" w:rsidRPr="00730728">
        <w:rPr>
          <w:rFonts w:asciiTheme="minorHAnsi" w:hAnsiTheme="minorHAnsi" w:cs="Arial"/>
          <w:sz w:val="24"/>
          <w:szCs w:val="24"/>
        </w:rPr>
        <w:t xml:space="preserve"> study in Uganda </w:t>
      </w:r>
      <w:r w:rsidR="001073A7" w:rsidRPr="00730728">
        <w:rPr>
          <w:rFonts w:asciiTheme="minorHAnsi" w:hAnsiTheme="minorHAnsi" w:cs="Arial"/>
          <w:sz w:val="24"/>
          <w:szCs w:val="24"/>
        </w:rPr>
        <w:t>derived</w:t>
      </w:r>
      <w:r w:rsidR="00A67E9F" w:rsidRPr="00730728">
        <w:rPr>
          <w:rFonts w:asciiTheme="minorHAnsi" w:hAnsiTheme="minorHAnsi" w:cs="Arial"/>
          <w:sz w:val="24"/>
          <w:szCs w:val="24"/>
        </w:rPr>
        <w:t xml:space="preserve"> a new four-point score for stratification of mortality risk among HIV-infected individuals with pneumonia. It consisted of tachycardia, tachypnoea, hypoxia and CD4 count &lt;50cells/mm</w:t>
      </w:r>
      <w:r w:rsidR="00A67E9F" w:rsidRPr="00730728">
        <w:rPr>
          <w:rFonts w:asciiTheme="minorHAnsi" w:hAnsiTheme="minorHAnsi" w:cs="Arial"/>
          <w:sz w:val="24"/>
          <w:szCs w:val="24"/>
          <w:vertAlign w:val="superscript"/>
        </w:rPr>
        <w:t>3</w:t>
      </w:r>
      <w:r w:rsidR="00415B84" w:rsidRPr="00730728">
        <w:rPr>
          <w:rFonts w:asciiTheme="minorHAnsi" w:hAnsiTheme="minorHAnsi" w:cs="Arial"/>
          <w:sz w:val="24"/>
          <w:szCs w:val="24"/>
          <w:vertAlign w:val="superscript"/>
        </w:rPr>
        <w:t xml:space="preserve"> </w:t>
      </w:r>
      <w:r w:rsidR="005D4DBB" w:rsidRPr="00730728">
        <w:rPr>
          <w:rFonts w:asciiTheme="minorHAnsi" w:hAnsiTheme="minorHAnsi" w:cs="Arial"/>
          <w:sz w:val="24"/>
          <w:szCs w:val="24"/>
        </w:rPr>
        <w:t xml:space="preserve">and </w:t>
      </w:r>
      <w:r w:rsidR="00B004BE" w:rsidRPr="00730728">
        <w:rPr>
          <w:rFonts w:asciiTheme="minorHAnsi" w:hAnsiTheme="minorHAnsi" w:cs="Arial"/>
          <w:sz w:val="24"/>
          <w:szCs w:val="24"/>
        </w:rPr>
        <w:t>stratified patients with incremental mortality risk</w:t>
      </w:r>
      <w:r w:rsidR="00A67E9F" w:rsidRPr="00730728">
        <w:rPr>
          <w:rFonts w:asciiTheme="minorHAnsi" w:hAnsiTheme="minorHAnsi" w:cs="Arial"/>
          <w:sz w:val="24"/>
          <w:szCs w:val="24"/>
        </w:rPr>
        <w:t>.</w:t>
      </w:r>
      <w:r w:rsidR="00851D3C" w:rsidRPr="0024430F">
        <w:rPr>
          <w:rFonts w:asciiTheme="minorHAnsi" w:hAnsiTheme="minorHAnsi" w:cs="Arial"/>
          <w:sz w:val="24"/>
          <w:szCs w:val="24"/>
          <w:vertAlign w:val="superscript"/>
        </w:rPr>
        <w:t>31</w:t>
      </w:r>
      <w:r w:rsidR="00A67E9F" w:rsidRPr="00730728">
        <w:rPr>
          <w:rFonts w:asciiTheme="minorHAnsi" w:hAnsiTheme="minorHAnsi" w:cs="Arial"/>
          <w:sz w:val="24"/>
          <w:szCs w:val="24"/>
        </w:rPr>
        <w:t xml:space="preserve"> </w:t>
      </w:r>
      <w:r w:rsidR="00B004BE" w:rsidRPr="00730728">
        <w:rPr>
          <w:rFonts w:asciiTheme="minorHAnsi" w:hAnsiTheme="minorHAnsi" w:cs="Arial"/>
          <w:sz w:val="24"/>
          <w:szCs w:val="24"/>
        </w:rPr>
        <w:t>This score required limited laboratory data but only included patients who were HIV positive</w:t>
      </w:r>
      <w:r w:rsidR="006E27A6" w:rsidRPr="00730728">
        <w:rPr>
          <w:rFonts w:asciiTheme="minorHAnsi" w:hAnsiTheme="minorHAnsi" w:cs="Arial"/>
          <w:sz w:val="24"/>
          <w:szCs w:val="24"/>
        </w:rPr>
        <w:t xml:space="preserve"> w</w:t>
      </w:r>
      <w:r w:rsidR="00613076">
        <w:rPr>
          <w:rFonts w:asciiTheme="minorHAnsi" w:hAnsiTheme="minorHAnsi" w:cs="Arial"/>
          <w:sz w:val="24"/>
          <w:szCs w:val="24"/>
        </w:rPr>
        <w:t>hich is unlikely to be pragmatic</w:t>
      </w:r>
      <w:r w:rsidR="00B004BE" w:rsidRPr="00730728">
        <w:rPr>
          <w:rFonts w:asciiTheme="minorHAnsi" w:hAnsiTheme="minorHAnsi" w:cs="Arial"/>
          <w:sz w:val="24"/>
          <w:szCs w:val="24"/>
        </w:rPr>
        <w:t>.</w:t>
      </w:r>
    </w:p>
    <w:p w:rsidR="00FF4656" w:rsidRPr="00730728" w:rsidRDefault="00D716E1" w:rsidP="00730728">
      <w:pPr>
        <w:spacing w:line="480" w:lineRule="auto"/>
        <w:rPr>
          <w:rFonts w:asciiTheme="minorHAnsi" w:hAnsiTheme="minorHAnsi" w:cs="Arial"/>
          <w:sz w:val="24"/>
          <w:szCs w:val="24"/>
        </w:rPr>
      </w:pPr>
      <w:r w:rsidRPr="00730728">
        <w:rPr>
          <w:rFonts w:asciiTheme="minorHAnsi" w:hAnsiTheme="minorHAnsi" w:cs="Arial"/>
          <w:sz w:val="24"/>
          <w:szCs w:val="24"/>
        </w:rPr>
        <w:t>The most</w:t>
      </w:r>
      <w:r w:rsidR="00FF4656" w:rsidRPr="00730728">
        <w:rPr>
          <w:rFonts w:asciiTheme="minorHAnsi" w:hAnsiTheme="minorHAnsi" w:cs="Arial"/>
          <w:sz w:val="24"/>
          <w:szCs w:val="24"/>
        </w:rPr>
        <w:t xml:space="preserve"> significant variables from the SWAT-Bp score in predicting mortality risk are</w:t>
      </w:r>
      <w:r w:rsidR="00470578" w:rsidRPr="00730728">
        <w:rPr>
          <w:rFonts w:asciiTheme="minorHAnsi" w:hAnsiTheme="minorHAnsi" w:cs="Arial"/>
          <w:sz w:val="24"/>
          <w:szCs w:val="24"/>
        </w:rPr>
        <w:t xml:space="preserve"> simple objective measures:</w:t>
      </w:r>
      <w:r w:rsidR="00FF4656" w:rsidRPr="00730728">
        <w:rPr>
          <w:rFonts w:asciiTheme="minorHAnsi" w:hAnsiTheme="minorHAnsi" w:cs="Arial"/>
          <w:sz w:val="24"/>
          <w:szCs w:val="24"/>
        </w:rPr>
        <w:t xml:space="preserve"> male</w:t>
      </w:r>
      <w:r w:rsidR="00036160" w:rsidRPr="00730728">
        <w:rPr>
          <w:rFonts w:asciiTheme="minorHAnsi" w:hAnsiTheme="minorHAnsi" w:cs="Arial"/>
          <w:sz w:val="24"/>
          <w:szCs w:val="24"/>
        </w:rPr>
        <w:t>s</w:t>
      </w:r>
      <w:r w:rsidR="00FF4656" w:rsidRPr="00730728">
        <w:rPr>
          <w:rFonts w:asciiTheme="minorHAnsi" w:hAnsiTheme="minorHAnsi" w:cs="Arial"/>
          <w:sz w:val="24"/>
          <w:szCs w:val="24"/>
        </w:rPr>
        <w:t xml:space="preserve"> (OR 4.0) and non-ambulatory status (OR 4.1). </w:t>
      </w:r>
      <w:r w:rsidR="00CA210F" w:rsidRPr="00730728">
        <w:rPr>
          <w:rFonts w:asciiTheme="minorHAnsi" w:hAnsiTheme="minorHAnsi" w:cs="Arial"/>
          <w:sz w:val="24"/>
          <w:szCs w:val="24"/>
        </w:rPr>
        <w:t>Ambulatory</w:t>
      </w:r>
      <w:r w:rsidR="00112AB9" w:rsidRPr="00730728">
        <w:rPr>
          <w:rFonts w:asciiTheme="minorHAnsi" w:hAnsiTheme="minorHAnsi" w:cs="Arial"/>
          <w:sz w:val="24"/>
          <w:szCs w:val="24"/>
        </w:rPr>
        <w:t xml:space="preserve"> (NPV 93.4%)</w:t>
      </w:r>
      <w:r w:rsidR="00CA210F" w:rsidRPr="00730728">
        <w:rPr>
          <w:rFonts w:asciiTheme="minorHAnsi" w:hAnsiTheme="minorHAnsi" w:cs="Arial"/>
          <w:sz w:val="24"/>
          <w:szCs w:val="24"/>
        </w:rPr>
        <w:t xml:space="preserve"> and female</w:t>
      </w:r>
      <w:r w:rsidR="00112AB9" w:rsidRPr="00730728">
        <w:rPr>
          <w:rFonts w:asciiTheme="minorHAnsi" w:hAnsiTheme="minorHAnsi" w:cs="Arial"/>
          <w:sz w:val="24"/>
          <w:szCs w:val="24"/>
        </w:rPr>
        <w:t xml:space="preserve"> (NPV 93.7%)</w:t>
      </w:r>
      <w:r w:rsidR="00CA210F" w:rsidRPr="00730728">
        <w:rPr>
          <w:rFonts w:asciiTheme="minorHAnsi" w:hAnsiTheme="minorHAnsi" w:cs="Arial"/>
          <w:sz w:val="24"/>
          <w:szCs w:val="24"/>
        </w:rPr>
        <w:t xml:space="preserve"> patients a</w:t>
      </w:r>
      <w:r w:rsidR="00116326">
        <w:rPr>
          <w:rFonts w:asciiTheme="minorHAnsi" w:hAnsiTheme="minorHAnsi" w:cs="Arial"/>
          <w:sz w:val="24"/>
          <w:szCs w:val="24"/>
        </w:rPr>
        <w:t>ppear to be</w:t>
      </w:r>
      <w:r w:rsidR="00CA210F" w:rsidRPr="00730728">
        <w:rPr>
          <w:rFonts w:asciiTheme="minorHAnsi" w:hAnsiTheme="minorHAnsi" w:cs="Arial"/>
          <w:sz w:val="24"/>
          <w:szCs w:val="24"/>
        </w:rPr>
        <w:t xml:space="preserve"> less </w:t>
      </w:r>
      <w:r w:rsidR="00FF4656" w:rsidRPr="00730728">
        <w:rPr>
          <w:rFonts w:asciiTheme="minorHAnsi" w:hAnsiTheme="minorHAnsi" w:cs="Arial"/>
          <w:sz w:val="24"/>
          <w:szCs w:val="24"/>
        </w:rPr>
        <w:t>like</w:t>
      </w:r>
      <w:r w:rsidR="00112AB9" w:rsidRPr="00730728">
        <w:rPr>
          <w:rFonts w:asciiTheme="minorHAnsi" w:hAnsiTheme="minorHAnsi" w:cs="Arial"/>
          <w:sz w:val="24"/>
          <w:szCs w:val="24"/>
        </w:rPr>
        <w:t>ly to die from pneumonia in this study population</w:t>
      </w:r>
      <w:r w:rsidR="00FF4656" w:rsidRPr="00730728">
        <w:rPr>
          <w:rFonts w:asciiTheme="minorHAnsi" w:hAnsiTheme="minorHAnsi" w:cs="Arial"/>
          <w:sz w:val="24"/>
          <w:szCs w:val="24"/>
        </w:rPr>
        <w:t>.</w:t>
      </w:r>
      <w:r w:rsidR="008F797F" w:rsidRPr="00730728">
        <w:rPr>
          <w:rFonts w:asciiTheme="minorHAnsi" w:hAnsiTheme="minorHAnsi" w:cs="Arial"/>
          <w:sz w:val="24"/>
          <w:szCs w:val="24"/>
        </w:rPr>
        <w:t xml:space="preserve"> </w:t>
      </w:r>
      <w:r w:rsidR="00CA210F" w:rsidRPr="00730728">
        <w:rPr>
          <w:rFonts w:asciiTheme="minorHAnsi" w:hAnsiTheme="minorHAnsi" w:cs="Arial"/>
          <w:sz w:val="24"/>
          <w:szCs w:val="24"/>
        </w:rPr>
        <w:t>Sex</w:t>
      </w:r>
      <w:r w:rsidR="008F797F" w:rsidRPr="00730728">
        <w:rPr>
          <w:rFonts w:asciiTheme="minorHAnsi" w:hAnsiTheme="minorHAnsi" w:cs="Arial"/>
          <w:sz w:val="24"/>
          <w:szCs w:val="24"/>
        </w:rPr>
        <w:t xml:space="preserve"> disparity has been demonstrated amongst tuberculosis patients</w:t>
      </w:r>
      <w:r w:rsidR="00F65F19" w:rsidRPr="00730728">
        <w:rPr>
          <w:rFonts w:asciiTheme="minorHAnsi" w:hAnsiTheme="minorHAnsi" w:cs="Arial"/>
          <w:sz w:val="24"/>
          <w:szCs w:val="24"/>
        </w:rPr>
        <w:t xml:space="preserve"> in South Africa</w:t>
      </w:r>
      <w:r w:rsidR="008A4140" w:rsidRPr="00730728">
        <w:rPr>
          <w:rFonts w:asciiTheme="minorHAnsi" w:hAnsiTheme="minorHAnsi" w:cs="Arial"/>
          <w:sz w:val="24"/>
          <w:szCs w:val="24"/>
        </w:rPr>
        <w:t>; a</w:t>
      </w:r>
      <w:r w:rsidR="008F797F" w:rsidRPr="00730728">
        <w:rPr>
          <w:rFonts w:asciiTheme="minorHAnsi" w:hAnsiTheme="minorHAnsi" w:cs="Arial"/>
          <w:sz w:val="24"/>
          <w:szCs w:val="24"/>
        </w:rPr>
        <w:t xml:space="preserve"> smaller proporti</w:t>
      </w:r>
      <w:r w:rsidRPr="00730728">
        <w:rPr>
          <w:rFonts w:asciiTheme="minorHAnsi" w:hAnsiTheme="minorHAnsi" w:cs="Arial"/>
          <w:sz w:val="24"/>
          <w:szCs w:val="24"/>
        </w:rPr>
        <w:t>on of female subjects provided</w:t>
      </w:r>
      <w:r w:rsidR="008F797F" w:rsidRPr="00730728">
        <w:rPr>
          <w:rFonts w:asciiTheme="minorHAnsi" w:hAnsiTheme="minorHAnsi" w:cs="Arial"/>
          <w:sz w:val="24"/>
          <w:szCs w:val="24"/>
        </w:rPr>
        <w:t xml:space="preserve"> smear</w:t>
      </w:r>
      <w:r w:rsidR="00CC1DD7" w:rsidRPr="00730728">
        <w:rPr>
          <w:rFonts w:asciiTheme="minorHAnsi" w:hAnsiTheme="minorHAnsi" w:cs="Arial"/>
          <w:sz w:val="24"/>
          <w:szCs w:val="24"/>
        </w:rPr>
        <w:t>-</w:t>
      </w:r>
      <w:r w:rsidR="008F797F" w:rsidRPr="00730728">
        <w:rPr>
          <w:rFonts w:asciiTheme="minorHAnsi" w:hAnsiTheme="minorHAnsi" w:cs="Arial"/>
          <w:sz w:val="24"/>
          <w:szCs w:val="24"/>
        </w:rPr>
        <w:t>positive sputum</w:t>
      </w:r>
      <w:r w:rsidRPr="00730728">
        <w:rPr>
          <w:rFonts w:asciiTheme="minorHAnsi" w:hAnsiTheme="minorHAnsi" w:cs="Arial"/>
          <w:sz w:val="24"/>
          <w:szCs w:val="24"/>
        </w:rPr>
        <w:t xml:space="preserve"> samples</w:t>
      </w:r>
      <w:r w:rsidR="008F797F" w:rsidRPr="00730728">
        <w:rPr>
          <w:rFonts w:asciiTheme="minorHAnsi" w:hAnsiTheme="minorHAnsi" w:cs="Arial"/>
          <w:sz w:val="24"/>
          <w:szCs w:val="24"/>
        </w:rPr>
        <w:t xml:space="preserve"> </w:t>
      </w:r>
      <w:r w:rsidR="008A4140" w:rsidRPr="00730728">
        <w:rPr>
          <w:rFonts w:asciiTheme="minorHAnsi" w:hAnsiTheme="minorHAnsi" w:cs="Arial"/>
          <w:sz w:val="24"/>
          <w:szCs w:val="24"/>
        </w:rPr>
        <w:t>than males. This</w:t>
      </w:r>
      <w:r w:rsidR="008F797F" w:rsidRPr="00730728">
        <w:rPr>
          <w:rFonts w:asciiTheme="minorHAnsi" w:hAnsiTheme="minorHAnsi" w:cs="Arial"/>
          <w:sz w:val="24"/>
          <w:szCs w:val="24"/>
        </w:rPr>
        <w:t xml:space="preserve"> was attributed to a higher index of suspicion in females and delays in health-seeking behaviours in males.</w:t>
      </w:r>
      <w:r w:rsidR="00851D3C" w:rsidRPr="0024430F">
        <w:rPr>
          <w:rFonts w:asciiTheme="minorHAnsi" w:hAnsiTheme="minorHAnsi" w:cs="Arial"/>
          <w:sz w:val="24"/>
          <w:szCs w:val="24"/>
          <w:vertAlign w:val="superscript"/>
        </w:rPr>
        <w:t>32</w:t>
      </w:r>
      <w:r w:rsidR="00CC1DD7" w:rsidRPr="00730728">
        <w:rPr>
          <w:rFonts w:asciiTheme="minorHAnsi" w:hAnsiTheme="minorHAnsi" w:cs="Arial"/>
          <w:sz w:val="24"/>
          <w:szCs w:val="24"/>
        </w:rPr>
        <w:t xml:space="preserve"> </w:t>
      </w:r>
      <w:r w:rsidR="004B5345" w:rsidRPr="00730728">
        <w:rPr>
          <w:rFonts w:asciiTheme="minorHAnsi" w:hAnsiTheme="minorHAnsi" w:cs="Arial"/>
          <w:sz w:val="24"/>
          <w:szCs w:val="24"/>
        </w:rPr>
        <w:t xml:space="preserve">Additionally, male sex has previously been demonstrated as an independent risk factor for severe sepsis in </w:t>
      </w:r>
      <w:r w:rsidR="004B5345" w:rsidRPr="00730728">
        <w:rPr>
          <w:rFonts w:asciiTheme="minorHAnsi" w:hAnsiTheme="minorHAnsi" w:cs="Arial"/>
          <w:sz w:val="24"/>
          <w:szCs w:val="24"/>
        </w:rPr>
        <w:lastRenderedPageBreak/>
        <w:t>Malawi.</w:t>
      </w:r>
      <w:r w:rsidR="00851D3C" w:rsidRPr="0024430F">
        <w:rPr>
          <w:rFonts w:asciiTheme="minorHAnsi" w:hAnsiTheme="minorHAnsi" w:cs="Arial"/>
          <w:sz w:val="24"/>
          <w:szCs w:val="24"/>
          <w:vertAlign w:val="superscript"/>
        </w:rPr>
        <w:t>33</w:t>
      </w:r>
      <w:r w:rsidR="004B5345" w:rsidRPr="00730728">
        <w:rPr>
          <w:rFonts w:asciiTheme="minorHAnsi" w:hAnsiTheme="minorHAnsi" w:cs="Arial"/>
          <w:sz w:val="24"/>
          <w:szCs w:val="24"/>
        </w:rPr>
        <w:t xml:space="preserve"> </w:t>
      </w:r>
      <w:r w:rsidR="00271F64" w:rsidRPr="00730728">
        <w:rPr>
          <w:rFonts w:asciiTheme="minorHAnsi" w:hAnsiTheme="minorHAnsi" w:cs="Arial"/>
          <w:sz w:val="24"/>
          <w:szCs w:val="24"/>
        </w:rPr>
        <w:t>We can</w:t>
      </w:r>
      <w:r w:rsidR="00CA210F" w:rsidRPr="00730728">
        <w:rPr>
          <w:rFonts w:asciiTheme="minorHAnsi" w:hAnsiTheme="minorHAnsi" w:cs="Arial"/>
          <w:sz w:val="24"/>
          <w:szCs w:val="24"/>
        </w:rPr>
        <w:t>not be certain if</w:t>
      </w:r>
      <w:r w:rsidR="003C10F5" w:rsidRPr="00730728">
        <w:rPr>
          <w:rFonts w:asciiTheme="minorHAnsi" w:hAnsiTheme="minorHAnsi" w:cs="Arial"/>
          <w:sz w:val="24"/>
          <w:szCs w:val="24"/>
        </w:rPr>
        <w:t xml:space="preserve"> our study findings reflect increased</w:t>
      </w:r>
      <w:r w:rsidR="00271F64" w:rsidRPr="00730728">
        <w:rPr>
          <w:rFonts w:asciiTheme="minorHAnsi" w:hAnsiTheme="minorHAnsi" w:cs="Arial"/>
          <w:sz w:val="24"/>
          <w:szCs w:val="24"/>
        </w:rPr>
        <w:t xml:space="preserve"> female health-seeking behaviours or whether the most unwel</w:t>
      </w:r>
      <w:r w:rsidR="00036160" w:rsidRPr="00730728">
        <w:rPr>
          <w:rFonts w:asciiTheme="minorHAnsi" w:hAnsiTheme="minorHAnsi" w:cs="Arial"/>
          <w:sz w:val="24"/>
          <w:szCs w:val="24"/>
        </w:rPr>
        <w:t>l females never attend hospital.</w:t>
      </w:r>
      <w:r w:rsidR="00E872AC" w:rsidRPr="00730728">
        <w:rPr>
          <w:rFonts w:asciiTheme="minorHAnsi" w:hAnsiTheme="minorHAnsi" w:cs="Arial"/>
          <w:sz w:val="24"/>
          <w:szCs w:val="24"/>
        </w:rPr>
        <w:t xml:space="preserve"> </w:t>
      </w:r>
      <w:r w:rsidR="008B4B04">
        <w:rPr>
          <w:rFonts w:asciiTheme="minorHAnsi" w:hAnsiTheme="minorHAnsi" w:cs="Arial"/>
          <w:sz w:val="24"/>
          <w:szCs w:val="24"/>
        </w:rPr>
        <w:t>However, i</w:t>
      </w:r>
      <w:r w:rsidR="00D634E3">
        <w:rPr>
          <w:rFonts w:asciiTheme="minorHAnsi" w:hAnsiTheme="minorHAnsi" w:cs="Arial"/>
          <w:sz w:val="24"/>
          <w:szCs w:val="24"/>
        </w:rPr>
        <w:t xml:space="preserve">t is </w:t>
      </w:r>
      <w:r w:rsidR="00116326">
        <w:rPr>
          <w:rFonts w:asciiTheme="minorHAnsi" w:hAnsiTheme="minorHAnsi" w:cs="Arial"/>
          <w:sz w:val="24"/>
          <w:szCs w:val="24"/>
        </w:rPr>
        <w:t xml:space="preserve">also </w:t>
      </w:r>
      <w:r w:rsidR="00D634E3">
        <w:rPr>
          <w:rFonts w:asciiTheme="minorHAnsi" w:hAnsiTheme="minorHAnsi" w:cs="Arial"/>
          <w:sz w:val="24"/>
          <w:szCs w:val="24"/>
        </w:rPr>
        <w:t xml:space="preserve">worth noting that the most significant variables in the validation cohort </w:t>
      </w:r>
      <w:r w:rsidR="008B4B04">
        <w:rPr>
          <w:rFonts w:asciiTheme="minorHAnsi" w:hAnsiTheme="minorHAnsi" w:cs="Arial"/>
          <w:sz w:val="24"/>
          <w:szCs w:val="24"/>
        </w:rPr>
        <w:t>differ</w:t>
      </w:r>
      <w:r w:rsidR="00D634E3">
        <w:rPr>
          <w:rFonts w:asciiTheme="minorHAnsi" w:hAnsiTheme="minorHAnsi" w:cs="Arial"/>
          <w:sz w:val="24"/>
          <w:szCs w:val="24"/>
        </w:rPr>
        <w:t xml:space="preserve">ed from the derivation cohort, making it difficult to draw </w:t>
      </w:r>
      <w:r w:rsidR="008B4B04">
        <w:rPr>
          <w:rFonts w:asciiTheme="minorHAnsi" w:hAnsiTheme="minorHAnsi" w:cs="Arial"/>
          <w:sz w:val="24"/>
          <w:szCs w:val="24"/>
        </w:rPr>
        <w:t xml:space="preserve">precise conclusions about the importance of each </w:t>
      </w:r>
      <w:r w:rsidR="00116326">
        <w:rPr>
          <w:rFonts w:asciiTheme="minorHAnsi" w:hAnsiTheme="minorHAnsi" w:cs="Arial"/>
          <w:sz w:val="24"/>
          <w:szCs w:val="24"/>
        </w:rPr>
        <w:t xml:space="preserve">individual </w:t>
      </w:r>
      <w:r w:rsidR="008B4B04">
        <w:rPr>
          <w:rFonts w:asciiTheme="minorHAnsi" w:hAnsiTheme="minorHAnsi" w:cs="Arial"/>
          <w:sz w:val="24"/>
          <w:szCs w:val="24"/>
        </w:rPr>
        <w:t xml:space="preserve">variable in the </w:t>
      </w:r>
      <w:r w:rsidR="00116326">
        <w:rPr>
          <w:rFonts w:asciiTheme="minorHAnsi" w:hAnsiTheme="minorHAnsi" w:cs="Arial"/>
          <w:sz w:val="24"/>
          <w:szCs w:val="24"/>
        </w:rPr>
        <w:t xml:space="preserve">composite </w:t>
      </w:r>
      <w:r w:rsidR="008B4B04">
        <w:rPr>
          <w:rFonts w:asciiTheme="minorHAnsi" w:hAnsiTheme="minorHAnsi" w:cs="Arial"/>
          <w:sz w:val="24"/>
          <w:szCs w:val="24"/>
        </w:rPr>
        <w:t>score.</w:t>
      </w:r>
    </w:p>
    <w:p w:rsidR="0031724D" w:rsidRPr="00730728" w:rsidRDefault="0031724D" w:rsidP="00730728">
      <w:pPr>
        <w:spacing w:line="480" w:lineRule="auto"/>
        <w:rPr>
          <w:rFonts w:asciiTheme="minorHAnsi" w:hAnsiTheme="minorHAnsi" w:cs="Arial"/>
          <w:i/>
          <w:sz w:val="24"/>
          <w:szCs w:val="24"/>
          <w:u w:val="single"/>
        </w:rPr>
      </w:pPr>
      <w:r w:rsidRPr="00730728">
        <w:rPr>
          <w:rFonts w:asciiTheme="minorHAnsi" w:hAnsiTheme="minorHAnsi" w:cs="Arial"/>
          <w:i/>
          <w:sz w:val="24"/>
          <w:szCs w:val="24"/>
          <w:u w:val="single"/>
        </w:rPr>
        <w:t>Strengths and Limitations</w:t>
      </w:r>
    </w:p>
    <w:p w:rsidR="00FF4656" w:rsidRPr="00730728" w:rsidRDefault="00D716E1" w:rsidP="00730728">
      <w:pPr>
        <w:spacing w:line="480" w:lineRule="auto"/>
        <w:rPr>
          <w:rFonts w:asciiTheme="minorHAnsi" w:hAnsiTheme="minorHAnsi" w:cs="Arial"/>
          <w:sz w:val="24"/>
          <w:szCs w:val="24"/>
        </w:rPr>
      </w:pPr>
      <w:r w:rsidRPr="00730728">
        <w:rPr>
          <w:rFonts w:asciiTheme="minorHAnsi" w:hAnsiTheme="minorHAnsi" w:cs="Arial"/>
          <w:sz w:val="24"/>
          <w:szCs w:val="24"/>
        </w:rPr>
        <w:t>S</w:t>
      </w:r>
      <w:r w:rsidR="00FF4656" w:rsidRPr="00730728">
        <w:rPr>
          <w:rFonts w:asciiTheme="minorHAnsi" w:hAnsiTheme="minorHAnsi" w:cs="Arial"/>
          <w:sz w:val="24"/>
          <w:szCs w:val="24"/>
        </w:rPr>
        <w:t xml:space="preserve">trengths of this study </w:t>
      </w:r>
      <w:r w:rsidRPr="00730728">
        <w:rPr>
          <w:rFonts w:asciiTheme="minorHAnsi" w:hAnsiTheme="minorHAnsi" w:cs="Arial"/>
          <w:sz w:val="24"/>
          <w:szCs w:val="24"/>
        </w:rPr>
        <w:t>include</w:t>
      </w:r>
      <w:r w:rsidR="00FF4656" w:rsidRPr="00730728">
        <w:rPr>
          <w:rFonts w:asciiTheme="minorHAnsi" w:hAnsiTheme="minorHAnsi" w:cs="Arial"/>
          <w:sz w:val="24"/>
          <w:szCs w:val="24"/>
        </w:rPr>
        <w:t xml:space="preserve"> the prospective design and </w:t>
      </w:r>
      <w:r w:rsidR="003E1496" w:rsidRPr="00730728">
        <w:rPr>
          <w:rFonts w:asciiTheme="minorHAnsi" w:hAnsiTheme="minorHAnsi" w:cs="Arial"/>
          <w:sz w:val="24"/>
          <w:szCs w:val="24"/>
        </w:rPr>
        <w:t xml:space="preserve">hence </w:t>
      </w:r>
      <w:r w:rsidR="00FF4656" w:rsidRPr="00730728">
        <w:rPr>
          <w:rFonts w:asciiTheme="minorHAnsi" w:hAnsiTheme="minorHAnsi" w:cs="Arial"/>
          <w:sz w:val="24"/>
          <w:szCs w:val="24"/>
        </w:rPr>
        <w:t xml:space="preserve">inclusion of </w:t>
      </w:r>
      <w:r w:rsidR="003E1496" w:rsidRPr="00730728">
        <w:rPr>
          <w:rFonts w:asciiTheme="minorHAnsi" w:hAnsiTheme="minorHAnsi" w:cs="Arial"/>
          <w:sz w:val="24"/>
          <w:szCs w:val="24"/>
        </w:rPr>
        <w:t>a</w:t>
      </w:r>
      <w:r w:rsidR="00FF4656" w:rsidRPr="00730728">
        <w:rPr>
          <w:rFonts w:asciiTheme="minorHAnsi" w:hAnsiTheme="minorHAnsi" w:cs="Arial"/>
          <w:sz w:val="24"/>
          <w:szCs w:val="24"/>
        </w:rPr>
        <w:t>ll patients with</w:t>
      </w:r>
      <w:r w:rsidR="0098711E" w:rsidRPr="00730728">
        <w:rPr>
          <w:rFonts w:asciiTheme="minorHAnsi" w:hAnsiTheme="minorHAnsi" w:cs="Arial"/>
          <w:sz w:val="24"/>
          <w:szCs w:val="24"/>
        </w:rPr>
        <w:t xml:space="preserve"> a p</w:t>
      </w:r>
      <w:r w:rsidR="00FF4656" w:rsidRPr="00730728">
        <w:rPr>
          <w:rFonts w:asciiTheme="minorHAnsi" w:hAnsiTheme="minorHAnsi" w:cs="Arial"/>
          <w:sz w:val="24"/>
          <w:szCs w:val="24"/>
        </w:rPr>
        <w:t>rimary diagnosis</w:t>
      </w:r>
      <w:r w:rsidR="0098711E" w:rsidRPr="00730728">
        <w:rPr>
          <w:rFonts w:asciiTheme="minorHAnsi" w:hAnsiTheme="minorHAnsi" w:cs="Arial"/>
          <w:sz w:val="24"/>
          <w:szCs w:val="24"/>
        </w:rPr>
        <w:t xml:space="preserve"> of pneumonia</w:t>
      </w:r>
      <w:r w:rsidR="00FF4656" w:rsidRPr="00730728">
        <w:rPr>
          <w:rFonts w:asciiTheme="minorHAnsi" w:hAnsiTheme="minorHAnsi" w:cs="Arial"/>
          <w:sz w:val="24"/>
          <w:szCs w:val="24"/>
        </w:rPr>
        <w:t xml:space="preserve"> on admission</w:t>
      </w:r>
      <w:r w:rsidR="00852143" w:rsidRPr="00730728">
        <w:rPr>
          <w:rFonts w:asciiTheme="minorHAnsi" w:hAnsiTheme="minorHAnsi" w:cs="Arial"/>
          <w:sz w:val="24"/>
          <w:szCs w:val="24"/>
        </w:rPr>
        <w:t>, despite</w:t>
      </w:r>
      <w:r w:rsidR="00FF4656" w:rsidRPr="00730728">
        <w:rPr>
          <w:rFonts w:asciiTheme="minorHAnsi" w:hAnsiTheme="minorHAnsi" w:cs="Arial"/>
          <w:sz w:val="24"/>
          <w:szCs w:val="24"/>
        </w:rPr>
        <w:t xml:space="preserve"> only 127 (63.2% o</w:t>
      </w:r>
      <w:r w:rsidR="00852143" w:rsidRPr="00730728">
        <w:rPr>
          <w:rFonts w:asciiTheme="minorHAnsi" w:hAnsiTheme="minorHAnsi" w:cs="Arial"/>
          <w:sz w:val="24"/>
          <w:szCs w:val="24"/>
        </w:rPr>
        <w:t>f known discharge diagnoses) having</w:t>
      </w:r>
      <w:r w:rsidR="00FF4656" w:rsidRPr="00730728">
        <w:rPr>
          <w:rFonts w:asciiTheme="minorHAnsi" w:hAnsiTheme="minorHAnsi" w:cs="Arial"/>
          <w:sz w:val="24"/>
          <w:szCs w:val="24"/>
        </w:rPr>
        <w:t xml:space="preserve"> a diagnosis of pneumonia </w:t>
      </w:r>
      <w:r w:rsidR="0098711E" w:rsidRPr="00730728">
        <w:rPr>
          <w:rFonts w:asciiTheme="minorHAnsi" w:hAnsiTheme="minorHAnsi" w:cs="Arial"/>
          <w:sz w:val="24"/>
          <w:szCs w:val="24"/>
        </w:rPr>
        <w:t>at</w:t>
      </w:r>
      <w:r w:rsidR="00DA2056" w:rsidRPr="00730728">
        <w:rPr>
          <w:rFonts w:asciiTheme="minorHAnsi" w:hAnsiTheme="minorHAnsi" w:cs="Arial"/>
          <w:sz w:val="24"/>
          <w:szCs w:val="24"/>
        </w:rPr>
        <w:t xml:space="preserve"> end-point</w:t>
      </w:r>
      <w:r w:rsidR="00FF4656" w:rsidRPr="00730728">
        <w:rPr>
          <w:rFonts w:asciiTheme="minorHAnsi" w:hAnsiTheme="minorHAnsi" w:cs="Arial"/>
          <w:sz w:val="24"/>
          <w:szCs w:val="24"/>
        </w:rPr>
        <w:t>.</w:t>
      </w:r>
      <w:r w:rsidR="00CA0820" w:rsidRPr="00730728">
        <w:rPr>
          <w:rFonts w:asciiTheme="minorHAnsi" w:hAnsiTheme="minorHAnsi" w:cs="Arial"/>
          <w:sz w:val="24"/>
          <w:szCs w:val="24"/>
        </w:rPr>
        <w:t xml:space="preserve"> The inclusion of these patients is pragmatic and represents widespread practice in resource</w:t>
      </w:r>
      <w:r w:rsidR="0042350A">
        <w:rPr>
          <w:rFonts w:asciiTheme="minorHAnsi" w:hAnsiTheme="minorHAnsi" w:cs="Arial"/>
          <w:sz w:val="24"/>
          <w:szCs w:val="24"/>
        </w:rPr>
        <w:t>-</w:t>
      </w:r>
      <w:r w:rsidR="00CA0820" w:rsidRPr="00730728">
        <w:rPr>
          <w:rFonts w:asciiTheme="minorHAnsi" w:hAnsiTheme="minorHAnsi" w:cs="Arial"/>
          <w:sz w:val="24"/>
          <w:szCs w:val="24"/>
        </w:rPr>
        <w:t>limited settings.</w:t>
      </w:r>
      <w:r w:rsidR="00FF4656" w:rsidRPr="00730728">
        <w:rPr>
          <w:rFonts w:asciiTheme="minorHAnsi" w:hAnsiTheme="minorHAnsi" w:cs="Arial"/>
          <w:sz w:val="24"/>
          <w:szCs w:val="24"/>
        </w:rPr>
        <w:t xml:space="preserve"> Evidently it is clinically challenging to correctly diagnose </w:t>
      </w:r>
      <w:r w:rsidR="00A10DDC" w:rsidRPr="00730728">
        <w:rPr>
          <w:rFonts w:asciiTheme="minorHAnsi" w:hAnsiTheme="minorHAnsi" w:cs="Arial"/>
          <w:sz w:val="24"/>
          <w:szCs w:val="24"/>
        </w:rPr>
        <w:t>pneumonia on admissio</w:t>
      </w:r>
      <w:r w:rsidR="0031724D" w:rsidRPr="00730728">
        <w:rPr>
          <w:rFonts w:asciiTheme="minorHAnsi" w:hAnsiTheme="minorHAnsi" w:cs="Arial"/>
          <w:sz w:val="24"/>
          <w:szCs w:val="24"/>
        </w:rPr>
        <w:t>n</w:t>
      </w:r>
      <w:r w:rsidR="00223967" w:rsidRPr="00730728">
        <w:rPr>
          <w:rFonts w:asciiTheme="minorHAnsi" w:hAnsiTheme="minorHAnsi" w:cs="Arial"/>
          <w:sz w:val="24"/>
          <w:szCs w:val="24"/>
        </w:rPr>
        <w:t xml:space="preserve">, as demonstrated </w:t>
      </w:r>
      <w:r w:rsidR="00CA0820" w:rsidRPr="00730728">
        <w:rPr>
          <w:rFonts w:asciiTheme="minorHAnsi" w:hAnsiTheme="minorHAnsi" w:cs="Arial"/>
          <w:sz w:val="24"/>
          <w:szCs w:val="24"/>
        </w:rPr>
        <w:t>by a study in</w:t>
      </w:r>
      <w:r w:rsidR="00223967" w:rsidRPr="00730728">
        <w:rPr>
          <w:rFonts w:asciiTheme="minorHAnsi" w:hAnsiTheme="minorHAnsi" w:cs="Arial"/>
          <w:sz w:val="24"/>
          <w:szCs w:val="24"/>
        </w:rPr>
        <w:t xml:space="preserve"> Uganda where </w:t>
      </w:r>
      <w:r w:rsidR="00CA0820" w:rsidRPr="00730728">
        <w:rPr>
          <w:rFonts w:asciiTheme="minorHAnsi" w:hAnsiTheme="minorHAnsi" w:cs="Arial"/>
          <w:sz w:val="24"/>
          <w:szCs w:val="24"/>
        </w:rPr>
        <w:t xml:space="preserve">only 9.6% of </w:t>
      </w:r>
      <w:r w:rsidR="00223967" w:rsidRPr="00730728">
        <w:rPr>
          <w:rFonts w:asciiTheme="minorHAnsi" w:hAnsiTheme="minorHAnsi" w:cs="Arial"/>
          <w:sz w:val="24"/>
          <w:szCs w:val="24"/>
        </w:rPr>
        <w:t xml:space="preserve">patients </w:t>
      </w:r>
      <w:r w:rsidR="00CA0820" w:rsidRPr="00730728">
        <w:rPr>
          <w:rFonts w:asciiTheme="minorHAnsi" w:hAnsiTheme="minorHAnsi" w:cs="Arial"/>
          <w:sz w:val="24"/>
          <w:szCs w:val="24"/>
        </w:rPr>
        <w:t>presenting</w:t>
      </w:r>
      <w:r w:rsidR="00223967" w:rsidRPr="00730728">
        <w:rPr>
          <w:rFonts w:asciiTheme="minorHAnsi" w:hAnsiTheme="minorHAnsi" w:cs="Arial"/>
          <w:sz w:val="24"/>
          <w:szCs w:val="24"/>
        </w:rPr>
        <w:t xml:space="preserve"> with clinical pneumonia were</w:t>
      </w:r>
      <w:r w:rsidR="00CA0820" w:rsidRPr="00730728">
        <w:rPr>
          <w:rFonts w:asciiTheme="minorHAnsi" w:hAnsiTheme="minorHAnsi" w:cs="Arial"/>
          <w:sz w:val="24"/>
          <w:szCs w:val="24"/>
        </w:rPr>
        <w:t xml:space="preserve"> confirmed bacterial pneumonia on discharge. Pulmonary tuberculosis accounted for over half of the incorrect pneumonia admission diagnoses</w:t>
      </w:r>
      <w:r w:rsidR="00223967" w:rsidRPr="00730728">
        <w:rPr>
          <w:rFonts w:asciiTheme="minorHAnsi" w:hAnsiTheme="minorHAnsi" w:cs="Arial"/>
          <w:sz w:val="24"/>
          <w:szCs w:val="24"/>
        </w:rPr>
        <w:t>.</w:t>
      </w:r>
      <w:r w:rsidR="00851D3C" w:rsidRPr="0024430F">
        <w:rPr>
          <w:rFonts w:asciiTheme="minorHAnsi" w:hAnsiTheme="minorHAnsi" w:cs="Arial"/>
          <w:sz w:val="24"/>
          <w:szCs w:val="24"/>
          <w:vertAlign w:val="superscript"/>
        </w:rPr>
        <w:t>31</w:t>
      </w:r>
      <w:r w:rsidR="00511EE8" w:rsidRPr="00730728">
        <w:rPr>
          <w:rStyle w:val="EndnoteReference"/>
          <w:rFonts w:asciiTheme="minorHAnsi" w:hAnsiTheme="minorHAnsi"/>
          <w:sz w:val="24"/>
          <w:szCs w:val="24"/>
        </w:rPr>
        <w:t xml:space="preserve"> </w:t>
      </w:r>
      <w:r w:rsidR="00CA0820" w:rsidRPr="00730728">
        <w:rPr>
          <w:rFonts w:asciiTheme="minorHAnsi" w:hAnsiTheme="minorHAnsi" w:cs="Arial"/>
          <w:sz w:val="24"/>
          <w:szCs w:val="24"/>
        </w:rPr>
        <w:t xml:space="preserve">Additionally, </w:t>
      </w:r>
      <w:r w:rsidR="00A17DDC" w:rsidRPr="00730728">
        <w:rPr>
          <w:rFonts w:asciiTheme="minorHAnsi" w:hAnsiTheme="minorHAnsi" w:cs="Arial"/>
          <w:sz w:val="24"/>
          <w:szCs w:val="24"/>
        </w:rPr>
        <w:t>by incorporating</w:t>
      </w:r>
      <w:r w:rsidR="00CA0820" w:rsidRPr="00730728">
        <w:rPr>
          <w:rFonts w:asciiTheme="minorHAnsi" w:hAnsiTheme="minorHAnsi" w:cs="Arial"/>
          <w:sz w:val="24"/>
          <w:szCs w:val="24"/>
        </w:rPr>
        <w:t xml:space="preserve"> two separate data collection periods at different times throughout the year could help adjust for seasonality changes</w:t>
      </w:r>
      <w:r w:rsidR="0042350A">
        <w:rPr>
          <w:rFonts w:asciiTheme="minorHAnsi" w:hAnsiTheme="minorHAnsi" w:cs="Arial"/>
          <w:sz w:val="24"/>
          <w:szCs w:val="24"/>
        </w:rPr>
        <w:t>;</w:t>
      </w:r>
      <w:r w:rsidR="00CA0820" w:rsidRPr="00730728">
        <w:rPr>
          <w:rFonts w:asciiTheme="minorHAnsi" w:hAnsiTheme="minorHAnsi" w:cs="Arial"/>
          <w:sz w:val="24"/>
          <w:szCs w:val="24"/>
        </w:rPr>
        <w:t xml:space="preserve"> it would be better to conduct data collection over an entire year to ensure more complete adjustment for this factor. To our knowledge, this is the only </w:t>
      </w:r>
      <w:r w:rsidR="00567D79" w:rsidRPr="00730728">
        <w:rPr>
          <w:rFonts w:asciiTheme="minorHAnsi" w:hAnsiTheme="minorHAnsi" w:cs="Arial"/>
          <w:sz w:val="24"/>
          <w:szCs w:val="24"/>
        </w:rPr>
        <w:t>severity assessment score for pneumonia that has been derived and validated with two separate cohorts from a resource-limited setting with high HIV rates, rendering it a useful contribution to current research.</w:t>
      </w:r>
    </w:p>
    <w:p w:rsidR="00CB7972" w:rsidRPr="0063487A" w:rsidRDefault="00FF4656" w:rsidP="00730728">
      <w:pPr>
        <w:spacing w:line="480" w:lineRule="auto"/>
        <w:rPr>
          <w:rFonts w:asciiTheme="minorHAnsi" w:hAnsiTheme="minorHAnsi" w:cs="Arial"/>
          <w:vertAlign w:val="superscript"/>
        </w:rPr>
      </w:pPr>
      <w:r w:rsidRPr="00730728">
        <w:rPr>
          <w:rFonts w:asciiTheme="minorHAnsi" w:hAnsiTheme="minorHAnsi" w:cs="Arial"/>
          <w:sz w:val="24"/>
          <w:szCs w:val="24"/>
        </w:rPr>
        <w:t>However, this study was primarily limited by the rel</w:t>
      </w:r>
      <w:r w:rsidR="003C10F5" w:rsidRPr="00730728">
        <w:rPr>
          <w:rFonts w:asciiTheme="minorHAnsi" w:hAnsiTheme="minorHAnsi" w:cs="Arial"/>
          <w:sz w:val="24"/>
          <w:szCs w:val="24"/>
        </w:rPr>
        <w:t xml:space="preserve">atively small sample size (and </w:t>
      </w:r>
      <w:r w:rsidR="00473EC4" w:rsidRPr="00730728">
        <w:rPr>
          <w:rFonts w:asciiTheme="minorHAnsi" w:hAnsiTheme="minorHAnsi" w:cs="Arial"/>
          <w:sz w:val="24"/>
          <w:szCs w:val="24"/>
        </w:rPr>
        <w:t>hence</w:t>
      </w:r>
      <w:r w:rsidRPr="00730728">
        <w:rPr>
          <w:rFonts w:asciiTheme="minorHAnsi" w:hAnsiTheme="minorHAnsi" w:cs="Arial"/>
          <w:sz w:val="24"/>
          <w:szCs w:val="24"/>
        </w:rPr>
        <w:t xml:space="preserve"> small number of </w:t>
      </w:r>
      <w:r w:rsidR="003C10F5" w:rsidRPr="00730728">
        <w:rPr>
          <w:rFonts w:asciiTheme="minorHAnsi" w:hAnsiTheme="minorHAnsi" w:cs="Arial"/>
          <w:sz w:val="24"/>
          <w:szCs w:val="24"/>
        </w:rPr>
        <w:t>deaths)</w:t>
      </w:r>
      <w:r w:rsidR="00CC31F4" w:rsidRPr="00730728">
        <w:rPr>
          <w:rFonts w:asciiTheme="minorHAnsi" w:hAnsiTheme="minorHAnsi" w:cs="Arial"/>
          <w:sz w:val="24"/>
          <w:szCs w:val="24"/>
        </w:rPr>
        <w:t xml:space="preserve"> in addition to t</w:t>
      </w:r>
      <w:r w:rsidR="0042350A">
        <w:rPr>
          <w:rFonts w:asciiTheme="minorHAnsi" w:hAnsiTheme="minorHAnsi" w:cs="Arial"/>
          <w:sz w:val="24"/>
          <w:szCs w:val="24"/>
        </w:rPr>
        <w:t xml:space="preserve">he limitation of being a single </w:t>
      </w:r>
      <w:r w:rsidR="00CC31F4" w:rsidRPr="00730728">
        <w:rPr>
          <w:rFonts w:asciiTheme="minorHAnsi" w:hAnsiTheme="minorHAnsi" w:cs="Arial"/>
          <w:sz w:val="24"/>
          <w:szCs w:val="24"/>
        </w:rPr>
        <w:t>centre trial</w:t>
      </w:r>
      <w:r w:rsidR="003C10F5" w:rsidRPr="00730728">
        <w:rPr>
          <w:rFonts w:asciiTheme="minorHAnsi" w:hAnsiTheme="minorHAnsi" w:cs="Arial"/>
          <w:sz w:val="24"/>
          <w:szCs w:val="24"/>
        </w:rPr>
        <w:t>.</w:t>
      </w:r>
      <w:r w:rsidR="00D318EB" w:rsidRPr="00730728">
        <w:rPr>
          <w:rFonts w:asciiTheme="minorHAnsi" w:hAnsiTheme="minorHAnsi" w:cs="Arial"/>
          <w:sz w:val="24"/>
          <w:szCs w:val="24"/>
        </w:rPr>
        <w:t xml:space="preserve"> </w:t>
      </w:r>
      <w:r w:rsidR="0031724D" w:rsidRPr="00730728">
        <w:rPr>
          <w:rFonts w:asciiTheme="minorHAnsi" w:hAnsiTheme="minorHAnsi" w:cs="Arial"/>
          <w:sz w:val="24"/>
          <w:szCs w:val="24"/>
        </w:rPr>
        <w:t>T</w:t>
      </w:r>
      <w:r w:rsidR="00CC31F4" w:rsidRPr="00730728">
        <w:rPr>
          <w:rFonts w:asciiTheme="minorHAnsi" w:hAnsiTheme="minorHAnsi" w:cs="Arial"/>
          <w:sz w:val="24"/>
          <w:szCs w:val="24"/>
        </w:rPr>
        <w:t xml:space="preserve">his </w:t>
      </w:r>
      <w:r w:rsidR="008B4B04">
        <w:rPr>
          <w:rFonts w:asciiTheme="minorHAnsi" w:hAnsiTheme="minorHAnsi" w:cs="Arial"/>
          <w:sz w:val="24"/>
          <w:szCs w:val="24"/>
        </w:rPr>
        <w:t xml:space="preserve">perhaps </w:t>
      </w:r>
      <w:r w:rsidR="00D92B89" w:rsidRPr="00730728">
        <w:rPr>
          <w:rFonts w:asciiTheme="minorHAnsi" w:hAnsiTheme="minorHAnsi" w:cs="Arial"/>
          <w:sz w:val="24"/>
          <w:szCs w:val="24"/>
        </w:rPr>
        <w:t>enables</w:t>
      </w:r>
      <w:r w:rsidR="0031724D" w:rsidRPr="00730728">
        <w:rPr>
          <w:rFonts w:asciiTheme="minorHAnsi" w:hAnsiTheme="minorHAnsi" w:cs="Arial"/>
          <w:sz w:val="24"/>
          <w:szCs w:val="24"/>
        </w:rPr>
        <w:t xml:space="preserve"> scope for</w:t>
      </w:r>
      <w:r w:rsidR="00144738" w:rsidRPr="00730728">
        <w:rPr>
          <w:rFonts w:asciiTheme="minorHAnsi" w:hAnsiTheme="minorHAnsi" w:cs="Arial"/>
          <w:sz w:val="24"/>
          <w:szCs w:val="24"/>
        </w:rPr>
        <w:t xml:space="preserve"> re</w:t>
      </w:r>
      <w:r w:rsidR="00D92B89" w:rsidRPr="00730728">
        <w:rPr>
          <w:rFonts w:asciiTheme="minorHAnsi" w:hAnsiTheme="minorHAnsi" w:cs="Arial"/>
          <w:sz w:val="24"/>
          <w:szCs w:val="24"/>
        </w:rPr>
        <w:t>validation</w:t>
      </w:r>
      <w:r w:rsidR="00CC31F4" w:rsidRPr="00730728">
        <w:rPr>
          <w:rFonts w:asciiTheme="minorHAnsi" w:hAnsiTheme="minorHAnsi" w:cs="Arial"/>
          <w:sz w:val="24"/>
          <w:szCs w:val="24"/>
        </w:rPr>
        <w:t xml:space="preserve"> in other </w:t>
      </w:r>
      <w:r w:rsidR="00D92B89" w:rsidRPr="00730728">
        <w:rPr>
          <w:rFonts w:asciiTheme="minorHAnsi" w:hAnsiTheme="minorHAnsi" w:cs="Arial"/>
          <w:sz w:val="24"/>
          <w:szCs w:val="24"/>
        </w:rPr>
        <w:t>centres in sub-Saharan Africa.</w:t>
      </w:r>
      <w:r w:rsidR="00567D79" w:rsidRPr="00730728">
        <w:rPr>
          <w:rFonts w:asciiTheme="minorHAnsi" w:hAnsiTheme="minorHAnsi" w:cs="Arial"/>
          <w:sz w:val="24"/>
          <w:szCs w:val="24"/>
        </w:rPr>
        <w:t xml:space="preserve"> The </w:t>
      </w:r>
      <w:r w:rsidR="00567D79" w:rsidRPr="00730728">
        <w:rPr>
          <w:rFonts w:asciiTheme="minorHAnsi" w:hAnsiTheme="minorHAnsi" w:cs="Arial"/>
          <w:sz w:val="24"/>
          <w:szCs w:val="24"/>
        </w:rPr>
        <w:lastRenderedPageBreak/>
        <w:t>international definition of CAP is an acute infection of pulmonary parenchyma with acute infiltrate demonstrated on chest x-ray.</w:t>
      </w:r>
      <w:r w:rsidR="00851D3C" w:rsidRPr="0024430F">
        <w:rPr>
          <w:rFonts w:asciiTheme="minorHAnsi" w:hAnsiTheme="minorHAnsi" w:cs="Arial"/>
          <w:sz w:val="24"/>
          <w:szCs w:val="24"/>
          <w:vertAlign w:val="superscript"/>
        </w:rPr>
        <w:t>16,34</w:t>
      </w:r>
      <w:r w:rsidR="00567D79" w:rsidRPr="00730728">
        <w:rPr>
          <w:rFonts w:asciiTheme="minorHAnsi" w:hAnsiTheme="minorHAnsi" w:cs="Arial"/>
          <w:sz w:val="24"/>
          <w:szCs w:val="24"/>
        </w:rPr>
        <w:t xml:space="preserve"> In this setting, universal radiological confirmation was prevented by resource limitations, especially portable radiographs for the most unwell patients.</w:t>
      </w:r>
      <w:r w:rsidR="00D92B89" w:rsidRPr="00730728">
        <w:rPr>
          <w:rFonts w:asciiTheme="minorHAnsi" w:hAnsiTheme="minorHAnsi" w:cs="Arial"/>
          <w:sz w:val="24"/>
          <w:szCs w:val="24"/>
        </w:rPr>
        <w:t xml:space="preserve"> </w:t>
      </w:r>
      <w:r w:rsidR="003C10F5" w:rsidRPr="00730728">
        <w:rPr>
          <w:rFonts w:asciiTheme="minorHAnsi" w:hAnsiTheme="minorHAnsi" w:cs="Arial"/>
          <w:sz w:val="24"/>
          <w:szCs w:val="24"/>
        </w:rPr>
        <w:t xml:space="preserve">Our loss to follow-up rate of </w:t>
      </w:r>
      <w:r w:rsidRPr="00730728">
        <w:rPr>
          <w:rFonts w:asciiTheme="minorHAnsi" w:hAnsiTheme="minorHAnsi" w:cs="Arial"/>
          <w:sz w:val="24"/>
          <w:szCs w:val="24"/>
        </w:rPr>
        <w:t>7.5%</w:t>
      </w:r>
      <w:r w:rsidR="003C10F5" w:rsidRPr="00730728">
        <w:rPr>
          <w:rFonts w:asciiTheme="minorHAnsi" w:hAnsiTheme="minorHAnsi" w:cs="Arial"/>
          <w:sz w:val="24"/>
          <w:szCs w:val="24"/>
        </w:rPr>
        <w:t xml:space="preserve"> reflects limitations in clinical data collection,</w:t>
      </w:r>
      <w:r w:rsidRPr="00730728">
        <w:rPr>
          <w:rFonts w:asciiTheme="minorHAnsi" w:hAnsiTheme="minorHAnsi" w:cs="Arial"/>
          <w:sz w:val="24"/>
          <w:szCs w:val="24"/>
        </w:rPr>
        <w:t xml:space="preserve"> incomplete patient records system</w:t>
      </w:r>
      <w:r w:rsidR="0030057E" w:rsidRPr="00730728">
        <w:rPr>
          <w:rFonts w:asciiTheme="minorHAnsi" w:hAnsiTheme="minorHAnsi" w:cs="Arial"/>
          <w:sz w:val="24"/>
          <w:szCs w:val="24"/>
        </w:rPr>
        <w:t>s and complicated patient flow</w:t>
      </w:r>
      <w:r w:rsidRPr="00730728">
        <w:rPr>
          <w:rFonts w:asciiTheme="minorHAnsi" w:hAnsiTheme="minorHAnsi" w:cs="Arial"/>
          <w:sz w:val="24"/>
          <w:szCs w:val="24"/>
        </w:rPr>
        <w:t>.</w:t>
      </w:r>
      <w:r w:rsidR="00D318EB" w:rsidRPr="00730728">
        <w:rPr>
          <w:rFonts w:asciiTheme="minorHAnsi" w:hAnsiTheme="minorHAnsi" w:cs="Arial"/>
          <w:sz w:val="24"/>
          <w:szCs w:val="24"/>
        </w:rPr>
        <w:t xml:space="preserve"> </w:t>
      </w:r>
      <w:r w:rsidR="00977BF7" w:rsidRPr="00730728">
        <w:rPr>
          <w:rFonts w:asciiTheme="minorHAnsi" w:hAnsiTheme="minorHAnsi" w:cs="Arial"/>
          <w:sz w:val="24"/>
          <w:szCs w:val="24"/>
        </w:rPr>
        <w:t>Th</w:t>
      </w:r>
      <w:r w:rsidR="0030057E" w:rsidRPr="00730728">
        <w:rPr>
          <w:rFonts w:asciiTheme="minorHAnsi" w:hAnsiTheme="minorHAnsi" w:cs="Arial"/>
          <w:sz w:val="24"/>
          <w:szCs w:val="24"/>
        </w:rPr>
        <w:t>ese factors feed into wider than envisaged</w:t>
      </w:r>
      <w:r w:rsidR="00977BF7" w:rsidRPr="00730728">
        <w:rPr>
          <w:rFonts w:asciiTheme="minorHAnsi" w:hAnsiTheme="minorHAnsi" w:cs="Arial"/>
          <w:sz w:val="24"/>
          <w:szCs w:val="24"/>
        </w:rPr>
        <w:t xml:space="preserve"> confidence intervals (</w:t>
      </w:r>
      <w:r w:rsidR="00E64BE5">
        <w:rPr>
          <w:rFonts w:asciiTheme="minorHAnsi" w:hAnsiTheme="minorHAnsi" w:cs="Arial"/>
          <w:sz w:val="24"/>
          <w:szCs w:val="24"/>
        </w:rPr>
        <w:t>61</w:t>
      </w:r>
      <w:r w:rsidR="00977BF7" w:rsidRPr="00730728">
        <w:rPr>
          <w:rFonts w:asciiTheme="minorHAnsi" w:hAnsiTheme="minorHAnsi" w:cs="Arial"/>
          <w:sz w:val="24"/>
          <w:szCs w:val="24"/>
        </w:rPr>
        <w:t>-</w:t>
      </w:r>
      <w:r w:rsidR="00E64BE5">
        <w:rPr>
          <w:rFonts w:asciiTheme="minorHAnsi" w:hAnsiTheme="minorHAnsi" w:cs="Arial"/>
          <w:sz w:val="24"/>
          <w:szCs w:val="24"/>
        </w:rPr>
        <w:t>93</w:t>
      </w:r>
      <w:r w:rsidR="00977BF7" w:rsidRPr="00730728">
        <w:rPr>
          <w:rFonts w:asciiTheme="minorHAnsi" w:hAnsiTheme="minorHAnsi" w:cs="Arial"/>
          <w:sz w:val="24"/>
          <w:szCs w:val="24"/>
        </w:rPr>
        <w:t xml:space="preserve">% for sensitivity and </w:t>
      </w:r>
      <w:r w:rsidR="00E64BE5">
        <w:rPr>
          <w:rFonts w:asciiTheme="minorHAnsi" w:hAnsiTheme="minorHAnsi" w:cs="Arial"/>
          <w:sz w:val="24"/>
          <w:szCs w:val="24"/>
        </w:rPr>
        <w:t>44</w:t>
      </w:r>
      <w:r w:rsidR="00977BF7" w:rsidRPr="00730728">
        <w:rPr>
          <w:rFonts w:asciiTheme="minorHAnsi" w:hAnsiTheme="minorHAnsi" w:cs="Arial"/>
          <w:sz w:val="24"/>
          <w:szCs w:val="24"/>
        </w:rPr>
        <w:t>-</w:t>
      </w:r>
      <w:r w:rsidR="00E64BE5">
        <w:rPr>
          <w:rFonts w:asciiTheme="minorHAnsi" w:hAnsiTheme="minorHAnsi" w:cs="Arial"/>
          <w:sz w:val="24"/>
          <w:szCs w:val="24"/>
        </w:rPr>
        <w:t>58</w:t>
      </w:r>
      <w:r w:rsidR="00977BF7" w:rsidRPr="00730728">
        <w:rPr>
          <w:rFonts w:asciiTheme="minorHAnsi" w:hAnsiTheme="minorHAnsi" w:cs="Arial"/>
          <w:sz w:val="24"/>
          <w:szCs w:val="24"/>
        </w:rPr>
        <w:t>% for specificity</w:t>
      </w:r>
      <w:r w:rsidR="00036160" w:rsidRPr="00730728">
        <w:rPr>
          <w:rFonts w:asciiTheme="minorHAnsi" w:hAnsiTheme="minorHAnsi" w:cs="Arial"/>
          <w:sz w:val="24"/>
          <w:szCs w:val="24"/>
        </w:rPr>
        <w:t xml:space="preserve"> at a score of ≥</w:t>
      </w:r>
      <w:r w:rsidR="00E64BE5">
        <w:rPr>
          <w:rFonts w:asciiTheme="minorHAnsi" w:hAnsiTheme="minorHAnsi" w:cs="Arial"/>
          <w:sz w:val="24"/>
          <w:szCs w:val="24"/>
        </w:rPr>
        <w:t>2</w:t>
      </w:r>
      <w:r w:rsidR="00977BF7" w:rsidRPr="00730728">
        <w:rPr>
          <w:rFonts w:asciiTheme="minorHAnsi" w:hAnsiTheme="minorHAnsi" w:cs="Arial"/>
          <w:sz w:val="24"/>
          <w:szCs w:val="24"/>
        </w:rPr>
        <w:t>)</w:t>
      </w:r>
      <w:r w:rsidR="0031724D" w:rsidRPr="00730728">
        <w:rPr>
          <w:rFonts w:asciiTheme="minorHAnsi" w:hAnsiTheme="minorHAnsi" w:cs="Arial"/>
          <w:sz w:val="24"/>
          <w:szCs w:val="24"/>
        </w:rPr>
        <w:t xml:space="preserve">. </w:t>
      </w:r>
      <w:r w:rsidR="0030057E" w:rsidRPr="00730728">
        <w:rPr>
          <w:rFonts w:asciiTheme="minorHAnsi" w:hAnsiTheme="minorHAnsi" w:cs="Arial"/>
          <w:sz w:val="24"/>
          <w:szCs w:val="24"/>
        </w:rPr>
        <w:t>B</w:t>
      </w:r>
      <w:r w:rsidRPr="00730728">
        <w:rPr>
          <w:rFonts w:asciiTheme="minorHAnsi" w:hAnsiTheme="minorHAnsi" w:cs="Arial"/>
          <w:sz w:val="24"/>
          <w:szCs w:val="24"/>
        </w:rPr>
        <w:t>aseline characteristics were similar in those lost to</w:t>
      </w:r>
      <w:r w:rsidR="0030057E" w:rsidRPr="00730728">
        <w:rPr>
          <w:rFonts w:asciiTheme="minorHAnsi" w:hAnsiTheme="minorHAnsi" w:cs="Arial"/>
          <w:sz w:val="24"/>
          <w:szCs w:val="24"/>
        </w:rPr>
        <w:t xml:space="preserve"> follow-up and those included.</w:t>
      </w:r>
      <w:r w:rsidR="00AA0CF0" w:rsidRPr="00730728">
        <w:rPr>
          <w:rFonts w:asciiTheme="minorHAnsi" w:hAnsiTheme="minorHAnsi" w:cs="Arial"/>
          <w:sz w:val="24"/>
          <w:szCs w:val="24"/>
        </w:rPr>
        <w:t xml:space="preserve"> The incorporation of community follow-up in future research would be beneficial to determine outcomes for discharged patients</w:t>
      </w:r>
      <w:r w:rsidR="00567D79" w:rsidRPr="00730728">
        <w:rPr>
          <w:rFonts w:asciiTheme="minorHAnsi" w:hAnsiTheme="minorHAnsi" w:cs="Arial"/>
          <w:sz w:val="24"/>
          <w:szCs w:val="24"/>
        </w:rPr>
        <w:t xml:space="preserve"> and enable validation of the score in an outpatient setting</w:t>
      </w:r>
      <w:r w:rsidR="00AA0CF0" w:rsidRPr="00730728">
        <w:rPr>
          <w:rFonts w:asciiTheme="minorHAnsi" w:hAnsiTheme="minorHAnsi" w:cs="Arial"/>
          <w:sz w:val="24"/>
          <w:szCs w:val="24"/>
        </w:rPr>
        <w:t>.</w:t>
      </w:r>
      <w:r w:rsidR="00CB7972" w:rsidRPr="0063487A">
        <w:rPr>
          <w:rFonts w:asciiTheme="minorHAnsi" w:hAnsiTheme="minorHAnsi" w:cs="Arial"/>
        </w:rPr>
        <w:br w:type="page"/>
      </w:r>
    </w:p>
    <w:p w:rsidR="00FF4656" w:rsidRPr="00E64BE5" w:rsidRDefault="00FF4656" w:rsidP="00730728">
      <w:pPr>
        <w:spacing w:line="480" w:lineRule="auto"/>
        <w:rPr>
          <w:rFonts w:asciiTheme="minorHAnsi" w:hAnsiTheme="minorHAnsi" w:cs="Arial"/>
        </w:rPr>
      </w:pPr>
      <w:r w:rsidRPr="00E64BE5">
        <w:rPr>
          <w:rFonts w:asciiTheme="minorHAnsi" w:hAnsiTheme="minorHAnsi" w:cs="Arial"/>
          <w:b/>
          <w:sz w:val="24"/>
          <w:szCs w:val="24"/>
          <w:u w:val="single"/>
        </w:rPr>
        <w:lastRenderedPageBreak/>
        <w:t>CONCLUSION</w:t>
      </w:r>
    </w:p>
    <w:p w:rsidR="00FF4656" w:rsidRPr="00E64BE5" w:rsidRDefault="00FF4656" w:rsidP="00730728">
      <w:pPr>
        <w:spacing w:line="480" w:lineRule="auto"/>
        <w:contextualSpacing/>
        <w:rPr>
          <w:rFonts w:asciiTheme="minorHAnsi" w:hAnsiTheme="minorHAnsi" w:cs="Arial"/>
        </w:rPr>
      </w:pPr>
    </w:p>
    <w:p w:rsidR="0031436F" w:rsidRDefault="009C0871" w:rsidP="00730728">
      <w:pPr>
        <w:spacing w:line="480" w:lineRule="auto"/>
        <w:contextualSpacing/>
        <w:rPr>
          <w:rFonts w:asciiTheme="minorHAnsi" w:hAnsiTheme="minorHAnsi" w:cs="Arial"/>
          <w:sz w:val="24"/>
        </w:rPr>
      </w:pPr>
      <w:r w:rsidRPr="00E64BE5">
        <w:rPr>
          <w:rFonts w:asciiTheme="minorHAnsi" w:hAnsiTheme="minorHAnsi" w:cs="Arial"/>
          <w:sz w:val="24"/>
        </w:rPr>
        <w:t>T</w:t>
      </w:r>
      <w:r w:rsidR="00346E60" w:rsidRPr="00E64BE5">
        <w:rPr>
          <w:rFonts w:asciiTheme="minorHAnsi" w:hAnsiTheme="minorHAnsi" w:cs="Arial"/>
          <w:sz w:val="24"/>
        </w:rPr>
        <w:t>he SWAT-Bp score has been</w:t>
      </w:r>
      <w:r w:rsidR="00010617" w:rsidRPr="00E64BE5">
        <w:rPr>
          <w:rFonts w:asciiTheme="minorHAnsi" w:hAnsiTheme="minorHAnsi" w:cs="Arial"/>
          <w:sz w:val="24"/>
        </w:rPr>
        <w:t xml:space="preserve"> validated</w:t>
      </w:r>
      <w:r w:rsidR="00E64BE5">
        <w:rPr>
          <w:rFonts w:asciiTheme="minorHAnsi" w:hAnsiTheme="minorHAnsi" w:cs="Arial"/>
          <w:sz w:val="24"/>
        </w:rPr>
        <w:t xml:space="preserve"> in a new population sample</w:t>
      </w:r>
      <w:r w:rsidR="00346E60" w:rsidRPr="00E64BE5">
        <w:rPr>
          <w:rFonts w:asciiTheme="minorHAnsi" w:hAnsiTheme="minorHAnsi" w:cs="Arial"/>
          <w:sz w:val="24"/>
        </w:rPr>
        <w:t xml:space="preserve"> </w:t>
      </w:r>
      <w:r w:rsidR="00AF1380" w:rsidRPr="00E64BE5">
        <w:rPr>
          <w:rFonts w:asciiTheme="minorHAnsi" w:hAnsiTheme="minorHAnsi" w:cs="Arial"/>
          <w:sz w:val="24"/>
        </w:rPr>
        <w:t>to</w:t>
      </w:r>
      <w:r w:rsidR="00FF4656" w:rsidRPr="00E64BE5">
        <w:rPr>
          <w:rFonts w:asciiTheme="minorHAnsi" w:hAnsiTheme="minorHAnsi" w:cs="Arial"/>
          <w:sz w:val="24"/>
        </w:rPr>
        <w:t xml:space="preserve"> predict mortality risk from</w:t>
      </w:r>
      <w:r w:rsidR="00977BF7" w:rsidRPr="00E64BE5">
        <w:rPr>
          <w:rFonts w:asciiTheme="minorHAnsi" w:hAnsiTheme="minorHAnsi" w:cs="Arial"/>
          <w:sz w:val="24"/>
        </w:rPr>
        <w:t xml:space="preserve"> </w:t>
      </w:r>
      <w:r w:rsidR="0031724D" w:rsidRPr="00E64BE5">
        <w:rPr>
          <w:rFonts w:asciiTheme="minorHAnsi" w:hAnsiTheme="minorHAnsi" w:cs="Arial"/>
          <w:sz w:val="24"/>
        </w:rPr>
        <w:t>clinical</w:t>
      </w:r>
      <w:r w:rsidR="00FF4656" w:rsidRPr="00E64BE5">
        <w:rPr>
          <w:rFonts w:asciiTheme="minorHAnsi" w:hAnsiTheme="minorHAnsi" w:cs="Arial"/>
          <w:sz w:val="24"/>
        </w:rPr>
        <w:t xml:space="preserve"> community-acquired pneumonia on admission to hospital in Malawi.</w:t>
      </w:r>
      <w:r w:rsidR="00346E60" w:rsidRPr="00E64BE5">
        <w:rPr>
          <w:rFonts w:asciiTheme="minorHAnsi" w:hAnsiTheme="minorHAnsi" w:cs="Arial"/>
          <w:sz w:val="24"/>
        </w:rPr>
        <w:t xml:space="preserve"> </w:t>
      </w:r>
      <w:r w:rsidR="00AF1380" w:rsidRPr="00E64BE5">
        <w:rPr>
          <w:rFonts w:asciiTheme="minorHAnsi" w:hAnsiTheme="minorHAnsi" w:cs="Arial"/>
          <w:sz w:val="24"/>
        </w:rPr>
        <w:t>I</w:t>
      </w:r>
      <w:r w:rsidR="00346E60" w:rsidRPr="00E64BE5">
        <w:rPr>
          <w:rFonts w:asciiTheme="minorHAnsi" w:hAnsiTheme="minorHAnsi" w:cs="Arial"/>
          <w:sz w:val="24"/>
        </w:rPr>
        <w:t>t could be used</w:t>
      </w:r>
      <w:r w:rsidR="00E64BE5">
        <w:rPr>
          <w:rFonts w:asciiTheme="minorHAnsi" w:hAnsiTheme="minorHAnsi" w:cs="Arial"/>
          <w:sz w:val="24"/>
        </w:rPr>
        <w:t xml:space="preserve"> as an adjunct</w:t>
      </w:r>
      <w:r w:rsidR="00346E60" w:rsidRPr="00E64BE5">
        <w:rPr>
          <w:rFonts w:asciiTheme="minorHAnsi" w:hAnsiTheme="minorHAnsi" w:cs="Arial"/>
          <w:sz w:val="24"/>
        </w:rPr>
        <w:t xml:space="preserve"> to stratify patients with pneumonia</w:t>
      </w:r>
      <w:r w:rsidR="00FF4656" w:rsidRPr="00E64BE5">
        <w:rPr>
          <w:rFonts w:asciiTheme="minorHAnsi" w:hAnsiTheme="minorHAnsi" w:cs="Arial"/>
          <w:sz w:val="24"/>
        </w:rPr>
        <w:t xml:space="preserve"> into low, intermediate and </w:t>
      </w:r>
      <w:proofErr w:type="gramStart"/>
      <w:r w:rsidR="00FF4656" w:rsidRPr="00E64BE5">
        <w:rPr>
          <w:rFonts w:asciiTheme="minorHAnsi" w:hAnsiTheme="minorHAnsi" w:cs="Arial"/>
          <w:sz w:val="24"/>
        </w:rPr>
        <w:t>high</w:t>
      </w:r>
      <w:r w:rsidR="007A5158">
        <w:rPr>
          <w:rFonts w:asciiTheme="minorHAnsi" w:hAnsiTheme="minorHAnsi" w:cs="Arial"/>
          <w:sz w:val="24"/>
        </w:rPr>
        <w:t xml:space="preserve"> </w:t>
      </w:r>
      <w:r w:rsidR="00E64BE5">
        <w:rPr>
          <w:rFonts w:asciiTheme="minorHAnsi" w:hAnsiTheme="minorHAnsi" w:cs="Arial"/>
          <w:sz w:val="24"/>
        </w:rPr>
        <w:t>r</w:t>
      </w:r>
      <w:r w:rsidR="00FF4656" w:rsidRPr="00E64BE5">
        <w:rPr>
          <w:rFonts w:asciiTheme="minorHAnsi" w:hAnsiTheme="minorHAnsi" w:cs="Arial"/>
          <w:sz w:val="24"/>
        </w:rPr>
        <w:t>isk</w:t>
      </w:r>
      <w:proofErr w:type="gramEnd"/>
      <w:r w:rsidR="00FF4656" w:rsidRPr="00E64BE5">
        <w:rPr>
          <w:rFonts w:asciiTheme="minorHAnsi" w:hAnsiTheme="minorHAnsi" w:cs="Arial"/>
          <w:sz w:val="24"/>
        </w:rPr>
        <w:t xml:space="preserve"> mortality groups,</w:t>
      </w:r>
      <w:r w:rsidR="00AF1380" w:rsidRPr="00E64BE5">
        <w:rPr>
          <w:rFonts w:asciiTheme="minorHAnsi" w:hAnsiTheme="minorHAnsi" w:cs="Arial"/>
          <w:sz w:val="24"/>
        </w:rPr>
        <w:t xml:space="preserve"> thereby aiding management decisions. </w:t>
      </w:r>
      <w:proofErr w:type="gramStart"/>
      <w:r w:rsidR="00E86EEE">
        <w:rPr>
          <w:rFonts w:asciiTheme="minorHAnsi" w:hAnsiTheme="minorHAnsi" w:cs="Arial"/>
          <w:sz w:val="24"/>
        </w:rPr>
        <w:t>In particular, for</w:t>
      </w:r>
      <w:proofErr w:type="gramEnd"/>
      <w:r w:rsidR="00E86EEE">
        <w:rPr>
          <w:rFonts w:asciiTheme="minorHAnsi" w:hAnsiTheme="minorHAnsi" w:cs="Arial"/>
          <w:sz w:val="24"/>
        </w:rPr>
        <w:t xml:space="preserve"> identifying lower-risk patients who may be suitable for early discharge or outpatient treatment. </w:t>
      </w:r>
      <w:r w:rsidR="00AF1380" w:rsidRPr="00E64BE5">
        <w:rPr>
          <w:rFonts w:asciiTheme="minorHAnsi" w:hAnsiTheme="minorHAnsi" w:cs="Arial"/>
          <w:sz w:val="24"/>
        </w:rPr>
        <w:t xml:space="preserve">However, </w:t>
      </w:r>
      <w:r w:rsidR="00346E60" w:rsidRPr="00E64BE5">
        <w:rPr>
          <w:rFonts w:asciiTheme="minorHAnsi" w:hAnsiTheme="minorHAnsi" w:cs="Arial"/>
          <w:sz w:val="24"/>
        </w:rPr>
        <w:t>the score</w:t>
      </w:r>
      <w:r w:rsidR="00AF1380" w:rsidRPr="00E64BE5">
        <w:rPr>
          <w:rFonts w:asciiTheme="minorHAnsi" w:hAnsiTheme="minorHAnsi" w:cs="Arial"/>
          <w:sz w:val="24"/>
        </w:rPr>
        <w:t xml:space="preserve"> </w:t>
      </w:r>
      <w:r w:rsidR="00E80D7F">
        <w:rPr>
          <w:rFonts w:asciiTheme="minorHAnsi" w:hAnsiTheme="minorHAnsi" w:cs="Arial"/>
          <w:sz w:val="24"/>
        </w:rPr>
        <w:t>did not perform as well as in</w:t>
      </w:r>
      <w:r w:rsidR="00AF1380" w:rsidRPr="00E64BE5">
        <w:rPr>
          <w:rFonts w:asciiTheme="minorHAnsi" w:hAnsiTheme="minorHAnsi" w:cs="Arial"/>
          <w:sz w:val="24"/>
        </w:rPr>
        <w:t xml:space="preserve"> the derivation cohort</w:t>
      </w:r>
      <w:r w:rsidR="002C3209">
        <w:rPr>
          <w:rFonts w:asciiTheme="minorHAnsi" w:hAnsiTheme="minorHAnsi" w:cs="Arial"/>
          <w:sz w:val="24"/>
        </w:rPr>
        <w:t xml:space="preserve">. </w:t>
      </w:r>
    </w:p>
    <w:p w:rsidR="0031436F" w:rsidRDefault="0031436F">
      <w:pPr>
        <w:spacing w:after="0" w:line="240" w:lineRule="auto"/>
        <w:rPr>
          <w:rFonts w:asciiTheme="minorHAnsi" w:hAnsiTheme="minorHAnsi" w:cs="Arial"/>
          <w:sz w:val="24"/>
        </w:rPr>
      </w:pPr>
      <w:r>
        <w:rPr>
          <w:rFonts w:asciiTheme="minorHAnsi" w:hAnsiTheme="minorHAnsi" w:cs="Arial"/>
          <w:sz w:val="24"/>
        </w:rPr>
        <w:br w:type="page"/>
      </w:r>
    </w:p>
    <w:p w:rsidR="0031436F" w:rsidRPr="0063487A" w:rsidRDefault="0031436F" w:rsidP="0031436F">
      <w:pPr>
        <w:spacing w:line="480" w:lineRule="auto"/>
        <w:rPr>
          <w:rFonts w:asciiTheme="minorHAnsi" w:hAnsiTheme="minorHAnsi" w:cs="Arial"/>
          <w:b/>
          <w:sz w:val="24"/>
          <w:szCs w:val="24"/>
          <w:u w:val="single"/>
        </w:rPr>
      </w:pPr>
      <w:r w:rsidRPr="0063487A">
        <w:rPr>
          <w:rFonts w:asciiTheme="minorHAnsi" w:hAnsiTheme="minorHAnsi" w:cs="Arial"/>
          <w:b/>
          <w:sz w:val="24"/>
          <w:szCs w:val="24"/>
          <w:u w:val="single"/>
        </w:rPr>
        <w:lastRenderedPageBreak/>
        <w:t>Funding</w:t>
      </w:r>
    </w:p>
    <w:p w:rsidR="0031436F" w:rsidRPr="0063487A" w:rsidRDefault="0031436F" w:rsidP="0031436F">
      <w:pPr>
        <w:spacing w:line="480" w:lineRule="auto"/>
        <w:rPr>
          <w:rFonts w:asciiTheme="minorHAnsi" w:hAnsiTheme="minorHAnsi" w:cs="Arial"/>
        </w:rPr>
      </w:pPr>
      <w:r w:rsidRPr="0063487A">
        <w:rPr>
          <w:rFonts w:asciiTheme="minorHAnsi" w:hAnsiTheme="minorHAnsi" w:cs="Arial"/>
        </w:rPr>
        <w:t xml:space="preserve">This work was supported by the University of Birmingham </w:t>
      </w:r>
      <w:proofErr w:type="spellStart"/>
      <w:r w:rsidRPr="0063487A">
        <w:rPr>
          <w:rFonts w:asciiTheme="minorHAnsi" w:hAnsiTheme="minorHAnsi" w:cs="Arial"/>
        </w:rPr>
        <w:t>BMedSc</w:t>
      </w:r>
      <w:proofErr w:type="spellEnd"/>
      <w:r w:rsidRPr="0063487A">
        <w:rPr>
          <w:rFonts w:asciiTheme="minorHAnsi" w:hAnsiTheme="minorHAnsi" w:cs="Arial"/>
        </w:rPr>
        <w:t xml:space="preserve"> Intercalation fund.</w:t>
      </w:r>
    </w:p>
    <w:p w:rsidR="0031436F" w:rsidRPr="0063487A" w:rsidRDefault="0031436F" w:rsidP="0031436F">
      <w:pPr>
        <w:spacing w:line="480" w:lineRule="auto"/>
        <w:rPr>
          <w:rFonts w:asciiTheme="minorHAnsi" w:hAnsiTheme="minorHAnsi" w:cs="Arial"/>
          <w:b/>
          <w:sz w:val="24"/>
          <w:szCs w:val="24"/>
          <w:u w:val="single"/>
        </w:rPr>
      </w:pPr>
    </w:p>
    <w:p w:rsidR="0031436F" w:rsidRPr="0063487A" w:rsidRDefault="0031436F" w:rsidP="0031436F">
      <w:pPr>
        <w:spacing w:line="480" w:lineRule="auto"/>
        <w:contextualSpacing/>
        <w:rPr>
          <w:rFonts w:asciiTheme="minorHAnsi" w:hAnsiTheme="minorHAnsi" w:cs="Arial"/>
          <w:b/>
          <w:sz w:val="24"/>
          <w:szCs w:val="24"/>
          <w:u w:val="single"/>
        </w:rPr>
      </w:pPr>
      <w:r w:rsidRPr="0063487A">
        <w:rPr>
          <w:rFonts w:asciiTheme="minorHAnsi" w:hAnsiTheme="minorHAnsi" w:cs="Arial"/>
          <w:b/>
          <w:sz w:val="24"/>
          <w:szCs w:val="24"/>
          <w:u w:val="single"/>
        </w:rPr>
        <w:t>Acknowledgements</w:t>
      </w:r>
    </w:p>
    <w:p w:rsidR="0031436F" w:rsidRPr="0063487A" w:rsidRDefault="0031436F" w:rsidP="0031436F">
      <w:pPr>
        <w:spacing w:line="480" w:lineRule="auto"/>
        <w:rPr>
          <w:rFonts w:asciiTheme="minorHAnsi" w:hAnsiTheme="minorHAnsi" w:cs="Arial"/>
        </w:rPr>
      </w:pPr>
      <w:r w:rsidRPr="0063487A">
        <w:rPr>
          <w:rFonts w:asciiTheme="minorHAnsi" w:hAnsiTheme="minorHAnsi" w:cs="Arial"/>
        </w:rPr>
        <w:t>The authors would like to acknowledge all the staff and patients at Queen Elizabeth Central Hospital, Blantyre, Malawi.</w:t>
      </w:r>
    </w:p>
    <w:p w:rsidR="0031436F" w:rsidRPr="0063487A" w:rsidRDefault="0031436F" w:rsidP="0031436F">
      <w:pPr>
        <w:spacing w:line="480" w:lineRule="auto"/>
        <w:rPr>
          <w:rFonts w:asciiTheme="minorHAnsi" w:hAnsiTheme="minorHAnsi" w:cs="Arial"/>
        </w:rPr>
      </w:pPr>
    </w:p>
    <w:p w:rsidR="0031436F" w:rsidRPr="0063487A" w:rsidRDefault="0031436F" w:rsidP="0031436F">
      <w:pPr>
        <w:spacing w:line="480" w:lineRule="auto"/>
        <w:rPr>
          <w:rFonts w:asciiTheme="minorHAnsi" w:hAnsiTheme="minorHAnsi" w:cs="Arial"/>
          <w:b/>
          <w:sz w:val="24"/>
          <w:szCs w:val="24"/>
          <w:u w:val="single"/>
        </w:rPr>
      </w:pPr>
      <w:r w:rsidRPr="0063487A">
        <w:rPr>
          <w:rFonts w:asciiTheme="minorHAnsi" w:hAnsiTheme="minorHAnsi" w:cs="Arial"/>
          <w:b/>
          <w:sz w:val="24"/>
          <w:szCs w:val="24"/>
          <w:u w:val="single"/>
        </w:rPr>
        <w:t>Author contributions</w:t>
      </w:r>
    </w:p>
    <w:p w:rsidR="0031436F" w:rsidRPr="0063487A" w:rsidRDefault="0031436F" w:rsidP="0031436F">
      <w:pPr>
        <w:spacing w:line="480" w:lineRule="auto"/>
        <w:contextualSpacing/>
        <w:rPr>
          <w:rFonts w:asciiTheme="minorHAnsi" w:hAnsiTheme="minorHAnsi" w:cs="Arial"/>
        </w:rPr>
      </w:pPr>
      <w:r w:rsidRPr="0063487A">
        <w:rPr>
          <w:rFonts w:asciiTheme="minorHAnsi" w:hAnsiTheme="minorHAnsi" w:cs="Arial"/>
        </w:rPr>
        <w:t>The study was planned by IB, EB</w:t>
      </w:r>
      <w:r>
        <w:rPr>
          <w:rFonts w:asciiTheme="minorHAnsi" w:hAnsiTheme="minorHAnsi" w:cs="Arial"/>
        </w:rPr>
        <w:t>, MI</w:t>
      </w:r>
      <w:r w:rsidRPr="0063487A">
        <w:rPr>
          <w:rFonts w:asciiTheme="minorHAnsi" w:hAnsiTheme="minorHAnsi" w:cs="Arial"/>
        </w:rPr>
        <w:t xml:space="preserve"> and JR.</w:t>
      </w:r>
    </w:p>
    <w:p w:rsidR="0031436F" w:rsidRPr="0063487A" w:rsidRDefault="0031436F" w:rsidP="0031436F">
      <w:pPr>
        <w:spacing w:line="480" w:lineRule="auto"/>
        <w:contextualSpacing/>
        <w:rPr>
          <w:rFonts w:asciiTheme="minorHAnsi" w:hAnsiTheme="minorHAnsi" w:cs="Arial"/>
        </w:rPr>
      </w:pPr>
      <w:r w:rsidRPr="0063487A">
        <w:rPr>
          <w:rFonts w:asciiTheme="minorHAnsi" w:hAnsiTheme="minorHAnsi" w:cs="Arial"/>
        </w:rPr>
        <w:t>The data were collected by IB and IM.</w:t>
      </w:r>
    </w:p>
    <w:p w:rsidR="0031436F" w:rsidRPr="0063487A" w:rsidRDefault="0031436F" w:rsidP="0031436F">
      <w:pPr>
        <w:spacing w:line="480" w:lineRule="auto"/>
        <w:contextualSpacing/>
        <w:rPr>
          <w:rFonts w:asciiTheme="minorHAnsi" w:hAnsiTheme="minorHAnsi" w:cs="Arial"/>
        </w:rPr>
      </w:pPr>
      <w:r w:rsidRPr="0063487A">
        <w:rPr>
          <w:rFonts w:asciiTheme="minorHAnsi" w:hAnsiTheme="minorHAnsi" w:cs="Arial"/>
        </w:rPr>
        <w:t>Data were analysed by IB, with assistance from JR.</w:t>
      </w:r>
    </w:p>
    <w:p w:rsidR="0031436F" w:rsidRPr="0063487A" w:rsidRDefault="0031436F" w:rsidP="0031436F">
      <w:pPr>
        <w:spacing w:line="480" w:lineRule="auto"/>
        <w:contextualSpacing/>
        <w:rPr>
          <w:rFonts w:asciiTheme="minorHAnsi" w:hAnsiTheme="minorHAnsi" w:cs="Arial"/>
        </w:rPr>
      </w:pPr>
      <w:r w:rsidRPr="0063487A">
        <w:rPr>
          <w:rFonts w:asciiTheme="minorHAnsi" w:hAnsiTheme="minorHAnsi" w:cs="Arial"/>
        </w:rPr>
        <w:t xml:space="preserve">The study was written up by IB, supported by advice from EB, IM, PW and JR. </w:t>
      </w:r>
    </w:p>
    <w:p w:rsidR="00156D29" w:rsidRPr="0063487A" w:rsidRDefault="00FF4656" w:rsidP="00730728">
      <w:pPr>
        <w:spacing w:line="480" w:lineRule="auto"/>
        <w:contextualSpacing/>
        <w:rPr>
          <w:rFonts w:asciiTheme="minorHAnsi" w:hAnsiTheme="minorHAnsi" w:cs="Arial"/>
          <w:b/>
          <w:sz w:val="24"/>
          <w:szCs w:val="24"/>
          <w:u w:val="single"/>
        </w:rPr>
      </w:pPr>
      <w:r w:rsidRPr="0063487A">
        <w:rPr>
          <w:rFonts w:asciiTheme="minorHAnsi" w:hAnsiTheme="minorHAnsi" w:cs="Arial"/>
          <w:b/>
          <w:sz w:val="24"/>
          <w:szCs w:val="24"/>
          <w:u w:val="single"/>
        </w:rPr>
        <w:br w:type="page"/>
      </w:r>
    </w:p>
    <w:p w:rsidR="00FF4656" w:rsidRPr="0063487A" w:rsidRDefault="00FF4656" w:rsidP="00443E7E">
      <w:pPr>
        <w:spacing w:line="480" w:lineRule="auto"/>
        <w:contextualSpacing/>
        <w:rPr>
          <w:rFonts w:asciiTheme="minorHAnsi" w:hAnsiTheme="minorHAnsi" w:cs="Arial"/>
          <w:b/>
          <w:sz w:val="28"/>
          <w:szCs w:val="28"/>
          <w:u w:val="single"/>
        </w:rPr>
      </w:pPr>
      <w:r w:rsidRPr="0063487A">
        <w:rPr>
          <w:rFonts w:asciiTheme="minorHAnsi" w:hAnsiTheme="minorHAnsi" w:cs="Arial"/>
          <w:b/>
          <w:sz w:val="28"/>
          <w:szCs w:val="28"/>
          <w:u w:val="single"/>
        </w:rPr>
        <w:lastRenderedPageBreak/>
        <w:t>REFERENCES</w:t>
      </w:r>
    </w:p>
    <w:p w:rsidR="00CF13B7"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CF13B7" w:rsidRPr="0063487A">
        <w:rPr>
          <w:rFonts w:asciiTheme="minorHAnsi" w:hAnsiTheme="minorHAnsi" w:cs="Arial"/>
          <w:sz w:val="18"/>
          <w:szCs w:val="18"/>
        </w:rPr>
        <w:t>1</w:t>
      </w:r>
      <w:r w:rsidRPr="0063487A">
        <w:rPr>
          <w:rFonts w:asciiTheme="minorHAnsi" w:hAnsiTheme="minorHAnsi" w:cs="Arial"/>
          <w:sz w:val="18"/>
          <w:szCs w:val="18"/>
        </w:rPr>
        <w:t>]</w:t>
      </w:r>
      <w:r w:rsidR="00CF13B7" w:rsidRPr="0063487A">
        <w:rPr>
          <w:rFonts w:asciiTheme="minorHAnsi" w:hAnsiTheme="minorHAnsi" w:cs="Arial"/>
          <w:sz w:val="18"/>
          <w:szCs w:val="18"/>
        </w:rPr>
        <w:t xml:space="preserve"> World Health Organization: The top 10 causes of death. Fact sheet No 310 </w:t>
      </w:r>
      <w:hyperlink r:id="rId9" w:history="1">
        <w:r w:rsidR="00CF13B7" w:rsidRPr="0063487A">
          <w:rPr>
            <w:rStyle w:val="Hyperlink"/>
            <w:rFonts w:asciiTheme="minorHAnsi" w:hAnsiTheme="minorHAnsi" w:cs="Arial"/>
            <w:sz w:val="18"/>
            <w:szCs w:val="18"/>
          </w:rPr>
          <w:t>www.who.int/mediacentre/factsheets/fs310/en/</w:t>
        </w:r>
      </w:hyperlink>
      <w:r w:rsidR="00CF13B7" w:rsidRPr="0063487A">
        <w:rPr>
          <w:rFonts w:asciiTheme="minorHAnsi" w:hAnsiTheme="minorHAnsi" w:cs="Arial"/>
          <w:sz w:val="18"/>
          <w:szCs w:val="18"/>
        </w:rPr>
        <w:t xml:space="preserve"> Accessed 27</w:t>
      </w:r>
      <w:r w:rsidR="00671116" w:rsidRPr="0063487A">
        <w:rPr>
          <w:rFonts w:asciiTheme="minorHAnsi" w:hAnsiTheme="minorHAnsi" w:cs="Arial"/>
          <w:sz w:val="18"/>
          <w:szCs w:val="18"/>
        </w:rPr>
        <w:t xml:space="preserve"> September 2016</w:t>
      </w:r>
      <w:r w:rsidR="00CF13B7" w:rsidRPr="0063487A">
        <w:rPr>
          <w:rFonts w:asciiTheme="minorHAnsi" w:hAnsiTheme="minorHAnsi" w:cs="Arial"/>
          <w:sz w:val="18"/>
          <w:szCs w:val="18"/>
        </w:rPr>
        <w:t>.</w:t>
      </w:r>
    </w:p>
    <w:p w:rsidR="00CF13B7"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CF13B7" w:rsidRPr="0063487A">
        <w:rPr>
          <w:rFonts w:asciiTheme="minorHAnsi" w:hAnsiTheme="minorHAnsi" w:cs="Arial"/>
          <w:sz w:val="18"/>
          <w:szCs w:val="18"/>
        </w:rPr>
        <w:t>2</w:t>
      </w:r>
      <w:r w:rsidRPr="0063487A">
        <w:rPr>
          <w:rFonts w:asciiTheme="minorHAnsi" w:hAnsiTheme="minorHAnsi" w:cs="Arial"/>
          <w:sz w:val="18"/>
          <w:szCs w:val="18"/>
        </w:rPr>
        <w:t>]</w:t>
      </w:r>
      <w:r w:rsidR="00CF13B7" w:rsidRPr="0063487A">
        <w:rPr>
          <w:rFonts w:asciiTheme="minorHAnsi" w:hAnsiTheme="minorHAnsi" w:cs="Arial"/>
          <w:sz w:val="18"/>
          <w:szCs w:val="18"/>
        </w:rPr>
        <w:t xml:space="preserve"> World Health Organization Statistical Information System 2013. Geneva, Switzerland: WHO. </w:t>
      </w:r>
      <w:hyperlink r:id="rId10" w:history="1">
        <w:r w:rsidR="00CF13B7" w:rsidRPr="0063487A">
          <w:rPr>
            <w:rStyle w:val="Hyperlink"/>
            <w:rFonts w:asciiTheme="minorHAnsi" w:hAnsiTheme="minorHAnsi" w:cs="Arial"/>
            <w:sz w:val="18"/>
            <w:szCs w:val="18"/>
          </w:rPr>
          <w:t>www.who.int/gho/publications/world_health_statistics/EN_WHS2013_Full.pdf?ua=1</w:t>
        </w:r>
      </w:hyperlink>
      <w:r w:rsidR="00CF13B7" w:rsidRPr="0063487A">
        <w:rPr>
          <w:rFonts w:asciiTheme="minorHAnsi" w:hAnsiTheme="minorHAnsi" w:cs="Arial"/>
          <w:sz w:val="18"/>
          <w:szCs w:val="18"/>
        </w:rPr>
        <w:t xml:space="preserve"> Accessed 27</w:t>
      </w:r>
      <w:r w:rsidR="00671116" w:rsidRPr="0063487A">
        <w:rPr>
          <w:rFonts w:asciiTheme="minorHAnsi" w:hAnsiTheme="minorHAnsi" w:cs="Arial"/>
          <w:sz w:val="18"/>
          <w:szCs w:val="18"/>
        </w:rPr>
        <w:t xml:space="preserve"> September 2016</w:t>
      </w:r>
      <w:r w:rsidR="00CF13B7" w:rsidRPr="0063487A">
        <w:rPr>
          <w:rFonts w:asciiTheme="minorHAnsi" w:hAnsiTheme="minorHAnsi" w:cs="Arial"/>
          <w:sz w:val="18"/>
          <w:szCs w:val="18"/>
        </w:rPr>
        <w:t>.</w:t>
      </w:r>
    </w:p>
    <w:p w:rsidR="00CF13B7"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CF13B7" w:rsidRPr="0063487A">
        <w:rPr>
          <w:rFonts w:asciiTheme="minorHAnsi" w:hAnsiTheme="minorHAnsi" w:cs="Arial"/>
          <w:sz w:val="18"/>
          <w:szCs w:val="18"/>
        </w:rPr>
        <w:t>3</w:t>
      </w:r>
      <w:r w:rsidRPr="0063487A">
        <w:rPr>
          <w:rFonts w:asciiTheme="minorHAnsi" w:hAnsiTheme="minorHAnsi" w:cs="Arial"/>
          <w:sz w:val="18"/>
          <w:szCs w:val="18"/>
        </w:rPr>
        <w:t>]</w:t>
      </w:r>
      <w:r w:rsidR="00CF13B7" w:rsidRPr="0063487A">
        <w:rPr>
          <w:rFonts w:asciiTheme="minorHAnsi" w:hAnsiTheme="minorHAnsi" w:cs="Arial"/>
          <w:sz w:val="18"/>
          <w:szCs w:val="18"/>
        </w:rPr>
        <w:t xml:space="preserve"> San Joachim M</w:t>
      </w:r>
      <w:r w:rsidR="0088622A">
        <w:rPr>
          <w:rFonts w:asciiTheme="minorHAnsi" w:hAnsiTheme="minorHAnsi" w:cs="Arial"/>
          <w:sz w:val="18"/>
          <w:szCs w:val="18"/>
        </w:rPr>
        <w:t>, Personal communication, 2011.</w:t>
      </w:r>
    </w:p>
    <w:p w:rsidR="00CF13B7" w:rsidRPr="007A5158" w:rsidRDefault="007A64CA" w:rsidP="00443E7E">
      <w:pPr>
        <w:spacing w:line="480" w:lineRule="auto"/>
        <w:contextualSpacing/>
        <w:rPr>
          <w:rFonts w:asciiTheme="minorHAnsi" w:hAnsiTheme="minorHAnsi" w:cs="Arial"/>
          <w:sz w:val="18"/>
          <w:szCs w:val="18"/>
          <w:lang w:val="fr-CH"/>
        </w:rPr>
      </w:pPr>
      <w:r w:rsidRPr="007A5158">
        <w:rPr>
          <w:rFonts w:asciiTheme="minorHAnsi" w:hAnsiTheme="minorHAnsi" w:cs="Arial"/>
          <w:sz w:val="18"/>
          <w:szCs w:val="18"/>
          <w:lang w:val="sv-SE"/>
        </w:rPr>
        <w:t>[</w:t>
      </w:r>
      <w:r w:rsidR="00CF13B7" w:rsidRPr="007A5158">
        <w:rPr>
          <w:rFonts w:asciiTheme="minorHAnsi" w:hAnsiTheme="minorHAnsi" w:cs="Arial"/>
          <w:sz w:val="18"/>
          <w:szCs w:val="18"/>
          <w:lang w:val="sv-SE"/>
        </w:rPr>
        <w:t>4</w:t>
      </w:r>
      <w:r w:rsidRPr="007A5158">
        <w:rPr>
          <w:rFonts w:asciiTheme="minorHAnsi" w:hAnsiTheme="minorHAnsi" w:cs="Arial"/>
          <w:sz w:val="18"/>
          <w:szCs w:val="18"/>
          <w:lang w:val="sv-SE"/>
        </w:rPr>
        <w:t>]</w:t>
      </w:r>
      <w:r w:rsidR="00CF13B7" w:rsidRPr="007A5158">
        <w:rPr>
          <w:rFonts w:asciiTheme="minorHAnsi" w:hAnsiTheme="minorHAnsi" w:cs="Arial"/>
          <w:sz w:val="18"/>
          <w:szCs w:val="18"/>
          <w:lang w:val="sv-SE"/>
        </w:rPr>
        <w:t xml:space="preserve"> Scott JA, Hall AJ, Muyodi C et al. </w:t>
      </w:r>
      <w:r w:rsidR="00CF13B7" w:rsidRPr="0063487A">
        <w:rPr>
          <w:rFonts w:asciiTheme="minorHAnsi" w:hAnsiTheme="minorHAnsi" w:cs="Arial"/>
          <w:sz w:val="18"/>
          <w:szCs w:val="18"/>
        </w:rPr>
        <w:t xml:space="preserve">Aetiology, outcome, and risk factors for mortality among adults with acute pneumonia in Kenya. </w:t>
      </w:r>
      <w:r w:rsidR="00CF13B7" w:rsidRPr="007A5158">
        <w:rPr>
          <w:rFonts w:asciiTheme="minorHAnsi" w:hAnsiTheme="minorHAnsi" w:cs="Arial"/>
          <w:sz w:val="18"/>
          <w:szCs w:val="18"/>
          <w:lang w:val="fr-CH"/>
        </w:rPr>
        <w:t xml:space="preserve">Lancet </w:t>
      </w:r>
      <w:r w:rsidR="00CF13B7" w:rsidRPr="007A5158">
        <w:rPr>
          <w:rFonts w:asciiTheme="minorHAnsi" w:hAnsiTheme="minorHAnsi" w:cs="Arial"/>
          <w:b/>
          <w:sz w:val="18"/>
          <w:szCs w:val="18"/>
          <w:lang w:val="fr-CH"/>
        </w:rPr>
        <w:t>2000</w:t>
      </w:r>
      <w:r w:rsidR="00CF13B7" w:rsidRPr="007A5158">
        <w:rPr>
          <w:rFonts w:asciiTheme="minorHAnsi" w:hAnsiTheme="minorHAnsi" w:cs="Arial"/>
          <w:sz w:val="18"/>
          <w:szCs w:val="18"/>
          <w:lang w:val="fr-CH"/>
        </w:rPr>
        <w:t xml:space="preserve"> </w:t>
      </w:r>
      <w:proofErr w:type="spellStart"/>
      <w:r w:rsidR="00CF13B7" w:rsidRPr="007A5158">
        <w:rPr>
          <w:rFonts w:asciiTheme="minorHAnsi" w:hAnsiTheme="minorHAnsi" w:cs="Arial"/>
          <w:sz w:val="18"/>
          <w:szCs w:val="18"/>
          <w:lang w:val="fr-CH"/>
        </w:rPr>
        <w:t>Apr</w:t>
      </w:r>
      <w:proofErr w:type="spellEnd"/>
      <w:r w:rsidR="00CF13B7" w:rsidRPr="007A5158">
        <w:rPr>
          <w:rFonts w:asciiTheme="minorHAnsi" w:hAnsiTheme="minorHAnsi" w:cs="Arial"/>
          <w:sz w:val="18"/>
          <w:szCs w:val="18"/>
          <w:lang w:val="fr-CH"/>
        </w:rPr>
        <w:t xml:space="preserve"> </w:t>
      </w:r>
      <w:proofErr w:type="gramStart"/>
      <w:r w:rsidR="00CF13B7" w:rsidRPr="007A5158">
        <w:rPr>
          <w:rFonts w:asciiTheme="minorHAnsi" w:hAnsiTheme="minorHAnsi" w:cs="Arial"/>
          <w:sz w:val="18"/>
          <w:szCs w:val="18"/>
          <w:lang w:val="fr-CH"/>
        </w:rPr>
        <w:t>8;</w:t>
      </w:r>
      <w:proofErr w:type="gramEnd"/>
      <w:r w:rsidR="00671116" w:rsidRPr="007A5158">
        <w:rPr>
          <w:rFonts w:asciiTheme="minorHAnsi" w:hAnsiTheme="minorHAnsi" w:cs="Arial"/>
          <w:sz w:val="18"/>
          <w:szCs w:val="18"/>
          <w:lang w:val="fr-CH"/>
        </w:rPr>
        <w:t xml:space="preserve"> </w:t>
      </w:r>
      <w:r w:rsidR="00CF13B7" w:rsidRPr="007A5158">
        <w:rPr>
          <w:rFonts w:asciiTheme="minorHAnsi" w:hAnsiTheme="minorHAnsi" w:cs="Arial"/>
          <w:sz w:val="18"/>
          <w:szCs w:val="18"/>
          <w:lang w:val="fr-CH"/>
        </w:rPr>
        <w:t>355(9211):</w:t>
      </w:r>
      <w:r w:rsidR="00671116" w:rsidRPr="007A5158">
        <w:rPr>
          <w:rFonts w:asciiTheme="minorHAnsi" w:hAnsiTheme="minorHAnsi" w:cs="Arial"/>
          <w:sz w:val="18"/>
          <w:szCs w:val="18"/>
          <w:lang w:val="fr-CH"/>
        </w:rPr>
        <w:t xml:space="preserve"> </w:t>
      </w:r>
      <w:r w:rsidR="00CF13B7" w:rsidRPr="007A5158">
        <w:rPr>
          <w:rFonts w:asciiTheme="minorHAnsi" w:hAnsiTheme="minorHAnsi" w:cs="Arial"/>
          <w:sz w:val="18"/>
          <w:szCs w:val="18"/>
          <w:lang w:val="fr-CH"/>
        </w:rPr>
        <w:t>1225-30.</w:t>
      </w:r>
    </w:p>
    <w:p w:rsidR="00CF13B7" w:rsidRPr="0063487A" w:rsidRDefault="007A64CA" w:rsidP="00443E7E">
      <w:pPr>
        <w:spacing w:line="480" w:lineRule="auto"/>
        <w:contextualSpacing/>
        <w:rPr>
          <w:rFonts w:asciiTheme="minorHAnsi" w:hAnsiTheme="minorHAnsi" w:cs="Arial"/>
          <w:sz w:val="18"/>
          <w:szCs w:val="18"/>
        </w:rPr>
      </w:pPr>
      <w:r w:rsidRPr="007A5158">
        <w:rPr>
          <w:rFonts w:asciiTheme="minorHAnsi" w:hAnsiTheme="minorHAnsi" w:cs="Arial"/>
          <w:sz w:val="18"/>
          <w:szCs w:val="18"/>
          <w:lang w:val="fr-CH"/>
        </w:rPr>
        <w:t>[</w:t>
      </w:r>
      <w:r w:rsidR="00CF13B7" w:rsidRPr="007A5158">
        <w:rPr>
          <w:rFonts w:asciiTheme="minorHAnsi" w:hAnsiTheme="minorHAnsi" w:cs="Arial"/>
          <w:sz w:val="18"/>
          <w:szCs w:val="18"/>
          <w:lang w:val="fr-CH"/>
        </w:rPr>
        <w:t>5</w:t>
      </w:r>
      <w:r w:rsidRPr="007A5158">
        <w:rPr>
          <w:rFonts w:asciiTheme="minorHAnsi" w:hAnsiTheme="minorHAnsi" w:cs="Arial"/>
          <w:sz w:val="18"/>
          <w:szCs w:val="18"/>
          <w:lang w:val="fr-CH"/>
        </w:rPr>
        <w:t>]</w:t>
      </w:r>
      <w:r w:rsidR="00CF13B7" w:rsidRPr="007A5158">
        <w:rPr>
          <w:rFonts w:asciiTheme="minorHAnsi" w:hAnsiTheme="minorHAnsi" w:cs="Arial"/>
          <w:sz w:val="18"/>
          <w:szCs w:val="18"/>
          <w:lang w:val="fr-CH"/>
        </w:rPr>
        <w:t xml:space="preserve"> </w:t>
      </w:r>
      <w:proofErr w:type="spellStart"/>
      <w:r w:rsidR="00CF13B7" w:rsidRPr="007A5158">
        <w:rPr>
          <w:rFonts w:asciiTheme="minorHAnsi" w:hAnsiTheme="minorHAnsi" w:cs="Arial"/>
          <w:sz w:val="18"/>
          <w:szCs w:val="18"/>
          <w:lang w:val="fr-CH"/>
        </w:rPr>
        <w:t>Capelastegui</w:t>
      </w:r>
      <w:proofErr w:type="spellEnd"/>
      <w:r w:rsidR="00CF13B7" w:rsidRPr="007A5158">
        <w:rPr>
          <w:rFonts w:asciiTheme="minorHAnsi" w:hAnsiTheme="minorHAnsi" w:cs="Arial"/>
          <w:sz w:val="18"/>
          <w:szCs w:val="18"/>
          <w:lang w:val="fr-CH"/>
        </w:rPr>
        <w:t xml:space="preserve"> A, </w:t>
      </w:r>
      <w:proofErr w:type="spellStart"/>
      <w:r w:rsidR="00CF13B7" w:rsidRPr="007A5158">
        <w:rPr>
          <w:rFonts w:asciiTheme="minorHAnsi" w:hAnsiTheme="minorHAnsi" w:cs="Arial"/>
          <w:sz w:val="18"/>
          <w:szCs w:val="18"/>
          <w:lang w:val="fr-CH"/>
        </w:rPr>
        <w:t>Espaňa</w:t>
      </w:r>
      <w:proofErr w:type="spellEnd"/>
      <w:r w:rsidR="00CF13B7" w:rsidRPr="007A5158">
        <w:rPr>
          <w:rFonts w:asciiTheme="minorHAnsi" w:hAnsiTheme="minorHAnsi" w:cs="Arial"/>
          <w:sz w:val="18"/>
          <w:szCs w:val="18"/>
          <w:lang w:val="fr-CH"/>
        </w:rPr>
        <w:t xml:space="preserve"> PP, Quintana JM, et al. </w:t>
      </w:r>
      <w:r w:rsidR="00CF13B7" w:rsidRPr="0063487A">
        <w:rPr>
          <w:rFonts w:asciiTheme="minorHAnsi" w:hAnsiTheme="minorHAnsi" w:cs="Arial"/>
          <w:sz w:val="18"/>
          <w:szCs w:val="18"/>
        </w:rPr>
        <w:t xml:space="preserve">Validation of a predictive rule for the management of community-acquired pneumonia. Eur </w:t>
      </w:r>
      <w:proofErr w:type="spellStart"/>
      <w:r w:rsidR="00CF13B7" w:rsidRPr="0063487A">
        <w:rPr>
          <w:rFonts w:asciiTheme="minorHAnsi" w:hAnsiTheme="minorHAnsi" w:cs="Arial"/>
          <w:sz w:val="18"/>
          <w:szCs w:val="18"/>
        </w:rPr>
        <w:t>Resp</w:t>
      </w:r>
      <w:proofErr w:type="spellEnd"/>
      <w:r w:rsidR="00CF13B7" w:rsidRPr="0063487A">
        <w:rPr>
          <w:rFonts w:asciiTheme="minorHAnsi" w:hAnsiTheme="minorHAnsi" w:cs="Arial"/>
          <w:sz w:val="18"/>
          <w:szCs w:val="18"/>
        </w:rPr>
        <w:t xml:space="preserve"> J </w:t>
      </w:r>
      <w:r w:rsidR="00CF13B7" w:rsidRPr="0063487A">
        <w:rPr>
          <w:rFonts w:asciiTheme="minorHAnsi" w:hAnsiTheme="minorHAnsi" w:cs="Arial"/>
          <w:b/>
          <w:sz w:val="18"/>
          <w:szCs w:val="18"/>
        </w:rPr>
        <w:t>2006</w:t>
      </w:r>
      <w:r w:rsidR="00CF13B7" w:rsidRPr="0063487A">
        <w:rPr>
          <w:rFonts w:asciiTheme="minorHAnsi" w:hAnsiTheme="minorHAnsi" w:cs="Arial"/>
          <w:sz w:val="18"/>
          <w:szCs w:val="18"/>
        </w:rPr>
        <w:t>;</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27:</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151-157.</w:t>
      </w:r>
    </w:p>
    <w:p w:rsidR="00CF13B7"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CF13B7" w:rsidRPr="0063487A">
        <w:rPr>
          <w:rFonts w:asciiTheme="minorHAnsi" w:hAnsiTheme="minorHAnsi" w:cs="Arial"/>
          <w:sz w:val="18"/>
          <w:szCs w:val="18"/>
        </w:rPr>
        <w:t>6</w:t>
      </w:r>
      <w:r w:rsidRPr="0063487A">
        <w:rPr>
          <w:rFonts w:asciiTheme="minorHAnsi" w:hAnsiTheme="minorHAnsi" w:cs="Arial"/>
          <w:sz w:val="18"/>
          <w:szCs w:val="18"/>
        </w:rPr>
        <w:t>]</w:t>
      </w:r>
      <w:r w:rsidR="00CF13B7" w:rsidRPr="0063487A">
        <w:rPr>
          <w:rFonts w:asciiTheme="minorHAnsi" w:hAnsiTheme="minorHAnsi" w:cs="Arial"/>
          <w:sz w:val="18"/>
          <w:szCs w:val="18"/>
        </w:rPr>
        <w:t xml:space="preserve"> </w:t>
      </w:r>
      <w:proofErr w:type="spellStart"/>
      <w:r w:rsidR="00CF13B7" w:rsidRPr="0063487A">
        <w:rPr>
          <w:rFonts w:asciiTheme="minorHAnsi" w:hAnsiTheme="minorHAnsi" w:cs="Arial"/>
          <w:sz w:val="18"/>
          <w:szCs w:val="18"/>
        </w:rPr>
        <w:t>Rosón</w:t>
      </w:r>
      <w:proofErr w:type="spellEnd"/>
      <w:r w:rsidR="00CF13B7" w:rsidRPr="0063487A">
        <w:rPr>
          <w:rFonts w:asciiTheme="minorHAnsi" w:hAnsiTheme="minorHAnsi" w:cs="Arial"/>
          <w:sz w:val="18"/>
          <w:szCs w:val="18"/>
        </w:rPr>
        <w:t xml:space="preserve"> B, </w:t>
      </w:r>
      <w:proofErr w:type="spellStart"/>
      <w:r w:rsidR="00CF13B7" w:rsidRPr="0063487A">
        <w:rPr>
          <w:rFonts w:asciiTheme="minorHAnsi" w:hAnsiTheme="minorHAnsi" w:cs="Arial"/>
          <w:sz w:val="18"/>
          <w:szCs w:val="18"/>
        </w:rPr>
        <w:t>Carratalá</w:t>
      </w:r>
      <w:proofErr w:type="spellEnd"/>
      <w:r w:rsidR="00CF13B7" w:rsidRPr="0063487A">
        <w:rPr>
          <w:rFonts w:asciiTheme="minorHAnsi" w:hAnsiTheme="minorHAnsi" w:cs="Arial"/>
          <w:sz w:val="18"/>
          <w:szCs w:val="18"/>
        </w:rPr>
        <w:t xml:space="preserve"> J, </w:t>
      </w:r>
      <w:proofErr w:type="spellStart"/>
      <w:r w:rsidR="00CF13B7" w:rsidRPr="0063487A">
        <w:rPr>
          <w:rFonts w:asciiTheme="minorHAnsi" w:hAnsiTheme="minorHAnsi" w:cs="Arial"/>
          <w:sz w:val="18"/>
          <w:szCs w:val="18"/>
        </w:rPr>
        <w:t>Dorca</w:t>
      </w:r>
      <w:proofErr w:type="spellEnd"/>
      <w:r w:rsidR="00CF13B7" w:rsidRPr="0063487A">
        <w:rPr>
          <w:rFonts w:asciiTheme="minorHAnsi" w:hAnsiTheme="minorHAnsi" w:cs="Arial"/>
          <w:sz w:val="18"/>
          <w:szCs w:val="18"/>
        </w:rPr>
        <w:t xml:space="preserve"> J, Casanova A, Manresa F, </w:t>
      </w:r>
      <w:proofErr w:type="spellStart"/>
      <w:r w:rsidR="00CF13B7" w:rsidRPr="0063487A">
        <w:rPr>
          <w:rFonts w:asciiTheme="minorHAnsi" w:hAnsiTheme="minorHAnsi" w:cs="Arial"/>
          <w:sz w:val="18"/>
          <w:szCs w:val="18"/>
        </w:rPr>
        <w:t>Gudiol</w:t>
      </w:r>
      <w:proofErr w:type="spellEnd"/>
      <w:r w:rsidR="00CF13B7" w:rsidRPr="0063487A">
        <w:rPr>
          <w:rFonts w:asciiTheme="minorHAnsi" w:hAnsiTheme="minorHAnsi" w:cs="Arial"/>
          <w:sz w:val="18"/>
          <w:szCs w:val="18"/>
        </w:rPr>
        <w:t xml:space="preserve"> F. </w:t>
      </w:r>
      <w:proofErr w:type="spellStart"/>
      <w:r w:rsidR="00CF13B7" w:rsidRPr="0063487A">
        <w:rPr>
          <w:rFonts w:asciiTheme="minorHAnsi" w:hAnsiTheme="minorHAnsi" w:cs="Arial"/>
          <w:sz w:val="18"/>
          <w:szCs w:val="18"/>
        </w:rPr>
        <w:t>Etiology</w:t>
      </w:r>
      <w:proofErr w:type="spellEnd"/>
      <w:r w:rsidR="00CF13B7" w:rsidRPr="0063487A">
        <w:rPr>
          <w:rFonts w:asciiTheme="minorHAnsi" w:hAnsiTheme="minorHAnsi" w:cs="Arial"/>
          <w:sz w:val="18"/>
          <w:szCs w:val="18"/>
        </w:rPr>
        <w:t xml:space="preserve">, reasons for hospitalization, risk classes and outcomes of community-acquired pneumonia in patients hospitalized </w:t>
      </w:r>
      <w:proofErr w:type="gramStart"/>
      <w:r w:rsidR="00CF13B7" w:rsidRPr="0063487A">
        <w:rPr>
          <w:rFonts w:asciiTheme="minorHAnsi" w:hAnsiTheme="minorHAnsi" w:cs="Arial"/>
          <w:sz w:val="18"/>
          <w:szCs w:val="18"/>
        </w:rPr>
        <w:t>on the basis of</w:t>
      </w:r>
      <w:proofErr w:type="gramEnd"/>
      <w:r w:rsidR="00CF13B7" w:rsidRPr="0063487A">
        <w:rPr>
          <w:rFonts w:asciiTheme="minorHAnsi" w:hAnsiTheme="minorHAnsi" w:cs="Arial"/>
          <w:sz w:val="18"/>
          <w:szCs w:val="18"/>
        </w:rPr>
        <w:t xml:space="preserve"> conventional admission criteria. Clin Infect Dis </w:t>
      </w:r>
      <w:r w:rsidR="00CF13B7" w:rsidRPr="0063487A">
        <w:rPr>
          <w:rFonts w:asciiTheme="minorHAnsi" w:hAnsiTheme="minorHAnsi" w:cs="Arial"/>
          <w:b/>
          <w:sz w:val="18"/>
          <w:szCs w:val="18"/>
        </w:rPr>
        <w:t>2001</w:t>
      </w:r>
      <w:r w:rsidR="00CF13B7" w:rsidRPr="0063487A">
        <w:rPr>
          <w:rFonts w:asciiTheme="minorHAnsi" w:hAnsiTheme="minorHAnsi" w:cs="Arial"/>
          <w:sz w:val="18"/>
          <w:szCs w:val="18"/>
        </w:rPr>
        <w:t>;</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33:</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158-65.</w:t>
      </w:r>
    </w:p>
    <w:p w:rsidR="00CF13B7"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CF13B7" w:rsidRPr="0063487A">
        <w:rPr>
          <w:rFonts w:asciiTheme="minorHAnsi" w:hAnsiTheme="minorHAnsi" w:cs="Arial"/>
          <w:sz w:val="18"/>
          <w:szCs w:val="18"/>
        </w:rPr>
        <w:t>7</w:t>
      </w:r>
      <w:r w:rsidRPr="0063487A">
        <w:rPr>
          <w:rFonts w:asciiTheme="minorHAnsi" w:hAnsiTheme="minorHAnsi" w:cs="Arial"/>
          <w:sz w:val="18"/>
          <w:szCs w:val="18"/>
        </w:rPr>
        <w:t>]</w:t>
      </w:r>
      <w:r w:rsidR="00CF13B7" w:rsidRPr="0063487A">
        <w:rPr>
          <w:rFonts w:asciiTheme="minorHAnsi" w:hAnsiTheme="minorHAnsi" w:cs="Arial"/>
          <w:sz w:val="18"/>
          <w:szCs w:val="18"/>
        </w:rPr>
        <w:t xml:space="preserve"> </w:t>
      </w:r>
      <w:proofErr w:type="spellStart"/>
      <w:r w:rsidR="00CF13B7" w:rsidRPr="0063487A">
        <w:rPr>
          <w:rFonts w:asciiTheme="minorHAnsi" w:hAnsiTheme="minorHAnsi" w:cs="Arial"/>
          <w:sz w:val="18"/>
          <w:szCs w:val="18"/>
        </w:rPr>
        <w:t>Rello</w:t>
      </w:r>
      <w:proofErr w:type="spellEnd"/>
      <w:r w:rsidR="00CF13B7" w:rsidRPr="0063487A">
        <w:rPr>
          <w:rFonts w:asciiTheme="minorHAnsi" w:hAnsiTheme="minorHAnsi" w:cs="Arial"/>
          <w:sz w:val="18"/>
          <w:szCs w:val="18"/>
        </w:rPr>
        <w:t xml:space="preserve"> J. Demographics, guidelines, and clinical experience in severe community-acquired pneumonia. </w:t>
      </w:r>
      <w:proofErr w:type="spellStart"/>
      <w:r w:rsidR="00CF13B7" w:rsidRPr="0063487A">
        <w:rPr>
          <w:rFonts w:asciiTheme="minorHAnsi" w:hAnsiTheme="minorHAnsi" w:cs="Arial"/>
          <w:sz w:val="18"/>
          <w:szCs w:val="18"/>
        </w:rPr>
        <w:t>Crit</w:t>
      </w:r>
      <w:proofErr w:type="spellEnd"/>
      <w:r w:rsidR="00CF13B7" w:rsidRPr="0063487A">
        <w:rPr>
          <w:rFonts w:asciiTheme="minorHAnsi" w:hAnsiTheme="minorHAnsi" w:cs="Arial"/>
          <w:sz w:val="18"/>
          <w:szCs w:val="18"/>
        </w:rPr>
        <w:t xml:space="preserve"> Care </w:t>
      </w:r>
      <w:r w:rsidR="00CF13B7" w:rsidRPr="0063487A">
        <w:rPr>
          <w:rFonts w:asciiTheme="minorHAnsi" w:hAnsiTheme="minorHAnsi" w:cs="Arial"/>
          <w:b/>
          <w:sz w:val="18"/>
          <w:szCs w:val="18"/>
        </w:rPr>
        <w:t>2008</w:t>
      </w:r>
      <w:r w:rsidR="00CF13B7" w:rsidRPr="0063487A">
        <w:rPr>
          <w:rFonts w:asciiTheme="minorHAnsi" w:hAnsiTheme="minorHAnsi" w:cs="Arial"/>
          <w:sz w:val="18"/>
          <w:szCs w:val="18"/>
        </w:rPr>
        <w:t>;</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12(</w:t>
      </w:r>
      <w:proofErr w:type="spellStart"/>
      <w:r w:rsidR="00CF13B7" w:rsidRPr="0063487A">
        <w:rPr>
          <w:rFonts w:asciiTheme="minorHAnsi" w:hAnsiTheme="minorHAnsi" w:cs="Arial"/>
          <w:sz w:val="18"/>
          <w:szCs w:val="18"/>
        </w:rPr>
        <w:t>Suppl</w:t>
      </w:r>
      <w:proofErr w:type="spellEnd"/>
      <w:r w:rsidR="00CF13B7" w:rsidRPr="0063487A">
        <w:rPr>
          <w:rFonts w:asciiTheme="minorHAnsi" w:hAnsiTheme="minorHAnsi" w:cs="Arial"/>
          <w:sz w:val="18"/>
          <w:szCs w:val="18"/>
        </w:rPr>
        <w:t xml:space="preserve"> 6):</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S2.</w:t>
      </w:r>
    </w:p>
    <w:p w:rsidR="00CF13B7"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CF13B7" w:rsidRPr="0063487A">
        <w:rPr>
          <w:rFonts w:asciiTheme="minorHAnsi" w:hAnsiTheme="minorHAnsi" w:cs="Arial"/>
          <w:sz w:val="18"/>
          <w:szCs w:val="18"/>
        </w:rPr>
        <w:t>8</w:t>
      </w:r>
      <w:r w:rsidRPr="0063487A">
        <w:rPr>
          <w:rFonts w:asciiTheme="minorHAnsi" w:hAnsiTheme="minorHAnsi" w:cs="Arial"/>
          <w:sz w:val="18"/>
          <w:szCs w:val="18"/>
        </w:rPr>
        <w:t>]</w:t>
      </w:r>
      <w:r w:rsidR="00CF13B7" w:rsidRPr="0063487A">
        <w:rPr>
          <w:rFonts w:asciiTheme="minorHAnsi" w:hAnsiTheme="minorHAnsi" w:cs="Arial"/>
          <w:sz w:val="18"/>
          <w:szCs w:val="18"/>
        </w:rPr>
        <w:t xml:space="preserve"> Mandell LA, </w:t>
      </w:r>
      <w:proofErr w:type="spellStart"/>
      <w:r w:rsidR="00CF13B7" w:rsidRPr="0063487A">
        <w:rPr>
          <w:rFonts w:asciiTheme="minorHAnsi" w:hAnsiTheme="minorHAnsi" w:cs="Arial"/>
          <w:sz w:val="18"/>
          <w:szCs w:val="18"/>
        </w:rPr>
        <w:t>Wunderink</w:t>
      </w:r>
      <w:proofErr w:type="spellEnd"/>
      <w:r w:rsidR="00CF13B7" w:rsidRPr="0063487A">
        <w:rPr>
          <w:rFonts w:asciiTheme="minorHAnsi" w:hAnsiTheme="minorHAnsi" w:cs="Arial"/>
          <w:sz w:val="18"/>
          <w:szCs w:val="18"/>
        </w:rPr>
        <w:t xml:space="preserve"> RG, </w:t>
      </w:r>
      <w:proofErr w:type="spellStart"/>
      <w:r w:rsidR="00CF13B7" w:rsidRPr="0063487A">
        <w:rPr>
          <w:rFonts w:asciiTheme="minorHAnsi" w:hAnsiTheme="minorHAnsi" w:cs="Arial"/>
          <w:sz w:val="18"/>
          <w:szCs w:val="18"/>
        </w:rPr>
        <w:t>Anzueto</w:t>
      </w:r>
      <w:proofErr w:type="spellEnd"/>
      <w:r w:rsidR="00CF13B7" w:rsidRPr="0063487A">
        <w:rPr>
          <w:rFonts w:asciiTheme="minorHAnsi" w:hAnsiTheme="minorHAnsi" w:cs="Arial"/>
          <w:sz w:val="18"/>
          <w:szCs w:val="18"/>
        </w:rPr>
        <w:t xml:space="preserve"> A et al. Infectious Disease Society of American/American Thoracic Society guidelines for the management of community acquired pneumonia in adults. Clin Infect Dis </w:t>
      </w:r>
      <w:r w:rsidR="00CF13B7" w:rsidRPr="0063487A">
        <w:rPr>
          <w:rFonts w:asciiTheme="minorHAnsi" w:hAnsiTheme="minorHAnsi" w:cs="Arial"/>
          <w:b/>
          <w:sz w:val="18"/>
          <w:szCs w:val="18"/>
        </w:rPr>
        <w:t>2007</w:t>
      </w:r>
      <w:r w:rsidR="00CF13B7" w:rsidRPr="0063487A">
        <w:rPr>
          <w:rFonts w:asciiTheme="minorHAnsi" w:hAnsiTheme="minorHAnsi" w:cs="Arial"/>
          <w:sz w:val="18"/>
          <w:szCs w:val="18"/>
        </w:rPr>
        <w:t>;</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44:</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s27-72.</w:t>
      </w:r>
    </w:p>
    <w:p w:rsidR="00CF13B7"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CF13B7" w:rsidRPr="0063487A">
        <w:rPr>
          <w:rFonts w:asciiTheme="minorHAnsi" w:hAnsiTheme="minorHAnsi" w:cs="Arial"/>
          <w:sz w:val="18"/>
          <w:szCs w:val="18"/>
        </w:rPr>
        <w:t>9</w:t>
      </w:r>
      <w:r w:rsidRPr="0063487A">
        <w:rPr>
          <w:rFonts w:asciiTheme="minorHAnsi" w:hAnsiTheme="minorHAnsi" w:cs="Arial"/>
          <w:sz w:val="18"/>
          <w:szCs w:val="18"/>
        </w:rPr>
        <w:t>]</w:t>
      </w:r>
      <w:r w:rsidR="00CF13B7" w:rsidRPr="0063487A">
        <w:rPr>
          <w:rFonts w:asciiTheme="minorHAnsi" w:hAnsiTheme="minorHAnsi" w:cs="Arial"/>
          <w:sz w:val="18"/>
          <w:szCs w:val="18"/>
        </w:rPr>
        <w:t xml:space="preserve"> </w:t>
      </w:r>
      <w:proofErr w:type="spellStart"/>
      <w:r w:rsidR="00CF13B7" w:rsidRPr="0063487A">
        <w:rPr>
          <w:rFonts w:asciiTheme="minorHAnsi" w:hAnsiTheme="minorHAnsi" w:cs="Arial"/>
          <w:sz w:val="18"/>
          <w:szCs w:val="18"/>
        </w:rPr>
        <w:t>Kollef</w:t>
      </w:r>
      <w:proofErr w:type="spellEnd"/>
      <w:r w:rsidR="00CF13B7" w:rsidRPr="0063487A">
        <w:rPr>
          <w:rFonts w:asciiTheme="minorHAnsi" w:hAnsiTheme="minorHAnsi" w:cs="Arial"/>
          <w:sz w:val="18"/>
          <w:szCs w:val="18"/>
        </w:rPr>
        <w:t xml:space="preserve"> MH, Sherman G, Ward S, Fraser VJ. Inadequate antimicrobial treatment of infections: a risk factor for hospital mortality among critically ill patients. Chest </w:t>
      </w:r>
      <w:r w:rsidR="00CF13B7" w:rsidRPr="0063487A">
        <w:rPr>
          <w:rFonts w:asciiTheme="minorHAnsi" w:hAnsiTheme="minorHAnsi" w:cs="Arial"/>
          <w:b/>
          <w:sz w:val="18"/>
          <w:szCs w:val="18"/>
        </w:rPr>
        <w:t>1999</w:t>
      </w:r>
      <w:r w:rsidR="00CF13B7" w:rsidRPr="0063487A">
        <w:rPr>
          <w:rFonts w:asciiTheme="minorHAnsi" w:hAnsiTheme="minorHAnsi" w:cs="Arial"/>
          <w:sz w:val="18"/>
          <w:szCs w:val="18"/>
        </w:rPr>
        <w:t>;</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115:</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 xml:space="preserve">462-474. </w:t>
      </w:r>
    </w:p>
    <w:p w:rsidR="00CF13B7"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CF13B7" w:rsidRPr="0063487A">
        <w:rPr>
          <w:rFonts w:asciiTheme="minorHAnsi" w:hAnsiTheme="minorHAnsi" w:cs="Arial"/>
          <w:sz w:val="18"/>
          <w:szCs w:val="18"/>
        </w:rPr>
        <w:t>10</w:t>
      </w:r>
      <w:r w:rsidRPr="0063487A">
        <w:rPr>
          <w:rFonts w:asciiTheme="minorHAnsi" w:hAnsiTheme="minorHAnsi" w:cs="Arial"/>
          <w:sz w:val="18"/>
          <w:szCs w:val="18"/>
        </w:rPr>
        <w:t>]</w:t>
      </w:r>
      <w:r w:rsidR="00CF13B7" w:rsidRPr="0063487A">
        <w:rPr>
          <w:rFonts w:asciiTheme="minorHAnsi" w:hAnsiTheme="minorHAnsi" w:cs="Arial"/>
          <w:sz w:val="18"/>
          <w:szCs w:val="18"/>
        </w:rPr>
        <w:t xml:space="preserve"> Neill AM, Martin IR, Weir R et al. Community-acquired pneumonia: aetiology and usefulness of severity criteria on admission. Thorax </w:t>
      </w:r>
      <w:r w:rsidR="00CF13B7" w:rsidRPr="0063487A">
        <w:rPr>
          <w:rFonts w:asciiTheme="minorHAnsi" w:hAnsiTheme="minorHAnsi" w:cs="Arial"/>
          <w:b/>
          <w:sz w:val="18"/>
          <w:szCs w:val="18"/>
        </w:rPr>
        <w:t>1996</w:t>
      </w:r>
      <w:r w:rsidR="00CF13B7" w:rsidRPr="0063487A">
        <w:rPr>
          <w:rFonts w:asciiTheme="minorHAnsi" w:hAnsiTheme="minorHAnsi" w:cs="Arial"/>
          <w:sz w:val="18"/>
          <w:szCs w:val="18"/>
        </w:rPr>
        <w:t>;</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51:</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1010-1016.</w:t>
      </w:r>
    </w:p>
    <w:p w:rsidR="00CF13B7"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CF13B7" w:rsidRPr="0063487A">
        <w:rPr>
          <w:rFonts w:asciiTheme="minorHAnsi" w:hAnsiTheme="minorHAnsi" w:cs="Arial"/>
          <w:sz w:val="18"/>
          <w:szCs w:val="18"/>
        </w:rPr>
        <w:t>11</w:t>
      </w:r>
      <w:r w:rsidRPr="0063487A">
        <w:rPr>
          <w:rFonts w:asciiTheme="minorHAnsi" w:hAnsiTheme="minorHAnsi" w:cs="Arial"/>
          <w:sz w:val="18"/>
          <w:szCs w:val="18"/>
        </w:rPr>
        <w:t>]</w:t>
      </w:r>
      <w:r w:rsidR="00CF13B7" w:rsidRPr="0063487A">
        <w:rPr>
          <w:rFonts w:asciiTheme="minorHAnsi" w:hAnsiTheme="minorHAnsi" w:cs="Arial"/>
          <w:sz w:val="18"/>
          <w:szCs w:val="18"/>
        </w:rPr>
        <w:t xml:space="preserve"> Johnstone J, Majumdar SR, </w:t>
      </w:r>
      <w:proofErr w:type="spellStart"/>
      <w:r w:rsidR="00CF13B7" w:rsidRPr="0063487A">
        <w:rPr>
          <w:rFonts w:asciiTheme="minorHAnsi" w:hAnsiTheme="minorHAnsi" w:cs="Arial"/>
          <w:sz w:val="18"/>
          <w:szCs w:val="18"/>
        </w:rPr>
        <w:t>Marrie</w:t>
      </w:r>
      <w:proofErr w:type="spellEnd"/>
      <w:r w:rsidR="00CF13B7" w:rsidRPr="0063487A">
        <w:rPr>
          <w:rFonts w:asciiTheme="minorHAnsi" w:hAnsiTheme="minorHAnsi" w:cs="Arial"/>
          <w:sz w:val="18"/>
          <w:szCs w:val="18"/>
        </w:rPr>
        <w:t xml:space="preserve"> TJ. The value of prognostic indices for pneumonia. </w:t>
      </w:r>
      <w:proofErr w:type="spellStart"/>
      <w:r w:rsidR="00CF13B7" w:rsidRPr="0063487A">
        <w:rPr>
          <w:rFonts w:asciiTheme="minorHAnsi" w:hAnsiTheme="minorHAnsi" w:cs="Arial"/>
          <w:sz w:val="18"/>
          <w:szCs w:val="18"/>
        </w:rPr>
        <w:t>Curr</w:t>
      </w:r>
      <w:proofErr w:type="spellEnd"/>
      <w:r w:rsidR="00CF13B7" w:rsidRPr="0063487A">
        <w:rPr>
          <w:rFonts w:asciiTheme="minorHAnsi" w:hAnsiTheme="minorHAnsi" w:cs="Arial"/>
          <w:sz w:val="18"/>
          <w:szCs w:val="18"/>
        </w:rPr>
        <w:t xml:space="preserve"> Infect Dis Rep </w:t>
      </w:r>
      <w:r w:rsidR="00CF13B7" w:rsidRPr="0063487A">
        <w:rPr>
          <w:rFonts w:asciiTheme="minorHAnsi" w:hAnsiTheme="minorHAnsi" w:cs="Arial"/>
          <w:b/>
          <w:sz w:val="18"/>
          <w:szCs w:val="18"/>
        </w:rPr>
        <w:t>2008</w:t>
      </w:r>
      <w:r w:rsidR="00CF13B7" w:rsidRPr="0063487A">
        <w:rPr>
          <w:rFonts w:asciiTheme="minorHAnsi" w:hAnsiTheme="minorHAnsi" w:cs="Arial"/>
          <w:sz w:val="18"/>
          <w:szCs w:val="18"/>
        </w:rPr>
        <w:t xml:space="preserve"> May;</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10(3):</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215-222.</w:t>
      </w:r>
    </w:p>
    <w:p w:rsidR="00CF13B7"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CF13B7" w:rsidRPr="0063487A">
        <w:rPr>
          <w:rFonts w:asciiTheme="minorHAnsi" w:hAnsiTheme="minorHAnsi" w:cs="Arial"/>
          <w:sz w:val="18"/>
          <w:szCs w:val="18"/>
        </w:rPr>
        <w:t>12</w:t>
      </w:r>
      <w:r w:rsidRPr="0063487A">
        <w:rPr>
          <w:rFonts w:asciiTheme="minorHAnsi" w:hAnsiTheme="minorHAnsi" w:cs="Arial"/>
          <w:sz w:val="18"/>
          <w:szCs w:val="18"/>
        </w:rPr>
        <w:t>]</w:t>
      </w:r>
      <w:r w:rsidR="00CF13B7" w:rsidRPr="0063487A">
        <w:rPr>
          <w:rFonts w:asciiTheme="minorHAnsi" w:hAnsiTheme="minorHAnsi" w:cs="Arial"/>
          <w:sz w:val="18"/>
          <w:szCs w:val="18"/>
        </w:rPr>
        <w:t xml:space="preserve"> Fine MJ, Hough LJ, </w:t>
      </w:r>
      <w:proofErr w:type="spellStart"/>
      <w:r w:rsidR="00CF13B7" w:rsidRPr="0063487A">
        <w:rPr>
          <w:rFonts w:asciiTheme="minorHAnsi" w:hAnsiTheme="minorHAnsi" w:cs="Arial"/>
          <w:sz w:val="18"/>
          <w:szCs w:val="18"/>
        </w:rPr>
        <w:t>Medsger</w:t>
      </w:r>
      <w:proofErr w:type="spellEnd"/>
      <w:r w:rsidR="00CF13B7" w:rsidRPr="0063487A">
        <w:rPr>
          <w:rFonts w:asciiTheme="minorHAnsi" w:hAnsiTheme="minorHAnsi" w:cs="Arial"/>
          <w:sz w:val="18"/>
          <w:szCs w:val="18"/>
        </w:rPr>
        <w:t xml:space="preserve"> AR et al. The hospital admission decision for patients with community-acquired pneumonia: results from the pneumonia Patient Outcomes Research Team cohort study. Arch Intern Med </w:t>
      </w:r>
      <w:r w:rsidR="00CF13B7" w:rsidRPr="0063487A">
        <w:rPr>
          <w:rFonts w:asciiTheme="minorHAnsi" w:hAnsiTheme="minorHAnsi" w:cs="Arial"/>
          <w:b/>
          <w:sz w:val="18"/>
          <w:szCs w:val="18"/>
        </w:rPr>
        <w:t>1997</w:t>
      </w:r>
      <w:r w:rsidR="00CF13B7" w:rsidRPr="0063487A">
        <w:rPr>
          <w:rFonts w:asciiTheme="minorHAnsi" w:hAnsiTheme="minorHAnsi" w:cs="Arial"/>
          <w:sz w:val="18"/>
          <w:szCs w:val="18"/>
        </w:rPr>
        <w:t>;</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157:</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36-44.</w:t>
      </w:r>
    </w:p>
    <w:p w:rsidR="00CF13B7"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CF13B7" w:rsidRPr="0063487A">
        <w:rPr>
          <w:rFonts w:asciiTheme="minorHAnsi" w:hAnsiTheme="minorHAnsi" w:cs="Arial"/>
          <w:sz w:val="18"/>
          <w:szCs w:val="18"/>
        </w:rPr>
        <w:t>13</w:t>
      </w:r>
      <w:r w:rsidRPr="0063487A">
        <w:rPr>
          <w:rFonts w:asciiTheme="minorHAnsi" w:hAnsiTheme="minorHAnsi" w:cs="Arial"/>
          <w:sz w:val="18"/>
          <w:szCs w:val="18"/>
        </w:rPr>
        <w:t>]</w:t>
      </w:r>
      <w:r w:rsidR="00CF13B7" w:rsidRPr="0063487A">
        <w:rPr>
          <w:rFonts w:asciiTheme="minorHAnsi" w:hAnsiTheme="minorHAnsi" w:cs="Arial"/>
          <w:sz w:val="18"/>
          <w:szCs w:val="18"/>
        </w:rPr>
        <w:t xml:space="preserve"> Loke YK, Kwok CS, </w:t>
      </w:r>
      <w:proofErr w:type="spellStart"/>
      <w:r w:rsidR="00CF13B7" w:rsidRPr="0063487A">
        <w:rPr>
          <w:rFonts w:asciiTheme="minorHAnsi" w:hAnsiTheme="minorHAnsi" w:cs="Arial"/>
          <w:sz w:val="18"/>
          <w:szCs w:val="18"/>
        </w:rPr>
        <w:t>Niruban</w:t>
      </w:r>
      <w:proofErr w:type="spellEnd"/>
      <w:r w:rsidR="00CF13B7" w:rsidRPr="0063487A">
        <w:rPr>
          <w:rFonts w:asciiTheme="minorHAnsi" w:hAnsiTheme="minorHAnsi" w:cs="Arial"/>
          <w:sz w:val="18"/>
          <w:szCs w:val="18"/>
        </w:rPr>
        <w:t xml:space="preserve"> A, </w:t>
      </w:r>
      <w:proofErr w:type="spellStart"/>
      <w:r w:rsidR="00CF13B7" w:rsidRPr="0063487A">
        <w:rPr>
          <w:rFonts w:asciiTheme="minorHAnsi" w:hAnsiTheme="minorHAnsi" w:cs="Arial"/>
          <w:sz w:val="18"/>
          <w:szCs w:val="18"/>
        </w:rPr>
        <w:t>Myint</w:t>
      </w:r>
      <w:proofErr w:type="spellEnd"/>
      <w:r w:rsidR="00CF13B7" w:rsidRPr="0063487A">
        <w:rPr>
          <w:rFonts w:asciiTheme="minorHAnsi" w:hAnsiTheme="minorHAnsi" w:cs="Arial"/>
          <w:sz w:val="18"/>
          <w:szCs w:val="18"/>
        </w:rPr>
        <w:t xml:space="preserve"> PK. Value of severity scales in predicting mortality from community-acquired pneumonia: systematic review and meta-analysis. Thorax </w:t>
      </w:r>
      <w:r w:rsidR="00CF13B7" w:rsidRPr="0063487A">
        <w:rPr>
          <w:rFonts w:asciiTheme="minorHAnsi" w:hAnsiTheme="minorHAnsi" w:cs="Arial"/>
          <w:b/>
          <w:sz w:val="18"/>
          <w:szCs w:val="18"/>
        </w:rPr>
        <w:t>2010</w:t>
      </w:r>
      <w:r w:rsidR="00CF13B7" w:rsidRPr="0063487A">
        <w:rPr>
          <w:rFonts w:asciiTheme="minorHAnsi" w:hAnsiTheme="minorHAnsi" w:cs="Arial"/>
          <w:sz w:val="18"/>
          <w:szCs w:val="18"/>
        </w:rPr>
        <w:t>;</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65:</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884-890.</w:t>
      </w:r>
    </w:p>
    <w:p w:rsidR="00CF13B7"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CF13B7" w:rsidRPr="0063487A">
        <w:rPr>
          <w:rFonts w:asciiTheme="minorHAnsi" w:hAnsiTheme="minorHAnsi" w:cs="Arial"/>
          <w:sz w:val="18"/>
          <w:szCs w:val="18"/>
        </w:rPr>
        <w:t>14</w:t>
      </w:r>
      <w:r w:rsidRPr="0063487A">
        <w:rPr>
          <w:rFonts w:asciiTheme="minorHAnsi" w:hAnsiTheme="minorHAnsi" w:cs="Arial"/>
          <w:sz w:val="18"/>
          <w:szCs w:val="18"/>
        </w:rPr>
        <w:t>]</w:t>
      </w:r>
      <w:r w:rsidR="00CF13B7" w:rsidRPr="0063487A">
        <w:rPr>
          <w:rFonts w:asciiTheme="minorHAnsi" w:hAnsiTheme="minorHAnsi" w:cs="Arial"/>
          <w:sz w:val="18"/>
          <w:szCs w:val="18"/>
        </w:rPr>
        <w:t xml:space="preserve"> </w:t>
      </w:r>
      <w:proofErr w:type="spellStart"/>
      <w:r w:rsidR="00CF13B7" w:rsidRPr="0063487A">
        <w:rPr>
          <w:rFonts w:asciiTheme="minorHAnsi" w:hAnsiTheme="minorHAnsi" w:cs="Arial"/>
          <w:sz w:val="18"/>
          <w:szCs w:val="18"/>
        </w:rPr>
        <w:t>Phua</w:t>
      </w:r>
      <w:proofErr w:type="spellEnd"/>
      <w:r w:rsidR="00CF13B7" w:rsidRPr="0063487A">
        <w:rPr>
          <w:rFonts w:asciiTheme="minorHAnsi" w:hAnsiTheme="minorHAnsi" w:cs="Arial"/>
          <w:sz w:val="18"/>
          <w:szCs w:val="18"/>
        </w:rPr>
        <w:t xml:space="preserve"> J, See KC, Chan YH et al. Validation and clinical implications of the IDSA/ATS minor criteria for severe community-acquired pneumonia. Thorax </w:t>
      </w:r>
      <w:r w:rsidR="00CF13B7" w:rsidRPr="0063487A">
        <w:rPr>
          <w:rFonts w:asciiTheme="minorHAnsi" w:hAnsiTheme="minorHAnsi" w:cs="Arial"/>
          <w:b/>
          <w:sz w:val="18"/>
          <w:szCs w:val="18"/>
        </w:rPr>
        <w:t>2009</w:t>
      </w:r>
      <w:r w:rsidR="00CF13B7" w:rsidRPr="0063487A">
        <w:rPr>
          <w:rFonts w:asciiTheme="minorHAnsi" w:hAnsiTheme="minorHAnsi" w:cs="Arial"/>
          <w:sz w:val="18"/>
          <w:szCs w:val="18"/>
        </w:rPr>
        <w:t>;</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64:</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598-603.</w:t>
      </w:r>
    </w:p>
    <w:p w:rsidR="00CF13B7" w:rsidRPr="007A5158" w:rsidRDefault="007A64CA" w:rsidP="00443E7E">
      <w:pPr>
        <w:spacing w:line="480" w:lineRule="auto"/>
        <w:contextualSpacing/>
        <w:rPr>
          <w:rFonts w:asciiTheme="minorHAnsi" w:hAnsiTheme="minorHAnsi" w:cs="Arial"/>
          <w:sz w:val="18"/>
          <w:szCs w:val="18"/>
          <w:lang w:val="en-US"/>
        </w:rPr>
      </w:pPr>
      <w:r w:rsidRPr="0063487A">
        <w:rPr>
          <w:rFonts w:asciiTheme="minorHAnsi" w:hAnsiTheme="minorHAnsi" w:cs="Arial"/>
          <w:sz w:val="18"/>
          <w:szCs w:val="18"/>
        </w:rPr>
        <w:lastRenderedPageBreak/>
        <w:t>[</w:t>
      </w:r>
      <w:r w:rsidR="00CF13B7" w:rsidRPr="0063487A">
        <w:rPr>
          <w:rFonts w:asciiTheme="minorHAnsi" w:hAnsiTheme="minorHAnsi" w:cs="Arial"/>
          <w:sz w:val="18"/>
          <w:szCs w:val="18"/>
        </w:rPr>
        <w:t>15</w:t>
      </w:r>
      <w:r w:rsidRPr="0063487A">
        <w:rPr>
          <w:rFonts w:asciiTheme="minorHAnsi" w:hAnsiTheme="minorHAnsi" w:cs="Arial"/>
          <w:sz w:val="18"/>
          <w:szCs w:val="18"/>
        </w:rPr>
        <w:t>]</w:t>
      </w:r>
      <w:r w:rsidR="00CF13B7" w:rsidRPr="0063487A">
        <w:rPr>
          <w:rFonts w:asciiTheme="minorHAnsi" w:hAnsiTheme="minorHAnsi" w:cs="Arial"/>
          <w:sz w:val="18"/>
          <w:szCs w:val="18"/>
        </w:rPr>
        <w:t xml:space="preserve"> Research Committee of the British Thoracic Society and the Public Health Laboratory Service. Community acquired pneumonia in adults in British hospitals in 1982-83: a survey of aetiology, mortality, prognostic factors and outcome. </w:t>
      </w:r>
      <w:r w:rsidR="00CF13B7" w:rsidRPr="007A5158">
        <w:rPr>
          <w:rFonts w:asciiTheme="minorHAnsi" w:hAnsiTheme="minorHAnsi" w:cs="Arial"/>
          <w:sz w:val="18"/>
          <w:szCs w:val="18"/>
          <w:lang w:val="en-US"/>
        </w:rPr>
        <w:t xml:space="preserve">Q J Med </w:t>
      </w:r>
      <w:r w:rsidR="00CF13B7" w:rsidRPr="007A5158">
        <w:rPr>
          <w:rFonts w:asciiTheme="minorHAnsi" w:hAnsiTheme="minorHAnsi" w:cs="Arial"/>
          <w:b/>
          <w:sz w:val="18"/>
          <w:szCs w:val="18"/>
          <w:lang w:val="en-US"/>
        </w:rPr>
        <w:t>1987</w:t>
      </w:r>
      <w:r w:rsidR="00CF13B7" w:rsidRPr="007A5158">
        <w:rPr>
          <w:rFonts w:asciiTheme="minorHAnsi" w:hAnsiTheme="minorHAnsi" w:cs="Arial"/>
          <w:sz w:val="18"/>
          <w:szCs w:val="18"/>
          <w:lang w:val="en-US"/>
        </w:rPr>
        <w:t>;</w:t>
      </w:r>
      <w:r w:rsidR="00671116" w:rsidRPr="007A5158">
        <w:rPr>
          <w:rFonts w:asciiTheme="minorHAnsi" w:hAnsiTheme="minorHAnsi" w:cs="Arial"/>
          <w:sz w:val="18"/>
          <w:szCs w:val="18"/>
          <w:lang w:val="en-US"/>
        </w:rPr>
        <w:t xml:space="preserve"> </w:t>
      </w:r>
      <w:r w:rsidR="00CF13B7" w:rsidRPr="007A5158">
        <w:rPr>
          <w:rFonts w:asciiTheme="minorHAnsi" w:hAnsiTheme="minorHAnsi" w:cs="Arial"/>
          <w:sz w:val="18"/>
          <w:szCs w:val="18"/>
          <w:lang w:val="en-US"/>
        </w:rPr>
        <w:t>62:</w:t>
      </w:r>
      <w:r w:rsidR="00671116" w:rsidRPr="007A5158">
        <w:rPr>
          <w:rFonts w:asciiTheme="minorHAnsi" w:hAnsiTheme="minorHAnsi" w:cs="Arial"/>
          <w:sz w:val="18"/>
          <w:szCs w:val="18"/>
          <w:lang w:val="en-US"/>
        </w:rPr>
        <w:t xml:space="preserve"> </w:t>
      </w:r>
      <w:r w:rsidR="00CF13B7" w:rsidRPr="007A5158">
        <w:rPr>
          <w:rFonts w:asciiTheme="minorHAnsi" w:hAnsiTheme="minorHAnsi" w:cs="Arial"/>
          <w:sz w:val="18"/>
          <w:szCs w:val="18"/>
          <w:lang w:val="en-US"/>
        </w:rPr>
        <w:t>195-220.</w:t>
      </w:r>
    </w:p>
    <w:p w:rsidR="00CF13B7" w:rsidRPr="0063487A" w:rsidRDefault="007A64CA" w:rsidP="00443E7E">
      <w:pPr>
        <w:spacing w:line="480" w:lineRule="auto"/>
        <w:contextualSpacing/>
        <w:rPr>
          <w:rFonts w:asciiTheme="minorHAnsi" w:hAnsiTheme="minorHAnsi" w:cs="Arial"/>
          <w:sz w:val="18"/>
          <w:szCs w:val="18"/>
        </w:rPr>
      </w:pPr>
      <w:r w:rsidRPr="007A5158">
        <w:rPr>
          <w:rFonts w:asciiTheme="minorHAnsi" w:hAnsiTheme="minorHAnsi" w:cs="Arial"/>
          <w:sz w:val="18"/>
          <w:szCs w:val="18"/>
          <w:lang w:val="en-US"/>
        </w:rPr>
        <w:t>[</w:t>
      </w:r>
      <w:r w:rsidR="00CF13B7" w:rsidRPr="007A5158">
        <w:rPr>
          <w:rFonts w:asciiTheme="minorHAnsi" w:hAnsiTheme="minorHAnsi" w:cs="Arial"/>
          <w:sz w:val="18"/>
          <w:szCs w:val="18"/>
          <w:lang w:val="en-US"/>
        </w:rPr>
        <w:t>16</w:t>
      </w:r>
      <w:r w:rsidRPr="007A5158">
        <w:rPr>
          <w:rFonts w:asciiTheme="minorHAnsi" w:hAnsiTheme="minorHAnsi" w:cs="Arial"/>
          <w:sz w:val="18"/>
          <w:szCs w:val="18"/>
          <w:lang w:val="en-US"/>
        </w:rPr>
        <w:t>]</w:t>
      </w:r>
      <w:r w:rsidR="00CF13B7" w:rsidRPr="007A5158">
        <w:rPr>
          <w:rFonts w:asciiTheme="minorHAnsi" w:hAnsiTheme="minorHAnsi" w:cs="Arial"/>
          <w:sz w:val="18"/>
          <w:szCs w:val="18"/>
          <w:lang w:val="en-US"/>
        </w:rPr>
        <w:t xml:space="preserve"> Lim WS, van der Eerden MM, Laing R et al. </w:t>
      </w:r>
      <w:r w:rsidR="00CF13B7" w:rsidRPr="0063487A">
        <w:rPr>
          <w:rFonts w:asciiTheme="minorHAnsi" w:hAnsiTheme="minorHAnsi" w:cs="Arial"/>
          <w:sz w:val="18"/>
          <w:szCs w:val="18"/>
        </w:rPr>
        <w:t xml:space="preserve">Defining community acquired pneumonia severity on presentation to hospital: an international deviation and validation study. Thorax </w:t>
      </w:r>
      <w:r w:rsidR="00CF13B7" w:rsidRPr="0063487A">
        <w:rPr>
          <w:rFonts w:asciiTheme="minorHAnsi" w:hAnsiTheme="minorHAnsi" w:cs="Arial"/>
          <w:b/>
          <w:sz w:val="18"/>
          <w:szCs w:val="18"/>
        </w:rPr>
        <w:t>2003</w:t>
      </w:r>
      <w:r w:rsidR="00CF13B7" w:rsidRPr="0063487A">
        <w:rPr>
          <w:rFonts w:asciiTheme="minorHAnsi" w:hAnsiTheme="minorHAnsi" w:cs="Arial"/>
          <w:sz w:val="18"/>
          <w:szCs w:val="18"/>
        </w:rPr>
        <w:t>;</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58:</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377-382.</w:t>
      </w:r>
    </w:p>
    <w:p w:rsidR="00CF13B7"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CF13B7" w:rsidRPr="0063487A">
        <w:rPr>
          <w:rFonts w:asciiTheme="minorHAnsi" w:hAnsiTheme="minorHAnsi" w:cs="Arial"/>
          <w:sz w:val="18"/>
          <w:szCs w:val="18"/>
        </w:rPr>
        <w:t>17</w:t>
      </w:r>
      <w:r w:rsidRPr="0063487A">
        <w:rPr>
          <w:rFonts w:asciiTheme="minorHAnsi" w:hAnsiTheme="minorHAnsi" w:cs="Arial"/>
          <w:sz w:val="18"/>
          <w:szCs w:val="18"/>
        </w:rPr>
        <w:t>]</w:t>
      </w:r>
      <w:r w:rsidR="00CF13B7" w:rsidRPr="0063487A">
        <w:rPr>
          <w:rFonts w:asciiTheme="minorHAnsi" w:hAnsiTheme="minorHAnsi" w:cs="Arial"/>
          <w:sz w:val="18"/>
          <w:szCs w:val="18"/>
        </w:rPr>
        <w:t xml:space="preserve"> </w:t>
      </w:r>
      <w:proofErr w:type="spellStart"/>
      <w:r w:rsidR="00CF13B7" w:rsidRPr="0063487A">
        <w:rPr>
          <w:rFonts w:asciiTheme="minorHAnsi" w:hAnsiTheme="minorHAnsi" w:cs="Arial"/>
          <w:sz w:val="18"/>
          <w:szCs w:val="18"/>
        </w:rPr>
        <w:t>Marras</w:t>
      </w:r>
      <w:proofErr w:type="spellEnd"/>
      <w:r w:rsidR="00CF13B7" w:rsidRPr="0063487A">
        <w:rPr>
          <w:rFonts w:asciiTheme="minorHAnsi" w:hAnsiTheme="minorHAnsi" w:cs="Arial"/>
          <w:sz w:val="18"/>
          <w:szCs w:val="18"/>
        </w:rPr>
        <w:t xml:space="preserve"> TK, Gutierrez C, Chan CK. Applying a prediction rule to identify low-risk patients with community-acquired pneumonia. Chest </w:t>
      </w:r>
      <w:r w:rsidR="00CF13B7" w:rsidRPr="0063487A">
        <w:rPr>
          <w:rFonts w:asciiTheme="minorHAnsi" w:hAnsiTheme="minorHAnsi" w:cs="Arial"/>
          <w:b/>
          <w:sz w:val="18"/>
          <w:szCs w:val="18"/>
        </w:rPr>
        <w:t>2000</w:t>
      </w:r>
      <w:r w:rsidR="00CF13B7" w:rsidRPr="0063487A">
        <w:rPr>
          <w:rFonts w:asciiTheme="minorHAnsi" w:hAnsiTheme="minorHAnsi" w:cs="Arial"/>
          <w:sz w:val="18"/>
          <w:szCs w:val="18"/>
        </w:rPr>
        <w:t xml:space="preserve"> Nov;</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118(5):</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1339-1343.</w:t>
      </w:r>
    </w:p>
    <w:p w:rsidR="00CF13B7"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CF13B7" w:rsidRPr="0063487A">
        <w:rPr>
          <w:rFonts w:asciiTheme="minorHAnsi" w:hAnsiTheme="minorHAnsi" w:cs="Arial"/>
          <w:sz w:val="18"/>
          <w:szCs w:val="18"/>
        </w:rPr>
        <w:t>18</w:t>
      </w:r>
      <w:r w:rsidRPr="0063487A">
        <w:rPr>
          <w:rFonts w:asciiTheme="minorHAnsi" w:hAnsiTheme="minorHAnsi" w:cs="Arial"/>
          <w:sz w:val="18"/>
          <w:szCs w:val="18"/>
        </w:rPr>
        <w:t>]</w:t>
      </w:r>
      <w:r w:rsidR="00CF13B7" w:rsidRPr="0063487A">
        <w:rPr>
          <w:rFonts w:asciiTheme="minorHAnsi" w:hAnsiTheme="minorHAnsi" w:cs="Arial"/>
          <w:sz w:val="18"/>
          <w:szCs w:val="18"/>
        </w:rPr>
        <w:t xml:space="preserve"> </w:t>
      </w:r>
      <w:proofErr w:type="spellStart"/>
      <w:r w:rsidR="00CF13B7" w:rsidRPr="0063487A">
        <w:rPr>
          <w:rFonts w:asciiTheme="minorHAnsi" w:hAnsiTheme="minorHAnsi" w:cs="Arial"/>
          <w:sz w:val="18"/>
          <w:szCs w:val="18"/>
        </w:rPr>
        <w:t>Zuberi</w:t>
      </w:r>
      <w:proofErr w:type="spellEnd"/>
      <w:r w:rsidR="00CF13B7" w:rsidRPr="0063487A">
        <w:rPr>
          <w:rFonts w:asciiTheme="minorHAnsi" w:hAnsiTheme="minorHAnsi" w:cs="Arial"/>
          <w:sz w:val="18"/>
          <w:szCs w:val="18"/>
        </w:rPr>
        <w:t xml:space="preserve"> FF, Khan JA. Prospective comparison of prediction rules of mortality risk for CAP in a developing country. Int J </w:t>
      </w:r>
      <w:proofErr w:type="spellStart"/>
      <w:r w:rsidR="00CF13B7" w:rsidRPr="0063487A">
        <w:rPr>
          <w:rFonts w:asciiTheme="minorHAnsi" w:hAnsiTheme="minorHAnsi" w:cs="Arial"/>
          <w:sz w:val="18"/>
          <w:szCs w:val="18"/>
        </w:rPr>
        <w:t>Tuberc</w:t>
      </w:r>
      <w:proofErr w:type="spellEnd"/>
      <w:r w:rsidR="00CF13B7" w:rsidRPr="0063487A">
        <w:rPr>
          <w:rFonts w:asciiTheme="minorHAnsi" w:hAnsiTheme="minorHAnsi" w:cs="Arial"/>
          <w:sz w:val="18"/>
          <w:szCs w:val="18"/>
        </w:rPr>
        <w:t xml:space="preserve"> Lung Dis </w:t>
      </w:r>
      <w:r w:rsidR="00CF13B7" w:rsidRPr="0063487A">
        <w:rPr>
          <w:rFonts w:asciiTheme="minorHAnsi" w:hAnsiTheme="minorHAnsi" w:cs="Arial"/>
          <w:b/>
          <w:sz w:val="18"/>
          <w:szCs w:val="18"/>
        </w:rPr>
        <w:t>2008</w:t>
      </w:r>
      <w:r w:rsidR="00CF13B7" w:rsidRPr="0063487A">
        <w:rPr>
          <w:rFonts w:asciiTheme="minorHAnsi" w:hAnsiTheme="minorHAnsi" w:cs="Arial"/>
          <w:sz w:val="18"/>
          <w:szCs w:val="18"/>
        </w:rPr>
        <w:t>;</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12(4):</w:t>
      </w:r>
      <w:r w:rsidR="00671116" w:rsidRPr="0063487A">
        <w:rPr>
          <w:rFonts w:asciiTheme="minorHAnsi" w:hAnsiTheme="minorHAnsi" w:cs="Arial"/>
          <w:sz w:val="18"/>
          <w:szCs w:val="18"/>
        </w:rPr>
        <w:t xml:space="preserve"> </w:t>
      </w:r>
      <w:r w:rsidR="00CF13B7" w:rsidRPr="0063487A">
        <w:rPr>
          <w:rFonts w:asciiTheme="minorHAnsi" w:hAnsiTheme="minorHAnsi" w:cs="Arial"/>
          <w:sz w:val="18"/>
          <w:szCs w:val="18"/>
        </w:rPr>
        <w:t>447-452.</w:t>
      </w:r>
    </w:p>
    <w:p w:rsidR="00885A11"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885A11" w:rsidRPr="0063487A">
        <w:rPr>
          <w:rFonts w:asciiTheme="minorHAnsi" w:hAnsiTheme="minorHAnsi" w:cs="Arial"/>
          <w:sz w:val="18"/>
          <w:szCs w:val="18"/>
        </w:rPr>
        <w:t>19</w:t>
      </w:r>
      <w:r w:rsidRPr="0063487A">
        <w:rPr>
          <w:rFonts w:asciiTheme="minorHAnsi" w:hAnsiTheme="minorHAnsi" w:cs="Arial"/>
          <w:sz w:val="18"/>
          <w:szCs w:val="18"/>
        </w:rPr>
        <w:t>]</w:t>
      </w:r>
      <w:r w:rsidR="00885A11" w:rsidRPr="0063487A">
        <w:rPr>
          <w:rFonts w:asciiTheme="minorHAnsi" w:hAnsiTheme="minorHAnsi" w:cs="Arial"/>
          <w:sz w:val="18"/>
          <w:szCs w:val="18"/>
        </w:rPr>
        <w:t xml:space="preserve"> Birkhamshaw E, Waitt CJ, Innes M, Waitt PI. Severity assessment of lower respiratory tract infection in Malawi: Derivation of a novel index (SWAT-Bp) which outperforms CRB-65. </w:t>
      </w:r>
      <w:proofErr w:type="spellStart"/>
      <w:r w:rsidR="00885A11" w:rsidRPr="0063487A">
        <w:rPr>
          <w:rFonts w:asciiTheme="minorHAnsi" w:hAnsiTheme="minorHAnsi" w:cs="Arial"/>
          <w:sz w:val="18"/>
          <w:szCs w:val="18"/>
        </w:rPr>
        <w:t>PLoS</w:t>
      </w:r>
      <w:proofErr w:type="spellEnd"/>
      <w:r w:rsidR="00885A11" w:rsidRPr="0063487A">
        <w:rPr>
          <w:rFonts w:asciiTheme="minorHAnsi" w:hAnsiTheme="minorHAnsi" w:cs="Arial"/>
          <w:sz w:val="18"/>
          <w:szCs w:val="18"/>
        </w:rPr>
        <w:t xml:space="preserve"> One </w:t>
      </w:r>
      <w:r w:rsidR="00885A11" w:rsidRPr="0063487A">
        <w:rPr>
          <w:rFonts w:asciiTheme="minorHAnsi" w:hAnsiTheme="minorHAnsi" w:cs="Arial"/>
          <w:b/>
          <w:sz w:val="18"/>
          <w:szCs w:val="18"/>
        </w:rPr>
        <w:t>2013</w:t>
      </w:r>
      <w:r w:rsidR="00885A11" w:rsidRPr="0063487A">
        <w:rPr>
          <w:rFonts w:asciiTheme="minorHAnsi" w:hAnsiTheme="minorHAnsi" w:cs="Arial"/>
          <w:sz w:val="18"/>
          <w:szCs w:val="18"/>
        </w:rPr>
        <w:t xml:space="preserve"> Dec 6:</w:t>
      </w:r>
      <w:r w:rsidR="00671116" w:rsidRPr="0063487A">
        <w:rPr>
          <w:rFonts w:asciiTheme="minorHAnsi" w:hAnsiTheme="minorHAnsi" w:cs="Arial"/>
          <w:sz w:val="18"/>
          <w:szCs w:val="18"/>
        </w:rPr>
        <w:t xml:space="preserve"> </w:t>
      </w:r>
      <w:r w:rsidR="00885A11" w:rsidRPr="0063487A">
        <w:rPr>
          <w:rFonts w:asciiTheme="minorHAnsi" w:hAnsiTheme="minorHAnsi" w:cs="Arial"/>
          <w:sz w:val="18"/>
          <w:szCs w:val="18"/>
        </w:rPr>
        <w:t>8(12):</w:t>
      </w:r>
      <w:r w:rsidR="00671116" w:rsidRPr="0063487A">
        <w:rPr>
          <w:rFonts w:asciiTheme="minorHAnsi" w:hAnsiTheme="minorHAnsi" w:cs="Arial"/>
          <w:sz w:val="18"/>
          <w:szCs w:val="18"/>
        </w:rPr>
        <w:t xml:space="preserve"> </w:t>
      </w:r>
      <w:r w:rsidR="00885A11" w:rsidRPr="0063487A">
        <w:rPr>
          <w:rFonts w:asciiTheme="minorHAnsi" w:hAnsiTheme="minorHAnsi" w:cs="Arial"/>
          <w:sz w:val="18"/>
          <w:szCs w:val="18"/>
        </w:rPr>
        <w:t>e82178.</w:t>
      </w:r>
    </w:p>
    <w:p w:rsidR="00885A11" w:rsidRPr="0063487A" w:rsidRDefault="007A64CA" w:rsidP="00443E7E">
      <w:pPr>
        <w:spacing w:line="480" w:lineRule="auto"/>
        <w:contextualSpacing/>
        <w:rPr>
          <w:rFonts w:asciiTheme="minorHAnsi" w:hAnsiTheme="minorHAnsi" w:cs="Arial"/>
          <w:sz w:val="18"/>
          <w:szCs w:val="18"/>
          <w:lang w:eastAsia="en-GB"/>
        </w:rPr>
      </w:pPr>
      <w:r w:rsidRPr="0063487A">
        <w:rPr>
          <w:rFonts w:asciiTheme="minorHAnsi" w:hAnsiTheme="minorHAnsi" w:cs="Arial"/>
          <w:sz w:val="18"/>
          <w:szCs w:val="18"/>
        </w:rPr>
        <w:t>[</w:t>
      </w:r>
      <w:r w:rsidR="00885A11" w:rsidRPr="0063487A">
        <w:rPr>
          <w:rFonts w:asciiTheme="minorHAnsi" w:hAnsiTheme="minorHAnsi" w:cs="Arial"/>
          <w:sz w:val="18"/>
          <w:szCs w:val="18"/>
        </w:rPr>
        <w:t>20</w:t>
      </w:r>
      <w:r w:rsidRPr="0063487A">
        <w:rPr>
          <w:rFonts w:asciiTheme="minorHAnsi" w:hAnsiTheme="minorHAnsi" w:cs="Arial"/>
          <w:sz w:val="18"/>
          <w:szCs w:val="18"/>
        </w:rPr>
        <w:t>]</w:t>
      </w:r>
      <w:r w:rsidR="00885A11" w:rsidRPr="0063487A">
        <w:rPr>
          <w:rFonts w:asciiTheme="minorHAnsi" w:hAnsiTheme="minorHAnsi" w:cs="Arial"/>
          <w:sz w:val="18"/>
          <w:szCs w:val="18"/>
        </w:rPr>
        <w:t xml:space="preserve"> </w:t>
      </w:r>
      <w:r w:rsidR="00885A11" w:rsidRPr="0063487A">
        <w:rPr>
          <w:rFonts w:asciiTheme="minorHAnsi" w:hAnsiTheme="minorHAnsi" w:cs="Arial"/>
          <w:sz w:val="18"/>
          <w:szCs w:val="18"/>
          <w:lang w:eastAsia="en-GB"/>
        </w:rPr>
        <w:t>Rylance J, Wait</w:t>
      </w:r>
      <w:r w:rsidR="001F76BD">
        <w:rPr>
          <w:rFonts w:asciiTheme="minorHAnsi" w:hAnsiTheme="minorHAnsi" w:cs="Arial"/>
          <w:sz w:val="18"/>
          <w:szCs w:val="18"/>
          <w:lang w:eastAsia="en-GB"/>
        </w:rPr>
        <w:t>t</w:t>
      </w:r>
      <w:r w:rsidR="00885A11" w:rsidRPr="0063487A">
        <w:rPr>
          <w:rFonts w:asciiTheme="minorHAnsi" w:hAnsiTheme="minorHAnsi" w:cs="Arial"/>
          <w:sz w:val="18"/>
          <w:szCs w:val="18"/>
          <w:lang w:eastAsia="en-GB"/>
        </w:rPr>
        <w:t xml:space="preserve"> P</w:t>
      </w:r>
      <w:r w:rsidR="001F76BD">
        <w:rPr>
          <w:rFonts w:asciiTheme="minorHAnsi" w:hAnsiTheme="minorHAnsi" w:cs="Arial"/>
          <w:sz w:val="18"/>
          <w:szCs w:val="18"/>
          <w:lang w:eastAsia="en-GB"/>
        </w:rPr>
        <w:t>I</w:t>
      </w:r>
      <w:r w:rsidR="00885A11" w:rsidRPr="0063487A">
        <w:rPr>
          <w:rFonts w:asciiTheme="minorHAnsi" w:hAnsiTheme="minorHAnsi" w:cs="Arial"/>
          <w:sz w:val="18"/>
          <w:szCs w:val="18"/>
          <w:lang w:eastAsia="en-GB"/>
        </w:rPr>
        <w:t>. Pneumonia severity scores in resource poor settings.</w:t>
      </w:r>
      <w:r w:rsidR="00885A11" w:rsidRPr="0063487A">
        <w:rPr>
          <w:rFonts w:asciiTheme="minorHAnsi" w:hAnsiTheme="minorHAnsi" w:cs="Arial"/>
          <w:b/>
          <w:bCs/>
          <w:sz w:val="18"/>
          <w:szCs w:val="18"/>
          <w:lang w:eastAsia="en-GB"/>
        </w:rPr>
        <w:t xml:space="preserve"> </w:t>
      </w:r>
      <w:r w:rsidR="00885A11" w:rsidRPr="0063487A">
        <w:rPr>
          <w:rFonts w:asciiTheme="minorHAnsi" w:hAnsiTheme="minorHAnsi" w:cs="Arial"/>
          <w:bCs/>
          <w:sz w:val="18"/>
          <w:szCs w:val="18"/>
          <w:lang w:eastAsia="en-GB"/>
        </w:rPr>
        <w:t>Pneumonia</w:t>
      </w:r>
      <w:r w:rsidR="00885A11" w:rsidRPr="0063487A">
        <w:rPr>
          <w:rFonts w:asciiTheme="minorHAnsi" w:hAnsiTheme="minorHAnsi" w:cs="Arial"/>
          <w:b/>
          <w:bCs/>
          <w:sz w:val="18"/>
          <w:szCs w:val="18"/>
          <w:lang w:eastAsia="en-GB"/>
        </w:rPr>
        <w:t xml:space="preserve"> </w:t>
      </w:r>
      <w:r w:rsidR="00885A11" w:rsidRPr="0063487A">
        <w:rPr>
          <w:rFonts w:asciiTheme="minorHAnsi" w:hAnsiTheme="minorHAnsi" w:cs="Arial"/>
          <w:b/>
          <w:sz w:val="18"/>
          <w:szCs w:val="18"/>
          <w:lang w:eastAsia="en-GB"/>
        </w:rPr>
        <w:t>2014</w:t>
      </w:r>
      <w:r w:rsidR="00885A11" w:rsidRPr="0063487A">
        <w:rPr>
          <w:rFonts w:asciiTheme="minorHAnsi" w:hAnsiTheme="minorHAnsi" w:cs="Arial"/>
          <w:sz w:val="18"/>
          <w:szCs w:val="18"/>
          <w:lang w:eastAsia="en-GB"/>
        </w:rPr>
        <w:t>;</w:t>
      </w:r>
      <w:r w:rsidR="00671116" w:rsidRPr="0063487A">
        <w:rPr>
          <w:rFonts w:asciiTheme="minorHAnsi" w:hAnsiTheme="minorHAnsi" w:cs="Arial"/>
          <w:sz w:val="18"/>
          <w:szCs w:val="18"/>
          <w:lang w:eastAsia="en-GB"/>
        </w:rPr>
        <w:t xml:space="preserve"> </w:t>
      </w:r>
      <w:r w:rsidR="00885A11" w:rsidRPr="0063487A">
        <w:rPr>
          <w:rFonts w:asciiTheme="minorHAnsi" w:hAnsiTheme="minorHAnsi" w:cs="Arial"/>
          <w:sz w:val="18"/>
          <w:szCs w:val="18"/>
          <w:lang w:eastAsia="en-GB"/>
        </w:rPr>
        <w:t>5:</w:t>
      </w:r>
      <w:r w:rsidR="00671116" w:rsidRPr="0063487A">
        <w:rPr>
          <w:rFonts w:asciiTheme="minorHAnsi" w:hAnsiTheme="minorHAnsi" w:cs="Arial"/>
          <w:sz w:val="18"/>
          <w:szCs w:val="18"/>
          <w:lang w:eastAsia="en-GB"/>
        </w:rPr>
        <w:t xml:space="preserve"> </w:t>
      </w:r>
      <w:r w:rsidR="00885A11" w:rsidRPr="0063487A">
        <w:rPr>
          <w:rFonts w:asciiTheme="minorHAnsi" w:hAnsiTheme="minorHAnsi" w:cs="Arial"/>
          <w:sz w:val="18"/>
          <w:szCs w:val="18"/>
          <w:lang w:eastAsia="en-GB"/>
        </w:rPr>
        <w:t>30-37.</w:t>
      </w:r>
    </w:p>
    <w:p w:rsidR="00885A11"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lang w:eastAsia="en-GB"/>
        </w:rPr>
        <w:t>[</w:t>
      </w:r>
      <w:r w:rsidR="00885A11" w:rsidRPr="0063487A">
        <w:rPr>
          <w:rFonts w:asciiTheme="minorHAnsi" w:hAnsiTheme="minorHAnsi" w:cs="Arial"/>
          <w:sz w:val="18"/>
          <w:szCs w:val="18"/>
          <w:lang w:eastAsia="en-GB"/>
        </w:rPr>
        <w:t>21</w:t>
      </w:r>
      <w:r w:rsidRPr="0063487A">
        <w:rPr>
          <w:rFonts w:asciiTheme="minorHAnsi" w:hAnsiTheme="minorHAnsi" w:cs="Arial"/>
          <w:sz w:val="18"/>
          <w:szCs w:val="18"/>
          <w:lang w:eastAsia="en-GB"/>
        </w:rPr>
        <w:t>]</w:t>
      </w:r>
      <w:r w:rsidR="00885A11" w:rsidRPr="0063487A">
        <w:rPr>
          <w:rFonts w:asciiTheme="minorHAnsi" w:hAnsiTheme="minorHAnsi" w:cs="Arial"/>
          <w:sz w:val="18"/>
          <w:szCs w:val="18"/>
          <w:lang w:eastAsia="en-GB"/>
        </w:rPr>
        <w:t xml:space="preserve"> </w:t>
      </w:r>
      <w:r w:rsidR="00885A11" w:rsidRPr="0063487A">
        <w:rPr>
          <w:rFonts w:asciiTheme="minorHAnsi" w:hAnsiTheme="minorHAnsi" w:cs="Arial"/>
          <w:sz w:val="18"/>
          <w:szCs w:val="18"/>
        </w:rPr>
        <w:t xml:space="preserve">Levy ML, Le </w:t>
      </w:r>
      <w:proofErr w:type="spellStart"/>
      <w:r w:rsidR="00885A11" w:rsidRPr="0063487A">
        <w:rPr>
          <w:rFonts w:asciiTheme="minorHAnsi" w:hAnsiTheme="minorHAnsi" w:cs="Arial"/>
          <w:sz w:val="18"/>
          <w:szCs w:val="18"/>
        </w:rPr>
        <w:t>Jeune</w:t>
      </w:r>
      <w:proofErr w:type="spellEnd"/>
      <w:r w:rsidR="00885A11" w:rsidRPr="0063487A">
        <w:rPr>
          <w:rFonts w:asciiTheme="minorHAnsi" w:hAnsiTheme="minorHAnsi" w:cs="Arial"/>
          <w:sz w:val="18"/>
          <w:szCs w:val="18"/>
        </w:rPr>
        <w:t xml:space="preserve"> I, Woodhead MA, Macfarlane JT, Lim WS on behalf of the British Thoracic Society Community Acquired Pneumonia in Adults Guideline Group. Primary care summary of the British Thoracic Society Guidelines for the management of community acquired pneumonia in adults: 2009 update. Prim Care </w:t>
      </w:r>
      <w:proofErr w:type="spellStart"/>
      <w:r w:rsidR="00885A11" w:rsidRPr="0063487A">
        <w:rPr>
          <w:rFonts w:asciiTheme="minorHAnsi" w:hAnsiTheme="minorHAnsi" w:cs="Arial"/>
          <w:sz w:val="18"/>
          <w:szCs w:val="18"/>
        </w:rPr>
        <w:t>Resp</w:t>
      </w:r>
      <w:proofErr w:type="spellEnd"/>
      <w:r w:rsidR="00885A11" w:rsidRPr="0063487A">
        <w:rPr>
          <w:rFonts w:asciiTheme="minorHAnsi" w:hAnsiTheme="minorHAnsi" w:cs="Arial"/>
          <w:sz w:val="18"/>
          <w:szCs w:val="18"/>
        </w:rPr>
        <w:t xml:space="preserve"> J </w:t>
      </w:r>
      <w:r w:rsidR="00885A11" w:rsidRPr="0063487A">
        <w:rPr>
          <w:rFonts w:asciiTheme="minorHAnsi" w:hAnsiTheme="minorHAnsi" w:cs="Arial"/>
          <w:b/>
          <w:sz w:val="18"/>
          <w:szCs w:val="18"/>
        </w:rPr>
        <w:t>2010</w:t>
      </w:r>
      <w:r w:rsidR="00885A11" w:rsidRPr="0063487A">
        <w:rPr>
          <w:rFonts w:asciiTheme="minorHAnsi" w:hAnsiTheme="minorHAnsi" w:cs="Arial"/>
          <w:sz w:val="18"/>
          <w:szCs w:val="18"/>
        </w:rPr>
        <w:t>;</w:t>
      </w:r>
      <w:r w:rsidR="00671116" w:rsidRPr="0063487A">
        <w:rPr>
          <w:rFonts w:asciiTheme="minorHAnsi" w:hAnsiTheme="minorHAnsi" w:cs="Arial"/>
          <w:sz w:val="18"/>
          <w:szCs w:val="18"/>
        </w:rPr>
        <w:t xml:space="preserve"> </w:t>
      </w:r>
      <w:r w:rsidR="00885A11" w:rsidRPr="0063487A">
        <w:rPr>
          <w:rFonts w:asciiTheme="minorHAnsi" w:hAnsiTheme="minorHAnsi" w:cs="Arial"/>
          <w:sz w:val="18"/>
          <w:szCs w:val="18"/>
        </w:rPr>
        <w:t>19(1):</w:t>
      </w:r>
      <w:r w:rsidR="00671116" w:rsidRPr="0063487A">
        <w:rPr>
          <w:rFonts w:asciiTheme="minorHAnsi" w:hAnsiTheme="minorHAnsi" w:cs="Arial"/>
          <w:sz w:val="18"/>
          <w:szCs w:val="18"/>
        </w:rPr>
        <w:t xml:space="preserve"> </w:t>
      </w:r>
      <w:r w:rsidR="00885A11" w:rsidRPr="0063487A">
        <w:rPr>
          <w:rFonts w:asciiTheme="minorHAnsi" w:hAnsiTheme="minorHAnsi" w:cs="Arial"/>
          <w:sz w:val="18"/>
          <w:szCs w:val="18"/>
        </w:rPr>
        <w:t>21-27.</w:t>
      </w:r>
    </w:p>
    <w:p w:rsidR="00885A11"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885A11" w:rsidRPr="0063487A">
        <w:rPr>
          <w:rFonts w:asciiTheme="minorHAnsi" w:hAnsiTheme="minorHAnsi" w:cs="Arial"/>
          <w:sz w:val="18"/>
          <w:szCs w:val="18"/>
        </w:rPr>
        <w:t>22</w:t>
      </w:r>
      <w:r w:rsidRPr="0063487A">
        <w:rPr>
          <w:rFonts w:asciiTheme="minorHAnsi" w:hAnsiTheme="minorHAnsi" w:cs="Arial"/>
          <w:sz w:val="18"/>
          <w:szCs w:val="18"/>
        </w:rPr>
        <w:t>]</w:t>
      </w:r>
      <w:r w:rsidR="00885A11" w:rsidRPr="0063487A">
        <w:rPr>
          <w:rFonts w:asciiTheme="minorHAnsi" w:hAnsiTheme="minorHAnsi" w:cs="Arial"/>
          <w:sz w:val="18"/>
          <w:szCs w:val="18"/>
        </w:rPr>
        <w:t xml:space="preserve"> Ferro-</w:t>
      </w:r>
      <w:proofErr w:type="spellStart"/>
      <w:r w:rsidR="00885A11" w:rsidRPr="0063487A">
        <w:rPr>
          <w:rFonts w:asciiTheme="minorHAnsi" w:hAnsiTheme="minorHAnsi" w:cs="Arial"/>
          <w:sz w:val="18"/>
          <w:szCs w:val="18"/>
        </w:rPr>
        <w:t>Luzzi</w:t>
      </w:r>
      <w:proofErr w:type="spellEnd"/>
      <w:r w:rsidR="00885A11" w:rsidRPr="0063487A">
        <w:rPr>
          <w:rFonts w:asciiTheme="minorHAnsi" w:hAnsiTheme="minorHAnsi" w:cs="Arial"/>
          <w:sz w:val="18"/>
          <w:szCs w:val="18"/>
        </w:rPr>
        <w:t xml:space="preserve"> A, James WP. Adult malnutrition: simple assessment techniques for use in emergencies. Br J </w:t>
      </w:r>
      <w:proofErr w:type="spellStart"/>
      <w:r w:rsidR="00885A11" w:rsidRPr="0063487A">
        <w:rPr>
          <w:rFonts w:asciiTheme="minorHAnsi" w:hAnsiTheme="minorHAnsi" w:cs="Arial"/>
          <w:sz w:val="18"/>
          <w:szCs w:val="18"/>
        </w:rPr>
        <w:t>Nutr</w:t>
      </w:r>
      <w:proofErr w:type="spellEnd"/>
      <w:r w:rsidR="00885A11" w:rsidRPr="0063487A">
        <w:rPr>
          <w:rFonts w:asciiTheme="minorHAnsi" w:hAnsiTheme="minorHAnsi" w:cs="Arial"/>
          <w:sz w:val="18"/>
          <w:szCs w:val="18"/>
        </w:rPr>
        <w:t xml:space="preserve"> </w:t>
      </w:r>
      <w:r w:rsidR="00885A11" w:rsidRPr="0063487A">
        <w:rPr>
          <w:rFonts w:asciiTheme="minorHAnsi" w:hAnsiTheme="minorHAnsi" w:cs="Arial"/>
          <w:b/>
          <w:sz w:val="18"/>
          <w:szCs w:val="18"/>
        </w:rPr>
        <w:t>1996</w:t>
      </w:r>
      <w:r w:rsidR="00885A11" w:rsidRPr="0063487A">
        <w:rPr>
          <w:rFonts w:asciiTheme="minorHAnsi" w:hAnsiTheme="minorHAnsi" w:cs="Arial"/>
          <w:sz w:val="18"/>
          <w:szCs w:val="18"/>
        </w:rPr>
        <w:t xml:space="preserve"> Jan;</w:t>
      </w:r>
      <w:r w:rsidR="00671116" w:rsidRPr="0063487A">
        <w:rPr>
          <w:rFonts w:asciiTheme="minorHAnsi" w:hAnsiTheme="minorHAnsi" w:cs="Arial"/>
          <w:sz w:val="18"/>
          <w:szCs w:val="18"/>
        </w:rPr>
        <w:t xml:space="preserve"> </w:t>
      </w:r>
      <w:r w:rsidR="00885A11" w:rsidRPr="0063487A">
        <w:rPr>
          <w:rFonts w:asciiTheme="minorHAnsi" w:hAnsiTheme="minorHAnsi" w:cs="Arial"/>
          <w:sz w:val="18"/>
          <w:szCs w:val="18"/>
        </w:rPr>
        <w:t>75(1):</w:t>
      </w:r>
      <w:r w:rsidR="00671116" w:rsidRPr="0063487A">
        <w:rPr>
          <w:rFonts w:asciiTheme="minorHAnsi" w:hAnsiTheme="minorHAnsi" w:cs="Arial"/>
          <w:sz w:val="18"/>
          <w:szCs w:val="18"/>
        </w:rPr>
        <w:t xml:space="preserve"> </w:t>
      </w:r>
      <w:r w:rsidR="00885A11" w:rsidRPr="0063487A">
        <w:rPr>
          <w:rFonts w:asciiTheme="minorHAnsi" w:hAnsiTheme="minorHAnsi" w:cs="Arial"/>
          <w:sz w:val="18"/>
          <w:szCs w:val="18"/>
        </w:rPr>
        <w:t>3-10.</w:t>
      </w:r>
    </w:p>
    <w:p w:rsidR="00885A11"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885A11" w:rsidRPr="0063487A">
        <w:rPr>
          <w:rFonts w:asciiTheme="minorHAnsi" w:hAnsiTheme="minorHAnsi" w:cs="Arial"/>
          <w:sz w:val="18"/>
          <w:szCs w:val="18"/>
        </w:rPr>
        <w:t>23</w:t>
      </w:r>
      <w:r w:rsidRPr="0063487A">
        <w:rPr>
          <w:rFonts w:asciiTheme="minorHAnsi" w:hAnsiTheme="minorHAnsi" w:cs="Arial"/>
          <w:sz w:val="18"/>
          <w:szCs w:val="18"/>
        </w:rPr>
        <w:t>]</w:t>
      </w:r>
      <w:r w:rsidR="00885A11" w:rsidRPr="0063487A">
        <w:rPr>
          <w:rFonts w:asciiTheme="minorHAnsi" w:hAnsiTheme="minorHAnsi" w:cs="Arial"/>
          <w:sz w:val="18"/>
          <w:szCs w:val="18"/>
        </w:rPr>
        <w:t xml:space="preserve"> Feldman C, </w:t>
      </w:r>
      <w:proofErr w:type="spellStart"/>
      <w:r w:rsidR="00885A11" w:rsidRPr="0063487A">
        <w:rPr>
          <w:rFonts w:asciiTheme="minorHAnsi" w:hAnsiTheme="minorHAnsi" w:cs="Arial"/>
          <w:sz w:val="18"/>
          <w:szCs w:val="18"/>
        </w:rPr>
        <w:t>Alanee</w:t>
      </w:r>
      <w:proofErr w:type="spellEnd"/>
      <w:r w:rsidR="00885A11" w:rsidRPr="0063487A">
        <w:rPr>
          <w:rFonts w:asciiTheme="minorHAnsi" w:hAnsiTheme="minorHAnsi" w:cs="Arial"/>
          <w:sz w:val="18"/>
          <w:szCs w:val="18"/>
        </w:rPr>
        <w:t xml:space="preserve"> S, Yu VL et al. Severity of illness scoring systems in patients with </w:t>
      </w:r>
      <w:proofErr w:type="spellStart"/>
      <w:r w:rsidR="00885A11" w:rsidRPr="0063487A">
        <w:rPr>
          <w:rFonts w:asciiTheme="minorHAnsi" w:hAnsiTheme="minorHAnsi" w:cs="Arial"/>
          <w:sz w:val="18"/>
          <w:szCs w:val="18"/>
        </w:rPr>
        <w:t>bacteraemic</w:t>
      </w:r>
      <w:proofErr w:type="spellEnd"/>
      <w:r w:rsidR="00885A11" w:rsidRPr="0063487A">
        <w:rPr>
          <w:rFonts w:asciiTheme="minorHAnsi" w:hAnsiTheme="minorHAnsi" w:cs="Arial"/>
          <w:sz w:val="18"/>
          <w:szCs w:val="18"/>
        </w:rPr>
        <w:t xml:space="preserve"> pneumococcal pneumonia: implications for the intensive care unit care. Clin </w:t>
      </w:r>
      <w:proofErr w:type="spellStart"/>
      <w:r w:rsidR="00885A11" w:rsidRPr="0063487A">
        <w:rPr>
          <w:rFonts w:asciiTheme="minorHAnsi" w:hAnsiTheme="minorHAnsi" w:cs="Arial"/>
          <w:sz w:val="18"/>
          <w:szCs w:val="18"/>
        </w:rPr>
        <w:t>Microbiol</w:t>
      </w:r>
      <w:proofErr w:type="spellEnd"/>
      <w:r w:rsidR="00885A11" w:rsidRPr="0063487A">
        <w:rPr>
          <w:rFonts w:asciiTheme="minorHAnsi" w:hAnsiTheme="minorHAnsi" w:cs="Arial"/>
          <w:sz w:val="18"/>
          <w:szCs w:val="18"/>
        </w:rPr>
        <w:t xml:space="preserve"> Infect </w:t>
      </w:r>
      <w:r w:rsidR="00885A11" w:rsidRPr="0063487A">
        <w:rPr>
          <w:rFonts w:asciiTheme="minorHAnsi" w:hAnsiTheme="minorHAnsi" w:cs="Arial"/>
          <w:b/>
          <w:sz w:val="18"/>
          <w:szCs w:val="18"/>
        </w:rPr>
        <w:t>2009</w:t>
      </w:r>
      <w:r w:rsidR="00885A11" w:rsidRPr="0063487A">
        <w:rPr>
          <w:rFonts w:asciiTheme="minorHAnsi" w:hAnsiTheme="minorHAnsi" w:cs="Arial"/>
          <w:sz w:val="18"/>
          <w:szCs w:val="18"/>
        </w:rPr>
        <w:t>;</w:t>
      </w:r>
      <w:r w:rsidR="00671116" w:rsidRPr="0063487A">
        <w:rPr>
          <w:rFonts w:asciiTheme="minorHAnsi" w:hAnsiTheme="minorHAnsi" w:cs="Arial"/>
          <w:sz w:val="18"/>
          <w:szCs w:val="18"/>
        </w:rPr>
        <w:t xml:space="preserve"> </w:t>
      </w:r>
      <w:r w:rsidR="00885A11" w:rsidRPr="0063487A">
        <w:rPr>
          <w:rFonts w:asciiTheme="minorHAnsi" w:hAnsiTheme="minorHAnsi" w:cs="Arial"/>
          <w:sz w:val="18"/>
          <w:szCs w:val="18"/>
        </w:rPr>
        <w:t>15:</w:t>
      </w:r>
      <w:r w:rsidR="00671116" w:rsidRPr="0063487A">
        <w:rPr>
          <w:rFonts w:asciiTheme="minorHAnsi" w:hAnsiTheme="minorHAnsi" w:cs="Arial"/>
          <w:sz w:val="18"/>
          <w:szCs w:val="18"/>
        </w:rPr>
        <w:t xml:space="preserve"> </w:t>
      </w:r>
      <w:r w:rsidR="00885A11" w:rsidRPr="0063487A">
        <w:rPr>
          <w:rFonts w:asciiTheme="minorHAnsi" w:hAnsiTheme="minorHAnsi" w:cs="Arial"/>
          <w:sz w:val="18"/>
          <w:szCs w:val="18"/>
        </w:rPr>
        <w:t>850-857.</w:t>
      </w:r>
    </w:p>
    <w:p w:rsidR="00885A11"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885A11" w:rsidRPr="0063487A">
        <w:rPr>
          <w:rFonts w:asciiTheme="minorHAnsi" w:hAnsiTheme="minorHAnsi" w:cs="Arial"/>
          <w:sz w:val="18"/>
          <w:szCs w:val="18"/>
        </w:rPr>
        <w:t>24</w:t>
      </w:r>
      <w:r w:rsidRPr="0063487A">
        <w:rPr>
          <w:rFonts w:asciiTheme="minorHAnsi" w:hAnsiTheme="minorHAnsi" w:cs="Arial"/>
          <w:sz w:val="18"/>
          <w:szCs w:val="18"/>
        </w:rPr>
        <w:t>]</w:t>
      </w:r>
      <w:r w:rsidR="00885A11" w:rsidRPr="0063487A">
        <w:rPr>
          <w:rFonts w:asciiTheme="minorHAnsi" w:hAnsiTheme="minorHAnsi" w:cs="Arial"/>
          <w:sz w:val="18"/>
          <w:szCs w:val="18"/>
        </w:rPr>
        <w:t xml:space="preserve"> </w:t>
      </w:r>
      <w:proofErr w:type="spellStart"/>
      <w:r w:rsidR="00885A11" w:rsidRPr="0063487A">
        <w:rPr>
          <w:rFonts w:asciiTheme="minorHAnsi" w:hAnsiTheme="minorHAnsi" w:cs="Arial"/>
          <w:sz w:val="18"/>
          <w:szCs w:val="18"/>
        </w:rPr>
        <w:t>Mbata</w:t>
      </w:r>
      <w:proofErr w:type="spellEnd"/>
      <w:r w:rsidR="00885A11" w:rsidRPr="0063487A">
        <w:rPr>
          <w:rFonts w:asciiTheme="minorHAnsi" w:hAnsiTheme="minorHAnsi" w:cs="Arial"/>
          <w:sz w:val="18"/>
          <w:szCs w:val="18"/>
        </w:rPr>
        <w:t xml:space="preserve"> GC, </w:t>
      </w:r>
      <w:proofErr w:type="spellStart"/>
      <w:r w:rsidR="00885A11" w:rsidRPr="0063487A">
        <w:rPr>
          <w:rFonts w:asciiTheme="minorHAnsi" w:hAnsiTheme="minorHAnsi" w:cs="Arial"/>
          <w:sz w:val="18"/>
          <w:szCs w:val="18"/>
        </w:rPr>
        <w:t>Chukwuka</w:t>
      </w:r>
      <w:proofErr w:type="spellEnd"/>
      <w:r w:rsidR="00885A11" w:rsidRPr="0063487A">
        <w:rPr>
          <w:rFonts w:asciiTheme="minorHAnsi" w:hAnsiTheme="minorHAnsi" w:cs="Arial"/>
          <w:sz w:val="18"/>
          <w:szCs w:val="18"/>
        </w:rPr>
        <w:t xml:space="preserve"> CJ, </w:t>
      </w:r>
      <w:proofErr w:type="spellStart"/>
      <w:r w:rsidR="00885A11" w:rsidRPr="0063487A">
        <w:rPr>
          <w:rFonts w:asciiTheme="minorHAnsi" w:hAnsiTheme="minorHAnsi" w:cs="Arial"/>
          <w:sz w:val="18"/>
          <w:szCs w:val="18"/>
        </w:rPr>
        <w:t>Onyedum</w:t>
      </w:r>
      <w:proofErr w:type="spellEnd"/>
      <w:r w:rsidR="00885A11" w:rsidRPr="0063487A">
        <w:rPr>
          <w:rFonts w:asciiTheme="minorHAnsi" w:hAnsiTheme="minorHAnsi" w:cs="Arial"/>
          <w:sz w:val="18"/>
          <w:szCs w:val="18"/>
        </w:rPr>
        <w:t xml:space="preserve"> CC, </w:t>
      </w:r>
      <w:proofErr w:type="spellStart"/>
      <w:r w:rsidR="00885A11" w:rsidRPr="0063487A">
        <w:rPr>
          <w:rFonts w:asciiTheme="minorHAnsi" w:hAnsiTheme="minorHAnsi" w:cs="Arial"/>
          <w:sz w:val="18"/>
          <w:szCs w:val="18"/>
        </w:rPr>
        <w:t>Onwubere</w:t>
      </w:r>
      <w:proofErr w:type="spellEnd"/>
      <w:r w:rsidR="00885A11" w:rsidRPr="0063487A">
        <w:rPr>
          <w:rFonts w:asciiTheme="minorHAnsi" w:hAnsiTheme="minorHAnsi" w:cs="Arial"/>
          <w:sz w:val="18"/>
          <w:szCs w:val="18"/>
        </w:rPr>
        <w:t xml:space="preserve"> BJ. The CURB-65 scoring system in severity assessment of Eastern Nigerian patients with community-acquired pneumonia: a prospective observational study. Prim Care Respir J </w:t>
      </w:r>
      <w:r w:rsidR="00885A11" w:rsidRPr="0063487A">
        <w:rPr>
          <w:rFonts w:asciiTheme="minorHAnsi" w:hAnsiTheme="minorHAnsi" w:cs="Arial"/>
          <w:b/>
          <w:sz w:val="18"/>
          <w:szCs w:val="18"/>
        </w:rPr>
        <w:t xml:space="preserve">2013 </w:t>
      </w:r>
      <w:r w:rsidR="00885A11" w:rsidRPr="0063487A">
        <w:rPr>
          <w:rFonts w:asciiTheme="minorHAnsi" w:hAnsiTheme="minorHAnsi" w:cs="Arial"/>
          <w:sz w:val="18"/>
          <w:szCs w:val="18"/>
        </w:rPr>
        <w:t>Jun;</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22(2):</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175-80.</w:t>
      </w:r>
    </w:p>
    <w:p w:rsidR="00885A11" w:rsidRPr="0063487A" w:rsidRDefault="007A64CA" w:rsidP="00443E7E">
      <w:pPr>
        <w:spacing w:line="480" w:lineRule="auto"/>
        <w:contextualSpacing/>
        <w:rPr>
          <w:rFonts w:asciiTheme="minorHAnsi" w:hAnsiTheme="minorHAnsi" w:cs="Arial"/>
          <w:sz w:val="18"/>
          <w:szCs w:val="18"/>
        </w:rPr>
      </w:pPr>
      <w:r w:rsidRPr="001F76BD">
        <w:rPr>
          <w:rFonts w:asciiTheme="minorHAnsi" w:hAnsiTheme="minorHAnsi" w:cs="Arial"/>
          <w:sz w:val="18"/>
          <w:szCs w:val="18"/>
        </w:rPr>
        <w:t>[</w:t>
      </w:r>
      <w:r w:rsidR="00885A11" w:rsidRPr="001F76BD">
        <w:rPr>
          <w:rFonts w:asciiTheme="minorHAnsi" w:hAnsiTheme="minorHAnsi" w:cs="Arial"/>
          <w:sz w:val="18"/>
          <w:szCs w:val="18"/>
        </w:rPr>
        <w:t>25</w:t>
      </w:r>
      <w:r w:rsidRPr="001F76BD">
        <w:rPr>
          <w:rFonts w:asciiTheme="minorHAnsi" w:hAnsiTheme="minorHAnsi" w:cs="Arial"/>
          <w:sz w:val="18"/>
          <w:szCs w:val="18"/>
        </w:rPr>
        <w:t>]</w:t>
      </w:r>
      <w:r w:rsidR="00885A11" w:rsidRPr="001F76BD">
        <w:rPr>
          <w:rFonts w:asciiTheme="minorHAnsi" w:hAnsiTheme="minorHAnsi" w:cs="Arial"/>
          <w:sz w:val="18"/>
          <w:szCs w:val="18"/>
        </w:rPr>
        <w:t xml:space="preserve"> </w:t>
      </w:r>
      <w:proofErr w:type="spellStart"/>
      <w:r w:rsidR="00885A11" w:rsidRPr="001F76BD">
        <w:rPr>
          <w:rFonts w:asciiTheme="minorHAnsi" w:hAnsiTheme="minorHAnsi" w:cs="Arial"/>
          <w:sz w:val="18"/>
          <w:szCs w:val="18"/>
        </w:rPr>
        <w:t>Malinis</w:t>
      </w:r>
      <w:proofErr w:type="spellEnd"/>
      <w:r w:rsidR="00885A11" w:rsidRPr="001F76BD">
        <w:rPr>
          <w:rFonts w:asciiTheme="minorHAnsi" w:hAnsiTheme="minorHAnsi" w:cs="Arial"/>
          <w:sz w:val="18"/>
          <w:szCs w:val="18"/>
        </w:rPr>
        <w:t xml:space="preserve"> M, Myers J, Bordon J et al. </w:t>
      </w:r>
      <w:r w:rsidR="00885A11" w:rsidRPr="0063487A">
        <w:rPr>
          <w:rFonts w:asciiTheme="minorHAnsi" w:hAnsiTheme="minorHAnsi" w:cs="Arial"/>
          <w:sz w:val="18"/>
          <w:szCs w:val="18"/>
        </w:rPr>
        <w:t xml:space="preserve">Clinical outcomes of HIV-infected patients hospitalized with bacterial community-acquired pneumonia. Int J Infect Dis </w:t>
      </w:r>
      <w:r w:rsidR="00885A11" w:rsidRPr="0063487A">
        <w:rPr>
          <w:rFonts w:asciiTheme="minorHAnsi" w:hAnsiTheme="minorHAnsi" w:cs="Arial"/>
          <w:b/>
          <w:sz w:val="18"/>
          <w:szCs w:val="18"/>
        </w:rPr>
        <w:t>2010</w:t>
      </w:r>
      <w:r w:rsidR="00885A11" w:rsidRPr="0063487A">
        <w:rPr>
          <w:rFonts w:asciiTheme="minorHAnsi" w:hAnsiTheme="minorHAnsi" w:cs="Arial"/>
          <w:sz w:val="18"/>
          <w:szCs w:val="18"/>
        </w:rPr>
        <w:t xml:space="preserve"> Jan;</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14(1):</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e22-e27.</w:t>
      </w:r>
    </w:p>
    <w:p w:rsidR="00885A11" w:rsidRPr="007A5158" w:rsidRDefault="007A64CA" w:rsidP="00443E7E">
      <w:pPr>
        <w:spacing w:line="480" w:lineRule="auto"/>
        <w:contextualSpacing/>
        <w:rPr>
          <w:rFonts w:asciiTheme="minorHAnsi" w:hAnsiTheme="minorHAnsi" w:cs="Arial"/>
          <w:sz w:val="18"/>
          <w:szCs w:val="18"/>
          <w:lang w:val="en-US"/>
        </w:rPr>
      </w:pPr>
      <w:r w:rsidRPr="0063487A">
        <w:rPr>
          <w:rFonts w:asciiTheme="minorHAnsi" w:hAnsiTheme="minorHAnsi" w:cs="Arial"/>
          <w:sz w:val="18"/>
          <w:szCs w:val="18"/>
        </w:rPr>
        <w:t>[</w:t>
      </w:r>
      <w:r w:rsidR="00885A11" w:rsidRPr="0063487A">
        <w:rPr>
          <w:rFonts w:asciiTheme="minorHAnsi" w:hAnsiTheme="minorHAnsi" w:cs="Arial"/>
          <w:sz w:val="18"/>
          <w:szCs w:val="18"/>
        </w:rPr>
        <w:t>26</w:t>
      </w:r>
      <w:r w:rsidRPr="0063487A">
        <w:rPr>
          <w:rFonts w:asciiTheme="minorHAnsi" w:hAnsiTheme="minorHAnsi" w:cs="Arial"/>
          <w:sz w:val="18"/>
          <w:szCs w:val="18"/>
        </w:rPr>
        <w:t>]</w:t>
      </w:r>
      <w:r w:rsidR="00885A11" w:rsidRPr="0063487A">
        <w:rPr>
          <w:rFonts w:asciiTheme="minorHAnsi" w:hAnsiTheme="minorHAnsi" w:cs="Arial"/>
          <w:sz w:val="18"/>
          <w:szCs w:val="18"/>
        </w:rPr>
        <w:t xml:space="preserve"> Salami AK, Olatunji PO, </w:t>
      </w:r>
      <w:proofErr w:type="spellStart"/>
      <w:r w:rsidR="00885A11" w:rsidRPr="0063487A">
        <w:rPr>
          <w:rFonts w:asciiTheme="minorHAnsi" w:hAnsiTheme="minorHAnsi" w:cs="Arial"/>
          <w:sz w:val="18"/>
          <w:szCs w:val="18"/>
        </w:rPr>
        <w:t>Oluboyo</w:t>
      </w:r>
      <w:proofErr w:type="spellEnd"/>
      <w:r w:rsidR="00885A11" w:rsidRPr="0063487A">
        <w:rPr>
          <w:rFonts w:asciiTheme="minorHAnsi" w:hAnsiTheme="minorHAnsi" w:cs="Arial"/>
          <w:sz w:val="18"/>
          <w:szCs w:val="18"/>
        </w:rPr>
        <w:t xml:space="preserve"> PO, </w:t>
      </w:r>
      <w:proofErr w:type="spellStart"/>
      <w:r w:rsidR="00885A11" w:rsidRPr="0063487A">
        <w:rPr>
          <w:rFonts w:asciiTheme="minorHAnsi" w:hAnsiTheme="minorHAnsi" w:cs="Arial"/>
          <w:sz w:val="18"/>
          <w:szCs w:val="18"/>
        </w:rPr>
        <w:t>Akanbi</w:t>
      </w:r>
      <w:proofErr w:type="spellEnd"/>
      <w:r w:rsidR="00885A11" w:rsidRPr="0063487A">
        <w:rPr>
          <w:rFonts w:asciiTheme="minorHAnsi" w:hAnsiTheme="minorHAnsi" w:cs="Arial"/>
          <w:sz w:val="18"/>
          <w:szCs w:val="18"/>
        </w:rPr>
        <w:t xml:space="preserve"> AA 2</w:t>
      </w:r>
      <w:r w:rsidR="00885A11" w:rsidRPr="0063487A">
        <w:rPr>
          <w:rFonts w:asciiTheme="minorHAnsi" w:hAnsiTheme="minorHAnsi" w:cs="Arial"/>
          <w:sz w:val="18"/>
          <w:szCs w:val="18"/>
          <w:vertAlign w:val="superscript"/>
        </w:rPr>
        <w:t>nd</w:t>
      </w:r>
      <w:r w:rsidR="00885A11" w:rsidRPr="0063487A">
        <w:rPr>
          <w:rFonts w:asciiTheme="minorHAnsi" w:hAnsiTheme="minorHAnsi" w:cs="Arial"/>
          <w:sz w:val="18"/>
          <w:szCs w:val="18"/>
        </w:rPr>
        <w:t xml:space="preserve">, </w:t>
      </w:r>
      <w:proofErr w:type="spellStart"/>
      <w:r w:rsidR="00885A11" w:rsidRPr="0063487A">
        <w:rPr>
          <w:rFonts w:asciiTheme="minorHAnsi" w:hAnsiTheme="minorHAnsi" w:cs="Arial"/>
          <w:sz w:val="18"/>
          <w:szCs w:val="18"/>
        </w:rPr>
        <w:t>Fawibe</w:t>
      </w:r>
      <w:proofErr w:type="spellEnd"/>
      <w:r w:rsidR="00885A11" w:rsidRPr="0063487A">
        <w:rPr>
          <w:rFonts w:asciiTheme="minorHAnsi" w:hAnsiTheme="minorHAnsi" w:cs="Arial"/>
          <w:sz w:val="18"/>
          <w:szCs w:val="18"/>
        </w:rPr>
        <w:t xml:space="preserve"> EA. Bacterial pneumonia in the AIDS patients. </w:t>
      </w:r>
      <w:r w:rsidR="00885A11" w:rsidRPr="007A5158">
        <w:rPr>
          <w:rFonts w:asciiTheme="minorHAnsi" w:hAnsiTheme="minorHAnsi" w:cs="Arial"/>
          <w:sz w:val="18"/>
          <w:szCs w:val="18"/>
          <w:lang w:val="en-US"/>
        </w:rPr>
        <w:t xml:space="preserve">West </w:t>
      </w:r>
      <w:proofErr w:type="spellStart"/>
      <w:r w:rsidR="00885A11" w:rsidRPr="007A5158">
        <w:rPr>
          <w:rFonts w:asciiTheme="minorHAnsi" w:hAnsiTheme="minorHAnsi" w:cs="Arial"/>
          <w:sz w:val="18"/>
          <w:szCs w:val="18"/>
          <w:lang w:val="en-US"/>
        </w:rPr>
        <w:t>Afr</w:t>
      </w:r>
      <w:proofErr w:type="spellEnd"/>
      <w:r w:rsidR="00885A11" w:rsidRPr="007A5158">
        <w:rPr>
          <w:rFonts w:asciiTheme="minorHAnsi" w:hAnsiTheme="minorHAnsi" w:cs="Arial"/>
          <w:sz w:val="18"/>
          <w:szCs w:val="18"/>
          <w:lang w:val="en-US"/>
        </w:rPr>
        <w:t xml:space="preserve"> J Med </w:t>
      </w:r>
      <w:r w:rsidR="00885A11" w:rsidRPr="007A5158">
        <w:rPr>
          <w:rFonts w:asciiTheme="minorHAnsi" w:hAnsiTheme="minorHAnsi" w:cs="Arial"/>
          <w:b/>
          <w:sz w:val="18"/>
          <w:szCs w:val="18"/>
          <w:lang w:val="en-US"/>
        </w:rPr>
        <w:t>2006</w:t>
      </w:r>
      <w:r w:rsidR="00885A11" w:rsidRPr="007A5158">
        <w:rPr>
          <w:rFonts w:asciiTheme="minorHAnsi" w:hAnsiTheme="minorHAnsi" w:cs="Arial"/>
          <w:sz w:val="18"/>
          <w:szCs w:val="18"/>
          <w:lang w:val="en-US"/>
        </w:rPr>
        <w:t xml:space="preserve"> Jan-Mar;</w:t>
      </w:r>
      <w:r w:rsidR="004A4A90" w:rsidRPr="007A5158">
        <w:rPr>
          <w:rFonts w:asciiTheme="minorHAnsi" w:hAnsiTheme="minorHAnsi" w:cs="Arial"/>
          <w:sz w:val="18"/>
          <w:szCs w:val="18"/>
          <w:lang w:val="en-US"/>
        </w:rPr>
        <w:t xml:space="preserve"> </w:t>
      </w:r>
      <w:r w:rsidR="00885A11" w:rsidRPr="007A5158">
        <w:rPr>
          <w:rFonts w:asciiTheme="minorHAnsi" w:hAnsiTheme="minorHAnsi" w:cs="Arial"/>
          <w:sz w:val="18"/>
          <w:szCs w:val="18"/>
          <w:lang w:val="en-US"/>
        </w:rPr>
        <w:t>25(1):</w:t>
      </w:r>
      <w:r w:rsidR="004A4A90" w:rsidRPr="007A5158">
        <w:rPr>
          <w:rFonts w:asciiTheme="minorHAnsi" w:hAnsiTheme="minorHAnsi" w:cs="Arial"/>
          <w:sz w:val="18"/>
          <w:szCs w:val="18"/>
          <w:lang w:val="en-US"/>
        </w:rPr>
        <w:t xml:space="preserve"> </w:t>
      </w:r>
      <w:r w:rsidR="00885A11" w:rsidRPr="007A5158">
        <w:rPr>
          <w:rFonts w:asciiTheme="minorHAnsi" w:hAnsiTheme="minorHAnsi" w:cs="Arial"/>
          <w:sz w:val="18"/>
          <w:szCs w:val="18"/>
          <w:lang w:val="en-US"/>
        </w:rPr>
        <w:t>1-5.</w:t>
      </w:r>
    </w:p>
    <w:p w:rsidR="00885A11" w:rsidRPr="0063487A" w:rsidRDefault="007A64CA" w:rsidP="00443E7E">
      <w:pPr>
        <w:spacing w:line="480" w:lineRule="auto"/>
        <w:contextualSpacing/>
        <w:rPr>
          <w:rFonts w:asciiTheme="minorHAnsi" w:hAnsiTheme="minorHAnsi" w:cs="Arial"/>
          <w:sz w:val="18"/>
          <w:szCs w:val="18"/>
        </w:rPr>
      </w:pPr>
      <w:r w:rsidRPr="007A5158">
        <w:rPr>
          <w:rFonts w:asciiTheme="minorHAnsi" w:hAnsiTheme="minorHAnsi" w:cs="Arial"/>
          <w:sz w:val="18"/>
          <w:szCs w:val="18"/>
          <w:lang w:val="sv-SE"/>
        </w:rPr>
        <w:t>[</w:t>
      </w:r>
      <w:r w:rsidR="00885A11" w:rsidRPr="007A5158">
        <w:rPr>
          <w:rFonts w:asciiTheme="minorHAnsi" w:hAnsiTheme="minorHAnsi" w:cs="Arial"/>
          <w:sz w:val="18"/>
          <w:szCs w:val="18"/>
          <w:lang w:val="sv-SE"/>
        </w:rPr>
        <w:t>27</w:t>
      </w:r>
      <w:r w:rsidRPr="007A5158">
        <w:rPr>
          <w:rFonts w:asciiTheme="minorHAnsi" w:hAnsiTheme="minorHAnsi" w:cs="Arial"/>
          <w:sz w:val="18"/>
          <w:szCs w:val="18"/>
          <w:lang w:val="sv-SE"/>
        </w:rPr>
        <w:t>]</w:t>
      </w:r>
      <w:r w:rsidR="00885A11" w:rsidRPr="007A5158">
        <w:rPr>
          <w:rFonts w:asciiTheme="minorHAnsi" w:hAnsiTheme="minorHAnsi" w:cs="Arial"/>
          <w:sz w:val="18"/>
          <w:szCs w:val="18"/>
          <w:lang w:val="sv-SE"/>
        </w:rPr>
        <w:t xml:space="preserve"> Feldman C, Klugman KP, Yu VL et al. </w:t>
      </w:r>
      <w:proofErr w:type="spellStart"/>
      <w:r w:rsidR="00885A11" w:rsidRPr="0063487A">
        <w:rPr>
          <w:rFonts w:asciiTheme="minorHAnsi" w:hAnsiTheme="minorHAnsi" w:cs="Arial"/>
          <w:sz w:val="18"/>
          <w:szCs w:val="18"/>
        </w:rPr>
        <w:t>Bacteraemic</w:t>
      </w:r>
      <w:proofErr w:type="spellEnd"/>
      <w:r w:rsidR="00885A11" w:rsidRPr="0063487A">
        <w:rPr>
          <w:rFonts w:asciiTheme="minorHAnsi" w:hAnsiTheme="minorHAnsi" w:cs="Arial"/>
          <w:sz w:val="18"/>
          <w:szCs w:val="18"/>
        </w:rPr>
        <w:t xml:space="preserve"> pneumococcal pneumonia: impact of HIV on clinical presentation and outcome. J Infect </w:t>
      </w:r>
      <w:r w:rsidR="00885A11" w:rsidRPr="0063487A">
        <w:rPr>
          <w:rFonts w:asciiTheme="minorHAnsi" w:hAnsiTheme="minorHAnsi" w:cs="Arial"/>
          <w:b/>
          <w:sz w:val="18"/>
          <w:szCs w:val="18"/>
        </w:rPr>
        <w:t>2007</w:t>
      </w:r>
      <w:r w:rsidR="00885A11" w:rsidRPr="0063487A">
        <w:rPr>
          <w:rFonts w:asciiTheme="minorHAnsi" w:hAnsiTheme="minorHAnsi" w:cs="Arial"/>
          <w:sz w:val="18"/>
          <w:szCs w:val="18"/>
        </w:rPr>
        <w:t xml:space="preserve"> Aug;</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55(2):</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125-135.</w:t>
      </w:r>
    </w:p>
    <w:p w:rsidR="00885A11"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885A11" w:rsidRPr="0063487A">
        <w:rPr>
          <w:rFonts w:asciiTheme="minorHAnsi" w:hAnsiTheme="minorHAnsi" w:cs="Arial"/>
          <w:sz w:val="18"/>
          <w:szCs w:val="18"/>
        </w:rPr>
        <w:t>28</w:t>
      </w:r>
      <w:r w:rsidRPr="0063487A">
        <w:rPr>
          <w:rFonts w:asciiTheme="minorHAnsi" w:hAnsiTheme="minorHAnsi" w:cs="Arial"/>
          <w:sz w:val="18"/>
          <w:szCs w:val="18"/>
        </w:rPr>
        <w:t>]</w:t>
      </w:r>
      <w:r w:rsidR="00885A11" w:rsidRPr="0063487A">
        <w:rPr>
          <w:rFonts w:asciiTheme="minorHAnsi" w:hAnsiTheme="minorHAnsi" w:cs="Arial"/>
          <w:sz w:val="18"/>
          <w:szCs w:val="18"/>
        </w:rPr>
        <w:t xml:space="preserve"> </w:t>
      </w:r>
      <w:proofErr w:type="spellStart"/>
      <w:r w:rsidR="00885A11" w:rsidRPr="0063487A">
        <w:rPr>
          <w:rFonts w:asciiTheme="minorHAnsi" w:hAnsiTheme="minorHAnsi" w:cs="Arial"/>
          <w:sz w:val="18"/>
          <w:szCs w:val="18"/>
        </w:rPr>
        <w:t>Madeddu</w:t>
      </w:r>
      <w:proofErr w:type="spellEnd"/>
      <w:r w:rsidR="00885A11" w:rsidRPr="0063487A">
        <w:rPr>
          <w:rFonts w:asciiTheme="minorHAnsi" w:hAnsiTheme="minorHAnsi" w:cs="Arial"/>
          <w:sz w:val="18"/>
          <w:szCs w:val="18"/>
        </w:rPr>
        <w:t xml:space="preserve"> G, Fiori ML, Mura MS. Bacterial community-acquired pneumonia in HIV-infected patients. </w:t>
      </w:r>
      <w:proofErr w:type="spellStart"/>
      <w:r w:rsidR="00885A11" w:rsidRPr="0063487A">
        <w:rPr>
          <w:rFonts w:asciiTheme="minorHAnsi" w:hAnsiTheme="minorHAnsi" w:cs="Arial"/>
          <w:sz w:val="18"/>
          <w:szCs w:val="18"/>
        </w:rPr>
        <w:t>Curr</w:t>
      </w:r>
      <w:proofErr w:type="spellEnd"/>
      <w:r w:rsidR="00885A11" w:rsidRPr="0063487A">
        <w:rPr>
          <w:rFonts w:asciiTheme="minorHAnsi" w:hAnsiTheme="minorHAnsi" w:cs="Arial"/>
          <w:sz w:val="18"/>
          <w:szCs w:val="18"/>
        </w:rPr>
        <w:t xml:space="preserve"> </w:t>
      </w:r>
      <w:proofErr w:type="spellStart"/>
      <w:r w:rsidR="00885A11" w:rsidRPr="0063487A">
        <w:rPr>
          <w:rFonts w:asciiTheme="minorHAnsi" w:hAnsiTheme="minorHAnsi" w:cs="Arial"/>
          <w:sz w:val="18"/>
          <w:szCs w:val="18"/>
        </w:rPr>
        <w:t>Opin</w:t>
      </w:r>
      <w:proofErr w:type="spellEnd"/>
      <w:r w:rsidR="00885A11" w:rsidRPr="0063487A">
        <w:rPr>
          <w:rFonts w:asciiTheme="minorHAnsi" w:hAnsiTheme="minorHAnsi" w:cs="Arial"/>
          <w:sz w:val="18"/>
          <w:szCs w:val="18"/>
        </w:rPr>
        <w:t xml:space="preserve"> </w:t>
      </w:r>
      <w:proofErr w:type="spellStart"/>
      <w:r w:rsidR="00885A11" w:rsidRPr="0063487A">
        <w:rPr>
          <w:rFonts w:asciiTheme="minorHAnsi" w:hAnsiTheme="minorHAnsi" w:cs="Arial"/>
          <w:sz w:val="18"/>
          <w:szCs w:val="18"/>
        </w:rPr>
        <w:t>Pulm</w:t>
      </w:r>
      <w:proofErr w:type="spellEnd"/>
      <w:r w:rsidR="00885A11" w:rsidRPr="0063487A">
        <w:rPr>
          <w:rFonts w:asciiTheme="minorHAnsi" w:hAnsiTheme="minorHAnsi" w:cs="Arial"/>
          <w:sz w:val="18"/>
          <w:szCs w:val="18"/>
        </w:rPr>
        <w:t xml:space="preserve"> Med </w:t>
      </w:r>
      <w:r w:rsidR="00885A11" w:rsidRPr="0063487A">
        <w:rPr>
          <w:rFonts w:asciiTheme="minorHAnsi" w:hAnsiTheme="minorHAnsi" w:cs="Arial"/>
          <w:b/>
          <w:sz w:val="18"/>
          <w:szCs w:val="18"/>
        </w:rPr>
        <w:t>2010</w:t>
      </w:r>
      <w:r w:rsidR="00885A11" w:rsidRPr="0063487A">
        <w:rPr>
          <w:rFonts w:asciiTheme="minorHAnsi" w:hAnsiTheme="minorHAnsi" w:cs="Arial"/>
          <w:sz w:val="18"/>
          <w:szCs w:val="18"/>
        </w:rPr>
        <w:t xml:space="preserve"> May;</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16(3):</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201-207.</w:t>
      </w:r>
    </w:p>
    <w:p w:rsidR="00885A11"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885A11" w:rsidRPr="0063487A">
        <w:rPr>
          <w:rFonts w:asciiTheme="minorHAnsi" w:hAnsiTheme="minorHAnsi" w:cs="Arial"/>
          <w:sz w:val="18"/>
          <w:szCs w:val="18"/>
        </w:rPr>
        <w:t>29</w:t>
      </w:r>
      <w:r w:rsidRPr="0063487A">
        <w:rPr>
          <w:rFonts w:asciiTheme="minorHAnsi" w:hAnsiTheme="minorHAnsi" w:cs="Arial"/>
          <w:sz w:val="18"/>
          <w:szCs w:val="18"/>
        </w:rPr>
        <w:t>]</w:t>
      </w:r>
      <w:r w:rsidR="00885A11" w:rsidRPr="0063487A">
        <w:rPr>
          <w:rFonts w:asciiTheme="minorHAnsi" w:hAnsiTheme="minorHAnsi" w:cs="Arial"/>
          <w:sz w:val="18"/>
          <w:szCs w:val="18"/>
        </w:rPr>
        <w:t xml:space="preserve"> World Health Organization Statistical Information System 2013. Geneva, Switzerland: WHO. </w:t>
      </w:r>
      <w:hyperlink r:id="rId11" w:history="1">
        <w:r w:rsidR="00885A11" w:rsidRPr="0063487A">
          <w:rPr>
            <w:rStyle w:val="Hyperlink"/>
            <w:rFonts w:asciiTheme="minorHAnsi" w:hAnsiTheme="minorHAnsi" w:cs="Arial"/>
            <w:sz w:val="18"/>
            <w:szCs w:val="18"/>
          </w:rPr>
          <w:t>www.who.int/gho/publications/world_health_statistics/EN_WHS2013_Full.pdf?ua=1</w:t>
        </w:r>
      </w:hyperlink>
      <w:r w:rsidR="00885A11" w:rsidRPr="0063487A">
        <w:rPr>
          <w:rFonts w:asciiTheme="minorHAnsi" w:hAnsiTheme="minorHAnsi" w:cs="Arial"/>
          <w:sz w:val="18"/>
          <w:szCs w:val="18"/>
        </w:rPr>
        <w:t xml:space="preserve"> Accessed</w:t>
      </w:r>
      <w:r w:rsidR="004A4A90" w:rsidRPr="0063487A">
        <w:rPr>
          <w:rFonts w:asciiTheme="minorHAnsi" w:hAnsiTheme="minorHAnsi" w:cs="Arial"/>
          <w:sz w:val="18"/>
          <w:szCs w:val="18"/>
        </w:rPr>
        <w:t xml:space="preserve"> 25 February 201</w:t>
      </w:r>
      <w:r w:rsidR="00ED0047">
        <w:rPr>
          <w:rFonts w:asciiTheme="minorHAnsi" w:hAnsiTheme="minorHAnsi" w:cs="Arial"/>
          <w:sz w:val="18"/>
          <w:szCs w:val="18"/>
        </w:rPr>
        <w:t>7</w:t>
      </w:r>
      <w:r w:rsidR="00885A11" w:rsidRPr="0063487A">
        <w:rPr>
          <w:rFonts w:asciiTheme="minorHAnsi" w:hAnsiTheme="minorHAnsi" w:cs="Arial"/>
          <w:sz w:val="18"/>
          <w:szCs w:val="18"/>
        </w:rPr>
        <w:t>.</w:t>
      </w:r>
    </w:p>
    <w:p w:rsidR="00885A11"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lastRenderedPageBreak/>
        <w:t>[</w:t>
      </w:r>
      <w:r w:rsidR="00885A11" w:rsidRPr="0063487A">
        <w:rPr>
          <w:rFonts w:asciiTheme="minorHAnsi" w:hAnsiTheme="minorHAnsi" w:cs="Arial"/>
          <w:sz w:val="18"/>
          <w:szCs w:val="18"/>
        </w:rPr>
        <w:t>30</w:t>
      </w:r>
      <w:r w:rsidRPr="0063487A">
        <w:rPr>
          <w:rFonts w:asciiTheme="minorHAnsi" w:hAnsiTheme="minorHAnsi" w:cs="Arial"/>
          <w:sz w:val="18"/>
          <w:szCs w:val="18"/>
        </w:rPr>
        <w:t>]</w:t>
      </w:r>
      <w:r w:rsidR="00885A11" w:rsidRPr="0063487A">
        <w:rPr>
          <w:rFonts w:asciiTheme="minorHAnsi" w:hAnsiTheme="minorHAnsi" w:cs="Arial"/>
          <w:sz w:val="18"/>
          <w:szCs w:val="18"/>
        </w:rPr>
        <w:t xml:space="preserve"> Chalmers JD, </w:t>
      </w:r>
      <w:proofErr w:type="spellStart"/>
      <w:r w:rsidR="00885A11" w:rsidRPr="0063487A">
        <w:rPr>
          <w:rFonts w:asciiTheme="minorHAnsi" w:hAnsiTheme="minorHAnsi" w:cs="Arial"/>
          <w:sz w:val="18"/>
          <w:szCs w:val="18"/>
        </w:rPr>
        <w:t>Singanayagam</w:t>
      </w:r>
      <w:proofErr w:type="spellEnd"/>
      <w:r w:rsidR="00885A11" w:rsidRPr="0063487A">
        <w:rPr>
          <w:rFonts w:asciiTheme="minorHAnsi" w:hAnsiTheme="minorHAnsi" w:cs="Arial"/>
          <w:sz w:val="18"/>
          <w:szCs w:val="18"/>
        </w:rPr>
        <w:t xml:space="preserve"> A, Hill AT. Predicting the need for mechanical ventilation and/or inotropic support for young adults admitted to the hospital with community-acquired pneumonia. Clin Infect Dis </w:t>
      </w:r>
      <w:r w:rsidR="00885A11" w:rsidRPr="0063487A">
        <w:rPr>
          <w:rFonts w:asciiTheme="minorHAnsi" w:hAnsiTheme="minorHAnsi" w:cs="Arial"/>
          <w:b/>
          <w:sz w:val="18"/>
          <w:szCs w:val="18"/>
        </w:rPr>
        <w:t>2008</w:t>
      </w:r>
      <w:r w:rsidR="00885A11" w:rsidRPr="0063487A">
        <w:rPr>
          <w:rFonts w:asciiTheme="minorHAnsi" w:hAnsiTheme="minorHAnsi" w:cs="Arial"/>
          <w:sz w:val="18"/>
          <w:szCs w:val="18"/>
        </w:rPr>
        <w:t>;</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47(12):</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1571-4.</w:t>
      </w:r>
    </w:p>
    <w:p w:rsidR="00885A11"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885A11" w:rsidRPr="0063487A">
        <w:rPr>
          <w:rFonts w:asciiTheme="minorHAnsi" w:hAnsiTheme="minorHAnsi" w:cs="Arial"/>
          <w:sz w:val="18"/>
          <w:szCs w:val="18"/>
        </w:rPr>
        <w:t>31</w:t>
      </w:r>
      <w:r w:rsidRPr="0063487A">
        <w:rPr>
          <w:rFonts w:asciiTheme="minorHAnsi" w:hAnsiTheme="minorHAnsi" w:cs="Arial"/>
          <w:sz w:val="18"/>
          <w:szCs w:val="18"/>
        </w:rPr>
        <w:t>]</w:t>
      </w:r>
      <w:r w:rsidR="00885A11" w:rsidRPr="0063487A">
        <w:rPr>
          <w:rFonts w:asciiTheme="minorHAnsi" w:hAnsiTheme="minorHAnsi" w:cs="Arial"/>
          <w:sz w:val="18"/>
          <w:szCs w:val="18"/>
        </w:rPr>
        <w:t xml:space="preserve"> Koss CA, Jarlsberg LG, den Boon S et al. A clinical predictor score for 30-day mortality among HIV-infected adults hospitalized with pneumonia in Uganda. </w:t>
      </w:r>
      <w:proofErr w:type="spellStart"/>
      <w:r w:rsidR="00885A11" w:rsidRPr="0063487A">
        <w:rPr>
          <w:rFonts w:asciiTheme="minorHAnsi" w:hAnsiTheme="minorHAnsi" w:cs="Arial"/>
          <w:sz w:val="18"/>
          <w:szCs w:val="18"/>
        </w:rPr>
        <w:t>PLoS</w:t>
      </w:r>
      <w:proofErr w:type="spellEnd"/>
      <w:r w:rsidR="00885A11" w:rsidRPr="0063487A">
        <w:rPr>
          <w:rFonts w:asciiTheme="minorHAnsi" w:hAnsiTheme="minorHAnsi" w:cs="Arial"/>
          <w:sz w:val="18"/>
          <w:szCs w:val="18"/>
        </w:rPr>
        <w:t xml:space="preserve"> One </w:t>
      </w:r>
      <w:r w:rsidR="00885A11" w:rsidRPr="0063487A">
        <w:rPr>
          <w:rFonts w:asciiTheme="minorHAnsi" w:hAnsiTheme="minorHAnsi" w:cs="Arial"/>
          <w:b/>
          <w:sz w:val="18"/>
          <w:szCs w:val="18"/>
        </w:rPr>
        <w:t>2015</w:t>
      </w:r>
      <w:r w:rsidR="00885A11" w:rsidRPr="0063487A">
        <w:rPr>
          <w:rFonts w:asciiTheme="minorHAnsi" w:hAnsiTheme="minorHAnsi" w:cs="Arial"/>
          <w:sz w:val="18"/>
          <w:szCs w:val="18"/>
        </w:rPr>
        <w:t xml:space="preserve"> May 11;</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10(5):</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e0126591.</w:t>
      </w:r>
    </w:p>
    <w:p w:rsidR="00885A11"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885A11" w:rsidRPr="0063487A">
        <w:rPr>
          <w:rFonts w:asciiTheme="minorHAnsi" w:hAnsiTheme="minorHAnsi" w:cs="Arial"/>
          <w:sz w:val="18"/>
          <w:szCs w:val="18"/>
        </w:rPr>
        <w:t>32</w:t>
      </w:r>
      <w:r w:rsidRPr="0063487A">
        <w:rPr>
          <w:rFonts w:asciiTheme="minorHAnsi" w:hAnsiTheme="minorHAnsi" w:cs="Arial"/>
          <w:sz w:val="18"/>
          <w:szCs w:val="18"/>
        </w:rPr>
        <w:t>]</w:t>
      </w:r>
      <w:r w:rsidR="00885A11" w:rsidRPr="0063487A">
        <w:rPr>
          <w:rFonts w:asciiTheme="minorHAnsi" w:hAnsiTheme="minorHAnsi" w:cs="Arial"/>
          <w:sz w:val="18"/>
          <w:szCs w:val="18"/>
        </w:rPr>
        <w:t xml:space="preserve"> Austin JF, Dick JM, </w:t>
      </w:r>
      <w:proofErr w:type="spellStart"/>
      <w:r w:rsidR="00885A11" w:rsidRPr="0063487A">
        <w:rPr>
          <w:rFonts w:asciiTheme="minorHAnsi" w:hAnsiTheme="minorHAnsi" w:cs="Arial"/>
          <w:sz w:val="18"/>
          <w:szCs w:val="18"/>
        </w:rPr>
        <w:t>Zwarenstein</w:t>
      </w:r>
      <w:proofErr w:type="spellEnd"/>
      <w:r w:rsidR="00885A11" w:rsidRPr="0063487A">
        <w:rPr>
          <w:rFonts w:asciiTheme="minorHAnsi" w:hAnsiTheme="minorHAnsi" w:cs="Arial"/>
          <w:sz w:val="18"/>
          <w:szCs w:val="18"/>
        </w:rPr>
        <w:t xml:space="preserve"> M. Gender disparity amongst TB suspects and new TB patients according to data recorded at the South African Institute of Medical Research laboratory for the Western Cape Region of South Africa. Int J </w:t>
      </w:r>
      <w:proofErr w:type="spellStart"/>
      <w:r w:rsidR="00885A11" w:rsidRPr="0063487A">
        <w:rPr>
          <w:rFonts w:asciiTheme="minorHAnsi" w:hAnsiTheme="minorHAnsi" w:cs="Arial"/>
          <w:sz w:val="18"/>
          <w:szCs w:val="18"/>
        </w:rPr>
        <w:t>Tuberc</w:t>
      </w:r>
      <w:proofErr w:type="spellEnd"/>
      <w:r w:rsidR="00885A11" w:rsidRPr="0063487A">
        <w:rPr>
          <w:rFonts w:asciiTheme="minorHAnsi" w:hAnsiTheme="minorHAnsi" w:cs="Arial"/>
          <w:sz w:val="18"/>
          <w:szCs w:val="18"/>
        </w:rPr>
        <w:t xml:space="preserve"> Lung Dis </w:t>
      </w:r>
      <w:r w:rsidR="00885A11" w:rsidRPr="0063487A">
        <w:rPr>
          <w:rFonts w:asciiTheme="minorHAnsi" w:hAnsiTheme="minorHAnsi" w:cs="Arial"/>
          <w:b/>
          <w:sz w:val="18"/>
          <w:szCs w:val="18"/>
        </w:rPr>
        <w:t>2004</w:t>
      </w:r>
      <w:r w:rsidR="00885A11" w:rsidRPr="0063487A">
        <w:rPr>
          <w:rFonts w:asciiTheme="minorHAnsi" w:hAnsiTheme="minorHAnsi" w:cs="Arial"/>
          <w:sz w:val="18"/>
          <w:szCs w:val="18"/>
        </w:rPr>
        <w:t xml:space="preserve"> Apr;</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8(4):</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435-9.</w:t>
      </w:r>
    </w:p>
    <w:p w:rsidR="00885A11"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885A11" w:rsidRPr="0063487A">
        <w:rPr>
          <w:rFonts w:asciiTheme="minorHAnsi" w:hAnsiTheme="minorHAnsi" w:cs="Arial"/>
          <w:sz w:val="18"/>
          <w:szCs w:val="18"/>
        </w:rPr>
        <w:t>33</w:t>
      </w:r>
      <w:r w:rsidRPr="0063487A">
        <w:rPr>
          <w:rFonts w:asciiTheme="minorHAnsi" w:hAnsiTheme="minorHAnsi" w:cs="Arial"/>
          <w:sz w:val="18"/>
          <w:szCs w:val="18"/>
        </w:rPr>
        <w:t>]</w:t>
      </w:r>
      <w:r w:rsidR="00885A11" w:rsidRPr="0063487A">
        <w:rPr>
          <w:rFonts w:asciiTheme="minorHAnsi" w:hAnsiTheme="minorHAnsi" w:cs="Arial"/>
          <w:sz w:val="18"/>
          <w:szCs w:val="18"/>
        </w:rPr>
        <w:t xml:space="preserve"> Waitt PI, </w:t>
      </w:r>
      <w:proofErr w:type="spellStart"/>
      <w:r w:rsidR="00885A11" w:rsidRPr="0063487A">
        <w:rPr>
          <w:rFonts w:asciiTheme="minorHAnsi" w:hAnsiTheme="minorHAnsi" w:cs="Arial"/>
          <w:sz w:val="18"/>
          <w:szCs w:val="18"/>
        </w:rPr>
        <w:t>Mukaka</w:t>
      </w:r>
      <w:proofErr w:type="spellEnd"/>
      <w:r w:rsidR="00885A11" w:rsidRPr="0063487A">
        <w:rPr>
          <w:rFonts w:asciiTheme="minorHAnsi" w:hAnsiTheme="minorHAnsi" w:cs="Arial"/>
          <w:sz w:val="18"/>
          <w:szCs w:val="18"/>
        </w:rPr>
        <w:t xml:space="preserve"> M, Goodson P et al. Sepsis carries a high mortality among hospitalised adults in Malawi in the era of antiretroviral therapy scale-up: a longitudinal cohort study. J Infect </w:t>
      </w:r>
      <w:r w:rsidR="00885A11" w:rsidRPr="0063487A">
        <w:rPr>
          <w:rFonts w:asciiTheme="minorHAnsi" w:hAnsiTheme="minorHAnsi" w:cs="Arial"/>
          <w:b/>
          <w:sz w:val="18"/>
          <w:szCs w:val="18"/>
        </w:rPr>
        <w:t>2015</w:t>
      </w:r>
      <w:r w:rsidR="00885A11" w:rsidRPr="0063487A">
        <w:rPr>
          <w:rFonts w:asciiTheme="minorHAnsi" w:hAnsiTheme="minorHAnsi" w:cs="Arial"/>
          <w:sz w:val="18"/>
          <w:szCs w:val="18"/>
        </w:rPr>
        <w:t>;</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70:</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11-19.</w:t>
      </w:r>
    </w:p>
    <w:p w:rsidR="00885A11" w:rsidRPr="0063487A" w:rsidRDefault="007A64CA" w:rsidP="00443E7E">
      <w:pPr>
        <w:spacing w:line="480" w:lineRule="auto"/>
        <w:contextualSpacing/>
        <w:rPr>
          <w:rFonts w:asciiTheme="minorHAnsi" w:hAnsiTheme="minorHAnsi" w:cs="Arial"/>
          <w:sz w:val="18"/>
          <w:szCs w:val="18"/>
        </w:rPr>
      </w:pPr>
      <w:r w:rsidRPr="0063487A">
        <w:rPr>
          <w:rFonts w:asciiTheme="minorHAnsi" w:hAnsiTheme="minorHAnsi" w:cs="Arial"/>
          <w:sz w:val="18"/>
          <w:szCs w:val="18"/>
        </w:rPr>
        <w:t>[</w:t>
      </w:r>
      <w:r w:rsidR="00885A11" w:rsidRPr="0063487A">
        <w:rPr>
          <w:rFonts w:asciiTheme="minorHAnsi" w:hAnsiTheme="minorHAnsi" w:cs="Arial"/>
          <w:sz w:val="18"/>
          <w:szCs w:val="18"/>
        </w:rPr>
        <w:t>34</w:t>
      </w:r>
      <w:r w:rsidRPr="0063487A">
        <w:rPr>
          <w:rFonts w:asciiTheme="minorHAnsi" w:hAnsiTheme="minorHAnsi" w:cs="Arial"/>
          <w:sz w:val="18"/>
          <w:szCs w:val="18"/>
        </w:rPr>
        <w:t xml:space="preserve">] </w:t>
      </w:r>
      <w:r w:rsidR="00885A11" w:rsidRPr="0063487A">
        <w:rPr>
          <w:rFonts w:asciiTheme="minorHAnsi" w:hAnsiTheme="minorHAnsi" w:cs="Arial"/>
          <w:sz w:val="18"/>
          <w:szCs w:val="18"/>
        </w:rPr>
        <w:t xml:space="preserve">Johnson PDR, Irving LB, </w:t>
      </w:r>
      <w:proofErr w:type="spellStart"/>
      <w:r w:rsidR="00885A11" w:rsidRPr="0063487A">
        <w:rPr>
          <w:rFonts w:asciiTheme="minorHAnsi" w:hAnsiTheme="minorHAnsi" w:cs="Arial"/>
          <w:sz w:val="18"/>
          <w:szCs w:val="18"/>
        </w:rPr>
        <w:t>Turnidge</w:t>
      </w:r>
      <w:proofErr w:type="spellEnd"/>
      <w:r w:rsidR="00885A11" w:rsidRPr="0063487A">
        <w:rPr>
          <w:rFonts w:asciiTheme="minorHAnsi" w:hAnsiTheme="minorHAnsi" w:cs="Arial"/>
          <w:sz w:val="18"/>
          <w:szCs w:val="18"/>
        </w:rPr>
        <w:t xml:space="preserve"> JD. Medical Journal of Australia practice essentials – infectious disease. 3: Community-acquired pneumonia. Med J </w:t>
      </w:r>
      <w:proofErr w:type="spellStart"/>
      <w:r w:rsidR="00885A11" w:rsidRPr="0063487A">
        <w:rPr>
          <w:rFonts w:asciiTheme="minorHAnsi" w:hAnsiTheme="minorHAnsi" w:cs="Arial"/>
          <w:sz w:val="18"/>
          <w:szCs w:val="18"/>
        </w:rPr>
        <w:t>Aust</w:t>
      </w:r>
      <w:proofErr w:type="spellEnd"/>
      <w:r w:rsidR="00885A11" w:rsidRPr="0063487A">
        <w:rPr>
          <w:rFonts w:asciiTheme="minorHAnsi" w:hAnsiTheme="minorHAnsi" w:cs="Arial"/>
          <w:sz w:val="18"/>
          <w:szCs w:val="18"/>
        </w:rPr>
        <w:t xml:space="preserve"> </w:t>
      </w:r>
      <w:r w:rsidR="00885A11" w:rsidRPr="0063487A">
        <w:rPr>
          <w:rFonts w:asciiTheme="minorHAnsi" w:hAnsiTheme="minorHAnsi" w:cs="Arial"/>
          <w:b/>
          <w:sz w:val="18"/>
          <w:szCs w:val="18"/>
        </w:rPr>
        <w:t>2002</w:t>
      </w:r>
      <w:r w:rsidR="00885A11" w:rsidRPr="0063487A">
        <w:rPr>
          <w:rFonts w:asciiTheme="minorHAnsi" w:hAnsiTheme="minorHAnsi" w:cs="Arial"/>
          <w:sz w:val="18"/>
          <w:szCs w:val="18"/>
        </w:rPr>
        <w:t>;</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176(7):</w:t>
      </w:r>
      <w:r w:rsidR="004A4A90" w:rsidRPr="0063487A">
        <w:rPr>
          <w:rFonts w:asciiTheme="minorHAnsi" w:hAnsiTheme="minorHAnsi" w:cs="Arial"/>
          <w:sz w:val="18"/>
          <w:szCs w:val="18"/>
        </w:rPr>
        <w:t xml:space="preserve"> </w:t>
      </w:r>
      <w:r w:rsidR="00885A11" w:rsidRPr="0063487A">
        <w:rPr>
          <w:rFonts w:asciiTheme="minorHAnsi" w:hAnsiTheme="minorHAnsi" w:cs="Arial"/>
          <w:sz w:val="18"/>
          <w:szCs w:val="18"/>
        </w:rPr>
        <w:t>341-7.</w:t>
      </w:r>
    </w:p>
    <w:p w:rsidR="00861EFE" w:rsidRPr="0063487A" w:rsidRDefault="00861EFE">
      <w:pPr>
        <w:spacing w:after="0" w:line="240" w:lineRule="auto"/>
        <w:rPr>
          <w:rFonts w:asciiTheme="minorHAnsi" w:hAnsiTheme="minorHAnsi" w:cs="Arial"/>
          <w:sz w:val="18"/>
          <w:szCs w:val="18"/>
        </w:rPr>
      </w:pPr>
      <w:r w:rsidRPr="0063487A">
        <w:rPr>
          <w:rFonts w:asciiTheme="minorHAnsi" w:hAnsiTheme="minorHAnsi" w:cs="Arial"/>
          <w:sz w:val="18"/>
          <w:szCs w:val="18"/>
        </w:rPr>
        <w:br w:type="page"/>
      </w:r>
    </w:p>
    <w:p w:rsidR="007A64CA" w:rsidRPr="0063487A" w:rsidRDefault="007A64CA" w:rsidP="007A64CA">
      <w:pPr>
        <w:contextualSpacing/>
        <w:rPr>
          <w:rFonts w:asciiTheme="minorHAnsi" w:hAnsiTheme="minorHAnsi" w:cs="Arial"/>
          <w:b/>
          <w:sz w:val="24"/>
          <w:szCs w:val="24"/>
          <w:u w:val="single"/>
        </w:rPr>
      </w:pPr>
      <w:r w:rsidRPr="0063487A">
        <w:rPr>
          <w:rFonts w:asciiTheme="minorHAnsi" w:hAnsiTheme="minorHAnsi" w:cs="Arial"/>
          <w:b/>
          <w:sz w:val="24"/>
          <w:szCs w:val="24"/>
          <w:u w:val="single"/>
        </w:rPr>
        <w:lastRenderedPageBreak/>
        <w:t>Tables and Figures</w:t>
      </w: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r w:rsidRPr="0063487A">
        <w:rPr>
          <w:rFonts w:asciiTheme="minorHAnsi" w:hAnsiTheme="minorHAnsi"/>
          <w:color w:val="000000"/>
          <w:sz w:val="20"/>
          <w:szCs w:val="20"/>
        </w:rPr>
        <w:t xml:space="preserve">Table </w:t>
      </w:r>
      <w:r w:rsidR="00211005">
        <w:rPr>
          <w:rFonts w:asciiTheme="minorHAnsi" w:hAnsiTheme="minorHAnsi"/>
          <w:color w:val="000000"/>
          <w:sz w:val="20"/>
          <w:szCs w:val="20"/>
        </w:rPr>
        <w:t>1</w:t>
      </w:r>
      <w:r w:rsidRPr="0063487A">
        <w:rPr>
          <w:rFonts w:asciiTheme="minorHAnsi" w:hAnsiTheme="minorHAnsi"/>
          <w:color w:val="000000"/>
          <w:sz w:val="20"/>
          <w:szCs w:val="20"/>
        </w:rPr>
        <w:t xml:space="preserve">. </w:t>
      </w:r>
      <w:r w:rsidR="00E32271" w:rsidRPr="0063487A">
        <w:rPr>
          <w:rFonts w:asciiTheme="minorHAnsi" w:hAnsiTheme="minorHAnsi"/>
          <w:color w:val="000000"/>
          <w:sz w:val="20"/>
          <w:szCs w:val="20"/>
        </w:rPr>
        <w:t>C</w:t>
      </w:r>
      <w:r w:rsidRPr="0063487A">
        <w:rPr>
          <w:rFonts w:asciiTheme="minorHAnsi" w:hAnsiTheme="minorHAnsi"/>
          <w:color w:val="000000"/>
          <w:sz w:val="20"/>
          <w:szCs w:val="20"/>
        </w:rPr>
        <w:t xml:space="preserve">haracteristics </w:t>
      </w:r>
      <w:r w:rsidR="00E32271" w:rsidRPr="0063487A">
        <w:rPr>
          <w:rFonts w:asciiTheme="minorHAnsi" w:hAnsiTheme="minorHAnsi"/>
          <w:color w:val="000000"/>
          <w:sz w:val="20"/>
          <w:szCs w:val="20"/>
        </w:rPr>
        <w:t xml:space="preserve">of </w:t>
      </w:r>
      <w:r w:rsidRPr="0063487A">
        <w:rPr>
          <w:rFonts w:asciiTheme="minorHAnsi" w:hAnsiTheme="minorHAnsi"/>
          <w:color w:val="000000"/>
          <w:sz w:val="20"/>
          <w:szCs w:val="20"/>
        </w:rPr>
        <w:t>pa</w:t>
      </w:r>
      <w:r w:rsidR="00E32271" w:rsidRPr="0063487A">
        <w:rPr>
          <w:rFonts w:asciiTheme="minorHAnsi" w:hAnsiTheme="minorHAnsi"/>
          <w:color w:val="000000"/>
          <w:sz w:val="20"/>
          <w:szCs w:val="20"/>
        </w:rPr>
        <w:t>rticipant</w:t>
      </w:r>
      <w:r w:rsidRPr="0063487A">
        <w:rPr>
          <w:rFonts w:asciiTheme="minorHAnsi" w:hAnsiTheme="minorHAnsi"/>
          <w:color w:val="000000"/>
          <w:sz w:val="20"/>
          <w:szCs w:val="20"/>
        </w:rPr>
        <w:t>s included in the analy</w:t>
      </w:r>
      <w:r w:rsidR="001135DA">
        <w:rPr>
          <w:rFonts w:asciiTheme="minorHAnsi" w:hAnsiTheme="minorHAnsi"/>
          <w:color w:val="000000"/>
          <w:sz w:val="20"/>
          <w:szCs w:val="20"/>
        </w:rPr>
        <w:t>sis and those lost to follow-up</w:t>
      </w:r>
      <w:r w:rsidRPr="0063487A">
        <w:rPr>
          <w:rFonts w:asciiTheme="minorHAnsi" w:hAnsiTheme="minorHAnsi"/>
          <w:color w:val="000000"/>
          <w:sz w:val="20"/>
          <w:szCs w:val="20"/>
        </w:rPr>
        <w:t>. Statistical comparisons were made</w:t>
      </w:r>
      <w:r w:rsidR="001135DA">
        <w:rPr>
          <w:rFonts w:asciiTheme="minorHAnsi" w:hAnsiTheme="minorHAnsi"/>
          <w:color w:val="000000"/>
          <w:sz w:val="20"/>
          <w:szCs w:val="20"/>
        </w:rPr>
        <w:t>.</w:t>
      </w:r>
    </w:p>
    <w:tbl>
      <w:tblPr>
        <w:tblW w:w="9322" w:type="dxa"/>
        <w:tblBorders>
          <w:top w:val="single" w:sz="8" w:space="0" w:color="000000"/>
          <w:bottom w:val="single" w:sz="8" w:space="0" w:color="000000"/>
        </w:tblBorders>
        <w:tblLayout w:type="fixed"/>
        <w:tblLook w:val="00A0" w:firstRow="1" w:lastRow="0" w:firstColumn="1" w:lastColumn="0" w:noHBand="0" w:noVBand="0"/>
      </w:tblPr>
      <w:tblGrid>
        <w:gridCol w:w="2093"/>
        <w:gridCol w:w="690"/>
        <w:gridCol w:w="876"/>
        <w:gridCol w:w="975"/>
        <w:gridCol w:w="920"/>
        <w:gridCol w:w="1801"/>
        <w:gridCol w:w="864"/>
        <w:gridCol w:w="1103"/>
      </w:tblGrid>
      <w:tr w:rsidR="007A64CA" w:rsidRPr="0063487A" w:rsidTr="007A64CA">
        <w:tc>
          <w:tcPr>
            <w:tcW w:w="2093" w:type="dxa"/>
            <w:tcBorders>
              <w:top w:val="single" w:sz="8" w:space="0" w:color="000000"/>
              <w:left w:val="nil"/>
              <w:bottom w:val="single" w:sz="8" w:space="0" w:color="000000"/>
              <w:right w:val="nil"/>
            </w:tcBorders>
            <w:shd w:val="clear" w:color="auto" w:fill="auto"/>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bCs/>
                <w:color w:val="FFFFFF"/>
              </w:rPr>
            </w:pPr>
          </w:p>
        </w:tc>
        <w:tc>
          <w:tcPr>
            <w:tcW w:w="1566" w:type="dxa"/>
            <w:gridSpan w:val="2"/>
            <w:tcBorders>
              <w:top w:val="single" w:sz="8" w:space="0" w:color="000000"/>
              <w:left w:val="nil"/>
              <w:bottom w:val="single" w:sz="8" w:space="0" w:color="000000"/>
              <w:right w:val="nil"/>
            </w:tcBorders>
            <w:shd w:val="clear" w:color="auto" w:fill="auto"/>
            <w:vAlign w:val="center"/>
          </w:tcPr>
          <w:p w:rsidR="007A64CA" w:rsidRPr="0063487A" w:rsidRDefault="007A64CA" w:rsidP="00E32271">
            <w:pPr>
              <w:tabs>
                <w:tab w:val="left" w:pos="2417"/>
              </w:tabs>
              <w:spacing w:after="0" w:line="240" w:lineRule="auto"/>
              <w:contextualSpacing/>
              <w:jc w:val="center"/>
              <w:rPr>
                <w:rFonts w:asciiTheme="minorHAnsi" w:hAnsiTheme="minorHAnsi" w:cs="Arial"/>
                <w:b/>
                <w:bCs/>
              </w:rPr>
            </w:pPr>
            <w:r w:rsidRPr="0063487A">
              <w:rPr>
                <w:rFonts w:asciiTheme="minorHAnsi" w:hAnsiTheme="minorHAnsi" w:cs="Arial"/>
                <w:b/>
                <w:bCs/>
              </w:rPr>
              <w:t>Pa</w:t>
            </w:r>
            <w:r w:rsidR="00E32271" w:rsidRPr="0063487A">
              <w:rPr>
                <w:rFonts w:asciiTheme="minorHAnsi" w:hAnsiTheme="minorHAnsi" w:cs="Arial"/>
                <w:b/>
                <w:bCs/>
              </w:rPr>
              <w:t>rticipant</w:t>
            </w:r>
            <w:r w:rsidRPr="0063487A">
              <w:rPr>
                <w:rFonts w:asciiTheme="minorHAnsi" w:hAnsiTheme="minorHAnsi" w:cs="Arial"/>
                <w:b/>
                <w:bCs/>
              </w:rPr>
              <w:t>s included in analysis</w:t>
            </w:r>
          </w:p>
        </w:tc>
        <w:tc>
          <w:tcPr>
            <w:tcW w:w="1895" w:type="dxa"/>
            <w:gridSpan w:val="2"/>
            <w:tcBorders>
              <w:top w:val="single" w:sz="8" w:space="0" w:color="000000"/>
              <w:left w:val="nil"/>
              <w:bottom w:val="single" w:sz="8" w:space="0" w:color="000000"/>
              <w:right w:val="nil"/>
            </w:tcBorders>
            <w:shd w:val="clear" w:color="auto" w:fill="auto"/>
            <w:vAlign w:val="center"/>
          </w:tcPr>
          <w:p w:rsidR="007A64CA" w:rsidRPr="0063487A" w:rsidRDefault="007A64CA" w:rsidP="00E32271">
            <w:pPr>
              <w:tabs>
                <w:tab w:val="left" w:pos="2417"/>
              </w:tabs>
              <w:spacing w:after="0" w:line="240" w:lineRule="auto"/>
              <w:contextualSpacing/>
              <w:jc w:val="center"/>
              <w:rPr>
                <w:rFonts w:asciiTheme="minorHAnsi" w:hAnsiTheme="minorHAnsi" w:cs="Arial"/>
                <w:b/>
                <w:bCs/>
              </w:rPr>
            </w:pPr>
            <w:r w:rsidRPr="0063487A">
              <w:rPr>
                <w:rFonts w:asciiTheme="minorHAnsi" w:hAnsiTheme="minorHAnsi" w:cs="Arial"/>
                <w:b/>
                <w:bCs/>
              </w:rPr>
              <w:t>Pa</w:t>
            </w:r>
            <w:r w:rsidR="00E32271" w:rsidRPr="0063487A">
              <w:rPr>
                <w:rFonts w:asciiTheme="minorHAnsi" w:hAnsiTheme="minorHAnsi" w:cs="Arial"/>
                <w:b/>
                <w:bCs/>
              </w:rPr>
              <w:t>rticipant</w:t>
            </w:r>
            <w:r w:rsidRPr="0063487A">
              <w:rPr>
                <w:rFonts w:asciiTheme="minorHAnsi" w:hAnsiTheme="minorHAnsi" w:cs="Arial"/>
                <w:b/>
                <w:bCs/>
              </w:rPr>
              <w:t>s lost to follow-up</w:t>
            </w:r>
          </w:p>
        </w:tc>
        <w:tc>
          <w:tcPr>
            <w:tcW w:w="3768" w:type="dxa"/>
            <w:gridSpan w:val="3"/>
            <w:tcBorders>
              <w:top w:val="single" w:sz="8" w:space="0" w:color="000000"/>
              <w:left w:val="nil"/>
              <w:bottom w:val="single" w:sz="8" w:space="0" w:color="000000"/>
              <w:right w:val="nil"/>
            </w:tcBorders>
            <w:shd w:val="clear" w:color="auto" w:fill="auto"/>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bCs/>
              </w:rPr>
            </w:pPr>
            <w:r w:rsidRPr="0063487A">
              <w:rPr>
                <w:rFonts w:asciiTheme="minorHAnsi" w:hAnsiTheme="minorHAnsi" w:cs="Arial"/>
                <w:b/>
              </w:rPr>
              <w:t>Comparison</w:t>
            </w:r>
          </w:p>
        </w:tc>
      </w:tr>
      <w:tr w:rsidR="007A64CA" w:rsidRPr="0063487A" w:rsidTr="007A64CA">
        <w:tc>
          <w:tcPr>
            <w:tcW w:w="2093" w:type="dxa"/>
            <w:tcBorders>
              <w:left w:val="nil"/>
              <w:bottom w:val="nil"/>
              <w:right w:val="nil"/>
            </w:tcBorders>
            <w:shd w:val="clear" w:color="auto" w:fill="auto"/>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bCs/>
                <w:color w:val="FFFFFF"/>
              </w:rPr>
            </w:pPr>
          </w:p>
        </w:tc>
        <w:tc>
          <w:tcPr>
            <w:tcW w:w="690" w:type="dxa"/>
            <w:tcBorders>
              <w:left w:val="nil"/>
              <w:right w:val="nil"/>
            </w:tcBorders>
            <w:shd w:val="clear" w:color="auto" w:fill="auto"/>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rPr>
            </w:pPr>
            <w:r w:rsidRPr="0063487A">
              <w:rPr>
                <w:rFonts w:asciiTheme="minorHAnsi" w:hAnsiTheme="minorHAnsi" w:cs="Arial"/>
                <w:b/>
              </w:rPr>
              <w:t>N</w:t>
            </w:r>
          </w:p>
        </w:tc>
        <w:tc>
          <w:tcPr>
            <w:tcW w:w="876" w:type="dxa"/>
            <w:tcBorders>
              <w:left w:val="nil"/>
              <w:right w:val="nil"/>
            </w:tcBorders>
            <w:shd w:val="clear" w:color="auto" w:fill="auto"/>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rPr>
            </w:pPr>
            <w:r w:rsidRPr="0063487A">
              <w:rPr>
                <w:rFonts w:asciiTheme="minorHAnsi" w:hAnsiTheme="minorHAnsi" w:cs="Arial"/>
                <w:b/>
              </w:rPr>
              <w:t>%</w:t>
            </w:r>
          </w:p>
        </w:tc>
        <w:tc>
          <w:tcPr>
            <w:tcW w:w="975" w:type="dxa"/>
            <w:tcBorders>
              <w:left w:val="nil"/>
              <w:bottom w:val="nil"/>
              <w:right w:val="nil"/>
            </w:tcBorders>
            <w:shd w:val="clear" w:color="auto" w:fill="auto"/>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rPr>
            </w:pPr>
            <w:r w:rsidRPr="0063487A">
              <w:rPr>
                <w:rFonts w:asciiTheme="minorHAnsi" w:hAnsiTheme="minorHAnsi" w:cs="Arial"/>
                <w:b/>
              </w:rPr>
              <w:t>N</w:t>
            </w:r>
          </w:p>
        </w:tc>
        <w:tc>
          <w:tcPr>
            <w:tcW w:w="920" w:type="dxa"/>
            <w:tcBorders>
              <w:left w:val="nil"/>
              <w:bottom w:val="nil"/>
              <w:right w:val="nil"/>
            </w:tcBorders>
            <w:shd w:val="clear" w:color="auto" w:fill="auto"/>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rPr>
            </w:pPr>
            <w:r w:rsidRPr="0063487A">
              <w:rPr>
                <w:rFonts w:asciiTheme="minorHAnsi" w:hAnsiTheme="minorHAnsi" w:cs="Arial"/>
                <w:b/>
              </w:rPr>
              <w:t>%</w:t>
            </w:r>
          </w:p>
        </w:tc>
        <w:tc>
          <w:tcPr>
            <w:tcW w:w="1801" w:type="dxa"/>
            <w:tcBorders>
              <w:top w:val="nil"/>
              <w:left w:val="nil"/>
              <w:bottom w:val="nil"/>
              <w:right w:val="nil"/>
            </w:tcBorders>
            <w:shd w:val="clear" w:color="auto" w:fill="auto"/>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rPr>
            </w:pPr>
            <w:r w:rsidRPr="0063487A">
              <w:rPr>
                <w:rFonts w:asciiTheme="minorHAnsi" w:hAnsiTheme="minorHAnsi" w:cs="Arial"/>
                <w:b/>
              </w:rPr>
              <w:t>Test</w:t>
            </w:r>
          </w:p>
        </w:tc>
        <w:tc>
          <w:tcPr>
            <w:tcW w:w="864" w:type="dxa"/>
            <w:tcBorders>
              <w:left w:val="nil"/>
              <w:bottom w:val="nil"/>
              <w:right w:val="nil"/>
            </w:tcBorders>
            <w:shd w:val="clear" w:color="auto" w:fill="auto"/>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rPr>
            </w:pPr>
            <w:r w:rsidRPr="0063487A">
              <w:rPr>
                <w:rFonts w:asciiTheme="minorHAnsi" w:hAnsiTheme="minorHAnsi" w:cs="Arial"/>
                <w:b/>
              </w:rPr>
              <w:t>Value</w:t>
            </w:r>
          </w:p>
        </w:tc>
        <w:tc>
          <w:tcPr>
            <w:tcW w:w="1103" w:type="dxa"/>
            <w:tcBorders>
              <w:left w:val="nil"/>
              <w:bottom w:val="nil"/>
              <w:right w:val="nil"/>
            </w:tcBorders>
            <w:shd w:val="clear" w:color="auto" w:fill="auto"/>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rPr>
            </w:pPr>
            <w:r w:rsidRPr="0063487A">
              <w:rPr>
                <w:rFonts w:asciiTheme="minorHAnsi" w:hAnsiTheme="minorHAnsi" w:cs="Arial"/>
                <w:b/>
              </w:rPr>
              <w:t>P-value*</w:t>
            </w:r>
          </w:p>
        </w:tc>
      </w:tr>
      <w:tr w:rsidR="007A64CA" w:rsidRPr="0063487A" w:rsidTr="007A64CA">
        <w:tc>
          <w:tcPr>
            <w:tcW w:w="2093" w:type="dxa"/>
            <w:tcBorders>
              <w:top w:val="nil"/>
              <w:left w:val="nil"/>
              <w:bottom w:val="nil"/>
            </w:tcBorders>
            <w:shd w:val="clear" w:color="auto" w:fill="FFFFFF"/>
            <w:vAlign w:val="center"/>
          </w:tcPr>
          <w:p w:rsidR="007A64CA" w:rsidRPr="0063487A" w:rsidRDefault="007A64CA" w:rsidP="007A64CA">
            <w:pPr>
              <w:tabs>
                <w:tab w:val="left" w:pos="2417"/>
              </w:tabs>
              <w:spacing w:after="0" w:line="240" w:lineRule="auto"/>
              <w:contextualSpacing/>
              <w:rPr>
                <w:rFonts w:asciiTheme="minorHAnsi" w:hAnsiTheme="minorHAnsi" w:cs="Arial"/>
                <w:b/>
                <w:bCs/>
                <w:color w:val="000000"/>
              </w:rPr>
            </w:pPr>
            <w:r w:rsidRPr="0063487A">
              <w:rPr>
                <w:rFonts w:asciiTheme="minorHAnsi" w:hAnsiTheme="minorHAnsi" w:cs="Arial"/>
                <w:b/>
                <w:bCs/>
                <w:color w:val="000000"/>
              </w:rPr>
              <w:t>Total cohort</w:t>
            </w:r>
          </w:p>
        </w:tc>
        <w:tc>
          <w:tcPr>
            <w:tcW w:w="690" w:type="dxa"/>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216</w:t>
            </w:r>
          </w:p>
        </w:tc>
        <w:tc>
          <w:tcPr>
            <w:tcW w:w="876" w:type="dxa"/>
            <w:tcBorders>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100</w:t>
            </w:r>
          </w:p>
        </w:tc>
        <w:tc>
          <w:tcPr>
            <w:tcW w:w="975" w:type="dxa"/>
            <w:tcBorders>
              <w:top w:val="nil"/>
              <w:lef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18</w:t>
            </w:r>
          </w:p>
        </w:tc>
        <w:tc>
          <w:tcPr>
            <w:tcW w:w="920" w:type="dxa"/>
            <w:tcBorders>
              <w:top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100</w:t>
            </w:r>
          </w:p>
        </w:tc>
        <w:tc>
          <w:tcPr>
            <w:tcW w:w="1801" w:type="dxa"/>
            <w:tcBorders>
              <w:top w:val="nil"/>
              <w:left w:val="nil"/>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c>
          <w:tcPr>
            <w:tcW w:w="864" w:type="dxa"/>
            <w:tcBorders>
              <w:top w:val="nil"/>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c>
          <w:tcPr>
            <w:tcW w:w="1103" w:type="dxa"/>
            <w:tcBorders>
              <w:top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r>
      <w:tr w:rsidR="007A64CA" w:rsidRPr="0063487A" w:rsidTr="007A64CA">
        <w:tc>
          <w:tcPr>
            <w:tcW w:w="2093"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rPr>
                <w:rFonts w:asciiTheme="minorHAnsi" w:hAnsiTheme="minorHAnsi" w:cs="Arial"/>
                <w:b/>
                <w:bCs/>
                <w:color w:val="000000"/>
              </w:rPr>
            </w:pPr>
            <w:r w:rsidRPr="0063487A">
              <w:rPr>
                <w:rFonts w:asciiTheme="minorHAnsi" w:hAnsiTheme="minorHAnsi" w:cs="Arial"/>
                <w:b/>
                <w:bCs/>
                <w:color w:val="000000"/>
              </w:rPr>
              <w:t>Male</w:t>
            </w:r>
          </w:p>
        </w:tc>
        <w:tc>
          <w:tcPr>
            <w:tcW w:w="690" w:type="dxa"/>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90</w:t>
            </w:r>
          </w:p>
        </w:tc>
        <w:tc>
          <w:tcPr>
            <w:tcW w:w="876" w:type="dxa"/>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41.7</w:t>
            </w:r>
          </w:p>
        </w:tc>
        <w:tc>
          <w:tcPr>
            <w:tcW w:w="975" w:type="dxa"/>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10</w:t>
            </w:r>
          </w:p>
        </w:tc>
        <w:tc>
          <w:tcPr>
            <w:tcW w:w="920"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55.6</w:t>
            </w:r>
          </w:p>
        </w:tc>
        <w:tc>
          <w:tcPr>
            <w:tcW w:w="1801"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χ²</w:t>
            </w:r>
          </w:p>
        </w:tc>
        <w:tc>
          <w:tcPr>
            <w:tcW w:w="864"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1.3</w:t>
            </w:r>
          </w:p>
        </w:tc>
        <w:tc>
          <w:tcPr>
            <w:tcW w:w="1103"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0.25</w:t>
            </w:r>
          </w:p>
        </w:tc>
      </w:tr>
      <w:tr w:rsidR="007A64CA" w:rsidRPr="0063487A" w:rsidTr="007A64CA">
        <w:tc>
          <w:tcPr>
            <w:tcW w:w="2093" w:type="dxa"/>
            <w:tcBorders>
              <w:top w:val="nil"/>
              <w:left w:val="nil"/>
              <w:bottom w:val="nil"/>
            </w:tcBorders>
            <w:shd w:val="clear" w:color="auto" w:fill="FFFFFF"/>
            <w:vAlign w:val="center"/>
          </w:tcPr>
          <w:p w:rsidR="007A64CA" w:rsidRPr="0063487A" w:rsidRDefault="007A64CA" w:rsidP="007A64CA">
            <w:pPr>
              <w:tabs>
                <w:tab w:val="left" w:pos="2417"/>
              </w:tabs>
              <w:spacing w:after="0" w:line="240" w:lineRule="auto"/>
              <w:contextualSpacing/>
              <w:rPr>
                <w:rFonts w:asciiTheme="minorHAnsi" w:hAnsiTheme="minorHAnsi" w:cs="Arial"/>
                <w:b/>
                <w:bCs/>
                <w:color w:val="000000"/>
              </w:rPr>
            </w:pPr>
            <w:r w:rsidRPr="0063487A">
              <w:rPr>
                <w:rFonts w:asciiTheme="minorHAnsi" w:hAnsiTheme="minorHAnsi" w:cs="Arial"/>
                <w:b/>
                <w:bCs/>
                <w:color w:val="000000"/>
              </w:rPr>
              <w:t>In-hospital Mortalities</w:t>
            </w:r>
          </w:p>
        </w:tc>
        <w:tc>
          <w:tcPr>
            <w:tcW w:w="690" w:type="dxa"/>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27</w:t>
            </w:r>
          </w:p>
        </w:tc>
        <w:tc>
          <w:tcPr>
            <w:tcW w:w="876" w:type="dxa"/>
            <w:tcBorders>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12.5</w:t>
            </w:r>
          </w:p>
        </w:tc>
        <w:tc>
          <w:tcPr>
            <w:tcW w:w="975" w:type="dxa"/>
            <w:tcBorders>
              <w:lef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c>
          <w:tcPr>
            <w:tcW w:w="920" w:type="dxa"/>
            <w:tcBorders>
              <w:top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c>
          <w:tcPr>
            <w:tcW w:w="1801" w:type="dxa"/>
            <w:tcBorders>
              <w:top w:val="nil"/>
              <w:left w:val="nil"/>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c>
          <w:tcPr>
            <w:tcW w:w="864" w:type="dxa"/>
            <w:tcBorders>
              <w:top w:val="nil"/>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c>
          <w:tcPr>
            <w:tcW w:w="1103" w:type="dxa"/>
            <w:tcBorders>
              <w:top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r>
      <w:tr w:rsidR="007A64CA" w:rsidRPr="0063487A" w:rsidTr="007A64CA">
        <w:tc>
          <w:tcPr>
            <w:tcW w:w="2093"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rPr>
                <w:rFonts w:asciiTheme="minorHAnsi" w:hAnsiTheme="minorHAnsi" w:cs="Arial"/>
                <w:b/>
                <w:bCs/>
                <w:color w:val="000000"/>
              </w:rPr>
            </w:pPr>
            <w:r w:rsidRPr="0063487A">
              <w:rPr>
                <w:rFonts w:asciiTheme="minorHAnsi" w:hAnsiTheme="minorHAnsi" w:cs="Arial"/>
                <w:b/>
                <w:bCs/>
                <w:color w:val="000000"/>
              </w:rPr>
              <w:t>HIV positive (% of known)</w:t>
            </w:r>
          </w:p>
        </w:tc>
        <w:tc>
          <w:tcPr>
            <w:tcW w:w="690" w:type="dxa"/>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144</w:t>
            </w:r>
          </w:p>
        </w:tc>
        <w:tc>
          <w:tcPr>
            <w:tcW w:w="876" w:type="dxa"/>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84.2</w:t>
            </w:r>
          </w:p>
        </w:tc>
        <w:tc>
          <w:tcPr>
            <w:tcW w:w="975" w:type="dxa"/>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10</w:t>
            </w:r>
          </w:p>
        </w:tc>
        <w:tc>
          <w:tcPr>
            <w:tcW w:w="920"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90.9</w:t>
            </w:r>
          </w:p>
        </w:tc>
        <w:tc>
          <w:tcPr>
            <w:tcW w:w="1801"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χ²</w:t>
            </w:r>
          </w:p>
        </w:tc>
        <w:tc>
          <w:tcPr>
            <w:tcW w:w="864" w:type="dxa"/>
            <w:tcBorders>
              <w:top w:val="nil"/>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0.36</w:t>
            </w:r>
          </w:p>
        </w:tc>
        <w:tc>
          <w:tcPr>
            <w:tcW w:w="1103" w:type="dxa"/>
            <w:tcBorders>
              <w:top w:val="nil"/>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0.55</w:t>
            </w:r>
          </w:p>
        </w:tc>
      </w:tr>
      <w:tr w:rsidR="007A64CA" w:rsidRPr="0063487A" w:rsidTr="007A64CA">
        <w:tc>
          <w:tcPr>
            <w:tcW w:w="2093" w:type="dxa"/>
            <w:tcBorders>
              <w:top w:val="nil"/>
              <w:left w:val="nil"/>
              <w:bottom w:val="nil"/>
            </w:tcBorders>
            <w:shd w:val="clear" w:color="auto" w:fill="FFFFFF"/>
            <w:vAlign w:val="center"/>
          </w:tcPr>
          <w:p w:rsidR="007A64CA" w:rsidRPr="0063487A" w:rsidRDefault="007A64CA" w:rsidP="007A64CA">
            <w:pPr>
              <w:tabs>
                <w:tab w:val="left" w:pos="2417"/>
              </w:tabs>
              <w:spacing w:after="0" w:line="240" w:lineRule="auto"/>
              <w:contextualSpacing/>
              <w:rPr>
                <w:rFonts w:asciiTheme="minorHAnsi" w:hAnsiTheme="minorHAnsi" w:cs="Arial"/>
                <w:b/>
                <w:bCs/>
                <w:color w:val="000000"/>
              </w:rPr>
            </w:pPr>
            <w:r w:rsidRPr="0063487A">
              <w:rPr>
                <w:rFonts w:asciiTheme="minorHAnsi" w:hAnsiTheme="minorHAnsi" w:cs="Arial"/>
                <w:b/>
                <w:bCs/>
                <w:color w:val="000000"/>
              </w:rPr>
              <w:t>HIV unknown</w:t>
            </w:r>
          </w:p>
        </w:tc>
        <w:tc>
          <w:tcPr>
            <w:tcW w:w="690" w:type="dxa"/>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45</w:t>
            </w:r>
          </w:p>
        </w:tc>
        <w:tc>
          <w:tcPr>
            <w:tcW w:w="876" w:type="dxa"/>
            <w:tcBorders>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20.8</w:t>
            </w:r>
          </w:p>
        </w:tc>
        <w:tc>
          <w:tcPr>
            <w:tcW w:w="975" w:type="dxa"/>
            <w:tcBorders>
              <w:lef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7</w:t>
            </w:r>
          </w:p>
        </w:tc>
        <w:tc>
          <w:tcPr>
            <w:tcW w:w="920" w:type="dxa"/>
            <w:tcBorders>
              <w:top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38.9</w:t>
            </w:r>
          </w:p>
        </w:tc>
        <w:tc>
          <w:tcPr>
            <w:tcW w:w="1801" w:type="dxa"/>
            <w:tcBorders>
              <w:top w:val="nil"/>
              <w:left w:val="nil"/>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χ²</w:t>
            </w:r>
          </w:p>
        </w:tc>
        <w:tc>
          <w:tcPr>
            <w:tcW w:w="864" w:type="dxa"/>
            <w:tcBorders>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3.1</w:t>
            </w:r>
          </w:p>
        </w:tc>
        <w:tc>
          <w:tcPr>
            <w:tcW w:w="1103" w:type="dxa"/>
            <w:tcBorders>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0.078</w:t>
            </w:r>
          </w:p>
        </w:tc>
      </w:tr>
      <w:tr w:rsidR="007A64CA" w:rsidRPr="0063487A" w:rsidTr="007A64CA">
        <w:tc>
          <w:tcPr>
            <w:tcW w:w="2093" w:type="dxa"/>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rPr>
                <w:rFonts w:asciiTheme="minorHAnsi" w:hAnsiTheme="minorHAnsi" w:cs="Arial"/>
                <w:b/>
                <w:bCs/>
                <w:color w:val="000000"/>
              </w:rPr>
            </w:pPr>
            <w:r w:rsidRPr="0063487A">
              <w:rPr>
                <w:rFonts w:asciiTheme="minorHAnsi" w:hAnsiTheme="minorHAnsi" w:cs="Arial"/>
                <w:b/>
                <w:bCs/>
                <w:color w:val="000000"/>
              </w:rPr>
              <w:t>Median admission (days)</w:t>
            </w:r>
          </w:p>
        </w:tc>
        <w:tc>
          <w:tcPr>
            <w:tcW w:w="690" w:type="dxa"/>
            <w:tcBorders>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6</w:t>
            </w:r>
          </w:p>
        </w:tc>
        <w:tc>
          <w:tcPr>
            <w:tcW w:w="876" w:type="dxa"/>
            <w:tcBorders>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c>
          <w:tcPr>
            <w:tcW w:w="975" w:type="dxa"/>
            <w:tcBorders>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c>
          <w:tcPr>
            <w:tcW w:w="920" w:type="dxa"/>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c>
          <w:tcPr>
            <w:tcW w:w="1801" w:type="dxa"/>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c>
          <w:tcPr>
            <w:tcW w:w="864" w:type="dxa"/>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c>
          <w:tcPr>
            <w:tcW w:w="1103" w:type="dxa"/>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r>
      <w:tr w:rsidR="007A64CA" w:rsidRPr="0063487A" w:rsidTr="007A64CA">
        <w:tc>
          <w:tcPr>
            <w:tcW w:w="2093" w:type="dxa"/>
            <w:tcBorders>
              <w:top w:val="single" w:sz="4" w:space="0" w:color="auto"/>
              <w:left w:val="nil"/>
              <w:bottom w:val="nil"/>
            </w:tcBorders>
            <w:shd w:val="clear" w:color="auto" w:fill="FFFFFF"/>
            <w:vAlign w:val="center"/>
          </w:tcPr>
          <w:p w:rsidR="007A64CA" w:rsidRPr="0063487A" w:rsidRDefault="007A64CA" w:rsidP="007A64CA">
            <w:pPr>
              <w:tabs>
                <w:tab w:val="left" w:pos="2417"/>
              </w:tabs>
              <w:spacing w:after="0" w:line="240" w:lineRule="auto"/>
              <w:contextualSpacing/>
              <w:rPr>
                <w:rFonts w:asciiTheme="minorHAnsi" w:hAnsiTheme="minorHAnsi" w:cs="Arial"/>
                <w:b/>
                <w:bCs/>
                <w:color w:val="000000"/>
              </w:rPr>
            </w:pPr>
            <w:r w:rsidRPr="0063487A">
              <w:rPr>
                <w:rFonts w:asciiTheme="minorHAnsi" w:hAnsiTheme="minorHAnsi" w:cs="Arial"/>
                <w:b/>
                <w:bCs/>
                <w:color w:val="000000"/>
              </w:rPr>
              <w:t>Median age (years)</w:t>
            </w:r>
          </w:p>
        </w:tc>
        <w:tc>
          <w:tcPr>
            <w:tcW w:w="690" w:type="dxa"/>
            <w:tcBorders>
              <w:top w:val="single" w:sz="4" w:space="0" w:color="auto"/>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35</w:t>
            </w:r>
          </w:p>
        </w:tc>
        <w:tc>
          <w:tcPr>
            <w:tcW w:w="876" w:type="dxa"/>
            <w:tcBorders>
              <w:top w:val="single" w:sz="4" w:space="0" w:color="auto"/>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c>
          <w:tcPr>
            <w:tcW w:w="975" w:type="dxa"/>
            <w:tcBorders>
              <w:top w:val="single" w:sz="4" w:space="0" w:color="auto"/>
              <w:left w:val="nil"/>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32</w:t>
            </w:r>
          </w:p>
        </w:tc>
        <w:tc>
          <w:tcPr>
            <w:tcW w:w="920" w:type="dxa"/>
            <w:tcBorders>
              <w:top w:val="single" w:sz="4" w:space="0" w:color="auto"/>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c>
          <w:tcPr>
            <w:tcW w:w="1801" w:type="dxa"/>
            <w:tcBorders>
              <w:top w:val="single" w:sz="4" w:space="0" w:color="auto"/>
              <w:left w:val="nil"/>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Independent Samples Median</w:t>
            </w:r>
          </w:p>
        </w:tc>
        <w:tc>
          <w:tcPr>
            <w:tcW w:w="864" w:type="dxa"/>
            <w:tcBorders>
              <w:top w:val="single" w:sz="4" w:space="0" w:color="auto"/>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2.96</w:t>
            </w:r>
          </w:p>
        </w:tc>
        <w:tc>
          <w:tcPr>
            <w:tcW w:w="1103" w:type="dxa"/>
            <w:tcBorders>
              <w:top w:val="single" w:sz="4" w:space="0" w:color="auto"/>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0.086</w:t>
            </w:r>
          </w:p>
        </w:tc>
      </w:tr>
      <w:tr w:rsidR="007A64CA" w:rsidRPr="0063487A" w:rsidTr="007A64CA">
        <w:tc>
          <w:tcPr>
            <w:tcW w:w="2093"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bCs/>
                <w:color w:val="000000"/>
              </w:rPr>
            </w:pPr>
            <w:r w:rsidRPr="0063487A">
              <w:rPr>
                <w:rFonts w:asciiTheme="minorHAnsi" w:hAnsiTheme="minorHAnsi" w:cs="Arial"/>
                <w:b/>
                <w:bCs/>
                <w:color w:val="000000"/>
              </w:rPr>
              <w:t>Age 16-24</w:t>
            </w:r>
          </w:p>
        </w:tc>
        <w:tc>
          <w:tcPr>
            <w:tcW w:w="690" w:type="dxa"/>
            <w:tcBorders>
              <w:top w:val="nil"/>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35</w:t>
            </w:r>
          </w:p>
        </w:tc>
        <w:tc>
          <w:tcPr>
            <w:tcW w:w="876" w:type="dxa"/>
            <w:tcBorders>
              <w:top w:val="nil"/>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16.2</w:t>
            </w:r>
          </w:p>
        </w:tc>
        <w:tc>
          <w:tcPr>
            <w:tcW w:w="975" w:type="dxa"/>
            <w:tcBorders>
              <w:top w:val="nil"/>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2</w:t>
            </w:r>
          </w:p>
        </w:tc>
        <w:tc>
          <w:tcPr>
            <w:tcW w:w="920"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11.1</w:t>
            </w:r>
          </w:p>
        </w:tc>
        <w:tc>
          <w:tcPr>
            <w:tcW w:w="1801" w:type="dxa"/>
            <w:vMerge w:val="restart"/>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c>
          <w:tcPr>
            <w:tcW w:w="864" w:type="dxa"/>
            <w:vMerge w:val="restart"/>
            <w:tcBorders>
              <w:top w:val="nil"/>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c>
          <w:tcPr>
            <w:tcW w:w="1103" w:type="dxa"/>
            <w:vMerge w:val="restart"/>
            <w:tcBorders>
              <w:top w:val="nil"/>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w:t>
            </w:r>
          </w:p>
        </w:tc>
      </w:tr>
      <w:tr w:rsidR="007A64CA" w:rsidRPr="0063487A" w:rsidTr="007A64CA">
        <w:tc>
          <w:tcPr>
            <w:tcW w:w="2093" w:type="dxa"/>
            <w:tcBorders>
              <w:top w:val="nil"/>
              <w:left w:val="nil"/>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bCs/>
                <w:color w:val="000000"/>
              </w:rPr>
            </w:pPr>
            <w:r w:rsidRPr="0063487A">
              <w:rPr>
                <w:rFonts w:asciiTheme="minorHAnsi" w:hAnsiTheme="minorHAnsi" w:cs="Arial"/>
                <w:b/>
                <w:bCs/>
                <w:color w:val="000000"/>
              </w:rPr>
              <w:t>Age 25-34</w:t>
            </w:r>
          </w:p>
        </w:tc>
        <w:tc>
          <w:tcPr>
            <w:tcW w:w="690" w:type="dxa"/>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67</w:t>
            </w:r>
          </w:p>
        </w:tc>
        <w:tc>
          <w:tcPr>
            <w:tcW w:w="876" w:type="dxa"/>
            <w:tcBorders>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31.0</w:t>
            </w:r>
          </w:p>
        </w:tc>
        <w:tc>
          <w:tcPr>
            <w:tcW w:w="975" w:type="dxa"/>
            <w:tcBorders>
              <w:lef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11</w:t>
            </w:r>
          </w:p>
        </w:tc>
        <w:tc>
          <w:tcPr>
            <w:tcW w:w="920" w:type="dxa"/>
            <w:tcBorders>
              <w:top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61.1</w:t>
            </w:r>
          </w:p>
        </w:tc>
        <w:tc>
          <w:tcPr>
            <w:tcW w:w="1801" w:type="dxa"/>
            <w:vMerge/>
            <w:tcBorders>
              <w:top w:val="nil"/>
              <w:left w:val="nil"/>
              <w:bottom w:val="single" w:sz="4" w:space="0" w:color="auto"/>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864" w:type="dxa"/>
            <w:vMerge/>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1103" w:type="dxa"/>
            <w:vMerge/>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r>
      <w:tr w:rsidR="007A64CA" w:rsidRPr="0063487A" w:rsidTr="007A64CA">
        <w:tc>
          <w:tcPr>
            <w:tcW w:w="2093"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bCs/>
                <w:color w:val="000000"/>
              </w:rPr>
            </w:pPr>
            <w:r w:rsidRPr="0063487A">
              <w:rPr>
                <w:rFonts w:asciiTheme="minorHAnsi" w:hAnsiTheme="minorHAnsi" w:cs="Arial"/>
                <w:b/>
                <w:bCs/>
                <w:color w:val="000000"/>
              </w:rPr>
              <w:t>Age 35-44</w:t>
            </w:r>
          </w:p>
        </w:tc>
        <w:tc>
          <w:tcPr>
            <w:tcW w:w="690" w:type="dxa"/>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66</w:t>
            </w:r>
          </w:p>
        </w:tc>
        <w:tc>
          <w:tcPr>
            <w:tcW w:w="876" w:type="dxa"/>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30.5</w:t>
            </w:r>
          </w:p>
        </w:tc>
        <w:tc>
          <w:tcPr>
            <w:tcW w:w="975" w:type="dxa"/>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3</w:t>
            </w:r>
          </w:p>
        </w:tc>
        <w:tc>
          <w:tcPr>
            <w:tcW w:w="920"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16.7</w:t>
            </w:r>
          </w:p>
        </w:tc>
        <w:tc>
          <w:tcPr>
            <w:tcW w:w="1801" w:type="dxa"/>
            <w:vMerge/>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864" w:type="dxa"/>
            <w:vMerge/>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1103" w:type="dxa"/>
            <w:vMerge/>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r>
      <w:tr w:rsidR="007A64CA" w:rsidRPr="0063487A" w:rsidTr="007A64CA">
        <w:tc>
          <w:tcPr>
            <w:tcW w:w="2093" w:type="dxa"/>
            <w:tcBorders>
              <w:top w:val="nil"/>
              <w:left w:val="nil"/>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bCs/>
                <w:color w:val="000000"/>
              </w:rPr>
            </w:pPr>
            <w:r w:rsidRPr="0063487A">
              <w:rPr>
                <w:rFonts w:asciiTheme="minorHAnsi" w:hAnsiTheme="minorHAnsi" w:cs="Arial"/>
                <w:b/>
                <w:bCs/>
                <w:color w:val="000000"/>
              </w:rPr>
              <w:t>Age 45-54</w:t>
            </w:r>
          </w:p>
        </w:tc>
        <w:tc>
          <w:tcPr>
            <w:tcW w:w="690" w:type="dxa"/>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21</w:t>
            </w:r>
          </w:p>
        </w:tc>
        <w:tc>
          <w:tcPr>
            <w:tcW w:w="876" w:type="dxa"/>
            <w:tcBorders>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9.7</w:t>
            </w:r>
          </w:p>
        </w:tc>
        <w:tc>
          <w:tcPr>
            <w:tcW w:w="975" w:type="dxa"/>
            <w:tcBorders>
              <w:lef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1</w:t>
            </w:r>
          </w:p>
        </w:tc>
        <w:tc>
          <w:tcPr>
            <w:tcW w:w="920" w:type="dxa"/>
            <w:tcBorders>
              <w:top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5.6</w:t>
            </w:r>
          </w:p>
        </w:tc>
        <w:tc>
          <w:tcPr>
            <w:tcW w:w="1801" w:type="dxa"/>
            <w:vMerge/>
            <w:tcBorders>
              <w:top w:val="nil"/>
              <w:left w:val="nil"/>
              <w:bottom w:val="single" w:sz="4" w:space="0" w:color="auto"/>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864" w:type="dxa"/>
            <w:vMerge/>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1103" w:type="dxa"/>
            <w:vMerge/>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r>
      <w:tr w:rsidR="007A64CA" w:rsidRPr="0063487A" w:rsidTr="007A64CA">
        <w:tc>
          <w:tcPr>
            <w:tcW w:w="2093" w:type="dxa"/>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bCs/>
                <w:color w:val="000000"/>
              </w:rPr>
            </w:pPr>
            <w:r w:rsidRPr="0063487A">
              <w:rPr>
                <w:rFonts w:asciiTheme="minorHAnsi" w:hAnsiTheme="minorHAnsi" w:cs="Arial"/>
                <w:b/>
                <w:bCs/>
                <w:color w:val="000000"/>
              </w:rPr>
              <w:t>Age 55+</w:t>
            </w:r>
          </w:p>
        </w:tc>
        <w:tc>
          <w:tcPr>
            <w:tcW w:w="690" w:type="dxa"/>
            <w:tcBorders>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27</w:t>
            </w:r>
          </w:p>
        </w:tc>
        <w:tc>
          <w:tcPr>
            <w:tcW w:w="876" w:type="dxa"/>
            <w:tcBorders>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12.5</w:t>
            </w:r>
          </w:p>
        </w:tc>
        <w:tc>
          <w:tcPr>
            <w:tcW w:w="975" w:type="dxa"/>
            <w:tcBorders>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1</w:t>
            </w:r>
          </w:p>
        </w:tc>
        <w:tc>
          <w:tcPr>
            <w:tcW w:w="920" w:type="dxa"/>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5.6</w:t>
            </w:r>
          </w:p>
        </w:tc>
        <w:tc>
          <w:tcPr>
            <w:tcW w:w="1801" w:type="dxa"/>
            <w:vMerge/>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864" w:type="dxa"/>
            <w:vMerge/>
            <w:tcBorders>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1103" w:type="dxa"/>
            <w:vMerge/>
            <w:tcBorders>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r>
      <w:tr w:rsidR="007A64CA" w:rsidRPr="0063487A" w:rsidTr="007A64CA">
        <w:tc>
          <w:tcPr>
            <w:tcW w:w="2093" w:type="dxa"/>
            <w:tcBorders>
              <w:top w:val="single" w:sz="4" w:space="0" w:color="auto"/>
              <w:left w:val="nil"/>
              <w:bottom w:val="nil"/>
            </w:tcBorders>
            <w:shd w:val="clear" w:color="auto" w:fill="FFFFFF"/>
            <w:vAlign w:val="center"/>
          </w:tcPr>
          <w:p w:rsidR="007A64CA" w:rsidRPr="0063487A" w:rsidRDefault="007A64CA" w:rsidP="007A64CA">
            <w:pPr>
              <w:tabs>
                <w:tab w:val="left" w:pos="2417"/>
              </w:tabs>
              <w:spacing w:after="0" w:line="240" w:lineRule="auto"/>
              <w:contextualSpacing/>
              <w:rPr>
                <w:rFonts w:asciiTheme="minorHAnsi" w:hAnsiTheme="minorHAnsi" w:cs="Arial"/>
                <w:b/>
                <w:bCs/>
                <w:color w:val="000000"/>
              </w:rPr>
            </w:pPr>
            <w:r w:rsidRPr="0063487A">
              <w:rPr>
                <w:rFonts w:asciiTheme="minorHAnsi" w:hAnsiTheme="minorHAnsi" w:cs="Arial"/>
                <w:b/>
                <w:bCs/>
                <w:color w:val="000000"/>
              </w:rPr>
              <w:t>SWAT-Bp score</w:t>
            </w:r>
          </w:p>
        </w:tc>
        <w:tc>
          <w:tcPr>
            <w:tcW w:w="690" w:type="dxa"/>
            <w:tcBorders>
              <w:top w:val="single" w:sz="4" w:space="0" w:color="auto"/>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FF0000"/>
              </w:rPr>
            </w:pPr>
          </w:p>
        </w:tc>
        <w:tc>
          <w:tcPr>
            <w:tcW w:w="876" w:type="dxa"/>
            <w:tcBorders>
              <w:top w:val="single" w:sz="4" w:space="0" w:color="auto"/>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FF0000"/>
              </w:rPr>
            </w:pPr>
          </w:p>
        </w:tc>
        <w:tc>
          <w:tcPr>
            <w:tcW w:w="975" w:type="dxa"/>
            <w:tcBorders>
              <w:top w:val="single" w:sz="4" w:space="0" w:color="auto"/>
              <w:left w:val="nil"/>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920" w:type="dxa"/>
            <w:tcBorders>
              <w:top w:val="single" w:sz="4" w:space="0" w:color="auto"/>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1801" w:type="dxa"/>
            <w:tcBorders>
              <w:top w:val="single" w:sz="4" w:space="0" w:color="auto"/>
              <w:left w:val="nil"/>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864" w:type="dxa"/>
            <w:tcBorders>
              <w:top w:val="single" w:sz="4" w:space="0" w:color="auto"/>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1103" w:type="dxa"/>
            <w:tcBorders>
              <w:top w:val="single" w:sz="4" w:space="0" w:color="auto"/>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r>
      <w:tr w:rsidR="007A64CA" w:rsidRPr="0063487A" w:rsidTr="007A64CA">
        <w:tc>
          <w:tcPr>
            <w:tcW w:w="2093"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bCs/>
                <w:color w:val="000000"/>
              </w:rPr>
            </w:pPr>
            <w:r w:rsidRPr="0063487A">
              <w:rPr>
                <w:rFonts w:asciiTheme="minorHAnsi" w:hAnsiTheme="minorHAnsi" w:cs="Arial"/>
                <w:b/>
                <w:bCs/>
                <w:color w:val="000000"/>
              </w:rPr>
              <w:t>0</w:t>
            </w:r>
          </w:p>
        </w:tc>
        <w:tc>
          <w:tcPr>
            <w:tcW w:w="690" w:type="dxa"/>
            <w:tcBorders>
              <w:top w:val="nil"/>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43</w:t>
            </w:r>
          </w:p>
        </w:tc>
        <w:tc>
          <w:tcPr>
            <w:tcW w:w="876" w:type="dxa"/>
            <w:tcBorders>
              <w:top w:val="nil"/>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19.9</w:t>
            </w:r>
          </w:p>
        </w:tc>
        <w:tc>
          <w:tcPr>
            <w:tcW w:w="975" w:type="dxa"/>
            <w:tcBorders>
              <w:top w:val="nil"/>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2</w:t>
            </w:r>
          </w:p>
        </w:tc>
        <w:tc>
          <w:tcPr>
            <w:tcW w:w="920"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11.1</w:t>
            </w:r>
          </w:p>
        </w:tc>
        <w:tc>
          <w:tcPr>
            <w:tcW w:w="1801" w:type="dxa"/>
            <w:vMerge w:val="restart"/>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w:t>
            </w:r>
          </w:p>
        </w:tc>
        <w:tc>
          <w:tcPr>
            <w:tcW w:w="864" w:type="dxa"/>
            <w:vMerge w:val="restart"/>
            <w:tcBorders>
              <w:top w:val="nil"/>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w:t>
            </w:r>
          </w:p>
        </w:tc>
        <w:tc>
          <w:tcPr>
            <w:tcW w:w="1103" w:type="dxa"/>
            <w:vMerge w:val="restart"/>
            <w:tcBorders>
              <w:top w:val="nil"/>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w:t>
            </w:r>
          </w:p>
        </w:tc>
      </w:tr>
      <w:tr w:rsidR="007A64CA" w:rsidRPr="0063487A" w:rsidTr="007A64CA">
        <w:tc>
          <w:tcPr>
            <w:tcW w:w="2093" w:type="dxa"/>
            <w:tcBorders>
              <w:top w:val="nil"/>
              <w:left w:val="nil"/>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bCs/>
                <w:color w:val="000000"/>
              </w:rPr>
            </w:pPr>
            <w:r w:rsidRPr="0063487A">
              <w:rPr>
                <w:rFonts w:asciiTheme="minorHAnsi" w:hAnsiTheme="minorHAnsi" w:cs="Arial"/>
                <w:b/>
                <w:bCs/>
                <w:color w:val="000000"/>
              </w:rPr>
              <w:t>1</w:t>
            </w:r>
          </w:p>
        </w:tc>
        <w:tc>
          <w:tcPr>
            <w:tcW w:w="690" w:type="dxa"/>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59</w:t>
            </w:r>
          </w:p>
        </w:tc>
        <w:tc>
          <w:tcPr>
            <w:tcW w:w="876" w:type="dxa"/>
            <w:tcBorders>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27.3</w:t>
            </w:r>
          </w:p>
        </w:tc>
        <w:tc>
          <w:tcPr>
            <w:tcW w:w="975" w:type="dxa"/>
            <w:tcBorders>
              <w:lef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6</w:t>
            </w:r>
          </w:p>
        </w:tc>
        <w:tc>
          <w:tcPr>
            <w:tcW w:w="920" w:type="dxa"/>
            <w:tcBorders>
              <w:top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33.3</w:t>
            </w:r>
          </w:p>
        </w:tc>
        <w:tc>
          <w:tcPr>
            <w:tcW w:w="1801" w:type="dxa"/>
            <w:vMerge/>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864" w:type="dxa"/>
            <w:vMerge/>
            <w:tcBorders>
              <w:lef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1103" w:type="dxa"/>
            <w:vMerge/>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r>
      <w:tr w:rsidR="007A64CA" w:rsidRPr="0063487A" w:rsidTr="007A64CA">
        <w:tc>
          <w:tcPr>
            <w:tcW w:w="2093"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bCs/>
                <w:color w:val="000000"/>
              </w:rPr>
            </w:pPr>
            <w:r w:rsidRPr="0063487A">
              <w:rPr>
                <w:rFonts w:asciiTheme="minorHAnsi" w:hAnsiTheme="minorHAnsi" w:cs="Arial"/>
                <w:b/>
                <w:bCs/>
                <w:color w:val="000000"/>
              </w:rPr>
              <w:t>2</w:t>
            </w:r>
          </w:p>
        </w:tc>
        <w:tc>
          <w:tcPr>
            <w:tcW w:w="690" w:type="dxa"/>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55</w:t>
            </w:r>
          </w:p>
        </w:tc>
        <w:tc>
          <w:tcPr>
            <w:tcW w:w="876" w:type="dxa"/>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25.5</w:t>
            </w:r>
          </w:p>
        </w:tc>
        <w:tc>
          <w:tcPr>
            <w:tcW w:w="975" w:type="dxa"/>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5</w:t>
            </w:r>
          </w:p>
        </w:tc>
        <w:tc>
          <w:tcPr>
            <w:tcW w:w="920"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27.8</w:t>
            </w:r>
          </w:p>
        </w:tc>
        <w:tc>
          <w:tcPr>
            <w:tcW w:w="1801" w:type="dxa"/>
            <w:vMerge/>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864" w:type="dxa"/>
            <w:vMerge/>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1103" w:type="dxa"/>
            <w:vMerge/>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r>
      <w:tr w:rsidR="007A64CA" w:rsidRPr="0063487A" w:rsidTr="007A64CA">
        <w:tc>
          <w:tcPr>
            <w:tcW w:w="2093" w:type="dxa"/>
            <w:tcBorders>
              <w:top w:val="nil"/>
              <w:left w:val="nil"/>
              <w:bottom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bCs/>
                <w:color w:val="000000"/>
              </w:rPr>
            </w:pPr>
            <w:r w:rsidRPr="0063487A">
              <w:rPr>
                <w:rFonts w:asciiTheme="minorHAnsi" w:hAnsiTheme="minorHAnsi" w:cs="Arial"/>
                <w:b/>
                <w:bCs/>
                <w:color w:val="000000"/>
              </w:rPr>
              <w:t>3</w:t>
            </w:r>
          </w:p>
        </w:tc>
        <w:tc>
          <w:tcPr>
            <w:tcW w:w="690" w:type="dxa"/>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42</w:t>
            </w:r>
          </w:p>
        </w:tc>
        <w:tc>
          <w:tcPr>
            <w:tcW w:w="876" w:type="dxa"/>
            <w:tcBorders>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19.4</w:t>
            </w:r>
          </w:p>
        </w:tc>
        <w:tc>
          <w:tcPr>
            <w:tcW w:w="975" w:type="dxa"/>
            <w:tcBorders>
              <w:lef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4</w:t>
            </w:r>
          </w:p>
        </w:tc>
        <w:tc>
          <w:tcPr>
            <w:tcW w:w="920" w:type="dxa"/>
            <w:tcBorders>
              <w:top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22.2</w:t>
            </w:r>
          </w:p>
        </w:tc>
        <w:tc>
          <w:tcPr>
            <w:tcW w:w="1801" w:type="dxa"/>
            <w:vMerge/>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864" w:type="dxa"/>
            <w:vMerge/>
            <w:tcBorders>
              <w:lef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1103" w:type="dxa"/>
            <w:vMerge/>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r>
      <w:tr w:rsidR="007A64CA" w:rsidRPr="0063487A" w:rsidTr="007A64CA">
        <w:tc>
          <w:tcPr>
            <w:tcW w:w="2093"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bCs/>
                <w:color w:val="000000"/>
              </w:rPr>
            </w:pPr>
            <w:r w:rsidRPr="0063487A">
              <w:rPr>
                <w:rFonts w:asciiTheme="minorHAnsi" w:hAnsiTheme="minorHAnsi" w:cs="Arial"/>
                <w:b/>
                <w:bCs/>
                <w:color w:val="000000"/>
              </w:rPr>
              <w:t>4</w:t>
            </w:r>
          </w:p>
        </w:tc>
        <w:tc>
          <w:tcPr>
            <w:tcW w:w="690" w:type="dxa"/>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14</w:t>
            </w:r>
          </w:p>
        </w:tc>
        <w:tc>
          <w:tcPr>
            <w:tcW w:w="876" w:type="dxa"/>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6.5</w:t>
            </w:r>
          </w:p>
        </w:tc>
        <w:tc>
          <w:tcPr>
            <w:tcW w:w="975" w:type="dxa"/>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0</w:t>
            </w:r>
          </w:p>
        </w:tc>
        <w:tc>
          <w:tcPr>
            <w:tcW w:w="920" w:type="dxa"/>
            <w:tcBorders>
              <w:top w:val="nil"/>
              <w:left w:val="nil"/>
              <w:bottom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0</w:t>
            </w:r>
          </w:p>
        </w:tc>
        <w:tc>
          <w:tcPr>
            <w:tcW w:w="1801" w:type="dxa"/>
            <w:vMerge/>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864" w:type="dxa"/>
            <w:vMerge/>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1103" w:type="dxa"/>
            <w:vMerge/>
            <w:tcBorders>
              <w:left w:val="nil"/>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r>
      <w:tr w:rsidR="007A64CA" w:rsidRPr="0063487A" w:rsidTr="007A64CA">
        <w:tc>
          <w:tcPr>
            <w:tcW w:w="2093" w:type="dxa"/>
            <w:tcBorders>
              <w:top w:val="nil"/>
              <w:left w:val="nil"/>
              <w:bottom w:val="single" w:sz="8" w:space="0" w:color="000000"/>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b/>
                <w:bCs/>
                <w:color w:val="000000"/>
              </w:rPr>
            </w:pPr>
            <w:r w:rsidRPr="0063487A">
              <w:rPr>
                <w:rFonts w:asciiTheme="minorHAnsi" w:hAnsiTheme="minorHAnsi" w:cs="Arial"/>
                <w:b/>
                <w:bCs/>
                <w:color w:val="000000"/>
              </w:rPr>
              <w:t>5</w:t>
            </w:r>
          </w:p>
        </w:tc>
        <w:tc>
          <w:tcPr>
            <w:tcW w:w="690" w:type="dxa"/>
            <w:tcBorders>
              <w:bottom w:val="single" w:sz="8" w:space="0" w:color="000000"/>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3</w:t>
            </w:r>
          </w:p>
        </w:tc>
        <w:tc>
          <w:tcPr>
            <w:tcW w:w="876" w:type="dxa"/>
            <w:tcBorders>
              <w:bottom w:val="single" w:sz="8" w:space="0" w:color="000000"/>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rPr>
            </w:pPr>
            <w:r w:rsidRPr="0063487A">
              <w:rPr>
                <w:rFonts w:asciiTheme="minorHAnsi" w:hAnsiTheme="minorHAnsi" w:cs="Arial"/>
              </w:rPr>
              <w:t>1.4</w:t>
            </w:r>
          </w:p>
        </w:tc>
        <w:tc>
          <w:tcPr>
            <w:tcW w:w="975" w:type="dxa"/>
            <w:tcBorders>
              <w:left w:val="nil"/>
              <w:bottom w:val="single" w:sz="8" w:space="0" w:color="000000"/>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1</w:t>
            </w:r>
          </w:p>
        </w:tc>
        <w:tc>
          <w:tcPr>
            <w:tcW w:w="920" w:type="dxa"/>
            <w:tcBorders>
              <w:top w:val="nil"/>
              <w:bottom w:val="single" w:sz="8" w:space="0" w:color="000000"/>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r w:rsidRPr="0063487A">
              <w:rPr>
                <w:rFonts w:asciiTheme="minorHAnsi" w:hAnsiTheme="minorHAnsi" w:cs="Arial"/>
                <w:color w:val="000000"/>
              </w:rPr>
              <w:t>5.6</w:t>
            </w:r>
          </w:p>
        </w:tc>
        <w:tc>
          <w:tcPr>
            <w:tcW w:w="1801" w:type="dxa"/>
            <w:vMerge/>
            <w:tcBorders>
              <w:top w:val="nil"/>
              <w:left w:val="nil"/>
              <w:bottom w:val="single" w:sz="4" w:space="0" w:color="auto"/>
              <w:right w:val="nil"/>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864" w:type="dxa"/>
            <w:vMerge/>
            <w:tcBorders>
              <w:left w:val="nil"/>
              <w:bottom w:val="single" w:sz="8" w:space="0" w:color="000000"/>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c>
          <w:tcPr>
            <w:tcW w:w="1103" w:type="dxa"/>
            <w:vMerge/>
            <w:tcBorders>
              <w:bottom w:val="single" w:sz="8" w:space="0" w:color="000000"/>
            </w:tcBorders>
            <w:shd w:val="clear" w:color="auto" w:fill="FFFFFF"/>
            <w:vAlign w:val="center"/>
          </w:tcPr>
          <w:p w:rsidR="007A64CA" w:rsidRPr="0063487A" w:rsidRDefault="007A64CA" w:rsidP="007A64CA">
            <w:pPr>
              <w:tabs>
                <w:tab w:val="left" w:pos="2417"/>
              </w:tabs>
              <w:spacing w:after="0" w:line="240" w:lineRule="auto"/>
              <w:contextualSpacing/>
              <w:jc w:val="center"/>
              <w:rPr>
                <w:rFonts w:asciiTheme="minorHAnsi" w:hAnsiTheme="minorHAnsi" w:cs="Arial"/>
                <w:color w:val="000000"/>
              </w:rPr>
            </w:pPr>
          </w:p>
        </w:tc>
      </w:tr>
    </w:tbl>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r w:rsidRPr="0063487A">
        <w:rPr>
          <w:rFonts w:asciiTheme="minorHAnsi" w:hAnsiTheme="minorHAnsi"/>
          <w:color w:val="000000"/>
          <w:sz w:val="20"/>
          <w:szCs w:val="20"/>
        </w:rPr>
        <w:t xml:space="preserve">* </w:t>
      </w:r>
      <w:r w:rsidRPr="0063487A">
        <w:rPr>
          <w:rFonts w:asciiTheme="minorHAnsi" w:hAnsiTheme="minorHAnsi"/>
          <w:b w:val="0"/>
          <w:color w:val="000000"/>
          <w:sz w:val="20"/>
          <w:szCs w:val="20"/>
        </w:rPr>
        <w:t>P-value of &lt;0.05 is statistically significant</w:t>
      </w:r>
    </w:p>
    <w:p w:rsidR="007A64CA" w:rsidRPr="0063487A" w:rsidRDefault="007A64CA" w:rsidP="007A64CA">
      <w:pPr>
        <w:rPr>
          <w:rFonts w:asciiTheme="minorHAnsi" w:hAnsiTheme="minorHAnsi"/>
          <w:b/>
        </w:rPr>
      </w:pPr>
      <w:r w:rsidRPr="0063487A">
        <w:rPr>
          <w:rFonts w:asciiTheme="minorHAnsi" w:hAnsiTheme="minorHAnsi"/>
        </w:rPr>
        <w:br w:type="page"/>
      </w:r>
      <w:r w:rsidRPr="0063487A">
        <w:rPr>
          <w:rFonts w:asciiTheme="minorHAnsi" w:hAnsiTheme="minorHAnsi"/>
          <w:b/>
          <w:sz w:val="20"/>
        </w:rPr>
        <w:lastRenderedPageBreak/>
        <w:t xml:space="preserve">Table </w:t>
      </w:r>
      <w:r w:rsidR="0079798C" w:rsidRPr="0063487A">
        <w:rPr>
          <w:rFonts w:asciiTheme="minorHAnsi" w:hAnsiTheme="minorHAnsi"/>
          <w:b/>
          <w:sz w:val="20"/>
        </w:rPr>
        <w:fldChar w:fldCharType="begin"/>
      </w:r>
      <w:r w:rsidRPr="0063487A">
        <w:rPr>
          <w:rFonts w:asciiTheme="minorHAnsi" w:hAnsiTheme="minorHAnsi"/>
          <w:b/>
          <w:sz w:val="20"/>
        </w:rPr>
        <w:instrText xml:space="preserve"> SEQ Table \* ARABIC </w:instrText>
      </w:r>
      <w:r w:rsidR="0079798C" w:rsidRPr="0063487A">
        <w:rPr>
          <w:rFonts w:asciiTheme="minorHAnsi" w:hAnsiTheme="minorHAnsi"/>
          <w:b/>
          <w:sz w:val="20"/>
        </w:rPr>
        <w:fldChar w:fldCharType="separate"/>
      </w:r>
      <w:r w:rsidRPr="0063487A">
        <w:rPr>
          <w:rFonts w:asciiTheme="minorHAnsi" w:hAnsiTheme="minorHAnsi"/>
          <w:b/>
          <w:noProof/>
          <w:sz w:val="20"/>
        </w:rPr>
        <w:t>2</w:t>
      </w:r>
      <w:r w:rsidR="0079798C" w:rsidRPr="0063487A">
        <w:rPr>
          <w:rFonts w:asciiTheme="minorHAnsi" w:hAnsiTheme="minorHAnsi"/>
          <w:b/>
          <w:sz w:val="20"/>
        </w:rPr>
        <w:fldChar w:fldCharType="end"/>
      </w:r>
      <w:r w:rsidRPr="0063487A">
        <w:rPr>
          <w:rFonts w:asciiTheme="minorHAnsi" w:hAnsiTheme="minorHAnsi"/>
          <w:b/>
          <w:sz w:val="20"/>
        </w:rPr>
        <w:t>. Relationship between the SWAT-Bp score and risk of mortality</w:t>
      </w:r>
    </w:p>
    <w:tbl>
      <w:tblPr>
        <w:tblpPr w:leftFromText="180" w:rightFromText="180" w:vertAnchor="text" w:horzAnchor="margin" w:tblpY="41"/>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559"/>
        <w:gridCol w:w="1701"/>
        <w:gridCol w:w="2127"/>
        <w:gridCol w:w="1276"/>
      </w:tblGrid>
      <w:tr w:rsidR="007A64CA" w:rsidRPr="0063487A" w:rsidTr="007A64CA">
        <w:trPr>
          <w:trHeight w:val="420"/>
        </w:trPr>
        <w:tc>
          <w:tcPr>
            <w:tcW w:w="1526" w:type="dxa"/>
            <w:vMerge w:val="restart"/>
            <w:tcBorders>
              <w:right w:val="nil"/>
            </w:tcBorders>
          </w:tcPr>
          <w:p w:rsidR="007A64CA" w:rsidRPr="0063487A" w:rsidRDefault="007A64CA" w:rsidP="007A64CA">
            <w:pPr>
              <w:spacing w:after="0" w:line="360" w:lineRule="auto"/>
              <w:contextualSpacing/>
              <w:jc w:val="center"/>
              <w:rPr>
                <w:rFonts w:asciiTheme="minorHAnsi" w:hAnsiTheme="minorHAnsi" w:cs="Arial"/>
                <w:b/>
                <w:sz w:val="28"/>
                <w:szCs w:val="28"/>
              </w:rPr>
            </w:pPr>
            <w:r w:rsidRPr="0063487A">
              <w:rPr>
                <w:rFonts w:asciiTheme="minorHAnsi" w:hAnsiTheme="minorHAnsi" w:cs="Arial"/>
                <w:b/>
                <w:sz w:val="28"/>
                <w:szCs w:val="28"/>
              </w:rPr>
              <w:t>SWAT-Bp Score</w:t>
            </w:r>
          </w:p>
        </w:tc>
        <w:tc>
          <w:tcPr>
            <w:tcW w:w="1559" w:type="dxa"/>
            <w:vMerge w:val="restart"/>
            <w:tcBorders>
              <w:left w:val="nil"/>
              <w:right w:val="nil"/>
            </w:tcBorders>
          </w:tcPr>
          <w:p w:rsidR="007A64CA" w:rsidRPr="0063487A" w:rsidRDefault="007A64CA" w:rsidP="007A64CA">
            <w:pPr>
              <w:spacing w:after="0" w:line="360" w:lineRule="auto"/>
              <w:contextualSpacing/>
              <w:jc w:val="center"/>
              <w:rPr>
                <w:rFonts w:asciiTheme="minorHAnsi" w:hAnsiTheme="minorHAnsi" w:cs="Arial"/>
                <w:b/>
                <w:sz w:val="28"/>
                <w:szCs w:val="28"/>
              </w:rPr>
            </w:pPr>
            <w:r w:rsidRPr="0063487A">
              <w:rPr>
                <w:rFonts w:asciiTheme="minorHAnsi" w:hAnsiTheme="minorHAnsi" w:cs="Arial"/>
                <w:b/>
                <w:sz w:val="28"/>
                <w:szCs w:val="28"/>
              </w:rPr>
              <w:t>Patients N</w:t>
            </w:r>
          </w:p>
        </w:tc>
        <w:tc>
          <w:tcPr>
            <w:tcW w:w="1701" w:type="dxa"/>
            <w:vMerge w:val="restart"/>
            <w:tcBorders>
              <w:left w:val="nil"/>
              <w:right w:val="single" w:sz="4" w:space="0" w:color="auto"/>
            </w:tcBorders>
          </w:tcPr>
          <w:p w:rsidR="007A64CA" w:rsidRPr="0063487A" w:rsidRDefault="007A64CA" w:rsidP="007A64CA">
            <w:pPr>
              <w:spacing w:after="0" w:line="360" w:lineRule="auto"/>
              <w:contextualSpacing/>
              <w:jc w:val="center"/>
              <w:rPr>
                <w:rFonts w:asciiTheme="minorHAnsi" w:hAnsiTheme="minorHAnsi" w:cs="Arial"/>
                <w:b/>
                <w:sz w:val="28"/>
                <w:szCs w:val="28"/>
              </w:rPr>
            </w:pPr>
            <w:r w:rsidRPr="0063487A">
              <w:rPr>
                <w:rFonts w:asciiTheme="minorHAnsi" w:hAnsiTheme="minorHAnsi" w:cs="Arial"/>
                <w:b/>
                <w:sz w:val="28"/>
                <w:szCs w:val="28"/>
              </w:rPr>
              <w:t>Mortalities N (%)</w:t>
            </w:r>
          </w:p>
        </w:tc>
        <w:tc>
          <w:tcPr>
            <w:tcW w:w="3403" w:type="dxa"/>
            <w:gridSpan w:val="2"/>
            <w:tcBorders>
              <w:left w:val="single" w:sz="4" w:space="0" w:color="auto"/>
            </w:tcBorders>
          </w:tcPr>
          <w:p w:rsidR="007A64CA" w:rsidRPr="0063487A" w:rsidRDefault="007A64CA" w:rsidP="007A64CA">
            <w:pPr>
              <w:spacing w:after="0" w:line="360" w:lineRule="auto"/>
              <w:contextualSpacing/>
              <w:jc w:val="center"/>
              <w:rPr>
                <w:rFonts w:asciiTheme="minorHAnsi" w:hAnsiTheme="minorHAnsi" w:cs="Arial"/>
                <w:b/>
                <w:sz w:val="28"/>
                <w:szCs w:val="28"/>
              </w:rPr>
            </w:pPr>
            <w:r w:rsidRPr="0063487A">
              <w:rPr>
                <w:rFonts w:asciiTheme="minorHAnsi" w:hAnsiTheme="minorHAnsi" w:cs="Arial"/>
                <w:b/>
                <w:sz w:val="28"/>
                <w:szCs w:val="28"/>
              </w:rPr>
              <w:t>95% Confidence Intervals (CI)</w:t>
            </w:r>
          </w:p>
        </w:tc>
      </w:tr>
      <w:tr w:rsidR="007A64CA" w:rsidRPr="0063487A" w:rsidTr="007A64CA">
        <w:trPr>
          <w:trHeight w:val="420"/>
        </w:trPr>
        <w:tc>
          <w:tcPr>
            <w:tcW w:w="1526" w:type="dxa"/>
            <w:vMerge/>
            <w:tcBorders>
              <w:right w:val="nil"/>
            </w:tcBorders>
          </w:tcPr>
          <w:p w:rsidR="007A64CA" w:rsidRPr="0063487A" w:rsidRDefault="007A64CA" w:rsidP="007A64CA">
            <w:pPr>
              <w:spacing w:after="0" w:line="360" w:lineRule="auto"/>
              <w:contextualSpacing/>
              <w:jc w:val="center"/>
              <w:rPr>
                <w:rFonts w:asciiTheme="minorHAnsi" w:hAnsiTheme="minorHAnsi" w:cs="Arial"/>
                <w:b/>
                <w:sz w:val="28"/>
                <w:szCs w:val="28"/>
              </w:rPr>
            </w:pPr>
          </w:p>
        </w:tc>
        <w:tc>
          <w:tcPr>
            <w:tcW w:w="1559" w:type="dxa"/>
            <w:vMerge/>
            <w:tcBorders>
              <w:left w:val="nil"/>
              <w:right w:val="nil"/>
            </w:tcBorders>
          </w:tcPr>
          <w:p w:rsidR="007A64CA" w:rsidRPr="0063487A" w:rsidRDefault="007A64CA" w:rsidP="007A64CA">
            <w:pPr>
              <w:spacing w:after="0" w:line="360" w:lineRule="auto"/>
              <w:contextualSpacing/>
              <w:jc w:val="center"/>
              <w:rPr>
                <w:rFonts w:asciiTheme="minorHAnsi" w:hAnsiTheme="minorHAnsi" w:cs="Arial"/>
                <w:b/>
                <w:sz w:val="28"/>
                <w:szCs w:val="28"/>
              </w:rPr>
            </w:pPr>
          </w:p>
        </w:tc>
        <w:tc>
          <w:tcPr>
            <w:tcW w:w="1701" w:type="dxa"/>
            <w:vMerge/>
            <w:tcBorders>
              <w:left w:val="nil"/>
              <w:right w:val="single" w:sz="4" w:space="0" w:color="auto"/>
            </w:tcBorders>
          </w:tcPr>
          <w:p w:rsidR="007A64CA" w:rsidRPr="0063487A" w:rsidRDefault="007A64CA" w:rsidP="007A64CA">
            <w:pPr>
              <w:spacing w:after="0" w:line="360" w:lineRule="auto"/>
              <w:contextualSpacing/>
              <w:jc w:val="center"/>
              <w:rPr>
                <w:rFonts w:asciiTheme="minorHAnsi" w:hAnsiTheme="minorHAnsi" w:cs="Arial"/>
                <w:b/>
                <w:sz w:val="28"/>
                <w:szCs w:val="28"/>
              </w:rPr>
            </w:pPr>
          </w:p>
        </w:tc>
        <w:tc>
          <w:tcPr>
            <w:tcW w:w="2127" w:type="dxa"/>
            <w:tcBorders>
              <w:left w:val="single" w:sz="4" w:space="0" w:color="auto"/>
            </w:tcBorders>
          </w:tcPr>
          <w:p w:rsidR="007A64CA" w:rsidRPr="0063487A" w:rsidRDefault="007A64CA" w:rsidP="007A64CA">
            <w:pPr>
              <w:spacing w:after="0" w:line="360" w:lineRule="auto"/>
              <w:contextualSpacing/>
              <w:jc w:val="center"/>
              <w:rPr>
                <w:rFonts w:asciiTheme="minorHAnsi" w:hAnsiTheme="minorHAnsi" w:cs="Arial"/>
                <w:b/>
                <w:sz w:val="28"/>
                <w:szCs w:val="28"/>
              </w:rPr>
            </w:pPr>
            <w:r w:rsidRPr="0063487A">
              <w:rPr>
                <w:rFonts w:asciiTheme="minorHAnsi" w:hAnsiTheme="minorHAnsi" w:cs="Arial"/>
                <w:b/>
                <w:sz w:val="28"/>
                <w:szCs w:val="28"/>
              </w:rPr>
              <w:t>Lower</w:t>
            </w:r>
          </w:p>
        </w:tc>
        <w:tc>
          <w:tcPr>
            <w:tcW w:w="1276" w:type="dxa"/>
            <w:tcBorders>
              <w:left w:val="nil"/>
            </w:tcBorders>
          </w:tcPr>
          <w:p w:rsidR="007A64CA" w:rsidRPr="0063487A" w:rsidRDefault="007A64CA" w:rsidP="007A64CA">
            <w:pPr>
              <w:spacing w:after="0" w:line="360" w:lineRule="auto"/>
              <w:contextualSpacing/>
              <w:jc w:val="center"/>
              <w:rPr>
                <w:rFonts w:asciiTheme="minorHAnsi" w:hAnsiTheme="minorHAnsi" w:cs="Arial"/>
                <w:b/>
                <w:sz w:val="28"/>
                <w:szCs w:val="28"/>
              </w:rPr>
            </w:pPr>
            <w:r w:rsidRPr="0063487A">
              <w:rPr>
                <w:rFonts w:asciiTheme="minorHAnsi" w:hAnsiTheme="minorHAnsi" w:cs="Arial"/>
                <w:b/>
                <w:sz w:val="28"/>
                <w:szCs w:val="28"/>
              </w:rPr>
              <w:t>Upper</w:t>
            </w:r>
          </w:p>
        </w:tc>
      </w:tr>
      <w:tr w:rsidR="007A64CA" w:rsidRPr="0063487A" w:rsidTr="007A64CA">
        <w:trPr>
          <w:trHeight w:val="369"/>
        </w:trPr>
        <w:tc>
          <w:tcPr>
            <w:tcW w:w="1526" w:type="dxa"/>
            <w:tcBorders>
              <w:bottom w:val="nil"/>
              <w:right w:val="nil"/>
            </w:tcBorders>
          </w:tcPr>
          <w:p w:rsidR="007A64CA" w:rsidRPr="0063487A" w:rsidRDefault="007A64CA" w:rsidP="007A64CA">
            <w:pPr>
              <w:spacing w:after="0" w:line="360" w:lineRule="auto"/>
              <w:contextualSpacing/>
              <w:jc w:val="center"/>
              <w:rPr>
                <w:rFonts w:asciiTheme="minorHAnsi" w:hAnsiTheme="minorHAnsi" w:cs="Arial"/>
                <w:b/>
              </w:rPr>
            </w:pPr>
            <w:r w:rsidRPr="0063487A">
              <w:rPr>
                <w:rFonts w:asciiTheme="minorHAnsi" w:hAnsiTheme="minorHAnsi" w:cs="Arial"/>
              </w:rPr>
              <w:t>0</w:t>
            </w:r>
          </w:p>
        </w:tc>
        <w:tc>
          <w:tcPr>
            <w:tcW w:w="1559" w:type="dxa"/>
            <w:tcBorders>
              <w:left w:val="nil"/>
              <w:bottom w:val="nil"/>
              <w:right w:val="nil"/>
            </w:tcBorders>
          </w:tcPr>
          <w:p w:rsidR="007A64CA" w:rsidRPr="0063487A" w:rsidRDefault="007A64CA" w:rsidP="007A64CA">
            <w:pPr>
              <w:spacing w:after="0" w:line="360" w:lineRule="auto"/>
              <w:contextualSpacing/>
              <w:jc w:val="center"/>
              <w:rPr>
                <w:rFonts w:asciiTheme="minorHAnsi" w:hAnsiTheme="minorHAnsi" w:cs="Arial"/>
              </w:rPr>
            </w:pPr>
            <w:r w:rsidRPr="0063487A">
              <w:rPr>
                <w:rFonts w:asciiTheme="minorHAnsi" w:hAnsiTheme="minorHAnsi" w:cs="Arial"/>
              </w:rPr>
              <w:t>43</w:t>
            </w:r>
          </w:p>
        </w:tc>
        <w:tc>
          <w:tcPr>
            <w:tcW w:w="1701" w:type="dxa"/>
            <w:tcBorders>
              <w:left w:val="nil"/>
              <w:bottom w:val="nil"/>
              <w:right w:val="single" w:sz="4" w:space="0" w:color="auto"/>
            </w:tcBorders>
          </w:tcPr>
          <w:p w:rsidR="007A64CA" w:rsidRPr="0063487A" w:rsidRDefault="007A64CA" w:rsidP="007A64CA">
            <w:pPr>
              <w:spacing w:after="0" w:line="360" w:lineRule="auto"/>
              <w:contextualSpacing/>
              <w:jc w:val="center"/>
              <w:rPr>
                <w:rFonts w:asciiTheme="minorHAnsi" w:hAnsiTheme="minorHAnsi" w:cs="Arial"/>
              </w:rPr>
            </w:pPr>
            <w:r w:rsidRPr="0063487A">
              <w:rPr>
                <w:rFonts w:asciiTheme="minorHAnsi" w:hAnsiTheme="minorHAnsi" w:cs="Arial"/>
              </w:rPr>
              <w:t>0 (0)</w:t>
            </w:r>
          </w:p>
        </w:tc>
        <w:tc>
          <w:tcPr>
            <w:tcW w:w="2127" w:type="dxa"/>
            <w:tcBorders>
              <w:left w:val="single" w:sz="4" w:space="0" w:color="auto"/>
              <w:bottom w:val="nil"/>
            </w:tcBorders>
          </w:tcPr>
          <w:p w:rsidR="007A64CA" w:rsidRPr="0063487A" w:rsidRDefault="007A64CA" w:rsidP="007A64CA">
            <w:pPr>
              <w:spacing w:after="0" w:line="360" w:lineRule="auto"/>
              <w:contextualSpacing/>
              <w:jc w:val="center"/>
              <w:rPr>
                <w:rFonts w:asciiTheme="minorHAnsi" w:hAnsiTheme="minorHAnsi" w:cs="Arial"/>
                <w:sz w:val="24"/>
                <w:szCs w:val="24"/>
              </w:rPr>
            </w:pPr>
            <w:r w:rsidRPr="0063487A">
              <w:rPr>
                <w:rFonts w:asciiTheme="minorHAnsi" w:hAnsiTheme="minorHAnsi" w:cs="Arial"/>
                <w:sz w:val="24"/>
                <w:szCs w:val="24"/>
              </w:rPr>
              <w:t>0</w:t>
            </w:r>
          </w:p>
        </w:tc>
        <w:tc>
          <w:tcPr>
            <w:tcW w:w="1276" w:type="dxa"/>
            <w:tcBorders>
              <w:left w:val="nil"/>
              <w:bottom w:val="nil"/>
            </w:tcBorders>
          </w:tcPr>
          <w:p w:rsidR="007A64CA" w:rsidRPr="0063487A" w:rsidRDefault="007A64CA" w:rsidP="007A64CA">
            <w:pPr>
              <w:spacing w:after="0" w:line="360" w:lineRule="auto"/>
              <w:contextualSpacing/>
              <w:jc w:val="center"/>
              <w:rPr>
                <w:rFonts w:asciiTheme="minorHAnsi" w:hAnsiTheme="minorHAnsi" w:cs="Arial"/>
                <w:sz w:val="24"/>
                <w:szCs w:val="24"/>
              </w:rPr>
            </w:pPr>
            <w:r w:rsidRPr="0063487A">
              <w:rPr>
                <w:rFonts w:asciiTheme="minorHAnsi" w:hAnsiTheme="minorHAnsi" w:cs="Arial"/>
                <w:sz w:val="24"/>
                <w:szCs w:val="24"/>
              </w:rPr>
              <w:t>8.2</w:t>
            </w:r>
          </w:p>
        </w:tc>
      </w:tr>
      <w:tr w:rsidR="007A64CA" w:rsidRPr="0063487A" w:rsidTr="007A64CA">
        <w:trPr>
          <w:trHeight w:val="369"/>
        </w:trPr>
        <w:tc>
          <w:tcPr>
            <w:tcW w:w="1526" w:type="dxa"/>
            <w:tcBorders>
              <w:top w:val="nil"/>
              <w:bottom w:val="nil"/>
              <w:right w:val="nil"/>
            </w:tcBorders>
          </w:tcPr>
          <w:p w:rsidR="007A64CA" w:rsidRPr="0063487A" w:rsidRDefault="007A64CA" w:rsidP="007A64CA">
            <w:pPr>
              <w:spacing w:after="0" w:line="360" w:lineRule="auto"/>
              <w:contextualSpacing/>
              <w:jc w:val="center"/>
              <w:rPr>
                <w:rFonts w:asciiTheme="minorHAnsi" w:hAnsiTheme="minorHAnsi" w:cs="Arial"/>
                <w:b/>
              </w:rPr>
            </w:pPr>
            <w:r w:rsidRPr="0063487A">
              <w:rPr>
                <w:rFonts w:asciiTheme="minorHAnsi" w:hAnsiTheme="minorHAnsi" w:cs="Arial"/>
              </w:rPr>
              <w:t>1</w:t>
            </w:r>
          </w:p>
        </w:tc>
        <w:tc>
          <w:tcPr>
            <w:tcW w:w="1559" w:type="dxa"/>
            <w:tcBorders>
              <w:top w:val="nil"/>
              <w:left w:val="nil"/>
              <w:bottom w:val="nil"/>
              <w:right w:val="nil"/>
            </w:tcBorders>
          </w:tcPr>
          <w:p w:rsidR="007A64CA" w:rsidRPr="0063487A" w:rsidRDefault="007A64CA" w:rsidP="007A64CA">
            <w:pPr>
              <w:spacing w:after="0" w:line="360" w:lineRule="auto"/>
              <w:contextualSpacing/>
              <w:jc w:val="center"/>
              <w:rPr>
                <w:rFonts w:asciiTheme="minorHAnsi" w:hAnsiTheme="minorHAnsi" w:cs="Arial"/>
              </w:rPr>
            </w:pPr>
            <w:r w:rsidRPr="0063487A">
              <w:rPr>
                <w:rFonts w:asciiTheme="minorHAnsi" w:hAnsiTheme="minorHAnsi" w:cs="Arial"/>
              </w:rPr>
              <w:t>59</w:t>
            </w:r>
          </w:p>
        </w:tc>
        <w:tc>
          <w:tcPr>
            <w:tcW w:w="1701" w:type="dxa"/>
            <w:tcBorders>
              <w:top w:val="nil"/>
              <w:left w:val="nil"/>
              <w:bottom w:val="nil"/>
              <w:right w:val="single" w:sz="4" w:space="0" w:color="auto"/>
            </w:tcBorders>
          </w:tcPr>
          <w:p w:rsidR="007A64CA" w:rsidRPr="0063487A" w:rsidRDefault="007A64CA" w:rsidP="007A64CA">
            <w:pPr>
              <w:spacing w:after="0" w:line="360" w:lineRule="auto"/>
              <w:contextualSpacing/>
              <w:jc w:val="center"/>
              <w:rPr>
                <w:rFonts w:asciiTheme="minorHAnsi" w:hAnsiTheme="minorHAnsi" w:cs="Arial"/>
              </w:rPr>
            </w:pPr>
            <w:r w:rsidRPr="0063487A">
              <w:rPr>
                <w:rFonts w:asciiTheme="minorHAnsi" w:hAnsiTheme="minorHAnsi" w:cs="Arial"/>
              </w:rPr>
              <w:t>5 (8.5)</w:t>
            </w:r>
          </w:p>
        </w:tc>
        <w:tc>
          <w:tcPr>
            <w:tcW w:w="2127" w:type="dxa"/>
            <w:tcBorders>
              <w:top w:val="nil"/>
              <w:left w:val="single" w:sz="4" w:space="0" w:color="auto"/>
              <w:bottom w:val="nil"/>
            </w:tcBorders>
          </w:tcPr>
          <w:p w:rsidR="007A64CA" w:rsidRPr="0063487A" w:rsidRDefault="007A64CA" w:rsidP="007A64CA">
            <w:pPr>
              <w:spacing w:after="0" w:line="360" w:lineRule="auto"/>
              <w:contextualSpacing/>
              <w:jc w:val="center"/>
              <w:rPr>
                <w:rFonts w:asciiTheme="minorHAnsi" w:hAnsiTheme="minorHAnsi" w:cs="Arial"/>
                <w:sz w:val="24"/>
                <w:szCs w:val="24"/>
              </w:rPr>
            </w:pPr>
            <w:r w:rsidRPr="0063487A">
              <w:rPr>
                <w:rFonts w:asciiTheme="minorHAnsi" w:hAnsiTheme="minorHAnsi" w:cs="Arial"/>
                <w:sz w:val="24"/>
                <w:szCs w:val="24"/>
              </w:rPr>
              <w:t>3.7</w:t>
            </w:r>
          </w:p>
        </w:tc>
        <w:tc>
          <w:tcPr>
            <w:tcW w:w="1276" w:type="dxa"/>
            <w:tcBorders>
              <w:top w:val="nil"/>
              <w:left w:val="nil"/>
              <w:bottom w:val="nil"/>
            </w:tcBorders>
          </w:tcPr>
          <w:p w:rsidR="007A64CA" w:rsidRPr="0063487A" w:rsidRDefault="007A64CA" w:rsidP="007A64CA">
            <w:pPr>
              <w:spacing w:after="0" w:line="360" w:lineRule="auto"/>
              <w:contextualSpacing/>
              <w:jc w:val="center"/>
              <w:rPr>
                <w:rFonts w:asciiTheme="minorHAnsi" w:hAnsiTheme="minorHAnsi" w:cs="Arial"/>
                <w:sz w:val="24"/>
                <w:szCs w:val="24"/>
              </w:rPr>
            </w:pPr>
            <w:r w:rsidRPr="0063487A">
              <w:rPr>
                <w:rFonts w:asciiTheme="minorHAnsi" w:hAnsiTheme="minorHAnsi" w:cs="Arial"/>
                <w:sz w:val="24"/>
                <w:szCs w:val="24"/>
              </w:rPr>
              <w:t>18.3</w:t>
            </w:r>
          </w:p>
        </w:tc>
      </w:tr>
      <w:tr w:rsidR="007A64CA" w:rsidRPr="0063487A" w:rsidTr="007A64CA">
        <w:trPr>
          <w:trHeight w:val="350"/>
        </w:trPr>
        <w:tc>
          <w:tcPr>
            <w:tcW w:w="1526" w:type="dxa"/>
            <w:tcBorders>
              <w:top w:val="nil"/>
              <w:bottom w:val="nil"/>
              <w:right w:val="nil"/>
            </w:tcBorders>
          </w:tcPr>
          <w:p w:rsidR="007A64CA" w:rsidRPr="0063487A" w:rsidRDefault="007A64CA" w:rsidP="007A64CA">
            <w:pPr>
              <w:spacing w:after="0" w:line="360" w:lineRule="auto"/>
              <w:contextualSpacing/>
              <w:jc w:val="center"/>
              <w:rPr>
                <w:rFonts w:asciiTheme="minorHAnsi" w:hAnsiTheme="minorHAnsi" w:cs="Arial"/>
                <w:b/>
              </w:rPr>
            </w:pPr>
            <w:r w:rsidRPr="0063487A">
              <w:rPr>
                <w:rFonts w:asciiTheme="minorHAnsi" w:hAnsiTheme="minorHAnsi" w:cs="Arial"/>
              </w:rPr>
              <w:t>2</w:t>
            </w:r>
          </w:p>
        </w:tc>
        <w:tc>
          <w:tcPr>
            <w:tcW w:w="1559" w:type="dxa"/>
            <w:tcBorders>
              <w:top w:val="nil"/>
              <w:left w:val="nil"/>
              <w:bottom w:val="nil"/>
              <w:right w:val="nil"/>
            </w:tcBorders>
          </w:tcPr>
          <w:p w:rsidR="007A64CA" w:rsidRPr="0063487A" w:rsidRDefault="007A64CA" w:rsidP="007A64CA">
            <w:pPr>
              <w:spacing w:after="0" w:line="360" w:lineRule="auto"/>
              <w:contextualSpacing/>
              <w:jc w:val="center"/>
              <w:rPr>
                <w:rFonts w:asciiTheme="minorHAnsi" w:hAnsiTheme="minorHAnsi" w:cs="Arial"/>
              </w:rPr>
            </w:pPr>
            <w:r w:rsidRPr="0063487A">
              <w:rPr>
                <w:rFonts w:asciiTheme="minorHAnsi" w:hAnsiTheme="minorHAnsi" w:cs="Arial"/>
              </w:rPr>
              <w:t>55</w:t>
            </w:r>
          </w:p>
        </w:tc>
        <w:tc>
          <w:tcPr>
            <w:tcW w:w="1701" w:type="dxa"/>
            <w:tcBorders>
              <w:top w:val="nil"/>
              <w:left w:val="nil"/>
              <w:bottom w:val="nil"/>
              <w:right w:val="single" w:sz="4" w:space="0" w:color="auto"/>
            </w:tcBorders>
          </w:tcPr>
          <w:p w:rsidR="007A64CA" w:rsidRPr="0063487A" w:rsidRDefault="007A64CA" w:rsidP="007A64CA">
            <w:pPr>
              <w:spacing w:after="0" w:line="360" w:lineRule="auto"/>
              <w:contextualSpacing/>
              <w:jc w:val="center"/>
              <w:rPr>
                <w:rFonts w:asciiTheme="minorHAnsi" w:hAnsiTheme="minorHAnsi" w:cs="Arial"/>
              </w:rPr>
            </w:pPr>
            <w:r w:rsidRPr="0063487A">
              <w:rPr>
                <w:rFonts w:asciiTheme="minorHAnsi" w:hAnsiTheme="minorHAnsi" w:cs="Arial"/>
              </w:rPr>
              <w:t>7 (12.7)</w:t>
            </w:r>
          </w:p>
        </w:tc>
        <w:tc>
          <w:tcPr>
            <w:tcW w:w="2127" w:type="dxa"/>
            <w:tcBorders>
              <w:top w:val="nil"/>
              <w:left w:val="single" w:sz="4" w:space="0" w:color="auto"/>
              <w:bottom w:val="nil"/>
            </w:tcBorders>
          </w:tcPr>
          <w:p w:rsidR="007A64CA" w:rsidRPr="0063487A" w:rsidRDefault="007A64CA" w:rsidP="007A64CA">
            <w:pPr>
              <w:spacing w:after="0" w:line="360" w:lineRule="auto"/>
              <w:contextualSpacing/>
              <w:jc w:val="center"/>
              <w:rPr>
                <w:rFonts w:asciiTheme="minorHAnsi" w:hAnsiTheme="minorHAnsi" w:cs="Arial"/>
                <w:sz w:val="24"/>
                <w:szCs w:val="24"/>
              </w:rPr>
            </w:pPr>
            <w:r w:rsidRPr="0063487A">
              <w:rPr>
                <w:rFonts w:asciiTheme="minorHAnsi" w:hAnsiTheme="minorHAnsi" w:cs="Arial"/>
                <w:sz w:val="24"/>
                <w:szCs w:val="24"/>
              </w:rPr>
              <w:t>6.3</w:t>
            </w:r>
          </w:p>
        </w:tc>
        <w:tc>
          <w:tcPr>
            <w:tcW w:w="1276" w:type="dxa"/>
            <w:tcBorders>
              <w:top w:val="nil"/>
              <w:left w:val="nil"/>
              <w:bottom w:val="nil"/>
            </w:tcBorders>
          </w:tcPr>
          <w:p w:rsidR="007A64CA" w:rsidRPr="0063487A" w:rsidRDefault="007A64CA" w:rsidP="007A64CA">
            <w:pPr>
              <w:spacing w:after="0" w:line="360" w:lineRule="auto"/>
              <w:contextualSpacing/>
              <w:jc w:val="center"/>
              <w:rPr>
                <w:rFonts w:asciiTheme="minorHAnsi" w:hAnsiTheme="minorHAnsi" w:cs="Arial"/>
                <w:sz w:val="24"/>
                <w:szCs w:val="24"/>
              </w:rPr>
            </w:pPr>
            <w:r w:rsidRPr="0063487A">
              <w:rPr>
                <w:rFonts w:asciiTheme="minorHAnsi" w:hAnsiTheme="minorHAnsi" w:cs="Arial"/>
                <w:sz w:val="24"/>
                <w:szCs w:val="24"/>
              </w:rPr>
              <w:t>24.0</w:t>
            </w:r>
          </w:p>
        </w:tc>
      </w:tr>
      <w:tr w:rsidR="007A64CA" w:rsidRPr="0063487A" w:rsidTr="007A64CA">
        <w:trPr>
          <w:trHeight w:val="369"/>
        </w:trPr>
        <w:tc>
          <w:tcPr>
            <w:tcW w:w="1526" w:type="dxa"/>
            <w:tcBorders>
              <w:top w:val="nil"/>
              <w:bottom w:val="nil"/>
              <w:right w:val="nil"/>
            </w:tcBorders>
          </w:tcPr>
          <w:p w:rsidR="007A64CA" w:rsidRPr="0063487A" w:rsidRDefault="007A64CA" w:rsidP="007A64CA">
            <w:pPr>
              <w:spacing w:after="0" w:line="360" w:lineRule="auto"/>
              <w:contextualSpacing/>
              <w:jc w:val="center"/>
              <w:rPr>
                <w:rFonts w:asciiTheme="minorHAnsi" w:hAnsiTheme="minorHAnsi" w:cs="Arial"/>
                <w:b/>
              </w:rPr>
            </w:pPr>
            <w:r w:rsidRPr="0063487A">
              <w:rPr>
                <w:rFonts w:asciiTheme="minorHAnsi" w:hAnsiTheme="minorHAnsi" w:cs="Arial"/>
              </w:rPr>
              <w:t>3</w:t>
            </w:r>
          </w:p>
        </w:tc>
        <w:tc>
          <w:tcPr>
            <w:tcW w:w="1559" w:type="dxa"/>
            <w:tcBorders>
              <w:top w:val="nil"/>
              <w:left w:val="nil"/>
              <w:bottom w:val="nil"/>
              <w:right w:val="nil"/>
            </w:tcBorders>
          </w:tcPr>
          <w:p w:rsidR="007A64CA" w:rsidRPr="0063487A" w:rsidRDefault="007A64CA" w:rsidP="007A64CA">
            <w:pPr>
              <w:spacing w:after="0" w:line="360" w:lineRule="auto"/>
              <w:contextualSpacing/>
              <w:jc w:val="center"/>
              <w:rPr>
                <w:rFonts w:asciiTheme="minorHAnsi" w:hAnsiTheme="minorHAnsi" w:cs="Arial"/>
              </w:rPr>
            </w:pPr>
            <w:r w:rsidRPr="0063487A">
              <w:rPr>
                <w:rFonts w:asciiTheme="minorHAnsi" w:hAnsiTheme="minorHAnsi" w:cs="Arial"/>
              </w:rPr>
              <w:t>42</w:t>
            </w:r>
          </w:p>
        </w:tc>
        <w:tc>
          <w:tcPr>
            <w:tcW w:w="1701" w:type="dxa"/>
            <w:tcBorders>
              <w:top w:val="nil"/>
              <w:left w:val="nil"/>
              <w:bottom w:val="nil"/>
              <w:right w:val="single" w:sz="4" w:space="0" w:color="auto"/>
            </w:tcBorders>
          </w:tcPr>
          <w:p w:rsidR="007A64CA" w:rsidRPr="0063487A" w:rsidRDefault="007A64CA" w:rsidP="007A64CA">
            <w:pPr>
              <w:spacing w:after="0" w:line="360" w:lineRule="auto"/>
              <w:contextualSpacing/>
              <w:jc w:val="center"/>
              <w:rPr>
                <w:rFonts w:asciiTheme="minorHAnsi" w:hAnsiTheme="minorHAnsi" w:cs="Arial"/>
              </w:rPr>
            </w:pPr>
            <w:r w:rsidRPr="0063487A">
              <w:rPr>
                <w:rFonts w:asciiTheme="minorHAnsi" w:hAnsiTheme="minorHAnsi" w:cs="Arial"/>
              </w:rPr>
              <w:t>8 (19.0)</w:t>
            </w:r>
          </w:p>
        </w:tc>
        <w:tc>
          <w:tcPr>
            <w:tcW w:w="2127" w:type="dxa"/>
            <w:tcBorders>
              <w:top w:val="nil"/>
              <w:left w:val="single" w:sz="4" w:space="0" w:color="auto"/>
              <w:bottom w:val="nil"/>
            </w:tcBorders>
          </w:tcPr>
          <w:p w:rsidR="007A64CA" w:rsidRPr="0063487A" w:rsidRDefault="007A64CA" w:rsidP="007A64CA">
            <w:pPr>
              <w:spacing w:after="0" w:line="360" w:lineRule="auto"/>
              <w:contextualSpacing/>
              <w:jc w:val="center"/>
              <w:rPr>
                <w:rFonts w:asciiTheme="minorHAnsi" w:hAnsiTheme="minorHAnsi" w:cs="Arial"/>
                <w:sz w:val="24"/>
                <w:szCs w:val="24"/>
              </w:rPr>
            </w:pPr>
            <w:r w:rsidRPr="0063487A">
              <w:rPr>
                <w:rFonts w:asciiTheme="minorHAnsi" w:hAnsiTheme="minorHAnsi" w:cs="Arial"/>
                <w:sz w:val="24"/>
                <w:szCs w:val="24"/>
              </w:rPr>
              <w:t>10.0</w:t>
            </w:r>
          </w:p>
        </w:tc>
        <w:tc>
          <w:tcPr>
            <w:tcW w:w="1276" w:type="dxa"/>
            <w:tcBorders>
              <w:top w:val="nil"/>
              <w:left w:val="nil"/>
              <w:bottom w:val="nil"/>
            </w:tcBorders>
          </w:tcPr>
          <w:p w:rsidR="007A64CA" w:rsidRPr="0063487A" w:rsidRDefault="007A64CA" w:rsidP="007A64CA">
            <w:pPr>
              <w:spacing w:after="0" w:line="360" w:lineRule="auto"/>
              <w:contextualSpacing/>
              <w:jc w:val="center"/>
              <w:rPr>
                <w:rFonts w:asciiTheme="minorHAnsi" w:hAnsiTheme="minorHAnsi" w:cs="Arial"/>
                <w:sz w:val="24"/>
                <w:szCs w:val="24"/>
              </w:rPr>
            </w:pPr>
            <w:r w:rsidRPr="0063487A">
              <w:rPr>
                <w:rFonts w:asciiTheme="minorHAnsi" w:hAnsiTheme="minorHAnsi" w:cs="Arial"/>
                <w:sz w:val="24"/>
                <w:szCs w:val="24"/>
              </w:rPr>
              <w:t>33.3</w:t>
            </w:r>
          </w:p>
        </w:tc>
      </w:tr>
      <w:tr w:rsidR="007A64CA" w:rsidRPr="0063487A" w:rsidTr="007A64CA">
        <w:trPr>
          <w:trHeight w:val="359"/>
        </w:trPr>
        <w:tc>
          <w:tcPr>
            <w:tcW w:w="1526" w:type="dxa"/>
            <w:tcBorders>
              <w:top w:val="nil"/>
              <w:bottom w:val="nil"/>
              <w:right w:val="nil"/>
            </w:tcBorders>
          </w:tcPr>
          <w:p w:rsidR="007A64CA" w:rsidRPr="0063487A" w:rsidRDefault="007A64CA" w:rsidP="007A64CA">
            <w:pPr>
              <w:spacing w:after="0" w:line="360" w:lineRule="auto"/>
              <w:contextualSpacing/>
              <w:jc w:val="center"/>
              <w:rPr>
                <w:rFonts w:asciiTheme="minorHAnsi" w:hAnsiTheme="minorHAnsi" w:cs="Arial"/>
                <w:b/>
              </w:rPr>
            </w:pPr>
            <w:r w:rsidRPr="0063487A">
              <w:rPr>
                <w:rFonts w:asciiTheme="minorHAnsi" w:hAnsiTheme="minorHAnsi" w:cs="Arial"/>
              </w:rPr>
              <w:t>4</w:t>
            </w:r>
          </w:p>
        </w:tc>
        <w:tc>
          <w:tcPr>
            <w:tcW w:w="1559" w:type="dxa"/>
            <w:tcBorders>
              <w:top w:val="nil"/>
              <w:left w:val="nil"/>
              <w:bottom w:val="nil"/>
              <w:right w:val="nil"/>
            </w:tcBorders>
          </w:tcPr>
          <w:p w:rsidR="007A64CA" w:rsidRPr="0063487A" w:rsidRDefault="007A64CA" w:rsidP="007A64CA">
            <w:pPr>
              <w:spacing w:after="0" w:line="360" w:lineRule="auto"/>
              <w:contextualSpacing/>
              <w:jc w:val="center"/>
              <w:rPr>
                <w:rFonts w:asciiTheme="minorHAnsi" w:hAnsiTheme="minorHAnsi" w:cs="Arial"/>
              </w:rPr>
            </w:pPr>
            <w:r w:rsidRPr="0063487A">
              <w:rPr>
                <w:rFonts w:asciiTheme="minorHAnsi" w:hAnsiTheme="minorHAnsi" w:cs="Arial"/>
              </w:rPr>
              <w:t>14</w:t>
            </w:r>
          </w:p>
        </w:tc>
        <w:tc>
          <w:tcPr>
            <w:tcW w:w="1701" w:type="dxa"/>
            <w:tcBorders>
              <w:top w:val="nil"/>
              <w:left w:val="nil"/>
              <w:bottom w:val="nil"/>
              <w:right w:val="single" w:sz="4" w:space="0" w:color="auto"/>
            </w:tcBorders>
          </w:tcPr>
          <w:p w:rsidR="007A64CA" w:rsidRPr="0063487A" w:rsidRDefault="007A64CA" w:rsidP="007A64CA">
            <w:pPr>
              <w:spacing w:after="0" w:line="360" w:lineRule="auto"/>
              <w:contextualSpacing/>
              <w:jc w:val="center"/>
              <w:rPr>
                <w:rFonts w:asciiTheme="minorHAnsi" w:hAnsiTheme="minorHAnsi" w:cs="Arial"/>
              </w:rPr>
            </w:pPr>
            <w:r w:rsidRPr="0063487A">
              <w:rPr>
                <w:rFonts w:asciiTheme="minorHAnsi" w:hAnsiTheme="minorHAnsi" w:cs="Arial"/>
              </w:rPr>
              <w:t>4 (28.6)</w:t>
            </w:r>
          </w:p>
        </w:tc>
        <w:tc>
          <w:tcPr>
            <w:tcW w:w="2127" w:type="dxa"/>
            <w:tcBorders>
              <w:top w:val="nil"/>
              <w:left w:val="single" w:sz="4" w:space="0" w:color="auto"/>
              <w:bottom w:val="nil"/>
            </w:tcBorders>
          </w:tcPr>
          <w:p w:rsidR="007A64CA" w:rsidRPr="0063487A" w:rsidRDefault="007A64CA" w:rsidP="007A64CA">
            <w:pPr>
              <w:spacing w:after="0" w:line="360" w:lineRule="auto"/>
              <w:contextualSpacing/>
              <w:jc w:val="center"/>
              <w:rPr>
                <w:rFonts w:asciiTheme="minorHAnsi" w:hAnsiTheme="minorHAnsi" w:cs="Arial"/>
                <w:sz w:val="24"/>
                <w:szCs w:val="24"/>
              </w:rPr>
            </w:pPr>
            <w:r w:rsidRPr="0063487A">
              <w:rPr>
                <w:rFonts w:asciiTheme="minorHAnsi" w:hAnsiTheme="minorHAnsi" w:cs="Arial"/>
                <w:sz w:val="24"/>
                <w:szCs w:val="24"/>
              </w:rPr>
              <w:t>11.7</w:t>
            </w:r>
          </w:p>
        </w:tc>
        <w:tc>
          <w:tcPr>
            <w:tcW w:w="1276" w:type="dxa"/>
            <w:tcBorders>
              <w:top w:val="nil"/>
              <w:left w:val="nil"/>
              <w:bottom w:val="nil"/>
            </w:tcBorders>
          </w:tcPr>
          <w:p w:rsidR="007A64CA" w:rsidRPr="0063487A" w:rsidRDefault="007A64CA" w:rsidP="007A64CA">
            <w:pPr>
              <w:spacing w:after="0" w:line="360" w:lineRule="auto"/>
              <w:contextualSpacing/>
              <w:jc w:val="center"/>
              <w:rPr>
                <w:rFonts w:asciiTheme="minorHAnsi" w:hAnsiTheme="minorHAnsi" w:cs="Arial"/>
                <w:sz w:val="24"/>
                <w:szCs w:val="24"/>
              </w:rPr>
            </w:pPr>
            <w:r w:rsidRPr="0063487A">
              <w:rPr>
                <w:rFonts w:asciiTheme="minorHAnsi" w:hAnsiTheme="minorHAnsi" w:cs="Arial"/>
                <w:sz w:val="24"/>
                <w:szCs w:val="24"/>
              </w:rPr>
              <w:t>54.6</w:t>
            </w:r>
          </w:p>
        </w:tc>
      </w:tr>
      <w:tr w:rsidR="007A64CA" w:rsidRPr="0063487A" w:rsidTr="007A64CA">
        <w:trPr>
          <w:trHeight w:val="379"/>
        </w:trPr>
        <w:tc>
          <w:tcPr>
            <w:tcW w:w="1526" w:type="dxa"/>
            <w:tcBorders>
              <w:top w:val="nil"/>
              <w:right w:val="nil"/>
            </w:tcBorders>
          </w:tcPr>
          <w:p w:rsidR="007A64CA" w:rsidRPr="0063487A" w:rsidRDefault="007A64CA" w:rsidP="007A64CA">
            <w:pPr>
              <w:spacing w:after="0" w:line="360" w:lineRule="auto"/>
              <w:contextualSpacing/>
              <w:jc w:val="center"/>
              <w:rPr>
                <w:rFonts w:asciiTheme="minorHAnsi" w:hAnsiTheme="minorHAnsi" w:cs="Arial"/>
                <w:b/>
              </w:rPr>
            </w:pPr>
            <w:r w:rsidRPr="0063487A">
              <w:rPr>
                <w:rFonts w:asciiTheme="minorHAnsi" w:hAnsiTheme="minorHAnsi" w:cs="Arial"/>
              </w:rPr>
              <w:t>5</w:t>
            </w:r>
          </w:p>
        </w:tc>
        <w:tc>
          <w:tcPr>
            <w:tcW w:w="1559" w:type="dxa"/>
            <w:tcBorders>
              <w:top w:val="nil"/>
              <w:left w:val="nil"/>
              <w:right w:val="nil"/>
            </w:tcBorders>
          </w:tcPr>
          <w:p w:rsidR="007A64CA" w:rsidRPr="0063487A" w:rsidRDefault="007A64CA" w:rsidP="007A64CA">
            <w:pPr>
              <w:spacing w:after="0" w:line="360" w:lineRule="auto"/>
              <w:contextualSpacing/>
              <w:jc w:val="center"/>
              <w:rPr>
                <w:rFonts w:asciiTheme="minorHAnsi" w:hAnsiTheme="minorHAnsi" w:cs="Arial"/>
              </w:rPr>
            </w:pPr>
            <w:r w:rsidRPr="0063487A">
              <w:rPr>
                <w:rFonts w:asciiTheme="minorHAnsi" w:hAnsiTheme="minorHAnsi" w:cs="Arial"/>
              </w:rPr>
              <w:t>3</w:t>
            </w:r>
          </w:p>
        </w:tc>
        <w:tc>
          <w:tcPr>
            <w:tcW w:w="1701" w:type="dxa"/>
            <w:tcBorders>
              <w:top w:val="nil"/>
              <w:left w:val="nil"/>
              <w:right w:val="single" w:sz="4" w:space="0" w:color="auto"/>
            </w:tcBorders>
          </w:tcPr>
          <w:p w:rsidR="007A64CA" w:rsidRPr="0063487A" w:rsidRDefault="007A64CA" w:rsidP="007A64CA">
            <w:pPr>
              <w:spacing w:after="0" w:line="360" w:lineRule="auto"/>
              <w:contextualSpacing/>
              <w:jc w:val="center"/>
              <w:rPr>
                <w:rFonts w:asciiTheme="minorHAnsi" w:hAnsiTheme="minorHAnsi" w:cs="Arial"/>
              </w:rPr>
            </w:pPr>
            <w:r w:rsidRPr="0063487A">
              <w:rPr>
                <w:rFonts w:asciiTheme="minorHAnsi" w:hAnsiTheme="minorHAnsi" w:cs="Arial"/>
              </w:rPr>
              <w:t>3 (100)</w:t>
            </w:r>
          </w:p>
        </w:tc>
        <w:tc>
          <w:tcPr>
            <w:tcW w:w="2127" w:type="dxa"/>
            <w:tcBorders>
              <w:top w:val="nil"/>
              <w:left w:val="single" w:sz="4" w:space="0" w:color="auto"/>
            </w:tcBorders>
          </w:tcPr>
          <w:p w:rsidR="007A64CA" w:rsidRPr="0063487A" w:rsidRDefault="007A64CA" w:rsidP="007A64CA">
            <w:pPr>
              <w:spacing w:after="0" w:line="360" w:lineRule="auto"/>
              <w:contextualSpacing/>
              <w:jc w:val="center"/>
              <w:rPr>
                <w:rFonts w:asciiTheme="minorHAnsi" w:hAnsiTheme="minorHAnsi" w:cs="Arial"/>
                <w:sz w:val="24"/>
                <w:szCs w:val="24"/>
              </w:rPr>
            </w:pPr>
            <w:r w:rsidRPr="0063487A">
              <w:rPr>
                <w:rFonts w:asciiTheme="minorHAnsi" w:hAnsiTheme="minorHAnsi" w:cs="Arial"/>
                <w:sz w:val="24"/>
                <w:szCs w:val="24"/>
              </w:rPr>
              <w:t>43.8</w:t>
            </w:r>
          </w:p>
        </w:tc>
        <w:tc>
          <w:tcPr>
            <w:tcW w:w="1276" w:type="dxa"/>
            <w:tcBorders>
              <w:top w:val="nil"/>
              <w:left w:val="nil"/>
            </w:tcBorders>
          </w:tcPr>
          <w:p w:rsidR="007A64CA" w:rsidRPr="0063487A" w:rsidRDefault="007A64CA" w:rsidP="007A64CA">
            <w:pPr>
              <w:spacing w:after="0" w:line="360" w:lineRule="auto"/>
              <w:contextualSpacing/>
              <w:jc w:val="center"/>
              <w:rPr>
                <w:rFonts w:asciiTheme="minorHAnsi" w:hAnsiTheme="minorHAnsi" w:cs="Arial"/>
                <w:sz w:val="24"/>
                <w:szCs w:val="24"/>
              </w:rPr>
            </w:pPr>
            <w:r w:rsidRPr="0063487A">
              <w:rPr>
                <w:rFonts w:asciiTheme="minorHAnsi" w:hAnsiTheme="minorHAnsi" w:cs="Arial"/>
                <w:sz w:val="24"/>
                <w:szCs w:val="24"/>
              </w:rPr>
              <w:t>100</w:t>
            </w:r>
          </w:p>
        </w:tc>
      </w:tr>
    </w:tbl>
    <w:p w:rsidR="007A64CA" w:rsidRPr="0063487A" w:rsidRDefault="007A64CA" w:rsidP="007A64CA">
      <w:pPr>
        <w:rPr>
          <w:rFonts w:asciiTheme="minorHAnsi" w:hAnsiTheme="minorHAnsi"/>
        </w:rPr>
      </w:pPr>
    </w:p>
    <w:p w:rsidR="007A64CA" w:rsidRPr="0063487A" w:rsidRDefault="007A64CA" w:rsidP="007A64CA">
      <w:pPr>
        <w:rPr>
          <w:rFonts w:asciiTheme="minorHAnsi" w:hAnsiTheme="minorHAnsi"/>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r w:rsidRPr="0063487A">
        <w:rPr>
          <w:rFonts w:asciiTheme="minorHAnsi" w:hAnsiTheme="minorHAnsi"/>
          <w:color w:val="000000"/>
          <w:sz w:val="20"/>
          <w:szCs w:val="20"/>
        </w:rPr>
        <w:br w:type="page"/>
      </w:r>
      <w:r w:rsidRPr="0063487A">
        <w:rPr>
          <w:rFonts w:asciiTheme="minorHAnsi" w:hAnsiTheme="minorHAnsi"/>
          <w:color w:val="000000"/>
          <w:sz w:val="20"/>
          <w:szCs w:val="20"/>
        </w:rPr>
        <w:lastRenderedPageBreak/>
        <w:t xml:space="preserve">Table </w:t>
      </w:r>
      <w:r w:rsidR="0079798C" w:rsidRPr="0063487A">
        <w:rPr>
          <w:rFonts w:asciiTheme="minorHAnsi" w:hAnsiTheme="minorHAnsi"/>
          <w:color w:val="000000"/>
          <w:sz w:val="20"/>
          <w:szCs w:val="20"/>
        </w:rPr>
        <w:fldChar w:fldCharType="begin"/>
      </w:r>
      <w:r w:rsidRPr="0063487A">
        <w:rPr>
          <w:rFonts w:asciiTheme="minorHAnsi" w:hAnsiTheme="minorHAnsi"/>
          <w:color w:val="000000"/>
          <w:sz w:val="20"/>
          <w:szCs w:val="20"/>
        </w:rPr>
        <w:instrText xml:space="preserve"> SEQ Table \* ARABIC </w:instrText>
      </w:r>
      <w:r w:rsidR="0079798C" w:rsidRPr="0063487A">
        <w:rPr>
          <w:rFonts w:asciiTheme="minorHAnsi" w:hAnsiTheme="minorHAnsi"/>
          <w:color w:val="000000"/>
          <w:sz w:val="20"/>
          <w:szCs w:val="20"/>
        </w:rPr>
        <w:fldChar w:fldCharType="separate"/>
      </w:r>
      <w:r w:rsidRPr="0063487A">
        <w:rPr>
          <w:rFonts w:asciiTheme="minorHAnsi" w:hAnsiTheme="minorHAnsi"/>
          <w:noProof/>
          <w:color w:val="000000"/>
          <w:sz w:val="20"/>
          <w:szCs w:val="20"/>
        </w:rPr>
        <w:t>3</w:t>
      </w:r>
      <w:r w:rsidR="0079798C" w:rsidRPr="0063487A">
        <w:rPr>
          <w:rFonts w:asciiTheme="minorHAnsi" w:hAnsiTheme="minorHAnsi"/>
          <w:color w:val="000000"/>
          <w:sz w:val="20"/>
          <w:szCs w:val="20"/>
        </w:rPr>
        <w:fldChar w:fldCharType="end"/>
      </w:r>
      <w:r w:rsidRPr="0063487A">
        <w:rPr>
          <w:rFonts w:asciiTheme="minorHAnsi" w:hAnsiTheme="minorHAnsi"/>
          <w:color w:val="000000"/>
          <w:sz w:val="20"/>
          <w:szCs w:val="20"/>
        </w:rPr>
        <w:t>. Test characteristics for mortality prediction for the SWAT-Bp score</w:t>
      </w:r>
    </w:p>
    <w:tbl>
      <w:tblPr>
        <w:tblpPr w:leftFromText="180" w:rightFromText="180" w:vertAnchor="text" w:horzAnchor="margin" w:tblpX="-176" w:tblpY="183"/>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020"/>
        <w:gridCol w:w="1986"/>
        <w:gridCol w:w="1987"/>
        <w:gridCol w:w="1987"/>
      </w:tblGrid>
      <w:tr w:rsidR="007A64CA" w:rsidRPr="0063487A" w:rsidTr="007A64CA">
        <w:trPr>
          <w:trHeight w:val="550"/>
        </w:trPr>
        <w:tc>
          <w:tcPr>
            <w:tcW w:w="2127" w:type="dxa"/>
            <w:tcBorders>
              <w:right w:val="nil"/>
            </w:tcBorders>
          </w:tcPr>
          <w:p w:rsidR="007A64CA" w:rsidRPr="0063487A" w:rsidRDefault="007A64CA" w:rsidP="007A64CA">
            <w:pPr>
              <w:pStyle w:val="EndnoteText"/>
              <w:contextualSpacing/>
              <w:jc w:val="center"/>
              <w:rPr>
                <w:rFonts w:asciiTheme="minorHAnsi" w:hAnsiTheme="minorHAnsi" w:cs="Arial"/>
                <w:b/>
                <w:sz w:val="24"/>
                <w:szCs w:val="24"/>
              </w:rPr>
            </w:pPr>
            <w:r w:rsidRPr="0063487A">
              <w:rPr>
                <w:rFonts w:asciiTheme="minorHAnsi" w:hAnsiTheme="minorHAnsi" w:cs="Arial"/>
                <w:b/>
                <w:sz w:val="24"/>
                <w:szCs w:val="24"/>
              </w:rPr>
              <w:t>SWAT-Bp cut-off point</w:t>
            </w:r>
          </w:p>
        </w:tc>
        <w:tc>
          <w:tcPr>
            <w:tcW w:w="2020" w:type="dxa"/>
            <w:tcBorders>
              <w:left w:val="nil"/>
              <w:right w:val="nil"/>
            </w:tcBorders>
          </w:tcPr>
          <w:p w:rsidR="007A64CA" w:rsidRPr="0063487A" w:rsidRDefault="007A64CA" w:rsidP="007A64CA">
            <w:pPr>
              <w:pStyle w:val="EndnoteText"/>
              <w:contextualSpacing/>
              <w:jc w:val="center"/>
              <w:rPr>
                <w:rFonts w:asciiTheme="minorHAnsi" w:hAnsiTheme="minorHAnsi" w:cs="Arial"/>
                <w:b/>
                <w:sz w:val="24"/>
                <w:szCs w:val="24"/>
              </w:rPr>
            </w:pPr>
            <w:r w:rsidRPr="0063487A">
              <w:rPr>
                <w:rFonts w:asciiTheme="minorHAnsi" w:hAnsiTheme="minorHAnsi" w:cs="Arial"/>
                <w:b/>
                <w:sz w:val="24"/>
                <w:szCs w:val="24"/>
              </w:rPr>
              <w:t>Sensitivity % (95% CI)</w:t>
            </w:r>
          </w:p>
        </w:tc>
        <w:tc>
          <w:tcPr>
            <w:tcW w:w="1986" w:type="dxa"/>
            <w:tcBorders>
              <w:left w:val="nil"/>
              <w:right w:val="nil"/>
            </w:tcBorders>
          </w:tcPr>
          <w:p w:rsidR="007A64CA" w:rsidRPr="0063487A" w:rsidRDefault="007A64CA" w:rsidP="007A64CA">
            <w:pPr>
              <w:pStyle w:val="EndnoteText"/>
              <w:contextualSpacing/>
              <w:jc w:val="center"/>
              <w:rPr>
                <w:rFonts w:asciiTheme="minorHAnsi" w:hAnsiTheme="minorHAnsi" w:cs="Arial"/>
                <w:b/>
                <w:sz w:val="24"/>
                <w:szCs w:val="24"/>
              </w:rPr>
            </w:pPr>
            <w:r w:rsidRPr="0063487A">
              <w:rPr>
                <w:rFonts w:asciiTheme="minorHAnsi" w:hAnsiTheme="minorHAnsi" w:cs="Arial"/>
                <w:b/>
                <w:sz w:val="24"/>
                <w:szCs w:val="24"/>
              </w:rPr>
              <w:t>Specificity % (95% CI)</w:t>
            </w:r>
          </w:p>
        </w:tc>
        <w:tc>
          <w:tcPr>
            <w:tcW w:w="1987" w:type="dxa"/>
            <w:tcBorders>
              <w:left w:val="nil"/>
              <w:right w:val="nil"/>
            </w:tcBorders>
          </w:tcPr>
          <w:p w:rsidR="007A64CA" w:rsidRPr="0063487A" w:rsidRDefault="007A64CA" w:rsidP="007A64CA">
            <w:pPr>
              <w:pStyle w:val="EndnoteText"/>
              <w:contextualSpacing/>
              <w:jc w:val="center"/>
              <w:rPr>
                <w:rFonts w:asciiTheme="minorHAnsi" w:hAnsiTheme="minorHAnsi" w:cs="Arial"/>
                <w:b/>
                <w:sz w:val="24"/>
                <w:szCs w:val="24"/>
              </w:rPr>
            </w:pPr>
            <w:r w:rsidRPr="0063487A">
              <w:rPr>
                <w:rFonts w:asciiTheme="minorHAnsi" w:hAnsiTheme="minorHAnsi" w:cs="Arial"/>
                <w:b/>
                <w:sz w:val="24"/>
                <w:szCs w:val="24"/>
              </w:rPr>
              <w:t>PPV %</w:t>
            </w:r>
          </w:p>
          <w:p w:rsidR="007A64CA" w:rsidRPr="0063487A" w:rsidRDefault="007A64CA" w:rsidP="007A64CA">
            <w:pPr>
              <w:pStyle w:val="EndnoteText"/>
              <w:contextualSpacing/>
              <w:jc w:val="center"/>
              <w:rPr>
                <w:rFonts w:asciiTheme="minorHAnsi" w:hAnsiTheme="minorHAnsi" w:cs="Arial"/>
                <w:b/>
                <w:sz w:val="24"/>
                <w:szCs w:val="24"/>
              </w:rPr>
            </w:pPr>
            <w:r w:rsidRPr="0063487A">
              <w:rPr>
                <w:rFonts w:asciiTheme="minorHAnsi" w:hAnsiTheme="minorHAnsi" w:cs="Arial"/>
                <w:b/>
                <w:sz w:val="24"/>
                <w:szCs w:val="24"/>
              </w:rPr>
              <w:t>(95% CI)</w:t>
            </w:r>
          </w:p>
        </w:tc>
        <w:tc>
          <w:tcPr>
            <w:tcW w:w="1987" w:type="dxa"/>
            <w:tcBorders>
              <w:left w:val="nil"/>
            </w:tcBorders>
          </w:tcPr>
          <w:p w:rsidR="007A64CA" w:rsidRPr="0063487A" w:rsidRDefault="007A64CA" w:rsidP="007A64CA">
            <w:pPr>
              <w:pStyle w:val="EndnoteText"/>
              <w:contextualSpacing/>
              <w:jc w:val="center"/>
              <w:rPr>
                <w:rFonts w:asciiTheme="minorHAnsi" w:hAnsiTheme="minorHAnsi" w:cs="Arial"/>
                <w:b/>
                <w:sz w:val="24"/>
                <w:szCs w:val="24"/>
              </w:rPr>
            </w:pPr>
            <w:r w:rsidRPr="0063487A">
              <w:rPr>
                <w:rFonts w:asciiTheme="minorHAnsi" w:hAnsiTheme="minorHAnsi" w:cs="Arial"/>
                <w:b/>
                <w:sz w:val="24"/>
                <w:szCs w:val="24"/>
              </w:rPr>
              <w:t>NPV %</w:t>
            </w:r>
          </w:p>
          <w:p w:rsidR="007A64CA" w:rsidRPr="0063487A" w:rsidRDefault="007A64CA" w:rsidP="007A64CA">
            <w:pPr>
              <w:pStyle w:val="EndnoteText"/>
              <w:contextualSpacing/>
              <w:jc w:val="center"/>
              <w:rPr>
                <w:rFonts w:asciiTheme="minorHAnsi" w:hAnsiTheme="minorHAnsi" w:cs="Arial"/>
                <w:b/>
                <w:sz w:val="24"/>
                <w:szCs w:val="24"/>
              </w:rPr>
            </w:pPr>
            <w:r w:rsidRPr="0063487A">
              <w:rPr>
                <w:rFonts w:asciiTheme="minorHAnsi" w:hAnsiTheme="minorHAnsi" w:cs="Arial"/>
                <w:b/>
                <w:sz w:val="24"/>
                <w:szCs w:val="24"/>
              </w:rPr>
              <w:t>(95% CI)</w:t>
            </w:r>
          </w:p>
        </w:tc>
      </w:tr>
      <w:tr w:rsidR="007A64CA" w:rsidRPr="0063487A" w:rsidTr="007A64CA">
        <w:trPr>
          <w:trHeight w:val="282"/>
        </w:trPr>
        <w:tc>
          <w:tcPr>
            <w:tcW w:w="2127" w:type="dxa"/>
            <w:tcBorders>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≥0</w:t>
            </w:r>
          </w:p>
        </w:tc>
        <w:tc>
          <w:tcPr>
            <w:tcW w:w="2020" w:type="dxa"/>
            <w:tcBorders>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100 (84.5-100)</w:t>
            </w:r>
          </w:p>
        </w:tc>
        <w:tc>
          <w:tcPr>
            <w:tcW w:w="1986" w:type="dxa"/>
            <w:tcBorders>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0 (0-2.5)</w:t>
            </w:r>
          </w:p>
        </w:tc>
        <w:tc>
          <w:tcPr>
            <w:tcW w:w="1987" w:type="dxa"/>
            <w:tcBorders>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12.5 (8.5-17.8)</w:t>
            </w:r>
          </w:p>
        </w:tc>
        <w:tc>
          <w:tcPr>
            <w:tcW w:w="1987" w:type="dxa"/>
            <w:tcBorders>
              <w:left w:val="nil"/>
              <w:bottom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w:t>
            </w:r>
          </w:p>
        </w:tc>
      </w:tr>
      <w:tr w:rsidR="007A64CA" w:rsidRPr="0063487A" w:rsidTr="007A64CA">
        <w:trPr>
          <w:trHeight w:val="282"/>
        </w:trPr>
        <w:tc>
          <w:tcPr>
            <w:tcW w:w="2127" w:type="dxa"/>
            <w:tcBorders>
              <w:top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≥1</w:t>
            </w:r>
          </w:p>
        </w:tc>
        <w:tc>
          <w:tcPr>
            <w:tcW w:w="2020"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100 (84.5-100)</w:t>
            </w:r>
          </w:p>
        </w:tc>
        <w:tc>
          <w:tcPr>
            <w:tcW w:w="1986"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22.8 (17.1-30.0)</w:t>
            </w:r>
          </w:p>
        </w:tc>
        <w:tc>
          <w:tcPr>
            <w:tcW w:w="1987"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15.6 (10.7-22.1)</w:t>
            </w:r>
          </w:p>
        </w:tc>
        <w:tc>
          <w:tcPr>
            <w:tcW w:w="1987" w:type="dxa"/>
            <w:tcBorders>
              <w:top w:val="nil"/>
              <w:left w:val="nil"/>
              <w:bottom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100 (89.8-100)</w:t>
            </w:r>
          </w:p>
        </w:tc>
      </w:tr>
      <w:tr w:rsidR="007A64CA" w:rsidRPr="0063487A" w:rsidTr="007A64CA">
        <w:trPr>
          <w:trHeight w:val="221"/>
        </w:trPr>
        <w:tc>
          <w:tcPr>
            <w:tcW w:w="2127" w:type="dxa"/>
            <w:tcBorders>
              <w:top w:val="nil"/>
              <w:bottom w:val="nil"/>
              <w:right w:val="nil"/>
            </w:tcBorders>
          </w:tcPr>
          <w:p w:rsidR="007A64CA" w:rsidRPr="0063487A" w:rsidRDefault="007A64CA" w:rsidP="007A64CA">
            <w:pPr>
              <w:pStyle w:val="EndnoteText"/>
              <w:contextualSpacing/>
              <w:jc w:val="center"/>
              <w:rPr>
                <w:rFonts w:asciiTheme="minorHAnsi" w:hAnsiTheme="minorHAnsi" w:cs="Arial"/>
                <w:b/>
                <w:sz w:val="24"/>
                <w:szCs w:val="24"/>
              </w:rPr>
            </w:pPr>
            <w:r w:rsidRPr="0063487A">
              <w:rPr>
                <w:rFonts w:asciiTheme="minorHAnsi" w:hAnsiTheme="minorHAnsi" w:cs="Arial"/>
                <w:b/>
                <w:sz w:val="24"/>
                <w:szCs w:val="24"/>
              </w:rPr>
              <w:t>≥2</w:t>
            </w:r>
          </w:p>
        </w:tc>
        <w:tc>
          <w:tcPr>
            <w:tcW w:w="2020"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b/>
                <w:sz w:val="24"/>
                <w:szCs w:val="24"/>
              </w:rPr>
            </w:pPr>
            <w:r w:rsidRPr="0063487A">
              <w:rPr>
                <w:rFonts w:asciiTheme="minorHAnsi" w:hAnsiTheme="minorHAnsi" w:cs="Arial"/>
                <w:b/>
                <w:sz w:val="24"/>
                <w:szCs w:val="24"/>
              </w:rPr>
              <w:t>81.5 (61.3-93.0)</w:t>
            </w:r>
          </w:p>
        </w:tc>
        <w:tc>
          <w:tcPr>
            <w:tcW w:w="1986"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b/>
                <w:sz w:val="24"/>
                <w:szCs w:val="24"/>
              </w:rPr>
            </w:pPr>
            <w:r w:rsidRPr="0063487A">
              <w:rPr>
                <w:rFonts w:asciiTheme="minorHAnsi" w:hAnsiTheme="minorHAnsi" w:cs="Arial"/>
                <w:b/>
                <w:sz w:val="24"/>
                <w:szCs w:val="24"/>
              </w:rPr>
              <w:t>51.3 (44.0-58.6)</w:t>
            </w:r>
          </w:p>
        </w:tc>
        <w:tc>
          <w:tcPr>
            <w:tcW w:w="1987"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b/>
                <w:sz w:val="24"/>
                <w:szCs w:val="24"/>
              </w:rPr>
            </w:pPr>
            <w:r w:rsidRPr="0063487A">
              <w:rPr>
                <w:rFonts w:asciiTheme="minorHAnsi" w:hAnsiTheme="minorHAnsi" w:cs="Arial"/>
                <w:b/>
                <w:sz w:val="24"/>
                <w:szCs w:val="24"/>
              </w:rPr>
              <w:t>19.3 (12.7-28.0)</w:t>
            </w:r>
          </w:p>
        </w:tc>
        <w:tc>
          <w:tcPr>
            <w:tcW w:w="1987" w:type="dxa"/>
            <w:tcBorders>
              <w:top w:val="nil"/>
              <w:left w:val="nil"/>
              <w:bottom w:val="nil"/>
            </w:tcBorders>
          </w:tcPr>
          <w:p w:rsidR="007A64CA" w:rsidRPr="0063487A" w:rsidRDefault="007A64CA" w:rsidP="007A64CA">
            <w:pPr>
              <w:pStyle w:val="EndnoteText"/>
              <w:contextualSpacing/>
              <w:jc w:val="center"/>
              <w:rPr>
                <w:rFonts w:asciiTheme="minorHAnsi" w:hAnsiTheme="minorHAnsi" w:cs="Arial"/>
                <w:b/>
                <w:sz w:val="24"/>
                <w:szCs w:val="24"/>
              </w:rPr>
            </w:pPr>
            <w:r w:rsidRPr="0063487A">
              <w:rPr>
                <w:rFonts w:asciiTheme="minorHAnsi" w:hAnsiTheme="minorHAnsi" w:cs="Arial"/>
                <w:b/>
                <w:sz w:val="24"/>
                <w:szCs w:val="24"/>
              </w:rPr>
              <w:t>95.1 (88.4-98.2)</w:t>
            </w:r>
          </w:p>
        </w:tc>
      </w:tr>
      <w:tr w:rsidR="007A64CA" w:rsidRPr="0063487A" w:rsidTr="007A64CA">
        <w:trPr>
          <w:trHeight w:val="283"/>
        </w:trPr>
        <w:tc>
          <w:tcPr>
            <w:tcW w:w="2127" w:type="dxa"/>
            <w:tcBorders>
              <w:top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≥3</w:t>
            </w:r>
          </w:p>
        </w:tc>
        <w:tc>
          <w:tcPr>
            <w:tcW w:w="2020"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55.6 (35.6-74.0)</w:t>
            </w:r>
          </w:p>
        </w:tc>
        <w:tc>
          <w:tcPr>
            <w:tcW w:w="1986"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76.7 (70.0-82.4)</w:t>
            </w:r>
          </w:p>
        </w:tc>
        <w:tc>
          <w:tcPr>
            <w:tcW w:w="1987"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25.4 (15.4-38.7)</w:t>
            </w:r>
          </w:p>
        </w:tc>
        <w:tc>
          <w:tcPr>
            <w:tcW w:w="1987" w:type="dxa"/>
            <w:tcBorders>
              <w:top w:val="nil"/>
              <w:left w:val="nil"/>
              <w:bottom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92.4 (86.7-95.8)</w:t>
            </w:r>
          </w:p>
        </w:tc>
      </w:tr>
      <w:tr w:rsidR="007A64CA" w:rsidRPr="0063487A" w:rsidTr="007A64CA">
        <w:trPr>
          <w:trHeight w:val="282"/>
        </w:trPr>
        <w:tc>
          <w:tcPr>
            <w:tcW w:w="2127" w:type="dxa"/>
            <w:tcBorders>
              <w:top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≥4</w:t>
            </w:r>
          </w:p>
        </w:tc>
        <w:tc>
          <w:tcPr>
            <w:tcW w:w="2020"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25.9 (11.9-46.6)</w:t>
            </w:r>
          </w:p>
        </w:tc>
        <w:tc>
          <w:tcPr>
            <w:tcW w:w="1986"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94.7 (90.2-97.3)</w:t>
            </w:r>
          </w:p>
        </w:tc>
        <w:tc>
          <w:tcPr>
            <w:tcW w:w="1987"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41.2 (19.4-66.5)</w:t>
            </w:r>
          </w:p>
        </w:tc>
        <w:tc>
          <w:tcPr>
            <w:tcW w:w="1987" w:type="dxa"/>
            <w:tcBorders>
              <w:top w:val="nil"/>
              <w:left w:val="nil"/>
              <w:bottom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89.9 (84.7-93.6)</w:t>
            </w:r>
          </w:p>
        </w:tc>
      </w:tr>
      <w:tr w:rsidR="007A64CA" w:rsidRPr="0063487A" w:rsidTr="007A64CA">
        <w:trPr>
          <w:trHeight w:val="284"/>
        </w:trPr>
        <w:tc>
          <w:tcPr>
            <w:tcW w:w="2127" w:type="dxa"/>
            <w:tcBorders>
              <w:top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5</w:t>
            </w:r>
          </w:p>
        </w:tc>
        <w:tc>
          <w:tcPr>
            <w:tcW w:w="2020"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11.1 (2.9-30.3)</w:t>
            </w:r>
          </w:p>
        </w:tc>
        <w:tc>
          <w:tcPr>
            <w:tcW w:w="1986"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100 (97.5-100)</w:t>
            </w:r>
          </w:p>
        </w:tc>
        <w:tc>
          <w:tcPr>
            <w:tcW w:w="1987"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100 (31.0-100)</w:t>
            </w:r>
          </w:p>
        </w:tc>
        <w:tc>
          <w:tcPr>
            <w:tcW w:w="1987" w:type="dxa"/>
            <w:tcBorders>
              <w:top w:val="nil"/>
              <w:left w:val="nil"/>
              <w:bottom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88.7 (83.5-92.5)</w:t>
            </w:r>
          </w:p>
        </w:tc>
      </w:tr>
      <w:tr w:rsidR="007A64CA" w:rsidRPr="0063487A" w:rsidTr="007A64CA">
        <w:trPr>
          <w:trHeight w:val="284"/>
        </w:trPr>
        <w:tc>
          <w:tcPr>
            <w:tcW w:w="2127" w:type="dxa"/>
            <w:tcBorders>
              <w:top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highlight w:val="yellow"/>
              </w:rPr>
            </w:pPr>
          </w:p>
        </w:tc>
        <w:tc>
          <w:tcPr>
            <w:tcW w:w="2020"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highlight w:val="yellow"/>
              </w:rPr>
            </w:pPr>
          </w:p>
        </w:tc>
        <w:tc>
          <w:tcPr>
            <w:tcW w:w="1986"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highlight w:val="yellow"/>
              </w:rPr>
            </w:pPr>
          </w:p>
        </w:tc>
        <w:tc>
          <w:tcPr>
            <w:tcW w:w="1987"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highlight w:val="yellow"/>
              </w:rPr>
            </w:pPr>
          </w:p>
        </w:tc>
        <w:tc>
          <w:tcPr>
            <w:tcW w:w="1987" w:type="dxa"/>
            <w:tcBorders>
              <w:top w:val="nil"/>
              <w:left w:val="nil"/>
              <w:bottom w:val="nil"/>
            </w:tcBorders>
          </w:tcPr>
          <w:p w:rsidR="007A64CA" w:rsidRPr="0063487A" w:rsidRDefault="007A64CA" w:rsidP="007A64CA">
            <w:pPr>
              <w:pStyle w:val="EndnoteText"/>
              <w:contextualSpacing/>
              <w:jc w:val="center"/>
              <w:rPr>
                <w:rFonts w:asciiTheme="minorHAnsi" w:hAnsiTheme="minorHAnsi" w:cs="Arial"/>
                <w:sz w:val="24"/>
                <w:szCs w:val="24"/>
                <w:highlight w:val="yellow"/>
              </w:rPr>
            </w:pPr>
          </w:p>
        </w:tc>
      </w:tr>
      <w:tr w:rsidR="007A64CA" w:rsidRPr="0063487A" w:rsidTr="007A64CA">
        <w:trPr>
          <w:trHeight w:val="284"/>
        </w:trPr>
        <w:tc>
          <w:tcPr>
            <w:tcW w:w="2127" w:type="dxa"/>
            <w:tcBorders>
              <w:top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highlight w:val="yellow"/>
              </w:rPr>
            </w:pPr>
          </w:p>
        </w:tc>
        <w:tc>
          <w:tcPr>
            <w:tcW w:w="2020"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highlight w:val="yellow"/>
              </w:rPr>
            </w:pPr>
          </w:p>
        </w:tc>
        <w:tc>
          <w:tcPr>
            <w:tcW w:w="1986"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highlight w:val="yellow"/>
              </w:rPr>
            </w:pPr>
          </w:p>
        </w:tc>
        <w:tc>
          <w:tcPr>
            <w:tcW w:w="1987"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highlight w:val="yellow"/>
              </w:rPr>
            </w:pPr>
          </w:p>
        </w:tc>
        <w:tc>
          <w:tcPr>
            <w:tcW w:w="1987" w:type="dxa"/>
            <w:tcBorders>
              <w:top w:val="nil"/>
              <w:left w:val="nil"/>
              <w:bottom w:val="nil"/>
            </w:tcBorders>
          </w:tcPr>
          <w:p w:rsidR="007A64CA" w:rsidRPr="0063487A" w:rsidRDefault="007A64CA" w:rsidP="007A64CA">
            <w:pPr>
              <w:pStyle w:val="EndnoteText"/>
              <w:contextualSpacing/>
              <w:jc w:val="center"/>
              <w:rPr>
                <w:rFonts w:asciiTheme="minorHAnsi" w:hAnsiTheme="minorHAnsi" w:cs="Arial"/>
                <w:sz w:val="24"/>
                <w:szCs w:val="24"/>
                <w:highlight w:val="yellow"/>
              </w:rPr>
            </w:pPr>
          </w:p>
        </w:tc>
      </w:tr>
      <w:tr w:rsidR="007A64CA" w:rsidRPr="0063487A" w:rsidTr="007A64CA">
        <w:trPr>
          <w:trHeight w:val="284"/>
        </w:trPr>
        <w:tc>
          <w:tcPr>
            <w:tcW w:w="2127" w:type="dxa"/>
            <w:tcBorders>
              <w:top w:val="nil"/>
              <w:bottom w:val="nil"/>
              <w:right w:val="nil"/>
            </w:tcBorders>
          </w:tcPr>
          <w:p w:rsidR="007A64CA" w:rsidRPr="0063487A" w:rsidRDefault="007A64CA" w:rsidP="007A64CA">
            <w:pPr>
              <w:pStyle w:val="EndnoteText"/>
              <w:contextualSpacing/>
              <w:jc w:val="center"/>
              <w:rPr>
                <w:rFonts w:asciiTheme="minorHAnsi" w:hAnsiTheme="minorHAnsi" w:cs="Arial"/>
                <w:b/>
                <w:sz w:val="24"/>
                <w:szCs w:val="24"/>
              </w:rPr>
            </w:pPr>
            <w:r w:rsidRPr="0063487A">
              <w:rPr>
                <w:rFonts w:asciiTheme="minorHAnsi" w:hAnsiTheme="minorHAnsi" w:cs="Arial"/>
                <w:b/>
                <w:sz w:val="24"/>
                <w:szCs w:val="24"/>
              </w:rPr>
              <w:t>Gender</w:t>
            </w:r>
          </w:p>
        </w:tc>
        <w:tc>
          <w:tcPr>
            <w:tcW w:w="2020"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70.4 (49.7-85.5)</w:t>
            </w:r>
          </w:p>
        </w:tc>
        <w:tc>
          <w:tcPr>
            <w:tcW w:w="1986"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62.4 (55.1-69.3)</w:t>
            </w:r>
          </w:p>
        </w:tc>
        <w:tc>
          <w:tcPr>
            <w:tcW w:w="1987" w:type="dxa"/>
            <w:tcBorders>
              <w:top w:val="nil"/>
              <w:left w:val="nil"/>
              <w:bottom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21.1 (13.5-31.2)</w:t>
            </w:r>
          </w:p>
        </w:tc>
        <w:tc>
          <w:tcPr>
            <w:tcW w:w="1987" w:type="dxa"/>
            <w:tcBorders>
              <w:top w:val="nil"/>
              <w:left w:val="nil"/>
              <w:bottom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93.7 (87.5-97.0)</w:t>
            </w:r>
          </w:p>
        </w:tc>
      </w:tr>
      <w:tr w:rsidR="007A64CA" w:rsidRPr="0063487A" w:rsidTr="007A64CA">
        <w:trPr>
          <w:trHeight w:val="284"/>
        </w:trPr>
        <w:tc>
          <w:tcPr>
            <w:tcW w:w="2127" w:type="dxa"/>
            <w:tcBorders>
              <w:top w:val="nil"/>
              <w:right w:val="nil"/>
            </w:tcBorders>
          </w:tcPr>
          <w:p w:rsidR="007A64CA" w:rsidRPr="0063487A" w:rsidRDefault="007A64CA" w:rsidP="007A64CA">
            <w:pPr>
              <w:pStyle w:val="EndnoteText"/>
              <w:contextualSpacing/>
              <w:jc w:val="center"/>
              <w:rPr>
                <w:rFonts w:asciiTheme="minorHAnsi" w:hAnsiTheme="minorHAnsi" w:cs="Arial"/>
                <w:b/>
                <w:sz w:val="24"/>
                <w:szCs w:val="24"/>
              </w:rPr>
            </w:pPr>
            <w:r w:rsidRPr="0063487A">
              <w:rPr>
                <w:rFonts w:asciiTheme="minorHAnsi" w:hAnsiTheme="minorHAnsi" w:cs="Arial"/>
                <w:b/>
                <w:sz w:val="24"/>
                <w:szCs w:val="24"/>
              </w:rPr>
              <w:t>Non-ambulatory</w:t>
            </w:r>
          </w:p>
        </w:tc>
        <w:tc>
          <w:tcPr>
            <w:tcW w:w="2020" w:type="dxa"/>
            <w:tcBorders>
              <w:top w:val="nil"/>
              <w:left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66.7 (46.0-82.8)</w:t>
            </w:r>
          </w:p>
        </w:tc>
        <w:tc>
          <w:tcPr>
            <w:tcW w:w="1986" w:type="dxa"/>
            <w:tcBorders>
              <w:top w:val="nil"/>
              <w:left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67.2 (60.0-73.7)</w:t>
            </w:r>
          </w:p>
        </w:tc>
        <w:tc>
          <w:tcPr>
            <w:tcW w:w="1987" w:type="dxa"/>
            <w:tcBorders>
              <w:top w:val="nil"/>
              <w:left w:val="nil"/>
              <w:righ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22.5 (14.2-33.5)</w:t>
            </w:r>
          </w:p>
        </w:tc>
        <w:tc>
          <w:tcPr>
            <w:tcW w:w="1987" w:type="dxa"/>
            <w:tcBorders>
              <w:top w:val="nil"/>
              <w:left w:val="nil"/>
            </w:tcBorders>
          </w:tcPr>
          <w:p w:rsidR="007A64CA" w:rsidRPr="0063487A" w:rsidRDefault="007A64CA" w:rsidP="007A64CA">
            <w:pPr>
              <w:pStyle w:val="EndnoteText"/>
              <w:contextualSpacing/>
              <w:jc w:val="center"/>
              <w:rPr>
                <w:rFonts w:asciiTheme="minorHAnsi" w:hAnsiTheme="minorHAnsi" w:cs="Arial"/>
                <w:sz w:val="24"/>
                <w:szCs w:val="24"/>
              </w:rPr>
            </w:pPr>
            <w:r w:rsidRPr="0063487A">
              <w:rPr>
                <w:rFonts w:asciiTheme="minorHAnsi" w:hAnsiTheme="minorHAnsi" w:cs="Arial"/>
                <w:sz w:val="24"/>
                <w:szCs w:val="24"/>
              </w:rPr>
              <w:t>93.4 (87.4-96.7)</w:t>
            </w:r>
          </w:p>
        </w:tc>
      </w:tr>
    </w:tbl>
    <w:p w:rsidR="007A64CA" w:rsidRPr="0063487A" w:rsidRDefault="007A64CA" w:rsidP="007A64CA">
      <w:pPr>
        <w:contextualSpacing/>
        <w:rPr>
          <w:rFonts w:asciiTheme="minorHAnsi" w:hAnsiTheme="minorHAnsi"/>
        </w:rPr>
      </w:pPr>
      <w:r w:rsidRPr="0063487A">
        <w:rPr>
          <w:rFonts w:asciiTheme="minorHAnsi" w:hAnsiTheme="minorHAnsi"/>
        </w:rPr>
        <w:t>PPV = Positive predictive value</w:t>
      </w:r>
    </w:p>
    <w:p w:rsidR="007A64CA" w:rsidRPr="0063487A" w:rsidRDefault="007A64CA" w:rsidP="007A64CA">
      <w:pPr>
        <w:rPr>
          <w:rFonts w:asciiTheme="minorHAnsi" w:hAnsiTheme="minorHAnsi"/>
        </w:rPr>
      </w:pPr>
      <w:r w:rsidRPr="0063487A">
        <w:rPr>
          <w:rFonts w:asciiTheme="minorHAnsi" w:hAnsiTheme="minorHAnsi"/>
        </w:rPr>
        <w:t>NPV = Negative predictive value</w:t>
      </w:r>
    </w:p>
    <w:p w:rsidR="007A64CA" w:rsidRPr="0063487A" w:rsidRDefault="007A64CA" w:rsidP="007A64CA">
      <w:pPr>
        <w:rPr>
          <w:rFonts w:asciiTheme="minorHAnsi" w:hAnsiTheme="minorHAnsi"/>
          <w:b/>
          <w:sz w:val="20"/>
          <w:szCs w:val="20"/>
        </w:rPr>
      </w:pPr>
    </w:p>
    <w:p w:rsidR="007A64CA" w:rsidRPr="0063487A" w:rsidRDefault="007A64CA" w:rsidP="007A64CA">
      <w:pPr>
        <w:rPr>
          <w:rFonts w:asciiTheme="minorHAnsi" w:hAnsiTheme="minorHAnsi"/>
          <w:b/>
          <w:sz w:val="20"/>
          <w:szCs w:val="20"/>
        </w:rPr>
      </w:pPr>
      <w:r w:rsidRPr="0063487A">
        <w:rPr>
          <w:rFonts w:asciiTheme="minorHAnsi" w:hAnsiTheme="minorHAnsi"/>
          <w:b/>
          <w:sz w:val="20"/>
          <w:szCs w:val="20"/>
        </w:rPr>
        <w:br w:type="page"/>
      </w:r>
      <w:r w:rsidRPr="0063487A">
        <w:rPr>
          <w:rFonts w:asciiTheme="minorHAnsi" w:hAnsiTheme="minorHAnsi"/>
          <w:b/>
          <w:sz w:val="20"/>
          <w:szCs w:val="20"/>
        </w:rPr>
        <w:lastRenderedPageBreak/>
        <w:t xml:space="preserve">Table 4. </w:t>
      </w:r>
      <w:r w:rsidR="00331E16">
        <w:rPr>
          <w:rFonts w:asciiTheme="minorHAnsi" w:hAnsiTheme="minorHAnsi"/>
          <w:b/>
          <w:sz w:val="20"/>
          <w:szCs w:val="20"/>
        </w:rPr>
        <w:t xml:space="preserve">Individual </w:t>
      </w:r>
      <w:r w:rsidRPr="0063487A">
        <w:rPr>
          <w:rFonts w:asciiTheme="minorHAnsi" w:hAnsiTheme="minorHAnsi"/>
          <w:b/>
          <w:sz w:val="20"/>
          <w:szCs w:val="20"/>
        </w:rPr>
        <w:t>predictor variable</w:t>
      </w:r>
      <w:r w:rsidR="00331E16">
        <w:rPr>
          <w:rFonts w:asciiTheme="minorHAnsi" w:hAnsiTheme="minorHAnsi"/>
          <w:b/>
          <w:sz w:val="20"/>
          <w:szCs w:val="20"/>
        </w:rPr>
        <w:t>s</w:t>
      </w:r>
      <w:r w:rsidRPr="0063487A">
        <w:rPr>
          <w:rFonts w:asciiTheme="minorHAnsi" w:hAnsiTheme="minorHAnsi"/>
          <w:b/>
          <w:sz w:val="20"/>
          <w:szCs w:val="20"/>
        </w:rPr>
        <w:t xml:space="preserve"> in the SWAT-Bp score</w:t>
      </w:r>
      <w:r w:rsidR="00331E16">
        <w:rPr>
          <w:rFonts w:asciiTheme="minorHAnsi" w:hAnsiTheme="minorHAnsi"/>
          <w:b/>
          <w:sz w:val="20"/>
          <w:szCs w:val="20"/>
        </w:rPr>
        <w:t xml:space="preserve"> separated by number of patients scoring for that variable, number of mortalities and Odds Ratios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6"/>
        <w:gridCol w:w="1227"/>
        <w:gridCol w:w="1341"/>
        <w:gridCol w:w="1477"/>
        <w:gridCol w:w="1669"/>
        <w:gridCol w:w="1492"/>
      </w:tblGrid>
      <w:tr w:rsidR="0057699E" w:rsidRPr="0063487A" w:rsidTr="007A5158">
        <w:tc>
          <w:tcPr>
            <w:tcW w:w="2036" w:type="dxa"/>
            <w:vMerge w:val="restart"/>
            <w:tcBorders>
              <w:bottom w:val="nil"/>
              <w:right w:val="nil"/>
            </w:tcBorders>
          </w:tcPr>
          <w:p w:rsidR="0057699E" w:rsidRPr="0063487A" w:rsidRDefault="00331E16" w:rsidP="007A64CA">
            <w:pPr>
              <w:spacing w:after="0" w:line="240" w:lineRule="auto"/>
              <w:jc w:val="center"/>
              <w:rPr>
                <w:rFonts w:asciiTheme="minorHAnsi" w:hAnsiTheme="minorHAnsi" w:cs="Arial"/>
                <w:b/>
                <w:sz w:val="24"/>
                <w:szCs w:val="24"/>
              </w:rPr>
            </w:pPr>
            <w:r>
              <w:rPr>
                <w:rFonts w:asciiTheme="minorHAnsi" w:hAnsiTheme="minorHAnsi" w:cs="Arial"/>
                <w:b/>
                <w:sz w:val="24"/>
                <w:szCs w:val="24"/>
              </w:rPr>
              <w:t xml:space="preserve">Individual </w:t>
            </w:r>
            <w:r w:rsidR="0057699E" w:rsidRPr="0063487A">
              <w:rPr>
                <w:rFonts w:asciiTheme="minorHAnsi" w:hAnsiTheme="minorHAnsi" w:cs="Arial"/>
                <w:b/>
                <w:sz w:val="24"/>
                <w:szCs w:val="24"/>
              </w:rPr>
              <w:t>SWAT-Bp Variables</w:t>
            </w:r>
          </w:p>
        </w:tc>
        <w:tc>
          <w:tcPr>
            <w:tcW w:w="1227" w:type="dxa"/>
            <w:tcBorders>
              <w:left w:val="nil"/>
              <w:bottom w:val="nil"/>
              <w:right w:val="nil"/>
            </w:tcBorders>
          </w:tcPr>
          <w:p w:rsidR="0057699E" w:rsidRPr="0063487A" w:rsidRDefault="00331E16" w:rsidP="007A64CA">
            <w:pPr>
              <w:spacing w:after="0" w:line="240" w:lineRule="auto"/>
              <w:jc w:val="center"/>
              <w:rPr>
                <w:rFonts w:asciiTheme="minorHAnsi" w:hAnsiTheme="minorHAnsi" w:cs="Arial"/>
                <w:b/>
                <w:sz w:val="24"/>
                <w:szCs w:val="24"/>
              </w:rPr>
            </w:pPr>
            <w:r>
              <w:rPr>
                <w:rFonts w:asciiTheme="minorHAnsi" w:hAnsiTheme="minorHAnsi" w:cs="Arial"/>
                <w:b/>
                <w:sz w:val="24"/>
                <w:szCs w:val="24"/>
              </w:rPr>
              <w:t>Patients scoring N</w:t>
            </w:r>
          </w:p>
        </w:tc>
        <w:tc>
          <w:tcPr>
            <w:tcW w:w="1341" w:type="dxa"/>
            <w:tcBorders>
              <w:left w:val="nil"/>
              <w:bottom w:val="nil"/>
              <w:right w:val="nil"/>
            </w:tcBorders>
          </w:tcPr>
          <w:p w:rsidR="0057699E" w:rsidRPr="0063487A" w:rsidRDefault="00331E16" w:rsidP="007A64CA">
            <w:pPr>
              <w:spacing w:after="0" w:line="240" w:lineRule="auto"/>
              <w:jc w:val="center"/>
              <w:rPr>
                <w:rFonts w:asciiTheme="minorHAnsi" w:hAnsiTheme="minorHAnsi" w:cs="Arial"/>
                <w:b/>
                <w:sz w:val="24"/>
                <w:szCs w:val="24"/>
              </w:rPr>
            </w:pPr>
            <w:r>
              <w:rPr>
                <w:rFonts w:asciiTheme="minorHAnsi" w:hAnsiTheme="minorHAnsi" w:cs="Arial"/>
                <w:b/>
                <w:sz w:val="24"/>
                <w:szCs w:val="24"/>
              </w:rPr>
              <w:t>Mortalities N (%)</w:t>
            </w:r>
          </w:p>
        </w:tc>
        <w:tc>
          <w:tcPr>
            <w:tcW w:w="1477" w:type="dxa"/>
            <w:vMerge w:val="restart"/>
            <w:tcBorders>
              <w:left w:val="nil"/>
              <w:bottom w:val="nil"/>
              <w:right w:val="nil"/>
            </w:tcBorders>
          </w:tcPr>
          <w:p w:rsidR="0057699E" w:rsidRPr="0063487A" w:rsidRDefault="0057699E" w:rsidP="007A64CA">
            <w:pPr>
              <w:spacing w:after="0" w:line="240" w:lineRule="auto"/>
              <w:jc w:val="center"/>
              <w:rPr>
                <w:rFonts w:asciiTheme="minorHAnsi" w:hAnsiTheme="minorHAnsi" w:cs="Arial"/>
                <w:b/>
                <w:sz w:val="24"/>
                <w:szCs w:val="24"/>
              </w:rPr>
            </w:pPr>
            <w:r w:rsidRPr="0063487A">
              <w:rPr>
                <w:rFonts w:asciiTheme="minorHAnsi" w:hAnsiTheme="minorHAnsi" w:cs="Arial"/>
                <w:b/>
                <w:sz w:val="24"/>
                <w:szCs w:val="24"/>
              </w:rPr>
              <w:t>Odds Ratio (OR)</w:t>
            </w:r>
          </w:p>
        </w:tc>
        <w:tc>
          <w:tcPr>
            <w:tcW w:w="3161" w:type="dxa"/>
            <w:gridSpan w:val="2"/>
            <w:tcBorders>
              <w:left w:val="nil"/>
              <w:bottom w:val="nil"/>
            </w:tcBorders>
          </w:tcPr>
          <w:p w:rsidR="0057699E" w:rsidRPr="0063487A" w:rsidRDefault="0057699E" w:rsidP="007A64CA">
            <w:pPr>
              <w:spacing w:after="0" w:line="240" w:lineRule="auto"/>
              <w:jc w:val="center"/>
              <w:rPr>
                <w:rFonts w:asciiTheme="minorHAnsi" w:hAnsiTheme="minorHAnsi" w:cs="Arial"/>
                <w:b/>
                <w:sz w:val="24"/>
                <w:szCs w:val="24"/>
              </w:rPr>
            </w:pPr>
            <w:r w:rsidRPr="0063487A">
              <w:rPr>
                <w:rFonts w:asciiTheme="minorHAnsi" w:hAnsiTheme="minorHAnsi" w:cs="Arial"/>
                <w:b/>
                <w:sz w:val="24"/>
                <w:szCs w:val="24"/>
              </w:rPr>
              <w:t>95% Confidence Intervals</w:t>
            </w:r>
          </w:p>
        </w:tc>
      </w:tr>
      <w:tr w:rsidR="0057699E" w:rsidRPr="0063487A" w:rsidTr="007A5158">
        <w:tc>
          <w:tcPr>
            <w:tcW w:w="2036" w:type="dxa"/>
            <w:vMerge/>
            <w:tcBorders>
              <w:top w:val="nil"/>
              <w:right w:val="nil"/>
            </w:tcBorders>
          </w:tcPr>
          <w:p w:rsidR="0057699E" w:rsidRPr="0063487A" w:rsidRDefault="0057699E" w:rsidP="007A64CA">
            <w:pPr>
              <w:spacing w:after="0" w:line="240" w:lineRule="auto"/>
              <w:jc w:val="center"/>
              <w:rPr>
                <w:rFonts w:asciiTheme="minorHAnsi" w:hAnsiTheme="minorHAnsi" w:cs="Arial"/>
                <w:b/>
                <w:sz w:val="24"/>
                <w:szCs w:val="24"/>
              </w:rPr>
            </w:pPr>
          </w:p>
        </w:tc>
        <w:tc>
          <w:tcPr>
            <w:tcW w:w="1227" w:type="dxa"/>
            <w:tcBorders>
              <w:top w:val="nil"/>
              <w:left w:val="nil"/>
              <w:right w:val="nil"/>
            </w:tcBorders>
          </w:tcPr>
          <w:p w:rsidR="0057699E" w:rsidRPr="0063487A" w:rsidRDefault="0057699E" w:rsidP="007A64CA">
            <w:pPr>
              <w:spacing w:after="0" w:line="240" w:lineRule="auto"/>
              <w:jc w:val="center"/>
              <w:rPr>
                <w:rFonts w:asciiTheme="minorHAnsi" w:hAnsiTheme="minorHAnsi" w:cs="Arial"/>
                <w:b/>
                <w:sz w:val="24"/>
                <w:szCs w:val="24"/>
              </w:rPr>
            </w:pPr>
          </w:p>
        </w:tc>
        <w:tc>
          <w:tcPr>
            <w:tcW w:w="1341" w:type="dxa"/>
            <w:tcBorders>
              <w:top w:val="nil"/>
              <w:left w:val="nil"/>
              <w:right w:val="nil"/>
            </w:tcBorders>
          </w:tcPr>
          <w:p w:rsidR="0057699E" w:rsidRPr="0063487A" w:rsidRDefault="0057699E" w:rsidP="007A64CA">
            <w:pPr>
              <w:spacing w:after="0" w:line="240" w:lineRule="auto"/>
              <w:jc w:val="center"/>
              <w:rPr>
                <w:rFonts w:asciiTheme="minorHAnsi" w:hAnsiTheme="minorHAnsi" w:cs="Arial"/>
                <w:b/>
                <w:sz w:val="24"/>
                <w:szCs w:val="24"/>
              </w:rPr>
            </w:pPr>
          </w:p>
        </w:tc>
        <w:tc>
          <w:tcPr>
            <w:tcW w:w="1477" w:type="dxa"/>
            <w:vMerge/>
            <w:tcBorders>
              <w:top w:val="nil"/>
              <w:left w:val="nil"/>
              <w:right w:val="nil"/>
            </w:tcBorders>
          </w:tcPr>
          <w:p w:rsidR="0057699E" w:rsidRPr="0063487A" w:rsidRDefault="0057699E" w:rsidP="007A64CA">
            <w:pPr>
              <w:spacing w:after="0" w:line="240" w:lineRule="auto"/>
              <w:jc w:val="center"/>
              <w:rPr>
                <w:rFonts w:asciiTheme="minorHAnsi" w:hAnsiTheme="minorHAnsi" w:cs="Arial"/>
                <w:b/>
                <w:sz w:val="24"/>
                <w:szCs w:val="24"/>
              </w:rPr>
            </w:pPr>
          </w:p>
        </w:tc>
        <w:tc>
          <w:tcPr>
            <w:tcW w:w="1669" w:type="dxa"/>
            <w:tcBorders>
              <w:top w:val="nil"/>
              <w:left w:val="nil"/>
              <w:right w:val="nil"/>
            </w:tcBorders>
          </w:tcPr>
          <w:p w:rsidR="0057699E" w:rsidRPr="0063487A" w:rsidRDefault="0057699E" w:rsidP="007A64CA">
            <w:pPr>
              <w:spacing w:after="0" w:line="240" w:lineRule="auto"/>
              <w:jc w:val="center"/>
              <w:rPr>
                <w:rFonts w:asciiTheme="minorHAnsi" w:hAnsiTheme="minorHAnsi" w:cs="Arial"/>
                <w:b/>
                <w:sz w:val="24"/>
                <w:szCs w:val="24"/>
              </w:rPr>
            </w:pPr>
            <w:r w:rsidRPr="0063487A">
              <w:rPr>
                <w:rFonts w:asciiTheme="minorHAnsi" w:hAnsiTheme="minorHAnsi" w:cs="Arial"/>
                <w:b/>
                <w:sz w:val="24"/>
                <w:szCs w:val="24"/>
              </w:rPr>
              <w:t>Lower</w:t>
            </w:r>
          </w:p>
        </w:tc>
        <w:tc>
          <w:tcPr>
            <w:tcW w:w="1492" w:type="dxa"/>
            <w:tcBorders>
              <w:top w:val="nil"/>
              <w:left w:val="nil"/>
            </w:tcBorders>
          </w:tcPr>
          <w:p w:rsidR="0057699E" w:rsidRPr="0063487A" w:rsidRDefault="0057699E" w:rsidP="007A64CA">
            <w:pPr>
              <w:spacing w:after="0" w:line="240" w:lineRule="auto"/>
              <w:jc w:val="center"/>
              <w:rPr>
                <w:rFonts w:asciiTheme="minorHAnsi" w:hAnsiTheme="minorHAnsi" w:cs="Arial"/>
                <w:b/>
                <w:sz w:val="24"/>
                <w:szCs w:val="24"/>
              </w:rPr>
            </w:pPr>
            <w:r w:rsidRPr="0063487A">
              <w:rPr>
                <w:rFonts w:asciiTheme="minorHAnsi" w:hAnsiTheme="minorHAnsi" w:cs="Arial"/>
                <w:b/>
                <w:sz w:val="24"/>
                <w:szCs w:val="24"/>
              </w:rPr>
              <w:t>Upper</w:t>
            </w:r>
          </w:p>
        </w:tc>
      </w:tr>
      <w:tr w:rsidR="0057699E" w:rsidRPr="0063487A" w:rsidTr="007A5158">
        <w:tc>
          <w:tcPr>
            <w:tcW w:w="2036" w:type="dxa"/>
            <w:tcBorders>
              <w:bottom w:val="nil"/>
              <w:right w:val="nil"/>
            </w:tcBorders>
          </w:tcPr>
          <w:p w:rsidR="0057699E" w:rsidRPr="0063487A" w:rsidRDefault="0057699E" w:rsidP="007A64CA">
            <w:pPr>
              <w:spacing w:after="0" w:line="240" w:lineRule="auto"/>
              <w:jc w:val="center"/>
              <w:rPr>
                <w:rFonts w:asciiTheme="minorHAnsi" w:hAnsiTheme="minorHAnsi" w:cs="Arial"/>
                <w:b/>
                <w:sz w:val="24"/>
                <w:szCs w:val="24"/>
              </w:rPr>
            </w:pPr>
            <w:r w:rsidRPr="0063487A">
              <w:rPr>
                <w:rFonts w:asciiTheme="minorHAnsi" w:hAnsiTheme="minorHAnsi" w:cs="Arial"/>
                <w:b/>
                <w:sz w:val="24"/>
                <w:szCs w:val="24"/>
              </w:rPr>
              <w:t>Gender</w:t>
            </w:r>
          </w:p>
        </w:tc>
        <w:tc>
          <w:tcPr>
            <w:tcW w:w="1227" w:type="dxa"/>
            <w:tcBorders>
              <w:left w:val="nil"/>
              <w:bottom w:val="nil"/>
              <w:right w:val="nil"/>
            </w:tcBorders>
          </w:tcPr>
          <w:p w:rsidR="0057699E" w:rsidRPr="0063487A" w:rsidRDefault="00331E16" w:rsidP="007A64CA">
            <w:pPr>
              <w:spacing w:after="0" w:line="240" w:lineRule="auto"/>
              <w:jc w:val="center"/>
              <w:rPr>
                <w:rFonts w:asciiTheme="minorHAnsi" w:hAnsiTheme="minorHAnsi" w:cs="Arial"/>
                <w:sz w:val="24"/>
                <w:szCs w:val="24"/>
              </w:rPr>
            </w:pPr>
            <w:r>
              <w:rPr>
                <w:rFonts w:asciiTheme="minorHAnsi" w:hAnsiTheme="minorHAnsi" w:cs="Arial"/>
                <w:sz w:val="24"/>
                <w:szCs w:val="24"/>
              </w:rPr>
              <w:t>90</w:t>
            </w:r>
          </w:p>
        </w:tc>
        <w:tc>
          <w:tcPr>
            <w:tcW w:w="1341" w:type="dxa"/>
            <w:tcBorders>
              <w:left w:val="nil"/>
              <w:bottom w:val="nil"/>
              <w:right w:val="nil"/>
            </w:tcBorders>
          </w:tcPr>
          <w:p w:rsidR="0057699E" w:rsidRPr="0063487A" w:rsidRDefault="00331E16" w:rsidP="007A64CA">
            <w:pPr>
              <w:spacing w:after="0" w:line="240" w:lineRule="auto"/>
              <w:jc w:val="center"/>
              <w:rPr>
                <w:rFonts w:asciiTheme="minorHAnsi" w:hAnsiTheme="minorHAnsi" w:cs="Arial"/>
                <w:sz w:val="24"/>
                <w:szCs w:val="24"/>
              </w:rPr>
            </w:pPr>
            <w:r>
              <w:rPr>
                <w:rFonts w:asciiTheme="minorHAnsi" w:hAnsiTheme="minorHAnsi" w:cs="Arial"/>
                <w:sz w:val="24"/>
                <w:szCs w:val="24"/>
              </w:rPr>
              <w:t>19 (21.1)</w:t>
            </w:r>
          </w:p>
        </w:tc>
        <w:tc>
          <w:tcPr>
            <w:tcW w:w="1477" w:type="dxa"/>
            <w:tcBorders>
              <w:left w:val="nil"/>
              <w:bottom w:val="nil"/>
              <w:right w:val="nil"/>
            </w:tcBorders>
          </w:tcPr>
          <w:p w:rsidR="0057699E" w:rsidRPr="0063487A" w:rsidRDefault="0057699E" w:rsidP="007A64CA">
            <w:pPr>
              <w:spacing w:after="0" w:line="240" w:lineRule="auto"/>
              <w:jc w:val="center"/>
              <w:rPr>
                <w:rFonts w:asciiTheme="minorHAnsi" w:hAnsiTheme="minorHAnsi" w:cs="Arial"/>
                <w:sz w:val="24"/>
                <w:szCs w:val="24"/>
              </w:rPr>
            </w:pPr>
            <w:r w:rsidRPr="0063487A">
              <w:rPr>
                <w:rFonts w:asciiTheme="minorHAnsi" w:hAnsiTheme="minorHAnsi" w:cs="Arial"/>
                <w:sz w:val="24"/>
                <w:szCs w:val="24"/>
              </w:rPr>
              <w:t>4.0</w:t>
            </w:r>
          </w:p>
        </w:tc>
        <w:tc>
          <w:tcPr>
            <w:tcW w:w="1669" w:type="dxa"/>
            <w:tcBorders>
              <w:left w:val="nil"/>
              <w:bottom w:val="nil"/>
              <w:right w:val="nil"/>
            </w:tcBorders>
          </w:tcPr>
          <w:p w:rsidR="0057699E" w:rsidRPr="0063487A" w:rsidRDefault="0057699E" w:rsidP="007A64CA">
            <w:pPr>
              <w:spacing w:after="0" w:line="240" w:lineRule="auto"/>
              <w:jc w:val="center"/>
              <w:rPr>
                <w:rFonts w:asciiTheme="minorHAnsi" w:hAnsiTheme="minorHAnsi" w:cs="Arial"/>
                <w:sz w:val="24"/>
                <w:szCs w:val="24"/>
              </w:rPr>
            </w:pPr>
            <w:r w:rsidRPr="0063487A">
              <w:rPr>
                <w:rFonts w:asciiTheme="minorHAnsi" w:hAnsiTheme="minorHAnsi" w:cs="Arial"/>
                <w:sz w:val="24"/>
                <w:szCs w:val="24"/>
              </w:rPr>
              <w:t>1.6</w:t>
            </w:r>
          </w:p>
        </w:tc>
        <w:tc>
          <w:tcPr>
            <w:tcW w:w="1492" w:type="dxa"/>
            <w:tcBorders>
              <w:left w:val="nil"/>
              <w:bottom w:val="nil"/>
            </w:tcBorders>
          </w:tcPr>
          <w:p w:rsidR="0057699E" w:rsidRPr="0063487A" w:rsidRDefault="0057699E" w:rsidP="007A64CA">
            <w:pPr>
              <w:spacing w:after="0" w:line="240" w:lineRule="auto"/>
              <w:jc w:val="center"/>
              <w:rPr>
                <w:rFonts w:asciiTheme="minorHAnsi" w:hAnsiTheme="minorHAnsi" w:cs="Arial"/>
                <w:sz w:val="24"/>
                <w:szCs w:val="24"/>
              </w:rPr>
            </w:pPr>
            <w:r w:rsidRPr="0063487A">
              <w:rPr>
                <w:rFonts w:asciiTheme="minorHAnsi" w:hAnsiTheme="minorHAnsi" w:cs="Arial"/>
                <w:sz w:val="24"/>
                <w:szCs w:val="24"/>
              </w:rPr>
              <w:t>9.5</w:t>
            </w:r>
          </w:p>
        </w:tc>
      </w:tr>
      <w:tr w:rsidR="0057699E" w:rsidRPr="0063487A" w:rsidTr="007A5158">
        <w:tc>
          <w:tcPr>
            <w:tcW w:w="2036" w:type="dxa"/>
            <w:tcBorders>
              <w:top w:val="nil"/>
              <w:bottom w:val="nil"/>
              <w:right w:val="nil"/>
            </w:tcBorders>
          </w:tcPr>
          <w:p w:rsidR="0057699E" w:rsidRPr="0063487A" w:rsidRDefault="0057699E" w:rsidP="007A64CA">
            <w:pPr>
              <w:spacing w:after="0" w:line="240" w:lineRule="auto"/>
              <w:jc w:val="center"/>
              <w:rPr>
                <w:rFonts w:asciiTheme="minorHAnsi" w:hAnsiTheme="minorHAnsi" w:cs="Arial"/>
                <w:b/>
                <w:sz w:val="24"/>
                <w:szCs w:val="24"/>
              </w:rPr>
            </w:pPr>
            <w:r w:rsidRPr="0063487A">
              <w:rPr>
                <w:rFonts w:asciiTheme="minorHAnsi" w:hAnsiTheme="minorHAnsi" w:cs="Arial"/>
                <w:b/>
                <w:sz w:val="24"/>
                <w:szCs w:val="24"/>
              </w:rPr>
              <w:t>Muscle wasting</w:t>
            </w:r>
          </w:p>
        </w:tc>
        <w:tc>
          <w:tcPr>
            <w:tcW w:w="1227" w:type="dxa"/>
            <w:tcBorders>
              <w:top w:val="nil"/>
              <w:left w:val="nil"/>
              <w:bottom w:val="nil"/>
              <w:right w:val="nil"/>
            </w:tcBorders>
          </w:tcPr>
          <w:p w:rsidR="0057699E" w:rsidRPr="0063487A" w:rsidRDefault="00331E16" w:rsidP="007A64CA">
            <w:pPr>
              <w:spacing w:after="0" w:line="240" w:lineRule="auto"/>
              <w:jc w:val="center"/>
              <w:rPr>
                <w:rFonts w:asciiTheme="minorHAnsi" w:hAnsiTheme="minorHAnsi" w:cs="Arial"/>
                <w:sz w:val="24"/>
                <w:szCs w:val="24"/>
              </w:rPr>
            </w:pPr>
            <w:r>
              <w:rPr>
                <w:rFonts w:asciiTheme="minorHAnsi" w:hAnsiTheme="minorHAnsi" w:cs="Arial"/>
                <w:sz w:val="24"/>
                <w:szCs w:val="24"/>
              </w:rPr>
              <w:t>39</w:t>
            </w:r>
          </w:p>
        </w:tc>
        <w:tc>
          <w:tcPr>
            <w:tcW w:w="1341" w:type="dxa"/>
            <w:tcBorders>
              <w:top w:val="nil"/>
              <w:left w:val="nil"/>
              <w:bottom w:val="nil"/>
              <w:right w:val="nil"/>
            </w:tcBorders>
          </w:tcPr>
          <w:p w:rsidR="0057699E" w:rsidRPr="0063487A" w:rsidRDefault="00331E16" w:rsidP="007A64CA">
            <w:pPr>
              <w:spacing w:after="0" w:line="240" w:lineRule="auto"/>
              <w:jc w:val="center"/>
              <w:rPr>
                <w:rFonts w:asciiTheme="minorHAnsi" w:hAnsiTheme="minorHAnsi" w:cs="Arial"/>
                <w:sz w:val="24"/>
                <w:szCs w:val="24"/>
              </w:rPr>
            </w:pPr>
            <w:r>
              <w:rPr>
                <w:rFonts w:asciiTheme="minorHAnsi" w:hAnsiTheme="minorHAnsi" w:cs="Arial"/>
                <w:sz w:val="24"/>
                <w:szCs w:val="24"/>
              </w:rPr>
              <w:t>9 (23.1)</w:t>
            </w:r>
          </w:p>
        </w:tc>
        <w:tc>
          <w:tcPr>
            <w:tcW w:w="1477" w:type="dxa"/>
            <w:tcBorders>
              <w:top w:val="nil"/>
              <w:left w:val="nil"/>
              <w:bottom w:val="nil"/>
              <w:right w:val="nil"/>
            </w:tcBorders>
          </w:tcPr>
          <w:p w:rsidR="0057699E" w:rsidRPr="0063487A" w:rsidRDefault="0057699E" w:rsidP="007A64CA">
            <w:pPr>
              <w:spacing w:after="0" w:line="240" w:lineRule="auto"/>
              <w:jc w:val="center"/>
              <w:rPr>
                <w:rFonts w:asciiTheme="minorHAnsi" w:hAnsiTheme="minorHAnsi" w:cs="Arial"/>
                <w:sz w:val="24"/>
                <w:szCs w:val="24"/>
              </w:rPr>
            </w:pPr>
            <w:r w:rsidRPr="0063487A">
              <w:rPr>
                <w:rFonts w:asciiTheme="minorHAnsi" w:hAnsiTheme="minorHAnsi" w:cs="Arial"/>
                <w:sz w:val="24"/>
                <w:szCs w:val="24"/>
              </w:rPr>
              <w:t>2.7</w:t>
            </w:r>
          </w:p>
        </w:tc>
        <w:tc>
          <w:tcPr>
            <w:tcW w:w="1669" w:type="dxa"/>
            <w:tcBorders>
              <w:top w:val="nil"/>
              <w:left w:val="nil"/>
              <w:bottom w:val="nil"/>
              <w:right w:val="nil"/>
            </w:tcBorders>
          </w:tcPr>
          <w:p w:rsidR="0057699E" w:rsidRPr="0063487A" w:rsidRDefault="0057699E" w:rsidP="007A64CA">
            <w:pPr>
              <w:spacing w:after="0" w:line="240" w:lineRule="auto"/>
              <w:jc w:val="center"/>
              <w:rPr>
                <w:rFonts w:asciiTheme="minorHAnsi" w:hAnsiTheme="minorHAnsi" w:cs="Arial"/>
                <w:sz w:val="24"/>
                <w:szCs w:val="24"/>
              </w:rPr>
            </w:pPr>
            <w:r w:rsidRPr="0063487A">
              <w:rPr>
                <w:rFonts w:asciiTheme="minorHAnsi" w:hAnsiTheme="minorHAnsi" w:cs="Arial"/>
                <w:sz w:val="24"/>
                <w:szCs w:val="24"/>
              </w:rPr>
              <w:t>1.1</w:t>
            </w:r>
          </w:p>
        </w:tc>
        <w:tc>
          <w:tcPr>
            <w:tcW w:w="1492" w:type="dxa"/>
            <w:tcBorders>
              <w:top w:val="nil"/>
              <w:left w:val="nil"/>
              <w:bottom w:val="nil"/>
            </w:tcBorders>
          </w:tcPr>
          <w:p w:rsidR="0057699E" w:rsidRPr="0063487A" w:rsidRDefault="0057699E" w:rsidP="007A64CA">
            <w:pPr>
              <w:spacing w:after="0" w:line="240" w:lineRule="auto"/>
              <w:jc w:val="center"/>
              <w:rPr>
                <w:rFonts w:asciiTheme="minorHAnsi" w:hAnsiTheme="minorHAnsi" w:cs="Arial"/>
                <w:sz w:val="24"/>
                <w:szCs w:val="24"/>
              </w:rPr>
            </w:pPr>
            <w:r w:rsidRPr="0063487A">
              <w:rPr>
                <w:rFonts w:asciiTheme="minorHAnsi" w:hAnsiTheme="minorHAnsi" w:cs="Arial"/>
                <w:sz w:val="24"/>
                <w:szCs w:val="24"/>
              </w:rPr>
              <w:t>6.5</w:t>
            </w:r>
          </w:p>
        </w:tc>
      </w:tr>
      <w:tr w:rsidR="0057699E" w:rsidRPr="0063487A" w:rsidTr="007A5158">
        <w:tc>
          <w:tcPr>
            <w:tcW w:w="2036" w:type="dxa"/>
            <w:tcBorders>
              <w:top w:val="nil"/>
              <w:bottom w:val="nil"/>
              <w:right w:val="nil"/>
            </w:tcBorders>
          </w:tcPr>
          <w:p w:rsidR="0057699E" w:rsidRPr="0063487A" w:rsidRDefault="0057699E" w:rsidP="007A64CA">
            <w:pPr>
              <w:spacing w:after="0" w:line="240" w:lineRule="auto"/>
              <w:jc w:val="center"/>
              <w:rPr>
                <w:rFonts w:asciiTheme="minorHAnsi" w:hAnsiTheme="minorHAnsi" w:cs="Arial"/>
                <w:b/>
                <w:sz w:val="24"/>
                <w:szCs w:val="24"/>
              </w:rPr>
            </w:pPr>
            <w:r w:rsidRPr="0063487A">
              <w:rPr>
                <w:rFonts w:asciiTheme="minorHAnsi" w:hAnsiTheme="minorHAnsi" w:cs="Arial"/>
                <w:b/>
                <w:sz w:val="24"/>
                <w:szCs w:val="24"/>
              </w:rPr>
              <w:t>Ambulatory status</w:t>
            </w:r>
          </w:p>
        </w:tc>
        <w:tc>
          <w:tcPr>
            <w:tcW w:w="1227" w:type="dxa"/>
            <w:tcBorders>
              <w:top w:val="nil"/>
              <w:left w:val="nil"/>
              <w:bottom w:val="nil"/>
              <w:right w:val="nil"/>
            </w:tcBorders>
          </w:tcPr>
          <w:p w:rsidR="0057699E" w:rsidRPr="0063487A" w:rsidRDefault="00331E16" w:rsidP="007A64CA">
            <w:pPr>
              <w:spacing w:after="0" w:line="240" w:lineRule="auto"/>
              <w:jc w:val="center"/>
              <w:rPr>
                <w:rFonts w:asciiTheme="minorHAnsi" w:hAnsiTheme="minorHAnsi" w:cs="Arial"/>
                <w:sz w:val="24"/>
                <w:szCs w:val="24"/>
              </w:rPr>
            </w:pPr>
            <w:r>
              <w:rPr>
                <w:rFonts w:asciiTheme="minorHAnsi" w:hAnsiTheme="minorHAnsi" w:cs="Arial"/>
                <w:sz w:val="24"/>
                <w:szCs w:val="24"/>
              </w:rPr>
              <w:t>80</w:t>
            </w:r>
          </w:p>
        </w:tc>
        <w:tc>
          <w:tcPr>
            <w:tcW w:w="1341" w:type="dxa"/>
            <w:tcBorders>
              <w:top w:val="nil"/>
              <w:left w:val="nil"/>
              <w:bottom w:val="nil"/>
              <w:right w:val="nil"/>
            </w:tcBorders>
          </w:tcPr>
          <w:p w:rsidR="0057699E" w:rsidRPr="0063487A" w:rsidRDefault="00331E16" w:rsidP="007A64CA">
            <w:pPr>
              <w:spacing w:after="0" w:line="240" w:lineRule="auto"/>
              <w:jc w:val="center"/>
              <w:rPr>
                <w:rFonts w:asciiTheme="minorHAnsi" w:hAnsiTheme="minorHAnsi" w:cs="Arial"/>
                <w:sz w:val="24"/>
                <w:szCs w:val="24"/>
              </w:rPr>
            </w:pPr>
            <w:r>
              <w:rPr>
                <w:rFonts w:asciiTheme="minorHAnsi" w:hAnsiTheme="minorHAnsi" w:cs="Arial"/>
                <w:sz w:val="24"/>
                <w:szCs w:val="24"/>
              </w:rPr>
              <w:t>18 (22.5)</w:t>
            </w:r>
          </w:p>
        </w:tc>
        <w:tc>
          <w:tcPr>
            <w:tcW w:w="1477" w:type="dxa"/>
            <w:tcBorders>
              <w:top w:val="nil"/>
              <w:left w:val="nil"/>
              <w:bottom w:val="nil"/>
              <w:right w:val="nil"/>
            </w:tcBorders>
          </w:tcPr>
          <w:p w:rsidR="0057699E" w:rsidRPr="0063487A" w:rsidRDefault="0057699E" w:rsidP="007A64CA">
            <w:pPr>
              <w:spacing w:after="0" w:line="240" w:lineRule="auto"/>
              <w:jc w:val="center"/>
              <w:rPr>
                <w:rFonts w:asciiTheme="minorHAnsi" w:hAnsiTheme="minorHAnsi" w:cs="Arial"/>
                <w:sz w:val="24"/>
                <w:szCs w:val="24"/>
              </w:rPr>
            </w:pPr>
            <w:r w:rsidRPr="0063487A">
              <w:rPr>
                <w:rFonts w:asciiTheme="minorHAnsi" w:hAnsiTheme="minorHAnsi" w:cs="Arial"/>
                <w:sz w:val="24"/>
                <w:szCs w:val="24"/>
              </w:rPr>
              <w:t>4.1</w:t>
            </w:r>
          </w:p>
        </w:tc>
        <w:tc>
          <w:tcPr>
            <w:tcW w:w="1669" w:type="dxa"/>
            <w:tcBorders>
              <w:top w:val="nil"/>
              <w:left w:val="nil"/>
              <w:bottom w:val="nil"/>
              <w:right w:val="nil"/>
            </w:tcBorders>
          </w:tcPr>
          <w:p w:rsidR="0057699E" w:rsidRPr="0063487A" w:rsidRDefault="0057699E" w:rsidP="007A64CA">
            <w:pPr>
              <w:spacing w:after="0" w:line="240" w:lineRule="auto"/>
              <w:jc w:val="center"/>
              <w:rPr>
                <w:rFonts w:asciiTheme="minorHAnsi" w:hAnsiTheme="minorHAnsi" w:cs="Arial"/>
                <w:sz w:val="24"/>
                <w:szCs w:val="24"/>
              </w:rPr>
            </w:pPr>
            <w:r w:rsidRPr="0063487A">
              <w:rPr>
                <w:rFonts w:asciiTheme="minorHAnsi" w:hAnsiTheme="minorHAnsi" w:cs="Arial"/>
                <w:sz w:val="24"/>
                <w:szCs w:val="24"/>
              </w:rPr>
              <w:t>1.7</w:t>
            </w:r>
          </w:p>
        </w:tc>
        <w:tc>
          <w:tcPr>
            <w:tcW w:w="1492" w:type="dxa"/>
            <w:tcBorders>
              <w:top w:val="nil"/>
              <w:left w:val="nil"/>
              <w:bottom w:val="nil"/>
            </w:tcBorders>
          </w:tcPr>
          <w:p w:rsidR="0057699E" w:rsidRPr="0063487A" w:rsidRDefault="0057699E" w:rsidP="007A64CA">
            <w:pPr>
              <w:spacing w:after="0" w:line="240" w:lineRule="auto"/>
              <w:jc w:val="center"/>
              <w:rPr>
                <w:rFonts w:asciiTheme="minorHAnsi" w:hAnsiTheme="minorHAnsi" w:cs="Arial"/>
                <w:sz w:val="24"/>
                <w:szCs w:val="24"/>
              </w:rPr>
            </w:pPr>
            <w:r w:rsidRPr="0063487A">
              <w:rPr>
                <w:rFonts w:asciiTheme="minorHAnsi" w:hAnsiTheme="minorHAnsi" w:cs="Arial"/>
                <w:sz w:val="24"/>
                <w:szCs w:val="24"/>
              </w:rPr>
              <w:t>9.6</w:t>
            </w:r>
          </w:p>
        </w:tc>
      </w:tr>
      <w:tr w:rsidR="0057699E" w:rsidRPr="0063487A" w:rsidTr="007A5158">
        <w:tc>
          <w:tcPr>
            <w:tcW w:w="2036" w:type="dxa"/>
            <w:tcBorders>
              <w:top w:val="nil"/>
              <w:bottom w:val="nil"/>
              <w:right w:val="nil"/>
            </w:tcBorders>
          </w:tcPr>
          <w:p w:rsidR="0057699E" w:rsidRPr="0063487A" w:rsidRDefault="0057699E" w:rsidP="007A64CA">
            <w:pPr>
              <w:spacing w:after="0" w:line="240" w:lineRule="auto"/>
              <w:jc w:val="center"/>
              <w:rPr>
                <w:rFonts w:asciiTheme="minorHAnsi" w:hAnsiTheme="minorHAnsi" w:cs="Arial"/>
                <w:b/>
                <w:sz w:val="24"/>
                <w:szCs w:val="24"/>
              </w:rPr>
            </w:pPr>
            <w:r w:rsidRPr="0063487A">
              <w:rPr>
                <w:rFonts w:asciiTheme="minorHAnsi" w:hAnsiTheme="minorHAnsi" w:cs="Arial"/>
                <w:b/>
                <w:sz w:val="24"/>
                <w:szCs w:val="24"/>
              </w:rPr>
              <w:t>Temperature</w:t>
            </w:r>
          </w:p>
        </w:tc>
        <w:tc>
          <w:tcPr>
            <w:tcW w:w="1227" w:type="dxa"/>
            <w:tcBorders>
              <w:top w:val="nil"/>
              <w:left w:val="nil"/>
              <w:bottom w:val="nil"/>
              <w:right w:val="nil"/>
            </w:tcBorders>
          </w:tcPr>
          <w:p w:rsidR="0057699E" w:rsidRPr="0063487A" w:rsidRDefault="00331E16" w:rsidP="007A64CA">
            <w:pPr>
              <w:spacing w:after="0" w:line="240" w:lineRule="auto"/>
              <w:jc w:val="center"/>
              <w:rPr>
                <w:rFonts w:asciiTheme="minorHAnsi" w:hAnsiTheme="minorHAnsi" w:cs="Arial"/>
                <w:sz w:val="24"/>
                <w:szCs w:val="24"/>
              </w:rPr>
            </w:pPr>
            <w:r>
              <w:rPr>
                <w:rFonts w:asciiTheme="minorHAnsi" w:hAnsiTheme="minorHAnsi" w:cs="Arial"/>
                <w:sz w:val="24"/>
                <w:szCs w:val="24"/>
              </w:rPr>
              <w:t>90</w:t>
            </w:r>
          </w:p>
        </w:tc>
        <w:tc>
          <w:tcPr>
            <w:tcW w:w="1341" w:type="dxa"/>
            <w:tcBorders>
              <w:top w:val="nil"/>
              <w:left w:val="nil"/>
              <w:bottom w:val="nil"/>
              <w:right w:val="nil"/>
            </w:tcBorders>
          </w:tcPr>
          <w:p w:rsidR="0057699E" w:rsidRPr="0063487A" w:rsidRDefault="00331E16" w:rsidP="007A64CA">
            <w:pPr>
              <w:spacing w:after="0" w:line="240" w:lineRule="auto"/>
              <w:jc w:val="center"/>
              <w:rPr>
                <w:rFonts w:asciiTheme="minorHAnsi" w:hAnsiTheme="minorHAnsi" w:cs="Arial"/>
                <w:sz w:val="24"/>
                <w:szCs w:val="24"/>
              </w:rPr>
            </w:pPr>
            <w:r>
              <w:rPr>
                <w:rFonts w:asciiTheme="minorHAnsi" w:hAnsiTheme="minorHAnsi" w:cs="Arial"/>
                <w:sz w:val="24"/>
                <w:szCs w:val="24"/>
              </w:rPr>
              <w:t>15 (16.7)</w:t>
            </w:r>
          </w:p>
        </w:tc>
        <w:tc>
          <w:tcPr>
            <w:tcW w:w="1477" w:type="dxa"/>
            <w:tcBorders>
              <w:top w:val="nil"/>
              <w:left w:val="nil"/>
              <w:bottom w:val="nil"/>
              <w:right w:val="nil"/>
            </w:tcBorders>
          </w:tcPr>
          <w:p w:rsidR="0057699E" w:rsidRPr="0063487A" w:rsidRDefault="0057699E" w:rsidP="007A64CA">
            <w:pPr>
              <w:spacing w:after="0" w:line="240" w:lineRule="auto"/>
              <w:jc w:val="center"/>
              <w:rPr>
                <w:rFonts w:asciiTheme="minorHAnsi" w:hAnsiTheme="minorHAnsi" w:cs="Arial"/>
                <w:sz w:val="24"/>
                <w:szCs w:val="24"/>
              </w:rPr>
            </w:pPr>
            <w:r w:rsidRPr="0063487A">
              <w:rPr>
                <w:rFonts w:asciiTheme="minorHAnsi" w:hAnsiTheme="minorHAnsi" w:cs="Arial"/>
                <w:sz w:val="24"/>
                <w:szCs w:val="24"/>
              </w:rPr>
              <w:t>1.6</w:t>
            </w:r>
          </w:p>
        </w:tc>
        <w:tc>
          <w:tcPr>
            <w:tcW w:w="1669" w:type="dxa"/>
            <w:tcBorders>
              <w:top w:val="nil"/>
              <w:left w:val="nil"/>
              <w:bottom w:val="nil"/>
              <w:right w:val="nil"/>
            </w:tcBorders>
          </w:tcPr>
          <w:p w:rsidR="0057699E" w:rsidRPr="0063487A" w:rsidRDefault="0057699E" w:rsidP="007A64CA">
            <w:pPr>
              <w:spacing w:after="0" w:line="240" w:lineRule="auto"/>
              <w:jc w:val="center"/>
              <w:rPr>
                <w:rFonts w:asciiTheme="minorHAnsi" w:hAnsiTheme="minorHAnsi" w:cs="Arial"/>
                <w:sz w:val="24"/>
                <w:szCs w:val="24"/>
              </w:rPr>
            </w:pPr>
            <w:r w:rsidRPr="0063487A">
              <w:rPr>
                <w:rFonts w:asciiTheme="minorHAnsi" w:hAnsiTheme="minorHAnsi" w:cs="Arial"/>
                <w:sz w:val="24"/>
                <w:szCs w:val="24"/>
              </w:rPr>
              <w:t>0.7</w:t>
            </w:r>
          </w:p>
        </w:tc>
        <w:tc>
          <w:tcPr>
            <w:tcW w:w="1492" w:type="dxa"/>
            <w:tcBorders>
              <w:top w:val="nil"/>
              <w:left w:val="nil"/>
              <w:bottom w:val="nil"/>
            </w:tcBorders>
          </w:tcPr>
          <w:p w:rsidR="0057699E" w:rsidRPr="0063487A" w:rsidRDefault="0057699E" w:rsidP="007A64CA">
            <w:pPr>
              <w:spacing w:after="0" w:line="240" w:lineRule="auto"/>
              <w:jc w:val="center"/>
              <w:rPr>
                <w:rFonts w:asciiTheme="minorHAnsi" w:hAnsiTheme="minorHAnsi" w:cs="Arial"/>
                <w:sz w:val="24"/>
                <w:szCs w:val="24"/>
              </w:rPr>
            </w:pPr>
            <w:r w:rsidRPr="0063487A">
              <w:rPr>
                <w:rFonts w:asciiTheme="minorHAnsi" w:hAnsiTheme="minorHAnsi" w:cs="Arial"/>
                <w:sz w:val="24"/>
                <w:szCs w:val="24"/>
              </w:rPr>
              <w:t>3.6</w:t>
            </w:r>
          </w:p>
        </w:tc>
      </w:tr>
      <w:tr w:rsidR="0057699E" w:rsidRPr="0063487A" w:rsidTr="007A5158">
        <w:tc>
          <w:tcPr>
            <w:tcW w:w="2036" w:type="dxa"/>
            <w:tcBorders>
              <w:top w:val="nil"/>
              <w:bottom w:val="single" w:sz="4" w:space="0" w:color="auto"/>
              <w:right w:val="nil"/>
            </w:tcBorders>
          </w:tcPr>
          <w:p w:rsidR="0057699E" w:rsidRPr="0063487A" w:rsidRDefault="0057699E" w:rsidP="007A64CA">
            <w:pPr>
              <w:spacing w:after="0" w:line="240" w:lineRule="auto"/>
              <w:jc w:val="center"/>
              <w:rPr>
                <w:rFonts w:asciiTheme="minorHAnsi" w:hAnsiTheme="minorHAnsi" w:cs="Arial"/>
                <w:b/>
                <w:sz w:val="24"/>
                <w:szCs w:val="24"/>
              </w:rPr>
            </w:pPr>
            <w:r w:rsidRPr="0063487A">
              <w:rPr>
                <w:rFonts w:asciiTheme="minorHAnsi" w:hAnsiTheme="minorHAnsi" w:cs="Arial"/>
                <w:b/>
                <w:sz w:val="24"/>
                <w:szCs w:val="24"/>
              </w:rPr>
              <w:t>Blood Pressure</w:t>
            </w:r>
          </w:p>
        </w:tc>
        <w:tc>
          <w:tcPr>
            <w:tcW w:w="1227" w:type="dxa"/>
            <w:tcBorders>
              <w:top w:val="nil"/>
              <w:left w:val="nil"/>
              <w:bottom w:val="single" w:sz="4" w:space="0" w:color="auto"/>
              <w:right w:val="nil"/>
            </w:tcBorders>
          </w:tcPr>
          <w:p w:rsidR="0057699E" w:rsidRPr="0063487A" w:rsidRDefault="00331E16" w:rsidP="007A64CA">
            <w:pPr>
              <w:spacing w:after="0" w:line="240" w:lineRule="auto"/>
              <w:jc w:val="center"/>
              <w:rPr>
                <w:rFonts w:asciiTheme="minorHAnsi" w:hAnsiTheme="minorHAnsi" w:cs="Arial"/>
                <w:sz w:val="24"/>
                <w:szCs w:val="24"/>
              </w:rPr>
            </w:pPr>
            <w:r>
              <w:rPr>
                <w:rFonts w:asciiTheme="minorHAnsi" w:hAnsiTheme="minorHAnsi" w:cs="Arial"/>
                <w:sz w:val="24"/>
                <w:szCs w:val="24"/>
              </w:rPr>
              <w:t>67</w:t>
            </w:r>
          </w:p>
        </w:tc>
        <w:tc>
          <w:tcPr>
            <w:tcW w:w="1341" w:type="dxa"/>
            <w:tcBorders>
              <w:top w:val="nil"/>
              <w:left w:val="nil"/>
              <w:bottom w:val="single" w:sz="4" w:space="0" w:color="auto"/>
              <w:right w:val="nil"/>
            </w:tcBorders>
          </w:tcPr>
          <w:p w:rsidR="0057699E" w:rsidRPr="0063487A" w:rsidRDefault="00331E16" w:rsidP="007A64CA">
            <w:pPr>
              <w:spacing w:after="0" w:line="240" w:lineRule="auto"/>
              <w:jc w:val="center"/>
              <w:rPr>
                <w:rFonts w:asciiTheme="minorHAnsi" w:hAnsiTheme="minorHAnsi" w:cs="Arial"/>
                <w:sz w:val="24"/>
                <w:szCs w:val="24"/>
              </w:rPr>
            </w:pPr>
            <w:r>
              <w:rPr>
                <w:rFonts w:asciiTheme="minorHAnsi" w:hAnsiTheme="minorHAnsi" w:cs="Arial"/>
                <w:sz w:val="24"/>
                <w:szCs w:val="24"/>
              </w:rPr>
              <w:t>13 (19.4)</w:t>
            </w:r>
          </w:p>
        </w:tc>
        <w:tc>
          <w:tcPr>
            <w:tcW w:w="1477" w:type="dxa"/>
            <w:tcBorders>
              <w:top w:val="nil"/>
              <w:left w:val="nil"/>
              <w:bottom w:val="single" w:sz="4" w:space="0" w:color="auto"/>
              <w:right w:val="nil"/>
            </w:tcBorders>
          </w:tcPr>
          <w:p w:rsidR="0057699E" w:rsidRPr="0063487A" w:rsidRDefault="0057699E" w:rsidP="007A64CA">
            <w:pPr>
              <w:spacing w:after="0" w:line="240" w:lineRule="auto"/>
              <w:jc w:val="center"/>
              <w:rPr>
                <w:rFonts w:asciiTheme="minorHAnsi" w:hAnsiTheme="minorHAnsi" w:cs="Arial"/>
                <w:sz w:val="24"/>
                <w:szCs w:val="24"/>
              </w:rPr>
            </w:pPr>
            <w:r w:rsidRPr="0063487A">
              <w:rPr>
                <w:rFonts w:asciiTheme="minorHAnsi" w:hAnsiTheme="minorHAnsi" w:cs="Arial"/>
                <w:sz w:val="24"/>
                <w:szCs w:val="24"/>
              </w:rPr>
              <w:t>2.7</w:t>
            </w:r>
          </w:p>
        </w:tc>
        <w:tc>
          <w:tcPr>
            <w:tcW w:w="1669" w:type="dxa"/>
            <w:tcBorders>
              <w:top w:val="nil"/>
              <w:left w:val="nil"/>
              <w:bottom w:val="single" w:sz="4" w:space="0" w:color="auto"/>
              <w:right w:val="nil"/>
            </w:tcBorders>
          </w:tcPr>
          <w:p w:rsidR="0057699E" w:rsidRPr="0063487A" w:rsidRDefault="0057699E" w:rsidP="007A64CA">
            <w:pPr>
              <w:spacing w:after="0" w:line="240" w:lineRule="auto"/>
              <w:jc w:val="center"/>
              <w:rPr>
                <w:rFonts w:asciiTheme="minorHAnsi" w:hAnsiTheme="minorHAnsi" w:cs="Arial"/>
                <w:sz w:val="24"/>
                <w:szCs w:val="24"/>
              </w:rPr>
            </w:pPr>
            <w:r w:rsidRPr="0063487A">
              <w:rPr>
                <w:rFonts w:asciiTheme="minorHAnsi" w:hAnsiTheme="minorHAnsi" w:cs="Arial"/>
                <w:sz w:val="24"/>
                <w:szCs w:val="24"/>
              </w:rPr>
              <w:t>1.2</w:t>
            </w:r>
          </w:p>
        </w:tc>
        <w:tc>
          <w:tcPr>
            <w:tcW w:w="1492" w:type="dxa"/>
            <w:tcBorders>
              <w:top w:val="nil"/>
              <w:left w:val="nil"/>
              <w:bottom w:val="single" w:sz="4" w:space="0" w:color="auto"/>
            </w:tcBorders>
          </w:tcPr>
          <w:p w:rsidR="0057699E" w:rsidRPr="0063487A" w:rsidRDefault="0057699E" w:rsidP="007A64CA">
            <w:pPr>
              <w:spacing w:after="0" w:line="240" w:lineRule="auto"/>
              <w:jc w:val="center"/>
              <w:rPr>
                <w:rFonts w:asciiTheme="minorHAnsi" w:hAnsiTheme="minorHAnsi" w:cs="Arial"/>
                <w:sz w:val="24"/>
                <w:szCs w:val="24"/>
              </w:rPr>
            </w:pPr>
            <w:r w:rsidRPr="0063487A">
              <w:rPr>
                <w:rFonts w:asciiTheme="minorHAnsi" w:hAnsiTheme="minorHAnsi" w:cs="Arial"/>
                <w:sz w:val="24"/>
                <w:szCs w:val="24"/>
              </w:rPr>
              <w:t>6.1</w:t>
            </w:r>
          </w:p>
        </w:tc>
      </w:tr>
    </w:tbl>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rPr>
          <w:rFonts w:asciiTheme="minorHAnsi" w:hAnsiTheme="minorHAnsi"/>
          <w:b/>
        </w:rPr>
      </w:pPr>
      <w:r w:rsidRPr="0063487A">
        <w:rPr>
          <w:rFonts w:asciiTheme="minorHAnsi" w:hAnsiTheme="minorHAnsi"/>
        </w:rPr>
        <w:br w:type="page"/>
      </w:r>
      <w:r w:rsidRPr="0063487A">
        <w:rPr>
          <w:rFonts w:asciiTheme="minorHAnsi" w:hAnsiTheme="minorHAnsi"/>
          <w:b/>
        </w:rPr>
        <w:lastRenderedPageBreak/>
        <w:t xml:space="preserve">Figure 1. </w:t>
      </w:r>
      <w:r w:rsidR="00891F37">
        <w:rPr>
          <w:rFonts w:asciiTheme="minorHAnsi" w:hAnsiTheme="minorHAnsi"/>
          <w:b/>
        </w:rPr>
        <w:t>Flow-chart demonstrating the s</w:t>
      </w:r>
      <w:r w:rsidRPr="0063487A">
        <w:rPr>
          <w:rFonts w:asciiTheme="minorHAnsi" w:hAnsiTheme="minorHAnsi"/>
          <w:b/>
        </w:rPr>
        <w:t>creening and follow-up of study participants</w:t>
      </w:r>
    </w:p>
    <w:p w:rsidR="007A64CA" w:rsidRPr="0063487A" w:rsidRDefault="007A5158" w:rsidP="007A64CA">
      <w:pPr>
        <w:pStyle w:val="Caption"/>
        <w:keepNext/>
        <w:rPr>
          <w:rFonts w:asciiTheme="minorHAnsi" w:hAnsiTheme="minorHAnsi"/>
          <w:color w:val="000000"/>
          <w:sz w:val="20"/>
          <w:szCs w:val="20"/>
        </w:rPr>
      </w:pPr>
      <w:r>
        <w:rPr>
          <w:rFonts w:asciiTheme="minorHAnsi" w:hAnsiTheme="minorHAnsi"/>
          <w:noProof/>
          <w:lang w:eastAsia="en-GB"/>
        </w:rPr>
        <w:pict>
          <v:group id="_x0000_s1026" style="position:absolute;margin-left:54pt;margin-top:13.8pt;width:294.2pt;height:185.85pt;z-index:251660288" coordorigin="4245,1162" coordsize="5884,3717">
            <v:shapetype id="_x0000_t202" coordsize="21600,21600" o:spt="202" path="m,l,21600r21600,l21600,xe">
              <v:stroke joinstyle="miter"/>
              <v:path gradientshapeok="t" o:connecttype="rect"/>
            </v:shapetype>
            <v:shape id="_x0000_s1027" type="#_x0000_t202" style="position:absolute;left:7948;top:2955;width:2181;height:841" filled="f" fillcolor="#8064a2" stroked="f" strokecolor="#f2f2f2" strokeweight="3pt">
              <v:fill color2="fill lighten(51)" focusposition="1" focussize="" method="linear sigma" type="gradient"/>
              <v:shadow on="t" type="perspective" color="#3f3151" opacity=".5" offset="1pt" offset2="-1pt"/>
              <v:textbox style="mso-next-textbox:#_x0000_s1027">
                <w:txbxContent>
                  <w:p w:rsidR="007A5158" w:rsidRPr="00E31C3B" w:rsidRDefault="007A5158" w:rsidP="007A64CA">
                    <w:pPr>
                      <w:rPr>
                        <w:sz w:val="20"/>
                        <w:szCs w:val="20"/>
                      </w:rPr>
                    </w:pPr>
                    <w:r w:rsidRPr="00E31C3B">
                      <w:rPr>
                        <w:b/>
                        <w:bCs/>
                        <w:sz w:val="20"/>
                        <w:szCs w:val="20"/>
                      </w:rPr>
                      <w:t>*Excluded from statistical analyses</w:t>
                    </w:r>
                  </w:p>
                </w:txbxContent>
              </v:textbox>
            </v:shape>
            <v:group id="_x0000_s1028" style="position:absolute;left:4245;top:1162;width:5517;height:3717" coordorigin="4245,1162" coordsize="5517,3717">
              <v:roundrect id="_x0000_s1029" style="position:absolute;left:4245;top:4087;width:2076;height:767" arcsize="10923f" strokeweight="5pt">
                <v:stroke linestyle="thickThin"/>
                <v:shadow color="#868686"/>
              </v:roundrect>
              <v:roundrect id="_x0000_s1030" style="position:absolute;left:7948;top:2035;width:1814;height:787" arcsize="10923f" strokeweight="5pt">
                <v:stroke linestyle="thickThin"/>
                <v:shadow color="#868686"/>
              </v:roundrect>
              <v:roundrect id="_x0000_s1031" style="position:absolute;left:5835;top:2822;width:1627;height:787" arcsize="10923f" strokeweight="5pt">
                <v:stroke linestyle="thickThin"/>
                <v:shadow color="#868686"/>
              </v:roundrect>
              <v:roundrect id="_x0000_s1032" style="position:absolute;left:6998;top:4087;width:2157;height:786" arcsize="10923f" strokeweight="5pt">
                <v:stroke linestyle="thickThin"/>
                <v:shadow color="#868686"/>
              </v:roundrect>
              <v:roundrect id="_x0000_s1033" style="position:absolute;left:5835;top:1162;width:1627;height:802" arcsize="10923f" strokeweight="5pt">
                <v:stroke linestyle="thickThin"/>
                <v:shadow color="#868686"/>
              </v:roundrect>
              <v:shape id="_x0000_s1034" type="#_x0000_t202" style="position:absolute;left:5835;top:1162;width:1627;height:802" filled="f" stroked="f">
                <v:textbox style="mso-next-textbox:#_x0000_s1034">
                  <w:txbxContent>
                    <w:p w:rsidR="007A5158" w:rsidRPr="00E31C3B" w:rsidRDefault="007A5158" w:rsidP="007A64CA">
                      <w:pPr>
                        <w:jc w:val="center"/>
                        <w:rPr>
                          <w:sz w:val="24"/>
                          <w:szCs w:val="24"/>
                        </w:rPr>
                      </w:pPr>
                      <w:r>
                        <w:rPr>
                          <w:bCs/>
                          <w:sz w:val="24"/>
                          <w:szCs w:val="24"/>
                        </w:rPr>
                        <w:t>234</w:t>
                      </w:r>
                      <w:r w:rsidRPr="00E31C3B">
                        <w:rPr>
                          <w:sz w:val="24"/>
                          <w:szCs w:val="24"/>
                        </w:rPr>
                        <w:t xml:space="preserve"> patients enrolled</w:t>
                      </w:r>
                    </w:p>
                  </w:txbxContent>
                </v:textbox>
              </v:shape>
              <v:shape id="_x0000_s1035" type="#_x0000_t202" style="position:absolute;left:5731;top:2822;width:1766;height:787" filled="f" stroked="f">
                <v:textbox style="mso-next-textbox:#_x0000_s1035">
                  <w:txbxContent>
                    <w:p w:rsidR="007A5158" w:rsidRPr="00E31C3B" w:rsidRDefault="007A5158" w:rsidP="007A64CA">
                      <w:pPr>
                        <w:jc w:val="center"/>
                        <w:rPr>
                          <w:sz w:val="24"/>
                          <w:szCs w:val="24"/>
                        </w:rPr>
                      </w:pPr>
                      <w:r>
                        <w:rPr>
                          <w:bCs/>
                          <w:sz w:val="24"/>
                          <w:szCs w:val="24"/>
                        </w:rPr>
                        <w:t>216 (92.3%)</w:t>
                      </w:r>
                      <w:r w:rsidRPr="00E31C3B">
                        <w:rPr>
                          <w:sz w:val="24"/>
                          <w:szCs w:val="24"/>
                        </w:rPr>
                        <w:t xml:space="preserve"> analysed</w:t>
                      </w:r>
                    </w:p>
                  </w:txbxContent>
                </v:textbox>
              </v:shape>
              <v:shape id="_x0000_s1036" type="#_x0000_t202" style="position:absolute;left:7948;top:2035;width:1814;height:920" filled="f" stroked="f">
                <v:textbox style="mso-next-textbox:#_x0000_s1036">
                  <w:txbxContent>
                    <w:p w:rsidR="007A5158" w:rsidRPr="00E31C3B" w:rsidRDefault="007A5158" w:rsidP="007A64CA">
                      <w:pPr>
                        <w:jc w:val="center"/>
                        <w:rPr>
                          <w:sz w:val="24"/>
                          <w:szCs w:val="24"/>
                        </w:rPr>
                      </w:pPr>
                      <w:r>
                        <w:rPr>
                          <w:b/>
                          <w:sz w:val="24"/>
                          <w:szCs w:val="24"/>
                        </w:rPr>
                        <w:t>18 (7.7%</w:t>
                      </w:r>
                      <w:r w:rsidRPr="00160405">
                        <w:rPr>
                          <w:sz w:val="24"/>
                          <w:szCs w:val="24"/>
                        </w:rPr>
                        <w:t>)</w:t>
                      </w:r>
                      <w:r w:rsidRPr="00E31C3B">
                        <w:rPr>
                          <w:sz w:val="24"/>
                          <w:szCs w:val="24"/>
                        </w:rPr>
                        <w:t xml:space="preserve"> lost to follow-up*</w:t>
                      </w:r>
                    </w:p>
                  </w:txbxContent>
                </v:textbox>
              </v:shape>
              <v:shape id="_x0000_s1037" type="#_x0000_t202" style="position:absolute;left:6949;top:4087;width:2206;height:786" filled="f" stroked="f">
                <v:textbox style="mso-next-textbox:#_x0000_s1037">
                  <w:txbxContent>
                    <w:p w:rsidR="007A5158" w:rsidRPr="00DB1678" w:rsidRDefault="007A5158" w:rsidP="007A64CA">
                      <w:pPr>
                        <w:jc w:val="center"/>
                        <w:rPr>
                          <w:sz w:val="24"/>
                          <w:szCs w:val="24"/>
                        </w:rPr>
                      </w:pPr>
                      <w:r>
                        <w:rPr>
                          <w:bCs/>
                          <w:sz w:val="24"/>
                          <w:szCs w:val="24"/>
                        </w:rPr>
                        <w:t xml:space="preserve">27 </w:t>
                      </w:r>
                      <w:r w:rsidRPr="00160405">
                        <w:rPr>
                          <w:sz w:val="24"/>
                          <w:szCs w:val="24"/>
                        </w:rPr>
                        <w:t>(12.</w:t>
                      </w:r>
                      <w:r w:rsidRPr="00160405">
                        <w:rPr>
                          <w:bCs/>
                          <w:sz w:val="24"/>
                          <w:szCs w:val="24"/>
                        </w:rPr>
                        <w:t>5%)</w:t>
                      </w:r>
                      <w:r w:rsidRPr="00DB1678">
                        <w:rPr>
                          <w:sz w:val="24"/>
                          <w:szCs w:val="24"/>
                        </w:rPr>
                        <w:t xml:space="preserve"> in-hospital mortalities</w:t>
                      </w:r>
                    </w:p>
                  </w:txbxContent>
                </v:textbox>
              </v:shape>
              <v:shape id="_x0000_s1038" type="#_x0000_t202" style="position:absolute;left:4368;top:4087;width:1953;height:792" filled="f" stroked="f">
                <v:textbox style="mso-next-textbox:#_x0000_s1038">
                  <w:txbxContent>
                    <w:p w:rsidR="007A5158" w:rsidRPr="00DB1678" w:rsidRDefault="007A5158" w:rsidP="007A64CA">
                      <w:pPr>
                        <w:jc w:val="center"/>
                        <w:rPr>
                          <w:sz w:val="24"/>
                          <w:szCs w:val="24"/>
                        </w:rPr>
                      </w:pPr>
                      <w:r>
                        <w:rPr>
                          <w:bCs/>
                          <w:sz w:val="24"/>
                          <w:szCs w:val="24"/>
                        </w:rPr>
                        <w:t>189 (87.5%)</w:t>
                      </w:r>
                      <w:r w:rsidRPr="00DB1678">
                        <w:rPr>
                          <w:sz w:val="24"/>
                          <w:szCs w:val="24"/>
                        </w:rPr>
                        <w:t xml:space="preserve"> discharged alive</w:t>
                      </w:r>
                    </w:p>
                  </w:txbxContent>
                </v:textbox>
              </v:shape>
              <v:shapetype id="_x0000_t32" coordsize="21600,21600" o:spt="32" o:oned="t" path="m,l21600,21600e" filled="f">
                <v:path arrowok="t" fillok="f" o:connecttype="none"/>
                <o:lock v:ext="edit" shapetype="t"/>
              </v:shapetype>
              <v:shape id="_x0000_s1039" type="#_x0000_t32" style="position:absolute;left:6639;top:2393;width:1309;height:1" o:connectortype="straight">
                <v:stroke endarrow="block"/>
              </v:shape>
              <v:shape id="_x0000_s1040" type="#_x0000_t32" style="position:absolute;left:6639;top:1964;width:0;height:858" o:connectortype="straight">
                <v:stroke endarrow="block"/>
              </v:shape>
              <v:shape id="_x0000_s1041" type="#_x0000_t32" style="position:absolute;left:5947;top:3609;width:233;height:478;flip:x" o:connectortype="straight">
                <v:stroke endarrow="block"/>
              </v:shape>
              <v:shape id="_x0000_s1042" type="#_x0000_t32" style="position:absolute;left:6998;top:3609;width:232;height:478" o:connectortype="straight">
                <v:stroke endarrow="block"/>
              </v:shape>
            </v:group>
          </v:group>
        </w:pict>
      </w: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pStyle w:val="Caption"/>
        <w:keepNext/>
        <w:rPr>
          <w:rFonts w:asciiTheme="minorHAnsi" w:hAnsiTheme="minorHAnsi"/>
          <w:color w:val="000000"/>
          <w:sz w:val="20"/>
          <w:szCs w:val="20"/>
        </w:rPr>
      </w:pPr>
    </w:p>
    <w:p w:rsidR="007A64CA" w:rsidRPr="0063487A" w:rsidRDefault="007A64CA" w:rsidP="007A64CA">
      <w:pPr>
        <w:rPr>
          <w:rFonts w:asciiTheme="minorHAnsi" w:hAnsiTheme="minorHAnsi"/>
        </w:rPr>
      </w:pPr>
    </w:p>
    <w:p w:rsidR="007A64CA" w:rsidRPr="0063487A" w:rsidRDefault="007A64CA" w:rsidP="007A64CA">
      <w:pPr>
        <w:pStyle w:val="Caption"/>
        <w:keepNext/>
        <w:rPr>
          <w:rFonts w:asciiTheme="minorHAnsi" w:hAnsiTheme="minorHAnsi"/>
          <w:color w:val="auto"/>
          <w:sz w:val="20"/>
          <w:szCs w:val="20"/>
        </w:rPr>
      </w:pPr>
      <w:r w:rsidRPr="0063487A">
        <w:rPr>
          <w:rFonts w:asciiTheme="minorHAnsi" w:hAnsiTheme="minorHAnsi"/>
          <w:color w:val="auto"/>
          <w:sz w:val="20"/>
          <w:szCs w:val="20"/>
        </w:rPr>
        <w:br w:type="page"/>
      </w:r>
      <w:r w:rsidRPr="0063487A">
        <w:rPr>
          <w:rFonts w:asciiTheme="minorHAnsi" w:hAnsiTheme="minorHAnsi"/>
          <w:color w:val="auto"/>
          <w:sz w:val="20"/>
          <w:szCs w:val="20"/>
        </w:rPr>
        <w:lastRenderedPageBreak/>
        <w:t>Figure 2.</w:t>
      </w:r>
      <w:r w:rsidR="00891F37">
        <w:rPr>
          <w:rFonts w:asciiTheme="minorHAnsi" w:hAnsiTheme="minorHAnsi"/>
          <w:color w:val="auto"/>
          <w:sz w:val="20"/>
          <w:szCs w:val="20"/>
        </w:rPr>
        <w:t xml:space="preserve"> Graphic representation of t</w:t>
      </w:r>
      <w:r w:rsidRPr="0063487A">
        <w:rPr>
          <w:rFonts w:asciiTheme="minorHAnsi" w:hAnsiTheme="minorHAnsi"/>
          <w:color w:val="auto"/>
          <w:sz w:val="20"/>
          <w:szCs w:val="20"/>
        </w:rPr>
        <w:t>he relationship between SWAT-Bp score and in-hospital mortality</w:t>
      </w:r>
    </w:p>
    <w:p w:rsidR="007A64CA" w:rsidRPr="0063487A" w:rsidRDefault="007A5158" w:rsidP="007A64CA">
      <w:pPr>
        <w:autoSpaceDE w:val="0"/>
        <w:autoSpaceDN w:val="0"/>
        <w:adjustRightInd w:val="0"/>
        <w:spacing w:after="0" w:line="240" w:lineRule="auto"/>
        <w:rPr>
          <w:rFonts w:asciiTheme="minorHAnsi" w:hAnsiTheme="minorHAnsi"/>
          <w:sz w:val="24"/>
          <w:szCs w:val="24"/>
          <w:lang w:eastAsia="en-GB"/>
        </w:rPr>
      </w:pPr>
      <w:r>
        <w:rPr>
          <w:rFonts w:asciiTheme="minorHAnsi" w:hAnsiTheme="minorHAnsi"/>
          <w:noProof/>
          <w:sz w:val="24"/>
          <w:szCs w:val="24"/>
          <w:lang w:eastAsia="en-GB"/>
        </w:rPr>
        <w:pict>
          <v:group id="_x0000_s1068" style="position:absolute;margin-left:67.6pt;margin-top:199.85pt;width:212.35pt;height:20.7pt;z-index:251664384" coordorigin="2792,11720" coordsize="4247,414">
            <v:shape id="_x0000_s1069" type="#_x0000_t202" style="position:absolute;left:2792;top:11720;width:363;height:414;mso-width-relative:margin;mso-height-relative:margin" stroked="f">
              <v:textbox>
                <w:txbxContent>
                  <w:p w:rsidR="007A5158" w:rsidRDefault="007A5158" w:rsidP="007A64CA">
                    <w:r>
                      <w:t>0</w:t>
                    </w:r>
                  </w:p>
                </w:txbxContent>
              </v:textbox>
            </v:shape>
            <v:shape id="_x0000_s1070" type="#_x0000_t202" style="position:absolute;left:5860;top:11720;width:363;height:414;mso-width-relative:margin;mso-height-relative:margin" stroked="f">
              <v:textbox>
                <w:txbxContent>
                  <w:p w:rsidR="007A5158" w:rsidRDefault="007A5158" w:rsidP="007A64CA">
                    <w:r>
                      <w:t>4</w:t>
                    </w:r>
                  </w:p>
                </w:txbxContent>
              </v:textbox>
            </v:shape>
            <v:shape id="_x0000_s1071" type="#_x0000_t202" style="position:absolute;left:5142;top:11720;width:363;height:414;mso-width-relative:margin;mso-height-relative:margin" stroked="f">
              <v:textbox>
                <w:txbxContent>
                  <w:p w:rsidR="007A5158" w:rsidRDefault="007A5158" w:rsidP="007A64CA">
                    <w:r>
                      <w:t>3</w:t>
                    </w:r>
                  </w:p>
                </w:txbxContent>
              </v:textbox>
            </v:shape>
            <v:shape id="_x0000_s1072" type="#_x0000_t202" style="position:absolute;left:4345;top:11720;width:363;height:414;mso-width-relative:margin;mso-height-relative:margin" stroked="f">
              <v:textbox>
                <w:txbxContent>
                  <w:p w:rsidR="007A5158" w:rsidRDefault="007A5158" w:rsidP="007A64CA">
                    <w:r>
                      <w:t>2</w:t>
                    </w:r>
                  </w:p>
                </w:txbxContent>
              </v:textbox>
            </v:shape>
            <v:shape id="_x0000_s1073" type="#_x0000_t202" style="position:absolute;left:3572;top:11720;width:363;height:414;mso-width-relative:margin;mso-height-relative:margin" stroked="f">
              <v:textbox>
                <w:txbxContent>
                  <w:p w:rsidR="007A5158" w:rsidRDefault="007A5158" w:rsidP="007A64CA">
                    <w:r>
                      <w:t>1</w:t>
                    </w:r>
                  </w:p>
                </w:txbxContent>
              </v:textbox>
            </v:shape>
            <v:shape id="_x0000_s1074" type="#_x0000_t202" style="position:absolute;left:6676;top:11720;width:363;height:414;mso-width-relative:margin;mso-height-relative:margin" stroked="f">
              <v:textbox>
                <w:txbxContent>
                  <w:p w:rsidR="007A5158" w:rsidRDefault="007A5158" w:rsidP="007A64CA">
                    <w:r>
                      <w:t>5</w:t>
                    </w:r>
                  </w:p>
                </w:txbxContent>
              </v:textbox>
            </v:shape>
          </v:group>
        </w:pict>
      </w:r>
      <w:r w:rsidR="007A64CA" w:rsidRPr="0063487A">
        <w:rPr>
          <w:rFonts w:asciiTheme="minorHAnsi" w:hAnsiTheme="minorHAnsi"/>
          <w:noProof/>
          <w:sz w:val="24"/>
          <w:szCs w:val="24"/>
          <w:lang w:val="en-US"/>
        </w:rPr>
        <w:drawing>
          <wp:inline distT="0" distB="0" distL="0" distR="0">
            <wp:extent cx="5624195" cy="3157220"/>
            <wp:effectExtent l="19050" t="0" r="0" b="0"/>
            <wp:docPr id="1"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2"/>
                    <a:srcRect/>
                    <a:stretch>
                      <a:fillRect/>
                    </a:stretch>
                  </pic:blipFill>
                  <pic:spPr bwMode="auto">
                    <a:xfrm>
                      <a:off x="0" y="0"/>
                      <a:ext cx="5624195" cy="3157220"/>
                    </a:xfrm>
                    <a:prstGeom prst="rect">
                      <a:avLst/>
                    </a:prstGeom>
                    <a:noFill/>
                    <a:ln w="9525">
                      <a:noFill/>
                      <a:miter lim="800000"/>
                      <a:headEnd/>
                      <a:tailEnd/>
                    </a:ln>
                  </pic:spPr>
                </pic:pic>
              </a:graphicData>
            </a:graphic>
          </wp:inline>
        </w:drawing>
      </w:r>
    </w:p>
    <w:p w:rsidR="007A64CA" w:rsidRPr="0063487A" w:rsidRDefault="007A64CA" w:rsidP="007A64CA">
      <w:pPr>
        <w:autoSpaceDE w:val="0"/>
        <w:autoSpaceDN w:val="0"/>
        <w:adjustRightInd w:val="0"/>
        <w:spacing w:after="0" w:line="240" w:lineRule="auto"/>
        <w:rPr>
          <w:rFonts w:asciiTheme="minorHAnsi" w:hAnsiTheme="minorHAnsi"/>
          <w:sz w:val="24"/>
          <w:szCs w:val="24"/>
          <w:lang w:eastAsia="en-GB"/>
        </w:rPr>
      </w:pPr>
    </w:p>
    <w:p w:rsidR="007A64CA" w:rsidRPr="0063487A" w:rsidRDefault="007A64CA" w:rsidP="007A64CA">
      <w:pPr>
        <w:autoSpaceDE w:val="0"/>
        <w:autoSpaceDN w:val="0"/>
        <w:adjustRightInd w:val="0"/>
        <w:spacing w:after="0" w:line="240" w:lineRule="auto"/>
        <w:rPr>
          <w:rFonts w:asciiTheme="minorHAnsi" w:hAnsiTheme="minorHAnsi"/>
          <w:sz w:val="24"/>
          <w:szCs w:val="24"/>
          <w:lang w:eastAsia="en-GB"/>
        </w:rPr>
      </w:pPr>
    </w:p>
    <w:p w:rsidR="007A64CA" w:rsidRPr="0063487A" w:rsidRDefault="007A64CA" w:rsidP="007A64CA">
      <w:pPr>
        <w:autoSpaceDE w:val="0"/>
        <w:autoSpaceDN w:val="0"/>
        <w:adjustRightInd w:val="0"/>
        <w:spacing w:after="0" w:line="240" w:lineRule="auto"/>
        <w:rPr>
          <w:rFonts w:asciiTheme="minorHAnsi" w:hAnsiTheme="minorHAnsi"/>
          <w:sz w:val="24"/>
          <w:szCs w:val="24"/>
          <w:lang w:eastAsia="en-GB"/>
        </w:rPr>
      </w:pPr>
    </w:p>
    <w:p w:rsidR="007A64CA" w:rsidRPr="0063487A" w:rsidRDefault="007A64CA" w:rsidP="007A64CA">
      <w:pPr>
        <w:autoSpaceDE w:val="0"/>
        <w:autoSpaceDN w:val="0"/>
        <w:adjustRightInd w:val="0"/>
        <w:spacing w:after="0" w:line="240" w:lineRule="auto"/>
        <w:rPr>
          <w:rFonts w:asciiTheme="minorHAnsi" w:hAnsiTheme="minorHAnsi"/>
          <w:sz w:val="24"/>
          <w:szCs w:val="24"/>
          <w:lang w:eastAsia="en-GB"/>
        </w:rPr>
      </w:pPr>
    </w:p>
    <w:p w:rsidR="007A64CA" w:rsidRPr="0063487A" w:rsidRDefault="007A64CA" w:rsidP="007A64CA">
      <w:pPr>
        <w:rPr>
          <w:rFonts w:asciiTheme="minorHAnsi" w:hAnsiTheme="minorHAnsi"/>
          <w:b/>
          <w:sz w:val="20"/>
          <w:szCs w:val="20"/>
        </w:rPr>
      </w:pPr>
      <w:r w:rsidRPr="0063487A">
        <w:rPr>
          <w:rFonts w:asciiTheme="minorHAnsi" w:hAnsiTheme="minorHAnsi"/>
          <w:color w:val="000000"/>
          <w:sz w:val="20"/>
          <w:szCs w:val="20"/>
        </w:rPr>
        <w:br w:type="page"/>
      </w:r>
      <w:r w:rsidR="0031436F">
        <w:rPr>
          <w:rFonts w:asciiTheme="minorHAnsi" w:hAnsiTheme="minorHAnsi"/>
          <w:b/>
          <w:sz w:val="20"/>
          <w:szCs w:val="20"/>
        </w:rPr>
        <w:lastRenderedPageBreak/>
        <w:t>F</w:t>
      </w:r>
      <w:r w:rsidRPr="0063487A">
        <w:rPr>
          <w:rFonts w:asciiTheme="minorHAnsi" w:hAnsiTheme="minorHAnsi"/>
          <w:b/>
          <w:sz w:val="20"/>
          <w:szCs w:val="20"/>
        </w:rPr>
        <w:t xml:space="preserve">igure </w:t>
      </w:r>
      <w:r w:rsidR="004B3C27">
        <w:rPr>
          <w:rFonts w:asciiTheme="minorHAnsi" w:hAnsiTheme="minorHAnsi"/>
          <w:b/>
          <w:sz w:val="20"/>
          <w:szCs w:val="20"/>
        </w:rPr>
        <w:t>3</w:t>
      </w:r>
      <w:r w:rsidRPr="0063487A">
        <w:rPr>
          <w:rFonts w:asciiTheme="minorHAnsi" w:hAnsiTheme="minorHAnsi"/>
          <w:b/>
          <w:sz w:val="20"/>
          <w:szCs w:val="20"/>
        </w:rPr>
        <w:t>. The SWAT-Bp score is a severity assessment tool based on five adverse clinical features, for use in a hospital setting. This one-step strategy enables stratification of patients with</w:t>
      </w:r>
      <w:r w:rsidR="004363EF" w:rsidRPr="0063487A">
        <w:rPr>
          <w:rFonts w:asciiTheme="minorHAnsi" w:hAnsiTheme="minorHAnsi"/>
          <w:b/>
          <w:sz w:val="20"/>
          <w:szCs w:val="20"/>
        </w:rPr>
        <w:t xml:space="preserve"> community-acquired pneumonia</w:t>
      </w:r>
      <w:r w:rsidRPr="0063487A">
        <w:rPr>
          <w:rFonts w:asciiTheme="minorHAnsi" w:hAnsiTheme="minorHAnsi"/>
          <w:b/>
          <w:sz w:val="20"/>
          <w:szCs w:val="20"/>
        </w:rPr>
        <w:t xml:space="preserve"> into groups according to t</w:t>
      </w:r>
      <w:r w:rsidR="001135DA">
        <w:rPr>
          <w:rFonts w:asciiTheme="minorHAnsi" w:hAnsiTheme="minorHAnsi"/>
          <w:b/>
          <w:sz w:val="20"/>
          <w:szCs w:val="20"/>
        </w:rPr>
        <w:t>heir risk of mortality.</w:t>
      </w:r>
    </w:p>
    <w:p w:rsidR="007A64CA" w:rsidRPr="0063487A" w:rsidRDefault="007A5158" w:rsidP="007A64CA">
      <w:pPr>
        <w:keepNext/>
        <w:contextualSpacing/>
        <w:rPr>
          <w:rFonts w:asciiTheme="minorHAnsi" w:hAnsiTheme="minorHAnsi"/>
        </w:rPr>
      </w:pPr>
      <w:r>
        <w:rPr>
          <w:rFonts w:asciiTheme="minorHAnsi" w:hAnsiTheme="minorHAnsi"/>
          <w:noProof/>
          <w:lang w:eastAsia="en-GB"/>
        </w:rPr>
        <w:pict>
          <v:group id="_x0000_s1045" style="position:absolute;margin-left:-53.5pt;margin-top:10.35pt;width:530.6pt;height:491.85pt;z-index:251663360" coordorigin="370,2970" coordsize="10612,9837">
            <v:shape id="_x0000_s1046" type="#_x0000_t202" style="position:absolute;left:370;top:9710;width:2712;height:752;mso-height-percent:200;mso-height-percent:200;mso-width-relative:margin;mso-height-relative:margin" strokecolor="white">
              <v:textbox style="mso-next-textbox:#_x0000_s1046;mso-fit-shape-to-text:t">
                <w:txbxContent>
                  <w:p w:rsidR="007A5158" w:rsidRPr="006D5936" w:rsidRDefault="007A5158" w:rsidP="007A64CA">
                    <w:pPr>
                      <w:contextualSpacing/>
                      <w:rPr>
                        <w:b/>
                        <w:sz w:val="28"/>
                        <w:szCs w:val="28"/>
                      </w:rPr>
                    </w:pPr>
                    <w:r>
                      <w:rPr>
                        <w:b/>
                        <w:sz w:val="28"/>
                        <w:szCs w:val="28"/>
                      </w:rPr>
                      <w:t>Treatment options</w:t>
                    </w:r>
                  </w:p>
                </w:txbxContent>
              </v:textbox>
            </v:shape>
            <v:shape id="_x0000_s1047" type="#_x0000_t202" style="position:absolute;left:2181;top:11486;width:8485;height:1321;mso-width-relative:margin;mso-height-relative:margin" stroked="f">
              <v:textbox style="mso-next-textbox:#_x0000_s1047">
                <w:txbxContent>
                  <w:p w:rsidR="007A5158" w:rsidRDefault="007A5158" w:rsidP="007A64CA">
                    <w:pPr>
                      <w:contextualSpacing/>
                    </w:pPr>
                    <w:r>
                      <w:t xml:space="preserve"> *defined as mid-upper arm circumference (MUAC) </w:t>
                    </w:r>
                    <w:r w:rsidRPr="005C4137">
                      <w:rPr>
                        <w:rFonts w:cs="Calibri"/>
                      </w:rPr>
                      <w:t>≤</w:t>
                    </w:r>
                    <w:r>
                      <w:t>190mm</w:t>
                    </w:r>
                  </w:p>
                  <w:p w:rsidR="007A5158" w:rsidRPr="005C4137" w:rsidRDefault="007A5158" w:rsidP="007A64CA">
                    <w:pPr>
                      <w:contextualSpacing/>
                      <w:rPr>
                        <w:rFonts w:cs="Calibri"/>
                      </w:rPr>
                    </w:pPr>
                    <w:r w:rsidRPr="005C4137">
                      <w:rPr>
                        <w:rFonts w:cs="Calibri"/>
                        <w:b/>
                      </w:rPr>
                      <w:t xml:space="preserve">† </w:t>
                    </w:r>
                    <w:r w:rsidRPr="005C4137">
                      <w:rPr>
                        <w:rFonts w:cs="Calibri"/>
                      </w:rPr>
                      <w:t>We are</w:t>
                    </w:r>
                    <w:r w:rsidRPr="005C4137">
                      <w:rPr>
                        <w:rFonts w:cs="Calibri"/>
                        <w:b/>
                      </w:rPr>
                      <w:t xml:space="preserve"> </w:t>
                    </w:r>
                    <w:r w:rsidRPr="005C4137">
                      <w:rPr>
                        <w:rFonts w:cs="Calibri"/>
                      </w:rPr>
                      <w:t>95% certain that the mortality risk for a score of &lt;2 is between 2.1% and 11.0%</w:t>
                    </w:r>
                  </w:p>
                  <w:p w:rsidR="007A5158" w:rsidRPr="005C4137" w:rsidRDefault="007A5158" w:rsidP="007A64CA">
                    <w:pPr>
                      <w:contextualSpacing/>
                      <w:rPr>
                        <w:rFonts w:cs="Calibri"/>
                      </w:rPr>
                    </w:pPr>
                    <w:r w:rsidRPr="005C4137">
                      <w:rPr>
                        <w:rFonts w:cs="Calibri"/>
                        <w:b/>
                        <w:sz w:val="24"/>
                        <w:szCs w:val="24"/>
                      </w:rPr>
                      <w:t>Ŧ</w:t>
                    </w:r>
                    <w:r w:rsidRPr="005C4137">
                      <w:rPr>
                        <w:rFonts w:cs="Calibri"/>
                      </w:rPr>
                      <w:t xml:space="preserve"> We are 95% certain that the mortality risk for a score of 2 is between 6.3% and 24.0%</w:t>
                    </w:r>
                  </w:p>
                  <w:p w:rsidR="007A5158" w:rsidRPr="00666BF5" w:rsidRDefault="007A5158" w:rsidP="007A64CA">
                    <w:pPr>
                      <w:contextualSpacing/>
                    </w:pPr>
                    <w:r w:rsidRPr="005C4137">
                      <w:rPr>
                        <w:rFonts w:cs="Calibri"/>
                        <w:b/>
                      </w:rPr>
                      <w:t>‡</w:t>
                    </w:r>
                    <w:r w:rsidRPr="005C4137">
                      <w:rPr>
                        <w:rFonts w:cs="Calibri"/>
                      </w:rPr>
                      <w:t xml:space="preserve"> We are 95% certain that the mortality risk for a score of &gt;2 is between 16.1% and 37.8%</w:t>
                    </w:r>
                  </w:p>
                </w:txbxContent>
              </v:textbox>
            </v:shape>
            <v:shape id="_x0000_s1048" type="#_x0000_t202" style="position:absolute;left:1794;top:10146;width:2342;height:1105;mso-width-relative:margin;mso-height-relative:margin" strokeweight="1.5pt">
              <v:textbox style="mso-next-textbox:#_x0000_s1048">
                <w:txbxContent>
                  <w:p w:rsidR="007A5158" w:rsidRPr="006D5936" w:rsidRDefault="007A5158" w:rsidP="007A64CA">
                    <w:pPr>
                      <w:rPr>
                        <w:sz w:val="24"/>
                        <w:szCs w:val="24"/>
                      </w:rPr>
                    </w:pPr>
                    <w:r w:rsidRPr="006D5936">
                      <w:rPr>
                        <w:sz w:val="24"/>
                        <w:szCs w:val="24"/>
                      </w:rPr>
                      <w:t>Likely to be suitable for home treatment</w:t>
                    </w:r>
                    <w:r>
                      <w:rPr>
                        <w:sz w:val="24"/>
                        <w:szCs w:val="24"/>
                      </w:rPr>
                      <w:t xml:space="preserve"> or early discharge</w:t>
                    </w:r>
                  </w:p>
                </w:txbxContent>
              </v:textbox>
            </v:shape>
            <v:shape id="_x0000_s1049" type="#_x0000_t202" style="position:absolute;left:8386;top:10146;width:2596;height:1105;mso-width-relative:margin;mso-height-relative:margin" strokeweight="1.5pt">
              <v:textbox style="mso-next-textbox:#_x0000_s1049">
                <w:txbxContent>
                  <w:p w:rsidR="007A5158" w:rsidRPr="006D5936" w:rsidRDefault="007A5158" w:rsidP="007A64CA">
                    <w:pPr>
                      <w:rPr>
                        <w:sz w:val="24"/>
                        <w:szCs w:val="24"/>
                      </w:rPr>
                    </w:pPr>
                    <w:r>
                      <w:rPr>
                        <w:sz w:val="24"/>
                        <w:szCs w:val="24"/>
                      </w:rPr>
                      <w:t>Urgent admission to hospital with severe pneumonia</w:t>
                    </w:r>
                  </w:p>
                </w:txbxContent>
              </v:textbox>
            </v:shape>
            <v:shape id="_x0000_s1050" type="#_x0000_t202" style="position:absolute;left:492;top:6484;width:2365;height:752;mso-height-percent:200;mso-height-percent:200;mso-width-relative:margin;mso-height-relative:margin" strokecolor="white">
              <v:textbox style="mso-next-textbox:#_x0000_s1050;mso-fit-shape-to-text:t">
                <w:txbxContent>
                  <w:p w:rsidR="007A5158" w:rsidRPr="006D5936" w:rsidRDefault="007A5158" w:rsidP="007A64CA">
                    <w:pPr>
                      <w:rPr>
                        <w:b/>
                        <w:sz w:val="28"/>
                        <w:szCs w:val="28"/>
                      </w:rPr>
                    </w:pPr>
                    <w:r>
                      <w:rPr>
                        <w:b/>
                        <w:sz w:val="28"/>
                        <w:szCs w:val="28"/>
                      </w:rPr>
                      <w:t>SWAT-Bp s</w:t>
                    </w:r>
                    <w:r w:rsidRPr="006D5936">
                      <w:rPr>
                        <w:b/>
                        <w:sz w:val="28"/>
                        <w:szCs w:val="28"/>
                      </w:rPr>
                      <w:t>core</w:t>
                    </w:r>
                  </w:p>
                </w:txbxContent>
              </v:textbox>
            </v:shape>
            <v:shape id="_x0000_s1051" type="#_x0000_t32" style="position:absolute;left:9661;top:9478;width:0;height:668" o:connectortype="straight" strokeweight="3pt">
              <v:stroke endarrow="block"/>
            </v:shape>
            <v:shape id="_x0000_s1052" type="#_x0000_t32" style="position:absolute;left:2830;top:9478;width:0;height:668" o:connectortype="straight" strokeweight="3pt">
              <v:stroke endarrow="block"/>
            </v:shape>
            <v:shape id="_x0000_s1053" type="#_x0000_t202" style="position:absolute;left:3775;top:2970;width:4355;height:2470;mso-position-horizontal:center;mso-width-relative:margin;mso-height-relative:margin" strokeweight="1.5pt">
              <v:textbox style="mso-next-textbox:#_x0000_s1053">
                <w:txbxContent>
                  <w:p w:rsidR="007A5158" w:rsidRPr="00EF36FB" w:rsidRDefault="007A5158" w:rsidP="007A64CA">
                    <w:pPr>
                      <w:contextualSpacing/>
                      <w:rPr>
                        <w:sz w:val="24"/>
                        <w:szCs w:val="24"/>
                      </w:rPr>
                    </w:pPr>
                    <w:r w:rsidRPr="00EF36FB">
                      <w:rPr>
                        <w:sz w:val="24"/>
                        <w:szCs w:val="24"/>
                      </w:rPr>
                      <w:t>Clinical Features:</w:t>
                    </w:r>
                  </w:p>
                  <w:p w:rsidR="007A5158" w:rsidRPr="00EF36FB" w:rsidRDefault="007A5158" w:rsidP="007A64CA">
                    <w:pPr>
                      <w:pStyle w:val="ListParagraph"/>
                      <w:numPr>
                        <w:ilvl w:val="0"/>
                        <w:numId w:val="2"/>
                      </w:numPr>
                      <w:rPr>
                        <w:sz w:val="24"/>
                        <w:szCs w:val="24"/>
                      </w:rPr>
                    </w:pPr>
                    <w:r w:rsidRPr="00EF36FB">
                      <w:rPr>
                        <w:sz w:val="24"/>
                        <w:szCs w:val="24"/>
                      </w:rPr>
                      <w:t>(</w:t>
                    </w:r>
                    <w:r w:rsidRPr="00EF36FB">
                      <w:rPr>
                        <w:b/>
                        <w:sz w:val="24"/>
                        <w:szCs w:val="24"/>
                      </w:rPr>
                      <w:t>S</w:t>
                    </w:r>
                    <w:r w:rsidRPr="00EF36FB">
                      <w:rPr>
                        <w:sz w:val="24"/>
                        <w:szCs w:val="24"/>
                      </w:rPr>
                      <w:t>) Male Sex</w:t>
                    </w:r>
                  </w:p>
                  <w:p w:rsidR="007A5158" w:rsidRPr="00EF36FB" w:rsidRDefault="007A5158" w:rsidP="007A64CA">
                    <w:pPr>
                      <w:pStyle w:val="ListParagraph"/>
                      <w:numPr>
                        <w:ilvl w:val="0"/>
                        <w:numId w:val="2"/>
                      </w:numPr>
                      <w:rPr>
                        <w:sz w:val="24"/>
                        <w:szCs w:val="24"/>
                      </w:rPr>
                    </w:pPr>
                    <w:r w:rsidRPr="00EF36FB">
                      <w:rPr>
                        <w:sz w:val="24"/>
                        <w:szCs w:val="24"/>
                      </w:rPr>
                      <w:t>(</w:t>
                    </w:r>
                    <w:r w:rsidRPr="00EF36FB">
                      <w:rPr>
                        <w:b/>
                        <w:sz w:val="24"/>
                        <w:szCs w:val="24"/>
                      </w:rPr>
                      <w:t>W</w:t>
                    </w:r>
                    <w:r w:rsidRPr="00EF36FB">
                      <w:rPr>
                        <w:sz w:val="24"/>
                        <w:szCs w:val="24"/>
                      </w:rPr>
                      <w:t>) Muscle Wasting</w:t>
                    </w:r>
                    <w:r>
                      <w:rPr>
                        <w:sz w:val="24"/>
                        <w:szCs w:val="24"/>
                      </w:rPr>
                      <w:t>*</w:t>
                    </w:r>
                  </w:p>
                  <w:p w:rsidR="007A5158" w:rsidRPr="00EF36FB" w:rsidRDefault="007A5158" w:rsidP="007A64CA">
                    <w:pPr>
                      <w:pStyle w:val="ListParagraph"/>
                      <w:numPr>
                        <w:ilvl w:val="0"/>
                        <w:numId w:val="2"/>
                      </w:numPr>
                      <w:rPr>
                        <w:sz w:val="24"/>
                        <w:szCs w:val="24"/>
                      </w:rPr>
                    </w:pPr>
                    <w:r w:rsidRPr="00EF36FB">
                      <w:rPr>
                        <w:sz w:val="24"/>
                        <w:szCs w:val="24"/>
                      </w:rPr>
                      <w:t>(</w:t>
                    </w:r>
                    <w:r w:rsidRPr="00EF36FB">
                      <w:rPr>
                        <w:b/>
                        <w:sz w:val="24"/>
                        <w:szCs w:val="24"/>
                      </w:rPr>
                      <w:t>A</w:t>
                    </w:r>
                    <w:r w:rsidRPr="00EF36FB">
                      <w:rPr>
                        <w:sz w:val="24"/>
                        <w:szCs w:val="24"/>
                      </w:rPr>
                      <w:t>) Non-Ambulatory</w:t>
                    </w:r>
                  </w:p>
                  <w:p w:rsidR="007A5158" w:rsidRPr="00EF36FB" w:rsidRDefault="007A5158" w:rsidP="007A64CA">
                    <w:pPr>
                      <w:pStyle w:val="ListParagraph"/>
                      <w:numPr>
                        <w:ilvl w:val="0"/>
                        <w:numId w:val="2"/>
                      </w:numPr>
                      <w:rPr>
                        <w:sz w:val="24"/>
                        <w:szCs w:val="24"/>
                      </w:rPr>
                    </w:pPr>
                    <w:r w:rsidRPr="00EF36FB">
                      <w:rPr>
                        <w:sz w:val="24"/>
                        <w:szCs w:val="24"/>
                      </w:rPr>
                      <w:t>(</w:t>
                    </w:r>
                    <w:r w:rsidRPr="00EF36FB">
                      <w:rPr>
                        <w:b/>
                        <w:sz w:val="24"/>
                        <w:szCs w:val="24"/>
                      </w:rPr>
                      <w:t>T</w:t>
                    </w:r>
                    <w:r w:rsidRPr="00EF36FB">
                      <w:rPr>
                        <w:sz w:val="24"/>
                        <w:szCs w:val="24"/>
                      </w:rPr>
                      <w:t>) Temperature &lt;35</w:t>
                    </w:r>
                    <w:r w:rsidRPr="00EF36FB">
                      <w:rPr>
                        <w:sz w:val="24"/>
                        <w:szCs w:val="24"/>
                        <w:vertAlign w:val="superscript"/>
                      </w:rPr>
                      <w:t>o</w:t>
                    </w:r>
                    <w:r w:rsidRPr="00EF36FB">
                      <w:rPr>
                        <w:sz w:val="24"/>
                        <w:szCs w:val="24"/>
                      </w:rPr>
                      <w:t>C or &gt;38</w:t>
                    </w:r>
                    <w:r w:rsidRPr="00EF36FB">
                      <w:rPr>
                        <w:sz w:val="24"/>
                        <w:szCs w:val="24"/>
                        <w:vertAlign w:val="superscript"/>
                      </w:rPr>
                      <w:t>o</w:t>
                    </w:r>
                    <w:r w:rsidRPr="00EF36FB">
                      <w:rPr>
                        <w:sz w:val="24"/>
                        <w:szCs w:val="24"/>
                      </w:rPr>
                      <w:t>C</w:t>
                    </w:r>
                  </w:p>
                  <w:p w:rsidR="007A5158" w:rsidRPr="00EF36FB" w:rsidRDefault="007A5158" w:rsidP="007A64CA">
                    <w:pPr>
                      <w:pStyle w:val="ListParagraph"/>
                      <w:numPr>
                        <w:ilvl w:val="0"/>
                        <w:numId w:val="2"/>
                      </w:numPr>
                      <w:rPr>
                        <w:sz w:val="24"/>
                        <w:szCs w:val="24"/>
                      </w:rPr>
                    </w:pPr>
                    <w:r w:rsidRPr="00EF36FB">
                      <w:rPr>
                        <w:sz w:val="24"/>
                        <w:szCs w:val="24"/>
                      </w:rPr>
                      <w:t>(</w:t>
                    </w:r>
                    <w:r w:rsidRPr="00EF36FB">
                      <w:rPr>
                        <w:b/>
                        <w:sz w:val="24"/>
                        <w:szCs w:val="24"/>
                      </w:rPr>
                      <w:t>Bp</w:t>
                    </w:r>
                    <w:r w:rsidRPr="00EF36FB">
                      <w:rPr>
                        <w:sz w:val="24"/>
                        <w:szCs w:val="24"/>
                      </w:rPr>
                      <w:t>) BP sys&lt;100 or dias&lt;60</w:t>
                    </w:r>
                  </w:p>
                </w:txbxContent>
              </v:textbox>
            </v:shape>
            <v:shape id="_x0000_s1054" type="#_x0000_t202" style="position:absolute;left:2480;top:6494;width:976;height:492;mso-width-relative:margin;mso-height-relative:margin" strokeweight="1.5pt">
              <v:textbox style="mso-next-textbox:#_x0000_s1054">
                <w:txbxContent>
                  <w:p w:rsidR="007A5158" w:rsidRPr="00EF36FB" w:rsidRDefault="007A5158" w:rsidP="007A64CA">
                    <w:pPr>
                      <w:jc w:val="center"/>
                      <w:rPr>
                        <w:sz w:val="24"/>
                        <w:szCs w:val="24"/>
                      </w:rPr>
                    </w:pPr>
                    <w:r>
                      <w:rPr>
                        <w:b/>
                        <w:sz w:val="24"/>
                        <w:szCs w:val="24"/>
                      </w:rPr>
                      <w:t>0 or 1</w:t>
                    </w:r>
                  </w:p>
                </w:txbxContent>
              </v:textbox>
            </v:shape>
            <v:shape id="_x0000_s1055" type="#_x0000_t202" style="position:absolute;left:9103;top:6494;width:1152;height:492;mso-width-relative:margin;mso-height-relative:margin" strokeweight="1.5pt">
              <v:textbox style="mso-next-textbox:#_x0000_s1055">
                <w:txbxContent>
                  <w:p w:rsidR="007A5158" w:rsidRPr="00EF36FB" w:rsidRDefault="007A5158" w:rsidP="007A64CA">
                    <w:pPr>
                      <w:jc w:val="center"/>
                      <w:rPr>
                        <w:sz w:val="24"/>
                        <w:szCs w:val="24"/>
                      </w:rPr>
                    </w:pPr>
                    <w:r>
                      <w:rPr>
                        <w:b/>
                        <w:sz w:val="24"/>
                        <w:szCs w:val="24"/>
                      </w:rPr>
                      <w:t xml:space="preserve">3, 4 or </w:t>
                    </w:r>
                    <w:r w:rsidRPr="00EF36FB">
                      <w:rPr>
                        <w:b/>
                        <w:sz w:val="24"/>
                        <w:szCs w:val="24"/>
                      </w:rPr>
                      <w:t>5</w:t>
                    </w:r>
                  </w:p>
                </w:txbxContent>
              </v:textbox>
            </v:shape>
            <v:shape id="_x0000_s1056" type="#_x0000_t32" style="position:absolute;left:2949;top:5425;width:1371;height:1029;flip:x" o:connectortype="straight" strokeweight="3pt">
              <v:stroke endarrow="block"/>
            </v:shape>
            <v:shape id="_x0000_s1057" type="#_x0000_t202" style="position:absolute;left:1794;top:7654;width:2342;height:1824;mso-width-relative:margin;mso-height-relative:margin" strokeweight="1.5pt">
              <v:textbox style="mso-next-textbox:#_x0000_s1057">
                <w:txbxContent>
                  <w:p w:rsidR="007A5158" w:rsidRPr="00EF36FB" w:rsidRDefault="007A5158" w:rsidP="007A64CA">
                    <w:pPr>
                      <w:jc w:val="center"/>
                      <w:rPr>
                        <w:sz w:val="24"/>
                        <w:szCs w:val="24"/>
                      </w:rPr>
                    </w:pPr>
                    <w:r w:rsidRPr="00EF36FB">
                      <w:rPr>
                        <w:sz w:val="24"/>
                        <w:szCs w:val="24"/>
                      </w:rPr>
                      <w:t>Low</w:t>
                    </w:r>
                    <w:r>
                      <w:rPr>
                        <w:sz w:val="24"/>
                        <w:szCs w:val="24"/>
                      </w:rPr>
                      <w:t>er</w:t>
                    </w:r>
                    <w:r w:rsidRPr="00EF36FB">
                      <w:rPr>
                        <w:sz w:val="24"/>
                        <w:szCs w:val="24"/>
                      </w:rPr>
                      <w:t xml:space="preserve"> risk</w:t>
                    </w:r>
                  </w:p>
                  <w:p w:rsidR="007A5158" w:rsidRPr="00EF36FB" w:rsidRDefault="007A5158" w:rsidP="007A64CA">
                    <w:pPr>
                      <w:jc w:val="center"/>
                      <w:rPr>
                        <w:b/>
                        <w:sz w:val="24"/>
                        <w:szCs w:val="24"/>
                      </w:rPr>
                    </w:pPr>
                    <w:r w:rsidRPr="00EF36FB">
                      <w:rPr>
                        <w:b/>
                        <w:sz w:val="24"/>
                        <w:szCs w:val="24"/>
                      </w:rPr>
                      <w:t>Mortality 4</w:t>
                    </w:r>
                    <w:r>
                      <w:rPr>
                        <w:b/>
                        <w:sz w:val="24"/>
                        <w:szCs w:val="24"/>
                      </w:rPr>
                      <w:t>.9</w:t>
                    </w:r>
                    <w:r w:rsidRPr="00EF36FB">
                      <w:rPr>
                        <w:b/>
                        <w:sz w:val="24"/>
                        <w:szCs w:val="24"/>
                      </w:rPr>
                      <w:t>%</w:t>
                    </w:r>
                    <w:r>
                      <w:rPr>
                        <w:b/>
                        <w:sz w:val="24"/>
                        <w:szCs w:val="24"/>
                      </w:rPr>
                      <w:t xml:space="preserve"> (95% CI 2.</w:t>
                    </w:r>
                    <w:r w:rsidRPr="00B6277B">
                      <w:rPr>
                        <w:b/>
                        <w:sz w:val="24"/>
                        <w:szCs w:val="24"/>
                      </w:rPr>
                      <w:t>1</w:t>
                    </w:r>
                    <w:r>
                      <w:rPr>
                        <w:b/>
                        <w:sz w:val="24"/>
                        <w:szCs w:val="24"/>
                      </w:rPr>
                      <w:t>-11.0)</w:t>
                    </w:r>
                    <w:r w:rsidRPr="005C4137">
                      <w:rPr>
                        <w:rFonts w:cs="Calibri"/>
                        <w:b/>
                        <w:sz w:val="24"/>
                        <w:szCs w:val="24"/>
                      </w:rPr>
                      <w:t>†</w:t>
                    </w:r>
                  </w:p>
                  <w:p w:rsidR="007A5158" w:rsidRPr="00EF36FB" w:rsidRDefault="007A5158" w:rsidP="007A64CA">
                    <w:pPr>
                      <w:jc w:val="center"/>
                      <w:rPr>
                        <w:sz w:val="24"/>
                        <w:szCs w:val="24"/>
                      </w:rPr>
                    </w:pPr>
                    <w:r w:rsidRPr="00EF36FB">
                      <w:rPr>
                        <w:sz w:val="24"/>
                        <w:szCs w:val="24"/>
                      </w:rPr>
                      <w:t>(n=</w:t>
                    </w:r>
                    <w:r w:rsidRPr="009425F6">
                      <w:rPr>
                        <w:sz w:val="24"/>
                        <w:szCs w:val="24"/>
                      </w:rPr>
                      <w:t>102, died=</w:t>
                    </w:r>
                    <w:r>
                      <w:rPr>
                        <w:sz w:val="24"/>
                        <w:szCs w:val="24"/>
                      </w:rPr>
                      <w:t>5</w:t>
                    </w:r>
                    <w:r w:rsidRPr="00EF36FB">
                      <w:rPr>
                        <w:sz w:val="24"/>
                        <w:szCs w:val="24"/>
                      </w:rPr>
                      <w:t>)</w:t>
                    </w:r>
                  </w:p>
                </w:txbxContent>
              </v:textbox>
            </v:shape>
            <v:shape id="_x0000_s1058" type="#_x0000_t202" style="position:absolute;left:8386;top:7654;width:2596;height:1824;mso-width-relative:margin;mso-height-relative:margin" strokeweight="1.5pt">
              <v:textbox style="mso-next-textbox:#_x0000_s1058">
                <w:txbxContent>
                  <w:p w:rsidR="007A5158" w:rsidRPr="00EF36FB" w:rsidRDefault="007A5158" w:rsidP="007A64CA">
                    <w:pPr>
                      <w:jc w:val="center"/>
                      <w:rPr>
                        <w:sz w:val="24"/>
                        <w:szCs w:val="24"/>
                      </w:rPr>
                    </w:pPr>
                    <w:r w:rsidRPr="00EF36FB">
                      <w:rPr>
                        <w:sz w:val="24"/>
                        <w:szCs w:val="24"/>
                      </w:rPr>
                      <w:t>High risk</w:t>
                    </w:r>
                  </w:p>
                  <w:p w:rsidR="007A5158" w:rsidRPr="007501BE" w:rsidRDefault="007A5158" w:rsidP="007A64CA">
                    <w:pPr>
                      <w:contextualSpacing/>
                      <w:jc w:val="center"/>
                      <w:rPr>
                        <w:b/>
                        <w:sz w:val="24"/>
                        <w:szCs w:val="24"/>
                        <w:highlight w:val="yellow"/>
                      </w:rPr>
                    </w:pPr>
                    <w:r w:rsidRPr="00EF36FB">
                      <w:rPr>
                        <w:b/>
                        <w:sz w:val="24"/>
                        <w:szCs w:val="24"/>
                      </w:rPr>
                      <w:t xml:space="preserve">Mortality </w:t>
                    </w:r>
                    <w:r w:rsidRPr="009425F6">
                      <w:rPr>
                        <w:b/>
                        <w:sz w:val="24"/>
                        <w:szCs w:val="24"/>
                      </w:rPr>
                      <w:t>25.4%</w:t>
                    </w:r>
                  </w:p>
                  <w:p w:rsidR="007A5158" w:rsidRPr="00EF36FB" w:rsidRDefault="007A5158" w:rsidP="007A64CA">
                    <w:pPr>
                      <w:jc w:val="center"/>
                      <w:rPr>
                        <w:b/>
                        <w:sz w:val="24"/>
                        <w:szCs w:val="24"/>
                      </w:rPr>
                    </w:pPr>
                    <w:r w:rsidRPr="009425F6">
                      <w:rPr>
                        <w:b/>
                        <w:sz w:val="24"/>
                        <w:szCs w:val="24"/>
                      </w:rPr>
                      <w:t>(95% CI</w:t>
                    </w:r>
                    <w:r>
                      <w:rPr>
                        <w:b/>
                        <w:sz w:val="24"/>
                        <w:szCs w:val="24"/>
                      </w:rPr>
                      <w:t xml:space="preserve"> 16.1-37.8)</w:t>
                    </w:r>
                    <w:r w:rsidRPr="005C4137">
                      <w:rPr>
                        <w:rFonts w:cs="Calibri"/>
                        <w:b/>
                        <w:sz w:val="24"/>
                        <w:szCs w:val="24"/>
                      </w:rPr>
                      <w:t xml:space="preserve"> ‡</w:t>
                    </w:r>
                  </w:p>
                  <w:p w:rsidR="007A5158" w:rsidRPr="00EF36FB" w:rsidRDefault="007A5158" w:rsidP="007A64CA">
                    <w:pPr>
                      <w:jc w:val="center"/>
                      <w:rPr>
                        <w:sz w:val="24"/>
                        <w:szCs w:val="24"/>
                      </w:rPr>
                    </w:pPr>
                    <w:r>
                      <w:rPr>
                        <w:sz w:val="24"/>
                        <w:szCs w:val="24"/>
                      </w:rPr>
                      <w:t>(</w:t>
                    </w:r>
                    <w:r w:rsidRPr="007501BE">
                      <w:rPr>
                        <w:sz w:val="24"/>
                        <w:szCs w:val="24"/>
                      </w:rPr>
                      <w:t>n=59, died=15</w:t>
                    </w:r>
                    <w:r w:rsidRPr="00EF36FB">
                      <w:rPr>
                        <w:sz w:val="24"/>
                        <w:szCs w:val="24"/>
                      </w:rPr>
                      <w:t>)</w:t>
                    </w:r>
                  </w:p>
                </w:txbxContent>
              </v:textbox>
            </v:shape>
            <v:shape id="_x0000_s1059" type="#_x0000_t32" style="position:absolute;left:8103;top:5425;width:1453;height:1029" o:connectortype="straight" strokeweight="3pt">
              <v:stroke endarrow="block"/>
            </v:shape>
            <v:shape id="_x0000_s1060" type="#_x0000_t32" style="position:absolute;left:2830;top:6986;width:0;height:668" o:connectortype="straight" strokeweight="3pt">
              <v:stroke endarrow="block"/>
            </v:shape>
            <v:shape id="_x0000_s1061" type="#_x0000_t32" style="position:absolute;left:9661;top:6986;width:0;height:668" o:connectortype="straight" strokeweight="3pt">
              <v:stroke endarrow="block"/>
            </v:shape>
            <v:shape id="_x0000_s1062" type="#_x0000_t32" style="position:absolute;left:6128;top:5425;width:0;height:1029" o:connectortype="straight" strokeweight="3pt">
              <v:stroke endarrow="block"/>
            </v:shape>
            <v:shape id="_x0000_s1063" type="#_x0000_t202" style="position:absolute;left:5697;top:6494;width:779;height:492;mso-width-relative:margin;mso-height-relative:margin" strokeweight="1.5pt">
              <v:textbox style="mso-next-textbox:#_x0000_s1063">
                <w:txbxContent>
                  <w:p w:rsidR="007A5158" w:rsidRPr="00EF36FB" w:rsidRDefault="007A5158" w:rsidP="007A64CA">
                    <w:pPr>
                      <w:jc w:val="center"/>
                      <w:rPr>
                        <w:sz w:val="24"/>
                        <w:szCs w:val="24"/>
                      </w:rPr>
                    </w:pPr>
                    <w:r w:rsidRPr="00EF36FB">
                      <w:rPr>
                        <w:b/>
                        <w:sz w:val="24"/>
                        <w:szCs w:val="24"/>
                      </w:rPr>
                      <w:t>2</w:t>
                    </w:r>
                  </w:p>
                </w:txbxContent>
              </v:textbox>
            </v:shape>
            <v:shape id="_x0000_s1064" type="#_x0000_t202" style="position:absolute;left:5025;top:7654;width:2342;height:1824;mso-width-relative:margin;mso-height-relative:margin" strokeweight="1.5pt">
              <v:textbox style="mso-next-textbox:#_x0000_s1064">
                <w:txbxContent>
                  <w:p w:rsidR="007A5158" w:rsidRPr="00EF36FB" w:rsidRDefault="007A5158" w:rsidP="007A64CA">
                    <w:pPr>
                      <w:jc w:val="center"/>
                      <w:rPr>
                        <w:sz w:val="24"/>
                        <w:szCs w:val="24"/>
                      </w:rPr>
                    </w:pPr>
                    <w:r>
                      <w:rPr>
                        <w:sz w:val="24"/>
                        <w:szCs w:val="24"/>
                      </w:rPr>
                      <w:t>Intermediate</w:t>
                    </w:r>
                    <w:r w:rsidRPr="00EF36FB">
                      <w:rPr>
                        <w:sz w:val="24"/>
                        <w:szCs w:val="24"/>
                      </w:rPr>
                      <w:t xml:space="preserve"> risk</w:t>
                    </w:r>
                  </w:p>
                  <w:p w:rsidR="007A5158" w:rsidRPr="00EF36FB" w:rsidRDefault="007A5158" w:rsidP="007A64CA">
                    <w:pPr>
                      <w:jc w:val="center"/>
                      <w:rPr>
                        <w:b/>
                        <w:sz w:val="24"/>
                        <w:szCs w:val="24"/>
                      </w:rPr>
                    </w:pPr>
                    <w:r w:rsidRPr="00EF36FB">
                      <w:rPr>
                        <w:b/>
                        <w:sz w:val="24"/>
                        <w:szCs w:val="24"/>
                      </w:rPr>
                      <w:t xml:space="preserve">Mortality </w:t>
                    </w:r>
                    <w:r>
                      <w:rPr>
                        <w:b/>
                        <w:sz w:val="24"/>
                        <w:szCs w:val="24"/>
                      </w:rPr>
                      <w:t>12.7</w:t>
                    </w:r>
                    <w:r w:rsidRPr="00EF36FB">
                      <w:rPr>
                        <w:b/>
                        <w:sz w:val="24"/>
                        <w:szCs w:val="24"/>
                      </w:rPr>
                      <w:t>%</w:t>
                    </w:r>
                    <w:r>
                      <w:rPr>
                        <w:b/>
                        <w:sz w:val="24"/>
                        <w:szCs w:val="24"/>
                      </w:rPr>
                      <w:t xml:space="preserve"> (</w:t>
                    </w:r>
                    <w:r w:rsidRPr="00B6277B">
                      <w:rPr>
                        <w:b/>
                        <w:sz w:val="24"/>
                        <w:szCs w:val="24"/>
                      </w:rPr>
                      <w:t>95% CI</w:t>
                    </w:r>
                    <w:r>
                      <w:rPr>
                        <w:b/>
                        <w:sz w:val="24"/>
                        <w:szCs w:val="24"/>
                      </w:rPr>
                      <w:t xml:space="preserve"> 6.3-24.0)</w:t>
                    </w:r>
                    <w:r w:rsidRPr="005C4137">
                      <w:rPr>
                        <w:rFonts w:cs="Calibri"/>
                        <w:b/>
                        <w:sz w:val="24"/>
                        <w:szCs w:val="24"/>
                      </w:rPr>
                      <w:t>Ŧ</w:t>
                    </w:r>
                  </w:p>
                  <w:p w:rsidR="007A5158" w:rsidRPr="00EF36FB" w:rsidRDefault="007A5158" w:rsidP="007A64CA">
                    <w:pPr>
                      <w:jc w:val="center"/>
                      <w:rPr>
                        <w:sz w:val="24"/>
                        <w:szCs w:val="24"/>
                      </w:rPr>
                    </w:pPr>
                    <w:r w:rsidRPr="00EF36FB">
                      <w:rPr>
                        <w:sz w:val="24"/>
                        <w:szCs w:val="24"/>
                      </w:rPr>
                      <w:t>(</w:t>
                    </w:r>
                    <w:r w:rsidRPr="009425F6">
                      <w:rPr>
                        <w:sz w:val="24"/>
                        <w:szCs w:val="24"/>
                      </w:rPr>
                      <w:t>n=55, died=</w:t>
                    </w:r>
                    <w:r>
                      <w:rPr>
                        <w:sz w:val="24"/>
                        <w:szCs w:val="24"/>
                      </w:rPr>
                      <w:t>7</w:t>
                    </w:r>
                    <w:r w:rsidRPr="00EF36FB">
                      <w:rPr>
                        <w:sz w:val="24"/>
                        <w:szCs w:val="24"/>
                      </w:rPr>
                      <w:t>)</w:t>
                    </w:r>
                  </w:p>
                </w:txbxContent>
              </v:textbox>
            </v:shape>
            <v:shape id="_x0000_s1065" type="#_x0000_t32" style="position:absolute;left:6128;top:6986;width:0;height:668" o:connectortype="straight" strokeweight="3pt">
              <v:stroke endarrow="block"/>
            </v:shape>
            <v:shape id="_x0000_s1066" type="#_x0000_t32" style="position:absolute;left:6128;top:9478;width:0;height:668" o:connectortype="straight" strokeweight="3pt">
              <v:stroke endarrow="block"/>
            </v:shape>
            <v:shape id="_x0000_s1067" type="#_x0000_t202" style="position:absolute;left:5025;top:10146;width:2342;height:1105;mso-width-relative:margin;mso-height-relative:margin" strokeweight="1.5pt">
              <v:textbox style="mso-next-textbox:#_x0000_s1067">
                <w:txbxContent>
                  <w:p w:rsidR="007A5158" w:rsidRPr="006D5936" w:rsidRDefault="007A5158" w:rsidP="007A64CA">
                    <w:pPr>
                      <w:rPr>
                        <w:sz w:val="24"/>
                        <w:szCs w:val="24"/>
                      </w:rPr>
                    </w:pPr>
                    <w:r>
                      <w:rPr>
                        <w:sz w:val="24"/>
                        <w:szCs w:val="24"/>
                      </w:rPr>
                      <w:t>Needs hospital admission and treatment</w:t>
                    </w:r>
                  </w:p>
                </w:txbxContent>
              </v:textbox>
            </v:shape>
          </v:group>
        </w:pict>
      </w: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7A64CA" w:rsidRPr="0063487A" w:rsidRDefault="007A64CA" w:rsidP="007A64CA">
      <w:pPr>
        <w:keepNext/>
        <w:contextualSpacing/>
        <w:rPr>
          <w:rFonts w:asciiTheme="minorHAnsi" w:hAnsiTheme="minorHAnsi"/>
        </w:rPr>
      </w:pPr>
    </w:p>
    <w:p w:rsidR="00861EFE" w:rsidRPr="0063487A" w:rsidRDefault="00861EFE" w:rsidP="00443E7E">
      <w:pPr>
        <w:spacing w:line="480" w:lineRule="auto"/>
        <w:contextualSpacing/>
        <w:rPr>
          <w:rFonts w:asciiTheme="minorHAnsi" w:hAnsiTheme="minorHAnsi" w:cs="Arial"/>
          <w:sz w:val="18"/>
          <w:szCs w:val="18"/>
        </w:rPr>
      </w:pPr>
    </w:p>
    <w:sectPr w:rsidR="00861EFE" w:rsidRPr="0063487A" w:rsidSect="00813C92">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158" w:rsidRDefault="007A5158" w:rsidP="004B64AC">
      <w:pPr>
        <w:spacing w:after="0" w:line="240" w:lineRule="auto"/>
      </w:pPr>
      <w:r>
        <w:separator/>
      </w:r>
    </w:p>
  </w:endnote>
  <w:endnote w:type="continuationSeparator" w:id="0">
    <w:p w:rsidR="007A5158" w:rsidRDefault="007A5158" w:rsidP="004B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99922"/>
      <w:docPartObj>
        <w:docPartGallery w:val="Page Numbers (Bottom of Page)"/>
        <w:docPartUnique/>
      </w:docPartObj>
    </w:sdtPr>
    <w:sdtContent>
      <w:p w:rsidR="007A5158" w:rsidRDefault="007A5158" w:rsidP="00354BB5">
        <w:pPr>
          <w:pStyle w:val="Footer"/>
          <w:ind w:firstLine="720"/>
          <w:jc w:val="right"/>
        </w:pPr>
        <w:r>
          <w:t xml:space="preserve">Page | </w:t>
        </w:r>
        <w:r>
          <w:fldChar w:fldCharType="begin"/>
        </w:r>
        <w:r>
          <w:instrText xml:space="preserve"> PAGE   \* MERGEFORMAT </w:instrText>
        </w:r>
        <w:r>
          <w:fldChar w:fldCharType="separate"/>
        </w:r>
        <w:r>
          <w:rPr>
            <w:noProof/>
          </w:rPr>
          <w:t>26</w:t>
        </w:r>
        <w:r>
          <w:rPr>
            <w:noProof/>
          </w:rPr>
          <w:fldChar w:fldCharType="end"/>
        </w:r>
        <w:r>
          <w:t xml:space="preserve"> </w:t>
        </w:r>
      </w:p>
    </w:sdtContent>
  </w:sdt>
  <w:p w:rsidR="007A5158" w:rsidRPr="00354BB5" w:rsidRDefault="007A5158">
    <w:pPr>
      <w:pStyle w:val="Footer"/>
      <w:rPr>
        <w:b/>
      </w:rPr>
    </w:pPr>
    <w:r w:rsidRPr="00354BB5">
      <w:rPr>
        <w:b/>
      </w:rPr>
      <w:t>Validating the SWAT-BP score for pneumonia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158" w:rsidRDefault="007A5158" w:rsidP="004B64AC">
      <w:pPr>
        <w:spacing w:after="0" w:line="240" w:lineRule="auto"/>
      </w:pPr>
      <w:r>
        <w:separator/>
      </w:r>
    </w:p>
  </w:footnote>
  <w:footnote w:type="continuationSeparator" w:id="0">
    <w:p w:rsidR="007A5158" w:rsidRDefault="007A5158" w:rsidP="004B6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D3746"/>
    <w:multiLevelType w:val="hybridMultilevel"/>
    <w:tmpl w:val="64C2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42B99"/>
    <w:multiLevelType w:val="hybridMultilevel"/>
    <w:tmpl w:val="1C3E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A7660"/>
    <w:rsid w:val="00001A94"/>
    <w:rsid w:val="0000494B"/>
    <w:rsid w:val="00010617"/>
    <w:rsid w:val="0001164D"/>
    <w:rsid w:val="000119CB"/>
    <w:rsid w:val="00011B0C"/>
    <w:rsid w:val="000175A8"/>
    <w:rsid w:val="00017ED9"/>
    <w:rsid w:val="00024019"/>
    <w:rsid w:val="00026504"/>
    <w:rsid w:val="0002723C"/>
    <w:rsid w:val="00030200"/>
    <w:rsid w:val="00031153"/>
    <w:rsid w:val="00033C70"/>
    <w:rsid w:val="00036160"/>
    <w:rsid w:val="00036B27"/>
    <w:rsid w:val="00037D6F"/>
    <w:rsid w:val="00042561"/>
    <w:rsid w:val="0004458E"/>
    <w:rsid w:val="000447A8"/>
    <w:rsid w:val="000479BC"/>
    <w:rsid w:val="0005137B"/>
    <w:rsid w:val="00052A35"/>
    <w:rsid w:val="00054CFD"/>
    <w:rsid w:val="00055229"/>
    <w:rsid w:val="0006217F"/>
    <w:rsid w:val="000657B0"/>
    <w:rsid w:val="00067F54"/>
    <w:rsid w:val="00070FE9"/>
    <w:rsid w:val="00072919"/>
    <w:rsid w:val="000744B5"/>
    <w:rsid w:val="000744BB"/>
    <w:rsid w:val="0008047B"/>
    <w:rsid w:val="0008122E"/>
    <w:rsid w:val="00081E39"/>
    <w:rsid w:val="00084AE4"/>
    <w:rsid w:val="00087DA2"/>
    <w:rsid w:val="00093439"/>
    <w:rsid w:val="0009436A"/>
    <w:rsid w:val="000A24C9"/>
    <w:rsid w:val="000A4779"/>
    <w:rsid w:val="000B0D17"/>
    <w:rsid w:val="000B316F"/>
    <w:rsid w:val="000B66F1"/>
    <w:rsid w:val="000C0C09"/>
    <w:rsid w:val="000C28C5"/>
    <w:rsid w:val="000C3A78"/>
    <w:rsid w:val="000C6E90"/>
    <w:rsid w:val="000D162C"/>
    <w:rsid w:val="000D2483"/>
    <w:rsid w:val="000D27B1"/>
    <w:rsid w:val="000D2A15"/>
    <w:rsid w:val="000D397B"/>
    <w:rsid w:val="000D4777"/>
    <w:rsid w:val="000D4B29"/>
    <w:rsid w:val="000D4E8B"/>
    <w:rsid w:val="000D579C"/>
    <w:rsid w:val="000D74E6"/>
    <w:rsid w:val="000F060E"/>
    <w:rsid w:val="000F7366"/>
    <w:rsid w:val="00104914"/>
    <w:rsid w:val="00105504"/>
    <w:rsid w:val="001073A7"/>
    <w:rsid w:val="00111641"/>
    <w:rsid w:val="00112AB9"/>
    <w:rsid w:val="001135DA"/>
    <w:rsid w:val="001148F0"/>
    <w:rsid w:val="00116326"/>
    <w:rsid w:val="00132616"/>
    <w:rsid w:val="00137EC6"/>
    <w:rsid w:val="0014203E"/>
    <w:rsid w:val="00144738"/>
    <w:rsid w:val="00146146"/>
    <w:rsid w:val="00146196"/>
    <w:rsid w:val="00147CF2"/>
    <w:rsid w:val="00151AA1"/>
    <w:rsid w:val="00152754"/>
    <w:rsid w:val="0015673E"/>
    <w:rsid w:val="00156D29"/>
    <w:rsid w:val="0015767E"/>
    <w:rsid w:val="0016048D"/>
    <w:rsid w:val="00172414"/>
    <w:rsid w:val="00172436"/>
    <w:rsid w:val="001755E3"/>
    <w:rsid w:val="00176A85"/>
    <w:rsid w:val="00181075"/>
    <w:rsid w:val="0018153B"/>
    <w:rsid w:val="00183832"/>
    <w:rsid w:val="0018481E"/>
    <w:rsid w:val="0019489C"/>
    <w:rsid w:val="0019595A"/>
    <w:rsid w:val="00195D31"/>
    <w:rsid w:val="00197B83"/>
    <w:rsid w:val="001A042F"/>
    <w:rsid w:val="001A1A06"/>
    <w:rsid w:val="001A3A02"/>
    <w:rsid w:val="001B4AB5"/>
    <w:rsid w:val="001B56FF"/>
    <w:rsid w:val="001B58B5"/>
    <w:rsid w:val="001C14DC"/>
    <w:rsid w:val="001C2426"/>
    <w:rsid w:val="001C403F"/>
    <w:rsid w:val="001D2920"/>
    <w:rsid w:val="001D43E9"/>
    <w:rsid w:val="001D5186"/>
    <w:rsid w:val="001D5E83"/>
    <w:rsid w:val="001D6DAB"/>
    <w:rsid w:val="001D7875"/>
    <w:rsid w:val="001E01CE"/>
    <w:rsid w:val="001E5FF9"/>
    <w:rsid w:val="001E7107"/>
    <w:rsid w:val="001F09B2"/>
    <w:rsid w:val="001F193D"/>
    <w:rsid w:val="001F2676"/>
    <w:rsid w:val="001F433D"/>
    <w:rsid w:val="001F76BD"/>
    <w:rsid w:val="00204C4C"/>
    <w:rsid w:val="00204CEA"/>
    <w:rsid w:val="00205AEC"/>
    <w:rsid w:val="0020703E"/>
    <w:rsid w:val="002071C6"/>
    <w:rsid w:val="00211005"/>
    <w:rsid w:val="0021105D"/>
    <w:rsid w:val="0021384F"/>
    <w:rsid w:val="00213CD6"/>
    <w:rsid w:val="00214C14"/>
    <w:rsid w:val="00220C8C"/>
    <w:rsid w:val="0022229C"/>
    <w:rsid w:val="00223967"/>
    <w:rsid w:val="00224A73"/>
    <w:rsid w:val="00224B37"/>
    <w:rsid w:val="00233BD3"/>
    <w:rsid w:val="00236F87"/>
    <w:rsid w:val="00240B99"/>
    <w:rsid w:val="002421A2"/>
    <w:rsid w:val="002423EC"/>
    <w:rsid w:val="00243076"/>
    <w:rsid w:val="0024430F"/>
    <w:rsid w:val="002448DA"/>
    <w:rsid w:val="0024492F"/>
    <w:rsid w:val="00252B5F"/>
    <w:rsid w:val="002602C0"/>
    <w:rsid w:val="00261A52"/>
    <w:rsid w:val="00261CB9"/>
    <w:rsid w:val="00262A97"/>
    <w:rsid w:val="00264E00"/>
    <w:rsid w:val="00271F64"/>
    <w:rsid w:val="0027480F"/>
    <w:rsid w:val="00274AD3"/>
    <w:rsid w:val="00274EAD"/>
    <w:rsid w:val="0028772F"/>
    <w:rsid w:val="0029349E"/>
    <w:rsid w:val="002934E9"/>
    <w:rsid w:val="00296856"/>
    <w:rsid w:val="002A0133"/>
    <w:rsid w:val="002A0D7C"/>
    <w:rsid w:val="002A1C25"/>
    <w:rsid w:val="002A3D8C"/>
    <w:rsid w:val="002A65F6"/>
    <w:rsid w:val="002A7D75"/>
    <w:rsid w:val="002B1694"/>
    <w:rsid w:val="002B3CF4"/>
    <w:rsid w:val="002B4B59"/>
    <w:rsid w:val="002B7A73"/>
    <w:rsid w:val="002C14BD"/>
    <w:rsid w:val="002C3209"/>
    <w:rsid w:val="002C5456"/>
    <w:rsid w:val="002C6B8D"/>
    <w:rsid w:val="002D1590"/>
    <w:rsid w:val="002D206B"/>
    <w:rsid w:val="002D396B"/>
    <w:rsid w:val="002D41DF"/>
    <w:rsid w:val="002D5980"/>
    <w:rsid w:val="002E0846"/>
    <w:rsid w:val="002E2775"/>
    <w:rsid w:val="002E33C3"/>
    <w:rsid w:val="002E5C9A"/>
    <w:rsid w:val="002E700B"/>
    <w:rsid w:val="002E7883"/>
    <w:rsid w:val="002F0607"/>
    <w:rsid w:val="002F0637"/>
    <w:rsid w:val="002F0F5E"/>
    <w:rsid w:val="002F15CE"/>
    <w:rsid w:val="002F246C"/>
    <w:rsid w:val="002F2940"/>
    <w:rsid w:val="002F3FC6"/>
    <w:rsid w:val="002F6CC0"/>
    <w:rsid w:val="0030057E"/>
    <w:rsid w:val="00302B5B"/>
    <w:rsid w:val="003064D5"/>
    <w:rsid w:val="003070A4"/>
    <w:rsid w:val="00310855"/>
    <w:rsid w:val="0031436F"/>
    <w:rsid w:val="0031634C"/>
    <w:rsid w:val="0031724D"/>
    <w:rsid w:val="00320329"/>
    <w:rsid w:val="00324198"/>
    <w:rsid w:val="00326991"/>
    <w:rsid w:val="00331E16"/>
    <w:rsid w:val="0033394B"/>
    <w:rsid w:val="00346E60"/>
    <w:rsid w:val="0035202A"/>
    <w:rsid w:val="003531B7"/>
    <w:rsid w:val="00354BB5"/>
    <w:rsid w:val="003554A4"/>
    <w:rsid w:val="003569D4"/>
    <w:rsid w:val="0036187C"/>
    <w:rsid w:val="003648AF"/>
    <w:rsid w:val="00365418"/>
    <w:rsid w:val="0036691D"/>
    <w:rsid w:val="0037233F"/>
    <w:rsid w:val="00372DA6"/>
    <w:rsid w:val="00385375"/>
    <w:rsid w:val="0038548D"/>
    <w:rsid w:val="00385DC8"/>
    <w:rsid w:val="00387FAF"/>
    <w:rsid w:val="00393E0D"/>
    <w:rsid w:val="00395160"/>
    <w:rsid w:val="003959A6"/>
    <w:rsid w:val="003962DB"/>
    <w:rsid w:val="003966D9"/>
    <w:rsid w:val="003A0A03"/>
    <w:rsid w:val="003A3FD5"/>
    <w:rsid w:val="003A71B4"/>
    <w:rsid w:val="003A7A05"/>
    <w:rsid w:val="003A7E1E"/>
    <w:rsid w:val="003B13E5"/>
    <w:rsid w:val="003B1FEE"/>
    <w:rsid w:val="003B39AE"/>
    <w:rsid w:val="003C10F5"/>
    <w:rsid w:val="003C3474"/>
    <w:rsid w:val="003D78F8"/>
    <w:rsid w:val="003E0080"/>
    <w:rsid w:val="003E1496"/>
    <w:rsid w:val="003E23CB"/>
    <w:rsid w:val="003E3D80"/>
    <w:rsid w:val="003E62CE"/>
    <w:rsid w:val="003F1F11"/>
    <w:rsid w:val="003F3EAB"/>
    <w:rsid w:val="003F4530"/>
    <w:rsid w:val="003F4D4A"/>
    <w:rsid w:val="003F7839"/>
    <w:rsid w:val="003F79F3"/>
    <w:rsid w:val="00400E71"/>
    <w:rsid w:val="00403DEC"/>
    <w:rsid w:val="004057C0"/>
    <w:rsid w:val="00407456"/>
    <w:rsid w:val="00407C23"/>
    <w:rsid w:val="00411EDC"/>
    <w:rsid w:val="00415233"/>
    <w:rsid w:val="004159B8"/>
    <w:rsid w:val="00415B84"/>
    <w:rsid w:val="00417E38"/>
    <w:rsid w:val="004218FD"/>
    <w:rsid w:val="004222C4"/>
    <w:rsid w:val="0042281C"/>
    <w:rsid w:val="0042350A"/>
    <w:rsid w:val="00425567"/>
    <w:rsid w:val="00427A6A"/>
    <w:rsid w:val="00430AA3"/>
    <w:rsid w:val="004317F4"/>
    <w:rsid w:val="00432210"/>
    <w:rsid w:val="0043287E"/>
    <w:rsid w:val="00432D74"/>
    <w:rsid w:val="00432FFA"/>
    <w:rsid w:val="004363EF"/>
    <w:rsid w:val="00437520"/>
    <w:rsid w:val="00440FF7"/>
    <w:rsid w:val="00443E21"/>
    <w:rsid w:val="00443E7E"/>
    <w:rsid w:val="00450813"/>
    <w:rsid w:val="00452B17"/>
    <w:rsid w:val="00461172"/>
    <w:rsid w:val="004621A4"/>
    <w:rsid w:val="00470578"/>
    <w:rsid w:val="00470A11"/>
    <w:rsid w:val="00471C9F"/>
    <w:rsid w:val="00472238"/>
    <w:rsid w:val="00473D05"/>
    <w:rsid w:val="00473EC4"/>
    <w:rsid w:val="00476DF4"/>
    <w:rsid w:val="00482668"/>
    <w:rsid w:val="00482F90"/>
    <w:rsid w:val="004835AA"/>
    <w:rsid w:val="00486D8F"/>
    <w:rsid w:val="0048713D"/>
    <w:rsid w:val="004876EA"/>
    <w:rsid w:val="0048779D"/>
    <w:rsid w:val="00487888"/>
    <w:rsid w:val="004926DB"/>
    <w:rsid w:val="00494548"/>
    <w:rsid w:val="00494998"/>
    <w:rsid w:val="0049559B"/>
    <w:rsid w:val="004A4A90"/>
    <w:rsid w:val="004A5EDE"/>
    <w:rsid w:val="004B1183"/>
    <w:rsid w:val="004B1341"/>
    <w:rsid w:val="004B1585"/>
    <w:rsid w:val="004B1A83"/>
    <w:rsid w:val="004B3C0C"/>
    <w:rsid w:val="004B3C27"/>
    <w:rsid w:val="004B5345"/>
    <w:rsid w:val="004B64AC"/>
    <w:rsid w:val="004B68A8"/>
    <w:rsid w:val="004B69FC"/>
    <w:rsid w:val="004C051D"/>
    <w:rsid w:val="004C078A"/>
    <w:rsid w:val="004C07D4"/>
    <w:rsid w:val="004C48CF"/>
    <w:rsid w:val="004C58E6"/>
    <w:rsid w:val="004D4F2F"/>
    <w:rsid w:val="004D5126"/>
    <w:rsid w:val="004D5F1D"/>
    <w:rsid w:val="004D6691"/>
    <w:rsid w:val="004D7E3F"/>
    <w:rsid w:val="004E00E0"/>
    <w:rsid w:val="004E6D45"/>
    <w:rsid w:val="004E6E6C"/>
    <w:rsid w:val="004F2B5F"/>
    <w:rsid w:val="004F3EC7"/>
    <w:rsid w:val="004F507A"/>
    <w:rsid w:val="004F62B0"/>
    <w:rsid w:val="004F7CF0"/>
    <w:rsid w:val="0050044D"/>
    <w:rsid w:val="00502B4E"/>
    <w:rsid w:val="00502FCB"/>
    <w:rsid w:val="00507029"/>
    <w:rsid w:val="00511423"/>
    <w:rsid w:val="00511EE8"/>
    <w:rsid w:val="0051250D"/>
    <w:rsid w:val="005132EA"/>
    <w:rsid w:val="0051600A"/>
    <w:rsid w:val="00517D27"/>
    <w:rsid w:val="00521459"/>
    <w:rsid w:val="00522F0C"/>
    <w:rsid w:val="00522FA3"/>
    <w:rsid w:val="005307A1"/>
    <w:rsid w:val="00531F26"/>
    <w:rsid w:val="00535ACF"/>
    <w:rsid w:val="00536255"/>
    <w:rsid w:val="005410B3"/>
    <w:rsid w:val="00542885"/>
    <w:rsid w:val="00542971"/>
    <w:rsid w:val="005438A7"/>
    <w:rsid w:val="00550417"/>
    <w:rsid w:val="0055121B"/>
    <w:rsid w:val="00557484"/>
    <w:rsid w:val="00560971"/>
    <w:rsid w:val="005626FC"/>
    <w:rsid w:val="0056366F"/>
    <w:rsid w:val="005663EE"/>
    <w:rsid w:val="005664DC"/>
    <w:rsid w:val="00567D79"/>
    <w:rsid w:val="005709FA"/>
    <w:rsid w:val="00573FD1"/>
    <w:rsid w:val="005741E8"/>
    <w:rsid w:val="0057699E"/>
    <w:rsid w:val="00582859"/>
    <w:rsid w:val="00582C52"/>
    <w:rsid w:val="0058373B"/>
    <w:rsid w:val="00587306"/>
    <w:rsid w:val="00592427"/>
    <w:rsid w:val="00597796"/>
    <w:rsid w:val="005A0BCE"/>
    <w:rsid w:val="005A1DEC"/>
    <w:rsid w:val="005A436A"/>
    <w:rsid w:val="005A5DC9"/>
    <w:rsid w:val="005B3739"/>
    <w:rsid w:val="005B7261"/>
    <w:rsid w:val="005C00C2"/>
    <w:rsid w:val="005C3E5F"/>
    <w:rsid w:val="005C7873"/>
    <w:rsid w:val="005D02C2"/>
    <w:rsid w:val="005D4DBB"/>
    <w:rsid w:val="005D5F89"/>
    <w:rsid w:val="005E28F6"/>
    <w:rsid w:val="005E59F7"/>
    <w:rsid w:val="005F064D"/>
    <w:rsid w:val="005F12B5"/>
    <w:rsid w:val="005F5FE6"/>
    <w:rsid w:val="00600229"/>
    <w:rsid w:val="0060111F"/>
    <w:rsid w:val="00602F17"/>
    <w:rsid w:val="00606AAC"/>
    <w:rsid w:val="00606ACD"/>
    <w:rsid w:val="00610901"/>
    <w:rsid w:val="006121B0"/>
    <w:rsid w:val="00613076"/>
    <w:rsid w:val="00620244"/>
    <w:rsid w:val="00624BE0"/>
    <w:rsid w:val="006258C8"/>
    <w:rsid w:val="00632F8A"/>
    <w:rsid w:val="0063487A"/>
    <w:rsid w:val="00640611"/>
    <w:rsid w:val="00641B96"/>
    <w:rsid w:val="006424E2"/>
    <w:rsid w:val="00642579"/>
    <w:rsid w:val="006453C3"/>
    <w:rsid w:val="00647BA1"/>
    <w:rsid w:val="00650D01"/>
    <w:rsid w:val="006561FA"/>
    <w:rsid w:val="006647D1"/>
    <w:rsid w:val="00664980"/>
    <w:rsid w:val="00671116"/>
    <w:rsid w:val="00676C0B"/>
    <w:rsid w:val="00677069"/>
    <w:rsid w:val="00680AE4"/>
    <w:rsid w:val="006829DD"/>
    <w:rsid w:val="00683E9B"/>
    <w:rsid w:val="006844ED"/>
    <w:rsid w:val="006911F8"/>
    <w:rsid w:val="00692005"/>
    <w:rsid w:val="00693FE2"/>
    <w:rsid w:val="006A0F4B"/>
    <w:rsid w:val="006A10F6"/>
    <w:rsid w:val="006A3419"/>
    <w:rsid w:val="006A6DF3"/>
    <w:rsid w:val="006B19A4"/>
    <w:rsid w:val="006B48B5"/>
    <w:rsid w:val="006B4B71"/>
    <w:rsid w:val="006C0BFE"/>
    <w:rsid w:val="006C51B7"/>
    <w:rsid w:val="006C7BCF"/>
    <w:rsid w:val="006E1CB0"/>
    <w:rsid w:val="006E2622"/>
    <w:rsid w:val="006E27A6"/>
    <w:rsid w:val="006E548B"/>
    <w:rsid w:val="006E5613"/>
    <w:rsid w:val="006E7530"/>
    <w:rsid w:val="006F0343"/>
    <w:rsid w:val="006F15B5"/>
    <w:rsid w:val="006F2091"/>
    <w:rsid w:val="006F566E"/>
    <w:rsid w:val="00700A38"/>
    <w:rsid w:val="007073D5"/>
    <w:rsid w:val="00707B10"/>
    <w:rsid w:val="00707EFE"/>
    <w:rsid w:val="00711AE3"/>
    <w:rsid w:val="007123D5"/>
    <w:rsid w:val="00713260"/>
    <w:rsid w:val="00713E97"/>
    <w:rsid w:val="00716C13"/>
    <w:rsid w:val="00716E4C"/>
    <w:rsid w:val="0071754A"/>
    <w:rsid w:val="00725046"/>
    <w:rsid w:val="00726E1B"/>
    <w:rsid w:val="00727E15"/>
    <w:rsid w:val="00730243"/>
    <w:rsid w:val="00730728"/>
    <w:rsid w:val="00731599"/>
    <w:rsid w:val="00734F9C"/>
    <w:rsid w:val="007354F2"/>
    <w:rsid w:val="00736BC7"/>
    <w:rsid w:val="00743FE2"/>
    <w:rsid w:val="00744E4C"/>
    <w:rsid w:val="007506FD"/>
    <w:rsid w:val="007524A5"/>
    <w:rsid w:val="00757605"/>
    <w:rsid w:val="00760A5D"/>
    <w:rsid w:val="0076204A"/>
    <w:rsid w:val="00763CBB"/>
    <w:rsid w:val="007657FD"/>
    <w:rsid w:val="00767018"/>
    <w:rsid w:val="00770681"/>
    <w:rsid w:val="0077210B"/>
    <w:rsid w:val="00772E4F"/>
    <w:rsid w:val="007759AB"/>
    <w:rsid w:val="00776E00"/>
    <w:rsid w:val="00780ED8"/>
    <w:rsid w:val="00782D45"/>
    <w:rsid w:val="00791BDF"/>
    <w:rsid w:val="00791CC3"/>
    <w:rsid w:val="007920D4"/>
    <w:rsid w:val="007927DB"/>
    <w:rsid w:val="0079542D"/>
    <w:rsid w:val="00795E33"/>
    <w:rsid w:val="0079798C"/>
    <w:rsid w:val="007A27FC"/>
    <w:rsid w:val="007A5158"/>
    <w:rsid w:val="007A541C"/>
    <w:rsid w:val="007A58E1"/>
    <w:rsid w:val="007A64CA"/>
    <w:rsid w:val="007A7FFD"/>
    <w:rsid w:val="007B2701"/>
    <w:rsid w:val="007B2FBB"/>
    <w:rsid w:val="007B37E7"/>
    <w:rsid w:val="007B4FD3"/>
    <w:rsid w:val="007C4A40"/>
    <w:rsid w:val="007C74BC"/>
    <w:rsid w:val="007E1695"/>
    <w:rsid w:val="007E4BB9"/>
    <w:rsid w:val="007F11A9"/>
    <w:rsid w:val="007F1459"/>
    <w:rsid w:val="007F2004"/>
    <w:rsid w:val="007F24DC"/>
    <w:rsid w:val="007F3428"/>
    <w:rsid w:val="007F37E5"/>
    <w:rsid w:val="007F42BA"/>
    <w:rsid w:val="007F49FF"/>
    <w:rsid w:val="007F541F"/>
    <w:rsid w:val="007F5BAB"/>
    <w:rsid w:val="007F7045"/>
    <w:rsid w:val="00804A13"/>
    <w:rsid w:val="008060E5"/>
    <w:rsid w:val="00806A24"/>
    <w:rsid w:val="00812128"/>
    <w:rsid w:val="008133CA"/>
    <w:rsid w:val="00813C92"/>
    <w:rsid w:val="008151B7"/>
    <w:rsid w:val="008165E3"/>
    <w:rsid w:val="00821458"/>
    <w:rsid w:val="0082275D"/>
    <w:rsid w:val="00826298"/>
    <w:rsid w:val="00830F25"/>
    <w:rsid w:val="00844386"/>
    <w:rsid w:val="00851D3C"/>
    <w:rsid w:val="00852143"/>
    <w:rsid w:val="0085424C"/>
    <w:rsid w:val="00856760"/>
    <w:rsid w:val="00861EFE"/>
    <w:rsid w:val="008644BD"/>
    <w:rsid w:val="00865664"/>
    <w:rsid w:val="00866589"/>
    <w:rsid w:val="00870F7D"/>
    <w:rsid w:val="00871604"/>
    <w:rsid w:val="00884ADC"/>
    <w:rsid w:val="00884C2F"/>
    <w:rsid w:val="0088563C"/>
    <w:rsid w:val="00885A11"/>
    <w:rsid w:val="00885E02"/>
    <w:rsid w:val="0088622A"/>
    <w:rsid w:val="00887A7D"/>
    <w:rsid w:val="00891F37"/>
    <w:rsid w:val="0089323E"/>
    <w:rsid w:val="008A0408"/>
    <w:rsid w:val="008A0799"/>
    <w:rsid w:val="008A10C0"/>
    <w:rsid w:val="008A4140"/>
    <w:rsid w:val="008A5356"/>
    <w:rsid w:val="008A662E"/>
    <w:rsid w:val="008A698D"/>
    <w:rsid w:val="008B29F7"/>
    <w:rsid w:val="008B3904"/>
    <w:rsid w:val="008B4057"/>
    <w:rsid w:val="008B4B04"/>
    <w:rsid w:val="008C022C"/>
    <w:rsid w:val="008C623D"/>
    <w:rsid w:val="008C6A04"/>
    <w:rsid w:val="008D0CA8"/>
    <w:rsid w:val="008D0DD9"/>
    <w:rsid w:val="008D2850"/>
    <w:rsid w:val="008E331E"/>
    <w:rsid w:val="008E4D14"/>
    <w:rsid w:val="008E672F"/>
    <w:rsid w:val="008E7F22"/>
    <w:rsid w:val="008F2AE4"/>
    <w:rsid w:val="008F377D"/>
    <w:rsid w:val="008F69E2"/>
    <w:rsid w:val="008F797F"/>
    <w:rsid w:val="009004E4"/>
    <w:rsid w:val="00900C6D"/>
    <w:rsid w:val="0090543A"/>
    <w:rsid w:val="009147BB"/>
    <w:rsid w:val="009168DB"/>
    <w:rsid w:val="00920A90"/>
    <w:rsid w:val="00922F2C"/>
    <w:rsid w:val="00923FB2"/>
    <w:rsid w:val="00924D57"/>
    <w:rsid w:val="00934297"/>
    <w:rsid w:val="009343E0"/>
    <w:rsid w:val="00936841"/>
    <w:rsid w:val="009473C6"/>
    <w:rsid w:val="009475A9"/>
    <w:rsid w:val="00956118"/>
    <w:rsid w:val="009571F2"/>
    <w:rsid w:val="009601E7"/>
    <w:rsid w:val="00961698"/>
    <w:rsid w:val="00962154"/>
    <w:rsid w:val="0096650A"/>
    <w:rsid w:val="00970FFE"/>
    <w:rsid w:val="00974ACE"/>
    <w:rsid w:val="00974C0F"/>
    <w:rsid w:val="00977BF7"/>
    <w:rsid w:val="00980CC4"/>
    <w:rsid w:val="00981090"/>
    <w:rsid w:val="009827EA"/>
    <w:rsid w:val="00982B21"/>
    <w:rsid w:val="00982D7C"/>
    <w:rsid w:val="00984045"/>
    <w:rsid w:val="00984156"/>
    <w:rsid w:val="00984C10"/>
    <w:rsid w:val="0098711E"/>
    <w:rsid w:val="0099333E"/>
    <w:rsid w:val="00994481"/>
    <w:rsid w:val="009B14C5"/>
    <w:rsid w:val="009B176E"/>
    <w:rsid w:val="009B2C09"/>
    <w:rsid w:val="009B2EA9"/>
    <w:rsid w:val="009B51BA"/>
    <w:rsid w:val="009B56BD"/>
    <w:rsid w:val="009B6200"/>
    <w:rsid w:val="009C0871"/>
    <w:rsid w:val="009C2113"/>
    <w:rsid w:val="009C6247"/>
    <w:rsid w:val="009C7C5D"/>
    <w:rsid w:val="009D01DE"/>
    <w:rsid w:val="009D15D0"/>
    <w:rsid w:val="009D1DC5"/>
    <w:rsid w:val="009D2418"/>
    <w:rsid w:val="009D57AB"/>
    <w:rsid w:val="009E0A47"/>
    <w:rsid w:val="009E79E4"/>
    <w:rsid w:val="009F7ADC"/>
    <w:rsid w:val="00A03511"/>
    <w:rsid w:val="00A05CF4"/>
    <w:rsid w:val="00A10A88"/>
    <w:rsid w:val="00A10DDC"/>
    <w:rsid w:val="00A119A4"/>
    <w:rsid w:val="00A12D77"/>
    <w:rsid w:val="00A13553"/>
    <w:rsid w:val="00A14C42"/>
    <w:rsid w:val="00A14E4F"/>
    <w:rsid w:val="00A14FA3"/>
    <w:rsid w:val="00A15721"/>
    <w:rsid w:val="00A17DDC"/>
    <w:rsid w:val="00A2101B"/>
    <w:rsid w:val="00A24C6D"/>
    <w:rsid w:val="00A25760"/>
    <w:rsid w:val="00A33D01"/>
    <w:rsid w:val="00A4188B"/>
    <w:rsid w:val="00A45964"/>
    <w:rsid w:val="00A4752B"/>
    <w:rsid w:val="00A50DF6"/>
    <w:rsid w:val="00A51712"/>
    <w:rsid w:val="00A537BC"/>
    <w:rsid w:val="00A642C8"/>
    <w:rsid w:val="00A64EFD"/>
    <w:rsid w:val="00A67972"/>
    <w:rsid w:val="00A67E9F"/>
    <w:rsid w:val="00A70B5D"/>
    <w:rsid w:val="00A72068"/>
    <w:rsid w:val="00A72C7F"/>
    <w:rsid w:val="00A7404B"/>
    <w:rsid w:val="00A80EBE"/>
    <w:rsid w:val="00A81C55"/>
    <w:rsid w:val="00A8516B"/>
    <w:rsid w:val="00A90A80"/>
    <w:rsid w:val="00A90A91"/>
    <w:rsid w:val="00A925E0"/>
    <w:rsid w:val="00A97B86"/>
    <w:rsid w:val="00AA0CF0"/>
    <w:rsid w:val="00AA10E3"/>
    <w:rsid w:val="00AA1AF5"/>
    <w:rsid w:val="00AB1F82"/>
    <w:rsid w:val="00AB4CE4"/>
    <w:rsid w:val="00AC0C50"/>
    <w:rsid w:val="00AC3670"/>
    <w:rsid w:val="00AC5079"/>
    <w:rsid w:val="00AC54F6"/>
    <w:rsid w:val="00AC588D"/>
    <w:rsid w:val="00AD4737"/>
    <w:rsid w:val="00AD7D94"/>
    <w:rsid w:val="00AE2613"/>
    <w:rsid w:val="00AE5B67"/>
    <w:rsid w:val="00AF05FF"/>
    <w:rsid w:val="00AF1380"/>
    <w:rsid w:val="00AF35AB"/>
    <w:rsid w:val="00AF45E1"/>
    <w:rsid w:val="00AF64D7"/>
    <w:rsid w:val="00AF6BEE"/>
    <w:rsid w:val="00B004BE"/>
    <w:rsid w:val="00B023BB"/>
    <w:rsid w:val="00B03D61"/>
    <w:rsid w:val="00B04E00"/>
    <w:rsid w:val="00B1239A"/>
    <w:rsid w:val="00B20BD3"/>
    <w:rsid w:val="00B2232F"/>
    <w:rsid w:val="00B244E3"/>
    <w:rsid w:val="00B34456"/>
    <w:rsid w:val="00B36A52"/>
    <w:rsid w:val="00B36B27"/>
    <w:rsid w:val="00B401BC"/>
    <w:rsid w:val="00B4178C"/>
    <w:rsid w:val="00B417E2"/>
    <w:rsid w:val="00B4241F"/>
    <w:rsid w:val="00B44C36"/>
    <w:rsid w:val="00B46781"/>
    <w:rsid w:val="00B50D25"/>
    <w:rsid w:val="00B563FF"/>
    <w:rsid w:val="00B57D11"/>
    <w:rsid w:val="00B60430"/>
    <w:rsid w:val="00B616B8"/>
    <w:rsid w:val="00B65559"/>
    <w:rsid w:val="00B727D8"/>
    <w:rsid w:val="00B759DF"/>
    <w:rsid w:val="00B83588"/>
    <w:rsid w:val="00B840EA"/>
    <w:rsid w:val="00B91248"/>
    <w:rsid w:val="00B91BC0"/>
    <w:rsid w:val="00BA40F1"/>
    <w:rsid w:val="00BA5A0B"/>
    <w:rsid w:val="00BA6D0A"/>
    <w:rsid w:val="00BA6D84"/>
    <w:rsid w:val="00BA7F7C"/>
    <w:rsid w:val="00BB22FD"/>
    <w:rsid w:val="00BB36E2"/>
    <w:rsid w:val="00BB4A80"/>
    <w:rsid w:val="00BC6219"/>
    <w:rsid w:val="00BC6967"/>
    <w:rsid w:val="00BE2B3A"/>
    <w:rsid w:val="00BE31E6"/>
    <w:rsid w:val="00BE536D"/>
    <w:rsid w:val="00BE53AA"/>
    <w:rsid w:val="00BE6717"/>
    <w:rsid w:val="00BE7202"/>
    <w:rsid w:val="00BE7F67"/>
    <w:rsid w:val="00BF2307"/>
    <w:rsid w:val="00BF6872"/>
    <w:rsid w:val="00BF6F45"/>
    <w:rsid w:val="00C030F9"/>
    <w:rsid w:val="00C03964"/>
    <w:rsid w:val="00C046D0"/>
    <w:rsid w:val="00C11A5E"/>
    <w:rsid w:val="00C128A7"/>
    <w:rsid w:val="00C15102"/>
    <w:rsid w:val="00C164FB"/>
    <w:rsid w:val="00C260DB"/>
    <w:rsid w:val="00C26CAB"/>
    <w:rsid w:val="00C27ED4"/>
    <w:rsid w:val="00C34C7C"/>
    <w:rsid w:val="00C37C87"/>
    <w:rsid w:val="00C40473"/>
    <w:rsid w:val="00C52721"/>
    <w:rsid w:val="00C5554B"/>
    <w:rsid w:val="00C5555D"/>
    <w:rsid w:val="00C5651B"/>
    <w:rsid w:val="00C61A13"/>
    <w:rsid w:val="00C67669"/>
    <w:rsid w:val="00C67956"/>
    <w:rsid w:val="00C711BF"/>
    <w:rsid w:val="00C738A4"/>
    <w:rsid w:val="00C74AC1"/>
    <w:rsid w:val="00C74F54"/>
    <w:rsid w:val="00C821FF"/>
    <w:rsid w:val="00C835D1"/>
    <w:rsid w:val="00C87789"/>
    <w:rsid w:val="00C9311B"/>
    <w:rsid w:val="00CA0016"/>
    <w:rsid w:val="00CA035D"/>
    <w:rsid w:val="00CA0820"/>
    <w:rsid w:val="00CA210F"/>
    <w:rsid w:val="00CA398E"/>
    <w:rsid w:val="00CA529F"/>
    <w:rsid w:val="00CA5C5A"/>
    <w:rsid w:val="00CA6065"/>
    <w:rsid w:val="00CA7660"/>
    <w:rsid w:val="00CB15F4"/>
    <w:rsid w:val="00CB221C"/>
    <w:rsid w:val="00CB2B4F"/>
    <w:rsid w:val="00CB602A"/>
    <w:rsid w:val="00CB7972"/>
    <w:rsid w:val="00CC0762"/>
    <w:rsid w:val="00CC1DD7"/>
    <w:rsid w:val="00CC31F4"/>
    <w:rsid w:val="00CC32B4"/>
    <w:rsid w:val="00CC663C"/>
    <w:rsid w:val="00CD3240"/>
    <w:rsid w:val="00CD5434"/>
    <w:rsid w:val="00CD7493"/>
    <w:rsid w:val="00CE2204"/>
    <w:rsid w:val="00CF0D7E"/>
    <w:rsid w:val="00CF13B7"/>
    <w:rsid w:val="00CF3133"/>
    <w:rsid w:val="00CF7FD6"/>
    <w:rsid w:val="00D03284"/>
    <w:rsid w:val="00D0506F"/>
    <w:rsid w:val="00D102AB"/>
    <w:rsid w:val="00D13331"/>
    <w:rsid w:val="00D1352E"/>
    <w:rsid w:val="00D1475C"/>
    <w:rsid w:val="00D158BD"/>
    <w:rsid w:val="00D166C7"/>
    <w:rsid w:val="00D2044C"/>
    <w:rsid w:val="00D223AC"/>
    <w:rsid w:val="00D22F59"/>
    <w:rsid w:val="00D22FAD"/>
    <w:rsid w:val="00D239EF"/>
    <w:rsid w:val="00D25368"/>
    <w:rsid w:val="00D26E42"/>
    <w:rsid w:val="00D276F7"/>
    <w:rsid w:val="00D27DE1"/>
    <w:rsid w:val="00D318EB"/>
    <w:rsid w:val="00D32534"/>
    <w:rsid w:val="00D32B61"/>
    <w:rsid w:val="00D4125D"/>
    <w:rsid w:val="00D446B6"/>
    <w:rsid w:val="00D455C3"/>
    <w:rsid w:val="00D45976"/>
    <w:rsid w:val="00D463DC"/>
    <w:rsid w:val="00D51B0D"/>
    <w:rsid w:val="00D5200E"/>
    <w:rsid w:val="00D529E7"/>
    <w:rsid w:val="00D54BD8"/>
    <w:rsid w:val="00D55AE8"/>
    <w:rsid w:val="00D55F7C"/>
    <w:rsid w:val="00D571C1"/>
    <w:rsid w:val="00D618DF"/>
    <w:rsid w:val="00D634E3"/>
    <w:rsid w:val="00D65B96"/>
    <w:rsid w:val="00D664B2"/>
    <w:rsid w:val="00D66F20"/>
    <w:rsid w:val="00D67B8E"/>
    <w:rsid w:val="00D716E1"/>
    <w:rsid w:val="00D71D70"/>
    <w:rsid w:val="00D72074"/>
    <w:rsid w:val="00D73CEF"/>
    <w:rsid w:val="00D75A97"/>
    <w:rsid w:val="00D777EE"/>
    <w:rsid w:val="00D81871"/>
    <w:rsid w:val="00D84ECD"/>
    <w:rsid w:val="00D85B30"/>
    <w:rsid w:val="00D85B74"/>
    <w:rsid w:val="00D90F4B"/>
    <w:rsid w:val="00D92B89"/>
    <w:rsid w:val="00D969E1"/>
    <w:rsid w:val="00DA2056"/>
    <w:rsid w:val="00DA3CDA"/>
    <w:rsid w:val="00DA6D79"/>
    <w:rsid w:val="00DA7CD3"/>
    <w:rsid w:val="00DB2A5A"/>
    <w:rsid w:val="00DB35D4"/>
    <w:rsid w:val="00DB3A54"/>
    <w:rsid w:val="00DC3887"/>
    <w:rsid w:val="00DC71C3"/>
    <w:rsid w:val="00DD0510"/>
    <w:rsid w:val="00DD4D7C"/>
    <w:rsid w:val="00DE0A2E"/>
    <w:rsid w:val="00DE0F05"/>
    <w:rsid w:val="00DF06D7"/>
    <w:rsid w:val="00DF1FB5"/>
    <w:rsid w:val="00DF7CB6"/>
    <w:rsid w:val="00E03B02"/>
    <w:rsid w:val="00E04A54"/>
    <w:rsid w:val="00E05525"/>
    <w:rsid w:val="00E05A1E"/>
    <w:rsid w:val="00E175CC"/>
    <w:rsid w:val="00E20AFF"/>
    <w:rsid w:val="00E25A2F"/>
    <w:rsid w:val="00E32271"/>
    <w:rsid w:val="00E33EFD"/>
    <w:rsid w:val="00E33F1A"/>
    <w:rsid w:val="00E3493C"/>
    <w:rsid w:val="00E453E2"/>
    <w:rsid w:val="00E467B4"/>
    <w:rsid w:val="00E473A3"/>
    <w:rsid w:val="00E50BD9"/>
    <w:rsid w:val="00E559BF"/>
    <w:rsid w:val="00E56BD4"/>
    <w:rsid w:val="00E57026"/>
    <w:rsid w:val="00E57452"/>
    <w:rsid w:val="00E60781"/>
    <w:rsid w:val="00E612E3"/>
    <w:rsid w:val="00E619A8"/>
    <w:rsid w:val="00E64BE5"/>
    <w:rsid w:val="00E6736A"/>
    <w:rsid w:val="00E70408"/>
    <w:rsid w:val="00E71D9D"/>
    <w:rsid w:val="00E74C0A"/>
    <w:rsid w:val="00E76000"/>
    <w:rsid w:val="00E80D7F"/>
    <w:rsid w:val="00E856FF"/>
    <w:rsid w:val="00E86EEE"/>
    <w:rsid w:val="00E872AC"/>
    <w:rsid w:val="00E944FF"/>
    <w:rsid w:val="00E96B29"/>
    <w:rsid w:val="00E96C11"/>
    <w:rsid w:val="00EA1AD7"/>
    <w:rsid w:val="00EA2BF9"/>
    <w:rsid w:val="00EA377B"/>
    <w:rsid w:val="00EA3E97"/>
    <w:rsid w:val="00EB0BDF"/>
    <w:rsid w:val="00EB39AF"/>
    <w:rsid w:val="00EB4D49"/>
    <w:rsid w:val="00EB797A"/>
    <w:rsid w:val="00EC0395"/>
    <w:rsid w:val="00EC20CB"/>
    <w:rsid w:val="00EC4454"/>
    <w:rsid w:val="00ED0047"/>
    <w:rsid w:val="00ED4CF8"/>
    <w:rsid w:val="00ED6188"/>
    <w:rsid w:val="00EE2BA5"/>
    <w:rsid w:val="00EE56C5"/>
    <w:rsid w:val="00EE65C1"/>
    <w:rsid w:val="00EF0269"/>
    <w:rsid w:val="00EF05C3"/>
    <w:rsid w:val="00EF56D7"/>
    <w:rsid w:val="00EF7A29"/>
    <w:rsid w:val="00F004E9"/>
    <w:rsid w:val="00F01056"/>
    <w:rsid w:val="00F055C5"/>
    <w:rsid w:val="00F06AF6"/>
    <w:rsid w:val="00F1071B"/>
    <w:rsid w:val="00F11741"/>
    <w:rsid w:val="00F16D86"/>
    <w:rsid w:val="00F20880"/>
    <w:rsid w:val="00F26296"/>
    <w:rsid w:val="00F42829"/>
    <w:rsid w:val="00F5019C"/>
    <w:rsid w:val="00F55D31"/>
    <w:rsid w:val="00F603FC"/>
    <w:rsid w:val="00F60B9F"/>
    <w:rsid w:val="00F615CF"/>
    <w:rsid w:val="00F63AF8"/>
    <w:rsid w:val="00F65F19"/>
    <w:rsid w:val="00F666BB"/>
    <w:rsid w:val="00F666FC"/>
    <w:rsid w:val="00F70863"/>
    <w:rsid w:val="00F82B0C"/>
    <w:rsid w:val="00F83933"/>
    <w:rsid w:val="00F93DF8"/>
    <w:rsid w:val="00F95951"/>
    <w:rsid w:val="00F964DD"/>
    <w:rsid w:val="00F97FFC"/>
    <w:rsid w:val="00FA00D1"/>
    <w:rsid w:val="00FA0A30"/>
    <w:rsid w:val="00FA26E7"/>
    <w:rsid w:val="00FB11E4"/>
    <w:rsid w:val="00FB4D4A"/>
    <w:rsid w:val="00FB6BF3"/>
    <w:rsid w:val="00FB6DCD"/>
    <w:rsid w:val="00FC05F5"/>
    <w:rsid w:val="00FC345B"/>
    <w:rsid w:val="00FC3A94"/>
    <w:rsid w:val="00FC7102"/>
    <w:rsid w:val="00FC7EE3"/>
    <w:rsid w:val="00FD3D39"/>
    <w:rsid w:val="00FD50F9"/>
    <w:rsid w:val="00FE00AC"/>
    <w:rsid w:val="00FE1048"/>
    <w:rsid w:val="00FE1C0E"/>
    <w:rsid w:val="00FE2AE0"/>
    <w:rsid w:val="00FE31DB"/>
    <w:rsid w:val="00FE3377"/>
    <w:rsid w:val="00FF0624"/>
    <w:rsid w:val="00FF1687"/>
    <w:rsid w:val="00FF4656"/>
    <w:rsid w:val="00FF4776"/>
    <w:rsid w:val="00FF56BD"/>
    <w:rsid w:val="00FF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6"/>
    <o:shapelayout v:ext="edit">
      <o:idmap v:ext="edit" data="1"/>
      <o:rules v:ext="edit">
        <o:r id="V:Rule14" type="connector" idref="#_x0000_s1059"/>
        <o:r id="V:Rule15" type="connector" idref="#_x0000_s1039"/>
        <o:r id="V:Rule16" type="connector" idref="#_x0000_s1066"/>
        <o:r id="V:Rule17" type="connector" idref="#_x0000_s1041"/>
        <o:r id="V:Rule18" type="connector" idref="#_x0000_s1065"/>
        <o:r id="V:Rule19" type="connector" idref="#_x0000_s1052"/>
        <o:r id="V:Rule20" type="connector" idref="#_x0000_s1051"/>
        <o:r id="V:Rule21" type="connector" idref="#_x0000_s1040"/>
        <o:r id="V:Rule22" type="connector" idref="#_x0000_s1061"/>
        <o:r id="V:Rule23" type="connector" idref="#_x0000_s1062"/>
        <o:r id="V:Rule24" type="connector" idref="#_x0000_s1042"/>
        <o:r id="V:Rule25" type="connector" idref="#_x0000_s1060"/>
        <o:r id="V:Rule26" type="connector" idref="#_x0000_s1056"/>
      </o:rules>
    </o:shapelayout>
  </w:shapeDefaults>
  <w:decimalSymbol w:val="."/>
  <w:listSeparator w:val=","/>
  <w14:docId w14:val="5B696F03"/>
  <w15:docId w15:val="{AD11D6EE-A78B-4EE8-88C4-6F9E7D7D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AD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4B64AC"/>
    <w:pPr>
      <w:spacing w:after="0" w:line="240" w:lineRule="auto"/>
    </w:pPr>
    <w:rPr>
      <w:sz w:val="20"/>
      <w:szCs w:val="20"/>
    </w:rPr>
  </w:style>
  <w:style w:type="character" w:customStyle="1" w:styleId="EndnoteTextChar">
    <w:name w:val="Endnote Text Char"/>
    <w:basedOn w:val="DefaultParagraphFont"/>
    <w:link w:val="EndnoteText"/>
    <w:uiPriority w:val="99"/>
    <w:locked/>
    <w:rsid w:val="004B64AC"/>
    <w:rPr>
      <w:rFonts w:cs="Times New Roman"/>
      <w:sz w:val="20"/>
      <w:szCs w:val="20"/>
    </w:rPr>
  </w:style>
  <w:style w:type="character" w:styleId="EndnoteReference">
    <w:name w:val="endnote reference"/>
    <w:basedOn w:val="DefaultParagraphFont"/>
    <w:uiPriority w:val="99"/>
    <w:semiHidden/>
    <w:rsid w:val="004B64AC"/>
    <w:rPr>
      <w:rFonts w:cs="Times New Roman"/>
      <w:vertAlign w:val="superscript"/>
    </w:rPr>
  </w:style>
  <w:style w:type="character" w:styleId="Hyperlink">
    <w:name w:val="Hyperlink"/>
    <w:basedOn w:val="DefaultParagraphFont"/>
    <w:uiPriority w:val="99"/>
    <w:rsid w:val="004B64AC"/>
    <w:rPr>
      <w:rFonts w:cs="Times New Roman"/>
      <w:color w:val="0000FF"/>
      <w:u w:val="single"/>
    </w:rPr>
  </w:style>
  <w:style w:type="paragraph" w:styleId="ListParagraph">
    <w:name w:val="List Paragraph"/>
    <w:basedOn w:val="Normal"/>
    <w:uiPriority w:val="34"/>
    <w:qFormat/>
    <w:rsid w:val="00E3493C"/>
    <w:pPr>
      <w:ind w:left="720"/>
      <w:contextualSpacing/>
    </w:pPr>
  </w:style>
  <w:style w:type="paragraph" w:styleId="Header">
    <w:name w:val="header"/>
    <w:basedOn w:val="Normal"/>
    <w:link w:val="HeaderChar"/>
    <w:uiPriority w:val="99"/>
    <w:rsid w:val="00683E9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3E9B"/>
    <w:rPr>
      <w:rFonts w:cs="Times New Roman"/>
    </w:rPr>
  </w:style>
  <w:style w:type="paragraph" w:styleId="Footer">
    <w:name w:val="footer"/>
    <w:basedOn w:val="Normal"/>
    <w:link w:val="FooterChar"/>
    <w:uiPriority w:val="99"/>
    <w:rsid w:val="00683E9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3E9B"/>
    <w:rPr>
      <w:rFonts w:cs="Times New Roman"/>
    </w:rPr>
  </w:style>
  <w:style w:type="character" w:styleId="CommentReference">
    <w:name w:val="annotation reference"/>
    <w:basedOn w:val="DefaultParagraphFont"/>
    <w:uiPriority w:val="99"/>
    <w:semiHidden/>
    <w:rsid w:val="00CD5434"/>
    <w:rPr>
      <w:rFonts w:cs="Times New Roman"/>
      <w:sz w:val="16"/>
      <w:szCs w:val="16"/>
    </w:rPr>
  </w:style>
  <w:style w:type="paragraph" w:styleId="CommentText">
    <w:name w:val="annotation text"/>
    <w:basedOn w:val="Normal"/>
    <w:link w:val="CommentTextChar"/>
    <w:uiPriority w:val="99"/>
    <w:semiHidden/>
    <w:rsid w:val="00CD54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D5434"/>
    <w:rPr>
      <w:rFonts w:cs="Times New Roman"/>
      <w:sz w:val="20"/>
      <w:szCs w:val="20"/>
    </w:rPr>
  </w:style>
  <w:style w:type="paragraph" w:styleId="CommentSubject">
    <w:name w:val="annotation subject"/>
    <w:basedOn w:val="CommentText"/>
    <w:next w:val="CommentText"/>
    <w:link w:val="CommentSubjectChar"/>
    <w:uiPriority w:val="99"/>
    <w:semiHidden/>
    <w:rsid w:val="00CD5434"/>
    <w:rPr>
      <w:b/>
      <w:bCs/>
    </w:rPr>
  </w:style>
  <w:style w:type="character" w:customStyle="1" w:styleId="CommentSubjectChar">
    <w:name w:val="Comment Subject Char"/>
    <w:basedOn w:val="CommentTextChar"/>
    <w:link w:val="CommentSubject"/>
    <w:uiPriority w:val="99"/>
    <w:semiHidden/>
    <w:locked/>
    <w:rsid w:val="00CD5434"/>
    <w:rPr>
      <w:rFonts w:cs="Times New Roman"/>
      <w:b/>
      <w:bCs/>
      <w:sz w:val="20"/>
      <w:szCs w:val="20"/>
    </w:rPr>
  </w:style>
  <w:style w:type="paragraph" w:styleId="BalloonText">
    <w:name w:val="Balloon Text"/>
    <w:basedOn w:val="Normal"/>
    <w:link w:val="BalloonTextChar"/>
    <w:uiPriority w:val="99"/>
    <w:semiHidden/>
    <w:rsid w:val="00CD5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5434"/>
    <w:rPr>
      <w:rFonts w:ascii="Tahoma" w:hAnsi="Tahoma" w:cs="Tahoma"/>
      <w:sz w:val="16"/>
      <w:szCs w:val="16"/>
    </w:rPr>
  </w:style>
  <w:style w:type="character" w:styleId="LineNumber">
    <w:name w:val="line number"/>
    <w:basedOn w:val="DefaultParagraphFont"/>
    <w:uiPriority w:val="99"/>
    <w:semiHidden/>
    <w:rsid w:val="00070FE9"/>
    <w:rPr>
      <w:rFonts w:cs="Times New Roman"/>
    </w:rPr>
  </w:style>
  <w:style w:type="table" w:styleId="TableGrid">
    <w:name w:val="Table Grid"/>
    <w:basedOn w:val="TableNormal"/>
    <w:uiPriority w:val="99"/>
    <w:rsid w:val="002421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243076"/>
    <w:rPr>
      <w:rFonts w:cs="Times New Roman"/>
      <w:color w:val="800080"/>
      <w:u w:val="single"/>
    </w:rPr>
  </w:style>
  <w:style w:type="paragraph" w:styleId="FootnoteText">
    <w:name w:val="footnote text"/>
    <w:basedOn w:val="Normal"/>
    <w:link w:val="FootnoteTextChar"/>
    <w:uiPriority w:val="99"/>
    <w:semiHidden/>
    <w:rsid w:val="00713E97"/>
    <w:rPr>
      <w:sz w:val="20"/>
      <w:szCs w:val="20"/>
    </w:rPr>
  </w:style>
  <w:style w:type="character" w:customStyle="1" w:styleId="FootnoteTextChar">
    <w:name w:val="Footnote Text Char"/>
    <w:basedOn w:val="DefaultParagraphFont"/>
    <w:link w:val="FootnoteText"/>
    <w:uiPriority w:val="99"/>
    <w:semiHidden/>
    <w:locked/>
    <w:rsid w:val="004C051D"/>
    <w:rPr>
      <w:rFonts w:cs="Times New Roman"/>
      <w:sz w:val="20"/>
      <w:szCs w:val="20"/>
      <w:lang w:eastAsia="en-US"/>
    </w:rPr>
  </w:style>
  <w:style w:type="character" w:styleId="FootnoteReference">
    <w:name w:val="footnote reference"/>
    <w:basedOn w:val="DefaultParagraphFont"/>
    <w:uiPriority w:val="99"/>
    <w:semiHidden/>
    <w:rsid w:val="00713E97"/>
    <w:rPr>
      <w:rFonts w:cs="Times New Roman"/>
      <w:vertAlign w:val="superscript"/>
    </w:rPr>
  </w:style>
  <w:style w:type="paragraph" w:styleId="Caption">
    <w:name w:val="caption"/>
    <w:basedOn w:val="Normal"/>
    <w:next w:val="Normal"/>
    <w:uiPriority w:val="99"/>
    <w:qFormat/>
    <w:locked/>
    <w:rsid w:val="007A64CA"/>
    <w:pPr>
      <w:spacing w:line="240" w:lineRule="auto"/>
    </w:pPr>
    <w:rPr>
      <w:b/>
      <w:bCs/>
      <w:color w:val="4F81BD"/>
      <w:sz w:val="18"/>
      <w:szCs w:val="18"/>
    </w:rPr>
  </w:style>
  <w:style w:type="character" w:customStyle="1" w:styleId="UnresolvedMention1">
    <w:name w:val="Unresolved Mention1"/>
    <w:basedOn w:val="DefaultParagraphFont"/>
    <w:uiPriority w:val="99"/>
    <w:semiHidden/>
    <w:unhideWhenUsed/>
    <w:rsid w:val="004328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975123">
      <w:marLeft w:val="0"/>
      <w:marRight w:val="0"/>
      <w:marTop w:val="0"/>
      <w:marBottom w:val="0"/>
      <w:divBdr>
        <w:top w:val="none" w:sz="0" w:space="0" w:color="auto"/>
        <w:left w:val="none" w:sz="0" w:space="0" w:color="auto"/>
        <w:bottom w:val="none" w:sz="0" w:space="0" w:color="auto"/>
        <w:right w:val="none" w:sz="0" w:space="0" w:color="auto"/>
      </w:divBdr>
    </w:div>
    <w:div w:id="643975124">
      <w:marLeft w:val="0"/>
      <w:marRight w:val="0"/>
      <w:marTop w:val="0"/>
      <w:marBottom w:val="0"/>
      <w:divBdr>
        <w:top w:val="none" w:sz="0" w:space="0" w:color="auto"/>
        <w:left w:val="none" w:sz="0" w:space="0" w:color="auto"/>
        <w:bottom w:val="none" w:sz="0" w:space="0" w:color="auto"/>
        <w:right w:val="none" w:sz="0" w:space="0" w:color="auto"/>
      </w:divBdr>
    </w:div>
    <w:div w:id="643975125">
      <w:marLeft w:val="0"/>
      <w:marRight w:val="0"/>
      <w:marTop w:val="0"/>
      <w:marBottom w:val="0"/>
      <w:divBdr>
        <w:top w:val="none" w:sz="0" w:space="0" w:color="auto"/>
        <w:left w:val="none" w:sz="0" w:space="0" w:color="auto"/>
        <w:bottom w:val="none" w:sz="0" w:space="0" w:color="auto"/>
        <w:right w:val="none" w:sz="0" w:space="0" w:color="auto"/>
      </w:divBdr>
    </w:div>
    <w:div w:id="6439751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ogenbus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gho/publications/world_health_statistics/EN_WHS2013_Full.pdf?ua=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o.int/gho/publications/world_health_statistics/EN_WHS2013_Full.pdf?ua=1" TargetMode="External"/><Relationship Id="rId4" Type="http://schemas.openxmlformats.org/officeDocument/2006/relationships/settings" Target="settings.xml"/><Relationship Id="rId9" Type="http://schemas.openxmlformats.org/officeDocument/2006/relationships/hyperlink" Target="http://www.who.int/mediacentre/factsheets/fs310/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4F20E-37FD-4327-9989-7BBED549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4289</Words>
  <Characters>25206</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Validating the SWAT-Bp score for pneumonia</vt:lpstr>
    </vt:vector>
  </TitlesOfParts>
  <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Validating the SWAT-Bp score for pneumonia</dc:title>
  <dc:creator>Imogen Buss</dc:creator>
  <cp:lastModifiedBy> </cp:lastModifiedBy>
  <cp:revision>2</cp:revision>
  <dcterms:created xsi:type="dcterms:W3CDTF">2018-08-28T17:28:00Z</dcterms:created>
  <dcterms:modified xsi:type="dcterms:W3CDTF">2018-08-28T17:28:00Z</dcterms:modified>
</cp:coreProperties>
</file>